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Cs/>
          <w:color w:val="000000" w:themeColor="text1"/>
          <w:sz w:val="44"/>
          <w:szCs w:val="44"/>
          <w14:textFill>
            <w14:solidFill>
              <w14:schemeClr w14:val="tx1"/>
            </w14:solidFill>
          </w14:textFill>
        </w:rPr>
      </w:pPr>
    </w:p>
    <w:p>
      <w:pPr>
        <w:rPr>
          <w:rFonts w:ascii="黑体" w:eastAsia="黑体"/>
          <w:bCs/>
          <w:color w:val="000000" w:themeColor="text1"/>
          <w:sz w:val="44"/>
          <w:szCs w:val="44"/>
          <w14:textFill>
            <w14:solidFill>
              <w14:schemeClr w14:val="tx1"/>
            </w14:solidFill>
          </w14:textFill>
        </w:rPr>
      </w:pPr>
    </w:p>
    <w:p>
      <w:pPr>
        <w:rPr>
          <w:rFonts w:ascii="黑体" w:eastAsia="黑体"/>
          <w:bCs/>
          <w:color w:val="000000" w:themeColor="text1"/>
          <w:sz w:val="44"/>
          <w:szCs w:val="44"/>
          <w14:textFill>
            <w14:solidFill>
              <w14:schemeClr w14:val="tx1"/>
            </w14:solidFill>
          </w14:textFill>
        </w:rPr>
      </w:pPr>
    </w:p>
    <w:p>
      <w:pPr>
        <w:rPr>
          <w:rFonts w:ascii="黑体" w:eastAsia="黑体"/>
          <w:bCs/>
          <w:color w:val="000000" w:themeColor="text1"/>
          <w:sz w:val="44"/>
          <w:szCs w:val="44"/>
          <w14:textFill>
            <w14:solidFill>
              <w14:schemeClr w14:val="tx1"/>
            </w14:solidFill>
          </w14:textFill>
        </w:rPr>
      </w:pPr>
    </w:p>
    <w:p>
      <w:pPr>
        <w:rPr>
          <w:rFonts w:ascii="黑体" w:eastAsia="黑体"/>
          <w:bCs/>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20" w:lineRule="auto"/>
        <w:jc w:val="center"/>
        <w:textAlignment w:val="baseline"/>
        <w:rPr>
          <w:rFonts w:hint="eastAsia" w:ascii="黑体" w:hAnsi="Calibri" w:eastAsia="黑体"/>
          <w:bCs/>
          <w:sz w:val="44"/>
          <w:szCs w:val="44"/>
        </w:rPr>
      </w:pPr>
      <w:r>
        <w:rPr>
          <w:rFonts w:hint="eastAsia" w:ascii="黑体" w:hAnsi="Calibri" w:eastAsia="黑体"/>
          <w:bCs/>
          <w:sz w:val="44"/>
          <w:szCs w:val="44"/>
          <w:lang w:val="en-US" w:eastAsia="zh-CN"/>
        </w:rPr>
        <w:t>辽宁中糖物流有限</w:t>
      </w:r>
      <w:r>
        <w:rPr>
          <w:rFonts w:hint="eastAsia" w:ascii="黑体" w:hAnsi="Calibri" w:eastAsia="黑体"/>
          <w:bCs/>
          <w:sz w:val="44"/>
          <w:szCs w:val="44"/>
        </w:rPr>
        <w:t>公司</w:t>
      </w:r>
    </w:p>
    <w:p>
      <w:pPr>
        <w:keepNext w:val="0"/>
        <w:keepLines w:val="0"/>
        <w:pageBreakBefore w:val="0"/>
        <w:widowControl/>
        <w:kinsoku/>
        <w:wordWrap/>
        <w:overflowPunct/>
        <w:topLinePunct w:val="0"/>
        <w:autoSpaceDE/>
        <w:autoSpaceDN/>
        <w:bidi w:val="0"/>
        <w:adjustRightInd/>
        <w:snapToGrid/>
        <w:spacing w:line="720" w:lineRule="auto"/>
        <w:jc w:val="center"/>
        <w:textAlignment w:val="baseline"/>
        <w:rPr>
          <w:rFonts w:hint="eastAsia" w:ascii="黑体" w:hAnsi="Calibri" w:eastAsia="黑体"/>
          <w:bCs/>
          <w:sz w:val="44"/>
          <w:szCs w:val="44"/>
        </w:rPr>
      </w:pPr>
      <w:r>
        <w:rPr>
          <w:rFonts w:hint="eastAsia" w:ascii="黑体" w:hAnsi="Calibri" w:eastAsia="黑体"/>
          <w:bCs/>
          <w:sz w:val="44"/>
          <w:szCs w:val="44"/>
          <w:lang w:val="en-US" w:eastAsia="zh-CN"/>
        </w:rPr>
        <w:t>中央储备糖</w:t>
      </w:r>
      <w:r>
        <w:rPr>
          <w:rFonts w:hint="eastAsia" w:ascii="黑体" w:hAnsi="Calibri" w:eastAsia="黑体"/>
          <w:bCs/>
          <w:sz w:val="44"/>
          <w:szCs w:val="44"/>
        </w:rPr>
        <w:t>出库装卸服务采购询比说明书</w:t>
      </w:r>
    </w:p>
    <w:p>
      <w:pPr>
        <w:keepNext w:val="0"/>
        <w:keepLines w:val="0"/>
        <w:pageBreakBefore w:val="0"/>
        <w:kinsoku/>
        <w:wordWrap/>
        <w:overflowPunct/>
        <w:topLinePunct w:val="0"/>
        <w:autoSpaceDE/>
        <w:autoSpaceDN/>
        <w:bidi w:val="0"/>
        <w:adjustRightInd/>
        <w:snapToGrid/>
        <w:spacing w:line="480" w:lineRule="auto"/>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pStyle w:val="2"/>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ind w:firstLine="1600" w:firstLineChars="500"/>
        <w:rPr>
          <w:rFonts w:ascii="黑体" w:hAnsi="黑体" w:eastAsia="黑体"/>
          <w:bCs/>
          <w:color w:val="000000" w:themeColor="text1"/>
          <w:sz w:val="32"/>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hAnsi="黑体" w:eastAsia="黑体"/>
          <w:bCs/>
          <w:color w:val="000000" w:themeColor="text1"/>
          <w:sz w:val="32"/>
          <w:lang w:val="en-US" w:eastAsia="zh-CN"/>
          <w14:textFill>
            <w14:solidFill>
              <w14:schemeClr w14:val="tx1"/>
            </w14:solidFill>
          </w14:textFill>
        </w:rPr>
        <w:t>发布</w:t>
      </w:r>
      <w:r>
        <w:rPr>
          <w:rFonts w:hint="eastAsia" w:ascii="黑体" w:hAnsi="黑体" w:eastAsia="黑体"/>
          <w:bCs/>
          <w:color w:val="000000" w:themeColor="text1"/>
          <w:sz w:val="32"/>
          <w14:textFill>
            <w14:solidFill>
              <w14:schemeClr w14:val="tx1"/>
            </w14:solidFill>
          </w14:textFill>
        </w:rPr>
        <w:t>单位：</w:t>
      </w:r>
      <w:r>
        <w:rPr>
          <w:rFonts w:hint="eastAsia" w:ascii="黑体" w:hAnsi="黑体" w:eastAsia="黑体"/>
          <w:bCs/>
          <w:color w:val="000000" w:themeColor="text1"/>
          <w:sz w:val="32"/>
          <w:lang w:val="en-US" w:eastAsia="zh-CN"/>
          <w14:textFill>
            <w14:solidFill>
              <w14:schemeClr w14:val="tx1"/>
            </w14:solidFill>
          </w14:textFill>
        </w:rPr>
        <w:t>辽宁中糖物流有限</w:t>
      </w:r>
      <w:r>
        <w:rPr>
          <w:rFonts w:hint="eastAsia" w:ascii="黑体" w:hAnsi="黑体" w:eastAsia="黑体"/>
          <w:bCs/>
          <w:color w:val="000000" w:themeColor="text1"/>
          <w:sz w:val="32"/>
          <w14:textFill>
            <w14:solidFill>
              <w14:schemeClr w14:val="tx1"/>
            </w14:solidFill>
          </w14:textFill>
        </w:rPr>
        <w:t>公司</w:t>
      </w:r>
    </w:p>
    <w:p>
      <w:pPr>
        <w:jc w:val="center"/>
        <w:rPr>
          <w:rFonts w:hint="eastAsia" w:ascii="黑体" w:hAnsi="黑体" w:eastAsia="黑体"/>
          <w:bCs/>
          <w:color w:val="000000" w:themeColor="text1"/>
          <w:sz w:val="32"/>
          <w:lang w:val="en-US" w:eastAsia="zh-CN"/>
          <w14:textFill>
            <w14:solidFill>
              <w14:schemeClr w14:val="tx1"/>
            </w14:solidFill>
          </w14:textFill>
        </w:rPr>
      </w:pPr>
      <w:r>
        <w:rPr>
          <w:rFonts w:hint="eastAsia" w:ascii="黑体" w:hAnsi="黑体" w:eastAsia="黑体"/>
          <w:bCs/>
          <w:color w:val="000000" w:themeColor="text1"/>
          <w:sz w:val="32"/>
          <w:lang w:val="en-US" w:eastAsia="zh-CN"/>
          <w14:textFill>
            <w14:solidFill>
              <w14:schemeClr w14:val="tx1"/>
            </w14:solidFill>
          </w14:textFill>
        </w:rPr>
        <w:t>发布日期：2023年5月</w:t>
      </w:r>
    </w:p>
    <w:p>
      <w:pPr>
        <w:rPr>
          <w:rFonts w:ascii="黑体" w:eastAsia="黑体"/>
          <w:b/>
          <w:bCs/>
          <w:color w:val="000000" w:themeColor="text1"/>
          <w:sz w:val="44"/>
          <w:szCs w:val="44"/>
          <w14:textFill>
            <w14:solidFill>
              <w14:schemeClr w14:val="tx1"/>
            </w14:solidFill>
          </w14:textFill>
        </w:rPr>
      </w:pPr>
    </w:p>
    <w:p>
      <w:pPr>
        <w:rPr>
          <w:rFonts w:ascii="黑体" w:eastAsia="黑体"/>
          <w:bCs/>
          <w:color w:val="000000" w:themeColor="text1"/>
          <w:sz w:val="44"/>
          <w:szCs w:val="44"/>
          <w14:textFill>
            <w14:solidFill>
              <w14:schemeClr w14:val="tx1"/>
            </w14:solidFill>
          </w14:textFill>
        </w:rPr>
      </w:pPr>
    </w:p>
    <w:p>
      <w:pPr>
        <w:jc w:val="center"/>
        <w:rPr>
          <w:rFonts w:ascii="黑体" w:eastAsia="黑体"/>
          <w:bCs/>
          <w:color w:val="000000" w:themeColor="text1"/>
          <w:sz w:val="44"/>
          <w:szCs w:val="44"/>
          <w14:textFill>
            <w14:solidFill>
              <w14:schemeClr w14:val="tx1"/>
            </w14:solidFill>
          </w14:textFill>
        </w:rPr>
        <w:sectPr>
          <w:headerReference r:id="rId3" w:type="default"/>
          <w:pgSz w:w="11906" w:h="16838"/>
          <w:pgMar w:top="1440" w:right="1134" w:bottom="1440" w:left="1134" w:header="851" w:footer="992" w:gutter="0"/>
          <w:cols w:space="720" w:num="1"/>
          <w:docGrid w:type="lines" w:linePitch="312" w:charSpace="0"/>
        </w:sectPr>
      </w:pPr>
    </w:p>
    <w:p>
      <w:pPr>
        <w:pStyle w:val="2"/>
      </w:pPr>
    </w:p>
    <w:p>
      <w:pPr>
        <w:jc w:val="center"/>
        <w:rPr>
          <w:rFonts w:hint="eastAsia" w:ascii="黑体" w:eastAsia="黑体"/>
          <w:bCs/>
          <w:color w:val="000000" w:themeColor="text1"/>
          <w:sz w:val="44"/>
          <w:szCs w:val="44"/>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44"/>
          <w:szCs w:val="44"/>
          <w14:textFill>
            <w14:solidFill>
              <w14:schemeClr w14:val="tx1"/>
            </w14:solidFill>
          </w14:textFill>
        </w:rPr>
        <w:t xml:space="preserve">目  </w:t>
      </w:r>
      <w:r>
        <w:rPr>
          <w:rFonts w:hint="eastAsia" w:ascii="黑体" w:eastAsia="黑体"/>
          <w:bCs/>
          <w:color w:val="000000" w:themeColor="text1"/>
          <w:sz w:val="44"/>
          <w:szCs w:val="44"/>
          <w:lang w:val="en-US" w:eastAsia="zh-CN"/>
          <w14:textFill>
            <w14:solidFill>
              <w14:schemeClr w14:val="tx1"/>
            </w14:solidFill>
          </w14:textFill>
        </w:rPr>
        <w:t xml:space="preserve"> </w:t>
      </w:r>
      <w:r>
        <w:rPr>
          <w:rFonts w:hint="eastAsia" w:ascii="黑体" w:eastAsia="黑体"/>
          <w:bCs/>
          <w:color w:val="000000" w:themeColor="text1"/>
          <w:sz w:val="44"/>
          <w:szCs w:val="44"/>
          <w14:textFill>
            <w14:solidFill>
              <w14:schemeClr w14:val="tx1"/>
            </w14:solidFill>
          </w14:textFill>
        </w:rPr>
        <w:t>录</w:t>
      </w:r>
    </w:p>
    <w:p>
      <w:pPr>
        <w:jc w:val="center"/>
        <w:rPr>
          <w:rFonts w:ascii="黑体" w:eastAsia="黑体"/>
          <w:bCs/>
          <w:color w:val="000000" w:themeColor="text1"/>
          <w:sz w:val="36"/>
          <w:szCs w:val="36"/>
          <w14:textFill>
            <w14:solidFill>
              <w14:schemeClr w14:val="tx1"/>
            </w14:solidFill>
          </w14:textFill>
        </w:rPr>
      </w:pPr>
    </w:p>
    <w:p>
      <w:pPr>
        <w:numPr>
          <w:ilvl w:val="0"/>
          <w:numId w:val="0"/>
        </w:numP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lang w:val="en-US" w:eastAsia="zh-CN"/>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第</w:t>
      </w:r>
      <w:r>
        <w:rPr>
          <w:rFonts w:hint="eastAsia" w:ascii="黑体" w:eastAsia="黑体"/>
          <w:bCs/>
          <w:color w:val="000000" w:themeColor="text1"/>
          <w:sz w:val="36"/>
          <w:szCs w:val="36"/>
          <w:lang w:val="en-US" w:eastAsia="zh-CN"/>
          <w14:textFill>
            <w14:solidFill>
              <w14:schemeClr w14:val="tx1"/>
            </w14:solidFill>
          </w14:textFill>
        </w:rPr>
        <w:t>一</w:t>
      </w:r>
      <w:r>
        <w:rPr>
          <w:rFonts w:hint="eastAsia" w:ascii="黑体" w:eastAsia="黑体"/>
          <w:bCs/>
          <w:color w:val="000000" w:themeColor="text1"/>
          <w:sz w:val="36"/>
          <w:szCs w:val="36"/>
          <w14:textFill>
            <w14:solidFill>
              <w14:schemeClr w14:val="tx1"/>
            </w14:solidFill>
          </w14:textFill>
        </w:rPr>
        <w:t>章</w:t>
      </w:r>
      <w:r>
        <w:rPr>
          <w:rFonts w:hint="eastAsia" w:ascii="黑体" w:eastAsia="黑体"/>
          <w:bCs/>
          <w:color w:val="000000" w:themeColor="text1"/>
          <w:sz w:val="36"/>
          <w:szCs w:val="36"/>
          <w:lang w:val="en-US" w:eastAsia="zh-CN"/>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供应商须知</w:t>
      </w:r>
    </w:p>
    <w:p>
      <w:pPr>
        <w:rPr>
          <w:rFonts w:ascii="黑体" w:eastAsia="黑体"/>
          <w:bCs/>
          <w:color w:val="000000" w:themeColor="text1"/>
          <w:sz w:val="36"/>
          <w:szCs w:val="36"/>
          <w14:textFill>
            <w14:solidFill>
              <w14:schemeClr w14:val="tx1"/>
            </w14:solidFill>
          </w14:textFill>
        </w:rPr>
      </w:pPr>
    </w:p>
    <w:p>
      <w:pPr>
        <w:tabs>
          <w:tab w:val="left" w:pos="7005"/>
        </w:tabs>
        <w:ind w:firstLine="2142" w:firstLineChars="595"/>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第二章   合同主要条款</w:t>
      </w:r>
    </w:p>
    <w:p>
      <w:pPr>
        <w:rPr>
          <w:rFonts w:ascii="黑体" w:eastAsia="黑体"/>
          <w:bCs/>
          <w:color w:val="000000" w:themeColor="text1"/>
          <w:sz w:val="36"/>
          <w:szCs w:val="36"/>
          <w14:textFill>
            <w14:solidFill>
              <w14:schemeClr w14:val="tx1"/>
            </w14:solidFill>
          </w14:textFill>
        </w:rPr>
      </w:pPr>
    </w:p>
    <w:p>
      <w:pPr>
        <w:ind w:left="2150"/>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 xml:space="preserve">第三章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评审方法</w:t>
      </w:r>
    </w:p>
    <w:p>
      <w:pPr>
        <w:numPr>
          <w:ilvl w:val="0"/>
          <w:numId w:val="0"/>
        </w:numPr>
        <w:rPr>
          <w:rFonts w:hint="eastAsia" w:ascii="黑体" w:hAnsi="黑体" w:eastAsia="黑体"/>
          <w:bCs/>
          <w:color w:val="000000" w:themeColor="text1"/>
          <w:sz w:val="36"/>
          <w:szCs w:val="28"/>
          <w14:textFill>
            <w14:solidFill>
              <w14:schemeClr w14:val="tx1"/>
            </w14:solidFill>
          </w14:textFill>
        </w:rPr>
      </w:pPr>
    </w:p>
    <w:p>
      <w:pPr>
        <w:numPr>
          <w:ilvl w:val="0"/>
          <w:numId w:val="0"/>
        </w:numPr>
        <w:ind w:firstLine="2160" w:firstLineChars="600"/>
      </w:pPr>
      <w:r>
        <w:rPr>
          <w:rFonts w:hint="eastAsia" w:ascii="黑体" w:hAnsi="黑体" w:eastAsia="黑体"/>
          <w:bCs/>
          <w:color w:val="000000" w:themeColor="text1"/>
          <w:sz w:val="36"/>
          <w:szCs w:val="28"/>
          <w:lang w:val="en-US" w:eastAsia="zh-CN"/>
          <w14:textFill>
            <w14:solidFill>
              <w14:schemeClr w14:val="tx1"/>
            </w14:solidFill>
          </w14:textFill>
        </w:rPr>
        <w:t xml:space="preserve">第四章   </w:t>
      </w:r>
      <w:r>
        <w:rPr>
          <w:rFonts w:hint="eastAsia" w:ascii="黑体" w:hAnsi="黑体" w:eastAsia="黑体"/>
          <w:bCs/>
          <w:color w:val="000000" w:themeColor="text1"/>
          <w:sz w:val="36"/>
          <w:szCs w:val="28"/>
          <w14:textFill>
            <w14:solidFill>
              <w14:schemeClr w14:val="tx1"/>
            </w14:solidFill>
          </w14:textFill>
        </w:rPr>
        <w:t>报价说明</w:t>
      </w:r>
    </w:p>
    <w:p>
      <w:pPr>
        <w:ind w:left="2150"/>
        <w:rPr>
          <w:rFonts w:hint="eastAsia" w:ascii="黑体" w:eastAsia="黑体"/>
          <w:bCs/>
          <w:color w:val="000000" w:themeColor="text1"/>
          <w:sz w:val="36"/>
          <w:szCs w:val="36"/>
          <w14:textFill>
            <w14:solidFill>
              <w14:schemeClr w14:val="tx1"/>
            </w14:solidFill>
          </w14:textFill>
        </w:rPr>
      </w:pPr>
    </w:p>
    <w:p>
      <w:pPr>
        <w:numPr>
          <w:ilvl w:val="0"/>
          <w:numId w:val="1"/>
        </w:numPr>
        <w:ind w:left="2150"/>
        <w:rPr>
          <w:rFonts w:hint="eastAsia"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lang w:val="en-US" w:eastAsia="zh-CN"/>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投标保证金要求</w:t>
      </w:r>
    </w:p>
    <w:p>
      <w:pPr>
        <w:numPr>
          <w:ilvl w:val="0"/>
          <w:numId w:val="0"/>
        </w:numPr>
        <w:ind w:firstLine="720" w:firstLineChars="200"/>
        <w:rPr>
          <w:rFonts w:hint="eastAsia" w:ascii="黑体" w:hAnsi="黑体" w:eastAsia="黑体"/>
          <w:bCs/>
          <w:color w:val="000000" w:themeColor="text1"/>
          <w:sz w:val="36"/>
          <w:szCs w:val="28"/>
          <w14:textFill>
            <w14:solidFill>
              <w14:schemeClr w14:val="tx1"/>
            </w14:solidFill>
          </w14:textFill>
        </w:rPr>
      </w:pPr>
    </w:p>
    <w:p>
      <w:pPr>
        <w:numPr>
          <w:ilvl w:val="0"/>
          <w:numId w:val="0"/>
        </w:numPr>
        <w:ind w:firstLine="2160" w:firstLineChars="600"/>
        <w:rPr>
          <w:rFonts w:ascii="黑体" w:hAnsi="黑体" w:eastAsia="黑体"/>
          <w:bCs/>
          <w:color w:val="000000" w:themeColor="text1"/>
          <w:sz w:val="36"/>
          <w:szCs w:val="28"/>
          <w14:textFill>
            <w14:solidFill>
              <w14:schemeClr w14:val="tx1"/>
            </w14:solidFill>
          </w14:textFill>
        </w:rPr>
      </w:pPr>
      <w:r>
        <w:rPr>
          <w:rFonts w:hint="eastAsia" w:ascii="黑体" w:hAnsi="黑体" w:eastAsia="黑体"/>
          <w:bCs/>
          <w:color w:val="000000" w:themeColor="text1"/>
          <w:sz w:val="36"/>
          <w:szCs w:val="28"/>
          <w14:textFill>
            <w14:solidFill>
              <w14:schemeClr w14:val="tx1"/>
            </w14:solidFill>
          </w14:textFill>
        </w:rPr>
        <w:t>第</w:t>
      </w:r>
      <w:r>
        <w:rPr>
          <w:rFonts w:hint="eastAsia" w:ascii="黑体" w:hAnsi="黑体" w:eastAsia="黑体"/>
          <w:bCs/>
          <w:color w:val="000000" w:themeColor="text1"/>
          <w:sz w:val="36"/>
          <w:szCs w:val="28"/>
          <w:lang w:val="en-US" w:eastAsia="zh-CN"/>
          <w14:textFill>
            <w14:solidFill>
              <w14:schemeClr w14:val="tx1"/>
            </w14:solidFill>
          </w14:textFill>
        </w:rPr>
        <w:t>六</w:t>
      </w:r>
      <w:r>
        <w:rPr>
          <w:rFonts w:hint="eastAsia" w:ascii="黑体" w:hAnsi="黑体" w:eastAsia="黑体"/>
          <w:bCs/>
          <w:color w:val="000000" w:themeColor="text1"/>
          <w:sz w:val="36"/>
          <w:szCs w:val="28"/>
          <w14:textFill>
            <w14:solidFill>
              <w14:schemeClr w14:val="tx1"/>
            </w14:solidFill>
          </w14:textFill>
        </w:rPr>
        <w:t xml:space="preserve">章  </w:t>
      </w:r>
      <w:r>
        <w:rPr>
          <w:rFonts w:ascii="黑体" w:hAnsi="黑体" w:eastAsia="黑体"/>
          <w:bCs/>
          <w:color w:val="000000" w:themeColor="text1"/>
          <w:sz w:val="36"/>
          <w:szCs w:val="28"/>
          <w14:textFill>
            <w14:solidFill>
              <w14:schemeClr w14:val="tx1"/>
            </w14:solidFill>
          </w14:textFill>
        </w:rPr>
        <w:t xml:space="preserve"> </w:t>
      </w:r>
      <w:r>
        <w:rPr>
          <w:rFonts w:hint="eastAsia" w:ascii="黑体" w:hAnsi="黑体" w:eastAsia="黑体"/>
          <w:bCs/>
          <w:color w:val="000000" w:themeColor="text1"/>
          <w:sz w:val="36"/>
          <w:szCs w:val="28"/>
          <w14:textFill>
            <w14:solidFill>
              <w14:schemeClr w14:val="tx1"/>
            </w14:solidFill>
          </w14:textFill>
        </w:rPr>
        <w:t>投标</w:t>
      </w:r>
      <w:r>
        <w:rPr>
          <w:rFonts w:ascii="黑体" w:hAnsi="黑体" w:eastAsia="黑体"/>
          <w:bCs/>
          <w:color w:val="000000" w:themeColor="text1"/>
          <w:sz w:val="36"/>
          <w:szCs w:val="28"/>
          <w14:textFill>
            <w14:solidFill>
              <w14:schemeClr w14:val="tx1"/>
            </w14:solidFill>
          </w14:textFill>
        </w:rPr>
        <w:t>文件</w:t>
      </w:r>
      <w:r>
        <w:rPr>
          <w:rFonts w:hint="eastAsia" w:ascii="黑体" w:hAnsi="黑体" w:eastAsia="黑体"/>
          <w:bCs/>
          <w:color w:val="000000" w:themeColor="text1"/>
          <w:sz w:val="36"/>
          <w:szCs w:val="28"/>
          <w14:textFill>
            <w14:solidFill>
              <w14:schemeClr w14:val="tx1"/>
            </w14:solidFill>
          </w14:textFill>
        </w:rPr>
        <w:t>要求</w:t>
      </w:r>
    </w:p>
    <w:p>
      <w:pPr>
        <w:ind w:firstLine="2160" w:firstLineChars="600"/>
        <w:rPr>
          <w:rFonts w:ascii="黑体" w:hAnsi="黑体" w:eastAsia="黑体"/>
          <w:bCs/>
          <w:color w:val="000000" w:themeColor="text1"/>
          <w:sz w:val="36"/>
          <w:szCs w:val="28"/>
          <w14:textFill>
            <w14:solidFill>
              <w14:schemeClr w14:val="tx1"/>
            </w14:solidFill>
          </w14:textFill>
        </w:rPr>
      </w:pPr>
    </w:p>
    <w:p>
      <w:pPr>
        <w:ind w:firstLine="1680" w:firstLineChars="600"/>
        <w:rPr>
          <w:rFonts w:ascii="宋体" w:hAnsi="宋体"/>
          <w:bCs/>
          <w:color w:val="000000" w:themeColor="text1"/>
          <w:sz w:val="28"/>
          <w:szCs w:val="28"/>
          <w14:textFill>
            <w14:solidFill>
              <w14:schemeClr w14:val="tx1"/>
            </w14:solidFill>
          </w14:textFill>
        </w:rPr>
      </w:pPr>
    </w:p>
    <w:p>
      <w:pPr>
        <w:ind w:firstLine="1680" w:firstLineChars="600"/>
        <w:rPr>
          <w:rFonts w:ascii="宋体" w:hAnsi="宋体"/>
          <w:bCs/>
          <w:color w:val="000000" w:themeColor="text1"/>
          <w:sz w:val="28"/>
          <w:szCs w:val="28"/>
          <w14:textFill>
            <w14:solidFill>
              <w14:schemeClr w14:val="tx1"/>
            </w14:solidFill>
          </w14:textFill>
        </w:rPr>
      </w:pPr>
    </w:p>
    <w:p>
      <w:pPr>
        <w:rPr>
          <w:rFonts w:ascii="黑体" w:eastAsia="黑体"/>
          <w:bCs/>
          <w:color w:val="000000" w:themeColor="text1"/>
          <w:sz w:val="36"/>
          <w:szCs w:val="36"/>
          <w14:textFill>
            <w14:solidFill>
              <w14:schemeClr w14:val="tx1"/>
            </w14:solidFill>
          </w14:textFill>
        </w:rPr>
      </w:pPr>
    </w:p>
    <w:p>
      <w:pPr>
        <w:rPr>
          <w:rFonts w:ascii="黑体" w:eastAsia="黑体"/>
          <w:b/>
          <w:bCs/>
          <w:color w:val="000000" w:themeColor="text1"/>
          <w:sz w:val="36"/>
          <w:szCs w:val="36"/>
          <w14:textFill>
            <w14:solidFill>
              <w14:schemeClr w14:val="tx1"/>
            </w14:solidFill>
          </w14:textFill>
        </w:rPr>
      </w:pPr>
    </w:p>
    <w:p>
      <w:pPr>
        <w:rPr>
          <w:rFonts w:ascii="黑体" w:eastAsia="黑体"/>
          <w:b/>
          <w:bCs/>
          <w:color w:val="000000" w:themeColor="text1"/>
          <w:sz w:val="36"/>
          <w:szCs w:val="36"/>
          <w14:textFill>
            <w14:solidFill>
              <w14:schemeClr w14:val="tx1"/>
            </w14:solidFill>
          </w14:textFill>
        </w:rPr>
      </w:pPr>
    </w:p>
    <w:p>
      <w:pPr>
        <w:keepNext w:val="0"/>
        <w:keepLines w:val="0"/>
        <w:pageBreakBefore w:val="0"/>
        <w:kinsoku/>
        <w:overflowPunct/>
        <w:topLinePunct w:val="0"/>
        <w:bidi w:val="0"/>
        <w:snapToGrid/>
        <w:spacing w:line="360" w:lineRule="auto"/>
        <w:jc w:val="center"/>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kinsoku/>
        <w:overflowPunct/>
        <w:topLinePunct w:val="0"/>
        <w:bidi w:val="0"/>
        <w:snapToGrid/>
        <w:spacing w:line="360" w:lineRule="auto"/>
        <w:jc w:val="center"/>
        <w:rPr>
          <w:rFonts w:hint="eastAsia" w:ascii="黑体" w:hAnsi="黑体" w:eastAsia="黑体"/>
          <w:b/>
          <w:bCs/>
          <w:color w:val="000000" w:themeColor="text1"/>
          <w:sz w:val="36"/>
          <w:szCs w:val="36"/>
          <w14:textFill>
            <w14:solidFill>
              <w14:schemeClr w14:val="tx1"/>
            </w14:solidFill>
          </w14:textFill>
        </w:rPr>
        <w:sectPr>
          <w:footerReference r:id="rId4" w:type="default"/>
          <w:pgSz w:w="11906" w:h="16838"/>
          <w:pgMar w:top="1440" w:right="1134" w:bottom="1440" w:left="1134" w:header="851" w:footer="992" w:gutter="0"/>
          <w:pgNumType w:start="1"/>
          <w:cols w:space="720" w:num="1"/>
          <w:docGrid w:type="lines" w:linePitch="312" w:charSpace="0"/>
        </w:sectPr>
      </w:pPr>
    </w:p>
    <w:p>
      <w:pPr>
        <w:pStyle w:val="2"/>
        <w:rPr>
          <w:rFonts w:hint="eastAsia"/>
        </w:rPr>
      </w:pPr>
    </w:p>
    <w:p>
      <w:pPr>
        <w:keepNext w:val="0"/>
        <w:keepLines w:val="0"/>
        <w:pageBreakBefore w:val="0"/>
        <w:kinsoku/>
        <w:overflowPunct/>
        <w:topLinePunct w:val="0"/>
        <w:bidi w:val="0"/>
        <w:snapToGrid/>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第一章 供应商须知</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lang w:val="en-US" w:eastAsia="zh-CN"/>
          <w14:textFill>
            <w14:solidFill>
              <w14:schemeClr w14:val="tx1"/>
            </w14:solidFill>
          </w14:textFill>
        </w:rPr>
      </w:pP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辽宁中糖物流有限公司</w:t>
      </w:r>
      <w:r>
        <w:rPr>
          <w:rFonts w:hint="eastAsia" w:ascii="仿宋_GB2312" w:hAnsi="宋体" w:eastAsia="仿宋_GB2312"/>
          <w:bCs/>
          <w:color w:val="000000" w:themeColor="text1"/>
          <w:sz w:val="30"/>
          <w:szCs w:val="30"/>
          <w14:textFill>
            <w14:solidFill>
              <w14:schemeClr w14:val="tx1"/>
            </w14:solidFill>
          </w14:textFill>
        </w:rPr>
        <w:t>需采购</w:t>
      </w:r>
      <w:r>
        <w:rPr>
          <w:rFonts w:hint="eastAsia" w:ascii="仿宋_GB2312" w:hAnsi="宋体" w:eastAsia="仿宋_GB2312"/>
          <w:bCs/>
          <w:color w:val="000000" w:themeColor="text1"/>
          <w:sz w:val="30"/>
          <w:szCs w:val="30"/>
          <w:lang w:val="en-US" w:eastAsia="zh-CN"/>
          <w14:textFill>
            <w14:solidFill>
              <w14:schemeClr w14:val="tx1"/>
            </w14:solidFill>
          </w14:textFill>
        </w:rPr>
        <w:t>中央储备糖机械化</w:t>
      </w:r>
      <w:r>
        <w:rPr>
          <w:rFonts w:hint="eastAsia" w:ascii="仿宋_GB2312" w:hAnsi="宋体" w:eastAsia="仿宋_GB2312"/>
          <w:bCs/>
          <w:color w:val="000000" w:themeColor="text1"/>
          <w:sz w:val="30"/>
          <w:szCs w:val="30"/>
          <w14:textFill>
            <w14:solidFill>
              <w14:schemeClr w14:val="tx1"/>
            </w14:solidFill>
          </w14:textFill>
        </w:rPr>
        <w:t>出库装卸服务，需求如下：</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highlight w:val="none"/>
          <w:lang w:val="en-US" w:eastAsia="zh-CN"/>
          <w14:textFill>
            <w14:solidFill>
              <w14:schemeClr w14:val="tx1"/>
            </w14:solidFill>
          </w14:textFill>
        </w:rPr>
      </w:pPr>
      <w:r>
        <w:rPr>
          <w:rFonts w:hint="eastAsia" w:ascii="仿宋_GB2312" w:hAnsi="宋体" w:eastAsia="仿宋_GB2312"/>
          <w:bCs/>
          <w:color w:val="000000" w:themeColor="text1"/>
          <w:sz w:val="30"/>
          <w:szCs w:val="30"/>
          <w:highlight w:val="none"/>
          <w:lang w:val="en-US" w:eastAsia="zh-CN"/>
          <w14:textFill>
            <w14:solidFill>
              <w14:schemeClr w14:val="tx1"/>
            </w14:solidFill>
          </w14:textFill>
        </w:rPr>
        <w:t>中央储备糖数量约1.56万吨，采用机械化出库，即：挖掘机进库对糖垛进行扒垛，由铲车铲挖散糖，卸至库外运输车辆的作业模式。此次采购的装卸服务内容包括：机械化操作设备（包括挖掘机、装载机或其它适用机械车辆设备）拆垛、装车、人工散糖清扫、垫仓板整理归置等。此次采购计划暂设立不少于1个出库工作班组同时作业，每班需配备1台挖掘机、1台装载机和不少于2名装卸工（具体人数要求做到当日事当日毕，人数不设上限），要求日均出库量500吨及以上。</w:t>
      </w:r>
    </w:p>
    <w:p>
      <w:pPr>
        <w:keepNext w:val="0"/>
        <w:keepLines w:val="0"/>
        <w:pageBreakBefore w:val="0"/>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lang w:eastAsia="zh-CN"/>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一、本次采购定价形式采用</w:t>
      </w:r>
      <w:r>
        <w:rPr>
          <w:rFonts w:hint="eastAsia" w:ascii="黑体" w:hAnsi="黑体" w:eastAsia="黑体"/>
          <w:bCs/>
          <w:color w:val="000000" w:themeColor="text1"/>
          <w:sz w:val="30"/>
          <w:szCs w:val="30"/>
          <w:lang w:val="en-US" w:eastAsia="zh-CN"/>
          <w14:textFill>
            <w14:solidFill>
              <w14:schemeClr w14:val="tx1"/>
            </w14:solidFill>
          </w14:textFill>
        </w:rPr>
        <w:t>EPS线上</w:t>
      </w:r>
      <w:r>
        <w:rPr>
          <w:rFonts w:hint="eastAsia" w:ascii="黑体" w:hAnsi="黑体" w:eastAsia="黑体"/>
          <w:bCs/>
          <w:color w:val="000000" w:themeColor="text1"/>
          <w:sz w:val="30"/>
          <w:szCs w:val="30"/>
          <w14:textFill>
            <w14:solidFill>
              <w14:schemeClr w14:val="tx1"/>
            </w14:solidFill>
          </w14:textFill>
        </w:rPr>
        <w:t>询比</w:t>
      </w:r>
      <w:r>
        <w:rPr>
          <w:rFonts w:hint="eastAsia" w:ascii="黑体" w:hAnsi="黑体" w:eastAsia="黑体"/>
          <w:bCs/>
          <w:color w:val="000000" w:themeColor="text1"/>
          <w:sz w:val="30"/>
          <w:szCs w:val="30"/>
          <w:lang w:val="en-US" w:eastAsia="zh-CN"/>
          <w14:textFill>
            <w14:solidFill>
              <w14:schemeClr w14:val="tx1"/>
            </w14:solidFill>
          </w14:textFill>
        </w:rPr>
        <w:t>采购</w:t>
      </w:r>
      <w:r>
        <w:rPr>
          <w:rFonts w:ascii="黑体" w:hAnsi="黑体" w:eastAsia="黑体"/>
          <w:bCs/>
          <w:color w:val="000000" w:themeColor="text1"/>
          <w:sz w:val="30"/>
          <w:szCs w:val="30"/>
          <w14:textFill>
            <w14:solidFill>
              <w14:schemeClr w14:val="tx1"/>
            </w14:solidFill>
          </w14:textFill>
        </w:rPr>
        <w:t>方式</w:t>
      </w:r>
      <w:r>
        <w:rPr>
          <w:rFonts w:hint="eastAsia" w:ascii="黑体" w:hAnsi="黑体" w:eastAsia="黑体"/>
          <w:bCs/>
          <w:color w:val="000000" w:themeColor="text1"/>
          <w:sz w:val="30"/>
          <w:szCs w:val="30"/>
          <w:lang w:eastAsia="zh-CN"/>
          <w14:textFill>
            <w14:solidFill>
              <w14:schemeClr w14:val="tx1"/>
            </w14:solidFill>
          </w14:textFill>
        </w:rPr>
        <w:t>。</w:t>
      </w:r>
    </w:p>
    <w:p>
      <w:pPr>
        <w:keepNext w:val="0"/>
        <w:keepLines w:val="0"/>
        <w:pageBreakBefore w:val="0"/>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lang w:eastAsia="zh-CN"/>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二、供应商可以通过公司内外人员介绍、自荐、被邀请等多种方式报名参与</w:t>
      </w:r>
      <w:r>
        <w:rPr>
          <w:rFonts w:hint="eastAsia" w:ascii="黑体" w:hAnsi="黑体" w:eastAsia="黑体"/>
          <w:bCs/>
          <w:color w:val="000000" w:themeColor="text1"/>
          <w:sz w:val="30"/>
          <w:szCs w:val="30"/>
          <w:lang w:eastAsia="zh-CN"/>
          <w14:textFill>
            <w14:solidFill>
              <w14:schemeClr w14:val="tx1"/>
            </w14:solidFill>
          </w14:textFill>
        </w:rPr>
        <w:t>。</w:t>
      </w:r>
    </w:p>
    <w:p>
      <w:pPr>
        <w:keepNext w:val="0"/>
        <w:keepLines w:val="0"/>
        <w:pageBreakBefore w:val="0"/>
        <w:kinsoku/>
        <w:overflowPunct/>
        <w:topLinePunct w:val="0"/>
        <w:bidi w:val="0"/>
        <w:snapToGrid/>
        <w:spacing w:line="360" w:lineRule="auto"/>
        <w:ind w:firstLine="600" w:firstLineChars="200"/>
        <w:jc w:val="both"/>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三、供应商</w:t>
      </w:r>
      <w:r>
        <w:rPr>
          <w:rFonts w:ascii="黑体" w:hAnsi="黑体" w:eastAsia="黑体"/>
          <w:bCs/>
          <w:color w:val="000000" w:themeColor="text1"/>
          <w:sz w:val="30"/>
          <w:szCs w:val="30"/>
          <w14:textFill>
            <w14:solidFill>
              <w14:schemeClr w14:val="tx1"/>
            </w14:solidFill>
          </w14:textFill>
        </w:rPr>
        <w:t>资质要求</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一</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投标人应具有独立法人资格，营业执照经营范围须具有货物装卸搬运服务，注册资本在200万元及以上；</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二</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单位负责人为同一人或者存在直接控股、管理关系的不同供应商，不得同时参与同一采购项目相同标段的采购活动；</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三</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供应商不得存在下列情形之一：</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1.</w:t>
      </w:r>
      <w:r>
        <w:rPr>
          <w:rFonts w:hint="eastAsia" w:ascii="仿宋_GB2312" w:hAnsi="宋体" w:eastAsia="仿宋_GB2312"/>
          <w:bCs/>
          <w:color w:val="000000" w:themeColor="text1"/>
          <w:sz w:val="30"/>
          <w:szCs w:val="30"/>
          <w14:textFill>
            <w14:solidFill>
              <w14:schemeClr w14:val="tx1"/>
            </w14:solidFill>
          </w14:textFill>
        </w:rPr>
        <w:t>处于被责令停产停业、暂扣或者吊销执照、暂扣或者吊销许可证、吊销资质证书状态；</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2.</w:t>
      </w:r>
      <w:r>
        <w:rPr>
          <w:rFonts w:hint="eastAsia" w:ascii="仿宋_GB2312" w:hAnsi="宋体" w:eastAsia="仿宋_GB2312"/>
          <w:bCs/>
          <w:color w:val="000000" w:themeColor="text1"/>
          <w:sz w:val="30"/>
          <w:szCs w:val="30"/>
          <w14:textFill>
            <w14:solidFill>
              <w14:schemeClr w14:val="tx1"/>
            </w14:solidFill>
          </w14:textFill>
        </w:rPr>
        <w:t>进入清算程序，或被宣告破产，或其他丧失履约能力的情形；</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lang w:val="en-US" w:eastAsia="zh-CN"/>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3.</w:t>
      </w:r>
      <w:r>
        <w:rPr>
          <w:rFonts w:hint="eastAsia" w:ascii="仿宋_GB2312" w:hAnsi="宋体" w:eastAsia="仿宋_GB2312"/>
          <w:bCs/>
          <w:color w:val="000000" w:themeColor="text1"/>
          <w:sz w:val="30"/>
          <w:szCs w:val="30"/>
          <w14:textFill>
            <w14:solidFill>
              <w14:schemeClr w14:val="tx1"/>
            </w14:solidFill>
          </w14:textFill>
        </w:rPr>
        <w:t>参加本次采购活动前</w:t>
      </w:r>
      <w:r>
        <w:rPr>
          <w:rFonts w:hint="eastAsia" w:ascii="仿宋_GB2312" w:hAnsi="宋体" w:eastAsia="仿宋_GB2312"/>
          <w:bCs/>
          <w:color w:val="000000" w:themeColor="text1"/>
          <w:sz w:val="30"/>
          <w:szCs w:val="30"/>
          <w:lang w:val="en-US" w:eastAsia="zh-CN"/>
          <w14:textFill>
            <w14:solidFill>
              <w14:schemeClr w14:val="tx1"/>
            </w14:solidFill>
          </w14:textFill>
        </w:rPr>
        <w:t>3年</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20</w:t>
      </w:r>
      <w:r>
        <w:rPr>
          <w:rFonts w:hint="eastAsia" w:ascii="仿宋_GB2312" w:hAnsi="宋体" w:eastAsia="仿宋_GB2312"/>
          <w:bCs/>
          <w:color w:val="000000" w:themeColor="text1"/>
          <w:sz w:val="30"/>
          <w:szCs w:val="30"/>
          <w:lang w:val="en-US" w:eastAsia="zh-CN"/>
          <w14:textFill>
            <w14:solidFill>
              <w14:schemeClr w14:val="tx1"/>
            </w14:solidFill>
          </w14:textFill>
        </w:rPr>
        <w:t>20</w:t>
      </w:r>
      <w:r>
        <w:rPr>
          <w:rFonts w:hint="eastAsia" w:ascii="仿宋_GB2312" w:hAnsi="宋体" w:eastAsia="仿宋_GB2312"/>
          <w:bCs/>
          <w:color w:val="000000" w:themeColor="text1"/>
          <w:sz w:val="30"/>
          <w:szCs w:val="30"/>
          <w14:textFill>
            <w14:solidFill>
              <w14:schemeClr w14:val="tx1"/>
            </w14:solidFill>
          </w14:textFill>
        </w:rPr>
        <w:t>年1月1日至响应截止时间日期</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不得被列入失信惩戒对象；</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4.</w:t>
      </w:r>
      <w:r>
        <w:rPr>
          <w:rFonts w:hint="eastAsia" w:ascii="仿宋_GB2312" w:hAnsi="宋体" w:eastAsia="仿宋_GB2312"/>
          <w:bCs/>
          <w:color w:val="000000" w:themeColor="text1"/>
          <w:sz w:val="30"/>
          <w:szCs w:val="30"/>
          <w14:textFill>
            <w14:solidFill>
              <w14:schemeClr w14:val="tx1"/>
            </w14:solidFill>
          </w14:textFill>
        </w:rPr>
        <w:t>参加本次采购活动前3年（20</w:t>
      </w:r>
      <w:r>
        <w:rPr>
          <w:rFonts w:hint="eastAsia" w:ascii="仿宋_GB2312" w:hAnsi="宋体" w:eastAsia="仿宋_GB2312"/>
          <w:bCs/>
          <w:color w:val="000000" w:themeColor="text1"/>
          <w:sz w:val="30"/>
          <w:szCs w:val="30"/>
          <w:lang w:val="en-US" w:eastAsia="zh-CN"/>
          <w14:textFill>
            <w14:solidFill>
              <w14:schemeClr w14:val="tx1"/>
            </w14:solidFill>
          </w14:textFill>
        </w:rPr>
        <w:t>20</w:t>
      </w:r>
      <w:r>
        <w:rPr>
          <w:rFonts w:hint="eastAsia" w:ascii="仿宋_GB2312" w:hAnsi="宋体" w:eastAsia="仿宋_GB2312"/>
          <w:bCs/>
          <w:color w:val="000000" w:themeColor="text1"/>
          <w:sz w:val="30"/>
          <w:szCs w:val="30"/>
          <w14:textFill>
            <w14:solidFill>
              <w14:schemeClr w14:val="tx1"/>
            </w14:solidFill>
          </w14:textFill>
        </w:rPr>
        <w:t>年1月1日至响应截止时间日期）</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没有骗取中标（成交）和严重违约及重大质量、安全问题。</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lang w:eastAsia="zh-CN"/>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5.</w:t>
      </w:r>
      <w:r>
        <w:rPr>
          <w:rFonts w:hint="eastAsia" w:ascii="仿宋_GB2312" w:hAnsi="宋体" w:eastAsia="仿宋_GB2312"/>
          <w:bCs/>
          <w:color w:val="000000" w:themeColor="text1"/>
          <w:sz w:val="30"/>
          <w:szCs w:val="30"/>
          <w14:textFill>
            <w14:solidFill>
              <w14:schemeClr w14:val="tx1"/>
            </w14:solidFill>
          </w14:textFill>
        </w:rPr>
        <w:t>未被列入中粮糖业供应商黑名单。</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lang w:eastAsia="zh-CN"/>
          <w14:textFill>
            <w14:solidFill>
              <w14:schemeClr w14:val="tx1"/>
            </w14:solidFill>
          </w14:textFill>
        </w:rPr>
      </w:pPr>
      <w:r>
        <w:rPr>
          <w:rFonts w:hint="eastAsia" w:ascii="仿宋_GB2312" w:hAnsi="宋体" w:eastAsia="仿宋_GB2312"/>
          <w:bCs/>
          <w:color w:val="000000" w:themeColor="text1"/>
          <w:sz w:val="30"/>
          <w:szCs w:val="30"/>
          <w:lang w:val="en-US" w:eastAsia="zh-CN"/>
          <w14:textFill>
            <w14:solidFill>
              <w14:schemeClr w14:val="tx1"/>
            </w14:solidFill>
          </w14:textFill>
        </w:rPr>
        <w:t>6.</w:t>
      </w:r>
      <w:r>
        <w:rPr>
          <w:rFonts w:hint="eastAsia" w:ascii="仿宋_GB2312" w:hAnsi="宋体" w:eastAsia="仿宋_GB2312"/>
          <w:bCs/>
          <w:color w:val="000000" w:themeColor="text1"/>
          <w:sz w:val="30"/>
          <w:szCs w:val="30"/>
          <w14:textFill>
            <w14:solidFill>
              <w14:schemeClr w14:val="tx1"/>
            </w14:solidFill>
          </w14:textFill>
        </w:rPr>
        <w:t>未被列入“信用中国”网站www.creditchina.gov.cn）失信被执行人名单、重大税收违法案件当事人名单、中国政府采购网（www.ccgp.gov.cn）政府采购严重违法失信行为记录名单</w:t>
      </w:r>
      <w:r>
        <w:rPr>
          <w:rFonts w:hint="eastAsia" w:ascii="仿宋_GB2312" w:hAnsi="宋体" w:eastAsia="仿宋_GB2312"/>
          <w:bCs/>
          <w:color w:val="000000" w:themeColor="text1"/>
          <w:sz w:val="30"/>
          <w:szCs w:val="30"/>
          <w:lang w:eastAsia="zh-CN"/>
          <w14:textFill>
            <w14:solidFill>
              <w14:schemeClr w14:val="tx1"/>
            </w14:solidFill>
          </w14:textFill>
        </w:rPr>
        <w:t>。</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四</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本项目不接受任何形式的联合体投标。</w:t>
      </w:r>
    </w:p>
    <w:p>
      <w:pPr>
        <w:keepNext w:val="0"/>
        <w:keepLines w:val="0"/>
        <w:pageBreakBefore w:val="0"/>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lang w:eastAsia="zh-CN"/>
          <w14:textFill>
            <w14:solidFill>
              <w14:schemeClr w14:val="tx1"/>
            </w14:solidFill>
          </w14:textFill>
        </w:rPr>
      </w:pPr>
      <w:r>
        <w:rPr>
          <w:rFonts w:hint="eastAsia" w:ascii="黑体" w:hAnsi="黑体" w:eastAsia="黑体"/>
          <w:bCs/>
          <w:color w:val="auto"/>
          <w:sz w:val="30"/>
          <w:szCs w:val="30"/>
        </w:rPr>
        <w:t>四、供应商注册须在</w:t>
      </w:r>
      <w:r>
        <w:rPr>
          <w:rFonts w:hint="eastAsia" w:ascii="黑体" w:hAnsi="黑体" w:eastAsia="黑体"/>
          <w:bCs/>
          <w:color w:val="000000" w:themeColor="text1"/>
          <w:sz w:val="30"/>
          <w:szCs w:val="30"/>
          <w14:textFill>
            <w14:solidFill>
              <w14:schemeClr w14:val="tx1"/>
            </w14:solidFill>
          </w14:textFill>
        </w:rPr>
        <w:t>202</w:t>
      </w:r>
      <w:r>
        <w:rPr>
          <w:rFonts w:hint="eastAsia" w:ascii="黑体" w:hAnsi="黑体" w:eastAsia="黑体"/>
          <w:bCs/>
          <w:color w:val="000000" w:themeColor="text1"/>
          <w:sz w:val="30"/>
          <w:szCs w:val="30"/>
          <w:lang w:val="en-US" w:eastAsia="zh-CN"/>
          <w14:textFill>
            <w14:solidFill>
              <w14:schemeClr w14:val="tx1"/>
            </w14:solidFill>
          </w14:textFill>
        </w:rPr>
        <w:t>3</w:t>
      </w:r>
      <w:r>
        <w:rPr>
          <w:rFonts w:hint="eastAsia" w:ascii="黑体" w:hAnsi="黑体" w:eastAsia="黑体"/>
          <w:bCs/>
          <w:color w:val="000000" w:themeColor="text1"/>
          <w:sz w:val="30"/>
          <w:szCs w:val="30"/>
          <w14:textFill>
            <w14:solidFill>
              <w14:schemeClr w14:val="tx1"/>
            </w14:solidFill>
          </w14:textFill>
        </w:rPr>
        <w:t>年</w:t>
      </w:r>
      <w:r>
        <w:rPr>
          <w:rFonts w:hint="eastAsia" w:ascii="黑体" w:hAnsi="黑体" w:eastAsia="黑体"/>
          <w:bCs/>
          <w:color w:val="000000" w:themeColor="text1"/>
          <w:sz w:val="30"/>
          <w:szCs w:val="30"/>
          <w:lang w:val="en-US" w:eastAsia="zh-CN"/>
          <w14:textFill>
            <w14:solidFill>
              <w14:schemeClr w14:val="tx1"/>
            </w14:solidFill>
          </w14:textFill>
        </w:rPr>
        <w:t>5</w:t>
      </w:r>
      <w:r>
        <w:rPr>
          <w:rFonts w:hint="eastAsia" w:ascii="黑体" w:hAnsi="黑体" w:eastAsia="黑体"/>
          <w:bCs/>
          <w:color w:val="000000" w:themeColor="text1"/>
          <w:sz w:val="30"/>
          <w:szCs w:val="30"/>
          <w14:textFill>
            <w14:solidFill>
              <w14:schemeClr w14:val="tx1"/>
            </w14:solidFill>
          </w14:textFill>
        </w:rPr>
        <w:t>月</w:t>
      </w:r>
      <w:r>
        <w:rPr>
          <w:rFonts w:hint="eastAsia" w:ascii="黑体" w:hAnsi="黑体" w:eastAsia="黑体"/>
          <w:bCs/>
          <w:color w:val="000000" w:themeColor="text1"/>
          <w:sz w:val="30"/>
          <w:szCs w:val="30"/>
          <w:lang w:val="en-US" w:eastAsia="zh-CN"/>
          <w14:textFill>
            <w14:solidFill>
              <w14:schemeClr w14:val="tx1"/>
            </w14:solidFill>
          </w14:textFill>
        </w:rPr>
        <w:t>20</w:t>
      </w:r>
      <w:r>
        <w:rPr>
          <w:rFonts w:hint="eastAsia" w:ascii="黑体" w:hAnsi="黑体" w:eastAsia="黑体"/>
          <w:bCs/>
          <w:color w:val="000000" w:themeColor="text1"/>
          <w:sz w:val="30"/>
          <w:szCs w:val="30"/>
          <w14:textFill>
            <w14:solidFill>
              <w14:schemeClr w14:val="tx1"/>
            </w14:solidFill>
          </w14:textFill>
        </w:rPr>
        <w:t>日</w:t>
      </w:r>
      <w:r>
        <w:rPr>
          <w:rFonts w:hint="eastAsia" w:ascii="黑体" w:hAnsi="黑体" w:eastAsia="黑体"/>
          <w:bCs/>
          <w:color w:val="000000" w:themeColor="text1"/>
          <w:sz w:val="30"/>
          <w:szCs w:val="30"/>
          <w:lang w:val="en-US" w:eastAsia="zh-CN"/>
          <w14:textFill>
            <w14:solidFill>
              <w14:schemeClr w14:val="tx1"/>
            </w14:solidFill>
          </w14:textFill>
        </w:rPr>
        <w:t>17时</w:t>
      </w:r>
      <w:r>
        <w:rPr>
          <w:rFonts w:hint="eastAsia" w:ascii="黑体" w:hAnsi="黑体" w:eastAsia="黑体"/>
          <w:bCs/>
          <w:color w:val="000000" w:themeColor="text1"/>
          <w:sz w:val="30"/>
          <w:szCs w:val="30"/>
          <w14:textFill>
            <w14:solidFill>
              <w14:schemeClr w14:val="tx1"/>
            </w14:solidFill>
          </w14:textFill>
        </w:rPr>
        <w:t>前到中粮糖业采购平台进行注册登记报名，通过审核的供应商才能够在EPS系统内进行查看公告等业务操作；采购平台网址：</w:t>
      </w:r>
      <w:r>
        <w:rPr>
          <w:sz w:val="30"/>
          <w:szCs w:val="30"/>
          <w:u w:val="single"/>
        </w:rPr>
        <w:fldChar w:fldCharType="begin"/>
      </w:r>
      <w:r>
        <w:rPr>
          <w:sz w:val="30"/>
          <w:szCs w:val="30"/>
          <w:u w:val="single"/>
        </w:rPr>
        <w:instrText xml:space="preserve"> HYPERLINK "http://eps.cofcotunhe.com" </w:instrText>
      </w:r>
      <w:r>
        <w:rPr>
          <w:sz w:val="30"/>
          <w:szCs w:val="30"/>
          <w:u w:val="single"/>
        </w:rPr>
        <w:fldChar w:fldCharType="separate"/>
      </w:r>
      <w:r>
        <w:rPr>
          <w:rFonts w:hint="eastAsia" w:ascii="黑体" w:hAnsi="黑体" w:eastAsia="黑体"/>
          <w:sz w:val="30"/>
          <w:szCs w:val="30"/>
          <w:u w:val="single"/>
        </w:rPr>
        <w:t>http://eps.cofcotunhe.com</w:t>
      </w:r>
      <w:r>
        <w:rPr>
          <w:rFonts w:hint="eastAsia" w:ascii="黑体" w:hAnsi="黑体" w:eastAsia="黑体"/>
          <w:sz w:val="30"/>
          <w:szCs w:val="30"/>
          <w:u w:val="single"/>
        </w:rPr>
        <w:fldChar w:fldCharType="end"/>
      </w:r>
      <w:r>
        <w:rPr>
          <w:rFonts w:hint="eastAsia" w:ascii="黑体" w:hAnsi="黑体" w:eastAsia="黑体"/>
          <w:sz w:val="30"/>
          <w:szCs w:val="30"/>
          <w:u w:val="single"/>
          <w:lang w:eastAsia="zh-CN"/>
        </w:rPr>
        <w:t>。</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pPr>
        <w:keepNext w:val="0"/>
        <w:keepLines w:val="0"/>
        <w:pageBreakBefore w:val="0"/>
        <w:tabs>
          <w:tab w:val="left" w:pos="284"/>
        </w:tabs>
        <w:kinsoku/>
        <w:overflowPunct/>
        <w:topLinePunct w:val="0"/>
        <w:bidi w:val="0"/>
        <w:snapToGrid/>
        <w:spacing w:line="360" w:lineRule="auto"/>
        <w:ind w:firstLine="600" w:firstLineChars="200"/>
        <w:jc w:val="both"/>
        <w:rPr>
          <w:rFonts w:hint="eastAsia" w:ascii="仿宋_GB2312" w:eastAsia="黑体" w:hAnsiTheme="minorEastAsia"/>
          <w:bCs/>
          <w:color w:val="000000" w:themeColor="text1"/>
          <w:sz w:val="30"/>
          <w:szCs w:val="30"/>
          <w:lang w:eastAsia="zh-CN"/>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五、</w:t>
      </w:r>
      <w:bookmarkStart w:id="8" w:name="_GoBack"/>
      <w:r>
        <w:rPr>
          <w:rFonts w:hint="eastAsia" w:ascii="黑体" w:hAnsi="黑体" w:eastAsia="黑体"/>
          <w:bCs/>
          <w:color w:val="000000" w:themeColor="text1"/>
          <w:sz w:val="30"/>
          <w:szCs w:val="30"/>
          <w14:textFill>
            <w14:solidFill>
              <w14:schemeClr w14:val="tx1"/>
            </w14:solidFill>
          </w14:textFill>
        </w:rPr>
        <w:t>初审通过的供应商于</w:t>
      </w:r>
      <w:r>
        <w:rPr>
          <w:rFonts w:ascii="黑体" w:hAnsi="黑体" w:eastAsia="黑体"/>
          <w:bCs/>
          <w:color w:val="000000" w:themeColor="text1"/>
          <w:sz w:val="30"/>
          <w:szCs w:val="30"/>
          <w14:textFill>
            <w14:solidFill>
              <w14:schemeClr w14:val="tx1"/>
            </w14:solidFill>
          </w14:textFill>
        </w:rPr>
        <w:t>202</w:t>
      </w:r>
      <w:r>
        <w:rPr>
          <w:rFonts w:hint="eastAsia" w:ascii="黑体" w:hAnsi="黑体" w:eastAsia="黑体"/>
          <w:bCs/>
          <w:color w:val="000000" w:themeColor="text1"/>
          <w:sz w:val="30"/>
          <w:szCs w:val="30"/>
          <w:lang w:val="en-US" w:eastAsia="zh-CN"/>
          <w14:textFill>
            <w14:solidFill>
              <w14:schemeClr w14:val="tx1"/>
            </w14:solidFill>
          </w14:textFill>
        </w:rPr>
        <w:t>3</w:t>
      </w:r>
      <w:r>
        <w:rPr>
          <w:rFonts w:hint="eastAsia" w:ascii="黑体" w:hAnsi="黑体" w:eastAsia="黑体"/>
          <w:bCs/>
          <w:color w:val="000000" w:themeColor="text1"/>
          <w:sz w:val="30"/>
          <w:szCs w:val="30"/>
          <w14:textFill>
            <w14:solidFill>
              <w14:schemeClr w14:val="tx1"/>
            </w14:solidFill>
          </w14:textFill>
        </w:rPr>
        <w:t>年</w:t>
      </w:r>
      <w:r>
        <w:rPr>
          <w:rFonts w:hint="eastAsia" w:ascii="黑体" w:hAnsi="黑体" w:eastAsia="黑体"/>
          <w:bCs/>
          <w:color w:val="000000" w:themeColor="text1"/>
          <w:sz w:val="30"/>
          <w:szCs w:val="30"/>
          <w:lang w:val="en-US" w:eastAsia="zh-CN"/>
          <w14:textFill>
            <w14:solidFill>
              <w14:schemeClr w14:val="tx1"/>
            </w14:solidFill>
          </w14:textFill>
        </w:rPr>
        <w:t>5</w:t>
      </w:r>
      <w:r>
        <w:rPr>
          <w:rFonts w:hint="eastAsia" w:ascii="黑体" w:hAnsi="黑体" w:eastAsia="黑体"/>
          <w:bCs/>
          <w:color w:val="000000" w:themeColor="text1"/>
          <w:sz w:val="30"/>
          <w:szCs w:val="30"/>
          <w14:textFill>
            <w14:solidFill>
              <w14:schemeClr w14:val="tx1"/>
            </w14:solidFill>
          </w14:textFill>
        </w:rPr>
        <w:t>月</w:t>
      </w:r>
      <w:r>
        <w:rPr>
          <w:rFonts w:hint="eastAsia" w:ascii="黑体" w:hAnsi="黑体" w:eastAsia="黑体"/>
          <w:bCs/>
          <w:color w:val="000000" w:themeColor="text1"/>
          <w:sz w:val="30"/>
          <w:szCs w:val="30"/>
          <w:lang w:val="en-US" w:eastAsia="zh-CN"/>
          <w14:textFill>
            <w14:solidFill>
              <w14:schemeClr w14:val="tx1"/>
            </w14:solidFill>
          </w14:textFill>
        </w:rPr>
        <w:t>21</w:t>
      </w:r>
      <w:r>
        <w:rPr>
          <w:rFonts w:hint="eastAsia" w:ascii="黑体" w:hAnsi="黑体" w:eastAsia="黑体"/>
          <w:bCs/>
          <w:color w:val="000000" w:themeColor="text1"/>
          <w:sz w:val="30"/>
          <w:szCs w:val="30"/>
          <w14:textFill>
            <w14:solidFill>
              <w14:schemeClr w14:val="tx1"/>
            </w14:solidFill>
          </w14:textFill>
        </w:rPr>
        <w:t>日</w:t>
      </w:r>
      <w:r>
        <w:rPr>
          <w:rFonts w:hint="eastAsia" w:ascii="黑体" w:hAnsi="黑体" w:eastAsia="黑体"/>
          <w:bCs/>
          <w:color w:val="000000" w:themeColor="text1"/>
          <w:sz w:val="30"/>
          <w:szCs w:val="30"/>
          <w:lang w:val="en-US" w:eastAsia="zh-CN"/>
          <w14:textFill>
            <w14:solidFill>
              <w14:schemeClr w14:val="tx1"/>
            </w14:solidFill>
          </w14:textFill>
        </w:rPr>
        <w:t>10时</w:t>
      </w:r>
      <w:r>
        <w:rPr>
          <w:rFonts w:hint="eastAsia" w:ascii="黑体" w:hAnsi="黑体" w:eastAsia="黑体"/>
          <w:bCs/>
          <w:color w:val="000000" w:themeColor="text1"/>
          <w:sz w:val="30"/>
          <w:szCs w:val="30"/>
          <w14:textFill>
            <w14:solidFill>
              <w14:schemeClr w14:val="tx1"/>
            </w14:solidFill>
          </w14:textFill>
        </w:rPr>
        <w:t>进行线上报价</w:t>
      </w:r>
      <w:r>
        <w:rPr>
          <w:rFonts w:hint="eastAsia" w:ascii="黑体" w:hAnsi="黑体" w:eastAsia="黑体"/>
          <w:bCs/>
          <w:color w:val="000000" w:themeColor="text1"/>
          <w:sz w:val="30"/>
          <w:szCs w:val="30"/>
          <w:lang w:eastAsia="zh-CN"/>
          <w14:textFill>
            <w14:solidFill>
              <w14:schemeClr w14:val="tx1"/>
            </w14:solidFill>
          </w14:textFill>
        </w:rPr>
        <w:t>，</w:t>
      </w:r>
      <w:r>
        <w:rPr>
          <w:rFonts w:ascii="黑体" w:hAnsi="黑体" w:eastAsia="黑体"/>
          <w:bCs/>
          <w:color w:val="000000" w:themeColor="text1"/>
          <w:sz w:val="30"/>
          <w:szCs w:val="30"/>
          <w14:textFill>
            <w14:solidFill>
              <w14:schemeClr w14:val="tx1"/>
            </w14:solidFill>
          </w14:textFill>
        </w:rPr>
        <w:t>2023</w:t>
      </w:r>
      <w:r>
        <w:rPr>
          <w:rFonts w:hint="eastAsia" w:ascii="黑体" w:hAnsi="黑体" w:eastAsia="黑体"/>
          <w:bCs/>
          <w:color w:val="000000" w:themeColor="text1"/>
          <w:sz w:val="30"/>
          <w:szCs w:val="30"/>
          <w14:textFill>
            <w14:solidFill>
              <w14:schemeClr w14:val="tx1"/>
            </w14:solidFill>
          </w14:textFill>
        </w:rPr>
        <w:t>年</w:t>
      </w:r>
      <w:r>
        <w:rPr>
          <w:rFonts w:hint="eastAsia" w:ascii="黑体" w:hAnsi="黑体" w:eastAsia="黑体"/>
          <w:bCs/>
          <w:color w:val="000000" w:themeColor="text1"/>
          <w:sz w:val="30"/>
          <w:szCs w:val="30"/>
          <w:lang w:val="en-US" w:eastAsia="zh-CN"/>
          <w14:textFill>
            <w14:solidFill>
              <w14:schemeClr w14:val="tx1"/>
            </w14:solidFill>
          </w14:textFill>
        </w:rPr>
        <w:t>5</w:t>
      </w:r>
      <w:r>
        <w:rPr>
          <w:rFonts w:hint="eastAsia" w:ascii="黑体" w:hAnsi="黑体" w:eastAsia="黑体"/>
          <w:bCs/>
          <w:color w:val="000000" w:themeColor="text1"/>
          <w:sz w:val="30"/>
          <w:szCs w:val="30"/>
          <w14:textFill>
            <w14:solidFill>
              <w14:schemeClr w14:val="tx1"/>
            </w14:solidFill>
          </w14:textFill>
        </w:rPr>
        <w:t>月</w:t>
      </w:r>
      <w:r>
        <w:rPr>
          <w:rFonts w:hint="eastAsia" w:ascii="黑体" w:hAnsi="黑体" w:eastAsia="黑体"/>
          <w:bCs/>
          <w:color w:val="000000" w:themeColor="text1"/>
          <w:sz w:val="30"/>
          <w:szCs w:val="30"/>
          <w:lang w:val="en-US" w:eastAsia="zh-CN"/>
          <w14:textFill>
            <w14:solidFill>
              <w14:schemeClr w14:val="tx1"/>
            </w14:solidFill>
          </w14:textFill>
        </w:rPr>
        <w:t>23</w:t>
      </w:r>
      <w:r>
        <w:rPr>
          <w:rFonts w:hint="eastAsia" w:ascii="黑体" w:hAnsi="黑体" w:eastAsia="黑体"/>
          <w:bCs/>
          <w:color w:val="000000" w:themeColor="text1"/>
          <w:sz w:val="30"/>
          <w:szCs w:val="30"/>
          <w14:textFill>
            <w14:solidFill>
              <w14:schemeClr w14:val="tx1"/>
            </w14:solidFill>
          </w14:textFill>
        </w:rPr>
        <w:t>日</w:t>
      </w:r>
      <w:r>
        <w:rPr>
          <w:rFonts w:hint="eastAsia" w:ascii="黑体" w:hAnsi="黑体" w:eastAsia="黑体"/>
          <w:bCs/>
          <w:color w:val="000000" w:themeColor="text1"/>
          <w:sz w:val="30"/>
          <w:szCs w:val="30"/>
          <w:lang w:val="en-US" w:eastAsia="zh-CN"/>
          <w14:textFill>
            <w14:solidFill>
              <w14:schemeClr w14:val="tx1"/>
            </w14:solidFill>
          </w14:textFill>
        </w:rPr>
        <w:t>17</w:t>
      </w:r>
      <w:r>
        <w:rPr>
          <w:rFonts w:hint="eastAsia" w:ascii="黑体" w:hAnsi="黑体" w:eastAsia="黑体"/>
          <w:bCs/>
          <w:color w:val="000000" w:themeColor="text1"/>
          <w:sz w:val="30"/>
          <w:szCs w:val="30"/>
          <w14:textFill>
            <w14:solidFill>
              <w14:schemeClr w14:val="tx1"/>
            </w14:solidFill>
          </w14:textFill>
        </w:rPr>
        <w:t>时报价截止，报价阶段需提供盖章版本营业执照复印件、报价单、廉洁承诺书、法定代表人资格证明书、法定代表人授权书、无重大违法记录声明等，以上材料需同时作为附件上传EPS采购系统</w:t>
      </w:r>
      <w:r>
        <w:rPr>
          <w:rFonts w:hint="eastAsia" w:ascii="黑体" w:hAnsi="黑体" w:eastAsia="黑体"/>
          <w:bCs/>
          <w:color w:val="000000" w:themeColor="text1"/>
          <w:sz w:val="30"/>
          <w:szCs w:val="30"/>
          <w:lang w:eastAsia="zh-CN"/>
          <w14:textFill>
            <w14:solidFill>
              <w14:schemeClr w14:val="tx1"/>
            </w14:solidFill>
          </w14:textFill>
        </w:rPr>
        <w:t>。</w:t>
      </w:r>
    </w:p>
    <w:p>
      <w:pPr>
        <w:keepNext w:val="0"/>
        <w:keepLines w:val="0"/>
        <w:pageBreakBefore w:val="0"/>
        <w:tabs>
          <w:tab w:val="left" w:pos="284"/>
        </w:tabs>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tabs>
          <w:tab w:val="left" w:pos="284"/>
        </w:tabs>
        <w:kinsoku/>
        <w:overflowPunct/>
        <w:topLinePunct w:val="0"/>
        <w:bidi w:val="0"/>
        <w:snapToGrid/>
        <w:spacing w:line="360" w:lineRule="auto"/>
        <w:ind w:firstLine="600" w:firstLineChars="200"/>
        <w:jc w:val="both"/>
        <w:rPr>
          <w:rFonts w:hint="eastAsia"/>
          <w:sz w:val="30"/>
          <w:szCs w:val="30"/>
        </w:rPr>
      </w:pPr>
      <w:r>
        <w:rPr>
          <w:rFonts w:hint="eastAsia" w:ascii="黑体" w:hAnsi="黑体" w:eastAsia="黑体"/>
          <w:bCs/>
          <w:color w:val="000000" w:themeColor="text1"/>
          <w:sz w:val="30"/>
          <w:szCs w:val="30"/>
          <w:lang w:val="en-US" w:eastAsia="zh-CN"/>
          <w14:textFill>
            <w14:solidFill>
              <w14:schemeClr w14:val="tx1"/>
            </w14:solidFill>
          </w14:textFill>
        </w:rPr>
        <w:t>七</w:t>
      </w:r>
      <w:r>
        <w:rPr>
          <w:rFonts w:hint="eastAsia" w:ascii="黑体" w:hAnsi="黑体" w:eastAsia="黑体"/>
          <w:bCs/>
          <w:color w:val="000000" w:themeColor="text1"/>
          <w:sz w:val="30"/>
          <w:szCs w:val="30"/>
          <w14:textFill>
            <w14:solidFill>
              <w14:schemeClr w14:val="tx1"/>
            </w14:solidFill>
          </w14:textFill>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keepNext w:val="0"/>
        <w:keepLines w:val="0"/>
        <w:pageBreakBefore w:val="0"/>
        <w:tabs>
          <w:tab w:val="left" w:pos="284"/>
        </w:tabs>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lang w:val="en-US" w:eastAsia="zh-CN"/>
          <w14:textFill>
            <w14:solidFill>
              <w14:schemeClr w14:val="tx1"/>
            </w14:solidFill>
          </w14:textFill>
        </w:rPr>
        <w:t>八</w:t>
      </w:r>
      <w:r>
        <w:rPr>
          <w:rFonts w:hint="eastAsia" w:ascii="黑体" w:hAnsi="黑体" w:eastAsia="黑体"/>
          <w:bCs/>
          <w:color w:val="000000" w:themeColor="text1"/>
          <w:sz w:val="30"/>
          <w:szCs w:val="30"/>
          <w14:textFill>
            <w14:solidFill>
              <w14:schemeClr w14:val="tx1"/>
            </w14:solidFill>
          </w14:textFill>
        </w:rPr>
        <w:t>、投标保证金：人民币</w:t>
      </w:r>
      <w:r>
        <w:rPr>
          <w:rFonts w:hint="eastAsia" w:ascii="黑体" w:hAnsi="黑体" w:eastAsia="黑体"/>
          <w:bCs/>
          <w:color w:val="000000" w:themeColor="text1"/>
          <w:sz w:val="30"/>
          <w:szCs w:val="30"/>
          <w:lang w:val="en-US" w:eastAsia="zh-CN"/>
          <w14:textFill>
            <w14:solidFill>
              <w14:schemeClr w14:val="tx1"/>
            </w14:solidFill>
          </w14:textFill>
        </w:rPr>
        <w:t>5</w:t>
      </w:r>
      <w:r>
        <w:rPr>
          <w:rFonts w:hint="eastAsia" w:ascii="黑体" w:hAnsi="黑体" w:eastAsia="黑体"/>
          <w:bCs/>
          <w:color w:val="000000" w:themeColor="text1"/>
          <w:sz w:val="30"/>
          <w:szCs w:val="30"/>
          <w14:textFill>
            <w14:solidFill>
              <w14:schemeClr w14:val="tx1"/>
            </w14:solidFill>
          </w14:textFill>
        </w:rPr>
        <w:t>,000.00元（</w:t>
      </w:r>
      <w:r>
        <w:rPr>
          <w:rFonts w:hint="eastAsia" w:ascii="黑体" w:hAnsi="黑体" w:eastAsia="黑体"/>
          <w:bCs/>
          <w:color w:val="000000" w:themeColor="text1"/>
          <w:sz w:val="30"/>
          <w:szCs w:val="30"/>
          <w:lang w:val="en-US" w:eastAsia="zh-CN"/>
          <w14:textFill>
            <w14:solidFill>
              <w14:schemeClr w14:val="tx1"/>
            </w14:solidFill>
          </w14:textFill>
        </w:rPr>
        <w:t>伍仟</w:t>
      </w:r>
      <w:r>
        <w:rPr>
          <w:rFonts w:hint="eastAsia" w:ascii="黑体" w:hAnsi="黑体" w:eastAsia="黑体"/>
          <w:bCs/>
          <w:color w:val="000000" w:themeColor="text1"/>
          <w:sz w:val="30"/>
          <w:szCs w:val="30"/>
          <w14:textFill>
            <w14:solidFill>
              <w14:schemeClr w14:val="tx1"/>
            </w14:solidFill>
          </w14:textFill>
        </w:rPr>
        <w:t>元整）</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收款账户名称：</w:t>
      </w:r>
      <w:r>
        <w:rPr>
          <w:rFonts w:hint="eastAsia" w:ascii="仿宋_GB2312" w:hAnsi="宋体" w:eastAsia="仿宋_GB2312"/>
          <w:bCs/>
          <w:color w:val="000000" w:themeColor="text1"/>
          <w:sz w:val="30"/>
          <w:szCs w:val="30"/>
          <w:u w:val="single"/>
          <w:lang w:val="en-US" w:eastAsia="zh-CN"/>
          <w14:textFill>
            <w14:solidFill>
              <w14:schemeClr w14:val="tx1"/>
            </w14:solidFill>
          </w14:textFill>
        </w:rPr>
        <w:t>辽宁中糖物流有限</w:t>
      </w:r>
      <w:r>
        <w:rPr>
          <w:rFonts w:hint="eastAsia" w:ascii="仿宋_GB2312" w:hAnsi="宋体" w:eastAsia="仿宋_GB2312"/>
          <w:bCs/>
          <w:color w:val="000000" w:themeColor="text1"/>
          <w:sz w:val="30"/>
          <w:szCs w:val="30"/>
          <w:u w:val="single"/>
          <w14:textFill>
            <w14:solidFill>
              <w14:schemeClr w14:val="tx1"/>
            </w14:solidFill>
          </w14:textFill>
        </w:rPr>
        <w:t>公司</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账号：</w:t>
      </w:r>
      <w:r>
        <w:rPr>
          <w:rFonts w:hint="eastAsia" w:ascii="仿宋_GB2312" w:hAnsi="宋体" w:eastAsia="仿宋_GB2312"/>
          <w:bCs/>
          <w:color w:val="000000" w:themeColor="text1"/>
          <w:sz w:val="30"/>
          <w:szCs w:val="30"/>
          <w:u w:val="single"/>
          <w14:textFill>
            <w14:solidFill>
              <w14:schemeClr w14:val="tx1"/>
            </w14:solidFill>
          </w14:textFill>
        </w:rPr>
        <w:t>21001687305052508540</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开户行：</w:t>
      </w:r>
      <w:r>
        <w:rPr>
          <w:rFonts w:hint="eastAsia" w:ascii="仿宋_GB2312" w:hAnsi="宋体" w:eastAsia="仿宋_GB2312"/>
          <w:bCs/>
          <w:color w:val="000000" w:themeColor="text1"/>
          <w:sz w:val="30"/>
          <w:szCs w:val="30"/>
          <w:u w:val="single"/>
          <w14:textFill>
            <w14:solidFill>
              <w14:schemeClr w14:val="tx1"/>
            </w14:solidFill>
          </w14:textFill>
        </w:rPr>
        <w:t>中国建设银行营口经济技术开发区支行</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交款方式：转账（交款时注明“</w:t>
      </w:r>
      <w:r>
        <w:rPr>
          <w:rFonts w:hint="eastAsia" w:ascii="仿宋_GB2312" w:hAnsi="宋体" w:eastAsia="仿宋_GB2312"/>
          <w:bCs/>
          <w:color w:val="000000" w:themeColor="text1"/>
          <w:sz w:val="30"/>
          <w:szCs w:val="30"/>
          <w:lang w:val="en-US" w:eastAsia="zh-CN"/>
          <w14:textFill>
            <w14:solidFill>
              <w14:schemeClr w14:val="tx1"/>
            </w14:solidFill>
          </w14:textFill>
        </w:rPr>
        <w:t>出库</w:t>
      </w:r>
      <w:r>
        <w:rPr>
          <w:rFonts w:hint="eastAsia" w:ascii="仿宋_GB2312" w:hAnsi="宋体" w:eastAsia="仿宋_GB2312"/>
          <w:bCs/>
          <w:color w:val="000000" w:themeColor="text1"/>
          <w:sz w:val="30"/>
          <w:szCs w:val="30"/>
          <w14:textFill>
            <w14:solidFill>
              <w14:schemeClr w14:val="tx1"/>
            </w14:solidFill>
          </w14:textFill>
        </w:rPr>
        <w:t>装卸服务投标保证金”字样）</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缴款期限：</w:t>
      </w:r>
      <w:r>
        <w:rPr>
          <w:rFonts w:hint="eastAsia" w:ascii="仿宋_GB2312" w:hAnsi="宋体" w:eastAsia="仿宋_GB2312"/>
          <w:bCs/>
          <w:color w:val="000000" w:themeColor="text1"/>
          <w:sz w:val="30"/>
          <w:szCs w:val="30"/>
          <w:u w:val="single"/>
          <w14:textFill>
            <w14:solidFill>
              <w14:schemeClr w14:val="tx1"/>
            </w14:solidFill>
          </w14:textFill>
        </w:rPr>
        <w:t>202</w:t>
      </w:r>
      <w:r>
        <w:rPr>
          <w:rFonts w:hint="eastAsia" w:ascii="仿宋_GB2312" w:hAnsi="宋体" w:eastAsia="仿宋_GB2312"/>
          <w:bCs/>
          <w:color w:val="000000" w:themeColor="text1"/>
          <w:sz w:val="30"/>
          <w:szCs w:val="30"/>
          <w:u w:val="single"/>
          <w:lang w:val="en-US" w:eastAsia="zh-CN"/>
          <w14:textFill>
            <w14:solidFill>
              <w14:schemeClr w14:val="tx1"/>
            </w14:solidFill>
          </w14:textFill>
        </w:rPr>
        <w:t>3</w:t>
      </w:r>
      <w:r>
        <w:rPr>
          <w:rFonts w:hint="eastAsia" w:ascii="仿宋_GB2312" w:hAnsi="宋体" w:eastAsia="仿宋_GB2312"/>
          <w:bCs/>
          <w:color w:val="000000" w:themeColor="text1"/>
          <w:sz w:val="30"/>
          <w:szCs w:val="30"/>
          <w:u w:val="single"/>
          <w14:textFill>
            <w14:solidFill>
              <w14:schemeClr w14:val="tx1"/>
            </w14:solidFill>
          </w14:textFill>
        </w:rPr>
        <w:t>年</w:t>
      </w:r>
      <w:r>
        <w:rPr>
          <w:rFonts w:hint="eastAsia" w:ascii="仿宋_GB2312" w:hAnsi="宋体" w:eastAsia="仿宋_GB2312"/>
          <w:bCs/>
          <w:color w:val="000000" w:themeColor="text1"/>
          <w:sz w:val="30"/>
          <w:szCs w:val="30"/>
          <w:u w:val="single"/>
          <w:lang w:val="en-US" w:eastAsia="zh-CN"/>
          <w14:textFill>
            <w14:solidFill>
              <w14:schemeClr w14:val="tx1"/>
            </w14:solidFill>
          </w14:textFill>
        </w:rPr>
        <w:t>5</w:t>
      </w:r>
      <w:r>
        <w:rPr>
          <w:rFonts w:hint="eastAsia" w:ascii="仿宋_GB2312" w:hAnsi="宋体" w:eastAsia="仿宋_GB2312"/>
          <w:bCs/>
          <w:color w:val="000000" w:themeColor="text1"/>
          <w:sz w:val="30"/>
          <w:szCs w:val="30"/>
          <w:u w:val="single"/>
          <w14:textFill>
            <w14:solidFill>
              <w14:schemeClr w14:val="tx1"/>
            </w14:solidFill>
          </w14:textFill>
        </w:rPr>
        <w:t>月</w:t>
      </w:r>
      <w:r>
        <w:rPr>
          <w:rFonts w:hint="eastAsia" w:ascii="仿宋_GB2312" w:hAnsi="宋体" w:eastAsia="仿宋_GB2312"/>
          <w:bCs/>
          <w:color w:val="000000" w:themeColor="text1"/>
          <w:sz w:val="30"/>
          <w:szCs w:val="30"/>
          <w:u w:val="single"/>
          <w:lang w:val="en-US" w:eastAsia="zh-CN"/>
          <w14:textFill>
            <w14:solidFill>
              <w14:schemeClr w14:val="tx1"/>
            </w14:solidFill>
          </w14:textFill>
        </w:rPr>
        <w:t>23</w:t>
      </w:r>
      <w:r>
        <w:rPr>
          <w:rFonts w:hint="eastAsia" w:ascii="仿宋_GB2312" w:hAnsi="宋体" w:eastAsia="仿宋_GB2312"/>
          <w:bCs/>
          <w:color w:val="000000" w:themeColor="text1"/>
          <w:sz w:val="30"/>
          <w:szCs w:val="30"/>
          <w:u w:val="single"/>
          <w14:textFill>
            <w14:solidFill>
              <w14:schemeClr w14:val="tx1"/>
            </w14:solidFill>
          </w14:textFill>
        </w:rPr>
        <w:t>日</w:t>
      </w:r>
      <w:r>
        <w:rPr>
          <w:rFonts w:hint="eastAsia" w:ascii="仿宋_GB2312" w:hAnsi="宋体" w:eastAsia="仿宋_GB2312"/>
          <w:bCs/>
          <w:color w:val="000000" w:themeColor="text1"/>
          <w:sz w:val="30"/>
          <w:szCs w:val="30"/>
          <w:u w:val="single"/>
          <w:lang w:val="en-US" w:eastAsia="zh-CN"/>
          <w14:textFill>
            <w14:solidFill>
              <w14:schemeClr w14:val="tx1"/>
            </w14:solidFill>
          </w14:textFill>
        </w:rPr>
        <w:t>17</w:t>
      </w:r>
      <w:r>
        <w:rPr>
          <w:rFonts w:hint="default" w:ascii="仿宋_GB2312" w:hAnsi="宋体" w:eastAsia="仿宋_GB2312"/>
          <w:bCs/>
          <w:color w:val="000000" w:themeColor="text1"/>
          <w:sz w:val="30"/>
          <w:szCs w:val="30"/>
          <w:u w:val="single"/>
          <w14:textFill>
            <w14:solidFill>
              <w14:schemeClr w14:val="tx1"/>
            </w14:solidFill>
          </w14:textFill>
        </w:rPr>
        <w:t>时</w:t>
      </w:r>
      <w:r>
        <w:rPr>
          <w:rFonts w:hint="eastAsia" w:ascii="仿宋_GB2312" w:hAnsi="宋体" w:eastAsia="仿宋_GB2312"/>
          <w:bCs/>
          <w:color w:val="000000" w:themeColor="text1"/>
          <w:sz w:val="30"/>
          <w:szCs w:val="30"/>
          <w:u w:val="single"/>
          <w14:textFill>
            <w14:solidFill>
              <w14:schemeClr w14:val="tx1"/>
            </w14:solidFill>
          </w14:textFill>
        </w:rPr>
        <w:t>前</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投标保证金退还：未中标单位在中标结果确定之日</w:t>
      </w:r>
      <w:r>
        <w:rPr>
          <w:rFonts w:hint="eastAsia" w:ascii="仿宋_GB2312" w:hAnsi="宋体" w:eastAsia="仿宋_GB2312"/>
          <w:bCs/>
          <w:color w:val="000000" w:themeColor="text1"/>
          <w:sz w:val="30"/>
          <w:szCs w:val="30"/>
          <w:lang w:val="en-US" w:eastAsia="zh-CN"/>
          <w14:textFill>
            <w14:solidFill>
              <w14:schemeClr w14:val="tx1"/>
            </w14:solidFill>
          </w14:textFill>
        </w:rPr>
        <w:t>后，投标保证金于次月</w:t>
      </w:r>
      <w:r>
        <w:rPr>
          <w:rFonts w:hint="eastAsia" w:ascii="仿宋_GB2312" w:hAnsi="宋体" w:eastAsia="仿宋_GB2312"/>
          <w:bCs/>
          <w:color w:val="000000" w:themeColor="text1"/>
          <w:sz w:val="30"/>
          <w:szCs w:val="30"/>
          <w14:textFill>
            <w14:solidFill>
              <w14:schemeClr w14:val="tx1"/>
            </w14:solidFill>
          </w14:textFill>
        </w:rPr>
        <w:t>如数无息退还；中标单位在与招标方正式签订合同后</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lang w:val="en-US" w:eastAsia="zh-CN"/>
          <w14:textFill>
            <w14:solidFill>
              <w14:schemeClr w14:val="tx1"/>
            </w14:solidFill>
          </w14:textFill>
        </w:rPr>
        <w:t>投标保证金</w:t>
      </w:r>
      <w:r>
        <w:rPr>
          <w:rFonts w:hint="eastAsia" w:ascii="仿宋_GB2312" w:hAnsi="宋体" w:eastAsia="仿宋_GB2312"/>
          <w:bCs/>
          <w:color w:val="000000" w:themeColor="text1"/>
          <w:sz w:val="30"/>
          <w:szCs w:val="30"/>
          <w14:textFill>
            <w14:solidFill>
              <w14:schemeClr w14:val="tx1"/>
            </w14:solidFill>
          </w14:textFill>
        </w:rPr>
        <w:t>自动转为合同</w:t>
      </w:r>
      <w:r>
        <w:rPr>
          <w:rFonts w:hint="eastAsia" w:ascii="仿宋_GB2312" w:hAnsi="宋体" w:eastAsia="仿宋_GB2312"/>
          <w:bCs/>
          <w:color w:val="000000" w:themeColor="text1"/>
          <w:sz w:val="30"/>
          <w:szCs w:val="30"/>
          <w:lang w:val="en-US" w:eastAsia="zh-CN"/>
          <w14:textFill>
            <w14:solidFill>
              <w14:schemeClr w14:val="tx1"/>
            </w14:solidFill>
          </w14:textFill>
        </w:rPr>
        <w:t>中约定的安全保证金</w:t>
      </w:r>
      <w:r>
        <w:rPr>
          <w:rFonts w:hint="eastAsia" w:ascii="仿宋_GB2312" w:hAnsi="宋体" w:eastAsia="仿宋_GB2312"/>
          <w:bCs/>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不退还投标保证金的其他情形：</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开启响应文件后在响应有效期内，供应商撤回其响应文件；提供虚假材料谋取中标、成交的；中标供应商无正当理由拒绝签订合同的，其保证金不予退还；</w:t>
      </w:r>
      <w:r>
        <w:rPr>
          <w:rFonts w:hint="eastAsia" w:ascii="仿宋_GB2312" w:hAnsi="宋体" w:eastAsia="仿宋_GB2312"/>
          <w:bCs/>
          <w:color w:val="000000" w:themeColor="text1"/>
          <w:sz w:val="30"/>
          <w:szCs w:val="30"/>
          <w14:textFill>
            <w14:solidFill>
              <w14:schemeClr w14:val="tx1"/>
            </w14:solidFill>
          </w14:textFill>
        </w:rPr>
        <w:t>在响应本次采购</w:t>
      </w:r>
      <w:r>
        <w:rPr>
          <w:rFonts w:hint="eastAsia" w:ascii="仿宋_GB2312" w:hAnsi="宋体" w:eastAsia="仿宋_GB2312"/>
          <w:bCs/>
          <w:color w:val="000000" w:themeColor="text1"/>
          <w:sz w:val="30"/>
          <w:szCs w:val="30"/>
          <w:lang w:val="en-US" w:eastAsia="zh-CN"/>
          <w14:textFill>
            <w14:solidFill>
              <w14:schemeClr w14:val="tx1"/>
            </w14:solidFill>
          </w14:textFill>
        </w:rPr>
        <w:t>过程</w:t>
      </w:r>
      <w:r>
        <w:rPr>
          <w:rFonts w:hint="eastAsia" w:ascii="仿宋_GB2312" w:hAnsi="宋体" w:eastAsia="仿宋_GB2312"/>
          <w:bCs/>
          <w:color w:val="000000" w:themeColor="text1"/>
          <w:sz w:val="30"/>
          <w:szCs w:val="30"/>
          <w14:textFill>
            <w14:solidFill>
              <w14:schemeClr w14:val="tx1"/>
            </w14:solidFill>
          </w14:textFill>
        </w:rPr>
        <w:t>中存在围标串标等违法违规行为</w:t>
      </w:r>
      <w:r>
        <w:rPr>
          <w:rFonts w:hint="eastAsia" w:ascii="仿宋_GB2312" w:hAnsi="宋体" w:eastAsia="仿宋_GB2312"/>
          <w:bCs/>
          <w:color w:val="000000" w:themeColor="text1"/>
          <w:sz w:val="30"/>
          <w:szCs w:val="30"/>
          <w:lang w:eastAsia="zh-CN"/>
          <w14:textFill>
            <w14:solidFill>
              <w14:schemeClr w14:val="tx1"/>
            </w14:solidFill>
          </w14:textFill>
        </w:rPr>
        <w:t>的，</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一经发现，进行否决投标处理，其保证金不予退还。</w:t>
      </w:r>
    </w:p>
    <w:bookmarkEnd w:id="8"/>
    <w:p>
      <w:pPr>
        <w:keepNext w:val="0"/>
        <w:keepLines w:val="0"/>
        <w:pageBreakBefore w:val="0"/>
        <w:tabs>
          <w:tab w:val="left" w:pos="284"/>
        </w:tabs>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lang w:val="en-US" w:eastAsia="zh-CN"/>
          <w14:textFill>
            <w14:solidFill>
              <w14:schemeClr w14:val="tx1"/>
            </w14:solidFill>
          </w14:textFill>
        </w:rPr>
        <w:t>九、</w:t>
      </w:r>
      <w:r>
        <w:rPr>
          <w:rFonts w:hint="eastAsia" w:ascii="黑体" w:hAnsi="黑体" w:eastAsia="黑体"/>
          <w:bCs/>
          <w:color w:val="000000" w:themeColor="text1"/>
          <w:sz w:val="30"/>
          <w:szCs w:val="30"/>
          <w14:textFill>
            <w14:solidFill>
              <w14:schemeClr w14:val="tx1"/>
            </w14:solidFill>
          </w14:textFill>
        </w:rPr>
        <w:t>其它约定</w:t>
      </w:r>
    </w:p>
    <w:p>
      <w:pPr>
        <w:keepNext w:val="0"/>
        <w:keepLines w:val="0"/>
        <w:pageBreakBefore w:val="0"/>
        <w:numPr>
          <w:ilvl w:val="0"/>
          <w:numId w:val="0"/>
        </w:numPr>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在结果下发后</w:t>
      </w:r>
      <w:r>
        <w:rPr>
          <w:rFonts w:ascii="仿宋_GB2312" w:hAnsi="宋体" w:eastAsia="仿宋_GB2312"/>
          <w:bCs/>
          <w:color w:val="000000" w:themeColor="text1"/>
          <w:sz w:val="30"/>
          <w:szCs w:val="30"/>
          <w14:textFill>
            <w14:solidFill>
              <w14:schemeClr w14:val="tx1"/>
            </w14:solidFill>
          </w14:textFill>
        </w:rPr>
        <w:t>30</w:t>
      </w:r>
      <w:r>
        <w:rPr>
          <w:rFonts w:hint="eastAsia" w:ascii="仿宋_GB2312" w:hAnsi="宋体" w:eastAsia="仿宋_GB2312"/>
          <w:bCs/>
          <w:color w:val="000000" w:themeColor="text1"/>
          <w:sz w:val="30"/>
          <w:szCs w:val="30"/>
          <w14:textFill>
            <w14:solidFill>
              <w14:schemeClr w14:val="tx1"/>
            </w14:solidFill>
          </w14:textFill>
        </w:rPr>
        <w:t>日内</w:t>
      </w:r>
      <w:r>
        <w:rPr>
          <w:rFonts w:hint="eastAsia" w:ascii="仿宋_GB2312" w:hAnsi="宋体" w:eastAsia="仿宋_GB2312"/>
          <w:bCs/>
          <w:color w:val="000000" w:themeColor="text1"/>
          <w:sz w:val="30"/>
          <w:szCs w:val="30"/>
          <w:lang w:eastAsia="zh-CN"/>
          <w14:textFill>
            <w14:solidFill>
              <w14:schemeClr w14:val="tx1"/>
            </w14:solidFill>
          </w14:textFill>
        </w:rPr>
        <w:t>，</w:t>
      </w:r>
      <w:r>
        <w:rPr>
          <w:rFonts w:hint="eastAsia" w:ascii="仿宋_GB2312" w:hAnsi="宋体" w:eastAsia="仿宋_GB2312"/>
          <w:bCs/>
          <w:color w:val="000000" w:themeColor="text1"/>
          <w:sz w:val="30"/>
          <w:szCs w:val="30"/>
          <w14:textFill>
            <w14:solidFill>
              <w14:schemeClr w14:val="tx1"/>
            </w14:solidFill>
          </w14:textFill>
        </w:rPr>
        <w:t>第一名入围供应商与</w:t>
      </w:r>
      <w:r>
        <w:rPr>
          <w:rFonts w:hint="eastAsia" w:ascii="仿宋_GB2312" w:hAnsi="宋体" w:eastAsia="仿宋_GB2312"/>
          <w:bCs/>
          <w:color w:val="000000" w:themeColor="text1"/>
          <w:sz w:val="30"/>
          <w:szCs w:val="30"/>
          <w:lang w:val="en-US" w:eastAsia="zh-CN"/>
          <w14:textFill>
            <w14:solidFill>
              <w14:schemeClr w14:val="tx1"/>
            </w14:solidFill>
          </w14:textFill>
        </w:rPr>
        <w:t>辽宁中糖物流</w:t>
      </w:r>
      <w:r>
        <w:rPr>
          <w:rFonts w:hint="eastAsia" w:ascii="仿宋_GB2312" w:hAnsi="宋体" w:eastAsia="仿宋_GB2312"/>
          <w:bCs/>
          <w:color w:val="000000" w:themeColor="text1"/>
          <w:sz w:val="30"/>
          <w:szCs w:val="30"/>
          <w14:textFill>
            <w14:solidFill>
              <w14:schemeClr w14:val="tx1"/>
            </w14:solidFill>
          </w14:textFill>
        </w:rPr>
        <w:t xml:space="preserve">有限公司签订中央储备糖机械化出库装卸服务合同。 </w:t>
      </w:r>
    </w:p>
    <w:p>
      <w:pPr>
        <w:keepNext w:val="0"/>
        <w:keepLines w:val="0"/>
        <w:pageBreakBefore w:val="0"/>
        <w:tabs>
          <w:tab w:val="left" w:pos="284"/>
        </w:tabs>
        <w:kinsoku/>
        <w:overflowPunct/>
        <w:topLinePunct w:val="0"/>
        <w:bidi w:val="0"/>
        <w:snapToGrid/>
        <w:spacing w:line="360" w:lineRule="auto"/>
        <w:ind w:firstLine="600" w:firstLineChars="200"/>
        <w:jc w:val="both"/>
        <w:rPr>
          <w:rFonts w:hint="eastAsia"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lang w:val="en-US" w:eastAsia="zh-CN"/>
          <w14:textFill>
            <w14:solidFill>
              <w14:schemeClr w14:val="tx1"/>
            </w14:solidFill>
          </w14:textFill>
        </w:rPr>
        <w:t>十</w:t>
      </w:r>
      <w:r>
        <w:rPr>
          <w:rFonts w:hint="eastAsia" w:ascii="黑体" w:hAnsi="黑体" w:eastAsia="黑体"/>
          <w:bCs/>
          <w:color w:val="000000" w:themeColor="text1"/>
          <w:sz w:val="30"/>
          <w:szCs w:val="30"/>
          <w14:textFill>
            <w14:solidFill>
              <w14:schemeClr w14:val="tx1"/>
            </w14:solidFill>
          </w14:textFill>
        </w:rPr>
        <w:t>、中粮糖业纪检监督联系方式</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办公电话：010-85017235</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通讯地址：北京市朝阳区朝阳门南大街8号9层905室</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中粮糖业纪委办公室收，邮编100020</w:t>
      </w:r>
    </w:p>
    <w:p>
      <w:pPr>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pStyle w:val="2"/>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仿宋_GB2312" w:hAnsi="宋体" w:eastAsia="仿宋_GB2312"/>
          <w:bCs/>
          <w:color w:val="000000" w:themeColor="text1"/>
          <w:sz w:val="30"/>
          <w:szCs w:val="30"/>
          <w14:textFill>
            <w14:solidFill>
              <w14:schemeClr w14:val="tx1"/>
            </w14:solidFill>
          </w14:textFill>
        </w:rPr>
      </w:pPr>
      <w:r>
        <w:rPr>
          <w:rFonts w:hint="eastAsia" w:ascii="黑体" w:hAnsi="黑体" w:eastAsia="黑体"/>
          <w:sz w:val="28"/>
          <w:szCs w:val="21"/>
        </w:rPr>
        <w:t>合同编号：</w:t>
      </w:r>
    </w:p>
    <w:p>
      <w:pPr>
        <w:keepNext w:val="0"/>
        <w:keepLines w:val="0"/>
        <w:pageBreakBefore w:val="0"/>
        <w:numPr>
          <w:ilvl w:val="0"/>
          <w:numId w:val="0"/>
        </w:numPr>
        <w:kinsoku/>
        <w:overflowPunct/>
        <w:topLinePunct w:val="0"/>
        <w:bidi w:val="0"/>
        <w:snapToGrid/>
        <w:spacing w:line="360" w:lineRule="auto"/>
        <w:jc w:val="both"/>
        <w:rPr>
          <w:rFonts w:hint="eastAsia" w:ascii="黑体" w:hAnsi="黑体" w:eastAsia="黑体"/>
          <w:b/>
          <w:bCs/>
          <w:color w:val="000000" w:themeColor="text1"/>
          <w:sz w:val="36"/>
          <w:szCs w:val="36"/>
          <w:lang w:val="en-US" w:eastAsia="zh-CN"/>
          <w14:textFill>
            <w14:solidFill>
              <w14:schemeClr w14:val="tx1"/>
            </w14:solidFill>
          </w14:textFill>
        </w:rPr>
      </w:pPr>
    </w:p>
    <w:p>
      <w:pPr>
        <w:keepNext w:val="0"/>
        <w:keepLines w:val="0"/>
        <w:pageBreakBefore w:val="0"/>
        <w:numPr>
          <w:ilvl w:val="0"/>
          <w:numId w:val="0"/>
        </w:numPr>
        <w:kinsoku/>
        <w:overflowPunct/>
        <w:topLinePunct w:val="0"/>
        <w:bidi w:val="0"/>
        <w:snapToGrid/>
        <w:spacing w:line="360" w:lineRule="auto"/>
        <w:jc w:val="center"/>
        <w:rPr>
          <w:rFonts w:hint="eastAsia"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lang w:val="en-US" w:eastAsia="zh-CN"/>
          <w14:textFill>
            <w14:solidFill>
              <w14:schemeClr w14:val="tx1"/>
            </w14:solidFill>
          </w14:textFill>
        </w:rPr>
        <w:t xml:space="preserve">第二章 </w:t>
      </w:r>
      <w:r>
        <w:rPr>
          <w:rFonts w:hint="eastAsia" w:ascii="黑体" w:hAnsi="黑体" w:eastAsia="黑体"/>
          <w:b/>
          <w:bCs/>
          <w:color w:val="000000" w:themeColor="text1"/>
          <w:sz w:val="36"/>
          <w:szCs w:val="36"/>
          <w14:textFill>
            <w14:solidFill>
              <w14:schemeClr w14:val="tx1"/>
            </w14:solidFill>
          </w14:textFill>
        </w:rPr>
        <w:t>合同主要条款</w:t>
      </w:r>
    </w:p>
    <w:p>
      <w:pPr>
        <w:pStyle w:val="2"/>
        <w:keepNext w:val="0"/>
        <w:keepLines w:val="0"/>
        <w:pageBreakBefore w:val="0"/>
        <w:numPr>
          <w:ilvl w:val="0"/>
          <w:numId w:val="0"/>
        </w:numPr>
        <w:kinsoku/>
        <w:overflowPunct/>
        <w:topLinePunct w:val="0"/>
        <w:bidi w:val="0"/>
        <w:snapToGrid/>
        <w:spacing w:line="360" w:lineRule="auto"/>
        <w:jc w:val="both"/>
      </w:pPr>
    </w:p>
    <w:p>
      <w:pPr>
        <w:keepNext w:val="0"/>
        <w:keepLines w:val="0"/>
        <w:pageBreakBefore w:val="0"/>
        <w:widowControl/>
        <w:tabs>
          <w:tab w:val="left" w:pos="8789"/>
        </w:tabs>
        <w:kinsoku/>
        <w:overflowPunct/>
        <w:topLinePunct w:val="0"/>
        <w:autoSpaceDE w:val="0"/>
        <w:autoSpaceDN w:val="0"/>
        <w:bidi w:val="0"/>
        <w:snapToGrid/>
        <w:spacing w:line="360" w:lineRule="auto"/>
        <w:jc w:val="both"/>
        <w:textAlignment w:val="bottom"/>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甲方（委托方）：</w:t>
      </w:r>
      <w:r>
        <w:rPr>
          <w:rFonts w:hint="eastAsia" w:ascii="仿宋_GB2312" w:hAnsi="宋体" w:eastAsia="仿宋_GB2312" w:cs="宋体"/>
          <w:color w:val="000000" w:themeColor="text1"/>
          <w:sz w:val="30"/>
          <w:szCs w:val="30"/>
          <w:u w:val="single"/>
          <w:lang w:val="en-US" w:eastAsia="zh-CN"/>
          <w14:textFill>
            <w14:solidFill>
              <w14:schemeClr w14:val="tx1"/>
            </w14:solidFill>
          </w14:textFill>
        </w:rPr>
        <w:t>辽宁中糖物流有限</w:t>
      </w:r>
      <w:r>
        <w:rPr>
          <w:rFonts w:hint="eastAsia" w:ascii="仿宋_GB2312" w:hAnsi="宋体" w:eastAsia="仿宋_GB2312" w:cs="宋体"/>
          <w:color w:val="000000" w:themeColor="text1"/>
          <w:sz w:val="30"/>
          <w:szCs w:val="30"/>
          <w:u w:val="single"/>
          <w14:textFill>
            <w14:solidFill>
              <w14:schemeClr w14:val="tx1"/>
            </w14:solidFill>
          </w14:textFill>
        </w:rPr>
        <w:t>公司</w:t>
      </w:r>
    </w:p>
    <w:p>
      <w:pPr>
        <w:keepNext w:val="0"/>
        <w:keepLines w:val="0"/>
        <w:pageBreakBefore w:val="0"/>
        <w:kinsoku/>
        <w:overflowPunct/>
        <w:topLinePunct w:val="0"/>
        <w:bidi w:val="0"/>
        <w:snapToGrid/>
        <w:spacing w:line="360" w:lineRule="auto"/>
        <w:jc w:val="both"/>
        <w:rPr>
          <w:rFonts w:ascii="仿宋_GB2312" w:eastAsia="仿宋_GB2312"/>
          <w:sz w:val="30"/>
          <w:szCs w:val="30"/>
        </w:rPr>
      </w:pPr>
      <w:r>
        <w:rPr>
          <w:rFonts w:hint="eastAsia" w:ascii="仿宋_GB2312" w:hAnsi="宋体" w:eastAsia="仿宋_GB2312" w:cs="宋体"/>
          <w:color w:val="000000" w:themeColor="text1"/>
          <w:sz w:val="30"/>
          <w:szCs w:val="30"/>
          <w14:textFill>
            <w14:solidFill>
              <w14:schemeClr w14:val="tx1"/>
            </w14:solidFill>
          </w14:textFill>
        </w:rPr>
        <w:t>统一社会信用代码：</w:t>
      </w:r>
      <w:r>
        <w:rPr>
          <w:rFonts w:hint="eastAsia" w:ascii="仿宋_GB2312" w:eastAsia="仿宋_GB2312"/>
          <w:spacing w:val="-14"/>
          <w:sz w:val="30"/>
          <w:szCs w:val="30"/>
          <w:u w:val="single"/>
        </w:rPr>
        <w:t>912108047714068932</w:t>
      </w:r>
      <w:r>
        <w:rPr>
          <w:rFonts w:hint="eastAsia" w:ascii="仿宋_GB2312" w:hAnsi="宋体" w:eastAsia="仿宋_GB2312" w:cs="宋体"/>
          <w:color w:val="000000" w:themeColor="text1"/>
          <w:sz w:val="30"/>
          <w:szCs w:val="30"/>
          <w14:textFill>
            <w14:solidFill>
              <w14:schemeClr w14:val="tx1"/>
            </w14:solidFill>
          </w14:textFill>
        </w:rPr>
        <w:t xml:space="preserve">                                                                                                                                        </w:t>
      </w:r>
    </w:p>
    <w:p>
      <w:pPr>
        <w:keepNext w:val="0"/>
        <w:keepLines w:val="0"/>
        <w:pageBreakBefore w:val="0"/>
        <w:kinsoku/>
        <w:overflowPunct/>
        <w:topLinePunct w:val="0"/>
        <w:bidi w:val="0"/>
        <w:snapToGrid/>
        <w:spacing w:line="360" w:lineRule="auto"/>
        <w:ind w:right="540" w:rightChars="257"/>
        <w:jc w:val="both"/>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 xml:space="preserve">乙方（服务方）：  </w:t>
      </w:r>
    </w:p>
    <w:p>
      <w:pPr>
        <w:pStyle w:val="4"/>
        <w:keepNext w:val="0"/>
        <w:keepLines w:val="0"/>
        <w:pageBreakBefore w:val="0"/>
        <w:kinsoku/>
        <w:overflowPunct/>
        <w:topLinePunct w:val="0"/>
        <w:bidi w:val="0"/>
        <w:snapToGrid/>
        <w:spacing w:line="360" w:lineRule="auto"/>
        <w:jc w:val="both"/>
        <w:rPr>
          <w:rFonts w:ascii="仿宋_GB2312" w:hAnsi="宋体" w:eastAsia="仿宋_GB2312" w:cs="宋体"/>
          <w:b/>
          <w:bCs/>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 xml:space="preserve">统一社会信用代码： </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根据《中华人民共和国民法典》及其他有关法律规定，甲、乙双方在平等、自愿、协商一致的基础上，就乙方承包甲方的中央储备糖机械化出库装卸服务业务有关事宜达成如下合同：</w:t>
      </w:r>
    </w:p>
    <w:p>
      <w:pPr>
        <w:keepNext w:val="0"/>
        <w:keepLines w:val="0"/>
        <w:pageBreakBefore w:val="0"/>
        <w:numPr>
          <w:ilvl w:val="0"/>
          <w:numId w:val="2"/>
        </w:numPr>
        <w:tabs>
          <w:tab w:val="left" w:pos="1080"/>
        </w:tabs>
        <w:kinsoku/>
        <w:overflowPunct/>
        <w:topLinePunct w:val="0"/>
        <w:bidi w:val="0"/>
        <w:snapToGrid/>
        <w:spacing w:line="360" w:lineRule="auto"/>
        <w:ind w:firstLine="12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宋体" w:hAnsi="宋体"/>
          <w:bCs/>
          <w:sz w:val="28"/>
          <w:szCs w:val="28"/>
        </w:rPr>
      </w:pPr>
      <w:r>
        <w:rPr>
          <w:rFonts w:hint="eastAsia" w:ascii="仿宋_GB2312" w:hAnsi="宋体" w:eastAsia="仿宋_GB2312" w:cs="宋体"/>
          <w:color w:val="000000" w:themeColor="text1"/>
          <w:sz w:val="30"/>
          <w:szCs w:val="30"/>
          <w14:textFill>
            <w14:solidFill>
              <w14:schemeClr w14:val="tx1"/>
            </w14:solidFill>
          </w14:textFill>
        </w:rPr>
        <w:t>乙方根据甲方的</w:t>
      </w:r>
      <w:r>
        <w:rPr>
          <w:rFonts w:hint="eastAsia" w:ascii="仿宋_GB2312" w:hAnsi="宋体" w:eastAsia="仿宋_GB2312" w:cs="宋体"/>
          <w:color w:val="000000" w:themeColor="text1"/>
          <w:sz w:val="30"/>
          <w:szCs w:val="30"/>
          <w:lang w:val="en-US" w:eastAsia="zh-CN"/>
          <w14:textFill>
            <w14:solidFill>
              <w14:schemeClr w14:val="tx1"/>
            </w14:solidFill>
          </w14:textFill>
        </w:rPr>
        <w:t>工作</w:t>
      </w:r>
      <w:r>
        <w:rPr>
          <w:rFonts w:hint="eastAsia" w:ascii="仿宋_GB2312" w:hAnsi="宋体" w:eastAsia="仿宋_GB2312" w:cs="宋体"/>
          <w:color w:val="000000" w:themeColor="text1"/>
          <w:sz w:val="30"/>
          <w:szCs w:val="30"/>
          <w14:textFill>
            <w14:solidFill>
              <w14:schemeClr w14:val="tx1"/>
            </w14:solidFill>
          </w14:textFill>
        </w:rPr>
        <w:t>安排</w:t>
      </w:r>
      <w:r>
        <w:rPr>
          <w:rFonts w:hint="eastAsia" w:ascii="仿宋_GB2312" w:hAnsi="宋体" w:eastAsia="仿宋_GB2312" w:cs="宋体"/>
          <w:color w:val="000000" w:themeColor="text1"/>
          <w:sz w:val="30"/>
          <w:szCs w:val="30"/>
          <w:lang w:eastAsia="zh-CN"/>
          <w14:textFill>
            <w14:solidFill>
              <w14:schemeClr w14:val="tx1"/>
            </w14:solidFill>
          </w14:textFill>
        </w:rPr>
        <w:t>，</w:t>
      </w:r>
      <w:r>
        <w:rPr>
          <w:rFonts w:hint="eastAsia" w:ascii="仿宋_GB2312" w:hAnsi="宋体" w:eastAsia="仿宋_GB2312" w:cs="宋体"/>
          <w:color w:val="000000" w:themeColor="text1"/>
          <w:sz w:val="30"/>
          <w:szCs w:val="30"/>
          <w14:textFill>
            <w14:solidFill>
              <w14:schemeClr w14:val="tx1"/>
            </w14:solidFill>
          </w14:textFill>
        </w:rPr>
        <w:t>在合同期内保质保量完成甲方要求的中央</w:t>
      </w:r>
      <w:r>
        <w:rPr>
          <w:rFonts w:hint="eastAsia" w:ascii="仿宋_GB2312" w:hAnsi="宋体" w:eastAsia="仿宋_GB2312" w:cs="宋体"/>
          <w:color w:val="000000" w:themeColor="text1"/>
          <w:sz w:val="30"/>
          <w:szCs w:val="30"/>
          <w:lang w:val="en-US" w:eastAsia="zh-CN"/>
          <w14:textFill>
            <w14:solidFill>
              <w14:schemeClr w14:val="tx1"/>
            </w14:solidFill>
          </w14:textFill>
        </w:rPr>
        <w:t>储备糖的拆垛、出库、装卸等服务。作业时间根据甲方实际需要另行安排。其作业内容包括但不限于：拆垛装车、整理垫板、清理地面散糖等，确保机械化出库作业全程安全，施工场所及周围环境干净整洁</w:t>
      </w:r>
      <w:r>
        <w:rPr>
          <w:rFonts w:hint="default" w:ascii="仿宋_GB2312" w:hAnsi="宋体" w:eastAsia="仿宋_GB2312" w:cs="宋体"/>
          <w:color w:val="000000" w:themeColor="text1"/>
          <w:sz w:val="30"/>
          <w:szCs w:val="30"/>
          <w:lang w:eastAsia="zh-CN"/>
          <w14:textFill>
            <w14:solidFill>
              <w14:schemeClr w14:val="tx1"/>
            </w14:solidFill>
          </w14:textFill>
        </w:rPr>
        <w:t>。</w:t>
      </w:r>
    </w:p>
    <w:p>
      <w:pPr>
        <w:keepNext w:val="0"/>
        <w:keepLines w:val="0"/>
        <w:pageBreakBefore w:val="0"/>
        <w:numPr>
          <w:ilvl w:val="0"/>
          <w:numId w:val="3"/>
        </w:numPr>
        <w:kinsoku/>
        <w:overflowPunct/>
        <w:topLinePunct w:val="0"/>
        <w:bidi w:val="0"/>
        <w:snapToGrid/>
        <w:spacing w:line="360" w:lineRule="auto"/>
        <w:ind w:firstLine="643" w:firstLineChars="200"/>
        <w:jc w:val="both"/>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 xml:space="preserve">费用标准及结算方式 </w:t>
      </w:r>
    </w:p>
    <w:p>
      <w:pPr>
        <w:pStyle w:val="23"/>
        <w:keepNext w:val="0"/>
        <w:keepLines w:val="0"/>
        <w:pageBreakBefore w:val="0"/>
        <w:numPr>
          <w:ilvl w:val="0"/>
          <w:numId w:val="0"/>
        </w:numPr>
        <w:kinsoku/>
        <w:overflowPunct/>
        <w:topLinePunct w:val="0"/>
        <w:bidi w:val="0"/>
        <w:snapToGrid/>
        <w:spacing w:line="360" w:lineRule="auto"/>
        <w:ind w:firstLine="600" w:firstLineChars="200"/>
        <w:jc w:val="both"/>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一</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费用标准</w:t>
      </w:r>
      <w:r>
        <w:rPr>
          <w:rFonts w:hint="eastAsia" w:ascii="仿宋_GB2312" w:hAnsi="宋体" w:eastAsia="仿宋_GB2312"/>
          <w:color w:val="000000" w:themeColor="text1"/>
          <w:sz w:val="30"/>
          <w:szCs w:val="30"/>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货币单位：元（人民币）</w:t>
      </w:r>
    </w:p>
    <w:tbl>
      <w:tblPr>
        <w:tblStyle w:val="15"/>
        <w:tblW w:w="9242" w:type="dxa"/>
        <w:jc w:val="center"/>
        <w:tblLayout w:type="fixed"/>
        <w:tblCellMar>
          <w:top w:w="0" w:type="dxa"/>
          <w:left w:w="0" w:type="dxa"/>
          <w:bottom w:w="0" w:type="dxa"/>
          <w:right w:w="0" w:type="dxa"/>
        </w:tblCellMar>
      </w:tblPr>
      <w:tblGrid>
        <w:gridCol w:w="2136"/>
        <w:gridCol w:w="1120"/>
        <w:gridCol w:w="1690"/>
        <w:gridCol w:w="1280"/>
        <w:gridCol w:w="1410"/>
        <w:gridCol w:w="1606"/>
      </w:tblGrid>
      <w:tr>
        <w:trPr>
          <w:trHeight w:val="1140" w:hRule="atLeast"/>
          <w:jc w:val="center"/>
        </w:trPr>
        <w:tc>
          <w:tcPr>
            <w:tcW w:w="21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hint="eastAsia" w:ascii="仿宋_GB2312" w:eastAsia="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项目</w:t>
            </w:r>
            <w:r>
              <w:rPr>
                <w:rFonts w:hint="eastAsia" w:ascii="仿宋_GB2312" w:eastAsia="仿宋_GB2312" w:hAnsiTheme="minorEastAsia"/>
                <w:color w:val="000000" w:themeColor="text1"/>
                <w:sz w:val="30"/>
                <w:szCs w:val="30"/>
                <w:lang w:val="en-US" w:eastAsia="zh-CN"/>
                <w14:textFill>
                  <w14:solidFill>
                    <w14:schemeClr w14:val="tx1"/>
                  </w14:solidFill>
                </w14:textFill>
              </w:rPr>
              <w:t>名称</w:t>
            </w:r>
          </w:p>
        </w:tc>
        <w:tc>
          <w:tcPr>
            <w:tcW w:w="11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单位</w:t>
            </w:r>
          </w:p>
        </w:tc>
        <w:tc>
          <w:tcPr>
            <w:tcW w:w="16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不含税单价</w:t>
            </w: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税率（%）</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含税单价</w:t>
            </w:r>
          </w:p>
        </w:tc>
        <w:tc>
          <w:tcPr>
            <w:tcW w:w="16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备注</w:t>
            </w:r>
          </w:p>
        </w:tc>
      </w:tr>
      <w:tr>
        <w:tblPrEx>
          <w:tblCellMar>
            <w:top w:w="0" w:type="dxa"/>
            <w:left w:w="0" w:type="dxa"/>
            <w:bottom w:w="0" w:type="dxa"/>
            <w:right w:w="0" w:type="dxa"/>
          </w:tblCellMar>
        </w:tblPrEx>
        <w:trPr>
          <w:trHeight w:val="855" w:hRule="atLeast"/>
          <w:jc w:val="center"/>
        </w:trPr>
        <w:tc>
          <w:tcPr>
            <w:tcW w:w="21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hint="eastAsia" w:ascii="仿宋_GB2312" w:eastAsia="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hAnsiTheme="minorEastAsia"/>
                <w:color w:val="000000" w:themeColor="text1"/>
                <w:sz w:val="30"/>
                <w:szCs w:val="30"/>
                <w:lang w:val="en-US" w:eastAsia="zh-CN"/>
                <w14:textFill>
                  <w14:solidFill>
                    <w14:schemeClr w14:val="tx1"/>
                  </w14:solidFill>
                </w14:textFill>
              </w:rPr>
              <w:t>中央储备糖</w:t>
            </w:r>
          </w:p>
          <w:p>
            <w:pPr>
              <w:keepNext w:val="0"/>
              <w:keepLines w:val="0"/>
              <w:pageBreakBefore w:val="0"/>
              <w:kinsoku/>
              <w:overflowPunct/>
              <w:topLinePunct w:val="0"/>
              <w:bidi w:val="0"/>
              <w:snapToGrid/>
              <w:spacing w:line="360" w:lineRule="auto"/>
              <w:jc w:val="center"/>
              <w:rPr>
                <w:rFonts w:hint="default" w:ascii="仿宋_GB2312" w:eastAsia="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hAnsiTheme="minorEastAsia"/>
                <w:color w:val="000000" w:themeColor="text1"/>
                <w:sz w:val="30"/>
                <w:szCs w:val="30"/>
                <w:lang w:val="en-US" w:eastAsia="zh-CN"/>
                <w14:textFill>
                  <w14:solidFill>
                    <w14:schemeClr w14:val="tx1"/>
                  </w14:solidFill>
                </w14:textFill>
              </w:rPr>
              <w:t>机械化出库</w:t>
            </w:r>
          </w:p>
        </w:tc>
        <w:tc>
          <w:tcPr>
            <w:tcW w:w="11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r>
              <w:rPr>
                <w:rFonts w:hint="eastAsia" w:ascii="仿宋_GB2312" w:eastAsia="仿宋_GB2312" w:hAnsiTheme="minorEastAsia"/>
                <w:color w:val="000000" w:themeColor="text1"/>
                <w:sz w:val="30"/>
                <w:szCs w:val="30"/>
                <w14:textFill>
                  <w14:solidFill>
                    <w14:schemeClr w14:val="tx1"/>
                  </w14:solidFill>
                </w14:textFill>
              </w:rPr>
              <w:t>吨</w:t>
            </w:r>
          </w:p>
        </w:tc>
        <w:tc>
          <w:tcPr>
            <w:tcW w:w="16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napToGrid/>
              <w:spacing w:line="360" w:lineRule="auto"/>
              <w:jc w:val="center"/>
              <w:rPr>
                <w:rFonts w:ascii="仿宋_GB2312" w:eastAsia="仿宋_GB2312" w:hAnsiTheme="minorEastAsia"/>
                <w:color w:val="000000" w:themeColor="text1"/>
                <w:sz w:val="30"/>
                <w:szCs w:val="30"/>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overflowPunct/>
              <w:topLinePunct w:val="0"/>
              <w:bidi w:val="0"/>
              <w:snapToGrid/>
              <w:spacing w:line="360" w:lineRule="auto"/>
              <w:jc w:val="center"/>
              <w:rPr>
                <w:rFonts w:ascii="仿宋_GB2312" w:eastAsia="仿宋_GB2312" w:cs="Arial" w:hAnsiTheme="minorEastAsia"/>
                <w:color w:val="000000" w:themeColor="text1"/>
                <w:sz w:val="30"/>
                <w:szCs w:val="30"/>
                <w14:textFill>
                  <w14:solidFill>
                    <w14:schemeClr w14:val="tx1"/>
                  </w14:solidFill>
                </w14:textFill>
              </w:rPr>
            </w:pPr>
            <w:r>
              <w:rPr>
                <w:rFonts w:hint="eastAsia" w:ascii="仿宋_GB2312" w:eastAsia="仿宋_GB2312" w:cs="Arial" w:hAnsiTheme="minorEastAsia"/>
                <w:color w:val="000000" w:themeColor="text1"/>
                <w:sz w:val="30"/>
                <w:szCs w:val="30"/>
                <w14:textFill>
                  <w14:solidFill>
                    <w14:schemeClr w14:val="tx1"/>
                  </w14:solidFill>
                </w14:textFill>
              </w:rPr>
              <w:t>以实际出</w:t>
            </w:r>
            <w:r>
              <w:rPr>
                <w:rFonts w:hint="eastAsia" w:ascii="仿宋_GB2312" w:eastAsia="仿宋_GB2312" w:cs="Arial" w:hAnsiTheme="minorEastAsia"/>
                <w:color w:val="000000" w:themeColor="text1"/>
                <w:sz w:val="30"/>
                <w:szCs w:val="30"/>
                <w:lang w:val="en-US" w:eastAsia="zh-CN"/>
                <w14:textFill>
                  <w14:solidFill>
                    <w14:schemeClr w14:val="tx1"/>
                  </w14:solidFill>
                </w14:textFill>
              </w:rPr>
              <w:t>库</w:t>
            </w:r>
            <w:r>
              <w:rPr>
                <w:rFonts w:hint="eastAsia" w:ascii="仿宋_GB2312" w:eastAsia="仿宋_GB2312" w:cs="Arial" w:hAnsiTheme="minorEastAsia"/>
                <w:color w:val="000000" w:themeColor="text1"/>
                <w:sz w:val="30"/>
                <w:szCs w:val="30"/>
                <w14:textFill>
                  <w14:solidFill>
                    <w14:schemeClr w14:val="tx1"/>
                  </w14:solidFill>
                </w14:textFill>
              </w:rPr>
              <w:t>数量为准</w:t>
            </w:r>
          </w:p>
        </w:tc>
      </w:tr>
    </w:tbl>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14:textFill>
            <w14:solidFill>
              <w14:schemeClr w14:val="tx1"/>
            </w14:solidFill>
          </w14:textFill>
        </w:rPr>
        <w:t>注：</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lang w:val="en-US" w:eastAsia="zh-CN"/>
          <w14:textFill>
            <w14:solidFill>
              <w14:schemeClr w14:val="tx1"/>
            </w14:solidFill>
          </w14:textFill>
        </w:rPr>
        <w:t>1.</w:t>
      </w:r>
      <w:r>
        <w:rPr>
          <w:rFonts w:hint="eastAsia" w:ascii="仿宋_GB2312" w:hAnsi="宋体" w:eastAsia="仿宋_GB2312" w:cs="宋体"/>
          <w:color w:val="000000" w:themeColor="text1"/>
          <w:sz w:val="30"/>
          <w:szCs w:val="30"/>
          <w14:textFill>
            <w14:solidFill>
              <w14:schemeClr w14:val="tx1"/>
            </w14:solidFill>
          </w14:textFill>
        </w:rPr>
        <w:t>装卸费为含税率为</w:t>
      </w:r>
      <w:r>
        <w:rPr>
          <w:rFonts w:hint="eastAsia" w:ascii="仿宋_GB2312" w:hAnsi="宋体" w:eastAsia="仿宋_GB2312" w:cs="宋体"/>
          <w:color w:val="000000" w:themeColor="text1"/>
          <w:sz w:val="30"/>
          <w:szCs w:val="30"/>
          <w:u w:val="single"/>
          <w14:textFill>
            <w14:solidFill>
              <w14:schemeClr w14:val="tx1"/>
            </w14:solidFill>
          </w14:textFill>
        </w:rPr>
        <w:t xml:space="preserve"> </w:t>
      </w:r>
      <w:r>
        <w:rPr>
          <w:rFonts w:hint="eastAsia" w:ascii="仿宋_GB2312" w:hAnsi="宋体" w:eastAsia="仿宋_GB2312" w:cs="宋体"/>
          <w:color w:val="000000" w:themeColor="text1"/>
          <w:sz w:val="30"/>
          <w:szCs w:val="30"/>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sz w:val="30"/>
          <w:szCs w:val="30"/>
          <w:u w:val="single"/>
          <w14:textFill>
            <w14:solidFill>
              <w14:schemeClr w14:val="tx1"/>
            </w14:solidFill>
          </w14:textFill>
        </w:rPr>
        <w:t xml:space="preserve"> </w:t>
      </w:r>
      <w:r>
        <w:rPr>
          <w:rFonts w:hint="eastAsia" w:ascii="仿宋_GB2312" w:hAnsi="宋体" w:eastAsia="仿宋_GB2312" w:cs="宋体"/>
          <w:color w:val="000000" w:themeColor="text1"/>
          <w:sz w:val="30"/>
          <w:szCs w:val="30"/>
          <w14:textFill>
            <w14:solidFill>
              <w14:schemeClr w14:val="tx1"/>
            </w14:solidFill>
          </w14:textFill>
        </w:rPr>
        <w:t>%的增值税的金额，装卸费用按实际作业量进行结算。</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lang w:val="en-US" w:eastAsia="zh-CN"/>
          <w14:textFill>
            <w14:solidFill>
              <w14:schemeClr w14:val="tx1"/>
            </w14:solidFill>
          </w14:textFill>
        </w:rPr>
        <w:t>2.</w:t>
      </w:r>
      <w:r>
        <w:rPr>
          <w:rFonts w:hint="eastAsia" w:ascii="仿宋_GB2312" w:hAnsi="宋体" w:eastAsia="仿宋_GB2312" w:cs="宋体"/>
          <w:color w:val="000000" w:themeColor="text1"/>
          <w:sz w:val="30"/>
          <w:szCs w:val="30"/>
          <w14:textFill>
            <w14:solidFill>
              <w14:schemeClr w14:val="tx1"/>
            </w14:solidFill>
          </w14:textFill>
        </w:rPr>
        <w:t>乙方提供增值</w:t>
      </w:r>
      <w:r>
        <w:rPr>
          <w:rFonts w:hint="eastAsia" w:ascii="仿宋_GB2312" w:hAnsi="宋体" w:eastAsia="仿宋_GB2312" w:cs="宋体"/>
          <w:color w:val="000000" w:themeColor="text1"/>
          <w:sz w:val="30"/>
          <w:szCs w:val="30"/>
          <w:u w:val="single"/>
          <w14:textFill>
            <w14:solidFill>
              <w14:schemeClr w14:val="tx1"/>
            </w14:solidFill>
          </w14:textFill>
        </w:rPr>
        <w:t xml:space="preserve">     </w:t>
      </w:r>
      <w:r>
        <w:rPr>
          <w:rFonts w:hint="eastAsia" w:ascii="仿宋_GB2312" w:hAnsi="宋体" w:eastAsia="仿宋_GB2312" w:cs="宋体"/>
          <w:color w:val="000000" w:themeColor="text1"/>
          <w:sz w:val="30"/>
          <w:szCs w:val="30"/>
          <w14:textFill>
            <w14:solidFill>
              <w14:schemeClr w14:val="tx1"/>
            </w14:solidFill>
          </w14:textFill>
        </w:rPr>
        <w:t>发票后（税率为</w:t>
      </w:r>
      <w:r>
        <w:rPr>
          <w:rFonts w:hint="eastAsia" w:ascii="仿宋_GB2312" w:hAnsi="宋体" w:eastAsia="仿宋_GB2312" w:cs="宋体"/>
          <w:color w:val="000000" w:themeColor="text1"/>
          <w:sz w:val="30"/>
          <w:szCs w:val="30"/>
          <w:u w:val="single"/>
          <w14:textFill>
            <w14:solidFill>
              <w14:schemeClr w14:val="tx1"/>
            </w14:solidFill>
          </w14:textFill>
        </w:rPr>
        <w:t xml:space="preserve">   </w:t>
      </w:r>
      <w:r>
        <w:rPr>
          <w:rFonts w:hint="eastAsia" w:ascii="仿宋_GB2312" w:hAnsi="宋体" w:eastAsia="仿宋_GB2312" w:cs="宋体"/>
          <w:color w:val="000000" w:themeColor="text1"/>
          <w:sz w:val="30"/>
          <w:szCs w:val="30"/>
          <w14:textFill>
            <w14:solidFill>
              <w14:schemeClr w14:val="tx1"/>
            </w14:solidFill>
          </w14:textFill>
        </w:rPr>
        <w:t>% 的增值税），甲方支付装卸费用，以转账方式支付。</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cs="宋体"/>
          <w:color w:val="000000" w:themeColor="text1"/>
          <w:sz w:val="30"/>
          <w:szCs w:val="30"/>
          <w14:textFill>
            <w14:solidFill>
              <w14:schemeClr w14:val="tx1"/>
            </w14:solidFill>
          </w14:textFill>
        </w:rPr>
      </w:pPr>
      <w:r>
        <w:rPr>
          <w:rFonts w:hint="eastAsia" w:ascii="仿宋_GB2312" w:hAnsi="宋体" w:eastAsia="仿宋_GB2312" w:cs="宋体"/>
          <w:color w:val="000000" w:themeColor="text1"/>
          <w:sz w:val="30"/>
          <w:szCs w:val="30"/>
          <w:lang w:val="en-US" w:eastAsia="zh-CN"/>
          <w14:textFill>
            <w14:solidFill>
              <w14:schemeClr w14:val="tx1"/>
            </w14:solidFill>
          </w14:textFill>
        </w:rPr>
        <w:t>3.</w:t>
      </w:r>
      <w:r>
        <w:rPr>
          <w:rFonts w:hint="eastAsia" w:ascii="仿宋_GB2312" w:hAnsi="宋体" w:eastAsia="仿宋_GB2312" w:cs="宋体"/>
          <w:color w:val="000000" w:themeColor="text1"/>
          <w:sz w:val="30"/>
          <w:szCs w:val="30"/>
          <w14:textFill>
            <w14:solidFill>
              <w14:schemeClr w14:val="tx1"/>
            </w14:solidFill>
          </w14:textFill>
        </w:rPr>
        <w:t>上述费用包含乙方在本合同条款项下应得的所有款项，除非双方另有约定，甲方不向乙方支付任何费用。</w:t>
      </w:r>
    </w:p>
    <w:p>
      <w:pPr>
        <w:keepNext w:val="0"/>
        <w:keepLines w:val="0"/>
        <w:pageBreakBefore w:val="0"/>
        <w:kinsoku/>
        <w:overflowPunct/>
        <w:topLinePunct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4.</w:t>
      </w:r>
      <w:r>
        <w:rPr>
          <w:rFonts w:hint="eastAsia" w:ascii="仿宋_GB2312" w:hAnsi="仿宋" w:eastAsia="仿宋_GB2312" w:cs="仿宋"/>
          <w:color w:val="000000" w:themeColor="text1"/>
          <w:sz w:val="30"/>
          <w:szCs w:val="30"/>
          <w14:textFill>
            <w14:solidFill>
              <w14:schemeClr w14:val="tx1"/>
            </w14:solidFill>
          </w14:textFill>
        </w:rPr>
        <w:t>因国家税收政策变化导致约定开票税率发生变化的，合同约定付款金额按照不含税报价*（1+新税率）执行。</w:t>
      </w:r>
    </w:p>
    <w:p>
      <w:pPr>
        <w:keepNext w:val="0"/>
        <w:keepLines w:val="0"/>
        <w:pageBreakBefore w:val="0"/>
        <w:kinsoku/>
        <w:overflowPunct/>
        <w:topLinePunct w:val="0"/>
        <w:bidi w:val="0"/>
        <w:snapToGrid/>
        <w:spacing w:line="360" w:lineRule="auto"/>
        <w:ind w:firstLine="600" w:firstLineChars="200"/>
        <w:jc w:val="both"/>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二</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结算方式</w:t>
      </w:r>
    </w:p>
    <w:p>
      <w:pPr>
        <w:keepNext w:val="0"/>
        <w:keepLines w:val="0"/>
        <w:pageBreakBefore w:val="0"/>
        <w:kinsoku/>
        <w:overflowPunct/>
        <w:topLinePunct w:val="0"/>
        <w:autoSpaceDN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14:textFill>
            <w14:solidFill>
              <w14:schemeClr w14:val="tx1"/>
            </w14:solidFill>
          </w14:textFill>
        </w:rPr>
        <w:t>乙方为甲方装卸服务完成后，由甲方相关业务负责人员按照作业项目和实际作业数量开具相应的《出库单》给乙方，乙方以此作为与甲方核数、结算的凭证。双方完成本批次出库任务后，乙方将《出库单》汇总并与甲方核对,甲、乙双方核对无误后，乙方按照确认金额出具符合规定的增值税税专用发票（税率</w:t>
      </w:r>
      <w:r>
        <w:rPr>
          <w:rFonts w:hint="eastAsia" w:ascii="仿宋_GB2312" w:hAnsi="仿宋" w:eastAsia="仿宋_GB2312" w:cs="仿宋"/>
          <w:color w:val="000000" w:themeColor="text1"/>
          <w:sz w:val="30"/>
          <w:szCs w:val="30"/>
          <w:u w:val="single"/>
          <w14:textFill>
            <w14:solidFill>
              <w14:schemeClr w14:val="tx1"/>
            </w14:solidFill>
          </w14:textFill>
        </w:rPr>
        <w:t xml:space="preserve">   </w:t>
      </w:r>
      <w:r>
        <w:rPr>
          <w:rFonts w:hint="eastAsia" w:ascii="仿宋_GB2312" w:hAnsi="仿宋" w:eastAsia="仿宋_GB2312" w:cs="仿宋"/>
          <w:color w:val="000000" w:themeColor="text1"/>
          <w:sz w:val="30"/>
          <w:szCs w:val="30"/>
          <w14:textFill>
            <w14:solidFill>
              <w14:schemeClr w14:val="tx1"/>
            </w14:solidFill>
          </w14:textFill>
        </w:rPr>
        <w:t>%）给甲方。甲方凭乙方出具的增值税专用发票结算费用。</w:t>
      </w:r>
    </w:p>
    <w:p>
      <w:pPr>
        <w:keepNext w:val="0"/>
        <w:keepLines w:val="0"/>
        <w:pageBreakBefore w:val="0"/>
        <w:kinsoku/>
        <w:overflowPunct/>
        <w:topLinePunct w:val="0"/>
        <w:autoSpaceDN w:val="0"/>
        <w:bidi w:val="0"/>
        <w:snapToGrid/>
        <w:spacing w:line="360" w:lineRule="auto"/>
        <w:ind w:firstLine="602" w:firstLineChars="200"/>
        <w:jc w:val="both"/>
        <w:rPr>
          <w:rFonts w:ascii="仿宋_GB2312" w:hAnsi="宋体" w:eastAsia="仿宋_GB2312" w:cs="宋体"/>
          <w:b/>
          <w:color w:val="000000" w:themeColor="text1"/>
          <w:sz w:val="30"/>
          <w:szCs w:val="30"/>
          <w14:textFill>
            <w14:solidFill>
              <w14:schemeClr w14:val="tx1"/>
            </w14:solidFill>
          </w14:textFill>
        </w:rPr>
      </w:pPr>
      <w:r>
        <w:rPr>
          <w:rFonts w:hint="eastAsia" w:ascii="仿宋_GB2312" w:hAnsi="宋体" w:eastAsia="仿宋_GB2312" w:cs="宋体"/>
          <w:b/>
          <w:color w:val="000000" w:themeColor="text1"/>
          <w:sz w:val="30"/>
          <w:szCs w:val="30"/>
          <w14:textFill>
            <w14:solidFill>
              <w14:schemeClr w14:val="tx1"/>
            </w14:solidFill>
          </w14:textFill>
        </w:rPr>
        <w:t>乙方指定收款银行帐户信息如下：</w:t>
      </w:r>
    </w:p>
    <w:p>
      <w:pPr>
        <w:pStyle w:val="4"/>
        <w:keepNext w:val="0"/>
        <w:keepLines w:val="0"/>
        <w:pageBreakBefore w:val="0"/>
        <w:kinsoku/>
        <w:overflowPunct/>
        <w:topLinePunct w:val="0"/>
        <w:bidi w:val="0"/>
        <w:snapToGrid/>
        <w:spacing w:line="360" w:lineRule="auto"/>
        <w:ind w:firstLine="560"/>
        <w:jc w:val="both"/>
        <w:rPr>
          <w:rFonts w:ascii="仿宋_GB2312" w:hAnsi="宋体" w:eastAsia="仿宋_GB2312" w:cs="宋体"/>
          <w:bCs/>
          <w:color w:val="000000" w:themeColor="text1"/>
          <w:sz w:val="30"/>
          <w:szCs w:val="30"/>
          <w:u w:val="single"/>
          <w14:textFill>
            <w14:solidFill>
              <w14:schemeClr w14:val="tx1"/>
            </w14:solidFill>
          </w14:textFill>
        </w:rPr>
      </w:pPr>
      <w:r>
        <w:rPr>
          <w:rFonts w:hint="eastAsia" w:ascii="仿宋_GB2312" w:hAnsi="宋体" w:eastAsia="仿宋_GB2312" w:cs="宋体"/>
          <w:bCs/>
          <w:color w:val="000000" w:themeColor="text1"/>
          <w:sz w:val="30"/>
          <w:szCs w:val="30"/>
          <w14:textFill>
            <w14:solidFill>
              <w14:schemeClr w14:val="tx1"/>
            </w14:solidFill>
          </w14:textFill>
        </w:rPr>
        <w:t>户  名：</w:t>
      </w:r>
      <w:r>
        <w:rPr>
          <w:rFonts w:hint="eastAsia" w:ascii="仿宋_GB2312" w:hAnsi="宋体" w:eastAsia="仿宋_GB2312" w:cs="宋体"/>
          <w:bCs/>
          <w:color w:val="000000" w:themeColor="text1"/>
          <w:sz w:val="30"/>
          <w:szCs w:val="30"/>
          <w:u w:val="single"/>
          <w14:textFill>
            <w14:solidFill>
              <w14:schemeClr w14:val="tx1"/>
            </w14:solidFill>
          </w14:textFill>
        </w:rPr>
        <w:t xml:space="preserve">                      </w:t>
      </w:r>
    </w:p>
    <w:p>
      <w:pPr>
        <w:pStyle w:val="4"/>
        <w:keepNext w:val="0"/>
        <w:keepLines w:val="0"/>
        <w:pageBreakBefore w:val="0"/>
        <w:kinsoku/>
        <w:overflowPunct/>
        <w:topLinePunct w:val="0"/>
        <w:bidi w:val="0"/>
        <w:snapToGrid/>
        <w:spacing w:line="360" w:lineRule="auto"/>
        <w:ind w:firstLine="560"/>
        <w:jc w:val="both"/>
        <w:rPr>
          <w:rFonts w:ascii="仿宋_GB2312" w:hAnsi="宋体" w:eastAsia="仿宋_GB2312" w:cs="宋体"/>
          <w:bCs/>
          <w:color w:val="000000" w:themeColor="text1"/>
          <w:sz w:val="30"/>
          <w:szCs w:val="30"/>
          <w:u w:val="single"/>
          <w14:textFill>
            <w14:solidFill>
              <w14:schemeClr w14:val="tx1"/>
            </w14:solidFill>
          </w14:textFill>
        </w:rPr>
      </w:pPr>
      <w:r>
        <w:rPr>
          <w:rFonts w:hint="eastAsia" w:ascii="仿宋_GB2312" w:hAnsi="宋体" w:eastAsia="仿宋_GB2312" w:cs="宋体"/>
          <w:bCs/>
          <w:color w:val="000000" w:themeColor="text1"/>
          <w:sz w:val="30"/>
          <w:szCs w:val="30"/>
          <w14:textFill>
            <w14:solidFill>
              <w14:schemeClr w14:val="tx1"/>
            </w14:solidFill>
          </w14:textFill>
        </w:rPr>
        <w:t>开户行：</w:t>
      </w:r>
      <w:r>
        <w:rPr>
          <w:rFonts w:hint="eastAsia" w:ascii="仿宋_GB2312" w:hAnsi="宋体" w:eastAsia="仿宋_GB2312" w:cs="宋体"/>
          <w:bCs/>
          <w:color w:val="000000" w:themeColor="text1"/>
          <w:sz w:val="30"/>
          <w:szCs w:val="30"/>
          <w:u w:val="single"/>
          <w14:textFill>
            <w14:solidFill>
              <w14:schemeClr w14:val="tx1"/>
            </w14:solidFill>
          </w14:textFill>
        </w:rPr>
        <w:t xml:space="preserve">                       </w:t>
      </w:r>
    </w:p>
    <w:p>
      <w:pPr>
        <w:pStyle w:val="4"/>
        <w:keepNext w:val="0"/>
        <w:keepLines w:val="0"/>
        <w:pageBreakBefore w:val="0"/>
        <w:kinsoku/>
        <w:overflowPunct/>
        <w:topLinePunct w:val="0"/>
        <w:bidi w:val="0"/>
        <w:snapToGrid/>
        <w:spacing w:line="360" w:lineRule="auto"/>
        <w:ind w:firstLine="56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宋体" w:eastAsia="仿宋_GB2312" w:cs="宋体"/>
          <w:bCs/>
          <w:color w:val="000000" w:themeColor="text1"/>
          <w:sz w:val="30"/>
          <w:szCs w:val="30"/>
          <w14:textFill>
            <w14:solidFill>
              <w14:schemeClr w14:val="tx1"/>
            </w14:solidFill>
          </w14:textFill>
        </w:rPr>
        <w:t>帐  号：</w:t>
      </w:r>
      <w:r>
        <w:rPr>
          <w:rFonts w:hint="eastAsia" w:ascii="仿宋_GB2312" w:hAnsi="宋体" w:eastAsia="仿宋_GB2312" w:cs="宋体"/>
          <w:bCs/>
          <w:color w:val="000000" w:themeColor="text1"/>
          <w:sz w:val="30"/>
          <w:szCs w:val="30"/>
          <w:u w:val="single"/>
          <w14:textFill>
            <w14:solidFill>
              <w14:schemeClr w14:val="tx1"/>
            </w14:solidFill>
          </w14:textFill>
        </w:rPr>
        <w:t xml:space="preserve">                       </w:t>
      </w:r>
    </w:p>
    <w:p>
      <w:pPr>
        <w:keepNext w:val="0"/>
        <w:keepLines w:val="0"/>
        <w:pageBreakBefore w:val="0"/>
        <w:numPr>
          <w:ilvl w:val="0"/>
          <w:numId w:val="3"/>
        </w:numPr>
        <w:kinsoku/>
        <w:overflowPunct/>
        <w:topLinePunct w:val="0"/>
        <w:bidi w:val="0"/>
        <w:snapToGrid/>
        <w:spacing w:line="360" w:lineRule="auto"/>
        <w:ind w:firstLine="643" w:firstLineChars="200"/>
        <w:jc w:val="both"/>
        <w:rPr>
          <w:rFonts w:hint="eastAsia"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作业方式</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出库装卸作业方式为</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挖掘机进库对糖垛进行扒垛，由铲车铲挖散糖，卸至库外运输车辆的作业模式。</w:t>
      </w:r>
    </w:p>
    <w:p>
      <w:pPr>
        <w:keepNext w:val="0"/>
        <w:keepLines w:val="0"/>
        <w:pageBreakBefore w:val="0"/>
        <w:numPr>
          <w:ilvl w:val="0"/>
          <w:numId w:val="3"/>
        </w:numPr>
        <w:kinsoku/>
        <w:overflowPunct/>
        <w:topLinePunct w:val="0"/>
        <w:bidi w:val="0"/>
        <w:snapToGrid/>
        <w:spacing w:line="360" w:lineRule="auto"/>
        <w:ind w:firstLine="643" w:firstLineChars="200"/>
        <w:jc w:val="both"/>
        <w:rPr>
          <w:rFonts w:hint="eastAsia"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作业要求</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一</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作业过程中，非机械操作人员退至隔离栏</w:t>
      </w:r>
      <w:r>
        <w:rPr>
          <w:rFonts w:hint="eastAsia" w:ascii="仿宋_GB2312" w:hAnsi="宋体" w:eastAsia="仿宋_GB2312"/>
          <w:color w:val="000000" w:themeColor="text1"/>
          <w:sz w:val="30"/>
          <w:szCs w:val="30"/>
          <w:lang w:val="en-US" w:eastAsia="zh-CN"/>
          <w14:textFill>
            <w14:solidFill>
              <w14:schemeClr w14:val="tx1"/>
            </w14:solidFill>
          </w14:textFill>
        </w:rPr>
        <w:t>或警戒线以</w:t>
      </w:r>
      <w:r>
        <w:rPr>
          <w:rFonts w:hint="eastAsia" w:ascii="仿宋_GB2312" w:hAnsi="宋体" w:eastAsia="仿宋_GB2312"/>
          <w:color w:val="000000" w:themeColor="text1"/>
          <w:sz w:val="30"/>
          <w:szCs w:val="30"/>
          <w14:textFill>
            <w14:solidFill>
              <w14:schemeClr w14:val="tx1"/>
            </w14:solidFill>
          </w14:textFill>
        </w:rPr>
        <w:t>外，挖掘机进库进行拆垛作业；铲车将</w:t>
      </w:r>
      <w:r>
        <w:rPr>
          <w:rFonts w:hint="eastAsia" w:ascii="仿宋_GB2312" w:hAnsi="宋体" w:eastAsia="仿宋_GB2312"/>
          <w:color w:val="000000" w:themeColor="text1"/>
          <w:sz w:val="30"/>
          <w:szCs w:val="30"/>
          <w:lang w:val="en-US" w:eastAsia="zh-CN"/>
          <w14:textFill>
            <w14:solidFill>
              <w14:schemeClr w14:val="tx1"/>
            </w14:solidFill>
          </w14:textFill>
        </w:rPr>
        <w:t>散</w:t>
      </w:r>
      <w:r>
        <w:rPr>
          <w:rFonts w:hint="eastAsia" w:ascii="仿宋_GB2312" w:hAnsi="宋体" w:eastAsia="仿宋_GB2312"/>
          <w:color w:val="000000" w:themeColor="text1"/>
          <w:sz w:val="30"/>
          <w:szCs w:val="30"/>
          <w14:textFill>
            <w14:solidFill>
              <w14:schemeClr w14:val="tx1"/>
            </w14:solidFill>
          </w14:textFill>
        </w:rPr>
        <w:t>糖装至货车车厢内。待糖垛拆至仅剩2-3层后，挖掘机、铲车全部退至安全位置熄火</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停止</w:t>
      </w:r>
      <w:r>
        <w:rPr>
          <w:rFonts w:hint="eastAsia" w:ascii="仿宋_GB2312" w:hAnsi="宋体" w:eastAsia="仿宋_GB2312"/>
          <w:color w:val="000000" w:themeColor="text1"/>
          <w:sz w:val="30"/>
          <w:szCs w:val="30"/>
          <w14:textFill>
            <w14:solidFill>
              <w14:schemeClr w14:val="tx1"/>
            </w14:solidFill>
          </w14:textFill>
        </w:rPr>
        <w:t>制动</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作业人员在确保安全的前提下，将垫板拾出</w:t>
      </w:r>
      <w:r>
        <w:rPr>
          <w:rFonts w:hint="eastAsia" w:ascii="仿宋_GB2312" w:hAnsi="宋体" w:eastAsia="仿宋_GB2312"/>
          <w:color w:val="000000" w:themeColor="text1"/>
          <w:sz w:val="30"/>
          <w:szCs w:val="30"/>
          <w:lang w:val="en-US" w:eastAsia="zh-CN"/>
          <w14:textFill>
            <w14:solidFill>
              <w14:schemeClr w14:val="tx1"/>
            </w14:solidFill>
          </w14:textFill>
        </w:rPr>
        <w:t>并</w:t>
      </w:r>
      <w:r>
        <w:rPr>
          <w:rFonts w:hint="eastAsia" w:ascii="仿宋_GB2312" w:hAnsi="宋体" w:eastAsia="仿宋_GB2312"/>
          <w:color w:val="000000" w:themeColor="text1"/>
          <w:sz w:val="30"/>
          <w:szCs w:val="30"/>
          <w14:textFill>
            <w14:solidFill>
              <w14:schemeClr w14:val="tx1"/>
            </w14:solidFill>
          </w14:textFill>
        </w:rPr>
        <w:t>码放整齐（因乙方操作不当造成</w:t>
      </w:r>
      <w:r>
        <w:rPr>
          <w:rFonts w:hint="eastAsia" w:ascii="仿宋_GB2312" w:hAnsi="宋体" w:eastAsia="仿宋_GB2312"/>
          <w:color w:val="000000" w:themeColor="text1"/>
          <w:sz w:val="30"/>
          <w:szCs w:val="30"/>
          <w:lang w:val="en-US" w:eastAsia="zh-CN"/>
          <w14:textFill>
            <w14:solidFill>
              <w14:schemeClr w14:val="tx1"/>
            </w14:solidFill>
          </w14:textFill>
        </w:rPr>
        <w:t>库房墙体、库房门、地面、</w:t>
      </w:r>
      <w:r>
        <w:rPr>
          <w:rFonts w:hint="eastAsia" w:ascii="仿宋_GB2312" w:hAnsi="宋体" w:eastAsia="仿宋_GB2312"/>
          <w:color w:val="000000" w:themeColor="text1"/>
          <w:sz w:val="30"/>
          <w:szCs w:val="30"/>
          <w14:textFill>
            <w14:solidFill>
              <w14:schemeClr w14:val="tx1"/>
            </w14:solidFill>
          </w14:textFill>
        </w:rPr>
        <w:t>垫仓板</w:t>
      </w:r>
      <w:r>
        <w:rPr>
          <w:rFonts w:hint="eastAsia" w:ascii="仿宋_GB2312" w:hAnsi="宋体" w:eastAsia="仿宋_GB2312"/>
          <w:color w:val="000000" w:themeColor="text1"/>
          <w:sz w:val="30"/>
          <w:szCs w:val="30"/>
          <w:lang w:val="en-US" w:eastAsia="zh-CN"/>
          <w14:textFill>
            <w14:solidFill>
              <w14:schemeClr w14:val="tx1"/>
            </w14:solidFill>
          </w14:textFill>
        </w:rPr>
        <w:t>等物品</w:t>
      </w:r>
      <w:r>
        <w:rPr>
          <w:rFonts w:hint="eastAsia" w:ascii="仿宋_GB2312" w:hAnsi="宋体" w:eastAsia="仿宋_GB2312"/>
          <w:color w:val="000000" w:themeColor="text1"/>
          <w:sz w:val="30"/>
          <w:szCs w:val="30"/>
          <w14:textFill>
            <w14:solidFill>
              <w14:schemeClr w14:val="tx1"/>
            </w14:solidFill>
          </w14:textFill>
        </w:rPr>
        <w:t>损坏的</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乙方</w:t>
      </w:r>
      <w:r>
        <w:rPr>
          <w:rFonts w:hint="eastAsia" w:ascii="仿宋_GB2312" w:hAnsi="宋体" w:eastAsia="仿宋_GB2312"/>
          <w:color w:val="000000" w:themeColor="text1"/>
          <w:sz w:val="30"/>
          <w:szCs w:val="30"/>
          <w14:textFill>
            <w14:solidFill>
              <w14:schemeClr w14:val="tx1"/>
            </w14:solidFill>
          </w14:textFill>
        </w:rPr>
        <w:t>负责</w:t>
      </w:r>
      <w:r>
        <w:rPr>
          <w:rFonts w:hint="eastAsia" w:ascii="仿宋_GB2312" w:hAnsi="宋体" w:eastAsia="仿宋_GB2312"/>
          <w:color w:val="000000" w:themeColor="text1"/>
          <w:sz w:val="30"/>
          <w:szCs w:val="30"/>
          <w:lang w:val="en-US" w:eastAsia="zh-CN"/>
          <w14:textFill>
            <w14:solidFill>
              <w14:schemeClr w14:val="tx1"/>
            </w14:solidFill>
          </w14:textFill>
        </w:rPr>
        <w:t>提供材料并</w:t>
      </w:r>
      <w:r>
        <w:rPr>
          <w:rFonts w:hint="eastAsia" w:ascii="仿宋_GB2312" w:hAnsi="宋体" w:eastAsia="仿宋_GB2312"/>
          <w:color w:val="000000" w:themeColor="text1"/>
          <w:sz w:val="30"/>
          <w:szCs w:val="30"/>
          <w14:textFill>
            <w14:solidFill>
              <w14:schemeClr w14:val="tx1"/>
            </w14:solidFill>
          </w14:textFill>
        </w:rPr>
        <w:t>维修</w:t>
      </w:r>
      <w:r>
        <w:rPr>
          <w:rFonts w:hint="eastAsia" w:ascii="仿宋_GB2312" w:hAnsi="宋体" w:eastAsia="仿宋_GB2312"/>
          <w:color w:val="000000" w:themeColor="text1"/>
          <w:sz w:val="30"/>
          <w:szCs w:val="30"/>
          <w:lang w:val="en-US" w:eastAsia="zh-CN"/>
          <w14:textFill>
            <w14:solidFill>
              <w14:schemeClr w14:val="tx1"/>
            </w14:solidFill>
          </w14:textFill>
        </w:rPr>
        <w:t>完好</w:t>
      </w:r>
      <w:r>
        <w:rPr>
          <w:rFonts w:hint="eastAsia" w:ascii="仿宋_GB2312" w:hAnsi="宋体" w:eastAsia="仿宋_GB2312"/>
          <w:color w:val="000000" w:themeColor="text1"/>
          <w:sz w:val="30"/>
          <w:szCs w:val="30"/>
          <w14:textFill>
            <w14:solidFill>
              <w14:schemeClr w14:val="tx1"/>
            </w14:solidFill>
          </w14:textFill>
        </w:rPr>
        <w:t>）</w:t>
      </w:r>
      <w:r>
        <w:rPr>
          <w:rFonts w:hint="eastAsia" w:ascii="仿宋_GB2312" w:hAnsi="宋体" w:eastAsia="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二</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乙方需保证在甲方仓库</w:t>
      </w:r>
      <w:r>
        <w:rPr>
          <w:rFonts w:hint="eastAsia" w:ascii="仿宋_GB2312" w:eastAsia="仿宋_GB2312"/>
          <w:color w:val="000000" w:themeColor="text1"/>
          <w:sz w:val="30"/>
          <w:szCs w:val="30"/>
          <w:lang w:val="en-US" w:eastAsia="zh-CN"/>
          <w14:textFill>
            <w14:solidFill>
              <w14:schemeClr w14:val="tx1"/>
            </w14:solidFill>
          </w14:textFill>
        </w:rPr>
        <w:t>进行</w:t>
      </w:r>
      <w:r>
        <w:rPr>
          <w:rFonts w:hint="eastAsia" w:ascii="仿宋_GB2312" w:eastAsia="仿宋_GB2312"/>
          <w:color w:val="000000" w:themeColor="text1"/>
          <w:sz w:val="30"/>
          <w:szCs w:val="30"/>
          <w14:textFill>
            <w14:solidFill>
              <w14:schemeClr w14:val="tx1"/>
            </w14:solidFill>
          </w14:textFill>
        </w:rPr>
        <w:t>机械</w:t>
      </w:r>
      <w:r>
        <w:rPr>
          <w:rFonts w:hint="eastAsia" w:ascii="仿宋_GB2312" w:eastAsia="仿宋_GB2312"/>
          <w:color w:val="000000" w:themeColor="text1"/>
          <w:sz w:val="30"/>
          <w:szCs w:val="30"/>
          <w:lang w:val="en-US" w:eastAsia="zh-CN"/>
          <w14:textFill>
            <w14:solidFill>
              <w14:schemeClr w14:val="tx1"/>
            </w14:solidFill>
          </w14:textFill>
        </w:rPr>
        <w:t>出库</w:t>
      </w:r>
      <w:r>
        <w:rPr>
          <w:rFonts w:hint="eastAsia" w:ascii="仿宋_GB2312" w:eastAsia="仿宋_GB2312"/>
          <w:color w:val="000000" w:themeColor="text1"/>
          <w:sz w:val="30"/>
          <w:szCs w:val="30"/>
          <w14:textFill>
            <w14:solidFill>
              <w14:schemeClr w14:val="tx1"/>
            </w14:solidFill>
          </w14:textFill>
        </w:rPr>
        <w:t>作业</w:t>
      </w:r>
      <w:r>
        <w:rPr>
          <w:rFonts w:hint="eastAsia" w:ascii="仿宋_GB2312" w:eastAsia="仿宋_GB2312"/>
          <w:color w:val="000000" w:themeColor="text1"/>
          <w:sz w:val="30"/>
          <w:szCs w:val="30"/>
          <w:lang w:val="en-US" w:eastAsia="zh-CN"/>
          <w14:textFill>
            <w14:solidFill>
              <w14:schemeClr w14:val="tx1"/>
            </w14:solidFill>
          </w14:textFill>
        </w:rPr>
        <w:t>时，</w:t>
      </w:r>
      <w:r>
        <w:rPr>
          <w:rFonts w:hint="eastAsia" w:ascii="仿宋_GB2312" w:eastAsia="仿宋_GB2312"/>
          <w:color w:val="000000" w:themeColor="text1"/>
          <w:sz w:val="30"/>
          <w:szCs w:val="30"/>
          <w14:textFill>
            <w14:solidFill>
              <w14:schemeClr w14:val="tx1"/>
            </w14:solidFill>
          </w14:textFill>
        </w:rPr>
        <w:t>每组人数不低于4人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并提供每日不低于500吨的出库能力。具体作业时间以甲方的实际工作安排为准，</w:t>
      </w:r>
      <w:r>
        <w:rPr>
          <w:rFonts w:hint="eastAsia" w:ascii="仿宋_GB2312" w:eastAsia="仿宋_GB2312"/>
          <w:color w:val="000000" w:themeColor="text1"/>
          <w:sz w:val="30"/>
          <w:szCs w:val="30"/>
          <w:lang w:val="en-US" w:eastAsia="zh-CN"/>
          <w14:textFill>
            <w14:solidFill>
              <w14:schemeClr w14:val="tx1"/>
            </w14:solidFill>
          </w14:textFill>
        </w:rPr>
        <w:t>确保每天作业</w:t>
      </w:r>
      <w:r>
        <w:rPr>
          <w:rFonts w:hint="eastAsia" w:ascii="仿宋_GB2312" w:eastAsia="仿宋_GB2312"/>
          <w:color w:val="000000" w:themeColor="text1"/>
          <w:sz w:val="30"/>
          <w:szCs w:val="30"/>
          <w14:textFill>
            <w14:solidFill>
              <w14:schemeClr w14:val="tx1"/>
            </w14:solidFill>
          </w14:textFill>
        </w:rPr>
        <w:t>车辆</w:t>
      </w:r>
      <w:r>
        <w:rPr>
          <w:rFonts w:hint="eastAsia" w:ascii="仿宋_GB2312" w:eastAsia="仿宋_GB2312"/>
          <w:color w:val="000000" w:themeColor="text1"/>
          <w:sz w:val="30"/>
          <w:szCs w:val="30"/>
          <w:lang w:val="en-US" w:eastAsia="zh-CN"/>
          <w14:textFill>
            <w14:solidFill>
              <w14:schemeClr w14:val="tx1"/>
            </w14:solidFill>
          </w14:textFill>
        </w:rPr>
        <w:t>按时</w:t>
      </w:r>
      <w:r>
        <w:rPr>
          <w:rFonts w:hint="eastAsia" w:ascii="仿宋_GB2312" w:eastAsia="仿宋_GB2312"/>
          <w:color w:val="000000" w:themeColor="text1"/>
          <w:sz w:val="30"/>
          <w:szCs w:val="30"/>
          <w14:textFill>
            <w14:solidFill>
              <w14:schemeClr w14:val="tx1"/>
            </w14:solidFill>
          </w14:textFill>
        </w:rPr>
        <w:t>到达</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且</w:t>
      </w:r>
      <w:r>
        <w:rPr>
          <w:rFonts w:hint="eastAsia" w:ascii="仿宋_GB2312" w:eastAsia="仿宋_GB2312"/>
          <w:color w:val="000000" w:themeColor="text1"/>
          <w:sz w:val="30"/>
          <w:szCs w:val="30"/>
          <w14:textFill>
            <w14:solidFill>
              <w14:schemeClr w14:val="tx1"/>
            </w14:solidFill>
          </w14:textFill>
        </w:rPr>
        <w:t>当日无押车。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三</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乙方需保证现场作业环境的整洁，及时对设备、物资、洒落的散糖进行整理和清扫。</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双方权利和义务</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黑体" w:hAnsi="黑体" w:eastAsia="黑体"/>
          <w:b/>
          <w:color w:val="000000" w:themeColor="text1"/>
          <w:sz w:val="30"/>
          <w:szCs w:val="30"/>
          <w14:textFill>
            <w14:solidFill>
              <w14:schemeClr w14:val="tx1"/>
            </w14:solidFill>
          </w14:textFill>
        </w:rPr>
        <w:t>（一）甲方的权利及义务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甲方负责提供货源,并通知乙方进行装卸作业。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甲方工作人员在作业前十分钟到场</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做好作业前准备</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保证人员到位。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甲方现场带班经理在作业后负责检查并指挥进行现场整理，确保设备物品归位，同时为第二天的作业做好提前准备。</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甲方有义务告知乙方相关的安全生产规章制度和操作规程等，甲方有权要求乙方遵守或执行甲方的各项规章制度及操作规程。</w:t>
      </w:r>
    </w:p>
    <w:p>
      <w:pPr>
        <w:keepNext w:val="0"/>
        <w:keepLines w:val="0"/>
        <w:pageBreakBefore w:val="0"/>
        <w:kinsoku/>
        <w:overflowPunct/>
        <w:topLinePunct w:val="0"/>
        <w:bidi w:val="0"/>
        <w:snapToGrid/>
        <w:spacing w:line="360" w:lineRule="auto"/>
        <w:ind w:firstLine="600" w:firstLineChars="200"/>
        <w:jc w:val="both"/>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甲方有对乙方的装卸行为进行监管的权利，并且有权对乙方的违规操作或违纪行为按照甲方的规定进行相应的处理。</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甲方负责对进出库区的作业车辆进行指挥及疏导。</w:t>
      </w:r>
    </w:p>
    <w:p>
      <w:pPr>
        <w:keepNext w:val="0"/>
        <w:keepLines w:val="0"/>
        <w:pageBreakBefore w:val="0"/>
        <w:tabs>
          <w:tab w:val="left" w:pos="1080"/>
        </w:tabs>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7.</w:t>
      </w:r>
      <w:r>
        <w:rPr>
          <w:rFonts w:hint="eastAsia" w:ascii="仿宋_GB2312" w:eastAsia="仿宋_GB2312"/>
          <w:color w:val="000000" w:themeColor="text1"/>
          <w:sz w:val="30"/>
          <w:szCs w:val="30"/>
          <w14:textFill>
            <w14:solidFill>
              <w14:schemeClr w14:val="tx1"/>
            </w14:solidFill>
          </w14:textFill>
        </w:rPr>
        <w:t>甲方工作人员负责与客户或</w:t>
      </w:r>
      <w:r>
        <w:rPr>
          <w:rFonts w:hint="eastAsia" w:ascii="仿宋_GB2312" w:eastAsia="仿宋_GB2312"/>
          <w:color w:val="000000" w:themeColor="text1"/>
          <w:sz w:val="30"/>
          <w:szCs w:val="30"/>
          <w:lang w:val="en-US" w:eastAsia="zh-CN"/>
          <w14:textFill>
            <w14:solidFill>
              <w14:schemeClr w14:val="tx1"/>
            </w14:solidFill>
          </w14:textFill>
        </w:rPr>
        <w:t>提货人</w:t>
      </w:r>
      <w:r>
        <w:rPr>
          <w:rFonts w:hint="eastAsia" w:ascii="仿宋_GB2312" w:eastAsia="仿宋_GB2312"/>
          <w:color w:val="000000" w:themeColor="text1"/>
          <w:sz w:val="30"/>
          <w:szCs w:val="30"/>
          <w14:textFill>
            <w14:solidFill>
              <w14:schemeClr w14:val="tx1"/>
            </w14:solidFill>
          </w14:textFill>
        </w:rPr>
        <w:t>进行货物交接。</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乙方当天作业完毕</w:t>
      </w:r>
      <w:r>
        <w:rPr>
          <w:rFonts w:hint="eastAsia" w:ascii="仿宋_GB2312" w:eastAsia="仿宋_GB2312"/>
          <w:color w:val="000000" w:themeColor="text1"/>
          <w:sz w:val="30"/>
          <w:szCs w:val="30"/>
          <w:lang w:val="en-US" w:eastAsia="zh-CN"/>
          <w14:textFill>
            <w14:solidFill>
              <w14:schemeClr w14:val="tx1"/>
            </w14:solidFill>
          </w14:textFill>
        </w:rPr>
        <w:t>后</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甲方负责开具</w:t>
      </w:r>
      <w:r>
        <w:rPr>
          <w:rFonts w:hint="eastAsia" w:ascii="仿宋_GB2312" w:hAnsi="宋体" w:eastAsia="仿宋_GB2312"/>
          <w:color w:val="000000" w:themeColor="text1"/>
          <w:sz w:val="30"/>
          <w:szCs w:val="30"/>
          <w14:textFill>
            <w14:solidFill>
              <w14:schemeClr w14:val="tx1"/>
            </w14:solidFill>
          </w14:textFill>
        </w:rPr>
        <w:t>《出库单》</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并且双方确认数量。</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9.</w:t>
      </w:r>
      <w:r>
        <w:rPr>
          <w:rFonts w:hint="eastAsia" w:ascii="仿宋_GB2312" w:eastAsia="仿宋_GB2312"/>
          <w:color w:val="000000" w:themeColor="text1"/>
          <w:sz w:val="30"/>
          <w:szCs w:val="30"/>
          <w14:textFill>
            <w14:solidFill>
              <w14:schemeClr w14:val="tx1"/>
            </w14:solidFill>
          </w14:textFill>
        </w:rPr>
        <w:t>甲方需按照合同的约定与乙方进行结算。</w:t>
      </w:r>
    </w:p>
    <w:p>
      <w:pPr>
        <w:keepNext w:val="0"/>
        <w:keepLines w:val="0"/>
        <w:pageBreakBefore w:val="0"/>
        <w:tabs>
          <w:tab w:val="left" w:pos="1080"/>
        </w:tabs>
        <w:kinsoku/>
        <w:overflowPunct/>
        <w:topLinePunct w:val="0"/>
        <w:bidi w:val="0"/>
        <w:snapToGrid/>
        <w:spacing w:line="360" w:lineRule="auto"/>
        <w:ind w:firstLine="602" w:firstLineChars="200"/>
        <w:jc w:val="both"/>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（二）乙方的权利及义务</w:t>
      </w:r>
    </w:p>
    <w:p>
      <w:pPr>
        <w:keepNext w:val="0"/>
        <w:keepLines w:val="0"/>
        <w:pageBreakBefore w:val="0"/>
        <w:kinsoku/>
        <w:overflowPunct/>
        <w:topLinePunct w:val="0"/>
        <w:bidi w:val="0"/>
        <w:snapToGrid/>
        <w:spacing w:line="360" w:lineRule="auto"/>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乙方应根据委托事项，按照法律规定或甲方要求向甲方出具相关文件及资质证明，并对其所提供文件、资质证明的真实性、合法性、完整性及准确性负责。</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乙方承担其聘请的装卸人员工资以及其他社会保障费用，为聘请的员工办理人身意外保险</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并以书面形式承诺给甲方,保证所有服务人员都具备合法证明及有效证件</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体检报告、健康证等相关</w:t>
      </w:r>
      <w:r>
        <w:rPr>
          <w:rFonts w:hint="eastAsia" w:ascii="仿宋_GB2312" w:hAnsi="仿宋_GB2312" w:eastAsia="仿宋_GB2312" w:cs="仿宋_GB2312"/>
          <w:color w:val="000000" w:themeColor="text1"/>
          <w:sz w:val="30"/>
          <w:szCs w:val="30"/>
          <w14:textFill>
            <w14:solidFill>
              <w14:schemeClr w14:val="tx1"/>
            </w14:solidFill>
          </w14:textFill>
        </w:rPr>
        <w:t>资料。对于承包期内乙方人员发生的交通事故、人身意外、伤亡及第三方造成的损害等等，乙方承担全部责任，甲方不承担任何形式的责任及赔偿。</w:t>
      </w:r>
    </w:p>
    <w:p>
      <w:pPr>
        <w:keepNext w:val="0"/>
        <w:keepLines w:val="0"/>
        <w:pageBreakBefore w:val="0"/>
        <w:kinsoku/>
        <w:overflowPunct/>
        <w:topLinePunct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乙方应根据甲方的生产</w:t>
      </w:r>
      <w:r>
        <w:rPr>
          <w:rFonts w:hint="eastAsia" w:ascii="仿宋_GB2312" w:eastAsia="仿宋_GB2312"/>
          <w:color w:val="000000" w:themeColor="text1"/>
          <w:sz w:val="30"/>
          <w:szCs w:val="30"/>
          <w:lang w:val="en-US" w:eastAsia="zh-CN"/>
          <w14:textFill>
            <w14:solidFill>
              <w14:schemeClr w14:val="tx1"/>
            </w14:solidFill>
          </w14:textFill>
        </w:rPr>
        <w:t>工作</w:t>
      </w:r>
      <w:r>
        <w:rPr>
          <w:rFonts w:hint="eastAsia" w:ascii="仿宋_GB2312" w:eastAsia="仿宋_GB2312"/>
          <w:color w:val="000000" w:themeColor="text1"/>
          <w:sz w:val="30"/>
          <w:szCs w:val="30"/>
          <w14:textFill>
            <w14:solidFill>
              <w14:schemeClr w14:val="tx1"/>
            </w14:solidFill>
          </w14:textFill>
        </w:rPr>
        <w:t>需要，保证有足够的人员</w:t>
      </w:r>
      <w:r>
        <w:rPr>
          <w:rFonts w:hint="eastAsia" w:ascii="仿宋_GB2312" w:eastAsia="仿宋_GB2312"/>
          <w:color w:val="000000" w:themeColor="text1"/>
          <w:sz w:val="30"/>
          <w:szCs w:val="30"/>
          <w:lang w:val="en-US" w:eastAsia="zh-CN"/>
          <w14:textFill>
            <w14:solidFill>
              <w14:schemeClr w14:val="tx1"/>
            </w14:solidFill>
          </w14:textFill>
        </w:rPr>
        <w:t>和作业设备，</w:t>
      </w:r>
      <w:r>
        <w:rPr>
          <w:rFonts w:hint="eastAsia" w:ascii="仿宋_GB2312" w:eastAsia="仿宋_GB2312"/>
          <w:color w:val="000000" w:themeColor="text1"/>
          <w:sz w:val="30"/>
          <w:szCs w:val="30"/>
          <w14:textFill>
            <w14:solidFill>
              <w14:schemeClr w14:val="tx1"/>
            </w14:solidFill>
          </w14:textFill>
        </w:rPr>
        <w:t>保质保量完成甲方当日装卸任务，正常情况下每天</w:t>
      </w:r>
      <w:r>
        <w:rPr>
          <w:rFonts w:hint="eastAsia" w:ascii="仿宋_GB2312" w:eastAsia="仿宋_GB2312"/>
          <w:color w:val="000000" w:themeColor="text1"/>
          <w:sz w:val="30"/>
          <w:szCs w:val="30"/>
          <w:lang w:val="en-US" w:eastAsia="zh-CN"/>
          <w14:textFill>
            <w14:solidFill>
              <w14:schemeClr w14:val="tx1"/>
            </w14:solidFill>
          </w14:textFill>
        </w:rPr>
        <w:t>至少完成</w:t>
      </w:r>
      <w:r>
        <w:rPr>
          <w:rFonts w:hint="eastAsia" w:ascii="仿宋_GB2312" w:eastAsia="仿宋_GB2312"/>
          <w:color w:val="000000" w:themeColor="text1"/>
          <w:sz w:val="30"/>
          <w:szCs w:val="30"/>
          <w:u w:val="single"/>
          <w:lang w:val="en-US" w:eastAsia="zh-CN"/>
          <w14:textFill>
            <w14:solidFill>
              <w14:schemeClr w14:val="tx1"/>
            </w14:solidFill>
          </w14:textFill>
        </w:rPr>
        <w:t xml:space="preserve">   500  </w:t>
      </w:r>
      <w:r>
        <w:rPr>
          <w:rFonts w:hint="eastAsia" w:ascii="仿宋_GB2312" w:eastAsia="仿宋_GB2312"/>
          <w:color w:val="000000" w:themeColor="text1"/>
          <w:sz w:val="30"/>
          <w:szCs w:val="30"/>
          <w14:textFill>
            <w14:solidFill>
              <w14:schemeClr w14:val="tx1"/>
            </w14:solidFill>
          </w14:textFill>
        </w:rPr>
        <w:t>吨</w:t>
      </w:r>
      <w:r>
        <w:rPr>
          <w:rFonts w:hint="eastAsia" w:ascii="仿宋_GB2312" w:eastAsia="仿宋_GB2312"/>
          <w:color w:val="000000" w:themeColor="text1"/>
          <w:sz w:val="30"/>
          <w:szCs w:val="30"/>
          <w:lang w:val="en-US" w:eastAsia="zh-CN"/>
          <w14:textFill>
            <w14:solidFill>
              <w14:schemeClr w14:val="tx1"/>
            </w14:solidFill>
          </w14:textFill>
        </w:rPr>
        <w:t>中央储备糖出库装卸搬运能力</w:t>
      </w:r>
      <w:r>
        <w:rPr>
          <w:rFonts w:hint="eastAsia" w:ascii="仿宋_GB2312" w:eastAsia="仿宋_GB2312"/>
          <w:color w:val="000000" w:themeColor="text1"/>
          <w:sz w:val="30"/>
          <w:szCs w:val="30"/>
          <w14:textFill>
            <w14:solidFill>
              <w14:schemeClr w14:val="tx1"/>
            </w14:solidFill>
          </w14:textFill>
        </w:rPr>
        <w:t>，包括</w:t>
      </w:r>
      <w:r>
        <w:rPr>
          <w:rFonts w:hint="eastAsia" w:ascii="仿宋_GB2312" w:eastAsia="仿宋_GB2312"/>
          <w:color w:val="000000" w:themeColor="text1"/>
          <w:sz w:val="30"/>
          <w:szCs w:val="30"/>
          <w:lang w:val="en-US" w:eastAsia="zh-CN"/>
          <w14:textFill>
            <w14:solidFill>
              <w14:schemeClr w14:val="tx1"/>
            </w14:solidFill>
          </w14:textFill>
        </w:rPr>
        <w:t>周末及</w:t>
      </w:r>
      <w:r>
        <w:rPr>
          <w:rFonts w:hint="eastAsia" w:ascii="仿宋_GB2312" w:eastAsia="仿宋_GB2312"/>
          <w:color w:val="000000" w:themeColor="text1"/>
          <w:sz w:val="30"/>
          <w:szCs w:val="30"/>
          <w14:textFill>
            <w14:solidFill>
              <w14:schemeClr w14:val="tx1"/>
            </w14:solidFill>
          </w14:textFill>
        </w:rPr>
        <w:t>节假日期间在内。</w:t>
      </w:r>
      <w:r>
        <w:rPr>
          <w:rFonts w:hint="eastAsia" w:ascii="仿宋_GB2312" w:hAnsi="仿宋" w:eastAsia="仿宋_GB2312" w:cs="仿宋"/>
          <w:color w:val="000000" w:themeColor="text1"/>
          <w:sz w:val="30"/>
          <w:szCs w:val="30"/>
          <w14:textFill>
            <w14:solidFill>
              <w14:schemeClr w14:val="tx1"/>
            </w14:solidFill>
          </w14:textFill>
        </w:rPr>
        <w:t>乙方因不服从指挥、作业不及时</w:t>
      </w:r>
      <w:r>
        <w:rPr>
          <w:rFonts w:hint="eastAsia" w:ascii="仿宋_GB2312" w:eastAsia="仿宋_GB2312"/>
          <w:color w:val="000000" w:themeColor="text1"/>
          <w:sz w:val="30"/>
          <w:szCs w:val="30"/>
          <w14:textFill>
            <w14:solidFill>
              <w14:schemeClr w14:val="tx1"/>
            </w14:solidFill>
          </w14:textFill>
        </w:rPr>
        <w:t>、野蛮装卸等，情节严重的，甲方有权终止乙方装卸搬运服务。</w:t>
      </w:r>
      <w:r>
        <w:rPr>
          <w:rFonts w:ascii="仿宋_GB2312" w:hAnsi="仿宋" w:eastAsia="仿宋_GB2312" w:cs="仿宋"/>
          <w:color w:val="000000" w:themeColor="text1"/>
          <w:sz w:val="30"/>
          <w:szCs w:val="30"/>
          <w14:textFill>
            <w14:solidFill>
              <w14:schemeClr w14:val="tx1"/>
            </w14:solidFill>
          </w14:textFill>
        </w:rPr>
        <w:t xml:space="preserve"> </w:t>
      </w:r>
    </w:p>
    <w:p>
      <w:pPr>
        <w:keepNext w:val="0"/>
        <w:keepLines w:val="0"/>
        <w:pageBreakBefore w:val="0"/>
        <w:kinsoku/>
        <w:overflowPunct/>
        <w:topLinePunct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4.</w:t>
      </w:r>
      <w:r>
        <w:rPr>
          <w:rFonts w:hint="eastAsia" w:ascii="仿宋_GB2312" w:hAnsi="仿宋" w:eastAsia="仿宋_GB2312" w:cs="仿宋"/>
          <w:color w:val="000000" w:themeColor="text1"/>
          <w:sz w:val="30"/>
          <w:szCs w:val="30"/>
          <w14:textFill>
            <w14:solidFill>
              <w14:schemeClr w14:val="tx1"/>
            </w14:solidFill>
          </w14:textFill>
        </w:rPr>
        <w:t>若乙方发现甲方装卸的货物具有危险性，则乙方有权利拒绝装卸。</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5.</w:t>
      </w:r>
      <w:r>
        <w:rPr>
          <w:rFonts w:hint="eastAsia" w:ascii="仿宋_GB2312" w:hAnsi="仿宋" w:eastAsia="仿宋_GB2312" w:cs="仿宋"/>
          <w:color w:val="000000" w:themeColor="text1"/>
          <w:sz w:val="30"/>
          <w:szCs w:val="30"/>
          <w14:textFill>
            <w14:solidFill>
              <w14:schemeClr w14:val="tx1"/>
            </w14:solidFill>
          </w14:textFill>
        </w:rPr>
        <w:t>乙方须在甲方人员到位后方可进行作业，并且乙方对所属工作人员的人身安全负有全部责任。</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6.</w:t>
      </w:r>
      <w:r>
        <w:rPr>
          <w:rFonts w:hint="eastAsia" w:ascii="仿宋_GB2312" w:hAnsi="仿宋" w:eastAsia="仿宋_GB2312" w:cs="仿宋"/>
          <w:color w:val="000000" w:themeColor="text1"/>
          <w:sz w:val="30"/>
          <w:szCs w:val="30"/>
          <w14:textFill>
            <w14:solidFill>
              <w14:schemeClr w14:val="tx1"/>
            </w14:solidFill>
          </w14:textFill>
        </w:rPr>
        <w:t>乙方在提供装卸服务过程中货物出现任何问题，乙方应及时通知甲方，商议处理。乙方应按甲方作业要求，确保安全拆垛、安全装卸，如出现倒垛等情况，属于乙方责任的，所造成的费用、货物损耗全部由乙方负责。</w:t>
      </w:r>
    </w:p>
    <w:p>
      <w:pPr>
        <w:keepNext w:val="0"/>
        <w:keepLines w:val="0"/>
        <w:pageBreakBefore w:val="0"/>
        <w:kinsoku/>
        <w:overflowPunct/>
        <w:topLinePunct w:val="0"/>
        <w:bidi w:val="0"/>
        <w:snapToGrid/>
        <w:spacing w:line="360" w:lineRule="auto"/>
        <w:ind w:firstLine="600" w:firstLineChars="200"/>
        <w:jc w:val="both"/>
        <w:textAlignment w:val="center"/>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7.</w:t>
      </w:r>
      <w:r>
        <w:rPr>
          <w:rFonts w:hint="eastAsia" w:ascii="仿宋_GB2312" w:hAnsi="仿宋" w:eastAsia="仿宋_GB2312" w:cs="仿宋"/>
          <w:color w:val="000000" w:themeColor="text1"/>
          <w:sz w:val="30"/>
          <w:szCs w:val="30"/>
          <w14:textFill>
            <w14:solidFill>
              <w14:schemeClr w14:val="tx1"/>
            </w14:solidFill>
          </w14:textFill>
        </w:rPr>
        <w:t>装卸搬运服务过程中，乙方应听从甲方指定部门工作人员对货物装卸搬运的合理要求，</w:t>
      </w:r>
      <w:r>
        <w:rPr>
          <w:rFonts w:hint="eastAsia" w:ascii="仿宋_GB2312" w:hAnsi="仿宋" w:eastAsia="仿宋_GB2312" w:cs="仿宋"/>
          <w:color w:val="000000" w:themeColor="text1"/>
          <w:sz w:val="30"/>
          <w:szCs w:val="30"/>
          <w:highlight w:val="none"/>
          <w14:textFill>
            <w14:solidFill>
              <w14:schemeClr w14:val="tx1"/>
            </w14:solidFill>
          </w14:textFill>
        </w:rPr>
        <w:t>遵守《</w:t>
      </w:r>
      <w:r>
        <w:rPr>
          <w:rFonts w:hint="eastAsia" w:ascii="仿宋_GB2312" w:eastAsia="仿宋_GB2312"/>
          <w:color w:val="000000" w:themeColor="text1"/>
          <w:sz w:val="30"/>
          <w:szCs w:val="30"/>
          <w:highlight w:val="none"/>
          <w14:textFill>
            <w14:solidFill>
              <w14:schemeClr w14:val="tx1"/>
            </w14:solidFill>
          </w14:textFill>
        </w:rPr>
        <w:t>安全管理协议</w:t>
      </w:r>
      <w:r>
        <w:rPr>
          <w:rFonts w:hint="eastAsia" w:ascii="仿宋_GB2312" w:hAnsi="仿宋" w:eastAsia="仿宋_GB2312" w:cs="仿宋"/>
          <w:color w:val="000000" w:themeColor="text1"/>
          <w:sz w:val="30"/>
          <w:szCs w:val="30"/>
          <w:highlight w:val="none"/>
          <w14:textFill>
            <w14:solidFill>
              <w14:schemeClr w14:val="tx1"/>
            </w14:solidFill>
          </w14:textFill>
        </w:rPr>
        <w:t>》</w:t>
      </w:r>
      <w:r>
        <w:rPr>
          <w:rFonts w:hint="eastAsia" w:ascii="仿宋_GB2312" w:hAnsi="仿宋"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 w:eastAsia="仿宋_GB2312" w:cs="仿宋"/>
          <w:color w:val="000000" w:themeColor="text1"/>
          <w:sz w:val="30"/>
          <w:szCs w:val="30"/>
          <w:highlight w:val="none"/>
          <w14:textFill>
            <w14:solidFill>
              <w14:schemeClr w14:val="tx1"/>
            </w14:solidFill>
          </w14:textFill>
        </w:rPr>
        <w:t>详见附件</w:t>
      </w:r>
      <w:r>
        <w:rPr>
          <w:rFonts w:hint="eastAsia" w:ascii="仿宋_GB2312" w:hAnsi="仿宋" w:eastAsia="仿宋_GB2312" w:cs="仿宋"/>
          <w:color w:val="000000" w:themeColor="text1"/>
          <w:sz w:val="30"/>
          <w:szCs w:val="30"/>
          <w:highlight w:val="none"/>
          <w:lang w:val="en-US" w:eastAsia="zh-CN"/>
          <w14:textFill>
            <w14:solidFill>
              <w14:schemeClr w14:val="tx1"/>
            </w14:solidFill>
          </w14:textFill>
        </w:rPr>
        <w:t>1</w:t>
      </w:r>
      <w:r>
        <w:rPr>
          <w:rFonts w:hint="eastAsia" w:ascii="仿宋_GB2312" w:hAnsi="仿宋" w:eastAsia="仿宋_GB2312" w:cs="仿宋"/>
          <w:color w:val="000000" w:themeColor="text1"/>
          <w:sz w:val="30"/>
          <w:szCs w:val="30"/>
          <w:highlight w:val="none"/>
          <w14:textFill>
            <w14:solidFill>
              <w14:schemeClr w14:val="tx1"/>
            </w14:solidFill>
          </w14:textFill>
        </w:rPr>
        <w:t>）和《装卸</w:t>
      </w:r>
      <w:r>
        <w:rPr>
          <w:rFonts w:hint="eastAsia" w:ascii="仿宋_GB2312" w:hAnsi="仿宋" w:eastAsia="仿宋_GB2312" w:cs="仿宋"/>
          <w:color w:val="000000" w:themeColor="text1"/>
          <w:sz w:val="30"/>
          <w:szCs w:val="30"/>
          <w:highlight w:val="none"/>
          <w:lang w:val="en-US" w:eastAsia="zh-CN"/>
          <w14:textFill>
            <w14:solidFill>
              <w14:schemeClr w14:val="tx1"/>
            </w14:solidFill>
          </w14:textFill>
        </w:rPr>
        <w:t>作业</w:t>
      </w:r>
      <w:r>
        <w:rPr>
          <w:rFonts w:hint="eastAsia" w:ascii="仿宋_GB2312" w:hAnsi="仿宋" w:eastAsia="仿宋_GB2312" w:cs="仿宋"/>
          <w:color w:val="000000" w:themeColor="text1"/>
          <w:sz w:val="30"/>
          <w:szCs w:val="30"/>
          <w:highlight w:val="none"/>
          <w14:textFill>
            <w14:solidFill>
              <w14:schemeClr w14:val="tx1"/>
            </w14:solidFill>
          </w14:textFill>
        </w:rPr>
        <w:t>操作规程》（详见附件2）</w:t>
      </w:r>
      <w:r>
        <w:rPr>
          <w:rFonts w:hint="eastAsia" w:ascii="仿宋_GB2312" w:hAnsi="仿宋" w:eastAsia="仿宋_GB2312" w:cs="仿宋"/>
          <w:color w:val="000000" w:themeColor="text1"/>
          <w:sz w:val="30"/>
          <w:szCs w:val="30"/>
          <w14:textFill>
            <w14:solidFill>
              <w14:schemeClr w14:val="tx1"/>
            </w14:solidFill>
          </w14:textFill>
        </w:rPr>
        <w:t>中的作业规定，如有违反，甲方有权中止作业并拒绝开具相关的作业完工证明。</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8.</w:t>
      </w:r>
      <w:r>
        <w:rPr>
          <w:rFonts w:hint="eastAsia" w:ascii="仿宋_GB2312" w:hAnsi="仿宋" w:eastAsia="仿宋_GB2312" w:cs="仿宋"/>
          <w:color w:val="000000" w:themeColor="text1"/>
          <w:sz w:val="30"/>
          <w:szCs w:val="30"/>
          <w14:textFill>
            <w14:solidFill>
              <w14:schemeClr w14:val="tx1"/>
            </w14:solidFill>
          </w14:textFill>
        </w:rPr>
        <w:t>作业期间，乙方必须指定专人负责现场管理，并提供现场管理人员的证明（</w:t>
      </w:r>
      <w:r>
        <w:rPr>
          <w:rFonts w:hint="eastAsia" w:ascii="仿宋_GB2312" w:hAnsi="仿宋" w:eastAsia="仿宋_GB2312" w:cs="仿宋"/>
          <w:color w:val="000000" w:themeColor="text1"/>
          <w:sz w:val="30"/>
          <w:szCs w:val="30"/>
          <w:highlight w:val="none"/>
          <w14:textFill>
            <w14:solidFill>
              <w14:schemeClr w14:val="tx1"/>
            </w14:solidFill>
          </w14:textFill>
        </w:rPr>
        <w:t>详见</w:t>
      </w:r>
      <w:r>
        <w:rPr>
          <w:rFonts w:hint="eastAsia" w:ascii="仿宋_GB2312" w:hAnsi="仿宋" w:eastAsia="仿宋_GB2312" w:cs="仿宋"/>
          <w:color w:val="000000" w:themeColor="text1"/>
          <w:sz w:val="30"/>
          <w:szCs w:val="30"/>
          <w14:textFill>
            <w14:solidFill>
              <w14:schemeClr w14:val="tx1"/>
            </w14:solidFill>
          </w14:textFill>
        </w:rPr>
        <w:t>附件4</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生产现场管理人员授权委托书）。乙方对其作业人员有现场监督职责，包括现场的安全生产管理。如因乙方管理不善或违规操作造成的一切后果由乙方负全部责任</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甲方不负任何责任；造成甲方经济损失的，按实际经济损失全额赔付。如因甲方管理不善造成的责任由甲方负责。</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9.</w:t>
      </w:r>
      <w:r>
        <w:rPr>
          <w:rFonts w:hint="eastAsia" w:ascii="仿宋_GB2312" w:hAnsi="仿宋" w:eastAsia="仿宋_GB2312" w:cs="仿宋"/>
          <w:color w:val="000000" w:themeColor="text1"/>
          <w:sz w:val="30"/>
          <w:szCs w:val="30"/>
          <w14:textFill>
            <w14:solidFill>
              <w14:schemeClr w14:val="tx1"/>
            </w14:solidFill>
          </w14:textFill>
        </w:rPr>
        <w:t>乙方严禁以任何理由和形式向司机、运输方或客户等索取财物</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若发现乙方人员私自增收财物的，第一次处以人民币￥500.00元</w:t>
      </w:r>
      <w:r>
        <w:rPr>
          <w:rFonts w:hint="eastAsia" w:ascii="仿宋_GB2312" w:hAnsi="仿宋" w:eastAsia="仿宋_GB2312" w:cs="仿宋"/>
          <w:color w:val="000000" w:themeColor="text1"/>
          <w:sz w:val="30"/>
          <w:szCs w:val="30"/>
          <w:lang w:val="en-US" w:eastAsia="zh-CN"/>
          <w14:textFill>
            <w14:solidFill>
              <w14:schemeClr w14:val="tx1"/>
            </w14:solidFill>
          </w14:textFill>
        </w:rPr>
        <w:t>罚款</w:t>
      </w:r>
      <w:r>
        <w:rPr>
          <w:rFonts w:hint="eastAsia" w:ascii="仿宋_GB2312" w:hAnsi="仿宋" w:eastAsia="仿宋_GB2312" w:cs="仿宋"/>
          <w:color w:val="000000" w:themeColor="text1"/>
          <w:sz w:val="30"/>
          <w:szCs w:val="30"/>
          <w14:textFill>
            <w14:solidFill>
              <w14:schemeClr w14:val="tx1"/>
            </w14:solidFill>
          </w14:textFill>
        </w:rPr>
        <w:t>；第二次处以人民币￥1000.00元</w:t>
      </w:r>
      <w:r>
        <w:rPr>
          <w:rFonts w:hint="eastAsia" w:ascii="仿宋_GB2312" w:hAnsi="仿宋" w:eastAsia="仿宋_GB2312" w:cs="仿宋"/>
          <w:color w:val="000000" w:themeColor="text1"/>
          <w:sz w:val="30"/>
          <w:szCs w:val="30"/>
          <w:lang w:val="en-US" w:eastAsia="zh-CN"/>
          <w14:textFill>
            <w14:solidFill>
              <w14:schemeClr w14:val="tx1"/>
            </w14:solidFill>
          </w14:textFill>
        </w:rPr>
        <w:t>罚款</w:t>
      </w:r>
      <w:r>
        <w:rPr>
          <w:rFonts w:hint="eastAsia" w:ascii="仿宋_GB2312" w:hAnsi="仿宋" w:eastAsia="仿宋_GB2312" w:cs="仿宋"/>
          <w:color w:val="000000" w:themeColor="text1"/>
          <w:sz w:val="30"/>
          <w:szCs w:val="30"/>
          <w14:textFill>
            <w14:solidFill>
              <w14:schemeClr w14:val="tx1"/>
            </w14:solidFill>
          </w14:textFill>
        </w:rPr>
        <w:t>；第三次或情节严重的，甲方有权终止乙方装卸搬运服务。</w:t>
      </w:r>
    </w:p>
    <w:p>
      <w:pPr>
        <w:keepNext w:val="0"/>
        <w:keepLines w:val="0"/>
        <w:pageBreakBefore w:val="0"/>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10.</w:t>
      </w:r>
      <w:r>
        <w:rPr>
          <w:rFonts w:hint="eastAsia" w:ascii="仿宋_GB2312" w:hAnsi="仿宋" w:eastAsia="仿宋_GB2312" w:cs="仿宋"/>
          <w:color w:val="000000" w:themeColor="text1"/>
          <w:sz w:val="30"/>
          <w:szCs w:val="30"/>
          <w14:textFill>
            <w14:solidFill>
              <w14:schemeClr w14:val="tx1"/>
            </w14:solidFill>
          </w14:textFill>
        </w:rPr>
        <w:t>若因乙方原因或不良行为造成甲方及第三方的损失，乙方应承担相应的赔偿</w:t>
      </w:r>
      <w:r>
        <w:rPr>
          <w:rFonts w:hint="eastAsia" w:ascii="仿宋_GB2312" w:hAnsi="仿宋" w:eastAsia="仿宋_GB2312" w:cs="仿宋"/>
          <w:color w:val="000000" w:themeColor="text1"/>
          <w:sz w:val="30"/>
          <w:szCs w:val="30"/>
          <w:lang w:val="en-US" w:eastAsia="zh-CN"/>
          <w14:textFill>
            <w14:solidFill>
              <w14:schemeClr w14:val="tx1"/>
            </w14:solidFill>
          </w14:textFill>
        </w:rPr>
        <w:t>或负责维修</w:t>
      </w:r>
      <w:r>
        <w:rPr>
          <w:rFonts w:hint="eastAsia" w:ascii="仿宋_GB2312" w:hAnsi="仿宋" w:eastAsia="仿宋_GB2312" w:cs="仿宋"/>
          <w:color w:val="000000" w:themeColor="text1"/>
          <w:sz w:val="30"/>
          <w:szCs w:val="30"/>
          <w14:textFill>
            <w14:solidFill>
              <w14:schemeClr w14:val="tx1"/>
            </w14:solidFill>
          </w14:textFill>
        </w:rPr>
        <w:t>责任。</w:t>
      </w:r>
    </w:p>
    <w:p>
      <w:pPr>
        <w:keepNext w:val="0"/>
        <w:keepLines w:val="0"/>
        <w:pageBreakBefore w:val="0"/>
        <w:numPr>
          <w:ilvl w:val="0"/>
          <w:numId w:val="0"/>
        </w:numPr>
        <w:kinsoku/>
        <w:overflowPunct/>
        <w:topLinePunct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11.</w:t>
      </w:r>
      <w:r>
        <w:rPr>
          <w:rFonts w:hint="eastAsia" w:ascii="仿宋_GB2312" w:hAnsi="仿宋" w:eastAsia="仿宋_GB2312" w:cs="仿宋"/>
          <w:color w:val="000000" w:themeColor="text1"/>
          <w:sz w:val="30"/>
          <w:szCs w:val="30"/>
          <w14:textFill>
            <w14:solidFill>
              <w14:schemeClr w14:val="tx1"/>
            </w14:solidFill>
          </w14:textFill>
        </w:rPr>
        <w:t>乙方有协助甲方进行生产现场整理的义务。</w:t>
      </w:r>
    </w:p>
    <w:p>
      <w:pPr>
        <w:keepNext w:val="0"/>
        <w:keepLines w:val="0"/>
        <w:pageBreakBefore w:val="0"/>
        <w:numPr>
          <w:ilvl w:val="0"/>
          <w:numId w:val="0"/>
        </w:numPr>
        <w:kinsoku/>
        <w:overflowPunct/>
        <w:topLinePunct w:val="0"/>
        <w:bidi w:val="0"/>
        <w:snapToGrid/>
        <w:spacing w:line="360" w:lineRule="auto"/>
        <w:ind w:firstLine="600" w:firstLineChars="200"/>
        <w:jc w:val="both"/>
        <w:rPr>
          <w:rFonts w:hint="eastAsia" w:ascii="宋体" w:hAnsi="宋体"/>
          <w:bCs/>
          <w:sz w:val="28"/>
          <w:szCs w:val="28"/>
        </w:rPr>
      </w:pPr>
      <w:r>
        <w:rPr>
          <w:rFonts w:hint="eastAsia" w:ascii="仿宋_GB2312" w:hAnsi="仿宋" w:eastAsia="仿宋_GB2312" w:cs="仿宋"/>
          <w:color w:val="000000" w:themeColor="text1"/>
          <w:sz w:val="30"/>
          <w:szCs w:val="30"/>
          <w:lang w:val="en-US" w:eastAsia="zh-CN"/>
          <w14:textFill>
            <w14:solidFill>
              <w14:schemeClr w14:val="tx1"/>
            </w14:solidFill>
          </w14:textFill>
        </w:rPr>
        <w:t>12.</w:t>
      </w:r>
      <w:r>
        <w:rPr>
          <w:rFonts w:hint="eastAsia" w:ascii="仿宋_GB2312" w:hAnsi="仿宋" w:eastAsia="仿宋_GB2312" w:cs="仿宋"/>
          <w:color w:val="000000" w:themeColor="text1"/>
          <w:sz w:val="30"/>
          <w:szCs w:val="30"/>
          <w14:textFill>
            <w14:solidFill>
              <w14:schemeClr w14:val="tx1"/>
            </w14:solidFill>
          </w14:textFill>
        </w:rPr>
        <w:t>在承包期内，</w:t>
      </w:r>
      <w:r>
        <w:rPr>
          <w:rFonts w:hint="eastAsia" w:ascii="仿宋_GB2312" w:hAnsi="仿宋" w:eastAsia="仿宋_GB2312" w:cs="仿宋"/>
          <w:color w:val="000000" w:themeColor="text1"/>
          <w:sz w:val="30"/>
          <w:szCs w:val="30"/>
          <w:lang w:val="en-US" w:eastAsia="zh-CN"/>
          <w14:textFill>
            <w14:solidFill>
              <w14:schemeClr w14:val="tx1"/>
            </w14:solidFill>
          </w14:textFill>
        </w:rPr>
        <w:t>乙方</w:t>
      </w:r>
      <w:r>
        <w:rPr>
          <w:rFonts w:hint="eastAsia" w:ascii="仿宋_GB2312" w:hAnsi="仿宋" w:eastAsia="仿宋_GB2312" w:cs="仿宋"/>
          <w:color w:val="000000" w:themeColor="text1"/>
          <w:sz w:val="30"/>
          <w:szCs w:val="30"/>
          <w14:textFill>
            <w14:solidFill>
              <w14:schemeClr w14:val="tx1"/>
            </w14:solidFill>
          </w14:textFill>
        </w:rPr>
        <w:t>不得向第三方转让承包业务。</w:t>
      </w:r>
      <w:r>
        <w:rPr>
          <w:rFonts w:hint="eastAsia" w:ascii="宋体" w:hAnsi="宋体"/>
          <w:bCs/>
          <w:sz w:val="28"/>
          <w:szCs w:val="28"/>
        </w:rPr>
        <w:t xml:space="preserve"> </w:t>
      </w:r>
    </w:p>
    <w:p>
      <w:pPr>
        <w:keepNext w:val="0"/>
        <w:keepLines w:val="0"/>
        <w:pageBreakBefore w:val="0"/>
        <w:kinsoku/>
        <w:overflowPunct/>
        <w:topLinePunct w:val="0"/>
        <w:bidi w:val="0"/>
        <w:snapToGrid/>
        <w:spacing w:line="360" w:lineRule="auto"/>
        <w:ind w:firstLine="600" w:firstLineChars="200"/>
        <w:jc w:val="both"/>
        <w:rPr>
          <w:rFonts w:ascii="仿宋_GB2312" w:hAnsi="Courier New" w:eastAsia="仿宋_GB2312"/>
          <w:color w:val="000000" w:themeColor="text1"/>
          <w:kern w:val="0"/>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13.</w:t>
      </w:r>
      <w:r>
        <w:rPr>
          <w:rFonts w:hint="eastAsia" w:ascii="仿宋_GB2312" w:hAnsi="仿宋" w:eastAsia="仿宋_GB2312" w:cs="仿宋"/>
          <w:color w:val="000000" w:themeColor="text1"/>
          <w:sz w:val="30"/>
          <w:szCs w:val="30"/>
          <w14:textFill>
            <w14:solidFill>
              <w14:schemeClr w14:val="tx1"/>
            </w14:solidFill>
          </w14:textFill>
        </w:rPr>
        <w:t>为了确保安全生产，防止和减少作业中的安全事故，乙方在</w:t>
      </w:r>
      <w:r>
        <w:rPr>
          <w:rFonts w:hint="eastAsia" w:ascii="仿宋_GB2312" w:hAnsi="仿宋" w:eastAsia="仿宋_GB2312" w:cs="仿宋"/>
          <w:color w:val="000000" w:themeColor="text1"/>
          <w:sz w:val="30"/>
          <w:szCs w:val="30"/>
          <w:lang w:val="en-US" w:eastAsia="zh-CN"/>
          <w14:textFill>
            <w14:solidFill>
              <w14:schemeClr w14:val="tx1"/>
            </w14:solidFill>
          </w14:textFill>
        </w:rPr>
        <w:t>出库</w:t>
      </w:r>
      <w:r>
        <w:rPr>
          <w:rFonts w:hint="eastAsia" w:ascii="仿宋_GB2312" w:hAnsi="仿宋" w:eastAsia="仿宋_GB2312" w:cs="仿宋"/>
          <w:color w:val="000000" w:themeColor="text1"/>
          <w:sz w:val="30"/>
          <w:szCs w:val="30"/>
          <w14:textFill>
            <w14:solidFill>
              <w14:schemeClr w14:val="tx1"/>
            </w14:solidFill>
          </w14:textFill>
        </w:rPr>
        <w:t>作业前须向甲方交纳人民币￥20,000元（大写：</w:t>
      </w:r>
      <w:r>
        <w:rPr>
          <w:rFonts w:hint="eastAsia" w:ascii="仿宋_GB2312" w:hAnsi="仿宋" w:eastAsia="仿宋_GB2312" w:cs="仿宋"/>
          <w:color w:val="000000" w:themeColor="text1"/>
          <w:sz w:val="30"/>
          <w:szCs w:val="30"/>
          <w:lang w:val="en-US" w:eastAsia="zh-CN"/>
          <w14:textFill>
            <w14:solidFill>
              <w14:schemeClr w14:val="tx1"/>
            </w14:solidFill>
          </w14:textFill>
        </w:rPr>
        <w:t>人民币</w:t>
      </w:r>
      <w:r>
        <w:rPr>
          <w:rFonts w:hint="eastAsia" w:ascii="仿宋_GB2312" w:hAnsi="仿宋" w:eastAsia="仿宋_GB2312" w:cs="仿宋"/>
          <w:color w:val="000000" w:themeColor="text1"/>
          <w:sz w:val="30"/>
          <w:szCs w:val="30"/>
          <w14:textFill>
            <w14:solidFill>
              <w14:schemeClr w14:val="tx1"/>
            </w14:solidFill>
          </w14:textFill>
        </w:rPr>
        <w:t>贰万元整）作为安全保证金。</w:t>
      </w:r>
      <w:r>
        <w:rPr>
          <w:rFonts w:hint="eastAsia" w:ascii="仿宋_GB2312" w:hAnsi="仿宋" w:eastAsia="仿宋_GB2312" w:cs="仿宋"/>
          <w:color w:val="000000" w:themeColor="text1"/>
          <w:sz w:val="30"/>
          <w:szCs w:val="30"/>
          <w:lang w:val="en-US" w:eastAsia="zh-CN"/>
          <w14:textFill>
            <w14:solidFill>
              <w14:schemeClr w14:val="tx1"/>
            </w14:solidFill>
          </w14:textFill>
        </w:rPr>
        <w:t>待</w:t>
      </w:r>
      <w:r>
        <w:rPr>
          <w:rFonts w:hint="eastAsia" w:ascii="仿宋_GB2312" w:hAnsi="仿宋" w:eastAsia="仿宋_GB2312" w:cs="仿宋"/>
          <w:color w:val="000000" w:themeColor="text1"/>
          <w:sz w:val="30"/>
          <w:szCs w:val="30"/>
          <w14:textFill>
            <w14:solidFill>
              <w14:schemeClr w14:val="tx1"/>
            </w14:solidFill>
          </w14:textFill>
        </w:rPr>
        <w:t>合同期结束后1个月内，无任何违约的情况下，甲方将安全保证金无息全额退还给乙方。</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六、免责条款</w:t>
      </w:r>
    </w:p>
    <w:p>
      <w:pPr>
        <w:keepNext w:val="0"/>
        <w:keepLines w:val="0"/>
        <w:pageBreakBefore w:val="0"/>
        <w:tabs>
          <w:tab w:val="left" w:pos="1080"/>
        </w:tabs>
        <w:kinsoku/>
        <w:overflowPunct/>
        <w:topLinePunct w:val="0"/>
        <w:bidi w:val="0"/>
        <w:snapToGrid/>
        <w:spacing w:line="360" w:lineRule="auto"/>
        <w:ind w:firstLine="600" w:firstLineChars="200"/>
        <w:jc w:val="both"/>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在合同履行期间，因人力不可抗拒条件下出现的责任，甲乙双方可不承担违约责任，但双方应将情况及时告之对方，以便对方采取相应措施。一方为了消除、减轻和克服不可抗力所造成的损失而支出的合理费用由对方承担。</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七、不可抗力</w:t>
      </w:r>
    </w:p>
    <w:p>
      <w:pPr>
        <w:keepNext w:val="0"/>
        <w:keepLines w:val="0"/>
        <w:pageBreakBefore w:val="0"/>
        <w:kinsoku/>
        <w:overflowPunct/>
        <w:topLinePunct w:val="0"/>
        <w:bidi w:val="0"/>
        <w:snapToGrid/>
        <w:spacing w:line="360" w:lineRule="auto"/>
        <w:ind w:firstLine="600" w:firstLineChars="200"/>
        <w:jc w:val="both"/>
        <w:textAlignment w:val="top"/>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一</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本合同所称“不可抗力”是指：不可预见、不可避免、不可克服的事件或情形，包括但不限于洪水、地震、飓风、海啸、冰冻、大雾等自然灾害或战争、动乱、暴乱、骚动或其它公开的敌对行为、海盗行为、传染病、瘟疫、工人罢工、停工、政府或其职权部门限制或禁止、国家法律、法规变更、公共交通或其它设施中断或阻塞等社会现象。</w:t>
      </w:r>
    </w:p>
    <w:p>
      <w:pPr>
        <w:keepNext w:val="0"/>
        <w:keepLines w:val="0"/>
        <w:pageBreakBefore w:val="0"/>
        <w:kinsoku/>
        <w:overflowPunct/>
        <w:topLinePunct w:val="0"/>
        <w:bidi w:val="0"/>
        <w:snapToGrid/>
        <w:spacing w:line="360" w:lineRule="auto"/>
        <w:ind w:firstLine="600" w:firstLineChars="200"/>
        <w:jc w:val="both"/>
        <w:textAlignment w:val="top"/>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二</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任何一方遭遇不可抗力事件，应当尽快通知对方，告知不可抗力的性质和程度及对本合同履行可能产生的影响，并在第一时间内提供有关不可抗力事件的详细资料和证据。</w:t>
      </w:r>
    </w:p>
    <w:p>
      <w:pPr>
        <w:keepNext w:val="0"/>
        <w:keepLines w:val="0"/>
        <w:pageBreakBefore w:val="0"/>
        <w:kinsoku/>
        <w:overflowPunct/>
        <w:topLinePunct w:val="0"/>
        <w:bidi w:val="0"/>
        <w:snapToGrid/>
        <w:spacing w:line="360" w:lineRule="auto"/>
        <w:ind w:firstLine="600" w:firstLineChars="200"/>
        <w:jc w:val="both"/>
        <w:textAlignment w:val="top"/>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三</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任何一方因遭遇不可抗力事件，导致迟延履行或未履行本合同项下义务的，只要其根据本合同约定及时将不可抗力事件告知对方，则其都不构成违约，无须向对方承担违约责任，且履行有关义务的时间可相应顺延。</w:t>
      </w:r>
    </w:p>
    <w:p>
      <w:pPr>
        <w:keepNext w:val="0"/>
        <w:keepLines w:val="0"/>
        <w:pageBreakBefore w:val="0"/>
        <w:kinsoku/>
        <w:overflowPunct/>
        <w:topLinePunct w:val="0"/>
        <w:bidi w:val="0"/>
        <w:snapToGrid/>
        <w:spacing w:line="360" w:lineRule="auto"/>
        <w:ind w:firstLine="600" w:firstLineChars="200"/>
        <w:jc w:val="both"/>
        <w:textAlignment w:val="top"/>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四</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遭遇不可抗力事件的一方应当采取适当措施，尽量减少或消除不可抗力事件的影响，并在不可抗力事件消失后的最短时间内，恢复履行受不可抗力事件影响而中断的义务。</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八、违约责任和解决纷争方法</w:t>
      </w:r>
    </w:p>
    <w:p>
      <w:pPr>
        <w:keepNext w:val="0"/>
        <w:keepLines w:val="0"/>
        <w:pageBreakBefore w:val="0"/>
        <w:kinsoku/>
        <w:overflowPunct/>
        <w:topLinePunct w:val="0"/>
        <w:bidi w:val="0"/>
        <w:snapToGrid/>
        <w:spacing w:line="360" w:lineRule="auto"/>
        <w:ind w:left="2" w:firstLine="602" w:firstLineChars="201"/>
        <w:jc w:val="both"/>
        <w:textAlignment w:val="top"/>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lang w:val="en-US" w:eastAsia="zh-CN"/>
          <w14:textFill>
            <w14:solidFill>
              <w14:schemeClr w14:val="tx1"/>
            </w14:solidFill>
          </w14:textFill>
        </w:rPr>
        <w:t>一</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乙方应与其员工依法签订劳动合同建立劳动关系并购买</w:t>
      </w:r>
      <w:r>
        <w:rPr>
          <w:rFonts w:hint="eastAsia" w:ascii="仿宋_GB2312" w:hAnsi="仿宋" w:eastAsia="仿宋_GB2312" w:cs="仿宋"/>
          <w:color w:val="000000" w:themeColor="text1"/>
          <w:sz w:val="30"/>
          <w:szCs w:val="30"/>
          <w:lang w:val="en-US" w:eastAsia="zh-CN"/>
          <w14:textFill>
            <w14:solidFill>
              <w14:schemeClr w14:val="tx1"/>
            </w14:solidFill>
          </w14:textFill>
        </w:rPr>
        <w:t>有关</w:t>
      </w:r>
      <w:r>
        <w:rPr>
          <w:rFonts w:hint="eastAsia" w:ascii="仿宋_GB2312" w:hAnsi="仿宋" w:eastAsia="仿宋_GB2312" w:cs="仿宋"/>
          <w:color w:val="000000" w:themeColor="text1"/>
          <w:sz w:val="30"/>
          <w:szCs w:val="30"/>
          <w14:textFill>
            <w14:solidFill>
              <w14:schemeClr w14:val="tx1"/>
            </w14:solidFill>
          </w14:textFill>
        </w:rPr>
        <w:t>保险，因乙方与其员工之间的劳动纠纷（包括但不限于乙方员工在装卸过程发生意外伤害事故导致的劳动仲裁诉讼与赔偿），均由乙方自行解决并承担责任。因乙方劳动纠纷影响本合同甲方装卸业务进程的，甲方有权单方解除本合同并向乙方追偿损失（包括甲方因乙方劳动纠纷事宜被相关方追究的违约金和赔偿金）。</w:t>
      </w:r>
    </w:p>
    <w:p>
      <w:pPr>
        <w:keepNext w:val="0"/>
        <w:keepLines w:val="0"/>
        <w:pageBreakBefore w:val="0"/>
        <w:tabs>
          <w:tab w:val="left" w:pos="1080"/>
        </w:tabs>
        <w:kinsoku/>
        <w:overflowPunct/>
        <w:topLinePunct w:val="0"/>
        <w:bidi w:val="0"/>
        <w:snapToGrid/>
        <w:spacing w:line="360" w:lineRule="auto"/>
        <w:ind w:firstLine="600" w:firstLineChars="200"/>
        <w:jc w:val="both"/>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lang w:val="en-US" w:eastAsia="zh-CN"/>
          <w14:textFill>
            <w14:solidFill>
              <w14:schemeClr w14:val="tx1"/>
            </w14:solidFill>
          </w14:textFill>
        </w:rPr>
        <w:t>二</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lang w:val="en-US" w:eastAsia="zh-CN"/>
          <w14:textFill>
            <w14:solidFill>
              <w14:schemeClr w14:val="tx1"/>
            </w14:solidFill>
          </w14:textFill>
        </w:rPr>
        <w:t>中央</w:t>
      </w:r>
      <w:r>
        <w:rPr>
          <w:rFonts w:hint="eastAsia" w:ascii="仿宋_GB2312" w:hAnsi="仿宋" w:eastAsia="仿宋_GB2312" w:cs="仿宋"/>
          <w:color w:val="000000" w:themeColor="text1"/>
          <w:sz w:val="30"/>
          <w:szCs w:val="30"/>
          <w14:textFill>
            <w14:solidFill>
              <w14:schemeClr w14:val="tx1"/>
            </w14:solidFill>
          </w14:textFill>
        </w:rPr>
        <w:t>储备糖出库作业期间，乙方必须保证有一定人数的常驻</w:t>
      </w:r>
      <w:r>
        <w:rPr>
          <w:rFonts w:hint="eastAsia" w:ascii="仿宋_GB2312" w:hAnsi="仿宋" w:eastAsia="仿宋_GB2312" w:cs="仿宋"/>
          <w:color w:val="000000" w:themeColor="text1"/>
          <w:sz w:val="30"/>
          <w:szCs w:val="30"/>
          <w:lang w:val="en-US" w:eastAsia="zh-CN"/>
          <w14:textFill>
            <w14:solidFill>
              <w14:schemeClr w14:val="tx1"/>
            </w14:solidFill>
          </w14:textFill>
        </w:rPr>
        <w:t>机械</w:t>
      </w:r>
      <w:r>
        <w:rPr>
          <w:rFonts w:hint="eastAsia" w:ascii="仿宋_GB2312" w:hAnsi="仿宋" w:eastAsia="仿宋_GB2312" w:cs="仿宋"/>
          <w:color w:val="000000" w:themeColor="text1"/>
          <w:sz w:val="30"/>
          <w:szCs w:val="30"/>
          <w14:textFill>
            <w14:solidFill>
              <w14:schemeClr w14:val="tx1"/>
            </w14:solidFill>
          </w14:textFill>
        </w:rPr>
        <w:t>装卸队伍，如人数无法满足工作需要时，乙方必须增加足够人员，确保甲方的出库作业正常运作；甲方作业所需人员有较大变动（增加或减少），应提前</w:t>
      </w:r>
      <w:r>
        <w:rPr>
          <w:rFonts w:hint="eastAsia" w:ascii="仿宋_GB2312" w:hAnsi="仿宋" w:eastAsia="仿宋_GB2312" w:cs="仿宋"/>
          <w:color w:val="000000" w:themeColor="text1"/>
          <w:sz w:val="30"/>
          <w:szCs w:val="30"/>
          <w:lang w:val="en-US" w:eastAsia="zh-CN"/>
          <w14:textFill>
            <w14:solidFill>
              <w14:schemeClr w14:val="tx1"/>
            </w14:solidFill>
          </w14:textFill>
        </w:rPr>
        <w:t>3</w:t>
      </w:r>
      <w:r>
        <w:rPr>
          <w:rFonts w:hint="eastAsia" w:ascii="仿宋_GB2312" w:hAnsi="仿宋" w:eastAsia="仿宋_GB2312" w:cs="仿宋"/>
          <w:color w:val="000000" w:themeColor="text1"/>
          <w:sz w:val="30"/>
          <w:szCs w:val="30"/>
          <w14:textFill>
            <w14:solidFill>
              <w14:schemeClr w14:val="tx1"/>
            </w14:solidFill>
          </w14:textFill>
        </w:rPr>
        <w:t>天通知乙方，以备乙方预先做好准备。如因乙方原因造成甲方怠工，造成的损失全部由乙方承担。</w:t>
      </w:r>
    </w:p>
    <w:p>
      <w:pPr>
        <w:keepNext w:val="0"/>
        <w:keepLines w:val="0"/>
        <w:pageBreakBefore w:val="0"/>
        <w:tabs>
          <w:tab w:val="left" w:pos="1080"/>
        </w:tabs>
        <w:kinsoku/>
        <w:overflowPunct/>
        <w:topLinePunct w:val="0"/>
        <w:bidi w:val="0"/>
        <w:snapToGrid/>
        <w:spacing w:line="360" w:lineRule="auto"/>
        <w:ind w:firstLine="600" w:firstLineChars="200"/>
        <w:jc w:val="both"/>
        <w:rPr>
          <w:rFonts w:ascii="宋体" w:hAnsi="宋体"/>
          <w:bCs/>
          <w:sz w:val="28"/>
          <w:szCs w:val="28"/>
        </w:rPr>
      </w:pP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lang w:val="en-US" w:eastAsia="zh-CN"/>
          <w14:textFill>
            <w14:solidFill>
              <w14:schemeClr w14:val="tx1"/>
            </w14:solidFill>
          </w14:textFill>
        </w:rPr>
        <w:t>三</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当本合同履行过程出现争议，甲乙双方应通过友好协商解决。若协商无法达成一致的，任何一方可向甲方所在地人民法院提供诉讼，诉讼费、律师费由违约方承担。</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九、</w:t>
      </w:r>
      <w:r>
        <w:rPr>
          <w:rFonts w:hint="eastAsia" w:ascii="黑体" w:hAnsi="黑体" w:eastAsia="黑体"/>
          <w:b/>
          <w:color w:val="000000" w:themeColor="text1"/>
          <w:sz w:val="30"/>
          <w:szCs w:val="30"/>
          <w:lang w:val="en-US" w:eastAsia="zh-CN"/>
          <w14:textFill>
            <w14:solidFill>
              <w14:schemeClr w14:val="tx1"/>
            </w14:solidFill>
          </w14:textFill>
        </w:rPr>
        <w:t>合同</w:t>
      </w:r>
      <w:r>
        <w:rPr>
          <w:rFonts w:hint="eastAsia" w:ascii="黑体" w:hAnsi="黑体" w:eastAsia="黑体"/>
          <w:b/>
          <w:color w:val="000000" w:themeColor="text1"/>
          <w:sz w:val="30"/>
          <w:szCs w:val="30"/>
          <w14:textFill>
            <w14:solidFill>
              <w14:schemeClr w14:val="tx1"/>
            </w14:solidFill>
          </w14:textFill>
        </w:rPr>
        <w:t>的修改</w:t>
      </w:r>
    </w:p>
    <w:p>
      <w:pPr>
        <w:keepNext w:val="0"/>
        <w:keepLines w:val="0"/>
        <w:pageBreakBefore w:val="0"/>
        <w:kinsoku/>
        <w:overflowPunct/>
        <w:topLinePunct w:val="0"/>
        <w:bidi w:val="0"/>
        <w:snapToGrid/>
        <w:spacing w:line="360" w:lineRule="auto"/>
        <w:ind w:firstLine="600" w:firstLineChars="200"/>
        <w:jc w:val="both"/>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有效期内，任何一方提出修改条文，须提前30天书面通知对方。</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十、</w:t>
      </w:r>
      <w:r>
        <w:rPr>
          <w:rFonts w:hint="eastAsia" w:ascii="黑体" w:hAnsi="黑体" w:eastAsia="黑体"/>
          <w:b/>
          <w:color w:val="000000" w:themeColor="text1"/>
          <w:sz w:val="30"/>
          <w:szCs w:val="30"/>
          <w:lang w:val="en-US" w:eastAsia="zh-CN"/>
          <w14:textFill>
            <w14:solidFill>
              <w14:schemeClr w14:val="tx1"/>
            </w14:solidFill>
          </w14:textFill>
        </w:rPr>
        <w:t>合同</w:t>
      </w:r>
      <w:r>
        <w:rPr>
          <w:rFonts w:hint="eastAsia" w:ascii="黑体" w:hAnsi="黑体" w:eastAsia="黑体"/>
          <w:b/>
          <w:color w:val="000000" w:themeColor="text1"/>
          <w:sz w:val="30"/>
          <w:szCs w:val="30"/>
          <w14:textFill>
            <w14:solidFill>
              <w14:schemeClr w14:val="tx1"/>
            </w14:solidFill>
          </w14:textFill>
        </w:rPr>
        <w:t>的终止</w:t>
      </w:r>
    </w:p>
    <w:p>
      <w:pPr>
        <w:keepNext w:val="0"/>
        <w:keepLines w:val="0"/>
        <w:pageBreakBefore w:val="0"/>
        <w:kinsoku/>
        <w:overflowPunct/>
        <w:topLinePunct w:val="0"/>
        <w:bidi w:val="0"/>
        <w:snapToGrid/>
        <w:spacing w:line="360" w:lineRule="auto"/>
        <w:jc w:val="both"/>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如一方要终止</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，应提前30天通知对方，经对方书面同意后，本</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自然终止。如另一方不同意终止</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，双方应在原</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基础上重新协商达成新的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。任何一方未按约定书面通知而停止合作的，作违约处理，违约方向履行方赔偿违约金</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人民币</w:t>
      </w:r>
      <w:r>
        <w:rPr>
          <w:rFonts w:hint="eastAsia" w:ascii="仿宋_GB2312" w:hAnsi="宋体" w:eastAsia="仿宋_GB2312" w:cs="宋体"/>
          <w:bCs/>
          <w:color w:val="000000" w:themeColor="text1"/>
          <w:sz w:val="30"/>
          <w:szCs w:val="30"/>
          <w:lang w:val="en-US" w:eastAsia="zh-CN"/>
          <w14:textFill>
            <w14:solidFill>
              <w14:schemeClr w14:val="tx1"/>
            </w14:solidFill>
          </w14:textFill>
        </w:rPr>
        <w:t>2</w:t>
      </w:r>
      <w:r>
        <w:rPr>
          <w:rFonts w:hint="eastAsia" w:ascii="仿宋_GB2312" w:hAnsi="宋体" w:eastAsia="仿宋_GB2312" w:cs="宋体"/>
          <w:bCs/>
          <w:color w:val="000000" w:themeColor="text1"/>
          <w:sz w:val="30"/>
          <w:szCs w:val="30"/>
          <w14:textFill>
            <w14:solidFill>
              <w14:schemeClr w14:val="tx1"/>
            </w14:solidFill>
          </w14:textFill>
        </w:rPr>
        <w:t>0000</w:t>
      </w:r>
      <w:r>
        <w:rPr>
          <w:rFonts w:hint="eastAsia" w:ascii="仿宋_GB2312" w:hAnsi="仿宋_GB2312" w:eastAsia="仿宋_GB2312" w:cs="仿宋_GB2312"/>
          <w:color w:val="000000" w:themeColor="text1"/>
          <w:sz w:val="30"/>
          <w:szCs w:val="30"/>
          <w14:textFill>
            <w14:solidFill>
              <w14:schemeClr w14:val="tx1"/>
            </w14:solidFill>
          </w14:textFill>
        </w:rPr>
        <w:t>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贰万元整</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宋体" w:hAnsi="宋体"/>
          <w:bCs/>
          <w:sz w:val="28"/>
          <w:szCs w:val="28"/>
        </w:rPr>
        <w:t xml:space="preserve"> </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十一、保密条款</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保密信息是指任何一方以口头或书面形式披露的与本合同相关的信息，包括但不限于各方的客户信息。</w:t>
      </w:r>
    </w:p>
    <w:p>
      <w:pPr>
        <w:pStyle w:val="10"/>
        <w:keepNext w:val="0"/>
        <w:keepLines w:val="0"/>
        <w:pageBreakBefore w:val="0"/>
        <w:kinsoku/>
        <w:overflowPunct/>
        <w:topLinePunct w:val="0"/>
        <w:bidi w:val="0"/>
        <w:snapToGrid/>
        <w:spacing w:line="360" w:lineRule="auto"/>
        <w:ind w:left="0" w:leftChars="0"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双方同意对从各方得到的保密信息承担保密义务，其采取的保密措施的程度与其对自身的保密信息所采取的保密措施相同（在任何情况下均应采取合理的保密措施）。除非是为履行本合同项下的义务需要并经对方书面同意，否则，任何一方均不得向公众或无关第三方披露或提供任何保密信息。</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十二、合同的生效与终止</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本合同经甲、乙双方授权代表签字或盖章（合同专用章或者公章）后正式生效。</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合同期限自从</w:t>
      </w:r>
      <w:r>
        <w:rPr>
          <w:rFonts w:hint="eastAsia" w:ascii="仿宋_GB2312" w:eastAsia="仿宋_GB2312"/>
          <w:color w:val="000000" w:themeColor="text1"/>
          <w:sz w:val="30"/>
          <w:szCs w:val="30"/>
          <w:u w:val="single"/>
          <w14:textFill>
            <w14:solidFill>
              <w14:schemeClr w14:val="tx1"/>
            </w14:solidFill>
          </w14:textFill>
        </w:rPr>
        <w:t xml:space="preserve"> 202</w:t>
      </w:r>
      <w:r>
        <w:rPr>
          <w:rFonts w:ascii="仿宋_GB2312" w:eastAsia="仿宋_GB2312"/>
          <w:color w:val="000000" w:themeColor="text1"/>
          <w:sz w:val="30"/>
          <w:szCs w:val="30"/>
          <w:u w:val="single"/>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仿宋_GB2312" w:eastAsia="仿宋_GB2312"/>
          <w:color w:val="000000" w:themeColor="text1"/>
          <w:sz w:val="30"/>
          <w:szCs w:val="30"/>
          <w:u w:val="single"/>
          <w:lang w:val="en-US" w:eastAsia="zh-CN"/>
          <w14:textFill>
            <w14:solidFill>
              <w14:schemeClr w14:val="tx1"/>
            </w14:solidFill>
          </w14:textFill>
        </w:rPr>
        <w:t xml:space="preserve"> </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u w:val="single"/>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日起至出库完毕并结清所有费用为止。</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本合同壹式肆份，甲乙各执贰份，具有同等法律效力。</w:t>
      </w:r>
    </w:p>
    <w:p>
      <w:pPr>
        <w:keepNext w:val="0"/>
        <w:keepLines w:val="0"/>
        <w:pageBreakBefore w:val="0"/>
        <w:tabs>
          <w:tab w:val="left" w:pos="1080"/>
        </w:tabs>
        <w:kinsoku/>
        <w:overflowPunct/>
        <w:topLinePunct w:val="0"/>
        <w:bidi w:val="0"/>
        <w:snapToGrid/>
        <w:spacing w:line="360" w:lineRule="auto"/>
        <w:ind w:firstLine="602" w:firstLineChars="200"/>
        <w:jc w:val="both"/>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十</w:t>
      </w:r>
      <w:r>
        <w:rPr>
          <w:rFonts w:hint="eastAsia" w:ascii="黑体" w:hAnsi="黑体" w:eastAsia="黑体"/>
          <w:b/>
          <w:color w:val="000000" w:themeColor="text1"/>
          <w:sz w:val="30"/>
          <w:szCs w:val="30"/>
          <w:highlight w:val="none"/>
          <w:lang w:val="en-US" w:eastAsia="zh-CN"/>
          <w14:textFill>
            <w14:solidFill>
              <w14:schemeClr w14:val="tx1"/>
            </w14:solidFill>
          </w14:textFill>
        </w:rPr>
        <w:t>三</w:t>
      </w:r>
      <w:r>
        <w:rPr>
          <w:rFonts w:hint="eastAsia" w:ascii="黑体" w:hAnsi="黑体" w:eastAsia="黑体"/>
          <w:b/>
          <w:color w:val="000000" w:themeColor="text1"/>
          <w:sz w:val="30"/>
          <w:szCs w:val="30"/>
          <w:highlight w:val="none"/>
          <w14:textFill>
            <w14:solidFill>
              <w14:schemeClr w14:val="tx1"/>
            </w14:solidFill>
          </w14:textFill>
        </w:rPr>
        <w:t>、合同附件</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本合同附件如下所列并构成本合同完整的组成部分：</w:t>
      </w:r>
    </w:p>
    <w:p>
      <w:pPr>
        <w:keepNext w:val="0"/>
        <w:keepLines w:val="0"/>
        <w:pageBreakBefore w:val="0"/>
        <w:kinsoku/>
        <w:wordWrap/>
        <w:overflowPunct/>
        <w:topLinePunct w:val="0"/>
        <w:bidi w:val="0"/>
        <w:adjustRightInd/>
        <w:snapToGrid/>
        <w:spacing w:line="360" w:lineRule="auto"/>
        <w:ind w:firstLine="600" w:firstLineChars="200"/>
        <w:jc w:val="both"/>
        <w:textAlignment w:val="auto"/>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附件1</w:t>
      </w:r>
      <w:bookmarkStart w:id="0" w:name="_Hlk122522986"/>
      <w:r>
        <w:rPr>
          <w:rFonts w:hint="eastAsia" w:ascii="仿宋_GB2312" w:eastAsia="仿宋_GB2312"/>
          <w:color w:val="000000" w:themeColor="text1"/>
          <w:sz w:val="30"/>
          <w:szCs w:val="30"/>
          <w:lang w:eastAsia="zh-CN"/>
          <w14:textFill>
            <w14:solidFill>
              <w14:schemeClr w14:val="tx1"/>
            </w14:solidFill>
          </w14:textFill>
        </w:rPr>
        <w:t>：</w:t>
      </w:r>
      <w:bookmarkEnd w:id="0"/>
      <w:r>
        <w:rPr>
          <w:rFonts w:hint="eastAsia" w:ascii="仿宋_GB2312" w:eastAsia="仿宋_GB2312"/>
          <w:color w:val="000000" w:themeColor="text1"/>
          <w:sz w:val="30"/>
          <w:szCs w:val="30"/>
          <w14:textFill>
            <w14:solidFill>
              <w14:schemeClr w14:val="tx1"/>
            </w14:solidFill>
          </w14:textFill>
        </w:rPr>
        <w:t>安全管理协议</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附件2</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装卸作业操作规程</w:t>
      </w:r>
    </w:p>
    <w:p>
      <w:pPr>
        <w:keepNext w:val="0"/>
        <w:keepLines w:val="0"/>
        <w:pageBreakBefore w:val="0"/>
        <w:kinsoku/>
        <w:overflowPunct/>
        <w:topLinePunct w:val="0"/>
        <w:bidi w:val="0"/>
        <w:snapToGrid/>
        <w:spacing w:line="360" w:lineRule="auto"/>
        <w:ind w:firstLine="600" w:firstLineChars="200"/>
        <w:jc w:val="both"/>
        <w:textAlignment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附件3</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项目作业危险、有害因素告知书</w:t>
      </w:r>
    </w:p>
    <w:p>
      <w:pPr>
        <w:keepNext w:val="0"/>
        <w:keepLines w:val="0"/>
        <w:pageBreakBefore w:val="0"/>
        <w:kinsoku/>
        <w:overflowPunct/>
        <w:topLinePunct w:val="0"/>
        <w:bidi w:val="0"/>
        <w:snapToGrid/>
        <w:spacing w:line="360" w:lineRule="auto"/>
        <w:ind w:firstLine="600" w:firstLineChars="200"/>
        <w:jc w:val="both"/>
        <w:textAlignment w:val="cente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附件4</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生产现场管理人员授权委托书</w:t>
      </w:r>
    </w:p>
    <w:p>
      <w:pPr>
        <w:keepNext w:val="0"/>
        <w:keepLines w:val="0"/>
        <w:pageBreakBefore w:val="0"/>
        <w:kinsoku/>
        <w:overflowPunct/>
        <w:topLinePunct w:val="0"/>
        <w:bidi w:val="0"/>
        <w:snapToGrid/>
        <w:spacing w:line="360" w:lineRule="auto"/>
        <w:ind w:firstLine="600" w:firstLineChars="200"/>
        <w:jc w:val="both"/>
        <w:rPr>
          <w:rFonts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14:textFill>
            <w14:solidFill>
              <w14:schemeClr w14:val="tx1"/>
            </w14:solidFill>
          </w14:textFill>
        </w:rPr>
        <w:t>附件5</w:t>
      </w:r>
      <w:r>
        <w:rPr>
          <w:rFonts w:hint="eastAsia" w:ascii="仿宋_GB2312" w:hAnsi="仿宋" w:eastAsia="仿宋_GB2312" w:cs="仿宋"/>
          <w:color w:val="000000" w:themeColor="text1"/>
          <w:sz w:val="30"/>
          <w:szCs w:val="30"/>
          <w:lang w:eastAsia="zh-CN"/>
          <w14:textFill>
            <w14:solidFill>
              <w14:schemeClr w14:val="tx1"/>
            </w14:solidFill>
          </w14:textFill>
        </w:rPr>
        <w:t>：</w:t>
      </w:r>
      <w:r>
        <w:rPr>
          <w:rFonts w:hint="eastAsia" w:ascii="仿宋_GB2312" w:hAnsi="仿宋" w:eastAsia="仿宋_GB2312" w:cs="仿宋"/>
          <w:color w:val="000000" w:themeColor="text1"/>
          <w:sz w:val="30"/>
          <w:szCs w:val="30"/>
          <w14:textFill>
            <w14:solidFill>
              <w14:schemeClr w14:val="tx1"/>
            </w14:solidFill>
          </w14:textFill>
        </w:rPr>
        <w:t>安全技术交底</w:t>
      </w:r>
    </w:p>
    <w:p>
      <w:pPr>
        <w:keepNext w:val="0"/>
        <w:keepLines w:val="0"/>
        <w:pageBreakBefore w:val="0"/>
        <w:tabs>
          <w:tab w:val="left" w:pos="806"/>
        </w:tabs>
        <w:kinsoku/>
        <w:overflowPunct/>
        <w:topLinePunct w:val="0"/>
        <w:bidi w:val="0"/>
        <w:snapToGrid/>
        <w:spacing w:line="360" w:lineRule="auto"/>
        <w:ind w:firstLine="600" w:firstLineChars="200"/>
        <w:jc w:val="both"/>
        <w:rPr>
          <w:rFonts w:hint="eastAsia" w:ascii="仿宋_GB2312" w:eastAsia="仿宋_GB2312"/>
          <w:color w:val="000000" w:themeColor="text1"/>
          <w:sz w:val="30"/>
          <w:szCs w:val="30"/>
          <w14:textFill>
            <w14:solidFill>
              <w14:schemeClr w14:val="tx1"/>
            </w14:solidFill>
          </w14:textFill>
        </w:rPr>
      </w:pPr>
      <w:r>
        <w:rPr>
          <w:rFonts w:hint="eastAsia" w:ascii="仿宋_GB2312" w:hAnsi="仿宋" w:eastAsia="仿宋_GB2312" w:cs="仿宋"/>
          <w:sz w:val="30"/>
          <w:szCs w:val="30"/>
        </w:rPr>
        <w:t>附件6</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保密协议</w:t>
      </w:r>
    </w:p>
    <w:p>
      <w:pPr>
        <w:pStyle w:val="2"/>
        <w:keepNext w:val="0"/>
        <w:keepLines w:val="0"/>
        <w:pageBreakBefore w:val="0"/>
        <w:kinsoku/>
        <w:overflowPunct/>
        <w:topLinePunct w:val="0"/>
        <w:bidi w:val="0"/>
        <w:snapToGrid/>
        <w:spacing w:line="360" w:lineRule="auto"/>
        <w:jc w:val="both"/>
        <w:rPr>
          <w:rFonts w:hint="eastAsia" w:ascii="仿宋_GB2312" w:eastAsia="仿宋_GB2312"/>
          <w:color w:val="000000" w:themeColor="text1"/>
          <w:sz w:val="30"/>
          <w:szCs w:val="30"/>
          <w14:textFill>
            <w14:solidFill>
              <w14:schemeClr w14:val="tx1"/>
            </w14:solidFill>
          </w14:textFill>
        </w:rPr>
      </w:pPr>
    </w:p>
    <w:tbl>
      <w:tblPr>
        <w:tblStyle w:val="15"/>
        <w:tblpPr w:leftFromText="180" w:rightFromText="180" w:vertAnchor="text" w:horzAnchor="page" w:tblpX="1258" w:tblpY="287"/>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8"/>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4" w:hRule="atLeast"/>
        </w:trPr>
        <w:tc>
          <w:tcPr>
            <w:tcW w:w="4838" w:type="dxa"/>
          </w:tcPr>
          <w:p>
            <w:pPr>
              <w:keepNext w:val="0"/>
              <w:keepLines w:val="0"/>
              <w:pageBreakBefore w:val="0"/>
              <w:kinsoku/>
              <w:overflowPunct/>
              <w:topLinePunct w:val="0"/>
              <w:bidi w:val="0"/>
              <w:snapToGrid/>
              <w:spacing w:line="360" w:lineRule="auto"/>
              <w:jc w:val="both"/>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甲方</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盖章</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辽宁中糖物流有限公司</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法定代表人或授权代表：</w:t>
            </w:r>
            <w:r>
              <w:rPr>
                <w:rFonts w:hint="eastAsia" w:ascii="宋体" w:hAnsi="宋体"/>
                <w:b/>
                <w:color w:val="000000" w:themeColor="text1"/>
                <w:sz w:val="24"/>
                <w:lang w:val="en-US" w:eastAsia="zh-CN"/>
                <w14:textFill>
                  <w14:solidFill>
                    <w14:schemeClr w14:val="tx1"/>
                  </w14:solidFill>
                </w14:textFill>
              </w:rPr>
              <w:t>纪新良</w:t>
            </w:r>
            <w:r>
              <w:rPr>
                <w:rFonts w:hint="eastAsia" w:ascii="宋体" w:hAnsi="宋体"/>
                <w:b/>
                <w:color w:val="000000" w:themeColor="text1"/>
                <w:sz w:val="24"/>
                <w14:textFill>
                  <w14:solidFill>
                    <w14:schemeClr w14:val="tx1"/>
                  </w14:solidFill>
                </w14:textFill>
              </w:rPr>
              <w:t xml:space="preserve"> </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p>
          <w:p>
            <w:pPr>
              <w:pStyle w:val="2"/>
            </w:pP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14:textFill>
                  <w14:solidFill>
                    <w14:schemeClr w14:val="tx1"/>
                  </w14:solidFill>
                </w14:textFill>
              </w:rPr>
              <w:t>地址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zh-CN"/>
                <w14:textFill>
                  <w14:solidFill>
                    <w14:schemeClr w14:val="tx1"/>
                  </w14:solidFill>
                </w14:textFill>
              </w:rPr>
              <w:t>辽宁省营口市鲅鱼圈区疏港路-北李屯/赵屯</w:t>
            </w:r>
          </w:p>
          <w:p>
            <w:pPr>
              <w:keepNext w:val="0"/>
              <w:keepLines w:val="0"/>
              <w:pageBreakBefore w:val="0"/>
              <w:kinsoku/>
              <w:overflowPunct/>
              <w:topLinePunct w:val="0"/>
              <w:bidi w:val="0"/>
              <w:snapToGrid/>
              <w:spacing w:line="360" w:lineRule="auto"/>
              <w:jc w:val="both"/>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邮编</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 xml:space="preserve">115007  </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业务联系人：</w:t>
            </w:r>
            <w:r>
              <w:rPr>
                <w:rFonts w:hint="eastAsia" w:ascii="宋体" w:hAnsi="宋体"/>
                <w:b/>
                <w:color w:val="000000" w:themeColor="text1"/>
                <w:sz w:val="24"/>
                <w:lang w:val="en-US" w:eastAsia="zh-CN"/>
                <w14:textFill>
                  <w14:solidFill>
                    <w14:schemeClr w14:val="tx1"/>
                  </w14:solidFill>
                </w14:textFill>
              </w:rPr>
              <w:t>宋恩永</w:t>
            </w: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联系电话：</w:t>
            </w:r>
            <w:r>
              <w:rPr>
                <w:rFonts w:hint="eastAsia" w:ascii="宋体" w:hAnsi="宋体"/>
                <w:b/>
                <w:color w:val="000000" w:themeColor="text1"/>
                <w:sz w:val="24"/>
                <w:lang w:val="en-US" w:eastAsia="zh-CN"/>
                <w14:textFill>
                  <w14:solidFill>
                    <w14:schemeClr w14:val="tx1"/>
                  </w14:solidFill>
                </w14:textFill>
              </w:rPr>
              <w:t>15042712166</w:t>
            </w:r>
            <w:r>
              <w:rPr>
                <w:rFonts w:hint="eastAsia" w:ascii="宋体" w:hAnsi="宋体"/>
                <w:bCs/>
                <w:color w:val="000000" w:themeColor="text1"/>
                <w:sz w:val="24"/>
                <w14:textFill>
                  <w14:solidFill>
                    <w14:schemeClr w14:val="tx1"/>
                  </w14:solidFill>
                </w14:textFill>
              </w:rPr>
              <w:t xml:space="preserve"> </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传真：</w:t>
            </w:r>
            <w:r>
              <w:rPr>
                <w:rFonts w:hint="eastAsia" w:ascii="宋体" w:hAnsi="宋体"/>
                <w:bCs/>
                <w:color w:val="000000" w:themeColor="text1"/>
                <w:sz w:val="24"/>
                <w14:textFill>
                  <w14:solidFill>
                    <w14:schemeClr w14:val="tx1"/>
                  </w14:solidFill>
                </w14:textFill>
              </w:rPr>
              <w:t xml:space="preserve"> </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开户银行：中国建设银行营口经济技术开发区支行</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帐号：</w:t>
            </w:r>
            <w:r>
              <w:rPr>
                <w:rFonts w:hint="eastAsia" w:ascii="宋体" w:hAnsi="宋体"/>
                <w:b/>
                <w:color w:val="000000" w:themeColor="text1"/>
                <w:sz w:val="24"/>
                <w:lang w:val="en-US" w:eastAsia="zh-CN"/>
                <w14:textFill>
                  <w14:solidFill>
                    <w14:schemeClr w14:val="tx1"/>
                  </w14:solidFill>
                </w14:textFill>
              </w:rPr>
              <w:t>21001687305052508540</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p>
        </w:tc>
        <w:tc>
          <w:tcPr>
            <w:tcW w:w="4838" w:type="dxa"/>
          </w:tcPr>
          <w:p>
            <w:pPr>
              <w:keepNext w:val="0"/>
              <w:keepLines w:val="0"/>
              <w:pageBreakBefore w:val="0"/>
              <w:kinsoku/>
              <w:overflowPunct/>
              <w:topLinePunct w:val="0"/>
              <w:bidi w:val="0"/>
              <w:snapToGrid/>
              <w:spacing w:line="360" w:lineRule="auto"/>
              <w:ind w:left="723" w:right="540" w:rightChars="257" w:hanging="723" w:hangingChars="300"/>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乙方</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盖章</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 </w:t>
            </w:r>
          </w:p>
          <w:p>
            <w:pPr>
              <w:keepNext w:val="0"/>
              <w:keepLines w:val="0"/>
              <w:pageBreakBefore w:val="0"/>
              <w:kinsoku/>
              <w:overflowPunct/>
              <w:topLinePunct w:val="0"/>
              <w:bidi w:val="0"/>
              <w:snapToGrid/>
              <w:spacing w:line="360" w:lineRule="auto"/>
              <w:ind w:left="723" w:right="540" w:rightChars="257" w:hanging="723" w:hangingChars="300"/>
              <w:jc w:val="both"/>
              <w:rPr>
                <w:rFonts w:ascii="宋体" w:hAnsi="宋体"/>
                <w:b/>
                <w:color w:val="000000" w:themeColor="text1"/>
                <w:sz w:val="24"/>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法定代表人或授权代表： </w:t>
            </w: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p>
          <w:p>
            <w:pPr>
              <w:pStyle w:val="2"/>
            </w:pPr>
          </w:p>
          <w:p>
            <w:pPr>
              <w:keepNext w:val="0"/>
              <w:keepLines w:val="0"/>
              <w:pageBreakBefore w:val="0"/>
              <w:kinsoku/>
              <w:overflowPunct/>
              <w:topLinePunct w:val="0"/>
              <w:bidi w:val="0"/>
              <w:snapToGrid/>
              <w:spacing w:line="360" w:lineRule="auto"/>
              <w:jc w:val="both"/>
            </w:pPr>
            <w:r>
              <w:rPr>
                <w:rFonts w:hint="eastAsia" w:ascii="宋体" w:hAnsi="宋体"/>
                <w:b/>
                <w:color w:val="000000" w:themeColor="text1"/>
                <w:sz w:val="24"/>
                <w14:textFill>
                  <w14:solidFill>
                    <w14:schemeClr w14:val="tx1"/>
                  </w14:solidFill>
                </w14:textFill>
              </w:rPr>
              <w:t>地址：</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邮编：</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业务联系人： </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联系电话：</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传真：</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开户银行：</w:t>
            </w:r>
          </w:p>
          <w:p>
            <w:pPr>
              <w:keepNext w:val="0"/>
              <w:keepLines w:val="0"/>
              <w:pageBreakBefore w:val="0"/>
              <w:kinsoku/>
              <w:overflowPunct/>
              <w:topLinePunct w:val="0"/>
              <w:bidi w:val="0"/>
              <w:snapToGrid/>
              <w:spacing w:line="360" w:lineRule="auto"/>
              <w:jc w:val="both"/>
              <w:rPr>
                <w:rFonts w:hint="eastAsia" w:ascii="宋体" w:hAnsi="宋体"/>
                <w:b/>
                <w:color w:val="000000" w:themeColor="text1"/>
                <w:sz w:val="24"/>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帐号：</w:t>
            </w:r>
          </w:p>
        </w:tc>
      </w:tr>
    </w:tbl>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黑体" w:hAnsi="黑体" w:eastAsia="黑体" w:cs="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附件1</w:t>
      </w:r>
    </w:p>
    <w:p>
      <w:pPr>
        <w:pStyle w:val="32"/>
        <w:shd w:val="clear" w:color="auto" w:fill="FFFFFF"/>
        <w:snapToGrid w:val="0"/>
        <w:spacing w:before="0" w:beforeAutospacing="0" w:after="0" w:afterAutospacing="0" w:line="480" w:lineRule="auto"/>
        <w:jc w:val="center"/>
        <w:rPr>
          <w:rFonts w:hint="eastAsia" w:ascii="仿宋_GB2312" w:hAnsi="仿宋_GB2312" w:eastAsia="仿宋_GB2312" w:cs="仿宋_GB2312"/>
          <w:b/>
          <w:spacing w:val="-11"/>
          <w:sz w:val="28"/>
          <w:szCs w:val="28"/>
          <w:shd w:val="clear" w:color="auto" w:fill="FFFFFF"/>
        </w:rPr>
      </w:pPr>
    </w:p>
    <w:p>
      <w:pPr>
        <w:keepNext w:val="0"/>
        <w:keepLines w:val="0"/>
        <w:pageBreakBefore w:val="0"/>
        <w:kinsoku/>
        <w:wordWrap/>
        <w:overflowPunct/>
        <w:topLinePunct w:val="0"/>
        <w:bidi w:val="0"/>
        <w:adjustRightInd/>
        <w:snapToGrid/>
        <w:spacing w:line="360" w:lineRule="auto"/>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lang w:val="en-US" w:eastAsia="zh-CN"/>
        </w:rPr>
        <w:t>辽宁中糖物流</w:t>
      </w:r>
      <w:r>
        <w:rPr>
          <w:rFonts w:hint="eastAsia" w:ascii="方正小标宋简体" w:eastAsia="方正小标宋简体"/>
          <w:b/>
          <w:bCs/>
          <w:sz w:val="32"/>
          <w:szCs w:val="32"/>
        </w:rPr>
        <w:t>有限公司</w:t>
      </w:r>
    </w:p>
    <w:p>
      <w:pPr>
        <w:keepNext w:val="0"/>
        <w:keepLines w:val="0"/>
        <w:pageBreakBefore w:val="0"/>
        <w:kinsoku/>
        <w:wordWrap/>
        <w:overflowPunct/>
        <w:topLinePunct w:val="0"/>
        <w:bidi w:val="0"/>
        <w:adjustRightInd/>
        <w:snapToGrid/>
        <w:spacing w:line="360" w:lineRule="auto"/>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安全管理协议</w:t>
      </w: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r>
        <w:rPr>
          <w:rFonts w:hint="eastAsia" w:ascii="仿宋_GB2312" w:hAnsi="仿宋_GB2312" w:eastAsia="仿宋_GB2312" w:cs="仿宋_GB2312"/>
          <w:b/>
          <w:color w:val="000000"/>
          <w:spacing w:val="-11"/>
          <w:sz w:val="28"/>
          <w:szCs w:val="28"/>
          <w:shd w:val="clear" w:color="auto" w:fill="FFFFFF"/>
        </w:rPr>
        <w:t>合同名称：</w:t>
      </w:r>
      <w:r>
        <w:rPr>
          <w:rFonts w:hint="eastAsia" w:ascii="仿宋_GB2312" w:hAnsi="仿宋_GB2312" w:eastAsia="仿宋_GB2312" w:cs="仿宋_GB2312"/>
          <w:b/>
          <w:color w:val="000000"/>
          <w:spacing w:val="-11"/>
          <w:sz w:val="28"/>
          <w:szCs w:val="28"/>
          <w:u w:val="single"/>
          <w:shd w:val="clear" w:color="auto" w:fill="FFFFFF"/>
        </w:rPr>
        <w:t>《安全管理协议》</w:t>
      </w: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p>
    <w:p>
      <w:pPr>
        <w:pStyle w:val="32"/>
        <w:shd w:val="clear" w:color="auto" w:fill="FFFFFF"/>
        <w:spacing w:before="0" w:beforeAutospacing="0" w:after="0" w:afterAutospacing="0" w:line="360" w:lineRule="auto"/>
        <w:jc w:val="center"/>
        <w:rPr>
          <w:rFonts w:hint="eastAsia" w:ascii="仿宋_GB2312" w:hAnsi="仿宋_GB2312" w:eastAsia="仿宋_GB2312" w:cs="仿宋_GB2312"/>
          <w:b/>
          <w:color w:val="000000"/>
          <w:spacing w:val="-11"/>
          <w:sz w:val="28"/>
          <w:szCs w:val="28"/>
          <w:shd w:val="clear" w:color="auto" w:fill="FFFFFF"/>
        </w:rPr>
      </w:pPr>
      <w:r>
        <w:rPr>
          <w:rFonts w:hint="eastAsia" w:ascii="仿宋_GB2312" w:hAnsi="仿宋_GB2312" w:eastAsia="仿宋_GB2312" w:cs="仿宋_GB2312"/>
          <w:b/>
          <w:color w:val="000000"/>
          <w:spacing w:val="-11"/>
          <w:sz w:val="32"/>
          <w:szCs w:val="32"/>
          <w:shd w:val="clear" w:color="auto" w:fill="FFFFFF"/>
          <w:lang w:val="en-US" w:eastAsia="zh-CN"/>
        </w:rPr>
        <w:t>辽宁中糖物流</w:t>
      </w:r>
      <w:r>
        <w:rPr>
          <w:rFonts w:hint="eastAsia" w:ascii="仿宋_GB2312" w:hAnsi="仿宋_GB2312" w:eastAsia="仿宋_GB2312" w:cs="仿宋_GB2312"/>
          <w:b/>
          <w:color w:val="000000"/>
          <w:spacing w:val="-11"/>
          <w:sz w:val="32"/>
          <w:szCs w:val="32"/>
          <w:shd w:val="clear" w:color="auto" w:fill="FFFFFF"/>
        </w:rPr>
        <w:t>有限公司</w:t>
      </w:r>
    </w:p>
    <w:p>
      <w:pPr>
        <w:pStyle w:val="32"/>
        <w:shd w:val="clear" w:color="auto" w:fill="FFFFFF"/>
        <w:spacing w:before="0" w:beforeAutospacing="0" w:after="0" w:afterAutospacing="0" w:line="360" w:lineRule="auto"/>
        <w:jc w:val="both"/>
        <w:rPr>
          <w:rFonts w:hint="eastAsia" w:ascii="仿宋_GB2312" w:hAnsi="仿宋_GB2312" w:eastAsia="仿宋_GB2312" w:cs="仿宋_GB2312"/>
          <w:b/>
          <w:color w:val="000000"/>
          <w:spacing w:val="-11"/>
          <w:sz w:val="28"/>
          <w:szCs w:val="28"/>
          <w:shd w:val="clear" w:color="auto" w:fill="FFFFFF"/>
        </w:rPr>
      </w:pPr>
    </w:p>
    <w:p>
      <w:pPr>
        <w:widowControl/>
        <w:jc w:val="left"/>
        <w:rPr>
          <w:rFonts w:hint="eastAsia" w:ascii="仿宋_GB2312" w:hAnsi="仿宋_GB2312" w:eastAsia="仿宋_GB2312" w:cs="仿宋_GB2312"/>
          <w:b/>
          <w:color w:val="000000"/>
          <w:spacing w:val="-11"/>
          <w:kern w:val="0"/>
          <w:sz w:val="28"/>
          <w:szCs w:val="28"/>
          <w:shd w:val="clear" w:color="auto" w:fill="FFFFFF"/>
        </w:rPr>
      </w:pPr>
      <w:r>
        <w:rPr>
          <w:rFonts w:hint="eastAsia" w:ascii="仿宋_GB2312" w:hAnsi="仿宋_GB2312" w:eastAsia="仿宋_GB2312" w:cs="仿宋_GB2312"/>
          <w:b/>
          <w:color w:val="000000"/>
          <w:spacing w:val="-11"/>
          <w:sz w:val="28"/>
          <w:szCs w:val="28"/>
          <w:shd w:val="clear" w:color="auto" w:fill="FFFFFF"/>
        </w:rPr>
        <w:br w:type="page"/>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甲方：</w:t>
      </w:r>
      <w:r>
        <w:rPr>
          <w:rFonts w:hint="eastAsia" w:ascii="仿宋_GB2312" w:hAnsi="仿宋_GB2312" w:eastAsia="仿宋_GB2312" w:cs="仿宋_GB2312"/>
          <w:b/>
          <w:bCs/>
          <w:color w:val="000000"/>
          <w:sz w:val="28"/>
          <w:szCs w:val="28"/>
          <w:lang w:val="en-US" w:eastAsia="zh-CN"/>
        </w:rPr>
        <w:t>辽宁中糖物流</w:t>
      </w:r>
      <w:r>
        <w:rPr>
          <w:rFonts w:hint="eastAsia" w:ascii="仿宋_GB2312" w:hAnsi="仿宋_GB2312" w:eastAsia="仿宋_GB2312" w:cs="仿宋_GB2312"/>
          <w:b/>
          <w:bCs/>
          <w:color w:val="000000"/>
          <w:sz w:val="28"/>
          <w:szCs w:val="28"/>
        </w:rPr>
        <w:t>有限公司</w:t>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jc w:val="both"/>
        <w:rPr>
          <w:rFonts w:hint="eastAsia" w:ascii="仿宋_GB2312" w:hAnsi="仿宋_GB2312" w:eastAsia="仿宋_GB2312" w:cs="仿宋_GB2312"/>
          <w:b/>
          <w:bCs/>
          <w:color w:val="000000"/>
          <w:spacing w:val="2"/>
          <w:sz w:val="28"/>
          <w:szCs w:val="28"/>
          <w:u w:val="single"/>
        </w:rPr>
      </w:pPr>
      <w:r>
        <w:rPr>
          <w:rFonts w:hint="eastAsia" w:ascii="仿宋_GB2312" w:hAnsi="仿宋_GB2312" w:eastAsia="仿宋_GB2312" w:cs="仿宋_GB2312"/>
          <w:b/>
          <w:bCs/>
          <w:color w:val="000000"/>
          <w:spacing w:val="-4"/>
          <w:sz w:val="28"/>
          <w:szCs w:val="28"/>
        </w:rPr>
        <w:t>乙方</w:t>
      </w:r>
      <w:r>
        <w:rPr>
          <w:rFonts w:hint="eastAsia" w:ascii="仿宋_GB2312" w:hAnsi="仿宋_GB2312" w:eastAsia="仿宋_GB2312" w:cs="仿宋_GB2312"/>
          <w:b/>
          <w:bCs/>
          <w:color w:val="000000"/>
          <w:spacing w:val="2"/>
          <w:sz w:val="28"/>
          <w:szCs w:val="28"/>
        </w:rPr>
        <w:t>：</w:t>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508" w:firstLineChars="200"/>
        <w:jc w:val="both"/>
        <w:rPr>
          <w:rFonts w:hint="eastAsia" w:ascii="仿宋_GB2312" w:hAnsi="仿宋_GB2312" w:eastAsia="仿宋_GB2312" w:cs="仿宋_GB2312"/>
          <w:color w:val="000000"/>
          <w:spacing w:val="-13"/>
          <w:sz w:val="28"/>
          <w:szCs w:val="28"/>
        </w:rPr>
      </w:pPr>
      <w:r>
        <w:rPr>
          <w:rFonts w:hint="eastAsia" w:ascii="仿宋_GB2312" w:hAnsi="仿宋_GB2312" w:eastAsia="仿宋_GB2312" w:cs="仿宋_GB2312"/>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562"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一、项目名称及期限：</w:t>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554" w:firstLineChars="200"/>
        <w:jc w:val="both"/>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
          <w:bCs/>
          <w:color w:val="000000"/>
          <w:spacing w:val="-2"/>
          <w:sz w:val="28"/>
          <w:szCs w:val="28"/>
        </w:rPr>
        <w:t>（一）项目名称：</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rPr>
        <w:t>年中央储备糖</w:t>
      </w:r>
      <w:r>
        <w:rPr>
          <w:rFonts w:hint="eastAsia" w:ascii="仿宋_GB2312" w:hAnsi="仿宋_GB2312" w:eastAsia="仿宋_GB2312" w:cs="仿宋_GB2312"/>
          <w:sz w:val="28"/>
          <w:szCs w:val="28"/>
          <w:u w:val="none"/>
          <w:lang w:val="en-US" w:eastAsia="zh-CN"/>
        </w:rPr>
        <w:t>机械化出</w:t>
      </w:r>
      <w:r>
        <w:rPr>
          <w:rFonts w:hint="eastAsia" w:ascii="仿宋_GB2312" w:hAnsi="仿宋_GB2312" w:eastAsia="仿宋_GB2312" w:cs="仿宋_GB2312"/>
          <w:sz w:val="28"/>
          <w:szCs w:val="28"/>
          <w:u w:val="none"/>
        </w:rPr>
        <w:t>库装卸服务</w:t>
      </w:r>
      <w:r>
        <w:rPr>
          <w:rFonts w:hint="eastAsia" w:ascii="仿宋_GB2312" w:hAnsi="仿宋_GB2312" w:eastAsia="仿宋_GB2312" w:cs="仿宋_GB2312"/>
          <w:sz w:val="28"/>
          <w:szCs w:val="28"/>
          <w:u w:val="none"/>
          <w:lang w:eastAsia="zh-CN"/>
        </w:rPr>
        <w:t>。</w:t>
      </w:r>
    </w:p>
    <w:p>
      <w:pPr>
        <w:keepNext w:val="0"/>
        <w:keepLines w:val="0"/>
        <w:pageBreakBefore w:val="0"/>
        <w:kinsoku/>
        <w:wordWrap/>
        <w:overflowPunct/>
        <w:topLinePunct w:val="0"/>
        <w:autoSpaceDE/>
        <w:autoSpaceDN/>
        <w:bidi w:val="0"/>
        <w:adjustRightInd/>
        <w:snapToGrid/>
        <w:spacing w:before="0" w:beforeAutospacing="0" w:after="0" w:line="360" w:lineRule="auto"/>
        <w:ind w:left="0" w:leftChars="0" w:firstLine="560"/>
        <w:jc w:val="both"/>
        <w:textAlignment w:val="center"/>
        <w:rPr>
          <w:rFonts w:hint="default"/>
          <w:sz w:val="28"/>
          <w:szCs w:val="28"/>
          <w:lang w:val="en-US" w:eastAsia="zh-CN"/>
        </w:rPr>
      </w:pPr>
      <w:r>
        <w:rPr>
          <w:rFonts w:hint="eastAsia" w:ascii="仿宋_GB2312" w:hAnsi="仿宋_GB2312" w:eastAsia="仿宋_GB2312" w:cs="仿宋_GB2312"/>
          <w:b/>
          <w:bCs/>
          <w:color w:val="000000"/>
          <w:spacing w:val="-2"/>
          <w:sz w:val="28"/>
          <w:szCs w:val="28"/>
        </w:rPr>
        <w:t>（二）项目期限</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sz w:val="28"/>
          <w:szCs w:val="28"/>
        </w:rPr>
        <w:t>从合同签订之日起至</w:t>
      </w:r>
      <w:r>
        <w:rPr>
          <w:rFonts w:hint="eastAsia" w:ascii="仿宋_GB2312" w:hAnsi="仿宋_GB2312" w:eastAsia="仿宋_GB2312" w:cs="仿宋_GB2312"/>
          <w:sz w:val="28"/>
          <w:szCs w:val="28"/>
          <w:lang w:val="en-US" w:eastAsia="zh-CN"/>
        </w:rPr>
        <w:t>出库</w:t>
      </w:r>
      <w:r>
        <w:rPr>
          <w:rFonts w:hint="eastAsia" w:ascii="仿宋_GB2312" w:hAnsi="仿宋_GB2312" w:eastAsia="仿宋_GB2312" w:cs="仿宋_GB2312"/>
          <w:sz w:val="28"/>
          <w:szCs w:val="28"/>
        </w:rPr>
        <w:t>完毕并结清所有费用为止。</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2"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二、协议内容：</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4" w:firstLineChars="200"/>
        <w:jc w:val="both"/>
        <w:rPr>
          <w:rFonts w:hint="eastAsia" w:ascii="仿宋_GB2312" w:hAnsi="仿宋_GB2312" w:eastAsia="仿宋_GB2312" w:cs="仿宋_GB2312"/>
          <w:b/>
          <w:bCs/>
          <w:color w:val="000000"/>
          <w:spacing w:val="-2"/>
          <w:sz w:val="28"/>
          <w:szCs w:val="28"/>
        </w:rPr>
      </w:pPr>
      <w:r>
        <w:rPr>
          <w:rFonts w:hint="eastAsia" w:ascii="仿宋_GB2312" w:hAnsi="仿宋_GB2312" w:eastAsia="仿宋_GB2312" w:cs="仿宋_GB2312"/>
          <w:b/>
          <w:bCs/>
          <w:color w:val="000000"/>
          <w:spacing w:val="-2"/>
          <w:sz w:val="28"/>
          <w:szCs w:val="28"/>
        </w:rPr>
        <w:t xml:space="preserve">（一）甲方的权利、义务、责任 </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b/>
          <w:bCs/>
          <w:color w:val="000000"/>
          <w:spacing w:val="-2"/>
          <w:sz w:val="28"/>
          <w:szCs w:val="28"/>
          <w:lang w:val="en-US" w:eastAsia="zh-CN"/>
        </w:rPr>
        <w:t>1.</w:t>
      </w:r>
      <w:r>
        <w:rPr>
          <w:rFonts w:hint="eastAsia" w:ascii="仿宋_GB2312" w:hAnsi="仿宋_GB2312" w:eastAsia="仿宋_GB2312" w:cs="仿宋_GB2312"/>
          <w:color w:val="000000"/>
          <w:spacing w:val="6"/>
          <w:sz w:val="28"/>
          <w:szCs w:val="28"/>
        </w:rPr>
        <w:t>权利</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对乙方提供的单位资质、人员资质等资料进行审核并备案。制定乙方作业人员准入标准，明确年龄、性别、文化程度、工作经验和作业资质等内容。</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default" w:ascii="仿宋_GB2312" w:hAnsi="仿宋_GB2312" w:eastAsia="仿宋_GB2312" w:cs="仿宋_GB2312"/>
          <w:color w:val="000000"/>
          <w:spacing w:val="6"/>
          <w:sz w:val="28"/>
          <w:szCs w:val="28"/>
          <w:lang w:val="en-US" w:eastAsia="zh-CN"/>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）对乙方提供的乙方作业人员健康检查报告等资料进行审核并备案</w:t>
      </w:r>
      <w:r>
        <w:rPr>
          <w:rFonts w:hint="eastAsia" w:ascii="仿宋_GB2312" w:hAnsi="仿宋_GB2312" w:eastAsia="仿宋_GB2312" w:cs="仿宋_GB2312"/>
          <w:color w:val="000000"/>
          <w:spacing w:val="6"/>
          <w:sz w:val="28"/>
          <w:szCs w:val="28"/>
          <w:lang w:val="en-US" w:eastAsia="zh-CN"/>
        </w:rPr>
        <w:t>.</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lang w:eastAsia="zh-CN"/>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3</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对</w:t>
      </w:r>
      <w:r>
        <w:rPr>
          <w:rFonts w:hint="eastAsia" w:ascii="仿宋_GB2312" w:hAnsi="仿宋_GB2312" w:eastAsia="仿宋_GB2312" w:cs="仿宋_GB2312"/>
          <w:color w:val="000000"/>
          <w:spacing w:val="6"/>
          <w:sz w:val="28"/>
          <w:szCs w:val="28"/>
          <w:lang w:eastAsia="zh-CN"/>
        </w:rPr>
        <w:t>乙方提供的乙方作业人员工伤保险或雇主责任险等资料进行审核并备案。</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lang w:val="en-US" w:eastAsia="zh-CN"/>
        </w:rPr>
      </w:pPr>
      <w:r>
        <w:rPr>
          <w:rFonts w:hint="eastAsia" w:ascii="仿宋_GB2312" w:hAnsi="仿宋_GB2312" w:eastAsia="仿宋_GB2312" w:cs="仿宋_GB2312"/>
          <w:color w:val="000000"/>
          <w:spacing w:val="6"/>
          <w:sz w:val="28"/>
          <w:szCs w:val="28"/>
          <w:lang w:val="en-US" w:eastAsia="zh-CN"/>
        </w:rPr>
        <w:t>（4）有</w:t>
      </w:r>
      <w:r>
        <w:rPr>
          <w:rFonts w:hint="eastAsia" w:ascii="仿宋_GB2312" w:hAnsi="仿宋_GB2312" w:eastAsia="仿宋_GB2312" w:cs="仿宋_GB2312"/>
          <w:color w:val="000000"/>
          <w:spacing w:val="6"/>
          <w:sz w:val="28"/>
          <w:szCs w:val="28"/>
        </w:rPr>
        <w:t>权对乙方机械设备、器具进行安全检查</w:t>
      </w:r>
      <w:r>
        <w:rPr>
          <w:rFonts w:hint="eastAsia" w:ascii="仿宋_GB2312" w:hAnsi="仿宋_GB2312" w:eastAsia="仿宋_GB2312" w:cs="仿宋_GB2312"/>
          <w:color w:val="000000"/>
          <w:spacing w:val="6"/>
          <w:sz w:val="28"/>
          <w:szCs w:val="28"/>
          <w:lang w:eastAsia="zh-CN"/>
        </w:rPr>
        <w:t>。</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5</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6</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甲方有权审查乙方相应的作业资格证书、作业方案和外包商、作业现场的设备、设施、建（构）筑物和人员作业安全状况等。</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7</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8</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乙方因自身原因作业人员不足，无法按时完成甲方工作任务，为不影响作业工期，甲方有权自行或委托第三方代为执行上述工作，所产生的费用由乙方负责。</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9</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2.义务</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lang w:eastAsia="zh-CN"/>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负</w:t>
      </w:r>
      <w:r>
        <w:rPr>
          <w:rFonts w:hint="eastAsia" w:ascii="仿宋_GB2312" w:hAnsi="仿宋_GB2312" w:eastAsia="仿宋_GB2312" w:cs="仿宋_GB2312"/>
          <w:color w:val="000000"/>
          <w:spacing w:val="6"/>
          <w:sz w:val="28"/>
          <w:szCs w:val="28"/>
        </w:rPr>
        <w:t>责对乙方进行</w:t>
      </w:r>
      <w:r>
        <w:rPr>
          <w:rFonts w:hint="eastAsia" w:ascii="仿宋_GB2312" w:hAnsi="仿宋_GB2312" w:eastAsia="仿宋_GB2312" w:cs="仿宋_GB2312"/>
          <w:sz w:val="28"/>
          <w:szCs w:val="28"/>
        </w:rPr>
        <w:t>进场安全技术交底，告知甲方的安全管理制度标准、 作业场所安全风险、事故应急和报告要求等。</w:t>
      </w:r>
      <w:r>
        <w:rPr>
          <w:rFonts w:hint="eastAsia" w:ascii="仿宋_GB2312" w:hAnsi="仿宋_GB2312" w:eastAsia="仿宋_GB2312" w:cs="仿宋_GB2312"/>
          <w:color w:val="000000"/>
          <w:spacing w:val="6"/>
          <w:sz w:val="28"/>
          <w:szCs w:val="28"/>
        </w:rPr>
        <w:t>甲方有义务对乙方的安全奖惩情况进行告知</w:t>
      </w:r>
      <w:r>
        <w:rPr>
          <w:rFonts w:hint="eastAsia" w:ascii="仿宋_GB2312" w:hAnsi="仿宋_GB2312" w:eastAsia="仿宋_GB2312" w:cs="仿宋_GB2312"/>
          <w:color w:val="000000"/>
          <w:spacing w:val="6"/>
          <w:sz w:val="28"/>
          <w:szCs w:val="28"/>
          <w:lang w:eastAsia="zh-CN"/>
        </w:rPr>
        <w:t>。</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作业现场有两个以上单位交叉作业有可能危及对方安全或影响施工作业进度时，甲方有义务统一协调管理，督促双方签订安全管理协议。</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责任</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lang w:eastAsia="zh-CN"/>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监督乙方将乙方作业人员纳入乙方从业人员统一管理，甲方对乙方的工作量或者工作成果的数量和质量进行监管</w:t>
      </w:r>
      <w:r>
        <w:rPr>
          <w:rFonts w:hint="eastAsia" w:ascii="仿宋_GB2312" w:hAnsi="仿宋_GB2312" w:eastAsia="仿宋_GB2312" w:cs="仿宋_GB2312"/>
          <w:color w:val="000000"/>
          <w:spacing w:val="6"/>
          <w:sz w:val="28"/>
          <w:szCs w:val="28"/>
          <w:lang w:eastAsia="zh-CN"/>
        </w:rPr>
        <w:t>。</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lang w:eastAsia="zh-CN"/>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甲方负责向乙方如实告知根据甲方能力所知的作业场所和岗位存在的危险因素，要求乙方制订防范措施以及事故应急预案</w:t>
      </w:r>
      <w:r>
        <w:rPr>
          <w:rFonts w:hint="eastAsia" w:ascii="仿宋_GB2312" w:hAnsi="仿宋_GB2312" w:eastAsia="仿宋_GB2312" w:cs="仿宋_GB2312"/>
          <w:color w:val="000000"/>
          <w:spacing w:val="6"/>
          <w:sz w:val="28"/>
          <w:szCs w:val="28"/>
          <w:lang w:eastAsia="zh-CN"/>
        </w:rPr>
        <w:t>。</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甲方应当对乙方的安全教育与培训工作进行指导，应当监督检查乙方开展员工安全教育培训工作情况。</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4" w:firstLineChars="200"/>
        <w:jc w:val="both"/>
        <w:rPr>
          <w:rFonts w:hint="eastAsia" w:ascii="仿宋_GB2312" w:hAnsi="仿宋_GB2312" w:eastAsia="仿宋_GB2312" w:cs="仿宋_GB2312"/>
          <w:b/>
          <w:bCs/>
          <w:color w:val="000000"/>
          <w:spacing w:val="-3"/>
          <w:sz w:val="28"/>
          <w:szCs w:val="28"/>
        </w:rPr>
      </w:pPr>
      <w:r>
        <w:rPr>
          <w:rFonts w:hint="eastAsia" w:ascii="仿宋_GB2312" w:hAnsi="仿宋_GB2312" w:eastAsia="仿宋_GB2312" w:cs="仿宋_GB2312"/>
          <w:b/>
          <w:bCs/>
          <w:color w:val="000000"/>
          <w:spacing w:val="-2"/>
          <w:sz w:val="28"/>
          <w:szCs w:val="28"/>
        </w:rPr>
        <w:t>（二）</w:t>
      </w:r>
      <w:r>
        <w:rPr>
          <w:rFonts w:hint="eastAsia" w:ascii="仿宋_GB2312" w:hAnsi="仿宋_GB2312" w:eastAsia="仿宋_GB2312" w:cs="仿宋_GB2312"/>
          <w:b/>
          <w:bCs/>
          <w:color w:val="000000"/>
          <w:spacing w:val="-3"/>
          <w:sz w:val="28"/>
          <w:szCs w:val="28"/>
        </w:rPr>
        <w:t xml:space="preserve">乙方的权利、义务、责任 </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rPr>
          <w:rFonts w:hint="eastAsia" w:ascii="仿宋_GB2312" w:hAnsi="仿宋_GB2312" w:eastAsia="仿宋_GB2312" w:cs="仿宋_GB2312"/>
          <w:b/>
          <w:color w:val="000000"/>
          <w:spacing w:val="6"/>
          <w:sz w:val="28"/>
          <w:szCs w:val="28"/>
        </w:rPr>
      </w:pPr>
      <w:r>
        <w:rPr>
          <w:rFonts w:hint="eastAsia" w:ascii="仿宋_GB2312" w:hAnsi="仿宋_GB2312" w:eastAsia="仿宋_GB2312" w:cs="仿宋_GB2312"/>
          <w:sz w:val="28"/>
          <w:szCs w:val="28"/>
        </w:rPr>
        <w:t>1.权利</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乙方有权了解其作业场所和工作岗位存在的危险因素、防范措施及事故应急措施，有权对安全生产工作提出建议。</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乙方有权对作业场所安全生产工作中存在的问题提出检举、和整改建议;有权拒绝违章指挥和强令冒险作业。</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3</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乙方应组织相关单位及外包单位对其所从事的作业活动开展危险源辨识工作，并将危险源辨识的内容作为安全技术交底和安全工作交底的其中内容之一。</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2.义务</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乙方应对作业人员进行安全生产教育和培训，确保作业人员掌握本职工作所需的安全生产知识，提高安全生产技能，同时对本单位员工开展“三级”安全教育。</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乙方及乙方作业人员有义务严格遵守甲方的安全生产规章制度和操作规程，服从管理。</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乙方对甲方所提供的作业相关的项目资料必须保密，非经甲方书面同意不能向外透露，作业完毕后，应及时退还甲方。</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乙方有义务配合、服从甲方对作业现场的安全检查，对检查发现的安全隐患无条件进行整改。</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703" w:firstLineChars="241"/>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3.责任</w:t>
      </w:r>
    </w:p>
    <w:p>
      <w:pPr>
        <w:pStyle w:val="32"/>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必须具有独立的法人资质，具备核准从事相关经营范围的资质，在签订协议前将其相关的资质证照复印件交甲方备案，并对其真实性、合法性、有效性负责。对本协议中的作业项目承担安全主体责任。</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按照国家安全生产的相关法律法规及</w:t>
      </w:r>
      <w:r>
        <w:rPr>
          <w:rFonts w:hint="eastAsia" w:ascii="仿宋_GB2312" w:hAnsi="仿宋_GB2312" w:eastAsia="仿宋_GB2312" w:cs="仿宋_GB2312"/>
          <w:color w:val="000000"/>
          <w:spacing w:val="6"/>
          <w:sz w:val="28"/>
          <w:szCs w:val="28"/>
        </w:rPr>
        <w:t>甲方安全生产管理体系要求，</w:t>
      </w:r>
      <w:r>
        <w:rPr>
          <w:rFonts w:hint="eastAsia" w:ascii="仿宋_GB2312" w:hAnsi="仿宋_GB2312" w:eastAsia="仿宋_GB2312" w:cs="仿宋_GB2312"/>
          <w:sz w:val="28"/>
          <w:szCs w:val="28"/>
        </w:rPr>
        <w:t>建立健全作业现场安全管理制度，及</w:t>
      </w:r>
      <w:r>
        <w:rPr>
          <w:rFonts w:hint="eastAsia" w:ascii="仿宋_GB2312" w:hAnsi="仿宋_GB2312" w:eastAsia="仿宋_GB2312" w:cs="仿宋_GB2312"/>
          <w:color w:val="000000"/>
          <w:spacing w:val="6"/>
          <w:sz w:val="28"/>
          <w:szCs w:val="28"/>
        </w:rPr>
        <w:t>以安全生产责任制为核心各项安全生产管理制度、流程，并严格执行。</w:t>
      </w:r>
      <w:r>
        <w:rPr>
          <w:rFonts w:hint="eastAsia" w:ascii="仿宋_GB2312" w:hAnsi="仿宋_GB2312" w:eastAsia="仿宋_GB2312" w:cs="仿宋_GB2312"/>
          <w:sz w:val="28"/>
          <w:szCs w:val="28"/>
        </w:rPr>
        <w:t>配备专职安全管理人员，落实安全生产责任制，定期召开或参加甲方组织的安全会议。</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在编制作业方案时，安全措施、事故预案及发生事故报告机制必须同时制定。在发生安全事故后应积极配合甲方组织开展的对事故的相关调查。</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对乙方的作业区域现场设备设施及作业人员的安全负责，对作业区域的安全生产状况负责，并负责事故统计向政府主管部门及甲方上报和调查处理（或参与协助调查处理）。</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乙方必须和参与项目的乙方施工人员签订符合劳动法要求的用工合同或劳务合同，并购买雇主责任险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rPr>
        <w:t>购买金额不低于</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万/人</w:t>
      </w:r>
      <w:r>
        <w:rPr>
          <w:rFonts w:hint="eastAsia" w:ascii="仿宋_GB2312" w:hAnsi="仿宋_GB2312" w:eastAsia="仿宋_GB2312" w:cs="仿宋_GB2312"/>
          <w:sz w:val="28"/>
          <w:szCs w:val="28"/>
        </w:rPr>
        <w:t>，向甲方提供保单复印件材料。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8</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负责为乙方人员办理相应作业资质，并将复印件交甲方备案。</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9</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lang w:val="en-US" w:eastAsia="zh-CN"/>
        </w:rPr>
        <w:t>10</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负责为员工提供符合国家相关质量标准要求的该作业岗位必须配备的劳动防护用品</w:t>
      </w:r>
      <w:r>
        <w:rPr>
          <w:rFonts w:hint="eastAsia" w:ascii="仿宋_GB2312" w:hAnsi="仿宋_GB2312" w:eastAsia="仿宋_GB2312" w:cs="仿宋_GB2312"/>
          <w:sz w:val="28"/>
          <w:szCs w:val="28"/>
        </w:rPr>
        <w:t>（如反光背心、安全帽、双钩安全带、安全绳、手套、防护眼镜、墨镜、劳保鞋、防护面罩、口罩、护耳器等）并督促作业人员规范佩戴、使用</w:t>
      </w:r>
      <w:r>
        <w:rPr>
          <w:rFonts w:hint="eastAsia" w:ascii="仿宋_GB2312" w:hAnsi="仿宋_GB2312" w:eastAsia="仿宋_GB2312" w:cs="仿宋_GB2312"/>
          <w:spacing w:val="6"/>
          <w:sz w:val="28"/>
          <w:szCs w:val="28"/>
        </w:rPr>
        <w:t>，并监督指导作业人员正确使用劳动防护用品。</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11</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乙方人员在工作中发生伤亡事故时，乙方及时开展对伤亡人员的救援救治工作，保护好事故现场，承担伤亡人员的医疗费用、工伤认定、保险索赔及相关的善后处理工作。</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12</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乙方人员在申请进行职业病诊断、鉴定时，乙方负责处理职业病诊断、鉴定事宜，并如实提供职业病诊断、鉴定所需的劳动者职业史和职业危害接触史等资料。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13</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乙方人员发生变更情况应及时书面告知甲方并履行人员变更手续。</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14</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lang w:val="en-US" w:eastAsia="zh-CN"/>
        </w:rPr>
        <w:t>15</w:t>
      </w:r>
      <w:r>
        <w:rPr>
          <w:rFonts w:hint="eastAsia" w:ascii="仿宋_GB2312" w:hAnsi="仿宋_GB2312" w:eastAsia="仿宋_GB2312" w:cs="仿宋_GB2312"/>
          <w:color w:val="000000"/>
          <w:spacing w:val="6"/>
          <w:sz w:val="28"/>
          <w:szCs w:val="28"/>
          <w:lang w:eastAsia="zh-CN"/>
        </w:rPr>
        <w:t>）</w:t>
      </w:r>
      <w:r>
        <w:rPr>
          <w:rFonts w:hint="eastAsia" w:ascii="仿宋_GB2312" w:hAnsi="仿宋_GB2312" w:eastAsia="仿宋_GB2312" w:cs="仿宋_GB2312"/>
          <w:color w:val="000000"/>
          <w:spacing w:val="6"/>
          <w:sz w:val="28"/>
          <w:szCs w:val="28"/>
        </w:rPr>
        <w:t>乙方需按照甲方安全生产费用管理制度等相关制度要求，制定《年度安全生产费用使用计划》报甲方备案并严格实施。</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乙方作业人员及非乙方作业人员在乙方作业区域内发生非因甲方原因导致的任何事故，均由乙方自行负责，并按国家的法律法规进行事故处理并承担全部责任及损失，与甲方无关。</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乙方对作业区域现场在作业开始前已有或毗邻建（构）筑物、设备、设施、地下管线（网）或特殊作业环境可能造成损害的，须采取相应的安全防护措施，并承担损坏赔偿责任。</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乙方作业区域的作业设备、临时用电设施、脚手架、出入通道口、楼梯口、危险有害气体或液体存放处等危险部位，设置明显的安全警示标志，危险警示标志符合国家标准。</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乙方应遵守甲方各项安全管理规定，办理作业许可，规范开展现场作业，文明作业，保障作业全过程中的作业安全。</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乙方应加强作业现场应急管理，完善应急预案，配备现场作业所需的应急资源，并加强培训和演练。</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乙方作业过程中违反国家有关法律法规，受到行政、经济、刑事处罚的，一律由乙方自行承担责任。</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乙方保证安全投入落实到位、专款专用，不断完善和改进项目现场安全生产条件。</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作业前应提交如下材料：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1）营业执照复印件、安全管理机构设置和安全管理人员配备文件。</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2）安全生产“三项制度”（即：安全生产责任制、安全生产管理制度、安全操作规程）。</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3）制定项目施工方案和应急预案。</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4）作业人员的《三级安全教育表》和考试合格材料。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5）乙方与作业人员签订的劳动合同。</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6）法人身份证复印件、法人或现场负责人《安全管理培训合格证书》。</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7）作业人员 县级以上医院“健康体检”表，涉及到职业卫生管理岗位的，还需提供职业健康体检表。</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8）人员花名册及提供所有作业人员身份证复印件。</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9）缴纳的保险材料。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10）特殊作业人员清单、特种作业资格证复印件、从事特种设备安装、检修、维护作业的提供相应的资格证书等。</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11）乙方工器具清单包含合格证，主要设备设施、工器具是否满足维护检修的安全、技术要求等。</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12）相关方劳动防护用品清单，提供检验合格证。</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乙方每日作业前，必须参加甲方组织的班前会（安全技术交底）活动后方可安排作业。</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乙方安排进入甲方区域的工程、运输车辆必须按照甲方要求配置爆闪灯、前后录像仪、倒车语音提示、前后影像、倒车雷达、示宽灯、车辆左右和后侧张贴反光条等。</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乙方禁止私自在甲方区域接施工电箱主电源，由乙方向甲方申请临时用电，甲方派人接电，电气作业人员必须穿绝缘鞋。</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乙方人员从事气割作业，除穿戴最基本的安全帽和反光背心外，必须戴难燃手套和墨镜。</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乙方人员从事焊接作业，必须佩戴安全帽、绝缘鞋、电焊手套、电焊面罩，作业过程中禁止穿易燃的反光衣等，作业完毕后及时穿反光衣。</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人员在厂区行走时，原则上只允许行走人行通道、斑马线和甲方指定的区域，禁止跨越隔离栏，乱走、乱跑，不得擅自进入与作业无关的区域。</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乙方施工（安装）区域的施工（安装）设备、临时用电设施、脚手架、出入通道口、楼梯口、危险有害气体或液体存放处等危险部位，应设置明显的安全警示标志、围栏，危险警示标志、围栏符合国家标准。</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乙方所用工具、材料、备品备件应码放平稳，不得存在有倾翻、滚动、坠落和其它危险隐患。</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乙方应在合同签订的5日内向甲方支付不得低于合同总金额的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sz w:val="28"/>
          <w:szCs w:val="28"/>
        </w:rPr>
        <w:t>的风险抵押金（乙方缴纳的项目合同履约保证金可同时用作风险抵押金），作为安全、环保风险抵押金使用。乙方发生事故罚款时，甲方可从风险抵押金中扣款，风险抵押金不足的可从项目合同金额中扣除。</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乙方作业现场发生事故的，应立即报告监理和甲方，乙方应按《生产安全事故报告和调查处理条例》等法律、法规、规章的规定报告，并按照专项应急预案或者应急处置方案立即开展事故救援。</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乙方不得随意更换项目关键人员，关键人员离开现场应提前告知甲方，并办理相关审批手续。</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作业现场暂时停工的，乙方须做好现场安全防护工作。</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乙方必须设置安全管理员及卫生专员，每日负责做好作业区域内的安全、文明施工工作，做到有轮必有罩、有轴必有套、梯台必有栏、井沟必有盖及工完场清等，营造良好的安全、文明工作环境。</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乙方不得将作业项目拆包给不具备相应资质等级的作业单位或个人。</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乙方与相邻的单位同时作业或交叉作业，有可能相互危及对方作业时，应签订安全管理协议，明确各自的安全管理职责和应采取的安全措施及责任划分，配专人进行安全检查与协调。</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乙方应加强作业现场应急管理，完善应急预案，配备现场作业所需的应急资源，并加强培训和演练。</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554" w:firstLineChars="200"/>
        <w:jc w:val="both"/>
        <w:rPr>
          <w:rFonts w:hint="eastAsia" w:ascii="仿宋_GB2312" w:hAnsi="仿宋_GB2312" w:eastAsia="仿宋_GB2312" w:cs="仿宋_GB2312"/>
          <w:b/>
          <w:bCs/>
          <w:color w:val="000000"/>
          <w:spacing w:val="-3"/>
          <w:sz w:val="28"/>
          <w:szCs w:val="28"/>
        </w:rPr>
      </w:pPr>
      <w:r>
        <w:rPr>
          <w:rFonts w:hint="eastAsia" w:ascii="仿宋_GB2312" w:hAnsi="仿宋_GB2312" w:eastAsia="仿宋_GB2312" w:cs="仿宋_GB2312"/>
          <w:b/>
          <w:bCs/>
          <w:color w:val="000000"/>
          <w:spacing w:val="-2"/>
          <w:sz w:val="28"/>
          <w:szCs w:val="28"/>
        </w:rPr>
        <w:t>（三）</w:t>
      </w:r>
      <w:r>
        <w:rPr>
          <w:rFonts w:hint="eastAsia" w:ascii="仿宋_GB2312" w:hAnsi="仿宋_GB2312" w:eastAsia="仿宋_GB2312" w:cs="仿宋_GB2312"/>
          <w:b/>
          <w:bCs/>
          <w:color w:val="000000"/>
          <w:spacing w:val="-3"/>
          <w:sz w:val="28"/>
          <w:szCs w:val="28"/>
        </w:rPr>
        <w:t>安全考核</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甲方可根据内部管理制度对乙方进行考核，并有权根据考核结果对项目费用进行核减。</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1.根据本项目安全管理工作，乙方向甲方缴纳</w:t>
      </w:r>
      <w:r>
        <w:rPr>
          <w:rFonts w:hint="eastAsia" w:ascii="仿宋_GB2312" w:hAnsi="仿宋_GB2312" w:eastAsia="仿宋_GB2312" w:cs="仿宋_GB2312"/>
          <w:color w:val="000000"/>
          <w:spacing w:val="6"/>
          <w:sz w:val="28"/>
          <w:szCs w:val="28"/>
          <w:lang w:val="en-US" w:eastAsia="zh-CN"/>
        </w:rPr>
        <w:t>2</w:t>
      </w:r>
      <w:r>
        <w:rPr>
          <w:rFonts w:hint="eastAsia" w:ascii="仿宋_GB2312" w:hAnsi="仿宋_GB2312" w:eastAsia="仿宋_GB2312" w:cs="仿宋_GB2312"/>
          <w:color w:val="000000"/>
          <w:spacing w:val="6"/>
          <w:sz w:val="28"/>
          <w:szCs w:val="28"/>
        </w:rPr>
        <w:t>万元（大写：</w:t>
      </w:r>
      <w:r>
        <w:rPr>
          <w:rFonts w:hint="eastAsia" w:ascii="仿宋_GB2312" w:hAnsi="仿宋_GB2312" w:eastAsia="仿宋_GB2312" w:cs="仿宋_GB2312"/>
          <w:color w:val="000000"/>
          <w:spacing w:val="6"/>
          <w:sz w:val="28"/>
          <w:szCs w:val="28"/>
          <w:lang w:val="en-US" w:eastAsia="zh-CN"/>
        </w:rPr>
        <w:t>两</w:t>
      </w:r>
      <w:r>
        <w:rPr>
          <w:rFonts w:hint="eastAsia" w:ascii="仿宋_GB2312" w:hAnsi="仿宋_GB2312" w:eastAsia="仿宋_GB2312" w:cs="仿宋_GB2312"/>
          <w:color w:val="000000"/>
          <w:spacing w:val="6"/>
          <w:sz w:val="28"/>
          <w:szCs w:val="28"/>
        </w:rPr>
        <w:t>万元）的安全管理风险押金，用于甲方对乙方的安全管理。当乙方发生未履新安全管理责任或者造成安全事故时，甲方可以根据协议扣除部分或全部安全管理风险押金。</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乙方违反本协议规定的，一般违规扣</w:t>
      </w:r>
      <w:r>
        <w:rPr>
          <w:rFonts w:hint="eastAsia" w:ascii="仿宋_GB2312" w:hAnsi="仿宋_GB2312" w:eastAsia="仿宋_GB2312" w:cs="仿宋_GB2312"/>
          <w:color w:val="000000"/>
          <w:spacing w:val="6"/>
          <w:sz w:val="28"/>
          <w:szCs w:val="28"/>
          <w:lang w:val="en-US" w:eastAsia="zh-CN"/>
        </w:rPr>
        <w:t>100元</w:t>
      </w:r>
      <w:r>
        <w:rPr>
          <w:rFonts w:hint="eastAsia" w:ascii="仿宋_GB2312" w:hAnsi="仿宋_GB2312" w:eastAsia="仿宋_GB2312" w:cs="仿宋_GB2312"/>
          <w:color w:val="000000"/>
          <w:spacing w:val="6"/>
          <w:sz w:val="28"/>
          <w:szCs w:val="28"/>
        </w:rPr>
        <w:t>/次，严重违规（违反十条禁令）扣</w:t>
      </w:r>
      <w:r>
        <w:rPr>
          <w:rFonts w:hint="eastAsia" w:ascii="仿宋_GB2312" w:hAnsi="仿宋_GB2312" w:eastAsia="仿宋_GB2312" w:cs="仿宋_GB2312"/>
          <w:color w:val="000000"/>
          <w:spacing w:val="6"/>
          <w:sz w:val="28"/>
          <w:szCs w:val="28"/>
          <w:lang w:val="en-US" w:eastAsia="zh-CN"/>
        </w:rPr>
        <w:t>500</w:t>
      </w:r>
      <w:r>
        <w:rPr>
          <w:rFonts w:hint="eastAsia" w:ascii="仿宋_GB2312" w:hAnsi="仿宋_GB2312" w:eastAsia="仿宋_GB2312" w:cs="仿宋_GB2312"/>
          <w:color w:val="000000"/>
          <w:spacing w:val="6"/>
          <w:sz w:val="28"/>
          <w:szCs w:val="28"/>
        </w:rPr>
        <w:t>元/次，重复违反扣</w:t>
      </w:r>
      <w:r>
        <w:rPr>
          <w:rFonts w:hint="eastAsia" w:ascii="仿宋_GB2312" w:hAnsi="仿宋_GB2312" w:eastAsia="仿宋_GB2312" w:cs="仿宋_GB2312"/>
          <w:color w:val="000000"/>
          <w:spacing w:val="6"/>
          <w:sz w:val="28"/>
          <w:szCs w:val="28"/>
          <w:lang w:val="en-US" w:eastAsia="zh-CN"/>
        </w:rPr>
        <w:t>200</w:t>
      </w:r>
      <w:r>
        <w:rPr>
          <w:rFonts w:hint="eastAsia" w:ascii="仿宋_GB2312" w:hAnsi="仿宋_GB2312" w:eastAsia="仿宋_GB2312" w:cs="仿宋_GB2312"/>
          <w:color w:val="000000"/>
          <w:spacing w:val="6"/>
          <w:sz w:val="28"/>
          <w:szCs w:val="28"/>
        </w:rPr>
        <w:t>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84"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三、附则</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2"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2"/>
          <w:sz w:val="28"/>
          <w:szCs w:val="28"/>
        </w:rPr>
        <w:t>（一）</w:t>
      </w:r>
      <w:r>
        <w:rPr>
          <w:rFonts w:hint="eastAsia" w:ascii="仿宋_GB2312" w:hAnsi="仿宋_GB2312" w:eastAsia="仿宋_GB2312" w:cs="仿宋_GB2312"/>
          <w:color w:val="000000"/>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2"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2"/>
          <w:sz w:val="28"/>
          <w:szCs w:val="28"/>
        </w:rPr>
        <w:t>（二）</w:t>
      </w:r>
      <w:r>
        <w:rPr>
          <w:rFonts w:hint="eastAsia" w:ascii="仿宋_GB2312" w:hAnsi="仿宋_GB2312" w:eastAsia="仿宋_GB2312" w:cs="仿宋_GB2312"/>
          <w:color w:val="000000"/>
          <w:spacing w:val="6"/>
          <w:sz w:val="28"/>
          <w:szCs w:val="28"/>
        </w:rPr>
        <w:t>本协议内容如与国家有关法律、法规和规定不一致，按照国家有关规定执行。</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2"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2"/>
          <w:sz w:val="28"/>
          <w:szCs w:val="28"/>
        </w:rPr>
        <w:t>（三）</w:t>
      </w:r>
      <w:r>
        <w:rPr>
          <w:rFonts w:hint="eastAsia" w:ascii="仿宋_GB2312" w:hAnsi="仿宋_GB2312" w:eastAsia="仿宋_GB2312" w:cs="仿宋_GB2312"/>
          <w:color w:val="000000"/>
          <w:spacing w:val="6"/>
          <w:sz w:val="28"/>
          <w:szCs w:val="28"/>
        </w:rPr>
        <w:t>协议有效期按照项目合同工期。项目合同工期变更，本协议有效期相应变更。</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2"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2"/>
          <w:sz w:val="28"/>
          <w:szCs w:val="28"/>
        </w:rPr>
        <w:t>（四）</w:t>
      </w:r>
      <w:r>
        <w:rPr>
          <w:rFonts w:hint="eastAsia" w:ascii="仿宋_GB2312" w:hAnsi="仿宋_GB2312" w:eastAsia="仿宋_GB2312" w:cs="仿宋_GB2312"/>
          <w:color w:val="000000"/>
          <w:spacing w:val="6"/>
          <w:sz w:val="28"/>
          <w:szCs w:val="28"/>
        </w:rPr>
        <w:t>因不可抗力造成的双方设备损坏、人员伤亡，各自承担相应的损失。</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52" w:firstLineChars="200"/>
        <w:jc w:val="both"/>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2"/>
          <w:sz w:val="28"/>
          <w:szCs w:val="28"/>
        </w:rPr>
        <w:t>（五）</w:t>
      </w:r>
      <w:r>
        <w:rPr>
          <w:rFonts w:hint="eastAsia" w:ascii="仿宋_GB2312" w:hAnsi="仿宋_GB2312" w:eastAsia="仿宋_GB2312" w:cs="仿宋_GB2312"/>
          <w:color w:val="000000"/>
          <w:spacing w:val="6"/>
          <w:sz w:val="28"/>
          <w:szCs w:val="28"/>
        </w:rPr>
        <w:t>本协议一式贰份。甲方、乙方各执壹份。</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both"/>
        <w:rPr>
          <w:rFonts w:hint="eastAsia" w:ascii="仿宋_GB2312" w:hAnsi="仿宋_GB2312" w:eastAsia="仿宋_GB2312" w:cs="仿宋_GB2312"/>
          <w:color w:val="000000"/>
          <w:sz w:val="28"/>
          <w:szCs w:val="28"/>
        </w:rPr>
      </w:pP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6746" w:leftChars="0" w:hanging="6746" w:hangingChars="2400"/>
        <w:jc w:val="both"/>
        <w:rPr>
          <w:rFonts w:hint="eastAsia" w:ascii="仿宋_GB2312" w:hAnsi="仿宋_GB2312" w:eastAsia="仿宋_GB2312" w:cs="仿宋_GB2312"/>
          <w:b/>
          <w:bCs/>
          <w:color w:val="000000"/>
          <w:spacing w:val="-17"/>
          <w:sz w:val="28"/>
          <w:szCs w:val="28"/>
        </w:rPr>
      </w:pPr>
      <w:r>
        <w:rPr>
          <w:rFonts w:hint="eastAsia" w:ascii="仿宋_GB2312" w:hAnsi="仿宋_GB2312" w:eastAsia="仿宋_GB2312" w:cs="仿宋_GB2312"/>
          <w:b/>
          <w:bCs/>
          <w:color w:val="000000"/>
          <w:sz w:val="28"/>
          <w:szCs w:val="28"/>
        </w:rPr>
        <w:t>甲方单位：</w:t>
      </w:r>
      <w:r>
        <w:rPr>
          <w:rFonts w:hint="eastAsia" w:ascii="仿宋_GB2312" w:hAnsi="仿宋_GB2312" w:eastAsia="仿宋_GB2312" w:cs="仿宋_GB2312"/>
          <w:b/>
          <w:bCs/>
          <w:color w:val="000000"/>
          <w:spacing w:val="-17"/>
          <w:sz w:val="28"/>
          <w:szCs w:val="28"/>
        </w:rPr>
        <w:t>（盖章）</w:t>
      </w:r>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宋体" w:eastAsia="仿宋_GB2312"/>
          <w:b/>
          <w:bCs/>
          <w:sz w:val="28"/>
          <w:szCs w:val="28"/>
          <w:lang w:val="en-US" w:eastAsia="zh-CN"/>
        </w:rPr>
        <w:t xml:space="preserve">   </w:t>
      </w:r>
      <w:r>
        <w:rPr>
          <w:rFonts w:hint="eastAsia" w:ascii="仿宋_GB2312" w:hAnsi="仿宋_GB2312" w:eastAsia="仿宋_GB2312" w:cs="仿宋_GB2312"/>
          <w:b/>
          <w:bCs/>
          <w:color w:val="000000"/>
          <w:sz w:val="28"/>
          <w:szCs w:val="28"/>
        </w:rPr>
        <w:t>乙方单位：</w:t>
      </w:r>
      <w:r>
        <w:rPr>
          <w:rFonts w:hint="eastAsia" w:ascii="仿宋_GB2312" w:hAnsi="仿宋_GB2312" w:eastAsia="仿宋_GB2312" w:cs="仿宋_GB2312"/>
          <w:b/>
          <w:bCs/>
          <w:color w:val="000000"/>
          <w:spacing w:val="-17"/>
          <w:sz w:val="28"/>
          <w:szCs w:val="28"/>
        </w:rPr>
        <w:t>（盖章）</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3654" w:leftChars="0" w:hanging="3654" w:hangingChars="1300"/>
        <w:jc w:val="both"/>
        <w:rPr>
          <w:rFonts w:hint="eastAsia" w:ascii="仿宋_GB2312" w:hAnsi="仿宋_GB2312" w:eastAsia="仿宋_GB2312" w:cs="仿宋_GB2312"/>
          <w:b/>
          <w:bCs/>
          <w:color w:val="000000"/>
          <w:spacing w:val="-17"/>
          <w:sz w:val="28"/>
          <w:szCs w:val="28"/>
        </w:rPr>
      </w:pPr>
      <w:r>
        <w:rPr>
          <w:rFonts w:hint="eastAsia" w:ascii="仿宋_GB2312" w:hAnsi="宋体" w:eastAsia="仿宋_GB2312"/>
          <w:b/>
          <w:bCs/>
          <w:sz w:val="28"/>
          <w:szCs w:val="28"/>
          <w:lang w:val="en-US" w:eastAsia="zh-CN"/>
        </w:rPr>
        <w:t xml:space="preserve">                           </w:t>
      </w: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both"/>
        <w:rPr>
          <w:rFonts w:hint="default" w:ascii="仿宋_GB2312" w:hAnsi="仿宋_GB2312" w:eastAsia="仿宋_GB2312" w:cs="仿宋_GB2312"/>
          <w:b/>
          <w:bCs/>
          <w:color w:val="000000"/>
          <w:spacing w:val="-17"/>
          <w:sz w:val="28"/>
          <w:szCs w:val="28"/>
          <w:lang w:val="en-US" w:eastAsia="zh-CN"/>
        </w:rPr>
      </w:pP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both"/>
        <w:rPr>
          <w:rFonts w:hint="eastAsia" w:ascii="仿宋_GB2312" w:hAnsi="仿宋_GB2312" w:eastAsia="仿宋_GB2312" w:cs="仿宋_GB2312"/>
          <w:b/>
          <w:bCs/>
          <w:color w:val="000000"/>
          <w:spacing w:val="-9"/>
          <w:sz w:val="28"/>
          <w:szCs w:val="28"/>
        </w:rPr>
      </w:pPr>
    </w:p>
    <w:p>
      <w:pPr>
        <w:pStyle w:val="3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pacing w:val="-2"/>
          <w:sz w:val="28"/>
          <w:szCs w:val="28"/>
        </w:rPr>
        <w:t>授权代表</w:t>
      </w:r>
      <w:r>
        <w:rPr>
          <w:rFonts w:hint="eastAsia" w:ascii="仿宋_GB2312" w:hAnsi="仿宋_GB2312" w:eastAsia="仿宋_GB2312" w:cs="仿宋_GB2312"/>
          <w:b/>
          <w:bCs/>
          <w:color w:val="000000"/>
          <w:spacing w:val="-17"/>
          <w:sz w:val="28"/>
          <w:szCs w:val="28"/>
        </w:rPr>
        <w:t>（签字）</w:t>
      </w:r>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授权代表</w:t>
      </w:r>
      <w:r>
        <w:rPr>
          <w:rFonts w:hint="eastAsia" w:ascii="仿宋_GB2312" w:hAnsi="仿宋_GB2312" w:eastAsia="仿宋_GB2312" w:cs="仿宋_GB2312"/>
          <w:b/>
          <w:bCs/>
          <w:color w:val="000000"/>
          <w:spacing w:val="-9"/>
          <w:sz w:val="28"/>
          <w:szCs w:val="28"/>
        </w:rPr>
        <w:t>（签字）</w:t>
      </w:r>
      <w:r>
        <w:rPr>
          <w:rFonts w:hint="eastAsia" w:ascii="仿宋_GB2312" w:hAnsi="仿宋_GB2312" w:eastAsia="仿宋_GB2312" w:cs="仿宋_GB2312"/>
          <w:b/>
          <w:bCs/>
          <w:color w:val="000000"/>
          <w:sz w:val="28"/>
          <w:szCs w:val="28"/>
        </w:rPr>
        <w:t>：</w:t>
      </w:r>
    </w:p>
    <w:p>
      <w:pPr>
        <w:pStyle w:val="32"/>
        <w:shd w:val="clear" w:color="auto" w:fill="FFFFFF"/>
        <w:spacing w:before="0" w:beforeAutospacing="0" w:after="0" w:afterAutospacing="0" w:line="360" w:lineRule="auto"/>
        <w:jc w:val="both"/>
        <w:rPr>
          <w:rFonts w:hint="eastAsia" w:ascii="仿宋_GB2312" w:hAnsi="仿宋_GB2312" w:eastAsia="仿宋_GB2312" w:cs="仿宋_GB2312"/>
          <w:b/>
          <w:bCs/>
          <w:color w:val="000000"/>
          <w:sz w:val="28"/>
          <w:szCs w:val="28"/>
        </w:rPr>
      </w:pPr>
    </w:p>
    <w:p>
      <w:pPr>
        <w:pStyle w:val="32"/>
        <w:shd w:val="clear" w:color="auto" w:fill="FFFFFF"/>
        <w:spacing w:before="0" w:beforeAutospacing="0" w:after="0" w:afterAutospacing="0" w:line="360" w:lineRule="auto"/>
        <w:jc w:val="both"/>
        <w:rPr>
          <w:rFonts w:hint="eastAsia" w:ascii="仿宋_GB2312" w:hAnsi="仿宋_GB2312" w:eastAsia="仿宋_GB2312" w:cs="仿宋_GB2312"/>
          <w:b/>
          <w:bCs/>
          <w:color w:val="000000"/>
          <w:sz w:val="28"/>
          <w:szCs w:val="28"/>
        </w:rPr>
      </w:pPr>
    </w:p>
    <w:p>
      <w:pPr>
        <w:pStyle w:val="32"/>
        <w:shd w:val="clear" w:color="auto" w:fill="FFFFFF"/>
        <w:spacing w:before="0" w:beforeAutospacing="0" w:after="0" w:afterAutospacing="0" w:line="360" w:lineRule="auto"/>
        <w:jc w:val="both"/>
        <w:rPr>
          <w:rFonts w:hint="eastAsia" w:ascii="仿宋_GB2312" w:hAnsi="仿宋_GB2312" w:eastAsia="仿宋_GB2312" w:cs="仿宋_GB2312"/>
          <w:b/>
          <w:bCs/>
          <w:color w:val="000000"/>
          <w:sz w:val="28"/>
          <w:szCs w:val="28"/>
        </w:rPr>
      </w:pPr>
    </w:p>
    <w:p>
      <w:pPr>
        <w:pStyle w:val="32"/>
        <w:shd w:val="clear" w:color="auto" w:fill="FFFFFF"/>
        <w:spacing w:before="0" w:beforeAutospacing="0" w:after="0" w:afterAutospacing="0" w:line="360" w:lineRule="auto"/>
        <w:jc w:val="both"/>
        <w:rPr>
          <w:rFonts w:hint="eastAsia" w:ascii="仿宋_GB2312" w:hAnsi="仿宋_GB2312" w:eastAsia="仿宋_GB2312" w:cs="仿宋_GB2312"/>
          <w:b/>
          <w:bCs/>
          <w:color w:val="000000"/>
          <w:spacing w:val="-9"/>
          <w:sz w:val="28"/>
          <w:szCs w:val="28"/>
        </w:rPr>
      </w:pPr>
    </w:p>
    <w:p>
      <w:pPr>
        <w:pStyle w:val="32"/>
        <w:shd w:val="clear" w:color="auto" w:fill="FFFFFF"/>
        <w:spacing w:before="0" w:beforeAutospacing="0" w:after="0" w:afterAutospacing="0" w:line="360" w:lineRule="auto"/>
        <w:ind w:firstLine="1160" w:firstLineChars="441"/>
        <w:jc w:val="both"/>
        <w:rPr>
          <w:rFonts w:hint="eastAsia" w:ascii="仿宋_GB2312" w:hAnsi="仿宋_GB2312" w:eastAsia="仿宋_GB2312" w:cs="仿宋_GB2312"/>
          <w:b/>
          <w:bCs/>
          <w:color w:val="000000"/>
          <w:spacing w:val="-9"/>
          <w:sz w:val="28"/>
          <w:szCs w:val="28"/>
        </w:rPr>
      </w:pPr>
    </w:p>
    <w:p>
      <w:pPr>
        <w:pStyle w:val="8"/>
        <w:spacing w:line="50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签字日期：   年     月     日</w:t>
      </w:r>
      <w:r>
        <w:rPr>
          <w:rFonts w:hint="eastAsia" w:ascii="仿宋_GB2312" w:hAnsi="仿宋_GB2312" w:eastAsia="仿宋_GB2312" w:cs="仿宋_GB2312"/>
          <w:b/>
          <w:bCs/>
          <w:color w:val="000000"/>
          <w:sz w:val="28"/>
          <w:szCs w:val="28"/>
          <w:lang w:val="en-US" w:eastAsia="zh-CN"/>
        </w:rPr>
        <w:t xml:space="preserve">         签字日期：   年     月     日</w:t>
      </w:r>
    </w:p>
    <w:p>
      <w:pPr>
        <w:jc w:val="both"/>
        <w:rPr>
          <w:rFonts w:hint="eastAsia" w:ascii="仿宋_GB2312" w:hAnsi="仿宋_GB2312" w:eastAsia="仿宋_GB2312" w:cs="仿宋_GB2312"/>
          <w:sz w:val="28"/>
          <w:szCs w:val="28"/>
        </w:rPr>
      </w:pPr>
    </w:p>
    <w:p>
      <w:pPr>
        <w:keepNext/>
        <w:keepLines/>
        <w:rPr>
          <w:rFonts w:hint="eastAsia" w:ascii="宋体" w:hAnsi="宋体"/>
          <w:b/>
          <w:bCs/>
          <w:szCs w:val="21"/>
        </w:rPr>
      </w:pPr>
    </w:p>
    <w:p>
      <w:pPr>
        <w:jc w:val="center"/>
        <w:rPr>
          <w:rFonts w:cs="仿宋_GB2312" w:asciiTheme="minorEastAsia" w:hAnsiTheme="minorEastAsia" w:eastAsiaTheme="minorEastAsia"/>
          <w:sz w:val="28"/>
          <w:szCs w:val="28"/>
        </w:rPr>
      </w:pPr>
    </w:p>
    <w:p>
      <w:pPr>
        <w:pStyle w:val="8"/>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附件2</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装卸作业操作规程</w:t>
      </w:r>
    </w:p>
    <w:p>
      <w:pPr>
        <w:pStyle w:val="2"/>
        <w:keepNext w:val="0"/>
        <w:keepLines w:val="0"/>
        <w:pageBreakBefore w:val="0"/>
        <w:kinsoku/>
        <w:wordWrap/>
        <w:overflowPunct/>
        <w:topLinePunct w:val="0"/>
        <w:bidi w:val="0"/>
        <w:adjustRightInd/>
        <w:snapToGrid/>
        <w:spacing w:line="360" w:lineRule="auto"/>
        <w:ind w:firstLine="420" w:firstLineChars="200"/>
        <w:textAlignment w:val="auto"/>
        <w:rPr>
          <w:rFonts w:hint="eastAsia"/>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一、作业前</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每日开工前，门卫对入库作业人员进行入库登记；</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（二）作业主管部门或安全管理部门对挖掘机与铲车司机及其他作业人员进行安全培训及技术交底；</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（三）作业相关人员按照库区划分的人员通行道路到达出库作业现场；</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（四）按照要求设置隔离带，现场负责人对作业现场各项防护措施检查完毕后方可作业；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（五）挖掘机、铲车入库作业前，检查防火帽安装是否到位，使用风机（防爆型）对库房进行强制通风，以免作业现场粉尘浓度过高。进入库区前作业人收缴火源，库内外禁止吸烟。</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二、作业中</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（一）所有人员退出库区至警戒线外，挖掘机进库进行拆垛作业；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（二）挖掘机将库内储备糖集中堆放后，铲车司机将糖铲到铲斗内，行驶至货车附近将糖装至货车内</w:t>
      </w:r>
      <w:r>
        <w:rPr>
          <w:rFonts w:hint="eastAsia" w:ascii="仿宋_GB2312" w:eastAsia="仿宋_GB2312"/>
          <w:sz w:val="28"/>
          <w:szCs w:val="28"/>
          <w:lang w:eastAsia="zh-CN"/>
        </w:rPr>
        <w:t>；</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（三）</w:t>
      </w:r>
      <w:r>
        <w:rPr>
          <w:rFonts w:hint="eastAsia" w:ascii="仿宋_GB2312" w:hAnsi="仿宋_GB2312" w:eastAsia="仿宋_GB2312" w:cs="仿宋_GB2312"/>
          <w:color w:val="000000" w:themeColor="text1"/>
          <w:sz w:val="28"/>
          <w:szCs w:val="28"/>
          <w14:textFill>
            <w14:solidFill>
              <w14:schemeClr w14:val="tx1"/>
            </w14:solidFill>
          </w14:textFill>
        </w:rPr>
        <w:t>挖掘机拆垛时，必须从糖垛顶部开始拆垛，禁止从糖垛中部掏空心垛；靠墙的糖垛，从近墙端向远墙端扒垛，防止糖垛砸向库房墙、柱等；挖掘机在扒垛时，在糖垛侧方扒垛，禁止在糖垛正面扒垛，防止糖垛坍塌掩埋车辆。</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（四）待糖垛拆至仅剩2-3层后，挖掘机、铲车全部退至安全位置，停车熄火，装卸人员在确保安全的前提下，上前将托盘拾出，码放整齐。</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黑体" w:hAnsi="黑体" w:eastAsia="黑体"/>
          <w:sz w:val="28"/>
          <w:szCs w:val="28"/>
        </w:rPr>
        <w:t>三、作业后</w:t>
      </w:r>
    </w:p>
    <w:p>
      <w:pPr>
        <w:keepNext w:val="0"/>
        <w:keepLines w:val="0"/>
        <w:pageBreakBefore w:val="0"/>
        <w:kinsoku/>
        <w:wordWrap/>
        <w:overflowPunct/>
        <w:topLinePunct w:val="0"/>
        <w:bidi w:val="0"/>
        <w:adjustRightInd/>
        <w:snapToGrid/>
        <w:spacing w:line="360" w:lineRule="auto"/>
        <w:ind w:firstLine="560" w:firstLineChars="200"/>
        <w:textAlignment w:val="auto"/>
        <w:rPr>
          <w:sz w:val="28"/>
          <w:szCs w:val="28"/>
        </w:rPr>
      </w:pPr>
      <w:r>
        <w:rPr>
          <w:rFonts w:hint="eastAsia" w:ascii="仿宋_GB2312" w:eastAsia="仿宋_GB2312"/>
          <w:sz w:val="28"/>
          <w:szCs w:val="28"/>
        </w:rPr>
        <w:t>当日作业结束后，挖掘机、铲车停放到指定位置熄火，作业人员清理现场卫生，作业现场负责人检查作业现场确认完毕后，关好库门，完工签字离库。</w:t>
      </w:r>
      <w:r>
        <w:rPr>
          <w:sz w:val="28"/>
          <w:szCs w:val="28"/>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四、机械设备使用注意事项</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（一）挖掘机作业注意事项</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严禁使用前未对设备进行检查；</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严禁未试车直接使用；</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严禁吸烟、饮食、闲谈及其他有影响安全行车的行为；</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严禁酒后操作挖掘机；</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挖掘机的发动机运转时禁止任何人进入回转范围；</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铲斗未离开地面前，不得做回转、走行等动作；</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禁止用挖掘机“清扫”地面；挖掘机作业时不应破坏在库使用的木垫板，损坏一个木垫板将对作业人员</w:t>
      </w:r>
      <w:r>
        <w:rPr>
          <w:rFonts w:hint="eastAsia" w:ascii="仿宋_GB2312" w:eastAsia="仿宋_GB2312"/>
          <w:sz w:val="28"/>
          <w:szCs w:val="28"/>
          <w:lang w:val="en-US" w:eastAsia="zh-CN"/>
        </w:rPr>
        <w:t>处罚</w:t>
      </w:r>
      <w:r>
        <w:rPr>
          <w:rFonts w:hint="eastAsia" w:ascii="仿宋_GB2312" w:eastAsia="仿宋_GB2312"/>
          <w:sz w:val="28"/>
          <w:szCs w:val="28"/>
        </w:rPr>
        <w:t>100元；</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禁止工作装置以突然下降的方式进行挖掘；</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禁止铲斗从驾驶室上</w:t>
      </w:r>
      <w:r>
        <w:rPr>
          <w:rFonts w:hint="eastAsia" w:ascii="仿宋_GB2312" w:eastAsia="仿宋_GB2312"/>
          <w:sz w:val="28"/>
          <w:szCs w:val="28"/>
          <w:lang w:val="en-US" w:eastAsia="zh-CN"/>
        </w:rPr>
        <w:t>空横</w:t>
      </w:r>
      <w:r>
        <w:rPr>
          <w:rFonts w:hint="eastAsia" w:ascii="仿宋_GB2312" w:eastAsia="仿宋_GB2312"/>
          <w:sz w:val="28"/>
          <w:szCs w:val="28"/>
        </w:rPr>
        <w:t>越；</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挖掘机铲斗下禁止站人，严禁挖掘机载人作业；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11.</w:t>
      </w:r>
      <w:r>
        <w:rPr>
          <w:rFonts w:hint="eastAsia" w:ascii="仿宋_GB2312" w:eastAsia="仿宋_GB2312"/>
          <w:sz w:val="28"/>
          <w:szCs w:val="28"/>
        </w:rPr>
        <w:t>不得超负荷作业，不得侧挖作业</w:t>
      </w:r>
      <w:r>
        <w:rPr>
          <w:rFonts w:hint="eastAsia" w:ascii="仿宋_GB2312" w:eastAsia="仿宋_GB2312"/>
          <w:sz w:val="28"/>
          <w:szCs w:val="28"/>
          <w:lang w:eastAsia="zh-CN"/>
        </w:rPr>
        <w:t>；</w:t>
      </w: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default" w:eastAsia="仿宋_GB2312"/>
          <w:lang w:val="en-US" w:eastAsia="zh-CN"/>
        </w:rPr>
      </w:pPr>
      <w:r>
        <w:rPr>
          <w:rFonts w:hint="eastAsia" w:ascii="仿宋_GB2312" w:eastAsia="仿宋_GB2312"/>
          <w:sz w:val="28"/>
          <w:szCs w:val="28"/>
          <w:lang w:val="en-US" w:eastAsia="zh-CN"/>
        </w:rPr>
        <w:t>12.严禁一边开挖掘机一边接打电话。</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（二）铲车作业注意事项</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严禁使用前未对设备进行检查；</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严禁未试车直接使用；</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禁止吸烟、饮食、闲谈及其他有影响安全行车的行为；</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严禁酒后操作铲车；</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禁止在前后车体形成角度时铲装货物；</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不准边行驶边起升铲斗；</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铲斗铲装货物应均衡，不准铲斗偏重装载货物；</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禁止用铲斗进行挖掘作业；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禁止在铲斗悬空时驾驶员离车；</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起升的铲斗下面严禁站人或进行检修作业；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禁止用铲斗举升人员从事高处作业；</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不可急行车、急停车、急转弯，不可搭乘人员，不可超载作业，大臂下严禁站人。</w:t>
      </w: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13.严禁一边开铲车一边接打电话。</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甲方：（盖章）                       乙方：（盖章）</w:t>
      </w:r>
    </w:p>
    <w:p>
      <w:pPr>
        <w:keepNext w:val="0"/>
        <w:keepLines w:val="0"/>
        <w:pageBreakBefore w:val="0"/>
        <w:kinsoku/>
        <w:wordWrap/>
        <w:overflowPunct/>
        <w:topLinePunct w:val="0"/>
        <w:bidi w:val="0"/>
        <w:adjustRightInd/>
        <w:snapToGrid/>
        <w:spacing w:line="360" w:lineRule="auto"/>
        <w:ind w:firstLine="800" w:firstLineChars="200"/>
        <w:textAlignment w:val="auto"/>
        <w:outlineLvl w:val="1"/>
        <w:rPr>
          <w:bCs/>
          <w:color w:val="000000" w:themeColor="text1"/>
          <w:sz w:val="40"/>
          <w:szCs w:val="40"/>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法人代表或授权代表（签字）：         法人代表或授权代表（签字）：</w:t>
      </w:r>
    </w:p>
    <w:p>
      <w:pPr>
        <w:keepNext w:val="0"/>
        <w:keepLines w:val="0"/>
        <w:pageBreakBefore w:val="0"/>
        <w:kinsoku/>
        <w:wordWrap/>
        <w:overflowPunct/>
        <w:topLinePunct w:val="0"/>
        <w:bidi w:val="0"/>
        <w:adjustRightInd/>
        <w:snapToGrid/>
        <w:spacing w:line="360" w:lineRule="auto"/>
        <w:ind w:firstLine="800" w:firstLineChars="200"/>
        <w:textAlignment w:val="auto"/>
        <w:outlineLvl w:val="1"/>
        <w:rPr>
          <w:bCs/>
          <w:color w:val="000000" w:themeColor="text1"/>
          <w:sz w:val="40"/>
          <w:szCs w:val="40"/>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日期：  年   月   日                 日期：   年   月   日 </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附件3</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项目作业危险、有害因素告知书</w:t>
      </w:r>
    </w:p>
    <w:p>
      <w:pPr>
        <w:pStyle w:val="2"/>
        <w:keepNext w:val="0"/>
        <w:keepLines w:val="0"/>
        <w:pageBreakBefore w:val="0"/>
        <w:kinsoku/>
        <w:wordWrap/>
        <w:overflowPunct/>
        <w:topLinePunct w:val="0"/>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8"/>
          <w:szCs w:val="28"/>
        </w:rPr>
      </w:pPr>
      <w:r>
        <w:rPr>
          <w:rFonts w:hint="eastAsia" w:ascii="仿宋_GB2312" w:eastAsia="仿宋_GB2312"/>
          <w:sz w:val="28"/>
          <w:szCs w:val="28"/>
        </w:rPr>
        <w:t>各相关方协作单位：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为圆满做好</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安全生产工作，确保在作业过程中所有作业人员的人身安全，凡来我单位从事承包商作业的单位在进入</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前必须对本单位人员（在</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的人员）进行全员的安全教育及安全交底，教育及交底面要达到100％。各承包商单位结合</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的环境特点、危险因素提前制订好相应的安全措施，同时持相关材料到</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安全部门签定有关安全协议。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各相关方协作单位的安全管理人员负责对本单位参加作业人员进行安全教育，教育内容要针对在</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内所承揽的作业类别，教育情况记录及考试记录自行备案；要求在作业前将参加作业人员的安全教育成绩汇总表报安全专业，未进行安全教育的人员及安全教育不合格者不得参与</w:t>
      </w:r>
      <w:r>
        <w:rPr>
          <w:rFonts w:hint="eastAsia" w:ascii="仿宋_GB2312" w:eastAsia="仿宋_GB2312"/>
          <w:b/>
          <w:sz w:val="28"/>
          <w:szCs w:val="28"/>
          <w:lang w:val="en-US" w:eastAsia="zh-CN"/>
        </w:rPr>
        <w:t>辽宁中糖物流</w:t>
      </w:r>
      <w:r>
        <w:rPr>
          <w:rFonts w:hint="eastAsia" w:ascii="仿宋_GB2312" w:eastAsia="仿宋_GB2312"/>
          <w:b/>
          <w:sz w:val="28"/>
          <w:szCs w:val="28"/>
        </w:rPr>
        <w:t>公司</w:t>
      </w:r>
      <w:r>
        <w:rPr>
          <w:rFonts w:hint="eastAsia" w:ascii="仿宋_GB2312" w:eastAsia="仿宋_GB2312"/>
          <w:sz w:val="28"/>
          <w:szCs w:val="28"/>
        </w:rPr>
        <w:t>的项目作业。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一、项目危险及有危害因素告知如下：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出库作业过程中存在的主要危险源有：高处坠落、物体打击、机械伤害、车辆伤害、火灾、触电、糖垛坍塌、粉尘爆炸等。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ascii="仿宋_GB2312" w:eastAsia="仿宋_GB2312"/>
          <w:sz w:val="28"/>
          <w:szCs w:val="28"/>
        </w:rPr>
        <w:t>高处坠落防范措施、应急处置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措施：禁止货车司机上车作业</w:t>
      </w:r>
      <w:r>
        <w:rPr>
          <w:rFonts w:hint="eastAsia" w:ascii="仿宋_GB2312" w:eastAsia="仿宋_GB2312"/>
          <w:sz w:val="28"/>
          <w:szCs w:val="28"/>
          <w:lang w:eastAsia="zh-CN"/>
        </w:rPr>
        <w:t>；</w:t>
      </w:r>
      <w:r>
        <w:rPr>
          <w:rFonts w:hint="eastAsia" w:ascii="仿宋_GB2312" w:eastAsia="仿宋_GB2312"/>
          <w:sz w:val="28"/>
          <w:szCs w:val="28"/>
        </w:rPr>
        <w:t>挖掘机、铲车载人高处作业</w:t>
      </w:r>
      <w:r>
        <w:rPr>
          <w:rFonts w:hint="eastAsia" w:ascii="仿宋_GB2312" w:eastAsia="仿宋_GB2312"/>
          <w:sz w:val="28"/>
          <w:szCs w:val="28"/>
          <w:lang w:eastAsia="zh-CN"/>
        </w:rPr>
        <w:t>；</w:t>
      </w:r>
      <w:r>
        <w:rPr>
          <w:rFonts w:hint="eastAsia" w:ascii="仿宋_GB2312" w:eastAsia="仿宋_GB2312"/>
          <w:sz w:val="28"/>
          <w:szCs w:val="28"/>
        </w:rPr>
        <w:t>公司现场安全员必须到位</w:t>
      </w:r>
      <w:r>
        <w:rPr>
          <w:rFonts w:hint="eastAsia" w:ascii="仿宋_GB2312" w:eastAsia="仿宋_GB2312"/>
          <w:sz w:val="28"/>
          <w:szCs w:val="28"/>
          <w:lang w:eastAsia="zh-CN"/>
        </w:rPr>
        <w:t>；</w:t>
      </w:r>
      <w:r>
        <w:rPr>
          <w:rFonts w:hint="eastAsia" w:ascii="仿宋_GB2312" w:eastAsia="仿宋_GB2312"/>
          <w:sz w:val="28"/>
          <w:szCs w:val="28"/>
        </w:rPr>
        <w:t>作业前保管员将公司告知内容进行宣读</w:t>
      </w:r>
      <w:r>
        <w:rPr>
          <w:rFonts w:hint="eastAsia" w:ascii="仿宋_GB2312" w:eastAsia="仿宋_GB2312"/>
          <w:sz w:val="28"/>
          <w:szCs w:val="28"/>
          <w:lang w:eastAsia="zh-CN"/>
        </w:rPr>
        <w:t>；</w:t>
      </w:r>
      <w:r>
        <w:rPr>
          <w:rFonts w:hint="eastAsia" w:ascii="仿宋_GB2312" w:eastAsia="仿宋_GB2312"/>
          <w:sz w:val="28"/>
          <w:szCs w:val="28"/>
        </w:rPr>
        <w:t>作业人员充分了解相关风险与安全要求并保证遵守后，须在告知书上签字</w:t>
      </w:r>
      <w:r>
        <w:rPr>
          <w:rFonts w:hint="eastAsia" w:ascii="仿宋_GB2312" w:eastAsia="仿宋_GB2312"/>
          <w:sz w:val="28"/>
          <w:szCs w:val="28"/>
          <w:lang w:eastAsia="zh-CN"/>
        </w:rPr>
        <w:t>；</w:t>
      </w:r>
      <w:r>
        <w:rPr>
          <w:rFonts w:hint="eastAsia" w:ascii="仿宋_GB2312" w:eastAsia="仿宋_GB2312"/>
          <w:sz w:val="28"/>
          <w:szCs w:val="28"/>
        </w:rPr>
        <w:t>严禁装卸作业人员酒后作业。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w:t>
      </w:r>
      <w:r>
        <w:rPr>
          <w:rFonts w:hint="eastAsia" w:ascii="仿宋_GB2312" w:eastAsia="仿宋_GB2312"/>
          <w:sz w:val="28"/>
          <w:szCs w:val="28"/>
          <w:highlight w:val="none"/>
        </w:rPr>
        <w:t>发生高处坠落事故时</w:t>
      </w:r>
      <w:r>
        <w:rPr>
          <w:rFonts w:ascii="仿宋_GB2312" w:eastAsia="仿宋_GB2312"/>
          <w:sz w:val="28"/>
          <w:szCs w:val="28"/>
          <w:highlight w:val="none"/>
        </w:rPr>
        <w:t>, 不要随便移动伤员，保持伤员周围空气流通，对伤员进行检查，确定受伤位置与伤情，立即拨打120急救电话，并报警，如发现出血等外伤，可对伤员进行止血、固定等紧急处理，在抢救过程中，公司各部室人员应积极支持、配合，提供一切便利条件。同时将事故情况逐级上报，疏散危险区域人员。</w:t>
      </w:r>
      <w:r>
        <w:rPr>
          <w:rFonts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ascii="仿宋_GB2312" w:eastAsia="仿宋_GB2312"/>
          <w:sz w:val="28"/>
          <w:szCs w:val="28"/>
        </w:rPr>
        <w:t>物体打击防范措施、应急处置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措施：严禁违章作业</w:t>
      </w:r>
      <w:r>
        <w:rPr>
          <w:rFonts w:hint="eastAsia" w:ascii="仿宋_GB2312" w:eastAsia="仿宋_GB2312"/>
          <w:sz w:val="28"/>
          <w:szCs w:val="28"/>
          <w:lang w:eastAsia="zh-CN"/>
        </w:rPr>
        <w:t>；</w:t>
      </w:r>
      <w:r>
        <w:rPr>
          <w:rFonts w:hint="eastAsia" w:ascii="仿宋_GB2312" w:eastAsia="仿宋_GB2312"/>
          <w:sz w:val="28"/>
          <w:szCs w:val="28"/>
        </w:rPr>
        <w:t>严禁闲杂人员进入作业现场</w:t>
      </w:r>
      <w:r>
        <w:rPr>
          <w:rFonts w:hint="eastAsia" w:ascii="仿宋_GB2312" w:eastAsia="仿宋_GB2312"/>
          <w:sz w:val="28"/>
          <w:szCs w:val="28"/>
          <w:lang w:eastAsia="zh-CN"/>
        </w:rPr>
        <w:t>；</w:t>
      </w:r>
      <w:r>
        <w:rPr>
          <w:rFonts w:hint="eastAsia" w:ascii="仿宋_GB2312" w:eastAsia="仿宋_GB2312"/>
          <w:sz w:val="28"/>
          <w:szCs w:val="28"/>
        </w:rPr>
        <w:t>设置隔离带</w:t>
      </w:r>
      <w:r>
        <w:rPr>
          <w:rFonts w:hint="eastAsia" w:ascii="仿宋_GB2312" w:eastAsia="仿宋_GB2312"/>
          <w:sz w:val="28"/>
          <w:szCs w:val="28"/>
          <w:lang w:eastAsia="zh-CN"/>
        </w:rPr>
        <w:t>；</w:t>
      </w:r>
      <w:r>
        <w:rPr>
          <w:rFonts w:hint="eastAsia" w:ascii="仿宋_GB2312" w:eastAsia="仿宋_GB2312"/>
          <w:sz w:val="28"/>
          <w:szCs w:val="28"/>
        </w:rPr>
        <w:t>糖垛、挖掘机和铲车铲斗下严禁站人、逗留、行进</w:t>
      </w:r>
      <w:r>
        <w:rPr>
          <w:rFonts w:hint="eastAsia" w:ascii="仿宋_GB2312" w:eastAsia="仿宋_GB2312"/>
          <w:sz w:val="28"/>
          <w:szCs w:val="28"/>
          <w:lang w:eastAsia="zh-CN"/>
        </w:rPr>
        <w:t>；</w:t>
      </w:r>
      <w:r>
        <w:rPr>
          <w:rFonts w:hint="eastAsia" w:ascii="仿宋_GB2312" w:eastAsia="仿宋_GB2312"/>
          <w:sz w:val="28"/>
          <w:szCs w:val="28"/>
        </w:rPr>
        <w:t>作业区域用警戒线围拦</w:t>
      </w:r>
      <w:r>
        <w:rPr>
          <w:rFonts w:hint="eastAsia" w:ascii="仿宋_GB2312" w:eastAsia="仿宋_GB2312"/>
          <w:sz w:val="28"/>
          <w:szCs w:val="28"/>
          <w:lang w:eastAsia="zh-CN"/>
        </w:rPr>
        <w:t>；</w:t>
      </w:r>
      <w:r>
        <w:rPr>
          <w:rFonts w:hint="eastAsia" w:ascii="仿宋_GB2312" w:eastAsia="仿宋_GB2312"/>
          <w:sz w:val="28"/>
          <w:szCs w:val="28"/>
        </w:rPr>
        <w:t>现场配备专职安全员。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应急处置：发生物体打击时</w:t>
      </w:r>
      <w:r>
        <w:rPr>
          <w:rFonts w:ascii="仿宋_GB2312" w:eastAsia="仿宋_GB2312"/>
          <w:sz w:val="28"/>
          <w:szCs w:val="28"/>
        </w:rPr>
        <w:t>, 首先要将击打物品与障碍物清除，将伤员周围的危险源排除，尽量不要随便移动伤员，保持伤员周围空气流通，检查伤员后确定受伤位置与伤情，立即拨打120急救电话，并报警，如发现出血等外伤，可对伤员进行止血、固定等紧急处理，在抢救过程中，公司各</w:t>
      </w:r>
      <w:r>
        <w:rPr>
          <w:rFonts w:hint="eastAsia" w:ascii="仿宋_GB2312" w:eastAsia="仿宋_GB2312"/>
          <w:sz w:val="28"/>
          <w:szCs w:val="28"/>
          <w:lang w:val="en-US" w:eastAsia="zh-CN"/>
        </w:rPr>
        <w:t>部门</w:t>
      </w:r>
      <w:r>
        <w:rPr>
          <w:rFonts w:ascii="仿宋_GB2312" w:eastAsia="仿宋_GB2312"/>
          <w:sz w:val="28"/>
          <w:szCs w:val="28"/>
        </w:rPr>
        <w:t>人员应积极支持、配合，提供一切便利条件</w:t>
      </w:r>
      <w:r>
        <w:rPr>
          <w:rFonts w:hint="eastAsia" w:ascii="仿宋_GB2312" w:eastAsia="仿宋_GB2312"/>
          <w:sz w:val="28"/>
          <w:szCs w:val="28"/>
          <w:lang w:eastAsia="zh-CN"/>
        </w:rPr>
        <w:t>，</w:t>
      </w:r>
      <w:r>
        <w:rPr>
          <w:rFonts w:ascii="仿宋_GB2312" w:eastAsia="仿宋_GB2312"/>
          <w:sz w:val="28"/>
          <w:szCs w:val="28"/>
        </w:rPr>
        <w:t xml:space="preserve">同时将事故情况逐级上报，疏散危险区域人员。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ascii="仿宋_GB2312" w:eastAsia="仿宋_GB2312"/>
          <w:sz w:val="28"/>
          <w:szCs w:val="28"/>
        </w:rPr>
        <w:t>机械伤害防范措施、应急处置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措施：使用挖掘机、铲车作业时，安全员对作业现场进行安全维护，禁止危险区域有人停留或穿过（用警戒线隔离）</w:t>
      </w:r>
      <w:r>
        <w:rPr>
          <w:rFonts w:hint="eastAsia" w:ascii="仿宋_GB2312" w:eastAsia="仿宋_GB2312"/>
          <w:sz w:val="28"/>
          <w:szCs w:val="28"/>
          <w:lang w:eastAsia="zh-CN"/>
        </w:rPr>
        <w:t>；</w:t>
      </w:r>
      <w:r>
        <w:rPr>
          <w:rFonts w:hint="eastAsia" w:ascii="仿宋_GB2312" w:eastAsia="仿宋_GB2312"/>
          <w:sz w:val="28"/>
          <w:szCs w:val="28"/>
        </w:rPr>
        <w:t>驾驶员在确认周围环境安全后方可起步</w:t>
      </w:r>
      <w:r>
        <w:rPr>
          <w:rFonts w:hint="eastAsia" w:ascii="仿宋_GB2312" w:eastAsia="仿宋_GB2312"/>
          <w:sz w:val="28"/>
          <w:szCs w:val="28"/>
          <w:lang w:eastAsia="zh-CN"/>
        </w:rPr>
        <w:t>；</w:t>
      </w:r>
      <w:r>
        <w:rPr>
          <w:rFonts w:hint="eastAsia" w:ascii="仿宋_GB2312" w:eastAsia="仿宋_GB2312"/>
          <w:sz w:val="28"/>
          <w:szCs w:val="28"/>
        </w:rPr>
        <w:t>设备维护人员定时进行巡查，严禁非专业人员进行维修或带电维修</w:t>
      </w:r>
      <w:r>
        <w:rPr>
          <w:rFonts w:hint="eastAsia" w:ascii="仿宋_GB2312" w:eastAsia="仿宋_GB2312"/>
          <w:sz w:val="28"/>
          <w:szCs w:val="28"/>
          <w:lang w:eastAsia="zh-CN"/>
        </w:rPr>
        <w:t>；</w:t>
      </w:r>
      <w:r>
        <w:rPr>
          <w:rFonts w:hint="eastAsia" w:ascii="仿宋_GB2312" w:eastAsia="仿宋_GB2312"/>
          <w:sz w:val="28"/>
          <w:szCs w:val="28"/>
        </w:rPr>
        <w:t>严禁非本岗位人员操作</w:t>
      </w:r>
      <w:r>
        <w:rPr>
          <w:rFonts w:hint="eastAsia" w:ascii="仿宋_GB2312" w:eastAsia="仿宋_GB2312"/>
          <w:sz w:val="28"/>
          <w:szCs w:val="28"/>
          <w:lang w:val="en-US" w:eastAsia="zh-CN"/>
        </w:rPr>
        <w:t>设备设施</w:t>
      </w:r>
      <w:r>
        <w:rPr>
          <w:rFonts w:hint="eastAsia" w:ascii="仿宋_GB2312" w:eastAsia="仿宋_GB2312"/>
          <w:sz w:val="28"/>
          <w:szCs w:val="28"/>
          <w:lang w:eastAsia="zh-CN"/>
        </w:rPr>
        <w:t>；</w:t>
      </w:r>
      <w:r>
        <w:rPr>
          <w:rFonts w:hint="eastAsia" w:ascii="仿宋_GB2312" w:eastAsia="仿宋_GB2312"/>
          <w:sz w:val="28"/>
          <w:szCs w:val="28"/>
        </w:rPr>
        <w:t>严禁乱拉电缆</w:t>
      </w:r>
      <w:r>
        <w:rPr>
          <w:rFonts w:hint="eastAsia" w:ascii="仿宋_GB2312" w:eastAsia="仿宋_GB2312"/>
          <w:sz w:val="28"/>
          <w:szCs w:val="28"/>
          <w:lang w:val="en-US" w:eastAsia="zh-CN"/>
        </w:rPr>
        <w:t>或</w:t>
      </w:r>
      <w:r>
        <w:rPr>
          <w:rFonts w:hint="eastAsia" w:ascii="仿宋_GB2312" w:eastAsia="仿宋_GB2312"/>
          <w:sz w:val="28"/>
          <w:szCs w:val="28"/>
        </w:rPr>
        <w:t>拖动、碾压电缆</w:t>
      </w:r>
      <w:r>
        <w:rPr>
          <w:rFonts w:hint="eastAsia" w:ascii="仿宋_GB2312" w:eastAsia="仿宋_GB2312"/>
          <w:sz w:val="28"/>
          <w:szCs w:val="28"/>
          <w:lang w:eastAsia="zh-CN"/>
        </w:rPr>
        <w:t>；</w:t>
      </w:r>
      <w:r>
        <w:rPr>
          <w:rFonts w:hint="eastAsia" w:ascii="仿宋_GB2312" w:eastAsia="仿宋_GB2312"/>
          <w:sz w:val="28"/>
          <w:szCs w:val="28"/>
        </w:rPr>
        <w:t>严禁在挖掘机、铲车行驶区域放置杂物。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应急处置：入场内发生机械伤害事故，首先将设备停止运行，将伤员周围的危险源排除，尽量不要随便移动伤员，检查伤员后确定受伤位置与伤情，立即拨打</w:t>
      </w:r>
      <w:r>
        <w:rPr>
          <w:rFonts w:ascii="仿宋_GB2312" w:eastAsia="仿宋_GB2312"/>
          <w:sz w:val="28"/>
          <w:szCs w:val="28"/>
        </w:rPr>
        <w:t>120急救电话，并报警，如发现出血等外伤，可对伤员进行止血、固定等紧急处理，在抢救过程中，公司各</w:t>
      </w:r>
      <w:r>
        <w:rPr>
          <w:rFonts w:hint="eastAsia" w:ascii="仿宋_GB2312" w:eastAsia="仿宋_GB2312"/>
          <w:sz w:val="28"/>
          <w:szCs w:val="28"/>
          <w:lang w:val="en-US" w:eastAsia="zh-CN"/>
        </w:rPr>
        <w:t>部门</w:t>
      </w:r>
      <w:r>
        <w:rPr>
          <w:rFonts w:ascii="仿宋_GB2312" w:eastAsia="仿宋_GB2312"/>
          <w:sz w:val="28"/>
          <w:szCs w:val="28"/>
        </w:rPr>
        <w:t xml:space="preserve">人员应积极支持、配合，提供一切便利条件。同时将事故情况逐级上报，疏散危险区域人员。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四</w:t>
      </w:r>
      <w:r>
        <w:rPr>
          <w:rFonts w:hint="eastAsia" w:ascii="仿宋_GB2312" w:eastAsia="仿宋_GB2312"/>
          <w:sz w:val="28"/>
          <w:szCs w:val="28"/>
          <w:highlight w:val="none"/>
          <w:lang w:eastAsia="zh-CN"/>
        </w:rPr>
        <w:t>）</w:t>
      </w:r>
      <w:r>
        <w:rPr>
          <w:rFonts w:ascii="仿宋_GB2312" w:eastAsia="仿宋_GB2312"/>
          <w:sz w:val="28"/>
          <w:szCs w:val="28"/>
          <w:highlight w:val="none"/>
        </w:rPr>
        <w:t>车辆伤害防范措施、应急处置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措施：出入库区所有司机必须服从管理人员的调度，按规定线路和速度行驶，不得随意改变路线</w:t>
      </w:r>
      <w:r>
        <w:rPr>
          <w:rFonts w:hint="eastAsia" w:ascii="仿宋_GB2312" w:eastAsia="仿宋_GB2312"/>
          <w:sz w:val="28"/>
          <w:szCs w:val="28"/>
          <w:lang w:eastAsia="zh-CN"/>
        </w:rPr>
        <w:t>；</w:t>
      </w:r>
      <w:r>
        <w:rPr>
          <w:rFonts w:hint="eastAsia" w:ascii="仿宋_GB2312" w:eastAsia="仿宋_GB2312"/>
          <w:sz w:val="28"/>
          <w:szCs w:val="28"/>
          <w:lang w:val="en-US" w:eastAsia="zh-CN"/>
        </w:rPr>
        <w:t>带班经理和现场安全管理人员</w:t>
      </w:r>
      <w:r>
        <w:rPr>
          <w:rFonts w:hint="eastAsia" w:ascii="仿宋_GB2312" w:eastAsia="仿宋_GB2312"/>
          <w:sz w:val="28"/>
          <w:szCs w:val="28"/>
        </w:rPr>
        <w:t>加强库区巡视</w:t>
      </w:r>
      <w:r>
        <w:rPr>
          <w:rFonts w:hint="eastAsia" w:ascii="仿宋_GB2312" w:eastAsia="仿宋_GB2312"/>
          <w:sz w:val="28"/>
          <w:szCs w:val="28"/>
          <w:lang w:eastAsia="zh-CN"/>
        </w:rPr>
        <w:t>、</w:t>
      </w:r>
      <w:r>
        <w:rPr>
          <w:rFonts w:hint="eastAsia" w:ascii="仿宋_GB2312" w:eastAsia="仿宋_GB2312"/>
          <w:sz w:val="28"/>
          <w:szCs w:val="28"/>
        </w:rPr>
        <w:t>监督与检查</w:t>
      </w:r>
      <w:r>
        <w:rPr>
          <w:rFonts w:hint="eastAsia" w:ascii="仿宋_GB2312" w:eastAsia="仿宋_GB2312"/>
          <w:sz w:val="28"/>
          <w:szCs w:val="28"/>
          <w:lang w:eastAsia="zh-CN"/>
        </w:rPr>
        <w:t>，</w:t>
      </w:r>
      <w:r>
        <w:rPr>
          <w:rFonts w:hint="eastAsia" w:ascii="仿宋_GB2312" w:eastAsia="仿宋_GB2312"/>
          <w:sz w:val="28"/>
          <w:szCs w:val="28"/>
        </w:rPr>
        <w:t>发现违规进行提示</w:t>
      </w:r>
      <w:r>
        <w:rPr>
          <w:rFonts w:hint="eastAsia" w:ascii="仿宋_GB2312" w:eastAsia="仿宋_GB2312"/>
          <w:sz w:val="28"/>
          <w:szCs w:val="28"/>
          <w:lang w:eastAsia="zh-CN"/>
        </w:rPr>
        <w:t>；</w:t>
      </w:r>
      <w:r>
        <w:rPr>
          <w:rFonts w:hint="eastAsia" w:ascii="仿宋_GB2312" w:eastAsia="仿宋_GB2312"/>
          <w:sz w:val="28"/>
          <w:szCs w:val="28"/>
        </w:rPr>
        <w:t>对进入场区内的机动车进行约束，如违反规定或不听指挥者，安保部人员及现场调度人员可根据公司的有关规定进行劝阻、警告直至处罚</w:t>
      </w:r>
      <w:r>
        <w:rPr>
          <w:rFonts w:hint="eastAsia" w:ascii="仿宋_GB2312" w:eastAsia="仿宋_GB2312"/>
          <w:sz w:val="28"/>
          <w:szCs w:val="28"/>
          <w:lang w:eastAsia="zh-CN"/>
        </w:rPr>
        <w:t>；</w:t>
      </w:r>
      <w:r>
        <w:rPr>
          <w:rFonts w:hint="eastAsia" w:ascii="仿宋_GB2312" w:eastAsia="仿宋_GB2312"/>
          <w:sz w:val="28"/>
          <w:szCs w:val="28"/>
        </w:rPr>
        <w:t>禁止酒后驾驶车辆、严禁违章指挥、违章驾驶；严禁非本岗位人员操作</w:t>
      </w:r>
      <w:r>
        <w:rPr>
          <w:rFonts w:hint="eastAsia" w:ascii="仿宋_GB2312" w:eastAsia="仿宋_GB2312"/>
          <w:sz w:val="28"/>
          <w:szCs w:val="28"/>
          <w:lang w:eastAsia="zh-CN"/>
        </w:rPr>
        <w:t>；</w:t>
      </w:r>
      <w:r>
        <w:rPr>
          <w:rFonts w:hint="eastAsia" w:ascii="仿宋_GB2312" w:eastAsia="仿宋_GB2312"/>
          <w:sz w:val="28"/>
          <w:szCs w:val="28"/>
        </w:rPr>
        <w:t>严禁驾驶人员未持证上岗</w:t>
      </w:r>
      <w:r>
        <w:rPr>
          <w:rFonts w:hint="eastAsia" w:ascii="仿宋_GB2312" w:eastAsia="仿宋_GB2312"/>
          <w:sz w:val="28"/>
          <w:szCs w:val="28"/>
          <w:lang w:eastAsia="zh-CN"/>
        </w:rPr>
        <w:t>；</w:t>
      </w:r>
      <w:r>
        <w:rPr>
          <w:rFonts w:hint="eastAsia" w:ascii="仿宋_GB2312" w:eastAsia="仿宋_GB2312"/>
          <w:sz w:val="28"/>
          <w:szCs w:val="28"/>
        </w:rPr>
        <w:t>严禁故障车辆进入库区</w:t>
      </w:r>
      <w:r>
        <w:rPr>
          <w:rFonts w:hint="eastAsia" w:ascii="仿宋_GB2312" w:eastAsia="仿宋_GB2312"/>
          <w:sz w:val="28"/>
          <w:szCs w:val="28"/>
          <w:lang w:eastAsia="zh-CN"/>
        </w:rPr>
        <w:t>；</w:t>
      </w:r>
      <w:r>
        <w:rPr>
          <w:rFonts w:hint="eastAsia" w:ascii="仿宋_GB2312" w:eastAsia="仿宋_GB2312"/>
          <w:sz w:val="28"/>
          <w:szCs w:val="28"/>
        </w:rPr>
        <w:t>严禁超载、超负荷运转</w:t>
      </w:r>
      <w:r>
        <w:rPr>
          <w:rFonts w:hint="eastAsia" w:ascii="仿宋_GB2312" w:eastAsia="仿宋_GB2312"/>
          <w:sz w:val="28"/>
          <w:szCs w:val="28"/>
          <w:lang w:eastAsia="zh-CN"/>
        </w:rPr>
        <w:t>；</w:t>
      </w:r>
      <w:r>
        <w:rPr>
          <w:rFonts w:hint="eastAsia" w:ascii="仿宋_GB2312" w:eastAsia="仿宋_GB2312"/>
          <w:sz w:val="28"/>
          <w:szCs w:val="28"/>
        </w:rPr>
        <w:t>禁止在库内维修车辆</w:t>
      </w:r>
      <w:r>
        <w:rPr>
          <w:rFonts w:hint="eastAsia" w:ascii="仿宋_GB2312" w:eastAsia="仿宋_GB2312"/>
          <w:sz w:val="28"/>
          <w:szCs w:val="28"/>
          <w:lang w:eastAsia="zh-CN"/>
        </w:rPr>
        <w:t>；</w:t>
      </w:r>
      <w:r>
        <w:rPr>
          <w:rFonts w:hint="eastAsia" w:ascii="仿宋_GB2312" w:eastAsia="仿宋_GB2312"/>
          <w:sz w:val="28"/>
          <w:szCs w:val="28"/>
        </w:rPr>
        <w:t>挖掘机、铲车作业时危险区域用警戒线隔离，禁止人员在危险区域停留、穿越。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应急处置：如发生场内交通事故</w:t>
      </w:r>
      <w:r>
        <w:rPr>
          <w:rFonts w:hint="eastAsia" w:ascii="仿宋_GB2312" w:eastAsia="仿宋_GB2312"/>
          <w:sz w:val="28"/>
          <w:szCs w:val="28"/>
          <w:lang w:eastAsia="zh-CN"/>
        </w:rPr>
        <w:t>，</w:t>
      </w:r>
      <w:r>
        <w:rPr>
          <w:rFonts w:ascii="仿宋_GB2312" w:eastAsia="仿宋_GB2312"/>
          <w:sz w:val="28"/>
          <w:szCs w:val="28"/>
        </w:rPr>
        <w:t>应保护好现场，及时抢救伤员</w:t>
      </w:r>
      <w:r>
        <w:rPr>
          <w:rFonts w:hint="eastAsia" w:ascii="仿宋_GB2312" w:eastAsia="仿宋_GB2312"/>
          <w:sz w:val="28"/>
          <w:szCs w:val="28"/>
          <w:lang w:eastAsia="zh-CN"/>
        </w:rPr>
        <w:t>，</w:t>
      </w:r>
      <w:r>
        <w:rPr>
          <w:rFonts w:ascii="仿宋_GB2312" w:eastAsia="仿宋_GB2312"/>
          <w:sz w:val="28"/>
          <w:szCs w:val="28"/>
        </w:rPr>
        <w:t>用电话报告交通事故处理部门（报警电话：122，急救电话：120）和保险公司，同时尽快向安全保障部和公司负责人报告</w:t>
      </w:r>
      <w:r>
        <w:rPr>
          <w:rFonts w:hint="eastAsia" w:ascii="仿宋_GB2312" w:eastAsia="仿宋_GB2312"/>
          <w:sz w:val="28"/>
          <w:szCs w:val="28"/>
          <w:lang w:eastAsia="zh-CN"/>
        </w:rPr>
        <w:t>；</w:t>
      </w:r>
      <w:r>
        <w:rPr>
          <w:rFonts w:ascii="仿宋_GB2312" w:eastAsia="仿宋_GB2312"/>
          <w:sz w:val="28"/>
          <w:szCs w:val="28"/>
        </w:rPr>
        <w:t>车辆故障，立即停止运行，并报专业维修人员驶离库区进行修理</w:t>
      </w:r>
      <w:r>
        <w:rPr>
          <w:rFonts w:hint="eastAsia" w:ascii="仿宋_GB2312" w:eastAsia="仿宋_GB2312"/>
          <w:sz w:val="28"/>
          <w:szCs w:val="28"/>
          <w:lang w:eastAsia="zh-CN"/>
        </w:rPr>
        <w:t>；</w:t>
      </w:r>
      <w:r>
        <w:rPr>
          <w:rFonts w:ascii="仿宋_GB2312" w:eastAsia="仿宋_GB2312"/>
          <w:sz w:val="28"/>
          <w:szCs w:val="28"/>
        </w:rPr>
        <w:t>如车辆内起火，驾驶员应迅速停车，在熄火后自行下车，并迅速取出灭火器扑灭火焰</w:t>
      </w:r>
      <w:r>
        <w:rPr>
          <w:rFonts w:hint="eastAsia" w:ascii="仿宋_GB2312" w:eastAsia="仿宋_GB2312"/>
          <w:sz w:val="28"/>
          <w:szCs w:val="28"/>
          <w:lang w:eastAsia="zh-CN"/>
        </w:rPr>
        <w:t>，</w:t>
      </w:r>
      <w:r>
        <w:rPr>
          <w:rFonts w:ascii="仿宋_GB2312" w:eastAsia="仿宋_GB2312"/>
          <w:sz w:val="28"/>
          <w:szCs w:val="28"/>
        </w:rPr>
        <w:t>若仍不能扑灭，则本人应迅速撤至安全地带，设置警示牌扩大示警距离，同时电话报警（报警电话：110、119、120、122），并第一时间上报</w:t>
      </w:r>
      <w:r>
        <w:rPr>
          <w:rFonts w:hint="eastAsia" w:ascii="仿宋_GB2312" w:eastAsia="仿宋_GB2312"/>
          <w:sz w:val="28"/>
          <w:szCs w:val="28"/>
          <w:lang w:eastAsia="zh-CN"/>
        </w:rPr>
        <w:t>；</w:t>
      </w:r>
      <w:r>
        <w:rPr>
          <w:rFonts w:ascii="仿宋_GB2312" w:eastAsia="仿宋_GB2312"/>
          <w:sz w:val="28"/>
          <w:szCs w:val="28"/>
        </w:rPr>
        <w:t>发生事故后，驾驶员应积极配合事故调查处理，并根据发生事故的地点，在最</w:t>
      </w:r>
      <w:r>
        <w:rPr>
          <w:rFonts w:hint="eastAsia" w:ascii="仿宋_GB2312" w:eastAsia="仿宋_GB2312"/>
          <w:sz w:val="28"/>
          <w:szCs w:val="28"/>
        </w:rPr>
        <w:t>短时间内以书面报告形式向公司报告事故发生经过及原因。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五</w:t>
      </w:r>
      <w:r>
        <w:rPr>
          <w:rFonts w:hint="eastAsia" w:ascii="仿宋_GB2312" w:eastAsia="仿宋_GB2312"/>
          <w:sz w:val="28"/>
          <w:szCs w:val="28"/>
          <w:lang w:eastAsia="zh-CN"/>
        </w:rPr>
        <w:t>）</w:t>
      </w:r>
      <w:r>
        <w:rPr>
          <w:rFonts w:ascii="仿宋_GB2312" w:eastAsia="仿宋_GB2312"/>
          <w:sz w:val="28"/>
          <w:szCs w:val="28"/>
        </w:rPr>
        <w:t>火灾防范措施、应急处置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措施：安保人员严格按照外来人员出入库管理规定执行</w:t>
      </w:r>
      <w:r>
        <w:rPr>
          <w:rFonts w:hint="eastAsia" w:ascii="仿宋_GB2312" w:eastAsia="仿宋_GB2312"/>
          <w:sz w:val="28"/>
          <w:szCs w:val="28"/>
          <w:lang w:eastAsia="zh-CN"/>
        </w:rPr>
        <w:t>，</w:t>
      </w:r>
      <w:r>
        <w:rPr>
          <w:rFonts w:hint="eastAsia" w:ascii="仿宋_GB2312" w:eastAsia="仿宋_GB2312"/>
          <w:sz w:val="28"/>
          <w:szCs w:val="28"/>
        </w:rPr>
        <w:t>认真检查所有进入库区的人员、车辆严禁带火种进入库区</w:t>
      </w:r>
      <w:r>
        <w:rPr>
          <w:rFonts w:hint="eastAsia" w:ascii="仿宋_GB2312" w:eastAsia="仿宋_GB2312"/>
          <w:sz w:val="28"/>
          <w:szCs w:val="28"/>
          <w:lang w:eastAsia="zh-CN"/>
        </w:rPr>
        <w:t>；</w:t>
      </w:r>
      <w:r>
        <w:rPr>
          <w:rFonts w:hint="eastAsia" w:ascii="仿宋_GB2312" w:eastAsia="仿宋_GB2312"/>
          <w:sz w:val="28"/>
          <w:szCs w:val="28"/>
        </w:rPr>
        <w:t>加强库区特别是车辆停放区域的巡查，发现违规停放或车内吸烟者立即制止，并按公司规定给予违规人员处罚。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应急处置：保持安全疏散通道和消防安全通道畅通</w:t>
      </w:r>
      <w:r>
        <w:rPr>
          <w:rFonts w:hint="eastAsia" w:ascii="仿宋_GB2312" w:eastAsia="仿宋_GB2312"/>
          <w:sz w:val="28"/>
          <w:szCs w:val="28"/>
          <w:lang w:eastAsia="zh-CN"/>
        </w:rPr>
        <w:t>；</w:t>
      </w:r>
      <w:r>
        <w:rPr>
          <w:rFonts w:hint="eastAsia" w:ascii="仿宋_GB2312" w:eastAsia="仿宋_GB2312"/>
          <w:sz w:val="28"/>
          <w:szCs w:val="28"/>
          <w:lang w:val="en-US" w:eastAsia="zh-CN"/>
        </w:rPr>
        <w:t>发生</w:t>
      </w:r>
      <w:r>
        <w:rPr>
          <w:rFonts w:hint="eastAsia" w:ascii="仿宋_GB2312" w:eastAsia="仿宋_GB2312"/>
          <w:sz w:val="28"/>
          <w:szCs w:val="28"/>
        </w:rPr>
        <w:t>电器火灾，</w:t>
      </w:r>
      <w:r>
        <w:rPr>
          <w:rFonts w:hint="eastAsia" w:ascii="仿宋_GB2312" w:eastAsia="仿宋_GB2312"/>
          <w:sz w:val="28"/>
          <w:szCs w:val="28"/>
          <w:lang w:val="en-US" w:eastAsia="zh-CN"/>
        </w:rPr>
        <w:t>应</w:t>
      </w:r>
      <w:r>
        <w:rPr>
          <w:rFonts w:hint="eastAsia" w:ascii="仿宋_GB2312" w:eastAsia="仿宋_GB2312"/>
          <w:sz w:val="28"/>
          <w:szCs w:val="28"/>
        </w:rPr>
        <w:t>立即切断电源，扑灭初始火灾，自救并向上级报告</w:t>
      </w:r>
      <w:r>
        <w:rPr>
          <w:rFonts w:hint="eastAsia" w:ascii="仿宋_GB2312" w:eastAsia="仿宋_GB2312"/>
          <w:sz w:val="28"/>
          <w:szCs w:val="28"/>
          <w:lang w:eastAsia="zh-CN"/>
        </w:rPr>
        <w:t>；</w:t>
      </w:r>
      <w:r>
        <w:rPr>
          <w:rFonts w:hint="eastAsia" w:ascii="仿宋_GB2312" w:eastAsia="仿宋_GB2312"/>
          <w:sz w:val="28"/>
          <w:szCs w:val="28"/>
        </w:rPr>
        <w:t>如发生火灾保管员</w:t>
      </w:r>
      <w:r>
        <w:rPr>
          <w:rFonts w:hint="eastAsia" w:ascii="仿宋_GB2312" w:eastAsia="仿宋_GB2312"/>
          <w:sz w:val="28"/>
          <w:szCs w:val="28"/>
          <w:lang w:val="en-US" w:eastAsia="zh-CN"/>
        </w:rPr>
        <w:t>应</w:t>
      </w:r>
      <w:r>
        <w:rPr>
          <w:rFonts w:hint="eastAsia" w:ascii="仿宋_GB2312" w:eastAsia="仿宋_GB2312"/>
          <w:sz w:val="28"/>
          <w:szCs w:val="28"/>
        </w:rPr>
        <w:t>立即报告当班领导，并拨打</w:t>
      </w:r>
      <w:r>
        <w:rPr>
          <w:rFonts w:ascii="仿宋_GB2312" w:eastAsia="仿宋_GB2312"/>
          <w:sz w:val="28"/>
          <w:szCs w:val="28"/>
        </w:rPr>
        <w:t>119报警</w:t>
      </w:r>
      <w:r>
        <w:rPr>
          <w:rFonts w:hint="eastAsia" w:ascii="仿宋_GB2312" w:eastAsia="仿宋_GB2312"/>
          <w:sz w:val="28"/>
          <w:szCs w:val="28"/>
          <w:lang w:eastAsia="zh-CN"/>
        </w:rPr>
        <w:t>；</w:t>
      </w:r>
      <w:r>
        <w:rPr>
          <w:rFonts w:ascii="仿宋_GB2312" w:eastAsia="仿宋_GB2312"/>
          <w:sz w:val="28"/>
          <w:szCs w:val="28"/>
        </w:rPr>
        <w:t>保管员应立即组织所有人员撤离现场，如有人员受伤首先进行抢救，组织救援、灭火和物资抢救。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六</w:t>
      </w:r>
      <w:r>
        <w:rPr>
          <w:rFonts w:hint="eastAsia" w:ascii="仿宋_GB2312" w:eastAsia="仿宋_GB2312"/>
          <w:sz w:val="28"/>
          <w:szCs w:val="28"/>
          <w:lang w:eastAsia="zh-CN"/>
        </w:rPr>
        <w:t>）</w:t>
      </w:r>
      <w:r>
        <w:rPr>
          <w:rFonts w:ascii="仿宋_GB2312" w:eastAsia="仿宋_GB2312"/>
          <w:sz w:val="28"/>
          <w:szCs w:val="28"/>
        </w:rPr>
        <w:t>触电防范措施、应急处置</w:t>
      </w:r>
    </w:p>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措施：严禁作业人员带电移动轴流风机，使用前必须经过电工确认电源线路无破损无老化后</w:t>
      </w:r>
      <w:r>
        <w:rPr>
          <w:rFonts w:hint="eastAsia" w:ascii="仿宋_GB2312" w:eastAsia="仿宋_GB2312"/>
          <w:sz w:val="28"/>
          <w:szCs w:val="28"/>
          <w:lang w:val="en-US" w:eastAsia="zh-CN"/>
        </w:rPr>
        <w:t>方可</w:t>
      </w:r>
      <w:r>
        <w:rPr>
          <w:rFonts w:hint="eastAsia" w:ascii="仿宋_GB2312" w:eastAsia="仿宋_GB2312"/>
          <w:sz w:val="28"/>
          <w:szCs w:val="28"/>
        </w:rPr>
        <w:t xml:space="preserve">使用。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highlight w:val="none"/>
        </w:rPr>
        <w:t>应急处置：发生触电事故，立即使用绝缘棒将受害人与带电体分离同时切断电源后，</w:t>
      </w:r>
      <w:r>
        <w:rPr>
          <w:rFonts w:hint="eastAsia" w:ascii="仿宋_GB2312" w:eastAsia="仿宋_GB2312"/>
          <w:sz w:val="28"/>
          <w:szCs w:val="28"/>
        </w:rPr>
        <w:t>拨打</w:t>
      </w:r>
      <w:r>
        <w:rPr>
          <w:rFonts w:ascii="仿宋_GB2312" w:eastAsia="仿宋_GB2312"/>
          <w:sz w:val="28"/>
          <w:szCs w:val="28"/>
        </w:rPr>
        <w:t>120急救电话，并报警，检查伤员是否有呼吸、心跳，按照具体情况对伤员进行胸外按压或人工呼吸等抢救措施，保持伤员周围空气流通，检查伤员是否存在其他外伤，如发现出血等外伤，可对伤员进行止血、固定等紧急处理，在抢救过程中，公司各</w:t>
      </w:r>
      <w:r>
        <w:rPr>
          <w:rFonts w:hint="eastAsia" w:ascii="仿宋_GB2312" w:eastAsia="仿宋_GB2312"/>
          <w:sz w:val="28"/>
          <w:szCs w:val="28"/>
          <w:lang w:val="en-US" w:eastAsia="zh-CN"/>
        </w:rPr>
        <w:t>部门</w:t>
      </w:r>
      <w:r>
        <w:rPr>
          <w:rFonts w:ascii="仿宋_GB2312" w:eastAsia="仿宋_GB2312"/>
          <w:sz w:val="28"/>
          <w:szCs w:val="28"/>
        </w:rPr>
        <w:t>人员应积极支持、配合，提供一切便利条件。同时将事故情况逐级上报，疏散危险区域人员。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七</w:t>
      </w:r>
      <w:r>
        <w:rPr>
          <w:rFonts w:hint="eastAsia" w:ascii="仿宋_GB2312" w:eastAsia="仿宋_GB2312"/>
          <w:sz w:val="28"/>
          <w:szCs w:val="28"/>
          <w:lang w:eastAsia="zh-CN"/>
        </w:rPr>
        <w:t>）</w:t>
      </w:r>
      <w:r>
        <w:rPr>
          <w:rFonts w:ascii="仿宋_GB2312" w:eastAsia="仿宋_GB2312"/>
          <w:sz w:val="28"/>
          <w:szCs w:val="28"/>
        </w:rPr>
        <w:t>糖垛坍塌防范措施、应急处置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挖掘机拆垛时，必须从糖垛顶部开始拆垛，禁止从糖垛中部掏空心垛；靠墙的糖垛，从近墙端向远墙端扒垛，防止糖垛砸向库房墙、柱等；挖掘机在扒垛时，在糖垛侧方扒垛，禁止在糖垛正面扒垛，防止糖垛坍塌掩埋车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应急处置：发生糖垛坍塌事故，现场人员应在保证安全的前提下立即对伤员进行紧急救援，首先将设备停止运行，将伤员周围的危险源排除，尽量不要随便移动伤员，检查伤员确定受伤位置与伤情，立即拨打</w:t>
      </w:r>
      <w:r>
        <w:rPr>
          <w:rFonts w:ascii="仿宋_GB2312" w:eastAsia="仿宋_GB2312"/>
          <w:sz w:val="28"/>
          <w:szCs w:val="28"/>
        </w:rPr>
        <w:t>120急救电话，并报警；如发现出血等外伤，可对伤员进行止血、固定等紧急处理；如有人员被糖包埋压，应立即组织人员进行施救；糖垛坍塌造成库房墙体、库门毁损，为防止建筑物发生二次坍塌危险，应先撤离人员，事故区域划分警戒区域，设立明显警示标志，待制定出“支护或加固措施”后，方可实施加固。在抢救过程中，公司各</w:t>
      </w:r>
      <w:r>
        <w:rPr>
          <w:rFonts w:hint="eastAsia" w:ascii="仿宋_GB2312" w:eastAsia="仿宋_GB2312"/>
          <w:sz w:val="28"/>
          <w:szCs w:val="28"/>
          <w:lang w:val="en-US" w:eastAsia="zh-CN"/>
        </w:rPr>
        <w:t>部门</w:t>
      </w:r>
      <w:r>
        <w:rPr>
          <w:rFonts w:ascii="仿宋_GB2312" w:eastAsia="仿宋_GB2312"/>
          <w:sz w:val="28"/>
          <w:szCs w:val="28"/>
        </w:rPr>
        <w:t>人员应积极支持、配合，提</w:t>
      </w:r>
      <w:r>
        <w:rPr>
          <w:rFonts w:hint="eastAsia" w:ascii="仿宋_GB2312" w:eastAsia="仿宋_GB2312"/>
          <w:sz w:val="28"/>
          <w:szCs w:val="28"/>
        </w:rPr>
        <w:t>供一切便利条件。同时将事故情况逐级上报，疏散危险区域人员。</w:t>
      </w:r>
      <w:r>
        <w:rPr>
          <w:rFonts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八</w:t>
      </w:r>
      <w:r>
        <w:rPr>
          <w:rFonts w:hint="eastAsia" w:ascii="仿宋_GB2312" w:eastAsia="仿宋_GB2312"/>
          <w:sz w:val="28"/>
          <w:szCs w:val="28"/>
          <w:lang w:eastAsia="zh-CN"/>
        </w:rPr>
        <w:t>）</w:t>
      </w:r>
      <w:r>
        <w:rPr>
          <w:rFonts w:ascii="仿宋_GB2312" w:eastAsia="仿宋_GB2312"/>
          <w:sz w:val="28"/>
          <w:szCs w:val="28"/>
        </w:rPr>
        <w:t>粉尘爆炸防范措施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措施：挖掘机、铲车入库作业前，检查防火帽安装是否到位，使用风机（防爆型）进行强制通风，以免作业现场粉尘浓度过高。进入库区前作业人收缴火源，库</w:t>
      </w:r>
      <w:r>
        <w:rPr>
          <w:rFonts w:hint="eastAsia" w:ascii="仿宋_GB2312" w:eastAsia="仿宋_GB2312"/>
          <w:sz w:val="28"/>
          <w:szCs w:val="28"/>
          <w:lang w:val="en-US" w:eastAsia="zh-CN"/>
        </w:rPr>
        <w:t>区</w:t>
      </w:r>
      <w:r>
        <w:rPr>
          <w:rFonts w:hint="eastAsia" w:ascii="仿宋_GB2312" w:eastAsia="仿宋_GB2312"/>
          <w:sz w:val="28"/>
          <w:szCs w:val="28"/>
        </w:rPr>
        <w:t>内外禁止吸烟。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二、作业人员要求：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进入库区的人员及车辆应严格遵守公司的规定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进入库区人员及车辆应慢行，</w:t>
      </w:r>
      <w:r>
        <w:rPr>
          <w:rFonts w:hint="eastAsia" w:ascii="仿宋_GB2312" w:eastAsia="仿宋_GB2312"/>
          <w:sz w:val="28"/>
          <w:szCs w:val="28"/>
          <w:lang w:val="en-US" w:eastAsia="zh-CN"/>
        </w:rPr>
        <w:t>限速5km；</w:t>
      </w:r>
      <w:r>
        <w:rPr>
          <w:rFonts w:hint="eastAsia" w:ascii="仿宋_GB2312" w:eastAsia="仿宋_GB2312"/>
          <w:sz w:val="28"/>
          <w:szCs w:val="28"/>
        </w:rPr>
        <w:t>在进入库房的路旁设立注意安全警示标识;主要路口及车辆旁采用</w:t>
      </w:r>
      <w:r>
        <w:rPr>
          <w:rFonts w:hint="eastAsia" w:ascii="仿宋_GB2312" w:eastAsia="仿宋_GB2312"/>
          <w:sz w:val="28"/>
          <w:szCs w:val="28"/>
          <w:highlight w:val="none"/>
        </w:rPr>
        <w:t>反光路锥</w:t>
      </w:r>
      <w:r>
        <w:rPr>
          <w:rFonts w:hint="eastAsia" w:ascii="仿宋_GB2312" w:eastAsia="仿宋_GB2312"/>
          <w:sz w:val="28"/>
          <w:szCs w:val="28"/>
        </w:rPr>
        <w:t>，配合隔离警戒带。进入库区的车辆应按照指定线路行驶，并在指定地点停车、候车。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车辆出入库流程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车辆到库</w:t>
      </w:r>
      <w:r>
        <w:rPr>
          <w:rFonts w:hint="eastAsia" w:ascii="仿宋_GB2312" w:eastAsia="仿宋_GB2312"/>
          <w:sz w:val="28"/>
          <w:szCs w:val="28"/>
          <w:lang w:eastAsia="zh-CN"/>
        </w:rPr>
        <w:t>——</w:t>
      </w:r>
      <w:r>
        <w:rPr>
          <w:rFonts w:hint="eastAsia" w:ascii="仿宋_GB2312" w:eastAsia="仿宋_GB2312"/>
          <w:sz w:val="28"/>
          <w:szCs w:val="28"/>
          <w:lang w:val="en-US" w:eastAsia="zh-CN"/>
        </w:rPr>
        <w:t>司机登记——</w:t>
      </w:r>
      <w:r>
        <w:rPr>
          <w:rFonts w:hint="eastAsia" w:ascii="仿宋_GB2312" w:eastAsia="仿宋_GB2312"/>
          <w:sz w:val="28"/>
          <w:szCs w:val="28"/>
        </w:rPr>
        <w:t>车辆入库登记</w:t>
      </w:r>
      <w:r>
        <w:rPr>
          <w:rFonts w:hint="eastAsia" w:ascii="仿宋_GB2312" w:eastAsia="仿宋_GB2312"/>
          <w:sz w:val="28"/>
          <w:szCs w:val="28"/>
          <w:lang w:eastAsia="zh-CN"/>
        </w:rPr>
        <w:t>——</w:t>
      </w:r>
      <w:r>
        <w:rPr>
          <w:rFonts w:hint="eastAsia" w:ascii="仿宋_GB2312" w:eastAsia="仿宋_GB2312"/>
          <w:sz w:val="28"/>
          <w:szCs w:val="28"/>
          <w:lang w:val="en-US" w:eastAsia="zh-CN"/>
        </w:rPr>
        <w:t>安全检查</w:t>
      </w:r>
      <w:r>
        <w:rPr>
          <w:rFonts w:hint="eastAsia" w:ascii="仿宋_GB2312" w:eastAsia="仿宋_GB2312"/>
          <w:sz w:val="28"/>
          <w:szCs w:val="28"/>
        </w:rPr>
        <w:t>交出火种</w:t>
      </w:r>
      <w:r>
        <w:rPr>
          <w:rFonts w:hint="eastAsia" w:ascii="仿宋_GB2312" w:eastAsia="仿宋_GB2312"/>
          <w:sz w:val="28"/>
          <w:szCs w:val="28"/>
          <w:lang w:eastAsia="zh-CN"/>
        </w:rPr>
        <w:t>——</w:t>
      </w:r>
      <w:r>
        <w:rPr>
          <w:rFonts w:hint="eastAsia" w:ascii="仿宋_GB2312" w:eastAsia="仿宋_GB2312"/>
          <w:sz w:val="28"/>
          <w:szCs w:val="28"/>
        </w:rPr>
        <w:t>签订安全告知书</w:t>
      </w:r>
      <w:r>
        <w:rPr>
          <w:rFonts w:hint="eastAsia" w:ascii="仿宋_GB2312" w:eastAsia="仿宋_GB2312"/>
          <w:sz w:val="28"/>
          <w:szCs w:val="28"/>
          <w:lang w:eastAsia="zh-CN"/>
        </w:rPr>
        <w:t>——</w:t>
      </w:r>
      <w:r>
        <w:rPr>
          <w:rFonts w:hint="eastAsia" w:ascii="仿宋_GB2312" w:eastAsia="仿宋_GB2312"/>
          <w:sz w:val="28"/>
          <w:szCs w:val="28"/>
        </w:rPr>
        <w:t>车辆根据工作人员指示空车过磅称重</w:t>
      </w:r>
      <w:r>
        <w:rPr>
          <w:rFonts w:hint="eastAsia" w:ascii="仿宋_GB2312" w:eastAsia="仿宋_GB2312"/>
          <w:sz w:val="28"/>
          <w:szCs w:val="28"/>
          <w:lang w:eastAsia="zh-CN"/>
        </w:rPr>
        <w:t>——</w:t>
      </w:r>
      <w:r>
        <w:rPr>
          <w:rFonts w:hint="eastAsia" w:ascii="仿宋_GB2312" w:eastAsia="仿宋_GB2312"/>
          <w:sz w:val="28"/>
          <w:szCs w:val="28"/>
          <w:lang w:val="en-US" w:eastAsia="zh-CN"/>
        </w:rPr>
        <w:t>承运人凭身份证、行驶证、提货委托书经现场审核无误后，换取《（内部）出库通知单》——</w:t>
      </w:r>
      <w:r>
        <w:rPr>
          <w:rFonts w:hint="eastAsia" w:ascii="仿宋_GB2312" w:eastAsia="仿宋_GB2312"/>
          <w:sz w:val="28"/>
          <w:szCs w:val="28"/>
        </w:rPr>
        <w:t>凭提货单到指定仓库</w:t>
      </w:r>
      <w:r>
        <w:rPr>
          <w:rFonts w:hint="eastAsia" w:ascii="仿宋_GB2312" w:eastAsia="仿宋_GB2312"/>
          <w:sz w:val="28"/>
          <w:szCs w:val="28"/>
          <w:lang w:eastAsia="zh-CN"/>
        </w:rPr>
        <w:t>——</w:t>
      </w:r>
      <w:r>
        <w:rPr>
          <w:rFonts w:hint="eastAsia" w:ascii="仿宋_GB2312" w:eastAsia="仿宋_GB2312"/>
          <w:sz w:val="28"/>
          <w:szCs w:val="28"/>
        </w:rPr>
        <w:t>保管员核验装车单据等信息</w:t>
      </w:r>
      <w:r>
        <w:rPr>
          <w:rFonts w:hint="eastAsia" w:ascii="仿宋_GB2312" w:eastAsia="仿宋_GB2312"/>
          <w:sz w:val="28"/>
          <w:szCs w:val="28"/>
          <w:lang w:eastAsia="zh-CN"/>
        </w:rPr>
        <w:t>——</w:t>
      </w:r>
      <w:r>
        <w:rPr>
          <w:rFonts w:hint="eastAsia" w:ascii="仿宋_GB2312" w:eastAsia="仿宋_GB2312"/>
          <w:sz w:val="28"/>
          <w:szCs w:val="28"/>
        </w:rPr>
        <w:t>挖掘机铲车根据安全要求调整到位后由装卸人员指挥车辆停靠</w:t>
      </w:r>
      <w:r>
        <w:rPr>
          <w:rFonts w:hint="eastAsia" w:ascii="仿宋_GB2312" w:eastAsia="仿宋_GB2312"/>
          <w:sz w:val="28"/>
          <w:szCs w:val="28"/>
          <w:lang w:eastAsia="zh-CN"/>
        </w:rPr>
        <w:t>——</w:t>
      </w:r>
      <w:r>
        <w:rPr>
          <w:rFonts w:hint="eastAsia" w:ascii="仿宋_GB2312" w:eastAsia="仿宋_GB2312"/>
          <w:sz w:val="28"/>
          <w:szCs w:val="28"/>
        </w:rPr>
        <w:t>设置警戒线、警告牌禁止非工作人员进入作业区域</w:t>
      </w:r>
      <w:r>
        <w:rPr>
          <w:rFonts w:hint="eastAsia" w:ascii="仿宋_GB2312" w:eastAsia="仿宋_GB2312"/>
          <w:sz w:val="28"/>
          <w:szCs w:val="28"/>
          <w:lang w:eastAsia="zh-CN"/>
        </w:rPr>
        <w:t>——</w:t>
      </w:r>
      <w:r>
        <w:rPr>
          <w:rFonts w:hint="eastAsia" w:ascii="仿宋_GB2312" w:eastAsia="仿宋_GB2312"/>
          <w:sz w:val="28"/>
          <w:szCs w:val="28"/>
        </w:rPr>
        <w:t>挖掘机进行拆垛作业铲车装车</w:t>
      </w:r>
      <w:r>
        <w:rPr>
          <w:rFonts w:hint="eastAsia" w:ascii="仿宋_GB2312" w:eastAsia="仿宋_GB2312"/>
          <w:sz w:val="28"/>
          <w:szCs w:val="28"/>
          <w:lang w:eastAsia="zh-CN"/>
        </w:rPr>
        <w:t>——</w:t>
      </w:r>
      <w:r>
        <w:rPr>
          <w:rFonts w:hint="eastAsia" w:ascii="仿宋_GB2312" w:eastAsia="仿宋_GB2312"/>
          <w:sz w:val="28"/>
          <w:szCs w:val="28"/>
        </w:rPr>
        <w:t>装载完后过磅称重</w:t>
      </w:r>
      <w:r>
        <w:rPr>
          <w:rFonts w:hint="eastAsia" w:ascii="仿宋_GB2312" w:eastAsia="仿宋_GB2312"/>
          <w:sz w:val="28"/>
          <w:szCs w:val="28"/>
          <w:lang w:eastAsia="zh-CN"/>
        </w:rPr>
        <w:t>——</w:t>
      </w:r>
      <w:r>
        <w:rPr>
          <w:rFonts w:hint="eastAsia" w:ascii="仿宋_GB2312" w:eastAsia="仿宋_GB2312"/>
          <w:sz w:val="28"/>
          <w:szCs w:val="28"/>
        </w:rPr>
        <w:t>根据过磅单的净重填制出库单并</w:t>
      </w:r>
      <w:r>
        <w:rPr>
          <w:rFonts w:hint="eastAsia" w:ascii="仿宋_GB2312" w:eastAsia="仿宋_GB2312"/>
          <w:sz w:val="28"/>
          <w:szCs w:val="28"/>
          <w:lang w:val="en-US" w:eastAsia="zh-CN"/>
        </w:rPr>
        <w:t>经三方</w:t>
      </w:r>
      <w:r>
        <w:rPr>
          <w:rFonts w:hint="eastAsia" w:ascii="仿宋_GB2312" w:eastAsia="仿宋_GB2312"/>
          <w:sz w:val="28"/>
          <w:szCs w:val="28"/>
        </w:rPr>
        <w:t>(保管员、提货人</w:t>
      </w:r>
      <w:r>
        <w:rPr>
          <w:rFonts w:hint="eastAsia" w:ascii="仿宋_GB2312" w:eastAsia="仿宋_GB2312"/>
          <w:sz w:val="28"/>
          <w:szCs w:val="28"/>
          <w:lang w:eastAsia="zh-CN"/>
        </w:rPr>
        <w:t>、</w:t>
      </w:r>
      <w:r>
        <w:rPr>
          <w:rFonts w:hint="eastAsia" w:ascii="仿宋_GB2312" w:eastAsia="仿宋_GB2312"/>
          <w:sz w:val="28"/>
          <w:szCs w:val="28"/>
          <w:lang w:val="en-US" w:eastAsia="zh-CN"/>
        </w:rPr>
        <w:t>核实人</w:t>
      </w:r>
      <w:r>
        <w:rPr>
          <w:rFonts w:hint="eastAsia" w:ascii="仿宋_GB2312" w:eastAsia="仿宋_GB2312"/>
          <w:sz w:val="28"/>
          <w:szCs w:val="28"/>
        </w:rPr>
        <w:t>)签字确认</w:t>
      </w:r>
      <w:r>
        <w:rPr>
          <w:rFonts w:hint="eastAsia" w:ascii="仿宋_GB2312" w:eastAsia="仿宋_GB2312"/>
          <w:sz w:val="28"/>
          <w:szCs w:val="28"/>
          <w:lang w:eastAsia="zh-CN"/>
        </w:rPr>
        <w:t>——</w:t>
      </w:r>
      <w:r>
        <w:rPr>
          <w:rFonts w:hint="eastAsia" w:ascii="仿宋_GB2312" w:eastAsia="仿宋_GB2312"/>
          <w:sz w:val="28"/>
          <w:szCs w:val="28"/>
          <w:lang w:val="en-US" w:eastAsia="zh-CN"/>
        </w:rPr>
        <w:t>放行</w:t>
      </w:r>
      <w:r>
        <w:rPr>
          <w:rFonts w:hint="eastAsia" w:ascii="仿宋_GB2312" w:eastAsia="仿宋_GB2312"/>
          <w:sz w:val="28"/>
          <w:szCs w:val="28"/>
        </w:rPr>
        <w:t>离库。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三</w:t>
      </w:r>
      <w:r>
        <w:rPr>
          <w:rFonts w:hint="eastAsia" w:ascii="仿宋_GB2312" w:eastAsia="仿宋_GB2312"/>
          <w:sz w:val="28"/>
          <w:szCs w:val="28"/>
          <w:lang w:eastAsia="zh-CN"/>
        </w:rPr>
        <w:t>）</w:t>
      </w:r>
      <w:r>
        <w:rPr>
          <w:rFonts w:hint="eastAsia" w:ascii="仿宋_GB2312" w:eastAsia="仿宋_GB2312"/>
          <w:sz w:val="28"/>
          <w:szCs w:val="28"/>
        </w:rPr>
        <w:t>拆垛装车作业流程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每日开工前，门卫对入库作业人员进行入库登记；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作业主管部门或安全管理部门对挖掘机与铲车司机及其他作业人员进行安全培训及技术交底；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作业相关人员按照库区划分的人员通行道路到达出库作业现场；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按照要求设置隔离带，现场负责人对作业现场各项防护措施检查完毕后方可作业；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所有人员退出库区至警戒线外，挖掘机进库进行拆垛作业；挖掘机将库内储备糖集中堆放后，铲车司机将糖铲到铲斗内，行驶至货车附近将糖装至货车内。待糖垛拆至仅剩2-3层后，挖掘机、铲车全部退至安全位置，停车熄火，装卸人员在确保安全的前提下，上前将托盘拾出，码放整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当日作业结束后，挖掘机、铲车停放到指定位置熄火，作业人员清理现场卫生，作业现场负责人检查作业现场确认完毕后，关好库门，完工签字离库。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以上告知，请你单位认真严格贯彻执行。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黑体" w:hAnsi="黑体" w:eastAsia="黑体"/>
          <w:sz w:val="28"/>
          <w:szCs w:val="28"/>
        </w:rPr>
        <w:t>签收内容：</w:t>
      </w:r>
      <w:r>
        <w:rPr>
          <w:rFonts w:hint="eastAsia" w:ascii="仿宋_GB2312" w:hAnsi="宋体" w:eastAsia="仿宋_GB2312"/>
          <w:color w:val="000000" w:themeColor="text1"/>
          <w:sz w:val="28"/>
          <w:szCs w:val="32"/>
          <w14:textFill>
            <w14:solidFill>
              <w14:schemeClr w14:val="tx1"/>
            </w14:solidFill>
          </w14:textFill>
        </w:rPr>
        <w:t>收到</w:t>
      </w:r>
      <w:r>
        <w:rPr>
          <w:rFonts w:hint="eastAsia" w:ascii="仿宋_GB2312" w:hAnsi="宋体" w:eastAsia="仿宋_GB2312"/>
          <w:color w:val="000000" w:themeColor="text1"/>
          <w:sz w:val="28"/>
          <w:szCs w:val="32"/>
          <w:u w:val="single"/>
          <w14:textFill>
            <w14:solidFill>
              <w14:schemeClr w14:val="tx1"/>
            </w14:solidFill>
          </w14:textFill>
        </w:rPr>
        <w:t xml:space="preserve">  </w:t>
      </w:r>
      <w:r>
        <w:rPr>
          <w:rFonts w:hint="eastAsia" w:ascii="仿宋_GB2312" w:hAnsi="宋体" w:eastAsia="仿宋_GB2312"/>
          <w:color w:val="000000" w:themeColor="text1"/>
          <w:sz w:val="28"/>
          <w:szCs w:val="32"/>
          <w:u w:val="single"/>
          <w:lang w:val="en-US" w:eastAsia="zh-CN"/>
          <w14:textFill>
            <w14:solidFill>
              <w14:schemeClr w14:val="tx1"/>
            </w14:solidFill>
          </w14:textFill>
        </w:rPr>
        <w:t>辽宁中糖物流有限</w:t>
      </w:r>
      <w:r>
        <w:rPr>
          <w:rFonts w:hint="eastAsia" w:ascii="仿宋_GB2312" w:hAnsi="宋体" w:eastAsia="仿宋_GB2312"/>
          <w:color w:val="000000" w:themeColor="text1"/>
          <w:sz w:val="28"/>
          <w:szCs w:val="32"/>
          <w:u w:val="single"/>
          <w14:textFill>
            <w14:solidFill>
              <w14:schemeClr w14:val="tx1"/>
            </w14:solidFill>
          </w14:textFill>
        </w:rPr>
        <w:t>公司</w:t>
      </w:r>
      <w:r>
        <w:rPr>
          <w:rFonts w:hint="eastAsia" w:ascii="仿宋_GB2312" w:hAnsi="黑体" w:eastAsia="仿宋_GB2312"/>
          <w:b/>
          <w:color w:val="000000" w:themeColor="text1"/>
          <w:sz w:val="28"/>
          <w:szCs w:val="32"/>
          <w:u w:val="single"/>
          <w14:textFill>
            <w14:solidFill>
              <w14:schemeClr w14:val="tx1"/>
            </w14:solidFill>
          </w14:textFill>
        </w:rPr>
        <w:t xml:space="preserve"> </w:t>
      </w:r>
      <w:r>
        <w:rPr>
          <w:rFonts w:hint="eastAsia" w:ascii="仿宋_GB2312" w:hAnsi="宋体" w:eastAsia="仿宋_GB2312"/>
          <w:color w:val="000000" w:themeColor="text1"/>
          <w:sz w:val="28"/>
          <w:szCs w:val="32"/>
          <w14:textFill>
            <w14:solidFill>
              <w14:schemeClr w14:val="tx1"/>
            </w14:solidFill>
          </w14:textFill>
        </w:rPr>
        <w:t>《项目作业危险、有害因素告知书》及相关安全管理制度（本人签认抄录以上内容）</w:t>
      </w:r>
    </w:p>
    <w:p>
      <w:pPr>
        <w:keepNext w:val="0"/>
        <w:keepLines w:val="0"/>
        <w:pageBreakBefore w:val="0"/>
        <w:kinsoku/>
        <w:wordWrap/>
        <w:overflowPunct/>
        <w:topLinePunct w:val="0"/>
        <w:bidi w:val="0"/>
        <w:adjustRightInd/>
        <w:snapToGrid/>
        <w:spacing w:line="360" w:lineRule="auto"/>
        <w:textAlignment w:val="auto"/>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textAlignment w:val="auto"/>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left="4410" w:leftChars="2100" w:right="2240" w:firstLine="560" w:firstLineChars="200"/>
        <w:jc w:val="left"/>
        <w:textAlignment w:val="auto"/>
        <w:rPr>
          <w:rFonts w:hint="eastAsia" w:ascii="仿宋_GB2312" w:hAnsi="宋体" w:eastAsia="仿宋_GB2312"/>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left="4410" w:leftChars="2100" w:right="2240" w:firstLine="560" w:firstLineChars="200"/>
        <w:jc w:val="left"/>
        <w:textAlignment w:val="auto"/>
        <w:rPr>
          <w:rFonts w:ascii="仿宋_GB2312" w:hAnsi="宋体" w:eastAsia="仿宋_GB2312"/>
          <w:color w:val="000000" w:themeColor="text1"/>
          <w:sz w:val="28"/>
          <w:szCs w:val="32"/>
          <w14:textFill>
            <w14:solidFill>
              <w14:schemeClr w14:val="tx1"/>
            </w14:solidFill>
          </w14:textFill>
        </w:rPr>
      </w:pPr>
      <w:r>
        <w:rPr>
          <w:rFonts w:hint="eastAsia" w:ascii="仿宋_GB2312" w:hAnsi="宋体" w:eastAsia="仿宋_GB2312"/>
          <w:color w:val="000000" w:themeColor="text1"/>
          <w:sz w:val="28"/>
          <w:szCs w:val="32"/>
          <w14:textFill>
            <w14:solidFill>
              <w14:schemeClr w14:val="tx1"/>
            </w14:solidFill>
          </w14:textFill>
        </w:rPr>
        <w:t xml:space="preserve">签认：      </w:t>
      </w:r>
      <w:r>
        <w:rPr>
          <w:rFonts w:ascii="仿宋_GB2312" w:hAnsi="宋体" w:eastAsia="仿宋_GB2312"/>
          <w:color w:val="000000" w:themeColor="text1"/>
          <w:sz w:val="28"/>
          <w:szCs w:val="32"/>
          <w14:textFill>
            <w14:solidFill>
              <w14:schemeClr w14:val="tx1"/>
            </w14:solidFill>
          </w14:textFill>
        </w:rPr>
        <w:t xml:space="preserve">  </w:t>
      </w:r>
      <w:r>
        <w:rPr>
          <w:rFonts w:hint="eastAsia" w:ascii="仿宋_GB2312" w:hAnsi="宋体" w:eastAsia="仿宋_GB2312"/>
          <w:color w:val="000000" w:themeColor="text1"/>
          <w:sz w:val="28"/>
          <w:szCs w:val="32"/>
          <w14:textFill>
            <w14:solidFill>
              <w14:schemeClr w14:val="tx1"/>
            </w14:solidFill>
          </w14:textFill>
        </w:rPr>
        <w:t xml:space="preserve"> </w:t>
      </w:r>
      <w:r>
        <w:rPr>
          <w:rFonts w:ascii="仿宋_GB2312" w:hAnsi="宋体" w:eastAsia="仿宋_GB2312"/>
          <w:color w:val="000000" w:themeColor="text1"/>
          <w:sz w:val="28"/>
          <w:szCs w:val="32"/>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right="960" w:firstLine="560" w:firstLineChars="200"/>
        <w:jc w:val="center"/>
        <w:textAlignment w:val="auto"/>
        <w:rPr>
          <w:rFonts w:ascii="仿宋_GB2312" w:hAnsi="宋体" w:eastAsia="仿宋_GB2312"/>
          <w:color w:val="000000" w:themeColor="text1"/>
          <w:sz w:val="28"/>
          <w:szCs w:val="32"/>
          <w14:textFill>
            <w14:solidFill>
              <w14:schemeClr w14:val="tx1"/>
            </w14:solidFill>
          </w14:textFill>
        </w:rPr>
      </w:pPr>
      <w:r>
        <w:rPr>
          <w:rFonts w:hint="eastAsia" w:ascii="仿宋_GB2312" w:hAnsi="宋体" w:eastAsia="仿宋_GB2312"/>
          <w:color w:val="000000" w:themeColor="text1"/>
          <w:sz w:val="28"/>
          <w:szCs w:val="32"/>
          <w:lang w:val="en-US" w:eastAsia="zh-CN"/>
          <w14:textFill>
            <w14:solidFill>
              <w14:schemeClr w14:val="tx1"/>
            </w14:solidFill>
          </w14:textFill>
        </w:rPr>
        <w:t xml:space="preserve">                          </w:t>
      </w:r>
      <w:r>
        <w:rPr>
          <w:rFonts w:hint="eastAsia" w:ascii="仿宋_GB2312" w:hAnsi="宋体" w:eastAsia="仿宋_GB2312"/>
          <w:color w:val="000000" w:themeColor="text1"/>
          <w:sz w:val="28"/>
          <w:szCs w:val="32"/>
          <w14:textFill>
            <w14:solidFill>
              <w14:schemeClr w14:val="tx1"/>
            </w14:solidFill>
          </w14:textFill>
        </w:rPr>
        <w:t>日期：   年    月  日</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附件4</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生产现场管理人员授权委托书</w:t>
      </w:r>
    </w:p>
    <w:p>
      <w:pPr>
        <w:keepNext w:val="0"/>
        <w:keepLines w:val="0"/>
        <w:pageBreakBefore w:val="0"/>
        <w:kinsoku/>
        <w:wordWrap/>
        <w:overflowPunct/>
        <w:topLinePunct w:val="0"/>
        <w:bidi w:val="0"/>
        <w:adjustRightInd/>
        <w:snapToGrid/>
        <w:spacing w:line="360" w:lineRule="auto"/>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辽宁中糖物流有限</w:t>
      </w:r>
      <w:r>
        <w:rPr>
          <w:rFonts w:hint="eastAsia" w:ascii="仿宋_GB2312" w:hAnsi="仿宋_GB2312" w:eastAsia="仿宋_GB2312" w:cs="仿宋_GB2312"/>
          <w:color w:val="000000" w:themeColor="text1"/>
          <w:sz w:val="28"/>
          <w:szCs w:val="28"/>
          <w14:textFill>
            <w14:solidFill>
              <w14:schemeClr w14:val="tx1"/>
            </w14:solidFill>
          </w14:textFill>
        </w:rPr>
        <w:t>公司：</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eastAsia="仿宋_GB2312"/>
          <w:sz w:val="28"/>
          <w:szCs w:val="28"/>
          <w:u w:val="single"/>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根据双方签订的《中央</w:t>
      </w:r>
      <w:r>
        <w:rPr>
          <w:rFonts w:ascii="仿宋_GB2312" w:hAnsi="仿宋_GB2312" w:eastAsia="仿宋_GB2312" w:cs="仿宋_GB2312"/>
          <w:color w:val="000000" w:themeColor="text1"/>
          <w:sz w:val="28"/>
          <w:szCs w:val="28"/>
          <w14:textFill>
            <w14:solidFill>
              <w14:schemeClr w14:val="tx1"/>
            </w14:solidFill>
          </w14:textFill>
        </w:rPr>
        <w:t>储备</w:t>
      </w:r>
      <w:r>
        <w:rPr>
          <w:rFonts w:hint="eastAsia" w:ascii="仿宋_GB2312" w:hAnsi="仿宋_GB2312" w:eastAsia="仿宋_GB2312" w:cs="仿宋_GB2312"/>
          <w:color w:val="000000" w:themeColor="text1"/>
          <w:sz w:val="28"/>
          <w:szCs w:val="28"/>
          <w14:textFill>
            <w14:solidFill>
              <w14:schemeClr w14:val="tx1"/>
            </w14:solidFill>
          </w14:textFill>
        </w:rPr>
        <w:t>糖机械化出库装卸服务合同》相关规定，现委托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，性别：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r>
        <w:rPr>
          <w:rFonts w:hint="eastAsia" w:ascii="仿宋_GB2312" w:eastAsia="仿宋_GB2312"/>
          <w:sz w:val="28"/>
          <w:szCs w:val="28"/>
          <w:u w:val="single"/>
          <w:lang w:val="en-US" w:eastAsia="zh-CN"/>
        </w:rPr>
        <w:t xml:space="preserve"> </w:t>
      </w:r>
    </w:p>
    <w:p>
      <w:pPr>
        <w:keepNext w:val="0"/>
        <w:keepLines w:val="0"/>
        <w:pageBreakBefore w:val="0"/>
        <w:kinsoku/>
        <w:wordWrap/>
        <w:overflowPunct/>
        <w:topLinePunct w:val="0"/>
        <w:bidi w:val="0"/>
        <w:adjustRightInd/>
        <w:snapToGrid/>
        <w:spacing w:line="360" w:lineRule="auto"/>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u w:val="none"/>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作为本人/单位驻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辽宁中糖物流有限</w:t>
      </w:r>
      <w:r>
        <w:rPr>
          <w:rFonts w:hint="eastAsia" w:ascii="仿宋_GB2312" w:hAnsi="仿宋_GB2312" w:eastAsia="仿宋_GB2312" w:cs="仿宋_GB2312"/>
          <w:color w:val="000000" w:themeColor="text1"/>
          <w:sz w:val="28"/>
          <w:szCs w:val="28"/>
          <w14:textFill>
            <w14:solidFill>
              <w14:schemeClr w14:val="tx1"/>
            </w14:solidFill>
          </w14:textFill>
        </w:rPr>
        <w:t>公司的生产现场管理人员，授权其代表本人/单位常驻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辽宁中糖物流有限</w:t>
      </w:r>
      <w:r>
        <w:rPr>
          <w:rFonts w:hint="eastAsia" w:ascii="仿宋_GB2312" w:hAnsi="仿宋_GB2312" w:eastAsia="仿宋_GB2312" w:cs="仿宋_GB2312"/>
          <w:color w:val="000000" w:themeColor="text1"/>
          <w:sz w:val="28"/>
          <w:szCs w:val="28"/>
          <w14:textFill>
            <w14:solidFill>
              <w14:schemeClr w14:val="tx1"/>
            </w14:solidFill>
          </w14:textFill>
        </w:rPr>
        <w:t xml:space="preserve">公司，负责我司生产作业人员进行现场监督和现场安全生产管理。在整个生产业务处理过程中，该代理人的一切行为，均代表本人/单位，与本人/单位的行为具有同等法律效力。本人/单位将承担该代理人行为的全部法律后果和法律责任。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委托期限：自</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202</w:t>
      </w:r>
      <w:r>
        <w:rPr>
          <w:rFonts w:ascii="仿宋_GB2312" w:hAnsi="仿宋_GB2312" w:eastAsia="仿宋_GB2312" w:cs="仿宋_GB2312"/>
          <w:color w:val="000000" w:themeColor="text1"/>
          <w:sz w:val="28"/>
          <w:szCs w:val="28"/>
          <w:u w:val="single"/>
          <w14:textFill>
            <w14:solidFill>
              <w14:schemeClr w14:val="tx1"/>
            </w14:solidFill>
          </w14:textFill>
        </w:rPr>
        <w:t>3</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w:t>
      </w:r>
      <w:r>
        <w:rPr>
          <w:rFonts w:ascii="仿宋_GB2312" w:eastAsia="仿宋_GB2312"/>
          <w:color w:val="000000" w:themeColor="text1"/>
          <w:sz w:val="28"/>
          <w:szCs w:val="28"/>
          <w14:textFill>
            <w14:solidFill>
              <w14:schemeClr w14:val="tx1"/>
            </w14:solidFill>
          </w14:textFill>
        </w:rPr>
        <w:t>至</w:t>
      </w:r>
      <w:r>
        <w:rPr>
          <w:rFonts w:hint="eastAsia" w:ascii="仿宋_GB2312" w:hAnsi="仿宋_GB2312" w:eastAsia="仿宋_GB2312" w:cs="仿宋_GB2312"/>
          <w:color w:val="000000" w:themeColor="text1"/>
          <w:sz w:val="28"/>
          <w:szCs w:val="28"/>
          <w14:textFill>
            <w14:solidFill>
              <w14:schemeClr w14:val="tx1"/>
            </w14:solidFill>
          </w14:textFill>
        </w:rPr>
        <w:t>本次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中央储备糖机械化</w:t>
      </w:r>
      <w:r>
        <w:rPr>
          <w:rFonts w:hint="eastAsia" w:ascii="仿宋_GB2312" w:hAnsi="仿宋_GB2312" w:eastAsia="仿宋_GB2312" w:cs="仿宋_GB2312"/>
          <w:color w:val="000000" w:themeColor="text1"/>
          <w:sz w:val="28"/>
          <w:szCs w:val="28"/>
          <w14:textFill>
            <w14:solidFill>
              <w14:schemeClr w14:val="tx1"/>
            </w14:solidFill>
          </w14:textFill>
        </w:rPr>
        <w:t>出库装卸</w:t>
      </w:r>
      <w:r>
        <w:rPr>
          <w:rFonts w:hint="eastAsia" w:ascii="仿宋_GB2312" w:eastAsia="仿宋_GB2312"/>
          <w:color w:val="000000" w:themeColor="text1"/>
          <w:sz w:val="28"/>
          <w:szCs w:val="28"/>
          <w14:textFill>
            <w14:solidFill>
              <w14:schemeClr w14:val="tx1"/>
            </w14:solidFill>
          </w14:textFill>
        </w:rPr>
        <w:t>完毕并结清所有费用为止</w:t>
      </w:r>
      <w:r>
        <w:rPr>
          <w:rFonts w:ascii="仿宋_GB2312" w:eastAsia="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特此委托。</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代理人姓名：</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职务：</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身份证号码：</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手机号码：</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委托人签字：</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（单位盖章）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日期：2</w:t>
      </w:r>
      <w:r>
        <w:rPr>
          <w:rFonts w:ascii="仿宋_GB2312" w:hAnsi="仿宋_GB2312" w:eastAsia="仿宋_GB2312" w:cs="仿宋_GB2312"/>
          <w:color w:val="000000" w:themeColor="text1"/>
          <w:sz w:val="28"/>
          <w:szCs w:val="28"/>
          <w14:textFill>
            <w14:solidFill>
              <w14:schemeClr w14:val="tx1"/>
            </w14:solidFill>
          </w14:textFill>
        </w:rPr>
        <w:t>023</w:t>
      </w:r>
      <w:r>
        <w:rPr>
          <w:rFonts w:hint="eastAsia" w:ascii="仿宋_GB2312" w:hAnsi="仿宋_GB2312" w:eastAsia="仿宋_GB2312" w:cs="仿宋_GB2312"/>
          <w:color w:val="000000" w:themeColor="text1"/>
          <w:sz w:val="28"/>
          <w:szCs w:val="28"/>
          <w14:textFill>
            <w14:solidFill>
              <w14:schemeClr w14:val="tx1"/>
            </w14:solidFill>
          </w14:textFill>
        </w:rPr>
        <w:t xml:space="preserve"> 年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日 </w:t>
      </w: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附件5</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安全技术交底</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一、外委协作单位：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二、作业内容：</w:t>
      </w:r>
      <w:r>
        <w:rPr>
          <w:rFonts w:hint="eastAsia" w:ascii="仿宋_GB2312" w:hAnsi="仿宋_GB2312" w:eastAsia="仿宋_GB2312" w:cs="仿宋_GB2312"/>
          <w:color w:val="000000" w:themeColor="text1"/>
          <w:sz w:val="28"/>
          <w:szCs w:val="28"/>
          <w:u w:val="single"/>
          <w14:textFill>
            <w14:solidFill>
              <w14:schemeClr w14:val="tx1"/>
            </w14:solidFill>
          </w14:textFill>
        </w:rPr>
        <w:t>中央</w:t>
      </w:r>
      <w:r>
        <w:rPr>
          <w:rFonts w:ascii="仿宋_GB2312" w:hAnsi="仿宋_GB2312" w:eastAsia="仿宋_GB2312" w:cs="仿宋_GB2312"/>
          <w:color w:val="000000" w:themeColor="text1"/>
          <w:sz w:val="28"/>
          <w:szCs w:val="28"/>
          <w:u w:val="single"/>
          <w14:textFill>
            <w14:solidFill>
              <w14:schemeClr w14:val="tx1"/>
            </w14:solidFill>
          </w14:textFill>
        </w:rPr>
        <w:t>储备</w:t>
      </w:r>
      <w:r>
        <w:rPr>
          <w:rFonts w:hint="eastAsia" w:ascii="仿宋_GB2312" w:hAnsi="仿宋_GB2312" w:eastAsia="仿宋_GB2312" w:cs="仿宋_GB2312"/>
          <w:color w:val="000000" w:themeColor="text1"/>
          <w:sz w:val="28"/>
          <w:szCs w:val="28"/>
          <w:u w:val="single"/>
          <w14:textFill>
            <w14:solidFill>
              <w14:schemeClr w14:val="tx1"/>
            </w14:solidFill>
          </w14:textFill>
        </w:rPr>
        <w:t>糖机械化出库装卸服务</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三、有效期限：2023年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日起至2023年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日止。  </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开展</w:t>
      </w:r>
      <w:r>
        <w:rPr>
          <w:rFonts w:hint="eastAsia" w:ascii="仿宋_GB2312" w:hAnsi="仿宋_GB2312" w:eastAsia="仿宋_GB2312" w:cs="仿宋_GB2312"/>
          <w:color w:val="000000" w:themeColor="text1"/>
          <w:sz w:val="28"/>
          <w:szCs w:val="28"/>
          <w14:textFill>
            <w14:solidFill>
              <w14:schemeClr w14:val="tx1"/>
            </w14:solidFill>
          </w14:textFill>
        </w:rPr>
        <w:t>中央</w:t>
      </w:r>
      <w:r>
        <w:rPr>
          <w:rFonts w:ascii="仿宋_GB2312" w:hAnsi="仿宋_GB2312" w:eastAsia="仿宋_GB2312" w:cs="仿宋_GB2312"/>
          <w:color w:val="000000" w:themeColor="text1"/>
          <w:sz w:val="28"/>
          <w:szCs w:val="28"/>
          <w14:textFill>
            <w14:solidFill>
              <w14:schemeClr w14:val="tx1"/>
            </w14:solidFill>
          </w14:textFill>
        </w:rPr>
        <w:t>储</w:t>
      </w:r>
      <w:r>
        <w:rPr>
          <w:rFonts w:hint="eastAsia" w:ascii="仿宋_GB2312" w:hAnsi="仿宋_GB2312" w:eastAsia="仿宋_GB2312" w:cs="仿宋_GB2312"/>
          <w:color w:val="000000" w:themeColor="text1"/>
          <w:sz w:val="28"/>
          <w:szCs w:val="28"/>
          <w14:textFill>
            <w14:solidFill>
              <w14:schemeClr w14:val="tx1"/>
            </w14:solidFill>
          </w14:textFill>
        </w:rPr>
        <w:t>备糖机械化出库装卸服务（包括但不限于归整垫仓板、协助清扫散糖等）过程中，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为有效保护</w:t>
      </w:r>
      <w:r>
        <w:rPr>
          <w:rFonts w:hint="eastAsia" w:ascii="仿宋_GB2312" w:hAnsi="仿宋_GB2312" w:eastAsia="仿宋_GB2312" w:cs="仿宋_GB2312"/>
          <w:color w:val="000000" w:themeColor="text1"/>
          <w:sz w:val="28"/>
          <w:szCs w:val="28"/>
          <w14:textFill>
            <w14:solidFill>
              <w14:schemeClr w14:val="tx1"/>
            </w14:solidFill>
          </w14:textFill>
        </w:rPr>
        <w:t>甲</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乙双方的人身</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及</w:t>
      </w:r>
      <w:r>
        <w:rPr>
          <w:rFonts w:hint="eastAsia" w:ascii="仿宋_GB2312" w:hAnsi="仿宋_GB2312" w:eastAsia="仿宋_GB2312" w:cs="仿宋_GB2312"/>
          <w:color w:val="000000" w:themeColor="text1"/>
          <w:sz w:val="28"/>
          <w:szCs w:val="28"/>
          <w14:textFill>
            <w14:solidFill>
              <w14:schemeClr w14:val="tx1"/>
            </w14:solidFill>
          </w14:textFill>
        </w:rPr>
        <w:t>财产安全，防止发生各类</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生产安全</w:t>
      </w:r>
      <w:r>
        <w:rPr>
          <w:rFonts w:hint="eastAsia" w:ascii="仿宋_GB2312" w:hAnsi="仿宋_GB2312" w:eastAsia="仿宋_GB2312" w:cs="仿宋_GB2312"/>
          <w:color w:val="000000" w:themeColor="text1"/>
          <w:sz w:val="28"/>
          <w:szCs w:val="28"/>
          <w14:textFill>
            <w14:solidFill>
              <w14:schemeClr w14:val="tx1"/>
            </w14:solidFill>
          </w14:textFill>
        </w:rPr>
        <w:t>事故，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进行</w:t>
      </w:r>
      <w:r>
        <w:rPr>
          <w:rFonts w:hint="eastAsia" w:ascii="仿宋_GB2312" w:hAnsi="仿宋_GB2312" w:eastAsia="仿宋_GB2312" w:cs="仿宋_GB2312"/>
          <w:color w:val="000000" w:themeColor="text1"/>
          <w:sz w:val="28"/>
          <w:szCs w:val="28"/>
          <w14:textFill>
            <w14:solidFill>
              <w14:schemeClr w14:val="tx1"/>
            </w14:solidFill>
          </w14:textFill>
        </w:rPr>
        <w:t>安全技术交底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如下：</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入库作业人员进行入库登记，作业相关人员按照库区划分的人员通行道路到达出库作业现场。</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作业人员必须服从现场管理人员的调度和安排，若不服从，现场管理人员有权停止作业。</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作业人员严禁携带火种、危险品进出库区，严禁在生产区域内吸烟。</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作业人员严禁酒后作业，如因酒后作业产生事故，责任自负。</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作业人员必须遵守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库区</w:t>
      </w:r>
      <w:r>
        <w:rPr>
          <w:rFonts w:hint="eastAsia" w:ascii="仿宋_GB2312" w:hAnsi="仿宋_GB2312" w:eastAsia="仿宋_GB2312" w:cs="仿宋_GB2312"/>
          <w:color w:val="000000" w:themeColor="text1"/>
          <w:sz w:val="28"/>
          <w:szCs w:val="28"/>
          <w14:textFill>
            <w14:solidFill>
              <w14:schemeClr w14:val="tx1"/>
            </w14:solidFill>
          </w14:textFill>
        </w:rPr>
        <w:t>的安全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卫生规定，爱护公物，严禁随地吐痰、乱扔垃圾。</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作业人员未经允许不得擅自动用挖掘机、铲车、机械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计</w:t>
      </w:r>
      <w:r>
        <w:rPr>
          <w:rFonts w:hint="eastAsia" w:ascii="仿宋_GB2312" w:hAnsi="仿宋_GB2312" w:eastAsia="仿宋_GB2312" w:cs="仿宋_GB2312"/>
          <w:color w:val="000000" w:themeColor="text1"/>
          <w:sz w:val="28"/>
          <w:szCs w:val="28"/>
          <w14:textFill>
            <w14:solidFill>
              <w14:schemeClr w14:val="tx1"/>
            </w14:solidFill>
          </w14:textFill>
        </w:rPr>
        <w:t>电力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设备</w:t>
      </w:r>
      <w:r>
        <w:rPr>
          <w:rFonts w:hint="eastAsia" w:ascii="仿宋_GB2312" w:hAnsi="仿宋_GB2312" w:eastAsia="仿宋_GB2312" w:cs="仿宋_GB2312"/>
          <w:color w:val="000000" w:themeColor="text1"/>
          <w:sz w:val="28"/>
          <w:szCs w:val="28"/>
          <w14:textFill>
            <w14:solidFill>
              <w14:schemeClr w14:val="tx1"/>
            </w14:solidFill>
          </w14:textFill>
        </w:rPr>
        <w:t>设施。</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作业人员必须正确佩戴安全帽、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穿</w:t>
      </w:r>
      <w:r>
        <w:rPr>
          <w:rFonts w:hint="eastAsia" w:ascii="仿宋_GB2312" w:hAnsi="仿宋_GB2312" w:eastAsia="仿宋_GB2312" w:cs="仿宋_GB2312"/>
          <w:color w:val="000000" w:themeColor="text1"/>
          <w:sz w:val="28"/>
          <w:szCs w:val="28"/>
          <w14:textFill>
            <w14:solidFill>
              <w14:schemeClr w14:val="tx1"/>
            </w14:solidFill>
          </w14:textFill>
        </w:rPr>
        <w:t>反光衣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防滑鞋。</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挖掘机、铲车入库作业前，检查防火帽安装是否到位、是否使用气流流通措施，以免作业现场粉尘浓度过高。</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所有人员退出库区至警戒线外，挖掘机方可进库进行拆垛作业。糖垛、挖掘机和铲车铲斗下严禁站人、逗留、行进。</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挖掘机拆垛时，必须从糖垛顶部开始拆垛，禁止从糖垛中部掏空心垛；靠墙的糖垛，从近墙端向远墙端扒垛，防止糖垛砸向库房墙、柱等；挖掘机在扒垛时，在糖垛侧方扒垛，禁止在糖垛正面扒垛，防止糖垛坍塌掩埋车辆。</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挖掘机将库内储备糖集中堆放后，铲车司机将糖铲到铲斗内，行驶至货车附近将糖装至货车内。</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待糖垛拆至仅剩2-3层后，挖掘机、铲车全部退至安全位置，停车熄火，装卸人员在确保安全的前提下，上前将托盘拾出，码放整齐。</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作业人员贵重物品自行妥善保管。</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严禁在库区内打架斗殴，未经培训和未购买人身意外伤害险的人员不得参加装卸作业。</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十五</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禁止货车司机上车作业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十六</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禁止</w:t>
      </w:r>
      <w:r>
        <w:rPr>
          <w:rFonts w:hint="eastAsia" w:ascii="仿宋_GB2312" w:hAnsi="仿宋_GB2312" w:eastAsia="仿宋_GB2312" w:cs="仿宋_GB2312"/>
          <w:color w:val="000000" w:themeColor="text1"/>
          <w:sz w:val="28"/>
          <w:szCs w:val="28"/>
          <w14:textFill>
            <w14:solidFill>
              <w14:schemeClr w14:val="tx1"/>
            </w14:solidFill>
          </w14:textFill>
        </w:rPr>
        <w:t>挖掘机、铲车载人高处作业。</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作业期间，禁止以不正当名义收取司机或货主的费用。</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十八</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严禁将库区内物品私自带出仓库。</w:t>
      </w: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十九</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严禁一边开挖掘机或铲车，一边接打电话。</w:t>
      </w: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当日作业结束后，挖掘机、铲车停放到指定位置熄火，作业人员清理现场卫生，作业现场负责人检查作业现场确认完毕后，关好库门，完工签字离库。</w:t>
      </w:r>
    </w:p>
    <w:p>
      <w:pPr>
        <w:keepNext w:val="0"/>
        <w:keepLines w:val="0"/>
        <w:pageBreakBefore w:val="0"/>
        <w:kinsoku/>
        <w:wordWrap/>
        <w:overflowPunct/>
        <w:topLinePunct w:val="0"/>
        <w:autoSpaceDE w:val="0"/>
        <w:autoSpaceDN w:val="0"/>
        <w:bidi w:val="0"/>
        <w:adjustRightInd/>
        <w:snapToGrid/>
        <w:spacing w:line="360" w:lineRule="auto"/>
        <w:ind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五、本项目专业负责人员进行安全技术交底，保证现场作业人员贯彻执行。作业组织单位针对施工作业人员进行培训及考试，考试试卷与本技术交底一并交由安全管理部门存档。</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本单位交底负责人：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外委协作单位负责人：</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日期：</w:t>
      </w:r>
      <w:r>
        <w:rPr>
          <w:rFonts w:ascii="仿宋_GB2312" w:hAnsi="仿宋_GB2312" w:eastAsia="仿宋_GB2312" w:cs="仿宋_GB2312"/>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  日          日期：</w:t>
      </w:r>
      <w:r>
        <w:rPr>
          <w:rFonts w:ascii="仿宋_GB2312" w:hAnsi="仿宋_GB2312" w:eastAsia="仿宋_GB2312" w:cs="仿宋_GB2312"/>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月  日        </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ind w:firstLine="560" w:firstLineChars="200"/>
        <w:textAlignment w:val="auto"/>
        <w:rPr>
          <w:rFonts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ascii="仿宋_GB2312" w:eastAsia="仿宋_GB2312"/>
          <w:sz w:val="28"/>
          <w:szCs w:val="28"/>
        </w:rPr>
      </w:pPr>
      <w:r>
        <w:rPr>
          <w:rFonts w:hint="eastAsia" w:ascii="黑体" w:hAnsi="黑体" w:eastAsia="黑体" w:cs="黑体"/>
          <w:color w:val="000000" w:themeColor="text1"/>
          <w:sz w:val="28"/>
          <w:szCs w:val="32"/>
          <w14:textFill>
            <w14:solidFill>
              <w14:schemeClr w14:val="tx1"/>
            </w14:solidFill>
          </w14:textFill>
        </w:rPr>
        <w:t>附件</w:t>
      </w:r>
      <w:r>
        <w:rPr>
          <w:rFonts w:ascii="黑体" w:hAnsi="黑体" w:eastAsia="黑体" w:cs="黑体"/>
          <w:color w:val="000000" w:themeColor="text1"/>
          <w:sz w:val="28"/>
          <w:szCs w:val="32"/>
          <w14:textFill>
            <w14:solidFill>
              <w14:schemeClr w14:val="tx1"/>
            </w14:solidFill>
          </w14:textFill>
        </w:rPr>
        <w:t>6</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保密协议</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Cs/>
          <w:sz w:val="28"/>
          <w:szCs w:val="28"/>
        </w:rPr>
      </w:pPr>
      <w:r>
        <w:rPr>
          <w:rFonts w:hint="eastAsia" w:ascii="仿宋_GB2312" w:eastAsia="仿宋_GB2312"/>
          <w:bCs/>
          <w:sz w:val="28"/>
          <w:szCs w:val="28"/>
        </w:rPr>
        <w:t xml:space="preserve"> </w:t>
      </w:r>
      <w:r>
        <w:rPr>
          <w:rFonts w:ascii="仿宋_GB2312" w:eastAsia="仿宋_GB2312"/>
          <w:bCs/>
          <w:sz w:val="28"/>
          <w:szCs w:val="28"/>
        </w:rPr>
        <w:t xml:space="preserve"> </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Cs/>
          <w:sz w:val="28"/>
          <w:szCs w:val="28"/>
        </w:rPr>
      </w:pPr>
      <w:r>
        <w:rPr>
          <w:rFonts w:hint="eastAsia" w:ascii="仿宋_GB2312" w:eastAsia="仿宋_GB2312"/>
          <w:bCs/>
          <w:sz w:val="28"/>
          <w:szCs w:val="28"/>
        </w:rPr>
        <w:t>本协议</w:t>
      </w:r>
      <w:r>
        <w:rPr>
          <w:rFonts w:hint="eastAsia" w:ascii="仿宋_GB2312" w:eastAsia="仿宋_GB2312"/>
          <w:sz w:val="28"/>
          <w:szCs w:val="28"/>
        </w:rPr>
        <w:t>由下列双方于</w:t>
      </w:r>
      <w:r>
        <w:rPr>
          <w:rFonts w:hint="eastAsia" w:ascii="仿宋_GB2312" w:eastAsia="仿宋_GB2312"/>
          <w:sz w:val="28"/>
          <w:szCs w:val="28"/>
          <w:u w:val="single"/>
        </w:rPr>
        <w:t xml:space="preserve">2023年 </w:t>
      </w:r>
      <w:r>
        <w:rPr>
          <w:rFonts w:ascii="仿宋_GB2312" w:eastAsia="仿宋_GB2312"/>
          <w:sz w:val="28"/>
          <w:szCs w:val="28"/>
          <w:u w:val="single"/>
        </w:rPr>
        <w:t xml:space="preserve"> </w:t>
      </w:r>
      <w:r>
        <w:rPr>
          <w:rFonts w:hint="eastAsia" w:ascii="仿宋_GB2312" w:eastAsia="仿宋_GB2312"/>
          <w:sz w:val="28"/>
          <w:szCs w:val="28"/>
          <w:u w:val="single"/>
        </w:rPr>
        <w:t xml:space="preserve">月 </w:t>
      </w:r>
      <w:r>
        <w:rPr>
          <w:rFonts w:ascii="仿宋_GB2312" w:eastAsia="仿宋_GB2312"/>
          <w:sz w:val="28"/>
          <w:szCs w:val="28"/>
          <w:u w:val="single"/>
        </w:rPr>
        <w:t xml:space="preserve"> </w:t>
      </w:r>
      <w:r>
        <w:rPr>
          <w:rFonts w:hint="eastAsia" w:ascii="仿宋_GB2312" w:eastAsia="仿宋_GB2312"/>
          <w:sz w:val="28"/>
          <w:szCs w:val="28"/>
          <w:u w:val="single"/>
        </w:rPr>
        <w:t>日</w:t>
      </w:r>
      <w:r>
        <w:rPr>
          <w:rFonts w:hint="eastAsia" w:ascii="仿宋_GB2312" w:eastAsia="仿宋_GB2312"/>
          <w:sz w:val="28"/>
          <w:szCs w:val="28"/>
        </w:rPr>
        <w:t>在</w:t>
      </w:r>
      <w:r>
        <w:rPr>
          <w:rFonts w:hint="eastAsia" w:ascii="仿宋_GB2312" w:eastAsia="仿宋_GB2312"/>
          <w:sz w:val="28"/>
          <w:szCs w:val="28"/>
          <w:lang w:val="en-US" w:eastAsia="zh-CN"/>
        </w:rPr>
        <w:t>辽宁中糖物流有限公司院</w:t>
      </w:r>
      <w:r>
        <w:rPr>
          <w:rFonts w:hint="eastAsia" w:ascii="仿宋_GB2312" w:eastAsia="仿宋_GB2312"/>
          <w:sz w:val="28"/>
          <w:szCs w:val="28"/>
        </w:rPr>
        <w:t>内签</w:t>
      </w:r>
      <w:r>
        <w:rPr>
          <w:rFonts w:hint="eastAsia" w:ascii="仿宋_GB2312" w:eastAsia="仿宋_GB2312"/>
          <w:bCs/>
          <w:sz w:val="28"/>
          <w:szCs w:val="28"/>
        </w:rPr>
        <w:t>订：《中央</w:t>
      </w:r>
      <w:r>
        <w:rPr>
          <w:rFonts w:ascii="仿宋_GB2312" w:eastAsia="仿宋_GB2312"/>
          <w:bCs/>
          <w:sz w:val="28"/>
          <w:szCs w:val="28"/>
        </w:rPr>
        <w:t>储备</w:t>
      </w:r>
      <w:r>
        <w:rPr>
          <w:rFonts w:hint="eastAsia" w:ascii="仿宋_GB2312" w:eastAsia="仿宋_GB2312"/>
          <w:bCs/>
          <w:sz w:val="28"/>
          <w:szCs w:val="28"/>
        </w:rPr>
        <w:t>糖机械化出库装卸服务合同》</w:t>
      </w:r>
    </w:p>
    <w:p>
      <w:pPr>
        <w:keepNext w:val="0"/>
        <w:keepLines w:val="0"/>
        <w:pageBreakBefore w:val="0"/>
        <w:tabs>
          <w:tab w:val="left" w:pos="3780"/>
        </w:tabs>
        <w:kinsoku/>
        <w:wordWrap/>
        <w:overflowPunct/>
        <w:topLinePunct w:val="0"/>
        <w:autoSpaceDE w:val="0"/>
        <w:autoSpaceDN w:val="0"/>
        <w:bidi w:val="0"/>
        <w:adjustRightInd/>
        <w:snapToGrid/>
        <w:spacing w:line="360" w:lineRule="auto"/>
        <w:textAlignment w:val="auto"/>
        <w:rPr>
          <w:rFonts w:ascii="仿宋_GB2312" w:eastAsia="仿宋_GB2312"/>
          <w:bCs/>
          <w:color w:val="000000" w:themeColor="text1"/>
          <w:sz w:val="28"/>
          <w:szCs w:val="28"/>
          <w:lang w:val="zh-CN"/>
          <w14:textFill>
            <w14:solidFill>
              <w14:schemeClr w14:val="tx1"/>
            </w14:solidFill>
          </w14:textFill>
        </w:rPr>
      </w:pPr>
      <w:r>
        <w:rPr>
          <w:rFonts w:hint="eastAsia" w:ascii="仿宋_GB2312" w:eastAsia="仿宋_GB2312"/>
          <w:b/>
          <w:bCs/>
          <w:color w:val="000000" w:themeColor="text1"/>
          <w:sz w:val="28"/>
          <w:szCs w:val="28"/>
          <w:lang w:val="zh-CN"/>
          <w14:textFill>
            <w14:solidFill>
              <w14:schemeClr w14:val="tx1"/>
            </w14:solidFill>
          </w14:textFill>
        </w:rPr>
        <w:t xml:space="preserve">甲方： </w:t>
      </w:r>
    </w:p>
    <w:p>
      <w:pPr>
        <w:keepNext w:val="0"/>
        <w:keepLines w:val="0"/>
        <w:pageBreakBefore w:val="0"/>
        <w:tabs>
          <w:tab w:val="left" w:pos="3780"/>
        </w:tabs>
        <w:kinsoku/>
        <w:wordWrap/>
        <w:overflowPunct/>
        <w:topLinePunct w:val="0"/>
        <w:autoSpaceDE w:val="0"/>
        <w:autoSpaceDN w:val="0"/>
        <w:bidi w:val="0"/>
        <w:adjustRightInd/>
        <w:snapToGrid/>
        <w:spacing w:line="360" w:lineRule="auto"/>
        <w:ind w:firstLine="562" w:firstLineChars="200"/>
        <w:textAlignment w:val="auto"/>
        <w:rPr>
          <w:rFonts w:hint="eastAsia" w:ascii="仿宋_GB2312" w:eastAsia="仿宋_GB2312"/>
          <w:b/>
          <w:bCs/>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u w:val="single"/>
          <w:lang w:val="en-US" w:eastAsia="zh-CN"/>
          <w14:textFill>
            <w14:solidFill>
              <w14:schemeClr w14:val="tx1"/>
            </w14:solidFill>
          </w14:textFill>
        </w:rPr>
        <w:t>辽宁中糖物流有限</w:t>
      </w:r>
      <w:r>
        <w:rPr>
          <w:rFonts w:hint="eastAsia" w:ascii="仿宋_GB2312" w:eastAsia="仿宋_GB2312"/>
          <w:b/>
          <w:bCs/>
          <w:color w:val="000000" w:themeColor="text1"/>
          <w:sz w:val="28"/>
          <w:szCs w:val="28"/>
          <w:u w:val="single"/>
          <w:lang w:val="zh-CN"/>
          <w14:textFill>
            <w14:solidFill>
              <w14:schemeClr w14:val="tx1"/>
            </w14:solidFill>
          </w14:textFill>
        </w:rPr>
        <w:t xml:space="preserve">公司 </w:t>
      </w:r>
      <w:r>
        <w:rPr>
          <w:rFonts w:hint="eastAsia" w:ascii="仿宋_GB2312" w:eastAsia="仿宋_GB2312"/>
          <w:b/>
          <w:bCs/>
          <w:color w:val="000000" w:themeColor="text1"/>
          <w:sz w:val="28"/>
          <w:szCs w:val="28"/>
          <w:lang w:val="zh-CN"/>
          <w14:textFill>
            <w14:solidFill>
              <w14:schemeClr w14:val="tx1"/>
            </w14:solidFill>
          </w14:textFill>
        </w:rPr>
        <w:t>是一家在中华人民共和国成立并存续的公司，其</w:t>
      </w:r>
      <w:r>
        <w:rPr>
          <w:rFonts w:hint="eastAsia" w:ascii="仿宋_GB2312" w:eastAsia="仿宋_GB2312"/>
          <w:b/>
          <w:bCs/>
          <w:color w:val="000000" w:themeColor="text1"/>
          <w:sz w:val="28"/>
          <w:szCs w:val="28"/>
          <w:lang w:val="en-US" w:eastAsia="zh-CN"/>
          <w14:textFill>
            <w14:solidFill>
              <w14:schemeClr w14:val="tx1"/>
            </w14:solidFill>
          </w14:textFill>
        </w:rPr>
        <w:t>法</w:t>
      </w:r>
    </w:p>
    <w:p>
      <w:pPr>
        <w:keepNext w:val="0"/>
        <w:keepLines w:val="0"/>
        <w:pageBreakBefore w:val="0"/>
        <w:tabs>
          <w:tab w:val="left" w:pos="3780"/>
        </w:tabs>
        <w:kinsoku/>
        <w:wordWrap/>
        <w:overflowPunct/>
        <w:topLinePunct w:val="0"/>
        <w:autoSpaceDE w:val="0"/>
        <w:autoSpaceDN w:val="0"/>
        <w:bidi w:val="0"/>
        <w:adjustRightInd/>
        <w:snapToGrid/>
        <w:spacing w:line="360" w:lineRule="auto"/>
        <w:textAlignment w:val="auto"/>
        <w:rPr>
          <w:rFonts w:ascii="仿宋_GB2312" w:eastAsia="仿宋_GB2312"/>
          <w:b/>
          <w:bCs/>
          <w:color w:val="000000" w:themeColor="text1"/>
          <w:sz w:val="28"/>
          <w:szCs w:val="28"/>
          <w:lang w:val="zh-CN"/>
          <w14:textFill>
            <w14:solidFill>
              <w14:schemeClr w14:val="tx1"/>
            </w14:solidFill>
          </w14:textFill>
        </w:rPr>
      </w:pPr>
      <w:r>
        <w:rPr>
          <w:rFonts w:hint="eastAsia" w:ascii="仿宋_GB2312" w:eastAsia="仿宋_GB2312"/>
          <w:b/>
          <w:bCs/>
          <w:color w:val="000000" w:themeColor="text1"/>
          <w:sz w:val="28"/>
          <w:szCs w:val="28"/>
          <w:lang w:val="zh-CN"/>
          <w14:textFill>
            <w14:solidFill>
              <w14:schemeClr w14:val="tx1"/>
            </w14:solidFill>
          </w14:textFill>
        </w:rPr>
        <w:t>定地址为</w:t>
      </w:r>
      <w:r>
        <w:rPr>
          <w:rFonts w:hint="eastAsia" w:ascii="仿宋_GB2312" w:eastAsia="仿宋_GB2312"/>
          <w:b/>
          <w:bCs/>
          <w:color w:val="000000" w:themeColor="text1"/>
          <w:sz w:val="28"/>
          <w:szCs w:val="28"/>
          <w:u w:val="single"/>
          <w:lang w:val="zh-CN"/>
          <w14:textFill>
            <w14:solidFill>
              <w14:schemeClr w14:val="tx1"/>
            </w14:solidFill>
          </w14:textFill>
        </w:rPr>
        <w:t xml:space="preserve"> 辽宁省营口市鲅鱼圈区疏港路-北李屯/赵屯</w:t>
      </w:r>
      <w:r>
        <w:rPr>
          <w:rFonts w:hint="eastAsia" w:ascii="仿宋_GB2312" w:eastAsia="仿宋_GB2312"/>
          <w:b/>
          <w:bCs/>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b/>
          <w:bCs/>
          <w:color w:val="000000" w:themeColor="text1"/>
          <w:sz w:val="28"/>
          <w:szCs w:val="28"/>
          <w:u w:val="single"/>
          <w:lang w:val="zh-CN"/>
          <w14:textFill>
            <w14:solidFill>
              <w14:schemeClr w14:val="tx1"/>
            </w14:solidFill>
          </w14:textFill>
        </w:rPr>
        <w:t xml:space="preserve"> </w:t>
      </w:r>
      <w:r>
        <w:rPr>
          <w:rFonts w:ascii="仿宋_GB2312" w:eastAsia="仿宋_GB2312"/>
          <w:b/>
          <w:bCs/>
          <w:color w:val="000000" w:themeColor="text1"/>
          <w:sz w:val="28"/>
          <w:szCs w:val="28"/>
          <w:u w:val="single"/>
          <w:lang w:val="zh-CN"/>
          <w14:textFill>
            <w14:solidFill>
              <w14:schemeClr w14:val="tx1"/>
            </w14:solidFill>
          </w14:textFill>
        </w:rPr>
        <w:t xml:space="preserve">   </w:t>
      </w:r>
      <w:r>
        <w:rPr>
          <w:rFonts w:hint="eastAsia" w:ascii="仿宋_GB2312" w:eastAsia="仿宋_GB2312"/>
          <w:b/>
          <w:bCs/>
          <w:color w:val="000000" w:themeColor="text1"/>
          <w:sz w:val="28"/>
          <w:szCs w:val="28"/>
          <w:u w:val="single"/>
          <w:lang w:val="zh-CN"/>
          <w14:textFill>
            <w14:solidFill>
              <w14:schemeClr w14:val="tx1"/>
            </w14:solidFill>
          </w14:textFill>
        </w:rPr>
        <w:t xml:space="preserve"> </w:t>
      </w:r>
    </w:p>
    <w:p>
      <w:pPr>
        <w:keepNext w:val="0"/>
        <w:keepLines w:val="0"/>
        <w:pageBreakBefore w:val="0"/>
        <w:tabs>
          <w:tab w:val="left" w:pos="3780"/>
        </w:tabs>
        <w:kinsoku/>
        <w:wordWrap/>
        <w:overflowPunct/>
        <w:topLinePunct w:val="0"/>
        <w:autoSpaceDE w:val="0"/>
        <w:autoSpaceDN w:val="0"/>
        <w:bidi w:val="0"/>
        <w:adjustRightInd/>
        <w:snapToGrid/>
        <w:spacing w:line="360" w:lineRule="auto"/>
        <w:textAlignment w:val="auto"/>
        <w:rPr>
          <w:rFonts w:ascii="仿宋_GB2312" w:eastAsia="仿宋_GB2312"/>
          <w:bCs/>
          <w:color w:val="000000" w:themeColor="text1"/>
          <w:sz w:val="28"/>
          <w:szCs w:val="28"/>
          <w:lang w:val="zh-CN"/>
          <w14:textFill>
            <w14:solidFill>
              <w14:schemeClr w14:val="tx1"/>
            </w14:solidFill>
          </w14:textFill>
        </w:rPr>
      </w:pPr>
      <w:r>
        <w:rPr>
          <w:rFonts w:hint="eastAsia" w:ascii="仿宋_GB2312" w:eastAsia="仿宋_GB2312"/>
          <w:b/>
          <w:bCs/>
          <w:color w:val="000000" w:themeColor="text1"/>
          <w:sz w:val="28"/>
          <w:szCs w:val="28"/>
          <w:lang w:val="zh-CN"/>
          <w14:textFill>
            <w14:solidFill>
              <w14:schemeClr w14:val="tx1"/>
            </w14:solidFill>
          </w14:textFill>
        </w:rPr>
        <w:t>乙方：</w:t>
      </w:r>
    </w:p>
    <w:p>
      <w:pPr>
        <w:keepNext w:val="0"/>
        <w:keepLines w:val="0"/>
        <w:pageBreakBefore w:val="0"/>
        <w:kinsoku/>
        <w:wordWrap/>
        <w:overflowPunct/>
        <w:topLinePunct w:val="0"/>
        <w:bidi w:val="0"/>
        <w:adjustRightInd/>
        <w:snapToGrid/>
        <w:spacing w:line="360" w:lineRule="auto"/>
        <w:ind w:firstLine="562" w:firstLineChars="200"/>
        <w:textAlignment w:val="auto"/>
        <w:rPr>
          <w:rFonts w:ascii="仿宋_GB2312" w:eastAsia="仿宋_GB2312"/>
          <w:sz w:val="28"/>
          <w:szCs w:val="28"/>
          <w:u w:val="single"/>
        </w:rPr>
      </w:pPr>
      <w:r>
        <w:rPr>
          <w:rFonts w:ascii="仿宋_GB2312" w:eastAsia="仿宋_GB2312"/>
          <w:b/>
          <w:bCs w:val="0"/>
          <w:sz w:val="28"/>
          <w:szCs w:val="28"/>
          <w:u w:val="single"/>
        </w:rPr>
        <w:t xml:space="preserve">     </w:t>
      </w:r>
      <w:r>
        <w:rPr>
          <w:rFonts w:hint="eastAsia" w:ascii="仿宋_GB2312" w:eastAsia="仿宋_GB2312"/>
          <w:b/>
          <w:bCs w:val="0"/>
          <w:sz w:val="28"/>
          <w:szCs w:val="28"/>
          <w:u w:val="single"/>
          <w:lang w:val="en-US" w:eastAsia="zh-CN"/>
        </w:rPr>
        <w:t xml:space="preserve">             </w:t>
      </w:r>
      <w:r>
        <w:rPr>
          <w:rFonts w:ascii="仿宋_GB2312" w:eastAsia="仿宋_GB2312"/>
          <w:b/>
          <w:bCs w:val="0"/>
          <w:sz w:val="28"/>
          <w:szCs w:val="28"/>
          <w:u w:val="single"/>
        </w:rPr>
        <w:t xml:space="preserve">   </w:t>
      </w:r>
      <w:r>
        <w:rPr>
          <w:rFonts w:hint="eastAsia" w:ascii="仿宋_GB2312" w:eastAsia="仿宋_GB2312"/>
          <w:b/>
          <w:bCs w:val="0"/>
          <w:sz w:val="28"/>
          <w:szCs w:val="28"/>
        </w:rPr>
        <w:t>是一家在中华人民共和国成立并存续的公司,其法定地址</w:t>
      </w:r>
      <w:r>
        <w:rPr>
          <w:rFonts w:hint="eastAsia" w:ascii="仿宋_GB2312" w:eastAsia="仿宋_GB2312"/>
          <w:b/>
          <w:bCs w:val="0"/>
          <w:sz w:val="28"/>
          <w:szCs w:val="28"/>
          <w:lang w:val="en-US" w:eastAsia="zh-CN"/>
        </w:rPr>
        <w:t>为</w:t>
      </w:r>
      <w:r>
        <w:rPr>
          <w:rFonts w:hint="eastAsia" w:ascii="仿宋_GB2312" w:eastAsia="仿宋_GB2312"/>
          <w:b/>
          <w:bCs w:val="0"/>
          <w:sz w:val="28"/>
          <w:szCs w:val="28"/>
          <w:u w:val="single"/>
        </w:rPr>
        <w:t xml:space="preserve"> </w:t>
      </w:r>
      <w:r>
        <w:rPr>
          <w:rFonts w:ascii="仿宋_GB2312" w:eastAsia="仿宋_GB2312"/>
          <w:b/>
          <w:bCs w:val="0"/>
          <w:sz w:val="28"/>
          <w:szCs w:val="28"/>
          <w:u w:val="single"/>
        </w:rPr>
        <w:t xml:space="preserve">     </w:t>
      </w:r>
      <w:r>
        <w:rPr>
          <w:rFonts w:hint="eastAsia" w:ascii="仿宋_GB2312" w:eastAsia="仿宋_GB2312"/>
          <w:b/>
          <w:bCs w:val="0"/>
          <w:sz w:val="28"/>
          <w:szCs w:val="28"/>
          <w:u w:val="single"/>
          <w:lang w:val="en-US" w:eastAsia="zh-CN"/>
        </w:rPr>
        <w:t xml:space="preserve">                                                     </w:t>
      </w:r>
      <w:r>
        <w:rPr>
          <w:rFonts w:ascii="仿宋_GB2312" w:eastAsia="仿宋_GB2312"/>
          <w:b/>
          <w:bCs w:val="0"/>
          <w:sz w:val="28"/>
          <w:szCs w:val="28"/>
          <w:u w:val="single"/>
        </w:rPr>
        <w:t xml:space="preserve">  </w:t>
      </w:r>
    </w:p>
    <w:p>
      <w:pPr>
        <w:keepNext w:val="0"/>
        <w:keepLines w:val="0"/>
        <w:pageBreakBefore w:val="0"/>
        <w:kinsoku/>
        <w:wordWrap/>
        <w:overflowPunct/>
        <w:topLinePunct w:val="0"/>
        <w:bidi w:val="0"/>
        <w:adjustRightInd/>
        <w:snapToGrid/>
        <w:spacing w:line="360" w:lineRule="auto"/>
        <w:ind w:firstLine="562" w:firstLineChars="200"/>
        <w:textAlignment w:val="auto"/>
        <w:rPr>
          <w:rFonts w:ascii="仿宋_GB2312" w:eastAsia="仿宋_GB2312"/>
          <w:b/>
          <w:bCs/>
          <w:sz w:val="28"/>
          <w:szCs w:val="28"/>
        </w:rPr>
      </w:pPr>
      <w:r>
        <w:rPr>
          <w:rFonts w:hint="eastAsia" w:ascii="宋体" w:hAnsi="宋体" w:cs="宋体"/>
          <w:b/>
          <w:bCs/>
          <w:sz w:val="28"/>
          <w:szCs w:val="28"/>
        </w:rPr>
        <w:t>鉴</w:t>
      </w:r>
      <w:r>
        <w:rPr>
          <w:rFonts w:hint="eastAsia" w:ascii="仿宋_GB2312" w:eastAsia="仿宋_GB2312"/>
          <w:b/>
          <w:bCs/>
          <w:sz w:val="28"/>
          <w:szCs w:val="28"/>
        </w:rPr>
        <w:t>于：</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一、</w:t>
      </w:r>
      <w:r>
        <w:rPr>
          <w:rFonts w:hint="eastAsia" w:ascii="仿宋_GB2312" w:eastAsia="仿宋_GB2312"/>
          <w:sz w:val="28"/>
          <w:szCs w:val="28"/>
        </w:rPr>
        <w:t>甲、乙双方已经达成合同，就合作项目（以下简称“中央</w:t>
      </w:r>
      <w:r>
        <w:rPr>
          <w:rFonts w:ascii="仿宋_GB2312" w:eastAsia="仿宋_GB2312"/>
          <w:sz w:val="28"/>
          <w:szCs w:val="28"/>
        </w:rPr>
        <w:t>储备</w:t>
      </w:r>
      <w:r>
        <w:rPr>
          <w:rFonts w:hint="eastAsia" w:ascii="仿宋_GB2312" w:eastAsia="仿宋_GB2312"/>
          <w:sz w:val="28"/>
          <w:szCs w:val="28"/>
        </w:rPr>
        <w:t>糖机械化出库装卸服务”）进行合作，为此目的，拟进行进一步磋商，以订立有法律约束力的正式合同；</w:t>
      </w:r>
    </w:p>
    <w:p>
      <w:pPr>
        <w:keepNext w:val="0"/>
        <w:keepLines w:val="0"/>
        <w:pageBreakBefore w:val="0"/>
        <w:widowControl/>
        <w:tabs>
          <w:tab w:val="left" w:pos="862"/>
        </w:tabs>
        <w:kinsoku/>
        <w:wordWrap/>
        <w:overflowPunct/>
        <w:topLinePunct w:val="0"/>
        <w:autoSpaceDE w:val="0"/>
        <w:autoSpaceDN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二、</w:t>
      </w:r>
      <w:r>
        <w:rPr>
          <w:rFonts w:hint="eastAsia" w:ascii="仿宋_GB2312" w:eastAsia="仿宋_GB2312"/>
          <w:sz w:val="28"/>
          <w:szCs w:val="28"/>
        </w:rPr>
        <w:t>甲方拥有与项目有关并对甲方具有商业价值的某些保密信息，且甲方一直采取一切必要的措施，以保护该等信息并防止任何人对该等信息做出任何未经授权的披露；</w:t>
      </w:r>
    </w:p>
    <w:p>
      <w:pPr>
        <w:keepNext w:val="0"/>
        <w:keepLines w:val="0"/>
        <w:pageBreakBefore w:val="0"/>
        <w:widowControl/>
        <w:tabs>
          <w:tab w:val="left" w:pos="862"/>
        </w:tabs>
        <w:kinsoku/>
        <w:wordWrap/>
        <w:overflowPunct/>
        <w:topLinePunct w:val="0"/>
        <w:autoSpaceDE w:val="0"/>
        <w:autoSpaceDN w:val="0"/>
        <w:bidi w:val="0"/>
        <w:adjustRightInd/>
        <w:snapToGrid/>
        <w:spacing w:line="360" w:lineRule="auto"/>
        <w:ind w:firstLine="560" w:firstLineChars="200"/>
        <w:jc w:val="both"/>
        <w:textAlignment w:val="auto"/>
        <w:rPr>
          <w:rFonts w:hint="eastAsia" w:ascii="仿宋_GB2312" w:eastAsia="仿宋_GB2312"/>
          <w:sz w:val="28"/>
          <w:szCs w:val="28"/>
        </w:rPr>
      </w:pPr>
      <w:r>
        <w:rPr>
          <w:rFonts w:hint="eastAsia" w:ascii="仿宋_GB2312" w:eastAsia="仿宋_GB2312"/>
          <w:sz w:val="28"/>
          <w:szCs w:val="28"/>
          <w:lang w:val="en-US" w:eastAsia="zh-CN"/>
        </w:rPr>
        <w:t>三、</w:t>
      </w:r>
      <w:r>
        <w:rPr>
          <w:rFonts w:hint="eastAsia" w:ascii="仿宋_GB2312" w:eastAsia="仿宋_GB2312"/>
          <w:sz w:val="28"/>
          <w:szCs w:val="28"/>
        </w:rPr>
        <w:t>乙方拥有与项目有关并对乙方具有商业价值的某些保密信息，且乙方一直采取一切必要的措施，以保护该等信息并防止任何人对该等信息做出任何未经授权的披露；</w:t>
      </w:r>
    </w:p>
    <w:p>
      <w:pPr>
        <w:keepNext w:val="0"/>
        <w:keepLines w:val="0"/>
        <w:pageBreakBefore w:val="0"/>
        <w:widowControl/>
        <w:tabs>
          <w:tab w:val="left" w:pos="862"/>
        </w:tabs>
        <w:kinsoku/>
        <w:wordWrap/>
        <w:overflowPunct/>
        <w:topLinePunct w:val="0"/>
        <w:autoSpaceDE w:val="0"/>
        <w:autoSpaceDN w:val="0"/>
        <w:bidi w:val="0"/>
        <w:adjustRightInd/>
        <w:snapToGrid/>
        <w:spacing w:line="360" w:lineRule="auto"/>
        <w:ind w:firstLine="560" w:firstLineChars="200"/>
        <w:jc w:val="left"/>
        <w:textAlignment w:val="auto"/>
        <w:rPr>
          <w:rFonts w:ascii="仿宋_GB2312" w:eastAsia="仿宋_GB2312"/>
          <w:sz w:val="28"/>
          <w:szCs w:val="28"/>
        </w:rPr>
      </w:pPr>
      <w:r>
        <w:rPr>
          <w:rFonts w:hint="eastAsia" w:ascii="仿宋_GB2312" w:eastAsia="仿宋_GB2312"/>
          <w:sz w:val="28"/>
          <w:szCs w:val="28"/>
          <w:lang w:val="en-US" w:eastAsia="zh-CN"/>
        </w:rPr>
        <w:t>四、</w:t>
      </w:r>
      <w:r>
        <w:rPr>
          <w:rFonts w:hint="eastAsia" w:ascii="仿宋_GB2312" w:eastAsia="仿宋_GB2312"/>
          <w:sz w:val="28"/>
          <w:szCs w:val="28"/>
        </w:rPr>
        <w:t>每一方在项目合作的过程中均有可能获悉另一方的保密信息；</w:t>
      </w:r>
    </w:p>
    <w:p>
      <w:pPr>
        <w:keepNext w:val="0"/>
        <w:keepLines w:val="0"/>
        <w:pageBreakBefore w:val="0"/>
        <w:widowControl/>
        <w:tabs>
          <w:tab w:val="left" w:pos="862"/>
        </w:tabs>
        <w:kinsoku/>
        <w:wordWrap/>
        <w:overflowPunct/>
        <w:topLinePunct w:val="0"/>
        <w:autoSpaceDE w:val="0"/>
        <w:autoSpaceDN w:val="0"/>
        <w:bidi w:val="0"/>
        <w:adjustRightInd/>
        <w:snapToGrid/>
        <w:spacing w:line="360" w:lineRule="auto"/>
        <w:ind w:firstLine="560" w:firstLineChars="200"/>
        <w:jc w:val="left"/>
        <w:textAlignment w:val="auto"/>
        <w:rPr>
          <w:rFonts w:ascii="仿宋_GB2312" w:eastAsia="仿宋_GB2312"/>
          <w:sz w:val="28"/>
          <w:szCs w:val="28"/>
        </w:rPr>
      </w:pPr>
      <w:r>
        <w:rPr>
          <w:rFonts w:hint="eastAsia" w:ascii="仿宋_GB2312" w:eastAsia="仿宋_GB2312"/>
          <w:sz w:val="28"/>
          <w:szCs w:val="28"/>
          <w:lang w:val="en-US" w:eastAsia="zh-CN"/>
        </w:rPr>
        <w:t>五、</w:t>
      </w:r>
      <w:r>
        <w:rPr>
          <w:rFonts w:hint="eastAsia" w:ascii="仿宋_GB2312" w:eastAsia="仿宋_GB2312"/>
          <w:sz w:val="28"/>
          <w:szCs w:val="28"/>
        </w:rPr>
        <w:t xml:space="preserve">双方一致同意与该等保密信息有关的以下条款。    </w:t>
      </w:r>
    </w:p>
    <w:p>
      <w:pPr>
        <w:keepNext w:val="0"/>
        <w:keepLines w:val="0"/>
        <w:pageBreakBefore w:val="0"/>
        <w:tabs>
          <w:tab w:val="left" w:pos="3780"/>
        </w:tabs>
        <w:kinsoku/>
        <w:wordWrap/>
        <w:overflowPunct/>
        <w:topLinePunct w:val="0"/>
        <w:autoSpaceDE w:val="0"/>
        <w:autoSpaceDN w:val="0"/>
        <w:bidi w:val="0"/>
        <w:adjustRightInd/>
        <w:snapToGrid/>
        <w:spacing w:line="360" w:lineRule="auto"/>
        <w:ind w:firstLine="560" w:firstLineChars="200"/>
        <w:jc w:val="left"/>
        <w:textAlignment w:val="auto"/>
        <w:rPr>
          <w:rFonts w:ascii="仿宋_GB2312" w:eastAsia="仿宋_GB2312"/>
          <w:sz w:val="28"/>
          <w:szCs w:val="28"/>
        </w:rPr>
      </w:pPr>
      <w:r>
        <w:rPr>
          <w:rFonts w:hint="eastAsia" w:ascii="仿宋_GB2312" w:eastAsia="仿宋_GB2312"/>
          <w:sz w:val="28"/>
          <w:szCs w:val="28"/>
        </w:rPr>
        <w:t>经双方平等协商和在公平、平等的原则基础上，双方约定如下：</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1" w:name="_Toc22482220"/>
      <w:r>
        <w:rPr>
          <w:rFonts w:hint="eastAsia" w:ascii="仿宋_GB2312" w:eastAsia="仿宋_GB2312"/>
          <w:b/>
          <w:bCs/>
          <w:sz w:val="28"/>
          <w:szCs w:val="28"/>
        </w:rPr>
        <w:t>第一条</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保密信息的范围</w:t>
      </w:r>
      <w:bookmarkEnd w:id="1"/>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一方之雇员的薪酬及福利、该等雇员的职务或其它个人资料。</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
          <w:bCs/>
          <w:sz w:val="28"/>
          <w:szCs w:val="28"/>
        </w:rPr>
      </w:pPr>
      <w:r>
        <w:rPr>
          <w:rFonts w:hint="eastAsia" w:ascii="仿宋_GB2312" w:eastAsia="仿宋_GB2312"/>
          <w:sz w:val="28"/>
          <w:szCs w:val="28"/>
        </w:rPr>
        <w:t>保密信息不包括以下信息：</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 xml:space="preserve">一方已经独立或未曾违反任何法律、法规或另一方的任何权利开发的信息，并且该等信息是在该一方依照本合同条款从另一方获悉该等信息之前独立开发的； </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 xml:space="preserve">一方在依照本合同条款从另一方获悉之前已经占有的信息，并且就该一方所知该一方并不需要对该等信息承担任何具有约束力的保密义务； </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
          <w:bCs/>
          <w:sz w:val="28"/>
          <w:szCs w:val="28"/>
        </w:rPr>
      </w:pPr>
      <w:r>
        <w:rPr>
          <w:rFonts w:hint="eastAsia" w:ascii="仿宋_GB2312" w:eastAsia="仿宋_GB2312"/>
          <w:sz w:val="28"/>
          <w:szCs w:val="28"/>
        </w:rPr>
        <w:t xml:space="preserve">在双方签订本合同以后并非由于一方的过错而被公众所知的信息； </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2" w:name="_Toc22482221"/>
      <w:r>
        <w:rPr>
          <w:rFonts w:hint="eastAsia" w:ascii="仿宋_GB2312" w:eastAsia="仿宋_GB2312"/>
          <w:b/>
          <w:bCs/>
          <w:sz w:val="28"/>
          <w:szCs w:val="28"/>
        </w:rPr>
        <w:t>第二条 保密信息的使用</w:t>
      </w:r>
      <w:bookmarkEnd w:id="2"/>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每一方均应使另一方的所有保密信息得到最严格的保密，并且除为项目进展，或本合同允许的用途外，不得使用该等保密信息。</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除非事先取得另一方的书面同意，否则任何一方均不得复制、出版或向第三方披露另一方的任何保密信息。</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
          <w:bCs/>
          <w:sz w:val="28"/>
          <w:szCs w:val="28"/>
        </w:rPr>
      </w:pPr>
      <w:r>
        <w:rPr>
          <w:rFonts w:hint="eastAsia" w:ascii="仿宋_GB2312" w:eastAsia="仿宋_GB2312"/>
          <w:sz w:val="28"/>
          <w:szCs w:val="28"/>
        </w:rPr>
        <w:t>本合同在项目终止后的年内仍完全有效。</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3" w:name="_Toc22482222"/>
      <w:r>
        <w:rPr>
          <w:rFonts w:hint="eastAsia" w:ascii="仿宋_GB2312" w:eastAsia="仿宋_GB2312"/>
          <w:b/>
          <w:bCs/>
          <w:sz w:val="28"/>
          <w:szCs w:val="28"/>
        </w:rPr>
        <w:t>第三条 保密信息的所有权</w:t>
      </w:r>
      <w:bookmarkEnd w:id="3"/>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4" w:name="_Toc22482223"/>
      <w:r>
        <w:rPr>
          <w:rFonts w:hint="eastAsia" w:ascii="仿宋_GB2312" w:eastAsia="仿宋_GB2312"/>
          <w:b/>
          <w:bCs/>
          <w:sz w:val="28"/>
          <w:szCs w:val="28"/>
        </w:rPr>
        <w:t>第四条 文件退还</w:t>
      </w:r>
      <w:bookmarkEnd w:id="4"/>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5" w:name="_Toc22482224"/>
      <w:r>
        <w:rPr>
          <w:rFonts w:hint="eastAsia" w:ascii="仿宋_GB2312" w:eastAsia="仿宋_GB2312"/>
          <w:b/>
          <w:bCs/>
          <w:sz w:val="28"/>
          <w:szCs w:val="28"/>
        </w:rPr>
        <w:t>第五条 违约责任</w:t>
      </w:r>
      <w:bookmarkEnd w:id="5"/>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如果一方违反其在本合同项下的义务，该一方应赔偿另一方因上述违约而招致的全部实际损害，包括但不限于法律费用。</w:t>
      </w:r>
    </w:p>
    <w:p>
      <w:pPr>
        <w:keepNext w:val="0"/>
        <w:keepLines w:val="0"/>
        <w:pageBreakBefore w:val="0"/>
        <w:kinsoku/>
        <w:wordWrap/>
        <w:overflowPunct/>
        <w:topLinePunct w:val="0"/>
        <w:bidi w:val="0"/>
        <w:adjustRightInd/>
        <w:snapToGrid/>
        <w:spacing w:line="360" w:lineRule="auto"/>
        <w:ind w:firstLine="562" w:firstLineChars="200"/>
        <w:jc w:val="left"/>
        <w:textAlignment w:val="auto"/>
        <w:rPr>
          <w:rFonts w:ascii="仿宋_GB2312" w:eastAsia="仿宋_GB2312"/>
          <w:b/>
          <w:bCs/>
          <w:sz w:val="28"/>
          <w:szCs w:val="28"/>
        </w:rPr>
      </w:pPr>
      <w:bookmarkStart w:id="6" w:name="_Toc22482225"/>
      <w:r>
        <w:rPr>
          <w:rFonts w:hint="eastAsia" w:ascii="仿宋_GB2312" w:eastAsia="仿宋_GB2312"/>
          <w:b/>
          <w:bCs/>
          <w:sz w:val="28"/>
          <w:szCs w:val="28"/>
        </w:rPr>
        <w:t>第六条 其他约定</w:t>
      </w:r>
      <w:bookmarkEnd w:id="6"/>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keepNext w:val="0"/>
        <w:keepLines w:val="0"/>
        <w:pageBreakBefore w:val="0"/>
        <w:kinsoku/>
        <w:wordWrap/>
        <w:overflowPunct/>
        <w:topLinePunct w:val="0"/>
        <w:bidi w:val="0"/>
        <w:adjustRightInd/>
        <w:snapToGrid/>
        <w:spacing w:line="360" w:lineRule="auto"/>
        <w:ind w:firstLine="560" w:firstLineChars="200"/>
        <w:jc w:val="both"/>
        <w:textAlignment w:val="auto"/>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w:t>
      </w:r>
      <w:r>
        <w:rPr>
          <w:rFonts w:hint="eastAsia" w:ascii="仿宋_GB2312" w:eastAsia="仿宋_GB2312"/>
          <w:sz w:val="28"/>
          <w:szCs w:val="28"/>
          <w:lang w:val="en-US" w:eastAsia="zh-CN"/>
        </w:rPr>
        <w:t>甲方所在地</w:t>
      </w:r>
      <w:r>
        <w:rPr>
          <w:rFonts w:hint="eastAsia" w:ascii="仿宋_GB2312" w:eastAsia="仿宋_GB2312"/>
          <w:sz w:val="28"/>
          <w:szCs w:val="28"/>
        </w:rPr>
        <w:t>进行仲裁。</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壹式肆份</w:t>
      </w:r>
      <w:r>
        <w:rPr>
          <w:rFonts w:hint="eastAsia" w:ascii="仿宋_GB2312" w:eastAsia="仿宋_GB2312"/>
          <w:sz w:val="28"/>
          <w:szCs w:val="28"/>
        </w:rPr>
        <w:t>，每份皆具有同等法律效力。</w:t>
      </w:r>
    </w:p>
    <w:p>
      <w:pPr>
        <w:keepNext w:val="0"/>
        <w:keepLines w:val="0"/>
        <w:pageBreakBefore w:val="0"/>
        <w:kinsoku/>
        <w:wordWrap/>
        <w:overflowPunct/>
        <w:topLinePunct w:val="0"/>
        <w:bidi w:val="0"/>
        <w:adjustRightInd/>
        <w:snapToGrid/>
        <w:spacing w:line="360" w:lineRule="auto"/>
        <w:ind w:firstLine="560" w:firstLineChars="200"/>
        <w:jc w:val="left"/>
        <w:textAlignment w:val="auto"/>
        <w:rPr>
          <w:rFonts w:ascii="仿宋_GB2312" w:eastAsia="仿宋_GB2312"/>
          <w:sz w:val="28"/>
          <w:szCs w:val="28"/>
        </w:rPr>
      </w:pPr>
      <w:r>
        <w:rPr>
          <w:rFonts w:hint="eastAsia" w:ascii="仿宋_GB2312" w:eastAsia="仿宋_GB2312"/>
          <w:sz w:val="28"/>
          <w:szCs w:val="28"/>
        </w:rPr>
        <w:t>本合同在双方签字并盖章本合同之日立即生效。</w:t>
      </w: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甲方：（盖章）                  乙方：（盖章）</w:t>
      </w:r>
    </w:p>
    <w:p>
      <w:pPr>
        <w:keepNext w:val="0"/>
        <w:keepLines w:val="0"/>
        <w:pageBreakBefore w:val="0"/>
        <w:kinsoku/>
        <w:wordWrap/>
        <w:overflowPunct/>
        <w:topLinePunct w:val="0"/>
        <w:bidi w:val="0"/>
        <w:adjustRightInd/>
        <w:snapToGrid/>
        <w:spacing w:line="360" w:lineRule="auto"/>
        <w:ind w:firstLine="800" w:firstLineChars="200"/>
        <w:textAlignment w:val="auto"/>
        <w:outlineLvl w:val="1"/>
        <w:rPr>
          <w:sz w:val="40"/>
          <w:szCs w:val="40"/>
        </w:rPr>
      </w:pPr>
    </w:p>
    <w:p>
      <w:pPr>
        <w:keepNext w:val="0"/>
        <w:keepLines w:val="0"/>
        <w:pageBreakBefore w:val="0"/>
        <w:kinsoku/>
        <w:wordWrap/>
        <w:overflowPunct/>
        <w:topLinePunct w:val="0"/>
        <w:bidi w:val="0"/>
        <w:adjustRightInd/>
        <w:snapToGrid/>
        <w:spacing w:line="360" w:lineRule="auto"/>
        <w:ind w:firstLine="560" w:firstLineChars="200"/>
        <w:textAlignment w:val="auto"/>
        <w:rPr>
          <w:rFonts w:ascii="仿宋_GB2312" w:eastAsia="仿宋_GB2312"/>
          <w:sz w:val="28"/>
          <w:szCs w:val="28"/>
        </w:rPr>
      </w:pPr>
      <w:r>
        <w:rPr>
          <w:rFonts w:hint="eastAsia" w:ascii="仿宋_GB2312" w:eastAsia="仿宋_GB2312"/>
          <w:sz w:val="28"/>
          <w:szCs w:val="28"/>
        </w:rPr>
        <w:t>法定代表人或授权代表人：        法定代表人或授权代表人：</w:t>
      </w:r>
    </w:p>
    <w:p>
      <w:pPr>
        <w:keepNext w:val="0"/>
        <w:keepLines w:val="0"/>
        <w:pageBreakBefore w:val="0"/>
        <w:kinsoku/>
        <w:wordWrap/>
        <w:overflowPunct/>
        <w:topLinePunct w:val="0"/>
        <w:bidi w:val="0"/>
        <w:adjustRightInd/>
        <w:snapToGrid/>
        <w:spacing w:line="360" w:lineRule="auto"/>
        <w:ind w:firstLine="800" w:firstLineChars="200"/>
        <w:textAlignment w:val="auto"/>
        <w:outlineLvl w:val="1"/>
        <w:rPr>
          <w:sz w:val="40"/>
          <w:szCs w:val="40"/>
        </w:rPr>
      </w:pPr>
    </w:p>
    <w:p>
      <w:pPr>
        <w:keepNext w:val="0"/>
        <w:keepLines w:val="0"/>
        <w:pageBreakBefore w:val="0"/>
        <w:kinsoku/>
        <w:wordWrap/>
        <w:overflowPunct/>
        <w:topLinePunct w:val="0"/>
        <w:bidi w:val="0"/>
        <w:adjustRightInd/>
        <w:snapToGrid/>
        <w:spacing w:line="360" w:lineRule="auto"/>
        <w:ind w:firstLine="560" w:firstLineChars="200"/>
        <w:textAlignment w:val="auto"/>
        <w:rPr>
          <w:sz w:val="28"/>
          <w:szCs w:val="28"/>
        </w:rPr>
      </w:pPr>
      <w:r>
        <w:rPr>
          <w:rFonts w:hint="eastAsia" w:ascii="仿宋_GB2312" w:eastAsia="仿宋_GB2312"/>
          <w:sz w:val="28"/>
          <w:szCs w:val="28"/>
        </w:rPr>
        <w:t>日期：2</w:t>
      </w:r>
      <w:r>
        <w:rPr>
          <w:rFonts w:ascii="仿宋_GB2312" w:eastAsia="仿宋_GB2312"/>
          <w:sz w:val="28"/>
          <w:szCs w:val="28"/>
        </w:rPr>
        <w:t>023</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日期：2</w:t>
      </w:r>
      <w:r>
        <w:rPr>
          <w:rFonts w:ascii="仿宋_GB2312" w:eastAsia="仿宋_GB2312"/>
          <w:sz w:val="28"/>
          <w:szCs w:val="28"/>
        </w:rPr>
        <w:t>023</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月 </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keepNext w:val="0"/>
        <w:keepLines w:val="0"/>
        <w:pageBreakBefore w:val="0"/>
        <w:kinsoku/>
        <w:wordWrap/>
        <w:overflowPunct/>
        <w:topLinePunct w:val="0"/>
        <w:bidi w:val="0"/>
        <w:spacing w:line="360" w:lineRule="auto"/>
        <w:jc w:val="center"/>
        <w:textAlignment w:val="auto"/>
        <w:rPr>
          <w:rFonts w:cs="仿宋_GB2312" w:asciiTheme="minorEastAsia" w:hAnsiTheme="minorEastAsia" w:eastAsiaTheme="minorEastAsia"/>
          <w:sz w:val="28"/>
          <w:szCs w:val="28"/>
        </w:rPr>
      </w:pPr>
    </w:p>
    <w:p>
      <w:pPr>
        <w:pStyle w:val="2"/>
        <w:rPr>
          <w:rFonts w:cs="仿宋_GB2312" w:asciiTheme="minorEastAsia" w:hAnsiTheme="minorEastAsia" w:eastAsiaTheme="minorEastAsia"/>
          <w:sz w:val="28"/>
          <w:szCs w:val="28"/>
        </w:rPr>
      </w:pPr>
    </w:p>
    <w:p>
      <w:pPr>
        <w:pStyle w:val="2"/>
        <w:rPr>
          <w:rFonts w:cs="仿宋_GB2312" w:asciiTheme="minorEastAsia" w:hAnsiTheme="minorEastAsia" w:eastAsiaTheme="minorEastAsia"/>
          <w:sz w:val="28"/>
          <w:szCs w:val="28"/>
        </w:rPr>
      </w:pPr>
    </w:p>
    <w:p>
      <w:pPr>
        <w:pStyle w:val="2"/>
        <w:rPr>
          <w:rFonts w:cs="仿宋_GB2312" w:asciiTheme="minorEastAsia" w:hAnsiTheme="minorEastAsia" w:eastAsiaTheme="minorEastAsia"/>
          <w:sz w:val="28"/>
          <w:szCs w:val="28"/>
        </w:rPr>
      </w:pPr>
    </w:p>
    <w:p>
      <w:pPr>
        <w:keepNext/>
        <w:keepLines/>
        <w:rPr>
          <w:rFonts w:ascii="宋体" w:hAnsi="宋体"/>
          <w:b/>
          <w:bCs/>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第三章 评审方法</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eastAsia="仿宋_GB2312" w:cs="仿宋_GB2312" w:hAnsiTheme="minorEastAsia"/>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eastAsia="仿宋_GB2312" w:cs="仿宋_GB2312" w:hAnsiTheme="minorEastAsia"/>
          <w:b/>
          <w:bCs/>
          <w:color w:val="000000" w:themeColor="text1"/>
          <w:sz w:val="30"/>
          <w:szCs w:val="30"/>
          <w14:textFill>
            <w14:solidFill>
              <w14:schemeClr w14:val="tx1"/>
            </w14:solidFill>
          </w14:textFill>
        </w:rPr>
      </w:pPr>
      <w:r>
        <w:rPr>
          <w:rFonts w:hint="eastAsia" w:ascii="仿宋_GB2312" w:eastAsia="仿宋_GB2312" w:cs="仿宋_GB2312" w:hAnsiTheme="minorEastAsia"/>
          <w:b/>
          <w:bCs/>
          <w:color w:val="000000" w:themeColor="text1"/>
          <w:sz w:val="30"/>
          <w:szCs w:val="30"/>
          <w14:textFill>
            <w14:solidFill>
              <w14:schemeClr w14:val="tx1"/>
            </w14:solidFill>
          </w14:textFill>
        </w:rPr>
        <w:t>本次采购工作，对供应商的评审采用“最低价中标”。如报价中税率不一致，比价均按照不含税价执行。</w:t>
      </w:r>
    </w:p>
    <w:p>
      <w:pPr>
        <w:pStyle w:val="2"/>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第四章 报价说明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一、</w:t>
      </w:r>
      <w:r>
        <w:rPr>
          <w:rFonts w:hint="eastAsia" w:ascii="仿宋_GB2312" w:eastAsia="仿宋_GB2312" w:cs="仿宋_GB2312" w:hAnsiTheme="minorEastAsia"/>
          <w:color w:val="000000" w:themeColor="text1"/>
          <w:sz w:val="30"/>
          <w:szCs w:val="30"/>
          <w14:textFill>
            <w14:solidFill>
              <w14:schemeClr w14:val="tx1"/>
            </w14:solidFill>
          </w14:textFill>
        </w:rPr>
        <w:t>本次询比价有效期为</w:t>
      </w:r>
      <w:r>
        <w:rPr>
          <w:rFonts w:ascii="仿宋_GB2312" w:eastAsia="仿宋_GB2312" w:cs="仿宋_GB2312" w:hAnsiTheme="minorEastAsia"/>
          <w:color w:val="000000" w:themeColor="text1"/>
          <w:sz w:val="30"/>
          <w:szCs w:val="30"/>
          <w:highlight w:val="none"/>
          <w14:textFill>
            <w14:solidFill>
              <w14:schemeClr w14:val="tx1"/>
            </w14:solidFill>
          </w14:textFill>
        </w:rPr>
        <w:t>30</w:t>
      </w:r>
      <w:r>
        <w:rPr>
          <w:rFonts w:ascii="仿宋_GB2312" w:eastAsia="仿宋_GB2312" w:cs="仿宋_GB2312" w:hAnsiTheme="minorEastAsia"/>
          <w:color w:val="000000" w:themeColor="text1"/>
          <w:sz w:val="30"/>
          <w:szCs w:val="30"/>
          <w14:textFill>
            <w14:solidFill>
              <w14:schemeClr w14:val="tx1"/>
            </w14:solidFill>
          </w14:textFill>
        </w:rPr>
        <w:t>天</w:t>
      </w:r>
      <w:r>
        <w:rPr>
          <w:rFonts w:hint="eastAsia" w:ascii="仿宋_GB2312" w:eastAsia="仿宋_GB2312" w:cs="仿宋_GB2312" w:hAnsiTheme="minorEastAsia"/>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二、</w:t>
      </w:r>
      <w:r>
        <w:rPr>
          <w:rFonts w:hint="eastAsia" w:ascii="仿宋_GB2312" w:eastAsia="仿宋_GB2312" w:cs="仿宋_GB2312" w:hAnsiTheme="minorEastAsia"/>
          <w:color w:val="000000" w:themeColor="text1"/>
          <w:sz w:val="30"/>
          <w:szCs w:val="30"/>
          <w14:textFill>
            <w14:solidFill>
              <w14:schemeClr w14:val="tx1"/>
            </w14:solidFill>
          </w14:textFill>
        </w:rPr>
        <w:t>投标限价（含税）：</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16</w:t>
      </w:r>
      <w:r>
        <w:rPr>
          <w:rFonts w:hint="eastAsia" w:ascii="仿宋_GB2312" w:eastAsia="仿宋_GB2312" w:cs="仿宋_GB2312" w:hAnsiTheme="minorEastAsia"/>
          <w:color w:val="000000" w:themeColor="text1"/>
          <w:sz w:val="30"/>
          <w:szCs w:val="30"/>
          <w14:textFill>
            <w14:solidFill>
              <w14:schemeClr w14:val="tx1"/>
            </w14:solidFill>
          </w14:textFill>
        </w:rPr>
        <w:t>元/吨，含税总价：</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249600</w:t>
      </w:r>
      <w:r>
        <w:rPr>
          <w:rFonts w:hint="eastAsia" w:ascii="仿宋_GB2312" w:eastAsia="仿宋_GB2312" w:cs="仿宋_GB2312" w:hAnsiTheme="minorEastAsia"/>
          <w:color w:val="000000" w:themeColor="text1"/>
          <w:sz w:val="30"/>
          <w:szCs w:val="30"/>
          <w14:textFill>
            <w14:solidFill>
              <w14:schemeClr w14:val="tx1"/>
            </w14:solidFill>
          </w14:textFill>
        </w:rPr>
        <w:t>元（</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人民币</w:t>
      </w:r>
      <w:r>
        <w:rPr>
          <w:rFonts w:hint="eastAsia" w:ascii="仿宋_GB2312" w:eastAsia="仿宋_GB2312" w:cs="仿宋_GB2312" w:hAnsiTheme="minorEastAsia"/>
          <w:color w:val="000000" w:themeColor="text1"/>
          <w:sz w:val="30"/>
          <w:szCs w:val="30"/>
          <w14:textFill>
            <w14:solidFill>
              <w14:schemeClr w14:val="tx1"/>
            </w14:solidFill>
          </w14:textFill>
        </w:rPr>
        <w:t>大写：</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贰拾肆万玖仟陆佰元</w:t>
      </w:r>
      <w:r>
        <w:rPr>
          <w:rFonts w:hint="eastAsia" w:ascii="仿宋_GB2312" w:eastAsia="仿宋_GB2312" w:cs="仿宋_GB2312" w:hAnsiTheme="minorEastAsia"/>
          <w:color w:val="000000" w:themeColor="text1"/>
          <w:sz w:val="30"/>
          <w:szCs w:val="30"/>
          <w14:textFill>
            <w14:solidFill>
              <w14:schemeClr w14:val="tx1"/>
            </w14:solidFill>
          </w14:textFill>
        </w:rPr>
        <w:t>整），报价超过投标限价为无效报价。比价均按照不含税价执行，授标按照含税价格进行授标。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三、</w:t>
      </w:r>
      <w:r>
        <w:rPr>
          <w:rFonts w:hint="eastAsia" w:ascii="仿宋_GB2312" w:eastAsia="仿宋_GB2312" w:cs="仿宋_GB2312" w:hAnsiTheme="minorEastAsia"/>
          <w:color w:val="000000" w:themeColor="text1"/>
          <w:sz w:val="30"/>
          <w:szCs w:val="30"/>
          <w14:textFill>
            <w14:solidFill>
              <w14:schemeClr w14:val="tx1"/>
            </w14:solidFill>
          </w14:textFill>
        </w:rPr>
        <w:t>本次报价时间截至202</w:t>
      </w:r>
      <w:r>
        <w:rPr>
          <w:rFonts w:ascii="仿宋_GB2312" w:eastAsia="仿宋_GB2312" w:cs="仿宋_GB2312" w:hAnsiTheme="minorEastAsia"/>
          <w:color w:val="000000" w:themeColor="text1"/>
          <w:sz w:val="30"/>
          <w:szCs w:val="30"/>
          <w14:textFill>
            <w14:solidFill>
              <w14:schemeClr w14:val="tx1"/>
            </w14:solidFill>
          </w14:textFill>
        </w:rPr>
        <w:t>3</w:t>
      </w:r>
      <w:r>
        <w:rPr>
          <w:rFonts w:hint="eastAsia" w:ascii="仿宋_GB2312" w:eastAsia="仿宋_GB2312" w:cs="仿宋_GB2312" w:hAnsiTheme="minorEastAsia"/>
          <w:color w:val="000000" w:themeColor="text1"/>
          <w:sz w:val="30"/>
          <w:szCs w:val="30"/>
          <w14:textFill>
            <w14:solidFill>
              <w14:schemeClr w14:val="tx1"/>
            </w14:solidFill>
          </w14:textFill>
        </w:rPr>
        <w:t>年</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5</w:t>
      </w:r>
      <w:r>
        <w:rPr>
          <w:rFonts w:hint="eastAsia" w:ascii="仿宋_GB2312" w:eastAsia="仿宋_GB2312" w:cs="仿宋_GB2312" w:hAnsiTheme="minorEastAsia"/>
          <w:color w:val="000000" w:themeColor="text1"/>
          <w:sz w:val="30"/>
          <w:szCs w:val="30"/>
          <w14:textFill>
            <w14:solidFill>
              <w14:schemeClr w14:val="tx1"/>
            </w14:solidFill>
          </w14:textFill>
        </w:rPr>
        <w:t>月</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23</w:t>
      </w:r>
      <w:r>
        <w:rPr>
          <w:rFonts w:hint="eastAsia" w:ascii="仿宋_GB2312" w:eastAsia="仿宋_GB2312" w:cs="仿宋_GB2312" w:hAnsiTheme="minorEastAsia"/>
          <w:color w:val="000000" w:themeColor="text1"/>
          <w:sz w:val="30"/>
          <w:szCs w:val="30"/>
          <w14:textFill>
            <w14:solidFill>
              <w14:schemeClr w14:val="tx1"/>
            </w14:solidFill>
          </w14:textFill>
        </w:rPr>
        <w:t>日</w:t>
      </w:r>
      <w:r>
        <w:rPr>
          <w:rFonts w:hint="default" w:ascii="仿宋_GB2312" w:eastAsia="仿宋_GB2312" w:cs="仿宋_GB2312" w:hAnsiTheme="minorEastAsia"/>
          <w:color w:val="000000" w:themeColor="text1"/>
          <w:sz w:val="30"/>
          <w:szCs w:val="30"/>
          <w:lang w:eastAsia="zh-CN"/>
          <w14:textFill>
            <w14:solidFill>
              <w14:schemeClr w14:val="tx1"/>
            </w14:solidFill>
          </w14:textFill>
        </w:rPr>
        <w:t>24</w:t>
      </w:r>
      <w:r>
        <w:rPr>
          <w:rFonts w:hint="eastAsia" w:ascii="仿宋_GB2312" w:eastAsia="仿宋_GB2312" w:cs="仿宋_GB2312" w:hAnsiTheme="minorEastAsia"/>
          <w:color w:val="000000" w:themeColor="text1"/>
          <w:sz w:val="30"/>
          <w:szCs w:val="30"/>
          <w14:textFill>
            <w14:solidFill>
              <w14:schemeClr w14:val="tx1"/>
            </w14:solidFill>
          </w14:textFill>
        </w:rPr>
        <w:t>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cs="仿宋_GB2312" w:hAnsiTheme="minorEastAsia"/>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14:textFill>
            <w14:solidFill>
              <w14:schemeClr w14:val="tx1"/>
            </w14:solidFill>
          </w14:textFill>
        </w:rPr>
        <w:t>联系人：</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陶荣辉</w:t>
      </w:r>
      <w:r>
        <w:rPr>
          <w:rFonts w:hint="eastAsia" w:ascii="仿宋_GB2312" w:eastAsia="仿宋_GB2312" w:cs="仿宋_GB2312" w:hAnsiTheme="minorEastAsia"/>
          <w:color w:val="000000" w:themeColor="text1"/>
          <w:sz w:val="30"/>
          <w:szCs w:val="30"/>
          <w14:textFill>
            <w14:solidFill>
              <w14:schemeClr w14:val="tx1"/>
            </w14:solidFill>
          </w14:textFill>
        </w:rPr>
        <w:t xml:space="preserve"> </w:t>
      </w:r>
      <w:r>
        <w:rPr>
          <w:rFonts w:ascii="仿宋_GB2312" w:eastAsia="仿宋_GB2312" w:cs="仿宋_GB2312" w:hAnsiTheme="minorEastAsia"/>
          <w:color w:val="000000" w:themeColor="text1"/>
          <w:sz w:val="30"/>
          <w:szCs w:val="30"/>
          <w14:textFill>
            <w14:solidFill>
              <w14:schemeClr w14:val="tx1"/>
            </w14:solidFill>
          </w14:textFill>
        </w:rPr>
        <w:t xml:space="preserve">  </w:t>
      </w:r>
      <w:r>
        <w:rPr>
          <w:rFonts w:hint="eastAsia" w:ascii="仿宋_GB2312" w:eastAsia="仿宋_GB2312" w:cs="仿宋_GB2312" w:hAnsiTheme="minorEastAsia"/>
          <w:color w:val="000000" w:themeColor="text1"/>
          <w:sz w:val="30"/>
          <w:szCs w:val="30"/>
          <w14:textFill>
            <w14:solidFill>
              <w14:schemeClr w14:val="tx1"/>
            </w14:solidFill>
          </w14:textFill>
        </w:rPr>
        <w:t xml:space="preserve">   联系电话: </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18632782318</w:t>
      </w:r>
      <w:r>
        <w:rPr>
          <w:rFonts w:ascii="仿宋_GB2312" w:eastAsia="仿宋_GB2312" w:cs="仿宋_GB2312" w:hAnsiTheme="minorEastAsia"/>
          <w:color w:val="000000" w:themeColor="text1"/>
          <w:sz w:val="30"/>
          <w:szCs w:val="30"/>
          <w14:textFill>
            <w14:solidFill>
              <w14:schemeClr w14:val="tx1"/>
            </w14:solidFill>
          </w14:textFill>
        </w:rPr>
        <w:t xml:space="preserve"> </w:t>
      </w:r>
    </w:p>
    <w:p>
      <w:pPr>
        <w:pStyle w:val="2"/>
        <w:rPr>
          <w:rFonts w:ascii="仿宋_GB2312" w:eastAsia="仿宋_GB2312" w:cs="仿宋_GB2312" w:hAnsi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第五章 投标保证金要求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一、投标保证金缴纳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保证金：</w:t>
      </w:r>
      <w:r>
        <w:rPr>
          <w:rFonts w:hint="eastAsia" w:ascii="仿宋_GB2312" w:eastAsia="仿宋_GB2312" w:cs="仿宋_GB2312" w:hAnsiTheme="minorEastAsia"/>
          <w:color w:val="000000" w:themeColor="text1"/>
          <w:sz w:val="30"/>
          <w:szCs w:val="30"/>
          <w:u w:val="single"/>
          <w:lang w:val="en-US" w:eastAsia="zh-CN"/>
          <w14:textFill>
            <w14:solidFill>
              <w14:schemeClr w14:val="tx1"/>
            </w14:solidFill>
          </w14:textFill>
        </w:rPr>
        <w:t>￥5000元（大写：人民币伍仟元整）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交款账户名称：辽宁中糖物流有限公司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开户行名称：</w:t>
      </w:r>
      <w:r>
        <w:rPr>
          <w:rStyle w:val="31"/>
          <w:rFonts w:hint="eastAsia" w:ascii="仿宋_GB2312" w:hAnsi="宋体" w:eastAsia="仿宋_GB2312" w:cstheme="minorBidi"/>
          <w:sz w:val="30"/>
          <w:szCs w:val="30"/>
        </w:rPr>
        <w:t>中国建设银行股份有限公司营口经济技术开发区支行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Style w:val="31"/>
          <w:rFonts w:hint="eastAsia" w:ascii="仿宋_GB2312" w:hAnsi="宋体" w:eastAsia="仿宋_GB2312" w:cstheme="minorBidi"/>
          <w:sz w:val="30"/>
          <w:szCs w:val="30"/>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账号：</w:t>
      </w:r>
      <w:r>
        <w:rPr>
          <w:rStyle w:val="31"/>
          <w:rFonts w:hint="eastAsia" w:ascii="仿宋_GB2312" w:hAnsi="宋体" w:eastAsia="仿宋_GB2312" w:cstheme="minorBidi"/>
          <w:sz w:val="30"/>
          <w:szCs w:val="30"/>
          <w:u w:val="single"/>
        </w:rPr>
        <w:t>21001687305052508540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交款方式：转账（汇款时请注明“出库装卸服务投标保证金”字样）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二、退还说明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（一）未中标的供应商在中标结果确定之日起次月内按原缴纳账户如数无息退还投标保证金。中标供应商在与招标方正式签订合同后投标保证金将自动转为</w:t>
      </w:r>
      <w:r>
        <w:rPr>
          <w:rFonts w:hint="eastAsia" w:ascii="仿宋_GB2312" w:hAnsi="宋体" w:eastAsia="仿宋_GB2312"/>
          <w:bCs/>
          <w:color w:val="000000" w:themeColor="text1"/>
          <w:sz w:val="30"/>
          <w:szCs w:val="30"/>
          <w14:textFill>
            <w14:solidFill>
              <w14:schemeClr w14:val="tx1"/>
            </w14:solidFill>
          </w14:textFill>
        </w:rPr>
        <w:t>合同</w:t>
      </w:r>
      <w:r>
        <w:rPr>
          <w:rFonts w:hint="eastAsia" w:ascii="仿宋_GB2312" w:hAnsi="宋体" w:eastAsia="仿宋_GB2312"/>
          <w:bCs/>
          <w:color w:val="000000" w:themeColor="text1"/>
          <w:sz w:val="30"/>
          <w:szCs w:val="30"/>
          <w:lang w:val="en-US" w:eastAsia="zh-CN"/>
          <w14:textFill>
            <w14:solidFill>
              <w14:schemeClr w14:val="tx1"/>
            </w14:solidFill>
          </w14:textFill>
        </w:rPr>
        <w:t>中约定的安全保证金</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（二）不退还投标保证金说明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1.开启响应文件后在响应有效期内，供应商撤回其响应文件；提供虚假材料谋取中标、成交的。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2.中标供应商无正当理由拒绝签订合同的，其保证金不</w:t>
      </w:r>
      <w:bookmarkStart w:id="7" w:name="_Hlk101948086"/>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予</w:t>
      </w:r>
      <w:bookmarkEnd w:id="7"/>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退还。</w:t>
      </w:r>
    </w:p>
    <w:p>
      <w:pPr>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bCs/>
          <w:color w:val="000000" w:themeColor="text1"/>
          <w:sz w:val="30"/>
          <w:szCs w:val="30"/>
          <w14:textFill>
            <w14:solidFill>
              <w14:schemeClr w14:val="tx1"/>
            </w14:solidFill>
          </w14:textFill>
        </w:rPr>
      </w:pP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3.</w:t>
      </w:r>
      <w:r>
        <w:rPr>
          <w:rFonts w:hint="eastAsia" w:ascii="仿宋_GB2312" w:hAnsi="宋体" w:eastAsia="仿宋_GB2312"/>
          <w:bCs/>
          <w:color w:val="000000" w:themeColor="text1"/>
          <w:sz w:val="30"/>
          <w:szCs w:val="30"/>
          <w14:textFill>
            <w14:solidFill>
              <w14:schemeClr w14:val="tx1"/>
            </w14:solidFill>
          </w14:textFill>
        </w:rPr>
        <w:t>在响应本次采购</w:t>
      </w:r>
      <w:r>
        <w:rPr>
          <w:rFonts w:hint="eastAsia" w:ascii="仿宋_GB2312" w:hAnsi="宋体" w:eastAsia="仿宋_GB2312"/>
          <w:bCs/>
          <w:color w:val="000000" w:themeColor="text1"/>
          <w:sz w:val="30"/>
          <w:szCs w:val="30"/>
          <w:lang w:val="en-US" w:eastAsia="zh-CN"/>
          <w14:textFill>
            <w14:solidFill>
              <w14:schemeClr w14:val="tx1"/>
            </w14:solidFill>
          </w14:textFill>
        </w:rPr>
        <w:t>过程</w:t>
      </w:r>
      <w:r>
        <w:rPr>
          <w:rFonts w:hint="eastAsia" w:ascii="仿宋_GB2312" w:hAnsi="宋体" w:eastAsia="仿宋_GB2312"/>
          <w:bCs/>
          <w:color w:val="000000" w:themeColor="text1"/>
          <w:sz w:val="30"/>
          <w:szCs w:val="30"/>
          <w14:textFill>
            <w14:solidFill>
              <w14:schemeClr w14:val="tx1"/>
            </w14:solidFill>
          </w14:textFill>
        </w:rPr>
        <w:t>中存在围标串标等违法违规行为</w:t>
      </w:r>
      <w:r>
        <w:rPr>
          <w:rFonts w:hint="eastAsia" w:ascii="仿宋_GB2312" w:hAnsi="宋体" w:eastAsia="仿宋_GB2312"/>
          <w:bCs/>
          <w:color w:val="000000" w:themeColor="text1"/>
          <w:sz w:val="30"/>
          <w:szCs w:val="30"/>
          <w:lang w:eastAsia="zh-CN"/>
          <w14:textFill>
            <w14:solidFill>
              <w14:schemeClr w14:val="tx1"/>
            </w14:solidFill>
          </w14:textFill>
        </w:rPr>
        <w:t>的，</w:t>
      </w:r>
      <w:r>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t>一经发现，进行否决投标处理，其保证金不予退还。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p>
    <w:p>
      <w:pPr>
        <w:pStyle w:val="2"/>
        <w:rPr>
          <w:rFonts w:hint="eastAsia" w:ascii="仿宋_GB2312" w:eastAsia="仿宋_GB2312" w:cs="仿宋_GB2312" w:hAnsiTheme="minorEastAsia"/>
          <w:color w:val="000000" w:themeColor="text1"/>
          <w:sz w:val="30"/>
          <w:szCs w:val="30"/>
          <w:lang w:val="en-US" w:eastAsia="zh-CN"/>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lang w:val="en-US" w:eastAsia="zh-CN"/>
          <w14:textFill>
            <w14:solidFill>
              <w14:schemeClr w14:val="tx1"/>
            </w14:solidFill>
          </w14:textFill>
        </w:rPr>
        <w:t xml:space="preserve">第六章 </w:t>
      </w:r>
      <w:r>
        <w:rPr>
          <w:rFonts w:hint="eastAsia" w:ascii="黑体" w:hAnsi="黑体" w:eastAsia="黑体"/>
          <w:b/>
          <w:bCs/>
          <w:color w:val="000000" w:themeColor="text1"/>
          <w:sz w:val="36"/>
          <w:szCs w:val="36"/>
          <w14:textFill>
            <w14:solidFill>
              <w14:schemeClr w14:val="tx1"/>
            </w14:solidFill>
          </w14:textFill>
        </w:rPr>
        <w:t>投标文件要求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投标文件需按照以下顺序及相应文件提供：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附件1：报价单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附件2：资质证明文件（营业执照及相关资质文件）</w:t>
      </w:r>
    </w:p>
    <w:p>
      <w:pPr>
        <w:keepNext w:val="0"/>
        <w:keepLines w:val="0"/>
        <w:pageBreakBefore w:val="0"/>
        <w:kinsoku/>
        <w:wordWrap/>
        <w:overflowPunct/>
        <w:topLinePunct w:val="0"/>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附件3：中粮糖业廉洁承诺书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附件4：法定代表人资格证明书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w:t>
      </w:r>
      <w:r>
        <w:rPr>
          <w:rFonts w:hint="eastAsia" w:ascii="仿宋_GB2312" w:eastAsia="仿宋_GB2312" w:hAnsiTheme="minorEastAsia"/>
          <w:bCs/>
          <w:color w:val="000000" w:themeColor="text1"/>
          <w:sz w:val="30"/>
          <w:szCs w:val="30"/>
          <w:lang w:val="en-US" w:eastAsia="zh-CN"/>
          <w14:textFill>
            <w14:solidFill>
              <w14:schemeClr w14:val="tx1"/>
            </w14:solidFill>
          </w14:textFill>
        </w:rPr>
        <w:t>5</w:t>
      </w:r>
      <w:r>
        <w:rPr>
          <w:rFonts w:hint="eastAsia" w:ascii="仿宋_GB2312" w:eastAsia="仿宋_GB2312" w:hAnsiTheme="minorEastAsia"/>
          <w:bCs/>
          <w:color w:val="000000" w:themeColor="text1"/>
          <w:sz w:val="30"/>
          <w:szCs w:val="30"/>
          <w14:textFill>
            <w14:solidFill>
              <w14:schemeClr w14:val="tx1"/>
            </w14:solidFill>
          </w14:textFill>
        </w:rPr>
        <w:t>：法定代表人授权</w:t>
      </w:r>
      <w:r>
        <w:rPr>
          <w:rFonts w:hint="eastAsia" w:ascii="仿宋_GB2312" w:eastAsia="仿宋_GB2312" w:hAnsiTheme="minorEastAsia"/>
          <w:bCs/>
          <w:color w:val="000000" w:themeColor="text1"/>
          <w:sz w:val="30"/>
          <w:szCs w:val="30"/>
          <w:lang w:val="en-US" w:eastAsia="zh-CN"/>
          <w14:textFill>
            <w14:solidFill>
              <w14:schemeClr w14:val="tx1"/>
            </w14:solidFill>
          </w14:textFill>
        </w:rPr>
        <w:t>委托</w:t>
      </w:r>
      <w:r>
        <w:rPr>
          <w:rFonts w:hint="eastAsia" w:ascii="仿宋_GB2312" w:eastAsia="仿宋_GB2312" w:hAnsiTheme="minorEastAsia"/>
          <w:bCs/>
          <w:color w:val="000000" w:themeColor="text1"/>
          <w:sz w:val="30"/>
          <w:szCs w:val="30"/>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lang w:val="en-US" w:eastAsia="zh-CN"/>
          <w14:textFill>
            <w14:solidFill>
              <w14:schemeClr w14:val="tx1"/>
            </w14:solidFill>
          </w14:textFill>
        </w:rPr>
      </w:pPr>
      <w:r>
        <w:rPr>
          <w:rFonts w:hint="eastAsia" w:ascii="仿宋_GB2312" w:eastAsia="仿宋_GB2312" w:hAnsiTheme="minorEastAsia"/>
          <w:bCs/>
          <w:color w:val="000000" w:themeColor="text1"/>
          <w:sz w:val="30"/>
          <w:szCs w:val="30"/>
          <w14:textFill>
            <w14:solidFill>
              <w14:schemeClr w14:val="tx1"/>
            </w14:solidFill>
          </w14:textFill>
        </w:rPr>
        <w:t>附件</w:t>
      </w:r>
      <w:r>
        <w:rPr>
          <w:rFonts w:hint="eastAsia" w:ascii="仿宋_GB2312" w:eastAsia="仿宋_GB2312" w:hAnsiTheme="minorEastAsia"/>
          <w:bCs/>
          <w:color w:val="000000" w:themeColor="text1"/>
          <w:sz w:val="30"/>
          <w:szCs w:val="30"/>
          <w:lang w:val="en-US" w:eastAsia="zh-CN"/>
          <w14:textFill>
            <w14:solidFill>
              <w14:schemeClr w14:val="tx1"/>
            </w14:solidFill>
          </w14:textFill>
        </w:rPr>
        <w:t>6</w:t>
      </w:r>
      <w:r>
        <w:rPr>
          <w:rFonts w:hint="eastAsia" w:ascii="仿宋_GB2312" w:eastAsia="仿宋_GB2312" w:hAnsiTheme="minorEastAsia"/>
          <w:bCs/>
          <w:color w:val="000000" w:themeColor="text1"/>
          <w:sz w:val="30"/>
          <w:szCs w:val="30"/>
          <w14:textFill>
            <w14:solidFill>
              <w14:schemeClr w14:val="tx1"/>
            </w14:solidFill>
          </w14:textFill>
        </w:rPr>
        <w:t>：无重大违法记录声明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pStyle w:val="2"/>
        <w:rPr>
          <w:rFonts w:asciiTheme="minorEastAsia" w:hAnsiTheme="minorEastAsia" w:eastAsiaTheme="minorEastAsia"/>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附件1</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报价单</w:t>
      </w:r>
    </w:p>
    <w:p>
      <w:pPr>
        <w:pStyle w:val="14"/>
        <w:keepNext w:val="0"/>
        <w:keepLines w:val="0"/>
        <w:pageBreakBefore w:val="0"/>
        <w:kinsoku/>
        <w:overflowPunct/>
        <w:topLinePunct w:val="0"/>
        <w:bidi w:val="0"/>
        <w:snapToGrid/>
        <w:spacing w:line="360" w:lineRule="auto"/>
        <w:jc w:val="both"/>
        <w:rPr>
          <w:bCs/>
          <w:color w:val="000000" w:themeColor="text1"/>
          <w14:textFill>
            <w14:solidFill>
              <w14:schemeClr w14:val="tx1"/>
            </w14:solidFill>
          </w14:textFill>
        </w:rPr>
      </w:pPr>
    </w:p>
    <w:p>
      <w:pPr>
        <w:pStyle w:val="14"/>
        <w:tabs>
          <w:tab w:val="left" w:pos="2520"/>
          <w:tab w:val="left" w:pos="2700"/>
        </w:tabs>
        <w:spacing w:line="360" w:lineRule="auto"/>
        <w:rPr>
          <w:bCs/>
          <w:sz w:val="24"/>
          <w:szCs w:val="24"/>
        </w:rPr>
      </w:pPr>
      <w:r>
        <w:rPr>
          <w:rFonts w:hint="eastAsia"/>
          <w:bCs/>
          <w:sz w:val="24"/>
          <w:szCs w:val="24"/>
        </w:rPr>
        <w:t>报价人名称：</w:t>
      </w:r>
      <w:r>
        <w:rPr>
          <w:bCs/>
          <w:sz w:val="24"/>
          <w:szCs w:val="24"/>
          <w:u w:val="single"/>
        </w:rPr>
        <w:t xml:space="preserve">                       </w:t>
      </w:r>
    </w:p>
    <w:p>
      <w:pPr>
        <w:pStyle w:val="14"/>
        <w:tabs>
          <w:tab w:val="left" w:pos="5580"/>
          <w:tab w:val="left" w:pos="7020"/>
        </w:tabs>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bCs/>
          <w:sz w:val="24"/>
          <w:szCs w:val="24"/>
        </w:rPr>
        <w:t>货币单位：元（人民币）</w:t>
      </w:r>
    </w:p>
    <w:tbl>
      <w:tblPr>
        <w:tblStyle w:val="15"/>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不含税单价</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税率</w:t>
            </w:r>
            <w:r>
              <w:rPr>
                <w:rFonts w:ascii="宋体" w:hAnsi="宋体"/>
                <w:sz w:val="24"/>
              </w:rPr>
              <w:t>（</w:t>
            </w:r>
            <w:r>
              <w:rPr>
                <w:rFonts w:hint="eastAsia" w:ascii="宋体" w:hAnsi="宋体"/>
                <w:sz w:val="24"/>
              </w:rPr>
              <w:t>%</w:t>
            </w:r>
            <w:r>
              <w:rPr>
                <w:rFonts w:ascii="宋体" w:hAnsi="宋体"/>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含税单价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中央储备糖机械化出库</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Theme="minorEastAsia" w:hAnsiTheme="minorEastAsia" w:eastAsiaTheme="minorEastAsia"/>
                <w:sz w:val="24"/>
              </w:rPr>
              <w:t>吨</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34" w:type="dxa"/>
            <w:vMerge w:val="restart"/>
            <w:tcBorders>
              <w:top w:val="single" w:color="auto" w:sz="4" w:space="0"/>
              <w:left w:val="nil"/>
              <w:right w:val="single" w:color="auto" w:sz="4" w:space="0"/>
            </w:tcBorders>
            <w:vAlign w:val="center"/>
          </w:tcPr>
          <w:p>
            <w:pPr>
              <w:jc w:val="center"/>
              <w:rPr>
                <w:rFonts w:ascii="宋体" w:hAnsi="宋体"/>
                <w:sz w:val="24"/>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39"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34" w:type="dxa"/>
            <w:vMerge w:val="continue"/>
            <w:tcBorders>
              <w:left w:val="nil"/>
              <w:bottom w:val="single" w:color="auto" w:sz="4" w:space="0"/>
              <w:right w:val="single" w:color="auto" w:sz="4" w:space="0"/>
            </w:tcBorders>
            <w:vAlign w:val="center"/>
          </w:tcPr>
          <w:p>
            <w:pPr>
              <w:jc w:val="center"/>
              <w:rPr>
                <w:rFonts w:ascii="宋体" w:hAnsi="宋体"/>
                <w:sz w:val="24"/>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39"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gridAfter w:val="1"/>
          <w:wAfter w:w="39" w:type="dxa"/>
          <w:trHeight w:val="78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sz w:val="24"/>
              </w:rPr>
            </w:pPr>
          </w:p>
          <w:p>
            <w:pPr>
              <w:jc w:val="both"/>
              <w:rPr>
                <w:rFonts w:ascii="宋体" w:hAnsi="宋体"/>
                <w:sz w:val="24"/>
              </w:rPr>
            </w:pPr>
            <w:r>
              <w:rPr>
                <w:rFonts w:hint="eastAsia" w:ascii="宋体" w:hAnsi="宋体"/>
                <w:sz w:val="24"/>
              </w:rPr>
              <w:t>服务期：此批中央储备糖机械化出库完毕并结清所有费用为止</w:t>
            </w:r>
          </w:p>
          <w:p>
            <w:pPr>
              <w:jc w:val="center"/>
              <w:rPr>
                <w:rFonts w:ascii="宋体" w:hAnsi="宋体"/>
                <w:sz w:val="24"/>
              </w:rPr>
            </w:pPr>
          </w:p>
        </w:tc>
      </w:tr>
    </w:tbl>
    <w:p>
      <w:pPr>
        <w:pStyle w:val="8"/>
        <w:spacing w:line="360" w:lineRule="auto"/>
        <w:rPr>
          <w:rFonts w:hint="eastAsia"/>
          <w:sz w:val="24"/>
          <w:szCs w:val="24"/>
        </w:rPr>
      </w:pPr>
    </w:p>
    <w:p>
      <w:pPr>
        <w:pStyle w:val="8"/>
        <w:spacing w:line="360" w:lineRule="auto"/>
        <w:rPr>
          <w:rFonts w:hAnsi="宋体"/>
          <w:b/>
          <w:bCs/>
          <w:kern w:val="0"/>
          <w:sz w:val="24"/>
          <w:szCs w:val="24"/>
        </w:rPr>
      </w:pPr>
      <w:r>
        <w:rPr>
          <w:rFonts w:hint="eastAsia"/>
          <w:sz w:val="24"/>
          <w:szCs w:val="24"/>
        </w:rPr>
        <w:t>注：</w:t>
      </w:r>
    </w:p>
    <w:p>
      <w:pPr>
        <w:pStyle w:val="8"/>
        <w:numPr>
          <w:ilvl w:val="0"/>
          <w:numId w:val="4"/>
        </w:numPr>
        <w:spacing w:line="360" w:lineRule="auto"/>
        <w:rPr>
          <w:rFonts w:ascii="仿宋_GB2312" w:eastAsia="仿宋_GB2312"/>
          <w:sz w:val="24"/>
          <w:szCs w:val="24"/>
        </w:rPr>
      </w:pPr>
      <w:r>
        <w:rPr>
          <w:rFonts w:hint="eastAsia" w:ascii="仿宋_GB2312" w:hAnsi="宋体" w:eastAsia="仿宋_GB2312"/>
          <w:sz w:val="24"/>
          <w:szCs w:val="24"/>
        </w:rPr>
        <w:t>投标报价包含劳务费、管理费、机械费、保险费及其他所有成本费用的总和。</w:t>
      </w:r>
    </w:p>
    <w:p>
      <w:pPr>
        <w:pStyle w:val="8"/>
        <w:numPr>
          <w:ilvl w:val="0"/>
          <w:numId w:val="4"/>
        </w:numPr>
        <w:spacing w:line="360" w:lineRule="auto"/>
        <w:rPr>
          <w:rFonts w:ascii="仿宋_GB2312" w:eastAsia="仿宋_GB2312"/>
          <w:sz w:val="24"/>
          <w:szCs w:val="24"/>
        </w:rPr>
      </w:pPr>
      <w:r>
        <w:rPr>
          <w:rFonts w:hint="eastAsia" w:ascii="仿宋_GB2312" w:eastAsia="仿宋_GB2312"/>
          <w:sz w:val="24"/>
          <w:szCs w:val="24"/>
        </w:rPr>
        <w:t>因本项目发生的差旅费、通讯费、招待费、文印费用等其他费用，均由报价人自行承担。</w:t>
      </w:r>
    </w:p>
    <w:p>
      <w:pPr>
        <w:pStyle w:val="8"/>
        <w:numPr>
          <w:ilvl w:val="0"/>
          <w:numId w:val="4"/>
        </w:numPr>
        <w:spacing w:line="360" w:lineRule="auto"/>
        <w:rPr>
          <w:rFonts w:ascii="仿宋_GB2312" w:eastAsia="仿宋_GB2312"/>
          <w:sz w:val="24"/>
          <w:szCs w:val="24"/>
        </w:rPr>
      </w:pPr>
      <w:r>
        <w:rPr>
          <w:rFonts w:hint="eastAsia" w:ascii="仿宋_GB2312" w:eastAsia="仿宋_GB2312"/>
          <w:sz w:val="24"/>
          <w:szCs w:val="24"/>
        </w:rPr>
        <w:t>保留小数点后两位有效。</w:t>
      </w:r>
    </w:p>
    <w:p>
      <w:pPr>
        <w:pStyle w:val="14"/>
        <w:spacing w:line="360" w:lineRule="auto"/>
        <w:rPr>
          <w:bCs/>
          <w:sz w:val="24"/>
          <w:szCs w:val="24"/>
        </w:rPr>
      </w:pPr>
    </w:p>
    <w:p>
      <w:pPr>
        <w:pStyle w:val="14"/>
        <w:spacing w:line="360" w:lineRule="auto"/>
        <w:ind w:firstLine="3542" w:firstLineChars="1476"/>
        <w:rPr>
          <w:bCs/>
          <w:sz w:val="24"/>
          <w:szCs w:val="24"/>
        </w:rPr>
      </w:pPr>
      <w:r>
        <w:rPr>
          <w:rFonts w:hint="eastAsia"/>
          <w:bCs/>
          <w:sz w:val="24"/>
          <w:szCs w:val="24"/>
        </w:rPr>
        <w:t xml:space="preserve">         供应商</w:t>
      </w:r>
      <w:r>
        <w:rPr>
          <w:rFonts w:hint="eastAsia"/>
          <w:bCs/>
          <w:sz w:val="24"/>
          <w:szCs w:val="24"/>
          <w:lang w:eastAsia="zh-CN"/>
        </w:rPr>
        <w:t>：</w:t>
      </w:r>
      <w:r>
        <w:rPr>
          <w:rFonts w:hint="eastAsia"/>
          <w:bCs/>
          <w:sz w:val="24"/>
          <w:szCs w:val="24"/>
        </w:rPr>
        <w:t>（盖章）</w:t>
      </w:r>
    </w:p>
    <w:p>
      <w:pPr>
        <w:pStyle w:val="14"/>
        <w:spacing w:line="360" w:lineRule="auto"/>
        <w:ind w:firstLine="3542" w:firstLineChars="1476"/>
        <w:rPr>
          <w:bCs/>
          <w:sz w:val="24"/>
          <w:szCs w:val="24"/>
        </w:rPr>
      </w:pPr>
    </w:p>
    <w:p>
      <w:pPr>
        <w:pStyle w:val="14"/>
        <w:spacing w:line="360" w:lineRule="auto"/>
        <w:ind w:firstLine="3542" w:firstLineChars="1476"/>
        <w:rPr>
          <w:bCs/>
          <w:sz w:val="24"/>
          <w:szCs w:val="24"/>
        </w:rPr>
      </w:pPr>
      <w:r>
        <w:rPr>
          <w:rFonts w:hint="eastAsia"/>
          <w:bCs/>
          <w:sz w:val="24"/>
          <w:szCs w:val="24"/>
        </w:rPr>
        <w:t xml:space="preserve">     法定代表人或其授权代表（签字）：</w:t>
      </w:r>
      <w:r>
        <w:rPr>
          <w:bCs/>
          <w:sz w:val="24"/>
          <w:szCs w:val="24"/>
        </w:rPr>
        <w:t xml:space="preserve"> </w:t>
      </w:r>
    </w:p>
    <w:p>
      <w:pPr>
        <w:pStyle w:val="14"/>
        <w:spacing w:line="360" w:lineRule="auto"/>
        <w:ind w:firstLine="3542" w:firstLineChars="1476"/>
        <w:rPr>
          <w:bCs/>
          <w:sz w:val="24"/>
          <w:szCs w:val="24"/>
        </w:rPr>
      </w:pPr>
    </w:p>
    <w:p>
      <w:pPr>
        <w:pStyle w:val="14"/>
        <w:spacing w:line="360" w:lineRule="auto"/>
        <w:ind w:firstLine="3542" w:firstLineChars="1476"/>
        <w:rPr>
          <w:bCs/>
          <w:sz w:val="24"/>
          <w:szCs w:val="24"/>
        </w:rPr>
      </w:pPr>
      <w:r>
        <w:rPr>
          <w:rFonts w:hint="eastAsia"/>
          <w:bCs/>
          <w:sz w:val="24"/>
          <w:szCs w:val="24"/>
        </w:rPr>
        <w:t xml:space="preserve">        日期：</w:t>
      </w:r>
      <w:r>
        <w:rPr>
          <w:bCs/>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bCs/>
          <w:sz w:val="24"/>
          <w:szCs w:val="24"/>
        </w:rPr>
        <w:t xml:space="preserve"> </w:t>
      </w:r>
    </w:p>
    <w:p>
      <w:pPr>
        <w:keepNext w:val="0"/>
        <w:keepLines w:val="0"/>
        <w:pageBreakBefore w:val="0"/>
        <w:tabs>
          <w:tab w:val="left" w:pos="284"/>
        </w:tabs>
        <w:kinsoku/>
        <w:overflowPunct/>
        <w:topLinePunct w:val="0"/>
        <w:bidi w:val="0"/>
        <w:snapToGrid/>
        <w:spacing w:line="360" w:lineRule="auto"/>
        <w:jc w:val="both"/>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pStyle w:val="2"/>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附件2</w:t>
      </w:r>
    </w:p>
    <w:p>
      <w:pPr>
        <w:keepNext w:val="0"/>
        <w:keepLines w:val="0"/>
        <w:pageBreakBefore w:val="0"/>
        <w:tabs>
          <w:tab w:val="left" w:pos="284"/>
        </w:tabs>
        <w:kinsoku/>
        <w:overflowPunct/>
        <w:topLinePunct w:val="0"/>
        <w:bidi w:val="0"/>
        <w:snapToGrid/>
        <w:spacing w:line="360" w:lineRule="auto"/>
        <w:jc w:val="center"/>
        <w:rPr>
          <w:rFonts w:ascii="宋体" w:hAnsi="宋体"/>
          <w:bCs/>
          <w:color w:val="000000" w:themeColor="text1"/>
          <w:sz w:val="28"/>
          <w:szCs w:val="28"/>
          <w14:textFill>
            <w14:solidFill>
              <w14:schemeClr w14:val="tx1"/>
            </w14:solidFill>
          </w14:textFill>
        </w:rPr>
      </w:pPr>
      <w:r>
        <w:rPr>
          <w:rFonts w:hint="eastAsia" w:ascii="方正小标宋简体" w:eastAsia="方正小标宋简体"/>
          <w:b/>
          <w:bCs/>
          <w:sz w:val="32"/>
          <w:szCs w:val="32"/>
        </w:rPr>
        <w:t>资质证明文件（营业执照及相关资质文件）</w:t>
      </w: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r>
        <w:rPr>
          <w:rFonts w:ascii="仿宋_GB2312" w:hAnsi="仿宋_GB2312" w:eastAsia="仿宋_GB2312" w:cs="仿宋_GB2312"/>
          <w:bCs/>
          <w:color w:val="000000" w:themeColor="text1"/>
          <w:sz w:val="28"/>
          <w:szCs w:val="28"/>
          <w14:textFill>
            <w14:solidFill>
              <w14:schemeClr w14:val="tx1"/>
            </w14:solidFill>
          </w14:textFill>
        </w:rPr>
        <w:br w:type="textWrapping"/>
      </w:r>
    </w:p>
    <w:p>
      <w:pPr>
        <w:keepNext w:val="0"/>
        <w:keepLines w:val="0"/>
        <w:pageBreakBefore w:val="0"/>
        <w:tabs>
          <w:tab w:val="left" w:pos="284"/>
        </w:tabs>
        <w:kinsoku/>
        <w:overflowPunct/>
        <w:topLinePunct w:val="0"/>
        <w:bidi w:val="0"/>
        <w:snapToGrid/>
        <w:spacing w:line="360" w:lineRule="auto"/>
        <w:jc w:val="both"/>
        <w:rPr>
          <w:rFonts w:ascii="仿宋_GB2312" w:hAnsi="仿宋_GB2312" w:eastAsia="仿宋_GB2312" w:cs="仿宋_GB2312"/>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附件3</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中粮糖业廉洁承诺书</w:t>
      </w:r>
    </w:p>
    <w:p>
      <w:pPr>
        <w:pStyle w:val="8"/>
        <w:keepNext w:val="0"/>
        <w:keepLines w:val="0"/>
        <w:pageBreakBefore w:val="0"/>
        <w:kinsoku/>
        <w:overflowPunct/>
        <w:topLinePunct w:val="0"/>
        <w:bidi w:val="0"/>
        <w:snapToGrid/>
        <w:spacing w:line="360" w:lineRule="auto"/>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中粮糖业及下属分子公司：</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为积极配合贵公司进行的</w:t>
      </w:r>
      <w:r>
        <w:rPr>
          <w:rFonts w:hint="eastAsia" w:ascii="仿宋_GB2312" w:hAnsi="宋体" w:eastAsia="仿宋_GB2312"/>
          <w:color w:val="000000" w:themeColor="text1"/>
          <w:sz w:val="30"/>
          <w:szCs w:val="30"/>
          <w:lang w:val="en-US" w:eastAsia="zh-CN"/>
          <w14:textFill>
            <w14:solidFill>
              <w14:schemeClr w14:val="tx1"/>
            </w14:solidFill>
          </w14:textFill>
        </w:rPr>
        <w:t>中央储备糖机械化出库项目</w:t>
      </w:r>
      <w:r>
        <w:rPr>
          <w:rFonts w:hint="eastAsia" w:ascii="仿宋_GB2312" w:hAnsi="宋体" w:eastAsia="仿宋_GB2312"/>
          <w:color w:val="000000" w:themeColor="text1"/>
          <w:sz w:val="30"/>
          <w:szCs w:val="30"/>
          <w14:textFill>
            <w14:solidFill>
              <w14:schemeClr w14:val="tx1"/>
            </w14:solidFill>
          </w14:textFill>
        </w:rPr>
        <w:t>工作，有效遏制不公平竞争和违规违纪问题的发生，确保采购与招投标工作的公平、公正、公开，我们特向贵公司承诺如下事项：</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一、</w:t>
      </w:r>
      <w:r>
        <w:rPr>
          <w:rFonts w:hint="eastAsia" w:ascii="仿宋_GB2312" w:hAnsi="宋体" w:eastAsia="仿宋_GB2312"/>
          <w:color w:val="000000" w:themeColor="text1"/>
          <w:sz w:val="30"/>
          <w:szCs w:val="30"/>
          <w14:textFill>
            <w14:solidFill>
              <w14:schemeClr w14:val="tx1"/>
            </w14:solidFill>
          </w14:textFill>
        </w:rPr>
        <w:t>自觉遵守国家法律法规及中粮糖业有关廉政建设制度。</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二、</w:t>
      </w:r>
      <w:r>
        <w:rPr>
          <w:rFonts w:hint="eastAsia" w:ascii="仿宋_GB2312" w:hAnsi="宋体" w:eastAsia="仿宋_GB2312"/>
          <w:color w:val="000000" w:themeColor="text1"/>
          <w:sz w:val="30"/>
          <w:szCs w:val="30"/>
          <w14:textFill>
            <w14:solidFill>
              <w14:schemeClr w14:val="tx1"/>
            </w14:solidFill>
          </w14:textFill>
        </w:rPr>
        <w:t>不使用不正当手段妨碍、排挤其它投标单位或串通投标。</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三、</w:t>
      </w:r>
      <w:r>
        <w:rPr>
          <w:rFonts w:hint="eastAsia" w:ascii="仿宋_GB2312" w:hAnsi="宋体" w:eastAsia="仿宋_GB2312"/>
          <w:color w:val="000000" w:themeColor="text1"/>
          <w:sz w:val="30"/>
          <w:szCs w:val="30"/>
          <w14:textFill>
            <w14:solidFill>
              <w14:schemeClr w14:val="tx1"/>
            </w14:solidFill>
          </w14:textFill>
        </w:rPr>
        <w:t>按照采购文件规定的方式进行投标，不隐瞒本单位投标资质的真实情况，投标资质符合规定；保证不会以其他人名义投标或者以其他方式弄虚作假，骗取中标。</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四、</w:t>
      </w:r>
      <w:r>
        <w:rPr>
          <w:rFonts w:hint="eastAsia" w:ascii="仿宋_GB2312" w:hAnsi="宋体" w:eastAsia="仿宋_GB2312"/>
          <w:color w:val="000000" w:themeColor="text1"/>
          <w:sz w:val="30"/>
          <w:szCs w:val="30"/>
          <w14:textFill>
            <w14:solidFill>
              <w14:schemeClr w14:val="tx1"/>
            </w14:solidFill>
          </w14:textFill>
        </w:rPr>
        <w:t>不将主体、关键性工作进行分包（包括贴牌生产、转包等）。</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五、</w:t>
      </w:r>
      <w:r>
        <w:rPr>
          <w:rFonts w:hint="eastAsia" w:ascii="仿宋_GB2312" w:hAnsi="宋体" w:eastAsia="仿宋_GB2312"/>
          <w:color w:val="000000" w:themeColor="text1"/>
          <w:sz w:val="30"/>
          <w:szCs w:val="30"/>
          <w14:textFill>
            <w14:solidFill>
              <w14:schemeClr w14:val="tx1"/>
            </w14:solidFill>
          </w14:textFill>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六、</w:t>
      </w:r>
      <w:r>
        <w:rPr>
          <w:rFonts w:hint="eastAsia" w:ascii="仿宋_GB2312" w:hAnsi="宋体" w:eastAsia="仿宋_GB2312"/>
          <w:color w:val="000000" w:themeColor="text1"/>
          <w:sz w:val="30"/>
          <w:szCs w:val="30"/>
          <w14:textFill>
            <w14:solidFill>
              <w14:schemeClr w14:val="tx1"/>
            </w14:solidFill>
          </w14:textFill>
        </w:rPr>
        <w:t>不向贵公司涉及采购与招投标的部门及个人支付好处费、介绍费；购置或提供通讯工具、交通工具、电脑等。</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七、</w:t>
      </w:r>
      <w:r>
        <w:rPr>
          <w:rFonts w:hint="eastAsia" w:ascii="仿宋_GB2312" w:hAnsi="宋体" w:eastAsia="仿宋_GB2312"/>
          <w:color w:val="000000" w:themeColor="text1"/>
          <w:sz w:val="30"/>
          <w:szCs w:val="30"/>
          <w14:textFill>
            <w14:solidFill>
              <w14:schemeClr w14:val="tx1"/>
            </w14:solidFill>
          </w14:textFill>
        </w:rPr>
        <w:t>经查实对于参与串通行为的投标人，其中标无效，列入供应商黑名单，并对投标人处中标项目金额千分之五以上千分之十以下的罚款</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如事后查实无法追溯的仅列入供应商黑名单</w:t>
      </w:r>
      <w:r>
        <w:rPr>
          <w:rFonts w:hint="eastAsia" w:ascii="仿宋_GB2312" w:hAnsi="宋体" w:eastAsia="仿宋_GB2312"/>
          <w:color w:val="000000" w:themeColor="text1"/>
          <w:sz w:val="30"/>
          <w:szCs w:val="30"/>
          <w:lang w:eastAsia="zh-CN"/>
          <w14:textFill>
            <w14:solidFill>
              <w14:schemeClr w14:val="tx1"/>
            </w14:solidFill>
          </w14:textFill>
        </w:rPr>
        <w:t>，</w:t>
      </w:r>
      <w:r>
        <w:rPr>
          <w:rFonts w:hint="eastAsia" w:ascii="仿宋_GB2312" w:hAnsi="宋体" w:eastAsia="仿宋_GB2312"/>
          <w:color w:val="000000" w:themeColor="text1"/>
          <w:sz w:val="30"/>
          <w:szCs w:val="30"/>
          <w14:textFill>
            <w14:solidFill>
              <w14:schemeClr w14:val="tx1"/>
            </w14:solidFill>
          </w14:textFill>
        </w:rPr>
        <w:t>加大不诚信供应商的违规成本。</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八、</w:t>
      </w:r>
      <w:r>
        <w:rPr>
          <w:rFonts w:hint="eastAsia" w:ascii="仿宋_GB2312" w:hAnsi="宋体" w:eastAsia="仿宋_GB2312"/>
          <w:color w:val="000000" w:themeColor="text1"/>
          <w:sz w:val="30"/>
          <w:szCs w:val="30"/>
          <w14:textFill>
            <w14:solidFill>
              <w14:schemeClr w14:val="tx1"/>
            </w14:solidFill>
          </w14:textFill>
        </w:rPr>
        <w:t>一旦发现相关人员在招标过程中有索要财物等不廉洁行为，坚决予以抵制，并及时向贵公司纪委办公室举报。</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九、</w:t>
      </w:r>
      <w:r>
        <w:rPr>
          <w:rFonts w:hint="eastAsia" w:ascii="仿宋_GB2312" w:hAnsi="宋体" w:eastAsia="仿宋_GB2312"/>
          <w:color w:val="000000" w:themeColor="text1"/>
          <w:sz w:val="30"/>
          <w:szCs w:val="30"/>
          <w14:textFill>
            <w14:solidFill>
              <w14:schemeClr w14:val="tx1"/>
            </w14:solidFill>
          </w14:textFill>
        </w:rPr>
        <w:t>我方自愿将本承诺书作为投标文件及合同的附件，具有同等的法律效力。</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十、</w:t>
      </w:r>
      <w:r>
        <w:rPr>
          <w:rFonts w:hint="eastAsia" w:ascii="仿宋_GB2312" w:hAnsi="宋体" w:eastAsia="仿宋_GB2312"/>
          <w:color w:val="000000" w:themeColor="text1"/>
          <w:sz w:val="30"/>
          <w:szCs w:val="30"/>
          <w14:textFill>
            <w14:solidFill>
              <w14:schemeClr w14:val="tx1"/>
            </w14:solidFill>
          </w14:textFill>
        </w:rPr>
        <w:t>若违反上述承诺或违反有关法律法规及贵公司有关规定，我方自愿永久放弃参与贵公司的所有业务往来，并承担贵公司制度规定的一切法律责任。</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十一、</w:t>
      </w:r>
      <w:r>
        <w:rPr>
          <w:rFonts w:hint="eastAsia" w:ascii="仿宋_GB2312" w:hAnsi="宋体" w:eastAsia="仿宋_GB2312"/>
          <w:color w:val="000000" w:themeColor="text1"/>
          <w:sz w:val="30"/>
          <w:szCs w:val="30"/>
          <w14:textFill>
            <w14:solidFill>
              <w14:schemeClr w14:val="tx1"/>
            </w14:solidFill>
          </w14:textFill>
        </w:rPr>
        <w:t>本承诺书自签署之日起生效。</w:t>
      </w:r>
    </w:p>
    <w:p>
      <w:pPr>
        <w:pStyle w:val="8"/>
        <w:keepNext w:val="0"/>
        <w:keepLines w:val="0"/>
        <w:pageBreakBefore w:val="0"/>
        <w:kinsoku/>
        <w:overflowPunct/>
        <w:topLinePunct w:val="0"/>
        <w:bidi w:val="0"/>
        <w:snapToGrid/>
        <w:spacing w:line="360" w:lineRule="auto"/>
        <w:jc w:val="both"/>
        <w:rPr>
          <w:rFonts w:hint="eastAsia" w:ascii="仿宋_GB2312" w:hAnsi="宋体" w:eastAsia="仿宋_GB2312"/>
          <w:color w:val="000000" w:themeColor="text1"/>
          <w:sz w:val="30"/>
          <w:szCs w:val="30"/>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仿宋_GB2312" w:hAnsi="宋体" w:eastAsia="仿宋_GB2312"/>
          <w:color w:val="000000" w:themeColor="text1"/>
          <w:sz w:val="30"/>
          <w:szCs w:val="30"/>
          <w14:textFill>
            <w14:solidFill>
              <w14:schemeClr w14:val="tx1"/>
            </w14:solidFill>
          </w14:textFill>
        </w:rPr>
      </w:pPr>
    </w:p>
    <w:p>
      <w:pPr>
        <w:pStyle w:val="8"/>
        <w:keepNext w:val="0"/>
        <w:keepLines w:val="0"/>
        <w:pageBreakBefore w:val="0"/>
        <w:kinsoku/>
        <w:overflowPunct/>
        <w:topLinePunct w:val="0"/>
        <w:bidi w:val="0"/>
        <w:snapToGrid/>
        <w:spacing w:line="360" w:lineRule="auto"/>
        <w:jc w:val="both"/>
        <w:rPr>
          <w:rFonts w:hint="eastAsia" w:ascii="仿宋_GB2312" w:hAnsi="宋体" w:eastAsia="仿宋_GB2312"/>
          <w:color w:val="000000" w:themeColor="text1"/>
          <w:sz w:val="30"/>
          <w:szCs w:val="30"/>
          <w14:textFill>
            <w14:solidFill>
              <w14:schemeClr w14:val="tx1"/>
            </w14:solidFill>
          </w14:textFill>
        </w:rPr>
      </w:pPr>
    </w:p>
    <w:p>
      <w:pPr>
        <w:pStyle w:val="8"/>
        <w:keepNext w:val="0"/>
        <w:keepLines w:val="0"/>
        <w:pageBreakBefore w:val="0"/>
        <w:kinsoku/>
        <w:overflowPunct/>
        <w:topLinePunct w:val="0"/>
        <w:bidi w:val="0"/>
        <w:snapToGrid/>
        <w:spacing w:line="360" w:lineRule="auto"/>
        <w:ind w:firstLine="3600" w:firstLineChars="12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投标单位（公章）：</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p>
    <w:p>
      <w:pPr>
        <w:pStyle w:val="8"/>
        <w:keepNext w:val="0"/>
        <w:keepLines w:val="0"/>
        <w:pageBreakBefore w:val="0"/>
        <w:kinsoku/>
        <w:overflowPunct/>
        <w:topLinePunct w:val="0"/>
        <w:bidi w:val="0"/>
        <w:snapToGrid/>
        <w:spacing w:line="360" w:lineRule="auto"/>
        <w:ind w:firstLine="2700" w:firstLineChars="9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法定代表人或授权代理人（签名）： </w:t>
      </w:r>
    </w:p>
    <w:p>
      <w:pPr>
        <w:pStyle w:val="8"/>
        <w:keepNext w:val="0"/>
        <w:keepLines w:val="0"/>
        <w:pageBreakBefore w:val="0"/>
        <w:kinsoku/>
        <w:overflowPunct/>
        <w:topLinePunct w:val="0"/>
        <w:bidi w:val="0"/>
        <w:snapToGrid/>
        <w:spacing w:line="360" w:lineRule="auto"/>
        <w:ind w:firstLine="600" w:firstLineChars="200"/>
        <w:jc w:val="both"/>
        <w:rPr>
          <w:rFonts w:hint="eastAsia" w:ascii="仿宋_GB2312" w:hAnsi="宋体" w:eastAsia="仿宋_GB2312"/>
          <w:color w:val="000000" w:themeColor="text1"/>
          <w:sz w:val="30"/>
          <w:szCs w:val="30"/>
          <w14:textFill>
            <w14:solidFill>
              <w14:schemeClr w14:val="tx1"/>
            </w14:solidFill>
          </w14:textFill>
        </w:rPr>
      </w:pPr>
    </w:p>
    <w:p>
      <w:pPr>
        <w:pStyle w:val="8"/>
        <w:keepNext w:val="0"/>
        <w:keepLines w:val="0"/>
        <w:pageBreakBefore w:val="0"/>
        <w:kinsoku/>
        <w:overflowPunct/>
        <w:topLinePunct w:val="0"/>
        <w:bidi w:val="0"/>
        <w:snapToGrid/>
        <w:spacing w:line="360" w:lineRule="auto"/>
        <w:ind w:firstLine="5100" w:firstLineChars="1700"/>
        <w:jc w:val="both"/>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日期： </w:t>
      </w:r>
      <w:r>
        <w:rPr>
          <w:rFonts w:hint="eastAsia" w:ascii="仿宋_GB2312" w:hAnsi="宋体" w:eastAsia="仿宋_GB2312"/>
          <w:color w:val="000000" w:themeColor="text1"/>
          <w:sz w:val="30"/>
          <w:szCs w:val="30"/>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年</w:t>
      </w:r>
      <w:r>
        <w:rPr>
          <w:rFonts w:hint="eastAsia" w:ascii="仿宋_GB2312" w:hAnsi="宋体" w:eastAsia="仿宋_GB2312"/>
          <w:color w:val="000000" w:themeColor="text1"/>
          <w:sz w:val="30"/>
          <w:szCs w:val="30"/>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 xml:space="preserve"> 月</w:t>
      </w:r>
      <w:r>
        <w:rPr>
          <w:rFonts w:hint="eastAsia" w:ascii="仿宋_GB2312" w:hAnsi="宋体" w:eastAsia="仿宋_GB2312"/>
          <w:color w:val="000000" w:themeColor="text1"/>
          <w:sz w:val="30"/>
          <w:szCs w:val="30"/>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 xml:space="preserve"> 日</w:t>
      </w: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附件4</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rPr>
        <w:t>法定代表人资格证明书</w:t>
      </w:r>
    </w:p>
    <w:p>
      <w:pPr>
        <w:pStyle w:val="14"/>
        <w:keepNext w:val="0"/>
        <w:keepLines w:val="0"/>
        <w:pageBreakBefore w:val="0"/>
        <w:kinsoku/>
        <w:overflowPunct/>
        <w:topLinePunct w:val="0"/>
        <w:bidi w:val="0"/>
        <w:snapToGrid/>
        <w:spacing w:line="360" w:lineRule="auto"/>
        <w:jc w:val="both"/>
        <w:rPr>
          <w:rFonts w:hint="eastAsia" w:ascii="仿宋_GB2312" w:hAnsi="Calibri" w:eastAsia="仿宋_GB2312" w:cs="宋体"/>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r>
        <w:rPr>
          <w:rFonts w:hint="eastAsia" w:ascii="仿宋_GB2312" w:hAnsi="Calibri" w:eastAsia="仿宋_GB2312" w:cs="宋体"/>
          <w:color w:val="000000" w:themeColor="text1"/>
          <w:sz w:val="30"/>
          <w:szCs w:val="30"/>
          <w14:textFill>
            <w14:solidFill>
              <w14:schemeClr w14:val="tx1"/>
            </w14:solidFill>
          </w14:textFill>
        </w:rPr>
        <w:t>致  （采购人）           ：</w:t>
      </w: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r>
        <w:rPr>
          <w:rFonts w:hint="eastAsia" w:ascii="仿宋_GB2312" w:hAnsi="Calibri" w:eastAsia="仿宋_GB2312" w:cs="宋体"/>
          <w:color w:val="000000" w:themeColor="text1"/>
          <w:sz w:val="30"/>
          <w:szCs w:val="30"/>
          <w14:textFill>
            <w14:solidFill>
              <w14:schemeClr w14:val="tx1"/>
            </w14:solidFill>
          </w14:textFill>
        </w:rPr>
        <w:t xml:space="preserve">     兹证明            （姓名），性别      年龄      身份证号码        现任我单位         职务，系本单位法定代表人（负责人）。</w:t>
      </w: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r>
        <w:rPr>
          <w:rFonts w:hint="eastAsia" w:ascii="仿宋_GB2312" w:hAnsi="Calibri" w:eastAsia="仿宋_GB2312" w:cs="宋体"/>
          <w:color w:val="000000" w:themeColor="text1"/>
          <w:sz w:val="30"/>
          <w:szCs w:val="30"/>
          <w14:textFill>
            <w14:solidFill>
              <w14:schemeClr w14:val="tx1"/>
            </w14:solidFill>
          </w14:textFill>
        </w:rPr>
        <w:t>附：法定代表人性别：           身份证号码：</w:t>
      </w:r>
    </w:p>
    <w:p>
      <w:pPr>
        <w:pStyle w:val="14"/>
        <w:keepNext w:val="0"/>
        <w:keepLines w:val="0"/>
        <w:pageBreakBefore w:val="0"/>
        <w:kinsoku/>
        <w:overflowPunct/>
        <w:topLinePunct w:val="0"/>
        <w:bidi w:val="0"/>
        <w:snapToGrid/>
        <w:spacing w:line="360" w:lineRule="auto"/>
        <w:jc w:val="both"/>
        <w:rPr>
          <w:rFonts w:ascii="仿宋_GB2312" w:hAnsi="宋体" w:eastAsia="仿宋_GB2312"/>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宋体" w:eastAsia="仿宋_GB2312"/>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宋体" w:eastAsia="仿宋_GB2312"/>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宋体" w:eastAsia="仿宋_GB2312"/>
          <w:color w:val="000000" w:themeColor="text1"/>
          <w:sz w:val="30"/>
          <w:szCs w:val="30"/>
          <w14:textFill>
            <w14:solidFill>
              <w14:schemeClr w14:val="tx1"/>
            </w14:solidFill>
          </w14:textFill>
        </w:rPr>
      </w:pP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r>
        <w:rPr>
          <w:rFonts w:hint="eastAsia" w:ascii="仿宋_GB2312" w:hAnsi="Calibri" w:eastAsia="仿宋_GB2312" w:cs="宋体"/>
          <w:color w:val="000000" w:themeColor="text1"/>
          <w:sz w:val="30"/>
          <w:szCs w:val="30"/>
          <w14:textFill>
            <w14:solidFill>
              <w14:schemeClr w14:val="tx1"/>
            </w14:solidFill>
          </w14:textFill>
        </w:rPr>
        <w:t xml:space="preserve">                                      供应商名称：（盖章）</w:t>
      </w:r>
    </w:p>
    <w:p>
      <w:pPr>
        <w:pStyle w:val="14"/>
        <w:keepNext w:val="0"/>
        <w:keepLines w:val="0"/>
        <w:pageBreakBefore w:val="0"/>
        <w:kinsoku/>
        <w:overflowPunct/>
        <w:topLinePunct w:val="0"/>
        <w:bidi w:val="0"/>
        <w:snapToGrid/>
        <w:spacing w:line="360" w:lineRule="auto"/>
        <w:jc w:val="both"/>
        <w:rPr>
          <w:rFonts w:ascii="仿宋_GB2312" w:hAnsi="Calibri" w:eastAsia="仿宋_GB2312" w:cs="宋体"/>
          <w:color w:val="000000" w:themeColor="text1"/>
          <w:sz w:val="30"/>
          <w:szCs w:val="30"/>
          <w14:textFill>
            <w14:solidFill>
              <w14:schemeClr w14:val="tx1"/>
            </w14:solidFill>
          </w14:textFill>
        </w:rPr>
      </w:pPr>
      <w:r>
        <w:rPr>
          <w:rFonts w:hint="eastAsia" w:ascii="仿宋_GB2312" w:hAnsi="Calibri" w:eastAsia="仿宋_GB2312" w:cs="宋体"/>
          <w:color w:val="000000" w:themeColor="text1"/>
          <w:sz w:val="30"/>
          <w:szCs w:val="30"/>
          <w14:textFill>
            <w14:solidFill>
              <w14:schemeClr w14:val="tx1"/>
            </w14:solidFill>
          </w14:textFill>
        </w:rPr>
        <w:t xml:space="preserve">                                  日期：       年    月   日</w:t>
      </w:r>
    </w:p>
    <w:tbl>
      <w:tblPr>
        <w:tblStyle w:val="15"/>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9511"/>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PrEx>
        <w:trPr>
          <w:trHeight w:val="4736" w:hRule="atLeast"/>
        </w:trPr>
        <w:tc>
          <w:tcPr>
            <w:tcW w:w="9511" w:type="dxa"/>
          </w:tcPr>
          <w:p>
            <w:pPr>
              <w:keepNext w:val="0"/>
              <w:keepLines w:val="0"/>
              <w:pageBreakBefore w:val="0"/>
              <w:kinsoku/>
              <w:overflowPunct/>
              <w:topLinePunct w:val="0"/>
              <w:bidi w:val="0"/>
              <w:snapToGrid/>
              <w:spacing w:line="360" w:lineRule="auto"/>
              <w:ind w:firstLine="300" w:firstLineChars="100"/>
              <w:jc w:val="both"/>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粘贴法定代表人（身份证复印件）</w:t>
            </w:r>
          </w:p>
        </w:tc>
      </w:tr>
    </w:tbl>
    <w:p>
      <w:pPr>
        <w:keepNext w:val="0"/>
        <w:keepLines w:val="0"/>
        <w:pageBreakBefore w:val="0"/>
        <w:kinsoku/>
        <w:wordWrap/>
        <w:overflowPunct/>
        <w:topLinePunct w:val="0"/>
        <w:bidi w:val="0"/>
        <w:adjustRightInd/>
        <w:snapToGrid/>
        <w:spacing w:line="360" w:lineRule="auto"/>
        <w:textAlignment w:val="auto"/>
        <w:rPr>
          <w:rFonts w:hint="eastAsia"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附件5</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rPr>
      </w:pPr>
      <w:r>
        <w:rPr>
          <w:rFonts w:hint="eastAsia" w:ascii="方正小标宋简体" w:eastAsia="方正小标宋简体"/>
          <w:b/>
          <w:bCs/>
          <w:sz w:val="32"/>
          <w:szCs w:val="32"/>
          <w:lang w:val="en-US" w:eastAsia="zh-CN"/>
        </w:rPr>
        <w:t>法定代表人</w:t>
      </w:r>
      <w:r>
        <w:rPr>
          <w:rFonts w:hint="eastAsia" w:ascii="方正小标宋简体" w:eastAsia="方正小标宋简体"/>
          <w:b/>
          <w:bCs/>
          <w:sz w:val="32"/>
          <w:szCs w:val="32"/>
        </w:rPr>
        <w:t>授权委托书</w:t>
      </w:r>
    </w:p>
    <w:p>
      <w:pPr>
        <w:keepNext w:val="0"/>
        <w:keepLines w:val="0"/>
        <w:pageBreakBefore w:val="0"/>
        <w:kinsoku/>
        <w:overflowPunct/>
        <w:topLinePunct w:val="0"/>
        <w:bidi w:val="0"/>
        <w:snapToGrid/>
        <w:spacing w:line="360" w:lineRule="auto"/>
        <w:jc w:val="both"/>
        <w:rPr>
          <w:b/>
          <w:color w:val="000000" w:themeColor="text1"/>
          <w:sz w:val="44"/>
          <w:szCs w:val="44"/>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委托人：</w:t>
      </w:r>
      <w:r>
        <w:rPr>
          <w:rFonts w:hint="eastAsia" w:ascii="楷体_GB2312" w:eastAsia="楷体_GB2312"/>
          <w:b/>
          <w:color w:val="000000" w:themeColor="text1"/>
          <w:sz w:val="30"/>
          <w:szCs w:val="30"/>
          <w14:textFill>
            <w14:solidFill>
              <w14:schemeClr w14:val="tx1"/>
            </w14:solidFill>
          </w14:textFill>
        </w:rPr>
        <w:t>XXXXXX公司</w:t>
      </w:r>
    </w:p>
    <w:p>
      <w:pPr>
        <w:keepNext w:val="0"/>
        <w:keepLines w:val="0"/>
        <w:pageBreakBefore w:val="0"/>
        <w:kinsoku/>
        <w:overflowPunct/>
        <w:topLinePunct w:val="0"/>
        <w:bidi w:val="0"/>
        <w:snapToGrid/>
        <w:spacing w:line="360" w:lineRule="auto"/>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住所：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eastAsia="仿宋_GB2312" w:hAnsiTheme="minorEastAsia"/>
          <w:bCs/>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法定代表人（或负责人）：</w:t>
      </w:r>
    </w:p>
    <w:p>
      <w:pPr>
        <w:keepNext w:val="0"/>
        <w:keepLines w:val="0"/>
        <w:pageBreakBefore w:val="0"/>
        <w:kinsoku/>
        <w:overflowPunct/>
        <w:topLinePunct w:val="0"/>
        <w:bidi w:val="0"/>
        <w:snapToGrid/>
        <w:spacing w:line="360" w:lineRule="auto"/>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代理人：</w:t>
      </w:r>
      <w:r>
        <w:rPr>
          <w:rFonts w:hint="eastAsia" w:ascii="楷体_GB2312" w:eastAsia="楷体_GB2312"/>
          <w:b/>
          <w:color w:val="000000" w:themeColor="text1"/>
          <w:sz w:val="30"/>
          <w:szCs w:val="30"/>
          <w14:textFill>
            <w14:solidFill>
              <w14:schemeClr w14:val="tx1"/>
            </w14:solidFill>
          </w14:textFill>
        </w:rPr>
        <w:t>XXX</w:t>
      </w:r>
      <w:r>
        <w:rPr>
          <w:rFonts w:hint="eastAsia" w:ascii="楷体_GB2312" w:eastAsia="楷体_GB2312"/>
          <w:color w:val="000000" w:themeColor="text1"/>
          <w:sz w:val="30"/>
          <w:szCs w:val="30"/>
          <w14:textFill>
            <w14:solidFill>
              <w14:schemeClr w14:val="tx1"/>
            </w14:solidFill>
          </w14:textFill>
        </w:rPr>
        <w:t>，男或女， 年 月 日出生，身份证号码：</w:t>
      </w:r>
      <w:r>
        <w:rPr>
          <w:rFonts w:hint="eastAsia" w:ascii="楷体_GB2312" w:eastAsia="楷体_GB2312"/>
          <w:b/>
          <w:color w:val="000000" w:themeColor="text1"/>
          <w:sz w:val="30"/>
          <w:szCs w:val="30"/>
          <w14:textFill>
            <w14:solidFill>
              <w14:schemeClr w14:val="tx1"/>
            </w14:solidFill>
          </w14:textFill>
        </w:rPr>
        <w:t>XXXXXXXXXXXXXX</w:t>
      </w:r>
      <w:r>
        <w:rPr>
          <w:rFonts w:hint="eastAsia" w:ascii="楷体_GB2312" w:eastAsia="楷体_GB2312"/>
          <w:color w:val="000000" w:themeColor="text1"/>
          <w:sz w:val="30"/>
          <w:szCs w:val="30"/>
          <w14:textFill>
            <w14:solidFill>
              <w14:schemeClr w14:val="tx1"/>
            </w14:solidFill>
          </w14:textFill>
        </w:rPr>
        <w:t>,系</w:t>
      </w:r>
      <w:r>
        <w:rPr>
          <w:rFonts w:hint="eastAsia" w:ascii="楷体_GB2312" w:eastAsia="楷体_GB2312"/>
          <w:b/>
          <w:color w:val="000000" w:themeColor="text1"/>
          <w:sz w:val="30"/>
          <w:szCs w:val="30"/>
          <w14:textFill>
            <w14:solidFill>
              <w14:schemeClr w14:val="tx1"/>
            </w14:solidFill>
          </w14:textFill>
        </w:rPr>
        <w:t>XXXXX</w:t>
      </w:r>
      <w:r>
        <w:rPr>
          <w:rFonts w:hint="eastAsia" w:ascii="楷体_GB2312" w:eastAsia="楷体_GB2312"/>
          <w:color w:val="000000" w:themeColor="text1"/>
          <w:sz w:val="30"/>
          <w:szCs w:val="30"/>
          <w14:textFill>
            <w14:solidFill>
              <w14:schemeClr w14:val="tx1"/>
            </w14:solidFill>
          </w14:textFill>
        </w:rPr>
        <w:t>单位职工，现住</w:t>
      </w:r>
      <w:r>
        <w:rPr>
          <w:rFonts w:hint="eastAsia" w:ascii="楷体_GB2312" w:eastAsia="楷体_GB2312"/>
          <w:b/>
          <w:color w:val="000000" w:themeColor="text1"/>
          <w:sz w:val="30"/>
          <w:szCs w:val="30"/>
          <w14:textFill>
            <w14:solidFill>
              <w14:schemeClr w14:val="tx1"/>
            </w14:solidFill>
          </w14:textFill>
        </w:rPr>
        <w:t>XXXXXXX</w:t>
      </w:r>
      <w:r>
        <w:rPr>
          <w:rFonts w:hint="eastAsia" w:ascii="楷体_GB2312" w:eastAsia="楷体_GB2312"/>
          <w:color w:val="000000" w:themeColor="text1"/>
          <w:sz w:val="30"/>
          <w:szCs w:val="30"/>
          <w14:textFill>
            <w14:solidFill>
              <w14:schemeClr w14:val="tx1"/>
            </w14:solidFill>
          </w14:textFill>
        </w:rPr>
        <w:t>.</w:t>
      </w:r>
    </w:p>
    <w:p>
      <w:pPr>
        <w:keepNext w:val="0"/>
        <w:keepLines w:val="0"/>
        <w:pageBreakBefore w:val="0"/>
        <w:kinsoku/>
        <w:overflowPunct/>
        <w:topLinePunct w:val="0"/>
        <w:bidi w:val="0"/>
        <w:snapToGrid/>
        <w:spacing w:line="360" w:lineRule="auto"/>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授权事项：</w:t>
      </w:r>
    </w:p>
    <w:p>
      <w:pPr>
        <w:keepNext w:val="0"/>
        <w:keepLines w:val="0"/>
        <w:pageBreakBefore w:val="0"/>
        <w:kinsoku/>
        <w:overflowPunct/>
        <w:topLinePunct w:val="0"/>
        <w:bidi w:val="0"/>
        <w:snapToGrid/>
        <w:spacing w:line="360" w:lineRule="auto"/>
        <w:ind w:firstLine="588" w:firstLineChars="196"/>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1、委托人委托代理人</w:t>
      </w:r>
      <w:r>
        <w:rPr>
          <w:rFonts w:hint="eastAsia" w:ascii="楷体_GB2312" w:eastAsia="楷体_GB2312"/>
          <w:b/>
          <w:color w:val="000000" w:themeColor="text1"/>
          <w:sz w:val="30"/>
          <w:szCs w:val="30"/>
          <w14:textFill>
            <w14:solidFill>
              <w14:schemeClr w14:val="tx1"/>
            </w14:solidFill>
          </w14:textFill>
        </w:rPr>
        <w:t>XXX</w:t>
      </w:r>
      <w:r>
        <w:rPr>
          <w:rFonts w:hint="eastAsia" w:ascii="楷体_GB2312" w:eastAsia="楷体_GB2312"/>
          <w:color w:val="000000" w:themeColor="text1"/>
          <w:sz w:val="30"/>
          <w:szCs w:val="30"/>
          <w14:textFill>
            <w14:solidFill>
              <w14:schemeClr w14:val="tx1"/>
            </w14:solidFill>
          </w14:textFill>
        </w:rPr>
        <w:t>代表委托人参加XX</w:t>
      </w:r>
      <w:r>
        <w:rPr>
          <w:rFonts w:hint="eastAsia" w:ascii="楷体_GB2312" w:eastAsia="楷体_GB2312"/>
          <w:b/>
          <w:color w:val="000000" w:themeColor="text1"/>
          <w:sz w:val="30"/>
          <w:szCs w:val="30"/>
          <w14:textFill>
            <w14:solidFill>
              <w14:schemeClr w14:val="tx1"/>
            </w14:solidFill>
          </w14:textFill>
        </w:rPr>
        <w:t>集团公司及所属各级单位</w:t>
      </w:r>
      <w:r>
        <w:rPr>
          <w:rFonts w:hint="eastAsia" w:ascii="楷体_GB2312" w:eastAsia="楷体_GB2312"/>
          <w:color w:val="000000" w:themeColor="text1"/>
          <w:sz w:val="30"/>
          <w:szCs w:val="30"/>
          <w14:textFill>
            <w14:solidFill>
              <w14:schemeClr w14:val="tx1"/>
            </w14:solidFill>
          </w14:textFill>
        </w:rPr>
        <w:t>的招标或议标活动，以委托人的名义全权办理招标或议标过程中的投标、报价、议标谈判等一切与招标或议标相关的事宜。</w:t>
      </w:r>
    </w:p>
    <w:p>
      <w:pPr>
        <w:keepNext w:val="0"/>
        <w:keepLines w:val="0"/>
        <w:pageBreakBefore w:val="0"/>
        <w:kinsoku/>
        <w:overflowPunct/>
        <w:topLinePunct w:val="0"/>
        <w:bidi w:val="0"/>
        <w:snapToGrid/>
        <w:spacing w:line="360" w:lineRule="auto"/>
        <w:ind w:firstLine="588" w:firstLineChars="196"/>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2、如果委托人中标，代理人以委托人的名义与</w:t>
      </w:r>
      <w:r>
        <w:rPr>
          <w:rFonts w:hint="eastAsia" w:ascii="楷体_GB2312" w:eastAsia="楷体_GB2312"/>
          <w:b/>
          <w:color w:val="000000" w:themeColor="text1"/>
          <w:sz w:val="30"/>
          <w:szCs w:val="30"/>
          <w14:textFill>
            <w14:solidFill>
              <w14:schemeClr w14:val="tx1"/>
            </w14:solidFill>
          </w14:textFill>
        </w:rPr>
        <w:t>X</w:t>
      </w:r>
      <w:r>
        <w:rPr>
          <w:rFonts w:ascii="楷体_GB2312" w:eastAsia="楷体_GB2312"/>
          <w:b/>
          <w:color w:val="000000" w:themeColor="text1"/>
          <w:sz w:val="30"/>
          <w:szCs w:val="30"/>
          <w14:textFill>
            <w14:solidFill>
              <w14:schemeClr w14:val="tx1"/>
            </w14:solidFill>
          </w14:textFill>
        </w:rPr>
        <w:t>X</w:t>
      </w:r>
      <w:r>
        <w:rPr>
          <w:rFonts w:hint="eastAsia" w:ascii="楷体_GB2312" w:eastAsia="楷体_GB2312"/>
          <w:b/>
          <w:color w:val="000000" w:themeColor="text1"/>
          <w:sz w:val="30"/>
          <w:szCs w:val="30"/>
          <w14:textFill>
            <w14:solidFill>
              <w14:schemeClr w14:val="tx1"/>
            </w14:solidFill>
          </w14:textFill>
        </w:rPr>
        <w:t>集团公司及所属各级单位</w:t>
      </w:r>
      <w:r>
        <w:rPr>
          <w:rFonts w:hint="eastAsia" w:ascii="楷体_GB2312" w:eastAsia="楷体_GB2312"/>
          <w:color w:val="000000" w:themeColor="text1"/>
          <w:sz w:val="30"/>
          <w:szCs w:val="30"/>
          <w14:textFill>
            <w14:solidFill>
              <w14:schemeClr w14:val="tx1"/>
            </w14:solidFill>
          </w14:textFill>
        </w:rPr>
        <w:t>签订合同，并办理合同履行过程中的一切相关事宜。</w:t>
      </w:r>
    </w:p>
    <w:p>
      <w:pPr>
        <w:keepNext w:val="0"/>
        <w:keepLines w:val="0"/>
        <w:pageBreakBefore w:val="0"/>
        <w:kinsoku/>
        <w:overflowPunct/>
        <w:topLinePunct w:val="0"/>
        <w:bidi w:val="0"/>
        <w:snapToGrid/>
        <w:spacing w:line="360" w:lineRule="auto"/>
        <w:ind w:firstLine="588" w:firstLineChars="196"/>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本公司对代理人的上述代理行为均予以认可并承担责任。</w:t>
      </w: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授权期限：本授权委托书自授权之日起生效，至</w:t>
      </w:r>
      <w:r>
        <w:rPr>
          <w:rFonts w:hint="eastAsia" w:ascii="楷体_GB2312" w:eastAsia="楷体_GB2312"/>
          <w:b/>
          <w:color w:val="000000" w:themeColor="text1"/>
          <w:sz w:val="30"/>
          <w:szCs w:val="30"/>
          <w14:textFill>
            <w14:solidFill>
              <w14:schemeClr w14:val="tx1"/>
            </w14:solidFill>
          </w14:textFill>
        </w:rPr>
        <w:t>XXXXXXXXXX</w:t>
      </w:r>
      <w:r>
        <w:rPr>
          <w:rFonts w:hint="eastAsia" w:ascii="楷体_GB2312" w:eastAsia="楷体_GB2312"/>
          <w:color w:val="000000" w:themeColor="text1"/>
          <w:sz w:val="30"/>
          <w:szCs w:val="30"/>
          <w14:textFill>
            <w14:solidFill>
              <w14:schemeClr w14:val="tx1"/>
            </w14:solidFill>
          </w14:textFill>
        </w:rPr>
        <w:t>起失效。</w:t>
      </w: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代理人身份证（正、反面）粘贴处：</w:t>
      </w: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560"/>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right="480" w:firstLine="3600" w:firstLineChars="120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委托人：</w:t>
      </w:r>
      <w:r>
        <w:rPr>
          <w:rFonts w:hint="eastAsia" w:ascii="楷体_GB2312" w:eastAsia="楷体_GB2312"/>
          <w:b/>
          <w:color w:val="000000" w:themeColor="text1"/>
          <w:sz w:val="30"/>
          <w:szCs w:val="30"/>
          <w14:textFill>
            <w14:solidFill>
              <w14:schemeClr w14:val="tx1"/>
            </w14:solidFill>
          </w14:textFill>
        </w:rPr>
        <w:t>XXXXXX公司</w:t>
      </w:r>
    </w:p>
    <w:p>
      <w:pPr>
        <w:keepNext w:val="0"/>
        <w:keepLines w:val="0"/>
        <w:pageBreakBefore w:val="0"/>
        <w:kinsoku/>
        <w:overflowPunct/>
        <w:topLinePunct w:val="0"/>
        <w:bidi w:val="0"/>
        <w:snapToGrid/>
        <w:spacing w:line="360" w:lineRule="auto"/>
        <w:ind w:right="480" w:firstLine="3600" w:firstLineChars="120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法定代表人（或负责人）：</w:t>
      </w:r>
    </w:p>
    <w:p>
      <w:pPr>
        <w:keepNext w:val="0"/>
        <w:keepLines w:val="0"/>
        <w:pageBreakBefore w:val="0"/>
        <w:kinsoku/>
        <w:overflowPunct/>
        <w:topLinePunct w:val="0"/>
        <w:bidi w:val="0"/>
        <w:snapToGrid/>
        <w:spacing w:line="360" w:lineRule="auto"/>
        <w:ind w:right="26" w:firstLine="3600" w:firstLineChars="1200"/>
        <w:jc w:val="both"/>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委托授权时间：      年   月   日</w:t>
      </w:r>
    </w:p>
    <w:p>
      <w:pPr>
        <w:keepNext w:val="0"/>
        <w:keepLines w:val="0"/>
        <w:pageBreakBefore w:val="0"/>
        <w:kinsoku/>
        <w:overflowPunct/>
        <w:topLinePunct w:val="0"/>
        <w:bidi w:val="0"/>
        <w:snapToGrid/>
        <w:spacing w:line="360" w:lineRule="auto"/>
        <w:ind w:left="105" w:leftChars="50" w:right="26" w:firstLine="4818" w:firstLineChars="1606"/>
        <w:jc w:val="both"/>
        <w:rPr>
          <w:rFonts w:ascii="楷体_GB2312" w:eastAsia="楷体_GB2312"/>
          <w:color w:val="000000" w:themeColor="text1"/>
          <w:sz w:val="30"/>
          <w:szCs w:val="30"/>
          <w14:textFill>
            <w14:solidFill>
              <w14:schemeClr w14:val="tx1"/>
            </w14:solidFill>
          </w14:textFill>
        </w:rPr>
      </w:pPr>
    </w:p>
    <w:p>
      <w:pPr>
        <w:keepNext w:val="0"/>
        <w:keepLines w:val="0"/>
        <w:pageBreakBefore w:val="0"/>
        <w:kinsoku/>
        <w:overflowPunct/>
        <w:topLinePunct w:val="0"/>
        <w:bidi w:val="0"/>
        <w:snapToGrid/>
        <w:spacing w:line="360" w:lineRule="auto"/>
        <w:ind w:left="105" w:leftChars="50" w:right="26" w:firstLine="3854" w:firstLineChars="1606"/>
        <w:jc w:val="both"/>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pStyle w:val="2"/>
        <w:rPr>
          <w:rFonts w:ascii="楷体_GB2312" w:eastAsia="楷体_GB2312"/>
          <w:color w:val="000000" w:themeColor="text1"/>
          <w:sz w:val="24"/>
          <w14:textFill>
            <w14:solidFill>
              <w14:schemeClr w14:val="tx1"/>
            </w14:solidFill>
          </w14:textFill>
        </w:rPr>
      </w:pPr>
    </w:p>
    <w:p>
      <w:pPr>
        <w:keepNext w:val="0"/>
        <w:keepLines w:val="0"/>
        <w:pageBreakBefore w:val="0"/>
        <w:kinsoku/>
        <w:overflowPunct/>
        <w:topLinePunct w:val="0"/>
        <w:bidi w:val="0"/>
        <w:snapToGrid/>
        <w:spacing w:line="360" w:lineRule="auto"/>
        <w:ind w:left="105" w:leftChars="50" w:right="26" w:firstLine="3854" w:firstLineChars="1606"/>
        <w:jc w:val="both"/>
        <w:rPr>
          <w:rFonts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snapToGrid/>
        <w:spacing w:line="360" w:lineRule="auto"/>
        <w:textAlignment w:val="auto"/>
        <w:rPr>
          <w:rFonts w:ascii="仿宋_GB2312" w:hAnsi="宋体" w:eastAsia="仿宋_GB2312"/>
          <w:b/>
          <w:color w:val="000000" w:themeColor="text1"/>
          <w:sz w:val="30"/>
          <w:szCs w:val="30"/>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附件6</w:t>
      </w:r>
    </w:p>
    <w:p>
      <w:pPr>
        <w:keepNext w:val="0"/>
        <w:keepLines w:val="0"/>
        <w:pageBreakBefore w:val="0"/>
        <w:kinsoku/>
        <w:wordWrap/>
        <w:overflowPunct/>
        <w:topLinePunct w:val="0"/>
        <w:bidi w:val="0"/>
        <w:adjustRightInd/>
        <w:snapToGrid/>
        <w:spacing w:line="360" w:lineRule="auto"/>
        <w:ind w:firstLine="640" w:firstLineChars="200"/>
        <w:jc w:val="center"/>
        <w:textAlignment w:val="auto"/>
        <w:rPr>
          <w:rFonts w:hint="eastAsia" w:ascii="方正小标宋简体" w:eastAsia="方正小标宋简体"/>
          <w:b/>
          <w:bCs/>
          <w:sz w:val="32"/>
          <w:szCs w:val="32"/>
          <w:lang w:val="en-US" w:eastAsia="zh-CN"/>
        </w:rPr>
      </w:pPr>
      <w:r>
        <w:rPr>
          <w:rFonts w:hint="eastAsia" w:ascii="方正小标宋简体" w:eastAsia="方正小标宋简体"/>
          <w:b/>
          <w:bCs/>
          <w:sz w:val="32"/>
          <w:szCs w:val="32"/>
        </w:rPr>
        <w:t>无重大违法记录声明</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我单位现参与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项目，并作出如下声明：</w:t>
      </w:r>
    </w:p>
    <w:p>
      <w:pPr>
        <w:keepNext w:val="0"/>
        <w:keepLines w:val="0"/>
        <w:pageBreakBefore w:val="0"/>
        <w:widowControl w:val="0"/>
        <w:kinsoku/>
        <w:wordWrap/>
        <w:overflowPunct/>
        <w:topLinePunct w:val="0"/>
        <w:autoSpaceDE/>
        <w:autoSpaceDN/>
        <w:bidi w:val="0"/>
        <w:adjustRightInd/>
        <w:snapToGrid/>
        <w:spacing w:line="360" w:lineRule="auto"/>
        <w:ind w:firstLine="60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我单位在参加本次采购活动前3年（2020年1月1日至今），在经营活动中没有重大违法记录，未被信用中国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sz w:val="32"/>
          <w:szCs w:val="32"/>
        </w:rPr>
        <w:t>网站www.</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creditchina.</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gov.cn</w:t>
      </w:r>
      <w:r>
        <w:rPr>
          <w:rFonts w:hint="eastAsia" w:ascii="仿宋_GB2312" w:hAnsi="仿宋_GB2312" w:eastAsia="仿宋_GB2312" w:cs="仿宋_GB2312"/>
          <w:color w:val="000000"/>
          <w:sz w:val="32"/>
          <w:szCs w:val="32"/>
        </w:rPr>
        <w:t>）政府采购网等列入黑名单、未被列入中粮糖业承包商黑名单、无重大税收违法案件当事人名单、无行政处罚、违法违规等不良信息。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特此声明</w:t>
      </w:r>
      <w:r>
        <w:rPr>
          <w:rFonts w:hint="eastAsia" w:ascii="仿宋_GB2312" w:hAnsi="仿宋_GB2312" w:eastAsia="仿宋_GB2312" w:cs="仿宋_GB2312"/>
          <w:sz w:val="32"/>
          <w:szCs w:val="32"/>
          <w:lang w:eastAsia="zh-CN"/>
        </w:rPr>
        <w:t>！</w:t>
      </w:r>
    </w:p>
    <w:p>
      <w:pPr>
        <w:spacing w:line="560" w:lineRule="exact"/>
        <w:ind w:firstLine="601"/>
        <w:rPr>
          <w:rFonts w:ascii="仿宋_GB2312" w:hAnsi="仿宋_GB2312" w:eastAsia="仿宋_GB2312" w:cs="仿宋_GB2312"/>
          <w:color w:val="FFFFFF"/>
          <w:sz w:val="32"/>
          <w:szCs w:val="32"/>
        </w:rPr>
      </w:pPr>
    </w:p>
    <w:p>
      <w:pPr>
        <w:spacing w:line="560" w:lineRule="exact"/>
        <w:ind w:firstLine="601"/>
        <w:rPr>
          <w:rFonts w:ascii="仿宋_GB2312" w:hAnsi="仿宋_GB2312" w:eastAsia="仿宋_GB2312" w:cs="仿宋_GB2312"/>
          <w:sz w:val="32"/>
          <w:szCs w:val="32"/>
        </w:rPr>
      </w:pPr>
    </w:p>
    <w:p>
      <w:pPr>
        <w:pStyle w:val="4"/>
        <w:rPr>
          <w:rFonts w:ascii="仿宋_GB2312" w:hAnsi="仿宋_GB2312" w:eastAsia="仿宋_GB2312" w:cs="仿宋_GB2312"/>
          <w:sz w:val="32"/>
          <w:szCs w:val="32"/>
        </w:rPr>
      </w:pPr>
    </w:p>
    <w:p>
      <w:pPr>
        <w:rPr>
          <w:rFonts w:ascii="仿宋_GB2312" w:hAnsi="仿宋_GB2312" w:eastAsia="仿宋_GB2312" w:cs="仿宋_GB2312"/>
        </w:rPr>
      </w:pPr>
    </w:p>
    <w:p>
      <w:pPr>
        <w:spacing w:line="560" w:lineRule="exact"/>
        <w:ind w:firstLine="4108" w:firstLineChars="128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响应供应商（公章）：</w:t>
      </w:r>
    </w:p>
    <w:p>
      <w:pPr>
        <w:spacing w:line="560" w:lineRule="exact"/>
        <w:ind w:firstLine="1920" w:firstLineChars="600"/>
        <w:rPr>
          <w:rFonts w:hint="eastAsia" w:ascii="仿宋_GB2312" w:hAnsi="仿宋_GB2312" w:eastAsia="仿宋_GB2312" w:cs="仿宋_GB2312"/>
          <w:sz w:val="32"/>
          <w:szCs w:val="32"/>
        </w:rPr>
      </w:pPr>
    </w:p>
    <w:p>
      <w:pPr>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供应商法定代表人或其授权代表签字：</w:t>
      </w:r>
    </w:p>
    <w:p>
      <w:pPr>
        <w:spacing w:line="560" w:lineRule="exact"/>
        <w:ind w:firstLine="60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60" w:lineRule="exact"/>
        <w:ind w:firstLine="6668" w:firstLineChars="208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60" w:lineRule="exact"/>
        <w:ind w:firstLine="601"/>
        <w:rPr>
          <w:rFonts w:ascii="仿宋_GB2312" w:hAnsi="仿宋_GB2312" w:eastAsia="仿宋_GB2312" w:cs="仿宋_GB2312"/>
          <w:color w:val="FFFFFF"/>
          <w:sz w:val="28"/>
          <w:szCs w:val="28"/>
        </w:rPr>
      </w:pPr>
    </w:p>
    <w:p>
      <w:pPr>
        <w:spacing w:line="560" w:lineRule="exact"/>
        <w:ind w:firstLine="601"/>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rPr>
          <w:rFonts w:ascii="仿宋_GB2312" w:hAnsi="仿宋_GB2312" w:eastAsia="仿宋_GB2312" w:cs="仿宋_GB2312"/>
          <w:sz w:val="28"/>
          <w:szCs w:val="28"/>
        </w:rPr>
      </w:pPr>
    </w:p>
    <w:p>
      <w:pPr>
        <w:spacing w:line="560" w:lineRule="exact"/>
        <w:rPr>
          <w:rFonts w:ascii="仿宋_GB2312" w:hAnsi="宋体" w:eastAsia="仿宋_GB2312" w:cs="Arial"/>
          <w:color w:val="000000" w:themeColor="text1"/>
          <w:sz w:val="30"/>
          <w:szCs w:val="30"/>
          <w14:textFill>
            <w14:solidFill>
              <w14:schemeClr w14:val="tx1"/>
            </w14:solidFill>
          </w14:textFill>
        </w:rPr>
      </w:pPr>
      <w:r>
        <w:rPr>
          <w:rFonts w:hint="eastAsia" w:ascii="仿宋_GB2312" w:hAnsi="仿宋_GB2312" w:eastAsia="仿宋_GB2312" w:cs="仿宋_GB2312"/>
          <w:sz w:val="28"/>
          <w:szCs w:val="28"/>
        </w:rPr>
        <w:t xml:space="preserve">                    </w:t>
      </w:r>
    </w:p>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5</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drawing>
        <wp:anchor distT="0" distB="0" distL="114300" distR="114300" simplePos="0" relativeHeight="251659264" behindDoc="0" locked="0" layoutInCell="1" allowOverlap="1">
          <wp:simplePos x="0" y="0"/>
          <wp:positionH relativeFrom="column">
            <wp:posOffset>4299585</wp:posOffset>
          </wp:positionH>
          <wp:positionV relativeFrom="paragraph">
            <wp:posOffset>108585</wp:posOffset>
          </wp:positionV>
          <wp:extent cx="1758315" cy="523240"/>
          <wp:effectExtent l="0" t="0" r="0" b="0"/>
          <wp:wrapNone/>
          <wp:docPr id="1025"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32" descr="17753134727367465"/>
                  <pic:cNvPicPr>
                    <a:picLocks noChangeAspect="1" noChangeArrowheads="1"/>
                  </pic:cNvPicPr>
                </pic:nvPicPr>
                <pic:blipFill>
                  <a:blip r:embed="rId1"/>
                  <a:srcRect/>
                  <a:stretch>
                    <a:fillRect/>
                  </a:stretch>
                </pic:blipFill>
                <pic:spPr>
                  <a:xfrm>
                    <a:off x="0" y="0"/>
                    <a:ext cx="1758461" cy="523240"/>
                  </a:xfrm>
                  <a:prstGeom prst="rect">
                    <a:avLst/>
                  </a:prstGeom>
                  <a:noFill/>
                  <a:ln w="9525">
                    <a:noFill/>
                    <a:miter lim="800000"/>
                    <a:headEnd/>
                    <a:tailEnd/>
                  </a:ln>
                </pic:spPr>
              </pic:pic>
            </a:graphicData>
          </a:graphic>
        </wp:anchor>
      </w:drawing>
    </w:r>
  </w:p>
  <w:p>
    <w:pPr>
      <w:pStyle w:val="13"/>
      <w:jc w:val="both"/>
    </w:pPr>
  </w:p>
  <w:p>
    <w:pPr>
      <w:pStyle w:val="13"/>
      <w:jc w:val="both"/>
      <w:rPr>
        <w:sz w:val="21"/>
      </w:rPr>
    </w:pPr>
  </w:p>
  <w:p>
    <w:pPr>
      <w:pStyle w:val="13"/>
      <w:jc w:val="both"/>
      <w:rPr>
        <w:sz w:val="21"/>
      </w:rPr>
    </w:pPr>
  </w:p>
  <w:p>
    <w:pPr>
      <w:pStyle w:val="13"/>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chineseCountingThousand"/>
      <w:lvlText w:val="%1、"/>
      <w:lvlJc w:val="left"/>
      <w:pPr>
        <w:tabs>
          <w:tab w:val="left" w:pos="420"/>
        </w:tabs>
        <w:ind w:left="420" w:hanging="420"/>
      </w:pPr>
    </w:lvl>
    <w:lvl w:ilvl="1" w:tentative="0">
      <w:start w:val="3"/>
      <w:numFmt w:val="japaneseCounting"/>
      <w:lvlText w:val="%2．"/>
      <w:lvlJc w:val="left"/>
      <w:pPr>
        <w:tabs>
          <w:tab w:val="left" w:pos="1140"/>
        </w:tabs>
        <w:ind w:left="1140" w:hanging="720"/>
      </w:pPr>
      <w:rPr>
        <w:rFonts w:hint="default"/>
      </w:rPr>
    </w:lvl>
    <w:lvl w:ilvl="2" w:tentative="0">
      <w:start w:val="3"/>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2">
    <w:nsid w:val="5A4AA9D4"/>
    <w:multiLevelType w:val="singleLevel"/>
    <w:tmpl w:val="5A4AA9D4"/>
    <w:lvl w:ilvl="0" w:tentative="0">
      <w:start w:val="2"/>
      <w:numFmt w:val="chineseCounting"/>
      <w:suff w:val="nothing"/>
      <w:lvlText w:val="%1、"/>
      <w:lvlJc w:val="left"/>
    </w:lvl>
  </w:abstractNum>
  <w:abstractNum w:abstractNumId="3">
    <w:nsid w:val="744398A7"/>
    <w:multiLevelType w:val="singleLevel"/>
    <w:tmpl w:val="744398A7"/>
    <w:lvl w:ilvl="0" w:tentative="0">
      <w:start w:val="5"/>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WMwODc2YjYwZDAzYTM5ZmFkZTRjZGU0ZTI4MGYifQ=="/>
  </w:docVars>
  <w:rsids>
    <w:rsidRoot w:val="001511BC"/>
    <w:rsid w:val="00004299"/>
    <w:rsid w:val="00006018"/>
    <w:rsid w:val="000079E0"/>
    <w:rsid w:val="000160FD"/>
    <w:rsid w:val="00016332"/>
    <w:rsid w:val="000211EC"/>
    <w:rsid w:val="00026034"/>
    <w:rsid w:val="00026842"/>
    <w:rsid w:val="00030432"/>
    <w:rsid w:val="0003086D"/>
    <w:rsid w:val="00030A76"/>
    <w:rsid w:val="00030AB4"/>
    <w:rsid w:val="000322F2"/>
    <w:rsid w:val="000323E8"/>
    <w:rsid w:val="0003372E"/>
    <w:rsid w:val="00037787"/>
    <w:rsid w:val="00042309"/>
    <w:rsid w:val="00042962"/>
    <w:rsid w:val="00045C5C"/>
    <w:rsid w:val="00051232"/>
    <w:rsid w:val="000521EE"/>
    <w:rsid w:val="0005608D"/>
    <w:rsid w:val="00060394"/>
    <w:rsid w:val="00061FCE"/>
    <w:rsid w:val="00064D07"/>
    <w:rsid w:val="00067B1B"/>
    <w:rsid w:val="00067B99"/>
    <w:rsid w:val="00067DF3"/>
    <w:rsid w:val="000701D5"/>
    <w:rsid w:val="000725DF"/>
    <w:rsid w:val="000729CC"/>
    <w:rsid w:val="00073004"/>
    <w:rsid w:val="00074F5C"/>
    <w:rsid w:val="00077B8A"/>
    <w:rsid w:val="00080CF8"/>
    <w:rsid w:val="0008362F"/>
    <w:rsid w:val="000841C3"/>
    <w:rsid w:val="00085246"/>
    <w:rsid w:val="00086EBF"/>
    <w:rsid w:val="000870CC"/>
    <w:rsid w:val="00087E5D"/>
    <w:rsid w:val="000912B9"/>
    <w:rsid w:val="00091B67"/>
    <w:rsid w:val="00096C2E"/>
    <w:rsid w:val="000A38C0"/>
    <w:rsid w:val="000A5695"/>
    <w:rsid w:val="000A7173"/>
    <w:rsid w:val="000B175D"/>
    <w:rsid w:val="000B6991"/>
    <w:rsid w:val="000C2085"/>
    <w:rsid w:val="000C3333"/>
    <w:rsid w:val="000C3D0C"/>
    <w:rsid w:val="000C5AD2"/>
    <w:rsid w:val="000D6753"/>
    <w:rsid w:val="000D7D72"/>
    <w:rsid w:val="000E7CA2"/>
    <w:rsid w:val="000F0A2B"/>
    <w:rsid w:val="000F13F2"/>
    <w:rsid w:val="000F4ED4"/>
    <w:rsid w:val="000F5156"/>
    <w:rsid w:val="000F574F"/>
    <w:rsid w:val="000F5A79"/>
    <w:rsid w:val="000F7F1E"/>
    <w:rsid w:val="0010293D"/>
    <w:rsid w:val="00103864"/>
    <w:rsid w:val="001118BC"/>
    <w:rsid w:val="00113D49"/>
    <w:rsid w:val="0011521F"/>
    <w:rsid w:val="00117660"/>
    <w:rsid w:val="00121528"/>
    <w:rsid w:val="00122D77"/>
    <w:rsid w:val="00123ABB"/>
    <w:rsid w:val="001240D0"/>
    <w:rsid w:val="00140962"/>
    <w:rsid w:val="001511BC"/>
    <w:rsid w:val="00152CFD"/>
    <w:rsid w:val="00155275"/>
    <w:rsid w:val="00155C62"/>
    <w:rsid w:val="00160BB8"/>
    <w:rsid w:val="00162CDF"/>
    <w:rsid w:val="00163C01"/>
    <w:rsid w:val="00170B19"/>
    <w:rsid w:val="001744B9"/>
    <w:rsid w:val="00181D7B"/>
    <w:rsid w:val="00183EDA"/>
    <w:rsid w:val="0018473B"/>
    <w:rsid w:val="00184D80"/>
    <w:rsid w:val="0018562F"/>
    <w:rsid w:val="001921CA"/>
    <w:rsid w:val="0019300E"/>
    <w:rsid w:val="00194E09"/>
    <w:rsid w:val="00196872"/>
    <w:rsid w:val="001979D1"/>
    <w:rsid w:val="001A1434"/>
    <w:rsid w:val="001A2121"/>
    <w:rsid w:val="001A2DB9"/>
    <w:rsid w:val="001A44A0"/>
    <w:rsid w:val="001A465A"/>
    <w:rsid w:val="001A5C8B"/>
    <w:rsid w:val="001C10D7"/>
    <w:rsid w:val="001C138A"/>
    <w:rsid w:val="001C38F3"/>
    <w:rsid w:val="001C4B31"/>
    <w:rsid w:val="001C4E61"/>
    <w:rsid w:val="001D31A8"/>
    <w:rsid w:val="001D370A"/>
    <w:rsid w:val="001D436C"/>
    <w:rsid w:val="001D708E"/>
    <w:rsid w:val="001E1631"/>
    <w:rsid w:val="001E2A77"/>
    <w:rsid w:val="001E2EA6"/>
    <w:rsid w:val="001E50CE"/>
    <w:rsid w:val="001E6BA7"/>
    <w:rsid w:val="001F1A33"/>
    <w:rsid w:val="00200200"/>
    <w:rsid w:val="00201020"/>
    <w:rsid w:val="00204245"/>
    <w:rsid w:val="0020623B"/>
    <w:rsid w:val="00206C62"/>
    <w:rsid w:val="002100DF"/>
    <w:rsid w:val="002106E8"/>
    <w:rsid w:val="00211CA1"/>
    <w:rsid w:val="00216CE2"/>
    <w:rsid w:val="002175CC"/>
    <w:rsid w:val="002201F1"/>
    <w:rsid w:val="00220B1B"/>
    <w:rsid w:val="002218D3"/>
    <w:rsid w:val="002230FF"/>
    <w:rsid w:val="00223137"/>
    <w:rsid w:val="00227317"/>
    <w:rsid w:val="00233A17"/>
    <w:rsid w:val="00240057"/>
    <w:rsid w:val="00241441"/>
    <w:rsid w:val="0024167C"/>
    <w:rsid w:val="00246793"/>
    <w:rsid w:val="002517D9"/>
    <w:rsid w:val="0025180F"/>
    <w:rsid w:val="00252CDC"/>
    <w:rsid w:val="00253821"/>
    <w:rsid w:val="00253926"/>
    <w:rsid w:val="00253AAC"/>
    <w:rsid w:val="00256793"/>
    <w:rsid w:val="00256AF1"/>
    <w:rsid w:val="00261A90"/>
    <w:rsid w:val="00261C46"/>
    <w:rsid w:val="0026226F"/>
    <w:rsid w:val="0026341E"/>
    <w:rsid w:val="00271099"/>
    <w:rsid w:val="00271438"/>
    <w:rsid w:val="0027269B"/>
    <w:rsid w:val="0027299E"/>
    <w:rsid w:val="00273469"/>
    <w:rsid w:val="00274184"/>
    <w:rsid w:val="00274D00"/>
    <w:rsid w:val="002758A0"/>
    <w:rsid w:val="0027781D"/>
    <w:rsid w:val="00282A22"/>
    <w:rsid w:val="00283BEB"/>
    <w:rsid w:val="00284236"/>
    <w:rsid w:val="00290DF6"/>
    <w:rsid w:val="00291565"/>
    <w:rsid w:val="0029351F"/>
    <w:rsid w:val="00295A2E"/>
    <w:rsid w:val="00295A8B"/>
    <w:rsid w:val="00295BF6"/>
    <w:rsid w:val="002A0C40"/>
    <w:rsid w:val="002A0C5C"/>
    <w:rsid w:val="002A12D4"/>
    <w:rsid w:val="002A2ECF"/>
    <w:rsid w:val="002A3E61"/>
    <w:rsid w:val="002A4B0E"/>
    <w:rsid w:val="002B140E"/>
    <w:rsid w:val="002B468C"/>
    <w:rsid w:val="002B46DB"/>
    <w:rsid w:val="002B7288"/>
    <w:rsid w:val="002B7662"/>
    <w:rsid w:val="002D2967"/>
    <w:rsid w:val="002D7C9E"/>
    <w:rsid w:val="002E054D"/>
    <w:rsid w:val="002E2728"/>
    <w:rsid w:val="002E35B3"/>
    <w:rsid w:val="002E4C01"/>
    <w:rsid w:val="002E5650"/>
    <w:rsid w:val="002F1DA6"/>
    <w:rsid w:val="002F60DD"/>
    <w:rsid w:val="002F673F"/>
    <w:rsid w:val="002F7E34"/>
    <w:rsid w:val="00301BA0"/>
    <w:rsid w:val="00302C78"/>
    <w:rsid w:val="003038D6"/>
    <w:rsid w:val="00303F39"/>
    <w:rsid w:val="003040D5"/>
    <w:rsid w:val="00312144"/>
    <w:rsid w:val="00314F7B"/>
    <w:rsid w:val="00317935"/>
    <w:rsid w:val="003208E4"/>
    <w:rsid w:val="003209F7"/>
    <w:rsid w:val="00322245"/>
    <w:rsid w:val="00323107"/>
    <w:rsid w:val="00327CEE"/>
    <w:rsid w:val="003311F2"/>
    <w:rsid w:val="00331C19"/>
    <w:rsid w:val="00332A24"/>
    <w:rsid w:val="00334914"/>
    <w:rsid w:val="00334FF7"/>
    <w:rsid w:val="00337826"/>
    <w:rsid w:val="00342607"/>
    <w:rsid w:val="00342FC7"/>
    <w:rsid w:val="00343EA1"/>
    <w:rsid w:val="00344FA9"/>
    <w:rsid w:val="00347C91"/>
    <w:rsid w:val="00363FB8"/>
    <w:rsid w:val="003676F2"/>
    <w:rsid w:val="00367D58"/>
    <w:rsid w:val="0037098B"/>
    <w:rsid w:val="00371C39"/>
    <w:rsid w:val="00372715"/>
    <w:rsid w:val="00373EC9"/>
    <w:rsid w:val="00375F4C"/>
    <w:rsid w:val="003779A1"/>
    <w:rsid w:val="00377D65"/>
    <w:rsid w:val="00380A32"/>
    <w:rsid w:val="00380F9F"/>
    <w:rsid w:val="003812B0"/>
    <w:rsid w:val="00393327"/>
    <w:rsid w:val="00395345"/>
    <w:rsid w:val="00396A2C"/>
    <w:rsid w:val="003A6437"/>
    <w:rsid w:val="003A7790"/>
    <w:rsid w:val="003B1CFB"/>
    <w:rsid w:val="003B4322"/>
    <w:rsid w:val="003B530E"/>
    <w:rsid w:val="003C1AC1"/>
    <w:rsid w:val="003C2160"/>
    <w:rsid w:val="003C3F65"/>
    <w:rsid w:val="003C76B8"/>
    <w:rsid w:val="003C7F81"/>
    <w:rsid w:val="003D7E03"/>
    <w:rsid w:val="003E1646"/>
    <w:rsid w:val="003E330E"/>
    <w:rsid w:val="003F4BE8"/>
    <w:rsid w:val="003F4DF0"/>
    <w:rsid w:val="003F757B"/>
    <w:rsid w:val="00400958"/>
    <w:rsid w:val="00400BC7"/>
    <w:rsid w:val="00401036"/>
    <w:rsid w:val="00401546"/>
    <w:rsid w:val="0041080C"/>
    <w:rsid w:val="00411BDB"/>
    <w:rsid w:val="00414874"/>
    <w:rsid w:val="0041498D"/>
    <w:rsid w:val="004164CB"/>
    <w:rsid w:val="004174B0"/>
    <w:rsid w:val="00420252"/>
    <w:rsid w:val="004207CF"/>
    <w:rsid w:val="00421C61"/>
    <w:rsid w:val="00425440"/>
    <w:rsid w:val="004313E0"/>
    <w:rsid w:val="00432551"/>
    <w:rsid w:val="00433862"/>
    <w:rsid w:val="00435400"/>
    <w:rsid w:val="004373EE"/>
    <w:rsid w:val="004406C8"/>
    <w:rsid w:val="004430B8"/>
    <w:rsid w:val="00447034"/>
    <w:rsid w:val="00447C24"/>
    <w:rsid w:val="004539E4"/>
    <w:rsid w:val="00454427"/>
    <w:rsid w:val="00455D44"/>
    <w:rsid w:val="004565C3"/>
    <w:rsid w:val="004602C5"/>
    <w:rsid w:val="004618AC"/>
    <w:rsid w:val="0046277E"/>
    <w:rsid w:val="00462BA9"/>
    <w:rsid w:val="00463901"/>
    <w:rsid w:val="004665D7"/>
    <w:rsid w:val="00466BE0"/>
    <w:rsid w:val="0046791D"/>
    <w:rsid w:val="00473732"/>
    <w:rsid w:val="00473D88"/>
    <w:rsid w:val="004748DF"/>
    <w:rsid w:val="00475066"/>
    <w:rsid w:val="00476BE0"/>
    <w:rsid w:val="00480132"/>
    <w:rsid w:val="00481E8C"/>
    <w:rsid w:val="004837D6"/>
    <w:rsid w:val="00483981"/>
    <w:rsid w:val="00484352"/>
    <w:rsid w:val="004854F7"/>
    <w:rsid w:val="00485C02"/>
    <w:rsid w:val="0048702A"/>
    <w:rsid w:val="004904E1"/>
    <w:rsid w:val="0049090F"/>
    <w:rsid w:val="004912BA"/>
    <w:rsid w:val="0049243E"/>
    <w:rsid w:val="004924EB"/>
    <w:rsid w:val="004933C7"/>
    <w:rsid w:val="004A16F9"/>
    <w:rsid w:val="004A2C4E"/>
    <w:rsid w:val="004A59DD"/>
    <w:rsid w:val="004A5A69"/>
    <w:rsid w:val="004A7F97"/>
    <w:rsid w:val="004B0D73"/>
    <w:rsid w:val="004B3067"/>
    <w:rsid w:val="004B4B3E"/>
    <w:rsid w:val="004B4BAE"/>
    <w:rsid w:val="004B5D95"/>
    <w:rsid w:val="004C1F9D"/>
    <w:rsid w:val="004C2EA7"/>
    <w:rsid w:val="004C5749"/>
    <w:rsid w:val="004C59C6"/>
    <w:rsid w:val="004C6817"/>
    <w:rsid w:val="004D0731"/>
    <w:rsid w:val="004D11F1"/>
    <w:rsid w:val="004D4228"/>
    <w:rsid w:val="004D5FA9"/>
    <w:rsid w:val="004D64CB"/>
    <w:rsid w:val="004D69AF"/>
    <w:rsid w:val="004E078E"/>
    <w:rsid w:val="004E1630"/>
    <w:rsid w:val="004E2560"/>
    <w:rsid w:val="004E4CDE"/>
    <w:rsid w:val="004F05CE"/>
    <w:rsid w:val="004F1714"/>
    <w:rsid w:val="004F1FF7"/>
    <w:rsid w:val="004F33D8"/>
    <w:rsid w:val="004F3837"/>
    <w:rsid w:val="004F55F1"/>
    <w:rsid w:val="004F57D7"/>
    <w:rsid w:val="005001F1"/>
    <w:rsid w:val="00503385"/>
    <w:rsid w:val="00503A3A"/>
    <w:rsid w:val="00506729"/>
    <w:rsid w:val="00506E75"/>
    <w:rsid w:val="0051095C"/>
    <w:rsid w:val="00511A61"/>
    <w:rsid w:val="005139F3"/>
    <w:rsid w:val="00513BEF"/>
    <w:rsid w:val="005156E8"/>
    <w:rsid w:val="00517A6B"/>
    <w:rsid w:val="00523D45"/>
    <w:rsid w:val="005263C1"/>
    <w:rsid w:val="00527E2A"/>
    <w:rsid w:val="00531680"/>
    <w:rsid w:val="00531A7B"/>
    <w:rsid w:val="00532404"/>
    <w:rsid w:val="00532A7A"/>
    <w:rsid w:val="00535E7A"/>
    <w:rsid w:val="005379D2"/>
    <w:rsid w:val="00544156"/>
    <w:rsid w:val="00545166"/>
    <w:rsid w:val="005451DA"/>
    <w:rsid w:val="005456AA"/>
    <w:rsid w:val="00545A51"/>
    <w:rsid w:val="00551149"/>
    <w:rsid w:val="00552072"/>
    <w:rsid w:val="00552687"/>
    <w:rsid w:val="00554AC5"/>
    <w:rsid w:val="0055633C"/>
    <w:rsid w:val="00556A50"/>
    <w:rsid w:val="00557EF9"/>
    <w:rsid w:val="00560AF9"/>
    <w:rsid w:val="0056202C"/>
    <w:rsid w:val="00563253"/>
    <w:rsid w:val="0056609F"/>
    <w:rsid w:val="00566BE6"/>
    <w:rsid w:val="00570A8D"/>
    <w:rsid w:val="00572925"/>
    <w:rsid w:val="00572FE1"/>
    <w:rsid w:val="00573DC0"/>
    <w:rsid w:val="005805C4"/>
    <w:rsid w:val="0058341A"/>
    <w:rsid w:val="00584788"/>
    <w:rsid w:val="0058527F"/>
    <w:rsid w:val="005867B7"/>
    <w:rsid w:val="00590322"/>
    <w:rsid w:val="00590D4E"/>
    <w:rsid w:val="005920D9"/>
    <w:rsid w:val="00595BB9"/>
    <w:rsid w:val="005A13B6"/>
    <w:rsid w:val="005A1610"/>
    <w:rsid w:val="005A2528"/>
    <w:rsid w:val="005A2D64"/>
    <w:rsid w:val="005A5ECD"/>
    <w:rsid w:val="005A7208"/>
    <w:rsid w:val="005A7210"/>
    <w:rsid w:val="005A7DC5"/>
    <w:rsid w:val="005C1344"/>
    <w:rsid w:val="005C35AB"/>
    <w:rsid w:val="005D2C7D"/>
    <w:rsid w:val="005E1A0A"/>
    <w:rsid w:val="005E2634"/>
    <w:rsid w:val="005E2CB7"/>
    <w:rsid w:val="005E3541"/>
    <w:rsid w:val="005E60ED"/>
    <w:rsid w:val="005E620B"/>
    <w:rsid w:val="005F025E"/>
    <w:rsid w:val="005F277B"/>
    <w:rsid w:val="005F28ED"/>
    <w:rsid w:val="005F3A4D"/>
    <w:rsid w:val="005F3F2C"/>
    <w:rsid w:val="005F6135"/>
    <w:rsid w:val="00601305"/>
    <w:rsid w:val="00601B64"/>
    <w:rsid w:val="00602050"/>
    <w:rsid w:val="0060227C"/>
    <w:rsid w:val="006022DB"/>
    <w:rsid w:val="00602B53"/>
    <w:rsid w:val="0060468B"/>
    <w:rsid w:val="0060644C"/>
    <w:rsid w:val="006108B4"/>
    <w:rsid w:val="0061220D"/>
    <w:rsid w:val="0061381D"/>
    <w:rsid w:val="006178BA"/>
    <w:rsid w:val="00617C55"/>
    <w:rsid w:val="00620572"/>
    <w:rsid w:val="00621E69"/>
    <w:rsid w:val="00621EA3"/>
    <w:rsid w:val="00622DCB"/>
    <w:rsid w:val="00623F7A"/>
    <w:rsid w:val="00627627"/>
    <w:rsid w:val="00630D72"/>
    <w:rsid w:val="006356DC"/>
    <w:rsid w:val="00637423"/>
    <w:rsid w:val="0064002A"/>
    <w:rsid w:val="006401D1"/>
    <w:rsid w:val="00640D13"/>
    <w:rsid w:val="00640E76"/>
    <w:rsid w:val="00641AB1"/>
    <w:rsid w:val="00641FDC"/>
    <w:rsid w:val="006435E3"/>
    <w:rsid w:val="00643DBE"/>
    <w:rsid w:val="006453AB"/>
    <w:rsid w:val="00645DBD"/>
    <w:rsid w:val="00647083"/>
    <w:rsid w:val="006508C2"/>
    <w:rsid w:val="006523D1"/>
    <w:rsid w:val="00655A54"/>
    <w:rsid w:val="00656279"/>
    <w:rsid w:val="006573B0"/>
    <w:rsid w:val="00662DC8"/>
    <w:rsid w:val="0066317E"/>
    <w:rsid w:val="00664A4D"/>
    <w:rsid w:val="00665156"/>
    <w:rsid w:val="00667503"/>
    <w:rsid w:val="00673996"/>
    <w:rsid w:val="006743BC"/>
    <w:rsid w:val="00674790"/>
    <w:rsid w:val="00675023"/>
    <w:rsid w:val="0067722A"/>
    <w:rsid w:val="00681971"/>
    <w:rsid w:val="006820FB"/>
    <w:rsid w:val="00682860"/>
    <w:rsid w:val="0068354E"/>
    <w:rsid w:val="00685D51"/>
    <w:rsid w:val="00687364"/>
    <w:rsid w:val="006909F1"/>
    <w:rsid w:val="00691DBA"/>
    <w:rsid w:val="00695BD3"/>
    <w:rsid w:val="0069700F"/>
    <w:rsid w:val="0069716B"/>
    <w:rsid w:val="00697294"/>
    <w:rsid w:val="00697504"/>
    <w:rsid w:val="006975E8"/>
    <w:rsid w:val="006A1C0F"/>
    <w:rsid w:val="006A2C0C"/>
    <w:rsid w:val="006A6CD8"/>
    <w:rsid w:val="006B11F0"/>
    <w:rsid w:val="006B362C"/>
    <w:rsid w:val="006B3822"/>
    <w:rsid w:val="006B4CD1"/>
    <w:rsid w:val="006B58B4"/>
    <w:rsid w:val="006B62B5"/>
    <w:rsid w:val="006B6DBD"/>
    <w:rsid w:val="006C0925"/>
    <w:rsid w:val="006C19EA"/>
    <w:rsid w:val="006C1E5F"/>
    <w:rsid w:val="006C328E"/>
    <w:rsid w:val="006C4BE3"/>
    <w:rsid w:val="006C5A3F"/>
    <w:rsid w:val="006C7233"/>
    <w:rsid w:val="006C78CE"/>
    <w:rsid w:val="006C7E40"/>
    <w:rsid w:val="006D00B9"/>
    <w:rsid w:val="006D11CF"/>
    <w:rsid w:val="006D24D6"/>
    <w:rsid w:val="006D2A98"/>
    <w:rsid w:val="006D4C47"/>
    <w:rsid w:val="006D7115"/>
    <w:rsid w:val="006E54D7"/>
    <w:rsid w:val="006E5727"/>
    <w:rsid w:val="006E5EB5"/>
    <w:rsid w:val="006F14DB"/>
    <w:rsid w:val="006F2532"/>
    <w:rsid w:val="006F5589"/>
    <w:rsid w:val="00702E40"/>
    <w:rsid w:val="0070327A"/>
    <w:rsid w:val="0071290D"/>
    <w:rsid w:val="00713BD1"/>
    <w:rsid w:val="00713D33"/>
    <w:rsid w:val="00717E5A"/>
    <w:rsid w:val="00720D38"/>
    <w:rsid w:val="00721293"/>
    <w:rsid w:val="00732078"/>
    <w:rsid w:val="0073356A"/>
    <w:rsid w:val="0073391D"/>
    <w:rsid w:val="00735103"/>
    <w:rsid w:val="00735BE0"/>
    <w:rsid w:val="00736A89"/>
    <w:rsid w:val="00736E80"/>
    <w:rsid w:val="00737B07"/>
    <w:rsid w:val="00741E32"/>
    <w:rsid w:val="0074247B"/>
    <w:rsid w:val="00743277"/>
    <w:rsid w:val="00745FCC"/>
    <w:rsid w:val="0074756F"/>
    <w:rsid w:val="00750BEF"/>
    <w:rsid w:val="00752CC4"/>
    <w:rsid w:val="007531D1"/>
    <w:rsid w:val="007557BC"/>
    <w:rsid w:val="00757611"/>
    <w:rsid w:val="00766D6A"/>
    <w:rsid w:val="00767153"/>
    <w:rsid w:val="0077246A"/>
    <w:rsid w:val="00782492"/>
    <w:rsid w:val="007833B7"/>
    <w:rsid w:val="007834A3"/>
    <w:rsid w:val="00785377"/>
    <w:rsid w:val="007867B6"/>
    <w:rsid w:val="00786ABA"/>
    <w:rsid w:val="0078768E"/>
    <w:rsid w:val="00790807"/>
    <w:rsid w:val="00797B71"/>
    <w:rsid w:val="007B457B"/>
    <w:rsid w:val="007B5424"/>
    <w:rsid w:val="007D05D1"/>
    <w:rsid w:val="007D2D2F"/>
    <w:rsid w:val="007D2F15"/>
    <w:rsid w:val="007D38DE"/>
    <w:rsid w:val="007D57A4"/>
    <w:rsid w:val="007D6873"/>
    <w:rsid w:val="007E0D92"/>
    <w:rsid w:val="007E0F9F"/>
    <w:rsid w:val="007E1507"/>
    <w:rsid w:val="007E4DB6"/>
    <w:rsid w:val="007E53BC"/>
    <w:rsid w:val="007E6D36"/>
    <w:rsid w:val="007E7C93"/>
    <w:rsid w:val="007F2003"/>
    <w:rsid w:val="007F603C"/>
    <w:rsid w:val="007F78AC"/>
    <w:rsid w:val="008007A3"/>
    <w:rsid w:val="008029BC"/>
    <w:rsid w:val="00806FDA"/>
    <w:rsid w:val="00820F32"/>
    <w:rsid w:val="00823400"/>
    <w:rsid w:val="00824EC1"/>
    <w:rsid w:val="00826070"/>
    <w:rsid w:val="00826ADE"/>
    <w:rsid w:val="0082749E"/>
    <w:rsid w:val="00830200"/>
    <w:rsid w:val="008373A3"/>
    <w:rsid w:val="00855EB5"/>
    <w:rsid w:val="008568BB"/>
    <w:rsid w:val="00862446"/>
    <w:rsid w:val="00866644"/>
    <w:rsid w:val="00866C38"/>
    <w:rsid w:val="0086771D"/>
    <w:rsid w:val="00874CCB"/>
    <w:rsid w:val="00882F5E"/>
    <w:rsid w:val="00883A2F"/>
    <w:rsid w:val="008843FC"/>
    <w:rsid w:val="0088529E"/>
    <w:rsid w:val="00886C0E"/>
    <w:rsid w:val="00887C00"/>
    <w:rsid w:val="00891689"/>
    <w:rsid w:val="00892401"/>
    <w:rsid w:val="00892478"/>
    <w:rsid w:val="00896D04"/>
    <w:rsid w:val="008A4103"/>
    <w:rsid w:val="008A51DA"/>
    <w:rsid w:val="008A6242"/>
    <w:rsid w:val="008A684F"/>
    <w:rsid w:val="008A751B"/>
    <w:rsid w:val="008B1DD3"/>
    <w:rsid w:val="008B3301"/>
    <w:rsid w:val="008B5F50"/>
    <w:rsid w:val="008B728E"/>
    <w:rsid w:val="008C0AD1"/>
    <w:rsid w:val="008C1BA7"/>
    <w:rsid w:val="008C1C5D"/>
    <w:rsid w:val="008C30BB"/>
    <w:rsid w:val="008C30D5"/>
    <w:rsid w:val="008C37B9"/>
    <w:rsid w:val="008C52DA"/>
    <w:rsid w:val="008C751B"/>
    <w:rsid w:val="008C79EE"/>
    <w:rsid w:val="008D05CA"/>
    <w:rsid w:val="008D2347"/>
    <w:rsid w:val="008D2A23"/>
    <w:rsid w:val="008D36B5"/>
    <w:rsid w:val="008D3976"/>
    <w:rsid w:val="008D4E55"/>
    <w:rsid w:val="008E0D67"/>
    <w:rsid w:val="008E1EFF"/>
    <w:rsid w:val="008E5443"/>
    <w:rsid w:val="008E5F66"/>
    <w:rsid w:val="008F30D2"/>
    <w:rsid w:val="008F61C0"/>
    <w:rsid w:val="008F7FB4"/>
    <w:rsid w:val="00900230"/>
    <w:rsid w:val="00900E91"/>
    <w:rsid w:val="00902EC7"/>
    <w:rsid w:val="009108C0"/>
    <w:rsid w:val="00910F0D"/>
    <w:rsid w:val="00911AA9"/>
    <w:rsid w:val="009148EB"/>
    <w:rsid w:val="009150F6"/>
    <w:rsid w:val="00915696"/>
    <w:rsid w:val="00921903"/>
    <w:rsid w:val="009227D8"/>
    <w:rsid w:val="0092349C"/>
    <w:rsid w:val="00924AD7"/>
    <w:rsid w:val="00925763"/>
    <w:rsid w:val="00927DBC"/>
    <w:rsid w:val="009401C9"/>
    <w:rsid w:val="00941D60"/>
    <w:rsid w:val="00942558"/>
    <w:rsid w:val="00942F60"/>
    <w:rsid w:val="009442DD"/>
    <w:rsid w:val="009471CE"/>
    <w:rsid w:val="00951B3A"/>
    <w:rsid w:val="0095588B"/>
    <w:rsid w:val="009561AC"/>
    <w:rsid w:val="009571A8"/>
    <w:rsid w:val="009638BE"/>
    <w:rsid w:val="0096408C"/>
    <w:rsid w:val="00964CE8"/>
    <w:rsid w:val="00965386"/>
    <w:rsid w:val="009658FE"/>
    <w:rsid w:val="00965E9A"/>
    <w:rsid w:val="00970976"/>
    <w:rsid w:val="00971B12"/>
    <w:rsid w:val="00972C27"/>
    <w:rsid w:val="0097712B"/>
    <w:rsid w:val="0098038B"/>
    <w:rsid w:val="00980E12"/>
    <w:rsid w:val="009819BC"/>
    <w:rsid w:val="0098487E"/>
    <w:rsid w:val="00985AEF"/>
    <w:rsid w:val="009907D5"/>
    <w:rsid w:val="009911DF"/>
    <w:rsid w:val="00991357"/>
    <w:rsid w:val="0099323F"/>
    <w:rsid w:val="00993918"/>
    <w:rsid w:val="00993EC2"/>
    <w:rsid w:val="00994A7D"/>
    <w:rsid w:val="009A1612"/>
    <w:rsid w:val="009A27B8"/>
    <w:rsid w:val="009A60BA"/>
    <w:rsid w:val="009A69CE"/>
    <w:rsid w:val="009A7801"/>
    <w:rsid w:val="009B1737"/>
    <w:rsid w:val="009B4E92"/>
    <w:rsid w:val="009C1B37"/>
    <w:rsid w:val="009C7858"/>
    <w:rsid w:val="009D14C3"/>
    <w:rsid w:val="009D264B"/>
    <w:rsid w:val="009D3943"/>
    <w:rsid w:val="009D5262"/>
    <w:rsid w:val="009D5C4B"/>
    <w:rsid w:val="009E22EE"/>
    <w:rsid w:val="009E2B46"/>
    <w:rsid w:val="009E3474"/>
    <w:rsid w:val="009F6B50"/>
    <w:rsid w:val="009F7F62"/>
    <w:rsid w:val="00A04415"/>
    <w:rsid w:val="00A04F67"/>
    <w:rsid w:val="00A05665"/>
    <w:rsid w:val="00A07C9A"/>
    <w:rsid w:val="00A13E35"/>
    <w:rsid w:val="00A152A0"/>
    <w:rsid w:val="00A152C7"/>
    <w:rsid w:val="00A1579B"/>
    <w:rsid w:val="00A15C11"/>
    <w:rsid w:val="00A16B09"/>
    <w:rsid w:val="00A22955"/>
    <w:rsid w:val="00A22B53"/>
    <w:rsid w:val="00A233AE"/>
    <w:rsid w:val="00A23588"/>
    <w:rsid w:val="00A23AE7"/>
    <w:rsid w:val="00A24477"/>
    <w:rsid w:val="00A25848"/>
    <w:rsid w:val="00A27AF9"/>
    <w:rsid w:val="00A30DF1"/>
    <w:rsid w:val="00A32A70"/>
    <w:rsid w:val="00A34870"/>
    <w:rsid w:val="00A354CB"/>
    <w:rsid w:val="00A37099"/>
    <w:rsid w:val="00A3742B"/>
    <w:rsid w:val="00A375B8"/>
    <w:rsid w:val="00A4008F"/>
    <w:rsid w:val="00A429C0"/>
    <w:rsid w:val="00A45F4E"/>
    <w:rsid w:val="00A46DF9"/>
    <w:rsid w:val="00A5242D"/>
    <w:rsid w:val="00A52DA8"/>
    <w:rsid w:val="00A544E8"/>
    <w:rsid w:val="00A57331"/>
    <w:rsid w:val="00A605C7"/>
    <w:rsid w:val="00A61832"/>
    <w:rsid w:val="00A62926"/>
    <w:rsid w:val="00A62A02"/>
    <w:rsid w:val="00A67AE0"/>
    <w:rsid w:val="00A70546"/>
    <w:rsid w:val="00A73E2F"/>
    <w:rsid w:val="00A744D6"/>
    <w:rsid w:val="00A76FC7"/>
    <w:rsid w:val="00A77487"/>
    <w:rsid w:val="00A85198"/>
    <w:rsid w:val="00A95671"/>
    <w:rsid w:val="00A95DBE"/>
    <w:rsid w:val="00A96945"/>
    <w:rsid w:val="00AA1EF4"/>
    <w:rsid w:val="00AA2023"/>
    <w:rsid w:val="00AA2CCC"/>
    <w:rsid w:val="00AA5EC7"/>
    <w:rsid w:val="00AA6A39"/>
    <w:rsid w:val="00AA7B4A"/>
    <w:rsid w:val="00AB01CE"/>
    <w:rsid w:val="00AB3426"/>
    <w:rsid w:val="00AB4721"/>
    <w:rsid w:val="00AB4879"/>
    <w:rsid w:val="00AB4A32"/>
    <w:rsid w:val="00AB664F"/>
    <w:rsid w:val="00AC0DD3"/>
    <w:rsid w:val="00AC1093"/>
    <w:rsid w:val="00AC42A1"/>
    <w:rsid w:val="00AC4A13"/>
    <w:rsid w:val="00AC6036"/>
    <w:rsid w:val="00AC7B12"/>
    <w:rsid w:val="00AD0484"/>
    <w:rsid w:val="00AD228F"/>
    <w:rsid w:val="00AD2762"/>
    <w:rsid w:val="00AE0D28"/>
    <w:rsid w:val="00AE22F8"/>
    <w:rsid w:val="00AE6FDC"/>
    <w:rsid w:val="00AF237E"/>
    <w:rsid w:val="00AF5E0A"/>
    <w:rsid w:val="00B002B0"/>
    <w:rsid w:val="00B01969"/>
    <w:rsid w:val="00B0269A"/>
    <w:rsid w:val="00B03C5C"/>
    <w:rsid w:val="00B10431"/>
    <w:rsid w:val="00B13CEC"/>
    <w:rsid w:val="00B16445"/>
    <w:rsid w:val="00B178EE"/>
    <w:rsid w:val="00B2253C"/>
    <w:rsid w:val="00B2376F"/>
    <w:rsid w:val="00B3119C"/>
    <w:rsid w:val="00B32AB1"/>
    <w:rsid w:val="00B36A5E"/>
    <w:rsid w:val="00B36B2B"/>
    <w:rsid w:val="00B3702A"/>
    <w:rsid w:val="00B459E6"/>
    <w:rsid w:val="00B46918"/>
    <w:rsid w:val="00B46F22"/>
    <w:rsid w:val="00B470C6"/>
    <w:rsid w:val="00B50ADA"/>
    <w:rsid w:val="00B55FFD"/>
    <w:rsid w:val="00B57AF7"/>
    <w:rsid w:val="00B60A7C"/>
    <w:rsid w:val="00B61487"/>
    <w:rsid w:val="00B62F5E"/>
    <w:rsid w:val="00B62F9D"/>
    <w:rsid w:val="00B718AD"/>
    <w:rsid w:val="00B740A2"/>
    <w:rsid w:val="00B76952"/>
    <w:rsid w:val="00B804C8"/>
    <w:rsid w:val="00B8128F"/>
    <w:rsid w:val="00B8185D"/>
    <w:rsid w:val="00B81F03"/>
    <w:rsid w:val="00B84002"/>
    <w:rsid w:val="00B84879"/>
    <w:rsid w:val="00B9041E"/>
    <w:rsid w:val="00B90910"/>
    <w:rsid w:val="00B91D49"/>
    <w:rsid w:val="00B92C2F"/>
    <w:rsid w:val="00BA348A"/>
    <w:rsid w:val="00BA38D2"/>
    <w:rsid w:val="00BB12B4"/>
    <w:rsid w:val="00BB1D19"/>
    <w:rsid w:val="00BB463A"/>
    <w:rsid w:val="00BB5B86"/>
    <w:rsid w:val="00BB605E"/>
    <w:rsid w:val="00BB707D"/>
    <w:rsid w:val="00BB735C"/>
    <w:rsid w:val="00BB7734"/>
    <w:rsid w:val="00BB7924"/>
    <w:rsid w:val="00BC646B"/>
    <w:rsid w:val="00BC7E1E"/>
    <w:rsid w:val="00BD4FFB"/>
    <w:rsid w:val="00BD5B89"/>
    <w:rsid w:val="00BD6B68"/>
    <w:rsid w:val="00BE5EA8"/>
    <w:rsid w:val="00BE6196"/>
    <w:rsid w:val="00BF2E9B"/>
    <w:rsid w:val="00BF6F30"/>
    <w:rsid w:val="00BF76D0"/>
    <w:rsid w:val="00C01DF7"/>
    <w:rsid w:val="00C03500"/>
    <w:rsid w:val="00C03BD8"/>
    <w:rsid w:val="00C03C2C"/>
    <w:rsid w:val="00C0752F"/>
    <w:rsid w:val="00C07660"/>
    <w:rsid w:val="00C11035"/>
    <w:rsid w:val="00C15987"/>
    <w:rsid w:val="00C17A28"/>
    <w:rsid w:val="00C17CAA"/>
    <w:rsid w:val="00C24842"/>
    <w:rsid w:val="00C27A92"/>
    <w:rsid w:val="00C30F0C"/>
    <w:rsid w:val="00C31441"/>
    <w:rsid w:val="00C3335A"/>
    <w:rsid w:val="00C342AF"/>
    <w:rsid w:val="00C34480"/>
    <w:rsid w:val="00C5213C"/>
    <w:rsid w:val="00C52FBD"/>
    <w:rsid w:val="00C5398E"/>
    <w:rsid w:val="00C54C19"/>
    <w:rsid w:val="00C5507C"/>
    <w:rsid w:val="00C55C12"/>
    <w:rsid w:val="00C6253F"/>
    <w:rsid w:val="00C6585C"/>
    <w:rsid w:val="00C71E32"/>
    <w:rsid w:val="00C724EB"/>
    <w:rsid w:val="00C73514"/>
    <w:rsid w:val="00C76791"/>
    <w:rsid w:val="00C76F54"/>
    <w:rsid w:val="00C85C66"/>
    <w:rsid w:val="00C91B3D"/>
    <w:rsid w:val="00C939F7"/>
    <w:rsid w:val="00CA0DE5"/>
    <w:rsid w:val="00CA7D6E"/>
    <w:rsid w:val="00CB3C62"/>
    <w:rsid w:val="00CC25B4"/>
    <w:rsid w:val="00CC6FA4"/>
    <w:rsid w:val="00CC70F4"/>
    <w:rsid w:val="00CD01D4"/>
    <w:rsid w:val="00CD0DE7"/>
    <w:rsid w:val="00CD1DF9"/>
    <w:rsid w:val="00CD347E"/>
    <w:rsid w:val="00CD36EE"/>
    <w:rsid w:val="00CD3825"/>
    <w:rsid w:val="00CD3F97"/>
    <w:rsid w:val="00CD7A8A"/>
    <w:rsid w:val="00CE0277"/>
    <w:rsid w:val="00CE3794"/>
    <w:rsid w:val="00CE7AB4"/>
    <w:rsid w:val="00CF3C41"/>
    <w:rsid w:val="00D02DB7"/>
    <w:rsid w:val="00D042BC"/>
    <w:rsid w:val="00D04C4E"/>
    <w:rsid w:val="00D04F9E"/>
    <w:rsid w:val="00D11540"/>
    <w:rsid w:val="00D115D3"/>
    <w:rsid w:val="00D117B5"/>
    <w:rsid w:val="00D13C94"/>
    <w:rsid w:val="00D14807"/>
    <w:rsid w:val="00D1731E"/>
    <w:rsid w:val="00D177D4"/>
    <w:rsid w:val="00D2084A"/>
    <w:rsid w:val="00D21588"/>
    <w:rsid w:val="00D25893"/>
    <w:rsid w:val="00D26E2B"/>
    <w:rsid w:val="00D275A4"/>
    <w:rsid w:val="00D275AD"/>
    <w:rsid w:val="00D328D8"/>
    <w:rsid w:val="00D33B4D"/>
    <w:rsid w:val="00D344C8"/>
    <w:rsid w:val="00D36717"/>
    <w:rsid w:val="00D3780F"/>
    <w:rsid w:val="00D40D69"/>
    <w:rsid w:val="00D44382"/>
    <w:rsid w:val="00D44B27"/>
    <w:rsid w:val="00D47A34"/>
    <w:rsid w:val="00D504C0"/>
    <w:rsid w:val="00D50950"/>
    <w:rsid w:val="00D5254C"/>
    <w:rsid w:val="00D55F19"/>
    <w:rsid w:val="00D567DC"/>
    <w:rsid w:val="00D610BB"/>
    <w:rsid w:val="00D668FD"/>
    <w:rsid w:val="00D6785A"/>
    <w:rsid w:val="00D67B75"/>
    <w:rsid w:val="00D70272"/>
    <w:rsid w:val="00D7427E"/>
    <w:rsid w:val="00D94911"/>
    <w:rsid w:val="00D94E15"/>
    <w:rsid w:val="00D96F7D"/>
    <w:rsid w:val="00DA6046"/>
    <w:rsid w:val="00DA76EA"/>
    <w:rsid w:val="00DB0B0D"/>
    <w:rsid w:val="00DB0E60"/>
    <w:rsid w:val="00DB250E"/>
    <w:rsid w:val="00DB4257"/>
    <w:rsid w:val="00DC21B3"/>
    <w:rsid w:val="00DC27BA"/>
    <w:rsid w:val="00DC30B0"/>
    <w:rsid w:val="00DC6E17"/>
    <w:rsid w:val="00DD07C9"/>
    <w:rsid w:val="00DD227C"/>
    <w:rsid w:val="00DD3ECB"/>
    <w:rsid w:val="00DD5FDB"/>
    <w:rsid w:val="00DE2C3F"/>
    <w:rsid w:val="00DE3DDF"/>
    <w:rsid w:val="00DF1270"/>
    <w:rsid w:val="00DF193C"/>
    <w:rsid w:val="00DF47B8"/>
    <w:rsid w:val="00DF4AE5"/>
    <w:rsid w:val="00E00E94"/>
    <w:rsid w:val="00E038F6"/>
    <w:rsid w:val="00E06F53"/>
    <w:rsid w:val="00E07F52"/>
    <w:rsid w:val="00E107F3"/>
    <w:rsid w:val="00E11706"/>
    <w:rsid w:val="00E14069"/>
    <w:rsid w:val="00E14164"/>
    <w:rsid w:val="00E14EEF"/>
    <w:rsid w:val="00E2020F"/>
    <w:rsid w:val="00E21446"/>
    <w:rsid w:val="00E220A5"/>
    <w:rsid w:val="00E22889"/>
    <w:rsid w:val="00E309A4"/>
    <w:rsid w:val="00E436BC"/>
    <w:rsid w:val="00E45CBC"/>
    <w:rsid w:val="00E536E5"/>
    <w:rsid w:val="00E554CE"/>
    <w:rsid w:val="00E55FC3"/>
    <w:rsid w:val="00E63785"/>
    <w:rsid w:val="00E63C20"/>
    <w:rsid w:val="00E64427"/>
    <w:rsid w:val="00E646B5"/>
    <w:rsid w:val="00E665C5"/>
    <w:rsid w:val="00E7285A"/>
    <w:rsid w:val="00E76590"/>
    <w:rsid w:val="00E85F60"/>
    <w:rsid w:val="00E8606F"/>
    <w:rsid w:val="00E87738"/>
    <w:rsid w:val="00E9351A"/>
    <w:rsid w:val="00E93E77"/>
    <w:rsid w:val="00E94769"/>
    <w:rsid w:val="00E967B6"/>
    <w:rsid w:val="00E969A4"/>
    <w:rsid w:val="00EA3B61"/>
    <w:rsid w:val="00EA5C09"/>
    <w:rsid w:val="00EA7F7E"/>
    <w:rsid w:val="00EB015A"/>
    <w:rsid w:val="00EB3D3F"/>
    <w:rsid w:val="00EB4321"/>
    <w:rsid w:val="00EC6514"/>
    <w:rsid w:val="00ED43ED"/>
    <w:rsid w:val="00ED4ED1"/>
    <w:rsid w:val="00ED62E6"/>
    <w:rsid w:val="00EE083E"/>
    <w:rsid w:val="00EE23D8"/>
    <w:rsid w:val="00EE3CBF"/>
    <w:rsid w:val="00EE5757"/>
    <w:rsid w:val="00EE5998"/>
    <w:rsid w:val="00EE5F97"/>
    <w:rsid w:val="00EE78FF"/>
    <w:rsid w:val="00EF21A6"/>
    <w:rsid w:val="00EF3928"/>
    <w:rsid w:val="00F00D09"/>
    <w:rsid w:val="00F01A88"/>
    <w:rsid w:val="00F037FC"/>
    <w:rsid w:val="00F066F8"/>
    <w:rsid w:val="00F10718"/>
    <w:rsid w:val="00F1105A"/>
    <w:rsid w:val="00F14748"/>
    <w:rsid w:val="00F15674"/>
    <w:rsid w:val="00F24D2F"/>
    <w:rsid w:val="00F26E7E"/>
    <w:rsid w:val="00F30F58"/>
    <w:rsid w:val="00F33A39"/>
    <w:rsid w:val="00F34054"/>
    <w:rsid w:val="00F37486"/>
    <w:rsid w:val="00F37742"/>
    <w:rsid w:val="00F40DF8"/>
    <w:rsid w:val="00F418BF"/>
    <w:rsid w:val="00F41ADD"/>
    <w:rsid w:val="00F43A84"/>
    <w:rsid w:val="00F43B26"/>
    <w:rsid w:val="00F507E9"/>
    <w:rsid w:val="00F50895"/>
    <w:rsid w:val="00F51FED"/>
    <w:rsid w:val="00F526E6"/>
    <w:rsid w:val="00F55B66"/>
    <w:rsid w:val="00F57FD0"/>
    <w:rsid w:val="00F640FE"/>
    <w:rsid w:val="00F74454"/>
    <w:rsid w:val="00F75289"/>
    <w:rsid w:val="00F75581"/>
    <w:rsid w:val="00F75BE9"/>
    <w:rsid w:val="00F7630A"/>
    <w:rsid w:val="00F7757E"/>
    <w:rsid w:val="00F80CA8"/>
    <w:rsid w:val="00F82F20"/>
    <w:rsid w:val="00F91221"/>
    <w:rsid w:val="00F93190"/>
    <w:rsid w:val="00F9432B"/>
    <w:rsid w:val="00FA06D6"/>
    <w:rsid w:val="00FA22AF"/>
    <w:rsid w:val="00FA53F7"/>
    <w:rsid w:val="00FA62C0"/>
    <w:rsid w:val="00FA7E8F"/>
    <w:rsid w:val="00FB0E4E"/>
    <w:rsid w:val="00FB399B"/>
    <w:rsid w:val="00FB3AFF"/>
    <w:rsid w:val="00FB7549"/>
    <w:rsid w:val="00FB7AFE"/>
    <w:rsid w:val="00FC2BB9"/>
    <w:rsid w:val="00FC2F2C"/>
    <w:rsid w:val="00FC3F19"/>
    <w:rsid w:val="00FC7510"/>
    <w:rsid w:val="00FC7B8D"/>
    <w:rsid w:val="00FD0035"/>
    <w:rsid w:val="00FD2D77"/>
    <w:rsid w:val="00FD53C8"/>
    <w:rsid w:val="00FD6471"/>
    <w:rsid w:val="00FD7068"/>
    <w:rsid w:val="00FE0E96"/>
    <w:rsid w:val="00FE7E9A"/>
    <w:rsid w:val="00FF34A5"/>
    <w:rsid w:val="00FF3B3C"/>
    <w:rsid w:val="00FF48F6"/>
    <w:rsid w:val="00FF5FB5"/>
    <w:rsid w:val="010351AA"/>
    <w:rsid w:val="011D2710"/>
    <w:rsid w:val="01211AD4"/>
    <w:rsid w:val="01374E54"/>
    <w:rsid w:val="01415CD2"/>
    <w:rsid w:val="01431A4A"/>
    <w:rsid w:val="01437C9C"/>
    <w:rsid w:val="015123B9"/>
    <w:rsid w:val="0159126E"/>
    <w:rsid w:val="017936BE"/>
    <w:rsid w:val="018F6A3E"/>
    <w:rsid w:val="01987FE8"/>
    <w:rsid w:val="01A249C3"/>
    <w:rsid w:val="01A301A6"/>
    <w:rsid w:val="01B85F94"/>
    <w:rsid w:val="01C25065"/>
    <w:rsid w:val="01D32DCE"/>
    <w:rsid w:val="01D60B10"/>
    <w:rsid w:val="01D803E5"/>
    <w:rsid w:val="01DF79C5"/>
    <w:rsid w:val="01E90FB1"/>
    <w:rsid w:val="01FF0067"/>
    <w:rsid w:val="02274EC8"/>
    <w:rsid w:val="02306473"/>
    <w:rsid w:val="02551A35"/>
    <w:rsid w:val="02581700"/>
    <w:rsid w:val="02702D13"/>
    <w:rsid w:val="027C16B8"/>
    <w:rsid w:val="027F4D04"/>
    <w:rsid w:val="02866093"/>
    <w:rsid w:val="02897931"/>
    <w:rsid w:val="028B18FB"/>
    <w:rsid w:val="028B5457"/>
    <w:rsid w:val="02AD1871"/>
    <w:rsid w:val="02B32C00"/>
    <w:rsid w:val="02B726F0"/>
    <w:rsid w:val="02DA4630"/>
    <w:rsid w:val="030B6598"/>
    <w:rsid w:val="03125B78"/>
    <w:rsid w:val="036A59B4"/>
    <w:rsid w:val="0374238F"/>
    <w:rsid w:val="03B10EED"/>
    <w:rsid w:val="03B15391"/>
    <w:rsid w:val="03B72CC7"/>
    <w:rsid w:val="03D472D2"/>
    <w:rsid w:val="03DB0660"/>
    <w:rsid w:val="03FE4C3A"/>
    <w:rsid w:val="040C6A6B"/>
    <w:rsid w:val="040D00EE"/>
    <w:rsid w:val="040F20B8"/>
    <w:rsid w:val="042C2C6A"/>
    <w:rsid w:val="0432039E"/>
    <w:rsid w:val="0438160E"/>
    <w:rsid w:val="04697A1A"/>
    <w:rsid w:val="04763EE5"/>
    <w:rsid w:val="047A1C27"/>
    <w:rsid w:val="047C599F"/>
    <w:rsid w:val="049031F8"/>
    <w:rsid w:val="04A46CA4"/>
    <w:rsid w:val="04B862AB"/>
    <w:rsid w:val="04BA0275"/>
    <w:rsid w:val="04C335CE"/>
    <w:rsid w:val="04CB4231"/>
    <w:rsid w:val="04D07A99"/>
    <w:rsid w:val="04DC4690"/>
    <w:rsid w:val="05034C87"/>
    <w:rsid w:val="05151950"/>
    <w:rsid w:val="051E6A56"/>
    <w:rsid w:val="056401E1"/>
    <w:rsid w:val="0580326D"/>
    <w:rsid w:val="05AD761D"/>
    <w:rsid w:val="05BE78F1"/>
    <w:rsid w:val="05CB200E"/>
    <w:rsid w:val="05D9297D"/>
    <w:rsid w:val="060F2738"/>
    <w:rsid w:val="063858F6"/>
    <w:rsid w:val="0667442D"/>
    <w:rsid w:val="06693D01"/>
    <w:rsid w:val="06773F78"/>
    <w:rsid w:val="06840B3B"/>
    <w:rsid w:val="068E3768"/>
    <w:rsid w:val="06A27213"/>
    <w:rsid w:val="06A905A2"/>
    <w:rsid w:val="06BB1178"/>
    <w:rsid w:val="06C8671D"/>
    <w:rsid w:val="06F039E9"/>
    <w:rsid w:val="072D39FC"/>
    <w:rsid w:val="073267E9"/>
    <w:rsid w:val="07434552"/>
    <w:rsid w:val="07520C39"/>
    <w:rsid w:val="0764271A"/>
    <w:rsid w:val="076D7821"/>
    <w:rsid w:val="07726BE5"/>
    <w:rsid w:val="078E27A7"/>
    <w:rsid w:val="078F59E9"/>
    <w:rsid w:val="0790350F"/>
    <w:rsid w:val="07A50D69"/>
    <w:rsid w:val="07B0770E"/>
    <w:rsid w:val="07EA2C20"/>
    <w:rsid w:val="07EC6998"/>
    <w:rsid w:val="07EF2939"/>
    <w:rsid w:val="07F97307"/>
    <w:rsid w:val="08183C31"/>
    <w:rsid w:val="0822685D"/>
    <w:rsid w:val="083B791F"/>
    <w:rsid w:val="08511C41"/>
    <w:rsid w:val="087150EF"/>
    <w:rsid w:val="08874912"/>
    <w:rsid w:val="08892439"/>
    <w:rsid w:val="08A2799E"/>
    <w:rsid w:val="08A96637"/>
    <w:rsid w:val="08A97BC3"/>
    <w:rsid w:val="08B17BE1"/>
    <w:rsid w:val="08CB2A51"/>
    <w:rsid w:val="08E27D9B"/>
    <w:rsid w:val="08ED6E6B"/>
    <w:rsid w:val="090221EB"/>
    <w:rsid w:val="09120680"/>
    <w:rsid w:val="092108C3"/>
    <w:rsid w:val="0926237D"/>
    <w:rsid w:val="092B1742"/>
    <w:rsid w:val="09491BC8"/>
    <w:rsid w:val="096A026D"/>
    <w:rsid w:val="09750C0F"/>
    <w:rsid w:val="0992356F"/>
    <w:rsid w:val="09AD03A9"/>
    <w:rsid w:val="09E0252C"/>
    <w:rsid w:val="0A0D3B04"/>
    <w:rsid w:val="0A173A74"/>
    <w:rsid w:val="0A1E4E03"/>
    <w:rsid w:val="0A2F0DBE"/>
    <w:rsid w:val="0A3960E0"/>
    <w:rsid w:val="0A4505E1"/>
    <w:rsid w:val="0A4725AB"/>
    <w:rsid w:val="0A590531"/>
    <w:rsid w:val="0A7669ED"/>
    <w:rsid w:val="0A7B04A7"/>
    <w:rsid w:val="0A7D5FCD"/>
    <w:rsid w:val="0A880C8F"/>
    <w:rsid w:val="0A9926DB"/>
    <w:rsid w:val="0AD17569"/>
    <w:rsid w:val="0AE53B72"/>
    <w:rsid w:val="0B0009AC"/>
    <w:rsid w:val="0B095AB3"/>
    <w:rsid w:val="0B542FDE"/>
    <w:rsid w:val="0B5D7BAD"/>
    <w:rsid w:val="0B770BE8"/>
    <w:rsid w:val="0B811AED"/>
    <w:rsid w:val="0B865355"/>
    <w:rsid w:val="0B9510F4"/>
    <w:rsid w:val="0BC1013B"/>
    <w:rsid w:val="0BD0037E"/>
    <w:rsid w:val="0BD95485"/>
    <w:rsid w:val="0C1E733C"/>
    <w:rsid w:val="0C1F37ED"/>
    <w:rsid w:val="0C22507E"/>
    <w:rsid w:val="0C2506CA"/>
    <w:rsid w:val="0C300E1D"/>
    <w:rsid w:val="0C321039"/>
    <w:rsid w:val="0C344DB1"/>
    <w:rsid w:val="0C434FF4"/>
    <w:rsid w:val="0C436DA2"/>
    <w:rsid w:val="0C4E6409"/>
    <w:rsid w:val="0C61547A"/>
    <w:rsid w:val="0C6D709F"/>
    <w:rsid w:val="0C8278CB"/>
    <w:rsid w:val="0C833643"/>
    <w:rsid w:val="0C880C59"/>
    <w:rsid w:val="0C926FC2"/>
    <w:rsid w:val="0C9870EE"/>
    <w:rsid w:val="0C994C14"/>
    <w:rsid w:val="0C9B1F9A"/>
    <w:rsid w:val="0CB41A4E"/>
    <w:rsid w:val="0CC954FA"/>
    <w:rsid w:val="0CDF2F6F"/>
    <w:rsid w:val="0CE916F8"/>
    <w:rsid w:val="0CEC743A"/>
    <w:rsid w:val="0CEE4F60"/>
    <w:rsid w:val="0D046532"/>
    <w:rsid w:val="0D1D75F3"/>
    <w:rsid w:val="0D7A67F4"/>
    <w:rsid w:val="0D817B82"/>
    <w:rsid w:val="0D9553DC"/>
    <w:rsid w:val="0D9C49BC"/>
    <w:rsid w:val="0DA11FD2"/>
    <w:rsid w:val="0DBE2B84"/>
    <w:rsid w:val="0DF26CD2"/>
    <w:rsid w:val="0DF92677"/>
    <w:rsid w:val="0DFA7935"/>
    <w:rsid w:val="0E1924B1"/>
    <w:rsid w:val="0E197DBB"/>
    <w:rsid w:val="0E2F75DE"/>
    <w:rsid w:val="0E372937"/>
    <w:rsid w:val="0E460DCC"/>
    <w:rsid w:val="0E5232CD"/>
    <w:rsid w:val="0E545297"/>
    <w:rsid w:val="0E5C414B"/>
    <w:rsid w:val="0E72571D"/>
    <w:rsid w:val="0E7476E7"/>
    <w:rsid w:val="0E8A2A67"/>
    <w:rsid w:val="0E8A515C"/>
    <w:rsid w:val="0EA7186A"/>
    <w:rsid w:val="0EC20452"/>
    <w:rsid w:val="0ECA37AB"/>
    <w:rsid w:val="0ECC12D1"/>
    <w:rsid w:val="0EDF7256"/>
    <w:rsid w:val="0EF600FC"/>
    <w:rsid w:val="0EF97BEC"/>
    <w:rsid w:val="0F1669F0"/>
    <w:rsid w:val="0F331350"/>
    <w:rsid w:val="0F4321C1"/>
    <w:rsid w:val="0F580DB7"/>
    <w:rsid w:val="0F6634D4"/>
    <w:rsid w:val="0F772484"/>
    <w:rsid w:val="0FB87AA7"/>
    <w:rsid w:val="0FBA737B"/>
    <w:rsid w:val="0FD77F2D"/>
    <w:rsid w:val="0FD85A54"/>
    <w:rsid w:val="0FEA33CD"/>
    <w:rsid w:val="0FF56606"/>
    <w:rsid w:val="0FF7237E"/>
    <w:rsid w:val="0FF91C03"/>
    <w:rsid w:val="0FF94348"/>
    <w:rsid w:val="0FFD0FD3"/>
    <w:rsid w:val="101C0036"/>
    <w:rsid w:val="10294501"/>
    <w:rsid w:val="103A226A"/>
    <w:rsid w:val="105C0433"/>
    <w:rsid w:val="10635C65"/>
    <w:rsid w:val="106B23FC"/>
    <w:rsid w:val="107E484D"/>
    <w:rsid w:val="108A4FA0"/>
    <w:rsid w:val="108F25B6"/>
    <w:rsid w:val="10A02A15"/>
    <w:rsid w:val="10A122E9"/>
    <w:rsid w:val="10AF4A06"/>
    <w:rsid w:val="10B21AAA"/>
    <w:rsid w:val="10BB33AB"/>
    <w:rsid w:val="10CC55B8"/>
    <w:rsid w:val="10FB40F0"/>
    <w:rsid w:val="111E393A"/>
    <w:rsid w:val="112371A2"/>
    <w:rsid w:val="113E5D8A"/>
    <w:rsid w:val="1143116B"/>
    <w:rsid w:val="11665A0D"/>
    <w:rsid w:val="117619C8"/>
    <w:rsid w:val="117B2B3A"/>
    <w:rsid w:val="118B7221"/>
    <w:rsid w:val="1193257A"/>
    <w:rsid w:val="119B31DD"/>
    <w:rsid w:val="11A958FA"/>
    <w:rsid w:val="11AE2F10"/>
    <w:rsid w:val="11D34725"/>
    <w:rsid w:val="11F50B3F"/>
    <w:rsid w:val="11FC1ECD"/>
    <w:rsid w:val="12372F05"/>
    <w:rsid w:val="12575356"/>
    <w:rsid w:val="125C0BBE"/>
    <w:rsid w:val="12655CC4"/>
    <w:rsid w:val="12666BA9"/>
    <w:rsid w:val="12706417"/>
    <w:rsid w:val="127203E1"/>
    <w:rsid w:val="127A1044"/>
    <w:rsid w:val="128F4AEF"/>
    <w:rsid w:val="12902616"/>
    <w:rsid w:val="12940358"/>
    <w:rsid w:val="129739A4"/>
    <w:rsid w:val="12A97CC8"/>
    <w:rsid w:val="12AD766B"/>
    <w:rsid w:val="12AF6F40"/>
    <w:rsid w:val="12B04A66"/>
    <w:rsid w:val="12D90460"/>
    <w:rsid w:val="12F40DF6"/>
    <w:rsid w:val="12FC7CAB"/>
    <w:rsid w:val="13021765"/>
    <w:rsid w:val="130F1C3D"/>
    <w:rsid w:val="130F79DE"/>
    <w:rsid w:val="13141499"/>
    <w:rsid w:val="135A334F"/>
    <w:rsid w:val="13693592"/>
    <w:rsid w:val="136A10B9"/>
    <w:rsid w:val="13785584"/>
    <w:rsid w:val="13833F28"/>
    <w:rsid w:val="13897791"/>
    <w:rsid w:val="13A7230D"/>
    <w:rsid w:val="13AB1FDE"/>
    <w:rsid w:val="13B14F39"/>
    <w:rsid w:val="13B642FE"/>
    <w:rsid w:val="13FF7A53"/>
    <w:rsid w:val="14011A1D"/>
    <w:rsid w:val="14223741"/>
    <w:rsid w:val="14261483"/>
    <w:rsid w:val="142C636E"/>
    <w:rsid w:val="14463C91"/>
    <w:rsid w:val="14665D24"/>
    <w:rsid w:val="146B50E8"/>
    <w:rsid w:val="14777F31"/>
    <w:rsid w:val="147A17CF"/>
    <w:rsid w:val="14885C9A"/>
    <w:rsid w:val="14A34882"/>
    <w:rsid w:val="14AE3227"/>
    <w:rsid w:val="14B00D4D"/>
    <w:rsid w:val="14B4083D"/>
    <w:rsid w:val="14E8498B"/>
    <w:rsid w:val="14ED01F3"/>
    <w:rsid w:val="14F055ED"/>
    <w:rsid w:val="14F90946"/>
    <w:rsid w:val="150572EB"/>
    <w:rsid w:val="150F3CC6"/>
    <w:rsid w:val="15205ED3"/>
    <w:rsid w:val="152A0AFF"/>
    <w:rsid w:val="152F6116"/>
    <w:rsid w:val="1537321C"/>
    <w:rsid w:val="154A4DA1"/>
    <w:rsid w:val="15557480"/>
    <w:rsid w:val="155D7127"/>
    <w:rsid w:val="1574621E"/>
    <w:rsid w:val="15763D45"/>
    <w:rsid w:val="158F3058"/>
    <w:rsid w:val="15A07014"/>
    <w:rsid w:val="15B605E5"/>
    <w:rsid w:val="15E96C0C"/>
    <w:rsid w:val="15FC6940"/>
    <w:rsid w:val="16027CCE"/>
    <w:rsid w:val="160B0931"/>
    <w:rsid w:val="160F4043"/>
    <w:rsid w:val="160F71A0"/>
    <w:rsid w:val="16175528"/>
    <w:rsid w:val="161C17C9"/>
    <w:rsid w:val="16201F02"/>
    <w:rsid w:val="163A2FC4"/>
    <w:rsid w:val="1647748F"/>
    <w:rsid w:val="16726C02"/>
    <w:rsid w:val="167D7355"/>
    <w:rsid w:val="16816E45"/>
    <w:rsid w:val="168D7598"/>
    <w:rsid w:val="16900E36"/>
    <w:rsid w:val="16924BAE"/>
    <w:rsid w:val="16A13043"/>
    <w:rsid w:val="16A448E1"/>
    <w:rsid w:val="16CE7D9B"/>
    <w:rsid w:val="17084E70"/>
    <w:rsid w:val="170D2487"/>
    <w:rsid w:val="172872C1"/>
    <w:rsid w:val="17377504"/>
    <w:rsid w:val="173E4D36"/>
    <w:rsid w:val="17555BDC"/>
    <w:rsid w:val="1759391E"/>
    <w:rsid w:val="176A78D9"/>
    <w:rsid w:val="176C18A3"/>
    <w:rsid w:val="17800EAB"/>
    <w:rsid w:val="17885FB1"/>
    <w:rsid w:val="178A7F7B"/>
    <w:rsid w:val="17D9054A"/>
    <w:rsid w:val="17E51656"/>
    <w:rsid w:val="17EE050A"/>
    <w:rsid w:val="180715CC"/>
    <w:rsid w:val="182A0E16"/>
    <w:rsid w:val="183879D7"/>
    <w:rsid w:val="183F0D66"/>
    <w:rsid w:val="186A5999"/>
    <w:rsid w:val="186C7681"/>
    <w:rsid w:val="186E51A7"/>
    <w:rsid w:val="18716A45"/>
    <w:rsid w:val="187529D9"/>
    <w:rsid w:val="188B5D59"/>
    <w:rsid w:val="1890336F"/>
    <w:rsid w:val="18934C0E"/>
    <w:rsid w:val="18956BD8"/>
    <w:rsid w:val="189B3AC2"/>
    <w:rsid w:val="18AE37F5"/>
    <w:rsid w:val="18B30504"/>
    <w:rsid w:val="18BA7D5A"/>
    <w:rsid w:val="18BF4508"/>
    <w:rsid w:val="18CD0120"/>
    <w:rsid w:val="18CE5C46"/>
    <w:rsid w:val="18DF60A5"/>
    <w:rsid w:val="18E611E1"/>
    <w:rsid w:val="18E90CD1"/>
    <w:rsid w:val="19137AFC"/>
    <w:rsid w:val="191E097B"/>
    <w:rsid w:val="191F46F3"/>
    <w:rsid w:val="19212219"/>
    <w:rsid w:val="19371A3D"/>
    <w:rsid w:val="19375EE1"/>
    <w:rsid w:val="19704F4F"/>
    <w:rsid w:val="1997072D"/>
    <w:rsid w:val="199944A6"/>
    <w:rsid w:val="19A30E80"/>
    <w:rsid w:val="19AF1F1B"/>
    <w:rsid w:val="19B117EF"/>
    <w:rsid w:val="19B66E06"/>
    <w:rsid w:val="19EF2318"/>
    <w:rsid w:val="19F416DC"/>
    <w:rsid w:val="19F4792E"/>
    <w:rsid w:val="19F93196"/>
    <w:rsid w:val="19FD2C86"/>
    <w:rsid w:val="1A04032E"/>
    <w:rsid w:val="1A295829"/>
    <w:rsid w:val="1A381F10"/>
    <w:rsid w:val="1A3F504D"/>
    <w:rsid w:val="1A4B1C44"/>
    <w:rsid w:val="1A670100"/>
    <w:rsid w:val="1A911621"/>
    <w:rsid w:val="1AB5530F"/>
    <w:rsid w:val="1ABF618E"/>
    <w:rsid w:val="1AC90DBB"/>
    <w:rsid w:val="1ACE017F"/>
    <w:rsid w:val="1AF23A1D"/>
    <w:rsid w:val="1AF44089"/>
    <w:rsid w:val="1B203464"/>
    <w:rsid w:val="1B3A3A66"/>
    <w:rsid w:val="1B410951"/>
    <w:rsid w:val="1B440441"/>
    <w:rsid w:val="1B4A3CA9"/>
    <w:rsid w:val="1B6A434C"/>
    <w:rsid w:val="1B7A20B5"/>
    <w:rsid w:val="1B7E3953"/>
    <w:rsid w:val="1B813443"/>
    <w:rsid w:val="1B9F38C9"/>
    <w:rsid w:val="1BA3160C"/>
    <w:rsid w:val="1BB11F7A"/>
    <w:rsid w:val="1BCB46BE"/>
    <w:rsid w:val="1BDD4B1E"/>
    <w:rsid w:val="1BE31EF1"/>
    <w:rsid w:val="1BE834C2"/>
    <w:rsid w:val="1BF27AC7"/>
    <w:rsid w:val="1C00080C"/>
    <w:rsid w:val="1C0320AA"/>
    <w:rsid w:val="1C0876C1"/>
    <w:rsid w:val="1C0A168B"/>
    <w:rsid w:val="1C0F0A4F"/>
    <w:rsid w:val="1C146065"/>
    <w:rsid w:val="1C1C4F1A"/>
    <w:rsid w:val="1C35495A"/>
    <w:rsid w:val="1C3F7586"/>
    <w:rsid w:val="1C422BD3"/>
    <w:rsid w:val="1C424981"/>
    <w:rsid w:val="1C5D5C5E"/>
    <w:rsid w:val="1C5D7A0C"/>
    <w:rsid w:val="1C607AAB"/>
    <w:rsid w:val="1C6E7F7E"/>
    <w:rsid w:val="1C874A89"/>
    <w:rsid w:val="1C884062"/>
    <w:rsid w:val="1C9B22E3"/>
    <w:rsid w:val="1C9D114C"/>
    <w:rsid w:val="1CB810E7"/>
    <w:rsid w:val="1CD13F56"/>
    <w:rsid w:val="1CF30371"/>
    <w:rsid w:val="1D063C00"/>
    <w:rsid w:val="1D1A76AB"/>
    <w:rsid w:val="1D300C7D"/>
    <w:rsid w:val="1D4D7A81"/>
    <w:rsid w:val="1D526E45"/>
    <w:rsid w:val="1D56403A"/>
    <w:rsid w:val="1D570900"/>
    <w:rsid w:val="1D5841FF"/>
    <w:rsid w:val="1D65301C"/>
    <w:rsid w:val="1D69418F"/>
    <w:rsid w:val="1D750D86"/>
    <w:rsid w:val="1DA14C68"/>
    <w:rsid w:val="1DBE272D"/>
    <w:rsid w:val="1DCF493A"/>
    <w:rsid w:val="1DE57CB9"/>
    <w:rsid w:val="1DF75C3F"/>
    <w:rsid w:val="1DFC3255"/>
    <w:rsid w:val="1E067C30"/>
    <w:rsid w:val="1E110AAE"/>
    <w:rsid w:val="1E14234D"/>
    <w:rsid w:val="1E312B23"/>
    <w:rsid w:val="1E3173A3"/>
    <w:rsid w:val="1E5D1F46"/>
    <w:rsid w:val="1E6A01BF"/>
    <w:rsid w:val="1E9E60BA"/>
    <w:rsid w:val="1EB8717C"/>
    <w:rsid w:val="1EC91389"/>
    <w:rsid w:val="1EDF0BAD"/>
    <w:rsid w:val="1F045566"/>
    <w:rsid w:val="1F093327"/>
    <w:rsid w:val="1F134CFA"/>
    <w:rsid w:val="1F1A3993"/>
    <w:rsid w:val="1F264A2D"/>
    <w:rsid w:val="1F2B48C1"/>
    <w:rsid w:val="1F3C1B5B"/>
    <w:rsid w:val="1F615A66"/>
    <w:rsid w:val="1F6D61B8"/>
    <w:rsid w:val="1F7C63FB"/>
    <w:rsid w:val="1F882FF2"/>
    <w:rsid w:val="1FAB6CE1"/>
    <w:rsid w:val="1FB84C3E"/>
    <w:rsid w:val="1FBC7140"/>
    <w:rsid w:val="1FC57DA2"/>
    <w:rsid w:val="1FD46237"/>
    <w:rsid w:val="1FD91AA0"/>
    <w:rsid w:val="1FDD4046"/>
    <w:rsid w:val="1FE51CD1"/>
    <w:rsid w:val="1FF00B97"/>
    <w:rsid w:val="1FF64400"/>
    <w:rsid w:val="202F346E"/>
    <w:rsid w:val="204A64FA"/>
    <w:rsid w:val="20564E9E"/>
    <w:rsid w:val="207277FE"/>
    <w:rsid w:val="20743577"/>
    <w:rsid w:val="207812B9"/>
    <w:rsid w:val="209E23A2"/>
    <w:rsid w:val="20C31E08"/>
    <w:rsid w:val="20D14525"/>
    <w:rsid w:val="20DE4D42"/>
    <w:rsid w:val="20E73D48"/>
    <w:rsid w:val="20E93F65"/>
    <w:rsid w:val="20EC5803"/>
    <w:rsid w:val="20ED23DE"/>
    <w:rsid w:val="210448FA"/>
    <w:rsid w:val="210E7527"/>
    <w:rsid w:val="211D776A"/>
    <w:rsid w:val="212E1977"/>
    <w:rsid w:val="21336F8E"/>
    <w:rsid w:val="213845A4"/>
    <w:rsid w:val="213D7E0C"/>
    <w:rsid w:val="21507B40"/>
    <w:rsid w:val="21555156"/>
    <w:rsid w:val="2164183D"/>
    <w:rsid w:val="216E6218"/>
    <w:rsid w:val="218B0B78"/>
    <w:rsid w:val="218D48F0"/>
    <w:rsid w:val="21BA76AF"/>
    <w:rsid w:val="21C5052E"/>
    <w:rsid w:val="21C67E02"/>
    <w:rsid w:val="21D40771"/>
    <w:rsid w:val="21D73DBD"/>
    <w:rsid w:val="21DF5B9E"/>
    <w:rsid w:val="21E604A4"/>
    <w:rsid w:val="21E64000"/>
    <w:rsid w:val="21F52495"/>
    <w:rsid w:val="220628F4"/>
    <w:rsid w:val="22196184"/>
    <w:rsid w:val="221F7512"/>
    <w:rsid w:val="22407BB4"/>
    <w:rsid w:val="22431452"/>
    <w:rsid w:val="22513B6F"/>
    <w:rsid w:val="22784CB5"/>
    <w:rsid w:val="22940F07"/>
    <w:rsid w:val="22A04AF7"/>
    <w:rsid w:val="22A2261D"/>
    <w:rsid w:val="22A46395"/>
    <w:rsid w:val="22B91715"/>
    <w:rsid w:val="22C5455D"/>
    <w:rsid w:val="22D87DED"/>
    <w:rsid w:val="22E42C35"/>
    <w:rsid w:val="22F10EAE"/>
    <w:rsid w:val="230C5CE8"/>
    <w:rsid w:val="23137077"/>
    <w:rsid w:val="23160915"/>
    <w:rsid w:val="2318225C"/>
    <w:rsid w:val="231828DF"/>
    <w:rsid w:val="23272B22"/>
    <w:rsid w:val="234026DC"/>
    <w:rsid w:val="23411E36"/>
    <w:rsid w:val="234611FA"/>
    <w:rsid w:val="2355768F"/>
    <w:rsid w:val="235D02F2"/>
    <w:rsid w:val="23810484"/>
    <w:rsid w:val="239A5498"/>
    <w:rsid w:val="23B4085A"/>
    <w:rsid w:val="23FA3D93"/>
    <w:rsid w:val="241E5CD3"/>
    <w:rsid w:val="242E1C8E"/>
    <w:rsid w:val="243C43AB"/>
    <w:rsid w:val="24431BDE"/>
    <w:rsid w:val="2443573A"/>
    <w:rsid w:val="245142FB"/>
    <w:rsid w:val="24612064"/>
    <w:rsid w:val="24771AB9"/>
    <w:rsid w:val="24853FA4"/>
    <w:rsid w:val="24AF1021"/>
    <w:rsid w:val="24B228BF"/>
    <w:rsid w:val="24B86128"/>
    <w:rsid w:val="24BE3012"/>
    <w:rsid w:val="24C820E3"/>
    <w:rsid w:val="24CA5E5B"/>
    <w:rsid w:val="24D171E9"/>
    <w:rsid w:val="24E24F53"/>
    <w:rsid w:val="25177229"/>
    <w:rsid w:val="25186BC6"/>
    <w:rsid w:val="252F5CBE"/>
    <w:rsid w:val="2573204F"/>
    <w:rsid w:val="25891872"/>
    <w:rsid w:val="25A42208"/>
    <w:rsid w:val="25A96E44"/>
    <w:rsid w:val="25C54322"/>
    <w:rsid w:val="25C74149"/>
    <w:rsid w:val="25D36F91"/>
    <w:rsid w:val="26025181"/>
    <w:rsid w:val="26435EC5"/>
    <w:rsid w:val="264D55B5"/>
    <w:rsid w:val="26867B60"/>
    <w:rsid w:val="26B80661"/>
    <w:rsid w:val="26C1503C"/>
    <w:rsid w:val="26DE5D66"/>
    <w:rsid w:val="26F1147D"/>
    <w:rsid w:val="27037402"/>
    <w:rsid w:val="270F3FF9"/>
    <w:rsid w:val="273A72C8"/>
    <w:rsid w:val="27504E64"/>
    <w:rsid w:val="2762237B"/>
    <w:rsid w:val="276B56D3"/>
    <w:rsid w:val="277B51EB"/>
    <w:rsid w:val="279D0DF3"/>
    <w:rsid w:val="27A6495D"/>
    <w:rsid w:val="27B84691"/>
    <w:rsid w:val="27DA0163"/>
    <w:rsid w:val="27DF39CB"/>
    <w:rsid w:val="27E245F6"/>
    <w:rsid w:val="27E45486"/>
    <w:rsid w:val="27E92A9C"/>
    <w:rsid w:val="28043432"/>
    <w:rsid w:val="28100029"/>
    <w:rsid w:val="281318C7"/>
    <w:rsid w:val="28173165"/>
    <w:rsid w:val="282011E6"/>
    <w:rsid w:val="285048C9"/>
    <w:rsid w:val="286C31ED"/>
    <w:rsid w:val="287700A8"/>
    <w:rsid w:val="28862099"/>
    <w:rsid w:val="289724F8"/>
    <w:rsid w:val="28BF0C55"/>
    <w:rsid w:val="28E219C5"/>
    <w:rsid w:val="28F039B6"/>
    <w:rsid w:val="290D6316"/>
    <w:rsid w:val="29143B49"/>
    <w:rsid w:val="291D29FD"/>
    <w:rsid w:val="2923104E"/>
    <w:rsid w:val="2927562A"/>
    <w:rsid w:val="293715E5"/>
    <w:rsid w:val="293935AF"/>
    <w:rsid w:val="29534671"/>
    <w:rsid w:val="2959155B"/>
    <w:rsid w:val="29657F00"/>
    <w:rsid w:val="299F1664"/>
    <w:rsid w:val="29A21154"/>
    <w:rsid w:val="29A30A29"/>
    <w:rsid w:val="29AE7AF9"/>
    <w:rsid w:val="29CC4423"/>
    <w:rsid w:val="29DA39D5"/>
    <w:rsid w:val="29E21551"/>
    <w:rsid w:val="29E277A3"/>
    <w:rsid w:val="2A135BAE"/>
    <w:rsid w:val="2A17569E"/>
    <w:rsid w:val="2A225DF1"/>
    <w:rsid w:val="2A351FC9"/>
    <w:rsid w:val="2A3A75DF"/>
    <w:rsid w:val="2A41096D"/>
    <w:rsid w:val="2A44045E"/>
    <w:rsid w:val="2A4B359A"/>
    <w:rsid w:val="2A5E32CD"/>
    <w:rsid w:val="2A783C63"/>
    <w:rsid w:val="2A9C3DF6"/>
    <w:rsid w:val="2AB32EED"/>
    <w:rsid w:val="2ABE25D9"/>
    <w:rsid w:val="2ABE5B1A"/>
    <w:rsid w:val="2AD0584D"/>
    <w:rsid w:val="2AD74E2E"/>
    <w:rsid w:val="2ADF07C0"/>
    <w:rsid w:val="2B004385"/>
    <w:rsid w:val="2B0D0850"/>
    <w:rsid w:val="2B367DA6"/>
    <w:rsid w:val="2B5171AF"/>
    <w:rsid w:val="2B5C5333"/>
    <w:rsid w:val="2B69017C"/>
    <w:rsid w:val="2B6C5576"/>
    <w:rsid w:val="2B762899"/>
    <w:rsid w:val="2B810227"/>
    <w:rsid w:val="2B9176D3"/>
    <w:rsid w:val="2B97636B"/>
    <w:rsid w:val="2B990335"/>
    <w:rsid w:val="2B9D1BD3"/>
    <w:rsid w:val="2B9F5B2C"/>
    <w:rsid w:val="2BAE3DE1"/>
    <w:rsid w:val="2BAF7B59"/>
    <w:rsid w:val="2BC15C2E"/>
    <w:rsid w:val="2BEA0B91"/>
    <w:rsid w:val="2BEE242F"/>
    <w:rsid w:val="2BF40A74"/>
    <w:rsid w:val="2BF832AE"/>
    <w:rsid w:val="2C1F083A"/>
    <w:rsid w:val="2C302A48"/>
    <w:rsid w:val="2C3167C0"/>
    <w:rsid w:val="2C430FC7"/>
    <w:rsid w:val="2C46226B"/>
    <w:rsid w:val="2C583D4C"/>
    <w:rsid w:val="2C6D3C9C"/>
    <w:rsid w:val="2C8763E0"/>
    <w:rsid w:val="2CC47634"/>
    <w:rsid w:val="2CC6515A"/>
    <w:rsid w:val="2CCB451E"/>
    <w:rsid w:val="2CD31625"/>
    <w:rsid w:val="2CEB2E12"/>
    <w:rsid w:val="2CF02E0A"/>
    <w:rsid w:val="2CF77A09"/>
    <w:rsid w:val="2D241E80"/>
    <w:rsid w:val="2D2D6F87"/>
    <w:rsid w:val="2D300825"/>
    <w:rsid w:val="2D417641"/>
    <w:rsid w:val="2D4D13D7"/>
    <w:rsid w:val="2D680954"/>
    <w:rsid w:val="2D7352E2"/>
    <w:rsid w:val="2D8F19F0"/>
    <w:rsid w:val="2D942742"/>
    <w:rsid w:val="2DFB52D7"/>
    <w:rsid w:val="2E1168A9"/>
    <w:rsid w:val="2E19750B"/>
    <w:rsid w:val="2E293BF2"/>
    <w:rsid w:val="2E3A5DFF"/>
    <w:rsid w:val="2E530C6F"/>
    <w:rsid w:val="2E6764C9"/>
    <w:rsid w:val="2E6C1D31"/>
    <w:rsid w:val="2E725599"/>
    <w:rsid w:val="2EA339A5"/>
    <w:rsid w:val="2EC35DF5"/>
    <w:rsid w:val="2ECD6C74"/>
    <w:rsid w:val="2ECE02F6"/>
    <w:rsid w:val="2EDC6EB7"/>
    <w:rsid w:val="2EE95130"/>
    <w:rsid w:val="2EEB70FA"/>
    <w:rsid w:val="2F034443"/>
    <w:rsid w:val="2F193C67"/>
    <w:rsid w:val="2F2919D0"/>
    <w:rsid w:val="2F3E7229"/>
    <w:rsid w:val="2F452CAE"/>
    <w:rsid w:val="2F5922B5"/>
    <w:rsid w:val="2F6A6270"/>
    <w:rsid w:val="2F792957"/>
    <w:rsid w:val="2F990904"/>
    <w:rsid w:val="2FA01C92"/>
    <w:rsid w:val="2FA774C5"/>
    <w:rsid w:val="2FD91648"/>
    <w:rsid w:val="2FF975F4"/>
    <w:rsid w:val="300A1801"/>
    <w:rsid w:val="30131B4A"/>
    <w:rsid w:val="301A5EE8"/>
    <w:rsid w:val="30332B06"/>
    <w:rsid w:val="303F594F"/>
    <w:rsid w:val="304545E8"/>
    <w:rsid w:val="30565A79"/>
    <w:rsid w:val="305A7A1B"/>
    <w:rsid w:val="307153DD"/>
    <w:rsid w:val="307373A7"/>
    <w:rsid w:val="3074249B"/>
    <w:rsid w:val="307750E9"/>
    <w:rsid w:val="307E09D0"/>
    <w:rsid w:val="30970224"/>
    <w:rsid w:val="309A0DD7"/>
    <w:rsid w:val="30AB6B41"/>
    <w:rsid w:val="30B654E5"/>
    <w:rsid w:val="30B8300C"/>
    <w:rsid w:val="30BC6FA0"/>
    <w:rsid w:val="30BD6874"/>
    <w:rsid w:val="30D065A7"/>
    <w:rsid w:val="30E12562"/>
    <w:rsid w:val="30EE1123"/>
    <w:rsid w:val="30F54260"/>
    <w:rsid w:val="311A5A74"/>
    <w:rsid w:val="31264419"/>
    <w:rsid w:val="31376626"/>
    <w:rsid w:val="3140197F"/>
    <w:rsid w:val="314D7BF8"/>
    <w:rsid w:val="316B62D0"/>
    <w:rsid w:val="317A4765"/>
    <w:rsid w:val="317A6513"/>
    <w:rsid w:val="317E4255"/>
    <w:rsid w:val="31941AD5"/>
    <w:rsid w:val="31AD68E8"/>
    <w:rsid w:val="31BA196B"/>
    <w:rsid w:val="31D245A1"/>
    <w:rsid w:val="31D67BED"/>
    <w:rsid w:val="31E0281A"/>
    <w:rsid w:val="31E06CBE"/>
    <w:rsid w:val="31EE4B75"/>
    <w:rsid w:val="31EF0CAF"/>
    <w:rsid w:val="31F12C79"/>
    <w:rsid w:val="31F664E1"/>
    <w:rsid w:val="31F91B2E"/>
    <w:rsid w:val="31FD161E"/>
    <w:rsid w:val="32186662"/>
    <w:rsid w:val="321D581C"/>
    <w:rsid w:val="321E77E6"/>
    <w:rsid w:val="32472899"/>
    <w:rsid w:val="326E42CA"/>
    <w:rsid w:val="32764491"/>
    <w:rsid w:val="3298093F"/>
    <w:rsid w:val="329D394F"/>
    <w:rsid w:val="32A86A30"/>
    <w:rsid w:val="32A970B0"/>
    <w:rsid w:val="32EB76C8"/>
    <w:rsid w:val="3300481C"/>
    <w:rsid w:val="33064502"/>
    <w:rsid w:val="3328091C"/>
    <w:rsid w:val="332F7E33"/>
    <w:rsid w:val="335C2374"/>
    <w:rsid w:val="336851BD"/>
    <w:rsid w:val="337A6C9E"/>
    <w:rsid w:val="338D077F"/>
    <w:rsid w:val="338F0E0F"/>
    <w:rsid w:val="339E298D"/>
    <w:rsid w:val="33AD0E22"/>
    <w:rsid w:val="33AF4B9A"/>
    <w:rsid w:val="33B57CD6"/>
    <w:rsid w:val="33B85BA2"/>
    <w:rsid w:val="33D740F0"/>
    <w:rsid w:val="33F6144D"/>
    <w:rsid w:val="340D7B12"/>
    <w:rsid w:val="34190265"/>
    <w:rsid w:val="34270BD4"/>
    <w:rsid w:val="3434509F"/>
    <w:rsid w:val="34390907"/>
    <w:rsid w:val="343926B5"/>
    <w:rsid w:val="346A0AC1"/>
    <w:rsid w:val="34711E4F"/>
    <w:rsid w:val="347E456C"/>
    <w:rsid w:val="34873421"/>
    <w:rsid w:val="348C1696"/>
    <w:rsid w:val="34A43FD3"/>
    <w:rsid w:val="34AA710F"/>
    <w:rsid w:val="34B30615"/>
    <w:rsid w:val="34CA77B1"/>
    <w:rsid w:val="34D46BE1"/>
    <w:rsid w:val="34EC3BCC"/>
    <w:rsid w:val="34FA3BF3"/>
    <w:rsid w:val="350D601C"/>
    <w:rsid w:val="35215623"/>
    <w:rsid w:val="35262C3A"/>
    <w:rsid w:val="352B64A2"/>
    <w:rsid w:val="353009B9"/>
    <w:rsid w:val="35387B70"/>
    <w:rsid w:val="35523A2F"/>
    <w:rsid w:val="3569521C"/>
    <w:rsid w:val="357716E7"/>
    <w:rsid w:val="35C42453"/>
    <w:rsid w:val="35D73F34"/>
    <w:rsid w:val="36211653"/>
    <w:rsid w:val="36260A17"/>
    <w:rsid w:val="3627310D"/>
    <w:rsid w:val="36421CF5"/>
    <w:rsid w:val="364656D0"/>
    <w:rsid w:val="366C6D72"/>
    <w:rsid w:val="36760B65"/>
    <w:rsid w:val="36820344"/>
    <w:rsid w:val="368D0A96"/>
    <w:rsid w:val="369D6F2B"/>
    <w:rsid w:val="36A04C6E"/>
    <w:rsid w:val="36AF4EB1"/>
    <w:rsid w:val="36BB44D5"/>
    <w:rsid w:val="36BF3346"/>
    <w:rsid w:val="36E13DB9"/>
    <w:rsid w:val="36FF3742"/>
    <w:rsid w:val="371A057C"/>
    <w:rsid w:val="37427DCD"/>
    <w:rsid w:val="374B7A87"/>
    <w:rsid w:val="37500442"/>
    <w:rsid w:val="3750376F"/>
    <w:rsid w:val="375C0B95"/>
    <w:rsid w:val="37643EED"/>
    <w:rsid w:val="377F0D27"/>
    <w:rsid w:val="378E0F6A"/>
    <w:rsid w:val="378F1CFB"/>
    <w:rsid w:val="3790083E"/>
    <w:rsid w:val="37976071"/>
    <w:rsid w:val="379A346B"/>
    <w:rsid w:val="37AE5168"/>
    <w:rsid w:val="37B22EAA"/>
    <w:rsid w:val="37BA58BB"/>
    <w:rsid w:val="37CE0E6C"/>
    <w:rsid w:val="37DE3019"/>
    <w:rsid w:val="37F05781"/>
    <w:rsid w:val="37F214F9"/>
    <w:rsid w:val="380073A3"/>
    <w:rsid w:val="38156F95"/>
    <w:rsid w:val="38194CD8"/>
    <w:rsid w:val="3828316D"/>
    <w:rsid w:val="38545D10"/>
    <w:rsid w:val="389E210A"/>
    <w:rsid w:val="38A509F7"/>
    <w:rsid w:val="38D806EF"/>
    <w:rsid w:val="38F44DFD"/>
    <w:rsid w:val="38F82B3F"/>
    <w:rsid w:val="390D653D"/>
    <w:rsid w:val="3914724D"/>
    <w:rsid w:val="3942200C"/>
    <w:rsid w:val="396D157A"/>
    <w:rsid w:val="39875C71"/>
    <w:rsid w:val="399D36E6"/>
    <w:rsid w:val="39A26005"/>
    <w:rsid w:val="39A93E39"/>
    <w:rsid w:val="39B32F0A"/>
    <w:rsid w:val="39BF365D"/>
    <w:rsid w:val="39CB3DB0"/>
    <w:rsid w:val="39D72754"/>
    <w:rsid w:val="39EE7A9E"/>
    <w:rsid w:val="3A085004"/>
    <w:rsid w:val="3A3556CD"/>
    <w:rsid w:val="3A3951BD"/>
    <w:rsid w:val="3A483652"/>
    <w:rsid w:val="3A5169AB"/>
    <w:rsid w:val="3A5C534F"/>
    <w:rsid w:val="3A7E52C6"/>
    <w:rsid w:val="3A850402"/>
    <w:rsid w:val="3A86417A"/>
    <w:rsid w:val="3A8D5509"/>
    <w:rsid w:val="3AB64A60"/>
    <w:rsid w:val="3AB921ED"/>
    <w:rsid w:val="3ABE3914"/>
    <w:rsid w:val="3AC32CD9"/>
    <w:rsid w:val="3AC70A1B"/>
    <w:rsid w:val="3ACA4067"/>
    <w:rsid w:val="3ACC7DDF"/>
    <w:rsid w:val="3AD24831"/>
    <w:rsid w:val="3ADE5D64"/>
    <w:rsid w:val="3AE07D2F"/>
    <w:rsid w:val="3AE470A5"/>
    <w:rsid w:val="3AEF1D20"/>
    <w:rsid w:val="3AF9494C"/>
    <w:rsid w:val="3B057795"/>
    <w:rsid w:val="3B194FEF"/>
    <w:rsid w:val="3B2A71FC"/>
    <w:rsid w:val="3B2F036E"/>
    <w:rsid w:val="3B331C0C"/>
    <w:rsid w:val="3B3F4A55"/>
    <w:rsid w:val="3B567FF1"/>
    <w:rsid w:val="3B602C1D"/>
    <w:rsid w:val="3B620744"/>
    <w:rsid w:val="3B716BD9"/>
    <w:rsid w:val="3B742225"/>
    <w:rsid w:val="3B7641EF"/>
    <w:rsid w:val="3B7F01E6"/>
    <w:rsid w:val="3B844B5E"/>
    <w:rsid w:val="3BAD163F"/>
    <w:rsid w:val="3BB014AF"/>
    <w:rsid w:val="3BBD1E1E"/>
    <w:rsid w:val="3BBD3BCC"/>
    <w:rsid w:val="3BC1546A"/>
    <w:rsid w:val="3BC87005"/>
    <w:rsid w:val="3BD553B9"/>
    <w:rsid w:val="3BD827B4"/>
    <w:rsid w:val="3BF13876"/>
    <w:rsid w:val="3BFA097C"/>
    <w:rsid w:val="3C0525F5"/>
    <w:rsid w:val="3C067321"/>
    <w:rsid w:val="3C1E28BD"/>
    <w:rsid w:val="3C30439E"/>
    <w:rsid w:val="3C44609B"/>
    <w:rsid w:val="3C8A7F52"/>
    <w:rsid w:val="3C9B215F"/>
    <w:rsid w:val="3CAA4150"/>
    <w:rsid w:val="3CB925E5"/>
    <w:rsid w:val="3CB94393"/>
    <w:rsid w:val="3CBE2F7F"/>
    <w:rsid w:val="3CCD42E3"/>
    <w:rsid w:val="3CE471D7"/>
    <w:rsid w:val="3CF4361D"/>
    <w:rsid w:val="3CF950D8"/>
    <w:rsid w:val="3D2C725B"/>
    <w:rsid w:val="3D2F4655"/>
    <w:rsid w:val="3D324146"/>
    <w:rsid w:val="3D6469F5"/>
    <w:rsid w:val="3D673DEF"/>
    <w:rsid w:val="3D6A3BD6"/>
    <w:rsid w:val="3D6C58AA"/>
    <w:rsid w:val="3D6F0EF6"/>
    <w:rsid w:val="3D6F7148"/>
    <w:rsid w:val="3D712EC0"/>
    <w:rsid w:val="3D74650C"/>
    <w:rsid w:val="3D7D1865"/>
    <w:rsid w:val="3D98669F"/>
    <w:rsid w:val="3DAE5EC2"/>
    <w:rsid w:val="3DBA03C3"/>
    <w:rsid w:val="3DBD7CC6"/>
    <w:rsid w:val="3DC01751"/>
    <w:rsid w:val="3DDA6CB7"/>
    <w:rsid w:val="3DDC47DD"/>
    <w:rsid w:val="3DF5589F"/>
    <w:rsid w:val="3E043D34"/>
    <w:rsid w:val="3E1201FF"/>
    <w:rsid w:val="3E1C2E2C"/>
    <w:rsid w:val="3E216694"/>
    <w:rsid w:val="3E2D328B"/>
    <w:rsid w:val="3E442382"/>
    <w:rsid w:val="3E4800C5"/>
    <w:rsid w:val="3E642A25"/>
    <w:rsid w:val="3E6B790F"/>
    <w:rsid w:val="3E7C05DD"/>
    <w:rsid w:val="3E832EAB"/>
    <w:rsid w:val="3E94330A"/>
    <w:rsid w:val="3E95498C"/>
    <w:rsid w:val="3EAE3F6D"/>
    <w:rsid w:val="3EC60FE9"/>
    <w:rsid w:val="3ED90D1D"/>
    <w:rsid w:val="3EF21DDE"/>
    <w:rsid w:val="3F1D32FF"/>
    <w:rsid w:val="3F1E2CD4"/>
    <w:rsid w:val="3F2C52F0"/>
    <w:rsid w:val="3F2D1069"/>
    <w:rsid w:val="3F32667F"/>
    <w:rsid w:val="3F4C5993"/>
    <w:rsid w:val="3F627250"/>
    <w:rsid w:val="3F762A0F"/>
    <w:rsid w:val="3F980BD8"/>
    <w:rsid w:val="3FA23805"/>
    <w:rsid w:val="3FA330D9"/>
    <w:rsid w:val="3FAB697A"/>
    <w:rsid w:val="3FF04570"/>
    <w:rsid w:val="3FF12096"/>
    <w:rsid w:val="3FF83425"/>
    <w:rsid w:val="40157F22"/>
    <w:rsid w:val="40255116"/>
    <w:rsid w:val="40267F92"/>
    <w:rsid w:val="40330901"/>
    <w:rsid w:val="40493C80"/>
    <w:rsid w:val="4050500F"/>
    <w:rsid w:val="40534AFF"/>
    <w:rsid w:val="40552625"/>
    <w:rsid w:val="4057639D"/>
    <w:rsid w:val="4070745F"/>
    <w:rsid w:val="40774C91"/>
    <w:rsid w:val="409B7B0E"/>
    <w:rsid w:val="409E3FCC"/>
    <w:rsid w:val="40A23390"/>
    <w:rsid w:val="40AD420F"/>
    <w:rsid w:val="40BF3F42"/>
    <w:rsid w:val="40C477AB"/>
    <w:rsid w:val="40D55514"/>
    <w:rsid w:val="40E025F6"/>
    <w:rsid w:val="40EA5463"/>
    <w:rsid w:val="40F736DC"/>
    <w:rsid w:val="41061B71"/>
    <w:rsid w:val="413466DE"/>
    <w:rsid w:val="413A1D00"/>
    <w:rsid w:val="41546D80"/>
    <w:rsid w:val="417B255F"/>
    <w:rsid w:val="417E7959"/>
    <w:rsid w:val="419011A5"/>
    <w:rsid w:val="419D24D5"/>
    <w:rsid w:val="419E1DAA"/>
    <w:rsid w:val="41B45A71"/>
    <w:rsid w:val="41C63D76"/>
    <w:rsid w:val="41E33C60"/>
    <w:rsid w:val="41FF4F3E"/>
    <w:rsid w:val="421B164C"/>
    <w:rsid w:val="42220C2D"/>
    <w:rsid w:val="422E137F"/>
    <w:rsid w:val="424010B3"/>
    <w:rsid w:val="4249440B"/>
    <w:rsid w:val="42613503"/>
    <w:rsid w:val="42704724"/>
    <w:rsid w:val="42723962"/>
    <w:rsid w:val="427D40B5"/>
    <w:rsid w:val="4292190E"/>
    <w:rsid w:val="42A62408"/>
    <w:rsid w:val="42B07FE6"/>
    <w:rsid w:val="42B555FD"/>
    <w:rsid w:val="42CB6BCE"/>
    <w:rsid w:val="42ED2CB2"/>
    <w:rsid w:val="430F7403"/>
    <w:rsid w:val="431E31A2"/>
    <w:rsid w:val="43341047"/>
    <w:rsid w:val="433C7ACC"/>
    <w:rsid w:val="434056F4"/>
    <w:rsid w:val="434D7F2B"/>
    <w:rsid w:val="435F53D1"/>
    <w:rsid w:val="43615785"/>
    <w:rsid w:val="43707776"/>
    <w:rsid w:val="43880F63"/>
    <w:rsid w:val="4391606A"/>
    <w:rsid w:val="439671DC"/>
    <w:rsid w:val="43996CCD"/>
    <w:rsid w:val="439D67BD"/>
    <w:rsid w:val="439E241F"/>
    <w:rsid w:val="43BE6733"/>
    <w:rsid w:val="43E3619A"/>
    <w:rsid w:val="43FB7987"/>
    <w:rsid w:val="442567B2"/>
    <w:rsid w:val="443A225E"/>
    <w:rsid w:val="44A21BB1"/>
    <w:rsid w:val="44A45929"/>
    <w:rsid w:val="450F36EA"/>
    <w:rsid w:val="4515708F"/>
    <w:rsid w:val="452627E2"/>
    <w:rsid w:val="45264590"/>
    <w:rsid w:val="453273D9"/>
    <w:rsid w:val="45576E3F"/>
    <w:rsid w:val="45701CAF"/>
    <w:rsid w:val="45857508"/>
    <w:rsid w:val="45877724"/>
    <w:rsid w:val="45935775"/>
    <w:rsid w:val="459C2AA4"/>
    <w:rsid w:val="459E05CA"/>
    <w:rsid w:val="45A100BA"/>
    <w:rsid w:val="45AA51C1"/>
    <w:rsid w:val="45B778DE"/>
    <w:rsid w:val="45D16BF2"/>
    <w:rsid w:val="45F14B9E"/>
    <w:rsid w:val="46026DAB"/>
    <w:rsid w:val="460348D1"/>
    <w:rsid w:val="461F6AC9"/>
    <w:rsid w:val="464C6278"/>
    <w:rsid w:val="4654337F"/>
    <w:rsid w:val="465B295F"/>
    <w:rsid w:val="466B428B"/>
    <w:rsid w:val="468839D7"/>
    <w:rsid w:val="46916381"/>
    <w:rsid w:val="46963997"/>
    <w:rsid w:val="46971BE9"/>
    <w:rsid w:val="46A2058E"/>
    <w:rsid w:val="46A71700"/>
    <w:rsid w:val="46A9191C"/>
    <w:rsid w:val="46C16C66"/>
    <w:rsid w:val="46C73B51"/>
    <w:rsid w:val="46D06EA9"/>
    <w:rsid w:val="46E82445"/>
    <w:rsid w:val="46F10BCE"/>
    <w:rsid w:val="46F5246C"/>
    <w:rsid w:val="47013507"/>
    <w:rsid w:val="47060B1D"/>
    <w:rsid w:val="47145DDA"/>
    <w:rsid w:val="47170634"/>
    <w:rsid w:val="47215957"/>
    <w:rsid w:val="47347438"/>
    <w:rsid w:val="475A49C5"/>
    <w:rsid w:val="47A0687C"/>
    <w:rsid w:val="47B055BB"/>
    <w:rsid w:val="47B265AF"/>
    <w:rsid w:val="47B9793D"/>
    <w:rsid w:val="47C562E2"/>
    <w:rsid w:val="47E50732"/>
    <w:rsid w:val="47EC1AC1"/>
    <w:rsid w:val="480037BE"/>
    <w:rsid w:val="480908C5"/>
    <w:rsid w:val="48362D3C"/>
    <w:rsid w:val="483B47F6"/>
    <w:rsid w:val="48587156"/>
    <w:rsid w:val="486A6E89"/>
    <w:rsid w:val="486C2C02"/>
    <w:rsid w:val="48A028AB"/>
    <w:rsid w:val="48A56114"/>
    <w:rsid w:val="48B63E7D"/>
    <w:rsid w:val="48B65B6A"/>
    <w:rsid w:val="48BC5937"/>
    <w:rsid w:val="48DD58AD"/>
    <w:rsid w:val="48DF5182"/>
    <w:rsid w:val="48E1539E"/>
    <w:rsid w:val="48F13107"/>
    <w:rsid w:val="4933371F"/>
    <w:rsid w:val="49382AE4"/>
    <w:rsid w:val="49520049"/>
    <w:rsid w:val="495F4514"/>
    <w:rsid w:val="4981448B"/>
    <w:rsid w:val="498D1081"/>
    <w:rsid w:val="49C5081B"/>
    <w:rsid w:val="49CD147E"/>
    <w:rsid w:val="49EB5DA8"/>
    <w:rsid w:val="49FB423D"/>
    <w:rsid w:val="4A1946C3"/>
    <w:rsid w:val="4A1B043B"/>
    <w:rsid w:val="4A49144C"/>
    <w:rsid w:val="4A513E5D"/>
    <w:rsid w:val="4A594A56"/>
    <w:rsid w:val="4A743FEF"/>
    <w:rsid w:val="4A795D9B"/>
    <w:rsid w:val="4AA233A7"/>
    <w:rsid w:val="4AA5064D"/>
    <w:rsid w:val="4ADB5E1D"/>
    <w:rsid w:val="4AE7656F"/>
    <w:rsid w:val="4AE90539"/>
    <w:rsid w:val="4B074E64"/>
    <w:rsid w:val="4B1157BF"/>
    <w:rsid w:val="4B320132"/>
    <w:rsid w:val="4B3519D1"/>
    <w:rsid w:val="4B447E66"/>
    <w:rsid w:val="4B6202EC"/>
    <w:rsid w:val="4B7F0E9E"/>
    <w:rsid w:val="4B86222C"/>
    <w:rsid w:val="4B8F7333"/>
    <w:rsid w:val="4B991F60"/>
    <w:rsid w:val="4BA32DDE"/>
    <w:rsid w:val="4BA83F51"/>
    <w:rsid w:val="4BAB57EF"/>
    <w:rsid w:val="4BB01057"/>
    <w:rsid w:val="4BB072A9"/>
    <w:rsid w:val="4BC845F3"/>
    <w:rsid w:val="4BD5286C"/>
    <w:rsid w:val="4BFB49C8"/>
    <w:rsid w:val="4BFE1DC3"/>
    <w:rsid w:val="4C124497"/>
    <w:rsid w:val="4C1415E6"/>
    <w:rsid w:val="4C2F01CE"/>
    <w:rsid w:val="4C453E95"/>
    <w:rsid w:val="4C46376A"/>
    <w:rsid w:val="4C5440D8"/>
    <w:rsid w:val="4C5639AD"/>
    <w:rsid w:val="4C5B5467"/>
    <w:rsid w:val="4C667968"/>
    <w:rsid w:val="4C7839C6"/>
    <w:rsid w:val="4C903603"/>
    <w:rsid w:val="4C975D73"/>
    <w:rsid w:val="4CAC181F"/>
    <w:rsid w:val="4CCF375F"/>
    <w:rsid w:val="4CD80866"/>
    <w:rsid w:val="4CDF1BF4"/>
    <w:rsid w:val="4CE0596C"/>
    <w:rsid w:val="4CF11927"/>
    <w:rsid w:val="4CFB4554"/>
    <w:rsid w:val="4D043409"/>
    <w:rsid w:val="4D094EC3"/>
    <w:rsid w:val="4D1B1AD8"/>
    <w:rsid w:val="4D21045F"/>
    <w:rsid w:val="4D267823"/>
    <w:rsid w:val="4D275349"/>
    <w:rsid w:val="4D2B308B"/>
    <w:rsid w:val="4D371A30"/>
    <w:rsid w:val="4D4E28D6"/>
    <w:rsid w:val="4D5A127B"/>
    <w:rsid w:val="4D6B3488"/>
    <w:rsid w:val="4D754306"/>
    <w:rsid w:val="4D8602C2"/>
    <w:rsid w:val="4D8A0839"/>
    <w:rsid w:val="4DAB41CC"/>
    <w:rsid w:val="4DCB2178"/>
    <w:rsid w:val="4DCE1C69"/>
    <w:rsid w:val="4DED0341"/>
    <w:rsid w:val="4DEF230B"/>
    <w:rsid w:val="4DFE60AA"/>
    <w:rsid w:val="4E0B07C7"/>
    <w:rsid w:val="4E255D2C"/>
    <w:rsid w:val="4E2F0959"/>
    <w:rsid w:val="4E3917D8"/>
    <w:rsid w:val="4E463507"/>
    <w:rsid w:val="4E557C94"/>
    <w:rsid w:val="4E6600F3"/>
    <w:rsid w:val="4E832A53"/>
    <w:rsid w:val="4E8B1908"/>
    <w:rsid w:val="4E93713A"/>
    <w:rsid w:val="4EB33338"/>
    <w:rsid w:val="4EBE7F2F"/>
    <w:rsid w:val="4EDD2163"/>
    <w:rsid w:val="4EE23C1E"/>
    <w:rsid w:val="4F0E67C1"/>
    <w:rsid w:val="4F1A33B7"/>
    <w:rsid w:val="4F1B0EDE"/>
    <w:rsid w:val="4F1D4C56"/>
    <w:rsid w:val="4F2C30EB"/>
    <w:rsid w:val="4F3A75B6"/>
    <w:rsid w:val="4F3B50DC"/>
    <w:rsid w:val="4F56121A"/>
    <w:rsid w:val="4F7F146C"/>
    <w:rsid w:val="4F844CD5"/>
    <w:rsid w:val="4FCC3F86"/>
    <w:rsid w:val="4FE90FDC"/>
    <w:rsid w:val="4FF77255"/>
    <w:rsid w:val="4FF84D7B"/>
    <w:rsid w:val="501716A5"/>
    <w:rsid w:val="502A762A"/>
    <w:rsid w:val="50342257"/>
    <w:rsid w:val="504A7CCC"/>
    <w:rsid w:val="50544478"/>
    <w:rsid w:val="50577CF3"/>
    <w:rsid w:val="506238B8"/>
    <w:rsid w:val="50630D8E"/>
    <w:rsid w:val="506643DA"/>
    <w:rsid w:val="50722D7F"/>
    <w:rsid w:val="507C3BFE"/>
    <w:rsid w:val="509727E6"/>
    <w:rsid w:val="50A62A29"/>
    <w:rsid w:val="50E53551"/>
    <w:rsid w:val="50E83041"/>
    <w:rsid w:val="510D2AA8"/>
    <w:rsid w:val="510F4A72"/>
    <w:rsid w:val="51112598"/>
    <w:rsid w:val="512978E2"/>
    <w:rsid w:val="51383FC9"/>
    <w:rsid w:val="51401E74"/>
    <w:rsid w:val="51452242"/>
    <w:rsid w:val="51CE2237"/>
    <w:rsid w:val="51E27A91"/>
    <w:rsid w:val="51ED5DCB"/>
    <w:rsid w:val="52067C23"/>
    <w:rsid w:val="520914C1"/>
    <w:rsid w:val="521C11F4"/>
    <w:rsid w:val="522400A9"/>
    <w:rsid w:val="52304CA0"/>
    <w:rsid w:val="52374280"/>
    <w:rsid w:val="52426781"/>
    <w:rsid w:val="52497B10"/>
    <w:rsid w:val="524D5852"/>
    <w:rsid w:val="525210BA"/>
    <w:rsid w:val="526A6404"/>
    <w:rsid w:val="526F57C8"/>
    <w:rsid w:val="52943481"/>
    <w:rsid w:val="5294522F"/>
    <w:rsid w:val="52A116FA"/>
    <w:rsid w:val="52B23907"/>
    <w:rsid w:val="52B92EE7"/>
    <w:rsid w:val="52CA0C50"/>
    <w:rsid w:val="52CB49C9"/>
    <w:rsid w:val="52DC0984"/>
    <w:rsid w:val="52F43F1F"/>
    <w:rsid w:val="52FE4D9E"/>
    <w:rsid w:val="534C3D5B"/>
    <w:rsid w:val="536C61AC"/>
    <w:rsid w:val="538434F5"/>
    <w:rsid w:val="53982AFD"/>
    <w:rsid w:val="54442C85"/>
    <w:rsid w:val="545C3B2A"/>
    <w:rsid w:val="54694499"/>
    <w:rsid w:val="5483555B"/>
    <w:rsid w:val="549C03CB"/>
    <w:rsid w:val="54A51975"/>
    <w:rsid w:val="54B25E40"/>
    <w:rsid w:val="54CD67D6"/>
    <w:rsid w:val="54CE07E8"/>
    <w:rsid w:val="54F63F7F"/>
    <w:rsid w:val="550D12C8"/>
    <w:rsid w:val="552A3C28"/>
    <w:rsid w:val="554A7E27"/>
    <w:rsid w:val="554F7B33"/>
    <w:rsid w:val="555B2034"/>
    <w:rsid w:val="55690BF5"/>
    <w:rsid w:val="559D43FA"/>
    <w:rsid w:val="55A559A5"/>
    <w:rsid w:val="55B1529C"/>
    <w:rsid w:val="55BB6C40"/>
    <w:rsid w:val="55E24503"/>
    <w:rsid w:val="55EC7130"/>
    <w:rsid w:val="55FF651E"/>
    <w:rsid w:val="56097CE2"/>
    <w:rsid w:val="560A5808"/>
    <w:rsid w:val="560C77D2"/>
    <w:rsid w:val="56244B1C"/>
    <w:rsid w:val="56336B0D"/>
    <w:rsid w:val="563F1955"/>
    <w:rsid w:val="564451BE"/>
    <w:rsid w:val="56725887"/>
    <w:rsid w:val="567260CE"/>
    <w:rsid w:val="56737851"/>
    <w:rsid w:val="56755377"/>
    <w:rsid w:val="567F61F6"/>
    <w:rsid w:val="569357FD"/>
    <w:rsid w:val="569F23F4"/>
    <w:rsid w:val="56A17F1A"/>
    <w:rsid w:val="56B440F1"/>
    <w:rsid w:val="56D025AE"/>
    <w:rsid w:val="56E12A0D"/>
    <w:rsid w:val="56F40992"/>
    <w:rsid w:val="56F50266"/>
    <w:rsid w:val="57007337"/>
    <w:rsid w:val="57120E18"/>
    <w:rsid w:val="5719652A"/>
    <w:rsid w:val="573214BA"/>
    <w:rsid w:val="574511ED"/>
    <w:rsid w:val="574A7260"/>
    <w:rsid w:val="57511940"/>
    <w:rsid w:val="576F0018"/>
    <w:rsid w:val="579D7961"/>
    <w:rsid w:val="57A35F14"/>
    <w:rsid w:val="57AE0B41"/>
    <w:rsid w:val="57C00874"/>
    <w:rsid w:val="57C540DC"/>
    <w:rsid w:val="57E02CC4"/>
    <w:rsid w:val="57ED5E45"/>
    <w:rsid w:val="57F8000E"/>
    <w:rsid w:val="57FA1FD8"/>
    <w:rsid w:val="57FD3876"/>
    <w:rsid w:val="57FD5624"/>
    <w:rsid w:val="58242BB1"/>
    <w:rsid w:val="582E3A30"/>
    <w:rsid w:val="582F3FFA"/>
    <w:rsid w:val="585D2567"/>
    <w:rsid w:val="58627B7D"/>
    <w:rsid w:val="587F428B"/>
    <w:rsid w:val="58A678B0"/>
    <w:rsid w:val="58DA3BB7"/>
    <w:rsid w:val="5900361E"/>
    <w:rsid w:val="5906675A"/>
    <w:rsid w:val="593037D7"/>
    <w:rsid w:val="59305585"/>
    <w:rsid w:val="594B23BF"/>
    <w:rsid w:val="595466BD"/>
    <w:rsid w:val="59777658"/>
    <w:rsid w:val="59853B23"/>
    <w:rsid w:val="598A2EE8"/>
    <w:rsid w:val="598D0C2A"/>
    <w:rsid w:val="59943D66"/>
    <w:rsid w:val="59A33FA9"/>
    <w:rsid w:val="59AF6DF2"/>
    <w:rsid w:val="59C7413C"/>
    <w:rsid w:val="59C97EB4"/>
    <w:rsid w:val="59EA7E2A"/>
    <w:rsid w:val="59F6057D"/>
    <w:rsid w:val="59F64A21"/>
    <w:rsid w:val="5A0507C0"/>
    <w:rsid w:val="5A2A6479"/>
    <w:rsid w:val="5A317807"/>
    <w:rsid w:val="5A3A490E"/>
    <w:rsid w:val="5A76346C"/>
    <w:rsid w:val="5A820063"/>
    <w:rsid w:val="5A84068C"/>
    <w:rsid w:val="5A867B53"/>
    <w:rsid w:val="5A9D4E9D"/>
    <w:rsid w:val="5AA224B3"/>
    <w:rsid w:val="5ABA77FD"/>
    <w:rsid w:val="5ADF7263"/>
    <w:rsid w:val="5AF54CD9"/>
    <w:rsid w:val="5AFA5E4B"/>
    <w:rsid w:val="5B0D3DD0"/>
    <w:rsid w:val="5B4F263B"/>
    <w:rsid w:val="5B647768"/>
    <w:rsid w:val="5B6E5782"/>
    <w:rsid w:val="5B7C0F56"/>
    <w:rsid w:val="5B885B4D"/>
    <w:rsid w:val="5B957B5E"/>
    <w:rsid w:val="5BA663D6"/>
    <w:rsid w:val="5BB73D3C"/>
    <w:rsid w:val="5BC528FD"/>
    <w:rsid w:val="5BC85F49"/>
    <w:rsid w:val="5C0827EA"/>
    <w:rsid w:val="5C2C1046"/>
    <w:rsid w:val="5C45759A"/>
    <w:rsid w:val="5C5617A7"/>
    <w:rsid w:val="5C5B500F"/>
    <w:rsid w:val="5C967DF5"/>
    <w:rsid w:val="5C9B365E"/>
    <w:rsid w:val="5CAE15E3"/>
    <w:rsid w:val="5CD6186D"/>
    <w:rsid w:val="5CF214D0"/>
    <w:rsid w:val="5CF52D6E"/>
    <w:rsid w:val="5CF74D38"/>
    <w:rsid w:val="5D3D1206"/>
    <w:rsid w:val="5D4810F0"/>
    <w:rsid w:val="5D5201C0"/>
    <w:rsid w:val="5D537A94"/>
    <w:rsid w:val="5D63417B"/>
    <w:rsid w:val="5D7F0FB0"/>
    <w:rsid w:val="5D9B7F3B"/>
    <w:rsid w:val="5DBE7604"/>
    <w:rsid w:val="5DC170F4"/>
    <w:rsid w:val="5DF23751"/>
    <w:rsid w:val="5DF66D9E"/>
    <w:rsid w:val="5E070FAB"/>
    <w:rsid w:val="5E115985"/>
    <w:rsid w:val="5E2D6537"/>
    <w:rsid w:val="5E2F22B0"/>
    <w:rsid w:val="5E361890"/>
    <w:rsid w:val="5E671A49"/>
    <w:rsid w:val="5E693542"/>
    <w:rsid w:val="5E766130"/>
    <w:rsid w:val="5E7B72A3"/>
    <w:rsid w:val="5E8545C5"/>
    <w:rsid w:val="5E8E6FD6"/>
    <w:rsid w:val="5E8F2D4E"/>
    <w:rsid w:val="5EB822A5"/>
    <w:rsid w:val="5EC549C2"/>
    <w:rsid w:val="5EDC2437"/>
    <w:rsid w:val="5EDD7F5D"/>
    <w:rsid w:val="5EE906B0"/>
    <w:rsid w:val="5EEE3F19"/>
    <w:rsid w:val="5EF808F3"/>
    <w:rsid w:val="5F0454EA"/>
    <w:rsid w:val="5F0B0627"/>
    <w:rsid w:val="5F221E14"/>
    <w:rsid w:val="5F374FB8"/>
    <w:rsid w:val="5F4B4EC7"/>
    <w:rsid w:val="5F4C0C3F"/>
    <w:rsid w:val="5F4E49B7"/>
    <w:rsid w:val="5F5C70D4"/>
    <w:rsid w:val="5F630463"/>
    <w:rsid w:val="5F742670"/>
    <w:rsid w:val="5F795ED8"/>
    <w:rsid w:val="5F7C7776"/>
    <w:rsid w:val="5F812FDF"/>
    <w:rsid w:val="5FA36AB1"/>
    <w:rsid w:val="5FC2093C"/>
    <w:rsid w:val="5FEF1CF6"/>
    <w:rsid w:val="5FF66AF1"/>
    <w:rsid w:val="600B4656"/>
    <w:rsid w:val="604162CA"/>
    <w:rsid w:val="604F4E8B"/>
    <w:rsid w:val="60636240"/>
    <w:rsid w:val="607D5554"/>
    <w:rsid w:val="60966616"/>
    <w:rsid w:val="60AE7E03"/>
    <w:rsid w:val="60AF1486"/>
    <w:rsid w:val="60BA67A8"/>
    <w:rsid w:val="60DB671F"/>
    <w:rsid w:val="60E43825"/>
    <w:rsid w:val="60F11A9E"/>
    <w:rsid w:val="60F82936"/>
    <w:rsid w:val="610572F8"/>
    <w:rsid w:val="61161505"/>
    <w:rsid w:val="61371BA7"/>
    <w:rsid w:val="6138591F"/>
    <w:rsid w:val="613D2F35"/>
    <w:rsid w:val="617050B9"/>
    <w:rsid w:val="61750921"/>
    <w:rsid w:val="618C17C7"/>
    <w:rsid w:val="619743F4"/>
    <w:rsid w:val="61B01959"/>
    <w:rsid w:val="61B2122D"/>
    <w:rsid w:val="61B56F70"/>
    <w:rsid w:val="61C467D5"/>
    <w:rsid w:val="61CB0541"/>
    <w:rsid w:val="61EB2991"/>
    <w:rsid w:val="61F45CEA"/>
    <w:rsid w:val="61F5736C"/>
    <w:rsid w:val="62214605"/>
    <w:rsid w:val="623C4F9B"/>
    <w:rsid w:val="6256605D"/>
    <w:rsid w:val="62586279"/>
    <w:rsid w:val="62600C89"/>
    <w:rsid w:val="626A7D5A"/>
    <w:rsid w:val="626F711E"/>
    <w:rsid w:val="62791D4B"/>
    <w:rsid w:val="6287090C"/>
    <w:rsid w:val="62942962"/>
    <w:rsid w:val="62A50D92"/>
    <w:rsid w:val="62AC3ECF"/>
    <w:rsid w:val="62CA25A7"/>
    <w:rsid w:val="62CA6647"/>
    <w:rsid w:val="62D358FF"/>
    <w:rsid w:val="62D376AD"/>
    <w:rsid w:val="62DD677E"/>
    <w:rsid w:val="630F445E"/>
    <w:rsid w:val="63147CC6"/>
    <w:rsid w:val="631A1780"/>
    <w:rsid w:val="63332842"/>
    <w:rsid w:val="633B34A5"/>
    <w:rsid w:val="634C3904"/>
    <w:rsid w:val="635B58F5"/>
    <w:rsid w:val="6367429A"/>
    <w:rsid w:val="63676048"/>
    <w:rsid w:val="636E387A"/>
    <w:rsid w:val="637B1AF3"/>
    <w:rsid w:val="638210D3"/>
    <w:rsid w:val="639F1C85"/>
    <w:rsid w:val="63BE035D"/>
    <w:rsid w:val="63BF7C32"/>
    <w:rsid w:val="63CE60C7"/>
    <w:rsid w:val="63D57455"/>
    <w:rsid w:val="63ED479F"/>
    <w:rsid w:val="63F7561D"/>
    <w:rsid w:val="6410048D"/>
    <w:rsid w:val="641206A9"/>
    <w:rsid w:val="642D7291"/>
    <w:rsid w:val="64346872"/>
    <w:rsid w:val="647C1FC7"/>
    <w:rsid w:val="6488096B"/>
    <w:rsid w:val="64AA08E2"/>
    <w:rsid w:val="64B21544"/>
    <w:rsid w:val="64B61035"/>
    <w:rsid w:val="64B81251"/>
    <w:rsid w:val="64C33752"/>
    <w:rsid w:val="64C373BF"/>
    <w:rsid w:val="64D12312"/>
    <w:rsid w:val="64E262CE"/>
    <w:rsid w:val="64F32289"/>
    <w:rsid w:val="64F47DAF"/>
    <w:rsid w:val="64FB738F"/>
    <w:rsid w:val="64FD3107"/>
    <w:rsid w:val="64FE478A"/>
    <w:rsid w:val="650224CC"/>
    <w:rsid w:val="650C50F9"/>
    <w:rsid w:val="651641C9"/>
    <w:rsid w:val="65183A9D"/>
    <w:rsid w:val="65332685"/>
    <w:rsid w:val="654B1A19"/>
    <w:rsid w:val="654E5711"/>
    <w:rsid w:val="655A40B6"/>
    <w:rsid w:val="655D7702"/>
    <w:rsid w:val="65896749"/>
    <w:rsid w:val="65B31A18"/>
    <w:rsid w:val="65C94D98"/>
    <w:rsid w:val="65CC6636"/>
    <w:rsid w:val="65E816C2"/>
    <w:rsid w:val="65FA31A3"/>
    <w:rsid w:val="66031AEB"/>
    <w:rsid w:val="66044022"/>
    <w:rsid w:val="66124991"/>
    <w:rsid w:val="6655487D"/>
    <w:rsid w:val="66610BBD"/>
    <w:rsid w:val="66735072"/>
    <w:rsid w:val="667747F4"/>
    <w:rsid w:val="667C62AE"/>
    <w:rsid w:val="667E3DD4"/>
    <w:rsid w:val="669C06FE"/>
    <w:rsid w:val="66BA2932"/>
    <w:rsid w:val="66BB6DD6"/>
    <w:rsid w:val="66D9725C"/>
    <w:rsid w:val="66E83943"/>
    <w:rsid w:val="66E856F1"/>
    <w:rsid w:val="66EA3218"/>
    <w:rsid w:val="66ED0F5A"/>
    <w:rsid w:val="66F10A4A"/>
    <w:rsid w:val="66F66060"/>
    <w:rsid w:val="670267B3"/>
    <w:rsid w:val="672901E4"/>
    <w:rsid w:val="675E3F35"/>
    <w:rsid w:val="678B49FB"/>
    <w:rsid w:val="678C2521"/>
    <w:rsid w:val="679D472E"/>
    <w:rsid w:val="67A07D7A"/>
    <w:rsid w:val="67A94E81"/>
    <w:rsid w:val="67D068B1"/>
    <w:rsid w:val="67D839B8"/>
    <w:rsid w:val="67E91721"/>
    <w:rsid w:val="67EB36EB"/>
    <w:rsid w:val="681542C4"/>
    <w:rsid w:val="6817628E"/>
    <w:rsid w:val="681C38A5"/>
    <w:rsid w:val="68330BEE"/>
    <w:rsid w:val="684150B9"/>
    <w:rsid w:val="68460921"/>
    <w:rsid w:val="68464DC5"/>
    <w:rsid w:val="68490412"/>
    <w:rsid w:val="68752FB5"/>
    <w:rsid w:val="68833924"/>
    <w:rsid w:val="689C6793"/>
    <w:rsid w:val="68A613C0"/>
    <w:rsid w:val="68AB2CD1"/>
    <w:rsid w:val="68AD09A1"/>
    <w:rsid w:val="68B25FB7"/>
    <w:rsid w:val="68BB30BE"/>
    <w:rsid w:val="68BC0BE4"/>
    <w:rsid w:val="68C53F3C"/>
    <w:rsid w:val="68C6580E"/>
    <w:rsid w:val="68DC4DE2"/>
    <w:rsid w:val="68E5638C"/>
    <w:rsid w:val="68E819D9"/>
    <w:rsid w:val="68FC7232"/>
    <w:rsid w:val="69181EF7"/>
    <w:rsid w:val="69236EB5"/>
    <w:rsid w:val="69256789"/>
    <w:rsid w:val="692F7608"/>
    <w:rsid w:val="69360996"/>
    <w:rsid w:val="693D7F76"/>
    <w:rsid w:val="69472BA3"/>
    <w:rsid w:val="6953779A"/>
    <w:rsid w:val="69674FF3"/>
    <w:rsid w:val="696F20FA"/>
    <w:rsid w:val="69763488"/>
    <w:rsid w:val="699456BD"/>
    <w:rsid w:val="699A7177"/>
    <w:rsid w:val="69A27DD9"/>
    <w:rsid w:val="69A578CA"/>
    <w:rsid w:val="69AA4EE0"/>
    <w:rsid w:val="69C9180A"/>
    <w:rsid w:val="69CB37D4"/>
    <w:rsid w:val="69D41F5D"/>
    <w:rsid w:val="69D86DA0"/>
    <w:rsid w:val="69DB153D"/>
    <w:rsid w:val="6A022F6E"/>
    <w:rsid w:val="6A152CA1"/>
    <w:rsid w:val="6A366774"/>
    <w:rsid w:val="6A3749C6"/>
    <w:rsid w:val="6A462E5B"/>
    <w:rsid w:val="6A4B66C3"/>
    <w:rsid w:val="6A527A52"/>
    <w:rsid w:val="6A58493C"/>
    <w:rsid w:val="6A845731"/>
    <w:rsid w:val="6A8614A9"/>
    <w:rsid w:val="6A8B6AC0"/>
    <w:rsid w:val="6AA656A7"/>
    <w:rsid w:val="6AB06526"/>
    <w:rsid w:val="6AB6190B"/>
    <w:rsid w:val="6ACB2C12"/>
    <w:rsid w:val="6AD466B8"/>
    <w:rsid w:val="6AED1528"/>
    <w:rsid w:val="6AF503DD"/>
    <w:rsid w:val="6AFC79BD"/>
    <w:rsid w:val="6B362ECF"/>
    <w:rsid w:val="6B4411C3"/>
    <w:rsid w:val="6B480E55"/>
    <w:rsid w:val="6B5C045C"/>
    <w:rsid w:val="6B7E4876"/>
    <w:rsid w:val="6B8E2D0B"/>
    <w:rsid w:val="6B9E0A74"/>
    <w:rsid w:val="6BB64010"/>
    <w:rsid w:val="6BC009EB"/>
    <w:rsid w:val="6BC04E8F"/>
    <w:rsid w:val="6BF15048"/>
    <w:rsid w:val="6C022DB1"/>
    <w:rsid w:val="6C0658A3"/>
    <w:rsid w:val="6C0C3C30"/>
    <w:rsid w:val="6C1C0317"/>
    <w:rsid w:val="6C20148A"/>
    <w:rsid w:val="6C28179E"/>
    <w:rsid w:val="6C315445"/>
    <w:rsid w:val="6C375151"/>
    <w:rsid w:val="6C376EFF"/>
    <w:rsid w:val="6C3C4515"/>
    <w:rsid w:val="6C64581A"/>
    <w:rsid w:val="6C6E48EB"/>
    <w:rsid w:val="6C953C26"/>
    <w:rsid w:val="6CA72659"/>
    <w:rsid w:val="6CB671EB"/>
    <w:rsid w:val="6CB71DEE"/>
    <w:rsid w:val="6CBA18DE"/>
    <w:rsid w:val="6CF070AE"/>
    <w:rsid w:val="6D107750"/>
    <w:rsid w:val="6D194857"/>
    <w:rsid w:val="6D390A55"/>
    <w:rsid w:val="6D5B6C1D"/>
    <w:rsid w:val="6D5D0BE7"/>
    <w:rsid w:val="6D604233"/>
    <w:rsid w:val="6D6C2BD8"/>
    <w:rsid w:val="6D6C2C47"/>
    <w:rsid w:val="6D811C25"/>
    <w:rsid w:val="6D910891"/>
    <w:rsid w:val="6DAF0D17"/>
    <w:rsid w:val="6DB97DE8"/>
    <w:rsid w:val="6DC01256"/>
    <w:rsid w:val="6DDD3AD6"/>
    <w:rsid w:val="6DE44E65"/>
    <w:rsid w:val="6DEC09D5"/>
    <w:rsid w:val="6DF17581"/>
    <w:rsid w:val="6DF42BCE"/>
    <w:rsid w:val="6DFA6436"/>
    <w:rsid w:val="6E1B63AC"/>
    <w:rsid w:val="6E245261"/>
    <w:rsid w:val="6E3000AA"/>
    <w:rsid w:val="6E407BC1"/>
    <w:rsid w:val="6E4771A1"/>
    <w:rsid w:val="6E58315D"/>
    <w:rsid w:val="6E781A51"/>
    <w:rsid w:val="6E831A9E"/>
    <w:rsid w:val="6E9543B1"/>
    <w:rsid w:val="6EB11261"/>
    <w:rsid w:val="6EB32A89"/>
    <w:rsid w:val="6EC72090"/>
    <w:rsid w:val="6EDA1DC4"/>
    <w:rsid w:val="6EEE3AC1"/>
    <w:rsid w:val="6F1654F2"/>
    <w:rsid w:val="6F1E7F02"/>
    <w:rsid w:val="6F2474E3"/>
    <w:rsid w:val="6F3C482C"/>
    <w:rsid w:val="6F411E43"/>
    <w:rsid w:val="6F5778B8"/>
    <w:rsid w:val="6F6C3363"/>
    <w:rsid w:val="6F742218"/>
    <w:rsid w:val="6F8561D3"/>
    <w:rsid w:val="6F991C7F"/>
    <w:rsid w:val="6F9E42AF"/>
    <w:rsid w:val="6FDE3B35"/>
    <w:rsid w:val="6FEE1FCA"/>
    <w:rsid w:val="6FEF189F"/>
    <w:rsid w:val="6FF60E7F"/>
    <w:rsid w:val="6FFF4765"/>
    <w:rsid w:val="700C2451"/>
    <w:rsid w:val="70666005"/>
    <w:rsid w:val="706A7177"/>
    <w:rsid w:val="706C1141"/>
    <w:rsid w:val="708A15C7"/>
    <w:rsid w:val="709D754D"/>
    <w:rsid w:val="70A73F27"/>
    <w:rsid w:val="70B769F0"/>
    <w:rsid w:val="70BF5715"/>
    <w:rsid w:val="70D07922"/>
    <w:rsid w:val="71005BEA"/>
    <w:rsid w:val="71193077"/>
    <w:rsid w:val="712437CA"/>
    <w:rsid w:val="712E4FB4"/>
    <w:rsid w:val="713559D7"/>
    <w:rsid w:val="713D5101"/>
    <w:rsid w:val="71630796"/>
    <w:rsid w:val="71632544"/>
    <w:rsid w:val="71752972"/>
    <w:rsid w:val="717E2EDA"/>
    <w:rsid w:val="71836742"/>
    <w:rsid w:val="719E532A"/>
    <w:rsid w:val="71B40FF2"/>
    <w:rsid w:val="71BB5EDC"/>
    <w:rsid w:val="71F25676"/>
    <w:rsid w:val="71FE04BF"/>
    <w:rsid w:val="72200435"/>
    <w:rsid w:val="722717C4"/>
    <w:rsid w:val="722E4900"/>
    <w:rsid w:val="727D54AA"/>
    <w:rsid w:val="728704B4"/>
    <w:rsid w:val="72BB1F0C"/>
    <w:rsid w:val="72C15774"/>
    <w:rsid w:val="72C963D7"/>
    <w:rsid w:val="72DF3E4C"/>
    <w:rsid w:val="72DF5BFA"/>
    <w:rsid w:val="73075151"/>
    <w:rsid w:val="731004AA"/>
    <w:rsid w:val="731F06ED"/>
    <w:rsid w:val="73267CCD"/>
    <w:rsid w:val="73944C37"/>
    <w:rsid w:val="739E7864"/>
    <w:rsid w:val="73AD7AA7"/>
    <w:rsid w:val="73BC23E0"/>
    <w:rsid w:val="73C82B32"/>
    <w:rsid w:val="73C92407"/>
    <w:rsid w:val="73E21E46"/>
    <w:rsid w:val="73E57241"/>
    <w:rsid w:val="73E86D31"/>
    <w:rsid w:val="74212243"/>
    <w:rsid w:val="742F670E"/>
    <w:rsid w:val="74455F31"/>
    <w:rsid w:val="7491561A"/>
    <w:rsid w:val="74A4534E"/>
    <w:rsid w:val="74A569D0"/>
    <w:rsid w:val="74BA5BB7"/>
    <w:rsid w:val="74BB2697"/>
    <w:rsid w:val="74C07CAE"/>
    <w:rsid w:val="74D774D1"/>
    <w:rsid w:val="74E57285"/>
    <w:rsid w:val="74EC0AA3"/>
    <w:rsid w:val="74FA6D1C"/>
    <w:rsid w:val="751C1388"/>
    <w:rsid w:val="751F6782"/>
    <w:rsid w:val="752E4C17"/>
    <w:rsid w:val="7541494A"/>
    <w:rsid w:val="754E0E15"/>
    <w:rsid w:val="75504B8E"/>
    <w:rsid w:val="755A5A0C"/>
    <w:rsid w:val="75B570E6"/>
    <w:rsid w:val="75B86D71"/>
    <w:rsid w:val="75BE243F"/>
    <w:rsid w:val="75C5557C"/>
    <w:rsid w:val="75D752AF"/>
    <w:rsid w:val="761107C1"/>
    <w:rsid w:val="763C15B6"/>
    <w:rsid w:val="764D5571"/>
    <w:rsid w:val="766F3739"/>
    <w:rsid w:val="766F54E7"/>
    <w:rsid w:val="76870A83"/>
    <w:rsid w:val="76A2766B"/>
    <w:rsid w:val="76A809F9"/>
    <w:rsid w:val="76A95033"/>
    <w:rsid w:val="76C770D1"/>
    <w:rsid w:val="76E732D0"/>
    <w:rsid w:val="76E934EC"/>
    <w:rsid w:val="76FB6D7B"/>
    <w:rsid w:val="771542E1"/>
    <w:rsid w:val="77253DF8"/>
    <w:rsid w:val="772C162A"/>
    <w:rsid w:val="772E0EFE"/>
    <w:rsid w:val="773D3837"/>
    <w:rsid w:val="7746449A"/>
    <w:rsid w:val="776B5CAF"/>
    <w:rsid w:val="778154D2"/>
    <w:rsid w:val="77AE203F"/>
    <w:rsid w:val="77B07B65"/>
    <w:rsid w:val="77C74EAF"/>
    <w:rsid w:val="77CD4BBB"/>
    <w:rsid w:val="77EE7E77"/>
    <w:rsid w:val="78322C70"/>
    <w:rsid w:val="784A40FD"/>
    <w:rsid w:val="78591FAB"/>
    <w:rsid w:val="786077DD"/>
    <w:rsid w:val="78850FF2"/>
    <w:rsid w:val="788A485A"/>
    <w:rsid w:val="788B412F"/>
    <w:rsid w:val="789C633C"/>
    <w:rsid w:val="78BB4A14"/>
    <w:rsid w:val="78C31B1A"/>
    <w:rsid w:val="78C55892"/>
    <w:rsid w:val="78D322F2"/>
    <w:rsid w:val="78D41F79"/>
    <w:rsid w:val="78DB3308"/>
    <w:rsid w:val="78EA70A7"/>
    <w:rsid w:val="78F9378E"/>
    <w:rsid w:val="790E548B"/>
    <w:rsid w:val="792151BF"/>
    <w:rsid w:val="79273E57"/>
    <w:rsid w:val="7956473D"/>
    <w:rsid w:val="79791F90"/>
    <w:rsid w:val="797A667D"/>
    <w:rsid w:val="79B80F53"/>
    <w:rsid w:val="79C3303F"/>
    <w:rsid w:val="79C43D9C"/>
    <w:rsid w:val="7A044199"/>
    <w:rsid w:val="7A0917AF"/>
    <w:rsid w:val="7A1F0FD2"/>
    <w:rsid w:val="7A41363F"/>
    <w:rsid w:val="7A5A2AD1"/>
    <w:rsid w:val="7A613399"/>
    <w:rsid w:val="7A7A445B"/>
    <w:rsid w:val="7AB132A5"/>
    <w:rsid w:val="7ABE07EB"/>
    <w:rsid w:val="7AC2652D"/>
    <w:rsid w:val="7ACC2F08"/>
    <w:rsid w:val="7AF406B1"/>
    <w:rsid w:val="7AF50549"/>
    <w:rsid w:val="7B0F4EB9"/>
    <w:rsid w:val="7B0F54EB"/>
    <w:rsid w:val="7B1B5C3E"/>
    <w:rsid w:val="7B2A5E81"/>
    <w:rsid w:val="7B3A4316"/>
    <w:rsid w:val="7B424F78"/>
    <w:rsid w:val="7B656EB9"/>
    <w:rsid w:val="7B6770D5"/>
    <w:rsid w:val="7B7535A0"/>
    <w:rsid w:val="7B7A6E08"/>
    <w:rsid w:val="7B88353D"/>
    <w:rsid w:val="7B9F061D"/>
    <w:rsid w:val="7BB0282A"/>
    <w:rsid w:val="7BBF2A6D"/>
    <w:rsid w:val="7BD227A0"/>
    <w:rsid w:val="7BE40725"/>
    <w:rsid w:val="7BFA3AA5"/>
    <w:rsid w:val="7C1728A9"/>
    <w:rsid w:val="7C1903CF"/>
    <w:rsid w:val="7C211032"/>
    <w:rsid w:val="7C330D65"/>
    <w:rsid w:val="7C5036C5"/>
    <w:rsid w:val="7C5331B5"/>
    <w:rsid w:val="7C57736A"/>
    <w:rsid w:val="7C5E4034"/>
    <w:rsid w:val="7C684EB3"/>
    <w:rsid w:val="7C7C095E"/>
    <w:rsid w:val="7C893C92"/>
    <w:rsid w:val="7C896BD7"/>
    <w:rsid w:val="7C975798"/>
    <w:rsid w:val="7CB93960"/>
    <w:rsid w:val="7D0F532E"/>
    <w:rsid w:val="7D2012E9"/>
    <w:rsid w:val="7D496A92"/>
    <w:rsid w:val="7D515947"/>
    <w:rsid w:val="7D5F62B6"/>
    <w:rsid w:val="7DC85574"/>
    <w:rsid w:val="7DD32800"/>
    <w:rsid w:val="7DD86068"/>
    <w:rsid w:val="7DE762AB"/>
    <w:rsid w:val="7DF74740"/>
    <w:rsid w:val="7E2748F9"/>
    <w:rsid w:val="7E2B263C"/>
    <w:rsid w:val="7E327526"/>
    <w:rsid w:val="7E505BFE"/>
    <w:rsid w:val="7E665422"/>
    <w:rsid w:val="7E6D4A02"/>
    <w:rsid w:val="7EAD4DFF"/>
    <w:rsid w:val="7EAF0B77"/>
    <w:rsid w:val="7EB20667"/>
    <w:rsid w:val="7EE051D4"/>
    <w:rsid w:val="7F045A0E"/>
    <w:rsid w:val="7F0C5FC9"/>
    <w:rsid w:val="7F141322"/>
    <w:rsid w:val="7F250E39"/>
    <w:rsid w:val="7F2F1CB8"/>
    <w:rsid w:val="7F363046"/>
    <w:rsid w:val="7F567244"/>
    <w:rsid w:val="7F72396A"/>
    <w:rsid w:val="7F9935D5"/>
    <w:rsid w:val="7FA2692E"/>
    <w:rsid w:val="7FB36445"/>
    <w:rsid w:val="7FC40652"/>
    <w:rsid w:val="7FC9483E"/>
    <w:rsid w:val="7FD665D7"/>
    <w:rsid w:val="7FD90169"/>
    <w:rsid w:val="7FE24F7C"/>
    <w:rsid w:val="7FF058E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49"/>
      <w:ind w:left="2207" w:right="35"/>
      <w:jc w:val="center"/>
      <w:outlineLvl w:val="1"/>
    </w:pPr>
    <w:rPr>
      <w:rFonts w:ascii="宋体" w:hAnsi="宋体" w:eastAsia="宋体" w:cs="宋体"/>
      <w:sz w:val="36"/>
      <w:szCs w:val="36"/>
      <w:lang w:val="zh-CN" w:eastAsia="zh-CN" w:bidi="zh-CN"/>
    </w:rPr>
  </w:style>
  <w:style w:type="paragraph" w:styleId="4">
    <w:name w:val="heading 2"/>
    <w:basedOn w:val="1"/>
    <w:next w:val="1"/>
    <w:link w:val="29"/>
    <w:qFormat/>
    <w:uiPriority w:val="0"/>
    <w:pPr>
      <w:outlineLvl w:val="1"/>
    </w:pPr>
    <w:rPr>
      <w:sz w:val="40"/>
      <w:szCs w:val="40"/>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宋体" w:hAnsi="宋体"/>
      <w:szCs w:val="20"/>
    </w:rPr>
  </w:style>
  <w:style w:type="paragraph" w:styleId="6">
    <w:name w:val="List Bullet 3"/>
    <w:basedOn w:val="1"/>
    <w:qFormat/>
    <w:uiPriority w:val="0"/>
    <w:pPr>
      <w:tabs>
        <w:tab w:val="left" w:pos="1200"/>
      </w:tabs>
      <w:ind w:left="1200" w:hanging="360"/>
    </w:pPr>
  </w:style>
  <w:style w:type="paragraph" w:styleId="7">
    <w:name w:val="Body Text"/>
    <w:basedOn w:val="1"/>
    <w:qFormat/>
    <w:uiPriority w:val="0"/>
    <w:pPr>
      <w:autoSpaceDE w:val="0"/>
      <w:autoSpaceDN w:val="0"/>
      <w:adjustRightInd w:val="0"/>
    </w:pPr>
    <w:rPr>
      <w:rFonts w:eastAsia="仿宋_GB2312"/>
      <w:b/>
      <w:bCs/>
      <w:color w:val="FF3300"/>
      <w:sz w:val="40"/>
      <w:szCs w:val="40"/>
      <w:lang w:val="zh-CN"/>
    </w:rPr>
  </w:style>
  <w:style w:type="paragraph" w:styleId="8">
    <w:name w:val="Plain Text"/>
    <w:basedOn w:val="1"/>
    <w:link w:val="20"/>
    <w:qFormat/>
    <w:uiPriority w:val="0"/>
    <w:rPr>
      <w:rFonts w:ascii="宋体" w:hAnsi="Courier New"/>
      <w:szCs w:val="21"/>
    </w:rPr>
  </w:style>
  <w:style w:type="paragraph" w:styleId="9">
    <w:name w:val="Date"/>
    <w:basedOn w:val="1"/>
    <w:next w:val="1"/>
    <w:qFormat/>
    <w:uiPriority w:val="0"/>
    <w:pPr>
      <w:ind w:left="100" w:leftChars="2500"/>
    </w:pPr>
    <w:rPr>
      <w:rFonts w:ascii="宋体" w:hAnsi="宋体"/>
      <w:color w:val="333333"/>
      <w:sz w:val="24"/>
    </w:rPr>
  </w:style>
  <w:style w:type="paragraph" w:styleId="10">
    <w:name w:val="Body Text Indent 2"/>
    <w:basedOn w:val="1"/>
    <w:link w:val="28"/>
    <w:qFormat/>
    <w:uiPriority w:val="0"/>
    <w:pPr>
      <w:spacing w:after="120" w:line="480" w:lineRule="auto"/>
      <w:ind w:left="420" w:leftChars="200"/>
    </w:pPr>
  </w:style>
  <w:style w:type="paragraph" w:styleId="11">
    <w:name w:val="Balloon Text"/>
    <w:basedOn w:val="1"/>
    <w:link w:val="21"/>
    <w:qFormat/>
    <w:uiPriority w:val="0"/>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adjustRightInd w:val="0"/>
      <w:spacing w:line="360" w:lineRule="atLeast"/>
      <w:jc w:val="left"/>
    </w:pPr>
    <w:rPr>
      <w:rFonts w:ascii="宋体" w:hAnsi="Courier New" w:cs="Courier New"/>
      <w:kern w:val="0"/>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954F72"/>
      <w:u w:val="single"/>
    </w:rPr>
  </w:style>
  <w:style w:type="character" w:styleId="19">
    <w:name w:val="Hyperlink"/>
    <w:qFormat/>
    <w:uiPriority w:val="0"/>
    <w:rPr>
      <w:color w:val="0000FF"/>
      <w:u w:val="single"/>
    </w:rPr>
  </w:style>
  <w:style w:type="character" w:customStyle="1" w:styleId="20">
    <w:name w:val="纯文本 字符"/>
    <w:link w:val="8"/>
    <w:qFormat/>
    <w:uiPriority w:val="0"/>
    <w:rPr>
      <w:rFonts w:ascii="宋体" w:hAnsi="Courier New"/>
      <w:kern w:val="2"/>
      <w:sz w:val="21"/>
      <w:szCs w:val="21"/>
    </w:rPr>
  </w:style>
  <w:style w:type="character" w:customStyle="1" w:styleId="21">
    <w:name w:val="批注框文本 字符"/>
    <w:link w:val="11"/>
    <w:qFormat/>
    <w:uiPriority w:val="0"/>
    <w:rPr>
      <w:kern w:val="2"/>
      <w:sz w:val="18"/>
      <w:szCs w:val="18"/>
    </w:rPr>
  </w:style>
  <w:style w:type="character" w:customStyle="1" w:styleId="22">
    <w:name w:val="页脚 字符"/>
    <w:link w:val="12"/>
    <w:qFormat/>
    <w:uiPriority w:val="99"/>
    <w:rPr>
      <w:kern w:val="2"/>
      <w:sz w:val="18"/>
      <w:szCs w:val="18"/>
    </w:rPr>
  </w:style>
  <w:style w:type="paragraph" w:styleId="23">
    <w:name w:val="List Paragraph"/>
    <w:basedOn w:val="1"/>
    <w:qFormat/>
    <w:uiPriority w:val="34"/>
    <w:pPr>
      <w:ind w:firstLine="420" w:firstLineChars="200"/>
    </w:pPr>
  </w:style>
  <w:style w:type="character" w:customStyle="1" w:styleId="24">
    <w:name w:val="Text Car"/>
    <w:link w:val="25"/>
    <w:qFormat/>
    <w:uiPriority w:val="0"/>
    <w:rPr>
      <w:rFonts w:ascii="宋体" w:hAnsi="宋体"/>
      <w:szCs w:val="24"/>
    </w:rPr>
  </w:style>
  <w:style w:type="paragraph" w:customStyle="1" w:styleId="25">
    <w:name w:val="Text"/>
    <w:basedOn w:val="1"/>
    <w:link w:val="24"/>
    <w:qFormat/>
    <w:uiPriority w:val="0"/>
    <w:pPr>
      <w:ind w:left="400" w:leftChars="400" w:right="400" w:rightChars="400"/>
      <w:jc w:val="left"/>
    </w:pPr>
    <w:rPr>
      <w:rFonts w:ascii="宋体" w:hAnsi="宋体"/>
      <w:kern w:val="0"/>
      <w:sz w:val="20"/>
    </w:rPr>
  </w:style>
  <w:style w:type="paragraph" w:customStyle="1" w:styleId="26">
    <w:name w:val="列出段落1"/>
    <w:basedOn w:val="1"/>
    <w:qFormat/>
    <w:uiPriority w:val="0"/>
    <w:pPr>
      <w:ind w:left="720"/>
      <w:contextualSpacing/>
    </w:pPr>
  </w:style>
  <w:style w:type="character" w:customStyle="1" w:styleId="27">
    <w:name w:val="标题 5 字符"/>
    <w:semiHidden/>
    <w:qFormat/>
    <w:uiPriority w:val="9"/>
    <w:rPr>
      <w:b/>
      <w:bCs/>
      <w:kern w:val="2"/>
      <w:sz w:val="28"/>
      <w:szCs w:val="28"/>
    </w:rPr>
  </w:style>
  <w:style w:type="character" w:customStyle="1" w:styleId="28">
    <w:name w:val="正文文本缩进 2 字符"/>
    <w:basedOn w:val="17"/>
    <w:link w:val="10"/>
    <w:qFormat/>
    <w:uiPriority w:val="0"/>
    <w:rPr>
      <w:kern w:val="2"/>
      <w:sz w:val="21"/>
      <w:szCs w:val="24"/>
    </w:rPr>
  </w:style>
  <w:style w:type="character" w:customStyle="1" w:styleId="29">
    <w:name w:val="标题 2 字符"/>
    <w:basedOn w:val="17"/>
    <w:link w:val="4"/>
    <w:qFormat/>
    <w:uiPriority w:val="0"/>
    <w:rPr>
      <w:kern w:val="2"/>
      <w:sz w:val="40"/>
      <w:szCs w:val="40"/>
    </w:rPr>
  </w:style>
  <w:style w:type="paragraph" w:customStyle="1" w:styleId="30">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1">
    <w:name w:val="NormalCharacter"/>
    <w:qFormat/>
    <w:uiPriority w:val="0"/>
  </w:style>
  <w:style w:type="paragraph" w:customStyle="1" w:styleId="32">
    <w:name w:val="reader-word-layer"/>
    <w:basedOn w:val="1"/>
    <w:qFormat/>
    <w:uiPriority w:val="0"/>
    <w:pPr>
      <w:widowControl/>
      <w:spacing w:before="100" w:beforeAutospacing="1" w:after="100" w:afterAutospacing="1"/>
      <w:jc w:val="left"/>
    </w:pPr>
    <w:rPr>
      <w:rFonts w:ascii="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936A-6C95-459D-BA59-FC7260C86505}">
  <ds:schemaRefs/>
</ds:datastoreItem>
</file>

<file path=docProps/app.xml><?xml version="1.0" encoding="utf-8"?>
<Properties xmlns="http://schemas.openxmlformats.org/officeDocument/2006/extended-properties" xmlns:vt="http://schemas.openxmlformats.org/officeDocument/2006/docPropsVTypes">
  <Template>Normal</Template>
  <Company>th</Company>
  <Pages>57</Pages>
  <Words>22220</Words>
  <Characters>22779</Characters>
  <Lines>111</Lines>
  <Paragraphs>31</Paragraphs>
  <TotalTime>242</TotalTime>
  <ScaleCrop>false</ScaleCrop>
  <LinksUpToDate>false</LinksUpToDate>
  <CharactersWithSpaces>24682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2022-07-27T04:13:00Z</dcterms:created>
  <dc:creator>ws</dc:creator>
  <cp:lastModifiedBy>太阳之子</cp:lastModifiedBy>
  <cp:lastPrinted>2022-12-22T06:48:00Z</cp:lastPrinted>
  <dcterms:modified xsi:type="dcterms:W3CDTF">2023-05-17T06:10:57Z</dcterms:modified>
  <dc:title>关于投资公司文件试行编号的通知</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AB7389CA7B85438A85578835D289FFB0_13</vt:lpwstr>
  </property>
</Properties>
</file>