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theme="minorBidi"/>
          <w:sz w:val="21"/>
          <w:szCs w:val="21"/>
          <w:lang w:val="en-US" w:eastAsia="zh-CN" w:bidi="ar-SA"/>
        </w:rPr>
      </w:pPr>
      <w:r>
        <w:rPr>
          <w:rFonts w:hint="eastAsia" w:asciiTheme="majorEastAsia" w:hAnsiTheme="majorEastAsia" w:eastAsiaTheme="majorEastAsia" w:cstheme="majorEastAsia"/>
          <w:b/>
          <w:bCs/>
          <w:sz w:val="32"/>
          <w:szCs w:val="32"/>
          <w:lang w:val="en-US" w:eastAsia="zh-CN" w:bidi="ar-SA"/>
        </w:rPr>
        <w:t>蒸发罐（含分离器）项目投标文件</w:t>
      </w:r>
    </w:p>
    <w:p>
      <w:pPr>
        <w:numPr>
          <w:ilvl w:val="0"/>
          <w:numId w:val="1"/>
        </w:numPr>
        <w:jc w:val="center"/>
        <w:rPr>
          <w:rFonts w:hint="eastAsia" w:asciiTheme="minorEastAsia" w:hAnsiTheme="minorEastAsia" w:eastAsiaTheme="minorEastAsia" w:cstheme="minorEastAsia"/>
          <w:sz w:val="32"/>
          <w:szCs w:val="32"/>
          <w:lang w:val="en-US" w:eastAsia="zh-CN" w:bidi="ar-SA"/>
        </w:rPr>
      </w:pPr>
      <w:r>
        <w:rPr>
          <w:rFonts w:hint="eastAsia" w:asciiTheme="minorEastAsia" w:hAnsiTheme="minorEastAsia" w:eastAsiaTheme="minorEastAsia" w:cstheme="minorEastAsia"/>
          <w:sz w:val="32"/>
          <w:szCs w:val="32"/>
          <w:lang w:val="en-US" w:eastAsia="zh-CN" w:bidi="ar-SA"/>
        </w:rPr>
        <w:t>营业执照</w:t>
      </w:r>
    </w:p>
    <w:p>
      <w:pPr>
        <w:jc w:val="both"/>
        <w:rPr>
          <w:rFonts w:hint="eastAsia"/>
          <w:b/>
          <w:sz w:val="44"/>
          <w:szCs w:val="44"/>
        </w:rPr>
      </w:pPr>
    </w:p>
    <w:p>
      <w:pPr>
        <w:jc w:val="center"/>
        <w:rPr>
          <w:rFonts w:hint="eastAsia"/>
          <w:b/>
          <w:sz w:val="44"/>
          <w:szCs w:val="44"/>
        </w:rPr>
      </w:pPr>
      <w:bookmarkStart w:id="0" w:name="_GoBack"/>
      <w:bookmarkEnd w:id="0"/>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numPr>
          <w:ilvl w:val="0"/>
          <w:numId w:val="1"/>
        </w:numPr>
        <w:jc w:val="center"/>
        <w:rPr>
          <w:rFonts w:hint="eastAsia" w:asciiTheme="minorEastAsia" w:hAnsiTheme="minorEastAsia" w:eastAsiaTheme="minorEastAsia" w:cstheme="minorEastAsia"/>
          <w:sz w:val="32"/>
          <w:szCs w:val="32"/>
          <w:lang w:val="en-US" w:eastAsia="zh-CN" w:bidi="ar-SA"/>
        </w:rPr>
      </w:pPr>
      <w:r>
        <w:rPr>
          <w:rFonts w:hint="eastAsia" w:asciiTheme="minorEastAsia" w:hAnsiTheme="minorEastAsia" w:eastAsiaTheme="minorEastAsia" w:cstheme="minorEastAsia"/>
          <w:sz w:val="32"/>
          <w:szCs w:val="32"/>
          <w:lang w:val="en-US" w:eastAsia="zh-CN" w:bidi="ar-SA"/>
        </w:rPr>
        <w:t>委托授权书</w:t>
      </w: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rPr>
      </w:pPr>
    </w:p>
    <w:p>
      <w:pPr>
        <w:numPr>
          <w:ilvl w:val="0"/>
          <w:numId w:val="0"/>
        </w:numPr>
        <w:jc w:val="center"/>
        <w:rPr>
          <w:rFonts w:hint="eastAsia" w:asciiTheme="minorEastAsia" w:hAnsiTheme="minorEastAsia" w:eastAsiaTheme="minorEastAsia" w:cstheme="minorEastAsia"/>
          <w:sz w:val="32"/>
          <w:szCs w:val="32"/>
          <w:lang w:val="en-US" w:eastAsia="zh-CN" w:bidi="ar-SA"/>
        </w:rPr>
      </w:pPr>
      <w:r>
        <w:rPr>
          <w:rFonts w:hint="eastAsia" w:asciiTheme="minorEastAsia" w:hAnsiTheme="minorEastAsia" w:eastAsiaTheme="minorEastAsia" w:cstheme="minorEastAsia"/>
          <w:sz w:val="32"/>
          <w:szCs w:val="32"/>
          <w:lang w:val="en-US" w:eastAsia="zh-CN" w:bidi="ar-SA"/>
        </w:rPr>
        <w:t>第三部分 质量承诺书</w:t>
      </w:r>
    </w:p>
    <w:p>
      <w:pPr>
        <w:rPr>
          <w:rFonts w:ascii="仿宋" w:hAnsi="仿宋" w:eastAsia="仿宋"/>
          <w:sz w:val="32"/>
          <w:szCs w:val="32"/>
        </w:rPr>
      </w:pPr>
    </w:p>
    <w:p>
      <w:pPr>
        <w:pStyle w:val="3"/>
        <w:spacing w:before="214" w:line="364" w:lineRule="auto"/>
        <w:ind w:right="474" w:firstLine="630" w:firstLineChars="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为积极配合贵公司进行的蒸发罐（含分离器）采购工作，保证产品质量，我们特向贵公司承诺如下事项：</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 我公司严格执行供应商应尽义务，做到送货及时，货物质量优质，货物装箱整齐方便运输。</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日期：    年  月  日</w:t>
      </w:r>
    </w:p>
    <w:p>
      <w:pPr>
        <w:spacing w:after="0" w:line="254" w:lineRule="auto"/>
        <w:jc w:val="left"/>
        <w:rPr>
          <w:sz w:val="24"/>
          <w:szCs w:val="24"/>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numPr>
          <w:ilvl w:val="0"/>
          <w:numId w:val="0"/>
        </w:numPr>
        <w:jc w:val="center"/>
        <w:rPr>
          <w:rFonts w:hint="eastAsia" w:asciiTheme="minorEastAsia" w:hAnsiTheme="minorEastAsia" w:eastAsiaTheme="minorEastAsia" w:cstheme="minorEastAsia"/>
          <w:sz w:val="32"/>
          <w:szCs w:val="32"/>
          <w:lang w:val="en-US" w:eastAsia="zh-CN" w:bidi="ar-SA"/>
        </w:rPr>
      </w:pPr>
      <w:r>
        <w:rPr>
          <w:rFonts w:hint="eastAsia" w:asciiTheme="minorEastAsia" w:hAnsiTheme="minorEastAsia" w:eastAsiaTheme="minorEastAsia" w:cstheme="minorEastAsia"/>
          <w:sz w:val="32"/>
          <w:szCs w:val="32"/>
          <w:lang w:val="en-US" w:eastAsia="zh-CN" w:bidi="ar-SA"/>
        </w:rPr>
        <w:t>第四部分 廉洁承诺书</w:t>
      </w:r>
    </w:p>
    <w:p>
      <w:pPr>
        <w:spacing w:after="0" w:line="254" w:lineRule="auto"/>
        <w:jc w:val="both"/>
        <w:rPr>
          <w:rFonts w:hint="eastAsia" w:asciiTheme="minorEastAsia" w:hAnsiTheme="minorEastAsia" w:eastAsiaTheme="minorEastAsia" w:cstheme="minorEastAsia"/>
          <w:sz w:val="18"/>
          <w:szCs w:val="18"/>
        </w:rPr>
      </w:pPr>
    </w:p>
    <w:p>
      <w:pPr>
        <w:pStyle w:val="3"/>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为积极配合贵公司进行的蒸发罐（含分离器）采购工作，有效遏制不公平竞争和违规违纪问题的发生，确保招标工作的公平、公正、公开，我们特向贵公司承诺如下事项：</w:t>
      </w:r>
    </w:p>
    <w:p>
      <w:pPr>
        <w:pStyle w:val="7"/>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7"/>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7"/>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7"/>
        <w:numPr>
          <w:ilvl w:val="0"/>
          <w:numId w:val="0"/>
        </w:numPr>
        <w:tabs>
          <w:tab w:val="left" w:pos="1616"/>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w:t>
      </w:r>
    </w:p>
    <w:p>
      <w:pPr>
        <w:pStyle w:val="7"/>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7"/>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7"/>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3"/>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ind w:firstLine="5670" w:firstLineChars="2700"/>
        <w:rPr>
          <w:rFonts w:hint="default" w:ascii="仿宋_GB2312" w:hAnsi="Tahoma" w:eastAsia="仿宋_GB2312" w:cstheme="minorBidi"/>
          <w:sz w:val="21"/>
          <w:szCs w:val="21"/>
          <w:lang w:val="en-US" w:eastAsia="zh-CN"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numPr>
          <w:ilvl w:val="0"/>
          <w:numId w:val="0"/>
        </w:numPr>
        <w:jc w:val="center"/>
        <w:rPr>
          <w:rFonts w:hint="eastAsia" w:asciiTheme="minorEastAsia" w:hAnsiTheme="minorEastAsia" w:eastAsiaTheme="minorEastAsia" w:cstheme="minorEastAsia"/>
          <w:sz w:val="32"/>
          <w:szCs w:val="32"/>
          <w:lang w:val="en-US" w:eastAsia="zh-CN" w:bidi="ar-SA"/>
        </w:rPr>
      </w:pPr>
      <w:r>
        <w:rPr>
          <w:rFonts w:hint="eastAsia" w:asciiTheme="minorEastAsia" w:hAnsiTheme="minorEastAsia" w:eastAsiaTheme="minorEastAsia" w:cstheme="minorEastAsia"/>
          <w:sz w:val="32"/>
          <w:szCs w:val="32"/>
          <w:lang w:val="en-US" w:eastAsia="zh-CN" w:bidi="ar-SA"/>
        </w:rPr>
        <w:t>第五部分 图纸</w:t>
      </w: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both"/>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numPr>
          <w:ilvl w:val="0"/>
          <w:numId w:val="0"/>
        </w:numPr>
        <w:spacing w:line="360" w:lineRule="auto"/>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第六部分 报价单</w:t>
      </w:r>
    </w:p>
    <w:p>
      <w:pPr>
        <w:numPr>
          <w:ilvl w:val="0"/>
          <w:numId w:val="2"/>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蒸发罐（含分离器）询比价</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询比价</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5"/>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810"/>
        <w:gridCol w:w="294"/>
        <w:gridCol w:w="5678"/>
        <w:gridCol w:w="825"/>
        <w:gridCol w:w="707"/>
        <w:gridCol w:w="158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739"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04"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67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82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0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58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946" w:hRule="exact"/>
          <w:jc w:val="center"/>
        </w:trPr>
        <w:tc>
          <w:tcPr>
            <w:tcW w:w="739"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color w:val="000000"/>
                <w:sz w:val="15"/>
                <w:szCs w:val="15"/>
                <w:lang w:val="en-US" w:eastAsia="zh-CN"/>
              </w:rPr>
              <w:t>1</w:t>
            </w:r>
          </w:p>
        </w:tc>
        <w:tc>
          <w:tcPr>
            <w:tcW w:w="1104"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降膜蒸发罐 φ400*6000</w:t>
            </w:r>
          </w:p>
        </w:tc>
        <w:tc>
          <w:tcPr>
            <w:tcW w:w="5678"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φ400*6000 降膜蒸发罐，糖汁流量5m³/h，锤度从60升到68；进料1，出料1，上封头能开，能清理能换管DN300，上视镜1，汽室温度1DN80，汁汽室温度DN80，压力1DN80，进汽1DN80，凝结水1DN50，出汽1DN80？分离器连管1DN150，氨气管2DN25材质不锈钢304L</w:t>
            </w:r>
          </w:p>
        </w:tc>
        <w:tc>
          <w:tcPr>
            <w:tcW w:w="825"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70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1584" w:type="dxa"/>
            <w:vMerge w:val="restart"/>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90" w:hRule="exact"/>
          <w:jc w:val="center"/>
        </w:trPr>
        <w:tc>
          <w:tcPr>
            <w:tcW w:w="739"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color w:val="000000"/>
                <w:sz w:val="15"/>
                <w:szCs w:val="15"/>
                <w:lang w:val="en-US" w:eastAsia="zh-CN"/>
              </w:rPr>
              <w:t>2</w:t>
            </w:r>
          </w:p>
        </w:tc>
        <w:tc>
          <w:tcPr>
            <w:tcW w:w="1104" w:type="dxa"/>
            <w:gridSpan w:val="2"/>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分离器 φ600*2200</w:t>
            </w:r>
          </w:p>
        </w:tc>
        <w:tc>
          <w:tcPr>
            <w:tcW w:w="567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φ600*2200,蒸发罐连管1DN150，出料1，出汽1DN80,清理孔1DN300，液位计DN80，压力1DN80材质不锈钢304L</w:t>
            </w:r>
          </w:p>
        </w:tc>
        <w:tc>
          <w:tcPr>
            <w:tcW w:w="825"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70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1584" w:type="dxa"/>
            <w:vMerge w:val="continue"/>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7"/>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付款方式</w:t>
            </w:r>
          </w:p>
        </w:tc>
        <w:tc>
          <w:tcPr>
            <w:tcW w:w="9088" w:type="dxa"/>
            <w:gridSpan w:val="5"/>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税率</w:t>
            </w:r>
          </w:p>
        </w:tc>
        <w:tc>
          <w:tcPr>
            <w:tcW w:w="9088" w:type="dxa"/>
            <w:gridSpan w:val="5"/>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货期</w:t>
            </w:r>
          </w:p>
        </w:tc>
        <w:tc>
          <w:tcPr>
            <w:tcW w:w="9088" w:type="dxa"/>
            <w:gridSpan w:val="5"/>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文件，包括修改文件（如有时）及有关附件。</w:t>
      </w:r>
    </w:p>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pPr>
      <w:r>
        <w:rPr>
          <w:rFonts w:hint="eastAsia" w:asciiTheme="minorEastAsia" w:hAnsiTheme="minorEastAsia" w:eastAsiaTheme="minorEastAsia" w:cstheme="minorEastAsia"/>
          <w:sz w:val="18"/>
          <w:szCs w:val="18"/>
        </w:rPr>
        <w:t>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5EF9"/>
    <w:multiLevelType w:val="singleLevel"/>
    <w:tmpl w:val="8FD05EF9"/>
    <w:lvl w:ilvl="0" w:tentative="0">
      <w:start w:val="1"/>
      <w:numFmt w:val="chineseCounting"/>
      <w:suff w:val="space"/>
      <w:lvlText w:val="第%1部分"/>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2Q1MWQyYzg2M2NiNDg4MTE0ZTBjY2Y0YjM5MmUifQ=="/>
  </w:docVars>
  <w:rsids>
    <w:rsidRoot w:val="00000000"/>
    <w:rsid w:val="02BE4701"/>
    <w:rsid w:val="424C7D08"/>
    <w:rsid w:val="47363699"/>
    <w:rsid w:val="4FC20EAD"/>
    <w:rsid w:val="56F21F8B"/>
    <w:rsid w:val="678073D1"/>
    <w:rsid w:val="75DD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Plain Text"/>
    <w:basedOn w:val="1"/>
    <w:next w:val="2"/>
    <w:qFormat/>
    <w:uiPriority w:val="0"/>
    <w:rPr>
      <w:rFonts w:ascii="宋体" w:cs="Courier New"/>
      <w:szCs w:val="21"/>
    </w:rPr>
  </w:style>
  <w:style w:type="paragraph" w:styleId="7">
    <w:name w:val="List Paragraph"/>
    <w:basedOn w:val="1"/>
    <w:qFormat/>
    <w:uiPriority w:val="1"/>
    <w:pPr>
      <w:spacing w:before="2"/>
      <w:ind w:left="640" w:right="632"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1907</Words>
  <Characters>2029</Characters>
  <Lines>0</Lines>
  <Paragraphs>0</Paragraphs>
  <TotalTime>0</TotalTime>
  <ScaleCrop>false</ScaleCrop>
  <LinksUpToDate>false</LinksUpToDate>
  <CharactersWithSpaces>2502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2021-01-20T02:27:00Z</dcterms:created>
  <dc:creator>Administrator</dc:creator>
  <cp:lastModifiedBy>明天你好</cp:lastModifiedBy>
  <dcterms:modified xsi:type="dcterms:W3CDTF">2023-05-07T02:46:29Z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735447E70E264DCFA3BE92ED9EBD89FD_12</vt:lpwstr>
  </property>
</Properties>
</file>