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rPr>
                <w:b/>
                <w:color w:val="FF0000"/>
                <w:sz w:val="28"/>
                <w:szCs w:val="28"/>
              </w:rPr>
            </w:pPr>
            <w:r>
              <w:rPr>
                <w:rFonts w:hint="eastAsia"/>
                <w:b/>
                <w:color w:val="FF0000"/>
                <w:sz w:val="28"/>
                <w:szCs w:val="28"/>
              </w:rPr>
              <w:t>请仔细阅读，按要求报送资料，资料不符合要求将不具有谈判报价资格。</w:t>
            </w:r>
          </w:p>
          <w:p>
            <w:pPr>
              <w:spacing w:line="500" w:lineRule="exact"/>
              <w:jc w:val="center"/>
              <w:rPr>
                <w:rFonts w:ascii="宋体" w:hAnsi="宋体"/>
                <w:b/>
                <w:bCs/>
                <w:color w:val="000000"/>
                <w:sz w:val="44"/>
                <w:szCs w:val="44"/>
              </w:rPr>
            </w:pPr>
          </w:p>
        </w:tc>
      </w:tr>
    </w:tbl>
    <w:p>
      <w:pPr>
        <w:spacing w:line="500" w:lineRule="exact"/>
        <w:jc w:val="center"/>
        <w:rPr>
          <w:rFonts w:ascii="宋体" w:hAnsi="宋体"/>
          <w:b/>
          <w:bCs/>
          <w:color w:val="000000"/>
          <w:sz w:val="44"/>
          <w:szCs w:val="44"/>
        </w:rPr>
      </w:pPr>
    </w:p>
    <w:p>
      <w:pPr>
        <w:spacing w:line="500" w:lineRule="exact"/>
        <w:jc w:val="center"/>
        <w:rPr>
          <w:rFonts w:ascii="宋体" w:hAnsi="宋体"/>
          <w:b/>
          <w:bCs/>
          <w:color w:val="000000"/>
          <w:sz w:val="44"/>
          <w:szCs w:val="44"/>
        </w:rPr>
      </w:pPr>
    </w:p>
    <w:p>
      <w:pPr>
        <w:spacing w:line="500" w:lineRule="exact"/>
        <w:jc w:val="center"/>
        <w:rPr>
          <w:rFonts w:ascii="宋体" w:hAnsi="宋体"/>
          <w:b/>
          <w:bCs/>
          <w:color w:val="000000"/>
          <w:sz w:val="44"/>
          <w:szCs w:val="44"/>
        </w:rPr>
      </w:pPr>
    </w:p>
    <w:p>
      <w:pPr>
        <w:spacing w:line="500" w:lineRule="exact"/>
        <w:jc w:val="center"/>
        <w:rPr>
          <w:rFonts w:ascii="宋体" w:hAnsi="宋体"/>
          <w:b/>
          <w:bCs/>
          <w:color w:val="000000"/>
          <w:sz w:val="44"/>
          <w:szCs w:val="44"/>
        </w:rPr>
      </w:pPr>
    </w:p>
    <w:p>
      <w:pPr>
        <w:spacing w:line="500" w:lineRule="exact"/>
        <w:rPr>
          <w:rFonts w:ascii="宋体" w:hAnsi="宋体"/>
          <w:b/>
          <w:bCs/>
          <w:color w:val="000000"/>
          <w:sz w:val="44"/>
          <w:szCs w:val="44"/>
        </w:rPr>
      </w:pPr>
    </w:p>
    <w:p>
      <w:pPr>
        <w:jc w:val="center"/>
        <w:rPr>
          <w:rFonts w:ascii="仿宋_GB2312" w:eastAsia="仿宋_GB2312"/>
          <w:b/>
          <w:bCs/>
          <w:color w:val="000000"/>
          <w:sz w:val="52"/>
        </w:rPr>
      </w:pPr>
      <w:r>
        <w:rPr>
          <w:rFonts w:hint="eastAsia" w:ascii="仿宋_GB2312" w:eastAsia="仿宋_GB2312"/>
          <w:b/>
          <w:bCs/>
          <w:color w:val="000000"/>
          <w:sz w:val="44"/>
          <w:szCs w:val="44"/>
        </w:rPr>
        <w:t>中粮屯河番茄有限公司</w:t>
      </w:r>
    </w:p>
    <w:p>
      <w:pPr>
        <w:jc w:val="center"/>
        <w:rPr>
          <w:rFonts w:ascii="仿宋_GB2312" w:eastAsia="仿宋_GB2312"/>
          <w:b/>
          <w:bCs/>
          <w:color w:val="000000"/>
          <w:sz w:val="52"/>
        </w:rPr>
      </w:pPr>
    </w:p>
    <w:p>
      <w:pPr>
        <w:spacing w:line="360" w:lineRule="auto"/>
        <w:jc w:val="center"/>
        <w:rPr>
          <w:rFonts w:ascii="仿宋GB2312" w:hAnsi="仿宋GB2312" w:eastAsia="仿宋GB2312" w:cs="仿宋GB2312"/>
          <w:b/>
          <w:bCs/>
          <w:sz w:val="44"/>
          <w:szCs w:val="44"/>
        </w:rPr>
      </w:pPr>
      <w:r>
        <w:rPr>
          <w:rFonts w:hint="eastAsia" w:ascii="仿宋_GB2312" w:eastAsia="仿宋_GB2312"/>
          <w:b/>
          <w:bCs/>
          <w:sz w:val="52"/>
        </w:rPr>
        <w:t xml:space="preserve"> </w:t>
      </w:r>
      <w:r>
        <w:rPr>
          <w:rFonts w:hint="eastAsia" w:ascii="仿宋GB2312" w:hAnsi="仿宋GB2312" w:eastAsia="仿宋GB2312" w:cs="仿宋GB2312"/>
          <w:b/>
          <w:bCs/>
          <w:sz w:val="44"/>
          <w:szCs w:val="44"/>
        </w:rPr>
        <w:t>2023-2024年度小包装产品天津港口仓储、装箱集港（外提箱操作模式）业务询比项目说明书</w:t>
      </w:r>
    </w:p>
    <w:p>
      <w:pPr>
        <w:jc w:val="center"/>
        <w:rPr>
          <w:rFonts w:ascii="仿宋_GB2312" w:eastAsia="仿宋_GB2312"/>
          <w:b/>
          <w:bCs/>
          <w:color w:val="000000"/>
          <w:sz w:val="30"/>
        </w:rPr>
      </w:pPr>
    </w:p>
    <w:p>
      <w:pPr>
        <w:jc w:val="center"/>
        <w:rPr>
          <w:rFonts w:ascii="仿宋_GB2312" w:eastAsia="仿宋_GB2312"/>
          <w:b/>
          <w:bCs/>
          <w:color w:val="000000"/>
          <w:sz w:val="30"/>
        </w:rPr>
      </w:pPr>
    </w:p>
    <w:p>
      <w:pPr>
        <w:jc w:val="center"/>
        <w:rPr>
          <w:rFonts w:ascii="仿宋_GB2312" w:eastAsia="仿宋_GB2312"/>
          <w:b/>
          <w:bCs/>
          <w:color w:val="000000"/>
          <w:sz w:val="30"/>
        </w:rPr>
      </w:pPr>
    </w:p>
    <w:p>
      <w:pPr>
        <w:jc w:val="center"/>
        <w:rPr>
          <w:rFonts w:ascii="仿宋_GB2312" w:eastAsia="仿宋_GB2312"/>
          <w:b/>
          <w:bCs/>
          <w:color w:val="000000"/>
          <w:sz w:val="30"/>
        </w:rPr>
      </w:pPr>
    </w:p>
    <w:p>
      <w:pPr>
        <w:jc w:val="center"/>
        <w:rPr>
          <w:rFonts w:ascii="仿宋_GB2312" w:eastAsia="仿宋_GB2312"/>
          <w:b/>
          <w:bCs/>
          <w:color w:val="000000"/>
          <w:sz w:val="30"/>
        </w:rPr>
      </w:pPr>
    </w:p>
    <w:p>
      <w:pPr>
        <w:rPr>
          <w:rFonts w:ascii="仿宋_GB2312" w:eastAsia="仿宋_GB2312"/>
          <w:b/>
          <w:bCs/>
          <w:color w:val="000000"/>
          <w:sz w:val="30"/>
        </w:rPr>
      </w:pPr>
    </w:p>
    <w:p>
      <w:pPr>
        <w:rPr>
          <w:rFonts w:ascii="仿宋_GB2312" w:eastAsia="仿宋_GB2312"/>
          <w:b/>
          <w:bCs/>
          <w:color w:val="000000"/>
          <w:sz w:val="30"/>
        </w:rPr>
      </w:pPr>
    </w:p>
    <w:p>
      <w:pPr>
        <w:jc w:val="center"/>
        <w:rPr>
          <w:rFonts w:ascii="仿宋_GB2312" w:hAnsi="宋体" w:eastAsia="仿宋_GB2312"/>
          <w:b/>
          <w:bCs/>
          <w:color w:val="000000"/>
          <w:sz w:val="32"/>
          <w:szCs w:val="32"/>
        </w:rPr>
      </w:pPr>
      <w:r>
        <w:rPr>
          <w:rFonts w:hint="eastAsia" w:ascii="仿宋_GB2312" w:hAnsi="宋体" w:eastAsia="仿宋_GB2312"/>
          <w:b/>
          <w:bCs/>
          <w:color w:val="000000"/>
          <w:sz w:val="32"/>
          <w:szCs w:val="32"/>
        </w:rPr>
        <w:t>日期：2023年5月</w:t>
      </w:r>
    </w:p>
    <w:p>
      <w:pPr>
        <w:rPr>
          <w:rFonts w:ascii="宋体" w:hAnsi="宋体"/>
          <w:b/>
          <w:bCs/>
          <w:color w:val="000000"/>
          <w:sz w:val="32"/>
          <w:szCs w:val="32"/>
        </w:rPr>
      </w:pPr>
    </w:p>
    <w:p>
      <w:pPr>
        <w:spacing w:line="360" w:lineRule="auto"/>
        <w:rPr>
          <w:rFonts w:ascii="宋体" w:hAnsi="宋体"/>
          <w:b/>
          <w:bCs/>
          <w:color w:val="000000"/>
          <w:sz w:val="28"/>
          <w:szCs w:val="28"/>
        </w:rPr>
      </w:pPr>
    </w:p>
    <w:p>
      <w:pPr>
        <w:spacing w:line="360" w:lineRule="auto"/>
        <w:rPr>
          <w:rFonts w:ascii="宋体" w:hAnsi="宋体"/>
          <w:b/>
          <w:bCs/>
          <w:color w:val="000000"/>
          <w:sz w:val="28"/>
          <w:szCs w:val="28"/>
        </w:rPr>
      </w:pPr>
    </w:p>
    <w:p>
      <w:pPr>
        <w:jc w:val="center"/>
        <w:outlineLvl w:val="0"/>
        <w:rPr>
          <w:rFonts w:ascii="仿宋GB2312" w:hAnsi="仿宋GB2312" w:eastAsia="仿宋GB2312" w:cs="仿宋GB2312"/>
          <w:b/>
          <w:color w:val="000000"/>
          <w:sz w:val="44"/>
          <w:szCs w:val="44"/>
        </w:rPr>
      </w:pPr>
      <w:r>
        <w:rPr>
          <w:rFonts w:hint="eastAsia" w:ascii="仿宋GB2312" w:hAnsi="仿宋GB2312" w:eastAsia="仿宋GB2312" w:cs="仿宋GB2312"/>
          <w:b/>
          <w:color w:val="000000"/>
          <w:sz w:val="44"/>
          <w:szCs w:val="44"/>
        </w:rPr>
        <w:t>第一部分  采购预告</w:t>
      </w:r>
    </w:p>
    <w:p>
      <w:pPr>
        <w:pStyle w:val="4"/>
        <w:keepNext w:val="0"/>
        <w:keepLines w:val="0"/>
        <w:numPr>
          <w:ilvl w:val="0"/>
          <w:numId w:val="0"/>
        </w:numPr>
        <w:spacing w:before="0" w:after="0" w:line="360" w:lineRule="auto"/>
        <w:ind w:right="97" w:rightChars="46"/>
        <w:contextualSpacing/>
        <w:jc w:val="left"/>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1.采购方介绍</w:t>
      </w:r>
    </w:p>
    <w:p>
      <w:pPr>
        <w:spacing w:line="360" w:lineRule="auto"/>
        <w:ind w:firstLine="560" w:firstLineChars="20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中粮糖业是中粮集团控股国内A股上市公司，是中粮集团食糖业务专业化公司，经营范围包括国内外制糖、食糖进口、港口炼糖、国内食糖销售及贸易、食糖仓储及物流、番茄加工；中粮糖业食糖业务在国内外建立了完善的产业布局，全产业链增值能力位于行业前列。</w:t>
      </w:r>
    </w:p>
    <w:p>
      <w:pPr>
        <w:pStyle w:val="12"/>
        <w:shd w:val="clear" w:color="auto" w:fill="FFFFFF"/>
        <w:spacing w:before="0" w:beforeAutospacing="0" w:after="0" w:afterAutospacing="0" w:line="360" w:lineRule="atLeast"/>
        <w:ind w:firstLine="420"/>
        <w:textAlignment w:val="baseline"/>
        <w:rPr>
          <w:rFonts w:ascii="仿宋GB2312" w:hAnsi="仿宋GB2312" w:eastAsia="仿宋GB2312" w:cs="仿宋GB2312"/>
          <w:color w:val="000000"/>
          <w:kern w:val="2"/>
          <w:sz w:val="28"/>
          <w:szCs w:val="28"/>
        </w:rPr>
      </w:pPr>
      <w:r>
        <w:rPr>
          <w:rFonts w:hint="eastAsia" w:ascii="仿宋GB2312" w:hAnsi="仿宋GB2312" w:eastAsia="仿宋GB2312" w:cs="仿宋GB2312"/>
          <w:color w:val="000000"/>
          <w:kern w:val="2"/>
          <w:sz w:val="28"/>
          <w:szCs w:val="28"/>
        </w:rPr>
        <w:t>中粮屯河番茄有限公司（简称中粮番茄）是中粮集团旗下国内A股上市公司中粮屯河糖业股份有限公司所属企业，主营业务是番茄及其他果蔬产品加工。可年产大包装番茄酱30万吨，番茄粉4500吨，番茄油树脂10吨，辣椒酱15000吨，浓缩杏浆3500吨，直罐小包装番茄酱和丁果产品2.5万吨。</w:t>
      </w:r>
    </w:p>
    <w:p>
      <w:pPr>
        <w:pStyle w:val="12"/>
        <w:shd w:val="clear" w:color="auto" w:fill="FFFFFF"/>
        <w:spacing w:before="0" w:beforeAutospacing="0" w:after="0" w:afterAutospacing="0" w:line="360" w:lineRule="atLeast"/>
        <w:ind w:firstLine="420"/>
        <w:textAlignment w:val="baseline"/>
        <w:rPr>
          <w:rFonts w:ascii="仿宋GB2312" w:hAnsi="仿宋GB2312" w:eastAsia="仿宋GB2312" w:cs="仿宋GB2312"/>
          <w:color w:val="000000"/>
          <w:sz w:val="32"/>
          <w:szCs w:val="32"/>
        </w:rPr>
      </w:pPr>
      <w:r>
        <w:rPr>
          <w:rFonts w:hint="eastAsia" w:ascii="仿宋GB2312" w:hAnsi="仿宋GB2312" w:eastAsia="仿宋GB2312" w:cs="仿宋GB2312"/>
          <w:color w:val="000000"/>
          <w:kern w:val="2"/>
          <w:sz w:val="28"/>
          <w:szCs w:val="28"/>
        </w:rPr>
        <w:t>公司产品主要出口日韩、东南亚、欧洲、中东、独联体、非洲等80多个国家，与国际知名企业形成战略合作伙伴关系，作为长期稳定供应商的同时，在番茄产品研发、种植技术、培训交流等多方面保持合作。中粮番茄率先引进国外先进的番茄种植、采收设备，建立机械化种植采收、拉运体系，保证番茄原料质量高、成本稳定、供应均衡和食品安全。</w:t>
      </w:r>
    </w:p>
    <w:p>
      <w:pPr>
        <w:pStyle w:val="4"/>
        <w:keepNext w:val="0"/>
        <w:keepLines w:val="0"/>
        <w:numPr>
          <w:ilvl w:val="0"/>
          <w:numId w:val="0"/>
        </w:numPr>
        <w:spacing w:before="0" w:after="0" w:line="360" w:lineRule="auto"/>
        <w:ind w:left="147" w:right="97" w:rightChars="46"/>
        <w:contextualSpacing/>
        <w:jc w:val="left"/>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2.采购条件</w:t>
      </w:r>
    </w:p>
    <w:p>
      <w:pPr>
        <w:spacing w:line="360" w:lineRule="auto"/>
        <w:jc w:val="left"/>
        <w:rPr>
          <w:rFonts w:ascii="仿宋GB2312" w:hAnsi="仿宋GB2312" w:eastAsia="仿宋GB2312" w:cs="仿宋GB2312"/>
          <w:sz w:val="28"/>
          <w:szCs w:val="28"/>
          <w:u w:val="single" w:color="FFFFFF"/>
        </w:rPr>
      </w:pPr>
      <w:r>
        <w:rPr>
          <w:rFonts w:hint="eastAsia" w:ascii="仿宋GB2312" w:hAnsi="仿宋GB2312" w:eastAsia="仿宋GB2312" w:cs="仿宋GB2312"/>
          <w:color w:val="000000"/>
          <w:sz w:val="28"/>
          <w:szCs w:val="28"/>
        </w:rPr>
        <w:t>本采购项目为中粮屯河番茄有限公司</w:t>
      </w:r>
      <w:r>
        <w:rPr>
          <w:rFonts w:hint="eastAsia" w:ascii="仿宋GB2312" w:hAnsi="仿宋GB2312" w:eastAsia="仿宋GB2312" w:cs="仿宋GB2312"/>
          <w:sz w:val="28"/>
          <w:szCs w:val="28"/>
        </w:rPr>
        <w:t>2023-2024年度小包装产品天津港口仓储、装箱集港（外提箱操作模式）业务询比采购，采购人为中粮屯河番茄有限公司</w:t>
      </w:r>
      <w:bookmarkStart w:id="0" w:name="_Toc6994"/>
      <w:r>
        <w:rPr>
          <w:rFonts w:hint="eastAsia" w:ascii="仿宋GB2312" w:hAnsi="仿宋GB2312" w:eastAsia="仿宋GB2312" w:cs="仿宋GB2312"/>
          <w:sz w:val="28"/>
          <w:szCs w:val="28"/>
        </w:rPr>
        <w:t>，采购范围：天津区域。</w:t>
      </w:r>
    </w:p>
    <w:p>
      <w:pPr>
        <w:spacing w:line="360" w:lineRule="auto"/>
        <w:jc w:val="left"/>
        <w:rPr>
          <w:rFonts w:ascii="仿宋GB2312" w:hAnsi="仿宋GB2312" w:eastAsia="仿宋GB2312" w:cs="仿宋GB2312"/>
          <w:b/>
          <w:sz w:val="28"/>
          <w:szCs w:val="28"/>
        </w:rPr>
      </w:pPr>
      <w:r>
        <w:rPr>
          <w:rFonts w:hint="eastAsia" w:ascii="仿宋GB2312" w:hAnsi="仿宋GB2312" w:eastAsia="仿宋GB2312" w:cs="仿宋GB2312"/>
          <w:b/>
          <w:sz w:val="28"/>
          <w:szCs w:val="28"/>
        </w:rPr>
        <w:t xml:space="preserve">   3.项目名称：中粮屯河番茄有限公司</w:t>
      </w:r>
      <w:r>
        <w:rPr>
          <w:rFonts w:hint="eastAsia" w:ascii="仿宋GB2312" w:hAnsi="仿宋GB2312" w:eastAsia="仿宋GB2312" w:cs="仿宋GB2312"/>
          <w:sz w:val="28"/>
          <w:szCs w:val="28"/>
        </w:rPr>
        <w:t>2023-2024年度小包装产品天津港口仓储、装箱集港（外提箱操作模式）业务询比采购。</w:t>
      </w:r>
    </w:p>
    <w:bookmarkEnd w:id="0"/>
    <w:p>
      <w:pPr>
        <w:autoSpaceDE w:val="0"/>
        <w:autoSpaceDN w:val="0"/>
        <w:spacing w:line="360" w:lineRule="auto"/>
        <w:ind w:firstLine="562" w:firstLineChars="200"/>
        <w:rPr>
          <w:rFonts w:ascii="仿宋GB2312" w:hAnsi="仿宋GB2312" w:eastAsia="仿宋GB2312" w:cs="仿宋GB2312"/>
          <w:color w:val="FF0000"/>
          <w:sz w:val="28"/>
          <w:szCs w:val="28"/>
          <w:lang w:bidi="zh-CN"/>
        </w:rPr>
      </w:pPr>
      <w:r>
        <w:rPr>
          <w:rFonts w:hint="eastAsia" w:ascii="仿宋GB2312" w:hAnsi="仿宋GB2312" w:eastAsia="仿宋GB2312" w:cs="仿宋GB2312"/>
          <w:b/>
          <w:color w:val="000000"/>
          <w:sz w:val="28"/>
          <w:szCs w:val="28"/>
        </w:rPr>
        <w:t>4</w:t>
      </w:r>
      <w:r>
        <w:rPr>
          <w:rFonts w:hint="eastAsia" w:ascii="仿宋GB2312" w:hAnsi="仿宋GB2312" w:eastAsia="仿宋GB2312" w:cs="仿宋GB2312"/>
          <w:bCs/>
          <w:color w:val="000000"/>
          <w:sz w:val="28"/>
          <w:szCs w:val="28"/>
        </w:rPr>
        <w:t>.</w:t>
      </w:r>
      <w:r>
        <w:rPr>
          <w:rFonts w:hint="eastAsia" w:ascii="仿宋GB2312" w:hAnsi="仿宋GB2312" w:eastAsia="仿宋GB2312" w:cs="仿宋GB2312"/>
          <w:b/>
          <w:color w:val="000000"/>
          <w:sz w:val="28"/>
          <w:szCs w:val="28"/>
          <w:lang w:bidi="zh-CN"/>
        </w:rPr>
        <w:t>项目运行有效期：</w:t>
      </w:r>
      <w:r>
        <w:rPr>
          <w:rFonts w:hint="eastAsia" w:ascii="仿宋GB2312" w:hAnsi="仿宋GB2312" w:eastAsia="仿宋GB2312" w:cs="仿宋GB2312"/>
          <w:color w:val="000000"/>
          <w:sz w:val="28"/>
          <w:szCs w:val="28"/>
          <w:highlight w:val="yellow"/>
          <w:lang w:bidi="zh-CN"/>
        </w:rPr>
        <w:t>2023年8月1日至2024年07月31日</w:t>
      </w:r>
      <w:r>
        <w:rPr>
          <w:rFonts w:hint="eastAsia" w:ascii="仿宋GB2312" w:hAnsi="仿宋GB2312" w:eastAsia="仿宋GB2312" w:cs="仿宋GB2312"/>
          <w:color w:val="FF0000"/>
          <w:sz w:val="28"/>
          <w:szCs w:val="28"/>
          <w:highlight w:val="yellow"/>
          <w:lang w:bidi="zh-CN"/>
        </w:rPr>
        <w:t xml:space="preserve"> </w:t>
      </w:r>
    </w:p>
    <w:p>
      <w:pPr>
        <w:autoSpaceDE w:val="0"/>
        <w:autoSpaceDN w:val="0"/>
        <w:spacing w:line="360" w:lineRule="auto"/>
        <w:ind w:left="-31" w:leftChars="-15" w:firstLine="566"/>
        <w:rPr>
          <w:rFonts w:ascii="仿宋GB2312" w:hAnsi="仿宋GB2312" w:eastAsia="仿宋GB2312" w:cs="仿宋GB2312"/>
          <w:sz w:val="28"/>
          <w:szCs w:val="28"/>
          <w:lang w:bidi="zh-CN"/>
        </w:rPr>
      </w:pPr>
      <w:r>
        <w:rPr>
          <w:rFonts w:hint="eastAsia" w:ascii="仿宋GB2312" w:hAnsi="仿宋GB2312" w:eastAsia="仿宋GB2312" w:cs="仿宋GB2312"/>
          <w:b/>
          <w:color w:val="000000"/>
          <w:sz w:val="28"/>
          <w:szCs w:val="28"/>
        </w:rPr>
        <w:t>5.</w:t>
      </w:r>
      <w:r>
        <w:rPr>
          <w:rFonts w:hint="eastAsia" w:ascii="仿宋GB2312" w:hAnsi="仿宋GB2312" w:eastAsia="仿宋GB2312" w:cs="仿宋GB2312"/>
          <w:b/>
          <w:sz w:val="28"/>
          <w:szCs w:val="28"/>
          <w:lang w:bidi="zh-CN"/>
        </w:rPr>
        <w:t>采购方式：</w:t>
      </w:r>
      <w:r>
        <w:rPr>
          <w:rFonts w:hint="eastAsia" w:ascii="仿宋GB2312" w:hAnsi="仿宋GB2312" w:eastAsia="仿宋GB2312" w:cs="仿宋GB2312"/>
          <w:iCs/>
          <w:sz w:val="28"/>
          <w:szCs w:val="28"/>
        </w:rPr>
        <w:t>询比采购</w:t>
      </w:r>
    </w:p>
    <w:p>
      <w:pPr>
        <w:pStyle w:val="4"/>
        <w:numPr>
          <w:ilvl w:val="0"/>
          <w:numId w:val="0"/>
        </w:numPr>
        <w:spacing w:line="360" w:lineRule="auto"/>
        <w:ind w:left="-31" w:leftChars="-15" w:firstLine="562" w:firstLineChars="200"/>
        <w:contextualSpacing/>
        <w:rPr>
          <w:rFonts w:ascii="仿宋GB2312" w:hAnsi="仿宋GB2312" w:eastAsia="仿宋GB2312" w:cs="仿宋GB2312"/>
          <w:color w:val="000000"/>
          <w:sz w:val="28"/>
          <w:szCs w:val="28"/>
        </w:rPr>
      </w:pPr>
      <w:bookmarkStart w:id="1" w:name="_Toc31709"/>
      <w:r>
        <w:rPr>
          <w:rFonts w:hint="eastAsia" w:ascii="仿宋GB2312" w:hAnsi="仿宋GB2312" w:eastAsia="仿宋GB2312" w:cs="仿宋GB2312"/>
          <w:color w:val="000000"/>
          <w:sz w:val="28"/>
          <w:szCs w:val="28"/>
        </w:rPr>
        <w:t>6. 供应商资格要求：</w:t>
      </w:r>
      <w:bookmarkEnd w:id="1"/>
    </w:p>
    <w:p>
      <w:pPr>
        <w:pStyle w:val="31"/>
        <w:spacing w:line="360" w:lineRule="auto"/>
        <w:ind w:left="-31" w:leftChars="-15" w:firstLine="566"/>
        <w:rPr>
          <w:rFonts w:ascii="仿宋GB2312" w:hAnsi="仿宋GB2312" w:eastAsia="仿宋GB2312" w:cs="仿宋GB2312"/>
          <w:sz w:val="28"/>
          <w:szCs w:val="28"/>
        </w:rPr>
      </w:pPr>
      <w:r>
        <w:rPr>
          <w:rFonts w:hint="eastAsia" w:ascii="仿宋GB2312" w:hAnsi="仿宋GB2312" w:eastAsia="仿宋GB2312" w:cs="仿宋GB2312"/>
          <w:sz w:val="28"/>
          <w:szCs w:val="28"/>
        </w:rPr>
        <w:t>6.1供应商须为在中华人民共和国境内依法注册的</w:t>
      </w:r>
      <w:r>
        <w:rPr>
          <w:rFonts w:hint="eastAsia" w:ascii="仿宋GB2312" w:hAnsi="仿宋GB2312" w:eastAsia="仿宋GB2312" w:cs="仿宋GB2312"/>
          <w:color w:val="000000"/>
          <w:sz w:val="28"/>
          <w:szCs w:val="28"/>
        </w:rPr>
        <w:t>独立法人</w:t>
      </w:r>
      <w:r>
        <w:rPr>
          <w:rFonts w:hint="eastAsia" w:ascii="仿宋GB2312" w:hAnsi="仿宋GB2312" w:eastAsia="仿宋GB2312" w:cs="仿宋GB2312"/>
          <w:sz w:val="28"/>
          <w:szCs w:val="28"/>
        </w:rPr>
        <w:t>企业或其他组织。</w:t>
      </w:r>
    </w:p>
    <w:p>
      <w:pPr>
        <w:spacing w:line="360" w:lineRule="auto"/>
        <w:ind w:left="-31" w:leftChars="-15" w:firstLine="566"/>
        <w:contextualSpacing/>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6.2信誉要求：近三年无因申请人违约或不恰当履约引起的合同终止、纠纷、争议、仲裁和公诉纪录，未列入失信被执行人、重大税收违法案件当事人名单；</w:t>
      </w:r>
    </w:p>
    <w:p>
      <w:pPr>
        <w:spacing w:line="360" w:lineRule="auto"/>
        <w:ind w:left="-31" w:leftChars="-15" w:firstLine="566"/>
        <w:contextualSpacing/>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6.3供应商须提供国家企业信用信息公示系统行政处罚信息、列入经营异常名录信息、列入严重违法失信企业名单（黑名单）信息截图（查询网址：</w:t>
      </w:r>
      <w:r>
        <w:fldChar w:fldCharType="begin"/>
      </w:r>
      <w:r>
        <w:instrText xml:space="preserve"> HYPERLINK "http://www.gsxt.gov.cn/index.html" </w:instrText>
      </w:r>
      <w:r>
        <w:fldChar w:fldCharType="separate"/>
      </w:r>
      <w:r>
        <w:rPr>
          <w:rFonts w:hint="eastAsia" w:ascii="仿宋GB2312" w:hAnsi="仿宋GB2312" w:eastAsia="仿宋GB2312" w:cs="仿宋GB2312"/>
          <w:color w:val="000000"/>
          <w:sz w:val="28"/>
          <w:szCs w:val="28"/>
        </w:rPr>
        <w:t>http://www.gsxt.gov.cn/index.html</w:t>
      </w:r>
      <w:r>
        <w:rPr>
          <w:rFonts w:hint="eastAsia" w:ascii="仿宋GB2312" w:hAnsi="仿宋GB2312" w:eastAsia="仿宋GB2312" w:cs="仿宋GB2312"/>
          <w:color w:val="000000"/>
          <w:sz w:val="28"/>
          <w:szCs w:val="28"/>
        </w:rPr>
        <w:fldChar w:fldCharType="end"/>
      </w:r>
      <w:r>
        <w:rPr>
          <w:rFonts w:hint="eastAsia" w:ascii="仿宋GB2312" w:hAnsi="仿宋GB2312" w:eastAsia="仿宋GB2312" w:cs="仿宋GB2312"/>
          <w:color w:val="000000"/>
          <w:sz w:val="28"/>
          <w:szCs w:val="28"/>
        </w:rPr>
        <w:t>）；</w:t>
      </w:r>
    </w:p>
    <w:p>
      <w:pPr>
        <w:spacing w:line="360" w:lineRule="auto"/>
        <w:ind w:left="-31" w:leftChars="-15" w:firstLine="566"/>
        <w:rPr>
          <w:rFonts w:ascii="仿宋GB2312" w:hAnsi="仿宋GB2312" w:eastAsia="仿宋GB2312" w:cs="仿宋GB2312"/>
          <w:sz w:val="28"/>
          <w:szCs w:val="28"/>
        </w:rPr>
      </w:pPr>
      <w:r>
        <w:rPr>
          <w:rFonts w:hint="eastAsia" w:ascii="仿宋GB2312" w:hAnsi="仿宋GB2312" w:eastAsia="仿宋GB2312" w:cs="仿宋GB2312"/>
          <w:sz w:val="28"/>
          <w:szCs w:val="28"/>
        </w:rPr>
        <w:t>6.4 本次采购不接受联合体报价。</w:t>
      </w:r>
    </w:p>
    <w:p>
      <w:pPr>
        <w:spacing w:line="360" w:lineRule="auto"/>
        <w:ind w:left="-31" w:leftChars="-15" w:firstLine="566"/>
        <w:rPr>
          <w:rFonts w:ascii="仿宋GB2312" w:hAnsi="仿宋GB2312" w:eastAsia="仿宋GB2312" w:cs="仿宋GB2312"/>
          <w:color w:val="000000"/>
          <w:sz w:val="28"/>
          <w:szCs w:val="28"/>
        </w:rPr>
      </w:pPr>
      <w:r>
        <w:rPr>
          <w:rFonts w:hint="eastAsia" w:ascii="仿宋GB2312" w:hAnsi="仿宋GB2312" w:eastAsia="仿宋GB2312" w:cs="仿宋GB2312"/>
          <w:sz w:val="28"/>
          <w:szCs w:val="28"/>
        </w:rPr>
        <w:t>6.5</w:t>
      </w:r>
      <w:r>
        <w:rPr>
          <w:rFonts w:hint="eastAsia" w:ascii="仿宋GB2312" w:hAnsi="仿宋GB2312" w:eastAsia="仿宋GB2312" w:cs="仿宋GB2312"/>
          <w:color w:val="000000"/>
          <w:sz w:val="28"/>
          <w:szCs w:val="28"/>
        </w:rPr>
        <w:t>其他说明：（1）与物流服务采购人存在利害关系可能影响物流服务采购公正性的法人、其他组织或者个人，不得参加报价；（2）单位负责人为同一人或者存在控股、管理关系的不同单位，不得参加同一标段报价或者未划分标段的同一物流服务采购项目报价。违反前两款规定的，相关报价均无效；</w:t>
      </w:r>
    </w:p>
    <w:p>
      <w:pPr>
        <w:pStyle w:val="4"/>
        <w:numPr>
          <w:ilvl w:val="0"/>
          <w:numId w:val="0"/>
        </w:numPr>
        <w:spacing w:line="360" w:lineRule="auto"/>
        <w:ind w:left="-31" w:leftChars="-15" w:firstLine="562" w:firstLineChars="200"/>
        <w:contextualSpacing/>
        <w:rPr>
          <w:rFonts w:ascii="仿宋GB2312" w:hAnsi="仿宋GB2312" w:eastAsia="仿宋GB2312" w:cs="仿宋GB2312"/>
          <w:color w:val="000000"/>
          <w:sz w:val="28"/>
          <w:szCs w:val="28"/>
        </w:rPr>
      </w:pPr>
      <w:bookmarkStart w:id="2" w:name="_Toc32567"/>
      <w:r>
        <w:rPr>
          <w:rFonts w:hint="eastAsia" w:ascii="仿宋GB2312" w:hAnsi="仿宋GB2312" w:eastAsia="仿宋GB2312" w:cs="仿宋GB2312"/>
          <w:color w:val="000000"/>
          <w:sz w:val="28"/>
          <w:szCs w:val="28"/>
        </w:rPr>
        <w:t>7. 采购文件的获取</w:t>
      </w:r>
      <w:bookmarkEnd w:id="2"/>
      <w:r>
        <w:rPr>
          <w:rFonts w:hint="eastAsia" w:ascii="仿宋GB2312" w:hAnsi="仿宋GB2312" w:eastAsia="仿宋GB2312" w:cs="仿宋GB2312"/>
          <w:color w:val="000000"/>
          <w:sz w:val="28"/>
          <w:szCs w:val="28"/>
        </w:rPr>
        <w:t>及递交</w:t>
      </w:r>
    </w:p>
    <w:p>
      <w:pPr>
        <w:spacing w:line="360" w:lineRule="auto"/>
        <w:ind w:left="-31" w:leftChars="-15" w:firstLine="566"/>
        <w:contextualSpacing/>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7.1供应商需在</w:t>
      </w:r>
      <w:r>
        <w:rPr>
          <w:rFonts w:hint="eastAsia" w:ascii="仿宋GB2312" w:hAnsi="仿宋GB2312" w:eastAsia="仿宋GB2312" w:cs="仿宋GB2312"/>
          <w:color w:val="000000"/>
          <w:sz w:val="28"/>
          <w:szCs w:val="28"/>
          <w:highlight w:val="yellow"/>
        </w:rPr>
        <w:t>2023年5月26日9：00</w:t>
      </w:r>
      <w:r>
        <w:rPr>
          <w:rFonts w:hint="eastAsia" w:ascii="仿宋GB2312" w:hAnsi="仿宋GB2312" w:eastAsia="仿宋GB2312" w:cs="仿宋GB2312"/>
          <w:color w:val="000000"/>
          <w:sz w:val="28"/>
          <w:szCs w:val="28"/>
        </w:rPr>
        <w:t>前在中粮糖业EPS采购平台（网址：</w:t>
      </w:r>
      <w:r>
        <w:fldChar w:fldCharType="begin"/>
      </w:r>
      <w:r>
        <w:instrText xml:space="preserve"> HYPERLINK "http://eps.tunhe.com" </w:instrText>
      </w:r>
      <w:r>
        <w:fldChar w:fldCharType="separate"/>
      </w:r>
      <w:r>
        <w:rPr>
          <w:rStyle w:val="17"/>
          <w:rFonts w:hint="eastAsia" w:ascii="仿宋GB2312" w:hAnsi="仿宋GB2312" w:eastAsia="仿宋GB2312" w:cs="仿宋GB2312"/>
          <w:color w:val="auto"/>
          <w:sz w:val="28"/>
          <w:szCs w:val="28"/>
          <w:highlight w:val="yellow"/>
        </w:rPr>
        <w:t>http://eps.tunhe.com</w:t>
      </w:r>
      <w:r>
        <w:rPr>
          <w:rStyle w:val="17"/>
          <w:rFonts w:hint="eastAsia" w:ascii="仿宋GB2312" w:hAnsi="仿宋GB2312" w:eastAsia="仿宋GB2312" w:cs="仿宋GB2312"/>
          <w:color w:val="auto"/>
          <w:sz w:val="28"/>
          <w:szCs w:val="28"/>
          <w:highlight w:val="yellow"/>
        </w:rPr>
        <w:fldChar w:fldCharType="end"/>
      </w:r>
      <w:r>
        <w:rPr>
          <w:rFonts w:hint="eastAsia" w:ascii="仿宋GB2312" w:hAnsi="仿宋GB2312" w:eastAsia="仿宋GB2312" w:cs="仿宋GB2312"/>
          <w:color w:val="000000"/>
          <w:sz w:val="28"/>
          <w:szCs w:val="28"/>
        </w:rPr>
        <w:t>）完成注册；</w:t>
      </w:r>
      <w:r>
        <w:rPr>
          <w:rFonts w:hint="eastAsia" w:ascii="仿宋GB2312" w:hAnsi="仿宋GB2312" w:eastAsia="仿宋GB2312" w:cs="仿宋GB2312"/>
          <w:color w:val="000000"/>
          <w:sz w:val="28"/>
          <w:szCs w:val="28"/>
          <w:highlight w:val="yellow"/>
          <w:lang w:val="en-US" w:eastAsia="zh-CN"/>
        </w:rPr>
        <w:t>2023年6月2日13点</w:t>
      </w:r>
      <w:r>
        <w:rPr>
          <w:rFonts w:hint="eastAsia" w:ascii="仿宋GB2312" w:hAnsi="仿宋GB2312" w:eastAsia="仿宋GB2312" w:cs="仿宋GB2312"/>
          <w:color w:val="000000"/>
          <w:sz w:val="28"/>
          <w:szCs w:val="28"/>
          <w:lang w:val="en-US" w:eastAsia="zh-CN"/>
        </w:rPr>
        <w:t>前完成系统报名；采</w:t>
      </w:r>
      <w:bookmarkStart w:id="18" w:name="_GoBack"/>
      <w:bookmarkEnd w:id="18"/>
      <w:r>
        <w:rPr>
          <w:rFonts w:hint="eastAsia" w:ascii="仿宋GB2312" w:hAnsi="仿宋GB2312" w:eastAsia="仿宋GB2312" w:cs="仿宋GB2312"/>
          <w:color w:val="000000"/>
          <w:sz w:val="28"/>
          <w:szCs w:val="28"/>
        </w:rPr>
        <w:t>采购人组织资格审查合格后，供应商</w:t>
      </w:r>
      <w:r>
        <w:rPr>
          <w:rFonts w:hint="eastAsia" w:ascii="仿宋GB2312" w:hAnsi="仿宋GB2312" w:eastAsia="仿宋GB2312" w:cs="仿宋GB2312"/>
          <w:color w:val="000000"/>
          <w:sz w:val="28"/>
          <w:szCs w:val="28"/>
          <w:highlight w:val="yellow"/>
        </w:rPr>
        <w:t>2023年6月</w:t>
      </w:r>
      <w:r>
        <w:rPr>
          <w:rFonts w:ascii="仿宋GB2312" w:hAnsi="仿宋GB2312" w:eastAsia="仿宋GB2312" w:cs="仿宋GB2312"/>
          <w:color w:val="000000"/>
          <w:sz w:val="28"/>
          <w:szCs w:val="28"/>
          <w:highlight w:val="yellow"/>
        </w:rPr>
        <w:t>5</w:t>
      </w:r>
      <w:r>
        <w:rPr>
          <w:rFonts w:hint="eastAsia" w:ascii="仿宋GB2312" w:hAnsi="仿宋GB2312" w:eastAsia="仿宋GB2312" w:cs="仿宋GB2312"/>
          <w:color w:val="000000"/>
          <w:sz w:val="28"/>
          <w:szCs w:val="28"/>
          <w:highlight w:val="yellow"/>
        </w:rPr>
        <w:t>日</w:t>
      </w:r>
      <w:r>
        <w:rPr>
          <w:rFonts w:hint="eastAsia" w:ascii="仿宋GB2312" w:hAnsi="仿宋GB2312" w:eastAsia="仿宋GB2312" w:cs="仿宋GB2312"/>
          <w:color w:val="000000"/>
          <w:sz w:val="28"/>
          <w:szCs w:val="28"/>
        </w:rPr>
        <w:t>通过EPS采购平台获取采购文件；</w:t>
      </w:r>
      <w:r>
        <w:rPr>
          <w:rFonts w:hint="eastAsia" w:ascii="仿宋GB2312" w:hAnsi="仿宋GB2312" w:eastAsia="仿宋GB2312" w:cs="仿宋GB2312"/>
          <w:color w:val="000000"/>
          <w:sz w:val="28"/>
          <w:szCs w:val="28"/>
          <w:highlight w:val="yellow"/>
        </w:rPr>
        <w:t>2023年6月12日9点前</w:t>
      </w:r>
      <w:r>
        <w:rPr>
          <w:rFonts w:hint="eastAsia" w:ascii="仿宋GB2312" w:hAnsi="仿宋GB2312" w:eastAsia="仿宋GB2312" w:cs="仿宋GB2312"/>
          <w:color w:val="000000"/>
          <w:sz w:val="28"/>
          <w:szCs w:val="28"/>
        </w:rPr>
        <w:t>在中粮糖业EPS采购平台上按采购文件说明条款提供相关资料并提交第一轮报价(过期无效)。</w:t>
      </w:r>
    </w:p>
    <w:p>
      <w:pPr>
        <w:spacing w:line="360" w:lineRule="auto"/>
        <w:ind w:left="-31" w:leftChars="-15" w:firstLine="566"/>
        <w:contextualSpacing/>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7.2 采购人在报名阶段组织的资格审查，不免除供应商在报价阶段以及合同执行阶段，发现供应商资格不符合而终止供应商资格或者终止合同。</w:t>
      </w:r>
    </w:p>
    <w:p>
      <w:pPr>
        <w:spacing w:line="360" w:lineRule="auto"/>
        <w:ind w:left="-31" w:leftChars="-15" w:firstLine="566"/>
        <w:contextualSpacing/>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7.3 询比采购计划进行</w:t>
      </w:r>
      <w:r>
        <w:rPr>
          <w:rFonts w:hint="eastAsia" w:ascii="仿宋GB2312" w:hAnsi="仿宋GB2312" w:eastAsia="仿宋GB2312" w:cs="仿宋GB2312"/>
          <w:sz w:val="28"/>
          <w:szCs w:val="28"/>
        </w:rPr>
        <w:t>多轮</w:t>
      </w:r>
      <w:r>
        <w:rPr>
          <w:rFonts w:hint="eastAsia" w:ascii="仿宋GB2312" w:hAnsi="仿宋GB2312" w:eastAsia="仿宋GB2312" w:cs="仿宋GB2312"/>
          <w:color w:val="000000"/>
          <w:sz w:val="28"/>
          <w:szCs w:val="28"/>
        </w:rPr>
        <w:t>报价。</w:t>
      </w:r>
    </w:p>
    <w:p>
      <w:pPr>
        <w:pStyle w:val="4"/>
        <w:numPr>
          <w:ilvl w:val="0"/>
          <w:numId w:val="0"/>
        </w:numPr>
        <w:spacing w:line="360" w:lineRule="auto"/>
        <w:ind w:left="-31" w:leftChars="-15" w:firstLine="562" w:firstLineChars="200"/>
        <w:contextualSpacing/>
        <w:rPr>
          <w:rFonts w:ascii="仿宋GB2312" w:hAnsi="仿宋GB2312" w:eastAsia="仿宋GB2312" w:cs="仿宋GB2312"/>
          <w:color w:val="000000"/>
          <w:sz w:val="28"/>
          <w:szCs w:val="28"/>
        </w:rPr>
      </w:pPr>
      <w:bookmarkStart w:id="3" w:name="_Toc21651"/>
      <w:r>
        <w:rPr>
          <w:rFonts w:hint="eastAsia" w:ascii="仿宋GB2312" w:hAnsi="仿宋GB2312" w:eastAsia="仿宋GB2312" w:cs="仿宋GB2312"/>
          <w:color w:val="000000"/>
          <w:sz w:val="28"/>
          <w:szCs w:val="28"/>
        </w:rPr>
        <w:t>8. 发布公告的媒介</w:t>
      </w:r>
      <w:bookmarkEnd w:id="3"/>
    </w:p>
    <w:p>
      <w:pPr>
        <w:spacing w:line="360" w:lineRule="auto"/>
        <w:ind w:left="-31" w:leftChars="-15" w:firstLine="490" w:firstLineChars="175"/>
        <w:contextualSpacing/>
        <w:rPr>
          <w:rFonts w:ascii="仿宋GB2312" w:hAnsi="仿宋GB2312" w:eastAsia="仿宋GB2312" w:cs="仿宋GB2312"/>
          <w:color w:val="000000"/>
          <w:sz w:val="28"/>
          <w:szCs w:val="28"/>
        </w:rPr>
      </w:pPr>
      <w:bookmarkStart w:id="4" w:name="_Toc43732955"/>
      <w:r>
        <w:rPr>
          <w:rFonts w:hint="eastAsia" w:ascii="仿宋GB2312" w:hAnsi="仿宋GB2312" w:eastAsia="仿宋GB2312" w:cs="仿宋GB2312"/>
          <w:color w:val="000000"/>
          <w:sz w:val="28"/>
          <w:szCs w:val="28"/>
        </w:rPr>
        <w:t>本次</w:t>
      </w:r>
      <w:bookmarkEnd w:id="4"/>
      <w:bookmarkStart w:id="5" w:name="_Toc32404"/>
      <w:bookmarkStart w:id="6" w:name="_Toc26629"/>
      <w:bookmarkStart w:id="7" w:name="_Toc27851"/>
      <w:bookmarkStart w:id="8" w:name="_Toc18249"/>
      <w:bookmarkStart w:id="9" w:name="_Toc9870"/>
      <w:bookmarkStart w:id="10" w:name="_Toc13094"/>
      <w:bookmarkStart w:id="11" w:name="_Toc25027"/>
      <w:bookmarkStart w:id="12" w:name="_Toc25787"/>
      <w:bookmarkStart w:id="13" w:name="_Toc30288"/>
      <w:bookmarkStart w:id="14" w:name="_Toc5837"/>
      <w:bookmarkStart w:id="15" w:name="_Toc12326"/>
      <w:bookmarkStart w:id="16" w:name="_Toc17966"/>
      <w:bookmarkStart w:id="17" w:name="_Toc1597"/>
      <w:r>
        <w:rPr>
          <w:rFonts w:hint="eastAsia" w:ascii="仿宋GB2312" w:hAnsi="仿宋GB2312" w:eastAsia="仿宋GB2312" w:cs="仿宋GB2312"/>
          <w:color w:val="000000"/>
          <w:sz w:val="28"/>
          <w:szCs w:val="28"/>
        </w:rPr>
        <w:t>谈判在中粮糖业公司电子采购管理平台（简称EPS平台）公开发布。（网址：</w:t>
      </w:r>
      <w:r>
        <w:fldChar w:fldCharType="begin"/>
      </w:r>
      <w:r>
        <w:instrText xml:space="preserve"> HYPERLINK "http://eps.tunhe.com" </w:instrText>
      </w:r>
      <w:r>
        <w:fldChar w:fldCharType="separate"/>
      </w:r>
      <w:r>
        <w:rPr>
          <w:rStyle w:val="17"/>
          <w:rFonts w:hint="eastAsia" w:ascii="仿宋GB2312" w:hAnsi="仿宋GB2312" w:eastAsia="仿宋GB2312" w:cs="仿宋GB2312"/>
          <w:color w:val="auto"/>
          <w:sz w:val="28"/>
          <w:szCs w:val="28"/>
          <w:highlight w:val="yellow"/>
        </w:rPr>
        <w:t>http://eps.tunhe.com</w:t>
      </w:r>
      <w:r>
        <w:rPr>
          <w:rStyle w:val="17"/>
          <w:rFonts w:hint="eastAsia" w:ascii="仿宋GB2312" w:hAnsi="仿宋GB2312" w:eastAsia="仿宋GB2312" w:cs="仿宋GB2312"/>
          <w:color w:val="auto"/>
          <w:sz w:val="28"/>
          <w:szCs w:val="28"/>
          <w:highlight w:val="yellow"/>
        </w:rPr>
        <w:fldChar w:fldCharType="end"/>
      </w:r>
      <w:r>
        <w:rPr>
          <w:rFonts w:hint="eastAsia" w:ascii="仿宋GB2312" w:hAnsi="仿宋GB2312" w:eastAsia="仿宋GB2312" w:cs="仿宋GB2312"/>
          <w:color w:val="000000"/>
          <w:sz w:val="28"/>
          <w:szCs w:val="28"/>
        </w:rPr>
        <w:t>）</w:t>
      </w:r>
    </w:p>
    <w:p>
      <w:pPr>
        <w:spacing w:line="360" w:lineRule="auto"/>
        <w:ind w:left="-31" w:leftChars="-15" w:firstLine="599"/>
        <w:contextualSpacing/>
        <w:rPr>
          <w:rFonts w:ascii="仿宋GB2312" w:hAnsi="仿宋GB2312" w:eastAsia="仿宋GB2312" w:cs="仿宋GB2312"/>
          <w:b/>
          <w:color w:val="000000"/>
          <w:sz w:val="28"/>
          <w:szCs w:val="28"/>
        </w:rPr>
      </w:pPr>
      <w:r>
        <w:rPr>
          <w:rFonts w:hint="eastAsia" w:ascii="仿宋GB2312" w:hAnsi="仿宋GB2312" w:eastAsia="仿宋GB2312" w:cs="仿宋GB2312"/>
          <w:b/>
          <w:color w:val="000000"/>
          <w:sz w:val="28"/>
          <w:szCs w:val="28"/>
        </w:rPr>
        <w:t xml:space="preserve">9. </w:t>
      </w:r>
      <w:bookmarkEnd w:id="5"/>
      <w:bookmarkEnd w:id="6"/>
      <w:bookmarkEnd w:id="7"/>
      <w:bookmarkEnd w:id="8"/>
      <w:bookmarkEnd w:id="9"/>
      <w:bookmarkEnd w:id="10"/>
      <w:bookmarkEnd w:id="11"/>
      <w:bookmarkEnd w:id="12"/>
      <w:bookmarkEnd w:id="13"/>
      <w:bookmarkEnd w:id="14"/>
      <w:bookmarkEnd w:id="15"/>
      <w:bookmarkEnd w:id="16"/>
      <w:bookmarkEnd w:id="17"/>
      <w:r>
        <w:rPr>
          <w:rFonts w:hint="eastAsia" w:ascii="仿宋GB2312" w:hAnsi="仿宋GB2312" w:eastAsia="仿宋GB2312" w:cs="仿宋GB2312"/>
          <w:b/>
          <w:color w:val="000000"/>
          <w:sz w:val="28"/>
          <w:szCs w:val="28"/>
        </w:rPr>
        <w:t>采购人信息</w:t>
      </w:r>
    </w:p>
    <w:p>
      <w:pPr>
        <w:spacing w:line="360" w:lineRule="auto"/>
        <w:ind w:left="-31" w:leftChars="-15" w:firstLine="599"/>
        <w:contextualSpacing/>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采购人名称：中粮屯河番茄有限公司</w:t>
      </w:r>
    </w:p>
    <w:p>
      <w:pPr>
        <w:spacing w:line="360" w:lineRule="auto"/>
        <w:ind w:left="-31" w:leftChars="-15" w:firstLine="599"/>
        <w:contextualSpacing/>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采购人地址：天津滨海新区开发区第二大街泰达MSD-G1-801室</w:t>
      </w:r>
    </w:p>
    <w:p>
      <w:pPr>
        <w:spacing w:line="360" w:lineRule="auto"/>
        <w:ind w:left="-31" w:leftChars="-15" w:firstLine="599"/>
        <w:contextualSpacing/>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highlight w:val="yellow"/>
        </w:rPr>
        <w:t>联系人：杨莹       联系电话：022-662879</w:t>
      </w:r>
      <w:r>
        <w:rPr>
          <w:rFonts w:ascii="仿宋GB2312" w:hAnsi="仿宋GB2312" w:eastAsia="仿宋GB2312" w:cs="仿宋GB2312"/>
          <w:color w:val="000000"/>
          <w:sz w:val="28"/>
          <w:szCs w:val="28"/>
          <w:highlight w:val="yellow"/>
        </w:rPr>
        <w:t>87</w:t>
      </w:r>
    </w:p>
    <w:p>
      <w:pPr>
        <w:spacing w:line="360" w:lineRule="auto"/>
        <w:ind w:left="-31" w:leftChars="-15" w:firstLine="599"/>
        <w:contextualSpacing/>
        <w:rPr>
          <w:rFonts w:ascii="仿宋GB2312" w:hAnsi="仿宋GB2312" w:eastAsia="仿宋GB2312" w:cs="仿宋GB2312"/>
          <w:color w:val="000000"/>
          <w:sz w:val="28"/>
          <w:szCs w:val="28"/>
          <w:highlight w:val="yellow"/>
        </w:rPr>
      </w:pPr>
      <w:r>
        <w:rPr>
          <w:rFonts w:hint="eastAsia" w:ascii="仿宋GB2312" w:hAnsi="仿宋GB2312" w:eastAsia="仿宋GB2312" w:cs="仿宋GB2312"/>
          <w:color w:val="000000"/>
          <w:sz w:val="28"/>
          <w:szCs w:val="28"/>
          <w:highlight w:val="yellow"/>
        </w:rPr>
        <w:t>采购业务监督人员及电话：杨丽娟 022-66287909</w:t>
      </w:r>
    </w:p>
    <w:p>
      <w:pPr>
        <w:spacing w:line="360" w:lineRule="auto"/>
        <w:ind w:left="-31" w:leftChars="-15" w:firstLine="599"/>
        <w:contextualSpacing/>
        <w:rPr>
          <w:rFonts w:ascii="仿宋GB2312" w:hAnsi="仿宋GB2312" w:eastAsia="仿宋GB2312" w:cs="仿宋GB2312"/>
          <w:color w:val="000000"/>
          <w:sz w:val="28"/>
          <w:szCs w:val="28"/>
          <w:highlight w:val="yellow"/>
        </w:rPr>
      </w:pPr>
      <w:r>
        <w:rPr>
          <w:rFonts w:hint="eastAsia" w:ascii="仿宋GB2312" w:hAnsi="仿宋GB2312" w:eastAsia="仿宋GB2312" w:cs="仿宋GB2312"/>
          <w:color w:val="000000"/>
          <w:sz w:val="28"/>
          <w:szCs w:val="28"/>
          <w:highlight w:val="yellow"/>
        </w:rPr>
        <w:t>采购业务监督人员邮箱：yanglj.th@cofco.com</w:t>
      </w:r>
    </w:p>
    <w:p>
      <w:pPr>
        <w:pStyle w:val="7"/>
        <w:spacing w:line="360" w:lineRule="auto"/>
        <w:ind w:left="-31" w:leftChars="-15" w:firstLine="562" w:firstLineChars="200"/>
        <w:rPr>
          <w:rFonts w:hAnsi="宋体" w:cs="宋体"/>
          <w:b/>
          <w:bCs/>
          <w:kern w:val="0"/>
          <w:sz w:val="28"/>
          <w:szCs w:val="28"/>
        </w:rPr>
      </w:pPr>
      <w:r>
        <w:rPr>
          <w:rFonts w:hint="eastAsia" w:hAnsi="宋体" w:cs="宋体"/>
          <w:b/>
          <w:bCs/>
          <w:kern w:val="0"/>
          <w:sz w:val="28"/>
          <w:szCs w:val="28"/>
        </w:rPr>
        <w:t>10.监督部门及电话</w:t>
      </w:r>
    </w:p>
    <w:p>
      <w:pPr>
        <w:spacing w:line="360" w:lineRule="auto"/>
        <w:ind w:left="-31" w:leftChars="-15" w:firstLine="599"/>
        <w:contextualSpacing/>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 xml:space="preserve">公司纪委办公室及电话：010－85017235    </w:t>
      </w:r>
    </w:p>
    <w:p>
      <w:pPr>
        <w:spacing w:line="360" w:lineRule="auto"/>
        <w:ind w:left="-31" w:leftChars="-15" w:firstLine="599"/>
        <w:contextualSpacing/>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通信地址：北京市朝阳区朝阳门南大街8号中粮福临门大厦9层905室，中粮糖业纪委办公室收，邮编：100020。</w:t>
      </w:r>
    </w:p>
    <w:p>
      <w:pPr>
        <w:pStyle w:val="5"/>
        <w:spacing w:line="360" w:lineRule="auto"/>
        <w:jc w:val="center"/>
        <w:rPr>
          <w:rFonts w:ascii="宋体" w:hAnsi="宋体"/>
          <w:b/>
          <w:bCs/>
          <w:color w:val="000000"/>
          <w:sz w:val="28"/>
          <w:szCs w:val="28"/>
        </w:rPr>
      </w:pPr>
    </w:p>
    <w:p>
      <w:pPr>
        <w:pStyle w:val="5"/>
        <w:spacing w:line="360" w:lineRule="auto"/>
        <w:jc w:val="center"/>
        <w:rPr>
          <w:rFonts w:ascii="宋体" w:hAnsi="宋体"/>
          <w:b/>
          <w:bCs/>
          <w:color w:val="000000"/>
          <w:sz w:val="28"/>
          <w:szCs w:val="28"/>
        </w:rPr>
      </w:pPr>
    </w:p>
    <w:p>
      <w:pPr>
        <w:pStyle w:val="5"/>
        <w:spacing w:line="360" w:lineRule="auto"/>
        <w:jc w:val="center"/>
        <w:rPr>
          <w:rFonts w:ascii="宋体" w:hAnsi="宋体"/>
          <w:b/>
          <w:bCs/>
          <w:color w:val="000000"/>
          <w:sz w:val="28"/>
          <w:szCs w:val="28"/>
        </w:rPr>
      </w:pPr>
    </w:p>
    <w:p>
      <w:pPr>
        <w:pStyle w:val="5"/>
        <w:spacing w:line="360" w:lineRule="auto"/>
        <w:jc w:val="center"/>
        <w:rPr>
          <w:rFonts w:ascii="宋体" w:hAnsi="宋体"/>
          <w:b/>
          <w:bCs/>
          <w:color w:val="000000"/>
          <w:sz w:val="28"/>
          <w:szCs w:val="28"/>
        </w:rPr>
      </w:pPr>
    </w:p>
    <w:p>
      <w:pPr>
        <w:pStyle w:val="5"/>
        <w:spacing w:line="360" w:lineRule="auto"/>
        <w:jc w:val="center"/>
        <w:rPr>
          <w:rFonts w:ascii="宋体" w:hAnsi="宋体"/>
          <w:b/>
          <w:bCs/>
          <w:color w:val="000000"/>
          <w:sz w:val="28"/>
          <w:szCs w:val="28"/>
        </w:rPr>
      </w:pPr>
    </w:p>
    <w:p>
      <w:pPr>
        <w:pStyle w:val="5"/>
        <w:spacing w:line="360" w:lineRule="auto"/>
        <w:jc w:val="center"/>
        <w:rPr>
          <w:rFonts w:ascii="宋体" w:hAnsi="宋体"/>
          <w:b/>
          <w:bCs/>
          <w:color w:val="000000"/>
          <w:sz w:val="28"/>
          <w:szCs w:val="28"/>
        </w:rPr>
      </w:pPr>
    </w:p>
    <w:p>
      <w:pPr>
        <w:pStyle w:val="5"/>
        <w:spacing w:line="360" w:lineRule="auto"/>
        <w:jc w:val="center"/>
        <w:rPr>
          <w:rFonts w:ascii="仿宋GB2312" w:hAnsi="仿宋GB2312" w:eastAsia="仿宋GB2312" w:cs="仿宋GB2312"/>
          <w:b/>
          <w:color w:val="000000"/>
          <w:sz w:val="44"/>
          <w:szCs w:val="44"/>
        </w:rPr>
      </w:pPr>
      <w:r>
        <w:rPr>
          <w:rFonts w:hint="eastAsia" w:ascii="仿宋GB2312" w:hAnsi="仿宋GB2312" w:eastAsia="仿宋GB2312" w:cs="仿宋GB2312"/>
          <w:b/>
          <w:color w:val="000000"/>
          <w:sz w:val="44"/>
          <w:szCs w:val="44"/>
        </w:rPr>
        <w:t>第二部分业务采购须知</w:t>
      </w:r>
    </w:p>
    <w:p>
      <w:pPr>
        <w:spacing w:line="360" w:lineRule="auto"/>
        <w:jc w:val="left"/>
        <w:rPr>
          <w:rFonts w:ascii="仿宋GB2312" w:hAnsi="仿宋GB2312" w:eastAsia="仿宋GB2312" w:cs="仿宋GB2312"/>
          <w:b/>
          <w:bCs/>
          <w:color w:val="000000"/>
          <w:sz w:val="28"/>
          <w:szCs w:val="28"/>
        </w:rPr>
      </w:pPr>
      <w:r>
        <w:rPr>
          <w:rFonts w:hint="eastAsia" w:ascii="仿宋GB2312" w:hAnsi="仿宋GB2312" w:eastAsia="仿宋GB2312" w:cs="仿宋GB2312"/>
          <w:b/>
          <w:bCs/>
          <w:color w:val="000000"/>
          <w:sz w:val="28"/>
          <w:szCs w:val="28"/>
        </w:rPr>
        <w:t>1.</w:t>
      </w:r>
      <w:r>
        <w:rPr>
          <w:rFonts w:hint="eastAsia" w:ascii="仿宋GB2312" w:hAnsi="仿宋GB2312" w:eastAsia="仿宋GB2312" w:cs="仿宋GB2312"/>
          <w:sz w:val="28"/>
          <w:szCs w:val="28"/>
        </w:rPr>
        <w:t xml:space="preserve"> </w:t>
      </w:r>
      <w:r>
        <w:rPr>
          <w:rFonts w:hint="eastAsia" w:ascii="仿宋GB2312" w:hAnsi="仿宋GB2312" w:eastAsia="仿宋GB2312" w:cs="仿宋GB2312"/>
          <w:b/>
          <w:color w:val="000000"/>
          <w:sz w:val="28"/>
          <w:szCs w:val="28"/>
        </w:rPr>
        <w:t>2023-2024年度小包装产品天津港口仓储、装箱集港（外提箱操作模式）业务询比采购项目</w:t>
      </w:r>
      <w:r>
        <w:rPr>
          <w:rFonts w:hint="eastAsia" w:ascii="仿宋GB2312" w:hAnsi="仿宋GB2312" w:eastAsia="仿宋GB2312" w:cs="仿宋GB2312"/>
          <w:b/>
          <w:bCs/>
          <w:color w:val="000000"/>
          <w:sz w:val="28"/>
          <w:szCs w:val="28"/>
        </w:rPr>
        <w:t>简介</w:t>
      </w:r>
    </w:p>
    <w:p>
      <w:pPr>
        <w:spacing w:line="360" w:lineRule="auto"/>
        <w:ind w:firstLine="56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2023年8月至2024年7月我公司预计天津库小包装番茄酱到货量约</w:t>
      </w:r>
      <w:r>
        <w:rPr>
          <w:rFonts w:hint="eastAsia" w:ascii="仿宋GB2312" w:hAnsi="仿宋GB2312" w:eastAsia="仿宋GB2312" w:cs="仿宋GB2312"/>
          <w:color w:val="000000"/>
          <w:sz w:val="28"/>
          <w:szCs w:val="28"/>
          <w:highlight w:val="yellow"/>
        </w:rPr>
        <w:t>为0.1万吨</w:t>
      </w:r>
      <w:r>
        <w:rPr>
          <w:rFonts w:hint="eastAsia" w:ascii="仿宋GB2312" w:hAnsi="仿宋GB2312" w:eastAsia="仿宋GB2312" w:cs="仿宋GB2312"/>
          <w:color w:val="000000"/>
          <w:sz w:val="28"/>
          <w:szCs w:val="28"/>
        </w:rPr>
        <w:t>左右，具体数量以实际到货为准.</w:t>
      </w:r>
    </w:p>
    <w:p>
      <w:pPr>
        <w:spacing w:line="360" w:lineRule="auto"/>
        <w:ind w:firstLine="56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1.1出入库包干作业环节：包括铁路/汽运到达、卸车、机力/人工装卸、分批次（先进先出）、入库、码托、码垛、备货、卫生清理（包括外包装纸箱、托盘卫生）、拍照、出库装车等相关作业环节。</w:t>
      </w:r>
    </w:p>
    <w:p>
      <w:pPr>
        <w:spacing w:line="360" w:lineRule="auto"/>
        <w:ind w:firstLine="56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1.2人工装箱集港作业环节（外提箱操作模式）：按照出库通知单要求，在既定时间内到指定堆场完成换单、验箱、提空箱；返回产品存储库房后及时进行人工装箱、拍照，并反馈箱封号及箱皮重信息；在截关时间内完成重箱集港至天津港北疆区域集装箱码头的整体物流作业等环节。</w:t>
      </w:r>
    </w:p>
    <w:p>
      <w:pPr>
        <w:rPr>
          <w:rFonts w:ascii="仿宋GB2312" w:hAnsi="仿宋GB2312" w:eastAsia="仿宋GB2312" w:cs="仿宋GB2312"/>
          <w:b/>
          <w:bCs/>
          <w:color w:val="000000"/>
          <w:sz w:val="28"/>
          <w:szCs w:val="28"/>
        </w:rPr>
      </w:pPr>
      <w:r>
        <w:rPr>
          <w:rFonts w:hint="eastAsia" w:ascii="仿宋GB2312" w:hAnsi="仿宋GB2312" w:eastAsia="仿宋GB2312" w:cs="仿宋GB2312"/>
          <w:b/>
          <w:bCs/>
          <w:color w:val="000000"/>
          <w:sz w:val="28"/>
          <w:szCs w:val="28"/>
        </w:rPr>
        <w:t>2.服务需求说明：</w:t>
      </w:r>
    </w:p>
    <w:p>
      <w:pPr>
        <w:spacing w:line="360" w:lineRule="auto"/>
        <w:ind w:firstLine="56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乙方负责甲方番茄酱、辣椒酱等产品的铁路/汽运到达的接卸、仓储、出入库作业及装箱集港服务事宜，具体说明如下：</w:t>
      </w:r>
    </w:p>
    <w:p>
      <w:pPr>
        <w:spacing w:line="360" w:lineRule="auto"/>
        <w:ind w:firstLine="56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2.1甲方在货物启运后两日内向乙方寄出铁路领货凭证，三个工作日内在SAP系统中录入《收货预报》（内容包括品名、工厂、包装、发站、到站、启运日期、车/箱号等信息），以便乙方根据发运情况作好接卸、入库/送货准备。</w:t>
      </w:r>
    </w:p>
    <w:p>
      <w:pPr>
        <w:spacing w:line="360" w:lineRule="auto"/>
        <w:ind w:firstLine="56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2.2乙方负责将甲方到达的货物存储至符合甲方要求的室内库房，保障货物的安全性。</w:t>
      </w:r>
    </w:p>
    <w:p>
      <w:pPr>
        <w:spacing w:line="360" w:lineRule="auto"/>
        <w:ind w:firstLine="56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2.3仓储过程中，非甲方原因发生仓储货物破损、变形、潮湿、丢失等情况，乙方按甲方相应要求给予赔偿。</w:t>
      </w:r>
    </w:p>
    <w:p>
      <w:pPr>
        <w:spacing w:line="360" w:lineRule="auto"/>
        <w:ind w:firstLine="56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2.4仓储条件保管措施：</w:t>
      </w:r>
    </w:p>
    <w:p>
      <w:pPr>
        <w:spacing w:line="360" w:lineRule="auto"/>
        <w:ind w:firstLine="56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小包装4.5KG*6每个托盘码高不超过6层（可以叠加1托）、3KG*6每个托盘码高不超过8层、850G*12、2.2KG*6码高不超过12层、2850g*6番茄丁每个托盘码高不超过6层（可以叠加1托），20KG*1码高不超过6层，托盘不能叠加；防水防潮防鼠。</w:t>
      </w:r>
    </w:p>
    <w:p>
      <w:pPr>
        <w:spacing w:line="360" w:lineRule="auto"/>
        <w:ind w:firstLine="56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2.5甲方货物通过铁路或公路运抵乙方指定站点/仓库/铁路专用线后，乙方需组织下站接货、卸车、入库、验收等业务作业，办理入库手续，做好验收记录。</w:t>
      </w:r>
    </w:p>
    <w:p>
      <w:pPr>
        <w:spacing w:line="360" w:lineRule="auto"/>
        <w:ind w:firstLine="56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2.6乙方在产品入库时要做到轻搬轻运，避免野蛮作业造成损失。码垛作业时应确保货物及垫板物料完好，轻搬轻放。在此过程中货物的损失、损坏、丢失应予以赔偿。</w:t>
      </w:r>
    </w:p>
    <w:p>
      <w:pPr>
        <w:spacing w:line="360" w:lineRule="auto"/>
        <w:ind w:firstLine="56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2.7入库码垛应规范操作，按照产品的不同规格进行分批次、分生产日期、分类码垛，码垛高度要求严格按照甲方《作业指导书》中的要求进行作业。</w:t>
      </w:r>
    </w:p>
    <w:p>
      <w:pPr>
        <w:spacing w:line="360" w:lineRule="auto"/>
        <w:ind w:firstLine="56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2.8由于接卸机力、人力不足造成甲方货物不能及时入库，产生的其他费等由乙方按照甲方实际支出全额承担。</w:t>
      </w:r>
    </w:p>
    <w:p>
      <w:pPr>
        <w:spacing w:line="360" w:lineRule="auto"/>
        <w:ind w:firstLine="56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2.9铁路到达的车皮在乙方收货站点遇拥堵等情况，无法推进乙方专用线或铁路货场，乙方有责任第一时间与铁路部门进行协调。</w:t>
      </w:r>
    </w:p>
    <w:p>
      <w:pPr>
        <w:spacing w:line="360" w:lineRule="auto"/>
        <w:ind w:firstLine="56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2.10具备完成中粮屯河番茄有限公司物流需求作业能力及服务保障能力；</w:t>
      </w:r>
    </w:p>
    <w:p>
      <w:pPr>
        <w:spacing w:line="360" w:lineRule="auto"/>
        <w:rPr>
          <w:rFonts w:ascii="仿宋GB2312" w:hAnsi="仿宋GB2312" w:eastAsia="仿宋GB2312" w:cs="仿宋GB2312"/>
          <w:b/>
          <w:bCs/>
          <w:color w:val="000000"/>
          <w:sz w:val="28"/>
          <w:szCs w:val="28"/>
        </w:rPr>
      </w:pPr>
      <w:r>
        <w:rPr>
          <w:rFonts w:hint="eastAsia" w:ascii="仿宋GB2312" w:hAnsi="仿宋GB2312" w:eastAsia="仿宋GB2312" w:cs="仿宋GB2312"/>
          <w:b/>
          <w:bCs/>
          <w:color w:val="000000"/>
          <w:sz w:val="28"/>
          <w:szCs w:val="28"/>
        </w:rPr>
        <w:t>3.保证金缴纳</w:t>
      </w:r>
    </w:p>
    <w:p>
      <w:pPr>
        <w:spacing w:line="360" w:lineRule="auto"/>
        <w:ind w:firstLine="56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 xml:space="preserve">3.1 </w:t>
      </w:r>
      <w:r>
        <w:rPr>
          <w:rFonts w:hint="eastAsia" w:ascii="仿宋GB2312" w:hAnsi="仿宋GB2312" w:eastAsia="仿宋GB2312" w:cs="仿宋GB2312"/>
          <w:color w:val="000000"/>
          <w:sz w:val="28"/>
          <w:szCs w:val="28"/>
          <w:highlight w:val="yellow"/>
        </w:rPr>
        <w:t>2023年6月</w:t>
      </w:r>
      <w:r>
        <w:rPr>
          <w:rFonts w:ascii="仿宋GB2312" w:hAnsi="仿宋GB2312" w:eastAsia="仿宋GB2312" w:cs="仿宋GB2312"/>
          <w:color w:val="000000"/>
          <w:sz w:val="28"/>
          <w:szCs w:val="28"/>
          <w:highlight w:val="yellow"/>
        </w:rPr>
        <w:t>5</w:t>
      </w:r>
      <w:r>
        <w:rPr>
          <w:rFonts w:hint="eastAsia" w:ascii="仿宋GB2312" w:hAnsi="仿宋GB2312" w:eastAsia="仿宋GB2312" w:cs="仿宋GB2312"/>
          <w:color w:val="000000"/>
          <w:sz w:val="28"/>
          <w:szCs w:val="28"/>
          <w:highlight w:val="yellow"/>
        </w:rPr>
        <w:t>日9:00前</w:t>
      </w:r>
      <w:r>
        <w:rPr>
          <w:rFonts w:hint="eastAsia" w:ascii="仿宋GB2312" w:hAnsi="仿宋GB2312" w:eastAsia="仿宋GB2312" w:cs="仿宋GB2312"/>
          <w:color w:val="000000"/>
          <w:sz w:val="28"/>
          <w:szCs w:val="28"/>
        </w:rPr>
        <w:t>交纳叁万元（30000元整）物流服务采购意向保证金，该保证金是供应商参与评选的前提条件，请供应商严格按照本次谈判文件要求截至时间上传资料、及时报价。</w:t>
      </w:r>
    </w:p>
    <w:p>
      <w:pPr>
        <w:spacing w:line="360" w:lineRule="auto"/>
        <w:ind w:firstLine="56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物流服务采购意向保证金直接交纳至中粮屯河番茄有限公司账户，汇款摘要或者用途需要备注：</w:t>
      </w:r>
      <w:r>
        <w:rPr>
          <w:rFonts w:hint="eastAsia" w:ascii="仿宋GB2312" w:hAnsi="仿宋GB2312" w:eastAsia="仿宋GB2312" w:cs="仿宋GB2312"/>
          <w:b/>
          <w:bCs/>
          <w:sz w:val="28"/>
          <w:szCs w:val="28"/>
          <w:highlight w:val="yellow"/>
        </w:rPr>
        <w:t>2023-2024年度小包装产品天津港口仓储、装箱集港（外提箱操作模式）业务询比采购项目采购意向保证金。</w:t>
      </w:r>
      <w:r>
        <w:rPr>
          <w:rFonts w:hint="eastAsia" w:ascii="仿宋GB2312" w:hAnsi="仿宋GB2312" w:eastAsia="仿宋GB2312" w:cs="仿宋GB2312"/>
          <w:color w:val="000000"/>
          <w:sz w:val="28"/>
          <w:szCs w:val="28"/>
        </w:rPr>
        <w:t>供应商如拟定此次项目供应商后，其交纳的物流服务采购意向保证金直接转为合同履约保证金，单家公司同时参与多个物流项目供应商无需重复交纳；如未确定此次项目供应商，物流服务采购意向保证金在其提供邮件申请附加付款水单后7个工作日内给与退还。</w:t>
      </w:r>
    </w:p>
    <w:p>
      <w:pPr>
        <w:pStyle w:val="6"/>
        <w:tabs>
          <w:tab w:val="left" w:pos="1260"/>
          <w:tab w:val="left" w:pos="1440"/>
          <w:tab w:val="left" w:pos="1620"/>
        </w:tabs>
        <w:spacing w:after="0" w:line="360" w:lineRule="auto"/>
        <w:ind w:left="1960" w:leftChars="0" w:hanging="1960" w:hangingChars="70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备注：3.1.1与中粮糖业范围合作供应商如已缴纳保证金，提供共用保证金说明；</w:t>
      </w:r>
    </w:p>
    <w:p>
      <w:pPr>
        <w:spacing w:line="360" w:lineRule="auto"/>
        <w:ind w:firstLine="560"/>
        <w:rPr>
          <w:rFonts w:ascii="仿宋GB2312" w:hAnsi="仿宋GB2312" w:eastAsia="仿宋GB2312" w:cs="仿宋GB2312"/>
          <w:b/>
          <w:bCs/>
          <w:color w:val="000000"/>
          <w:sz w:val="28"/>
          <w:szCs w:val="28"/>
        </w:rPr>
      </w:pPr>
      <w:r>
        <w:rPr>
          <w:rFonts w:hint="eastAsia" w:ascii="仿宋GB2312" w:hAnsi="仿宋GB2312" w:eastAsia="仿宋GB2312" w:cs="仿宋GB2312"/>
          <w:color w:val="000000"/>
          <w:sz w:val="28"/>
          <w:szCs w:val="28"/>
        </w:rPr>
        <w:t>3.1.2供应商如无保证金，在有保证金的协议供应商付款周期45天的基础上延期一个月付款，并提供盖章说明。</w:t>
      </w:r>
    </w:p>
    <w:p>
      <w:pPr>
        <w:spacing w:line="360" w:lineRule="auto"/>
        <w:ind w:firstLine="560" w:firstLineChars="200"/>
        <w:rPr>
          <w:sz w:val="24"/>
        </w:rPr>
      </w:pPr>
      <w:r>
        <w:rPr>
          <w:rFonts w:hint="eastAsia" w:ascii="仿宋GB2312" w:hAnsi="仿宋GB2312" w:eastAsia="仿宋GB2312" w:cs="仿宋GB2312"/>
          <w:color w:val="000000"/>
          <w:sz w:val="28"/>
          <w:szCs w:val="28"/>
        </w:rPr>
        <w:t>3.2保证金交纳账户：</w:t>
      </w:r>
    </w:p>
    <w:p>
      <w:pPr>
        <w:spacing w:line="360" w:lineRule="auto"/>
        <w:ind w:firstLine="56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公司名称：中粮屯河番茄有限公司</w:t>
      </w:r>
    </w:p>
    <w:p>
      <w:pPr>
        <w:spacing w:line="360" w:lineRule="auto"/>
        <w:ind w:firstLine="56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开户银行名称：工商银行天津第一支行 </w:t>
      </w:r>
    </w:p>
    <w:p>
      <w:pPr>
        <w:spacing w:line="360" w:lineRule="auto"/>
        <w:ind w:firstLine="56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 xml:space="preserve">账号：0302090219300514260   </w:t>
      </w:r>
    </w:p>
    <w:p>
      <w:pPr>
        <w:spacing w:line="360" w:lineRule="auto"/>
        <w:ind w:firstLine="56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行号：102110000025</w:t>
      </w:r>
    </w:p>
    <w:p>
      <w:pPr>
        <w:rPr>
          <w:rFonts w:ascii="仿宋GB2312" w:hAnsi="仿宋GB2312" w:eastAsia="仿宋GB2312" w:cs="仿宋GB2312"/>
          <w:b/>
          <w:bCs/>
          <w:color w:val="000000"/>
          <w:sz w:val="28"/>
          <w:szCs w:val="28"/>
        </w:rPr>
      </w:pPr>
      <w:r>
        <w:rPr>
          <w:rFonts w:hint="eastAsia" w:ascii="仿宋GB2312" w:hAnsi="仿宋GB2312" w:eastAsia="仿宋GB2312" w:cs="仿宋GB2312"/>
          <w:b/>
          <w:bCs/>
          <w:color w:val="000000"/>
          <w:sz w:val="28"/>
          <w:szCs w:val="28"/>
        </w:rPr>
        <w:t>4.供应商需向我公司提供以下资料：</w:t>
      </w:r>
    </w:p>
    <w:p>
      <w:pPr>
        <w:pStyle w:val="2"/>
        <w:numPr>
          <w:ilvl w:val="3"/>
          <w:numId w:val="0"/>
        </w:numPr>
      </w:pPr>
      <w:r>
        <w:rPr>
          <w:rFonts w:hint="eastAsia" w:ascii="仿宋GB2312" w:hAnsi="仿宋GB2312" w:eastAsia="仿宋GB2312" w:cs="仿宋GB2312"/>
          <w:sz w:val="28"/>
          <w:szCs w:val="28"/>
        </w:rPr>
        <w:t>资格审查文件（</w:t>
      </w:r>
      <w:r>
        <w:rPr>
          <w:rFonts w:hint="eastAsia" w:ascii="仿宋GB2312" w:hAnsi="仿宋GB2312" w:eastAsia="仿宋GB2312" w:cs="仿宋GB2312"/>
          <w:sz w:val="28"/>
          <w:szCs w:val="28"/>
          <w:highlight w:val="yellow"/>
        </w:rPr>
        <w:t>以下1-4项资质文件必须上传EPS系统</w:t>
      </w:r>
      <w:r>
        <w:rPr>
          <w:rFonts w:hint="eastAsia" w:ascii="仿宋GB2312" w:hAnsi="仿宋GB2312" w:eastAsia="仿宋GB2312" w:cs="仿宋GB2312"/>
          <w:sz w:val="28"/>
          <w:szCs w:val="28"/>
        </w:rPr>
        <w:t>）</w:t>
      </w:r>
    </w:p>
    <w:p>
      <w:pPr>
        <w:spacing w:line="360" w:lineRule="auto"/>
        <w:ind w:firstLine="56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4.1营业执照-附件1</w:t>
      </w:r>
    </w:p>
    <w:p>
      <w:pPr>
        <w:spacing w:line="360" w:lineRule="auto"/>
        <w:ind w:firstLine="56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4.2授权委托书-附件2</w:t>
      </w:r>
    </w:p>
    <w:p>
      <w:pPr>
        <w:spacing w:line="360" w:lineRule="auto"/>
        <w:ind w:firstLine="56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4.3质量承诺书-附件3</w:t>
      </w:r>
    </w:p>
    <w:p>
      <w:pPr>
        <w:spacing w:line="360" w:lineRule="auto"/>
        <w:ind w:firstLine="56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4.4廉洁承诺书-附件4</w:t>
      </w:r>
    </w:p>
    <w:p>
      <w:pPr>
        <w:spacing w:line="360" w:lineRule="auto"/>
        <w:ind w:firstLine="56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4.5仓储/运输保险证明</w:t>
      </w:r>
    </w:p>
    <w:p>
      <w:pPr>
        <w:ind w:firstLine="562" w:firstLineChars="200"/>
        <w:rPr>
          <w:rFonts w:ascii="仿宋GB2312" w:hAnsi="仿宋GB2312" w:eastAsia="仿宋GB2312" w:cs="仿宋GB2312"/>
          <w:b/>
          <w:bCs/>
          <w:color w:val="000000"/>
          <w:sz w:val="28"/>
          <w:szCs w:val="28"/>
        </w:rPr>
      </w:pPr>
      <w:r>
        <w:rPr>
          <w:rFonts w:hint="eastAsia" w:ascii="仿宋GB2312" w:hAnsi="仿宋GB2312" w:eastAsia="仿宋GB2312" w:cs="仿宋GB2312"/>
          <w:b/>
          <w:bCs/>
          <w:color w:val="000000"/>
          <w:sz w:val="28"/>
          <w:szCs w:val="28"/>
        </w:rPr>
        <w:t>以上资料务必尽量齐全，同时系统中上传的资料需要加盖公章或签字，并请注意所提交文件的真实性。</w:t>
      </w:r>
    </w:p>
    <w:p>
      <w:pPr>
        <w:pStyle w:val="6"/>
        <w:tabs>
          <w:tab w:val="left" w:pos="1260"/>
          <w:tab w:val="left" w:pos="1440"/>
          <w:tab w:val="left" w:pos="1620"/>
        </w:tabs>
        <w:spacing w:after="0" w:line="360" w:lineRule="auto"/>
        <w:ind w:left="0" w:leftChars="0"/>
        <w:rPr>
          <w:rFonts w:ascii="仿宋GB2312" w:hAnsi="仿宋GB2312" w:eastAsia="仿宋GB2312" w:cs="仿宋GB2312"/>
          <w:b/>
          <w:bCs/>
          <w:color w:val="000000"/>
          <w:sz w:val="28"/>
          <w:szCs w:val="28"/>
        </w:rPr>
      </w:pPr>
      <w:r>
        <w:rPr>
          <w:rFonts w:hint="eastAsia" w:ascii="仿宋GB2312" w:hAnsi="仿宋GB2312" w:eastAsia="仿宋GB2312" w:cs="仿宋GB2312"/>
          <w:b/>
          <w:bCs/>
          <w:color w:val="000000"/>
          <w:sz w:val="28"/>
          <w:szCs w:val="28"/>
        </w:rPr>
        <w:t>5.其他资料</w:t>
      </w:r>
    </w:p>
    <w:p>
      <w:pPr>
        <w:ind w:firstLine="560" w:firstLineChars="20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对供应商的日常管理要求，详见《中粮番茄物流（外埠）供应商管理办法-2023A版》（另附）。</w:t>
      </w:r>
    </w:p>
    <w:p>
      <w:pPr>
        <w:pStyle w:val="2"/>
        <w:numPr>
          <w:ilvl w:val="3"/>
          <w:numId w:val="0"/>
        </w:numPr>
        <w:rPr>
          <w:rFonts w:ascii="仿宋GB2312" w:hAnsi="仿宋GB2312" w:eastAsia="仿宋GB2312" w:cs="仿宋GB2312"/>
          <w:color w:val="000000"/>
          <w:sz w:val="28"/>
          <w:szCs w:val="28"/>
        </w:rPr>
      </w:pPr>
    </w:p>
    <w:p>
      <w:pPr>
        <w:rPr>
          <w:rFonts w:ascii="仿宋GB2312" w:hAnsi="仿宋GB2312" w:eastAsia="仿宋GB2312" w:cs="仿宋GB2312"/>
          <w:b/>
          <w:bCs/>
          <w:color w:val="000000"/>
          <w:sz w:val="28"/>
          <w:szCs w:val="28"/>
        </w:rPr>
      </w:pPr>
    </w:p>
    <w:p>
      <w:pPr>
        <w:rPr>
          <w:rFonts w:ascii="仿宋GB2312" w:hAnsi="仿宋GB2312" w:eastAsia="仿宋GB2312" w:cs="仿宋GB2312"/>
          <w:b/>
          <w:bCs/>
          <w:color w:val="000000"/>
          <w:sz w:val="28"/>
          <w:szCs w:val="28"/>
        </w:rPr>
      </w:pPr>
    </w:p>
    <w:p>
      <w:pPr>
        <w:rPr>
          <w:rFonts w:ascii="仿宋GB2312" w:hAnsi="仿宋GB2312" w:eastAsia="仿宋GB2312" w:cs="仿宋GB2312"/>
          <w:b/>
          <w:bCs/>
          <w:color w:val="000000"/>
          <w:sz w:val="28"/>
          <w:szCs w:val="28"/>
        </w:rPr>
      </w:pPr>
    </w:p>
    <w:p>
      <w:pPr>
        <w:rPr>
          <w:rFonts w:ascii="仿宋GB2312" w:hAnsi="仿宋GB2312" w:eastAsia="仿宋GB2312" w:cs="仿宋GB2312"/>
          <w:b/>
          <w:bCs/>
          <w:color w:val="000000"/>
          <w:sz w:val="28"/>
          <w:szCs w:val="28"/>
        </w:rPr>
      </w:pPr>
    </w:p>
    <w:p>
      <w:pPr>
        <w:rPr>
          <w:rFonts w:ascii="仿宋GB2312" w:hAnsi="仿宋GB2312" w:eastAsia="仿宋GB2312" w:cs="仿宋GB2312"/>
          <w:b/>
          <w:bCs/>
          <w:color w:val="000000"/>
          <w:sz w:val="28"/>
          <w:szCs w:val="28"/>
        </w:rPr>
      </w:pPr>
    </w:p>
    <w:p>
      <w:pPr>
        <w:rPr>
          <w:rFonts w:ascii="仿宋GB2312" w:hAnsi="仿宋GB2312" w:eastAsia="仿宋GB2312" w:cs="仿宋GB2312"/>
          <w:b/>
          <w:bCs/>
          <w:color w:val="000000"/>
          <w:sz w:val="28"/>
          <w:szCs w:val="28"/>
        </w:rPr>
      </w:pPr>
    </w:p>
    <w:p>
      <w:pPr>
        <w:rPr>
          <w:rFonts w:ascii="仿宋GB2312" w:hAnsi="仿宋GB2312" w:eastAsia="仿宋GB2312" w:cs="仿宋GB2312"/>
          <w:b/>
          <w:bCs/>
          <w:color w:val="000000"/>
          <w:sz w:val="28"/>
          <w:szCs w:val="28"/>
        </w:rPr>
      </w:pPr>
    </w:p>
    <w:p>
      <w:pPr>
        <w:rPr>
          <w:rFonts w:ascii="仿宋GB2312" w:hAnsi="仿宋GB2312" w:eastAsia="仿宋GB2312" w:cs="仿宋GB2312"/>
          <w:b/>
          <w:bCs/>
          <w:color w:val="000000"/>
          <w:sz w:val="28"/>
          <w:szCs w:val="28"/>
        </w:rPr>
      </w:pPr>
    </w:p>
    <w:p>
      <w:pPr>
        <w:rPr>
          <w:rFonts w:ascii="仿宋GB2312" w:hAnsi="仿宋GB2312" w:eastAsia="仿宋GB2312" w:cs="仿宋GB2312"/>
          <w:b/>
          <w:bCs/>
          <w:color w:val="000000"/>
          <w:sz w:val="28"/>
          <w:szCs w:val="28"/>
        </w:rPr>
      </w:pPr>
    </w:p>
    <w:p>
      <w:pPr>
        <w:rPr>
          <w:rFonts w:ascii="仿宋GB2312" w:hAnsi="仿宋GB2312" w:eastAsia="仿宋GB2312" w:cs="仿宋GB2312"/>
          <w:b/>
          <w:bCs/>
          <w:color w:val="000000"/>
          <w:sz w:val="28"/>
          <w:szCs w:val="28"/>
        </w:rPr>
      </w:pPr>
    </w:p>
    <w:p>
      <w:pPr>
        <w:rPr>
          <w:rFonts w:ascii="仿宋GB2312" w:hAnsi="仿宋GB2312" w:eastAsia="仿宋GB2312" w:cs="仿宋GB2312"/>
          <w:b/>
          <w:bCs/>
          <w:color w:val="000000"/>
          <w:sz w:val="28"/>
          <w:szCs w:val="28"/>
        </w:rPr>
      </w:pPr>
    </w:p>
    <w:p>
      <w:pPr>
        <w:jc w:val="center"/>
        <w:outlineLvl w:val="0"/>
        <w:rPr>
          <w:rFonts w:ascii="仿宋GB2312" w:hAnsi="仿宋GB2312" w:eastAsia="仿宋GB2312" w:cs="仿宋GB2312"/>
          <w:b/>
          <w:color w:val="000000"/>
          <w:sz w:val="44"/>
          <w:szCs w:val="44"/>
        </w:rPr>
      </w:pPr>
    </w:p>
    <w:p>
      <w:pPr>
        <w:outlineLvl w:val="0"/>
        <w:rPr>
          <w:rFonts w:ascii="仿宋GB2312" w:hAnsi="仿宋GB2312" w:eastAsia="仿宋GB2312" w:cs="仿宋GB2312"/>
          <w:b/>
          <w:color w:val="000000"/>
          <w:sz w:val="44"/>
          <w:szCs w:val="44"/>
        </w:rPr>
      </w:pPr>
    </w:p>
    <w:p>
      <w:pPr>
        <w:jc w:val="center"/>
        <w:outlineLvl w:val="0"/>
        <w:rPr>
          <w:rFonts w:ascii="仿宋GB2312" w:hAnsi="仿宋GB2312" w:eastAsia="仿宋GB2312" w:cs="仿宋GB2312"/>
          <w:b/>
          <w:color w:val="000000"/>
          <w:sz w:val="44"/>
          <w:szCs w:val="44"/>
        </w:rPr>
      </w:pPr>
      <w:r>
        <w:rPr>
          <w:rFonts w:hint="eastAsia" w:ascii="仿宋GB2312" w:hAnsi="仿宋GB2312" w:eastAsia="仿宋GB2312" w:cs="仿宋GB2312"/>
          <w:b/>
          <w:color w:val="000000"/>
          <w:sz w:val="44"/>
          <w:szCs w:val="44"/>
        </w:rPr>
        <w:t>第三部分询比采购的评定办法</w:t>
      </w:r>
    </w:p>
    <w:p>
      <w:pPr>
        <w:pStyle w:val="6"/>
        <w:tabs>
          <w:tab w:val="left" w:pos="1260"/>
          <w:tab w:val="left" w:pos="1440"/>
          <w:tab w:val="left" w:pos="1620"/>
        </w:tabs>
        <w:spacing w:after="0" w:line="360" w:lineRule="auto"/>
        <w:ind w:left="0" w:leftChars="0" w:firstLine="560" w:firstLineChars="20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我公司将对供应商进行调研摸底、资质审核及对报价文件进行初步评估后，在此基础上，展开正式的评标、谈判工作。</w:t>
      </w:r>
    </w:p>
    <w:p>
      <w:pPr>
        <w:pStyle w:val="6"/>
        <w:tabs>
          <w:tab w:val="left" w:pos="1260"/>
          <w:tab w:val="left" w:pos="1440"/>
          <w:tab w:val="left" w:pos="1620"/>
        </w:tabs>
        <w:spacing w:after="0" w:line="360" w:lineRule="auto"/>
        <w:ind w:left="0" w:leftChars="0" w:firstLine="562" w:firstLineChars="200"/>
        <w:rPr>
          <w:rFonts w:ascii="仿宋GB2312" w:hAnsi="仿宋GB2312" w:eastAsia="仿宋GB2312" w:cs="仿宋GB2312"/>
          <w:color w:val="000000"/>
          <w:sz w:val="28"/>
          <w:szCs w:val="28"/>
        </w:rPr>
      </w:pPr>
      <w:r>
        <w:rPr>
          <w:rFonts w:hint="eastAsia" w:ascii="仿宋GB2312" w:hAnsi="仿宋GB2312" w:eastAsia="仿宋GB2312" w:cs="仿宋GB2312"/>
          <w:b/>
          <w:bCs/>
          <w:color w:val="000000"/>
          <w:sz w:val="28"/>
          <w:szCs w:val="28"/>
        </w:rPr>
        <w:t>1.中粮屯河番茄有限公司将在满足供应商基本准入条件及资质的前提下，对符合以下情况的供应商给予优先考虑：</w:t>
      </w:r>
    </w:p>
    <w:p>
      <w:pPr>
        <w:pStyle w:val="6"/>
        <w:tabs>
          <w:tab w:val="left" w:pos="1260"/>
          <w:tab w:val="left" w:pos="1440"/>
          <w:tab w:val="left" w:pos="1620"/>
        </w:tabs>
        <w:spacing w:after="0" w:line="360" w:lineRule="auto"/>
        <w:ind w:left="0" w:leftChars="0" w:firstLine="560" w:firstLineChars="20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恪守诚信商业守则，遵守商业道德，遵守国家法律法规守法经营；</w:t>
      </w:r>
    </w:p>
    <w:p>
      <w:pPr>
        <w:pStyle w:val="6"/>
        <w:tabs>
          <w:tab w:val="left" w:pos="1260"/>
          <w:tab w:val="left" w:pos="1440"/>
          <w:tab w:val="left" w:pos="1620"/>
        </w:tabs>
        <w:spacing w:after="0" w:line="360" w:lineRule="auto"/>
        <w:ind w:left="0" w:leftChars="0" w:firstLine="560" w:firstLineChars="20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拥有良好的内部管理机制（定期进行客户回访），服务质量稳定；</w:t>
      </w:r>
    </w:p>
    <w:p>
      <w:pPr>
        <w:pStyle w:val="6"/>
        <w:tabs>
          <w:tab w:val="left" w:pos="1260"/>
          <w:tab w:val="left" w:pos="1440"/>
          <w:tab w:val="left" w:pos="1620"/>
        </w:tabs>
        <w:spacing w:after="0" w:line="360" w:lineRule="auto"/>
        <w:ind w:left="0" w:leftChars="0" w:firstLine="560" w:firstLineChars="20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中粮集团、中粮糖业及番茄战略合作全国性的国有企业；</w:t>
      </w:r>
    </w:p>
    <w:p>
      <w:pPr>
        <w:pStyle w:val="6"/>
        <w:tabs>
          <w:tab w:val="left" w:pos="1260"/>
          <w:tab w:val="left" w:pos="1440"/>
          <w:tab w:val="left" w:pos="1620"/>
        </w:tabs>
        <w:spacing w:after="0" w:line="360" w:lineRule="auto"/>
        <w:ind w:left="0" w:leftChars="0" w:firstLine="562" w:firstLineChars="200"/>
        <w:rPr>
          <w:rFonts w:ascii="仿宋GB2312" w:hAnsi="仿宋GB2312" w:eastAsia="仿宋GB2312" w:cs="仿宋GB2312"/>
          <w:b/>
          <w:bCs/>
          <w:color w:val="000000"/>
          <w:sz w:val="28"/>
          <w:szCs w:val="28"/>
        </w:rPr>
      </w:pPr>
      <w:r>
        <w:rPr>
          <w:rFonts w:hint="eastAsia" w:ascii="仿宋GB2312" w:hAnsi="仿宋GB2312" w:eastAsia="仿宋GB2312" w:cs="仿宋GB2312"/>
          <w:b/>
          <w:bCs/>
          <w:sz w:val="28"/>
          <w:szCs w:val="28"/>
        </w:rPr>
        <w:t>2.采购人根据本项目的特点组建谈判小组，其成员由中粮屯河番茄有限公司销售部物流部组成谈判小组。</w:t>
      </w:r>
    </w:p>
    <w:p>
      <w:pPr>
        <w:ind w:firstLine="562" w:firstLineChars="200"/>
        <w:rPr>
          <w:rFonts w:ascii="仿宋GB2312" w:hAnsi="仿宋GB2312" w:eastAsia="仿宋GB2312" w:cs="仿宋GB2312"/>
          <w:b/>
          <w:bCs/>
          <w:color w:val="000000"/>
          <w:sz w:val="28"/>
          <w:szCs w:val="28"/>
        </w:rPr>
      </w:pPr>
      <w:r>
        <w:rPr>
          <w:rFonts w:hint="eastAsia" w:ascii="仿宋GB2312" w:hAnsi="仿宋GB2312" w:eastAsia="仿宋GB2312" w:cs="仿宋GB2312"/>
          <w:b/>
          <w:bCs/>
          <w:color w:val="000000"/>
          <w:sz w:val="28"/>
          <w:szCs w:val="28"/>
        </w:rPr>
        <w:t>3.本次采购以询比采购谈判方式确定最终服务商；</w:t>
      </w:r>
    </w:p>
    <w:p>
      <w:pPr>
        <w:spacing w:line="360" w:lineRule="auto"/>
        <w:ind w:firstLine="562" w:firstLineChars="200"/>
        <w:rPr>
          <w:b/>
          <w:bCs/>
          <w:color w:val="FF0000"/>
          <w:sz w:val="24"/>
        </w:rPr>
      </w:pPr>
      <w:r>
        <w:rPr>
          <w:rFonts w:hint="eastAsia" w:ascii="仿宋GB2312" w:hAnsi="仿宋GB2312" w:eastAsia="仿宋GB2312" w:cs="仿宋GB2312"/>
          <w:b/>
          <w:bCs/>
          <w:color w:val="000000"/>
          <w:sz w:val="28"/>
          <w:szCs w:val="28"/>
        </w:rPr>
        <w:t>3.1谈判地点及方式：电话会议谈判；</w:t>
      </w:r>
      <w:r>
        <w:rPr>
          <w:rFonts w:hint="eastAsia" w:ascii="仿宋GB2312" w:hAnsi="仿宋GB2312" w:eastAsia="仿宋GB2312" w:cs="仿宋GB2312"/>
          <w:color w:val="000000"/>
          <w:sz w:val="28"/>
          <w:szCs w:val="28"/>
        </w:rPr>
        <w:t>谈判地址为：天津滨海开发区MSD-G1-801；</w:t>
      </w:r>
    </w:p>
    <w:p>
      <w:pPr>
        <w:spacing w:line="360" w:lineRule="auto"/>
        <w:ind w:firstLine="562" w:firstLineChars="200"/>
        <w:rPr>
          <w:rFonts w:ascii="仿宋GB2312" w:hAnsi="仿宋GB2312" w:eastAsia="仿宋GB2312" w:cs="仿宋GB2312"/>
          <w:b/>
          <w:bCs/>
          <w:color w:val="000000"/>
          <w:sz w:val="28"/>
          <w:szCs w:val="28"/>
        </w:rPr>
      </w:pPr>
      <w:r>
        <w:rPr>
          <w:rFonts w:hint="eastAsia" w:ascii="仿宋GB2312" w:hAnsi="仿宋GB2312" w:eastAsia="仿宋GB2312" w:cs="仿宋GB2312"/>
          <w:b/>
          <w:bCs/>
          <w:color w:val="000000"/>
          <w:sz w:val="28"/>
          <w:szCs w:val="28"/>
        </w:rPr>
        <w:t>3.2谈判程序：</w:t>
      </w:r>
    </w:p>
    <w:p>
      <w:pPr>
        <w:spacing w:line="360" w:lineRule="auto"/>
        <w:ind w:firstLine="560" w:firstLineChars="20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 xml:space="preserve">3.2.1 </w:t>
      </w:r>
      <w:r>
        <w:rPr>
          <w:rFonts w:hint="eastAsia" w:ascii="仿宋GB2312" w:hAnsi="仿宋GB2312" w:eastAsia="仿宋GB2312" w:cs="仿宋GB2312"/>
          <w:color w:val="000000"/>
          <w:sz w:val="28"/>
          <w:szCs w:val="28"/>
          <w:highlight w:val="yellow"/>
        </w:rPr>
        <w:t>2023年6月12日9:00</w:t>
      </w:r>
      <w:r>
        <w:rPr>
          <w:rFonts w:hint="eastAsia" w:ascii="仿宋GB2312" w:hAnsi="仿宋GB2312" w:eastAsia="仿宋GB2312" w:cs="仿宋GB2312"/>
          <w:color w:val="000000"/>
          <w:sz w:val="28"/>
          <w:szCs w:val="28"/>
        </w:rPr>
        <w:t>后进行询比采购谈判，具体时间以实际通知为准，中粮屯河番茄有限公司谈判小组与投标单位逐一洽谈；</w:t>
      </w:r>
    </w:p>
    <w:p>
      <w:pPr>
        <w:spacing w:line="360" w:lineRule="auto"/>
        <w:ind w:firstLine="560" w:firstLineChars="20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3.2.2  经过多轮谈判后</w:t>
      </w:r>
      <w:r>
        <w:rPr>
          <w:rFonts w:hint="eastAsia" w:ascii="仿宋GB2312" w:hAnsi="仿宋GB2312" w:eastAsia="仿宋GB2312" w:cs="仿宋GB2312"/>
          <w:sz w:val="28"/>
          <w:szCs w:val="28"/>
        </w:rPr>
        <w:t>拟定此次项目供应商</w:t>
      </w:r>
      <w:r>
        <w:rPr>
          <w:rFonts w:hint="eastAsia" w:ascii="仿宋GB2312" w:hAnsi="仿宋GB2312" w:eastAsia="仿宋GB2312" w:cs="仿宋GB2312"/>
          <w:color w:val="000000"/>
          <w:sz w:val="28"/>
          <w:szCs w:val="28"/>
        </w:rPr>
        <w:t>；</w:t>
      </w:r>
    </w:p>
    <w:p>
      <w:pPr>
        <w:spacing w:line="360" w:lineRule="auto"/>
        <w:ind w:firstLine="560" w:firstLineChars="200"/>
        <w:rPr>
          <w:rFonts w:ascii="仿宋GB2312" w:hAnsi="仿宋GB2312" w:eastAsia="仿宋GB2312" w:cs="仿宋GB2312"/>
          <w:color w:val="FF0000"/>
          <w:sz w:val="28"/>
          <w:szCs w:val="28"/>
        </w:rPr>
      </w:pPr>
      <w:r>
        <w:rPr>
          <w:rFonts w:hint="eastAsia" w:ascii="仿宋GB2312" w:hAnsi="仿宋GB2312" w:eastAsia="仿宋GB2312" w:cs="仿宋GB2312"/>
          <w:color w:val="FF0000"/>
          <w:sz w:val="28"/>
          <w:szCs w:val="28"/>
        </w:rPr>
        <w:t>3.2.3</w:t>
      </w:r>
      <w:r>
        <w:rPr>
          <w:rFonts w:hint="eastAsia" w:ascii="仿宋GB2312" w:hAnsi="仿宋GB2312" w:eastAsia="仿宋GB2312" w:cs="仿宋GB2312"/>
          <w:color w:val="FF0000"/>
          <w:sz w:val="28"/>
          <w:szCs w:val="28"/>
          <w:highlight w:val="yellow"/>
        </w:rPr>
        <w:t>单吨综合报价</w:t>
      </w:r>
      <w:r>
        <w:rPr>
          <w:rFonts w:hint="eastAsia" w:ascii="仿宋GB2312" w:hAnsi="仿宋GB2312" w:eastAsia="仿宋GB2312" w:cs="仿宋GB2312"/>
          <w:color w:val="FF0000"/>
          <w:sz w:val="28"/>
          <w:szCs w:val="28"/>
        </w:rPr>
        <w:t>=仓储费（室内）元/吨.天</w:t>
      </w:r>
      <w:r>
        <w:rPr>
          <w:rFonts w:hint="eastAsia" w:ascii="仿宋GB2312" w:hAnsi="仿宋GB2312" w:eastAsia="仿宋GB2312" w:cs="仿宋GB2312"/>
          <w:color w:val="FF0000"/>
          <w:sz w:val="28"/>
          <w:szCs w:val="28"/>
          <w:highlight w:val="yellow"/>
        </w:rPr>
        <w:t>*</w:t>
      </w:r>
      <w:r>
        <w:rPr>
          <w:rFonts w:ascii="仿宋GB2312" w:hAnsi="仿宋GB2312" w:eastAsia="仿宋GB2312" w:cs="仿宋GB2312"/>
          <w:color w:val="FF0000"/>
          <w:sz w:val="28"/>
          <w:szCs w:val="28"/>
          <w:highlight w:val="yellow"/>
        </w:rPr>
        <w:t>50天</w:t>
      </w:r>
      <w:r>
        <w:rPr>
          <w:rFonts w:hint="eastAsia" w:ascii="仿宋GB2312" w:hAnsi="仿宋GB2312" w:eastAsia="仿宋GB2312" w:cs="仿宋GB2312"/>
          <w:color w:val="FF0000"/>
          <w:sz w:val="28"/>
          <w:szCs w:val="28"/>
        </w:rPr>
        <w:t>+人工装箱、集港费元/</w:t>
      </w:r>
      <w:r>
        <w:rPr>
          <w:rFonts w:ascii="仿宋GB2312" w:hAnsi="仿宋GB2312" w:eastAsia="仿宋GB2312" w:cs="仿宋GB2312"/>
          <w:color w:val="FF0000"/>
          <w:sz w:val="28"/>
          <w:szCs w:val="28"/>
        </w:rPr>
        <w:t>吨</w:t>
      </w:r>
      <w:r>
        <w:rPr>
          <w:rFonts w:hint="eastAsia" w:ascii="仿宋GB2312" w:hAnsi="仿宋GB2312" w:eastAsia="仿宋GB2312" w:cs="仿宋GB2312"/>
          <w:color w:val="FF0000"/>
          <w:sz w:val="28"/>
          <w:szCs w:val="28"/>
        </w:rPr>
        <w:t xml:space="preserve"> (按20GP单柜装运</w:t>
      </w:r>
      <w:r>
        <w:rPr>
          <w:rFonts w:ascii="仿宋GB2312" w:hAnsi="仿宋GB2312" w:eastAsia="仿宋GB2312" w:cs="仿宋GB2312"/>
          <w:color w:val="FF0000"/>
          <w:sz w:val="28"/>
          <w:szCs w:val="28"/>
        </w:rPr>
        <w:t>20</w:t>
      </w:r>
      <w:r>
        <w:rPr>
          <w:rFonts w:hint="eastAsia" w:ascii="仿宋GB2312" w:hAnsi="仿宋GB2312" w:eastAsia="仿宋GB2312" w:cs="仿宋GB2312"/>
          <w:color w:val="FF0000"/>
          <w:sz w:val="28"/>
          <w:szCs w:val="28"/>
        </w:rPr>
        <w:t>吨核算单吨费用）</w:t>
      </w:r>
      <w:r>
        <w:rPr>
          <w:rFonts w:ascii="仿宋GB2312" w:hAnsi="仿宋GB2312" w:eastAsia="仿宋GB2312" w:cs="仿宋GB2312"/>
          <w:color w:val="FF0000"/>
          <w:sz w:val="28"/>
          <w:szCs w:val="28"/>
        </w:rPr>
        <w:t>+</w:t>
      </w:r>
      <w:r>
        <w:rPr>
          <w:rFonts w:hint="eastAsia" w:ascii="仿宋GB2312" w:hAnsi="仿宋GB2312" w:eastAsia="仿宋GB2312" w:cs="仿宋GB2312"/>
          <w:color w:val="FF0000"/>
          <w:sz w:val="28"/>
          <w:szCs w:val="28"/>
        </w:rPr>
        <w:t>铁路整车到达出入库包干费（人力）元/吨</w:t>
      </w:r>
      <w:r>
        <w:rPr>
          <w:rFonts w:ascii="仿宋GB2312" w:hAnsi="仿宋GB2312" w:eastAsia="仿宋GB2312" w:cs="仿宋GB2312"/>
          <w:color w:val="FF0000"/>
          <w:sz w:val="28"/>
          <w:szCs w:val="28"/>
        </w:rPr>
        <w:t xml:space="preserve"> </w:t>
      </w:r>
    </w:p>
    <w:p>
      <w:pPr>
        <w:widowControl/>
        <w:spacing w:line="360" w:lineRule="auto"/>
        <w:ind w:firstLine="562" w:firstLineChars="200"/>
        <w:jc w:val="left"/>
        <w:rPr>
          <w:rFonts w:eastAsia="仿宋GB2312"/>
        </w:rPr>
      </w:pPr>
      <w:r>
        <w:rPr>
          <w:rFonts w:hint="eastAsia" w:ascii="仿宋GB2312" w:hAnsi="仿宋GB2312" w:eastAsia="仿宋GB2312" w:cs="仿宋GB2312"/>
          <w:b/>
          <w:bCs/>
          <w:color w:val="000000"/>
          <w:sz w:val="28"/>
          <w:szCs w:val="28"/>
        </w:rPr>
        <w:t>4.项目结果拟确定原则：</w:t>
      </w:r>
      <w:r>
        <w:rPr>
          <w:rFonts w:hint="eastAsia" w:ascii="仿宋GB2312" w:hAnsi="仿宋GB2312" w:eastAsia="仿宋GB2312" w:cs="仿宋GB2312"/>
          <w:color w:val="000000"/>
          <w:sz w:val="28"/>
          <w:szCs w:val="28"/>
        </w:rPr>
        <w:t>询比采购小组应当从能满足采购文件实质性响应要求的供应商中，</w:t>
      </w:r>
      <w:r>
        <w:rPr>
          <w:rFonts w:hint="eastAsia" w:ascii="仿宋GB2312" w:hAnsi="仿宋GB2312" w:eastAsia="仿宋GB2312" w:cs="仿宋GB2312"/>
          <w:color w:val="FF0000"/>
          <w:sz w:val="28"/>
          <w:szCs w:val="28"/>
          <w:highlight w:val="yellow"/>
        </w:rPr>
        <w:t>单吨综合报价</w:t>
      </w:r>
      <w:r>
        <w:rPr>
          <w:rFonts w:hint="eastAsia" w:ascii="仿宋GB2312" w:hAnsi="仿宋GB2312" w:eastAsia="仿宋GB2312" w:cs="仿宋GB2312"/>
          <w:color w:val="000000"/>
          <w:sz w:val="28"/>
          <w:szCs w:val="28"/>
        </w:rPr>
        <w:t>最低的供应商拟定为</w:t>
      </w:r>
      <w:r>
        <w:rPr>
          <w:rFonts w:hint="eastAsia" w:ascii="仿宋GB2312" w:hAnsi="仿宋GB2312" w:eastAsia="仿宋GB2312" w:cs="仿宋GB2312"/>
          <w:sz w:val="28"/>
          <w:szCs w:val="28"/>
        </w:rPr>
        <w:t>此次项目</w:t>
      </w:r>
      <w:r>
        <w:rPr>
          <w:rFonts w:hint="eastAsia" w:ascii="仿宋GB2312" w:hAnsi="仿宋GB2312" w:eastAsia="仿宋GB2312" w:cs="仿宋GB2312"/>
          <w:color w:val="000000"/>
          <w:sz w:val="28"/>
          <w:szCs w:val="28"/>
        </w:rPr>
        <w:t>供应商。</w:t>
      </w:r>
    </w:p>
    <w:p>
      <w:pPr>
        <w:spacing w:line="520" w:lineRule="exact"/>
        <w:ind w:firstLine="560" w:firstLineChars="200"/>
        <w:rPr>
          <w:rFonts w:ascii="仿宋GB2312" w:hAnsi="仿宋GB2312" w:eastAsia="仿宋GB2312" w:cs="仿宋GB2312"/>
          <w:sz w:val="28"/>
          <w:szCs w:val="28"/>
        </w:rPr>
      </w:pPr>
      <w:r>
        <w:rPr>
          <w:rFonts w:hint="eastAsia" w:ascii="仿宋GB2312" w:hAnsi="仿宋GB2312" w:eastAsia="仿宋GB2312" w:cs="仿宋GB2312"/>
          <w:color w:val="000000"/>
          <w:sz w:val="28"/>
          <w:szCs w:val="28"/>
        </w:rPr>
        <w:t>评标小组进行封闭方式谈判议标，单个项目综合进行多轮谈判；评标过程中如一旦发现相关人员有索要财物、接受贿赂等不廉洁行为，应坚决予以抵制，供应商对本次采购活动如有异议，可在项目结束后三个工作日内向</w:t>
      </w:r>
      <w:r>
        <w:rPr>
          <w:rFonts w:hint="eastAsia" w:ascii="仿宋GB2312" w:hAnsi="仿宋GB2312" w:eastAsia="仿宋GB2312" w:cs="仿宋GB2312"/>
          <w:sz w:val="28"/>
          <w:szCs w:val="28"/>
        </w:rPr>
        <w:t>中粮糖业采购委员会或纪委办公室提出书面质疑材料，</w:t>
      </w:r>
      <w:r>
        <w:rPr>
          <w:rFonts w:hint="eastAsia" w:ascii="仿宋GB2312" w:hAnsi="仿宋GB2312" w:eastAsia="仿宋GB2312" w:cs="仿宋GB2312"/>
          <w:color w:val="000000"/>
          <w:sz w:val="28"/>
          <w:szCs w:val="28"/>
        </w:rPr>
        <w:t>并请及时向公司纪检部门举</w:t>
      </w:r>
      <w:r>
        <w:rPr>
          <w:rFonts w:hint="eastAsia" w:ascii="仿宋GB2312" w:hAnsi="仿宋GB2312" w:eastAsia="仿宋GB2312" w:cs="仿宋GB2312"/>
          <w:sz w:val="28"/>
          <w:szCs w:val="28"/>
        </w:rPr>
        <w:t>报。</w:t>
      </w:r>
    </w:p>
    <w:p>
      <w:pPr>
        <w:spacing w:line="520" w:lineRule="exact"/>
        <w:rPr>
          <w:rFonts w:ascii="仿宋GB2312" w:hAnsi="仿宋GB2312" w:eastAsia="仿宋GB2312" w:cs="仿宋GB2312"/>
          <w:sz w:val="28"/>
          <w:szCs w:val="28"/>
        </w:rPr>
      </w:pPr>
      <w:r>
        <w:rPr>
          <w:rFonts w:hint="eastAsia" w:ascii="仿宋GB2312" w:hAnsi="仿宋GB2312" w:eastAsia="仿宋GB2312" w:cs="仿宋GB2312"/>
          <w:sz w:val="28"/>
          <w:szCs w:val="28"/>
        </w:rPr>
        <w:t>电话：010-85017235</w:t>
      </w:r>
    </w:p>
    <w:p>
      <w:pPr>
        <w:spacing w:line="520" w:lineRule="exact"/>
        <w:rPr>
          <w:rFonts w:ascii="仿宋GB2312" w:hAnsi="仿宋GB2312" w:eastAsia="仿宋GB2312" w:cs="仿宋GB2312"/>
          <w:sz w:val="28"/>
          <w:szCs w:val="28"/>
        </w:rPr>
      </w:pPr>
      <w:r>
        <w:rPr>
          <w:rFonts w:hint="eastAsia" w:ascii="仿宋GB2312" w:hAnsi="仿宋GB2312" w:eastAsia="仿宋GB2312" w:cs="仿宋GB2312"/>
          <w:sz w:val="28"/>
          <w:szCs w:val="28"/>
        </w:rPr>
        <w:t>通讯地址：北京市朝阳区朝阳门南大街8号中粮福临门大厦9层905室中粮糖业纪委办公室收，邮编100020</w:t>
      </w:r>
    </w:p>
    <w:p>
      <w:pPr>
        <w:pStyle w:val="5"/>
        <w:tabs>
          <w:tab w:val="left" w:pos="900"/>
          <w:tab w:val="left" w:pos="1260"/>
          <w:tab w:val="left" w:pos="1565"/>
        </w:tabs>
        <w:spacing w:after="0" w:line="360" w:lineRule="auto"/>
        <w:rPr>
          <w:rFonts w:ascii="仿宋GB2312" w:hAnsi="仿宋GB2312" w:eastAsia="仿宋GB2312" w:cs="仿宋GB2312"/>
          <w:b/>
          <w:bCs/>
          <w:color w:val="000000"/>
          <w:sz w:val="28"/>
          <w:szCs w:val="28"/>
        </w:rPr>
      </w:pPr>
      <w:r>
        <w:rPr>
          <w:rFonts w:hint="eastAsia" w:ascii="仿宋GB2312" w:hAnsi="仿宋GB2312" w:eastAsia="仿宋GB2312" w:cs="仿宋GB2312"/>
          <w:b/>
          <w:bCs/>
          <w:color w:val="000000"/>
          <w:sz w:val="28"/>
          <w:szCs w:val="28"/>
        </w:rPr>
        <w:t>5.取消的权利</w:t>
      </w:r>
    </w:p>
    <w:p>
      <w:pPr>
        <w:spacing w:line="360" w:lineRule="auto"/>
        <w:ind w:firstLine="560"/>
        <w:jc w:val="center"/>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供应商在对中粮番茄有限公司2023-2024年度天津港口仓储装箱集港业务（小包装）项目询比采购文件作出报价后，如果评标小组对所有供应商回复的资质、操作、价格或者服务均不满意，将保留取消此次询比谈判的权利。供应商在参与本次报价过程中出现以下重大不良行为，并被立即取消其投标资格，3年内</w:t>
      </w:r>
    </w:p>
    <w:p>
      <w:pPr>
        <w:spacing w:line="360" w:lineRule="auto"/>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将不得与番茄公司发生任何商业往来：</w:t>
      </w:r>
    </w:p>
    <w:p>
      <w:pPr>
        <w:pStyle w:val="5"/>
        <w:tabs>
          <w:tab w:val="left" w:pos="900"/>
          <w:tab w:val="left" w:pos="1260"/>
        </w:tabs>
        <w:spacing w:line="360" w:lineRule="auto"/>
        <w:ind w:firstLine="425"/>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5.1违约给公司造成10万及以上损失的；</w:t>
      </w:r>
    </w:p>
    <w:p>
      <w:pPr>
        <w:pStyle w:val="5"/>
        <w:tabs>
          <w:tab w:val="left" w:pos="900"/>
          <w:tab w:val="left" w:pos="1260"/>
        </w:tabs>
        <w:spacing w:line="360" w:lineRule="auto"/>
        <w:ind w:firstLine="425"/>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5.2以各种方式弄虚造假，骗取中标的；</w:t>
      </w:r>
    </w:p>
    <w:p>
      <w:pPr>
        <w:pStyle w:val="5"/>
        <w:tabs>
          <w:tab w:val="left" w:pos="900"/>
          <w:tab w:val="left" w:pos="1260"/>
        </w:tabs>
        <w:spacing w:line="360" w:lineRule="auto"/>
        <w:ind w:firstLine="425"/>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5.3相互串通报价的。</w:t>
      </w:r>
    </w:p>
    <w:p>
      <w:pPr>
        <w:spacing w:line="360" w:lineRule="auto"/>
        <w:ind w:firstLine="700" w:firstLineChars="25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本说明书解释权归属中粮屯河番茄有限公司销售部物流部。</w:t>
      </w:r>
    </w:p>
    <w:p>
      <w:pPr>
        <w:spacing w:line="360" w:lineRule="auto"/>
        <w:jc w:val="right"/>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 xml:space="preserve">中粮屯河番茄有限公司销售部物流部                                 </w:t>
      </w:r>
    </w:p>
    <w:p>
      <w:pPr>
        <w:spacing w:line="360" w:lineRule="auto"/>
        <w:ind w:firstLine="700" w:firstLineChars="250"/>
        <w:jc w:val="center"/>
        <w:rPr>
          <w:rFonts w:ascii="宋体" w:hAnsi="宋体"/>
          <w:b/>
          <w:bCs/>
          <w:color w:val="000000"/>
          <w:sz w:val="28"/>
          <w:szCs w:val="28"/>
        </w:rPr>
      </w:pPr>
      <w:r>
        <w:rPr>
          <w:rFonts w:hint="eastAsia" w:ascii="仿宋GB2312" w:hAnsi="仿宋GB2312" w:eastAsia="仿宋GB2312" w:cs="仿宋GB2312"/>
          <w:color w:val="000000"/>
          <w:sz w:val="28"/>
          <w:szCs w:val="28"/>
        </w:rPr>
        <w:t xml:space="preserve">                                        二0二三年五月二十六日</w:t>
      </w:r>
    </w:p>
    <w:p>
      <w:pPr>
        <w:jc w:val="center"/>
        <w:outlineLvl w:val="0"/>
        <w:rPr>
          <w:rFonts w:ascii="仿宋GB2312" w:hAnsi="仿宋GB2312" w:eastAsia="仿宋GB2312" w:cs="仿宋GB2312"/>
          <w:b/>
          <w:color w:val="000000"/>
          <w:sz w:val="44"/>
          <w:szCs w:val="44"/>
        </w:rPr>
      </w:pPr>
      <w:r>
        <w:rPr>
          <w:rFonts w:hint="eastAsia" w:ascii="仿宋GB2312" w:hAnsi="仿宋GB2312" w:eastAsia="仿宋GB2312" w:cs="仿宋GB2312"/>
          <w:b/>
          <w:color w:val="000000"/>
          <w:sz w:val="44"/>
          <w:szCs w:val="44"/>
        </w:rPr>
        <w:t>第四部分报价单以及相关附件</w:t>
      </w:r>
    </w:p>
    <w:p>
      <w:pPr>
        <w:spacing w:line="360" w:lineRule="auto"/>
        <w:jc w:val="center"/>
        <w:rPr>
          <w:rFonts w:ascii="宋体" w:hAnsi="宋体" w:cs="宋体"/>
          <w:b/>
          <w:color w:val="000000"/>
          <w:sz w:val="36"/>
          <w:szCs w:val="36"/>
        </w:rPr>
      </w:pPr>
      <w:r>
        <w:rPr>
          <w:rFonts w:hint="eastAsia" w:ascii="宋体" w:hAnsi="宋体" w:cs="宋体"/>
          <w:b/>
          <w:color w:val="000000"/>
          <w:sz w:val="36"/>
          <w:szCs w:val="36"/>
        </w:rPr>
        <w:t>一、报价单</w:t>
      </w:r>
    </w:p>
    <w:p>
      <w:pPr>
        <w:spacing w:line="360" w:lineRule="auto"/>
        <w:rPr>
          <w:rFonts w:ascii="宋体" w:hAnsi="宋体" w:cs="宋体"/>
          <w:sz w:val="22"/>
          <w:szCs w:val="22"/>
        </w:rPr>
      </w:pPr>
      <w:r>
        <w:rPr>
          <w:rFonts w:hint="eastAsia" w:ascii="宋体" w:hAnsi="宋体" w:cs="宋体"/>
          <w:sz w:val="22"/>
          <w:szCs w:val="22"/>
        </w:rPr>
        <w:t>1、仓储费</w:t>
      </w:r>
    </w:p>
    <w:tbl>
      <w:tblPr>
        <w:tblStyle w:val="13"/>
        <w:tblW w:w="0" w:type="auto"/>
        <w:tblInd w:w="0" w:type="dxa"/>
        <w:tblLayout w:type="fixed"/>
        <w:tblCellMar>
          <w:top w:w="0" w:type="dxa"/>
          <w:left w:w="0" w:type="dxa"/>
          <w:bottom w:w="0" w:type="dxa"/>
          <w:right w:w="0" w:type="dxa"/>
        </w:tblCellMar>
      </w:tblPr>
      <w:tblGrid>
        <w:gridCol w:w="810"/>
        <w:gridCol w:w="2535"/>
        <w:gridCol w:w="885"/>
        <w:gridCol w:w="900"/>
        <w:gridCol w:w="1080"/>
        <w:gridCol w:w="1080"/>
        <w:gridCol w:w="1080"/>
        <w:gridCol w:w="1635"/>
      </w:tblGrid>
      <w:tr>
        <w:tblPrEx>
          <w:tblCellMar>
            <w:top w:w="0" w:type="dxa"/>
            <w:left w:w="0" w:type="dxa"/>
            <w:bottom w:w="0" w:type="dxa"/>
            <w:right w:w="0" w:type="dxa"/>
          </w:tblCellMar>
        </w:tblPrEx>
        <w:trPr>
          <w:trHeight w:val="380" w:hRule="atLeast"/>
        </w:trPr>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lang w:bidi="ar"/>
              </w:rPr>
              <w:t>序号</w:t>
            </w:r>
          </w:p>
        </w:tc>
        <w:tc>
          <w:tcPr>
            <w:tcW w:w="2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sz w:val="16"/>
                <w:szCs w:val="16"/>
              </w:rPr>
            </w:pPr>
            <w:r>
              <w:rPr>
                <w:rFonts w:hint="eastAsia" w:ascii="宋体" w:hAnsi="宋体" w:cs="宋体"/>
                <w:color w:val="000000"/>
                <w:kern w:val="0"/>
                <w:sz w:val="16"/>
                <w:szCs w:val="16"/>
                <w:lang w:bidi="ar"/>
              </w:rPr>
              <w:t>费用名称</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lang w:bidi="ar"/>
              </w:rPr>
              <w:t>单位</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lang w:bidi="ar"/>
              </w:rPr>
              <w:t>税率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lang w:bidi="ar"/>
              </w:rPr>
              <w:t>价税合计金额</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lang w:bidi="ar"/>
              </w:rPr>
              <w:t>不含税金额</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lang w:bidi="ar"/>
              </w:rPr>
              <w:t>税额</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lang w:bidi="ar"/>
              </w:rPr>
              <w:t>备注</w:t>
            </w:r>
          </w:p>
        </w:tc>
      </w:tr>
      <w:tr>
        <w:tblPrEx>
          <w:tblCellMar>
            <w:top w:w="0" w:type="dxa"/>
            <w:left w:w="0" w:type="dxa"/>
            <w:bottom w:w="0" w:type="dxa"/>
            <w:right w:w="0"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lang w:bidi="ar"/>
              </w:rPr>
              <w:t>1</w:t>
            </w:r>
          </w:p>
        </w:tc>
        <w:tc>
          <w:tcPr>
            <w:tcW w:w="2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sz w:val="16"/>
                <w:szCs w:val="16"/>
              </w:rPr>
            </w:pPr>
            <w:r>
              <w:rPr>
                <w:rFonts w:hint="eastAsia" w:ascii="宋体" w:hAnsi="宋体" w:cs="宋体"/>
                <w:color w:val="000000"/>
                <w:kern w:val="0"/>
                <w:sz w:val="16"/>
                <w:szCs w:val="16"/>
                <w:lang w:bidi="ar"/>
              </w:rPr>
              <w:t>仓储费（室内）</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lang w:bidi="ar"/>
              </w:rPr>
              <w:t>元/吨.天</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lang w:bidi="ar"/>
              </w:rPr>
              <w:t>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ascii="宋体" w:hAnsi="宋体" w:cs="宋体"/>
                <w:color w:val="000000"/>
                <w:sz w:val="16"/>
                <w:szCs w:val="16"/>
              </w:rPr>
            </w:pPr>
          </w:p>
        </w:tc>
      </w:tr>
    </w:tbl>
    <w:p>
      <w:pPr>
        <w:spacing w:line="360" w:lineRule="auto"/>
        <w:jc w:val="left"/>
        <w:rPr>
          <w:rFonts w:ascii="宋体" w:hAnsi="宋体" w:cs="宋体"/>
          <w:sz w:val="22"/>
          <w:szCs w:val="22"/>
        </w:rPr>
      </w:pPr>
      <w:r>
        <w:rPr>
          <w:rFonts w:hint="eastAsia" w:ascii="宋体" w:hAnsi="宋体" w:cs="宋体"/>
          <w:sz w:val="22"/>
          <w:szCs w:val="22"/>
        </w:rPr>
        <w:t>2</w:t>
      </w:r>
      <w:r>
        <w:rPr>
          <w:rFonts w:ascii="宋体" w:hAnsi="宋体" w:cs="宋体"/>
          <w:sz w:val="22"/>
          <w:szCs w:val="22"/>
        </w:rPr>
        <w:t>、</w:t>
      </w:r>
      <w:r>
        <w:rPr>
          <w:rFonts w:hint="eastAsia" w:ascii="宋体" w:hAnsi="宋体" w:cs="宋体"/>
          <w:sz w:val="22"/>
          <w:szCs w:val="22"/>
        </w:rPr>
        <w:t>出入库包干作业环节：包括铁路/汽运到达、卸车、机力/人工装卸、分批次（先进先出）、入库、码托、码垛、备货、卫生清理（包括外包装纸箱、托盘卫生）、拍照、出库装车等相关作业环节。</w:t>
      </w:r>
    </w:p>
    <w:tbl>
      <w:tblPr>
        <w:tblStyle w:val="13"/>
        <w:tblW w:w="9990" w:type="dxa"/>
        <w:tblInd w:w="0" w:type="dxa"/>
        <w:tblLayout w:type="fixed"/>
        <w:tblCellMar>
          <w:top w:w="0" w:type="dxa"/>
          <w:left w:w="0" w:type="dxa"/>
          <w:bottom w:w="0" w:type="dxa"/>
          <w:right w:w="0" w:type="dxa"/>
        </w:tblCellMar>
      </w:tblPr>
      <w:tblGrid>
        <w:gridCol w:w="350"/>
        <w:gridCol w:w="2817"/>
        <w:gridCol w:w="708"/>
        <w:gridCol w:w="850"/>
        <w:gridCol w:w="1042"/>
        <w:gridCol w:w="850"/>
        <w:gridCol w:w="500"/>
        <w:gridCol w:w="2873"/>
      </w:tblGrid>
      <w:tr>
        <w:tblPrEx>
          <w:tblCellMar>
            <w:top w:w="0" w:type="dxa"/>
            <w:left w:w="0" w:type="dxa"/>
            <w:bottom w:w="0" w:type="dxa"/>
            <w:right w:w="0" w:type="dxa"/>
          </w:tblCellMar>
        </w:tblPrEx>
        <w:trPr>
          <w:trHeight w:val="270" w:hRule="atLeast"/>
        </w:trPr>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序号</w:t>
            </w:r>
          </w:p>
        </w:tc>
        <w:tc>
          <w:tcPr>
            <w:tcW w:w="2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费用名称</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单位</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税率</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价税合计金额</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不含税金额</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税额</w:t>
            </w:r>
          </w:p>
        </w:tc>
        <w:tc>
          <w:tcPr>
            <w:tcW w:w="2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备注</w:t>
            </w:r>
          </w:p>
        </w:tc>
      </w:tr>
      <w:tr>
        <w:tblPrEx>
          <w:tblCellMar>
            <w:top w:w="0" w:type="dxa"/>
            <w:left w:w="0" w:type="dxa"/>
            <w:bottom w:w="0" w:type="dxa"/>
            <w:right w:w="0" w:type="dxa"/>
          </w:tblCellMar>
        </w:tblPrEx>
        <w:trPr>
          <w:trHeight w:val="275" w:hRule="atLeast"/>
        </w:trPr>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1</w:t>
            </w:r>
          </w:p>
        </w:tc>
        <w:tc>
          <w:tcPr>
            <w:tcW w:w="2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铁路整车到达出入库包干费（人力）</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元/吨</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6%</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p>
        </w:tc>
        <w:tc>
          <w:tcPr>
            <w:tcW w:w="2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仅限小包装业务，包含铁路到站装卸费，适用于客户自提</w:t>
            </w:r>
          </w:p>
        </w:tc>
      </w:tr>
      <w:tr>
        <w:tblPrEx>
          <w:tblCellMar>
            <w:top w:w="0" w:type="dxa"/>
            <w:left w:w="0" w:type="dxa"/>
            <w:bottom w:w="0" w:type="dxa"/>
            <w:right w:w="0" w:type="dxa"/>
          </w:tblCellMar>
        </w:tblPrEx>
        <w:trPr>
          <w:trHeight w:val="218" w:hRule="atLeast"/>
        </w:trPr>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2</w:t>
            </w:r>
          </w:p>
        </w:tc>
        <w:tc>
          <w:tcPr>
            <w:tcW w:w="2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汽运到达出入库包干费（人力）</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元/吨</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6%</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p>
        </w:tc>
        <w:tc>
          <w:tcPr>
            <w:tcW w:w="2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仅限小包装业务，包含卸车入库，适用于客户自提</w:t>
            </w:r>
          </w:p>
        </w:tc>
      </w:tr>
      <w:tr>
        <w:tblPrEx>
          <w:tblCellMar>
            <w:top w:w="0" w:type="dxa"/>
            <w:left w:w="0" w:type="dxa"/>
            <w:bottom w:w="0" w:type="dxa"/>
            <w:right w:w="0" w:type="dxa"/>
          </w:tblCellMar>
        </w:tblPrEx>
        <w:trPr>
          <w:trHeight w:val="218" w:hRule="atLeast"/>
        </w:trPr>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3</w:t>
            </w:r>
          </w:p>
        </w:tc>
        <w:tc>
          <w:tcPr>
            <w:tcW w:w="2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铁路整车到达场内直装包干费（人力）</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元/吨</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6%</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p>
        </w:tc>
        <w:tc>
          <w:tcPr>
            <w:tcW w:w="2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包含铁路到站装卸费，理货分号、场内搬倒，不含装箱</w:t>
            </w:r>
          </w:p>
        </w:tc>
      </w:tr>
      <w:tr>
        <w:tblPrEx>
          <w:tblCellMar>
            <w:top w:w="0" w:type="dxa"/>
            <w:left w:w="0" w:type="dxa"/>
            <w:bottom w:w="0" w:type="dxa"/>
            <w:right w:w="0" w:type="dxa"/>
          </w:tblCellMar>
        </w:tblPrEx>
        <w:trPr>
          <w:trHeight w:val="218" w:hRule="atLeast"/>
        </w:trPr>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4</w:t>
            </w:r>
          </w:p>
        </w:tc>
        <w:tc>
          <w:tcPr>
            <w:tcW w:w="2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铁路整车到达车门口对装包干费（人力）</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元/吨</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6%</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p>
        </w:tc>
        <w:tc>
          <w:tcPr>
            <w:tcW w:w="2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包含铁路到站装卸费，不含装箱</w:t>
            </w:r>
          </w:p>
        </w:tc>
      </w:tr>
    </w:tbl>
    <w:p>
      <w:pPr>
        <w:spacing w:line="360" w:lineRule="auto"/>
        <w:rPr>
          <w:rFonts w:ascii="宋体" w:hAnsi="宋体" w:cs="宋体"/>
          <w:sz w:val="22"/>
          <w:szCs w:val="22"/>
        </w:rPr>
      </w:pPr>
      <w:r>
        <w:rPr>
          <w:rFonts w:ascii="宋体" w:hAnsi="宋体" w:cs="宋体"/>
          <w:sz w:val="22"/>
          <w:szCs w:val="22"/>
        </w:rPr>
        <w:t>3</w:t>
      </w:r>
      <w:r>
        <w:rPr>
          <w:rFonts w:hint="eastAsia" w:ascii="宋体" w:hAnsi="宋体" w:cs="宋体"/>
          <w:sz w:val="22"/>
          <w:szCs w:val="22"/>
        </w:rPr>
        <w:t>、人工装箱集港作业环节（外提箱操作模式）：按照出库通知单要求，在既定时间内到指定堆场完成换单、验箱、提空箱；返回产品存储库房后及时进行人工装箱、拍照，并反馈箱封号及箱皮重信息；在截关时间内完成重箱集港至天津港北疆区域集装箱码头的整体物流作业等环节。</w:t>
      </w:r>
    </w:p>
    <w:tbl>
      <w:tblPr>
        <w:tblStyle w:val="13"/>
        <w:tblW w:w="10010" w:type="dxa"/>
        <w:tblInd w:w="0" w:type="dxa"/>
        <w:tblLayout w:type="fixed"/>
        <w:tblCellMar>
          <w:top w:w="0" w:type="dxa"/>
          <w:left w:w="0" w:type="dxa"/>
          <w:bottom w:w="0" w:type="dxa"/>
          <w:right w:w="0" w:type="dxa"/>
        </w:tblCellMar>
      </w:tblPr>
      <w:tblGrid>
        <w:gridCol w:w="400"/>
        <w:gridCol w:w="2962"/>
        <w:gridCol w:w="870"/>
        <w:gridCol w:w="886"/>
        <w:gridCol w:w="1106"/>
        <w:gridCol w:w="1059"/>
        <w:gridCol w:w="1091"/>
        <w:gridCol w:w="1636"/>
      </w:tblGrid>
      <w:tr>
        <w:tblPrEx>
          <w:tblCellMar>
            <w:top w:w="0" w:type="dxa"/>
            <w:left w:w="0" w:type="dxa"/>
            <w:bottom w:w="0" w:type="dxa"/>
            <w:right w:w="0" w:type="dxa"/>
          </w:tblCellMar>
        </w:tblPrEx>
        <w:trPr>
          <w:trHeight w:val="334" w:hRule="atLeast"/>
        </w:trPr>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序号</w:t>
            </w:r>
          </w:p>
        </w:tc>
        <w:tc>
          <w:tcPr>
            <w:tcW w:w="2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线路名称</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单位</w:t>
            </w:r>
          </w:p>
        </w:tc>
        <w:tc>
          <w:tcPr>
            <w:tcW w:w="8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税率</w:t>
            </w:r>
          </w:p>
        </w:tc>
        <w:tc>
          <w:tcPr>
            <w:tcW w:w="1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价税合计金额</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不含税金额</w:t>
            </w:r>
          </w:p>
        </w:tc>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税额</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备注</w:t>
            </w:r>
          </w:p>
        </w:tc>
      </w:tr>
      <w:tr>
        <w:tblPrEx>
          <w:tblCellMar>
            <w:top w:w="0" w:type="dxa"/>
            <w:left w:w="0" w:type="dxa"/>
            <w:bottom w:w="0" w:type="dxa"/>
            <w:right w:w="0" w:type="dxa"/>
          </w:tblCellMar>
        </w:tblPrEx>
        <w:trPr>
          <w:trHeight w:val="413" w:hRule="atLeast"/>
        </w:trPr>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ascii="宋体" w:hAnsi="宋体" w:cs="宋体"/>
                <w:color w:val="000000"/>
                <w:kern w:val="0"/>
                <w:sz w:val="16"/>
                <w:szCs w:val="16"/>
                <w:lang w:bidi="ar"/>
              </w:rPr>
              <w:t>1</w:t>
            </w:r>
          </w:p>
        </w:tc>
        <w:tc>
          <w:tcPr>
            <w:tcW w:w="2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kern w:val="0"/>
                <w:sz w:val="16"/>
                <w:szCs w:val="16"/>
                <w:lang w:bidi="ar"/>
              </w:rPr>
              <w:t>人工装箱、集港费</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kern w:val="0"/>
                <w:sz w:val="16"/>
                <w:szCs w:val="16"/>
                <w:lang w:bidi="ar"/>
              </w:rPr>
              <w:t>元/20GP</w:t>
            </w:r>
          </w:p>
        </w:tc>
        <w:tc>
          <w:tcPr>
            <w:tcW w:w="8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kern w:val="0"/>
                <w:sz w:val="16"/>
                <w:szCs w:val="16"/>
                <w:lang w:bidi="ar"/>
              </w:rPr>
              <w:t>6%</w:t>
            </w:r>
          </w:p>
        </w:tc>
        <w:tc>
          <w:tcPr>
            <w:tcW w:w="1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kern w:val="0"/>
                <w:sz w:val="16"/>
                <w:szCs w:val="16"/>
                <w:lang w:bidi="ar"/>
              </w:rPr>
            </w:pP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kern w:val="0"/>
                <w:sz w:val="16"/>
                <w:szCs w:val="16"/>
                <w:lang w:bidi="ar"/>
              </w:rPr>
            </w:pPr>
          </w:p>
        </w:tc>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kern w:val="0"/>
                <w:sz w:val="16"/>
                <w:szCs w:val="16"/>
                <w:lang w:bidi="ar"/>
              </w:rPr>
            </w:pP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kern w:val="0"/>
                <w:sz w:val="16"/>
                <w:szCs w:val="16"/>
                <w:lang w:bidi="ar"/>
              </w:rPr>
              <w:t>仅限小包装业务，同时适用于公海对装业务</w:t>
            </w:r>
          </w:p>
        </w:tc>
      </w:tr>
    </w:tbl>
    <w:p>
      <w:pPr>
        <w:spacing w:line="360" w:lineRule="auto"/>
        <w:rPr>
          <w:rFonts w:ascii="宋体" w:hAnsi="宋体" w:cs="宋体"/>
          <w:sz w:val="22"/>
          <w:szCs w:val="22"/>
        </w:rPr>
      </w:pPr>
      <w:r>
        <w:rPr>
          <w:rFonts w:ascii="宋体" w:hAnsi="宋体" w:cs="宋体"/>
          <w:sz w:val="22"/>
          <w:szCs w:val="22"/>
        </w:rPr>
        <w:t>4</w:t>
      </w:r>
      <w:r>
        <w:rPr>
          <w:rFonts w:hint="eastAsia" w:ascii="宋体" w:hAnsi="宋体" w:cs="宋体"/>
          <w:sz w:val="22"/>
          <w:szCs w:val="22"/>
        </w:rPr>
        <w:t>、其他附属作业费率：定额管理不再单独系统报价，按照我司仓储物流合同条款约定标准执行。</w:t>
      </w:r>
    </w:p>
    <w:tbl>
      <w:tblPr>
        <w:tblStyle w:val="13"/>
        <w:tblW w:w="9975" w:type="dxa"/>
        <w:tblInd w:w="0" w:type="dxa"/>
        <w:tblLayout w:type="fixed"/>
        <w:tblCellMar>
          <w:top w:w="0" w:type="dxa"/>
          <w:left w:w="0" w:type="dxa"/>
          <w:bottom w:w="0" w:type="dxa"/>
          <w:right w:w="0" w:type="dxa"/>
        </w:tblCellMar>
      </w:tblPr>
      <w:tblGrid>
        <w:gridCol w:w="539"/>
        <w:gridCol w:w="2738"/>
        <w:gridCol w:w="683"/>
        <w:gridCol w:w="690"/>
        <w:gridCol w:w="1110"/>
        <w:gridCol w:w="960"/>
        <w:gridCol w:w="840"/>
        <w:gridCol w:w="2415"/>
      </w:tblGrid>
      <w:tr>
        <w:tblPrEx>
          <w:tblCellMar>
            <w:top w:w="0" w:type="dxa"/>
            <w:left w:w="0" w:type="dxa"/>
            <w:bottom w:w="0" w:type="dxa"/>
            <w:right w:w="0" w:type="dxa"/>
          </w:tblCellMar>
        </w:tblPrEx>
        <w:trPr>
          <w:trHeight w:val="260" w:hRule="atLeast"/>
        </w:trPr>
        <w:tc>
          <w:tcPr>
            <w:tcW w:w="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lang w:bidi="ar"/>
              </w:rPr>
              <w:t>序号</w:t>
            </w:r>
          </w:p>
        </w:tc>
        <w:tc>
          <w:tcPr>
            <w:tcW w:w="2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
                <w:sz w:val="16"/>
                <w:szCs w:val="16"/>
              </w:rPr>
            </w:pPr>
            <w:r>
              <w:rPr>
                <w:rFonts w:hint="eastAsia" w:ascii="宋体" w:hAnsi="宋体" w:cs="宋体"/>
                <w:b/>
                <w:kern w:val="0"/>
                <w:sz w:val="16"/>
                <w:szCs w:val="16"/>
                <w:lang w:bidi="ar"/>
              </w:rPr>
              <w:t>费用明细</w:t>
            </w:r>
          </w:p>
        </w:tc>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单位</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税率</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价税合计金额</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不含税金额</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税额</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备注</w:t>
            </w:r>
          </w:p>
        </w:tc>
      </w:tr>
      <w:tr>
        <w:tblPrEx>
          <w:tblCellMar>
            <w:top w:w="0" w:type="dxa"/>
            <w:left w:w="0" w:type="dxa"/>
            <w:bottom w:w="0" w:type="dxa"/>
            <w:right w:w="0" w:type="dxa"/>
          </w:tblCellMar>
        </w:tblPrEx>
        <w:trPr>
          <w:trHeight w:val="270" w:hRule="atLeast"/>
        </w:trPr>
        <w:tc>
          <w:tcPr>
            <w:tcW w:w="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sz w:val="16"/>
                <w:szCs w:val="16"/>
              </w:rPr>
              <w:t>1</w:t>
            </w:r>
          </w:p>
        </w:tc>
        <w:tc>
          <w:tcPr>
            <w:tcW w:w="2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16"/>
                <w:szCs w:val="16"/>
              </w:rPr>
            </w:pPr>
            <w:r>
              <w:rPr>
                <w:rFonts w:hint="eastAsia" w:ascii="宋体" w:hAnsi="宋体" w:cs="宋体"/>
                <w:kern w:val="0"/>
                <w:sz w:val="16"/>
                <w:szCs w:val="16"/>
                <w:lang w:bidi="ar"/>
              </w:rPr>
              <w:t>打缠膜(不含材料费)</w:t>
            </w:r>
          </w:p>
        </w:tc>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元/托</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3.5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3.3</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0.2</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380" w:hRule="atLeast"/>
        </w:trPr>
        <w:tc>
          <w:tcPr>
            <w:tcW w:w="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kern w:val="0"/>
                <w:sz w:val="16"/>
                <w:szCs w:val="16"/>
                <w:lang w:bidi="ar"/>
              </w:rPr>
              <w:t>2</w:t>
            </w:r>
          </w:p>
        </w:tc>
        <w:tc>
          <w:tcPr>
            <w:tcW w:w="2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16"/>
                <w:szCs w:val="16"/>
              </w:rPr>
            </w:pPr>
            <w:r>
              <w:rPr>
                <w:rFonts w:hint="eastAsia" w:ascii="宋体" w:hAnsi="宋体" w:cs="宋体"/>
                <w:kern w:val="0"/>
                <w:sz w:val="16"/>
                <w:szCs w:val="16"/>
                <w:lang w:bidi="ar"/>
              </w:rPr>
              <w:t>除标签后贴标签</w:t>
            </w:r>
          </w:p>
        </w:tc>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元/张</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0.75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0.71</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0.04</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380" w:hRule="atLeast"/>
        </w:trPr>
        <w:tc>
          <w:tcPr>
            <w:tcW w:w="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kern w:val="0"/>
                <w:sz w:val="16"/>
                <w:szCs w:val="16"/>
                <w:lang w:bidi="ar"/>
              </w:rPr>
              <w:t>3</w:t>
            </w:r>
          </w:p>
        </w:tc>
        <w:tc>
          <w:tcPr>
            <w:tcW w:w="2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16"/>
                <w:szCs w:val="16"/>
              </w:rPr>
            </w:pPr>
            <w:r>
              <w:rPr>
                <w:rFonts w:hint="eastAsia" w:ascii="宋体" w:hAnsi="宋体" w:cs="宋体"/>
                <w:kern w:val="0"/>
                <w:sz w:val="16"/>
                <w:szCs w:val="16"/>
                <w:lang w:bidi="ar"/>
              </w:rPr>
              <w:t>加贴标签</w:t>
            </w:r>
          </w:p>
        </w:tc>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元/张</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0.47</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0.03</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380" w:hRule="atLeast"/>
        </w:trPr>
        <w:tc>
          <w:tcPr>
            <w:tcW w:w="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kern w:val="0"/>
                <w:sz w:val="16"/>
                <w:szCs w:val="16"/>
                <w:lang w:bidi="ar"/>
              </w:rPr>
              <w:t>4</w:t>
            </w:r>
          </w:p>
        </w:tc>
        <w:tc>
          <w:tcPr>
            <w:tcW w:w="2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16"/>
                <w:szCs w:val="16"/>
              </w:rPr>
            </w:pPr>
            <w:r>
              <w:rPr>
                <w:rFonts w:hint="eastAsia" w:ascii="宋体" w:hAnsi="宋体" w:cs="宋体"/>
                <w:kern w:val="0"/>
                <w:sz w:val="16"/>
                <w:szCs w:val="16"/>
                <w:lang w:bidi="ar"/>
              </w:rPr>
              <w:t>二次归垛费</w:t>
            </w:r>
          </w:p>
        </w:tc>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元/托</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7.55</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0.45</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操作前须经甲方确认并同意</w:t>
            </w:r>
          </w:p>
        </w:tc>
      </w:tr>
      <w:tr>
        <w:tblPrEx>
          <w:tblCellMar>
            <w:top w:w="0" w:type="dxa"/>
            <w:left w:w="0" w:type="dxa"/>
            <w:bottom w:w="0" w:type="dxa"/>
            <w:right w:w="0" w:type="dxa"/>
          </w:tblCellMar>
        </w:tblPrEx>
        <w:trPr>
          <w:trHeight w:val="270" w:hRule="atLeast"/>
        </w:trPr>
        <w:tc>
          <w:tcPr>
            <w:tcW w:w="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kern w:val="0"/>
                <w:sz w:val="16"/>
                <w:szCs w:val="16"/>
                <w:lang w:bidi="ar"/>
              </w:rPr>
              <w:t>5</w:t>
            </w:r>
          </w:p>
        </w:tc>
        <w:tc>
          <w:tcPr>
            <w:tcW w:w="2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16"/>
                <w:szCs w:val="16"/>
              </w:rPr>
            </w:pPr>
            <w:r>
              <w:rPr>
                <w:rFonts w:hint="eastAsia" w:ascii="宋体" w:hAnsi="宋体" w:cs="宋体"/>
                <w:kern w:val="0"/>
                <w:sz w:val="16"/>
                <w:szCs w:val="16"/>
                <w:lang w:bidi="ar"/>
              </w:rPr>
              <w:t>零散集港</w:t>
            </w:r>
          </w:p>
        </w:tc>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元/车次</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200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188.68</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11.32</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5托及以下</w:t>
            </w:r>
          </w:p>
        </w:tc>
      </w:tr>
      <w:tr>
        <w:tblPrEx>
          <w:tblCellMar>
            <w:top w:w="0" w:type="dxa"/>
            <w:left w:w="0" w:type="dxa"/>
            <w:bottom w:w="0" w:type="dxa"/>
            <w:right w:w="0" w:type="dxa"/>
          </w:tblCellMar>
        </w:tblPrEx>
        <w:trPr>
          <w:trHeight w:val="270" w:hRule="atLeast"/>
        </w:trPr>
        <w:tc>
          <w:tcPr>
            <w:tcW w:w="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16"/>
                <w:szCs w:val="16"/>
                <w:lang w:bidi="ar"/>
              </w:rPr>
            </w:pPr>
            <w:r>
              <w:rPr>
                <w:rFonts w:hint="eastAsia" w:ascii="宋体" w:hAnsi="宋体" w:cs="宋体"/>
                <w:kern w:val="0"/>
                <w:sz w:val="16"/>
                <w:szCs w:val="16"/>
                <w:lang w:bidi="ar"/>
              </w:rPr>
              <w:t>6</w:t>
            </w:r>
          </w:p>
        </w:tc>
        <w:tc>
          <w:tcPr>
            <w:tcW w:w="2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kern w:val="0"/>
                <w:sz w:val="16"/>
                <w:szCs w:val="16"/>
                <w:lang w:bidi="ar"/>
              </w:rPr>
            </w:pPr>
            <w:r>
              <w:rPr>
                <w:rFonts w:hint="eastAsia" w:ascii="宋体" w:hAnsi="宋体" w:cs="宋体"/>
                <w:kern w:val="0"/>
                <w:sz w:val="16"/>
                <w:szCs w:val="16"/>
                <w:lang w:bidi="ar"/>
              </w:rPr>
              <w:t>打托包干费（含托盘、人工作业费）</w:t>
            </w:r>
          </w:p>
        </w:tc>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/元/托</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6%</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95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89.62</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5.38</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仅限小包装业务</w:t>
            </w:r>
          </w:p>
        </w:tc>
      </w:tr>
      <w:tr>
        <w:tblPrEx>
          <w:tblCellMar>
            <w:top w:w="0" w:type="dxa"/>
            <w:left w:w="0" w:type="dxa"/>
            <w:bottom w:w="0" w:type="dxa"/>
            <w:right w:w="0" w:type="dxa"/>
          </w:tblCellMar>
        </w:tblPrEx>
        <w:trPr>
          <w:trHeight w:val="270" w:hRule="atLeast"/>
        </w:trPr>
        <w:tc>
          <w:tcPr>
            <w:tcW w:w="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16"/>
                <w:szCs w:val="16"/>
                <w:lang w:bidi="ar"/>
              </w:rPr>
            </w:pPr>
            <w:r>
              <w:rPr>
                <w:rFonts w:hint="eastAsia" w:ascii="宋体" w:hAnsi="宋体" w:cs="宋体"/>
                <w:kern w:val="0"/>
                <w:sz w:val="16"/>
                <w:szCs w:val="16"/>
                <w:lang w:bidi="ar"/>
              </w:rPr>
              <w:t>7</w:t>
            </w:r>
          </w:p>
        </w:tc>
        <w:tc>
          <w:tcPr>
            <w:tcW w:w="2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kern w:val="0"/>
                <w:sz w:val="16"/>
                <w:szCs w:val="16"/>
                <w:lang w:bidi="ar"/>
              </w:rPr>
            </w:pPr>
            <w:r>
              <w:rPr>
                <w:rFonts w:hint="eastAsia" w:ascii="宋体" w:hAnsi="宋体" w:cs="宋体"/>
                <w:kern w:val="0"/>
                <w:sz w:val="16"/>
                <w:szCs w:val="16"/>
                <w:lang w:bidi="ar"/>
              </w:rPr>
              <w:t>打托包干费（不含托盘、含人工作业费）</w:t>
            </w:r>
          </w:p>
        </w:tc>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/元/托</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6%</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25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23.58</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1.42</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仅限小包装业务</w:t>
            </w:r>
          </w:p>
        </w:tc>
      </w:tr>
      <w:tr>
        <w:tblPrEx>
          <w:tblCellMar>
            <w:top w:w="0" w:type="dxa"/>
            <w:left w:w="0" w:type="dxa"/>
            <w:bottom w:w="0" w:type="dxa"/>
            <w:right w:w="0" w:type="dxa"/>
          </w:tblCellMar>
        </w:tblPrEx>
        <w:trPr>
          <w:trHeight w:val="270" w:hRule="atLeast"/>
        </w:trPr>
        <w:tc>
          <w:tcPr>
            <w:tcW w:w="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16"/>
                <w:szCs w:val="16"/>
                <w:lang w:bidi="ar"/>
              </w:rPr>
            </w:pPr>
            <w:r>
              <w:rPr>
                <w:rFonts w:hint="eastAsia" w:ascii="宋体" w:hAnsi="宋体" w:cs="宋体"/>
                <w:kern w:val="0"/>
                <w:sz w:val="16"/>
                <w:szCs w:val="16"/>
                <w:lang w:bidi="ar"/>
              </w:rPr>
              <w:t>8</w:t>
            </w:r>
          </w:p>
        </w:tc>
        <w:tc>
          <w:tcPr>
            <w:tcW w:w="2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kern w:val="0"/>
                <w:sz w:val="16"/>
                <w:szCs w:val="16"/>
                <w:lang w:bidi="ar"/>
              </w:rPr>
            </w:pPr>
            <w:r>
              <w:rPr>
                <w:rFonts w:hint="eastAsia" w:ascii="宋体" w:hAnsi="宋体" w:cs="宋体"/>
                <w:kern w:val="0"/>
                <w:sz w:val="16"/>
                <w:szCs w:val="16"/>
                <w:lang w:bidi="ar"/>
              </w:rPr>
              <w:t>换箱</w:t>
            </w:r>
          </w:p>
        </w:tc>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/元/箱</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6%</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0.94</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0.06</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仅限小包装业务</w:t>
            </w:r>
          </w:p>
        </w:tc>
      </w:tr>
      <w:tr>
        <w:tblPrEx>
          <w:tblCellMar>
            <w:top w:w="0" w:type="dxa"/>
            <w:left w:w="0" w:type="dxa"/>
            <w:bottom w:w="0" w:type="dxa"/>
            <w:right w:w="0" w:type="dxa"/>
          </w:tblCellMar>
        </w:tblPrEx>
        <w:trPr>
          <w:trHeight w:val="270" w:hRule="atLeast"/>
        </w:trPr>
        <w:tc>
          <w:tcPr>
            <w:tcW w:w="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4</w:t>
            </w:r>
          </w:p>
        </w:tc>
        <w:tc>
          <w:tcPr>
            <w:tcW w:w="2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kern w:val="0"/>
                <w:sz w:val="16"/>
                <w:szCs w:val="16"/>
                <w:lang w:bidi="ar"/>
              </w:rPr>
              <w:t>库房出库到堆场集港费用</w:t>
            </w:r>
          </w:p>
        </w:tc>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kern w:val="0"/>
                <w:sz w:val="16"/>
                <w:szCs w:val="16"/>
                <w:lang w:bidi="ar"/>
              </w:rPr>
              <w:t>元/吨</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kern w:val="0"/>
                <w:sz w:val="16"/>
                <w:szCs w:val="16"/>
                <w:lang w:bidi="ar"/>
              </w:rPr>
              <w:t>6%</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10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9.43</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0.57</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此费率无需报价</w:t>
            </w:r>
          </w:p>
        </w:tc>
      </w:tr>
      <w:tr>
        <w:tblPrEx>
          <w:tblCellMar>
            <w:top w:w="0" w:type="dxa"/>
            <w:left w:w="0" w:type="dxa"/>
            <w:bottom w:w="0" w:type="dxa"/>
            <w:right w:w="0" w:type="dxa"/>
          </w:tblCellMar>
        </w:tblPrEx>
        <w:trPr>
          <w:trHeight w:val="270" w:hRule="atLeast"/>
        </w:trPr>
        <w:tc>
          <w:tcPr>
            <w:tcW w:w="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5</w:t>
            </w:r>
          </w:p>
        </w:tc>
        <w:tc>
          <w:tcPr>
            <w:tcW w:w="2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kern w:val="0"/>
                <w:sz w:val="16"/>
                <w:szCs w:val="16"/>
                <w:lang w:bidi="ar"/>
              </w:rPr>
            </w:pPr>
            <w:r>
              <w:rPr>
                <w:rFonts w:hint="eastAsia"/>
                <w:color w:val="000000"/>
                <w:sz w:val="16"/>
                <w:szCs w:val="16"/>
              </w:rPr>
              <w:t>东疆太平洋码头新增集港费</w:t>
            </w:r>
          </w:p>
        </w:tc>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kern w:val="0"/>
                <w:sz w:val="16"/>
                <w:szCs w:val="16"/>
                <w:lang w:bidi="ar"/>
              </w:rPr>
            </w:pPr>
            <w:r>
              <w:rPr>
                <w:rFonts w:hint="eastAsia"/>
                <w:color w:val="000000"/>
                <w:sz w:val="16"/>
                <w:szCs w:val="16"/>
              </w:rPr>
              <w:t>元/20</w:t>
            </w:r>
            <w:r>
              <w:rPr>
                <w:rStyle w:val="28"/>
                <w:color w:val="auto"/>
              </w:rPr>
              <w:t>尺柜</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kern w:val="0"/>
                <w:sz w:val="16"/>
                <w:szCs w:val="16"/>
                <w:lang w:bidi="ar"/>
              </w:rPr>
            </w:pPr>
            <w:r>
              <w:rPr>
                <w:rFonts w:hint="eastAsia"/>
                <w:color w:val="000000"/>
                <w:sz w:val="16"/>
                <w:szCs w:val="16"/>
              </w:rPr>
              <w:t>6%</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100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94.34</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5.66</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此费率无需报价</w:t>
            </w:r>
          </w:p>
        </w:tc>
      </w:tr>
    </w:tbl>
    <w:p>
      <w:pPr>
        <w:autoSpaceDE w:val="0"/>
        <w:autoSpaceDN w:val="0"/>
        <w:adjustRightInd w:val="0"/>
        <w:spacing w:line="360" w:lineRule="auto"/>
        <w:jc w:val="left"/>
        <w:rPr>
          <w:rFonts w:ascii="宋体" w:hAnsi="宋体" w:cs="宋体"/>
          <w:color w:val="000000"/>
          <w:sz w:val="24"/>
        </w:rPr>
      </w:pPr>
      <w:r>
        <w:rPr>
          <w:rFonts w:hint="eastAsia" w:ascii="宋体" w:hAnsi="宋体" w:cs="宋体"/>
          <w:color w:val="000000"/>
          <w:sz w:val="24"/>
        </w:rPr>
        <w:t>5、</w:t>
      </w:r>
      <w:r>
        <w:rPr>
          <w:rFonts w:hint="eastAsia" w:ascii="宋体" w:hAnsi="宋体" w:cs="宋体"/>
          <w:sz w:val="24"/>
        </w:rPr>
        <w:t>所有价格以中粮屯河电子采购平台的拟定此次项目供应商报价金额为准。</w:t>
      </w:r>
      <w:r>
        <w:rPr>
          <w:rFonts w:hint="eastAsia" w:ascii="宋体" w:hAnsi="宋体" w:cs="宋体"/>
          <w:color w:val="000000"/>
          <w:sz w:val="24"/>
        </w:rPr>
        <w:t>报价单中未涵盖配送线路信息在后续其他物流项目单独报价。</w:t>
      </w:r>
    </w:p>
    <w:p>
      <w:pPr>
        <w:autoSpaceDE w:val="0"/>
        <w:autoSpaceDN w:val="0"/>
        <w:adjustRightInd w:val="0"/>
        <w:spacing w:line="360" w:lineRule="auto"/>
        <w:jc w:val="left"/>
        <w:rPr>
          <w:rFonts w:ascii="宋体" w:hAnsi="宋体" w:cs="宋体"/>
          <w:color w:val="000000"/>
          <w:sz w:val="24"/>
        </w:rPr>
      </w:pPr>
      <w:r>
        <w:rPr>
          <w:rFonts w:hint="eastAsia" w:ascii="宋体" w:hAnsi="宋体" w:cs="宋体"/>
          <w:color w:val="000000"/>
          <w:sz w:val="24"/>
        </w:rPr>
        <w:t>6、其他额外作业所发生的费用，需双方事先书面确认后，再行作业。</w:t>
      </w:r>
    </w:p>
    <w:p>
      <w:pPr>
        <w:spacing w:line="360" w:lineRule="auto"/>
        <w:jc w:val="center"/>
        <w:rPr>
          <w:rFonts w:ascii="宋体" w:hAnsi="宋体" w:cs="宋体"/>
          <w:b/>
          <w:color w:val="000000"/>
          <w:sz w:val="36"/>
          <w:szCs w:val="36"/>
        </w:rPr>
      </w:pPr>
    </w:p>
    <w:p>
      <w:pPr>
        <w:spacing w:line="360" w:lineRule="auto"/>
        <w:jc w:val="center"/>
        <w:rPr>
          <w:rFonts w:ascii="宋体" w:hAnsi="宋体" w:cs="宋体"/>
          <w:b/>
          <w:color w:val="000000"/>
          <w:sz w:val="36"/>
          <w:szCs w:val="36"/>
        </w:rPr>
      </w:pPr>
    </w:p>
    <w:p>
      <w:pPr>
        <w:spacing w:line="360" w:lineRule="auto"/>
        <w:jc w:val="center"/>
        <w:rPr>
          <w:rFonts w:ascii="宋体" w:hAnsi="宋体" w:cs="宋体"/>
          <w:b/>
          <w:color w:val="000000"/>
          <w:sz w:val="36"/>
          <w:szCs w:val="36"/>
        </w:rPr>
      </w:pPr>
    </w:p>
    <w:p>
      <w:pPr>
        <w:spacing w:line="360" w:lineRule="auto"/>
        <w:jc w:val="center"/>
        <w:rPr>
          <w:rFonts w:ascii="宋体" w:hAnsi="宋体" w:cs="宋体"/>
          <w:b/>
          <w:color w:val="000000"/>
          <w:sz w:val="36"/>
          <w:szCs w:val="36"/>
        </w:rPr>
      </w:pPr>
    </w:p>
    <w:p>
      <w:pPr>
        <w:spacing w:line="360" w:lineRule="auto"/>
        <w:jc w:val="center"/>
        <w:rPr>
          <w:rFonts w:ascii="宋体" w:hAnsi="宋体" w:cs="宋体"/>
          <w:b/>
          <w:color w:val="000000"/>
          <w:sz w:val="36"/>
          <w:szCs w:val="36"/>
        </w:rPr>
      </w:pPr>
    </w:p>
    <w:p>
      <w:pPr>
        <w:spacing w:line="360" w:lineRule="auto"/>
        <w:jc w:val="center"/>
        <w:rPr>
          <w:rFonts w:ascii="宋体" w:hAnsi="宋体" w:cs="宋体"/>
          <w:b/>
          <w:color w:val="000000"/>
          <w:sz w:val="36"/>
          <w:szCs w:val="36"/>
        </w:rPr>
      </w:pPr>
    </w:p>
    <w:p>
      <w:pPr>
        <w:spacing w:line="360" w:lineRule="auto"/>
        <w:jc w:val="center"/>
        <w:rPr>
          <w:rFonts w:ascii="宋体" w:hAnsi="宋体" w:cs="宋体"/>
          <w:b/>
          <w:color w:val="000000"/>
          <w:sz w:val="36"/>
          <w:szCs w:val="36"/>
        </w:rPr>
      </w:pPr>
    </w:p>
    <w:p>
      <w:pPr>
        <w:spacing w:line="360" w:lineRule="auto"/>
        <w:jc w:val="center"/>
        <w:rPr>
          <w:rFonts w:ascii="宋体" w:hAnsi="宋体" w:cs="宋体"/>
          <w:b/>
          <w:color w:val="000000"/>
          <w:sz w:val="36"/>
          <w:szCs w:val="36"/>
        </w:rPr>
      </w:pPr>
    </w:p>
    <w:p>
      <w:pPr>
        <w:spacing w:line="360" w:lineRule="auto"/>
        <w:jc w:val="center"/>
        <w:rPr>
          <w:rFonts w:ascii="宋体" w:hAnsi="宋体" w:cs="宋体"/>
          <w:b/>
          <w:color w:val="000000"/>
          <w:sz w:val="36"/>
          <w:szCs w:val="36"/>
        </w:rPr>
      </w:pPr>
    </w:p>
    <w:p>
      <w:pPr>
        <w:spacing w:line="360" w:lineRule="auto"/>
        <w:jc w:val="center"/>
        <w:rPr>
          <w:rFonts w:ascii="宋体" w:hAnsi="宋体" w:cs="宋体"/>
          <w:b/>
          <w:color w:val="000000"/>
          <w:sz w:val="36"/>
          <w:szCs w:val="36"/>
        </w:rPr>
      </w:pPr>
    </w:p>
    <w:p>
      <w:pPr>
        <w:spacing w:line="360" w:lineRule="auto"/>
        <w:jc w:val="center"/>
        <w:rPr>
          <w:rFonts w:ascii="宋体" w:hAnsi="宋体" w:cs="宋体"/>
          <w:b/>
          <w:color w:val="000000"/>
          <w:sz w:val="36"/>
          <w:szCs w:val="36"/>
        </w:rPr>
      </w:pPr>
    </w:p>
    <w:p>
      <w:pPr>
        <w:spacing w:line="360" w:lineRule="auto"/>
        <w:jc w:val="center"/>
        <w:rPr>
          <w:rFonts w:ascii="宋体" w:hAnsi="宋体" w:cs="宋体"/>
          <w:b/>
          <w:color w:val="000000"/>
          <w:sz w:val="36"/>
          <w:szCs w:val="36"/>
        </w:rPr>
      </w:pPr>
    </w:p>
    <w:p>
      <w:pPr>
        <w:spacing w:line="360" w:lineRule="auto"/>
        <w:jc w:val="center"/>
        <w:rPr>
          <w:rFonts w:ascii="宋体" w:hAnsi="宋体" w:cs="宋体"/>
          <w:b/>
          <w:color w:val="000000"/>
          <w:sz w:val="36"/>
          <w:szCs w:val="36"/>
        </w:rPr>
      </w:pPr>
    </w:p>
    <w:p>
      <w:pPr>
        <w:spacing w:line="360" w:lineRule="auto"/>
        <w:jc w:val="center"/>
        <w:rPr>
          <w:rFonts w:ascii="宋体" w:hAnsi="宋体" w:cs="宋体"/>
          <w:b/>
          <w:color w:val="000000"/>
          <w:sz w:val="36"/>
          <w:szCs w:val="36"/>
        </w:rPr>
      </w:pPr>
    </w:p>
    <w:p>
      <w:pPr>
        <w:spacing w:line="360" w:lineRule="auto"/>
        <w:rPr>
          <w:rFonts w:ascii="宋体" w:hAnsi="宋体" w:cs="宋体"/>
          <w:b/>
          <w:color w:val="000000"/>
          <w:sz w:val="36"/>
          <w:szCs w:val="36"/>
        </w:rPr>
      </w:pPr>
    </w:p>
    <w:p>
      <w:pPr>
        <w:spacing w:line="360" w:lineRule="auto"/>
        <w:jc w:val="center"/>
        <w:rPr>
          <w:rFonts w:ascii="宋体" w:hAnsi="宋体" w:cs="宋体"/>
          <w:b/>
          <w:color w:val="000000"/>
          <w:sz w:val="36"/>
          <w:szCs w:val="36"/>
        </w:rPr>
      </w:pPr>
    </w:p>
    <w:p>
      <w:pPr>
        <w:spacing w:line="360" w:lineRule="auto"/>
        <w:rPr>
          <w:rFonts w:ascii="宋体" w:hAnsi="宋体" w:cs="宋体"/>
          <w:b/>
          <w:color w:val="000000"/>
          <w:sz w:val="36"/>
          <w:szCs w:val="36"/>
        </w:rPr>
      </w:pPr>
    </w:p>
    <w:p>
      <w:pPr>
        <w:spacing w:line="360" w:lineRule="auto"/>
        <w:jc w:val="center"/>
        <w:rPr>
          <w:rFonts w:ascii="宋体" w:hAnsi="宋体" w:cs="宋体"/>
          <w:b/>
          <w:color w:val="000000"/>
          <w:sz w:val="36"/>
          <w:szCs w:val="36"/>
        </w:rPr>
      </w:pPr>
      <w:r>
        <w:rPr>
          <w:rFonts w:hint="eastAsia" w:ascii="宋体" w:hAnsi="宋体" w:cs="宋体"/>
          <w:b/>
          <w:color w:val="000000"/>
          <w:sz w:val="36"/>
          <w:szCs w:val="36"/>
        </w:rPr>
        <w:t>二、相关附件</w:t>
      </w:r>
    </w:p>
    <w:p>
      <w:pPr>
        <w:spacing w:line="360" w:lineRule="auto"/>
        <w:rPr>
          <w:rFonts w:ascii="仿宋" w:hAnsi="仿宋" w:eastAsia="仿宋"/>
          <w:sz w:val="28"/>
          <w:szCs w:val="28"/>
        </w:rPr>
      </w:pPr>
      <w:r>
        <w:rPr>
          <w:rFonts w:hint="eastAsia" w:ascii="仿宋GB2312" w:hAnsi="仿宋GB2312" w:eastAsia="仿宋GB2312" w:cs="仿宋GB2312"/>
          <w:b/>
          <w:color w:val="000000"/>
          <w:sz w:val="44"/>
          <w:szCs w:val="44"/>
        </w:rPr>
        <w:t xml:space="preserve">          </w:t>
      </w:r>
    </w:p>
    <w:p>
      <w:pPr>
        <w:tabs>
          <w:tab w:val="left" w:pos="900"/>
          <w:tab w:val="left" w:pos="1260"/>
          <w:tab w:val="left" w:pos="2520"/>
        </w:tabs>
        <w:rPr>
          <w:rFonts w:ascii="仿宋" w:hAnsi="仿宋" w:eastAsia="仿宋"/>
          <w:sz w:val="28"/>
          <w:szCs w:val="28"/>
        </w:rPr>
      </w:pPr>
      <w:r>
        <w:rPr>
          <w:rFonts w:hint="eastAsia" w:ascii="仿宋" w:hAnsi="仿宋" w:eastAsia="仿宋"/>
          <w:sz w:val="28"/>
          <w:szCs w:val="28"/>
        </w:rPr>
        <w:t>附件1-</w:t>
      </w:r>
      <w:r>
        <w:rPr>
          <w:rFonts w:ascii="仿宋" w:hAnsi="仿宋" w:eastAsia="仿宋"/>
          <w:sz w:val="28"/>
          <w:szCs w:val="28"/>
        </w:rPr>
        <w:t>1</w:t>
      </w:r>
      <w:r>
        <w:rPr>
          <w:rFonts w:hint="eastAsia" w:ascii="仿宋" w:hAnsi="仿宋" w:eastAsia="仿宋"/>
          <w:sz w:val="28"/>
          <w:szCs w:val="28"/>
        </w:rPr>
        <w:t>营业执照正本或副本（三证合一）原件扫描件</w:t>
      </w:r>
    </w:p>
    <w:p/>
    <w:p>
      <w:pPr>
        <w:pageBreakBefore/>
        <w:spacing w:line="360" w:lineRule="auto"/>
        <w:rPr>
          <w:rFonts w:ascii="宋体" w:hAnsi="宋体"/>
          <w:sz w:val="28"/>
          <w:szCs w:val="28"/>
        </w:rPr>
      </w:pPr>
      <w:r>
        <w:rPr>
          <w:rFonts w:hint="eastAsia" w:ascii="宋体" w:hAnsi="宋体"/>
          <w:sz w:val="28"/>
          <w:szCs w:val="28"/>
        </w:rPr>
        <w:t>附件1-2</w:t>
      </w:r>
    </w:p>
    <w:p>
      <w:pPr>
        <w:jc w:val="center"/>
      </w:pPr>
      <w:r>
        <w:rPr>
          <w:rFonts w:hint="eastAsia" w:ascii="楷体_GB2312" w:eastAsia="楷体_GB2312"/>
          <w:b/>
          <w:sz w:val="36"/>
          <w:szCs w:val="36"/>
        </w:rPr>
        <w:t>授权委托书</w:t>
      </w:r>
    </w:p>
    <w:p>
      <w:pPr>
        <w:spacing w:line="440" w:lineRule="exact"/>
        <w:rPr>
          <w:rFonts w:ascii="楷体_GB2312" w:eastAsia="楷体_GB2312"/>
          <w:sz w:val="24"/>
        </w:rPr>
      </w:pPr>
      <w:r>
        <w:rPr>
          <w:rFonts w:hint="eastAsia" w:ascii="楷体_GB2312" w:eastAsia="楷体_GB2312"/>
          <w:sz w:val="24"/>
        </w:rPr>
        <w:t>委托人：****</w:t>
      </w:r>
    </w:p>
    <w:p>
      <w:pPr>
        <w:spacing w:line="440" w:lineRule="exact"/>
        <w:rPr>
          <w:rFonts w:ascii="楷体_GB2312" w:eastAsia="楷体_GB2312"/>
          <w:sz w:val="24"/>
        </w:rPr>
      </w:pPr>
      <w:r>
        <w:rPr>
          <w:rFonts w:hint="eastAsia" w:ascii="楷体_GB2312" w:eastAsia="楷体_GB2312"/>
          <w:sz w:val="24"/>
        </w:rPr>
        <w:t>住所：***</w:t>
      </w:r>
    </w:p>
    <w:p>
      <w:pPr>
        <w:spacing w:line="440" w:lineRule="exact"/>
        <w:rPr>
          <w:rFonts w:ascii="楷体_GB2312" w:eastAsia="楷体_GB2312"/>
          <w:sz w:val="24"/>
        </w:rPr>
      </w:pPr>
      <w:r>
        <w:rPr>
          <w:rFonts w:hint="eastAsia" w:ascii="楷体_GB2312" w:eastAsia="楷体_GB2312"/>
          <w:sz w:val="24"/>
        </w:rPr>
        <w:t>法定代表人（或负责人）：张**</w:t>
      </w:r>
    </w:p>
    <w:p>
      <w:pPr>
        <w:spacing w:line="440" w:lineRule="exact"/>
        <w:rPr>
          <w:rFonts w:ascii="楷体_GB2312" w:eastAsia="楷体_GB2312"/>
          <w:bCs/>
          <w:sz w:val="24"/>
        </w:rPr>
      </w:pPr>
      <w:r>
        <w:rPr>
          <w:rFonts w:hint="eastAsia" w:ascii="楷体_GB2312" w:eastAsia="楷体_GB2312"/>
          <w:sz w:val="24"/>
        </w:rPr>
        <w:t>代理人：</w:t>
      </w:r>
      <w:r>
        <w:rPr>
          <w:rFonts w:hint="eastAsia" w:ascii="楷体_GB2312" w:eastAsia="楷体_GB2312"/>
          <w:bCs/>
          <w:sz w:val="24"/>
        </w:rPr>
        <w:t>*</w:t>
      </w:r>
      <w:r>
        <w:rPr>
          <w:rFonts w:hint="eastAsia" w:ascii="楷体_GB2312" w:eastAsia="楷体_GB2312"/>
          <w:sz w:val="24"/>
        </w:rPr>
        <w:t>，男，xxxx年 xx月 xx日出生，身份证号码：</w:t>
      </w:r>
      <w:r>
        <w:rPr>
          <w:rFonts w:hint="eastAsia" w:ascii="楷体_GB2312" w:eastAsia="楷体_GB2312"/>
          <w:bCs/>
          <w:sz w:val="24"/>
        </w:rPr>
        <w:t>***,</w:t>
      </w:r>
      <w:r>
        <w:rPr>
          <w:rFonts w:hint="eastAsia" w:ascii="楷体_GB2312" w:eastAsia="楷体_GB2312"/>
          <w:sz w:val="24"/>
        </w:rPr>
        <w:t>系</w:t>
      </w:r>
      <w:r>
        <w:rPr>
          <w:rFonts w:hint="eastAsia" w:ascii="楷体_GB2312" w:eastAsia="楷体_GB2312"/>
          <w:bCs/>
          <w:sz w:val="24"/>
        </w:rPr>
        <w:t>***单</w:t>
      </w:r>
      <w:r>
        <w:rPr>
          <w:rFonts w:hint="eastAsia" w:ascii="楷体_GB2312" w:eastAsia="楷体_GB2312"/>
          <w:sz w:val="24"/>
        </w:rPr>
        <w:t>位职工，现住</w:t>
      </w:r>
      <w:r>
        <w:rPr>
          <w:rFonts w:hint="eastAsia" w:ascii="楷体_GB2312" w:eastAsia="楷体_GB2312"/>
          <w:bCs/>
          <w:sz w:val="24"/>
        </w:rPr>
        <w:t>**</w:t>
      </w:r>
    </w:p>
    <w:p>
      <w:pPr>
        <w:spacing w:line="440" w:lineRule="exact"/>
        <w:rPr>
          <w:rFonts w:ascii="楷体_GB2312" w:eastAsia="楷体_GB2312"/>
          <w:sz w:val="24"/>
        </w:rPr>
      </w:pPr>
      <w:r>
        <w:rPr>
          <w:rFonts w:hint="eastAsia" w:ascii="楷体_GB2312" w:eastAsia="楷体_GB2312"/>
          <w:sz w:val="24"/>
        </w:rPr>
        <w:t>授权事项：</w:t>
      </w:r>
    </w:p>
    <w:p>
      <w:pPr>
        <w:spacing w:line="440" w:lineRule="exact"/>
        <w:ind w:firstLine="470" w:firstLineChars="196"/>
        <w:rPr>
          <w:rFonts w:ascii="楷体_GB2312" w:eastAsia="楷体_GB2312"/>
          <w:sz w:val="24"/>
        </w:rPr>
      </w:pPr>
      <w:r>
        <w:rPr>
          <w:rFonts w:hint="eastAsia" w:ascii="楷体_GB2312" w:eastAsia="楷体_GB2312"/>
          <w:sz w:val="24"/>
        </w:rPr>
        <w:t>1、委托人委托代理人**代表委托人参加中粮屯河番茄有限公司的招标或议标活动，以委托人的名义全权办理招标或议标过程中的投标、报价、议标谈判等一切与招标或议标相关的事宜。</w:t>
      </w:r>
    </w:p>
    <w:p>
      <w:pPr>
        <w:spacing w:line="440" w:lineRule="exact"/>
        <w:ind w:firstLine="470" w:firstLineChars="196"/>
        <w:rPr>
          <w:rFonts w:ascii="楷体_GB2312" w:eastAsia="楷体_GB2312"/>
          <w:sz w:val="24"/>
        </w:rPr>
      </w:pPr>
      <w:r>
        <w:rPr>
          <w:rFonts w:hint="eastAsia" w:ascii="楷体_GB2312" w:eastAsia="楷体_GB2312"/>
          <w:sz w:val="24"/>
        </w:rPr>
        <w:t>2、如果委托人中标，代理人以委托人的名义与中粮集团公司及所属各级单位签订合同，并办理合同履行过程中的一切相关事宜。</w:t>
      </w:r>
    </w:p>
    <w:p>
      <w:pPr>
        <w:spacing w:line="440" w:lineRule="exact"/>
        <w:ind w:firstLine="470" w:firstLineChars="196"/>
        <w:rPr>
          <w:rFonts w:ascii="楷体_GB2312" w:eastAsia="楷体_GB2312"/>
          <w:sz w:val="24"/>
        </w:rPr>
      </w:pPr>
      <w:r>
        <w:rPr>
          <w:rFonts w:hint="eastAsia" w:ascii="楷体_GB2312" w:eastAsia="楷体_GB2312"/>
          <w:sz w:val="24"/>
        </w:rPr>
        <w:t>本公司对代理人的上述代理行为均予以认可并承担责任。</w:t>
      </w:r>
    </w:p>
    <w:p>
      <w:pPr>
        <w:spacing w:line="440" w:lineRule="exact"/>
        <w:ind w:right="560"/>
        <w:rPr>
          <w:rFonts w:ascii="楷体_GB2312" w:eastAsia="楷体_GB2312"/>
          <w:sz w:val="24"/>
        </w:rPr>
      </w:pPr>
      <w:r>
        <w:rPr>
          <w:rFonts w:hint="eastAsia" w:ascii="楷体_GB2312" w:eastAsia="楷体_GB2312"/>
          <w:sz w:val="24"/>
        </w:rPr>
        <w:t>授权期限：本授权委托书自授权之日起生效，有效期一年。</w:t>
      </w:r>
    </w:p>
    <w:p>
      <w:pPr>
        <w:spacing w:line="440" w:lineRule="exact"/>
        <w:ind w:right="560"/>
        <w:jc w:val="right"/>
        <w:rPr>
          <w:rFonts w:ascii="楷体_GB2312" w:eastAsia="楷体_GB2312"/>
          <w:sz w:val="24"/>
        </w:rPr>
      </w:pPr>
    </w:p>
    <w:p>
      <w:pPr>
        <w:spacing w:line="440" w:lineRule="exact"/>
        <w:ind w:right="560"/>
        <w:jc w:val="center"/>
        <w:rPr>
          <w:rFonts w:ascii="楷体_GB2312" w:eastAsia="楷体_GB2312"/>
          <w:sz w:val="24"/>
        </w:rPr>
      </w:pPr>
      <w:r>
        <w:rPr>
          <w:rFonts w:hint="eastAsia" w:ascii="楷体_GB2312" w:eastAsia="楷体_GB2312"/>
          <w:sz w:val="24"/>
        </w:rPr>
        <w:t>代理人身份证（正、反面）粘贴处：</w:t>
      </w:r>
    </w:p>
    <w:p>
      <w:pPr>
        <w:spacing w:line="440" w:lineRule="exact"/>
        <w:ind w:right="560"/>
        <w:jc w:val="center"/>
        <w:rPr>
          <w:rFonts w:ascii="楷体_GB2312" w:eastAsia="楷体_GB2312"/>
          <w:sz w:val="24"/>
        </w:rPr>
      </w:pPr>
    </w:p>
    <w:p>
      <w:pPr>
        <w:spacing w:line="440" w:lineRule="exact"/>
        <w:ind w:right="560"/>
        <w:jc w:val="center"/>
        <w:rPr>
          <w:rFonts w:ascii="楷体_GB2312" w:eastAsia="楷体_GB2312"/>
          <w:sz w:val="24"/>
        </w:rPr>
      </w:pPr>
    </w:p>
    <w:p>
      <w:pPr>
        <w:spacing w:line="440" w:lineRule="exact"/>
        <w:ind w:right="560"/>
        <w:jc w:val="center"/>
        <w:rPr>
          <w:rFonts w:ascii="楷体_GB2312" w:eastAsia="楷体_GB2312"/>
          <w:sz w:val="24"/>
        </w:rPr>
      </w:pPr>
    </w:p>
    <w:p>
      <w:pPr>
        <w:spacing w:line="440" w:lineRule="exact"/>
        <w:ind w:right="560"/>
        <w:jc w:val="center"/>
        <w:rPr>
          <w:rFonts w:ascii="楷体_GB2312" w:eastAsia="楷体_GB2312"/>
          <w:sz w:val="24"/>
        </w:rPr>
      </w:pPr>
    </w:p>
    <w:p>
      <w:pPr>
        <w:spacing w:line="440" w:lineRule="exact"/>
        <w:ind w:right="560"/>
        <w:jc w:val="center"/>
        <w:rPr>
          <w:rFonts w:ascii="楷体_GB2312" w:eastAsia="楷体_GB2312"/>
          <w:sz w:val="24"/>
        </w:rPr>
      </w:pPr>
    </w:p>
    <w:p>
      <w:pPr>
        <w:spacing w:line="440" w:lineRule="exact"/>
        <w:ind w:right="560"/>
        <w:jc w:val="center"/>
        <w:rPr>
          <w:rFonts w:ascii="楷体_GB2312" w:eastAsia="楷体_GB2312"/>
          <w:sz w:val="24"/>
        </w:rPr>
      </w:pPr>
    </w:p>
    <w:p>
      <w:pPr>
        <w:spacing w:line="440" w:lineRule="exact"/>
        <w:ind w:right="560"/>
        <w:jc w:val="center"/>
        <w:rPr>
          <w:rFonts w:ascii="楷体_GB2312" w:eastAsia="楷体_GB2312"/>
          <w:sz w:val="24"/>
        </w:rPr>
      </w:pPr>
    </w:p>
    <w:p>
      <w:pPr>
        <w:spacing w:line="440" w:lineRule="exact"/>
        <w:ind w:right="560"/>
        <w:jc w:val="center"/>
        <w:rPr>
          <w:rFonts w:ascii="楷体_GB2312" w:eastAsia="楷体_GB2312"/>
          <w:sz w:val="24"/>
        </w:rPr>
      </w:pPr>
    </w:p>
    <w:p>
      <w:pPr>
        <w:spacing w:line="440" w:lineRule="exact"/>
        <w:ind w:right="560"/>
        <w:jc w:val="center"/>
        <w:rPr>
          <w:rFonts w:ascii="楷体_GB2312" w:eastAsia="楷体_GB2312"/>
          <w:sz w:val="24"/>
        </w:rPr>
      </w:pPr>
    </w:p>
    <w:p>
      <w:pPr>
        <w:spacing w:line="440" w:lineRule="exact"/>
        <w:ind w:right="560"/>
        <w:jc w:val="center"/>
        <w:rPr>
          <w:rFonts w:ascii="楷体_GB2312" w:eastAsia="楷体_GB2312"/>
          <w:sz w:val="24"/>
        </w:rPr>
      </w:pPr>
    </w:p>
    <w:p>
      <w:pPr>
        <w:spacing w:line="440" w:lineRule="exact"/>
        <w:ind w:right="480" w:firstLine="3600" w:firstLineChars="1500"/>
        <w:rPr>
          <w:rFonts w:ascii="楷体_GB2312" w:eastAsia="楷体_GB2312"/>
          <w:bCs/>
          <w:sz w:val="24"/>
        </w:rPr>
      </w:pPr>
      <w:r>
        <w:rPr>
          <w:rFonts w:hint="eastAsia" w:ascii="楷体_GB2312" w:eastAsia="楷体_GB2312"/>
          <w:sz w:val="24"/>
        </w:rPr>
        <w:t>委托人：**有限</w:t>
      </w:r>
      <w:r>
        <w:rPr>
          <w:rFonts w:hint="eastAsia" w:ascii="楷体_GB2312" w:eastAsia="楷体_GB2312"/>
          <w:bCs/>
          <w:sz w:val="24"/>
        </w:rPr>
        <w:t>公司</w:t>
      </w:r>
    </w:p>
    <w:p>
      <w:pPr>
        <w:spacing w:line="440" w:lineRule="exact"/>
        <w:ind w:right="480" w:firstLine="3600" w:firstLineChars="1500"/>
        <w:rPr>
          <w:rFonts w:ascii="楷体_GB2312" w:eastAsia="楷体_GB2312"/>
          <w:sz w:val="24"/>
        </w:rPr>
      </w:pPr>
      <w:r>
        <w:rPr>
          <w:rFonts w:hint="eastAsia" w:ascii="楷体_GB2312" w:eastAsia="楷体_GB2312"/>
          <w:sz w:val="24"/>
        </w:rPr>
        <w:t>法定代表人（或负责人）：</w:t>
      </w:r>
    </w:p>
    <w:p>
      <w:pPr>
        <w:spacing w:line="440" w:lineRule="exact"/>
        <w:ind w:left="105" w:leftChars="50" w:right="26" w:firstLine="3854" w:firstLineChars="1606"/>
        <w:rPr>
          <w:rFonts w:ascii="楷体_GB2312" w:eastAsia="楷体_GB2312"/>
          <w:sz w:val="32"/>
          <w:szCs w:val="32"/>
        </w:rPr>
      </w:pPr>
      <w:r>
        <w:rPr>
          <w:rFonts w:hint="eastAsia" w:ascii="楷体_GB2312" w:eastAsia="楷体_GB2312"/>
          <w:sz w:val="24"/>
        </w:rPr>
        <w:t xml:space="preserve">委托授权时间：   </w:t>
      </w:r>
      <w:r>
        <w:rPr>
          <w:rFonts w:ascii="楷体_GB2312" w:eastAsia="楷体_GB2312"/>
          <w:sz w:val="24"/>
        </w:rPr>
        <w:t xml:space="preserve"> </w:t>
      </w:r>
      <w:r>
        <w:rPr>
          <w:rFonts w:hint="eastAsia" w:ascii="楷体_GB2312" w:eastAsia="楷体_GB2312"/>
          <w:sz w:val="24"/>
        </w:rPr>
        <w:t>年  月  日</w:t>
      </w:r>
    </w:p>
    <w:p>
      <w:pPr>
        <w:pageBreakBefore/>
        <w:spacing w:line="360" w:lineRule="auto"/>
        <w:rPr>
          <w:rFonts w:ascii="仿宋" w:hAnsi="仿宋" w:eastAsia="仿宋" w:cs="仿宋"/>
          <w:color w:val="000000"/>
          <w:sz w:val="30"/>
          <w:szCs w:val="30"/>
        </w:rPr>
      </w:pPr>
      <w:r>
        <w:rPr>
          <w:rFonts w:hint="eastAsia" w:ascii="宋体" w:hAnsi="宋体"/>
          <w:sz w:val="28"/>
          <w:szCs w:val="28"/>
        </w:rPr>
        <w:t>附件1-3</w:t>
      </w:r>
      <w:r>
        <w:rPr>
          <w:rFonts w:hint="eastAsia" w:ascii="仿宋" w:hAnsi="仿宋" w:eastAsia="仿宋" w:cs="仿宋"/>
          <w:color w:val="000000"/>
          <w:sz w:val="30"/>
          <w:szCs w:val="30"/>
        </w:rPr>
        <w:t xml:space="preserve">  </w:t>
      </w:r>
    </w:p>
    <w:p>
      <w:pPr>
        <w:autoSpaceDE w:val="0"/>
        <w:autoSpaceDN w:val="0"/>
        <w:adjustRightInd w:val="0"/>
        <w:ind w:firstLine="720" w:firstLineChars="200"/>
        <w:jc w:val="center"/>
        <w:rPr>
          <w:rFonts w:ascii="黑体" w:hAnsi="黑体" w:eastAsia="黑体" w:cs="宋体"/>
          <w:kern w:val="0"/>
          <w:sz w:val="36"/>
          <w:szCs w:val="32"/>
        </w:rPr>
      </w:pPr>
      <w:r>
        <w:rPr>
          <w:rFonts w:hint="eastAsia" w:ascii="黑体" w:hAnsi="黑体" w:eastAsia="黑体" w:cs="宋体"/>
          <w:kern w:val="0"/>
          <w:sz w:val="36"/>
          <w:szCs w:val="32"/>
        </w:rPr>
        <w:t>中粮糖业廉洁承诺书</w:t>
      </w:r>
    </w:p>
    <w:p>
      <w:pPr>
        <w:autoSpaceDE w:val="0"/>
        <w:autoSpaceDN w:val="0"/>
        <w:adjustRightInd w:val="0"/>
        <w:ind w:firstLine="720" w:firstLineChars="200"/>
        <w:jc w:val="center"/>
        <w:rPr>
          <w:rFonts w:ascii="黑体" w:hAnsi="黑体" w:eastAsia="黑体" w:cs="宋体"/>
          <w:kern w:val="0"/>
          <w:sz w:val="36"/>
          <w:szCs w:val="32"/>
        </w:rPr>
      </w:pPr>
    </w:p>
    <w:p>
      <w:pPr>
        <w:spacing w:line="360" w:lineRule="auto"/>
        <w:ind w:firstLine="480" w:firstLineChars="200"/>
        <w:rPr>
          <w:rFonts w:ascii="仿宋" w:hAnsi="仿宋" w:eastAsia="仿宋" w:cs="仿宋"/>
          <w:sz w:val="24"/>
        </w:rPr>
      </w:pPr>
      <w:r>
        <w:rPr>
          <w:rFonts w:hint="eastAsia" w:ascii="仿宋" w:hAnsi="仿宋" w:eastAsia="仿宋" w:cs="仿宋"/>
          <w:sz w:val="24"/>
        </w:rPr>
        <w:t>中粮糖业及下属分子公司：</w:t>
      </w:r>
    </w:p>
    <w:p>
      <w:pPr>
        <w:spacing w:line="360" w:lineRule="auto"/>
        <w:ind w:firstLine="480" w:firstLineChars="200"/>
        <w:rPr>
          <w:rFonts w:ascii="仿宋" w:hAnsi="仿宋" w:eastAsia="仿宋" w:cs="仿宋"/>
          <w:sz w:val="24"/>
        </w:rPr>
      </w:pPr>
      <w:r>
        <w:rPr>
          <w:rFonts w:hint="eastAsia" w:ascii="仿宋" w:hAnsi="仿宋" w:eastAsia="仿宋" w:cs="仿宋"/>
          <w:sz w:val="24"/>
        </w:rPr>
        <w:t>为积极配合贵公司进行的项目采购与招投标工作，有效遏制不公平竞争和违规违纪问题的发生，确保采购与招投标工作的公平、公正、公开，我们特向贵公司承诺如下事项：</w:t>
      </w:r>
    </w:p>
    <w:p>
      <w:pPr>
        <w:spacing w:line="360" w:lineRule="auto"/>
        <w:ind w:firstLine="480" w:firstLineChars="200"/>
        <w:rPr>
          <w:rFonts w:ascii="仿宋" w:hAnsi="仿宋" w:eastAsia="仿宋" w:cs="仿宋"/>
          <w:sz w:val="24"/>
        </w:rPr>
      </w:pPr>
      <w:r>
        <w:rPr>
          <w:rFonts w:hint="eastAsia" w:ascii="仿宋" w:hAnsi="仿宋" w:eastAsia="仿宋" w:cs="仿宋"/>
          <w:sz w:val="24"/>
        </w:rPr>
        <w:t>1.自觉遵守国家法律法规及中粮糖业有关廉政建设制度。</w:t>
      </w:r>
    </w:p>
    <w:p>
      <w:pPr>
        <w:spacing w:line="360" w:lineRule="auto"/>
        <w:ind w:firstLine="480" w:firstLineChars="200"/>
        <w:rPr>
          <w:rFonts w:ascii="仿宋" w:hAnsi="仿宋" w:eastAsia="仿宋" w:cs="仿宋"/>
          <w:sz w:val="24"/>
        </w:rPr>
      </w:pPr>
      <w:r>
        <w:rPr>
          <w:rFonts w:hint="eastAsia" w:ascii="仿宋" w:hAnsi="仿宋" w:eastAsia="仿宋" w:cs="仿宋"/>
          <w:sz w:val="24"/>
        </w:rPr>
        <w:t>2.不使用不正当手段妨碍、排挤其它投标单位或串通投标。</w:t>
      </w:r>
    </w:p>
    <w:p>
      <w:pPr>
        <w:spacing w:line="360" w:lineRule="auto"/>
        <w:ind w:firstLine="480" w:firstLineChars="200"/>
        <w:rPr>
          <w:rFonts w:ascii="仿宋" w:hAnsi="仿宋" w:eastAsia="仿宋" w:cs="仿宋"/>
          <w:sz w:val="24"/>
        </w:rPr>
      </w:pPr>
      <w:r>
        <w:rPr>
          <w:rFonts w:hint="eastAsia" w:ascii="仿宋" w:hAnsi="仿宋" w:eastAsia="仿宋" w:cs="仿宋"/>
          <w:sz w:val="24"/>
        </w:rPr>
        <w:t>3.按照采购文件规定的方式进行投标，不隐瞒本单位投标资质的真实情况，投标资质符合规定；保证不会以其他人名义投标或者以其他方式弄虚作假，骗取中标。</w:t>
      </w:r>
    </w:p>
    <w:p>
      <w:pPr>
        <w:spacing w:line="360" w:lineRule="auto"/>
        <w:ind w:firstLine="480" w:firstLineChars="200"/>
        <w:rPr>
          <w:rFonts w:ascii="仿宋" w:hAnsi="仿宋" w:eastAsia="仿宋" w:cs="仿宋"/>
          <w:sz w:val="24"/>
        </w:rPr>
      </w:pPr>
      <w:r>
        <w:rPr>
          <w:rFonts w:hint="eastAsia" w:ascii="仿宋" w:hAnsi="仿宋" w:eastAsia="仿宋" w:cs="仿宋"/>
          <w:sz w:val="24"/>
        </w:rPr>
        <w:t>4.不将主体、关键性工作进行分包（包括贴牌生产、转包等）。</w:t>
      </w:r>
    </w:p>
    <w:p>
      <w:pPr>
        <w:spacing w:line="360" w:lineRule="auto"/>
        <w:ind w:firstLine="480" w:firstLineChars="200"/>
        <w:rPr>
          <w:rFonts w:ascii="仿宋" w:hAnsi="仿宋" w:eastAsia="仿宋" w:cs="仿宋"/>
          <w:sz w:val="24"/>
        </w:rPr>
      </w:pPr>
      <w:r>
        <w:rPr>
          <w:rFonts w:hint="eastAsia" w:ascii="仿宋" w:hAnsi="仿宋" w:eastAsia="仿宋" w:cs="仿宋"/>
          <w:sz w:val="24"/>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360" w:lineRule="auto"/>
        <w:ind w:firstLine="480" w:firstLineChars="200"/>
        <w:rPr>
          <w:rFonts w:ascii="仿宋" w:hAnsi="仿宋" w:eastAsia="仿宋" w:cs="仿宋"/>
          <w:sz w:val="24"/>
        </w:rPr>
      </w:pPr>
      <w:r>
        <w:rPr>
          <w:rFonts w:hint="eastAsia" w:ascii="仿宋" w:hAnsi="仿宋" w:eastAsia="仿宋" w:cs="仿宋"/>
          <w:sz w:val="24"/>
        </w:rPr>
        <w:t>6.不向贵公司涉及采购与招投标的部门及个人支付好处费、介绍费；购置或提供通讯工具、交通工具、电脑等。</w:t>
      </w:r>
    </w:p>
    <w:p>
      <w:pPr>
        <w:spacing w:line="360" w:lineRule="auto"/>
        <w:ind w:firstLine="480" w:firstLineChars="200"/>
        <w:rPr>
          <w:rFonts w:ascii="仿宋" w:hAnsi="仿宋" w:eastAsia="仿宋" w:cs="仿宋"/>
          <w:sz w:val="24"/>
        </w:rPr>
      </w:pPr>
      <w:r>
        <w:rPr>
          <w:rFonts w:hint="eastAsia" w:ascii="仿宋" w:hAnsi="仿宋" w:eastAsia="仿宋" w:cs="仿宋"/>
          <w:sz w:val="24"/>
        </w:rPr>
        <w:t>7. 经查实对于参与串通行为的投标人，其中标无效，列入供应商黑名单，并对投标人处中标项目金额千分之五以上千分之十以下的罚款如事后查实无法追溯的仅列入供应商黑名单，加大不诚信供应商的违规成本。</w:t>
      </w:r>
    </w:p>
    <w:p>
      <w:pPr>
        <w:spacing w:line="360" w:lineRule="auto"/>
        <w:ind w:firstLine="480" w:firstLineChars="200"/>
        <w:rPr>
          <w:rFonts w:ascii="仿宋" w:hAnsi="仿宋" w:eastAsia="仿宋" w:cs="仿宋"/>
          <w:sz w:val="24"/>
        </w:rPr>
      </w:pPr>
      <w:r>
        <w:rPr>
          <w:rFonts w:hint="eastAsia" w:ascii="仿宋" w:hAnsi="仿宋" w:eastAsia="仿宋" w:cs="仿宋"/>
          <w:sz w:val="24"/>
        </w:rPr>
        <w:t>8.一旦发现相关人员在招标过程中有索要财物等不廉洁行为，坚决予以抵制，并及时向贵公司纪委办公室举报。</w:t>
      </w:r>
    </w:p>
    <w:p>
      <w:pPr>
        <w:spacing w:line="360" w:lineRule="auto"/>
        <w:ind w:firstLine="480" w:firstLineChars="200"/>
        <w:rPr>
          <w:rFonts w:ascii="仿宋" w:hAnsi="仿宋" w:eastAsia="仿宋" w:cs="仿宋"/>
          <w:sz w:val="24"/>
        </w:rPr>
      </w:pPr>
      <w:r>
        <w:rPr>
          <w:rFonts w:hint="eastAsia" w:ascii="仿宋" w:hAnsi="仿宋" w:eastAsia="仿宋" w:cs="仿宋"/>
          <w:sz w:val="24"/>
        </w:rPr>
        <w:t>9.我方自愿将本承诺书作为投标文件及合同的附件，具有同等的法律效力。</w:t>
      </w:r>
    </w:p>
    <w:p>
      <w:pPr>
        <w:spacing w:line="360" w:lineRule="auto"/>
        <w:ind w:firstLine="480" w:firstLineChars="200"/>
        <w:rPr>
          <w:rFonts w:ascii="仿宋" w:hAnsi="仿宋" w:eastAsia="仿宋" w:cs="仿宋"/>
          <w:sz w:val="24"/>
        </w:rPr>
      </w:pPr>
      <w:r>
        <w:rPr>
          <w:rFonts w:hint="eastAsia" w:ascii="仿宋" w:hAnsi="仿宋" w:eastAsia="仿宋" w:cs="仿宋"/>
          <w:sz w:val="24"/>
        </w:rPr>
        <w:t>10.若违反上述承诺或违反有关法律法规及贵公司有关规定，我方自愿永久放弃参与贵公司的所有业务往来，并承担贵公司制度规定的一切法律责任。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11.本承诺书自签署之日起生效。</w:t>
      </w:r>
    </w:p>
    <w:p>
      <w:pPr>
        <w:spacing w:line="360" w:lineRule="auto"/>
        <w:ind w:firstLine="4560" w:firstLineChars="1900"/>
        <w:rPr>
          <w:rFonts w:ascii="仿宋" w:hAnsi="仿宋" w:eastAsia="仿宋" w:cs="仿宋"/>
          <w:sz w:val="24"/>
        </w:rPr>
      </w:pPr>
      <w:r>
        <w:rPr>
          <w:rFonts w:hint="eastAsia" w:ascii="仿宋" w:hAnsi="仿宋" w:eastAsia="仿宋" w:cs="仿宋"/>
          <w:sz w:val="24"/>
        </w:rPr>
        <w:t>投标单位（公章）：</w:t>
      </w:r>
    </w:p>
    <w:p>
      <w:pPr>
        <w:spacing w:line="360" w:lineRule="auto"/>
        <w:ind w:firstLine="4560" w:firstLineChars="1900"/>
        <w:rPr>
          <w:rFonts w:ascii="仿宋" w:hAnsi="仿宋" w:eastAsia="仿宋" w:cs="仿宋"/>
          <w:sz w:val="24"/>
        </w:rPr>
      </w:pPr>
      <w:r>
        <w:rPr>
          <w:rFonts w:hint="eastAsia" w:ascii="仿宋" w:hAnsi="仿宋" w:eastAsia="仿宋" w:cs="仿宋"/>
          <w:sz w:val="24"/>
        </w:rPr>
        <w:t>法定代表人或授权代理人（签名）：</w:t>
      </w:r>
    </w:p>
    <w:p>
      <w:pPr>
        <w:spacing w:line="360" w:lineRule="auto"/>
        <w:ind w:firstLine="4560" w:firstLineChars="1900"/>
        <w:rPr>
          <w:rFonts w:ascii="仿宋" w:hAnsi="仿宋" w:eastAsia="仿宋" w:cs="仿宋"/>
          <w:sz w:val="24"/>
        </w:rPr>
      </w:pPr>
      <w:r>
        <w:rPr>
          <w:rFonts w:hint="eastAsia" w:ascii="仿宋" w:hAnsi="仿宋" w:eastAsia="仿宋" w:cs="仿宋"/>
          <w:sz w:val="24"/>
        </w:rPr>
        <w:t>日期： 年 月 日</w:t>
      </w:r>
    </w:p>
    <w:p>
      <w:pPr>
        <w:pageBreakBefore/>
        <w:spacing w:line="360" w:lineRule="auto"/>
        <w:rPr>
          <w:rFonts w:ascii="仿宋" w:hAnsi="仿宋" w:eastAsia="仿宋" w:cs="仿宋"/>
          <w:b/>
          <w:sz w:val="24"/>
        </w:rPr>
      </w:pPr>
      <w:r>
        <w:rPr>
          <w:rFonts w:hint="eastAsia" w:ascii="宋体" w:hAnsi="宋体"/>
          <w:sz w:val="28"/>
          <w:szCs w:val="28"/>
        </w:rPr>
        <w:t>附件1-4</w:t>
      </w:r>
    </w:p>
    <w:p>
      <w:pPr>
        <w:jc w:val="center"/>
        <w:rPr>
          <w:rFonts w:ascii="仿宋" w:hAnsi="仿宋" w:eastAsia="仿宋" w:cs="仿宋"/>
          <w:sz w:val="24"/>
        </w:rPr>
      </w:pPr>
      <w:r>
        <w:rPr>
          <w:rFonts w:hint="eastAsia" w:ascii="仿宋" w:hAnsi="仿宋" w:eastAsia="仿宋" w:cs="仿宋"/>
          <w:b/>
          <w:sz w:val="24"/>
        </w:rPr>
        <w:t xml:space="preserve"> </w:t>
      </w:r>
      <w:r>
        <w:rPr>
          <w:rFonts w:hint="eastAsia" w:ascii="仿宋" w:hAnsi="仿宋" w:eastAsia="仿宋" w:cs="仿宋"/>
          <w:b/>
          <w:sz w:val="30"/>
          <w:szCs w:val="30"/>
        </w:rPr>
        <w:t>质量承诺书</w:t>
      </w:r>
    </w:p>
    <w:p>
      <w:pPr>
        <w:spacing w:line="360" w:lineRule="auto"/>
        <w:rPr>
          <w:rFonts w:ascii="仿宋" w:hAnsi="仿宋" w:eastAsia="仿宋" w:cs="仿宋"/>
          <w:sz w:val="24"/>
        </w:rPr>
      </w:pPr>
      <w:r>
        <w:rPr>
          <w:rFonts w:hint="eastAsia" w:ascii="仿宋" w:hAnsi="仿宋" w:eastAsia="仿宋" w:cs="仿宋"/>
          <w:color w:val="000000"/>
          <w:sz w:val="24"/>
        </w:rPr>
        <w:t>中粮糖业及所属公司：</w:t>
      </w:r>
    </w:p>
    <w:p>
      <w:pPr>
        <w:spacing w:line="360" w:lineRule="auto"/>
        <w:ind w:firstLine="480" w:firstLineChars="200"/>
        <w:rPr>
          <w:rFonts w:ascii="仿宋" w:hAnsi="仿宋" w:eastAsia="仿宋" w:cs="仿宋"/>
          <w:sz w:val="24"/>
        </w:rPr>
      </w:pPr>
      <w:r>
        <w:rPr>
          <w:rFonts w:hint="eastAsia" w:ascii="仿宋" w:hAnsi="仿宋" w:eastAsia="仿宋" w:cs="仿宋"/>
          <w:sz w:val="24"/>
        </w:rPr>
        <w:t>为积极配合贵公司进行的项目采购与招投标工作，保证产品质量，我们特向贵公司承诺如下事项：</w:t>
      </w:r>
    </w:p>
    <w:p>
      <w:pPr>
        <w:spacing w:line="360" w:lineRule="auto"/>
        <w:ind w:firstLine="480" w:firstLineChars="200"/>
        <w:rPr>
          <w:rFonts w:ascii="仿宋" w:hAnsi="仿宋" w:eastAsia="仿宋" w:cs="仿宋"/>
          <w:sz w:val="24"/>
        </w:rPr>
      </w:pPr>
      <w:r>
        <w:rPr>
          <w:rFonts w:hint="eastAsia" w:ascii="仿宋" w:hAnsi="仿宋" w:eastAsia="仿宋" w:cs="仿宋"/>
          <w:sz w:val="24"/>
        </w:rPr>
        <w:t>1.我公司承诺每月系统关账日、半年、全年或其他通知日期后配合贵公司数据核查工作，及时从SAP系统导出库存产品数据，并于3个工作日内完成数据的盘点复核工作，有偏差的及时通知贵公司，并配合贵公司进一步核查原因，每月向贵公司出具核查并盖章、签字的“收、发、存盘点明细表”，作为我公司收货、存货的依据。</w:t>
      </w:r>
    </w:p>
    <w:p>
      <w:pPr>
        <w:spacing w:line="360" w:lineRule="auto"/>
        <w:ind w:firstLine="480" w:firstLineChars="200"/>
        <w:rPr>
          <w:rFonts w:ascii="仿宋" w:hAnsi="仿宋" w:eastAsia="仿宋" w:cs="仿宋"/>
          <w:sz w:val="24"/>
        </w:rPr>
      </w:pPr>
      <w:r>
        <w:rPr>
          <w:rFonts w:hint="eastAsia" w:ascii="仿宋" w:hAnsi="仿宋" w:eastAsia="仿宋" w:cs="仿宋"/>
          <w:sz w:val="24"/>
        </w:rPr>
        <w:t>2.我公司承诺未接到贵公司盖章版的《出库通知单》，产品不允许出库，如违反此条款，产生的后果由我公司承担。</w:t>
      </w:r>
    </w:p>
    <w:p>
      <w:pPr>
        <w:spacing w:line="360" w:lineRule="auto"/>
        <w:ind w:firstLine="480" w:firstLineChars="200"/>
        <w:rPr>
          <w:rFonts w:ascii="仿宋" w:hAnsi="仿宋" w:eastAsia="仿宋" w:cs="仿宋"/>
          <w:sz w:val="24"/>
        </w:rPr>
      </w:pPr>
      <w:r>
        <w:rPr>
          <w:rFonts w:hint="eastAsia" w:ascii="仿宋" w:hAnsi="仿宋" w:eastAsia="仿宋" w:cs="仿宋"/>
          <w:sz w:val="24"/>
        </w:rPr>
        <w:t>3.我公司严格执行供应商应尽义务，做到送货及时，货物装载符合要求。</w:t>
      </w:r>
    </w:p>
    <w:p>
      <w:pPr>
        <w:spacing w:line="360" w:lineRule="auto"/>
        <w:ind w:firstLine="480" w:firstLineChars="200"/>
        <w:rPr>
          <w:rFonts w:ascii="仿宋" w:hAnsi="仿宋" w:eastAsia="仿宋" w:cs="仿宋"/>
          <w:sz w:val="24"/>
        </w:rPr>
      </w:pPr>
      <w:r>
        <w:rPr>
          <w:rFonts w:hint="eastAsia" w:ascii="仿宋" w:hAnsi="仿宋" w:eastAsia="仿宋" w:cs="仿宋"/>
          <w:sz w:val="24"/>
        </w:rPr>
        <w:t>4.我公司保证各运输线路充足的运输能力（包括节假日，春节停运通知应书面发送给贵公司），按贵公司要求按时、按质、按量并安全地将产品运送到指定地点并交给指定的收货人，如因我公司运力不足造成贵公司客户工厂停产等一切经济损失由我公司承担。并负责自贵公司货物装运离开起运地至指定目的地的产品质量、数量保全责任，期间发生的产品受污染、破损及短少等一切损失均由我公司承担。</w:t>
      </w:r>
    </w:p>
    <w:p>
      <w:pPr>
        <w:spacing w:line="360" w:lineRule="auto"/>
        <w:ind w:firstLine="480" w:firstLineChars="200"/>
        <w:rPr>
          <w:rFonts w:ascii="仿宋" w:hAnsi="仿宋" w:eastAsia="仿宋" w:cs="仿宋"/>
          <w:sz w:val="24"/>
        </w:rPr>
      </w:pPr>
      <w:r>
        <w:rPr>
          <w:rFonts w:hint="eastAsia" w:ascii="仿宋" w:hAnsi="仿宋" w:eastAsia="仿宋" w:cs="仿宋"/>
          <w:sz w:val="24"/>
        </w:rPr>
        <w:t>5.我公司认可贵公司的货物验收制度和仓库保存条件，并在对货物进行验收时，自愿严格遵守贵公司的货物验收制度。</w:t>
      </w:r>
    </w:p>
    <w:p>
      <w:pPr>
        <w:spacing w:line="360" w:lineRule="auto"/>
        <w:ind w:firstLine="480" w:firstLineChars="200"/>
        <w:rPr>
          <w:rFonts w:ascii="仿宋" w:hAnsi="仿宋" w:eastAsia="仿宋" w:cs="仿宋"/>
          <w:sz w:val="24"/>
        </w:rPr>
      </w:pPr>
      <w:r>
        <w:rPr>
          <w:rFonts w:hint="eastAsia" w:ascii="仿宋" w:hAnsi="仿宋" w:eastAsia="仿宋" w:cs="仿宋"/>
          <w:sz w:val="24"/>
        </w:rPr>
        <w:t>6.我公司对贵公司出库/装运产品进行外观查验，大、小包装产品要求外包装干净、无尘土污染、无异物、无破损，</w:t>
      </w:r>
      <w:r>
        <w:rPr>
          <w:rFonts w:hint="eastAsia" w:ascii="仿宋" w:hAnsi="仿宋" w:eastAsia="仿宋" w:cs="仿宋"/>
          <w:sz w:val="24"/>
          <w:lang w:val="en-GB"/>
        </w:rPr>
        <w:t>冬季无积雪、冰块，</w:t>
      </w:r>
      <w:r>
        <w:rPr>
          <w:rFonts w:hint="eastAsia" w:ascii="仿宋" w:hAnsi="仿宋" w:eastAsia="仿宋" w:cs="仿宋"/>
          <w:sz w:val="24"/>
        </w:rPr>
        <w:t>桶无污水印痕、</w:t>
      </w:r>
      <w:r>
        <w:rPr>
          <w:rFonts w:hint="eastAsia" w:ascii="仿宋" w:hAnsi="仿宋" w:eastAsia="仿宋" w:cs="仿宋"/>
          <w:sz w:val="24"/>
          <w:lang w:val="en-GB"/>
        </w:rPr>
        <w:t>包括各桶之间，</w:t>
      </w:r>
      <w:r>
        <w:rPr>
          <w:rFonts w:hint="eastAsia" w:ascii="仿宋" w:hAnsi="仿宋" w:eastAsia="仿宋" w:cs="仿宋"/>
          <w:sz w:val="24"/>
        </w:rPr>
        <w:t>托盘夹层也要清洁卫生，装车前应对承运车辆车厢内进行清扫，保证车厢清洁无污染，装车前对托盘底部也应进行清扫，以免异物带入。</w:t>
      </w:r>
    </w:p>
    <w:p>
      <w:pPr>
        <w:spacing w:line="360" w:lineRule="auto"/>
        <w:ind w:firstLine="480" w:firstLineChars="200"/>
        <w:rPr>
          <w:rFonts w:ascii="仿宋" w:hAnsi="仿宋" w:eastAsia="仿宋" w:cs="仿宋"/>
        </w:rPr>
      </w:pPr>
      <w:r>
        <w:rPr>
          <w:rFonts w:hint="eastAsia" w:ascii="仿宋" w:hAnsi="仿宋" w:eastAsia="仿宋" w:cs="仿宋"/>
          <w:sz w:val="24"/>
        </w:rPr>
        <w:t>7.我公司承诺在对贵公司大、</w:t>
      </w:r>
      <w:r>
        <w:rPr>
          <w:rFonts w:hint="eastAsia" w:ascii="仿宋" w:hAnsi="仿宋" w:eastAsia="仿宋" w:cs="仿宋"/>
          <w:color w:val="000000"/>
          <w:sz w:val="24"/>
        </w:rPr>
        <w:t>小包装产品装卸、运输时，严禁野蛮作业行为，否则造成的货物损失由我公司负全责。</w:t>
      </w:r>
    </w:p>
    <w:p>
      <w:pPr>
        <w:spacing w:line="360" w:lineRule="auto"/>
        <w:ind w:firstLine="4560" w:firstLineChars="1900"/>
        <w:rPr>
          <w:rFonts w:ascii="仿宋" w:hAnsi="仿宋" w:eastAsia="仿宋" w:cs="仿宋"/>
          <w:color w:val="000000"/>
          <w:sz w:val="24"/>
        </w:rPr>
      </w:pPr>
      <w:r>
        <w:rPr>
          <w:rFonts w:hint="eastAsia" w:ascii="仿宋" w:hAnsi="仿宋" w:eastAsia="仿宋" w:cs="仿宋"/>
          <w:color w:val="000000"/>
          <w:sz w:val="24"/>
        </w:rPr>
        <w:t xml:space="preserve">单位（公章）： </w:t>
      </w:r>
    </w:p>
    <w:p>
      <w:pPr>
        <w:spacing w:line="360" w:lineRule="auto"/>
        <w:ind w:firstLine="4560" w:firstLineChars="1900"/>
        <w:rPr>
          <w:rFonts w:ascii="仿宋" w:hAnsi="仿宋" w:eastAsia="仿宋" w:cs="仿宋"/>
          <w:color w:val="000000"/>
          <w:sz w:val="24"/>
        </w:rPr>
      </w:pPr>
      <w:r>
        <w:rPr>
          <w:rFonts w:hint="eastAsia" w:ascii="仿宋" w:hAnsi="仿宋" w:eastAsia="仿宋" w:cs="仿宋"/>
          <w:color w:val="000000"/>
          <w:sz w:val="24"/>
        </w:rPr>
        <w:t xml:space="preserve">法定代表人或授权代理人（签名）： </w:t>
      </w:r>
    </w:p>
    <w:p>
      <w:pPr>
        <w:spacing w:line="360" w:lineRule="auto"/>
        <w:ind w:firstLine="4560" w:firstLineChars="1900"/>
        <w:rPr>
          <w:rFonts w:ascii="仿宋" w:hAnsi="仿宋" w:eastAsia="仿宋" w:cs="仿宋"/>
          <w:color w:val="000000"/>
          <w:sz w:val="24"/>
        </w:rPr>
      </w:pPr>
      <w:r>
        <w:rPr>
          <w:rFonts w:hint="eastAsia" w:ascii="仿宋" w:hAnsi="仿宋" w:eastAsia="仿宋" w:cs="仿宋"/>
          <w:color w:val="000000"/>
          <w:sz w:val="24"/>
        </w:rPr>
        <w:t>日期：   年  月  日</w:t>
      </w:r>
    </w:p>
    <w:p>
      <w:pPr>
        <w:jc w:val="center"/>
        <w:outlineLvl w:val="0"/>
        <w:rPr>
          <w:rFonts w:ascii="仿宋GB2312" w:hAnsi="仿宋GB2312" w:eastAsia="仿宋GB2312" w:cs="仿宋GB2312"/>
          <w:b/>
          <w:color w:val="000000"/>
          <w:sz w:val="44"/>
          <w:szCs w:val="44"/>
        </w:rPr>
      </w:pPr>
      <w:r>
        <w:rPr>
          <w:rFonts w:hint="eastAsia" w:ascii="仿宋GB2312" w:hAnsi="仿宋GB2312" w:eastAsia="仿宋GB2312" w:cs="仿宋GB2312"/>
          <w:b/>
          <w:color w:val="000000"/>
          <w:sz w:val="44"/>
          <w:szCs w:val="44"/>
        </w:rPr>
        <w:t>第五部分 合同书格式</w:t>
      </w:r>
    </w:p>
    <w:p/>
    <w:p>
      <w:pPr>
        <w:spacing w:line="360" w:lineRule="auto"/>
        <w:jc w:val="center"/>
        <w:rPr>
          <w:rFonts w:ascii="宋体" w:hAnsi="宋体" w:cs="宋体"/>
          <w:b/>
          <w:color w:val="FF0000"/>
          <w:sz w:val="36"/>
          <w:szCs w:val="36"/>
        </w:rPr>
      </w:pPr>
      <w:r>
        <w:rPr>
          <w:rFonts w:hint="eastAsia" w:ascii="仿宋GB2312" w:hAnsi="仿宋GB2312" w:eastAsia="仿宋GB2312" w:cs="仿宋GB2312"/>
          <w:b/>
          <w:bCs/>
          <w:color w:val="FF0000"/>
          <w:sz w:val="44"/>
          <w:szCs w:val="44"/>
        </w:rPr>
        <w:t>天津港口仓储装箱集港业务（小包装）协议</w:t>
      </w:r>
    </w:p>
    <w:p>
      <w:pPr>
        <w:spacing w:line="360" w:lineRule="auto"/>
        <w:jc w:val="center"/>
        <w:rPr>
          <w:rFonts w:ascii="宋体" w:hAnsi="宋体" w:cs="宋体"/>
          <w:b/>
          <w:sz w:val="36"/>
          <w:szCs w:val="36"/>
        </w:rPr>
      </w:pPr>
    </w:p>
    <w:p>
      <w:pPr>
        <w:tabs>
          <w:tab w:val="left" w:pos="4900"/>
        </w:tabs>
        <w:spacing w:line="360" w:lineRule="auto"/>
        <w:rPr>
          <w:rFonts w:ascii="宋体" w:hAnsi="宋体" w:cs="宋体"/>
          <w:sz w:val="24"/>
        </w:rPr>
      </w:pPr>
      <w:r>
        <w:rPr>
          <w:rFonts w:hint="eastAsia" w:ascii="宋体" w:hAnsi="宋体" w:cs="宋体"/>
          <w:sz w:val="24"/>
        </w:rPr>
        <w:t>甲方：中粮屯河番茄有限公司                    合同编号:</w:t>
      </w:r>
    </w:p>
    <w:p>
      <w:pPr>
        <w:spacing w:line="360" w:lineRule="auto"/>
        <w:rPr>
          <w:rFonts w:ascii="宋体" w:hAnsi="宋体" w:cs="宋体"/>
          <w:sz w:val="24"/>
        </w:rPr>
      </w:pPr>
      <w:r>
        <w:rPr>
          <w:rFonts w:hint="eastAsia" w:ascii="宋体" w:hAnsi="宋体" w:cs="宋体"/>
          <w:sz w:val="24"/>
        </w:rPr>
        <w:t>乙方：                                        签订日期：   年   月   日</w:t>
      </w:r>
    </w:p>
    <w:p>
      <w:pPr>
        <w:spacing w:line="360" w:lineRule="auto"/>
        <w:rPr>
          <w:rFonts w:ascii="宋体" w:hAnsi="宋体" w:cs="宋体"/>
          <w:sz w:val="24"/>
        </w:rPr>
      </w:pPr>
      <w:r>
        <w:rPr>
          <w:rFonts w:hint="eastAsia" w:ascii="宋体" w:hAnsi="宋体" w:cs="宋体"/>
        </w:rPr>
        <w:t xml:space="preserve">                                                   </w:t>
      </w:r>
    </w:p>
    <w:p>
      <w:pPr>
        <w:spacing w:line="360" w:lineRule="auto"/>
        <w:ind w:firstLine="482" w:firstLineChars="200"/>
        <w:rPr>
          <w:rFonts w:ascii="宋体" w:hAnsi="宋体" w:cs="宋体"/>
          <w:b/>
          <w:bCs/>
          <w:sz w:val="24"/>
        </w:rPr>
      </w:pPr>
      <w:r>
        <w:rPr>
          <w:rFonts w:hint="eastAsia" w:ascii="宋体" w:hAnsi="宋体" w:cs="宋体"/>
          <w:b/>
          <w:bCs/>
          <w:sz w:val="24"/>
        </w:rPr>
        <w:t>根据《中华人民共和国民法典》的有关规定，经甲、乙双方友好协商，就乙方负责甲方番茄酱、杏酱、辣椒酱等产品的铁路/汽运到达的接卸、仓储、出入库作业及装箱集港服务事宜，达成以下协议：</w:t>
      </w:r>
    </w:p>
    <w:p>
      <w:pPr>
        <w:spacing w:line="360" w:lineRule="auto"/>
        <w:ind w:firstLine="482" w:firstLineChars="200"/>
        <w:rPr>
          <w:rFonts w:ascii="宋体" w:hAnsi="宋体" w:cs="宋体"/>
        </w:rPr>
      </w:pPr>
      <w:r>
        <w:rPr>
          <w:rFonts w:hint="eastAsia" w:ascii="宋体" w:hAnsi="宋体" w:cs="宋体"/>
          <w:b/>
          <w:bCs/>
          <w:sz w:val="24"/>
        </w:rPr>
        <w:t>一、</w:t>
      </w:r>
      <w:r>
        <w:rPr>
          <w:rFonts w:hint="eastAsia" w:ascii="宋体" w:hAnsi="宋体" w:cs="宋体"/>
          <w:color w:val="000000"/>
          <w:kern w:val="0"/>
          <w:sz w:val="24"/>
          <w:lang w:val="zh-CN"/>
        </w:rPr>
        <w:t>为便于乙方接卸货物，甲方需根据不同发运方式、分别按照乙方提供的如下标准填写发货信息</w:t>
      </w:r>
      <w:r>
        <w:rPr>
          <w:rFonts w:hint="eastAsia" w:ascii="宋体" w:hAnsi="宋体" w:cs="宋体"/>
          <w:kern w:val="0"/>
          <w:sz w:val="24"/>
          <w:lang w:val="zh-CN"/>
        </w:rPr>
        <w:t>。</w:t>
      </w:r>
    </w:p>
    <w:p>
      <w:pPr>
        <w:numPr>
          <w:ilvl w:val="0"/>
          <w:numId w:val="3"/>
        </w:numPr>
        <w:tabs>
          <w:tab w:val="left" w:pos="0"/>
          <w:tab w:val="clear" w:pos="312"/>
        </w:tabs>
        <w:spacing w:line="360" w:lineRule="auto"/>
        <w:ind w:firstLine="480" w:firstLineChars="200"/>
        <w:rPr>
          <w:rFonts w:ascii="宋体" w:hAnsi="宋体" w:cs="宋体"/>
          <w:kern w:val="0"/>
          <w:sz w:val="24"/>
        </w:rPr>
      </w:pPr>
      <w:r>
        <w:rPr>
          <w:rFonts w:hint="eastAsia" w:ascii="宋体" w:hAnsi="宋体" w:cs="宋体"/>
          <w:kern w:val="0"/>
          <w:sz w:val="24"/>
          <w:lang w:val="zh-CN"/>
        </w:rPr>
        <w:t>铁路整车到站：</w:t>
      </w:r>
      <w:r>
        <w:rPr>
          <w:rFonts w:hint="eastAsia" w:ascii="宋体" w:hAnsi="宋体" w:cs="宋体"/>
          <w:kern w:val="0"/>
          <w:sz w:val="24"/>
        </w:rPr>
        <w:t xml:space="preserve">         </w:t>
      </w:r>
      <w:r>
        <w:rPr>
          <w:rFonts w:hint="eastAsia" w:ascii="宋体" w:hAnsi="宋体" w:cs="宋体"/>
          <w:kern w:val="0"/>
          <w:sz w:val="24"/>
          <w:lang w:val="zh-CN"/>
        </w:rPr>
        <w:t>站（</w:t>
      </w:r>
      <w:r>
        <w:rPr>
          <w:rFonts w:hint="eastAsia" w:ascii="宋体" w:hAnsi="宋体" w:cs="宋体"/>
          <w:kern w:val="0"/>
          <w:sz w:val="24"/>
        </w:rPr>
        <w:t xml:space="preserve">    </w:t>
      </w:r>
      <w:r>
        <w:rPr>
          <w:rFonts w:hint="eastAsia" w:ascii="宋体" w:hAnsi="宋体" w:cs="宋体"/>
          <w:kern w:val="0"/>
          <w:sz w:val="24"/>
          <w:lang w:val="zh-CN"/>
        </w:rPr>
        <w:t xml:space="preserve">局） </w:t>
      </w:r>
      <w:r>
        <w:rPr>
          <w:rFonts w:hint="eastAsia" w:ascii="宋体" w:hAnsi="宋体" w:cs="宋体"/>
          <w:kern w:val="0"/>
          <w:sz w:val="24"/>
        </w:rPr>
        <w:t xml:space="preserve">    </w:t>
      </w:r>
    </w:p>
    <w:p>
      <w:pPr>
        <w:numPr>
          <w:ilvl w:val="0"/>
          <w:numId w:val="3"/>
        </w:numPr>
        <w:tabs>
          <w:tab w:val="left" w:pos="0"/>
          <w:tab w:val="clear" w:pos="312"/>
        </w:tabs>
        <w:spacing w:line="360" w:lineRule="auto"/>
        <w:ind w:firstLine="480" w:firstLineChars="200"/>
        <w:rPr>
          <w:rFonts w:ascii="宋体" w:hAnsi="宋体" w:cs="宋体"/>
          <w:kern w:val="0"/>
          <w:sz w:val="24"/>
          <w:lang w:val="zh-CN"/>
        </w:rPr>
      </w:pPr>
      <w:r>
        <w:rPr>
          <w:rFonts w:hint="eastAsia" w:ascii="宋体" w:hAnsi="宋体" w:cs="宋体"/>
          <w:kern w:val="0"/>
          <w:sz w:val="24"/>
          <w:lang w:val="zh-CN"/>
        </w:rPr>
        <w:t>铁路</w:t>
      </w:r>
      <w:r>
        <w:rPr>
          <w:rFonts w:hint="eastAsia" w:ascii="宋体" w:hAnsi="宋体" w:cs="宋体"/>
          <w:kern w:val="0"/>
          <w:sz w:val="24"/>
        </w:rPr>
        <w:t>整车</w:t>
      </w:r>
      <w:r>
        <w:rPr>
          <w:rFonts w:hint="eastAsia" w:ascii="宋体" w:hAnsi="宋体" w:cs="宋体"/>
          <w:kern w:val="0"/>
          <w:sz w:val="24"/>
          <w:lang w:val="zh-CN"/>
        </w:rPr>
        <w:t>专用线：</w:t>
      </w:r>
    </w:p>
    <w:p>
      <w:pPr>
        <w:spacing w:line="360" w:lineRule="auto"/>
        <w:rPr>
          <w:rFonts w:ascii="宋体" w:hAnsi="宋体" w:cs="宋体"/>
          <w:kern w:val="0"/>
          <w:sz w:val="24"/>
          <w:lang w:val="zh-CN"/>
        </w:rPr>
      </w:pPr>
      <w:r>
        <w:rPr>
          <w:rFonts w:hint="eastAsia" w:ascii="宋体" w:hAnsi="宋体" w:cs="宋体"/>
          <w:kern w:val="0"/>
          <w:sz w:val="24"/>
          <w:lang w:val="zh-CN"/>
        </w:rPr>
        <w:t>到站装卸费支付方：</w:t>
      </w:r>
    </w:p>
    <w:p>
      <w:pPr>
        <w:spacing w:line="360" w:lineRule="auto"/>
        <w:rPr>
          <w:rFonts w:ascii="宋体" w:hAnsi="宋体" w:cs="宋体"/>
          <w:kern w:val="0"/>
          <w:sz w:val="24"/>
        </w:rPr>
      </w:pPr>
      <w:r>
        <w:rPr>
          <w:rFonts w:hint="eastAsia" w:ascii="宋体" w:hAnsi="宋体" w:cs="宋体"/>
          <w:kern w:val="0"/>
          <w:sz w:val="24"/>
          <w:lang w:val="zh-CN"/>
        </w:rPr>
        <w:t xml:space="preserve">收货人： </w:t>
      </w:r>
      <w:r>
        <w:rPr>
          <w:rFonts w:hint="eastAsia" w:ascii="宋体" w:hAnsi="宋体" w:cs="宋体"/>
          <w:kern w:val="0"/>
          <w:sz w:val="24"/>
        </w:rPr>
        <w:t xml:space="preserve">            </w:t>
      </w:r>
    </w:p>
    <w:p>
      <w:pPr>
        <w:spacing w:line="360" w:lineRule="auto"/>
        <w:rPr>
          <w:rFonts w:ascii="宋体" w:hAnsi="宋体" w:cs="宋体"/>
          <w:kern w:val="0"/>
          <w:sz w:val="24"/>
          <w:lang w:val="zh-CN"/>
        </w:rPr>
      </w:pPr>
      <w:r>
        <w:rPr>
          <w:rFonts w:hint="eastAsia" w:ascii="宋体" w:hAnsi="宋体" w:cs="宋体"/>
          <w:kern w:val="0"/>
          <w:sz w:val="24"/>
          <w:lang w:val="zh-CN"/>
        </w:rPr>
        <w:t xml:space="preserve">联系人: </w:t>
      </w:r>
      <w:r>
        <w:rPr>
          <w:rFonts w:hint="eastAsia" w:ascii="宋体" w:hAnsi="宋体" w:cs="宋体"/>
          <w:kern w:val="0"/>
          <w:sz w:val="24"/>
        </w:rPr>
        <w:t xml:space="preserve"> </w:t>
      </w:r>
    </w:p>
    <w:p>
      <w:pPr>
        <w:spacing w:line="360" w:lineRule="auto"/>
        <w:rPr>
          <w:rFonts w:ascii="宋体" w:hAnsi="宋体" w:cs="宋体"/>
          <w:kern w:val="0"/>
          <w:sz w:val="24"/>
        </w:rPr>
      </w:pPr>
      <w:r>
        <w:rPr>
          <w:rFonts w:hint="eastAsia" w:ascii="宋体" w:hAnsi="宋体" w:cs="宋体"/>
          <w:kern w:val="0"/>
          <w:sz w:val="24"/>
          <w:lang w:val="zh-CN"/>
        </w:rPr>
        <w:t>联系电话：</w:t>
      </w:r>
      <w:r>
        <w:rPr>
          <w:rFonts w:hint="eastAsia" w:ascii="宋体" w:hAnsi="宋体" w:cs="宋体"/>
          <w:kern w:val="0"/>
          <w:sz w:val="24"/>
        </w:rPr>
        <w:t xml:space="preserve"> </w:t>
      </w:r>
    </w:p>
    <w:p>
      <w:pPr>
        <w:spacing w:line="360" w:lineRule="auto"/>
        <w:rPr>
          <w:rFonts w:ascii="宋体" w:hAnsi="宋体" w:cs="宋体"/>
          <w:color w:val="000000"/>
          <w:kern w:val="0"/>
          <w:sz w:val="24"/>
        </w:rPr>
      </w:pPr>
      <w:r>
        <w:rPr>
          <w:rFonts w:hint="eastAsia" w:ascii="宋体" w:hAnsi="宋体" w:cs="宋体"/>
          <w:kern w:val="0"/>
          <w:sz w:val="24"/>
        </w:rPr>
        <w:t xml:space="preserve">     上述信息如</w:t>
      </w:r>
      <w:r>
        <w:rPr>
          <w:rFonts w:hint="eastAsia" w:ascii="宋体" w:hAnsi="宋体" w:cs="宋体"/>
          <w:color w:val="000000"/>
          <w:kern w:val="0"/>
          <w:sz w:val="24"/>
        </w:rPr>
        <w:t>发生变更，请提供加盖公章的书面变更函。</w:t>
      </w:r>
    </w:p>
    <w:p>
      <w:pPr>
        <w:spacing w:line="360" w:lineRule="auto"/>
        <w:ind w:firstLine="482" w:firstLineChars="200"/>
        <w:jc w:val="left"/>
        <w:rPr>
          <w:rFonts w:ascii="宋体" w:hAnsi="宋体" w:cs="宋体"/>
          <w:bCs/>
          <w:color w:val="000000"/>
          <w:sz w:val="24"/>
        </w:rPr>
      </w:pPr>
      <w:r>
        <w:rPr>
          <w:rFonts w:hint="eastAsia" w:ascii="宋体" w:hAnsi="宋体" w:cs="宋体"/>
          <w:b/>
          <w:color w:val="000000"/>
          <w:sz w:val="24"/>
        </w:rPr>
        <w:t>二、储存货物的品名、包装</w:t>
      </w:r>
    </w:p>
    <w:p>
      <w:pPr>
        <w:spacing w:line="360" w:lineRule="auto"/>
        <w:ind w:firstLine="480" w:firstLineChars="200"/>
        <w:jc w:val="left"/>
        <w:rPr>
          <w:rFonts w:ascii="宋体" w:hAnsi="宋体" w:cs="宋体"/>
          <w:color w:val="000000"/>
          <w:kern w:val="0"/>
          <w:sz w:val="24"/>
        </w:rPr>
      </w:pPr>
      <w:r>
        <w:rPr>
          <w:rFonts w:hint="eastAsia" w:ascii="宋体" w:hAnsi="宋体" w:cs="宋体"/>
          <w:bCs/>
          <w:color w:val="000000"/>
          <w:sz w:val="24"/>
        </w:rPr>
        <w:t>小包装产品（外包装纸箱，内包装马口铁或软袋3KG*6、4.5KG*6、850G*12、2.2KG*6、20KG*1、2850g*6番茄丁等）。</w:t>
      </w:r>
    </w:p>
    <w:p>
      <w:pPr>
        <w:spacing w:line="360" w:lineRule="auto"/>
        <w:ind w:firstLine="482" w:firstLineChars="200"/>
        <w:rPr>
          <w:rFonts w:ascii="宋体" w:hAnsi="宋体" w:cs="宋体"/>
          <w:b/>
          <w:bCs/>
          <w:sz w:val="24"/>
        </w:rPr>
      </w:pPr>
      <w:r>
        <w:rPr>
          <w:rFonts w:hint="eastAsia" w:ascii="宋体" w:hAnsi="宋体" w:cs="宋体"/>
          <w:b/>
          <w:bCs/>
          <w:sz w:val="24"/>
        </w:rPr>
        <w:t>三、货物接卸验收内容、标准及资料</w:t>
      </w:r>
    </w:p>
    <w:p>
      <w:pPr>
        <w:spacing w:line="360" w:lineRule="auto"/>
        <w:ind w:firstLine="480" w:firstLineChars="200"/>
        <w:jc w:val="left"/>
        <w:rPr>
          <w:rFonts w:ascii="宋体" w:hAnsi="宋体" w:cs="宋体"/>
          <w:sz w:val="24"/>
        </w:rPr>
      </w:pPr>
      <w:r>
        <w:rPr>
          <w:rFonts w:hint="eastAsia" w:ascii="宋体" w:hAnsi="宋体" w:cs="宋体"/>
          <w:sz w:val="24"/>
        </w:rPr>
        <w:t>1、甲方在货物启运后两日内向乙方寄出铁路领货凭证，三个工作日内在SAP系统中录入《收货预报》（内容包括品名、工厂、包装、发站、到站、启运日期、车/箱号等信息），以便乙方根据发运情况作好接卸、入库/送货准备。</w:t>
      </w:r>
    </w:p>
    <w:p>
      <w:pPr>
        <w:spacing w:line="360" w:lineRule="auto"/>
        <w:ind w:firstLine="480" w:firstLineChars="200"/>
        <w:jc w:val="left"/>
        <w:rPr>
          <w:rFonts w:ascii="宋体" w:hAnsi="宋体" w:cs="宋体"/>
          <w:sz w:val="24"/>
        </w:rPr>
      </w:pPr>
      <w:r>
        <w:rPr>
          <w:rFonts w:hint="eastAsia" w:ascii="宋体" w:hAnsi="宋体" w:cs="宋体"/>
          <w:sz w:val="24"/>
        </w:rPr>
        <w:t>2、甲方货物通过铁路或公路运抵乙方指定站点/仓库/铁路专用线后，乙方需组织下站接货、卸车、入库、验收等业务作业，办理入库手续，做好验收记录。</w:t>
      </w:r>
    </w:p>
    <w:p>
      <w:pPr>
        <w:spacing w:line="360" w:lineRule="auto"/>
        <w:ind w:firstLine="480" w:firstLineChars="200"/>
        <w:jc w:val="left"/>
        <w:rPr>
          <w:rFonts w:ascii="宋体" w:hAnsi="宋体" w:cs="宋体"/>
          <w:sz w:val="24"/>
        </w:rPr>
      </w:pPr>
      <w:r>
        <w:rPr>
          <w:rFonts w:hint="eastAsia" w:ascii="宋体" w:hAnsi="宋体" w:cs="宋体"/>
          <w:sz w:val="24"/>
        </w:rPr>
        <w:t>（1）数量验收需根据甲方提供的铁路货物运单(简称:大票)记载的数量进行验收，验收入库数据需分工厂、包装、批次、车/箱号进行汇总，如果实收货物与铁路货物运单(简称:大票)记载的数量不符应在当天通知甲方进行核对。</w:t>
      </w:r>
    </w:p>
    <w:p>
      <w:pPr>
        <w:spacing w:line="360" w:lineRule="auto"/>
        <w:ind w:firstLine="480" w:firstLineChars="200"/>
        <w:jc w:val="left"/>
        <w:rPr>
          <w:rFonts w:ascii="宋体" w:hAnsi="宋体" w:cs="宋体"/>
          <w:sz w:val="24"/>
        </w:rPr>
      </w:pPr>
      <w:r>
        <w:rPr>
          <w:rFonts w:hint="eastAsia" w:ascii="宋体" w:hAnsi="宋体" w:cs="宋体"/>
          <w:sz w:val="24"/>
        </w:rPr>
        <w:t>（2）质量验收标准：外包装清洁无异物，托盘上无夹带异物，桶身无锐角变形、凹瘪，产品无外溢，外包装无明显破损；纸箱无污损。</w:t>
      </w:r>
    </w:p>
    <w:p>
      <w:pPr>
        <w:spacing w:line="360" w:lineRule="auto"/>
        <w:ind w:firstLine="480" w:firstLineChars="200"/>
        <w:jc w:val="left"/>
        <w:rPr>
          <w:rFonts w:ascii="宋体" w:hAnsi="宋体" w:cs="宋体"/>
          <w:sz w:val="24"/>
        </w:rPr>
      </w:pPr>
      <w:r>
        <w:rPr>
          <w:rFonts w:hint="eastAsia" w:ascii="宋体" w:hAnsi="宋体" w:cs="宋体"/>
          <w:sz w:val="24"/>
        </w:rPr>
        <w:t>（3）货物到站时发现渗漏或严重破损，乙方应当天将第一现场情况通知甲方，包括破损数量、破损程度（附照片）等。</w:t>
      </w:r>
    </w:p>
    <w:p>
      <w:pPr>
        <w:spacing w:line="360" w:lineRule="auto"/>
        <w:ind w:firstLine="480" w:firstLineChars="200"/>
        <w:jc w:val="left"/>
        <w:rPr>
          <w:rFonts w:ascii="宋体" w:hAnsi="宋体" w:cs="宋体"/>
          <w:sz w:val="24"/>
        </w:rPr>
      </w:pPr>
      <w:r>
        <w:rPr>
          <w:rFonts w:hint="eastAsia" w:ascii="宋体" w:hAnsi="宋体" w:cs="宋体"/>
          <w:sz w:val="24"/>
        </w:rPr>
        <w:t>3、货物入库完毕后两个工作日内完成数据采集工作，核对无误后完成数据录入至甲方指定的SAP系统中。</w:t>
      </w:r>
    </w:p>
    <w:p>
      <w:pPr>
        <w:spacing w:line="360" w:lineRule="auto"/>
        <w:ind w:firstLine="482" w:firstLineChars="200"/>
        <w:rPr>
          <w:rFonts w:ascii="宋体" w:hAnsi="宋体" w:cs="宋体"/>
          <w:b/>
          <w:bCs/>
          <w:sz w:val="24"/>
        </w:rPr>
      </w:pPr>
      <w:r>
        <w:rPr>
          <w:rFonts w:hint="eastAsia" w:ascii="宋体" w:hAnsi="宋体" w:cs="宋体"/>
          <w:b/>
          <w:bCs/>
          <w:sz w:val="24"/>
        </w:rPr>
        <w:t>四、货物仓储条件及保管要求</w:t>
      </w:r>
    </w:p>
    <w:p>
      <w:pPr>
        <w:spacing w:line="360" w:lineRule="auto"/>
        <w:ind w:firstLine="480" w:firstLineChars="200"/>
        <w:jc w:val="left"/>
        <w:rPr>
          <w:rFonts w:ascii="宋体" w:hAnsi="宋体" w:cs="宋体"/>
          <w:sz w:val="24"/>
        </w:rPr>
      </w:pPr>
      <w:r>
        <w:rPr>
          <w:rFonts w:hint="eastAsia" w:ascii="宋体" w:hAnsi="宋体" w:cs="宋体"/>
          <w:sz w:val="24"/>
        </w:rPr>
        <w:t>1、乙方负责将甲方到达的货物存储至符合甲方要求的室内库房，保障货物的安全性。</w:t>
      </w:r>
    </w:p>
    <w:p>
      <w:pPr>
        <w:spacing w:line="360" w:lineRule="auto"/>
        <w:ind w:firstLine="480" w:firstLineChars="200"/>
        <w:jc w:val="left"/>
        <w:rPr>
          <w:rFonts w:ascii="宋体" w:hAnsi="宋体" w:cs="宋体"/>
          <w:sz w:val="24"/>
        </w:rPr>
      </w:pPr>
      <w:r>
        <w:rPr>
          <w:rFonts w:hint="eastAsia" w:ascii="宋体" w:hAnsi="宋体" w:cs="宋体"/>
          <w:sz w:val="24"/>
        </w:rPr>
        <w:t>2、仓储过程中，非甲方原因发生仓储货物破损、变形、潮湿、丢失等情况，乙方按甲方相应要求给予赔偿。</w:t>
      </w:r>
    </w:p>
    <w:p>
      <w:pPr>
        <w:tabs>
          <w:tab w:val="left" w:pos="540"/>
        </w:tabs>
        <w:spacing w:line="360" w:lineRule="auto"/>
        <w:ind w:firstLine="480" w:firstLineChars="200"/>
        <w:jc w:val="left"/>
        <w:rPr>
          <w:rFonts w:ascii="宋体" w:hAnsi="宋体" w:cs="宋体"/>
          <w:sz w:val="24"/>
        </w:rPr>
      </w:pPr>
      <w:r>
        <w:rPr>
          <w:rFonts w:hint="eastAsia" w:ascii="宋体" w:hAnsi="宋体" w:cs="宋体"/>
          <w:sz w:val="24"/>
        </w:rPr>
        <w:t>3、仓储条件保管措施：</w:t>
      </w:r>
    </w:p>
    <w:p>
      <w:pPr>
        <w:tabs>
          <w:tab w:val="left" w:pos="540"/>
        </w:tabs>
        <w:spacing w:line="360" w:lineRule="auto"/>
        <w:ind w:firstLine="480" w:firstLineChars="200"/>
        <w:jc w:val="left"/>
        <w:rPr>
          <w:rFonts w:ascii="宋体" w:hAnsi="宋体" w:cs="宋体"/>
          <w:sz w:val="24"/>
        </w:rPr>
      </w:pPr>
      <w:r>
        <w:rPr>
          <w:rFonts w:hint="eastAsia" w:ascii="宋体" w:hAnsi="宋体" w:cs="宋体"/>
          <w:sz w:val="24"/>
          <w:u w:val="single"/>
        </w:rPr>
        <w:t>小包装4.5KG*6每个托盘码高不超过6层（可以叠加1托）、3KG*6每个托盘码高不超过8层、850G*12、2.2KG*6码高不超过12层、2850g*6番茄丁每个托盘码高不超过6层（可以叠加1托），20KG*1码高不超过6层，托盘不能叠加；防水防潮防鼠</w:t>
      </w:r>
      <w:r>
        <w:rPr>
          <w:rFonts w:hint="eastAsia" w:ascii="宋体" w:hAnsi="宋体" w:cs="宋体"/>
          <w:sz w:val="24"/>
        </w:rPr>
        <w:t>。</w:t>
      </w:r>
    </w:p>
    <w:p>
      <w:pPr>
        <w:spacing w:line="360" w:lineRule="auto"/>
        <w:ind w:firstLine="482" w:firstLineChars="200"/>
        <w:jc w:val="left"/>
        <w:rPr>
          <w:rFonts w:ascii="宋体" w:hAnsi="宋体" w:cs="宋体"/>
          <w:sz w:val="24"/>
        </w:rPr>
      </w:pPr>
      <w:r>
        <w:rPr>
          <w:rFonts w:hint="eastAsia" w:ascii="宋体" w:hAnsi="宋体" w:cs="宋体"/>
          <w:b/>
          <w:bCs/>
          <w:sz w:val="24"/>
        </w:rPr>
        <w:t>五、接卸及入库业务中的相关规定和要求</w:t>
      </w:r>
    </w:p>
    <w:p>
      <w:pPr>
        <w:spacing w:line="360" w:lineRule="auto"/>
        <w:ind w:firstLine="480" w:firstLineChars="200"/>
        <w:jc w:val="left"/>
        <w:rPr>
          <w:rFonts w:ascii="宋体" w:hAnsi="宋体" w:cs="宋体"/>
          <w:sz w:val="24"/>
        </w:rPr>
      </w:pPr>
      <w:r>
        <w:rPr>
          <w:rFonts w:hint="eastAsia" w:ascii="宋体" w:hAnsi="宋体" w:cs="宋体"/>
          <w:sz w:val="24"/>
        </w:rPr>
        <w:t>1、乙方在产品入库时要做到轻搬轻运，避免野蛮作业造成损失。码垛作业时应确保货物及垫板物料完好，轻搬轻放。在此过程中货物的损失、损坏、丢失应予以赔偿。</w:t>
      </w:r>
    </w:p>
    <w:p>
      <w:pPr>
        <w:spacing w:line="360" w:lineRule="auto"/>
        <w:ind w:firstLine="480" w:firstLineChars="200"/>
        <w:jc w:val="left"/>
        <w:rPr>
          <w:rFonts w:ascii="宋体" w:hAnsi="宋体" w:cs="宋体"/>
          <w:sz w:val="24"/>
        </w:rPr>
      </w:pPr>
      <w:r>
        <w:rPr>
          <w:rFonts w:hint="eastAsia" w:ascii="宋体" w:hAnsi="宋体" w:cs="宋体"/>
          <w:sz w:val="24"/>
        </w:rPr>
        <w:t>2、入库码垛应规范操作，按照产品的不同规格进行分批次（大包装）、分生产日期（小包装）、分类码垛，码垛高度要求严格按照甲方《作业指导书》中的要求进行作业。</w:t>
      </w:r>
    </w:p>
    <w:p>
      <w:pPr>
        <w:spacing w:line="360" w:lineRule="auto"/>
        <w:ind w:firstLine="480" w:firstLineChars="200"/>
        <w:jc w:val="left"/>
        <w:rPr>
          <w:rFonts w:ascii="宋体" w:hAnsi="宋体" w:cs="宋体"/>
          <w:sz w:val="24"/>
        </w:rPr>
      </w:pPr>
      <w:r>
        <w:rPr>
          <w:rFonts w:hint="eastAsia" w:ascii="宋体" w:hAnsi="宋体" w:cs="宋体"/>
          <w:sz w:val="24"/>
        </w:rPr>
        <w:t>3、由于接卸机力、人力不足造成甲方货物不能及时入库，产生的其他费等由乙方按照甲方实际支出全额承担。</w:t>
      </w:r>
    </w:p>
    <w:p>
      <w:pPr>
        <w:spacing w:line="360" w:lineRule="auto"/>
        <w:ind w:firstLine="480" w:firstLineChars="200"/>
        <w:jc w:val="left"/>
        <w:rPr>
          <w:rFonts w:ascii="宋体" w:hAnsi="宋体" w:cs="宋体"/>
          <w:sz w:val="24"/>
        </w:rPr>
      </w:pPr>
      <w:r>
        <w:rPr>
          <w:rFonts w:hint="eastAsia" w:ascii="宋体" w:hAnsi="宋体" w:cs="宋体"/>
          <w:sz w:val="24"/>
        </w:rPr>
        <w:t>4、铁路到达的车皮在乙方收货站点遇拥堵等情况，无法推进乙方专用线或铁路货场，乙方有责任第一时间与铁路部门进行协调。</w:t>
      </w:r>
    </w:p>
    <w:p>
      <w:pPr>
        <w:spacing w:line="360" w:lineRule="auto"/>
        <w:ind w:firstLine="482" w:firstLineChars="200"/>
        <w:jc w:val="left"/>
        <w:rPr>
          <w:rFonts w:ascii="宋体" w:hAnsi="宋体" w:cs="宋体"/>
          <w:b/>
          <w:bCs/>
          <w:sz w:val="24"/>
        </w:rPr>
      </w:pPr>
      <w:r>
        <w:rPr>
          <w:rFonts w:hint="eastAsia" w:ascii="宋体" w:hAnsi="宋体" w:cs="宋体"/>
          <w:b/>
          <w:bCs/>
          <w:sz w:val="24"/>
        </w:rPr>
        <w:t>六、出库业务中的相关规定和要求</w:t>
      </w:r>
    </w:p>
    <w:p>
      <w:pPr>
        <w:spacing w:line="360" w:lineRule="auto"/>
        <w:ind w:firstLine="480" w:firstLineChars="200"/>
        <w:jc w:val="left"/>
        <w:rPr>
          <w:rFonts w:ascii="宋体" w:hAnsi="宋体" w:cs="宋体"/>
          <w:sz w:val="24"/>
        </w:rPr>
      </w:pPr>
      <w:r>
        <w:rPr>
          <w:rFonts w:hint="eastAsia" w:ascii="宋体" w:hAnsi="宋体" w:cs="宋体"/>
          <w:sz w:val="24"/>
        </w:rPr>
        <w:t>1、根据甲方出库单，乙方接到甲方出库任务时，应当按照出库单中产品的包装方式、产品规格、数量、批次、生产日期等情况并组织适量作业人员及时按要求进行出库作业。</w:t>
      </w:r>
    </w:p>
    <w:p>
      <w:pPr>
        <w:spacing w:line="360" w:lineRule="auto"/>
        <w:ind w:firstLine="480" w:firstLineChars="200"/>
        <w:jc w:val="left"/>
        <w:rPr>
          <w:rFonts w:ascii="宋体" w:hAnsi="宋体" w:cs="宋体"/>
          <w:sz w:val="24"/>
        </w:rPr>
      </w:pPr>
      <w:r>
        <w:rPr>
          <w:rFonts w:hint="eastAsia" w:ascii="宋体" w:hAnsi="宋体" w:cs="宋体"/>
          <w:sz w:val="24"/>
        </w:rPr>
        <w:t>2、注意纸箱外包装整洁，完好，无污染，如果外包装破损请更换新纸箱，并对更换纸箱、破损纸箱及其对应的批次、箱号进行拍照留档。</w:t>
      </w:r>
    </w:p>
    <w:p>
      <w:pPr>
        <w:spacing w:line="360" w:lineRule="auto"/>
        <w:ind w:firstLine="480" w:firstLineChars="200"/>
        <w:rPr>
          <w:rFonts w:ascii="宋体" w:hAnsi="宋体" w:cs="宋体"/>
          <w:color w:val="000000"/>
          <w:sz w:val="24"/>
        </w:rPr>
      </w:pPr>
      <w:r>
        <w:rPr>
          <w:rFonts w:hint="eastAsia" w:ascii="宋体" w:hAnsi="宋体" w:cs="宋体"/>
          <w:color w:val="000000"/>
          <w:sz w:val="24"/>
        </w:rPr>
        <w:t>3、装车时请注意防雨，不得挤压，防碰撞，防踩压。</w:t>
      </w:r>
    </w:p>
    <w:p>
      <w:pPr>
        <w:spacing w:line="360" w:lineRule="auto"/>
        <w:ind w:firstLine="480" w:firstLineChars="200"/>
        <w:rPr>
          <w:rFonts w:ascii="宋体" w:hAnsi="宋体" w:cs="宋体"/>
          <w:color w:val="000000"/>
          <w:sz w:val="24"/>
        </w:rPr>
      </w:pPr>
      <w:r>
        <w:rPr>
          <w:rFonts w:hint="eastAsia" w:ascii="宋体" w:hAnsi="宋体" w:cs="宋体"/>
          <w:color w:val="000000"/>
          <w:sz w:val="24"/>
        </w:rPr>
        <w:t>4、发货前乙方要对自提车辆或装载车辆做好卫生检查。复印司机的行驶证，驾驶证，身份证。</w:t>
      </w:r>
    </w:p>
    <w:p>
      <w:pPr>
        <w:spacing w:line="360" w:lineRule="auto"/>
        <w:ind w:firstLine="480" w:firstLineChars="200"/>
        <w:jc w:val="left"/>
        <w:rPr>
          <w:rFonts w:ascii="宋体" w:hAnsi="宋体" w:cs="宋体"/>
          <w:sz w:val="24"/>
        </w:rPr>
      </w:pPr>
      <w:r>
        <w:rPr>
          <w:rFonts w:hint="eastAsia" w:ascii="宋体" w:hAnsi="宋体" w:cs="宋体"/>
          <w:sz w:val="24"/>
        </w:rPr>
        <w:t>5、出库时，需按《作业指导书》的要求进行拍照留档、备查，我司作业人员不定期抽查。如未按要求操作、遇到客户投诉，无法提供充分依据证明自身作业环节没有问题，则乙方承担全部责任，同步纳入供应商考核管理。</w:t>
      </w:r>
    </w:p>
    <w:p>
      <w:pPr>
        <w:spacing w:line="360" w:lineRule="auto"/>
        <w:ind w:firstLine="480" w:firstLineChars="200"/>
        <w:jc w:val="left"/>
        <w:rPr>
          <w:rFonts w:ascii="宋体" w:hAnsi="宋体" w:cs="宋体"/>
          <w:sz w:val="24"/>
        </w:rPr>
      </w:pPr>
      <w:r>
        <w:rPr>
          <w:rFonts w:hint="eastAsia" w:ascii="宋体" w:hAnsi="宋体" w:cs="宋体"/>
          <w:sz w:val="24"/>
        </w:rPr>
        <w:t>6、出库备货时，如出库单中注明生产日期的按照生产日期备货发货，如未表明生产日期的，按照生产日期早的先出，因备货失误造成的损失由乙方全额承担。</w:t>
      </w:r>
    </w:p>
    <w:p>
      <w:pPr>
        <w:spacing w:line="360" w:lineRule="auto"/>
        <w:ind w:firstLine="482" w:firstLineChars="200"/>
        <w:jc w:val="left"/>
        <w:rPr>
          <w:rFonts w:ascii="宋体" w:hAnsi="宋体" w:cs="宋体"/>
          <w:b/>
          <w:bCs/>
          <w:sz w:val="24"/>
        </w:rPr>
      </w:pPr>
      <w:r>
        <w:rPr>
          <w:rFonts w:hint="eastAsia" w:ascii="宋体" w:hAnsi="宋体" w:cs="宋体"/>
          <w:b/>
          <w:bCs/>
          <w:sz w:val="24"/>
        </w:rPr>
        <w:t>七、数据反馈</w:t>
      </w:r>
    </w:p>
    <w:p>
      <w:pPr>
        <w:spacing w:line="360" w:lineRule="auto"/>
        <w:ind w:firstLine="480" w:firstLineChars="200"/>
        <w:jc w:val="left"/>
        <w:rPr>
          <w:rFonts w:ascii="宋体" w:hAnsi="宋体" w:cs="宋体"/>
          <w:sz w:val="24"/>
        </w:rPr>
      </w:pPr>
      <w:r>
        <w:rPr>
          <w:rFonts w:hint="eastAsia" w:ascii="宋体" w:hAnsi="宋体" w:cs="宋体"/>
          <w:sz w:val="24"/>
        </w:rPr>
        <w:t>1、乙方应于每月系统关账日、半年、全年或其他通知日期后配合甲方数据核查工作，及时从SAP系统导出库存产品数据，并于3个工作日内完成数据的盘点复核工作，有偏差的及时通知甲方，并配合甲方进一步核查原因，每月向甲方出具乙方核查并盖章、签字的“收、发、存盘点明细表”，作为乙方收货、存货的依据。</w:t>
      </w:r>
    </w:p>
    <w:p>
      <w:pPr>
        <w:spacing w:line="360" w:lineRule="auto"/>
        <w:ind w:firstLine="480" w:firstLineChars="200"/>
        <w:jc w:val="left"/>
        <w:rPr>
          <w:rFonts w:ascii="宋体" w:hAnsi="宋体" w:cs="宋体"/>
          <w:sz w:val="24"/>
        </w:rPr>
      </w:pPr>
      <w:r>
        <w:rPr>
          <w:rFonts w:hint="eastAsia" w:ascii="宋体" w:hAnsi="宋体" w:cs="宋体"/>
          <w:sz w:val="24"/>
        </w:rPr>
        <w:t>2、产品自到达后必须在3个工作日内完成分批次（先进先出）、理货、码垛及数据的上传和上报。</w:t>
      </w:r>
    </w:p>
    <w:p>
      <w:pPr>
        <w:spacing w:line="360" w:lineRule="auto"/>
        <w:ind w:firstLine="480" w:firstLineChars="200"/>
        <w:jc w:val="left"/>
        <w:rPr>
          <w:rFonts w:ascii="宋体" w:hAnsi="宋体" w:cs="宋体"/>
          <w:sz w:val="24"/>
        </w:rPr>
      </w:pPr>
      <w:r>
        <w:rPr>
          <w:rFonts w:hint="eastAsia" w:ascii="宋体" w:hAnsi="宋体" w:cs="宋体"/>
          <w:sz w:val="24"/>
        </w:rPr>
        <w:t>3、产品出库后，必须在三个工作日内完成SAP系统出库及费用的数据录入和提交，并将电子版码单及影像记录反馈至甲方相关作业人员。</w:t>
      </w:r>
      <w:r>
        <w:rPr>
          <w:rFonts w:ascii="宋体" w:hAnsi="宋体" w:cs="宋体"/>
          <w:sz w:val="24"/>
        </w:rPr>
        <w:t>如实际操作过程中未按照要求完成的，结合具体情况纳入供应商年度考核评级和物流项目限制准入资格；同步，当期月度库房整体费用结算时，在原合同付款账期基础上再延长一个月的方式进行处罚。</w:t>
      </w:r>
    </w:p>
    <w:p>
      <w:pPr>
        <w:spacing w:line="360" w:lineRule="auto"/>
        <w:ind w:firstLine="480" w:firstLineChars="200"/>
        <w:jc w:val="left"/>
        <w:rPr>
          <w:rFonts w:ascii="宋体" w:hAnsi="宋体" w:cs="宋体"/>
          <w:sz w:val="24"/>
        </w:rPr>
      </w:pPr>
      <w:r>
        <w:rPr>
          <w:rFonts w:hint="eastAsia" w:ascii="宋体" w:hAnsi="宋体" w:cs="宋体"/>
          <w:sz w:val="24"/>
        </w:rPr>
        <w:t>4、自甲方下达预抄码单指令起，乙方必须在甲方要求的时间内完成并反馈至甲方相关作业人员。</w:t>
      </w:r>
    </w:p>
    <w:p>
      <w:pPr>
        <w:spacing w:line="360" w:lineRule="auto"/>
        <w:ind w:firstLine="480" w:firstLineChars="200"/>
        <w:jc w:val="left"/>
        <w:rPr>
          <w:rFonts w:ascii="宋体" w:hAnsi="宋体" w:cs="宋体"/>
          <w:sz w:val="24"/>
        </w:rPr>
      </w:pPr>
      <w:r>
        <w:rPr>
          <w:rFonts w:hint="eastAsia" w:ascii="宋体" w:hAnsi="宋体" w:cs="宋体"/>
          <w:sz w:val="24"/>
        </w:rPr>
        <w:t>5、存储期间产品产生的报废、报损数据及影像按甲方要求实时反馈。</w:t>
      </w:r>
    </w:p>
    <w:p>
      <w:pPr>
        <w:spacing w:line="360" w:lineRule="auto"/>
        <w:ind w:firstLine="480" w:firstLineChars="200"/>
        <w:jc w:val="left"/>
        <w:rPr>
          <w:rFonts w:ascii="宋体" w:hAnsi="宋体" w:cs="宋体"/>
          <w:sz w:val="24"/>
        </w:rPr>
      </w:pPr>
      <w:r>
        <w:rPr>
          <w:rFonts w:hint="eastAsia" w:ascii="宋体" w:hAnsi="宋体" w:cs="宋体"/>
          <w:sz w:val="24"/>
        </w:rPr>
        <w:t>6、产品到达和出库时产生的数据偏差应实时反馈甲方相关作业人员。</w:t>
      </w:r>
    </w:p>
    <w:p>
      <w:pPr>
        <w:spacing w:line="360" w:lineRule="auto"/>
        <w:rPr>
          <w:rFonts w:ascii="宋体" w:hAnsi="宋体" w:cs="宋体"/>
          <w:b/>
          <w:bCs/>
          <w:color w:val="000000"/>
          <w:sz w:val="24"/>
        </w:rPr>
      </w:pPr>
    </w:p>
    <w:p>
      <w:pPr>
        <w:spacing w:line="360" w:lineRule="auto"/>
        <w:rPr>
          <w:rFonts w:ascii="宋体" w:hAnsi="宋体" w:cs="宋体"/>
          <w:b/>
          <w:bCs/>
          <w:color w:val="000000"/>
          <w:sz w:val="24"/>
        </w:rPr>
      </w:pPr>
      <w:r>
        <w:rPr>
          <w:rFonts w:hint="eastAsia" w:ascii="宋体" w:hAnsi="宋体" w:cs="宋体"/>
          <w:b/>
          <w:bCs/>
          <w:color w:val="000000"/>
          <w:sz w:val="24"/>
        </w:rPr>
        <w:t>八、收费标准</w:t>
      </w:r>
    </w:p>
    <w:p>
      <w:pPr>
        <w:spacing w:line="360" w:lineRule="auto"/>
        <w:rPr>
          <w:rFonts w:ascii="宋体" w:hAnsi="宋体" w:cs="宋体"/>
          <w:sz w:val="22"/>
          <w:szCs w:val="22"/>
        </w:rPr>
      </w:pPr>
      <w:r>
        <w:rPr>
          <w:rFonts w:hint="eastAsia" w:ascii="宋体" w:hAnsi="宋体" w:cs="宋体"/>
          <w:sz w:val="22"/>
          <w:szCs w:val="22"/>
        </w:rPr>
        <w:t>1、仓储费</w:t>
      </w:r>
    </w:p>
    <w:tbl>
      <w:tblPr>
        <w:tblStyle w:val="13"/>
        <w:tblW w:w="0" w:type="auto"/>
        <w:tblInd w:w="0" w:type="dxa"/>
        <w:tblLayout w:type="fixed"/>
        <w:tblCellMar>
          <w:top w:w="0" w:type="dxa"/>
          <w:left w:w="0" w:type="dxa"/>
          <w:bottom w:w="0" w:type="dxa"/>
          <w:right w:w="0" w:type="dxa"/>
        </w:tblCellMar>
      </w:tblPr>
      <w:tblGrid>
        <w:gridCol w:w="810"/>
        <w:gridCol w:w="2535"/>
        <w:gridCol w:w="885"/>
        <w:gridCol w:w="900"/>
        <w:gridCol w:w="1080"/>
        <w:gridCol w:w="1080"/>
        <w:gridCol w:w="1080"/>
        <w:gridCol w:w="1635"/>
      </w:tblGrid>
      <w:tr>
        <w:tblPrEx>
          <w:tblCellMar>
            <w:top w:w="0" w:type="dxa"/>
            <w:left w:w="0" w:type="dxa"/>
            <w:bottom w:w="0" w:type="dxa"/>
            <w:right w:w="0" w:type="dxa"/>
          </w:tblCellMar>
        </w:tblPrEx>
        <w:trPr>
          <w:trHeight w:val="380" w:hRule="atLeast"/>
        </w:trPr>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lang w:bidi="ar"/>
              </w:rPr>
              <w:t>序号</w:t>
            </w:r>
          </w:p>
        </w:tc>
        <w:tc>
          <w:tcPr>
            <w:tcW w:w="2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sz w:val="16"/>
                <w:szCs w:val="16"/>
              </w:rPr>
            </w:pPr>
            <w:r>
              <w:rPr>
                <w:rFonts w:hint="eastAsia" w:ascii="宋体" w:hAnsi="宋体" w:cs="宋体"/>
                <w:color w:val="000000"/>
                <w:kern w:val="0"/>
                <w:sz w:val="16"/>
                <w:szCs w:val="16"/>
                <w:lang w:bidi="ar"/>
              </w:rPr>
              <w:t>费用名称</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lang w:bidi="ar"/>
              </w:rPr>
              <w:t>单位</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lang w:bidi="ar"/>
              </w:rPr>
              <w:t>税率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lang w:bidi="ar"/>
              </w:rPr>
              <w:t>价税合计金额</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lang w:bidi="ar"/>
              </w:rPr>
              <w:t>不含税金额</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lang w:bidi="ar"/>
              </w:rPr>
              <w:t>税额</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lang w:bidi="ar"/>
              </w:rPr>
              <w:t>备注</w:t>
            </w:r>
          </w:p>
        </w:tc>
      </w:tr>
      <w:tr>
        <w:tblPrEx>
          <w:tblCellMar>
            <w:top w:w="0" w:type="dxa"/>
            <w:left w:w="0" w:type="dxa"/>
            <w:bottom w:w="0" w:type="dxa"/>
            <w:right w:w="0"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lang w:bidi="ar"/>
              </w:rPr>
              <w:t>1</w:t>
            </w:r>
          </w:p>
        </w:tc>
        <w:tc>
          <w:tcPr>
            <w:tcW w:w="2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sz w:val="16"/>
                <w:szCs w:val="16"/>
              </w:rPr>
            </w:pPr>
            <w:r>
              <w:rPr>
                <w:rFonts w:hint="eastAsia" w:ascii="宋体" w:hAnsi="宋体" w:cs="宋体"/>
                <w:color w:val="000000"/>
                <w:kern w:val="0"/>
                <w:sz w:val="16"/>
                <w:szCs w:val="16"/>
                <w:lang w:bidi="ar"/>
              </w:rPr>
              <w:t>仓储费（室内）</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lang w:bidi="ar"/>
              </w:rPr>
              <w:t>元/吨天</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lang w:bidi="ar"/>
              </w:rPr>
              <w:t>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ascii="宋体" w:hAnsi="宋体" w:cs="宋体"/>
                <w:color w:val="000000"/>
                <w:sz w:val="16"/>
                <w:szCs w:val="16"/>
              </w:rPr>
            </w:pPr>
          </w:p>
        </w:tc>
      </w:tr>
    </w:tbl>
    <w:p>
      <w:pPr>
        <w:spacing w:line="360" w:lineRule="auto"/>
        <w:jc w:val="left"/>
        <w:rPr>
          <w:rFonts w:ascii="宋体" w:hAnsi="宋体" w:cs="宋体"/>
          <w:sz w:val="24"/>
        </w:rPr>
      </w:pPr>
      <w:r>
        <w:rPr>
          <w:rFonts w:hint="eastAsia" w:ascii="宋体" w:hAnsi="宋体" w:cs="宋体"/>
          <w:sz w:val="22"/>
          <w:szCs w:val="22"/>
        </w:rPr>
        <w:t>2、出入库包干作业环节：包括铁路/汽运到达、卸车、机力/人工装卸、分批次（先进先出）、入库、码托、码垛、备货、卫生清理（包括外包装纸箱、托盘卫生）、拍照、出库装车等相关作业环节。</w:t>
      </w:r>
    </w:p>
    <w:tbl>
      <w:tblPr>
        <w:tblStyle w:val="13"/>
        <w:tblW w:w="9990" w:type="dxa"/>
        <w:tblInd w:w="0" w:type="dxa"/>
        <w:tblLayout w:type="fixed"/>
        <w:tblCellMar>
          <w:top w:w="0" w:type="dxa"/>
          <w:left w:w="0" w:type="dxa"/>
          <w:bottom w:w="0" w:type="dxa"/>
          <w:right w:w="0" w:type="dxa"/>
        </w:tblCellMar>
      </w:tblPr>
      <w:tblGrid>
        <w:gridCol w:w="350"/>
        <w:gridCol w:w="2817"/>
        <w:gridCol w:w="708"/>
        <w:gridCol w:w="850"/>
        <w:gridCol w:w="1042"/>
        <w:gridCol w:w="850"/>
        <w:gridCol w:w="500"/>
        <w:gridCol w:w="2873"/>
      </w:tblGrid>
      <w:tr>
        <w:tblPrEx>
          <w:tblCellMar>
            <w:top w:w="0" w:type="dxa"/>
            <w:left w:w="0" w:type="dxa"/>
            <w:bottom w:w="0" w:type="dxa"/>
            <w:right w:w="0" w:type="dxa"/>
          </w:tblCellMar>
        </w:tblPrEx>
        <w:trPr>
          <w:trHeight w:val="270" w:hRule="atLeast"/>
        </w:trPr>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序号</w:t>
            </w:r>
          </w:p>
        </w:tc>
        <w:tc>
          <w:tcPr>
            <w:tcW w:w="2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费用名称</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单位</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税率</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价税合计金额</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不含税金额</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税额</w:t>
            </w:r>
          </w:p>
        </w:tc>
        <w:tc>
          <w:tcPr>
            <w:tcW w:w="2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备注</w:t>
            </w:r>
          </w:p>
        </w:tc>
      </w:tr>
      <w:tr>
        <w:tblPrEx>
          <w:tblCellMar>
            <w:top w:w="0" w:type="dxa"/>
            <w:left w:w="0" w:type="dxa"/>
            <w:bottom w:w="0" w:type="dxa"/>
            <w:right w:w="0" w:type="dxa"/>
          </w:tblCellMar>
        </w:tblPrEx>
        <w:trPr>
          <w:trHeight w:val="275" w:hRule="atLeast"/>
        </w:trPr>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1</w:t>
            </w:r>
          </w:p>
        </w:tc>
        <w:tc>
          <w:tcPr>
            <w:tcW w:w="2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铁路整车到达出入库包干费（人力）</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元/吨</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6%</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p>
        </w:tc>
        <w:tc>
          <w:tcPr>
            <w:tcW w:w="2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仅限小包装业务，包含铁路到站装卸费，适用于客户自提</w:t>
            </w:r>
          </w:p>
        </w:tc>
      </w:tr>
      <w:tr>
        <w:tblPrEx>
          <w:tblCellMar>
            <w:top w:w="0" w:type="dxa"/>
            <w:left w:w="0" w:type="dxa"/>
            <w:bottom w:w="0" w:type="dxa"/>
            <w:right w:w="0" w:type="dxa"/>
          </w:tblCellMar>
        </w:tblPrEx>
        <w:trPr>
          <w:trHeight w:val="218" w:hRule="atLeast"/>
        </w:trPr>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2</w:t>
            </w:r>
          </w:p>
        </w:tc>
        <w:tc>
          <w:tcPr>
            <w:tcW w:w="2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汽运到达出入库包干费（人力）</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元/吨</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6%</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p>
        </w:tc>
        <w:tc>
          <w:tcPr>
            <w:tcW w:w="2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仅限小包装业务，包含卸车入库，适用于客户自提</w:t>
            </w:r>
          </w:p>
        </w:tc>
      </w:tr>
      <w:tr>
        <w:tblPrEx>
          <w:tblCellMar>
            <w:top w:w="0" w:type="dxa"/>
            <w:left w:w="0" w:type="dxa"/>
            <w:bottom w:w="0" w:type="dxa"/>
            <w:right w:w="0" w:type="dxa"/>
          </w:tblCellMar>
        </w:tblPrEx>
        <w:trPr>
          <w:trHeight w:val="218" w:hRule="atLeast"/>
        </w:trPr>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3</w:t>
            </w:r>
          </w:p>
        </w:tc>
        <w:tc>
          <w:tcPr>
            <w:tcW w:w="2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铁路整车到达场内直装包干费（人力）</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元/吨</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6%</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p>
        </w:tc>
        <w:tc>
          <w:tcPr>
            <w:tcW w:w="2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包含铁路到站装卸费，理货分号、场内搬倒，不含装箱</w:t>
            </w:r>
          </w:p>
        </w:tc>
      </w:tr>
      <w:tr>
        <w:tblPrEx>
          <w:tblCellMar>
            <w:top w:w="0" w:type="dxa"/>
            <w:left w:w="0" w:type="dxa"/>
            <w:bottom w:w="0" w:type="dxa"/>
            <w:right w:w="0" w:type="dxa"/>
          </w:tblCellMar>
        </w:tblPrEx>
        <w:trPr>
          <w:trHeight w:val="218" w:hRule="atLeast"/>
        </w:trPr>
        <w:tc>
          <w:tcPr>
            <w:tcW w:w="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4</w:t>
            </w:r>
          </w:p>
        </w:tc>
        <w:tc>
          <w:tcPr>
            <w:tcW w:w="2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铁路整车到达车门口对装包干费（人力）</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元/吨</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6%</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p>
        </w:tc>
        <w:tc>
          <w:tcPr>
            <w:tcW w:w="2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包含铁路到站装卸费，不含装箱</w:t>
            </w:r>
          </w:p>
        </w:tc>
      </w:tr>
    </w:tbl>
    <w:p>
      <w:pPr>
        <w:spacing w:line="360" w:lineRule="auto"/>
        <w:rPr>
          <w:rFonts w:ascii="宋体" w:hAnsi="宋体" w:cs="宋体"/>
          <w:sz w:val="22"/>
          <w:szCs w:val="22"/>
        </w:rPr>
      </w:pPr>
      <w:r>
        <w:rPr>
          <w:rFonts w:hint="eastAsia" w:ascii="宋体" w:hAnsi="宋体" w:cs="宋体"/>
          <w:sz w:val="22"/>
          <w:szCs w:val="22"/>
        </w:rPr>
        <w:t>3、人工装箱集港作业环节（外提箱操作模式）：按照出库通知单要求，在既定时间内到指定堆场完成换单、验箱、提空箱；返回产品存储库房后及时进行人工装箱、拍照，并反馈箱封号及箱皮重信息；在截关时间内完成重箱集港至天津港北疆区域集装箱码头的整体物流作业等环节。</w:t>
      </w:r>
    </w:p>
    <w:tbl>
      <w:tblPr>
        <w:tblStyle w:val="13"/>
        <w:tblW w:w="10010" w:type="dxa"/>
        <w:tblInd w:w="0" w:type="dxa"/>
        <w:tblLayout w:type="fixed"/>
        <w:tblCellMar>
          <w:top w:w="0" w:type="dxa"/>
          <w:left w:w="0" w:type="dxa"/>
          <w:bottom w:w="0" w:type="dxa"/>
          <w:right w:w="0" w:type="dxa"/>
        </w:tblCellMar>
      </w:tblPr>
      <w:tblGrid>
        <w:gridCol w:w="400"/>
        <w:gridCol w:w="2962"/>
        <w:gridCol w:w="870"/>
        <w:gridCol w:w="886"/>
        <w:gridCol w:w="1106"/>
        <w:gridCol w:w="1059"/>
        <w:gridCol w:w="1091"/>
        <w:gridCol w:w="1636"/>
      </w:tblGrid>
      <w:tr>
        <w:tblPrEx>
          <w:tblCellMar>
            <w:top w:w="0" w:type="dxa"/>
            <w:left w:w="0" w:type="dxa"/>
            <w:bottom w:w="0" w:type="dxa"/>
            <w:right w:w="0" w:type="dxa"/>
          </w:tblCellMar>
        </w:tblPrEx>
        <w:trPr>
          <w:trHeight w:val="334" w:hRule="atLeast"/>
        </w:trPr>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序号</w:t>
            </w:r>
          </w:p>
        </w:tc>
        <w:tc>
          <w:tcPr>
            <w:tcW w:w="2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线路名称</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单位</w:t>
            </w:r>
          </w:p>
        </w:tc>
        <w:tc>
          <w:tcPr>
            <w:tcW w:w="8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税率</w:t>
            </w:r>
          </w:p>
        </w:tc>
        <w:tc>
          <w:tcPr>
            <w:tcW w:w="1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价税合计金额</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不含税金额</w:t>
            </w:r>
          </w:p>
        </w:tc>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税额</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备注</w:t>
            </w:r>
          </w:p>
        </w:tc>
      </w:tr>
      <w:tr>
        <w:tblPrEx>
          <w:tblCellMar>
            <w:top w:w="0" w:type="dxa"/>
            <w:left w:w="0" w:type="dxa"/>
            <w:bottom w:w="0" w:type="dxa"/>
            <w:right w:w="0" w:type="dxa"/>
          </w:tblCellMar>
        </w:tblPrEx>
        <w:trPr>
          <w:trHeight w:val="413" w:hRule="atLeast"/>
        </w:trPr>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ascii="宋体" w:hAnsi="宋体" w:cs="宋体"/>
                <w:color w:val="000000"/>
                <w:kern w:val="0"/>
                <w:sz w:val="16"/>
                <w:szCs w:val="16"/>
                <w:lang w:bidi="ar"/>
              </w:rPr>
              <w:t>1</w:t>
            </w:r>
          </w:p>
        </w:tc>
        <w:tc>
          <w:tcPr>
            <w:tcW w:w="2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kern w:val="0"/>
                <w:sz w:val="16"/>
                <w:szCs w:val="16"/>
                <w:lang w:bidi="ar"/>
              </w:rPr>
              <w:t>人工装箱、集港费</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kern w:val="0"/>
                <w:sz w:val="16"/>
                <w:szCs w:val="16"/>
                <w:lang w:bidi="ar"/>
              </w:rPr>
              <w:t>元/20GP</w:t>
            </w:r>
          </w:p>
        </w:tc>
        <w:tc>
          <w:tcPr>
            <w:tcW w:w="8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kern w:val="0"/>
                <w:sz w:val="16"/>
                <w:szCs w:val="16"/>
                <w:lang w:bidi="ar"/>
              </w:rPr>
              <w:t>6%</w:t>
            </w:r>
          </w:p>
        </w:tc>
        <w:tc>
          <w:tcPr>
            <w:tcW w:w="1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kern w:val="0"/>
                <w:sz w:val="16"/>
                <w:szCs w:val="16"/>
                <w:lang w:bidi="ar"/>
              </w:rPr>
            </w:pP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kern w:val="0"/>
                <w:sz w:val="16"/>
                <w:szCs w:val="16"/>
                <w:lang w:bidi="ar"/>
              </w:rPr>
            </w:pPr>
          </w:p>
        </w:tc>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kern w:val="0"/>
                <w:sz w:val="16"/>
                <w:szCs w:val="16"/>
                <w:lang w:bidi="ar"/>
              </w:rPr>
            </w:pP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kern w:val="0"/>
                <w:sz w:val="16"/>
                <w:szCs w:val="16"/>
                <w:lang w:bidi="ar"/>
              </w:rPr>
              <w:t>仅限小包装业务，同时适用于公海对装业务</w:t>
            </w:r>
          </w:p>
        </w:tc>
      </w:tr>
    </w:tbl>
    <w:p>
      <w:pPr>
        <w:spacing w:line="360" w:lineRule="auto"/>
        <w:jc w:val="left"/>
        <w:rPr>
          <w:rFonts w:ascii="宋体" w:hAnsi="宋体" w:cs="宋体"/>
          <w:b/>
          <w:bCs/>
          <w:color w:val="000000"/>
          <w:sz w:val="24"/>
        </w:rPr>
      </w:pPr>
      <w:r>
        <w:rPr>
          <w:rFonts w:ascii="宋体" w:hAnsi="宋体" w:cs="宋体"/>
          <w:sz w:val="22"/>
          <w:szCs w:val="22"/>
        </w:rPr>
        <w:t>4</w:t>
      </w:r>
      <w:r>
        <w:rPr>
          <w:rFonts w:hint="eastAsia" w:ascii="宋体" w:hAnsi="宋体" w:cs="宋体"/>
          <w:sz w:val="22"/>
          <w:szCs w:val="22"/>
        </w:rPr>
        <w:t>、其他附属作业费率：定额管理不再单独系统报价，按照我司仓储物流合同条款约定标准执行。</w:t>
      </w:r>
    </w:p>
    <w:tbl>
      <w:tblPr>
        <w:tblStyle w:val="13"/>
        <w:tblW w:w="9975" w:type="dxa"/>
        <w:tblInd w:w="0" w:type="dxa"/>
        <w:tblLayout w:type="fixed"/>
        <w:tblCellMar>
          <w:top w:w="0" w:type="dxa"/>
          <w:left w:w="0" w:type="dxa"/>
          <w:bottom w:w="0" w:type="dxa"/>
          <w:right w:w="0" w:type="dxa"/>
        </w:tblCellMar>
      </w:tblPr>
      <w:tblGrid>
        <w:gridCol w:w="539"/>
        <w:gridCol w:w="2738"/>
        <w:gridCol w:w="683"/>
        <w:gridCol w:w="690"/>
        <w:gridCol w:w="1110"/>
        <w:gridCol w:w="960"/>
        <w:gridCol w:w="840"/>
        <w:gridCol w:w="2415"/>
      </w:tblGrid>
      <w:tr>
        <w:tblPrEx>
          <w:tblCellMar>
            <w:top w:w="0" w:type="dxa"/>
            <w:left w:w="0" w:type="dxa"/>
            <w:bottom w:w="0" w:type="dxa"/>
            <w:right w:w="0" w:type="dxa"/>
          </w:tblCellMar>
        </w:tblPrEx>
        <w:trPr>
          <w:trHeight w:val="260" w:hRule="atLeast"/>
        </w:trPr>
        <w:tc>
          <w:tcPr>
            <w:tcW w:w="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lang w:bidi="ar"/>
              </w:rPr>
              <w:t>序号</w:t>
            </w:r>
          </w:p>
        </w:tc>
        <w:tc>
          <w:tcPr>
            <w:tcW w:w="2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
                <w:sz w:val="16"/>
                <w:szCs w:val="16"/>
              </w:rPr>
            </w:pPr>
            <w:r>
              <w:rPr>
                <w:rFonts w:hint="eastAsia" w:ascii="宋体" w:hAnsi="宋体" w:cs="宋体"/>
                <w:b/>
                <w:kern w:val="0"/>
                <w:sz w:val="16"/>
                <w:szCs w:val="16"/>
                <w:lang w:bidi="ar"/>
              </w:rPr>
              <w:t>费用明细</w:t>
            </w:r>
          </w:p>
        </w:tc>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单位</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税率</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价税合计金额</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不含税金额</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税额</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备注</w:t>
            </w:r>
          </w:p>
        </w:tc>
      </w:tr>
      <w:tr>
        <w:tblPrEx>
          <w:tblCellMar>
            <w:top w:w="0" w:type="dxa"/>
            <w:left w:w="0" w:type="dxa"/>
            <w:bottom w:w="0" w:type="dxa"/>
            <w:right w:w="0" w:type="dxa"/>
          </w:tblCellMar>
        </w:tblPrEx>
        <w:trPr>
          <w:trHeight w:val="270" w:hRule="atLeast"/>
        </w:trPr>
        <w:tc>
          <w:tcPr>
            <w:tcW w:w="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sz w:val="16"/>
                <w:szCs w:val="16"/>
              </w:rPr>
              <w:t>1</w:t>
            </w:r>
          </w:p>
        </w:tc>
        <w:tc>
          <w:tcPr>
            <w:tcW w:w="2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16"/>
                <w:szCs w:val="16"/>
              </w:rPr>
            </w:pPr>
            <w:r>
              <w:rPr>
                <w:rFonts w:hint="eastAsia" w:ascii="宋体" w:hAnsi="宋体" w:cs="宋体"/>
                <w:kern w:val="0"/>
                <w:sz w:val="16"/>
                <w:szCs w:val="16"/>
                <w:lang w:bidi="ar"/>
              </w:rPr>
              <w:t>打缠膜(不含材料费)</w:t>
            </w:r>
          </w:p>
        </w:tc>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元/托</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3.5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3.3</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0.2</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380" w:hRule="atLeast"/>
        </w:trPr>
        <w:tc>
          <w:tcPr>
            <w:tcW w:w="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kern w:val="0"/>
                <w:sz w:val="16"/>
                <w:szCs w:val="16"/>
                <w:lang w:bidi="ar"/>
              </w:rPr>
              <w:t>2</w:t>
            </w:r>
          </w:p>
        </w:tc>
        <w:tc>
          <w:tcPr>
            <w:tcW w:w="2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16"/>
                <w:szCs w:val="16"/>
              </w:rPr>
            </w:pPr>
            <w:r>
              <w:rPr>
                <w:rFonts w:hint="eastAsia" w:ascii="宋体" w:hAnsi="宋体" w:cs="宋体"/>
                <w:kern w:val="0"/>
                <w:sz w:val="16"/>
                <w:szCs w:val="16"/>
                <w:lang w:bidi="ar"/>
              </w:rPr>
              <w:t>除标签后贴标签</w:t>
            </w:r>
          </w:p>
        </w:tc>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元/张</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0.75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0.71</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0.04</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380" w:hRule="atLeast"/>
        </w:trPr>
        <w:tc>
          <w:tcPr>
            <w:tcW w:w="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kern w:val="0"/>
                <w:sz w:val="16"/>
                <w:szCs w:val="16"/>
                <w:lang w:bidi="ar"/>
              </w:rPr>
              <w:t>3</w:t>
            </w:r>
          </w:p>
        </w:tc>
        <w:tc>
          <w:tcPr>
            <w:tcW w:w="2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16"/>
                <w:szCs w:val="16"/>
              </w:rPr>
            </w:pPr>
            <w:r>
              <w:rPr>
                <w:rFonts w:hint="eastAsia" w:ascii="宋体" w:hAnsi="宋体" w:cs="宋体"/>
                <w:kern w:val="0"/>
                <w:sz w:val="16"/>
                <w:szCs w:val="16"/>
                <w:lang w:bidi="ar"/>
              </w:rPr>
              <w:t>加贴标签</w:t>
            </w:r>
          </w:p>
        </w:tc>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元/张</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0.5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0.47</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0.03</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380" w:hRule="atLeast"/>
        </w:trPr>
        <w:tc>
          <w:tcPr>
            <w:tcW w:w="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kern w:val="0"/>
                <w:sz w:val="16"/>
                <w:szCs w:val="16"/>
                <w:lang w:bidi="ar"/>
              </w:rPr>
              <w:t>4</w:t>
            </w:r>
          </w:p>
        </w:tc>
        <w:tc>
          <w:tcPr>
            <w:tcW w:w="2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16"/>
                <w:szCs w:val="16"/>
              </w:rPr>
            </w:pPr>
            <w:r>
              <w:rPr>
                <w:rFonts w:hint="eastAsia" w:ascii="宋体" w:hAnsi="宋体" w:cs="宋体"/>
                <w:kern w:val="0"/>
                <w:sz w:val="16"/>
                <w:szCs w:val="16"/>
                <w:lang w:bidi="ar"/>
              </w:rPr>
              <w:t>二次归垛费</w:t>
            </w:r>
          </w:p>
        </w:tc>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元/托</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7.55</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0.45</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操作前须经甲方确认并同意</w:t>
            </w:r>
          </w:p>
        </w:tc>
      </w:tr>
      <w:tr>
        <w:tblPrEx>
          <w:tblCellMar>
            <w:top w:w="0" w:type="dxa"/>
            <w:left w:w="0" w:type="dxa"/>
            <w:bottom w:w="0" w:type="dxa"/>
            <w:right w:w="0" w:type="dxa"/>
          </w:tblCellMar>
        </w:tblPrEx>
        <w:trPr>
          <w:trHeight w:val="270" w:hRule="atLeast"/>
        </w:trPr>
        <w:tc>
          <w:tcPr>
            <w:tcW w:w="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6"/>
                <w:szCs w:val="16"/>
              </w:rPr>
            </w:pPr>
            <w:r>
              <w:rPr>
                <w:rFonts w:hint="eastAsia" w:ascii="宋体" w:hAnsi="宋体" w:cs="宋体"/>
                <w:kern w:val="0"/>
                <w:sz w:val="16"/>
                <w:szCs w:val="16"/>
                <w:lang w:bidi="ar"/>
              </w:rPr>
              <w:t>5</w:t>
            </w:r>
          </w:p>
        </w:tc>
        <w:tc>
          <w:tcPr>
            <w:tcW w:w="2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16"/>
                <w:szCs w:val="16"/>
              </w:rPr>
            </w:pPr>
            <w:r>
              <w:rPr>
                <w:rFonts w:hint="eastAsia" w:ascii="宋体" w:hAnsi="宋体" w:cs="宋体"/>
                <w:kern w:val="0"/>
                <w:sz w:val="16"/>
                <w:szCs w:val="16"/>
                <w:lang w:bidi="ar"/>
              </w:rPr>
              <w:t>零散集港</w:t>
            </w:r>
          </w:p>
        </w:tc>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元/车次</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200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188.68</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11.32</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5托及以下</w:t>
            </w:r>
          </w:p>
        </w:tc>
      </w:tr>
      <w:tr>
        <w:tblPrEx>
          <w:tblCellMar>
            <w:top w:w="0" w:type="dxa"/>
            <w:left w:w="0" w:type="dxa"/>
            <w:bottom w:w="0" w:type="dxa"/>
            <w:right w:w="0" w:type="dxa"/>
          </w:tblCellMar>
        </w:tblPrEx>
        <w:trPr>
          <w:trHeight w:val="270" w:hRule="atLeast"/>
        </w:trPr>
        <w:tc>
          <w:tcPr>
            <w:tcW w:w="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16"/>
                <w:szCs w:val="16"/>
                <w:lang w:bidi="ar"/>
              </w:rPr>
            </w:pPr>
            <w:r>
              <w:rPr>
                <w:rFonts w:hint="eastAsia" w:ascii="宋体" w:hAnsi="宋体" w:cs="宋体"/>
                <w:kern w:val="0"/>
                <w:sz w:val="16"/>
                <w:szCs w:val="16"/>
                <w:lang w:bidi="ar"/>
              </w:rPr>
              <w:t>6</w:t>
            </w:r>
          </w:p>
        </w:tc>
        <w:tc>
          <w:tcPr>
            <w:tcW w:w="2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kern w:val="0"/>
                <w:sz w:val="16"/>
                <w:szCs w:val="16"/>
                <w:lang w:bidi="ar"/>
              </w:rPr>
            </w:pPr>
            <w:r>
              <w:rPr>
                <w:rFonts w:hint="eastAsia" w:ascii="宋体" w:hAnsi="宋体" w:cs="宋体"/>
                <w:kern w:val="0"/>
                <w:sz w:val="16"/>
                <w:szCs w:val="16"/>
                <w:lang w:bidi="ar"/>
              </w:rPr>
              <w:t>打托包干费（含托盘、人工作业费）</w:t>
            </w:r>
          </w:p>
        </w:tc>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/元/托</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6%</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95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89.62</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5.38</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仅限小包装业务</w:t>
            </w:r>
          </w:p>
        </w:tc>
      </w:tr>
      <w:tr>
        <w:tblPrEx>
          <w:tblCellMar>
            <w:top w:w="0" w:type="dxa"/>
            <w:left w:w="0" w:type="dxa"/>
            <w:bottom w:w="0" w:type="dxa"/>
            <w:right w:w="0" w:type="dxa"/>
          </w:tblCellMar>
        </w:tblPrEx>
        <w:trPr>
          <w:trHeight w:val="270" w:hRule="atLeast"/>
        </w:trPr>
        <w:tc>
          <w:tcPr>
            <w:tcW w:w="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16"/>
                <w:szCs w:val="16"/>
                <w:lang w:bidi="ar"/>
              </w:rPr>
            </w:pPr>
            <w:r>
              <w:rPr>
                <w:rFonts w:hint="eastAsia" w:ascii="宋体" w:hAnsi="宋体" w:cs="宋体"/>
                <w:kern w:val="0"/>
                <w:sz w:val="16"/>
                <w:szCs w:val="16"/>
                <w:lang w:bidi="ar"/>
              </w:rPr>
              <w:t>7</w:t>
            </w:r>
          </w:p>
        </w:tc>
        <w:tc>
          <w:tcPr>
            <w:tcW w:w="2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kern w:val="0"/>
                <w:sz w:val="16"/>
                <w:szCs w:val="16"/>
                <w:lang w:bidi="ar"/>
              </w:rPr>
            </w:pPr>
            <w:r>
              <w:rPr>
                <w:rFonts w:hint="eastAsia" w:ascii="宋体" w:hAnsi="宋体" w:cs="宋体"/>
                <w:kern w:val="0"/>
                <w:sz w:val="16"/>
                <w:szCs w:val="16"/>
                <w:lang w:bidi="ar"/>
              </w:rPr>
              <w:t>打托包干费（不含托盘、含人工作业费）</w:t>
            </w:r>
          </w:p>
        </w:tc>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/元/托</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6%</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25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23.58</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1.42</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仅限小包装业务</w:t>
            </w:r>
          </w:p>
        </w:tc>
      </w:tr>
      <w:tr>
        <w:tblPrEx>
          <w:tblCellMar>
            <w:top w:w="0" w:type="dxa"/>
            <w:left w:w="0" w:type="dxa"/>
            <w:bottom w:w="0" w:type="dxa"/>
            <w:right w:w="0" w:type="dxa"/>
          </w:tblCellMar>
        </w:tblPrEx>
        <w:trPr>
          <w:trHeight w:val="270" w:hRule="atLeast"/>
        </w:trPr>
        <w:tc>
          <w:tcPr>
            <w:tcW w:w="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16"/>
                <w:szCs w:val="16"/>
                <w:lang w:bidi="ar"/>
              </w:rPr>
            </w:pPr>
            <w:r>
              <w:rPr>
                <w:rFonts w:hint="eastAsia" w:ascii="宋体" w:hAnsi="宋体" w:cs="宋体"/>
                <w:kern w:val="0"/>
                <w:sz w:val="16"/>
                <w:szCs w:val="16"/>
                <w:lang w:bidi="ar"/>
              </w:rPr>
              <w:t>8</w:t>
            </w:r>
          </w:p>
        </w:tc>
        <w:tc>
          <w:tcPr>
            <w:tcW w:w="2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kern w:val="0"/>
                <w:sz w:val="16"/>
                <w:szCs w:val="16"/>
                <w:lang w:bidi="ar"/>
              </w:rPr>
            </w:pPr>
            <w:r>
              <w:rPr>
                <w:rFonts w:hint="eastAsia" w:ascii="宋体" w:hAnsi="宋体" w:cs="宋体"/>
                <w:kern w:val="0"/>
                <w:sz w:val="16"/>
                <w:szCs w:val="16"/>
                <w:lang w:bidi="ar"/>
              </w:rPr>
              <w:t>换箱</w:t>
            </w:r>
          </w:p>
        </w:tc>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/元/箱</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6%</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0.94</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0.06</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仅限小包装业务</w:t>
            </w:r>
          </w:p>
        </w:tc>
      </w:tr>
      <w:tr>
        <w:tblPrEx>
          <w:tblCellMar>
            <w:top w:w="0" w:type="dxa"/>
            <w:left w:w="0" w:type="dxa"/>
            <w:bottom w:w="0" w:type="dxa"/>
            <w:right w:w="0" w:type="dxa"/>
          </w:tblCellMar>
        </w:tblPrEx>
        <w:trPr>
          <w:trHeight w:val="270" w:hRule="atLeast"/>
        </w:trPr>
        <w:tc>
          <w:tcPr>
            <w:tcW w:w="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4</w:t>
            </w:r>
          </w:p>
        </w:tc>
        <w:tc>
          <w:tcPr>
            <w:tcW w:w="2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kern w:val="0"/>
                <w:sz w:val="16"/>
                <w:szCs w:val="16"/>
                <w:lang w:bidi="ar"/>
              </w:rPr>
              <w:t>库房出库到堆场集港费用</w:t>
            </w:r>
          </w:p>
        </w:tc>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kern w:val="0"/>
                <w:sz w:val="16"/>
                <w:szCs w:val="16"/>
                <w:lang w:bidi="ar"/>
              </w:rPr>
              <w:t>元/吨</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kern w:val="0"/>
                <w:sz w:val="16"/>
                <w:szCs w:val="16"/>
                <w:lang w:bidi="ar"/>
              </w:rPr>
              <w:t>6%</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10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9.43</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0.57</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此费率无需报价</w:t>
            </w:r>
          </w:p>
        </w:tc>
      </w:tr>
      <w:tr>
        <w:tblPrEx>
          <w:tblCellMar>
            <w:top w:w="0" w:type="dxa"/>
            <w:left w:w="0" w:type="dxa"/>
            <w:bottom w:w="0" w:type="dxa"/>
            <w:right w:w="0" w:type="dxa"/>
          </w:tblCellMar>
        </w:tblPrEx>
        <w:trPr>
          <w:trHeight w:val="270" w:hRule="atLeast"/>
        </w:trPr>
        <w:tc>
          <w:tcPr>
            <w:tcW w:w="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5</w:t>
            </w:r>
          </w:p>
        </w:tc>
        <w:tc>
          <w:tcPr>
            <w:tcW w:w="2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kern w:val="0"/>
                <w:sz w:val="16"/>
                <w:szCs w:val="16"/>
                <w:lang w:bidi="ar"/>
              </w:rPr>
            </w:pPr>
            <w:r>
              <w:rPr>
                <w:rFonts w:hint="eastAsia"/>
                <w:color w:val="000000"/>
                <w:sz w:val="16"/>
                <w:szCs w:val="16"/>
              </w:rPr>
              <w:t>东疆太平洋码头新增集港费</w:t>
            </w:r>
          </w:p>
        </w:tc>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kern w:val="0"/>
                <w:sz w:val="16"/>
                <w:szCs w:val="16"/>
                <w:lang w:bidi="ar"/>
              </w:rPr>
            </w:pPr>
            <w:r>
              <w:rPr>
                <w:rFonts w:hint="eastAsia"/>
                <w:color w:val="000000"/>
                <w:sz w:val="16"/>
                <w:szCs w:val="16"/>
              </w:rPr>
              <w:t>元/20</w:t>
            </w:r>
            <w:r>
              <w:rPr>
                <w:rStyle w:val="28"/>
                <w:color w:val="auto"/>
              </w:rPr>
              <w:t>尺柜</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kern w:val="0"/>
                <w:sz w:val="16"/>
                <w:szCs w:val="16"/>
                <w:lang w:bidi="ar"/>
              </w:rPr>
            </w:pPr>
            <w:r>
              <w:rPr>
                <w:rFonts w:hint="eastAsia"/>
                <w:color w:val="000000"/>
                <w:sz w:val="16"/>
                <w:szCs w:val="16"/>
              </w:rPr>
              <w:t>6%</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100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94.34</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5.66</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此费率无需报价</w:t>
            </w:r>
          </w:p>
        </w:tc>
      </w:tr>
    </w:tbl>
    <w:p>
      <w:pPr>
        <w:autoSpaceDE w:val="0"/>
        <w:autoSpaceDN w:val="0"/>
        <w:adjustRightInd w:val="0"/>
        <w:spacing w:line="360" w:lineRule="auto"/>
        <w:jc w:val="left"/>
        <w:rPr>
          <w:rFonts w:ascii="宋体" w:hAnsi="宋体" w:cs="宋体"/>
          <w:color w:val="000000"/>
          <w:sz w:val="24"/>
        </w:rPr>
      </w:pPr>
      <w:r>
        <w:rPr>
          <w:rFonts w:hint="eastAsia" w:ascii="宋体" w:hAnsi="宋体" w:cs="宋体"/>
          <w:color w:val="000000"/>
          <w:sz w:val="24"/>
        </w:rPr>
        <w:t>5、</w:t>
      </w:r>
      <w:r>
        <w:rPr>
          <w:rFonts w:hint="eastAsia" w:ascii="宋体" w:hAnsi="宋体" w:cs="宋体"/>
          <w:sz w:val="24"/>
        </w:rPr>
        <w:t>所有价格以中粮屯河电子采购平台的拟定此次项目供应商报价金额为准。</w:t>
      </w:r>
      <w:r>
        <w:rPr>
          <w:rFonts w:hint="eastAsia" w:ascii="宋体" w:hAnsi="宋体" w:cs="宋体"/>
          <w:color w:val="000000"/>
          <w:sz w:val="24"/>
        </w:rPr>
        <w:t>报价单中未涵盖配送线路信息在后续其他物流项目单独报价。</w:t>
      </w:r>
    </w:p>
    <w:p>
      <w:pPr>
        <w:autoSpaceDE w:val="0"/>
        <w:autoSpaceDN w:val="0"/>
        <w:adjustRightInd w:val="0"/>
        <w:spacing w:line="360" w:lineRule="auto"/>
        <w:jc w:val="left"/>
        <w:rPr>
          <w:rFonts w:ascii="宋体" w:hAnsi="宋体" w:cs="宋体"/>
          <w:color w:val="000000"/>
          <w:sz w:val="24"/>
        </w:rPr>
      </w:pPr>
      <w:r>
        <w:rPr>
          <w:rFonts w:hint="eastAsia" w:ascii="宋体" w:hAnsi="宋体" w:cs="宋体"/>
          <w:color w:val="000000"/>
          <w:sz w:val="24"/>
        </w:rPr>
        <w:t>6、其他额外作业所发生的费用，需双方事先书面确认后，再行作业。</w:t>
      </w:r>
    </w:p>
    <w:p>
      <w:pPr>
        <w:spacing w:line="360" w:lineRule="auto"/>
        <w:ind w:firstLine="482" w:firstLineChars="200"/>
        <w:jc w:val="left"/>
        <w:rPr>
          <w:rFonts w:ascii="宋体" w:hAnsi="宋体" w:cs="宋体"/>
          <w:b/>
          <w:bCs/>
          <w:sz w:val="24"/>
        </w:rPr>
      </w:pPr>
      <w:r>
        <w:rPr>
          <w:rFonts w:hint="eastAsia" w:ascii="宋体" w:hAnsi="宋体" w:cs="宋体"/>
          <w:b/>
          <w:bCs/>
          <w:sz w:val="24"/>
        </w:rPr>
        <w:t>九、费用结算</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运输费用结算：具体结算采取乙方垫付的方式进行，按照协议中的条款履约完毕后，乙方于每月20日与甲方核对当月产生的各项运输费用，双方核对无误后，乙方提供增值税税率9％的公路运输发票、到货签收系统上传的客户签收凭证及盖章版账单给甲方。甲方统一代中粮屯河番茄有限公司下属公司向乙方支付，乙方结算费用发票应按照中粮屯河番茄有限公司下属公司名称（附件1）开具增值税专用发票；甲方应在乙方开具发票后，</w:t>
      </w:r>
      <w:r>
        <w:rPr>
          <w:rFonts w:hint="eastAsia" w:ascii="宋体" w:hAnsi="宋体" w:cs="宋体"/>
          <w:color w:val="000000"/>
          <w:sz w:val="24"/>
          <w:u w:val="single"/>
        </w:rPr>
        <w:t>45</w:t>
      </w:r>
      <w:r>
        <w:rPr>
          <w:rFonts w:hint="eastAsia" w:ascii="宋体" w:hAnsi="宋体" w:cs="宋体"/>
          <w:color w:val="000000"/>
          <w:sz w:val="24"/>
        </w:rPr>
        <w:t>天内将乙方费用付清。</w:t>
      </w:r>
    </w:p>
    <w:p>
      <w:pPr>
        <w:spacing w:line="360" w:lineRule="auto"/>
        <w:ind w:firstLine="480" w:firstLineChars="200"/>
        <w:jc w:val="left"/>
        <w:rPr>
          <w:rFonts w:ascii="宋体" w:hAnsi="宋体" w:cs="宋体"/>
          <w:sz w:val="24"/>
        </w:rPr>
      </w:pPr>
      <w:r>
        <w:rPr>
          <w:rFonts w:hint="eastAsia" w:ascii="宋体" w:hAnsi="宋体" w:cs="宋体"/>
          <w:sz w:val="24"/>
        </w:rPr>
        <w:t>2、仓储费、包干费及其他附属作业费的结算：每月甲乙双方对账后，乙方将仓储结算明细盖章版及费用结算发票交至甲方，甲方统一代中粮屯河番茄有限公司下属公司向乙方支付，乙方结算费用发票应按照中粮屯河番茄有限公司下属公司名称（附件1）开具增值税专用发票；</w:t>
      </w:r>
      <w:r>
        <w:rPr>
          <w:rFonts w:hint="eastAsia" w:ascii="宋体" w:hAnsi="宋体" w:cs="宋体"/>
          <w:color w:val="000000"/>
          <w:sz w:val="24"/>
        </w:rPr>
        <w:t>甲方应在乙方开具发票后，</w:t>
      </w:r>
      <w:r>
        <w:rPr>
          <w:rFonts w:hint="eastAsia" w:ascii="宋体" w:hAnsi="宋体" w:cs="宋体"/>
          <w:color w:val="000000"/>
          <w:sz w:val="24"/>
          <w:u w:val="single"/>
        </w:rPr>
        <w:t>45</w:t>
      </w:r>
      <w:r>
        <w:rPr>
          <w:rFonts w:hint="eastAsia" w:ascii="宋体" w:hAnsi="宋体" w:cs="宋体"/>
          <w:color w:val="000000"/>
          <w:sz w:val="24"/>
        </w:rPr>
        <w:t>天内将乙方费用付清。</w:t>
      </w:r>
    </w:p>
    <w:p>
      <w:pPr>
        <w:spacing w:line="360" w:lineRule="auto"/>
        <w:ind w:firstLine="480" w:firstLineChars="200"/>
        <w:rPr>
          <w:rFonts w:ascii="宋体" w:hAnsi="宋体" w:cs="宋体"/>
          <w:sz w:val="24"/>
        </w:rPr>
      </w:pPr>
      <w:r>
        <w:rPr>
          <w:rFonts w:hint="eastAsia" w:ascii="宋体" w:hAnsi="宋体" w:cs="宋体"/>
          <w:color w:val="000000"/>
          <w:sz w:val="24"/>
        </w:rPr>
        <w:t>3、</w:t>
      </w:r>
      <w:r>
        <w:rPr>
          <w:rFonts w:ascii="宋体" w:hAnsi="宋体" w:cs="宋体"/>
          <w:sz w:val="24"/>
        </w:rPr>
        <w:t>正式合同签订三个工作日内，乙方须向甲方交纳人民币</w:t>
      </w:r>
      <w:r>
        <w:rPr>
          <w:rFonts w:hint="eastAsia" w:ascii="宋体" w:hAnsi="宋体" w:cs="宋体"/>
          <w:sz w:val="24"/>
          <w:u w:val="single"/>
        </w:rPr>
        <w:t xml:space="preserve">   </w:t>
      </w:r>
      <w:r>
        <w:rPr>
          <w:rFonts w:ascii="宋体" w:hAnsi="宋体" w:cs="宋体"/>
          <w:sz w:val="24"/>
        </w:rPr>
        <w:t>元（</w:t>
      </w:r>
      <w:r>
        <w:rPr>
          <w:rFonts w:hint="eastAsia" w:ascii="宋体" w:hAnsi="宋体" w:cs="宋体"/>
          <w:sz w:val="24"/>
          <w:u w:val="single"/>
        </w:rPr>
        <w:t xml:space="preserve">  </w:t>
      </w:r>
      <w:r>
        <w:rPr>
          <w:rFonts w:hint="eastAsia" w:ascii="宋体" w:hAnsi="宋体" w:cs="宋体"/>
          <w:sz w:val="24"/>
        </w:rPr>
        <w:t>万</w:t>
      </w:r>
      <w:r>
        <w:rPr>
          <w:rFonts w:ascii="宋体" w:hAnsi="宋体" w:cs="宋体"/>
          <w:sz w:val="24"/>
        </w:rPr>
        <w:t>元整）履约保证金至甲方指定账户；同一供应商操作不同运输流向业务，不重复交纳；由于乙方已在中粮糖业（含番茄）下属公司缴纳保证金，并提供共用保证金说明，无需重复交纳；如乙方履行合同过程中出现违约行为，或因乙方行为给甲方造成损失，甲方有权从履约保证金中扣除违约金、赔偿金、索赔金损失等；乙方需在扣款后30日内将相应扣除款项补齐。甲方收到保证金后开具收据给乙方。</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开户银行名称：工商银行开发第一支行</w:t>
      </w:r>
    </w:p>
    <w:p>
      <w:pPr>
        <w:spacing w:line="360" w:lineRule="auto"/>
        <w:rPr>
          <w:rFonts w:ascii="宋体" w:hAnsi="宋体" w:cs="宋体"/>
          <w:sz w:val="24"/>
        </w:rPr>
      </w:pPr>
      <w:r>
        <w:rPr>
          <w:rFonts w:hint="eastAsia" w:ascii="宋体" w:hAnsi="宋体" w:cs="宋体"/>
          <w:sz w:val="24"/>
        </w:rPr>
        <w:t xml:space="preserve">账号：0302090219300514260   </w:t>
      </w:r>
    </w:p>
    <w:p>
      <w:pPr>
        <w:spacing w:line="360" w:lineRule="auto"/>
        <w:rPr>
          <w:rFonts w:ascii="宋体" w:hAnsi="宋体" w:cs="宋体"/>
          <w:color w:val="000000"/>
          <w:sz w:val="24"/>
        </w:rPr>
      </w:pPr>
      <w:r>
        <w:rPr>
          <w:rFonts w:hint="eastAsia" w:ascii="宋体" w:hAnsi="宋体" w:cs="宋体"/>
          <w:sz w:val="24"/>
        </w:rPr>
        <w:t>行号：102110000025</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4、合同税率按国家现行增值税税率执行，如税率发生变化，不含税价保持不变、税率进行相应调整。</w:t>
      </w:r>
    </w:p>
    <w:p>
      <w:pPr>
        <w:spacing w:line="360" w:lineRule="auto"/>
        <w:ind w:firstLine="480" w:firstLineChars="200"/>
        <w:jc w:val="left"/>
        <w:rPr>
          <w:rFonts w:ascii="宋体" w:hAnsi="宋体" w:cs="宋体"/>
          <w:sz w:val="24"/>
        </w:rPr>
      </w:pPr>
      <w:r>
        <w:rPr>
          <w:rFonts w:hint="eastAsia" w:ascii="宋体" w:hAnsi="宋体" w:cs="宋体"/>
          <w:color w:val="000000"/>
          <w:sz w:val="24"/>
        </w:rPr>
        <w:t>5、乙方就本合同约定的业务向甲方开具真实、合法、有效的票据（发票），如果因为乙方未开具增值税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pPr>
        <w:spacing w:line="360" w:lineRule="auto"/>
        <w:ind w:firstLine="482" w:firstLineChars="200"/>
        <w:jc w:val="left"/>
        <w:rPr>
          <w:rFonts w:ascii="宋体" w:hAnsi="宋体" w:cs="宋体"/>
          <w:b/>
          <w:bCs/>
          <w:sz w:val="24"/>
        </w:rPr>
      </w:pPr>
      <w:r>
        <w:rPr>
          <w:rFonts w:hint="eastAsia" w:ascii="宋体" w:hAnsi="宋体" w:cs="宋体"/>
          <w:b/>
          <w:bCs/>
          <w:sz w:val="24"/>
        </w:rPr>
        <w:t>十、违约责任</w:t>
      </w:r>
    </w:p>
    <w:p>
      <w:pPr>
        <w:spacing w:line="360" w:lineRule="auto"/>
        <w:ind w:firstLine="480" w:firstLineChars="200"/>
        <w:jc w:val="left"/>
        <w:rPr>
          <w:rFonts w:ascii="宋体" w:hAnsi="宋体" w:cs="宋体"/>
          <w:sz w:val="24"/>
        </w:rPr>
      </w:pPr>
      <w:r>
        <w:rPr>
          <w:rFonts w:hint="eastAsia" w:ascii="宋体" w:hAnsi="宋体" w:cs="宋体"/>
          <w:sz w:val="24"/>
        </w:rPr>
        <w:t>1、乙方的责任</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color w:val="000000"/>
          <w:sz w:val="24"/>
        </w:rPr>
        <w:t>非甲方原因在仓储保管及运输过程中造成破损，</w:t>
      </w:r>
      <w:r>
        <w:rPr>
          <w:rFonts w:hint="eastAsia" w:ascii="宋体" w:hAnsi="宋体" w:cs="宋体"/>
          <w:bCs/>
          <w:color w:val="000000"/>
          <w:sz w:val="24"/>
        </w:rPr>
        <w:t>相应</w:t>
      </w:r>
      <w:r>
        <w:rPr>
          <w:rFonts w:hint="eastAsia" w:ascii="宋体" w:hAnsi="宋体" w:cs="宋体"/>
          <w:color w:val="000000"/>
          <w:kern w:val="0"/>
          <w:sz w:val="24"/>
          <w:lang w:val="zh-CN"/>
        </w:rPr>
        <w:t>损失赔偿价格原则：应按照合同价格（已有合同的产品）或当月销售价（无合同的产品）（销价以产品所属公司同类产品为准，所属公司当月无销售的，以</w:t>
      </w:r>
      <w:r>
        <w:rPr>
          <w:rFonts w:hint="eastAsia" w:ascii="宋体" w:hAnsi="宋体" w:cs="宋体"/>
          <w:color w:val="000000"/>
          <w:kern w:val="0"/>
          <w:sz w:val="24"/>
        </w:rPr>
        <w:t>市场价</w:t>
      </w:r>
      <w:r>
        <w:rPr>
          <w:rFonts w:hint="eastAsia" w:ascii="宋体" w:hAnsi="宋体" w:cs="宋体"/>
          <w:color w:val="000000"/>
          <w:kern w:val="0"/>
          <w:sz w:val="24"/>
          <w:lang w:val="zh-CN"/>
        </w:rPr>
        <w:t>为准）。</w:t>
      </w:r>
    </w:p>
    <w:p>
      <w:pPr>
        <w:spacing w:line="360" w:lineRule="auto"/>
        <w:ind w:firstLine="480" w:firstLineChars="200"/>
        <w:jc w:val="left"/>
        <w:rPr>
          <w:rFonts w:ascii="宋体" w:hAnsi="宋体" w:cs="宋体"/>
          <w:sz w:val="24"/>
        </w:rPr>
      </w:pPr>
      <w:r>
        <w:rPr>
          <w:rFonts w:hint="eastAsia" w:ascii="宋体" w:hAnsi="宋体" w:cs="宋体"/>
          <w:sz w:val="24"/>
        </w:rPr>
        <w:t xml:space="preserve"> (2)乙方没有接到甲方盖章版的《出库通知单》，产品不允许出库，如违反此条款，产生的后果由乙方承担；乙方要保证在提前预约的情况下、甲方客户能够及时配合进行出入库作业、送货的需求。</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（3）如因乙方原因不能及时下线、混垛、错发货物导致的甲方客户投诉及可能的其他损失，由乙方承担。</w:t>
      </w:r>
    </w:p>
    <w:p>
      <w:pPr>
        <w:spacing w:line="360" w:lineRule="auto"/>
        <w:ind w:firstLine="480" w:firstLineChars="200"/>
        <w:rPr>
          <w:rFonts w:ascii="宋体" w:hAnsi="宋体" w:cs="宋体"/>
          <w:sz w:val="24"/>
        </w:rPr>
      </w:pPr>
      <w:r>
        <w:rPr>
          <w:rFonts w:hint="eastAsia" w:ascii="宋体" w:hAnsi="宋体" w:cs="宋体"/>
          <w:bCs/>
          <w:color w:val="000000"/>
          <w:sz w:val="24"/>
        </w:rPr>
        <w:t>（4）</w:t>
      </w:r>
      <w:r>
        <w:rPr>
          <w:rFonts w:hint="eastAsia" w:ascii="宋体" w:hAnsi="宋体" w:cs="宋体"/>
          <w:sz w:val="24"/>
        </w:rPr>
        <w:t>乙方需购买仓库财产保险，签订正式合同时提供书面证明，如因乙方原因，造成甲方库存产品账实不符，短少、缺失等产品损失金额由乙方承担，损失赔偿金额按上述第（1）条执行。</w:t>
      </w:r>
    </w:p>
    <w:p>
      <w:pPr>
        <w:spacing w:line="360" w:lineRule="auto"/>
        <w:ind w:firstLine="480" w:firstLineChars="200"/>
        <w:rPr>
          <w:rFonts w:ascii="宋体" w:hAnsi="宋体" w:cs="宋体"/>
          <w:sz w:val="24"/>
        </w:rPr>
      </w:pPr>
      <w:r>
        <w:rPr>
          <w:rFonts w:hint="eastAsia" w:ascii="宋体" w:hAnsi="宋体" w:cs="宋体"/>
          <w:sz w:val="24"/>
        </w:rPr>
        <w:t>2、甲方的责任</w:t>
      </w:r>
    </w:p>
    <w:p>
      <w:pPr>
        <w:spacing w:line="360" w:lineRule="auto"/>
        <w:ind w:firstLine="480" w:firstLineChars="200"/>
        <w:rPr>
          <w:rFonts w:ascii="宋体" w:hAnsi="宋体" w:cs="宋体"/>
          <w:sz w:val="24"/>
        </w:rPr>
      </w:pPr>
      <w:r>
        <w:rPr>
          <w:rFonts w:hint="eastAsia" w:ascii="宋体" w:hAnsi="宋体" w:cs="宋体"/>
          <w:sz w:val="24"/>
        </w:rPr>
        <w:t>(1)货物临期或有破损或异常，乙方拍摄货物照片及时通知甲方，甲方有责任及时处理；乙方通知后，按甲方要求进行处理。</w:t>
      </w:r>
    </w:p>
    <w:p>
      <w:pPr>
        <w:spacing w:line="360" w:lineRule="auto"/>
        <w:ind w:firstLine="480" w:firstLineChars="200"/>
        <w:rPr>
          <w:rFonts w:ascii="宋体" w:hAnsi="宋体" w:cs="宋体"/>
          <w:sz w:val="24"/>
        </w:rPr>
      </w:pPr>
      <w:r>
        <w:rPr>
          <w:rFonts w:hint="eastAsia" w:ascii="宋体" w:hAnsi="宋体" w:cs="宋体"/>
          <w:sz w:val="24"/>
        </w:rPr>
        <w:t>(2)甲方有责任每月25日对库存在乙方的货物进行盘点，并与乙方核对库存数据。</w:t>
      </w:r>
    </w:p>
    <w:p>
      <w:pPr>
        <w:spacing w:line="360" w:lineRule="auto"/>
        <w:ind w:firstLine="480" w:firstLineChars="200"/>
        <w:rPr>
          <w:rFonts w:ascii="宋体" w:hAnsi="宋体" w:cs="宋体"/>
          <w:sz w:val="24"/>
        </w:rPr>
      </w:pPr>
      <w:r>
        <w:rPr>
          <w:rFonts w:hint="eastAsia" w:ascii="宋体" w:hAnsi="宋体" w:cs="宋体"/>
          <w:sz w:val="24"/>
        </w:rPr>
        <w:t>(3)按约定到货时间到达收货点，在送货车辆到达后正常工作时间八小时外未安排卸货（提供相应依据），由此产生的车辆额外费用由双方协商具体标准执行。</w:t>
      </w:r>
    </w:p>
    <w:p>
      <w:pPr>
        <w:spacing w:line="360" w:lineRule="auto"/>
        <w:ind w:firstLine="482" w:firstLineChars="200"/>
        <w:jc w:val="left"/>
        <w:rPr>
          <w:rFonts w:ascii="宋体" w:hAnsi="宋体" w:cs="宋体"/>
          <w:b/>
          <w:bCs/>
          <w:sz w:val="24"/>
        </w:rPr>
      </w:pPr>
      <w:r>
        <w:rPr>
          <w:rFonts w:hint="eastAsia" w:ascii="宋体" w:hAnsi="宋体" w:cs="宋体"/>
          <w:b/>
          <w:bCs/>
          <w:sz w:val="24"/>
        </w:rPr>
        <w:t>十一、其他事项</w:t>
      </w:r>
    </w:p>
    <w:p>
      <w:pPr>
        <w:spacing w:line="360" w:lineRule="auto"/>
        <w:ind w:firstLine="480" w:firstLineChars="200"/>
        <w:rPr>
          <w:rFonts w:ascii="宋体" w:hAnsi="宋体" w:cs="宋体"/>
          <w:sz w:val="24"/>
        </w:rPr>
      </w:pPr>
      <w:r>
        <w:rPr>
          <w:rFonts w:hint="eastAsia" w:ascii="宋体" w:hAnsi="宋体" w:cs="宋体"/>
          <w:sz w:val="24"/>
        </w:rPr>
        <w:t>1.乙方人员履行本协议过程中自身遭受的或者对第三方造成的任何人身及财产损害与甲方无关，由乙方自行承担，若因此造成甲方损失的，甲方有权向乙方追偿，协议中未尽事宜双方可做补充内容。</w:t>
      </w:r>
    </w:p>
    <w:p>
      <w:pPr>
        <w:spacing w:line="360" w:lineRule="auto"/>
        <w:ind w:firstLine="480" w:firstLineChars="200"/>
        <w:rPr>
          <w:rFonts w:ascii="宋体" w:hAnsi="宋体" w:cs="宋体"/>
          <w:sz w:val="24"/>
        </w:rPr>
      </w:pPr>
      <w:r>
        <w:rPr>
          <w:rFonts w:hint="eastAsia" w:ascii="宋体" w:hAnsi="宋体" w:cs="宋体"/>
          <w:sz w:val="24"/>
        </w:rPr>
        <w:t>2.本协议自签字、盖章之日起生效。有效期自     年    月 日至    年  月  日。</w:t>
      </w:r>
    </w:p>
    <w:p>
      <w:pPr>
        <w:spacing w:line="360" w:lineRule="auto"/>
        <w:ind w:firstLine="480" w:firstLineChars="200"/>
        <w:rPr>
          <w:rFonts w:ascii="宋体" w:hAnsi="宋体" w:cs="宋体"/>
          <w:sz w:val="24"/>
        </w:rPr>
      </w:pPr>
      <w:r>
        <w:rPr>
          <w:rFonts w:hint="eastAsia" w:ascii="宋体" w:hAnsi="宋体" w:cs="宋体"/>
          <w:sz w:val="24"/>
        </w:rPr>
        <w:t>3.因本协议发生的纠纷双方协商解决，未能协商解决的任何一方有权将争议提交甲方所在地的人民法院进行诉讼, 由此产生的律师费、交通费等相关费用均由违约方承担。</w:t>
      </w:r>
    </w:p>
    <w:p>
      <w:pPr>
        <w:spacing w:line="360" w:lineRule="auto"/>
        <w:ind w:firstLine="480" w:firstLineChars="200"/>
        <w:rPr>
          <w:rFonts w:ascii="宋体" w:hAnsi="宋体" w:cs="宋体"/>
          <w:sz w:val="24"/>
        </w:rPr>
      </w:pPr>
      <w:r>
        <w:rPr>
          <w:rFonts w:hint="eastAsia" w:ascii="宋体" w:hAnsi="宋体" w:cs="宋体"/>
          <w:sz w:val="24"/>
        </w:rPr>
        <w:t>4.由于不可抗力事故，致使直接影响合同的履行或者不能按约定的条件履行时，遇到不可抗力一方，应在15天内，提供事故详情及合同不能履行、或者部分不能履行，或者需要延期履行的理由。按照事故履行合同影响的程序，由双方协商解决并书面确认。</w:t>
      </w:r>
      <w:r>
        <w:rPr>
          <w:rFonts w:ascii="宋体" w:hAnsi="宋体" w:cs="宋体"/>
          <w:sz w:val="24"/>
        </w:rPr>
        <w:t>新冠疫情不属于不可抗力。</w:t>
      </w:r>
    </w:p>
    <w:p>
      <w:pPr>
        <w:spacing w:line="360" w:lineRule="auto"/>
        <w:ind w:firstLine="480" w:firstLineChars="200"/>
        <w:rPr>
          <w:rFonts w:ascii="宋体" w:hAnsi="宋体" w:cs="宋体"/>
          <w:sz w:val="24"/>
        </w:rPr>
      </w:pPr>
      <w:r>
        <w:rPr>
          <w:rFonts w:hint="eastAsia" w:ascii="宋体" w:hAnsi="宋体" w:cs="宋体"/>
          <w:sz w:val="24"/>
        </w:rPr>
        <w:t>5.本协议一式肆份，双方各执贰份，每份具有同等法律效力。</w:t>
      </w:r>
    </w:p>
    <w:p>
      <w:pPr>
        <w:spacing w:line="360" w:lineRule="auto"/>
        <w:ind w:firstLine="480"/>
        <w:rPr>
          <w:rFonts w:ascii="宋体" w:hAnsi="宋体" w:cs="宋体"/>
          <w:sz w:val="24"/>
        </w:rPr>
      </w:pPr>
      <w:r>
        <w:rPr>
          <w:rFonts w:hint="eastAsia" w:ascii="宋体" w:hAnsi="宋体" w:cs="宋体"/>
          <w:sz w:val="24"/>
        </w:rPr>
        <w:t>6.本协议条款适用于附件1中的各公司，甲方包括附件1中的各公司。甲方已获得各公司的有效授权可代表这些公司签订本协议。</w:t>
      </w:r>
    </w:p>
    <w:p>
      <w:pPr>
        <w:spacing w:line="360" w:lineRule="auto"/>
        <w:ind w:firstLine="480" w:firstLineChars="200"/>
        <w:rPr>
          <w:rFonts w:ascii="宋体" w:hAnsi="宋体" w:cs="宋体"/>
          <w:b/>
          <w:bCs/>
          <w:sz w:val="24"/>
        </w:rPr>
      </w:pPr>
      <w:r>
        <w:rPr>
          <w:rFonts w:hint="eastAsia" w:ascii="宋体" w:hAnsi="宋体" w:cs="宋体"/>
          <w:sz w:val="24"/>
        </w:rPr>
        <w:t>附件1《甲方各公司名单》</w:t>
      </w:r>
    </w:p>
    <w:p>
      <w:pPr>
        <w:spacing w:line="360" w:lineRule="auto"/>
        <w:ind w:firstLine="480" w:firstLineChars="200"/>
        <w:rPr>
          <w:rFonts w:ascii="宋体" w:hAnsi="宋体" w:cs="宋体"/>
          <w:sz w:val="24"/>
        </w:rPr>
      </w:pPr>
      <w:r>
        <w:rPr>
          <w:rFonts w:hint="eastAsia" w:ascii="宋体" w:hAnsi="宋体"/>
          <w:sz w:val="24"/>
        </w:rPr>
        <w:t>附件 2</w:t>
      </w:r>
      <w:r>
        <w:rPr>
          <w:rFonts w:hint="eastAsia" w:ascii="宋体" w:hAnsi="宋体" w:cs="宋体"/>
          <w:sz w:val="24"/>
        </w:rPr>
        <w:t>《小包装产品仓储规范》</w:t>
      </w:r>
    </w:p>
    <w:p>
      <w:pPr>
        <w:spacing w:line="360" w:lineRule="auto"/>
        <w:ind w:firstLine="482" w:firstLineChars="200"/>
        <w:rPr>
          <w:rFonts w:ascii="宋体" w:hAnsi="宋体" w:cs="宋体"/>
          <w:b/>
          <w:bCs/>
          <w:sz w:val="24"/>
        </w:rPr>
      </w:pPr>
    </w:p>
    <w:p>
      <w:pPr>
        <w:spacing w:line="360" w:lineRule="auto"/>
        <w:ind w:firstLine="482" w:firstLineChars="200"/>
        <w:rPr>
          <w:rFonts w:ascii="宋体" w:hAnsi="宋体" w:cs="宋体"/>
          <w:sz w:val="24"/>
        </w:rPr>
      </w:pPr>
      <w:r>
        <w:rPr>
          <w:rFonts w:hint="eastAsia" w:ascii="宋体" w:hAnsi="宋体" w:cs="宋体"/>
          <w:b/>
          <w:bCs/>
          <w:sz w:val="24"/>
        </w:rPr>
        <w:t>甲 方：中粮屯河番茄有限公司            乙 方：</w:t>
      </w:r>
      <w:r>
        <w:rPr>
          <w:rFonts w:hint="eastAsia" w:ascii="宋体" w:hAnsi="宋体" w:cs="宋体"/>
          <w:sz w:val="24"/>
        </w:rPr>
        <w:t xml:space="preserve"> </w:t>
      </w:r>
      <w:r>
        <w:rPr>
          <w:rFonts w:hint="eastAsia" w:ascii="宋体" w:hAnsi="宋体" w:cs="宋体"/>
          <w:b/>
          <w:bCs/>
          <w:sz w:val="24"/>
        </w:rPr>
        <w:t xml:space="preserve">  </w:t>
      </w:r>
      <w:r>
        <w:rPr>
          <w:rFonts w:hint="eastAsia" w:ascii="宋体" w:hAnsi="宋体" w:cs="宋体"/>
          <w:sz w:val="24"/>
        </w:rPr>
        <w:t xml:space="preserve"> </w:t>
      </w:r>
    </w:p>
    <w:p>
      <w:pPr>
        <w:spacing w:line="360" w:lineRule="auto"/>
        <w:ind w:firstLine="480" w:firstLineChars="200"/>
        <w:rPr>
          <w:rFonts w:ascii="宋体" w:hAnsi="宋体" w:cs="宋体"/>
          <w:sz w:val="24"/>
        </w:rPr>
      </w:pPr>
    </w:p>
    <w:p>
      <w:pPr>
        <w:spacing w:line="360" w:lineRule="auto"/>
        <w:ind w:firstLine="482" w:firstLineChars="200"/>
        <w:rPr>
          <w:rFonts w:ascii="宋体" w:hAnsi="宋体" w:cs="宋体"/>
          <w:b/>
          <w:bCs/>
          <w:sz w:val="24"/>
        </w:rPr>
      </w:pPr>
      <w:r>
        <w:rPr>
          <w:rFonts w:hint="eastAsia" w:ascii="宋体" w:hAnsi="宋体" w:cs="宋体"/>
          <w:b/>
          <w:bCs/>
          <w:sz w:val="24"/>
        </w:rPr>
        <w:t>代表人：                              代表人：</w:t>
      </w:r>
    </w:p>
    <w:p>
      <w:pPr>
        <w:spacing w:line="360" w:lineRule="auto"/>
        <w:ind w:firstLine="482" w:firstLineChars="200"/>
        <w:rPr>
          <w:rFonts w:ascii="宋体" w:hAnsi="宋体" w:cs="宋体"/>
          <w:b/>
          <w:bCs/>
          <w:sz w:val="24"/>
        </w:rPr>
      </w:pPr>
    </w:p>
    <w:p>
      <w:pPr>
        <w:spacing w:line="360" w:lineRule="auto"/>
        <w:ind w:firstLine="482" w:firstLineChars="200"/>
        <w:rPr>
          <w:rFonts w:ascii="宋体" w:hAnsi="宋体" w:cs="宋体"/>
          <w:b/>
          <w:bCs/>
          <w:sz w:val="24"/>
        </w:rPr>
      </w:pPr>
      <w:r>
        <w:rPr>
          <w:rFonts w:hint="eastAsia" w:ascii="宋体" w:hAnsi="宋体" w:cs="宋体"/>
          <w:b/>
          <w:bCs/>
          <w:sz w:val="24"/>
        </w:rPr>
        <w:t>日  期：                              日  期：</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附件1</w:t>
      </w:r>
    </w:p>
    <w:p>
      <w:pPr>
        <w:spacing w:line="360" w:lineRule="auto"/>
        <w:jc w:val="center"/>
        <w:rPr>
          <w:rFonts w:ascii="宋体" w:hAnsi="宋体" w:cs="宋体"/>
          <w:b/>
          <w:bCs/>
          <w:sz w:val="24"/>
        </w:rPr>
      </w:pPr>
      <w:r>
        <w:rPr>
          <w:rFonts w:hint="eastAsia" w:ascii="宋体" w:hAnsi="宋体" w:cs="宋体"/>
          <w:b/>
          <w:bCs/>
          <w:sz w:val="24"/>
        </w:rPr>
        <w:t>甲方各公司名单</w:t>
      </w:r>
    </w:p>
    <w:p>
      <w:pPr>
        <w:spacing w:line="360" w:lineRule="auto"/>
        <w:jc w:val="center"/>
        <w:rPr>
          <w:rFonts w:ascii="宋体" w:hAnsi="宋体" w:cs="宋体"/>
          <w:sz w:val="24"/>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6"/>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6" w:type="dxa"/>
          </w:tcPr>
          <w:p>
            <w:pPr>
              <w:spacing w:line="360" w:lineRule="auto"/>
              <w:jc w:val="left"/>
              <w:rPr>
                <w:rFonts w:ascii="宋体" w:hAnsi="宋体" w:cs="宋体"/>
                <w:sz w:val="24"/>
              </w:rPr>
            </w:pPr>
            <w:r>
              <w:rPr>
                <w:rFonts w:hint="eastAsia" w:ascii="宋体" w:hAnsi="宋体" w:cs="宋体"/>
                <w:sz w:val="24"/>
              </w:rPr>
              <w:t>公司名称</w:t>
            </w:r>
          </w:p>
        </w:tc>
        <w:tc>
          <w:tcPr>
            <w:tcW w:w="1176" w:type="dxa"/>
          </w:tcPr>
          <w:p>
            <w:pPr>
              <w:spacing w:line="360" w:lineRule="auto"/>
              <w:jc w:val="center"/>
              <w:rPr>
                <w:rFonts w:ascii="宋体" w:hAnsi="宋体" w:cs="宋体"/>
                <w:sz w:val="24"/>
              </w:rPr>
            </w:pPr>
            <w:r>
              <w:rPr>
                <w:rFonts w:hint="eastAsia" w:ascii="宋体" w:hAnsi="宋体" w:cs="宋体"/>
                <w:sz w:val="24"/>
              </w:rPr>
              <w:t>公司代码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6" w:type="dxa"/>
          </w:tcPr>
          <w:p>
            <w:pPr>
              <w:spacing w:line="360" w:lineRule="auto"/>
              <w:jc w:val="left"/>
              <w:rPr>
                <w:rFonts w:ascii="宋体" w:hAnsi="宋体" w:cs="宋体"/>
                <w:sz w:val="24"/>
              </w:rPr>
            </w:pPr>
            <w:r>
              <w:rPr>
                <w:rFonts w:hint="eastAsia" w:ascii="宋体" w:hAnsi="宋体" w:cs="宋体"/>
                <w:sz w:val="24"/>
              </w:rPr>
              <w:t>中粮屯河番茄有限公司昌吉番茄粉分公司</w:t>
            </w:r>
          </w:p>
        </w:tc>
        <w:tc>
          <w:tcPr>
            <w:tcW w:w="1176" w:type="dxa"/>
          </w:tcPr>
          <w:p>
            <w:pPr>
              <w:spacing w:line="360" w:lineRule="auto"/>
              <w:jc w:val="center"/>
              <w:rPr>
                <w:rFonts w:ascii="宋体" w:hAnsi="宋体" w:cs="宋体"/>
                <w:sz w:val="24"/>
              </w:rPr>
            </w:pPr>
            <w:r>
              <w:rPr>
                <w:rFonts w:hint="eastAsia" w:ascii="宋体" w:hAnsi="宋体" w:cs="宋体"/>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6" w:type="dxa"/>
          </w:tcPr>
          <w:p>
            <w:pPr>
              <w:spacing w:line="360" w:lineRule="auto"/>
              <w:jc w:val="left"/>
              <w:rPr>
                <w:rFonts w:ascii="宋体" w:hAnsi="宋体" w:cs="宋体"/>
                <w:sz w:val="24"/>
              </w:rPr>
            </w:pPr>
            <w:r>
              <w:rPr>
                <w:rFonts w:hint="eastAsia" w:ascii="宋体" w:hAnsi="宋体" w:cs="宋体"/>
                <w:sz w:val="24"/>
              </w:rPr>
              <w:t>中粮屯河乌什果蔬制品有限公司</w:t>
            </w:r>
          </w:p>
        </w:tc>
        <w:tc>
          <w:tcPr>
            <w:tcW w:w="1176" w:type="dxa"/>
          </w:tcPr>
          <w:p>
            <w:pPr>
              <w:spacing w:line="360" w:lineRule="auto"/>
              <w:jc w:val="center"/>
              <w:rPr>
                <w:rFonts w:ascii="宋体" w:hAnsi="宋体" w:cs="宋体"/>
                <w:sz w:val="24"/>
              </w:rPr>
            </w:pPr>
            <w:r>
              <w:rPr>
                <w:rFonts w:hint="eastAsia" w:ascii="宋体" w:hAnsi="宋体" w:cs="宋体"/>
                <w:sz w:val="24"/>
              </w:rPr>
              <w:t>Y78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496" w:type="dxa"/>
          </w:tcPr>
          <w:p>
            <w:pPr>
              <w:spacing w:line="360" w:lineRule="auto"/>
              <w:jc w:val="left"/>
              <w:rPr>
                <w:rFonts w:ascii="宋体" w:hAnsi="宋体" w:cs="宋体"/>
                <w:color w:val="FF0000"/>
                <w:sz w:val="24"/>
              </w:rPr>
            </w:pPr>
            <w:r>
              <w:rPr>
                <w:rFonts w:hint="eastAsia" w:ascii="宋体" w:hAnsi="宋体" w:cs="宋体"/>
                <w:sz w:val="24"/>
              </w:rPr>
              <w:t>内蒙古屯河河套番茄制品有限责任公司</w:t>
            </w:r>
          </w:p>
        </w:tc>
        <w:tc>
          <w:tcPr>
            <w:tcW w:w="1176" w:type="dxa"/>
          </w:tcPr>
          <w:p>
            <w:pPr>
              <w:spacing w:line="360" w:lineRule="auto"/>
              <w:jc w:val="center"/>
              <w:rPr>
                <w:rFonts w:ascii="宋体" w:hAnsi="宋体" w:cs="宋体"/>
                <w:sz w:val="24"/>
              </w:rPr>
            </w:pPr>
            <w:r>
              <w:rPr>
                <w:rFonts w:hint="eastAsia" w:ascii="宋体" w:hAnsi="宋体" w:cs="宋体"/>
                <w:sz w:val="24"/>
              </w:rPr>
              <w:t>F8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6" w:type="dxa"/>
          </w:tcPr>
          <w:p>
            <w:pPr>
              <w:spacing w:line="360" w:lineRule="auto"/>
              <w:jc w:val="left"/>
              <w:rPr>
                <w:rFonts w:ascii="宋体" w:hAnsi="宋体" w:cs="宋体"/>
                <w:sz w:val="24"/>
              </w:rPr>
            </w:pPr>
            <w:r>
              <w:rPr>
                <w:rFonts w:hint="eastAsia" w:ascii="宋体" w:hAnsi="宋体" w:cs="宋体"/>
                <w:sz w:val="24"/>
              </w:rPr>
              <w:t>中粮屯河（杭锦后旗）番茄制品有限公司</w:t>
            </w:r>
          </w:p>
        </w:tc>
        <w:tc>
          <w:tcPr>
            <w:tcW w:w="1176" w:type="dxa"/>
          </w:tcPr>
          <w:p>
            <w:pPr>
              <w:spacing w:line="360" w:lineRule="auto"/>
              <w:jc w:val="center"/>
              <w:rPr>
                <w:rFonts w:ascii="宋体" w:hAnsi="宋体" w:cs="宋体"/>
                <w:sz w:val="24"/>
              </w:rPr>
            </w:pPr>
            <w:r>
              <w:rPr>
                <w:rFonts w:hint="eastAsia" w:ascii="宋体" w:hAnsi="宋体" w:cs="宋体"/>
                <w:sz w:val="24"/>
              </w:rPr>
              <w:t>F10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6" w:type="dxa"/>
          </w:tcPr>
          <w:p>
            <w:pPr>
              <w:spacing w:line="360" w:lineRule="auto"/>
              <w:jc w:val="left"/>
              <w:rPr>
                <w:rFonts w:ascii="宋体" w:hAnsi="宋体" w:cs="宋体"/>
                <w:sz w:val="24"/>
              </w:rPr>
            </w:pPr>
            <w:r>
              <w:rPr>
                <w:rFonts w:hint="eastAsia" w:ascii="宋体" w:hAnsi="宋体" w:cs="宋体"/>
                <w:sz w:val="24"/>
              </w:rPr>
              <w:t>内蒙古中粮番茄制品有限公司</w:t>
            </w:r>
          </w:p>
        </w:tc>
        <w:tc>
          <w:tcPr>
            <w:tcW w:w="1176" w:type="dxa"/>
          </w:tcPr>
          <w:p>
            <w:pPr>
              <w:spacing w:line="360" w:lineRule="auto"/>
              <w:jc w:val="center"/>
              <w:rPr>
                <w:rFonts w:ascii="宋体" w:hAnsi="宋体" w:cs="宋体"/>
                <w:sz w:val="24"/>
              </w:rPr>
            </w:pPr>
            <w:r>
              <w:rPr>
                <w:rFonts w:hint="eastAsia" w:ascii="宋体" w:hAnsi="宋体" w:cs="宋体"/>
                <w:sz w:val="24"/>
              </w:rPr>
              <w:t>F18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6" w:type="dxa"/>
          </w:tcPr>
          <w:p>
            <w:pPr>
              <w:spacing w:line="360" w:lineRule="auto"/>
              <w:jc w:val="left"/>
              <w:rPr>
                <w:rFonts w:ascii="宋体" w:hAnsi="宋体" w:cs="宋体"/>
                <w:sz w:val="24"/>
              </w:rPr>
            </w:pPr>
            <w:r>
              <w:rPr>
                <w:rFonts w:hint="eastAsia" w:ascii="宋体" w:hAnsi="宋体" w:cs="宋体"/>
                <w:sz w:val="24"/>
              </w:rPr>
              <w:t>中粮屯河临河番茄制品有限公司</w:t>
            </w:r>
          </w:p>
        </w:tc>
        <w:tc>
          <w:tcPr>
            <w:tcW w:w="1176" w:type="dxa"/>
          </w:tcPr>
          <w:p>
            <w:pPr>
              <w:spacing w:line="360" w:lineRule="auto"/>
              <w:jc w:val="center"/>
              <w:rPr>
                <w:rFonts w:ascii="宋体" w:hAnsi="宋体" w:cs="宋体"/>
                <w:sz w:val="24"/>
              </w:rPr>
            </w:pPr>
            <w:r>
              <w:rPr>
                <w:rFonts w:hint="eastAsia" w:ascii="宋体" w:hAnsi="宋体" w:cs="宋体"/>
                <w:sz w:val="24"/>
              </w:rPr>
              <w:t>F40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496" w:type="dxa"/>
          </w:tcPr>
          <w:p>
            <w:pPr>
              <w:spacing w:line="360" w:lineRule="auto"/>
              <w:jc w:val="left"/>
              <w:rPr>
                <w:rFonts w:ascii="宋体" w:hAnsi="宋体" w:cs="宋体"/>
                <w:sz w:val="24"/>
              </w:rPr>
            </w:pPr>
            <w:r>
              <w:rPr>
                <w:rFonts w:hint="eastAsia" w:ascii="宋体" w:hAnsi="宋体" w:cs="宋体"/>
                <w:sz w:val="24"/>
              </w:rPr>
              <w:t>中粮屯河昌吉番茄制品有限公司</w:t>
            </w:r>
          </w:p>
        </w:tc>
        <w:tc>
          <w:tcPr>
            <w:tcW w:w="1176" w:type="dxa"/>
          </w:tcPr>
          <w:p>
            <w:pPr>
              <w:spacing w:line="360" w:lineRule="auto"/>
              <w:jc w:val="center"/>
              <w:rPr>
                <w:rFonts w:ascii="宋体" w:hAnsi="宋体" w:cs="宋体"/>
                <w:sz w:val="24"/>
              </w:rPr>
            </w:pPr>
            <w:r>
              <w:rPr>
                <w:rFonts w:hint="eastAsia" w:ascii="宋体" w:hAnsi="宋体" w:cs="宋体"/>
                <w:sz w:val="24"/>
              </w:rPr>
              <w:t>Y10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6" w:type="dxa"/>
          </w:tcPr>
          <w:p>
            <w:pPr>
              <w:spacing w:line="360" w:lineRule="auto"/>
              <w:jc w:val="left"/>
              <w:rPr>
                <w:rFonts w:ascii="宋体" w:hAnsi="宋体" w:cs="宋体"/>
                <w:sz w:val="24"/>
              </w:rPr>
            </w:pPr>
            <w:r>
              <w:rPr>
                <w:rFonts w:hint="eastAsia" w:ascii="宋体" w:hAnsi="宋体" w:cs="宋体"/>
                <w:sz w:val="24"/>
              </w:rPr>
              <w:t>中粮屯河乌苏番茄制品有限公司</w:t>
            </w:r>
          </w:p>
        </w:tc>
        <w:tc>
          <w:tcPr>
            <w:tcW w:w="1176" w:type="dxa"/>
          </w:tcPr>
          <w:p>
            <w:pPr>
              <w:spacing w:line="360" w:lineRule="auto"/>
              <w:jc w:val="center"/>
              <w:rPr>
                <w:rFonts w:ascii="宋体" w:hAnsi="宋体" w:cs="宋体"/>
                <w:sz w:val="24"/>
              </w:rPr>
            </w:pPr>
            <w:r>
              <w:rPr>
                <w:rFonts w:hint="eastAsia" w:ascii="宋体" w:hAnsi="宋体" w:cs="宋体"/>
                <w:sz w:val="24"/>
              </w:rPr>
              <w:t>Y19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6" w:type="dxa"/>
          </w:tcPr>
          <w:p>
            <w:pPr>
              <w:spacing w:line="360" w:lineRule="auto"/>
              <w:jc w:val="left"/>
              <w:rPr>
                <w:rFonts w:ascii="宋体" w:hAnsi="宋体" w:cs="宋体"/>
                <w:sz w:val="24"/>
              </w:rPr>
            </w:pPr>
            <w:r>
              <w:rPr>
                <w:rFonts w:hint="eastAsia" w:ascii="宋体" w:hAnsi="宋体" w:cs="宋体"/>
                <w:sz w:val="24"/>
              </w:rPr>
              <w:t>中粮屯河玛纳斯番茄制品有限公司</w:t>
            </w:r>
          </w:p>
        </w:tc>
        <w:tc>
          <w:tcPr>
            <w:tcW w:w="1176" w:type="dxa"/>
          </w:tcPr>
          <w:p>
            <w:pPr>
              <w:spacing w:line="360" w:lineRule="auto"/>
              <w:jc w:val="center"/>
              <w:rPr>
                <w:rFonts w:ascii="宋体" w:hAnsi="宋体" w:cs="宋体"/>
                <w:sz w:val="24"/>
              </w:rPr>
            </w:pPr>
            <w:r>
              <w:rPr>
                <w:rFonts w:hint="eastAsia" w:ascii="宋体" w:hAnsi="宋体" w:cs="宋体"/>
                <w:sz w:val="24"/>
              </w:rPr>
              <w:t>Y35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6" w:type="dxa"/>
          </w:tcPr>
          <w:p>
            <w:pPr>
              <w:spacing w:line="360" w:lineRule="auto"/>
              <w:jc w:val="left"/>
              <w:rPr>
                <w:rFonts w:ascii="宋体" w:hAnsi="宋体" w:cs="宋体"/>
                <w:sz w:val="24"/>
              </w:rPr>
            </w:pPr>
            <w:r>
              <w:rPr>
                <w:rFonts w:hint="eastAsia" w:ascii="宋体" w:hAnsi="宋体" w:cs="宋体"/>
                <w:sz w:val="24"/>
              </w:rPr>
              <w:t>中粮屯河吉木萨尔番茄制品有限公司</w:t>
            </w:r>
          </w:p>
        </w:tc>
        <w:tc>
          <w:tcPr>
            <w:tcW w:w="1176" w:type="dxa"/>
          </w:tcPr>
          <w:p>
            <w:pPr>
              <w:spacing w:line="360" w:lineRule="auto"/>
              <w:jc w:val="center"/>
              <w:rPr>
                <w:rFonts w:ascii="宋体" w:hAnsi="宋体" w:cs="宋体"/>
                <w:sz w:val="24"/>
              </w:rPr>
            </w:pPr>
            <w:r>
              <w:rPr>
                <w:rFonts w:hint="eastAsia" w:ascii="宋体" w:hAnsi="宋体" w:cs="宋体"/>
                <w:sz w:val="24"/>
              </w:rPr>
              <w:t>Y60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496" w:type="dxa"/>
          </w:tcPr>
          <w:p>
            <w:pPr>
              <w:spacing w:line="360" w:lineRule="auto"/>
              <w:jc w:val="left"/>
              <w:rPr>
                <w:rFonts w:ascii="宋体" w:hAnsi="宋体" w:cs="宋体"/>
                <w:sz w:val="24"/>
              </w:rPr>
            </w:pPr>
            <w:r>
              <w:rPr>
                <w:rFonts w:hint="eastAsia" w:ascii="宋体" w:hAnsi="宋体" w:cs="宋体"/>
                <w:sz w:val="24"/>
              </w:rPr>
              <w:t>中粮屯河焉耆番茄制品有限公司</w:t>
            </w:r>
          </w:p>
        </w:tc>
        <w:tc>
          <w:tcPr>
            <w:tcW w:w="1176" w:type="dxa"/>
          </w:tcPr>
          <w:p>
            <w:pPr>
              <w:spacing w:line="360" w:lineRule="auto"/>
              <w:jc w:val="center"/>
              <w:rPr>
                <w:rFonts w:ascii="宋体" w:hAnsi="宋体" w:cs="宋体"/>
                <w:sz w:val="24"/>
              </w:rPr>
            </w:pPr>
            <w:r>
              <w:rPr>
                <w:rFonts w:hint="eastAsia" w:ascii="宋体" w:hAnsi="宋体" w:cs="宋体"/>
                <w:sz w:val="24"/>
              </w:rPr>
              <w:t>Y88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6" w:type="dxa"/>
          </w:tcPr>
          <w:p>
            <w:pPr>
              <w:spacing w:line="360" w:lineRule="auto"/>
              <w:jc w:val="left"/>
              <w:rPr>
                <w:rFonts w:ascii="宋体" w:hAnsi="宋体" w:cs="宋体"/>
                <w:sz w:val="24"/>
              </w:rPr>
            </w:pPr>
            <w:r>
              <w:rPr>
                <w:rFonts w:hint="eastAsia" w:ascii="宋体" w:hAnsi="宋体" w:cs="宋体"/>
                <w:sz w:val="24"/>
              </w:rPr>
              <w:t>中粮屯河额敏番茄制品有限公司</w:t>
            </w:r>
          </w:p>
        </w:tc>
        <w:tc>
          <w:tcPr>
            <w:tcW w:w="1176" w:type="dxa"/>
          </w:tcPr>
          <w:p>
            <w:pPr>
              <w:spacing w:line="360" w:lineRule="auto"/>
              <w:jc w:val="center"/>
              <w:rPr>
                <w:rFonts w:ascii="宋体" w:hAnsi="宋体" w:cs="宋体"/>
                <w:sz w:val="24"/>
              </w:rPr>
            </w:pPr>
            <w:r>
              <w:rPr>
                <w:rFonts w:hint="eastAsia" w:ascii="宋体" w:hAnsi="宋体" w:cs="宋体"/>
                <w:sz w:val="24"/>
              </w:rPr>
              <w:t>Y40</w:t>
            </w:r>
          </w:p>
        </w:tc>
      </w:tr>
    </w:tbl>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附件2</w:t>
      </w:r>
    </w:p>
    <w:p>
      <w:pPr>
        <w:rPr>
          <w:rFonts w:ascii="宋体" w:hAnsi="宋体" w:cs="宋体"/>
          <w:sz w:val="24"/>
        </w:rPr>
      </w:pPr>
    </w:p>
    <w:p>
      <w:pPr>
        <w:rPr>
          <w:rFonts w:ascii="宋体" w:hAnsi="宋体" w:cs="宋体"/>
          <w:sz w:val="24"/>
        </w:rPr>
      </w:pPr>
    </w:p>
    <w:p>
      <w:pPr>
        <w:spacing w:line="440" w:lineRule="exact"/>
        <w:ind w:firstLine="241" w:firstLineChars="100"/>
        <w:jc w:val="center"/>
        <w:rPr>
          <w:rFonts w:ascii="宋体" w:hAnsi="宋体" w:cs="宋体"/>
          <w:b/>
          <w:sz w:val="24"/>
        </w:rPr>
      </w:pPr>
      <w:r>
        <w:rPr>
          <w:rFonts w:hint="eastAsia" w:ascii="宋体" w:hAnsi="宋体" w:cs="宋体"/>
          <w:b/>
          <w:sz w:val="24"/>
        </w:rPr>
        <w:t>小包装产品仓储规范</w:t>
      </w:r>
    </w:p>
    <w:p>
      <w:pPr>
        <w:spacing w:line="440" w:lineRule="exact"/>
        <w:ind w:firstLine="241" w:firstLineChars="100"/>
        <w:jc w:val="center"/>
        <w:rPr>
          <w:rFonts w:ascii="宋体" w:hAnsi="宋体" w:cs="宋体"/>
          <w:b/>
          <w:color w:val="000000"/>
          <w:sz w:val="24"/>
        </w:rPr>
      </w:pPr>
    </w:p>
    <w:p>
      <w:pPr>
        <w:spacing w:line="360" w:lineRule="auto"/>
        <w:rPr>
          <w:rFonts w:ascii="宋体" w:hAnsi="宋体" w:cs="宋体"/>
          <w:color w:val="000000"/>
          <w:sz w:val="24"/>
        </w:rPr>
      </w:pPr>
      <w:r>
        <w:rPr>
          <w:rFonts w:hint="eastAsia" w:ascii="宋体" w:hAnsi="宋体" w:cs="宋体"/>
          <w:color w:val="000000"/>
          <w:sz w:val="24"/>
        </w:rPr>
        <w:t>1、仓库的现场工作人员不得带与工作无关的物品进入工作现场，如喝水杯、饭盒等物品。</w:t>
      </w:r>
    </w:p>
    <w:p>
      <w:pPr>
        <w:spacing w:line="360" w:lineRule="auto"/>
        <w:rPr>
          <w:rFonts w:ascii="宋体" w:hAnsi="宋体" w:cs="宋体"/>
          <w:color w:val="000000"/>
          <w:sz w:val="24"/>
        </w:rPr>
      </w:pPr>
      <w:r>
        <w:rPr>
          <w:rFonts w:hint="eastAsia" w:ascii="宋体" w:hAnsi="宋体" w:cs="宋体"/>
          <w:color w:val="000000"/>
          <w:sz w:val="24"/>
        </w:rPr>
        <w:t>2、入库及库存作业标准</w:t>
      </w:r>
    </w:p>
    <w:p>
      <w:pPr>
        <w:spacing w:line="360" w:lineRule="auto"/>
        <w:rPr>
          <w:rFonts w:ascii="宋体" w:hAnsi="宋体" w:cs="宋体"/>
          <w:color w:val="000000"/>
          <w:sz w:val="24"/>
        </w:rPr>
      </w:pPr>
      <w:r>
        <w:rPr>
          <w:rFonts w:hint="eastAsia" w:ascii="宋体" w:hAnsi="宋体" w:cs="宋体"/>
          <w:color w:val="000000"/>
          <w:sz w:val="24"/>
        </w:rPr>
        <w:t>2.1 仓储协议单位必须按照甲方的入库指令存储货物，必须入室内库存储。</w:t>
      </w:r>
    </w:p>
    <w:p>
      <w:pPr>
        <w:spacing w:line="360" w:lineRule="auto"/>
        <w:rPr>
          <w:rFonts w:ascii="宋体" w:hAnsi="宋体" w:cs="宋体"/>
          <w:color w:val="000000"/>
          <w:sz w:val="24"/>
        </w:rPr>
      </w:pPr>
      <w:r>
        <w:rPr>
          <w:rFonts w:hint="eastAsia" w:ascii="宋体" w:hAnsi="宋体" w:cs="宋体"/>
          <w:color w:val="000000"/>
          <w:sz w:val="24"/>
        </w:rPr>
        <w:t>3、备货、送货至收货点作业标准</w:t>
      </w:r>
    </w:p>
    <w:p>
      <w:pPr>
        <w:spacing w:line="360" w:lineRule="auto"/>
        <w:rPr>
          <w:rFonts w:ascii="宋体" w:hAnsi="宋体" w:cs="宋体"/>
          <w:color w:val="000000"/>
          <w:sz w:val="24"/>
        </w:rPr>
      </w:pPr>
      <w:r>
        <w:rPr>
          <w:rFonts w:hint="eastAsia" w:ascii="宋体" w:hAnsi="宋体" w:cs="宋体"/>
          <w:color w:val="000000"/>
          <w:sz w:val="24"/>
        </w:rPr>
        <w:t>3.1备货前应保证铺货场地卫生清洁、无异物、无污染源，地面平坦无积水，对于开盖检查的作业不得在树下执行以避免树叶落入，备货时应尽量避免刮风、雨、雪天气，如确因时间紧急需备货的必须在室内库进行或采取其他防护方式。</w:t>
      </w:r>
    </w:p>
    <w:p>
      <w:pPr>
        <w:spacing w:line="360" w:lineRule="auto"/>
        <w:rPr>
          <w:rFonts w:ascii="宋体" w:hAnsi="宋体" w:cs="宋体"/>
          <w:color w:val="000000"/>
          <w:sz w:val="24"/>
        </w:rPr>
      </w:pPr>
      <w:r>
        <w:rPr>
          <w:rFonts w:hint="eastAsia" w:ascii="宋体" w:hAnsi="宋体" w:cs="宋体"/>
          <w:color w:val="000000"/>
          <w:sz w:val="24"/>
        </w:rPr>
        <w:t>3.2仓库应逐箱进行外观查验，纸箱要求干净、无尘土污染、无异物、</w:t>
      </w:r>
      <w:r>
        <w:rPr>
          <w:rFonts w:hint="eastAsia" w:ascii="宋体" w:hAnsi="宋体" w:cs="宋体"/>
          <w:color w:val="000000"/>
          <w:sz w:val="24"/>
          <w:lang w:val="en-GB"/>
        </w:rPr>
        <w:t>冬季无积雪、冰块，</w:t>
      </w:r>
      <w:r>
        <w:rPr>
          <w:rFonts w:hint="eastAsia" w:ascii="宋体" w:hAnsi="宋体" w:cs="宋体"/>
          <w:color w:val="000000"/>
          <w:sz w:val="24"/>
        </w:rPr>
        <w:t>要清洁卫生，装车前应对承运车辆车厢内进行清扫，保证车厢清洁无污染。</w:t>
      </w:r>
    </w:p>
    <w:p>
      <w:pPr>
        <w:spacing w:line="360" w:lineRule="auto"/>
        <w:rPr>
          <w:rFonts w:ascii="宋体" w:hAnsi="宋体" w:cs="宋体"/>
          <w:color w:val="000000"/>
          <w:sz w:val="24"/>
        </w:rPr>
      </w:pPr>
      <w:r>
        <w:rPr>
          <w:rFonts w:hint="eastAsia" w:ascii="宋体" w:hAnsi="宋体" w:cs="宋体"/>
          <w:color w:val="000000"/>
          <w:sz w:val="24"/>
        </w:rPr>
        <w:t>3.3 雨天原则不送货，如必须送货须经甲方确认，由此产生的相关费用双方协商解决，并确保甲方物品不淋雨水。</w:t>
      </w:r>
    </w:p>
    <w:p>
      <w:pPr>
        <w:spacing w:line="360" w:lineRule="auto"/>
        <w:rPr>
          <w:rFonts w:ascii="宋体" w:hAnsi="宋体" w:cs="宋体"/>
          <w:color w:val="000000"/>
          <w:sz w:val="24"/>
        </w:rPr>
      </w:pPr>
      <w:r>
        <w:rPr>
          <w:rFonts w:hint="eastAsia" w:ascii="宋体" w:hAnsi="宋体" w:cs="宋体"/>
          <w:color w:val="000000"/>
          <w:sz w:val="24"/>
        </w:rPr>
        <w:t>3.4 乙方必须按甲方下达的截止送货时间及时与收货点联系并送货至收货点,如因送货不及时导致甲方产生的其他损失,包括因货物不能及时发出导致的客户投诉,由此引发的相关短倒运费等其他费用由乙方承担。</w:t>
      </w:r>
    </w:p>
    <w:p>
      <w:pPr>
        <w:spacing w:line="360" w:lineRule="auto"/>
        <w:rPr>
          <w:rFonts w:ascii="宋体" w:hAnsi="宋体" w:cs="宋体"/>
          <w:color w:val="000000"/>
          <w:sz w:val="24"/>
        </w:rPr>
      </w:pPr>
      <w:r>
        <w:rPr>
          <w:rFonts w:hint="eastAsia" w:ascii="宋体" w:hAnsi="宋体" w:cs="宋体"/>
          <w:color w:val="000000"/>
          <w:sz w:val="24"/>
        </w:rPr>
        <w:t>4、装卸、存储一般要求：</w:t>
      </w:r>
    </w:p>
    <w:p>
      <w:pPr>
        <w:spacing w:line="360" w:lineRule="auto"/>
        <w:rPr>
          <w:rFonts w:ascii="宋体" w:hAnsi="宋体" w:cs="宋体"/>
          <w:color w:val="000000"/>
          <w:sz w:val="24"/>
        </w:rPr>
      </w:pPr>
      <w:r>
        <w:rPr>
          <w:rFonts w:hint="eastAsia" w:ascii="宋体" w:hAnsi="宋体" w:cs="宋体"/>
          <w:color w:val="000000"/>
          <w:sz w:val="24"/>
        </w:rPr>
        <w:t>4.1 小包装产品装卸搬运时，严禁野蛮装卸行为，否则造成的货物损失由乙方负全责；</w:t>
      </w:r>
    </w:p>
    <w:p>
      <w:pPr>
        <w:spacing w:line="360" w:lineRule="auto"/>
        <w:rPr>
          <w:rFonts w:ascii="宋体" w:hAnsi="宋体" w:cs="宋体"/>
          <w:color w:val="000000"/>
          <w:sz w:val="24"/>
        </w:rPr>
      </w:pPr>
      <w:r>
        <w:rPr>
          <w:rFonts w:hint="eastAsia" w:ascii="宋体" w:hAnsi="宋体" w:cs="宋体"/>
          <w:color w:val="000000"/>
          <w:sz w:val="24"/>
        </w:rPr>
        <w:t>4.2 货物必须存放在当地出入境检验检疫局检验合格的库内，按批次分垛堆码；因存储不当及理货过程中未按要求操作所造成的货物损失由乙方全额赔偿。</w:t>
      </w:r>
    </w:p>
    <w:p>
      <w:pPr>
        <w:spacing w:line="360" w:lineRule="auto"/>
        <w:rPr>
          <w:rFonts w:ascii="宋体" w:hAnsi="宋体" w:cs="宋体"/>
          <w:color w:val="000000"/>
          <w:sz w:val="24"/>
        </w:rPr>
      </w:pPr>
      <w:r>
        <w:rPr>
          <w:rFonts w:hint="eastAsia" w:ascii="宋体" w:hAnsi="宋体" w:cs="宋体"/>
          <w:color w:val="000000"/>
          <w:sz w:val="24"/>
        </w:rPr>
        <w:t>5、甲方产品在仓储、装卸、运输过程中的作业，乙方均需严格按甲方提供的《仓库作业指导书》执行，如有不符合要求的作业行为发生，产生的损失由乙方承担。</w:t>
      </w:r>
    </w:p>
    <w:p>
      <w:pPr>
        <w:spacing w:line="360" w:lineRule="auto"/>
        <w:rPr>
          <w:rFonts w:ascii="宋体" w:hAnsi="宋体" w:cs="宋体"/>
          <w:color w:val="000000"/>
          <w:sz w:val="24"/>
        </w:rPr>
      </w:pPr>
      <w:r>
        <w:rPr>
          <w:rFonts w:hint="eastAsia" w:ascii="宋体" w:hAnsi="宋体" w:cs="宋体"/>
          <w:color w:val="000000"/>
          <w:sz w:val="24"/>
        </w:rPr>
        <w:t>6、乙方在出库过程中导致货物堆放分散，在不能保证货物存储、备货质量要求的前提下，乙方需按甲方要求重新归垛整理，由此产生的作业费用由乙方承担。</w:t>
      </w:r>
    </w:p>
    <w:p>
      <w:pPr>
        <w:spacing w:line="360" w:lineRule="auto"/>
        <w:rPr>
          <w:rFonts w:ascii="宋体" w:hAnsi="宋体" w:cs="宋体"/>
          <w:color w:val="000000"/>
          <w:sz w:val="24"/>
        </w:rPr>
      </w:pPr>
      <w:r>
        <w:rPr>
          <w:rFonts w:hint="eastAsia" w:ascii="宋体" w:hAnsi="宋体" w:cs="宋体"/>
          <w:sz w:val="24"/>
        </w:rPr>
        <w:drawing>
          <wp:anchor distT="0" distB="0" distL="114300" distR="114300" simplePos="0" relativeHeight="251659264" behindDoc="0" locked="0" layoutInCell="1" allowOverlap="1">
            <wp:simplePos x="0" y="0"/>
            <wp:positionH relativeFrom="column">
              <wp:posOffset>818515</wp:posOffset>
            </wp:positionH>
            <wp:positionV relativeFrom="paragraph">
              <wp:posOffset>367665</wp:posOffset>
            </wp:positionV>
            <wp:extent cx="4090670" cy="1367790"/>
            <wp:effectExtent l="0" t="0" r="11430" b="3810"/>
            <wp:wrapNone/>
            <wp:docPr id="1" name="图片 2" descr="163520507657594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63520507657594759"/>
                    <pic:cNvPicPr>
                      <a:picLocks noChangeAspect="1"/>
                    </pic:cNvPicPr>
                  </pic:nvPicPr>
                  <pic:blipFill>
                    <a:blip r:embed="rId5"/>
                    <a:stretch>
                      <a:fillRect/>
                    </a:stretch>
                  </pic:blipFill>
                  <pic:spPr>
                    <a:xfrm>
                      <a:off x="0" y="0"/>
                      <a:ext cx="4090670" cy="1367790"/>
                    </a:xfrm>
                    <a:prstGeom prst="rect">
                      <a:avLst/>
                    </a:prstGeom>
                    <a:noFill/>
                    <a:ln>
                      <a:noFill/>
                    </a:ln>
                  </pic:spPr>
                </pic:pic>
              </a:graphicData>
            </a:graphic>
          </wp:anchor>
        </w:drawing>
      </w:r>
      <w:r>
        <w:rPr>
          <w:rFonts w:hint="eastAsia" w:ascii="宋体" w:hAnsi="宋体" w:cs="宋体"/>
          <w:color w:val="000000"/>
          <w:sz w:val="24"/>
        </w:rPr>
        <w:t>7、 甲方在日常现场检查中，对不符合作业标准的事项予以记录，乙方应书面签字予以确认。</w:t>
      </w:r>
    </w:p>
    <w:p>
      <w:pPr>
        <w:spacing w:line="360" w:lineRule="auto"/>
      </w:pPr>
      <w:r>
        <w:rPr>
          <w:rFonts w:hint="eastAsia" w:ascii="宋体" w:hAnsi="宋体" w:cs="宋体"/>
          <w:color w:val="000000"/>
          <w:sz w:val="24"/>
        </w:rPr>
        <w:t>码垛照片：</w:t>
      </w:r>
    </w:p>
    <w:sectPr>
      <w:headerReference r:id="rId3"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roman"/>
    <w:pitch w:val="default"/>
    <w:sig w:usb0="00000000" w:usb1="00000000" w:usb2="00000000" w:usb3="00000000" w:csb0="00000000" w:csb1="00000000"/>
  </w:font>
  <w:font w:name="仿宋GB2312">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972" w:firstLineChars="540"/>
      <w:jc w:val="both"/>
    </w:pPr>
  </w:p>
  <w:p>
    <w:pPr>
      <w:pStyle w:val="10"/>
      <w:jc w:val="both"/>
    </w:pPr>
    <w:r>
      <w:rPr>
        <w:rFonts w:hint="eastAsia"/>
      </w:rPr>
      <w:t>中粮屯河番茄销售部物流部文件 编号:</w:t>
    </w:r>
    <w:r>
      <w:t xml:space="preserve"> FQWLB-2023-013</w:t>
    </w:r>
    <w:r>
      <w:rPr>
        <w:rFonts w:hint="eastAsia"/>
      </w:rPr>
      <w:t xml:space="preserve">                                       </w:t>
    </w:r>
    <w:r>
      <w:rPr>
        <w:rFonts w:hint="eastAsia"/>
      </w:rPr>
      <w:drawing>
        <wp:inline distT="0" distB="0" distL="114300" distR="114300">
          <wp:extent cx="1109980" cy="469900"/>
          <wp:effectExtent l="0" t="0" r="762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1109980" cy="469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0C4974"/>
    <w:multiLevelType w:val="singleLevel"/>
    <w:tmpl w:val="AC0C4974"/>
    <w:lvl w:ilvl="0" w:tentative="0">
      <w:start w:val="1"/>
      <w:numFmt w:val="decimal"/>
      <w:lvlText w:val="%1."/>
      <w:lvlJc w:val="left"/>
      <w:pPr>
        <w:tabs>
          <w:tab w:val="left" w:pos="312"/>
        </w:tabs>
      </w:pPr>
    </w:lvl>
  </w:abstractNum>
  <w:abstractNum w:abstractNumId="1">
    <w:nsid w:val="28C53C5D"/>
    <w:multiLevelType w:val="multilevel"/>
    <w:tmpl w:val="28C53C5D"/>
    <w:lvl w:ilvl="0" w:tentative="0">
      <w:start w:val="1"/>
      <w:numFmt w:val="decimal"/>
      <w:lvlText w:val="2.%1."/>
      <w:lvlJc w:val="left"/>
      <w:pPr>
        <w:ind w:left="420" w:hanging="420"/>
      </w:pPr>
      <w:rPr>
        <w:rFonts w:hint="eastAsia"/>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
    <w:nsid w:val="59B71D1D"/>
    <w:multiLevelType w:val="multilevel"/>
    <w:tmpl w:val="59B71D1D"/>
    <w:lvl w:ilvl="0" w:tentative="0">
      <w:start w:val="1"/>
      <w:numFmt w:val="decimal"/>
      <w:lvlText w:val="1.1.%1."/>
      <w:lvlJc w:val="left"/>
      <w:pPr>
        <w:ind w:left="425" w:hanging="425"/>
      </w:pPr>
      <w:rPr>
        <w:rFonts w:hint="eastAsia"/>
      </w:rPr>
    </w:lvl>
    <w:lvl w:ilvl="1" w:tentative="0">
      <w:start w:val="1"/>
      <w:numFmt w:val="decimal"/>
      <w:lvlText w:val="1.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1.%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1"/>
    <w:lvlOverride w:ilvl="0">
      <w:lvl w:ilvl="0" w:tentative="1">
        <w:start w:val="1"/>
        <w:numFmt w:val="decimal"/>
        <w:pStyle w:val="4"/>
        <w:lvlText w:val="1.%1."/>
        <w:lvlJc w:val="left"/>
        <w:pPr>
          <w:ind w:left="420" w:hanging="420"/>
        </w:pPr>
        <w:rPr>
          <w:rFonts w:hint="eastAsia"/>
        </w:rPr>
      </w:lvl>
    </w:lvlOverride>
    <w:lvlOverride w:ilvl="1">
      <w:lvl w:ilvl="1" w:tentative="1">
        <w:start w:val="1"/>
        <w:numFmt w:val="decimal"/>
        <w:lvlText w:val="%1.%2"/>
        <w:lvlJc w:val="left"/>
        <w:pPr>
          <w:ind w:left="420" w:hanging="420"/>
        </w:pPr>
        <w:rPr>
          <w:rFonts w:hint="default"/>
        </w:rPr>
      </w:lvl>
    </w:lvlOverride>
    <w:lvlOverride w:ilvl="2">
      <w:lvl w:ilvl="2" w:tentative="1">
        <w:start w:val="1"/>
        <w:numFmt w:val="decimal"/>
        <w:lvlText w:val="%1.%2.%3"/>
        <w:lvlJc w:val="left"/>
        <w:pPr>
          <w:ind w:left="720" w:hanging="720"/>
        </w:pPr>
        <w:rPr>
          <w:rFonts w:hint="default"/>
        </w:rPr>
      </w:lvl>
    </w:lvlOverride>
    <w:lvlOverride w:ilvl="3">
      <w:lvl w:ilvl="3" w:tentative="1">
        <w:start w:val="1"/>
        <w:numFmt w:val="decimal"/>
        <w:lvlText w:val="%1.%2.%3.%4"/>
        <w:lvlJc w:val="left"/>
        <w:pPr>
          <w:ind w:left="720" w:hanging="72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080" w:hanging="1080"/>
        </w:pPr>
        <w:rPr>
          <w:rFonts w:hint="default"/>
        </w:rPr>
      </w:lvl>
    </w:lvlOverride>
    <w:lvlOverride w:ilvl="6">
      <w:lvl w:ilvl="6" w:tentative="1">
        <w:start w:val="1"/>
        <w:numFmt w:val="decimal"/>
        <w:lvlText w:val="%1.%2.%3.%4.%5.%6.%7"/>
        <w:lvlJc w:val="left"/>
        <w:pPr>
          <w:ind w:left="1440" w:hanging="1440"/>
        </w:pPr>
        <w:rPr>
          <w:rFonts w:hint="default"/>
        </w:rPr>
      </w:lvl>
    </w:lvlOverride>
    <w:lvlOverride w:ilvl="7">
      <w:lvl w:ilvl="7" w:tentative="1">
        <w:start w:val="1"/>
        <w:numFmt w:val="decimal"/>
        <w:lvlText w:val="%1.%2.%3.%4.%5.%6.%7.%8"/>
        <w:lvlJc w:val="left"/>
        <w:pPr>
          <w:ind w:left="1440" w:hanging="1440"/>
        </w:pPr>
        <w:rPr>
          <w:rFonts w:hint="default"/>
        </w:rPr>
      </w:lvl>
    </w:lvlOverride>
    <w:lvlOverride w:ilvl="8">
      <w:lvl w:ilvl="8" w:tentative="1">
        <w:start w:val="1"/>
        <w:numFmt w:val="decimal"/>
        <w:lvlText w:val="%1.%2.%3.%4.%5.%6.%7.%8.%9"/>
        <w:lvlJc w:val="left"/>
        <w:pPr>
          <w:ind w:left="1800" w:hanging="1800"/>
        </w:pPr>
        <w:rPr>
          <w:rFonts w:hint="default"/>
        </w:rPr>
      </w:lvl>
    </w:lvlOverride>
  </w:num>
  <w:num w:numId="2">
    <w:abstractNumId w:val="2"/>
    <w:lvlOverride w:ilvl="0">
      <w:lvl w:ilvl="0" w:tentative="1">
        <w:start w:val="1"/>
        <w:numFmt w:val="decimal"/>
        <w:lvlText w:val="1.1.%1."/>
        <w:lvlJc w:val="left"/>
        <w:pPr>
          <w:ind w:left="425" w:hanging="425"/>
        </w:pPr>
        <w:rPr>
          <w:rFonts w:hint="eastAsia"/>
        </w:rPr>
      </w:lvl>
    </w:lvlOverride>
    <w:lvlOverride w:ilvl="1">
      <w:lvl w:ilvl="1" w:tentative="1">
        <w:start w:val="1"/>
        <w:numFmt w:val="decimal"/>
        <w:lvlText w:val="1.1.%2."/>
        <w:lvlJc w:val="left"/>
        <w:pPr>
          <w:ind w:left="567" w:hanging="567"/>
        </w:pPr>
        <w:rPr>
          <w:rFonts w:hint="eastAsia"/>
        </w:rPr>
      </w:lvl>
    </w:lvlOverride>
    <w:lvlOverride w:ilvl="2">
      <w:lvl w:ilvl="2" w:tentative="1">
        <w:start w:val="1"/>
        <w:numFmt w:val="decimal"/>
        <w:lvlText w:val="2.1.%3."/>
        <w:lvlJc w:val="left"/>
        <w:pPr>
          <w:ind w:left="709" w:hanging="709"/>
        </w:pPr>
        <w:rPr>
          <w:rFonts w:hint="eastAsia"/>
        </w:rPr>
      </w:lvl>
    </w:lvlOverride>
    <w:lvlOverride w:ilvl="3">
      <w:lvl w:ilvl="3" w:tentative="1">
        <w:start w:val="1"/>
        <w:numFmt w:val="decimal"/>
        <w:pStyle w:val="2"/>
        <w:lvlText w:val="1.1.%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iMGFmNmMwNjEyYmVkZmEwMDVhYTUyNGNhNmZhN2IifQ=="/>
  </w:docVars>
  <w:rsids>
    <w:rsidRoot w:val="00110003"/>
    <w:rsid w:val="00000C54"/>
    <w:rsid w:val="0000293B"/>
    <w:rsid w:val="00011A2D"/>
    <w:rsid w:val="00012DBE"/>
    <w:rsid w:val="000136DB"/>
    <w:rsid w:val="00020974"/>
    <w:rsid w:val="000306B3"/>
    <w:rsid w:val="000310DF"/>
    <w:rsid w:val="0003463B"/>
    <w:rsid w:val="00035BBA"/>
    <w:rsid w:val="00036B1F"/>
    <w:rsid w:val="00041954"/>
    <w:rsid w:val="000420C2"/>
    <w:rsid w:val="00042B70"/>
    <w:rsid w:val="0004557E"/>
    <w:rsid w:val="00045D88"/>
    <w:rsid w:val="00053948"/>
    <w:rsid w:val="000546DF"/>
    <w:rsid w:val="00057022"/>
    <w:rsid w:val="0006204A"/>
    <w:rsid w:val="000628AD"/>
    <w:rsid w:val="00063E00"/>
    <w:rsid w:val="00066CB3"/>
    <w:rsid w:val="00075BB6"/>
    <w:rsid w:val="00075F66"/>
    <w:rsid w:val="0008055C"/>
    <w:rsid w:val="00082392"/>
    <w:rsid w:val="00082D26"/>
    <w:rsid w:val="000833AE"/>
    <w:rsid w:val="000918C9"/>
    <w:rsid w:val="000A1458"/>
    <w:rsid w:val="000A2120"/>
    <w:rsid w:val="000A2586"/>
    <w:rsid w:val="000A6F1D"/>
    <w:rsid w:val="000B0BE4"/>
    <w:rsid w:val="000B37F2"/>
    <w:rsid w:val="000C141F"/>
    <w:rsid w:val="000C4C43"/>
    <w:rsid w:val="000C6DDA"/>
    <w:rsid w:val="000D0D4C"/>
    <w:rsid w:val="000D5C84"/>
    <w:rsid w:val="000D711C"/>
    <w:rsid w:val="000E30E0"/>
    <w:rsid w:val="000E3468"/>
    <w:rsid w:val="000E58C3"/>
    <w:rsid w:val="000E61FB"/>
    <w:rsid w:val="000F1880"/>
    <w:rsid w:val="000F5A01"/>
    <w:rsid w:val="0010208E"/>
    <w:rsid w:val="00102B69"/>
    <w:rsid w:val="0010323E"/>
    <w:rsid w:val="00104547"/>
    <w:rsid w:val="001059AA"/>
    <w:rsid w:val="00110003"/>
    <w:rsid w:val="00114256"/>
    <w:rsid w:val="00114EB1"/>
    <w:rsid w:val="00127238"/>
    <w:rsid w:val="00130033"/>
    <w:rsid w:val="00130EC1"/>
    <w:rsid w:val="0013312D"/>
    <w:rsid w:val="00133142"/>
    <w:rsid w:val="00133AC1"/>
    <w:rsid w:val="001351AE"/>
    <w:rsid w:val="00136934"/>
    <w:rsid w:val="00137B2B"/>
    <w:rsid w:val="00140A8D"/>
    <w:rsid w:val="0014622B"/>
    <w:rsid w:val="00147C6B"/>
    <w:rsid w:val="00152E02"/>
    <w:rsid w:val="00154401"/>
    <w:rsid w:val="00165A50"/>
    <w:rsid w:val="001661F5"/>
    <w:rsid w:val="00166D5D"/>
    <w:rsid w:val="00171241"/>
    <w:rsid w:val="00173F4C"/>
    <w:rsid w:val="00176B59"/>
    <w:rsid w:val="00177B14"/>
    <w:rsid w:val="0018197B"/>
    <w:rsid w:val="0018620A"/>
    <w:rsid w:val="0019246D"/>
    <w:rsid w:val="00193CCB"/>
    <w:rsid w:val="0019608B"/>
    <w:rsid w:val="001969D3"/>
    <w:rsid w:val="00196E42"/>
    <w:rsid w:val="00196F25"/>
    <w:rsid w:val="0019724E"/>
    <w:rsid w:val="00197D5F"/>
    <w:rsid w:val="001A354F"/>
    <w:rsid w:val="001A40A5"/>
    <w:rsid w:val="001B28FA"/>
    <w:rsid w:val="001B2F2C"/>
    <w:rsid w:val="001B3A21"/>
    <w:rsid w:val="001B77A1"/>
    <w:rsid w:val="001C0013"/>
    <w:rsid w:val="001C7196"/>
    <w:rsid w:val="001C76AA"/>
    <w:rsid w:val="001D08E3"/>
    <w:rsid w:val="001D1344"/>
    <w:rsid w:val="001D7921"/>
    <w:rsid w:val="001E0087"/>
    <w:rsid w:val="001E5442"/>
    <w:rsid w:val="001F0E2F"/>
    <w:rsid w:val="001F5CF8"/>
    <w:rsid w:val="00201BF2"/>
    <w:rsid w:val="00201CFE"/>
    <w:rsid w:val="00202B4B"/>
    <w:rsid w:val="00203362"/>
    <w:rsid w:val="00203AF6"/>
    <w:rsid w:val="00206B7C"/>
    <w:rsid w:val="00206F56"/>
    <w:rsid w:val="00207A06"/>
    <w:rsid w:val="002103F7"/>
    <w:rsid w:val="002114F6"/>
    <w:rsid w:val="00212242"/>
    <w:rsid w:val="0021473C"/>
    <w:rsid w:val="00221EA4"/>
    <w:rsid w:val="00222E8E"/>
    <w:rsid w:val="002231C4"/>
    <w:rsid w:val="00232929"/>
    <w:rsid w:val="002336FB"/>
    <w:rsid w:val="002372F6"/>
    <w:rsid w:val="00242760"/>
    <w:rsid w:val="00251662"/>
    <w:rsid w:val="0025313A"/>
    <w:rsid w:val="00253B41"/>
    <w:rsid w:val="00260A2B"/>
    <w:rsid w:val="002633C2"/>
    <w:rsid w:val="0026799B"/>
    <w:rsid w:val="00273A36"/>
    <w:rsid w:val="00276FB1"/>
    <w:rsid w:val="00277C4D"/>
    <w:rsid w:val="00291076"/>
    <w:rsid w:val="002928C0"/>
    <w:rsid w:val="00293FF3"/>
    <w:rsid w:val="0029604E"/>
    <w:rsid w:val="002A2355"/>
    <w:rsid w:val="002A2798"/>
    <w:rsid w:val="002A39AD"/>
    <w:rsid w:val="002A3AA4"/>
    <w:rsid w:val="002A3CB2"/>
    <w:rsid w:val="002A42F3"/>
    <w:rsid w:val="002A7C3A"/>
    <w:rsid w:val="002B66D9"/>
    <w:rsid w:val="002C3A93"/>
    <w:rsid w:val="002C4508"/>
    <w:rsid w:val="002C5805"/>
    <w:rsid w:val="002D0DE4"/>
    <w:rsid w:val="002D1BC9"/>
    <w:rsid w:val="002D6FD0"/>
    <w:rsid w:val="002E2C85"/>
    <w:rsid w:val="002E5194"/>
    <w:rsid w:val="002E5438"/>
    <w:rsid w:val="002F033B"/>
    <w:rsid w:val="002F1799"/>
    <w:rsid w:val="002F306B"/>
    <w:rsid w:val="002F46CE"/>
    <w:rsid w:val="00306DB2"/>
    <w:rsid w:val="00310697"/>
    <w:rsid w:val="00320152"/>
    <w:rsid w:val="0032282B"/>
    <w:rsid w:val="00322918"/>
    <w:rsid w:val="0032307B"/>
    <w:rsid w:val="0032423E"/>
    <w:rsid w:val="00326459"/>
    <w:rsid w:val="00327FF4"/>
    <w:rsid w:val="00331640"/>
    <w:rsid w:val="00332D5E"/>
    <w:rsid w:val="003360EB"/>
    <w:rsid w:val="003361B6"/>
    <w:rsid w:val="003364D2"/>
    <w:rsid w:val="00336F33"/>
    <w:rsid w:val="003400F7"/>
    <w:rsid w:val="0034321C"/>
    <w:rsid w:val="003439A0"/>
    <w:rsid w:val="00343B5B"/>
    <w:rsid w:val="00351861"/>
    <w:rsid w:val="003534E3"/>
    <w:rsid w:val="00353FE3"/>
    <w:rsid w:val="0035754C"/>
    <w:rsid w:val="00361885"/>
    <w:rsid w:val="00361B74"/>
    <w:rsid w:val="003660C3"/>
    <w:rsid w:val="003660C9"/>
    <w:rsid w:val="00367CA6"/>
    <w:rsid w:val="003715C1"/>
    <w:rsid w:val="003734A1"/>
    <w:rsid w:val="00374CDC"/>
    <w:rsid w:val="00374F59"/>
    <w:rsid w:val="003751E4"/>
    <w:rsid w:val="003761E0"/>
    <w:rsid w:val="0038005E"/>
    <w:rsid w:val="00384DA7"/>
    <w:rsid w:val="0038526D"/>
    <w:rsid w:val="00386DF3"/>
    <w:rsid w:val="0038767B"/>
    <w:rsid w:val="00393281"/>
    <w:rsid w:val="00394FBA"/>
    <w:rsid w:val="003A00D6"/>
    <w:rsid w:val="003A0809"/>
    <w:rsid w:val="003A408E"/>
    <w:rsid w:val="003A4330"/>
    <w:rsid w:val="003A6FBB"/>
    <w:rsid w:val="003B2D6B"/>
    <w:rsid w:val="003C3642"/>
    <w:rsid w:val="003C5185"/>
    <w:rsid w:val="003D2856"/>
    <w:rsid w:val="003D3D4F"/>
    <w:rsid w:val="003D5FCB"/>
    <w:rsid w:val="003E728F"/>
    <w:rsid w:val="003F0E6D"/>
    <w:rsid w:val="003F45CB"/>
    <w:rsid w:val="003F7DF9"/>
    <w:rsid w:val="00406DA6"/>
    <w:rsid w:val="00411441"/>
    <w:rsid w:val="0041748B"/>
    <w:rsid w:val="00431B81"/>
    <w:rsid w:val="00433865"/>
    <w:rsid w:val="00445D6B"/>
    <w:rsid w:val="00451468"/>
    <w:rsid w:val="00452A86"/>
    <w:rsid w:val="00453744"/>
    <w:rsid w:val="004569AD"/>
    <w:rsid w:val="004577F9"/>
    <w:rsid w:val="00457988"/>
    <w:rsid w:val="00460900"/>
    <w:rsid w:val="00466D8D"/>
    <w:rsid w:val="00472B10"/>
    <w:rsid w:val="00476257"/>
    <w:rsid w:val="00481CF1"/>
    <w:rsid w:val="004822A9"/>
    <w:rsid w:val="00484706"/>
    <w:rsid w:val="00486B74"/>
    <w:rsid w:val="00486D4A"/>
    <w:rsid w:val="00487970"/>
    <w:rsid w:val="00495156"/>
    <w:rsid w:val="00497767"/>
    <w:rsid w:val="004A01CB"/>
    <w:rsid w:val="004A172F"/>
    <w:rsid w:val="004A4AFE"/>
    <w:rsid w:val="004B12CF"/>
    <w:rsid w:val="004B68D2"/>
    <w:rsid w:val="004C13BA"/>
    <w:rsid w:val="004C3ABF"/>
    <w:rsid w:val="004C4D30"/>
    <w:rsid w:val="004C5512"/>
    <w:rsid w:val="004D010E"/>
    <w:rsid w:val="004D2EBF"/>
    <w:rsid w:val="004D44BD"/>
    <w:rsid w:val="004D5D99"/>
    <w:rsid w:val="004D79C0"/>
    <w:rsid w:val="004E622B"/>
    <w:rsid w:val="004E6B89"/>
    <w:rsid w:val="004F1CA0"/>
    <w:rsid w:val="004F776B"/>
    <w:rsid w:val="00501080"/>
    <w:rsid w:val="00504F6C"/>
    <w:rsid w:val="0050516F"/>
    <w:rsid w:val="005065BE"/>
    <w:rsid w:val="0051166E"/>
    <w:rsid w:val="0051173C"/>
    <w:rsid w:val="005122FF"/>
    <w:rsid w:val="00521252"/>
    <w:rsid w:val="00523E25"/>
    <w:rsid w:val="00524BE7"/>
    <w:rsid w:val="00527A5C"/>
    <w:rsid w:val="00530093"/>
    <w:rsid w:val="00531E49"/>
    <w:rsid w:val="00533E41"/>
    <w:rsid w:val="0053580E"/>
    <w:rsid w:val="00537285"/>
    <w:rsid w:val="005435AD"/>
    <w:rsid w:val="00553C01"/>
    <w:rsid w:val="00556886"/>
    <w:rsid w:val="00560575"/>
    <w:rsid w:val="00565617"/>
    <w:rsid w:val="00566776"/>
    <w:rsid w:val="00567023"/>
    <w:rsid w:val="00567681"/>
    <w:rsid w:val="00577BFA"/>
    <w:rsid w:val="00580698"/>
    <w:rsid w:val="00581EF5"/>
    <w:rsid w:val="00581F1C"/>
    <w:rsid w:val="0058253A"/>
    <w:rsid w:val="00585D44"/>
    <w:rsid w:val="005866E2"/>
    <w:rsid w:val="00593FB8"/>
    <w:rsid w:val="005A29EE"/>
    <w:rsid w:val="005A3F5D"/>
    <w:rsid w:val="005A7095"/>
    <w:rsid w:val="005B01EC"/>
    <w:rsid w:val="005B110C"/>
    <w:rsid w:val="005B5E97"/>
    <w:rsid w:val="005B7E66"/>
    <w:rsid w:val="005C1FEF"/>
    <w:rsid w:val="005C36A3"/>
    <w:rsid w:val="005C5023"/>
    <w:rsid w:val="005D28D0"/>
    <w:rsid w:val="005D4AEE"/>
    <w:rsid w:val="005D4B9B"/>
    <w:rsid w:val="005D517E"/>
    <w:rsid w:val="005D672E"/>
    <w:rsid w:val="005E0EEA"/>
    <w:rsid w:val="005E5D95"/>
    <w:rsid w:val="005E6332"/>
    <w:rsid w:val="00600614"/>
    <w:rsid w:val="00602CDD"/>
    <w:rsid w:val="00610E70"/>
    <w:rsid w:val="00611070"/>
    <w:rsid w:val="0062044B"/>
    <w:rsid w:val="006241A6"/>
    <w:rsid w:val="00626137"/>
    <w:rsid w:val="006369B4"/>
    <w:rsid w:val="00644365"/>
    <w:rsid w:val="00644C77"/>
    <w:rsid w:val="006525B6"/>
    <w:rsid w:val="00660DDF"/>
    <w:rsid w:val="00661BDD"/>
    <w:rsid w:val="00662D55"/>
    <w:rsid w:val="0066615A"/>
    <w:rsid w:val="006700D1"/>
    <w:rsid w:val="00671EFA"/>
    <w:rsid w:val="00673C35"/>
    <w:rsid w:val="0067537E"/>
    <w:rsid w:val="0068437E"/>
    <w:rsid w:val="00684A66"/>
    <w:rsid w:val="00685D79"/>
    <w:rsid w:val="006875DF"/>
    <w:rsid w:val="00690F1D"/>
    <w:rsid w:val="006A262D"/>
    <w:rsid w:val="006A27D7"/>
    <w:rsid w:val="006A4158"/>
    <w:rsid w:val="006A43C4"/>
    <w:rsid w:val="006B0A9A"/>
    <w:rsid w:val="006B0DF5"/>
    <w:rsid w:val="006B55C2"/>
    <w:rsid w:val="006C0758"/>
    <w:rsid w:val="006C0C58"/>
    <w:rsid w:val="006C331A"/>
    <w:rsid w:val="006C6916"/>
    <w:rsid w:val="006D0984"/>
    <w:rsid w:val="006D3793"/>
    <w:rsid w:val="006D4D8C"/>
    <w:rsid w:val="006D796C"/>
    <w:rsid w:val="006E1605"/>
    <w:rsid w:val="006E280D"/>
    <w:rsid w:val="006E3A3B"/>
    <w:rsid w:val="006F1A3B"/>
    <w:rsid w:val="006F7504"/>
    <w:rsid w:val="007003CB"/>
    <w:rsid w:val="0070233B"/>
    <w:rsid w:val="00704B07"/>
    <w:rsid w:val="00704D2F"/>
    <w:rsid w:val="00705F89"/>
    <w:rsid w:val="007111F6"/>
    <w:rsid w:val="00712105"/>
    <w:rsid w:val="00720422"/>
    <w:rsid w:val="00723E49"/>
    <w:rsid w:val="00726AA5"/>
    <w:rsid w:val="00731CAB"/>
    <w:rsid w:val="007344BD"/>
    <w:rsid w:val="00734587"/>
    <w:rsid w:val="00740805"/>
    <w:rsid w:val="00742A60"/>
    <w:rsid w:val="00744673"/>
    <w:rsid w:val="00746660"/>
    <w:rsid w:val="00750375"/>
    <w:rsid w:val="00750844"/>
    <w:rsid w:val="00751BB2"/>
    <w:rsid w:val="00752986"/>
    <w:rsid w:val="0075475E"/>
    <w:rsid w:val="007626B9"/>
    <w:rsid w:val="00762939"/>
    <w:rsid w:val="00763C3E"/>
    <w:rsid w:val="00773436"/>
    <w:rsid w:val="00773BF7"/>
    <w:rsid w:val="0077765E"/>
    <w:rsid w:val="00777D8B"/>
    <w:rsid w:val="00780943"/>
    <w:rsid w:val="00784E65"/>
    <w:rsid w:val="007878BF"/>
    <w:rsid w:val="00791DDE"/>
    <w:rsid w:val="007A0638"/>
    <w:rsid w:val="007A0DC9"/>
    <w:rsid w:val="007A2A85"/>
    <w:rsid w:val="007A3256"/>
    <w:rsid w:val="007A5B37"/>
    <w:rsid w:val="007A75CC"/>
    <w:rsid w:val="007B23E8"/>
    <w:rsid w:val="007B3EC6"/>
    <w:rsid w:val="007B70CF"/>
    <w:rsid w:val="007C0820"/>
    <w:rsid w:val="007C1476"/>
    <w:rsid w:val="007C1FB1"/>
    <w:rsid w:val="007C3374"/>
    <w:rsid w:val="007C34B1"/>
    <w:rsid w:val="007C35C2"/>
    <w:rsid w:val="007C3A45"/>
    <w:rsid w:val="007D2250"/>
    <w:rsid w:val="007D710C"/>
    <w:rsid w:val="007D7B6C"/>
    <w:rsid w:val="007E410A"/>
    <w:rsid w:val="007E4C79"/>
    <w:rsid w:val="007E617C"/>
    <w:rsid w:val="007F0698"/>
    <w:rsid w:val="007F1C45"/>
    <w:rsid w:val="007F36B6"/>
    <w:rsid w:val="007F396F"/>
    <w:rsid w:val="007F535A"/>
    <w:rsid w:val="007F73D6"/>
    <w:rsid w:val="00804E79"/>
    <w:rsid w:val="0080589D"/>
    <w:rsid w:val="00807D46"/>
    <w:rsid w:val="00810C59"/>
    <w:rsid w:val="008125D9"/>
    <w:rsid w:val="00816881"/>
    <w:rsid w:val="008168AA"/>
    <w:rsid w:val="0082026E"/>
    <w:rsid w:val="00823C14"/>
    <w:rsid w:val="008267A3"/>
    <w:rsid w:val="00827401"/>
    <w:rsid w:val="00830E65"/>
    <w:rsid w:val="008325C5"/>
    <w:rsid w:val="008340F7"/>
    <w:rsid w:val="00840EBF"/>
    <w:rsid w:val="008420D8"/>
    <w:rsid w:val="00855F78"/>
    <w:rsid w:val="00856FB4"/>
    <w:rsid w:val="0086157B"/>
    <w:rsid w:val="00865BCA"/>
    <w:rsid w:val="00872511"/>
    <w:rsid w:val="00873148"/>
    <w:rsid w:val="00881096"/>
    <w:rsid w:val="008816B9"/>
    <w:rsid w:val="0088185A"/>
    <w:rsid w:val="00883DFF"/>
    <w:rsid w:val="0088574F"/>
    <w:rsid w:val="00887116"/>
    <w:rsid w:val="008901BA"/>
    <w:rsid w:val="008956BF"/>
    <w:rsid w:val="008A089C"/>
    <w:rsid w:val="008A1A2C"/>
    <w:rsid w:val="008A4CCB"/>
    <w:rsid w:val="008B2ACD"/>
    <w:rsid w:val="008B3E86"/>
    <w:rsid w:val="008B4A61"/>
    <w:rsid w:val="008B6A03"/>
    <w:rsid w:val="008C0158"/>
    <w:rsid w:val="008C1644"/>
    <w:rsid w:val="008D09E1"/>
    <w:rsid w:val="008D2E41"/>
    <w:rsid w:val="008D5F78"/>
    <w:rsid w:val="008E18ED"/>
    <w:rsid w:val="008E34FE"/>
    <w:rsid w:val="008E3CCB"/>
    <w:rsid w:val="008F062D"/>
    <w:rsid w:val="008F0676"/>
    <w:rsid w:val="008F0F72"/>
    <w:rsid w:val="008F6EB2"/>
    <w:rsid w:val="008F7D24"/>
    <w:rsid w:val="0090006B"/>
    <w:rsid w:val="009008B7"/>
    <w:rsid w:val="00902FA7"/>
    <w:rsid w:val="009045CB"/>
    <w:rsid w:val="00907D16"/>
    <w:rsid w:val="00910FEB"/>
    <w:rsid w:val="009134E9"/>
    <w:rsid w:val="009141F5"/>
    <w:rsid w:val="009157E6"/>
    <w:rsid w:val="00915921"/>
    <w:rsid w:val="00922611"/>
    <w:rsid w:val="00922EF7"/>
    <w:rsid w:val="00924150"/>
    <w:rsid w:val="00927661"/>
    <w:rsid w:val="00932E7A"/>
    <w:rsid w:val="0093526C"/>
    <w:rsid w:val="00935FB4"/>
    <w:rsid w:val="00960A5A"/>
    <w:rsid w:val="00962356"/>
    <w:rsid w:val="0096563E"/>
    <w:rsid w:val="00970988"/>
    <w:rsid w:val="009712DA"/>
    <w:rsid w:val="009730F0"/>
    <w:rsid w:val="00974561"/>
    <w:rsid w:val="009758DC"/>
    <w:rsid w:val="00976CA5"/>
    <w:rsid w:val="00977E4D"/>
    <w:rsid w:val="00982A83"/>
    <w:rsid w:val="009903F3"/>
    <w:rsid w:val="009913E0"/>
    <w:rsid w:val="009A1C60"/>
    <w:rsid w:val="009A2541"/>
    <w:rsid w:val="009A2786"/>
    <w:rsid w:val="009A2838"/>
    <w:rsid w:val="009A419E"/>
    <w:rsid w:val="009A6A95"/>
    <w:rsid w:val="009B2708"/>
    <w:rsid w:val="009C1930"/>
    <w:rsid w:val="009C30D9"/>
    <w:rsid w:val="009D065C"/>
    <w:rsid w:val="009D2E5D"/>
    <w:rsid w:val="009D3163"/>
    <w:rsid w:val="009E1EB3"/>
    <w:rsid w:val="009E376B"/>
    <w:rsid w:val="009E4924"/>
    <w:rsid w:val="009E7848"/>
    <w:rsid w:val="009F0A7F"/>
    <w:rsid w:val="009F0BAC"/>
    <w:rsid w:val="009F3866"/>
    <w:rsid w:val="009F3A46"/>
    <w:rsid w:val="009F6E41"/>
    <w:rsid w:val="00A01516"/>
    <w:rsid w:val="00A052A2"/>
    <w:rsid w:val="00A103FD"/>
    <w:rsid w:val="00A203D9"/>
    <w:rsid w:val="00A2481B"/>
    <w:rsid w:val="00A27476"/>
    <w:rsid w:val="00A31EB2"/>
    <w:rsid w:val="00A40CDE"/>
    <w:rsid w:val="00A410FF"/>
    <w:rsid w:val="00A44CD6"/>
    <w:rsid w:val="00A44DBB"/>
    <w:rsid w:val="00A462E0"/>
    <w:rsid w:val="00A46AD2"/>
    <w:rsid w:val="00A50931"/>
    <w:rsid w:val="00A51B44"/>
    <w:rsid w:val="00A61EA7"/>
    <w:rsid w:val="00A624CD"/>
    <w:rsid w:val="00A62B37"/>
    <w:rsid w:val="00A70879"/>
    <w:rsid w:val="00A70EC0"/>
    <w:rsid w:val="00A72341"/>
    <w:rsid w:val="00A74854"/>
    <w:rsid w:val="00A85982"/>
    <w:rsid w:val="00A9283F"/>
    <w:rsid w:val="00A9534A"/>
    <w:rsid w:val="00A96ED7"/>
    <w:rsid w:val="00AA0BC7"/>
    <w:rsid w:val="00AA5C53"/>
    <w:rsid w:val="00AB0780"/>
    <w:rsid w:val="00AB48A7"/>
    <w:rsid w:val="00AB5C11"/>
    <w:rsid w:val="00AC16E1"/>
    <w:rsid w:val="00AC38C5"/>
    <w:rsid w:val="00AD04C4"/>
    <w:rsid w:val="00AD10E6"/>
    <w:rsid w:val="00AD2A6D"/>
    <w:rsid w:val="00AD2D81"/>
    <w:rsid w:val="00AD5F78"/>
    <w:rsid w:val="00AE2177"/>
    <w:rsid w:val="00AE2790"/>
    <w:rsid w:val="00AE7F3F"/>
    <w:rsid w:val="00AF015D"/>
    <w:rsid w:val="00AF0933"/>
    <w:rsid w:val="00AF133E"/>
    <w:rsid w:val="00AF2596"/>
    <w:rsid w:val="00AF26E9"/>
    <w:rsid w:val="00AF3E41"/>
    <w:rsid w:val="00AF7867"/>
    <w:rsid w:val="00B01DE2"/>
    <w:rsid w:val="00B0601A"/>
    <w:rsid w:val="00B06603"/>
    <w:rsid w:val="00B070B2"/>
    <w:rsid w:val="00B20149"/>
    <w:rsid w:val="00B215A5"/>
    <w:rsid w:val="00B24483"/>
    <w:rsid w:val="00B25968"/>
    <w:rsid w:val="00B26D86"/>
    <w:rsid w:val="00B371B5"/>
    <w:rsid w:val="00B42119"/>
    <w:rsid w:val="00B42D6D"/>
    <w:rsid w:val="00B47E68"/>
    <w:rsid w:val="00B51807"/>
    <w:rsid w:val="00B52ECC"/>
    <w:rsid w:val="00B6156D"/>
    <w:rsid w:val="00B66651"/>
    <w:rsid w:val="00B67AE4"/>
    <w:rsid w:val="00B74288"/>
    <w:rsid w:val="00B74B2A"/>
    <w:rsid w:val="00B81CCF"/>
    <w:rsid w:val="00B83726"/>
    <w:rsid w:val="00B84538"/>
    <w:rsid w:val="00B85072"/>
    <w:rsid w:val="00B85E93"/>
    <w:rsid w:val="00B9064A"/>
    <w:rsid w:val="00B94A09"/>
    <w:rsid w:val="00BA2B4B"/>
    <w:rsid w:val="00BA750E"/>
    <w:rsid w:val="00BA7512"/>
    <w:rsid w:val="00BB03C1"/>
    <w:rsid w:val="00BB0E60"/>
    <w:rsid w:val="00BB16C5"/>
    <w:rsid w:val="00BB7B06"/>
    <w:rsid w:val="00BC04E9"/>
    <w:rsid w:val="00BC738A"/>
    <w:rsid w:val="00BC783E"/>
    <w:rsid w:val="00BE2337"/>
    <w:rsid w:val="00BE30B8"/>
    <w:rsid w:val="00BE51D2"/>
    <w:rsid w:val="00BE57DE"/>
    <w:rsid w:val="00BE5838"/>
    <w:rsid w:val="00BE7C5F"/>
    <w:rsid w:val="00BF05A1"/>
    <w:rsid w:val="00BF3FDD"/>
    <w:rsid w:val="00BF5153"/>
    <w:rsid w:val="00BF5CEC"/>
    <w:rsid w:val="00BF60EA"/>
    <w:rsid w:val="00C00DFC"/>
    <w:rsid w:val="00C011A7"/>
    <w:rsid w:val="00C01F48"/>
    <w:rsid w:val="00C02596"/>
    <w:rsid w:val="00C109ED"/>
    <w:rsid w:val="00C16738"/>
    <w:rsid w:val="00C20D5D"/>
    <w:rsid w:val="00C21C7D"/>
    <w:rsid w:val="00C22EC5"/>
    <w:rsid w:val="00C24374"/>
    <w:rsid w:val="00C244DB"/>
    <w:rsid w:val="00C26902"/>
    <w:rsid w:val="00C31FA0"/>
    <w:rsid w:val="00C3312E"/>
    <w:rsid w:val="00C33C3E"/>
    <w:rsid w:val="00C555B5"/>
    <w:rsid w:val="00C566AD"/>
    <w:rsid w:val="00C56AA4"/>
    <w:rsid w:val="00C56DAA"/>
    <w:rsid w:val="00C57A28"/>
    <w:rsid w:val="00C628B5"/>
    <w:rsid w:val="00C631C0"/>
    <w:rsid w:val="00C643CA"/>
    <w:rsid w:val="00C650D4"/>
    <w:rsid w:val="00C67E11"/>
    <w:rsid w:val="00C70DB4"/>
    <w:rsid w:val="00C743DE"/>
    <w:rsid w:val="00C769D9"/>
    <w:rsid w:val="00C8453A"/>
    <w:rsid w:val="00C91074"/>
    <w:rsid w:val="00C95A45"/>
    <w:rsid w:val="00C97223"/>
    <w:rsid w:val="00C97745"/>
    <w:rsid w:val="00CA2E7E"/>
    <w:rsid w:val="00CA5948"/>
    <w:rsid w:val="00CB1E2E"/>
    <w:rsid w:val="00CB5041"/>
    <w:rsid w:val="00CB67DF"/>
    <w:rsid w:val="00CC1AF2"/>
    <w:rsid w:val="00CC38E4"/>
    <w:rsid w:val="00CC4DF4"/>
    <w:rsid w:val="00CC6794"/>
    <w:rsid w:val="00CC713F"/>
    <w:rsid w:val="00CD09C4"/>
    <w:rsid w:val="00CD20A0"/>
    <w:rsid w:val="00CD24E4"/>
    <w:rsid w:val="00CD39E1"/>
    <w:rsid w:val="00CD6AAA"/>
    <w:rsid w:val="00CE0EBB"/>
    <w:rsid w:val="00CE1B21"/>
    <w:rsid w:val="00CE51A4"/>
    <w:rsid w:val="00CE7E53"/>
    <w:rsid w:val="00CF0840"/>
    <w:rsid w:val="00CF217A"/>
    <w:rsid w:val="00D02EA2"/>
    <w:rsid w:val="00D03B90"/>
    <w:rsid w:val="00D05125"/>
    <w:rsid w:val="00D06C60"/>
    <w:rsid w:val="00D072A5"/>
    <w:rsid w:val="00D100C5"/>
    <w:rsid w:val="00D12498"/>
    <w:rsid w:val="00D20E4E"/>
    <w:rsid w:val="00D22CD1"/>
    <w:rsid w:val="00D24164"/>
    <w:rsid w:val="00D30A6A"/>
    <w:rsid w:val="00D324BD"/>
    <w:rsid w:val="00D33B99"/>
    <w:rsid w:val="00D374A3"/>
    <w:rsid w:val="00D41F04"/>
    <w:rsid w:val="00D4209D"/>
    <w:rsid w:val="00D43EE8"/>
    <w:rsid w:val="00D448B0"/>
    <w:rsid w:val="00D46419"/>
    <w:rsid w:val="00D46F78"/>
    <w:rsid w:val="00D51291"/>
    <w:rsid w:val="00D51F39"/>
    <w:rsid w:val="00D61FD2"/>
    <w:rsid w:val="00D62C3F"/>
    <w:rsid w:val="00D74575"/>
    <w:rsid w:val="00D86201"/>
    <w:rsid w:val="00D869FB"/>
    <w:rsid w:val="00D87D36"/>
    <w:rsid w:val="00D931B1"/>
    <w:rsid w:val="00DA117B"/>
    <w:rsid w:val="00DA240A"/>
    <w:rsid w:val="00DA2504"/>
    <w:rsid w:val="00DA27A0"/>
    <w:rsid w:val="00DA2932"/>
    <w:rsid w:val="00DA5859"/>
    <w:rsid w:val="00DB2964"/>
    <w:rsid w:val="00DB4C01"/>
    <w:rsid w:val="00DB5411"/>
    <w:rsid w:val="00DC5FCB"/>
    <w:rsid w:val="00DC7ACF"/>
    <w:rsid w:val="00DD0216"/>
    <w:rsid w:val="00DD09E4"/>
    <w:rsid w:val="00DD1EB2"/>
    <w:rsid w:val="00DD38C4"/>
    <w:rsid w:val="00DD464E"/>
    <w:rsid w:val="00DE5F36"/>
    <w:rsid w:val="00DF3DFF"/>
    <w:rsid w:val="00DF48DD"/>
    <w:rsid w:val="00E036ED"/>
    <w:rsid w:val="00E06F54"/>
    <w:rsid w:val="00E07183"/>
    <w:rsid w:val="00E13940"/>
    <w:rsid w:val="00E14AA1"/>
    <w:rsid w:val="00E27022"/>
    <w:rsid w:val="00E32A94"/>
    <w:rsid w:val="00E32D33"/>
    <w:rsid w:val="00E33662"/>
    <w:rsid w:val="00E441CB"/>
    <w:rsid w:val="00E44E0E"/>
    <w:rsid w:val="00E512E9"/>
    <w:rsid w:val="00E51C9C"/>
    <w:rsid w:val="00E52108"/>
    <w:rsid w:val="00E52B0D"/>
    <w:rsid w:val="00E55591"/>
    <w:rsid w:val="00E56495"/>
    <w:rsid w:val="00E56500"/>
    <w:rsid w:val="00E57FE5"/>
    <w:rsid w:val="00E60BC5"/>
    <w:rsid w:val="00E62D29"/>
    <w:rsid w:val="00E6523F"/>
    <w:rsid w:val="00E65889"/>
    <w:rsid w:val="00E66257"/>
    <w:rsid w:val="00E83487"/>
    <w:rsid w:val="00E852E0"/>
    <w:rsid w:val="00E863B4"/>
    <w:rsid w:val="00E8696A"/>
    <w:rsid w:val="00E87ACC"/>
    <w:rsid w:val="00E94EF1"/>
    <w:rsid w:val="00E94FB1"/>
    <w:rsid w:val="00E95497"/>
    <w:rsid w:val="00E96226"/>
    <w:rsid w:val="00E96CE4"/>
    <w:rsid w:val="00E96D79"/>
    <w:rsid w:val="00E97994"/>
    <w:rsid w:val="00EA773E"/>
    <w:rsid w:val="00EC1E0C"/>
    <w:rsid w:val="00EC36CB"/>
    <w:rsid w:val="00ED0553"/>
    <w:rsid w:val="00ED48E5"/>
    <w:rsid w:val="00EE3E85"/>
    <w:rsid w:val="00EF17C7"/>
    <w:rsid w:val="00EF1836"/>
    <w:rsid w:val="00EF4973"/>
    <w:rsid w:val="00EF4A04"/>
    <w:rsid w:val="00EF6D58"/>
    <w:rsid w:val="00EF734D"/>
    <w:rsid w:val="00F00DA5"/>
    <w:rsid w:val="00F016A2"/>
    <w:rsid w:val="00F01E03"/>
    <w:rsid w:val="00F01F35"/>
    <w:rsid w:val="00F03D61"/>
    <w:rsid w:val="00F03EEE"/>
    <w:rsid w:val="00F11073"/>
    <w:rsid w:val="00F1277F"/>
    <w:rsid w:val="00F14EEB"/>
    <w:rsid w:val="00F15F44"/>
    <w:rsid w:val="00F17E65"/>
    <w:rsid w:val="00F2287B"/>
    <w:rsid w:val="00F234CC"/>
    <w:rsid w:val="00F2666D"/>
    <w:rsid w:val="00F31205"/>
    <w:rsid w:val="00F376D9"/>
    <w:rsid w:val="00F41A4B"/>
    <w:rsid w:val="00F443A2"/>
    <w:rsid w:val="00F45113"/>
    <w:rsid w:val="00F52681"/>
    <w:rsid w:val="00F53040"/>
    <w:rsid w:val="00F53F83"/>
    <w:rsid w:val="00F60915"/>
    <w:rsid w:val="00F70504"/>
    <w:rsid w:val="00F71A6B"/>
    <w:rsid w:val="00F726EC"/>
    <w:rsid w:val="00F72909"/>
    <w:rsid w:val="00F73F15"/>
    <w:rsid w:val="00F77707"/>
    <w:rsid w:val="00F805B8"/>
    <w:rsid w:val="00F815BB"/>
    <w:rsid w:val="00F9257D"/>
    <w:rsid w:val="00F929E6"/>
    <w:rsid w:val="00F94576"/>
    <w:rsid w:val="00F96BDF"/>
    <w:rsid w:val="00FA23E4"/>
    <w:rsid w:val="00FA247B"/>
    <w:rsid w:val="00FA2604"/>
    <w:rsid w:val="00FA3121"/>
    <w:rsid w:val="00FA7671"/>
    <w:rsid w:val="00FA7CC3"/>
    <w:rsid w:val="00FB27C3"/>
    <w:rsid w:val="00FB35C1"/>
    <w:rsid w:val="00FB4072"/>
    <w:rsid w:val="00FB5332"/>
    <w:rsid w:val="00FC4396"/>
    <w:rsid w:val="00FC71AB"/>
    <w:rsid w:val="00FC784B"/>
    <w:rsid w:val="00FD757D"/>
    <w:rsid w:val="00FD7839"/>
    <w:rsid w:val="00FD788B"/>
    <w:rsid w:val="00FE066F"/>
    <w:rsid w:val="00FE2CA7"/>
    <w:rsid w:val="00FE37B0"/>
    <w:rsid w:val="00FF3A9B"/>
    <w:rsid w:val="0100390C"/>
    <w:rsid w:val="013C67AF"/>
    <w:rsid w:val="015C2066"/>
    <w:rsid w:val="0196736C"/>
    <w:rsid w:val="019E4ED3"/>
    <w:rsid w:val="01A10570"/>
    <w:rsid w:val="01A86A17"/>
    <w:rsid w:val="01B1200E"/>
    <w:rsid w:val="01B51838"/>
    <w:rsid w:val="01B81725"/>
    <w:rsid w:val="02214670"/>
    <w:rsid w:val="02273CCA"/>
    <w:rsid w:val="0231333B"/>
    <w:rsid w:val="0250441F"/>
    <w:rsid w:val="02974AD8"/>
    <w:rsid w:val="02A14C7A"/>
    <w:rsid w:val="02FA25DD"/>
    <w:rsid w:val="03074C54"/>
    <w:rsid w:val="031D7AF8"/>
    <w:rsid w:val="034F6E24"/>
    <w:rsid w:val="03903C4E"/>
    <w:rsid w:val="039A2535"/>
    <w:rsid w:val="03AA50B0"/>
    <w:rsid w:val="03B804CE"/>
    <w:rsid w:val="03E05C76"/>
    <w:rsid w:val="044955CA"/>
    <w:rsid w:val="044D4572"/>
    <w:rsid w:val="0490144A"/>
    <w:rsid w:val="049F343C"/>
    <w:rsid w:val="04EB042F"/>
    <w:rsid w:val="05504736"/>
    <w:rsid w:val="055C1EB2"/>
    <w:rsid w:val="05816FE5"/>
    <w:rsid w:val="05925BF4"/>
    <w:rsid w:val="060B25DD"/>
    <w:rsid w:val="061B2489"/>
    <w:rsid w:val="06606BFB"/>
    <w:rsid w:val="068E3768"/>
    <w:rsid w:val="06AB3C07"/>
    <w:rsid w:val="071C0D73"/>
    <w:rsid w:val="07A173E0"/>
    <w:rsid w:val="07B611C8"/>
    <w:rsid w:val="080453A4"/>
    <w:rsid w:val="083420ED"/>
    <w:rsid w:val="087F780C"/>
    <w:rsid w:val="08803584"/>
    <w:rsid w:val="08963AD8"/>
    <w:rsid w:val="08D14831"/>
    <w:rsid w:val="08DA0EE6"/>
    <w:rsid w:val="08E9737B"/>
    <w:rsid w:val="09063A89"/>
    <w:rsid w:val="09346111"/>
    <w:rsid w:val="093A2C5C"/>
    <w:rsid w:val="0976316B"/>
    <w:rsid w:val="097E5D15"/>
    <w:rsid w:val="09D678FF"/>
    <w:rsid w:val="09FB55B8"/>
    <w:rsid w:val="0A07023A"/>
    <w:rsid w:val="0A2A7C4B"/>
    <w:rsid w:val="0A5C592B"/>
    <w:rsid w:val="0A803051"/>
    <w:rsid w:val="0ADA341F"/>
    <w:rsid w:val="0B333F46"/>
    <w:rsid w:val="0B445E0F"/>
    <w:rsid w:val="0B513F68"/>
    <w:rsid w:val="0B566E6B"/>
    <w:rsid w:val="0B5B5951"/>
    <w:rsid w:val="0B9F6417"/>
    <w:rsid w:val="0BC8771C"/>
    <w:rsid w:val="0BDA3F0C"/>
    <w:rsid w:val="0C423F21"/>
    <w:rsid w:val="0CDD7965"/>
    <w:rsid w:val="0CF245A5"/>
    <w:rsid w:val="0D074274"/>
    <w:rsid w:val="0D410B5B"/>
    <w:rsid w:val="0D5D39E6"/>
    <w:rsid w:val="0D7A5AB0"/>
    <w:rsid w:val="0D9D0734"/>
    <w:rsid w:val="0DF02F5A"/>
    <w:rsid w:val="0DF50570"/>
    <w:rsid w:val="0E0523B9"/>
    <w:rsid w:val="0E1350C3"/>
    <w:rsid w:val="0E15651D"/>
    <w:rsid w:val="0E17194F"/>
    <w:rsid w:val="0E4105B3"/>
    <w:rsid w:val="0E835B7C"/>
    <w:rsid w:val="0ED168E7"/>
    <w:rsid w:val="0ED80C57"/>
    <w:rsid w:val="0F1E6342"/>
    <w:rsid w:val="0F261D95"/>
    <w:rsid w:val="0F292363"/>
    <w:rsid w:val="0F37588D"/>
    <w:rsid w:val="0F4B02BF"/>
    <w:rsid w:val="0F777DD1"/>
    <w:rsid w:val="0FB74405"/>
    <w:rsid w:val="102C3137"/>
    <w:rsid w:val="10594DE6"/>
    <w:rsid w:val="107751B2"/>
    <w:rsid w:val="10B95885"/>
    <w:rsid w:val="10F7015B"/>
    <w:rsid w:val="11032FA4"/>
    <w:rsid w:val="110C3C07"/>
    <w:rsid w:val="116C3123"/>
    <w:rsid w:val="11904838"/>
    <w:rsid w:val="11A2456B"/>
    <w:rsid w:val="11BB6C8F"/>
    <w:rsid w:val="12333355"/>
    <w:rsid w:val="127978A5"/>
    <w:rsid w:val="12816876"/>
    <w:rsid w:val="12856816"/>
    <w:rsid w:val="12B10F0A"/>
    <w:rsid w:val="12CF313E"/>
    <w:rsid w:val="12E4207B"/>
    <w:rsid w:val="12E50BB3"/>
    <w:rsid w:val="12FD6225"/>
    <w:rsid w:val="13001549"/>
    <w:rsid w:val="139F22D1"/>
    <w:rsid w:val="13B54A2A"/>
    <w:rsid w:val="140D2592"/>
    <w:rsid w:val="14200A53"/>
    <w:rsid w:val="146F40F7"/>
    <w:rsid w:val="14774913"/>
    <w:rsid w:val="14784774"/>
    <w:rsid w:val="149F4D92"/>
    <w:rsid w:val="15113EE2"/>
    <w:rsid w:val="1557566D"/>
    <w:rsid w:val="15673B02"/>
    <w:rsid w:val="15851516"/>
    <w:rsid w:val="15B27755"/>
    <w:rsid w:val="15B91E83"/>
    <w:rsid w:val="15C727F2"/>
    <w:rsid w:val="15CC1BB7"/>
    <w:rsid w:val="15FC73D3"/>
    <w:rsid w:val="160752E5"/>
    <w:rsid w:val="160A01ED"/>
    <w:rsid w:val="161B48EC"/>
    <w:rsid w:val="161D68B6"/>
    <w:rsid w:val="16251155"/>
    <w:rsid w:val="16354966"/>
    <w:rsid w:val="16534C07"/>
    <w:rsid w:val="168023B2"/>
    <w:rsid w:val="16E01DBD"/>
    <w:rsid w:val="17430E7E"/>
    <w:rsid w:val="174C08AB"/>
    <w:rsid w:val="1778554C"/>
    <w:rsid w:val="177D401A"/>
    <w:rsid w:val="17D41C91"/>
    <w:rsid w:val="18025D64"/>
    <w:rsid w:val="18273A1C"/>
    <w:rsid w:val="182A7E92"/>
    <w:rsid w:val="183A374F"/>
    <w:rsid w:val="189F659D"/>
    <w:rsid w:val="18B906DC"/>
    <w:rsid w:val="18C33745"/>
    <w:rsid w:val="18D52609"/>
    <w:rsid w:val="18ED23C1"/>
    <w:rsid w:val="192D468E"/>
    <w:rsid w:val="1931462A"/>
    <w:rsid w:val="194D300E"/>
    <w:rsid w:val="19632832"/>
    <w:rsid w:val="19D41982"/>
    <w:rsid w:val="19F327C0"/>
    <w:rsid w:val="1A1A55E6"/>
    <w:rsid w:val="1A216482"/>
    <w:rsid w:val="1A2E5D3F"/>
    <w:rsid w:val="1A606D71"/>
    <w:rsid w:val="1A710F7F"/>
    <w:rsid w:val="1AAA09E2"/>
    <w:rsid w:val="1AAC5624"/>
    <w:rsid w:val="1AEF6A73"/>
    <w:rsid w:val="1B474ADD"/>
    <w:rsid w:val="1B4B2A73"/>
    <w:rsid w:val="1B8D003A"/>
    <w:rsid w:val="1BAE75BC"/>
    <w:rsid w:val="1BB77A49"/>
    <w:rsid w:val="1C2A3ADB"/>
    <w:rsid w:val="1C74320F"/>
    <w:rsid w:val="1C8460AF"/>
    <w:rsid w:val="1CCD616C"/>
    <w:rsid w:val="1D027EDA"/>
    <w:rsid w:val="1D0E4317"/>
    <w:rsid w:val="1D192003"/>
    <w:rsid w:val="1D1969E2"/>
    <w:rsid w:val="1DAD6772"/>
    <w:rsid w:val="1DD261D8"/>
    <w:rsid w:val="1E2702D2"/>
    <w:rsid w:val="1E2A1B70"/>
    <w:rsid w:val="1E2B6D2A"/>
    <w:rsid w:val="1E6C1CAA"/>
    <w:rsid w:val="1E6C3F37"/>
    <w:rsid w:val="1E780F3A"/>
    <w:rsid w:val="1E827BFE"/>
    <w:rsid w:val="1E960FB4"/>
    <w:rsid w:val="1EC41FC5"/>
    <w:rsid w:val="1F214611"/>
    <w:rsid w:val="1F31675B"/>
    <w:rsid w:val="1F5D659F"/>
    <w:rsid w:val="1F69450C"/>
    <w:rsid w:val="1F935EA5"/>
    <w:rsid w:val="1FBA5176"/>
    <w:rsid w:val="1FEA15B7"/>
    <w:rsid w:val="1FFD4781"/>
    <w:rsid w:val="204A624F"/>
    <w:rsid w:val="206C108B"/>
    <w:rsid w:val="20803CC9"/>
    <w:rsid w:val="20C5240A"/>
    <w:rsid w:val="215C4736"/>
    <w:rsid w:val="216E446A"/>
    <w:rsid w:val="21AB746C"/>
    <w:rsid w:val="21BA76AF"/>
    <w:rsid w:val="21C67791"/>
    <w:rsid w:val="21D342CD"/>
    <w:rsid w:val="21F126E7"/>
    <w:rsid w:val="21F26E49"/>
    <w:rsid w:val="21FE4DF2"/>
    <w:rsid w:val="22037F61"/>
    <w:rsid w:val="224D0523"/>
    <w:rsid w:val="224F2D91"/>
    <w:rsid w:val="2265586D"/>
    <w:rsid w:val="22AB7E0E"/>
    <w:rsid w:val="22BB667A"/>
    <w:rsid w:val="22EE13BE"/>
    <w:rsid w:val="22EF4E9A"/>
    <w:rsid w:val="23184F71"/>
    <w:rsid w:val="2340101B"/>
    <w:rsid w:val="235D6544"/>
    <w:rsid w:val="23B343B6"/>
    <w:rsid w:val="242A0B1C"/>
    <w:rsid w:val="24407927"/>
    <w:rsid w:val="24545B99"/>
    <w:rsid w:val="24724271"/>
    <w:rsid w:val="247725A3"/>
    <w:rsid w:val="24C26FA6"/>
    <w:rsid w:val="24F74A1C"/>
    <w:rsid w:val="251D76E5"/>
    <w:rsid w:val="25302162"/>
    <w:rsid w:val="25607E7E"/>
    <w:rsid w:val="257A162F"/>
    <w:rsid w:val="25C812E3"/>
    <w:rsid w:val="25D845A8"/>
    <w:rsid w:val="25DC01D5"/>
    <w:rsid w:val="25DF2DFD"/>
    <w:rsid w:val="25E17DC7"/>
    <w:rsid w:val="25F413E1"/>
    <w:rsid w:val="26215F4F"/>
    <w:rsid w:val="268169ED"/>
    <w:rsid w:val="268B0804"/>
    <w:rsid w:val="26EF3957"/>
    <w:rsid w:val="27111B1F"/>
    <w:rsid w:val="27146C09"/>
    <w:rsid w:val="27181100"/>
    <w:rsid w:val="272A1F38"/>
    <w:rsid w:val="274838B9"/>
    <w:rsid w:val="27703AAA"/>
    <w:rsid w:val="279E41D4"/>
    <w:rsid w:val="27A961FC"/>
    <w:rsid w:val="27C06EFE"/>
    <w:rsid w:val="27CB7F20"/>
    <w:rsid w:val="27D13FF6"/>
    <w:rsid w:val="27D46DAC"/>
    <w:rsid w:val="27DA48E3"/>
    <w:rsid w:val="27E1561F"/>
    <w:rsid w:val="27EF70ED"/>
    <w:rsid w:val="27F320B9"/>
    <w:rsid w:val="28421F73"/>
    <w:rsid w:val="28555930"/>
    <w:rsid w:val="2886653D"/>
    <w:rsid w:val="28926C90"/>
    <w:rsid w:val="28967509"/>
    <w:rsid w:val="28CD17EE"/>
    <w:rsid w:val="28EC45F2"/>
    <w:rsid w:val="28F60814"/>
    <w:rsid w:val="293A3114"/>
    <w:rsid w:val="294206B6"/>
    <w:rsid w:val="29501BF9"/>
    <w:rsid w:val="295137A0"/>
    <w:rsid w:val="29B12F1C"/>
    <w:rsid w:val="29F17D77"/>
    <w:rsid w:val="2A05417C"/>
    <w:rsid w:val="2A425663"/>
    <w:rsid w:val="2B040435"/>
    <w:rsid w:val="2B0D6AA1"/>
    <w:rsid w:val="2B116F5B"/>
    <w:rsid w:val="2B1716CE"/>
    <w:rsid w:val="2B4E64E2"/>
    <w:rsid w:val="2B5E10AB"/>
    <w:rsid w:val="2B7D3C27"/>
    <w:rsid w:val="2B832D32"/>
    <w:rsid w:val="2BB27293"/>
    <w:rsid w:val="2C6D3C9C"/>
    <w:rsid w:val="2C7843EE"/>
    <w:rsid w:val="2C970D19"/>
    <w:rsid w:val="2CA703CC"/>
    <w:rsid w:val="2CB22D43"/>
    <w:rsid w:val="2CC55886"/>
    <w:rsid w:val="2CCA6AD3"/>
    <w:rsid w:val="2CD41277"/>
    <w:rsid w:val="2CE675AA"/>
    <w:rsid w:val="2CFC5020"/>
    <w:rsid w:val="2D167022"/>
    <w:rsid w:val="2D297497"/>
    <w:rsid w:val="2D7C3A6A"/>
    <w:rsid w:val="2DB52C05"/>
    <w:rsid w:val="2DC01BA9"/>
    <w:rsid w:val="2E0D3D88"/>
    <w:rsid w:val="2E1D6EE3"/>
    <w:rsid w:val="2E36630F"/>
    <w:rsid w:val="2E3771AC"/>
    <w:rsid w:val="2E497F02"/>
    <w:rsid w:val="2E6B5A51"/>
    <w:rsid w:val="2E9F4D84"/>
    <w:rsid w:val="2EB15433"/>
    <w:rsid w:val="2ED856E6"/>
    <w:rsid w:val="2F212B1B"/>
    <w:rsid w:val="2F6D7B0F"/>
    <w:rsid w:val="2F7C63A0"/>
    <w:rsid w:val="2FDB2CCA"/>
    <w:rsid w:val="2FE93783"/>
    <w:rsid w:val="300C557A"/>
    <w:rsid w:val="3025488D"/>
    <w:rsid w:val="304B0759"/>
    <w:rsid w:val="306320DF"/>
    <w:rsid w:val="306565CE"/>
    <w:rsid w:val="30BC54E0"/>
    <w:rsid w:val="30D170EE"/>
    <w:rsid w:val="30E3277E"/>
    <w:rsid w:val="31104BF6"/>
    <w:rsid w:val="311E226C"/>
    <w:rsid w:val="316A2DFD"/>
    <w:rsid w:val="317C228B"/>
    <w:rsid w:val="31BC66E0"/>
    <w:rsid w:val="31CA1248"/>
    <w:rsid w:val="31CB234F"/>
    <w:rsid w:val="31EB11BF"/>
    <w:rsid w:val="323D0B3E"/>
    <w:rsid w:val="32432DA9"/>
    <w:rsid w:val="3244724D"/>
    <w:rsid w:val="32717916"/>
    <w:rsid w:val="32EF4D61"/>
    <w:rsid w:val="330A7646"/>
    <w:rsid w:val="33837901"/>
    <w:rsid w:val="33E10D39"/>
    <w:rsid w:val="33F435BC"/>
    <w:rsid w:val="340A77BC"/>
    <w:rsid w:val="3451103A"/>
    <w:rsid w:val="34592D57"/>
    <w:rsid w:val="34697D3F"/>
    <w:rsid w:val="34953EBB"/>
    <w:rsid w:val="34B55AFD"/>
    <w:rsid w:val="34B96B65"/>
    <w:rsid w:val="34E36F2C"/>
    <w:rsid w:val="34FA0753"/>
    <w:rsid w:val="35095341"/>
    <w:rsid w:val="351D1FD7"/>
    <w:rsid w:val="35904CE4"/>
    <w:rsid w:val="36050AA1"/>
    <w:rsid w:val="36146F36"/>
    <w:rsid w:val="361B237F"/>
    <w:rsid w:val="361E02EF"/>
    <w:rsid w:val="361E5461"/>
    <w:rsid w:val="36280C33"/>
    <w:rsid w:val="3639699D"/>
    <w:rsid w:val="36414BDC"/>
    <w:rsid w:val="364C6576"/>
    <w:rsid w:val="364F4D14"/>
    <w:rsid w:val="36857E34"/>
    <w:rsid w:val="368A7406"/>
    <w:rsid w:val="369342FF"/>
    <w:rsid w:val="369D33CF"/>
    <w:rsid w:val="36AA789A"/>
    <w:rsid w:val="36D575EF"/>
    <w:rsid w:val="36E819FA"/>
    <w:rsid w:val="372B3C8C"/>
    <w:rsid w:val="374E14D2"/>
    <w:rsid w:val="3753132A"/>
    <w:rsid w:val="37594CDC"/>
    <w:rsid w:val="375B076E"/>
    <w:rsid w:val="37751C56"/>
    <w:rsid w:val="37CC1D2D"/>
    <w:rsid w:val="37CD10DC"/>
    <w:rsid w:val="37D07D33"/>
    <w:rsid w:val="383C4522"/>
    <w:rsid w:val="38417D8A"/>
    <w:rsid w:val="387E2D8D"/>
    <w:rsid w:val="391351D1"/>
    <w:rsid w:val="3941433D"/>
    <w:rsid w:val="3967305E"/>
    <w:rsid w:val="39980E9A"/>
    <w:rsid w:val="3A163219"/>
    <w:rsid w:val="3A3951BD"/>
    <w:rsid w:val="3A3F654C"/>
    <w:rsid w:val="3A6366DE"/>
    <w:rsid w:val="3AA1694A"/>
    <w:rsid w:val="3AB6468F"/>
    <w:rsid w:val="3ADE7B13"/>
    <w:rsid w:val="3B1479D8"/>
    <w:rsid w:val="3B4F0245"/>
    <w:rsid w:val="3B802F3F"/>
    <w:rsid w:val="3BAC19BF"/>
    <w:rsid w:val="3C031460"/>
    <w:rsid w:val="3C0B2B89"/>
    <w:rsid w:val="3C2D0697"/>
    <w:rsid w:val="3C662681"/>
    <w:rsid w:val="3C6F1CA0"/>
    <w:rsid w:val="3C720E5A"/>
    <w:rsid w:val="3C8A0DA9"/>
    <w:rsid w:val="3CAD3C40"/>
    <w:rsid w:val="3D112421"/>
    <w:rsid w:val="3D195EE3"/>
    <w:rsid w:val="3D1B705D"/>
    <w:rsid w:val="3D6A5768"/>
    <w:rsid w:val="3D6C7D20"/>
    <w:rsid w:val="3D7E738B"/>
    <w:rsid w:val="3D83645D"/>
    <w:rsid w:val="3D9850AF"/>
    <w:rsid w:val="3DAD4472"/>
    <w:rsid w:val="3DCF2326"/>
    <w:rsid w:val="3DD6162E"/>
    <w:rsid w:val="3E1D0952"/>
    <w:rsid w:val="3E1D4DF6"/>
    <w:rsid w:val="3E290A3B"/>
    <w:rsid w:val="3E386911"/>
    <w:rsid w:val="3E543A12"/>
    <w:rsid w:val="3E6D67CE"/>
    <w:rsid w:val="3E6D7B2B"/>
    <w:rsid w:val="3EA87D21"/>
    <w:rsid w:val="3EC51715"/>
    <w:rsid w:val="3ECF7E9E"/>
    <w:rsid w:val="3F190A28"/>
    <w:rsid w:val="3F226A24"/>
    <w:rsid w:val="3F3E21C2"/>
    <w:rsid w:val="3F52287D"/>
    <w:rsid w:val="3F5D69C7"/>
    <w:rsid w:val="3F5E7474"/>
    <w:rsid w:val="3F7741DC"/>
    <w:rsid w:val="3FA23805"/>
    <w:rsid w:val="3FC41290"/>
    <w:rsid w:val="403800D8"/>
    <w:rsid w:val="406311E6"/>
    <w:rsid w:val="40752CC7"/>
    <w:rsid w:val="408C2FF5"/>
    <w:rsid w:val="40AD1521"/>
    <w:rsid w:val="40BF3F42"/>
    <w:rsid w:val="40C60446"/>
    <w:rsid w:val="411E510D"/>
    <w:rsid w:val="41437EBC"/>
    <w:rsid w:val="41B45D47"/>
    <w:rsid w:val="41B50EE7"/>
    <w:rsid w:val="41B92880"/>
    <w:rsid w:val="41E2613A"/>
    <w:rsid w:val="420936C7"/>
    <w:rsid w:val="423050F8"/>
    <w:rsid w:val="42610D29"/>
    <w:rsid w:val="42672A9D"/>
    <w:rsid w:val="428B4A24"/>
    <w:rsid w:val="42E94AD1"/>
    <w:rsid w:val="42EE0B0F"/>
    <w:rsid w:val="42F26851"/>
    <w:rsid w:val="430372DF"/>
    <w:rsid w:val="43506843"/>
    <w:rsid w:val="436439B8"/>
    <w:rsid w:val="43AE3F02"/>
    <w:rsid w:val="43AF029E"/>
    <w:rsid w:val="43B1298A"/>
    <w:rsid w:val="43D9356D"/>
    <w:rsid w:val="4465275B"/>
    <w:rsid w:val="4487121B"/>
    <w:rsid w:val="44882114"/>
    <w:rsid w:val="44906321"/>
    <w:rsid w:val="44A122DD"/>
    <w:rsid w:val="44C350BE"/>
    <w:rsid w:val="44F00B6E"/>
    <w:rsid w:val="44F647E9"/>
    <w:rsid w:val="45047184"/>
    <w:rsid w:val="45252F0E"/>
    <w:rsid w:val="454F361F"/>
    <w:rsid w:val="45592BB7"/>
    <w:rsid w:val="45644402"/>
    <w:rsid w:val="456D5D2B"/>
    <w:rsid w:val="457B106F"/>
    <w:rsid w:val="458319E2"/>
    <w:rsid w:val="45A02A26"/>
    <w:rsid w:val="45B918A8"/>
    <w:rsid w:val="45C67B5B"/>
    <w:rsid w:val="46193316"/>
    <w:rsid w:val="461E1C9E"/>
    <w:rsid w:val="469F45FA"/>
    <w:rsid w:val="46CF2A20"/>
    <w:rsid w:val="46F756A6"/>
    <w:rsid w:val="47370CD6"/>
    <w:rsid w:val="47B83268"/>
    <w:rsid w:val="47D4244E"/>
    <w:rsid w:val="47E12770"/>
    <w:rsid w:val="47EF15B1"/>
    <w:rsid w:val="47F5545D"/>
    <w:rsid w:val="47FD3D41"/>
    <w:rsid w:val="483B65A4"/>
    <w:rsid w:val="484E4529"/>
    <w:rsid w:val="485206B9"/>
    <w:rsid w:val="486D24D6"/>
    <w:rsid w:val="48713222"/>
    <w:rsid w:val="48FA1FBB"/>
    <w:rsid w:val="49A4322B"/>
    <w:rsid w:val="49F42EAF"/>
    <w:rsid w:val="4A072DA2"/>
    <w:rsid w:val="4A317C5F"/>
    <w:rsid w:val="4A3B0ADD"/>
    <w:rsid w:val="4A881F94"/>
    <w:rsid w:val="4A8F2B24"/>
    <w:rsid w:val="4B340672"/>
    <w:rsid w:val="4B441C14"/>
    <w:rsid w:val="4B442F33"/>
    <w:rsid w:val="4B88295F"/>
    <w:rsid w:val="4BB01057"/>
    <w:rsid w:val="4BBF3760"/>
    <w:rsid w:val="4BC350E6"/>
    <w:rsid w:val="4C1D4F88"/>
    <w:rsid w:val="4C2C7707"/>
    <w:rsid w:val="4C5E0AB3"/>
    <w:rsid w:val="4C97144A"/>
    <w:rsid w:val="4CA9657F"/>
    <w:rsid w:val="4CB44B77"/>
    <w:rsid w:val="4D2F309F"/>
    <w:rsid w:val="4D36558C"/>
    <w:rsid w:val="4D493511"/>
    <w:rsid w:val="4D4E5C5E"/>
    <w:rsid w:val="4D6B792C"/>
    <w:rsid w:val="4D9B55DE"/>
    <w:rsid w:val="4DC66910"/>
    <w:rsid w:val="4DD94A46"/>
    <w:rsid w:val="4E241889"/>
    <w:rsid w:val="4E4B11E8"/>
    <w:rsid w:val="4E4D62E5"/>
    <w:rsid w:val="4E7269AE"/>
    <w:rsid w:val="4E8862BB"/>
    <w:rsid w:val="4EA053B3"/>
    <w:rsid w:val="4EC92DED"/>
    <w:rsid w:val="4ED212E5"/>
    <w:rsid w:val="4EED611E"/>
    <w:rsid w:val="4F05790C"/>
    <w:rsid w:val="4F227F1A"/>
    <w:rsid w:val="4FAC7D88"/>
    <w:rsid w:val="4FCE5F50"/>
    <w:rsid w:val="4FEF62F2"/>
    <w:rsid w:val="5043249A"/>
    <w:rsid w:val="50724B2D"/>
    <w:rsid w:val="507C59AC"/>
    <w:rsid w:val="509B7BEF"/>
    <w:rsid w:val="50A203FD"/>
    <w:rsid w:val="50AA2519"/>
    <w:rsid w:val="50AC3E00"/>
    <w:rsid w:val="50BA5B4A"/>
    <w:rsid w:val="50FE0AB7"/>
    <w:rsid w:val="51402E7D"/>
    <w:rsid w:val="514B29B7"/>
    <w:rsid w:val="51745DA7"/>
    <w:rsid w:val="519B082C"/>
    <w:rsid w:val="51BF4C57"/>
    <w:rsid w:val="51CD4358"/>
    <w:rsid w:val="51E4278A"/>
    <w:rsid w:val="51F779E0"/>
    <w:rsid w:val="521D41ED"/>
    <w:rsid w:val="522E717A"/>
    <w:rsid w:val="52474F15"/>
    <w:rsid w:val="52636E23"/>
    <w:rsid w:val="52A1794C"/>
    <w:rsid w:val="52C653E0"/>
    <w:rsid w:val="52C9479E"/>
    <w:rsid w:val="530A729F"/>
    <w:rsid w:val="53223A7E"/>
    <w:rsid w:val="532D22C4"/>
    <w:rsid w:val="53470CC7"/>
    <w:rsid w:val="53513120"/>
    <w:rsid w:val="53762B86"/>
    <w:rsid w:val="53AE6A77"/>
    <w:rsid w:val="53BF4BE0"/>
    <w:rsid w:val="53D310CB"/>
    <w:rsid w:val="53E775E0"/>
    <w:rsid w:val="54264EFA"/>
    <w:rsid w:val="544F3B03"/>
    <w:rsid w:val="546F2C29"/>
    <w:rsid w:val="548C33AD"/>
    <w:rsid w:val="54D933CD"/>
    <w:rsid w:val="54F72E68"/>
    <w:rsid w:val="54FB6382"/>
    <w:rsid w:val="55297547"/>
    <w:rsid w:val="558C3A2D"/>
    <w:rsid w:val="55961A2E"/>
    <w:rsid w:val="559D264C"/>
    <w:rsid w:val="55BA1450"/>
    <w:rsid w:val="55D32512"/>
    <w:rsid w:val="55FD4720"/>
    <w:rsid w:val="55FE160C"/>
    <w:rsid w:val="562E6E8F"/>
    <w:rsid w:val="56420F5B"/>
    <w:rsid w:val="567869C6"/>
    <w:rsid w:val="56BB3C74"/>
    <w:rsid w:val="56EF6ED8"/>
    <w:rsid w:val="57661DEB"/>
    <w:rsid w:val="577477EE"/>
    <w:rsid w:val="57821E15"/>
    <w:rsid w:val="57944F13"/>
    <w:rsid w:val="57B7681E"/>
    <w:rsid w:val="584453FE"/>
    <w:rsid w:val="585B4DFB"/>
    <w:rsid w:val="58696678"/>
    <w:rsid w:val="586E207E"/>
    <w:rsid w:val="58BE3005"/>
    <w:rsid w:val="58D02D39"/>
    <w:rsid w:val="58D83ABB"/>
    <w:rsid w:val="595C04A1"/>
    <w:rsid w:val="597B2CA5"/>
    <w:rsid w:val="59995821"/>
    <w:rsid w:val="59C77E38"/>
    <w:rsid w:val="59ED5132"/>
    <w:rsid w:val="5A290952"/>
    <w:rsid w:val="5A645F53"/>
    <w:rsid w:val="5A9A53AC"/>
    <w:rsid w:val="5AC62645"/>
    <w:rsid w:val="5AE26FB8"/>
    <w:rsid w:val="5AF162F8"/>
    <w:rsid w:val="5AF32475"/>
    <w:rsid w:val="5B24736C"/>
    <w:rsid w:val="5B2E5BD2"/>
    <w:rsid w:val="5B5C4D58"/>
    <w:rsid w:val="5B6C5286"/>
    <w:rsid w:val="5B8747D6"/>
    <w:rsid w:val="5BBD6387"/>
    <w:rsid w:val="5BD41031"/>
    <w:rsid w:val="5BF94355"/>
    <w:rsid w:val="5C245875"/>
    <w:rsid w:val="5C56499C"/>
    <w:rsid w:val="5C904CB9"/>
    <w:rsid w:val="5D197596"/>
    <w:rsid w:val="5D361B24"/>
    <w:rsid w:val="5D5E010C"/>
    <w:rsid w:val="5D810AA5"/>
    <w:rsid w:val="5D9968E8"/>
    <w:rsid w:val="5DA14CA4"/>
    <w:rsid w:val="5DA71BBE"/>
    <w:rsid w:val="5DB524FD"/>
    <w:rsid w:val="5DF474C9"/>
    <w:rsid w:val="5E0378A0"/>
    <w:rsid w:val="5E1B33B4"/>
    <w:rsid w:val="5E267C7B"/>
    <w:rsid w:val="5E512226"/>
    <w:rsid w:val="5E6B18E8"/>
    <w:rsid w:val="5E8E54F8"/>
    <w:rsid w:val="5E9B4322"/>
    <w:rsid w:val="5EBB3113"/>
    <w:rsid w:val="5EFF7895"/>
    <w:rsid w:val="5F5941F4"/>
    <w:rsid w:val="5F6E160B"/>
    <w:rsid w:val="5F8328B3"/>
    <w:rsid w:val="5F8968B7"/>
    <w:rsid w:val="5F8F4688"/>
    <w:rsid w:val="5F9C37D5"/>
    <w:rsid w:val="5FB22D04"/>
    <w:rsid w:val="5FBB783A"/>
    <w:rsid w:val="5FDD024D"/>
    <w:rsid w:val="5FDE21DF"/>
    <w:rsid w:val="600D6620"/>
    <w:rsid w:val="60194FC5"/>
    <w:rsid w:val="602776E2"/>
    <w:rsid w:val="605764AA"/>
    <w:rsid w:val="606A3A73"/>
    <w:rsid w:val="606F4BE5"/>
    <w:rsid w:val="60844B35"/>
    <w:rsid w:val="609A4358"/>
    <w:rsid w:val="60C03693"/>
    <w:rsid w:val="60F84E04"/>
    <w:rsid w:val="610C68FA"/>
    <w:rsid w:val="613E4AB4"/>
    <w:rsid w:val="61406582"/>
    <w:rsid w:val="6146003C"/>
    <w:rsid w:val="6167619C"/>
    <w:rsid w:val="616C578D"/>
    <w:rsid w:val="61722BDF"/>
    <w:rsid w:val="61F8163E"/>
    <w:rsid w:val="62453885"/>
    <w:rsid w:val="627B5AC3"/>
    <w:rsid w:val="62856942"/>
    <w:rsid w:val="6292105F"/>
    <w:rsid w:val="62986BCB"/>
    <w:rsid w:val="62A25746"/>
    <w:rsid w:val="62B45479"/>
    <w:rsid w:val="62CF3C8F"/>
    <w:rsid w:val="62EB17C1"/>
    <w:rsid w:val="62F85366"/>
    <w:rsid w:val="635D166D"/>
    <w:rsid w:val="638E7A78"/>
    <w:rsid w:val="63D13C16"/>
    <w:rsid w:val="63EF758C"/>
    <w:rsid w:val="63F11EE6"/>
    <w:rsid w:val="6426185B"/>
    <w:rsid w:val="647C6082"/>
    <w:rsid w:val="648A6E21"/>
    <w:rsid w:val="64B514DC"/>
    <w:rsid w:val="64C73242"/>
    <w:rsid w:val="652E365D"/>
    <w:rsid w:val="653B59DE"/>
    <w:rsid w:val="65516005"/>
    <w:rsid w:val="656E65A9"/>
    <w:rsid w:val="65AD4B56"/>
    <w:rsid w:val="65B17E38"/>
    <w:rsid w:val="65BC4EC4"/>
    <w:rsid w:val="65C6714D"/>
    <w:rsid w:val="65DF48D7"/>
    <w:rsid w:val="65EE2A50"/>
    <w:rsid w:val="66014531"/>
    <w:rsid w:val="66263F98"/>
    <w:rsid w:val="66E3632D"/>
    <w:rsid w:val="670F7122"/>
    <w:rsid w:val="674D37A6"/>
    <w:rsid w:val="67543DCB"/>
    <w:rsid w:val="67EB63D3"/>
    <w:rsid w:val="67F00D02"/>
    <w:rsid w:val="6850007B"/>
    <w:rsid w:val="686E58B3"/>
    <w:rsid w:val="68ED6919"/>
    <w:rsid w:val="68F3110A"/>
    <w:rsid w:val="68FB170C"/>
    <w:rsid w:val="69166C14"/>
    <w:rsid w:val="69334FDF"/>
    <w:rsid w:val="69582AD3"/>
    <w:rsid w:val="697F6D01"/>
    <w:rsid w:val="6A413A96"/>
    <w:rsid w:val="6A4C5F97"/>
    <w:rsid w:val="6A6073C6"/>
    <w:rsid w:val="6AC00E5F"/>
    <w:rsid w:val="6ACF0CBE"/>
    <w:rsid w:val="6B4C29DE"/>
    <w:rsid w:val="6B647091"/>
    <w:rsid w:val="6B741C4A"/>
    <w:rsid w:val="6B9357E8"/>
    <w:rsid w:val="6BC229B5"/>
    <w:rsid w:val="6BFC5305"/>
    <w:rsid w:val="6C150D37"/>
    <w:rsid w:val="6C1C4ED6"/>
    <w:rsid w:val="6C326365"/>
    <w:rsid w:val="6C535790"/>
    <w:rsid w:val="6CAD5413"/>
    <w:rsid w:val="6D095C36"/>
    <w:rsid w:val="6D943EDD"/>
    <w:rsid w:val="6DA33BFE"/>
    <w:rsid w:val="6DAA197D"/>
    <w:rsid w:val="6DB359B4"/>
    <w:rsid w:val="6DBE71AC"/>
    <w:rsid w:val="6DF41A76"/>
    <w:rsid w:val="6E1A6AD8"/>
    <w:rsid w:val="6E283A73"/>
    <w:rsid w:val="6E9368F4"/>
    <w:rsid w:val="6EA463A2"/>
    <w:rsid w:val="6EC713CE"/>
    <w:rsid w:val="6EDE1A70"/>
    <w:rsid w:val="6EE36ECA"/>
    <w:rsid w:val="6F094457"/>
    <w:rsid w:val="6F3E67F6"/>
    <w:rsid w:val="6F60051B"/>
    <w:rsid w:val="6F7F2E77"/>
    <w:rsid w:val="6F806F17"/>
    <w:rsid w:val="6F901812"/>
    <w:rsid w:val="6FB51894"/>
    <w:rsid w:val="6FD55C9D"/>
    <w:rsid w:val="6FF70359"/>
    <w:rsid w:val="700B2C13"/>
    <w:rsid w:val="702552C0"/>
    <w:rsid w:val="702E23C7"/>
    <w:rsid w:val="7040659E"/>
    <w:rsid w:val="704405F0"/>
    <w:rsid w:val="70553DF8"/>
    <w:rsid w:val="70596FD4"/>
    <w:rsid w:val="70A95C5D"/>
    <w:rsid w:val="711E68DF"/>
    <w:rsid w:val="713F0604"/>
    <w:rsid w:val="71493E07"/>
    <w:rsid w:val="716B31A7"/>
    <w:rsid w:val="71730FAE"/>
    <w:rsid w:val="71B66B18"/>
    <w:rsid w:val="71F349F9"/>
    <w:rsid w:val="723425F1"/>
    <w:rsid w:val="727C3B90"/>
    <w:rsid w:val="72850298"/>
    <w:rsid w:val="72A53254"/>
    <w:rsid w:val="72D52FCE"/>
    <w:rsid w:val="72E01973"/>
    <w:rsid w:val="730E0EB0"/>
    <w:rsid w:val="73295766"/>
    <w:rsid w:val="73386E85"/>
    <w:rsid w:val="733D1828"/>
    <w:rsid w:val="73492CDA"/>
    <w:rsid w:val="735079F3"/>
    <w:rsid w:val="7355410F"/>
    <w:rsid w:val="73A91A6A"/>
    <w:rsid w:val="73BA35F6"/>
    <w:rsid w:val="73BD7BD7"/>
    <w:rsid w:val="73E520C9"/>
    <w:rsid w:val="73F45D70"/>
    <w:rsid w:val="73F751C6"/>
    <w:rsid w:val="741278FA"/>
    <w:rsid w:val="741A4E48"/>
    <w:rsid w:val="74671F38"/>
    <w:rsid w:val="74685A12"/>
    <w:rsid w:val="74743C78"/>
    <w:rsid w:val="749869A9"/>
    <w:rsid w:val="74B01DEC"/>
    <w:rsid w:val="74BD640F"/>
    <w:rsid w:val="74E90FB2"/>
    <w:rsid w:val="7550063A"/>
    <w:rsid w:val="755D54FC"/>
    <w:rsid w:val="757840E4"/>
    <w:rsid w:val="75E1612D"/>
    <w:rsid w:val="75FF0362"/>
    <w:rsid w:val="760A03EF"/>
    <w:rsid w:val="760D2A7F"/>
    <w:rsid w:val="76281AEC"/>
    <w:rsid w:val="76375F57"/>
    <w:rsid w:val="76BD26F7"/>
    <w:rsid w:val="76D57A40"/>
    <w:rsid w:val="76E17A8B"/>
    <w:rsid w:val="76F13CF8"/>
    <w:rsid w:val="771542E1"/>
    <w:rsid w:val="778B3755"/>
    <w:rsid w:val="77AF140B"/>
    <w:rsid w:val="77B17916"/>
    <w:rsid w:val="78122E55"/>
    <w:rsid w:val="7820464B"/>
    <w:rsid w:val="784529A4"/>
    <w:rsid w:val="78661CEF"/>
    <w:rsid w:val="787B23E4"/>
    <w:rsid w:val="787C6CF9"/>
    <w:rsid w:val="788374CA"/>
    <w:rsid w:val="78964FAD"/>
    <w:rsid w:val="78B95140"/>
    <w:rsid w:val="79136067"/>
    <w:rsid w:val="79403CEC"/>
    <w:rsid w:val="794B14BC"/>
    <w:rsid w:val="79586707"/>
    <w:rsid w:val="79646E59"/>
    <w:rsid w:val="797177C8"/>
    <w:rsid w:val="79C61613"/>
    <w:rsid w:val="79D01393"/>
    <w:rsid w:val="79ED6E4F"/>
    <w:rsid w:val="79F276B8"/>
    <w:rsid w:val="7A431165"/>
    <w:rsid w:val="7A434029"/>
    <w:rsid w:val="7A4F56B6"/>
    <w:rsid w:val="7AB23BF5"/>
    <w:rsid w:val="7AB44CF6"/>
    <w:rsid w:val="7AE87E01"/>
    <w:rsid w:val="7AF91977"/>
    <w:rsid w:val="7B2627EB"/>
    <w:rsid w:val="7B872B63"/>
    <w:rsid w:val="7BC67B45"/>
    <w:rsid w:val="7BE44282"/>
    <w:rsid w:val="7BE6624C"/>
    <w:rsid w:val="7BF93C55"/>
    <w:rsid w:val="7BFA3AA5"/>
    <w:rsid w:val="7C117C8E"/>
    <w:rsid w:val="7C30396B"/>
    <w:rsid w:val="7C456D94"/>
    <w:rsid w:val="7C4D38E8"/>
    <w:rsid w:val="7C6B49A3"/>
    <w:rsid w:val="7D4F1AF7"/>
    <w:rsid w:val="7D5E7BC0"/>
    <w:rsid w:val="7D614725"/>
    <w:rsid w:val="7D733E40"/>
    <w:rsid w:val="7D787377"/>
    <w:rsid w:val="7DBA34EC"/>
    <w:rsid w:val="7DDC50CF"/>
    <w:rsid w:val="7E1D1505"/>
    <w:rsid w:val="7E350DC4"/>
    <w:rsid w:val="7E6C32C4"/>
    <w:rsid w:val="7E9401E1"/>
    <w:rsid w:val="7E977422"/>
    <w:rsid w:val="7EA339E0"/>
    <w:rsid w:val="7EB97C47"/>
    <w:rsid w:val="7EDE76AE"/>
    <w:rsid w:val="7EE63796"/>
    <w:rsid w:val="7F015178"/>
    <w:rsid w:val="7F0A5415"/>
    <w:rsid w:val="7F231565"/>
    <w:rsid w:val="7F363046"/>
    <w:rsid w:val="7F531E4A"/>
    <w:rsid w:val="7FB1091F"/>
    <w:rsid w:val="7FF24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120"/>
      <w:outlineLvl w:val="0"/>
    </w:pPr>
    <w:rPr>
      <w:b/>
      <w:bCs/>
      <w:kern w:val="44"/>
      <w:sz w:val="44"/>
      <w:szCs w:val="44"/>
    </w:rPr>
  </w:style>
  <w:style w:type="paragraph" w:styleId="4">
    <w:name w:val="heading 2"/>
    <w:basedOn w:val="1"/>
    <w:next w:val="1"/>
    <w:unhideWhenUsed/>
    <w:qFormat/>
    <w:uiPriority w:val="9"/>
    <w:pPr>
      <w:keepNext/>
      <w:keepLines/>
      <w:numPr>
        <w:ilvl w:val="0"/>
        <w:numId w:val="1"/>
      </w:numPr>
      <w:spacing w:before="120" w:after="120"/>
      <w:outlineLvl w:val="1"/>
    </w:pPr>
    <w:rPr>
      <w:rFonts w:ascii="Cambria" w:hAnsi="Cambria"/>
      <w:b/>
      <w:bCs/>
      <w:sz w:val="32"/>
      <w:szCs w:val="32"/>
    </w:rPr>
  </w:style>
  <w:style w:type="paragraph" w:styleId="2">
    <w:name w:val="heading 3"/>
    <w:basedOn w:val="1"/>
    <w:next w:val="1"/>
    <w:unhideWhenUsed/>
    <w:qFormat/>
    <w:uiPriority w:val="9"/>
    <w:pPr>
      <w:keepNext/>
      <w:keepLines/>
      <w:numPr>
        <w:ilvl w:val="3"/>
        <w:numId w:val="2"/>
      </w:numPr>
      <w:spacing w:before="240" w:after="120"/>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Body Text Indent"/>
    <w:basedOn w:val="1"/>
    <w:qFormat/>
    <w:uiPriority w:val="0"/>
    <w:pPr>
      <w:spacing w:after="120"/>
      <w:ind w:left="420" w:leftChars="200"/>
    </w:pPr>
  </w:style>
  <w:style w:type="paragraph" w:styleId="7">
    <w:name w:val="Plain Text"/>
    <w:basedOn w:val="1"/>
    <w:qFormat/>
    <w:uiPriority w:val="0"/>
    <w:rPr>
      <w:rFonts w:ascii="宋体" w:hAnsi="Courier New"/>
      <w:szCs w:val="20"/>
    </w:r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qFormat/>
    <w:uiPriority w:val="0"/>
    <w:rPr>
      <w:color w:val="0000FF"/>
      <w:u w:val="single"/>
    </w:rPr>
  </w:style>
  <w:style w:type="character" w:customStyle="1" w:styleId="18">
    <w:name w:val="font161"/>
    <w:basedOn w:val="15"/>
    <w:qFormat/>
    <w:uiPriority w:val="0"/>
    <w:rPr>
      <w:rFonts w:hint="default" w:ascii="Arial" w:hAnsi="Arial" w:cs="Arial"/>
      <w:color w:val="000000"/>
      <w:sz w:val="18"/>
      <w:szCs w:val="18"/>
      <w:u w:val="none"/>
    </w:rPr>
  </w:style>
  <w:style w:type="character" w:customStyle="1" w:styleId="19">
    <w:name w:val="font81"/>
    <w:basedOn w:val="15"/>
    <w:qFormat/>
    <w:uiPriority w:val="0"/>
    <w:rPr>
      <w:rFonts w:hint="eastAsia" w:ascii="宋体" w:hAnsi="宋体" w:eastAsia="宋体" w:cs="宋体"/>
      <w:color w:val="000000"/>
      <w:sz w:val="20"/>
      <w:szCs w:val="20"/>
      <w:u w:val="none"/>
    </w:rPr>
  </w:style>
  <w:style w:type="character" w:customStyle="1" w:styleId="20">
    <w:name w:val="font61"/>
    <w:basedOn w:val="15"/>
    <w:qFormat/>
    <w:uiPriority w:val="0"/>
    <w:rPr>
      <w:rFonts w:hint="eastAsia" w:ascii="宋体" w:hAnsi="宋体" w:eastAsia="宋体" w:cs="宋体"/>
      <w:color w:val="000000"/>
      <w:sz w:val="22"/>
      <w:szCs w:val="22"/>
      <w:u w:val="none"/>
    </w:rPr>
  </w:style>
  <w:style w:type="character" w:customStyle="1" w:styleId="21">
    <w:name w:val="font01"/>
    <w:basedOn w:val="15"/>
    <w:qFormat/>
    <w:uiPriority w:val="0"/>
    <w:rPr>
      <w:rFonts w:hint="eastAsia" w:ascii="宋体" w:hAnsi="宋体" w:eastAsia="宋体" w:cs="宋体"/>
      <w:color w:val="000000"/>
      <w:sz w:val="20"/>
      <w:szCs w:val="20"/>
      <w:u w:val="none"/>
    </w:rPr>
  </w:style>
  <w:style w:type="character" w:customStyle="1" w:styleId="22">
    <w:name w:val="font11"/>
    <w:basedOn w:val="15"/>
    <w:qFormat/>
    <w:uiPriority w:val="0"/>
    <w:rPr>
      <w:rFonts w:ascii="Arial" w:hAnsi="Arial" w:cs="Arial"/>
      <w:color w:val="000000"/>
      <w:sz w:val="20"/>
      <w:szCs w:val="20"/>
      <w:u w:val="none"/>
    </w:rPr>
  </w:style>
  <w:style w:type="character" w:customStyle="1" w:styleId="23">
    <w:name w:val="font171"/>
    <w:basedOn w:val="15"/>
    <w:qFormat/>
    <w:uiPriority w:val="0"/>
    <w:rPr>
      <w:rFonts w:hint="eastAsia" w:ascii="宋体" w:hAnsi="宋体" w:eastAsia="宋体" w:cs="宋体"/>
      <w:color w:val="000000"/>
      <w:sz w:val="18"/>
      <w:szCs w:val="18"/>
      <w:u w:val="none"/>
    </w:rPr>
  </w:style>
  <w:style w:type="character" w:customStyle="1" w:styleId="24">
    <w:name w:val="font91"/>
    <w:basedOn w:val="15"/>
    <w:qFormat/>
    <w:uiPriority w:val="0"/>
    <w:rPr>
      <w:rFonts w:hint="eastAsia" w:ascii="宋体" w:hAnsi="宋体" w:eastAsia="宋体" w:cs="宋体"/>
      <w:color w:val="000000"/>
      <w:sz w:val="22"/>
      <w:szCs w:val="22"/>
      <w:u w:val="none"/>
    </w:rPr>
  </w:style>
  <w:style w:type="character" w:customStyle="1" w:styleId="25">
    <w:name w:val="font21"/>
    <w:basedOn w:val="15"/>
    <w:qFormat/>
    <w:uiPriority w:val="0"/>
    <w:rPr>
      <w:rFonts w:ascii="Arial" w:hAnsi="Arial" w:cs="Arial"/>
      <w:color w:val="000000"/>
      <w:sz w:val="20"/>
      <w:szCs w:val="20"/>
      <w:u w:val="none"/>
    </w:rPr>
  </w:style>
  <w:style w:type="character" w:customStyle="1" w:styleId="26">
    <w:name w:val="font51"/>
    <w:basedOn w:val="15"/>
    <w:qFormat/>
    <w:uiPriority w:val="0"/>
    <w:rPr>
      <w:rFonts w:hint="eastAsia" w:ascii="宋体" w:hAnsi="宋体" w:eastAsia="宋体" w:cs="宋体"/>
      <w:color w:val="000000"/>
      <w:sz w:val="22"/>
      <w:szCs w:val="22"/>
      <w:u w:val="none"/>
    </w:rPr>
  </w:style>
  <w:style w:type="character" w:customStyle="1" w:styleId="27">
    <w:name w:val="font101"/>
    <w:basedOn w:val="15"/>
    <w:qFormat/>
    <w:uiPriority w:val="0"/>
    <w:rPr>
      <w:rFonts w:hint="eastAsia" w:ascii="宋体" w:hAnsi="宋体" w:eastAsia="宋体" w:cs="宋体"/>
      <w:color w:val="000000"/>
      <w:sz w:val="20"/>
      <w:szCs w:val="20"/>
      <w:u w:val="none"/>
    </w:rPr>
  </w:style>
  <w:style w:type="character" w:customStyle="1" w:styleId="28">
    <w:name w:val="font31"/>
    <w:basedOn w:val="15"/>
    <w:qFormat/>
    <w:uiPriority w:val="0"/>
    <w:rPr>
      <w:rFonts w:hint="default" w:ascii="Arial" w:hAnsi="Arial" w:cs="Arial"/>
      <w:color w:val="000000"/>
      <w:sz w:val="20"/>
      <w:szCs w:val="20"/>
      <w:u w:val="none"/>
    </w:rPr>
  </w:style>
  <w:style w:type="character" w:customStyle="1" w:styleId="29">
    <w:name w:val="font131"/>
    <w:basedOn w:val="15"/>
    <w:qFormat/>
    <w:uiPriority w:val="0"/>
    <w:rPr>
      <w:rFonts w:hint="default" w:ascii="Arial" w:hAnsi="Arial" w:cs="Arial"/>
      <w:color w:val="000000"/>
      <w:sz w:val="22"/>
      <w:szCs w:val="22"/>
      <w:u w:val="none"/>
    </w:rPr>
  </w:style>
  <w:style w:type="paragraph" w:styleId="30">
    <w:name w:val="List Paragraph"/>
    <w:basedOn w:val="1"/>
    <w:qFormat/>
    <w:uiPriority w:val="34"/>
    <w:pPr>
      <w:ind w:firstLine="420" w:firstLineChars="200"/>
    </w:pPr>
    <w:rPr>
      <w:rFonts w:ascii="Calibri" w:hAnsi="Calibri"/>
      <w:szCs w:val="22"/>
    </w:rPr>
  </w:style>
  <w:style w:type="paragraph" w:styleId="31">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th</Company>
  <Pages>24</Pages>
  <Words>12261</Words>
  <Characters>13141</Characters>
  <Lines>102</Lines>
  <Paragraphs>28</Paragraphs>
  <TotalTime>59</TotalTime>
  <ScaleCrop>false</ScaleCrop>
  <LinksUpToDate>false</LinksUpToDate>
  <CharactersWithSpaces>13564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2023-05-30T06:39:00Z</dcterms:created>
  <dc:creator>zhglb</dc:creator>
  <cp:lastModifiedBy>。。。。</cp:lastModifiedBy>
  <cp:lastPrinted>2016-05-25T01:11:00Z</cp:lastPrinted>
  <dcterms:modified xsi:type="dcterms:W3CDTF">2023-06-01T07:01:51Z</dcterms:modified>
  <dc:title>2004年度糖业先进评选办法</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D69C89EE6FCC4E71943CBD436E6AE6CE_13</vt:lpwstr>
  </property>
</Properties>
</file>