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r>
        <w:rPr>
          <w:rFonts w:ascii="仿宋" w:hAnsi="仿宋" w:eastAsia="仿宋" w:cs="宋体"/>
          <w:b/>
          <w:sz w:val="72"/>
          <w:szCs w:val="44"/>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207645</wp:posOffset>
                </wp:positionV>
                <wp:extent cx="6195060" cy="495300"/>
                <wp:effectExtent l="4445" t="4445" r="10795" b="825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a:effectLst/>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7.05pt;margin-top:16.35pt;height:39pt;width:487.8pt;z-index:251659264;mso-width-relative:page;mso-height-relative:page;" fillcolor="#FFFFFF" filled="t" stroked="t" coordsize="21600,21600" o:gfxdata="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oMQYtoAAAAKAQAADwAAAAAAAAABACAAAAAiAAAAZHJzL2Rv&#10;d25yZXYueG1sUEsBAhQAFAAAAAgAh07iQE5TIvY4AgAAlAQAAA4AAAAAAAAAAQAgAAAAKQEAAGRy&#10;cy9lMm9Eb2MueG1sUEsFBgAAAAAGAAYAWQEAANMFA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p>
    <w:p>
      <w:pPr>
        <w:pStyle w:val="2"/>
      </w:pPr>
    </w:p>
    <w:p/>
    <w:p>
      <w:pPr>
        <w:spacing w:line="360" w:lineRule="auto"/>
        <w:jc w:val="center"/>
        <w:rPr>
          <w:rFonts w:ascii="仿宋" w:hAnsi="仿宋" w:eastAsia="仿宋" w:cs="宋体"/>
          <w:b/>
          <w:sz w:val="72"/>
          <w:szCs w:val="44"/>
        </w:rPr>
      </w:pPr>
    </w:p>
    <w:p>
      <w:pPr>
        <w:pStyle w:val="2"/>
      </w:pPr>
    </w:p>
    <w:p/>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内蒙古中粮番茄制品有限公司</w:t>
      </w:r>
    </w:p>
    <w:p>
      <w:pPr>
        <w:spacing w:line="360" w:lineRule="auto"/>
        <w:jc w:val="center"/>
        <w:rPr>
          <w:rFonts w:ascii="方正小标宋简体" w:hAnsi="方正小标宋简体" w:eastAsia="方正小标宋简体" w:cs="方正小标宋简体"/>
          <w:iCs/>
          <w:sz w:val="44"/>
          <w:szCs w:val="44"/>
        </w:rPr>
      </w:pPr>
      <w:r>
        <w:rPr>
          <w:rFonts w:hint="eastAsia" w:ascii="方正小标宋简体" w:hAnsi="方正小标宋简体" w:eastAsia="方正小标宋简体" w:cs="方正小标宋简体"/>
          <w:sz w:val="44"/>
          <w:szCs w:val="44"/>
        </w:rPr>
        <w:t>车辆定点维修供</w:t>
      </w:r>
      <w:r>
        <w:rPr>
          <w:rFonts w:hint="eastAsia" w:ascii="方正小标宋简体" w:hAnsi="方正小标宋简体" w:eastAsia="方正小标宋简体" w:cs="方正小标宋简体"/>
          <w:iCs/>
          <w:sz w:val="44"/>
          <w:szCs w:val="44"/>
        </w:rPr>
        <w:t>应商招标</w:t>
      </w:r>
    </w:p>
    <w:p>
      <w:pPr>
        <w:spacing w:line="360" w:lineRule="auto"/>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项目询比价文件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spacing w:line="360" w:lineRule="auto"/>
        <w:jc w:val="center"/>
        <w:rPr>
          <w:rFonts w:ascii="仿宋" w:hAnsi="仿宋" w:eastAsia="仿宋" w:cs="宋体"/>
          <w:b/>
          <w:sz w:val="44"/>
          <w:szCs w:val="44"/>
        </w:rPr>
      </w:pPr>
    </w:p>
    <w:p>
      <w:pPr>
        <w:pStyle w:val="2"/>
      </w:pPr>
    </w:p>
    <w:p>
      <w:pPr>
        <w:spacing w:line="360" w:lineRule="auto"/>
        <w:ind w:firstLine="2259" w:firstLineChars="706"/>
        <w:rPr>
          <w:rFonts w:ascii="仿宋_GB2312" w:hAnsi="仿宋" w:eastAsia="仿宋_GB2312"/>
          <w:sz w:val="32"/>
        </w:rPr>
      </w:pPr>
      <w:r>
        <w:rPr>
          <w:rFonts w:hint="eastAsia" w:ascii="仿宋_GB2312" w:hAnsi="仿宋" w:eastAsia="仿宋_GB2312"/>
          <w:sz w:val="32"/>
        </w:rPr>
        <w:t>采购方：内蒙古中粮番茄制品有限公司</w:t>
      </w:r>
    </w:p>
    <w:p>
      <w:pPr>
        <w:spacing w:line="360" w:lineRule="auto"/>
        <w:ind w:firstLine="2259" w:firstLineChars="706"/>
        <w:rPr>
          <w:rFonts w:ascii="仿宋_GB2312" w:hAnsi="仿宋" w:eastAsia="仿宋_GB2312"/>
          <w:sz w:val="32"/>
        </w:rPr>
      </w:pPr>
      <w:r>
        <w:rPr>
          <w:rFonts w:hint="eastAsia" w:ascii="仿宋_GB2312" w:hAnsi="仿宋" w:eastAsia="仿宋_GB2312"/>
          <w:sz w:val="32"/>
        </w:rPr>
        <w:t>日  期：    二○二</w:t>
      </w:r>
      <w:r>
        <w:rPr>
          <w:rFonts w:hint="eastAsia" w:ascii="仿宋_GB2312" w:hAnsi="仿宋" w:eastAsia="仿宋_GB2312"/>
          <w:sz w:val="32"/>
          <w:lang w:val="en-US" w:eastAsia="zh-CN"/>
        </w:rPr>
        <w:t>三</w:t>
      </w:r>
      <w:r>
        <w:rPr>
          <w:rFonts w:hint="eastAsia" w:ascii="仿宋_GB2312" w:hAnsi="仿宋" w:eastAsia="仿宋_GB2312"/>
          <w:sz w:val="32"/>
        </w:rPr>
        <w:t>年</w:t>
      </w:r>
      <w:r>
        <w:rPr>
          <w:rFonts w:hint="eastAsia" w:ascii="仿宋_GB2312" w:hAnsi="仿宋" w:eastAsia="仿宋_GB2312"/>
          <w:sz w:val="32"/>
          <w:lang w:val="en-US" w:eastAsia="zh-CN"/>
        </w:rPr>
        <w:t>六</w:t>
      </w:r>
      <w:r>
        <w:rPr>
          <w:rFonts w:hint="eastAsia" w:ascii="仿宋_GB2312" w:hAnsi="仿宋" w:eastAsia="仿宋_GB2312"/>
          <w:sz w:val="32"/>
        </w:rPr>
        <w:t>月</w:t>
      </w:r>
    </w:p>
    <w:p>
      <w:pPr>
        <w:spacing w:line="360" w:lineRule="auto"/>
        <w:jc w:val="center"/>
        <w:rPr>
          <w:rFonts w:ascii="仿宋" w:hAnsi="仿宋" w:eastAsia="仿宋" w:cs="宋体"/>
          <w:b/>
          <w:sz w:val="44"/>
          <w:szCs w:val="44"/>
        </w:rPr>
      </w:pPr>
    </w:p>
    <w:p>
      <w:pPr>
        <w:pStyle w:val="2"/>
      </w:pPr>
    </w:p>
    <w:p>
      <w:pPr>
        <w:pStyle w:val="38"/>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pStyle w:val="38"/>
        <w:spacing w:line="540" w:lineRule="exact"/>
        <w:ind w:left="1652" w:firstLine="0" w:firstLineChars="0"/>
        <w:rPr>
          <w:rFonts w:cs="Arial" w:asciiTheme="minorEastAsia" w:hAnsiTheme="minorEastAsia" w:eastAsiaTheme="minorEastAsia"/>
          <w:sz w:val="28"/>
          <w:szCs w:val="28"/>
        </w:rPr>
      </w:pP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1、甲方：</w:t>
      </w:r>
      <w:r>
        <w:rPr>
          <w:rFonts w:hint="eastAsia" w:ascii="仿宋_GB2312" w:hAnsi="微软雅黑" w:eastAsia="仿宋_GB2312"/>
          <w:sz w:val="32"/>
          <w:szCs w:val="32"/>
        </w:rPr>
        <w:t>内蒙古中粮番茄制品有限公司</w:t>
      </w:r>
    </w:p>
    <w:p>
      <w:pPr>
        <w:ind w:firstLine="640"/>
        <w:jc w:val="left"/>
        <w:rPr>
          <w:rFonts w:ascii="仿宋_GB2312" w:hAnsi="仿宋_GB2312" w:eastAsia="仿宋_GB2312" w:cs="仿宋_GB2312"/>
          <w:b/>
          <w:bCs/>
          <w:sz w:val="32"/>
          <w:szCs w:val="32"/>
        </w:rPr>
      </w:pPr>
      <w:r>
        <w:rPr>
          <w:rFonts w:hint="eastAsia" w:ascii="仿宋_GB2312" w:hAnsi="微软雅黑" w:eastAsia="仿宋_GB2312" w:cs="Arial"/>
          <w:color w:val="000000"/>
          <w:sz w:val="32"/>
          <w:szCs w:val="32"/>
        </w:rPr>
        <w:t>2、采购内容：</w:t>
      </w:r>
      <w:r>
        <w:rPr>
          <w:rFonts w:hint="eastAsia" w:ascii="仿宋_GB2312" w:hAnsi="仿宋_GB2312" w:eastAsia="仿宋_GB2312" w:cs="仿宋_GB2312"/>
          <w:color w:val="333333"/>
          <w:sz w:val="32"/>
          <w:szCs w:val="32"/>
          <w:shd w:val="clear" w:color="auto" w:fill="FFFFFF"/>
        </w:rPr>
        <w:t>为了满足202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年日常车辆维修需求，需要对车辆维修供应商进行招标，以便更好的服务于日常工作。</w:t>
      </w:r>
      <w:r>
        <w:rPr>
          <w:rFonts w:hint="eastAsia" w:ascii="仿宋_GB2312" w:hAnsi="微软雅黑" w:eastAsia="仿宋_GB2312" w:cs="Arial"/>
          <w:color w:val="000000"/>
          <w:sz w:val="32"/>
          <w:szCs w:val="32"/>
        </w:rPr>
        <w:t xml:space="preserve">。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3、项目概况与采购范围</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3.1采购范围：内蒙古巴彦淖尔市（优先级：磴口县、临河区）。</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3.2 供货期：202</w:t>
      </w:r>
      <w:r>
        <w:rPr>
          <w:rFonts w:hint="eastAsia" w:ascii="仿宋_GB2312" w:hAnsi="微软雅黑" w:eastAsia="仿宋_GB2312" w:cs="Arial"/>
          <w:color w:val="000000"/>
          <w:sz w:val="32"/>
          <w:szCs w:val="32"/>
          <w:lang w:val="en-US" w:eastAsia="zh-CN"/>
        </w:rPr>
        <w:t>3</w:t>
      </w:r>
      <w:r>
        <w:rPr>
          <w:rFonts w:hint="eastAsia" w:ascii="仿宋_GB2312" w:hAnsi="微软雅黑" w:eastAsia="仿宋_GB2312" w:cs="Arial"/>
          <w:color w:val="000000"/>
          <w:sz w:val="32"/>
          <w:szCs w:val="32"/>
        </w:rPr>
        <w:t>年6月30日至202</w:t>
      </w:r>
      <w:r>
        <w:rPr>
          <w:rFonts w:hint="eastAsia" w:ascii="仿宋_GB2312" w:hAnsi="微软雅黑" w:eastAsia="仿宋_GB2312" w:cs="Arial"/>
          <w:color w:val="000000"/>
          <w:sz w:val="32"/>
          <w:szCs w:val="32"/>
          <w:lang w:val="en-US" w:eastAsia="zh-CN"/>
        </w:rPr>
        <w:t>4</w:t>
      </w:r>
      <w:r>
        <w:rPr>
          <w:rFonts w:hint="eastAsia" w:ascii="仿宋_GB2312" w:hAnsi="微软雅黑" w:eastAsia="仿宋_GB2312" w:cs="Arial"/>
          <w:color w:val="000000"/>
          <w:sz w:val="32"/>
          <w:szCs w:val="32"/>
        </w:rPr>
        <w:t xml:space="preserve">年6月30日（一年期限）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3.3 交货地点：内蒙古中粮番茄制品有限公司</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3.4 采购方式：公开询价比价，共一轮报价</w:t>
      </w:r>
    </w:p>
    <w:p>
      <w:pPr>
        <w:pStyle w:val="57"/>
        <w:adjustRightInd w:val="0"/>
        <w:spacing w:line="540" w:lineRule="exact"/>
        <w:ind w:firstLine="664" w:firstLineChars="200"/>
        <w:jc w:val="both"/>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4、投标时间：供应商</w:t>
      </w:r>
      <w:r>
        <w:rPr>
          <w:rFonts w:hint="eastAsia" w:ascii="仿宋_GB2312" w:hAnsi="微软雅黑" w:eastAsia="仿宋_GB2312" w:cs="Arial"/>
          <w:color w:val="000000" w:themeColor="text1"/>
          <w:sz w:val="32"/>
          <w:szCs w:val="32"/>
          <w14:textFill>
            <w14:solidFill>
              <w14:schemeClr w14:val="tx1"/>
            </w14:solidFill>
          </w14:textFill>
        </w:rPr>
        <w:t>需在202</w:t>
      </w:r>
      <w:r>
        <w:rPr>
          <w:rFonts w:hint="eastAsia" w:ascii="仿宋_GB2312" w:hAnsi="微软雅黑" w:eastAsia="仿宋_GB2312" w:cs="Arial"/>
          <w:color w:val="000000" w:themeColor="text1"/>
          <w:sz w:val="32"/>
          <w:szCs w:val="32"/>
          <w:lang w:val="en-US" w:eastAsia="zh-CN"/>
          <w14:textFill>
            <w14:solidFill>
              <w14:schemeClr w14:val="tx1"/>
            </w14:solidFill>
          </w14:textFill>
        </w:rPr>
        <w:t>3</w:t>
      </w:r>
      <w:r>
        <w:rPr>
          <w:rFonts w:hint="eastAsia" w:ascii="仿宋_GB2312" w:hAnsi="微软雅黑" w:eastAsia="仿宋_GB2312" w:cs="Arial"/>
          <w:color w:val="000000" w:themeColor="text1"/>
          <w:sz w:val="32"/>
          <w:szCs w:val="32"/>
          <w14:textFill>
            <w14:solidFill>
              <w14:schemeClr w14:val="tx1"/>
            </w14:solidFill>
          </w14:textFill>
        </w:rPr>
        <w:t>年</w:t>
      </w:r>
      <w:r>
        <w:rPr>
          <w:rFonts w:hint="eastAsia" w:ascii="仿宋_GB2312" w:hAnsi="微软雅黑" w:eastAsia="仿宋_GB2312" w:cs="Arial"/>
          <w:color w:val="000000" w:themeColor="text1"/>
          <w:sz w:val="32"/>
          <w:szCs w:val="32"/>
          <w:lang w:val="en-US" w:eastAsia="zh-CN"/>
          <w14:textFill>
            <w14:solidFill>
              <w14:schemeClr w14:val="tx1"/>
            </w14:solidFill>
          </w14:textFill>
        </w:rPr>
        <w:t>6</w:t>
      </w:r>
      <w:r>
        <w:rPr>
          <w:rFonts w:hint="eastAsia" w:ascii="仿宋_GB2312" w:hAnsi="微软雅黑" w:eastAsia="仿宋_GB2312" w:cs="Arial"/>
          <w:color w:val="000000" w:themeColor="text1"/>
          <w:sz w:val="32"/>
          <w:szCs w:val="32"/>
          <w14:textFill>
            <w14:solidFill>
              <w14:schemeClr w14:val="tx1"/>
            </w14:solidFill>
          </w14:textFill>
        </w:rPr>
        <w:t>月</w:t>
      </w:r>
      <w:r>
        <w:rPr>
          <w:rFonts w:hint="eastAsia" w:ascii="仿宋_GB2312" w:hAnsi="微软雅黑" w:eastAsia="仿宋_GB2312" w:cs="Arial"/>
          <w:color w:val="000000" w:themeColor="text1"/>
          <w:sz w:val="32"/>
          <w:szCs w:val="32"/>
          <w:lang w:val="en-US" w:eastAsia="zh-CN"/>
          <w14:textFill>
            <w14:solidFill>
              <w14:schemeClr w14:val="tx1"/>
            </w14:solidFill>
          </w14:textFill>
        </w:rPr>
        <w:t>13</w:t>
      </w:r>
      <w:r>
        <w:rPr>
          <w:rFonts w:hint="eastAsia" w:ascii="仿宋_GB2312" w:hAnsi="微软雅黑" w:eastAsia="仿宋_GB2312" w:cs="Arial"/>
          <w:color w:val="000000" w:themeColor="text1"/>
          <w:sz w:val="32"/>
          <w:szCs w:val="32"/>
          <w14:textFill>
            <w14:solidFill>
              <w14:schemeClr w14:val="tx1"/>
            </w14:solidFill>
          </w14:textFill>
        </w:rPr>
        <w:t>日18：00前（</w:t>
      </w:r>
      <w:r>
        <w:rPr>
          <w:rFonts w:hint="eastAsia" w:ascii="仿宋_GB2312" w:hAnsi="微软雅黑" w:eastAsia="仿宋_GB2312" w:cs="Arial"/>
          <w:color w:val="000000"/>
          <w:sz w:val="32"/>
          <w:szCs w:val="32"/>
        </w:rPr>
        <w:t>以EPS采购时间为准</w:t>
      </w:r>
      <w:r>
        <w:rPr>
          <w:rFonts w:hint="eastAsia" w:ascii="仿宋_GB2312" w:hAnsi="微软雅黑" w:eastAsia="仿宋_GB2312" w:cs="Arial"/>
          <w:color w:val="000000" w:themeColor="text1"/>
          <w:sz w:val="32"/>
          <w:szCs w:val="32"/>
          <w14:textFill>
            <w14:solidFill>
              <w14:schemeClr w14:val="tx1"/>
            </w14:solidFill>
          </w14:textFill>
        </w:rPr>
        <w:t>）在中粮糖业EPS集采平台上报名并获取询价文件。甲方经</w:t>
      </w:r>
      <w:r>
        <w:rPr>
          <w:rFonts w:hint="eastAsia" w:ascii="仿宋_GB2312" w:hAnsi="微软雅黑" w:eastAsia="仿宋_GB2312" w:cs="Arial"/>
          <w:color w:val="000000"/>
          <w:sz w:val="32"/>
          <w:szCs w:val="32"/>
        </w:rPr>
        <w:t>过资质审查后，供应商需在3个工作日内</w:t>
      </w:r>
      <w:r>
        <w:rPr>
          <w:rFonts w:ascii="仿宋_GB2312" w:hAnsi="微软雅黑" w:eastAsia="仿宋_GB2312" w:cs="Arial"/>
          <w:color w:val="000000"/>
          <w:sz w:val="32"/>
          <w:szCs w:val="32"/>
        </w:rPr>
        <w:t>202</w:t>
      </w:r>
      <w:r>
        <w:rPr>
          <w:rFonts w:hint="eastAsia" w:ascii="仿宋_GB2312" w:hAnsi="微软雅黑" w:eastAsia="仿宋_GB2312" w:cs="Arial"/>
          <w:color w:val="000000"/>
          <w:sz w:val="32"/>
          <w:szCs w:val="32"/>
          <w:lang w:val="en-US" w:eastAsia="zh-CN"/>
        </w:rPr>
        <w:t>3</w:t>
      </w:r>
      <w:r>
        <w:rPr>
          <w:rFonts w:ascii="仿宋_GB2312" w:hAnsi="微软雅黑" w:eastAsia="仿宋_GB2312" w:cs="Arial"/>
          <w:color w:val="000000"/>
          <w:sz w:val="32"/>
          <w:szCs w:val="32"/>
        </w:rPr>
        <w:t>年</w:t>
      </w:r>
      <w:r>
        <w:rPr>
          <w:rFonts w:hint="eastAsia" w:ascii="仿宋_GB2312" w:hAnsi="微软雅黑" w:eastAsia="仿宋_GB2312" w:cs="Arial"/>
          <w:color w:val="000000"/>
          <w:sz w:val="32"/>
          <w:szCs w:val="32"/>
        </w:rPr>
        <w:t>6</w:t>
      </w:r>
      <w:r>
        <w:rPr>
          <w:rFonts w:ascii="仿宋_GB2312" w:hAnsi="微软雅黑" w:eastAsia="仿宋_GB2312" w:cs="Arial"/>
          <w:color w:val="000000"/>
          <w:sz w:val="32"/>
          <w:szCs w:val="32"/>
        </w:rPr>
        <w:t>月</w:t>
      </w:r>
      <w:r>
        <w:rPr>
          <w:rFonts w:hint="eastAsia" w:ascii="仿宋_GB2312" w:hAnsi="微软雅黑" w:eastAsia="仿宋_GB2312" w:cs="Arial"/>
          <w:color w:val="000000"/>
          <w:sz w:val="32"/>
          <w:szCs w:val="32"/>
          <w:lang w:val="en-US" w:eastAsia="zh-CN"/>
        </w:rPr>
        <w:t>19</w:t>
      </w:r>
      <w:bookmarkStart w:id="0" w:name="_GoBack"/>
      <w:bookmarkEnd w:id="0"/>
      <w:r>
        <w:rPr>
          <w:rFonts w:ascii="仿宋_GB2312" w:hAnsi="微软雅黑" w:eastAsia="仿宋_GB2312" w:cs="Arial"/>
          <w:color w:val="000000"/>
          <w:sz w:val="32"/>
          <w:szCs w:val="32"/>
        </w:rPr>
        <w:t>日</w:t>
      </w:r>
      <w:r>
        <w:rPr>
          <w:rFonts w:hint="eastAsia" w:ascii="仿宋_GB2312" w:hAnsi="微软雅黑" w:eastAsia="仿宋_GB2312" w:cs="Arial"/>
          <w:color w:val="000000"/>
          <w:sz w:val="32"/>
          <w:szCs w:val="32"/>
        </w:rPr>
        <w:t>18：00前报价并将投标文件以电子版的方式递交至：中粮糖业公司EPS电子采购系统（网址</w:t>
      </w:r>
      <w:r>
        <w:fldChar w:fldCharType="begin"/>
      </w:r>
      <w:r>
        <w:instrText xml:space="preserve"> HYPERLINK "http://eps.tunhe.com" </w:instrText>
      </w:r>
      <w:r>
        <w:fldChar w:fldCharType="separate"/>
      </w:r>
      <w:r>
        <w:rPr>
          <w:rFonts w:hint="eastAsia" w:ascii="仿宋_GB2312" w:hAnsi="微软雅黑" w:eastAsia="仿宋_GB2312" w:cs="Arial"/>
          <w:color w:val="000000"/>
          <w:sz w:val="32"/>
          <w:szCs w:val="32"/>
        </w:rPr>
        <w:t>http://eps.tunhe.com</w:t>
      </w:r>
      <w:r>
        <w:rPr>
          <w:rFonts w:hint="eastAsia" w:ascii="仿宋_GB2312" w:hAnsi="微软雅黑" w:eastAsia="仿宋_GB2312" w:cs="Arial"/>
          <w:color w:val="000000"/>
          <w:sz w:val="32"/>
          <w:szCs w:val="32"/>
        </w:rPr>
        <w:fldChar w:fldCharType="end"/>
      </w:r>
      <w:r>
        <w:rPr>
          <w:rFonts w:hint="eastAsia" w:ascii="仿宋_GB2312" w:hAnsi="微软雅黑" w:eastAsia="仿宋_GB2312" w:cs="Arial"/>
          <w:color w:val="000000"/>
          <w:sz w:val="32"/>
          <w:szCs w:val="32"/>
        </w:rPr>
        <w:t>）。</w:t>
      </w:r>
    </w:p>
    <w:p>
      <w:pPr>
        <w:spacing w:line="360" w:lineRule="auto"/>
        <w:ind w:firstLine="640" w:firstLineChars="200"/>
        <w:rPr>
          <w:rFonts w:ascii="仿宋_GB2312" w:hAnsi="微软雅黑" w:eastAsia="仿宋_GB2312" w:cs="Arial"/>
          <w:sz w:val="32"/>
          <w:szCs w:val="32"/>
        </w:rPr>
      </w:pPr>
      <w:r>
        <w:rPr>
          <w:rFonts w:hint="eastAsia" w:ascii="仿宋_GB2312" w:hAnsi="微软雅黑" w:eastAsia="仿宋_GB2312" w:cs="Arial"/>
          <w:sz w:val="32"/>
          <w:szCs w:val="32"/>
        </w:rPr>
        <w:t>5、参加投标供应商不需到达开标现场，线上投标，开标会议室提问答疑。</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1、投标人须为在中华人民共和国境内依法注册的独立法人（一般纳税人或个体工商户）。</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2、具有相关经营许可证等资质。</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3、财务要求：没有处于财产被接管、冻结、破产状态；</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4、信誉要求：近三年无因投标申请人违约或不恰当履约引起的合同终止、纠纷、争议、仲裁和公诉纪录，未列入失信被执行人、重大税收违法案件当事人名单；</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5、投标人须提供国家企业信用信息公示系统行政处罚信息、列入经营异常名录信息、列入严重违法失信企业名单（黑名单）信息截图（查询网址：http://www.gsxt.gov.cn/index.html）；</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6、本次采购不接受联合体投标。</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spacing w:line="360" w:lineRule="auto"/>
        <w:ind w:firstLine="640" w:firstLineChars="200"/>
        <w:rPr>
          <w:rFonts w:ascii="仿宋_GB2312" w:hAnsi="微软雅黑" w:eastAsia="仿宋_GB2312" w:cs="仿宋_GB2312"/>
          <w:sz w:val="32"/>
          <w:szCs w:val="32"/>
        </w:rPr>
      </w:pPr>
      <w:r>
        <w:rPr>
          <w:rFonts w:hint="eastAsia" w:ascii="仿宋_GB2312" w:hAnsi="微软雅黑" w:eastAsia="仿宋_GB2312" w:cs="仿宋_GB2312"/>
          <w:color w:val="000000"/>
          <w:kern w:val="0"/>
          <w:sz w:val="32"/>
          <w:szCs w:val="32"/>
        </w:rPr>
        <w:t>各单位</w:t>
      </w:r>
      <w:r>
        <w:rPr>
          <w:rFonts w:hint="eastAsia" w:ascii="仿宋_GB2312" w:hAnsi="微软雅黑" w:eastAsia="仿宋_GB2312" w:cs="仿宋_GB2312"/>
          <w:sz w:val="32"/>
          <w:szCs w:val="32"/>
        </w:rPr>
        <w:t>对其提交材料的真实性负责，提交的材料需上传至EPS附件中（加盖工章）。</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仿宋_GB2312"/>
          <w:bCs/>
          <w:color w:val="000000"/>
          <w:kern w:val="0"/>
          <w:sz w:val="32"/>
          <w:szCs w:val="32"/>
        </w:rPr>
        <w:t>各部分主要内容如下：</w:t>
      </w:r>
    </w:p>
    <w:p>
      <w:pPr>
        <w:spacing w:line="360" w:lineRule="auto"/>
        <w:ind w:firstLine="643" w:firstLineChars="200"/>
        <w:rPr>
          <w:rFonts w:ascii="仿宋_GB2312" w:hAnsi="微软雅黑" w:eastAsia="仿宋_GB2312" w:cs="仿宋_GB2312"/>
          <w:b/>
          <w:bCs/>
          <w:color w:val="000000"/>
          <w:kern w:val="0"/>
          <w:sz w:val="32"/>
          <w:szCs w:val="32"/>
        </w:rPr>
      </w:pPr>
      <w:r>
        <w:rPr>
          <w:rFonts w:hint="eastAsia" w:ascii="仿宋_GB2312" w:hAnsi="微软雅黑" w:eastAsia="仿宋_GB2312" w:cs="仿宋_GB2312"/>
          <w:b/>
          <w:bCs/>
          <w:color w:val="000000"/>
          <w:kern w:val="0"/>
          <w:sz w:val="32"/>
          <w:szCs w:val="32"/>
        </w:rPr>
        <w:t>1、文件</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1.1资格证明文件，包含营业执照、开户许可、授权委托（必要）。</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1.2 承诺书，包含廉洁、质量承诺书（必要） 。</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1.3 报价单（含税）（必要）。</w:t>
      </w:r>
    </w:p>
    <w:p>
      <w:pPr>
        <w:widowControl/>
        <w:spacing w:line="360" w:lineRule="auto"/>
        <w:ind w:firstLine="510"/>
        <w:jc w:val="left"/>
        <w:rPr>
          <w:rFonts w:ascii="仿宋_GB2312" w:hAnsi="微软雅黑" w:eastAsia="仿宋_GB2312" w:cs="仿宋_GB2312"/>
          <w:b/>
          <w:color w:val="000000"/>
          <w:kern w:val="0"/>
          <w:sz w:val="32"/>
          <w:szCs w:val="32"/>
        </w:rPr>
      </w:pPr>
      <w:r>
        <w:rPr>
          <w:rFonts w:hint="eastAsia" w:ascii="仿宋_GB2312" w:hAnsi="微软雅黑" w:eastAsia="仿宋_GB2312" w:cs="仿宋_GB2312"/>
          <w:b/>
          <w:color w:val="000000"/>
          <w:kern w:val="0"/>
          <w:sz w:val="32"/>
          <w:szCs w:val="32"/>
        </w:rPr>
        <w:t>2、项目报价文件</w:t>
      </w:r>
    </w:p>
    <w:p>
      <w:pPr>
        <w:widowControl/>
        <w:spacing w:line="360" w:lineRule="auto"/>
        <w:ind w:firstLine="51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供应商需在我公司EPS平台中，按项目明细填写报价。对各个子项进行报价并上传至EPS系统中，同时按照要求以PDF文件形式上传</w:t>
      </w:r>
      <w:r>
        <w:rPr>
          <w:rFonts w:hint="eastAsia" w:ascii="仿宋_GB2312" w:hAnsi="微软雅黑" w:eastAsia="仿宋_GB2312" w:cs="Arial"/>
          <w:color w:val="000000"/>
          <w:sz w:val="32"/>
          <w:szCs w:val="32"/>
        </w:rPr>
        <w:t>附件（盖章后报价单、廉洁承诺书、质量承诺书等所需资质文件），</w:t>
      </w:r>
      <w:r>
        <w:rPr>
          <w:rFonts w:hint="eastAsia" w:ascii="仿宋_GB2312" w:hAnsi="微软雅黑" w:eastAsia="仿宋_GB2312" w:cs="仿宋_GB2312"/>
          <w:color w:val="000000"/>
          <w:kern w:val="0"/>
          <w:sz w:val="32"/>
          <w:szCs w:val="32"/>
        </w:rPr>
        <w:t>供应商需保证在EPS平台中填报的价格与上传的报价文件中的价格相一致，不一致的以上传的报价文件中的价格为准。</w:t>
      </w:r>
    </w:p>
    <w:p>
      <w:pPr>
        <w:widowControl/>
        <w:spacing w:line="360" w:lineRule="auto"/>
        <w:ind w:firstLine="643" w:firstLineChars="200"/>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本次采购公告在中粮屯河糖业股份有限公司采购电子平台（EPS）上发布。</w:t>
      </w:r>
    </w:p>
    <w:p>
      <w:pPr>
        <w:pStyle w:val="11"/>
        <w:spacing w:line="360" w:lineRule="auto"/>
        <w:ind w:firstLine="643" w:firstLineChars="200"/>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中粮屯河糖业股份有限公司纪检信访举报联络方式:</w:t>
      </w:r>
    </w:p>
    <w:p>
      <w:pPr>
        <w:pStyle w:val="38"/>
        <w:numPr>
          <w:ilvl w:val="0"/>
          <w:numId w:val="2"/>
        </w:numPr>
        <w:ind w:left="798" w:firstLineChars="0"/>
        <w:jc w:val="left"/>
        <w:rPr>
          <w:rFonts w:ascii="仿宋_GB2312" w:hAnsi="仿宋" w:eastAsia="仿宋_GB2312" w:cs="仿宋_GB2312"/>
          <w:bCs/>
          <w:sz w:val="28"/>
          <w:szCs w:val="28"/>
        </w:rPr>
      </w:pP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通讯地址1：北京市朝阳区朝阳门南大街8号中粮福临门大厦9层905房间，中粮糖业纪委办公室（收），邮政编码：100020</w:t>
      </w:r>
    </w:p>
    <w:p>
      <w:pPr>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2</w:t>
      </w:r>
      <w:r>
        <w:rPr>
          <w:rFonts w:ascii="仿宋_GB2312" w:hAnsi="仿宋" w:eastAsia="仿宋_GB2312" w:cs="仿宋_GB2312"/>
          <w:bCs/>
          <w:sz w:val="28"/>
          <w:szCs w:val="28"/>
        </w:rPr>
        <w:t>.致电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举报电话</w:t>
      </w:r>
      <w:r>
        <w:rPr>
          <w:rFonts w:hint="eastAsia" w:ascii="仿宋_GB2312" w:hAnsi="仿宋" w:eastAsia="仿宋_GB2312" w:cs="仿宋_GB2312"/>
          <w:bCs/>
          <w:sz w:val="28"/>
          <w:szCs w:val="28"/>
        </w:rPr>
        <w:t xml:space="preserve"> 010-85017235</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中粮屯河番茄有限公司纪检信访举报联络方式:</w:t>
      </w:r>
    </w:p>
    <w:p>
      <w:pPr>
        <w:ind w:left="567" w:firstLine="75" w:firstLineChars="27"/>
        <w:rPr>
          <w:rFonts w:ascii="仿宋_GB2312" w:hAnsi="仿宋" w:eastAsia="仿宋_GB2312" w:cs="仿宋_GB2312"/>
          <w:bCs/>
          <w:sz w:val="28"/>
          <w:szCs w:val="28"/>
        </w:rPr>
      </w:pPr>
      <w:r>
        <w:rPr>
          <w:rFonts w:hint="eastAsia" w:ascii="仿宋_GB2312" w:hAnsi="仿宋" w:eastAsia="仿宋_GB2312" w:cs="仿宋_GB2312"/>
          <w:bCs/>
          <w:sz w:val="28"/>
          <w:szCs w:val="28"/>
        </w:rPr>
        <w:t>1</w:t>
      </w: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通讯地址：新疆乌鲁木齐市黄河路2号招商银行大厦2</w:t>
      </w:r>
      <w:r>
        <w:rPr>
          <w:rFonts w:ascii="仿宋_GB2312" w:hAnsi="仿宋" w:eastAsia="仿宋_GB2312" w:cs="仿宋_GB2312"/>
          <w:bCs/>
          <w:sz w:val="28"/>
          <w:szCs w:val="28"/>
        </w:rPr>
        <w:t>0</w:t>
      </w:r>
      <w:r>
        <w:rPr>
          <w:rFonts w:hint="eastAsia" w:ascii="仿宋_GB2312" w:hAnsi="仿宋" w:eastAsia="仿宋_GB2312" w:cs="仿宋_GB2312"/>
          <w:bCs/>
          <w:sz w:val="28"/>
          <w:szCs w:val="28"/>
        </w:rPr>
        <w:t>楼中粮屯河番茄有限公司党群纪检部（收），邮政编码：</w:t>
      </w:r>
      <w:r>
        <w:rPr>
          <w:rFonts w:ascii="仿宋_GB2312" w:hAnsi="仿宋" w:eastAsia="仿宋_GB2312" w:cs="仿宋_GB2312"/>
          <w:bCs/>
          <w:sz w:val="28"/>
          <w:szCs w:val="28"/>
        </w:rPr>
        <w:t>83000</w:t>
      </w:r>
      <w:r>
        <w:rPr>
          <w:rFonts w:hint="eastAsia" w:ascii="仿宋_GB2312" w:hAnsi="仿宋" w:eastAsia="仿宋_GB2312" w:cs="仿宋_GB2312"/>
          <w:bCs/>
          <w:sz w:val="28"/>
          <w:szCs w:val="28"/>
        </w:rPr>
        <w:t>0</w:t>
      </w:r>
    </w:p>
    <w:p>
      <w:pPr>
        <w:ind w:left="567" w:firstLine="75" w:firstLineChars="27"/>
        <w:rPr>
          <w:rFonts w:ascii="仿宋_GB2312" w:hAnsi="仿宋" w:eastAsia="仿宋_GB2312" w:cs="仿宋_GB2312"/>
          <w:bCs/>
          <w:sz w:val="28"/>
          <w:szCs w:val="28"/>
        </w:rPr>
      </w:pPr>
      <w:r>
        <w:rPr>
          <w:rFonts w:ascii="仿宋_GB2312" w:hAnsi="仿宋" w:eastAsia="仿宋_GB2312" w:cs="仿宋_GB2312"/>
          <w:bCs/>
          <w:sz w:val="28"/>
          <w:szCs w:val="28"/>
        </w:rPr>
        <w:t>2.致电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举报电话0991－6173321   手机</w:t>
      </w:r>
      <w:r>
        <w:rPr>
          <w:rFonts w:ascii="仿宋_GB2312" w:hAnsi="仿宋" w:eastAsia="仿宋_GB2312" w:cs="仿宋_GB2312"/>
          <w:bCs/>
          <w:sz w:val="28"/>
          <w:szCs w:val="28"/>
        </w:rPr>
        <w:t>18709967070</w:t>
      </w:r>
    </w:p>
    <w:p>
      <w:pPr>
        <w:spacing w:line="360" w:lineRule="auto"/>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内蒙古中粮番茄制品有限公司联系方式：</w:t>
      </w:r>
    </w:p>
    <w:p>
      <w:pPr>
        <w:spacing w:line="360" w:lineRule="auto"/>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 xml:space="preserve">纪检监督：内蒙中粮番茄公司纪检负责人  </w:t>
      </w:r>
      <w:r>
        <w:rPr>
          <w:rFonts w:hint="eastAsia" w:ascii="仿宋_GB2312" w:hAnsi="仿宋" w:eastAsia="仿宋_GB2312" w:cs="仿宋_GB2312"/>
          <w:bCs/>
          <w:sz w:val="28"/>
          <w:szCs w:val="28"/>
          <w:lang w:val="en-US" w:eastAsia="zh-CN"/>
        </w:rPr>
        <w:t>宋奎</w:t>
      </w:r>
      <w:r>
        <w:rPr>
          <w:rFonts w:hint="eastAsia" w:ascii="仿宋_GB2312" w:hAnsi="仿宋" w:eastAsia="仿宋_GB2312" w:cs="仿宋_GB2312"/>
          <w:bCs/>
          <w:sz w:val="28"/>
          <w:szCs w:val="28"/>
        </w:rPr>
        <w:t>15199680055</w:t>
      </w:r>
    </w:p>
    <w:p>
      <w:pPr>
        <w:widowControl/>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业务监督: 内蒙中粮公司财务经理        张慧15048991914</w:t>
      </w:r>
    </w:p>
    <w:p>
      <w:pPr>
        <w:pStyle w:val="2"/>
      </w:pPr>
    </w:p>
    <w:p>
      <w:pPr>
        <w:widowControl/>
        <w:ind w:firstLine="643" w:firstLineChars="200"/>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p>
      <w:pPr>
        <w:widowControl/>
        <w:ind w:firstLine="643" w:firstLineChars="200"/>
        <w:jc w:val="center"/>
        <w:rPr>
          <w:rFonts w:ascii="仿宋_GB2312" w:hAnsi="仿宋_GB2312" w:eastAsia="仿宋_GB2312" w:cs="仿宋_GB2312"/>
          <w:b/>
          <w:color w:val="000000"/>
          <w:kern w:val="0"/>
          <w:sz w:val="32"/>
          <w:szCs w:val="32"/>
        </w:rPr>
      </w:pPr>
    </w:p>
    <w:tbl>
      <w:tblPr>
        <w:tblStyle w:val="21"/>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89"/>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5" w:type="pct"/>
            <w:vAlign w:val="center"/>
          </w:tcPr>
          <w:p>
            <w:pPr>
              <w:pStyle w:val="11"/>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 xml:space="preserve">类 </w:t>
            </w:r>
            <w:r>
              <w:rPr>
                <w:rFonts w:ascii="微软雅黑" w:hAnsi="微软雅黑" w:eastAsia="微软雅黑"/>
                <w:sz w:val="22"/>
                <w:szCs w:val="24"/>
              </w:rPr>
              <w:t xml:space="preserve"> </w:t>
            </w:r>
            <w:r>
              <w:rPr>
                <w:rFonts w:hint="eastAsia" w:ascii="微软雅黑" w:hAnsi="微软雅黑" w:eastAsia="微软雅黑"/>
                <w:sz w:val="22"/>
                <w:szCs w:val="24"/>
              </w:rPr>
              <w:t>别</w:t>
            </w:r>
          </w:p>
        </w:tc>
        <w:tc>
          <w:tcPr>
            <w:tcW w:w="364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1.1</w:t>
            </w:r>
          </w:p>
        </w:tc>
        <w:tc>
          <w:tcPr>
            <w:tcW w:w="918" w:type="pct"/>
            <w:vAlign w:val="center"/>
          </w:tcPr>
          <w:p>
            <w:pPr>
              <w:spacing w:line="360" w:lineRule="exact"/>
              <w:jc w:val="center"/>
              <w:rPr>
                <w:rFonts w:ascii="微软雅黑" w:hAnsi="微软雅黑" w:eastAsia="微软雅黑" w:cs="Arial"/>
                <w:kern w:val="0"/>
                <w:sz w:val="22"/>
              </w:rPr>
            </w:pPr>
            <w:r>
              <w:rPr>
                <w:rFonts w:hint="eastAsia" w:ascii="微软雅黑" w:hAnsi="微软雅黑" w:eastAsia="微软雅黑" w:cs="Arial"/>
                <w:kern w:val="0"/>
                <w:sz w:val="22"/>
              </w:rPr>
              <w:t>项目名称</w:t>
            </w:r>
          </w:p>
        </w:tc>
        <w:tc>
          <w:tcPr>
            <w:tcW w:w="3647"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sz w:val="22"/>
              </w:rPr>
              <w:t>车辆定点维修供应商招标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采购方</w:t>
            </w:r>
          </w:p>
        </w:tc>
        <w:tc>
          <w:tcPr>
            <w:tcW w:w="3647"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rPr>
              <w:t>内蒙古中粮番茄制品有限公司</w:t>
            </w:r>
          </w:p>
          <w:p>
            <w:pPr>
              <w:tabs>
                <w:tab w:val="left" w:pos="9660"/>
              </w:tabs>
              <w:rPr>
                <w:rFonts w:ascii="微软雅黑" w:hAnsi="微软雅黑" w:eastAsia="微软雅黑"/>
                <w:sz w:val="22"/>
                <w:szCs w:val="28"/>
              </w:rPr>
            </w:pPr>
            <w:r>
              <w:rPr>
                <w:rFonts w:hint="eastAsia" w:ascii="微软雅黑" w:hAnsi="微软雅黑" w:eastAsia="微软雅黑" w:cs="Arial"/>
                <w:kern w:val="0"/>
                <w:sz w:val="22"/>
              </w:rPr>
              <w:t>地址：</w:t>
            </w:r>
            <w:r>
              <w:rPr>
                <w:rFonts w:hint="eastAsia" w:ascii="微软雅黑" w:hAnsi="微软雅黑" w:eastAsia="微软雅黑"/>
                <w:sz w:val="22"/>
                <w:szCs w:val="28"/>
              </w:rPr>
              <w:t>内蒙古巴彦淖尔市磴口工业园区</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采购组织：</w:t>
            </w:r>
            <w:r>
              <w:rPr>
                <w:rFonts w:hint="eastAsia" w:ascii="微软雅黑" w:hAnsi="微软雅黑" w:eastAsia="微软雅黑"/>
                <w:sz w:val="22"/>
              </w:rPr>
              <w:t>内蒙古中粮番茄制品有限公司</w:t>
            </w:r>
          </w:p>
          <w:p>
            <w:pPr>
              <w:spacing w:line="540" w:lineRule="exact"/>
              <w:jc w:val="left"/>
              <w:rPr>
                <w:rFonts w:ascii="微软雅黑" w:hAnsi="微软雅黑" w:eastAsia="微软雅黑" w:cs="Arial"/>
                <w:kern w:val="0"/>
                <w:sz w:val="22"/>
              </w:rPr>
            </w:pPr>
            <w:r>
              <w:rPr>
                <w:rFonts w:hint="eastAsia" w:ascii="微软雅黑" w:hAnsi="微软雅黑" w:eastAsia="微软雅黑" w:cs="Arial"/>
                <w:kern w:val="0"/>
                <w:sz w:val="22"/>
              </w:rPr>
              <w:t>联系人：石峰</w:t>
            </w:r>
            <w:r>
              <w:rPr>
                <w:rFonts w:hint="eastAsia" w:ascii="微软雅黑" w:hAnsi="微软雅黑" w:eastAsia="微软雅黑"/>
                <w:sz w:val="22"/>
              </w:rPr>
              <w:t xml:space="preserve">   电话：7967560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项目概况</w:t>
            </w:r>
          </w:p>
        </w:tc>
        <w:tc>
          <w:tcPr>
            <w:tcW w:w="3647" w:type="pct"/>
            <w:vAlign w:val="center"/>
          </w:tcPr>
          <w:p>
            <w:pPr>
              <w:pStyle w:val="11"/>
              <w:spacing w:line="440" w:lineRule="exact"/>
              <w:rPr>
                <w:rFonts w:ascii="微软雅黑" w:hAnsi="微软雅黑" w:eastAsia="微软雅黑"/>
                <w:bCs/>
                <w:sz w:val="22"/>
                <w:szCs w:val="24"/>
                <w:highlight w:val="yellow"/>
              </w:rPr>
            </w:pPr>
            <w:r>
              <w:rPr>
                <w:rFonts w:hint="eastAsia" w:ascii="微软雅黑" w:hAnsi="微软雅黑" w:eastAsia="微软雅黑"/>
                <w:bCs/>
                <w:sz w:val="22"/>
                <w:szCs w:val="24"/>
              </w:rPr>
              <w:t>车辆定点维修清单（用品清单见附件）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1.4</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采购方式</w:t>
            </w:r>
          </w:p>
        </w:tc>
        <w:tc>
          <w:tcPr>
            <w:tcW w:w="3647" w:type="pct"/>
            <w:vAlign w:val="center"/>
          </w:tcPr>
          <w:p>
            <w:pPr>
              <w:pStyle w:val="11"/>
              <w:spacing w:line="440" w:lineRule="exact"/>
              <w:rPr>
                <w:rFonts w:ascii="微软雅黑" w:hAnsi="微软雅黑" w:eastAsia="微软雅黑"/>
                <w:bCs/>
                <w:sz w:val="22"/>
                <w:szCs w:val="24"/>
              </w:rPr>
            </w:pPr>
            <w:r>
              <w:rPr>
                <w:rFonts w:hint="eastAsia" w:ascii="微软雅黑" w:hAnsi="微软雅黑" w:eastAsia="微软雅黑"/>
                <w:bCs/>
                <w:sz w:val="22"/>
                <w:szCs w:val="24"/>
              </w:rPr>
              <w:t>中粮糖业EPS采购平台采用公开询价比价方式；</w:t>
            </w:r>
          </w:p>
          <w:p>
            <w:pPr>
              <w:pStyle w:val="11"/>
              <w:spacing w:line="440" w:lineRule="exact"/>
              <w:rPr>
                <w:rFonts w:ascii="微软雅黑" w:hAnsi="微软雅黑" w:eastAsia="微软雅黑"/>
                <w:bCs/>
                <w:sz w:val="22"/>
                <w:szCs w:val="24"/>
              </w:rPr>
            </w:pPr>
            <w:r>
              <w:rPr>
                <w:rFonts w:hint="eastAsia" w:ascii="微软雅黑" w:hAnsi="微软雅黑" w:eastAsia="微软雅黑"/>
                <w:bCs/>
                <w:sz w:val="22"/>
                <w:szCs w:val="24"/>
              </w:rPr>
              <w:t>各子项目报价，1轮报价。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1.5</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开标组织成员</w:t>
            </w:r>
          </w:p>
        </w:tc>
        <w:tc>
          <w:tcPr>
            <w:tcW w:w="3647" w:type="pct"/>
            <w:vAlign w:val="center"/>
          </w:tcPr>
          <w:p>
            <w:pPr>
              <w:pStyle w:val="11"/>
              <w:spacing w:line="360" w:lineRule="exact"/>
              <w:rPr>
                <w:rFonts w:ascii="微软雅黑" w:hAnsi="微软雅黑" w:eastAsia="微软雅黑"/>
                <w:sz w:val="22"/>
                <w:szCs w:val="24"/>
              </w:rPr>
            </w:pPr>
            <w:r>
              <w:rPr>
                <w:rFonts w:hint="eastAsia" w:ascii="微软雅黑" w:hAnsi="微软雅黑" w:eastAsia="微软雅黑"/>
                <w:sz w:val="22"/>
                <w:szCs w:val="24"/>
              </w:rPr>
              <w:t>总人数为</w:t>
            </w:r>
            <w:r>
              <w:rPr>
                <w:rFonts w:ascii="微软雅黑" w:hAnsi="微软雅黑" w:eastAsia="微软雅黑"/>
                <w:sz w:val="22"/>
                <w:szCs w:val="24"/>
              </w:rPr>
              <w:t>3</w:t>
            </w:r>
            <w:r>
              <w:rPr>
                <w:rFonts w:hint="eastAsia" w:ascii="微软雅黑" w:hAnsi="微软雅黑" w:eastAsia="微软雅黑"/>
                <w:sz w:val="22"/>
                <w:szCs w:val="24"/>
              </w:rPr>
              <w:t>人及</w:t>
            </w:r>
            <w:r>
              <w:rPr>
                <w:rFonts w:ascii="微软雅黑" w:hAnsi="微软雅黑" w:eastAsia="微软雅黑"/>
                <w:sz w:val="22"/>
                <w:szCs w:val="24"/>
              </w:rPr>
              <w:t>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1.6</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开标方案</w:t>
            </w:r>
          </w:p>
        </w:tc>
        <w:tc>
          <w:tcPr>
            <w:tcW w:w="3647" w:type="pct"/>
            <w:vAlign w:val="center"/>
          </w:tcPr>
          <w:p>
            <w:pPr>
              <w:spacing w:line="360" w:lineRule="exact"/>
              <w:jc w:val="left"/>
              <w:rPr>
                <w:rFonts w:ascii="微软雅黑" w:hAnsi="微软雅黑" w:eastAsia="微软雅黑"/>
                <w:bCs/>
                <w:sz w:val="22"/>
              </w:rPr>
            </w:pPr>
            <w:r>
              <w:rPr>
                <w:rFonts w:hint="eastAsia" w:ascii="微软雅黑" w:hAnsi="微软雅黑" w:eastAsia="微软雅黑"/>
                <w:bCs/>
                <w:sz w:val="22"/>
              </w:rPr>
              <w:t>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1.7</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合同签订及付款方式</w:t>
            </w:r>
          </w:p>
        </w:tc>
        <w:tc>
          <w:tcPr>
            <w:tcW w:w="3647" w:type="pct"/>
            <w:vAlign w:val="center"/>
          </w:tcPr>
          <w:p>
            <w:pPr>
              <w:pStyle w:val="38"/>
              <w:ind w:firstLine="0" w:firstLineChars="0"/>
              <w:rPr>
                <w:rFonts w:ascii="微软雅黑" w:hAnsi="微软雅黑" w:eastAsia="微软雅黑" w:cs="Tahoma"/>
                <w:color w:val="000000"/>
                <w:sz w:val="22"/>
                <w:szCs w:val="22"/>
              </w:rPr>
            </w:pPr>
            <w:r>
              <w:rPr>
                <w:rFonts w:hint="eastAsia" w:ascii="微软雅黑" w:hAnsi="微软雅黑" w:eastAsia="微软雅黑"/>
                <w:sz w:val="22"/>
              </w:rPr>
              <w:t>本项目确定供应商后，由内蒙古中粮番茄制品有限公司与中标供应商</w:t>
            </w:r>
            <w:r>
              <w:rPr>
                <w:rFonts w:hint="eastAsia" w:ascii="微软雅黑" w:hAnsi="微软雅黑" w:eastAsia="微软雅黑" w:cs="Tahoma"/>
                <w:color w:val="000000"/>
                <w:sz w:val="22"/>
                <w:szCs w:val="22"/>
              </w:rPr>
              <w:t>签订合同，并按照合同约定条款进行付款。</w:t>
            </w:r>
          </w:p>
          <w:p>
            <w:pPr>
              <w:pStyle w:val="38"/>
              <w:ind w:firstLine="0" w:firstLineChars="0"/>
              <w:rPr>
                <w:rFonts w:ascii="微软雅黑" w:hAnsi="微软雅黑" w:eastAsia="微软雅黑" w:cs="Tahoma"/>
                <w:color w:val="000000"/>
                <w:sz w:val="22"/>
                <w:szCs w:val="22"/>
              </w:rPr>
            </w:pPr>
            <w:r>
              <w:rPr>
                <w:rFonts w:hint="eastAsia" w:ascii="微软雅黑" w:hAnsi="微软雅黑" w:eastAsia="微软雅黑" w:cs="Tahoma"/>
                <w:color w:val="000000"/>
                <w:sz w:val="22"/>
                <w:szCs w:val="22"/>
                <w:highlight w:val="yellow"/>
              </w:rPr>
              <w:t>付款方式：</w:t>
            </w:r>
            <w:r>
              <w:rPr>
                <w:rFonts w:hint="eastAsia" w:ascii="微软雅黑" w:hAnsi="微软雅黑" w:eastAsia="微软雅黑" w:cs="Tahoma"/>
                <w:color w:val="000000"/>
                <w:sz w:val="22"/>
                <w:szCs w:val="22"/>
              </w:rPr>
              <w:t>按半年度(6个月)结算，乙方应将车辆维修增值税专用发票（中标单位所提供税率）、车辆维修清单、车辆维修决算清单（包括维修项目及材料明细表）、配件更换清单交到甲方作为报销资料。甲方在接到上述结算凭证并核实无误后，支付90%的维修款，剩余10%货款次年春节前付清。公司将车辆维修费划到乙方对公指定资金账户，乙方出具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1.8</w:t>
            </w:r>
          </w:p>
        </w:tc>
        <w:tc>
          <w:tcPr>
            <w:tcW w:w="918" w:type="pct"/>
          </w:tcPr>
          <w:p>
            <w:pPr>
              <w:spacing w:line="360" w:lineRule="exact"/>
              <w:jc w:val="center"/>
              <w:rPr>
                <w:rFonts w:ascii="微软雅黑" w:hAnsi="微软雅黑" w:eastAsia="微软雅黑"/>
                <w:sz w:val="22"/>
                <w:szCs w:val="22"/>
              </w:rPr>
            </w:pPr>
            <w:r>
              <w:rPr>
                <w:rFonts w:hint="eastAsia" w:ascii="微软雅黑" w:hAnsi="微软雅黑" w:eastAsia="微软雅黑"/>
                <w:sz w:val="22"/>
                <w:szCs w:val="22"/>
              </w:rPr>
              <w:t>标的说明</w:t>
            </w:r>
          </w:p>
        </w:tc>
        <w:tc>
          <w:tcPr>
            <w:tcW w:w="3647" w:type="pct"/>
          </w:tcPr>
          <w:p>
            <w:pPr>
              <w:spacing w:line="400" w:lineRule="exact"/>
              <w:jc w:val="left"/>
              <w:rPr>
                <w:rFonts w:ascii="微软雅黑" w:hAnsi="微软雅黑" w:eastAsia="微软雅黑"/>
                <w:sz w:val="22"/>
                <w:szCs w:val="22"/>
                <w:highlight w:val="yellow"/>
              </w:rPr>
            </w:pPr>
            <w:r>
              <w:rPr>
                <w:rFonts w:hint="eastAsia" w:ascii="微软雅黑" w:hAnsi="微软雅黑" w:eastAsia="微软雅黑"/>
                <w:sz w:val="22"/>
                <w:szCs w:val="22"/>
              </w:rPr>
              <w:t>投标单位在人员使用上须遵守《中华人民共和国劳动法》、《中华人民共和国劳动合同法》、《中华人民共和国民法典》及相关解释的要求，不得存在违法违规用工、用料情况。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w:t>
            </w:r>
            <w:r>
              <w:rPr>
                <w:rFonts w:ascii="微软雅黑" w:hAnsi="微软雅黑" w:eastAsia="微软雅黑"/>
                <w:sz w:val="22"/>
              </w:rPr>
              <w:t>.9</w:t>
            </w:r>
          </w:p>
        </w:tc>
        <w:tc>
          <w:tcPr>
            <w:tcW w:w="918" w:type="pct"/>
            <w:vAlign w:val="center"/>
          </w:tcPr>
          <w:p>
            <w:pPr>
              <w:spacing w:line="360" w:lineRule="exact"/>
              <w:jc w:val="center"/>
              <w:rPr>
                <w:rFonts w:ascii="微软雅黑" w:hAnsi="微软雅黑" w:eastAsia="微软雅黑"/>
                <w:sz w:val="22"/>
                <w:szCs w:val="22"/>
              </w:rPr>
            </w:pPr>
            <w:r>
              <w:rPr>
                <w:rFonts w:hint="eastAsia" w:ascii="微软雅黑" w:hAnsi="微软雅黑" w:eastAsia="微软雅黑" w:cs="Arial"/>
                <w:sz w:val="22"/>
                <w:szCs w:val="22"/>
              </w:rPr>
              <w:t>投标方入围要求</w:t>
            </w:r>
          </w:p>
        </w:tc>
        <w:tc>
          <w:tcPr>
            <w:tcW w:w="3647" w:type="pct"/>
            <w:vAlign w:val="center"/>
          </w:tcPr>
          <w:p>
            <w:pPr>
              <w:spacing w:line="360" w:lineRule="auto"/>
              <w:rPr>
                <w:rFonts w:ascii="微软雅黑" w:hAnsi="微软雅黑" w:eastAsia="微软雅黑" w:cs="Arial"/>
                <w:sz w:val="22"/>
                <w:szCs w:val="22"/>
              </w:rPr>
            </w:pPr>
            <w:r>
              <w:rPr>
                <w:rFonts w:hint="eastAsia" w:ascii="微软雅黑" w:hAnsi="微软雅黑" w:eastAsia="微软雅黑" w:cs="Arial"/>
                <w:sz w:val="22"/>
                <w:szCs w:val="22"/>
              </w:rPr>
              <w:t>一、投标方入围要求</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1、具有独立法人资格的企业</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企业信誉、没有处于被责令停业、财产被接管、冻结、破产状态，没有骗取中标、严重违约以及无违法违规行为。内蒙古中粮番茄制品有限公司对投标方进行资质审查，查询的相关渠道为：天眼查、政府采购网、信用中国，对诚信有疑问的投标方将做资格排除。</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3、具有相关物业服务资质的企业</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二、投标方出现下列情形之一的，招标小组可取消其投标资格：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1、未按招标文件或招标小组时间规定参加投标的；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2、未按招标文件要求和规定提交有关材料的；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3、有违反相关法律、法规行为的。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三、投标方出现下列情形之一的，招标小组在评审中将拒绝推荐：</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1、不符合招标文件要求的；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 资格证明实质性文件不全或不满足谈判文件规定的招标方资质要求的；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3、 不符合招标文件中规定的其他实质性要求。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4、 在招标过程中，招标小组若发现围标、串标、以行贿手段谋取成交或者以其他弄虚作假方式参加谈判的，该投标方的投标文件将视为无效。</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5、在谈判过程中，投标方可以在规定的时间内报价，同时可以对投标文件的内容，在符合招标文件要求的前提下和规定的时间内进行修改，最终报价必须以书面形式盖企业公章确认并上传EPS系统。</w:t>
            </w:r>
          </w:p>
          <w:p>
            <w:pPr>
              <w:spacing w:line="400" w:lineRule="exact"/>
              <w:rPr>
                <w:rFonts w:ascii="微软雅黑" w:hAnsi="微软雅黑" w:eastAsia="微软雅黑"/>
                <w:sz w:val="22"/>
                <w:szCs w:val="22"/>
              </w:rPr>
            </w:pPr>
            <w:r>
              <w:rPr>
                <w:rFonts w:hint="eastAsia" w:ascii="微软雅黑" w:hAnsi="微软雅黑" w:eastAsia="微软雅黑" w:cs="Arial"/>
                <w:sz w:val="22"/>
                <w:szCs w:val="22"/>
              </w:rPr>
              <w:t>6、不接受联合投标体投标，不允许分包。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2</w:t>
            </w:r>
            <w:r>
              <w:rPr>
                <w:rFonts w:ascii="微软雅黑" w:hAnsi="微软雅黑" w:eastAsia="微软雅黑"/>
                <w:sz w:val="22"/>
              </w:rPr>
              <w:t>.0</w:t>
            </w:r>
          </w:p>
        </w:tc>
        <w:tc>
          <w:tcPr>
            <w:tcW w:w="918" w:type="pct"/>
            <w:vAlign w:val="center"/>
          </w:tcPr>
          <w:p>
            <w:pPr>
              <w:spacing w:line="360" w:lineRule="exact"/>
              <w:jc w:val="center"/>
              <w:rPr>
                <w:rFonts w:ascii="微软雅黑" w:hAnsi="微软雅黑" w:eastAsia="微软雅黑"/>
                <w:sz w:val="22"/>
                <w:szCs w:val="22"/>
              </w:rPr>
            </w:pPr>
            <w:r>
              <w:rPr>
                <w:rFonts w:hint="eastAsia" w:ascii="微软雅黑" w:hAnsi="微软雅黑" w:eastAsia="微软雅黑" w:cs="Arial"/>
                <w:sz w:val="22"/>
                <w:szCs w:val="22"/>
              </w:rPr>
              <w:t>投标方须提交的文件（在EPS系统上传(投标书)）</w:t>
            </w:r>
          </w:p>
        </w:tc>
        <w:tc>
          <w:tcPr>
            <w:tcW w:w="3647" w:type="pct"/>
            <w:vAlign w:val="center"/>
          </w:tcPr>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1、投标人资质资格证明文件：营业执照（三证合一）、法人授权委托书、开户许可证</w:t>
            </w:r>
          </w:p>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2、承诺书：廉洁承诺书、质量承诺书</w:t>
            </w:r>
          </w:p>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3、报价一览表：按附件要求提供有效报价单（含税价、工费等）</w:t>
            </w:r>
          </w:p>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4、相应成功合作案例、公司人员配置及实力情况说明</w:t>
            </w:r>
          </w:p>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5、厂内外照片</w:t>
            </w:r>
          </w:p>
          <w:p>
            <w:pPr>
              <w:spacing w:line="360" w:lineRule="auto"/>
              <w:ind w:left="31"/>
              <w:rPr>
                <w:rFonts w:ascii="微软雅黑" w:hAnsi="微软雅黑" w:eastAsia="微软雅黑"/>
                <w:sz w:val="22"/>
                <w:szCs w:val="22"/>
              </w:rPr>
            </w:pPr>
            <w:r>
              <w:rPr>
                <w:rFonts w:hint="eastAsia" w:ascii="微软雅黑" w:hAnsi="微软雅黑" w:eastAsia="微软雅黑" w:cs="Arial"/>
                <w:sz w:val="22"/>
                <w:szCs w:val="22"/>
              </w:rPr>
              <w:t>6、投标人认为有必要提供的其他有关资料。（非必要条件）</w:t>
            </w:r>
          </w:p>
        </w:tc>
      </w:tr>
    </w:tbl>
    <w:p>
      <w:pPr>
        <w:pStyle w:val="38"/>
        <w:spacing w:line="360" w:lineRule="auto"/>
        <w:ind w:left="420" w:firstLine="0"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中标标准  </w:t>
      </w:r>
    </w:p>
    <w:p>
      <w:pPr>
        <w:pStyle w:val="38"/>
        <w:spacing w:line="360" w:lineRule="auto"/>
        <w:ind w:left="420"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项目采用整体最低评标价法。在全部满足谈判文件实质性要求前提下，依据统一的价格要素评定最低报价，以提出最低报价的供应商作为成交供应商。报价由低到高顺序排列，报价相同的，按技术指标优劣顺序排列。在符合采购需求、质量和服务相等的前提下，以提出最低报价的投标人作为成交供应商。</w:t>
      </w:r>
    </w:p>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合同草案</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报价单</w:t>
      </w:r>
    </w:p>
    <w:p>
      <w:pPr>
        <w:widowControl/>
        <w:ind w:firstLine="640"/>
        <w:jc w:val="center"/>
        <w:rPr>
          <w:rFonts w:ascii="宋体" w:hAnsi="宋体"/>
          <w:b/>
          <w:color w:val="000000"/>
          <w:sz w:val="44"/>
          <w:szCs w:val="44"/>
        </w:rPr>
      </w:pPr>
      <w:r>
        <w:rPr>
          <w:rFonts w:hint="eastAsia" w:ascii="宋体" w:hAnsi="宋体"/>
          <w:b/>
          <w:color w:val="000000"/>
          <w:sz w:val="44"/>
          <w:szCs w:val="44"/>
        </w:rPr>
        <w:t xml:space="preserve">资格审查文件格式    </w:t>
      </w:r>
    </w:p>
    <w:p>
      <w:pPr>
        <w:widowControl/>
        <w:ind w:firstLine="640"/>
        <w:rPr>
          <w:rFonts w:ascii="宋体" w:hAnsi="宋体"/>
          <w:b/>
          <w:color w:val="000000"/>
          <w:sz w:val="30"/>
          <w:szCs w:val="30"/>
        </w:rPr>
      </w:pPr>
      <w:r>
        <w:rPr>
          <w:rFonts w:hint="eastAsia" w:ascii="宋体" w:hAnsi="宋体"/>
          <w:b/>
          <w:color w:val="000000"/>
          <w:sz w:val="30"/>
          <w:szCs w:val="30"/>
        </w:rPr>
        <w:t>编制格式要求按照报价文件顺序编写即可</w:t>
      </w:r>
    </w:p>
    <w:p>
      <w:pPr>
        <w:widowControl/>
        <w:ind w:firstLine="640"/>
        <w:rPr>
          <w:rFonts w:ascii="宋体" w:hAnsi="宋体"/>
          <w:b/>
          <w:color w:val="000000"/>
          <w:sz w:val="30"/>
          <w:szCs w:val="30"/>
        </w:rPr>
      </w:pPr>
      <w:r>
        <w:rPr>
          <w:rFonts w:hint="eastAsia" w:ascii="宋体" w:hAnsi="宋体"/>
          <w:b/>
          <w:color w:val="000000"/>
          <w:sz w:val="30"/>
          <w:szCs w:val="30"/>
        </w:rPr>
        <w:t>公共部分见以下表样</w:t>
      </w:r>
    </w:p>
    <w:p>
      <w:pPr>
        <w:widowControl/>
        <w:ind w:firstLine="640"/>
        <w:rPr>
          <w:rFonts w:ascii="宋体" w:hAnsi="宋体"/>
          <w:sz w:val="28"/>
          <w:szCs w:val="28"/>
        </w:rPr>
      </w:pPr>
      <w:r>
        <w:rPr>
          <w:rFonts w:hint="eastAsia" w:ascii="宋体" w:hAnsi="宋体"/>
          <w:sz w:val="28"/>
          <w:szCs w:val="28"/>
        </w:rPr>
        <w:t>附件1</w:t>
      </w:r>
    </w:p>
    <w:p>
      <w:pPr>
        <w:jc w:val="center"/>
        <w:rPr>
          <w:rFonts w:ascii="楷体_GB2312" w:eastAsia="楷体_GB2312"/>
          <w:b/>
          <w:sz w:val="36"/>
          <w:szCs w:val="36"/>
        </w:rPr>
      </w:pPr>
      <w:r>
        <w:rPr>
          <w:rFonts w:hint="eastAsia" w:ascii="楷体_GB2312" w:eastAsia="楷体_GB2312"/>
          <w:b/>
          <w:sz w:val="36"/>
          <w:szCs w:val="36"/>
        </w:rPr>
        <w:t>授权委托书</w:t>
      </w:r>
    </w:p>
    <w:p>
      <w:pPr>
        <w:jc w:val="center"/>
        <w:rPr>
          <w:b/>
          <w:sz w:val="44"/>
          <w:szCs w:val="44"/>
        </w:rPr>
      </w:pPr>
    </w:p>
    <w:p>
      <w:pPr>
        <w:spacing w:line="440" w:lineRule="exact"/>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w:t>
      </w:r>
    </w:p>
    <w:p>
      <w:pPr>
        <w:spacing w:line="440" w:lineRule="exact"/>
        <w:rPr>
          <w:rFonts w:ascii="楷体_GB2312" w:eastAsia="楷体_GB2312"/>
          <w:sz w:val="24"/>
        </w:rPr>
      </w:pPr>
      <w:r>
        <w:rPr>
          <w:rFonts w:hint="eastAsia" w:ascii="楷体_GB2312" w:eastAsia="楷体_GB2312"/>
          <w:sz w:val="24"/>
        </w:rPr>
        <w:t>代理人：</w:t>
      </w:r>
      <w:r>
        <w:rPr>
          <w:rFonts w:hint="eastAsia" w:ascii="楷体_GB2312" w:eastAsia="楷体_GB2312"/>
          <w:b/>
          <w:sz w:val="24"/>
        </w:rPr>
        <w:t>XXX</w:t>
      </w:r>
      <w:r>
        <w:rPr>
          <w:rFonts w:hint="eastAsia" w:ascii="楷体_GB2312" w:eastAsia="楷体_GB2312"/>
          <w:sz w:val="24"/>
        </w:rPr>
        <w:t>，男或女， 年 月 日出生，身份证号码：</w:t>
      </w:r>
      <w:r>
        <w:rPr>
          <w:rFonts w:hint="eastAsia" w:ascii="楷体_GB2312" w:eastAsia="楷体_GB2312"/>
          <w:b/>
          <w:sz w:val="24"/>
        </w:rPr>
        <w:t>XXXXXXXXXXXXXX</w:t>
      </w:r>
      <w:r>
        <w:rPr>
          <w:rFonts w:hint="eastAsia" w:ascii="楷体_GB2312" w:eastAsia="楷体_GB2312"/>
          <w:sz w:val="24"/>
        </w:rPr>
        <w:t>,系</w:t>
      </w:r>
      <w:r>
        <w:rPr>
          <w:rFonts w:hint="eastAsia" w:ascii="楷体_GB2312" w:eastAsia="楷体_GB2312"/>
          <w:b/>
          <w:sz w:val="24"/>
        </w:rPr>
        <w:t>XXXXX</w:t>
      </w:r>
      <w:r>
        <w:rPr>
          <w:rFonts w:hint="eastAsia" w:ascii="楷体_GB2312" w:eastAsia="楷体_GB2312"/>
          <w:sz w:val="24"/>
        </w:rPr>
        <w:t>单位职工，现住</w:t>
      </w:r>
      <w:r>
        <w:rPr>
          <w:rFonts w:hint="eastAsia" w:ascii="楷体_GB2312" w:eastAsia="楷体_GB2312"/>
          <w:b/>
          <w:sz w:val="24"/>
        </w:rPr>
        <w:t>XXXXXXX</w:t>
      </w:r>
      <w:r>
        <w:rPr>
          <w:rFonts w:hint="eastAsia" w:ascii="楷体_GB2312" w:eastAsia="楷体_GB2312"/>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w:t>
      </w:r>
      <w:r>
        <w:rPr>
          <w:rFonts w:hint="eastAsia" w:ascii="楷体_GB2312" w:eastAsia="楷体_GB2312"/>
          <w:b/>
          <w:sz w:val="24"/>
        </w:rPr>
        <w:t>XXX</w:t>
      </w:r>
      <w:r>
        <w:rPr>
          <w:rFonts w:hint="eastAsia" w:ascii="楷体_GB2312" w:eastAsia="楷体_GB2312"/>
          <w:sz w:val="24"/>
        </w:rPr>
        <w:t>代表委托人参加XX</w:t>
      </w:r>
      <w:r>
        <w:rPr>
          <w:rFonts w:hint="eastAsia" w:ascii="楷体_GB2312" w:eastAsia="楷体_GB2312"/>
          <w:b/>
          <w:sz w:val="24"/>
        </w:rPr>
        <w:t>集团公司及所属各级单位</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X</w:t>
      </w:r>
      <w:r>
        <w:rPr>
          <w:rFonts w:ascii="楷体_GB2312" w:eastAsia="楷体_GB2312"/>
          <w:b/>
          <w:sz w:val="24"/>
        </w:rPr>
        <w:t>X</w:t>
      </w:r>
      <w:r>
        <w:rPr>
          <w:rFonts w:hint="eastAsia" w:ascii="楷体_GB2312" w:eastAsia="楷体_GB2312"/>
          <w:b/>
          <w:sz w:val="24"/>
        </w:rPr>
        <w:t>集团公司及所属各级单位</w:t>
      </w:r>
      <w:r>
        <w:rPr>
          <w:rFonts w:hint="eastAsia" w:ascii="楷体_GB2312" w:eastAsia="楷体_GB2312"/>
          <w:sz w:val="24"/>
        </w:rPr>
        <w:t>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授权期限：本授权委托书自授权之日起生效，至</w:t>
      </w:r>
      <w:r>
        <w:rPr>
          <w:rFonts w:hint="eastAsia" w:ascii="楷体_GB2312" w:eastAsia="楷体_GB2312"/>
          <w:b/>
          <w:sz w:val="24"/>
        </w:rPr>
        <w:t>XXXXXXXXXX</w:t>
      </w:r>
      <w:r>
        <w:rPr>
          <w:rFonts w:hint="eastAsia" w:ascii="楷体_GB2312" w:eastAsia="楷体_GB2312"/>
          <w:sz w:val="24"/>
        </w:rPr>
        <w:t>起失效。</w:t>
      </w: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24"/>
        </w:rPr>
      </w:pPr>
      <w:r>
        <w:rPr>
          <w:rFonts w:hint="eastAsia" w:ascii="楷体_GB2312" w:eastAsia="楷体_GB2312"/>
          <w:sz w:val="24"/>
        </w:rPr>
        <w:t>委托授权时间：      年   月   日</w:t>
      </w:r>
    </w:p>
    <w:p>
      <w:pPr>
        <w:spacing w:line="360" w:lineRule="auto"/>
        <w:rPr>
          <w:rFonts w:ascii="宋体" w:hAnsi="宋体"/>
          <w:sz w:val="28"/>
          <w:szCs w:val="28"/>
        </w:rPr>
      </w:pPr>
    </w:p>
    <w:p>
      <w:pPr>
        <w:spacing w:line="360" w:lineRule="auto"/>
        <w:rPr>
          <w:rFonts w:ascii="宋体" w:hAnsi="宋体"/>
          <w:sz w:val="28"/>
          <w:szCs w:val="28"/>
        </w:rPr>
      </w:pPr>
    </w:p>
    <w:p>
      <w:pPr>
        <w:autoSpaceDE w:val="0"/>
        <w:autoSpaceDN w:val="0"/>
        <w:adjustRightInd w:val="0"/>
        <w:ind w:firstLine="560" w:firstLineChars="200"/>
        <w:jc w:val="center"/>
        <w:rPr>
          <w:rFonts w:ascii="黑体" w:hAnsi="黑体" w:eastAsia="黑体" w:cs="宋体"/>
          <w:kern w:val="0"/>
          <w:sz w:val="28"/>
          <w:szCs w:val="28"/>
        </w:rPr>
      </w:pPr>
      <w:r>
        <w:rPr>
          <w:rFonts w:hint="eastAsia" w:ascii="黑体" w:hAnsi="黑体" w:eastAsia="黑体" w:cs="宋体"/>
          <w:kern w:val="0"/>
          <w:sz w:val="28"/>
          <w:szCs w:val="28"/>
        </w:rPr>
        <w:t>中粮糖业廉洁承诺书</w:t>
      </w:r>
    </w:p>
    <w:p>
      <w:pPr>
        <w:autoSpaceDE w:val="0"/>
        <w:autoSpaceDN w:val="0"/>
        <w:adjustRightInd w:val="0"/>
        <w:ind w:firstLine="560" w:firstLineChars="200"/>
        <w:jc w:val="center"/>
        <w:rPr>
          <w:rFonts w:ascii="黑体" w:hAnsi="黑体" w:eastAsia="黑体" w:cs="宋体"/>
          <w:kern w:val="0"/>
          <w:sz w:val="28"/>
          <w:szCs w:val="28"/>
        </w:rPr>
      </w:pPr>
    </w:p>
    <w:p>
      <w:pPr>
        <w:autoSpaceDE w:val="0"/>
        <w:autoSpaceDN w:val="0"/>
        <w:adjustRightInd w:val="0"/>
        <w:ind w:firstLine="560" w:firstLineChars="200"/>
        <w:rPr>
          <w:rFonts w:ascii="仿宋_GB2312" w:eastAsia="仿宋_GB2312" w:cs="宋体"/>
          <w:color w:val="000000"/>
          <w:kern w:val="0"/>
          <w:sz w:val="28"/>
          <w:szCs w:val="28"/>
        </w:rPr>
      </w:pPr>
      <w:r>
        <w:rPr>
          <w:rFonts w:ascii="仿宋_GB2312" w:eastAsia="仿宋_GB2312" w:cs="宋体"/>
          <w:color w:val="000000"/>
          <w:kern w:val="0"/>
          <w:sz w:val="28"/>
          <w:szCs w:val="28"/>
        </w:rPr>
        <w:t>中粮糖业及下属分子公司</w:t>
      </w:r>
      <w:r>
        <w:rPr>
          <w:rFonts w:hint="eastAsia" w:ascii="仿宋_GB2312" w:eastAsia="仿宋_GB2312" w:cs="宋体"/>
          <w:color w:val="000000"/>
          <w:kern w:val="0"/>
          <w:sz w:val="28"/>
          <w:szCs w:val="28"/>
        </w:rPr>
        <w:t>：</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1.自觉遵守国家法律法规及中粮糖业有关廉政建设制度。</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2.不使用不正当手段妨碍、排挤其它投标单位或串通投标。</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4.不将主体、关键性工作进行分包（包括贴牌生产、转包等）。</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6.不向贵公司涉及采购与招投标的部门及个人支付好处费、介绍费；购置或提供通讯工具、交通工具、电脑等。</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7</w:t>
      </w:r>
      <w:r>
        <w:rPr>
          <w:rFonts w:ascii="仿宋_GB2312" w:eastAsia="仿宋_GB2312" w:cs="宋体"/>
          <w:kern w:val="0"/>
          <w:sz w:val="28"/>
          <w:szCs w:val="28"/>
        </w:rPr>
        <w:t xml:space="preserve">. </w:t>
      </w:r>
      <w:r>
        <w:rPr>
          <w:rFonts w:hint="eastAsia" w:ascii="仿宋_GB2312" w:eastAsia="仿宋_GB2312" w:cs="宋体"/>
          <w:kern w:val="0"/>
          <w:sz w:val="28"/>
          <w:szCs w:val="28"/>
        </w:rPr>
        <w:t>经查实对于参与串通行为的投标人，其中标无效，列入供应商黑名单，并对投标人处中标项目金额千分之五以上千分之十以下的罚款如</w:t>
      </w:r>
      <w:r>
        <w:rPr>
          <w:rFonts w:ascii="仿宋_GB2312" w:eastAsia="仿宋_GB2312" w:cs="宋体"/>
          <w:kern w:val="0"/>
          <w:sz w:val="28"/>
          <w:szCs w:val="28"/>
        </w:rPr>
        <w:t>事后查实无法追溯的</w:t>
      </w:r>
      <w:r>
        <w:rPr>
          <w:rFonts w:hint="eastAsia" w:ascii="仿宋_GB2312" w:eastAsia="仿宋_GB2312" w:cs="宋体"/>
          <w:kern w:val="0"/>
          <w:sz w:val="28"/>
          <w:szCs w:val="28"/>
        </w:rPr>
        <w:t>仅</w:t>
      </w:r>
      <w:r>
        <w:rPr>
          <w:rFonts w:ascii="仿宋_GB2312" w:eastAsia="仿宋_GB2312" w:cs="宋体"/>
          <w:kern w:val="0"/>
          <w:sz w:val="28"/>
          <w:szCs w:val="28"/>
        </w:rPr>
        <w:t>列入供应</w:t>
      </w:r>
      <w:r>
        <w:rPr>
          <w:rFonts w:hint="eastAsia" w:ascii="仿宋_GB2312" w:eastAsia="仿宋_GB2312" w:cs="宋体"/>
          <w:kern w:val="0"/>
          <w:sz w:val="28"/>
          <w:szCs w:val="28"/>
        </w:rPr>
        <w:t>商</w:t>
      </w:r>
      <w:r>
        <w:rPr>
          <w:rFonts w:ascii="仿宋_GB2312" w:eastAsia="仿宋_GB2312" w:cs="宋体"/>
          <w:kern w:val="0"/>
          <w:sz w:val="28"/>
          <w:szCs w:val="28"/>
        </w:rPr>
        <w:t>黑名单</w:t>
      </w:r>
      <w:r>
        <w:rPr>
          <w:rFonts w:hint="eastAsia" w:ascii="仿宋_GB2312" w:eastAsia="仿宋_GB2312" w:cs="宋体"/>
          <w:kern w:val="0"/>
          <w:sz w:val="28"/>
          <w:szCs w:val="28"/>
        </w:rPr>
        <w:t>，加大不诚信供应商的违规成本。</w:t>
      </w:r>
    </w:p>
    <w:p>
      <w:pPr>
        <w:autoSpaceDE w:val="0"/>
        <w:autoSpaceDN w:val="0"/>
        <w:adjustRightInd w:val="0"/>
        <w:ind w:firstLine="560" w:firstLineChars="200"/>
        <w:rPr>
          <w:rFonts w:ascii="仿宋_GB2312" w:eastAsia="仿宋_GB2312" w:cs="宋体"/>
          <w:kern w:val="0"/>
          <w:sz w:val="28"/>
          <w:szCs w:val="28"/>
        </w:rPr>
      </w:pPr>
      <w:r>
        <w:rPr>
          <w:rFonts w:ascii="仿宋_GB2312" w:eastAsia="仿宋_GB2312" w:cs="宋体"/>
          <w:kern w:val="0"/>
          <w:sz w:val="28"/>
          <w:szCs w:val="28"/>
        </w:rPr>
        <w:t>8</w:t>
      </w:r>
      <w:r>
        <w:rPr>
          <w:rFonts w:hint="eastAsia" w:ascii="仿宋_GB2312" w:eastAsia="仿宋_GB2312" w:cs="宋体"/>
          <w:kern w:val="0"/>
          <w:sz w:val="28"/>
          <w:szCs w:val="28"/>
        </w:rPr>
        <w:t>.一旦发现相关人员在招标过程中有索要财物等不廉洁行为，坚决予以抵制，并及时向贵公司纪委办公室举报。</w:t>
      </w:r>
    </w:p>
    <w:p>
      <w:pPr>
        <w:autoSpaceDE w:val="0"/>
        <w:autoSpaceDN w:val="0"/>
        <w:adjustRightInd w:val="0"/>
        <w:ind w:firstLine="560" w:firstLineChars="200"/>
        <w:rPr>
          <w:rFonts w:ascii="仿宋_GB2312" w:eastAsia="仿宋_GB2312" w:cs="宋体"/>
          <w:kern w:val="0"/>
          <w:sz w:val="28"/>
          <w:szCs w:val="28"/>
        </w:rPr>
      </w:pPr>
      <w:r>
        <w:rPr>
          <w:rFonts w:ascii="仿宋_GB2312" w:eastAsia="仿宋_GB2312" w:cs="宋体"/>
          <w:kern w:val="0"/>
          <w:sz w:val="28"/>
          <w:szCs w:val="28"/>
        </w:rPr>
        <w:t>9</w:t>
      </w:r>
      <w:r>
        <w:rPr>
          <w:rFonts w:hint="eastAsia" w:ascii="仿宋_GB2312" w:eastAsia="仿宋_GB2312" w:cs="宋体"/>
          <w:kern w:val="0"/>
          <w:sz w:val="28"/>
          <w:szCs w:val="28"/>
        </w:rPr>
        <w:t>.我方自愿将本承诺书作为投标文件及合同的附件，具有同等的法律效力。</w:t>
      </w:r>
    </w:p>
    <w:p>
      <w:pPr>
        <w:autoSpaceDE w:val="0"/>
        <w:autoSpaceDN w:val="0"/>
        <w:adjustRightInd w:val="0"/>
        <w:ind w:firstLine="560" w:firstLineChars="200"/>
        <w:rPr>
          <w:rFonts w:ascii="仿宋_GB2312" w:eastAsia="仿宋_GB2312" w:cs="宋体"/>
          <w:kern w:val="0"/>
          <w:sz w:val="28"/>
          <w:szCs w:val="28"/>
        </w:rPr>
      </w:pPr>
      <w:r>
        <w:rPr>
          <w:rFonts w:ascii="仿宋_GB2312" w:eastAsia="仿宋_GB2312" w:cs="宋体"/>
          <w:kern w:val="0"/>
          <w:sz w:val="28"/>
          <w:szCs w:val="28"/>
        </w:rPr>
        <w:t>10</w:t>
      </w:r>
      <w:r>
        <w:rPr>
          <w:rFonts w:hint="eastAsia" w:ascii="仿宋_GB2312" w:eastAsia="仿宋_GB2312" w:cs="宋体"/>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1</w:t>
      </w:r>
      <w:r>
        <w:rPr>
          <w:rFonts w:ascii="仿宋_GB2312" w:eastAsia="仿宋_GB2312" w:cs="宋体"/>
          <w:kern w:val="0"/>
          <w:sz w:val="28"/>
          <w:szCs w:val="28"/>
        </w:rPr>
        <w:t>1</w:t>
      </w:r>
      <w:r>
        <w:rPr>
          <w:rFonts w:hint="eastAsia" w:ascii="仿宋_GB2312" w:eastAsia="仿宋_GB2312" w:cs="宋体"/>
          <w:kern w:val="0"/>
          <w:sz w:val="28"/>
          <w:szCs w:val="28"/>
        </w:rPr>
        <w:t>.本承诺书自签署之日起生效。</w:t>
      </w:r>
    </w:p>
    <w:p>
      <w:pPr>
        <w:autoSpaceDE w:val="0"/>
        <w:autoSpaceDN w:val="0"/>
        <w:adjustRightInd w:val="0"/>
        <w:rPr>
          <w:rFonts w:ascii="仿宋_GB2312" w:eastAsia="仿宋_GB2312" w:cs="宋体"/>
          <w:kern w:val="0"/>
          <w:sz w:val="28"/>
          <w:szCs w:val="28"/>
        </w:rPr>
      </w:pPr>
    </w:p>
    <w:p>
      <w:pPr>
        <w:autoSpaceDE w:val="0"/>
        <w:autoSpaceDN w:val="0"/>
        <w:adjustRightInd w:val="0"/>
        <w:ind w:firstLine="3500" w:firstLineChars="1250"/>
        <w:jc w:val="left"/>
        <w:rPr>
          <w:rFonts w:ascii="仿宋_GB2312" w:eastAsia="仿宋_GB2312" w:cs="宋体"/>
          <w:kern w:val="0"/>
          <w:sz w:val="28"/>
          <w:szCs w:val="28"/>
        </w:rPr>
      </w:pPr>
      <w:r>
        <w:rPr>
          <w:rFonts w:hint="eastAsia" w:ascii="仿宋_GB2312" w:eastAsia="仿宋_GB2312" w:cs="宋体"/>
          <w:kern w:val="0"/>
          <w:sz w:val="28"/>
          <w:szCs w:val="28"/>
        </w:rPr>
        <w:t>投标单位（公章）：</w:t>
      </w:r>
    </w:p>
    <w:p>
      <w:pPr>
        <w:autoSpaceDE w:val="0"/>
        <w:autoSpaceDN w:val="0"/>
        <w:adjustRightInd w:val="0"/>
        <w:ind w:firstLine="3500" w:firstLineChars="1250"/>
        <w:jc w:val="left"/>
        <w:rPr>
          <w:rFonts w:ascii="仿宋_GB2312" w:eastAsia="仿宋_GB2312" w:cs="宋体"/>
          <w:kern w:val="0"/>
          <w:sz w:val="28"/>
          <w:szCs w:val="28"/>
        </w:rPr>
      </w:pPr>
      <w:r>
        <w:rPr>
          <w:rFonts w:hint="eastAsia" w:ascii="仿宋_GB2312" w:eastAsia="仿宋_GB2312" w:cs="宋体"/>
          <w:kern w:val="0"/>
          <w:sz w:val="28"/>
          <w:szCs w:val="28"/>
        </w:rPr>
        <w:t>法定代表人或授权代理人（签名）：</w:t>
      </w:r>
    </w:p>
    <w:p>
      <w:pPr>
        <w:autoSpaceDE w:val="0"/>
        <w:autoSpaceDN w:val="0"/>
        <w:adjustRightInd w:val="0"/>
        <w:ind w:firstLine="3500" w:firstLineChars="1250"/>
        <w:rPr>
          <w:rFonts w:ascii="仿宋_GB2312" w:eastAsia="仿宋_GB2312" w:cs="宋体"/>
          <w:kern w:val="0"/>
          <w:sz w:val="28"/>
          <w:szCs w:val="28"/>
        </w:rPr>
      </w:pPr>
      <w:r>
        <w:rPr>
          <w:rFonts w:hint="eastAsia" w:ascii="仿宋_GB2312" w:eastAsia="仿宋_GB2312" w:cs="宋体"/>
          <w:kern w:val="0"/>
          <w:sz w:val="28"/>
          <w:szCs w:val="28"/>
        </w:rPr>
        <w:t>日期： 年 月 日</w:t>
      </w:r>
    </w:p>
    <w:p>
      <w:pPr>
        <w:jc w:val="center"/>
        <w:rPr>
          <w:rFonts w:ascii="黑体" w:hAnsi="黑体" w:eastAsia="黑体"/>
          <w:b/>
          <w:sz w:val="32"/>
          <w:szCs w:val="28"/>
        </w:rPr>
      </w:pPr>
    </w:p>
    <w:p>
      <w:pPr>
        <w:spacing w:line="500" w:lineRule="exact"/>
        <w:jc w:val="center"/>
        <w:rPr>
          <w:rFonts w:ascii="仿宋_GB2312" w:hAnsi="黑体" w:eastAsia="仿宋_GB2312"/>
          <w:b/>
          <w:sz w:val="36"/>
          <w:szCs w:val="36"/>
        </w:rPr>
      </w:pPr>
      <w:r>
        <w:rPr>
          <w:rFonts w:hint="eastAsia" w:ascii="仿宋_GB2312" w:hAnsi="黑体" w:eastAsia="仿宋_GB2312"/>
          <w:b/>
          <w:sz w:val="36"/>
          <w:szCs w:val="36"/>
        </w:rPr>
        <w:t>质量承诺书</w:t>
      </w:r>
    </w:p>
    <w:p>
      <w:pPr>
        <w:spacing w:line="500" w:lineRule="exact"/>
        <w:rPr>
          <w:rFonts w:ascii="仿宋" w:hAnsi="仿宋" w:eastAsia="仿宋"/>
          <w:sz w:val="28"/>
          <w:szCs w:val="28"/>
        </w:rPr>
      </w:pPr>
    </w:p>
    <w:p>
      <w:pPr>
        <w:tabs>
          <w:tab w:val="left" w:pos="5055"/>
        </w:tabs>
        <w:spacing w:line="500" w:lineRule="exact"/>
        <w:rPr>
          <w:rFonts w:ascii="仿宋_GB2312" w:hAnsi="仿宋" w:eastAsia="仿宋_GB2312"/>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_GB2312" w:hAnsi="仿宋" w:eastAsia="仿宋_GB2312"/>
          <w:sz w:val="28"/>
          <w:szCs w:val="28"/>
        </w:rPr>
        <w:t>公司：</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为积极配合贵公司进行的</w:t>
      </w:r>
      <w:r>
        <w:rPr>
          <w:rFonts w:hint="eastAsia" w:ascii="仿宋" w:hAnsi="仿宋" w:eastAsia="仿宋"/>
          <w:b/>
          <w:color w:val="000000"/>
          <w:sz w:val="28"/>
          <w:szCs w:val="28"/>
          <w:u w:val="single"/>
        </w:rPr>
        <w:t>采购</w:t>
      </w:r>
      <w:r>
        <w:rPr>
          <w:rFonts w:hint="eastAsia" w:ascii="仿宋_GB2312" w:hAnsi="仿宋" w:eastAsia="仿宋_GB2312"/>
          <w:sz w:val="28"/>
          <w:szCs w:val="28"/>
        </w:rPr>
        <w:t>工作，保证产品质量，我们特向贵公司承诺如下事项：</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1.</w:t>
      </w:r>
      <w:r>
        <w:rPr>
          <w:rFonts w:hint="eastAsia" w:ascii="Calibri" w:hAnsi="Calibri" w:eastAsia="仿宋_GB2312" w:cs="Calibri"/>
          <w:sz w:val="28"/>
          <w:szCs w:val="28"/>
        </w:rPr>
        <w:t> </w:t>
      </w:r>
      <w:r>
        <w:rPr>
          <w:rFonts w:hint="eastAsia" w:ascii="仿宋_GB2312" w:hAnsi="仿宋" w:eastAsia="仿宋_GB2312"/>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2.</w:t>
      </w:r>
      <w:r>
        <w:rPr>
          <w:rFonts w:hint="eastAsia" w:ascii="Calibri" w:hAnsi="Calibri" w:eastAsia="仿宋_GB2312" w:cs="Calibri"/>
          <w:sz w:val="28"/>
          <w:szCs w:val="28"/>
        </w:rPr>
        <w:t> </w:t>
      </w:r>
      <w:r>
        <w:rPr>
          <w:rFonts w:hint="eastAsia" w:ascii="仿宋_GB2312" w:hAnsi="仿宋" w:eastAsia="仿宋_GB2312"/>
          <w:sz w:val="28"/>
          <w:szCs w:val="28"/>
        </w:rPr>
        <w:t>严格按照合同、订单要求供货、补货，商品价格上调需提前上交调价单，商品下调或做特价时与贵公司联系下调方案。</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3.</w:t>
      </w:r>
      <w:r>
        <w:rPr>
          <w:rFonts w:hint="eastAsia" w:ascii="Calibri" w:hAnsi="Calibri" w:eastAsia="仿宋_GB2312" w:cs="Calibri"/>
          <w:sz w:val="28"/>
          <w:szCs w:val="28"/>
        </w:rPr>
        <w:t> </w:t>
      </w:r>
      <w:r>
        <w:rPr>
          <w:rFonts w:hint="eastAsia" w:ascii="仿宋_GB2312" w:hAnsi="仿宋" w:eastAsia="仿宋_GB2312"/>
          <w:sz w:val="28"/>
          <w:szCs w:val="28"/>
        </w:rPr>
        <w:t>我公司严格执行供应商应尽义务，做到送货及时，货物质量优质，货物装箱整齐方便运输。</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4.我公司承诺保证为贵公司所供之货，货源充足，不发生断货拒供现象。</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 w:eastAsia="仿宋_GB2312"/>
          <w:sz w:val="28"/>
          <w:szCs w:val="28"/>
        </w:rPr>
      </w:pPr>
    </w:p>
    <w:p>
      <w:pPr>
        <w:tabs>
          <w:tab w:val="left" w:pos="5055"/>
        </w:tabs>
        <w:spacing w:line="500" w:lineRule="exact"/>
        <w:rPr>
          <w:rFonts w:ascii="仿宋_GB2312" w:hAnsi="仿宋" w:eastAsia="仿宋_GB2312"/>
          <w:sz w:val="28"/>
          <w:szCs w:val="28"/>
        </w:rPr>
      </w:pPr>
    </w:p>
    <w:p>
      <w:pPr>
        <w:tabs>
          <w:tab w:val="left" w:pos="5055"/>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法定代表人或授权代理人（签名）：</w:t>
      </w:r>
    </w:p>
    <w:p>
      <w:pPr>
        <w:tabs>
          <w:tab w:val="left" w:pos="5055"/>
        </w:tabs>
        <w:spacing w:line="500" w:lineRule="exact"/>
        <w:ind w:left="435"/>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5055"/>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日期：</w:t>
      </w:r>
    </w:p>
    <w:p>
      <w:pPr>
        <w:jc w:val="center"/>
        <w:rPr>
          <w:rFonts w:hint="eastAsia" w:ascii="宋体" w:hAnsi="宋体"/>
          <w:b/>
          <w:color w:val="000000"/>
          <w:sz w:val="44"/>
          <w:szCs w:val="44"/>
        </w:rPr>
      </w:pPr>
    </w:p>
    <w:p>
      <w:pPr>
        <w:spacing w:line="360" w:lineRule="auto"/>
        <w:jc w:val="center"/>
        <w:rPr>
          <w:rFonts w:ascii="方正小标宋简体" w:hAnsi="方正小标宋简体" w:eastAsia="方正小标宋简体" w:cs="方正小标宋简体"/>
          <w:color w:val="000000"/>
          <w:sz w:val="38"/>
          <w:szCs w:val="38"/>
        </w:rPr>
      </w:pPr>
      <w:r>
        <w:rPr>
          <w:rFonts w:hint="eastAsia" w:ascii="方正小标宋简体" w:hAnsi="方正小标宋简体" w:eastAsia="方正小标宋简体" w:cs="方正小标宋简体"/>
          <w:color w:val="000000"/>
          <w:sz w:val="38"/>
          <w:szCs w:val="38"/>
        </w:rPr>
        <w:t>车辆定点维修协议</w:t>
      </w:r>
    </w:p>
    <w:p>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协议编号：F18-VII202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-0                          </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甲方：内蒙古中粮番茄制品有限公司</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经甲乙双方友好协商，就甲方汽车车辆定点到乙方维修达成如下协议：</w:t>
      </w:r>
    </w:p>
    <w:p>
      <w:pPr>
        <w:spacing w:line="240" w:lineRule="atLeas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第一条</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甲乙双方在本着既严格执行国家有关政策，又兼顾双方利益的原则，甲方机动车车辆在乙方进行维修时，乙方向甲方收取维修工时和维修材料费。 </w:t>
      </w:r>
    </w:p>
    <w:p>
      <w:pPr>
        <w:spacing w:line="240" w:lineRule="atLeas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第二条</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甲方车辆在乙方维修时，乙方应保证所采用的零配件是正规原车原厂产品，以保证维修车辆的质量。</w:t>
      </w: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第三条</w:t>
      </w: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辅助材料和工艺标准：乙方维修甲方车辆时所用辅料和工艺应保证是符合国家相关技术规范。</w:t>
      </w:r>
    </w:p>
    <w:p>
      <w:pPr>
        <w:spacing w:line="240" w:lineRule="atLeas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第四条   车辆送修流程</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甲方自行送车到乙方报修，乙方应与甲方共同确定维修项目，乙方填写维修清单及价格，甲方驾驶员核实签字后上报行政办公室主任审核签字后方可组织维修，清单上所填写的车号与实际维修车号一致，每次维修后更换的旧配件乙方必须上交到甲方相关领导核实，甲方填写配件更换清单，双方签字确认。</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2、每次每两车维修完毕后，甲方与乙方共同进行维修项目的决算，并由甲方送修人员和相关领导在维修结算清单上签字确认。</w:t>
      </w:r>
    </w:p>
    <w:p>
      <w:pPr>
        <w:spacing w:line="240" w:lineRule="atLeas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第五条   费用结算</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按半年度(6个月)结算，乙方应将车辆维修增值税专用发票（中标单位所提供税率）、车辆维修清单、车辆维修决算清单（包括维修项目及材料明细表）、配件更换清单交到甲方作为报销资料。甲方在接到上述结算凭证并核实无误后，支付90%的维修款，剩余10%货款次年春节前付清。公司将车辆维修费划到乙方对公指定资金账户，乙方出具收据。</w:t>
      </w:r>
    </w:p>
    <w:p>
      <w:pPr>
        <w:ind w:firstLine="640" w:firstLineChars="200"/>
        <w:rPr>
          <w:rFonts w:ascii="仿宋_GB2312" w:eastAsia="仿宋_GB2312"/>
          <w:sz w:val="32"/>
          <w:szCs w:val="40"/>
        </w:rPr>
      </w:pPr>
      <w:r>
        <w:rPr>
          <w:rFonts w:hint="eastAsia" w:ascii="仿宋_GB2312" w:eastAsia="仿宋_GB2312"/>
          <w:sz w:val="32"/>
          <w:szCs w:val="40"/>
        </w:rPr>
        <w:t>2、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   违约责任</w:t>
      </w:r>
    </w:p>
    <w:p>
      <w:pPr>
        <w:pStyle w:val="38"/>
        <w:widowControl/>
        <w:numPr>
          <w:ilvl w:val="0"/>
          <w:numId w:val="4"/>
        </w:numPr>
        <w:spacing w:line="240" w:lineRule="atLeast"/>
        <w:ind w:firstLineChars="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乙方在维修清单上所填写的车号与实际维修车号若不一致，甲方有权拒付当年所有维修费，并取消维修资格。</w:t>
      </w:r>
    </w:p>
    <w:p>
      <w:pPr>
        <w:pStyle w:val="38"/>
        <w:widowControl/>
        <w:numPr>
          <w:ilvl w:val="0"/>
          <w:numId w:val="4"/>
        </w:numPr>
        <w:spacing w:line="240" w:lineRule="atLeast"/>
        <w:ind w:firstLineChars="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乙方填写的维修清单及价格不得高于招标价，如若弄虚作假，甲方有权拒付当年所有维修费，并取消维修资格。</w:t>
      </w:r>
    </w:p>
    <w:p>
      <w:pPr>
        <w:pStyle w:val="38"/>
        <w:widowControl/>
        <w:numPr>
          <w:ilvl w:val="0"/>
          <w:numId w:val="4"/>
        </w:numPr>
        <w:spacing w:line="240" w:lineRule="atLeast"/>
        <w:ind w:firstLineChars="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若发生招标项目以外的维修项目，维修清单及报价不得高于市场价，如若发现维修清单中有一项虚报满报，甲方有权拒付当年所有维修费，并取消维修资格。</w:t>
      </w: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    维修质保期</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所有更换零配件保修期不少于1年或行驶5万公里。保修期内，在正常使用情况下，出现维修质量问题由定点维修厂负责包修包换及赔偿损失。</w:t>
      </w:r>
    </w:p>
    <w:p>
      <w:pPr>
        <w:spacing w:line="240" w:lineRule="atLeas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第八条     履约保证金</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中标单位必须按招标书的规定提交履约保证金，履约保证金为1000元人民币，</w:t>
      </w:r>
      <w:r>
        <w:rPr>
          <w:rFonts w:hint="eastAsia" w:ascii="仿宋_GB2312" w:hAnsi="宋体" w:eastAsia="仿宋_GB2312" w:cs="宋体"/>
          <w:color w:val="333333"/>
          <w:kern w:val="0"/>
          <w:sz w:val="32"/>
          <w:szCs w:val="32"/>
        </w:rPr>
        <w:t>以电汇方式转入甲方指定账户；在合同到期后20个工作日内无息退回乙方对公账户</w:t>
      </w:r>
      <w:r>
        <w:rPr>
          <w:rFonts w:hint="eastAsia" w:ascii="仿宋_GB2312" w:hAnsi="仿宋_GB2312" w:eastAsia="仿宋_GB2312" w:cs="仿宋_GB2312"/>
          <w:bCs/>
          <w:color w:val="000000"/>
          <w:sz w:val="32"/>
          <w:szCs w:val="32"/>
        </w:rPr>
        <w:t>。</w:t>
      </w:r>
    </w:p>
    <w:p>
      <w:pPr>
        <w:pStyle w:val="58"/>
        <w:jc w:val="left"/>
        <w:rPr>
          <w:rFonts w:ascii="仿宋_GB2312" w:hAnsi="仿宋_GB2312" w:eastAsia="仿宋_GB2312" w:cs="仿宋_GB2312"/>
          <w:b/>
          <w:bCs/>
          <w:sz w:val="32"/>
          <w:szCs w:val="32"/>
        </w:rPr>
      </w:pPr>
      <w:r>
        <w:rPr>
          <w:rFonts w:hint="eastAsia" w:ascii="仿宋_GB2312" w:hAnsi="仿宋_GB2312" w:eastAsia="仿宋_GB2312" w:cs="仿宋_GB2312"/>
          <w:b/>
          <w:color w:val="000000"/>
          <w:sz w:val="32"/>
          <w:szCs w:val="32"/>
        </w:rPr>
        <w:t xml:space="preserve">第九条    </w:t>
      </w:r>
      <w:r>
        <w:rPr>
          <w:rFonts w:hint="eastAsia" w:ascii="仿宋_GB2312" w:hAnsi="仿宋_GB2312" w:eastAsia="仿宋_GB2312" w:cs="仿宋_GB2312"/>
          <w:b/>
          <w:bCs/>
          <w:sz w:val="32"/>
          <w:szCs w:val="32"/>
        </w:rPr>
        <w:t>质量与验收</w:t>
      </w:r>
    </w:p>
    <w:p>
      <w:pPr>
        <w:pStyle w:val="58"/>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中标单位必须按国家规定的标准提供维修维护保养服务。招标单位除指定维修行业主管部门对中标单位提供的服务质量进行检查、鉴定外，还将通过定期或不定期的方式对中标单位提供的服务进行全面质量检查，对于未按规定标准提供服务，发生因维修质量问题引起机械事故或交通事故的，招标单位有权从中标单位履约保证金中扣除等额的补偿费（不足以补偿部分由定点维修厂以现金或支票补足），并限期整改。履约保证金扣除部分由定点修理厂在3日内补足，否则，取消定点资格。</w:t>
      </w:r>
    </w:p>
    <w:p>
      <w:pPr>
        <w:spacing w:line="240" w:lineRule="atLeas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第十条   甲乙双方的权利和义务</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1、乙方在车辆维修过程中检查出与车辆报修单以外的问题，应立即告知甲方车属单位，甲方接到通知后应及时回复是否同意按，负责乙方不得组织维修。</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2、乙方向甲方开具的发票，应附有工时清单、材料清单，并将工时费、材料费分列清单。</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3、甲方在接车之前或之后或质量保证期内出现的问题，乙方无条件免费维修。</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乙方应在完工时间内交付车辆，若甲方有完工时间要求乙方应满足。乙方在完工时间内不能交付车辆，应通知甲方并协商交付时间，如甲方同意方可延长。如甲方不同意，乙方应承担违约责任，每逾期一日按维修金的【5】%向甲方支付，甲方有权在维修费中直接扣除。</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5、甲方在合同有效期内有权对乙方进行检查、监督，对经调查核实乙方虚开增加项目、虚开发票、巧立名目弄虚作假情节严重的，甲方将取消定点维修资格。</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6、甲方不能按（第五条）约定，向乙方结算维修费用，乙方有权终止合同，并追回甲方所欠维修费。</w:t>
      </w: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第十一条  </w:t>
      </w:r>
      <w:r>
        <w:rPr>
          <w:rFonts w:hint="eastAsia" w:ascii="仿宋_GB2312" w:hAnsi="仿宋_GB2312" w:eastAsia="仿宋_GB2312" w:cs="仿宋_GB2312"/>
          <w:color w:val="000000"/>
          <w:sz w:val="32"/>
          <w:szCs w:val="32"/>
        </w:rPr>
        <w:t>本合同有效期合同签订日至</w:t>
      </w:r>
      <w:r>
        <w:rPr>
          <w:rFonts w:hint="eastAsia" w:ascii="仿宋_GB2312" w:hAnsi="仿宋_GB2312" w:eastAsia="仿宋_GB2312" w:cs="仿宋_GB2312"/>
          <w:color w:val="000000"/>
          <w:sz w:val="32"/>
          <w:szCs w:val="32"/>
          <w:u w:val="single"/>
        </w:rPr>
        <w:t>202</w:t>
      </w:r>
      <w:r>
        <w:rPr>
          <w:rFonts w:hint="eastAsia" w:ascii="仿宋_GB2312" w:hAnsi="仿宋_GB2312" w:eastAsia="仿宋_GB2312" w:cs="仿宋_GB2312"/>
          <w:color w:val="000000"/>
          <w:sz w:val="32"/>
          <w:szCs w:val="32"/>
          <w:u w:val="single"/>
          <w:lang w:val="en-US" w:eastAsia="zh-CN"/>
        </w:rPr>
        <w:t>4</w:t>
      </w:r>
      <w:r>
        <w:rPr>
          <w:rFonts w:hint="eastAsia" w:ascii="仿宋_GB2312" w:hAnsi="仿宋_GB2312" w:eastAsia="仿宋_GB2312" w:cs="仿宋_GB2312"/>
          <w:color w:val="000000"/>
          <w:sz w:val="32"/>
          <w:szCs w:val="32"/>
          <w:u w:val="single"/>
        </w:rPr>
        <w:t xml:space="preserve">年  月  </w:t>
      </w:r>
      <w:r>
        <w:rPr>
          <w:rFonts w:hint="eastAsia" w:ascii="仿宋_GB2312" w:hAnsi="仿宋_GB2312" w:eastAsia="仿宋_GB2312" w:cs="仿宋_GB2312"/>
          <w:color w:val="000000"/>
          <w:sz w:val="32"/>
          <w:szCs w:val="32"/>
        </w:rPr>
        <w:t>日自动终止。</w:t>
      </w: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第十二条  </w:t>
      </w:r>
      <w:r>
        <w:rPr>
          <w:rFonts w:hint="eastAsia" w:ascii="仿宋_GB2312" w:hAnsi="仿宋_GB2312" w:eastAsia="仿宋_GB2312" w:cs="仿宋_GB2312"/>
          <w:color w:val="000000"/>
          <w:sz w:val="32"/>
          <w:szCs w:val="32"/>
        </w:rPr>
        <w:t>本合同未尽事宜，甲乙双方应本着平等互利、友好协商原则解决。</w:t>
      </w: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第十三条  </w:t>
      </w:r>
      <w:r>
        <w:rPr>
          <w:rFonts w:hint="eastAsia" w:ascii="仿宋_GB2312" w:hAnsi="仿宋_GB2312" w:eastAsia="仿宋_GB2312" w:cs="仿宋_GB2312"/>
          <w:color w:val="000000"/>
          <w:sz w:val="32"/>
          <w:szCs w:val="32"/>
        </w:rPr>
        <w:t>本合同在履行过程中发生争议，由双方当事人协商解决或报维修行业主管部门调解，协商或调解不成的向甲方所在地人民法院起诉解决。由此引发的律师费等相关费用由违约方承担。</w:t>
      </w: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第十四条  </w:t>
      </w:r>
      <w:r>
        <w:rPr>
          <w:rFonts w:hint="eastAsia" w:ascii="仿宋_GB2312" w:hAnsi="仿宋_GB2312" w:eastAsia="仿宋_GB2312" w:cs="仿宋_GB2312"/>
          <w:color w:val="000000"/>
          <w:sz w:val="32"/>
          <w:szCs w:val="32"/>
        </w:rPr>
        <w:t>本合同一式贰份，甲方执一份，乙方执一份，本合同自双方签字之日起生效。</w:t>
      </w:r>
    </w:p>
    <w:p>
      <w:pPr>
        <w:spacing w:line="240" w:lineRule="atLeast"/>
        <w:rPr>
          <w:rFonts w:ascii="仿宋_GB2312" w:hAnsi="仿宋_GB2312" w:eastAsia="仿宋_GB2312" w:cs="仿宋_GB2312"/>
          <w:color w:val="000000"/>
          <w:sz w:val="32"/>
          <w:szCs w:val="32"/>
        </w:rPr>
      </w:pPr>
    </w:p>
    <w:p>
      <w:pPr>
        <w:spacing w:line="240" w:lineRule="atLeas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签字盖章页</w:t>
      </w:r>
    </w:p>
    <w:tbl>
      <w:tblPr>
        <w:tblStyle w:val="21"/>
        <w:tblW w:w="907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7"/>
        <w:gridCol w:w="4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7" w:type="dxa"/>
          </w:tcPr>
          <w:p>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甲方（需方）</w:t>
            </w:r>
          </w:p>
        </w:tc>
        <w:tc>
          <w:tcPr>
            <w:tcW w:w="4636" w:type="dxa"/>
          </w:tcPr>
          <w:p>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乙方（供方）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7" w:type="dxa"/>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单位名称（章）：内蒙古中粮番茄制品有限公司</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单位地址：内蒙古磴口县高科技保健食品工业园区</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委托代表人：</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电话：0478-7967560</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开户银行：中国农业银行磴口县支行</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帐号：434101040005029</w:t>
            </w:r>
          </w:p>
          <w:p>
            <w:pPr>
              <w:rPr>
                <w:rFonts w:ascii="仿宋_GB2312" w:hAnsi="仿宋_GB2312" w:eastAsia="仿宋_GB2312" w:cs="仿宋_GB2312"/>
                <w:color w:val="000000"/>
                <w:sz w:val="32"/>
                <w:szCs w:val="32"/>
              </w:rPr>
            </w:pPr>
          </w:p>
        </w:tc>
        <w:tc>
          <w:tcPr>
            <w:tcW w:w="4636" w:type="dxa"/>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单位名称（章）： </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单位地址：</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委托代表人：</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电话/传真：</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开户银行：</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帐号：</w:t>
            </w:r>
          </w:p>
          <w:p>
            <w:pPr>
              <w:pStyle w:val="2"/>
            </w:pPr>
          </w:p>
        </w:tc>
      </w:tr>
    </w:tbl>
    <w:p>
      <w:pPr>
        <w:pStyle w:val="2"/>
      </w:pPr>
    </w:p>
    <w:p/>
    <w:tbl>
      <w:tblPr>
        <w:tblStyle w:val="21"/>
        <w:tblW w:w="10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846"/>
        <w:gridCol w:w="1561"/>
        <w:gridCol w:w="1115"/>
        <w:gridCol w:w="709"/>
        <w:gridCol w:w="965"/>
        <w:gridCol w:w="912"/>
        <w:gridCol w:w="1283"/>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40" w:type="dxa"/>
            <w:gridSpan w:val="9"/>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内蒙古中粮番茄制品有限公司                                                    别克商务GL8车辆保养维修报价单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40" w:type="dxa"/>
            <w:gridSpan w:val="9"/>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40" w:type="dxa"/>
            <w:gridSpan w:val="9"/>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车     辆              日     常     保     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更换机油三滤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更换防冻液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防冻液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更换变速箱油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更换助力油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更换后桥油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空调加氟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车                辆          易     损      件     更     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更换点火线圈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点火线圈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更换前刹车片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更换后刹车片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更换前刹车盘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更换后刹车盘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更换火花塞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火花塞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更换减震器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减震器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更换轮胎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69" w:type="dxa"/>
            <w:gridSpan w:val="2"/>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69" w:type="dxa"/>
            <w:gridSpan w:val="2"/>
            <w:vMerge w:val="continue"/>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69" w:type="dxa"/>
            <w:gridSpan w:val="2"/>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69" w:type="dxa"/>
            <w:gridSpan w:val="2"/>
            <w:vMerge w:val="continue"/>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r>
    </w:tbl>
    <w:p>
      <w:pPr>
        <w:pStyle w:val="2"/>
      </w:pP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大标宋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C729E"/>
    <w:multiLevelType w:val="multilevel"/>
    <w:tmpl w:val="07AC729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30464C"/>
    <w:multiLevelType w:val="multilevel"/>
    <w:tmpl w:val="5630464C"/>
    <w:lvl w:ilvl="0" w:tentative="0">
      <w:start w:val="1"/>
      <w:numFmt w:val="decimal"/>
      <w:lvlText w:val="%1."/>
      <w:lvlJc w:val="left"/>
      <w:pPr>
        <w:ind w:left="1015" w:hanging="3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027B9"/>
    <w:rsid w:val="000043B8"/>
    <w:rsid w:val="00013526"/>
    <w:rsid w:val="00017403"/>
    <w:rsid w:val="000201B6"/>
    <w:rsid w:val="00022B1C"/>
    <w:rsid w:val="00025E05"/>
    <w:rsid w:val="00026507"/>
    <w:rsid w:val="00027CD3"/>
    <w:rsid w:val="00030173"/>
    <w:rsid w:val="000304C8"/>
    <w:rsid w:val="000308E2"/>
    <w:rsid w:val="0003164C"/>
    <w:rsid w:val="000357BF"/>
    <w:rsid w:val="00040562"/>
    <w:rsid w:val="00042F15"/>
    <w:rsid w:val="00042F43"/>
    <w:rsid w:val="00050039"/>
    <w:rsid w:val="00052740"/>
    <w:rsid w:val="00054B98"/>
    <w:rsid w:val="00057BF7"/>
    <w:rsid w:val="00061044"/>
    <w:rsid w:val="000636B8"/>
    <w:rsid w:val="000733C3"/>
    <w:rsid w:val="0007407D"/>
    <w:rsid w:val="00074BE8"/>
    <w:rsid w:val="00075F7E"/>
    <w:rsid w:val="00076F6F"/>
    <w:rsid w:val="0007748C"/>
    <w:rsid w:val="000824B3"/>
    <w:rsid w:val="00090D0A"/>
    <w:rsid w:val="00092D05"/>
    <w:rsid w:val="00097D20"/>
    <w:rsid w:val="000A3C01"/>
    <w:rsid w:val="000A7CF1"/>
    <w:rsid w:val="000B0DA6"/>
    <w:rsid w:val="000B4250"/>
    <w:rsid w:val="000C061C"/>
    <w:rsid w:val="000C3049"/>
    <w:rsid w:val="000C40F8"/>
    <w:rsid w:val="000C5CCA"/>
    <w:rsid w:val="000D0303"/>
    <w:rsid w:val="000D1B9E"/>
    <w:rsid w:val="000D7D2C"/>
    <w:rsid w:val="000E0CFC"/>
    <w:rsid w:val="000F2087"/>
    <w:rsid w:val="000F27A2"/>
    <w:rsid w:val="000F29B8"/>
    <w:rsid w:val="001021AB"/>
    <w:rsid w:val="00107F59"/>
    <w:rsid w:val="00114119"/>
    <w:rsid w:val="00115CF9"/>
    <w:rsid w:val="00117CF6"/>
    <w:rsid w:val="00121CE3"/>
    <w:rsid w:val="00122F3A"/>
    <w:rsid w:val="00125913"/>
    <w:rsid w:val="00126BA4"/>
    <w:rsid w:val="00127892"/>
    <w:rsid w:val="00127BBF"/>
    <w:rsid w:val="00132A8F"/>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5537"/>
    <w:rsid w:val="00186179"/>
    <w:rsid w:val="001871F8"/>
    <w:rsid w:val="00193278"/>
    <w:rsid w:val="00193965"/>
    <w:rsid w:val="001A1B81"/>
    <w:rsid w:val="001A3B22"/>
    <w:rsid w:val="001A611F"/>
    <w:rsid w:val="001A6D3C"/>
    <w:rsid w:val="001C74BA"/>
    <w:rsid w:val="001D18AD"/>
    <w:rsid w:val="001E4079"/>
    <w:rsid w:val="001F0BD5"/>
    <w:rsid w:val="001F1473"/>
    <w:rsid w:val="001F5D34"/>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61B6"/>
    <w:rsid w:val="00246662"/>
    <w:rsid w:val="00253639"/>
    <w:rsid w:val="002618B6"/>
    <w:rsid w:val="00264967"/>
    <w:rsid w:val="00276C7C"/>
    <w:rsid w:val="00281479"/>
    <w:rsid w:val="00293A8D"/>
    <w:rsid w:val="002A1B0B"/>
    <w:rsid w:val="002A31FE"/>
    <w:rsid w:val="002B0478"/>
    <w:rsid w:val="002B1EBB"/>
    <w:rsid w:val="002B1EF0"/>
    <w:rsid w:val="002B3DDC"/>
    <w:rsid w:val="002B5FCE"/>
    <w:rsid w:val="002C1EDF"/>
    <w:rsid w:val="002C70C8"/>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2DFA"/>
    <w:rsid w:val="003272EE"/>
    <w:rsid w:val="0033248F"/>
    <w:rsid w:val="00334ED9"/>
    <w:rsid w:val="00336E89"/>
    <w:rsid w:val="00342593"/>
    <w:rsid w:val="00345BC5"/>
    <w:rsid w:val="0034667C"/>
    <w:rsid w:val="003501E0"/>
    <w:rsid w:val="00352A22"/>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77FE"/>
    <w:rsid w:val="003C10DA"/>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3D78"/>
    <w:rsid w:val="00423EA8"/>
    <w:rsid w:val="00426B4D"/>
    <w:rsid w:val="00426DCD"/>
    <w:rsid w:val="00427D3D"/>
    <w:rsid w:val="0043278B"/>
    <w:rsid w:val="00434865"/>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702D"/>
    <w:rsid w:val="00487C9D"/>
    <w:rsid w:val="004913ED"/>
    <w:rsid w:val="00494C77"/>
    <w:rsid w:val="004956FC"/>
    <w:rsid w:val="00496843"/>
    <w:rsid w:val="004A0074"/>
    <w:rsid w:val="004A056C"/>
    <w:rsid w:val="004A229C"/>
    <w:rsid w:val="004A3282"/>
    <w:rsid w:val="004A5797"/>
    <w:rsid w:val="004A7C61"/>
    <w:rsid w:val="004B66A8"/>
    <w:rsid w:val="004C2FC1"/>
    <w:rsid w:val="004C575A"/>
    <w:rsid w:val="004D22D5"/>
    <w:rsid w:val="004D30A2"/>
    <w:rsid w:val="004D3A95"/>
    <w:rsid w:val="004D4499"/>
    <w:rsid w:val="004E3209"/>
    <w:rsid w:val="004E3B89"/>
    <w:rsid w:val="004E487C"/>
    <w:rsid w:val="004E5FCE"/>
    <w:rsid w:val="004E7711"/>
    <w:rsid w:val="004F0ABD"/>
    <w:rsid w:val="004F406E"/>
    <w:rsid w:val="004F43A2"/>
    <w:rsid w:val="004F5899"/>
    <w:rsid w:val="004F5CB8"/>
    <w:rsid w:val="0050324A"/>
    <w:rsid w:val="00503E89"/>
    <w:rsid w:val="00510C0A"/>
    <w:rsid w:val="00511A80"/>
    <w:rsid w:val="00511D70"/>
    <w:rsid w:val="005135BF"/>
    <w:rsid w:val="005160A1"/>
    <w:rsid w:val="005161AD"/>
    <w:rsid w:val="00525AFA"/>
    <w:rsid w:val="00526125"/>
    <w:rsid w:val="00527704"/>
    <w:rsid w:val="00543E88"/>
    <w:rsid w:val="0054543C"/>
    <w:rsid w:val="00546836"/>
    <w:rsid w:val="0054695F"/>
    <w:rsid w:val="005472B4"/>
    <w:rsid w:val="00547545"/>
    <w:rsid w:val="00547936"/>
    <w:rsid w:val="0055136C"/>
    <w:rsid w:val="00551DFB"/>
    <w:rsid w:val="00554AFD"/>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C0403"/>
    <w:rsid w:val="005C36E1"/>
    <w:rsid w:val="005C4177"/>
    <w:rsid w:val="005C63E3"/>
    <w:rsid w:val="005C7A1D"/>
    <w:rsid w:val="005C7BB8"/>
    <w:rsid w:val="005D005E"/>
    <w:rsid w:val="005D199A"/>
    <w:rsid w:val="005D4649"/>
    <w:rsid w:val="005E021B"/>
    <w:rsid w:val="005E0283"/>
    <w:rsid w:val="005E6343"/>
    <w:rsid w:val="005E6B34"/>
    <w:rsid w:val="005E6E46"/>
    <w:rsid w:val="005F0468"/>
    <w:rsid w:val="006135C3"/>
    <w:rsid w:val="006178CF"/>
    <w:rsid w:val="0062131F"/>
    <w:rsid w:val="006306FD"/>
    <w:rsid w:val="00634395"/>
    <w:rsid w:val="00634E3A"/>
    <w:rsid w:val="006429EB"/>
    <w:rsid w:val="006442B7"/>
    <w:rsid w:val="0065240C"/>
    <w:rsid w:val="006538F0"/>
    <w:rsid w:val="00654A98"/>
    <w:rsid w:val="006567CC"/>
    <w:rsid w:val="0065713A"/>
    <w:rsid w:val="00665A6C"/>
    <w:rsid w:val="006703EA"/>
    <w:rsid w:val="00670770"/>
    <w:rsid w:val="00670DD3"/>
    <w:rsid w:val="00672C11"/>
    <w:rsid w:val="00675FE9"/>
    <w:rsid w:val="00676A95"/>
    <w:rsid w:val="006771A8"/>
    <w:rsid w:val="006808DE"/>
    <w:rsid w:val="00683E1A"/>
    <w:rsid w:val="00694997"/>
    <w:rsid w:val="00696499"/>
    <w:rsid w:val="006A1DD8"/>
    <w:rsid w:val="006A1FA6"/>
    <w:rsid w:val="006A2AB9"/>
    <w:rsid w:val="006A4D9B"/>
    <w:rsid w:val="006A4F37"/>
    <w:rsid w:val="006A57AD"/>
    <w:rsid w:val="006A6A94"/>
    <w:rsid w:val="006B23B0"/>
    <w:rsid w:val="006B38A9"/>
    <w:rsid w:val="006C040A"/>
    <w:rsid w:val="006C0E0D"/>
    <w:rsid w:val="006C3A8A"/>
    <w:rsid w:val="006C4BA4"/>
    <w:rsid w:val="006C7248"/>
    <w:rsid w:val="006D120B"/>
    <w:rsid w:val="006D55CD"/>
    <w:rsid w:val="006D6EC8"/>
    <w:rsid w:val="006E1883"/>
    <w:rsid w:val="006E28B2"/>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C74"/>
    <w:rsid w:val="00763E84"/>
    <w:rsid w:val="00763FC2"/>
    <w:rsid w:val="00764C3F"/>
    <w:rsid w:val="0076606F"/>
    <w:rsid w:val="00767D83"/>
    <w:rsid w:val="00771FF8"/>
    <w:rsid w:val="007746F5"/>
    <w:rsid w:val="00774A7F"/>
    <w:rsid w:val="00777727"/>
    <w:rsid w:val="00784E06"/>
    <w:rsid w:val="0078689E"/>
    <w:rsid w:val="00790888"/>
    <w:rsid w:val="007954AF"/>
    <w:rsid w:val="00795835"/>
    <w:rsid w:val="007A03D1"/>
    <w:rsid w:val="007A0FE9"/>
    <w:rsid w:val="007B252A"/>
    <w:rsid w:val="007B7A4A"/>
    <w:rsid w:val="007C2AD1"/>
    <w:rsid w:val="007C37FC"/>
    <w:rsid w:val="007C67FB"/>
    <w:rsid w:val="007D30BB"/>
    <w:rsid w:val="007D3B27"/>
    <w:rsid w:val="007D6DA2"/>
    <w:rsid w:val="007E0F40"/>
    <w:rsid w:val="007E494D"/>
    <w:rsid w:val="007E4EE3"/>
    <w:rsid w:val="007E6A00"/>
    <w:rsid w:val="007E6F2C"/>
    <w:rsid w:val="007F052B"/>
    <w:rsid w:val="007F638A"/>
    <w:rsid w:val="008037E5"/>
    <w:rsid w:val="008040C2"/>
    <w:rsid w:val="00806915"/>
    <w:rsid w:val="008107B7"/>
    <w:rsid w:val="00811162"/>
    <w:rsid w:val="00811E50"/>
    <w:rsid w:val="0081579C"/>
    <w:rsid w:val="00824967"/>
    <w:rsid w:val="00824B30"/>
    <w:rsid w:val="00826794"/>
    <w:rsid w:val="00826A9E"/>
    <w:rsid w:val="0083066A"/>
    <w:rsid w:val="008312CE"/>
    <w:rsid w:val="008342DF"/>
    <w:rsid w:val="0083696B"/>
    <w:rsid w:val="00843837"/>
    <w:rsid w:val="00844A2D"/>
    <w:rsid w:val="00851B6D"/>
    <w:rsid w:val="0085559D"/>
    <w:rsid w:val="0085702E"/>
    <w:rsid w:val="008572D0"/>
    <w:rsid w:val="00861FD6"/>
    <w:rsid w:val="0087142D"/>
    <w:rsid w:val="00872D55"/>
    <w:rsid w:val="00875027"/>
    <w:rsid w:val="0088119C"/>
    <w:rsid w:val="008851C7"/>
    <w:rsid w:val="00886B7D"/>
    <w:rsid w:val="00890693"/>
    <w:rsid w:val="00893D7B"/>
    <w:rsid w:val="00894C4F"/>
    <w:rsid w:val="008A5F71"/>
    <w:rsid w:val="008A64FC"/>
    <w:rsid w:val="008A7E1C"/>
    <w:rsid w:val="008B2C82"/>
    <w:rsid w:val="008B33AA"/>
    <w:rsid w:val="008C20CF"/>
    <w:rsid w:val="008C2D62"/>
    <w:rsid w:val="008C4C80"/>
    <w:rsid w:val="008C59E9"/>
    <w:rsid w:val="008C614E"/>
    <w:rsid w:val="008C67FC"/>
    <w:rsid w:val="008D0EBC"/>
    <w:rsid w:val="008D1DDD"/>
    <w:rsid w:val="008D45AF"/>
    <w:rsid w:val="008D5934"/>
    <w:rsid w:val="008E18EF"/>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16F5"/>
    <w:rsid w:val="009437B2"/>
    <w:rsid w:val="00944F76"/>
    <w:rsid w:val="00945C69"/>
    <w:rsid w:val="00960349"/>
    <w:rsid w:val="009609D4"/>
    <w:rsid w:val="00962F58"/>
    <w:rsid w:val="00963908"/>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AD1"/>
    <w:rsid w:val="009C27DF"/>
    <w:rsid w:val="009C36CE"/>
    <w:rsid w:val="009C6352"/>
    <w:rsid w:val="009D3249"/>
    <w:rsid w:val="009D3D8C"/>
    <w:rsid w:val="009D5D21"/>
    <w:rsid w:val="009E3CDC"/>
    <w:rsid w:val="009F2BE8"/>
    <w:rsid w:val="009F30D4"/>
    <w:rsid w:val="009F3657"/>
    <w:rsid w:val="009F7036"/>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61FB8"/>
    <w:rsid w:val="00A63A1D"/>
    <w:rsid w:val="00A73976"/>
    <w:rsid w:val="00A7641E"/>
    <w:rsid w:val="00A77B1A"/>
    <w:rsid w:val="00A81432"/>
    <w:rsid w:val="00A84FE7"/>
    <w:rsid w:val="00A86E20"/>
    <w:rsid w:val="00A87594"/>
    <w:rsid w:val="00A91111"/>
    <w:rsid w:val="00A91354"/>
    <w:rsid w:val="00A94BDF"/>
    <w:rsid w:val="00A95D3D"/>
    <w:rsid w:val="00A97DF8"/>
    <w:rsid w:val="00AA48EB"/>
    <w:rsid w:val="00AB0DB8"/>
    <w:rsid w:val="00AB0DCA"/>
    <w:rsid w:val="00AB35A4"/>
    <w:rsid w:val="00AB3AD1"/>
    <w:rsid w:val="00AB3DC1"/>
    <w:rsid w:val="00AB4462"/>
    <w:rsid w:val="00AB4869"/>
    <w:rsid w:val="00AB5208"/>
    <w:rsid w:val="00AB6B41"/>
    <w:rsid w:val="00AC01AF"/>
    <w:rsid w:val="00AC0DE8"/>
    <w:rsid w:val="00AC2B52"/>
    <w:rsid w:val="00AC4AFB"/>
    <w:rsid w:val="00AC71E4"/>
    <w:rsid w:val="00AD0EDE"/>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827"/>
    <w:rsid w:val="00B47C58"/>
    <w:rsid w:val="00B50B28"/>
    <w:rsid w:val="00B5223F"/>
    <w:rsid w:val="00B57321"/>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BF24C4"/>
    <w:rsid w:val="00BF5615"/>
    <w:rsid w:val="00C00CE8"/>
    <w:rsid w:val="00C01929"/>
    <w:rsid w:val="00C04F2D"/>
    <w:rsid w:val="00C07B6A"/>
    <w:rsid w:val="00C1152E"/>
    <w:rsid w:val="00C11B3E"/>
    <w:rsid w:val="00C13FF6"/>
    <w:rsid w:val="00C14436"/>
    <w:rsid w:val="00C25ED8"/>
    <w:rsid w:val="00C27677"/>
    <w:rsid w:val="00C30808"/>
    <w:rsid w:val="00C31209"/>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4BC9"/>
    <w:rsid w:val="00C750F9"/>
    <w:rsid w:val="00C75C70"/>
    <w:rsid w:val="00C77834"/>
    <w:rsid w:val="00C77DE8"/>
    <w:rsid w:val="00C80AB6"/>
    <w:rsid w:val="00C80CCD"/>
    <w:rsid w:val="00C8329E"/>
    <w:rsid w:val="00C86467"/>
    <w:rsid w:val="00C86655"/>
    <w:rsid w:val="00C960F1"/>
    <w:rsid w:val="00CA1E8A"/>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E3C"/>
    <w:rsid w:val="00D211F1"/>
    <w:rsid w:val="00D222D3"/>
    <w:rsid w:val="00D3063F"/>
    <w:rsid w:val="00D32157"/>
    <w:rsid w:val="00D32E4C"/>
    <w:rsid w:val="00D43F62"/>
    <w:rsid w:val="00D45F86"/>
    <w:rsid w:val="00D46C85"/>
    <w:rsid w:val="00D46DEB"/>
    <w:rsid w:val="00D51666"/>
    <w:rsid w:val="00D51DCD"/>
    <w:rsid w:val="00D533DD"/>
    <w:rsid w:val="00D53D37"/>
    <w:rsid w:val="00D613E0"/>
    <w:rsid w:val="00D628D8"/>
    <w:rsid w:val="00D703E9"/>
    <w:rsid w:val="00D707FA"/>
    <w:rsid w:val="00D70F0D"/>
    <w:rsid w:val="00D7546E"/>
    <w:rsid w:val="00D76581"/>
    <w:rsid w:val="00D84963"/>
    <w:rsid w:val="00D866F2"/>
    <w:rsid w:val="00D8736F"/>
    <w:rsid w:val="00D87591"/>
    <w:rsid w:val="00D94371"/>
    <w:rsid w:val="00D9728B"/>
    <w:rsid w:val="00D978B4"/>
    <w:rsid w:val="00DA0B9B"/>
    <w:rsid w:val="00DA33ED"/>
    <w:rsid w:val="00DA7E71"/>
    <w:rsid w:val="00DB2873"/>
    <w:rsid w:val="00DB4A8E"/>
    <w:rsid w:val="00DC04E0"/>
    <w:rsid w:val="00DC0F43"/>
    <w:rsid w:val="00DC1507"/>
    <w:rsid w:val="00DC38DA"/>
    <w:rsid w:val="00DC5DAF"/>
    <w:rsid w:val="00DD2E54"/>
    <w:rsid w:val="00DD3F2E"/>
    <w:rsid w:val="00DD4272"/>
    <w:rsid w:val="00DD6ED0"/>
    <w:rsid w:val="00DE06D5"/>
    <w:rsid w:val="00DF2C6B"/>
    <w:rsid w:val="00DF397D"/>
    <w:rsid w:val="00DF3CCE"/>
    <w:rsid w:val="00DF4DDC"/>
    <w:rsid w:val="00DF6AC4"/>
    <w:rsid w:val="00E02288"/>
    <w:rsid w:val="00E024F9"/>
    <w:rsid w:val="00E033A3"/>
    <w:rsid w:val="00E0481A"/>
    <w:rsid w:val="00E132F9"/>
    <w:rsid w:val="00E133BD"/>
    <w:rsid w:val="00E21367"/>
    <w:rsid w:val="00E218BD"/>
    <w:rsid w:val="00E270C5"/>
    <w:rsid w:val="00E3570A"/>
    <w:rsid w:val="00E360FC"/>
    <w:rsid w:val="00E407DC"/>
    <w:rsid w:val="00E45BE4"/>
    <w:rsid w:val="00E4785D"/>
    <w:rsid w:val="00E50A18"/>
    <w:rsid w:val="00E5367E"/>
    <w:rsid w:val="00E54B90"/>
    <w:rsid w:val="00E56575"/>
    <w:rsid w:val="00E57ECC"/>
    <w:rsid w:val="00E60097"/>
    <w:rsid w:val="00E63DDB"/>
    <w:rsid w:val="00E664CE"/>
    <w:rsid w:val="00E67213"/>
    <w:rsid w:val="00E7384B"/>
    <w:rsid w:val="00E804F2"/>
    <w:rsid w:val="00E80DF6"/>
    <w:rsid w:val="00E8296F"/>
    <w:rsid w:val="00E935E6"/>
    <w:rsid w:val="00E95A3B"/>
    <w:rsid w:val="00EA1C4D"/>
    <w:rsid w:val="00EA3AFD"/>
    <w:rsid w:val="00EA4A6B"/>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51133"/>
    <w:rsid w:val="00F514CD"/>
    <w:rsid w:val="00F55916"/>
    <w:rsid w:val="00F63674"/>
    <w:rsid w:val="00F759C8"/>
    <w:rsid w:val="00F7672D"/>
    <w:rsid w:val="00F77653"/>
    <w:rsid w:val="00F77DC9"/>
    <w:rsid w:val="00F800D1"/>
    <w:rsid w:val="00F82FFE"/>
    <w:rsid w:val="00F83309"/>
    <w:rsid w:val="00F838ED"/>
    <w:rsid w:val="00F87299"/>
    <w:rsid w:val="00F90CB1"/>
    <w:rsid w:val="00F91C60"/>
    <w:rsid w:val="00F92C4C"/>
    <w:rsid w:val="00F95D71"/>
    <w:rsid w:val="00FA0994"/>
    <w:rsid w:val="00FA10AB"/>
    <w:rsid w:val="00FA27A1"/>
    <w:rsid w:val="00FA3742"/>
    <w:rsid w:val="00FA3B14"/>
    <w:rsid w:val="00FA6799"/>
    <w:rsid w:val="00FB475B"/>
    <w:rsid w:val="00FB6EEE"/>
    <w:rsid w:val="00FC5575"/>
    <w:rsid w:val="00FD043A"/>
    <w:rsid w:val="00FD21CA"/>
    <w:rsid w:val="00FD6022"/>
    <w:rsid w:val="00FE32CB"/>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2EE022DF"/>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EB061F"/>
    <w:rsid w:val="4213747B"/>
    <w:rsid w:val="422C71A9"/>
    <w:rsid w:val="42AC1507"/>
    <w:rsid w:val="430138B2"/>
    <w:rsid w:val="438A703E"/>
    <w:rsid w:val="43E50E09"/>
    <w:rsid w:val="453748F1"/>
    <w:rsid w:val="459B0BD5"/>
    <w:rsid w:val="45F1193C"/>
    <w:rsid w:val="461F7BC6"/>
    <w:rsid w:val="4A983EFD"/>
    <w:rsid w:val="4C42461E"/>
    <w:rsid w:val="4CCA4F23"/>
    <w:rsid w:val="4E0E3EAE"/>
    <w:rsid w:val="4ED44C24"/>
    <w:rsid w:val="50D25D19"/>
    <w:rsid w:val="511B78A1"/>
    <w:rsid w:val="54950428"/>
    <w:rsid w:val="54EA6789"/>
    <w:rsid w:val="550E08DC"/>
    <w:rsid w:val="56861D6D"/>
    <w:rsid w:val="56FA3AC4"/>
    <w:rsid w:val="58A548AA"/>
    <w:rsid w:val="58D01561"/>
    <w:rsid w:val="58DB68EC"/>
    <w:rsid w:val="59D247EC"/>
    <w:rsid w:val="5A24617E"/>
    <w:rsid w:val="5D5718DF"/>
    <w:rsid w:val="5D6F2F43"/>
    <w:rsid w:val="5E52206F"/>
    <w:rsid w:val="5F1151F3"/>
    <w:rsid w:val="60876E0D"/>
    <w:rsid w:val="61A30179"/>
    <w:rsid w:val="621A6BD0"/>
    <w:rsid w:val="63AA796C"/>
    <w:rsid w:val="63C41D6F"/>
    <w:rsid w:val="63C877B0"/>
    <w:rsid w:val="63E3390A"/>
    <w:rsid w:val="652E5319"/>
    <w:rsid w:val="666A263D"/>
    <w:rsid w:val="68B10E4D"/>
    <w:rsid w:val="6B330562"/>
    <w:rsid w:val="6B3415D1"/>
    <w:rsid w:val="6B5601F4"/>
    <w:rsid w:val="6BB67E69"/>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A00146"/>
    <w:rsid w:val="7F7D02C5"/>
    <w:rsid w:val="7FDB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40"/>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50"/>
    <w:qFormat/>
    <w:uiPriority w:val="0"/>
    <w:pPr>
      <w:keepNext/>
      <w:spacing w:line="440" w:lineRule="exact"/>
      <w:outlineLvl w:val="3"/>
    </w:pPr>
    <w:rPr>
      <w:rFonts w:ascii="CG Times" w:hAnsi="CG Times"/>
      <w:b/>
      <w:bCs/>
      <w:spacing w:val="2"/>
      <w:sz w:val="24"/>
    </w:rPr>
  </w:style>
  <w:style w:type="paragraph" w:styleId="6">
    <w:name w:val="heading 5"/>
    <w:basedOn w:val="1"/>
    <w:next w:val="1"/>
    <w:link w:val="51"/>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2"/>
    <w:qFormat/>
    <w:uiPriority w:val="0"/>
    <w:pPr>
      <w:keepNext/>
      <w:spacing w:line="440" w:lineRule="exact"/>
      <w:ind w:left="360"/>
      <w:outlineLvl w:val="5"/>
    </w:pPr>
    <w:rPr>
      <w:b/>
      <w:spacing w:val="2"/>
      <w:sz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34"/>
    <w:qFormat/>
    <w:uiPriority w:val="99"/>
    <w:pPr>
      <w:jc w:val="left"/>
    </w:pPr>
  </w:style>
  <w:style w:type="paragraph" w:styleId="10">
    <w:name w:val="Body Text"/>
    <w:basedOn w:val="1"/>
    <w:link w:val="55"/>
    <w:semiHidden/>
    <w:unhideWhenUsed/>
    <w:qFormat/>
    <w:uiPriority w:val="99"/>
    <w:pPr>
      <w:spacing w:after="120"/>
    </w:pPr>
  </w:style>
  <w:style w:type="paragraph" w:styleId="11">
    <w:name w:val="Plain Text"/>
    <w:basedOn w:val="1"/>
    <w:link w:val="32"/>
    <w:qFormat/>
    <w:uiPriority w:val="0"/>
    <w:rPr>
      <w:rFonts w:ascii="宋体" w:hAnsi="Courier New"/>
      <w:szCs w:val="20"/>
    </w:rPr>
  </w:style>
  <w:style w:type="paragraph" w:styleId="12">
    <w:name w:val="Date"/>
    <w:basedOn w:val="1"/>
    <w:next w:val="1"/>
    <w:link w:val="31"/>
    <w:semiHidden/>
    <w:unhideWhenUsed/>
    <w:qFormat/>
    <w:uiPriority w:val="99"/>
    <w:pPr>
      <w:ind w:left="100" w:leftChars="2500"/>
    </w:pPr>
  </w:style>
  <w:style w:type="paragraph" w:styleId="13">
    <w:name w:val="Body Text Indent 2"/>
    <w:basedOn w:val="1"/>
    <w:link w:val="53"/>
    <w:qFormat/>
    <w:uiPriority w:val="0"/>
    <w:pPr>
      <w:spacing w:line="440" w:lineRule="exact"/>
      <w:ind w:left="360"/>
    </w:pPr>
    <w:rPr>
      <w:color w:val="000000"/>
      <w:spacing w:val="2"/>
      <w:sz w:val="22"/>
    </w:rPr>
  </w:style>
  <w:style w:type="paragraph" w:styleId="14">
    <w:name w:val="Balloon Text"/>
    <w:basedOn w:val="1"/>
    <w:link w:val="36"/>
    <w:unhideWhenUsed/>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rPr>
  </w:style>
  <w:style w:type="paragraph" w:styleId="16">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2"/>
    <w:basedOn w:val="1"/>
    <w:link w:val="54"/>
    <w:qFormat/>
    <w:uiPriority w:val="0"/>
    <w:pPr>
      <w:spacing w:line="440" w:lineRule="exact"/>
    </w:pPr>
    <w:rPr>
      <w:rFonts w:ascii="CG Times" w:hAnsi="CG Times"/>
      <w:b/>
      <w:spacing w:val="2"/>
    </w:rPr>
  </w:style>
  <w:style w:type="paragraph" w:styleId="19">
    <w:name w:val="Normal (Web)"/>
    <w:basedOn w:val="1"/>
    <w:unhideWhenUsed/>
    <w:qFormat/>
    <w:uiPriority w:val="99"/>
    <w:pPr>
      <w:widowControl/>
      <w:spacing w:before="100" w:beforeAutospacing="1" w:after="100" w:afterAutospacing="1"/>
      <w:jc w:val="left"/>
    </w:pPr>
    <w:rPr>
      <w:kern w:val="0"/>
      <w:sz w:val="24"/>
    </w:rPr>
  </w:style>
  <w:style w:type="paragraph" w:styleId="20">
    <w:name w:val="annotation subject"/>
    <w:basedOn w:val="9"/>
    <w:next w:val="9"/>
    <w:link w:val="41"/>
    <w:unhideWhenUsed/>
    <w:qFormat/>
    <w:uiPriority w:val="99"/>
    <w:rPr>
      <w:b/>
      <w:bCs/>
      <w:szCs w:val="22"/>
    </w:rPr>
  </w:style>
  <w:style w:type="table" w:styleId="22">
    <w:name w:val="Table Grid"/>
    <w:basedOn w:val="2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qFormat/>
    <w:uiPriority w:val="99"/>
    <w:rPr>
      <w:sz w:val="21"/>
      <w:szCs w:val="21"/>
    </w:rPr>
  </w:style>
  <w:style w:type="character" w:customStyle="1" w:styleId="28">
    <w:name w:val="apple-style-span"/>
    <w:basedOn w:val="23"/>
    <w:qFormat/>
    <w:uiPriority w:val="0"/>
  </w:style>
  <w:style w:type="paragraph" w:customStyle="1" w:styleId="29">
    <w:name w:val="列出段落1"/>
    <w:basedOn w:val="1"/>
    <w:qFormat/>
    <w:uiPriority w:val="0"/>
    <w:pPr>
      <w:ind w:firstLine="420" w:firstLineChars="200"/>
    </w:pPr>
  </w:style>
  <w:style w:type="paragraph" w:customStyle="1" w:styleId="30">
    <w:name w:val="Char"/>
    <w:basedOn w:val="1"/>
    <w:qFormat/>
    <w:uiPriority w:val="0"/>
    <w:pPr>
      <w:snapToGrid w:val="0"/>
      <w:spacing w:line="360" w:lineRule="auto"/>
      <w:ind w:firstLine="200" w:firstLineChars="200"/>
    </w:pPr>
  </w:style>
  <w:style w:type="character" w:customStyle="1" w:styleId="31">
    <w:name w:val="日期 字符"/>
    <w:basedOn w:val="23"/>
    <w:link w:val="12"/>
    <w:semiHidden/>
    <w:qFormat/>
    <w:uiPriority w:val="99"/>
    <w:rPr>
      <w:kern w:val="2"/>
      <w:sz w:val="21"/>
      <w:szCs w:val="24"/>
    </w:rPr>
  </w:style>
  <w:style w:type="character" w:customStyle="1" w:styleId="32">
    <w:name w:val="纯文本 字符"/>
    <w:link w:val="11"/>
    <w:qFormat/>
    <w:uiPriority w:val="0"/>
    <w:rPr>
      <w:rFonts w:ascii="宋体" w:hAnsi="Courier New"/>
      <w:kern w:val="2"/>
      <w:sz w:val="21"/>
    </w:rPr>
  </w:style>
  <w:style w:type="character" w:customStyle="1" w:styleId="33">
    <w:name w:val="纯文本 Char1"/>
    <w:basedOn w:val="23"/>
    <w:semiHidden/>
    <w:qFormat/>
    <w:uiPriority w:val="99"/>
    <w:rPr>
      <w:rFonts w:ascii="宋体" w:hAnsi="Courier New" w:cs="Courier New"/>
      <w:kern w:val="2"/>
      <w:sz w:val="21"/>
      <w:szCs w:val="21"/>
    </w:rPr>
  </w:style>
  <w:style w:type="character" w:customStyle="1" w:styleId="34">
    <w:name w:val="批注文字 字符"/>
    <w:link w:val="9"/>
    <w:qFormat/>
    <w:uiPriority w:val="99"/>
    <w:rPr>
      <w:kern w:val="2"/>
      <w:sz w:val="21"/>
      <w:szCs w:val="24"/>
    </w:rPr>
  </w:style>
  <w:style w:type="character" w:customStyle="1" w:styleId="35">
    <w:name w:val="批注文字 Char1"/>
    <w:basedOn w:val="23"/>
    <w:semiHidden/>
    <w:qFormat/>
    <w:uiPriority w:val="99"/>
    <w:rPr>
      <w:kern w:val="2"/>
      <w:sz w:val="21"/>
      <w:szCs w:val="24"/>
    </w:rPr>
  </w:style>
  <w:style w:type="character" w:customStyle="1" w:styleId="36">
    <w:name w:val="批注框文本 字符"/>
    <w:basedOn w:val="23"/>
    <w:link w:val="14"/>
    <w:semiHidden/>
    <w:qFormat/>
    <w:uiPriority w:val="99"/>
    <w:rPr>
      <w:kern w:val="2"/>
      <w:sz w:val="18"/>
      <w:szCs w:val="18"/>
    </w:rPr>
  </w:style>
  <w:style w:type="table" w:customStyle="1" w:styleId="37">
    <w:name w:val="网格型1"/>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8">
    <w:name w:val="List Paragraph"/>
    <w:basedOn w:val="1"/>
    <w:qFormat/>
    <w:uiPriority w:val="34"/>
    <w:pPr>
      <w:ind w:firstLine="420" w:firstLineChars="200"/>
    </w:pPr>
  </w:style>
  <w:style w:type="character" w:customStyle="1" w:styleId="39">
    <w:name w:val="标题 2 字符"/>
    <w:basedOn w:val="23"/>
    <w:link w:val="4"/>
    <w:qFormat/>
    <w:uiPriority w:val="9"/>
    <w:rPr>
      <w:rFonts w:ascii="Cambria" w:hAnsi="Cambria"/>
      <w:b/>
      <w:bCs/>
      <w:kern w:val="2"/>
      <w:sz w:val="32"/>
      <w:szCs w:val="32"/>
    </w:rPr>
  </w:style>
  <w:style w:type="character" w:customStyle="1" w:styleId="40">
    <w:name w:val="标题 3 字符"/>
    <w:basedOn w:val="23"/>
    <w:link w:val="2"/>
    <w:qFormat/>
    <w:uiPriority w:val="9"/>
    <w:rPr>
      <w:rFonts w:ascii="Calibri" w:hAnsi="Calibri"/>
      <w:b/>
      <w:bCs/>
      <w:kern w:val="2"/>
      <w:sz w:val="32"/>
      <w:szCs w:val="32"/>
    </w:rPr>
  </w:style>
  <w:style w:type="character" w:customStyle="1" w:styleId="41">
    <w:name w:val="批注主题 字符"/>
    <w:link w:val="20"/>
    <w:qFormat/>
    <w:uiPriority w:val="99"/>
    <w:rPr>
      <w:b/>
      <w:bCs/>
      <w:kern w:val="2"/>
      <w:sz w:val="21"/>
      <w:szCs w:val="22"/>
    </w:rPr>
  </w:style>
  <w:style w:type="character" w:customStyle="1" w:styleId="42">
    <w:name w:val="页眉 字符"/>
    <w:link w:val="16"/>
    <w:qFormat/>
    <w:uiPriority w:val="99"/>
    <w:rPr>
      <w:kern w:val="2"/>
      <w:sz w:val="18"/>
      <w:szCs w:val="24"/>
    </w:rPr>
  </w:style>
  <w:style w:type="character" w:customStyle="1" w:styleId="43">
    <w:name w:val="页脚 字符"/>
    <w:link w:val="15"/>
    <w:qFormat/>
    <w:uiPriority w:val="99"/>
    <w:rPr>
      <w:kern w:val="2"/>
      <w:sz w:val="18"/>
      <w:szCs w:val="24"/>
    </w:rPr>
  </w:style>
  <w:style w:type="character" w:customStyle="1" w:styleId="44">
    <w:name w:val="样式 标题 2 + Times New Roman 四号 非加粗 段前: 5 磅 段后: 0 磅 行距: 固定值 20... Char"/>
    <w:link w:val="45"/>
    <w:qFormat/>
    <w:locked/>
    <w:uiPriority w:val="0"/>
    <w:rPr>
      <w:rFonts w:eastAsia="黑体"/>
      <w:sz w:val="28"/>
    </w:rPr>
  </w:style>
  <w:style w:type="paragraph" w:customStyle="1" w:styleId="45">
    <w:name w:val="样式 标题 2 + Times New Roman 四号 非加粗 段前: 5 磅 段后: 0 磅 行距: 固定值 20..."/>
    <w:basedOn w:val="4"/>
    <w:link w:val="44"/>
    <w:qFormat/>
    <w:uiPriority w:val="0"/>
    <w:pPr>
      <w:spacing w:before="100" w:after="0" w:line="400" w:lineRule="exact"/>
    </w:pPr>
    <w:rPr>
      <w:rFonts w:ascii="Times New Roman" w:hAnsi="Times New Roman" w:eastAsia="黑体"/>
      <w:b w:val="0"/>
      <w:bCs w:val="0"/>
      <w:kern w:val="0"/>
      <w:sz w:val="28"/>
      <w:szCs w:val="20"/>
    </w:rPr>
  </w:style>
  <w:style w:type="character" w:customStyle="1" w:styleId="46">
    <w:name w:val="标题 1 字符"/>
    <w:link w:val="3"/>
    <w:qFormat/>
    <w:uiPriority w:val="9"/>
    <w:rPr>
      <w:b/>
      <w:bCs/>
      <w:kern w:val="44"/>
      <w:sz w:val="44"/>
      <w:szCs w:val="44"/>
    </w:rPr>
  </w:style>
  <w:style w:type="character" w:customStyle="1" w:styleId="47">
    <w:name w:val="批注主题 Char1"/>
    <w:basedOn w:val="34"/>
    <w:semiHidden/>
    <w:qFormat/>
    <w:uiPriority w:val="99"/>
    <w:rPr>
      <w:b/>
      <w:bCs/>
      <w:kern w:val="2"/>
      <w:sz w:val="21"/>
      <w:szCs w:val="24"/>
    </w:rPr>
  </w:style>
  <w:style w:type="paragraph" w:customStyle="1" w:styleId="48">
    <w:name w:val="样式 标题 3 + (中文) 黑体 小四 非加粗 段前: 7.8 磅 段后: 0 磅 行距: 固定值 20 磅"/>
    <w:basedOn w:val="2"/>
    <w:qFormat/>
    <w:uiPriority w:val="0"/>
    <w:pPr>
      <w:spacing w:before="0" w:after="0" w:line="400" w:lineRule="exact"/>
    </w:pPr>
    <w:rPr>
      <w:rFonts w:ascii="Times New Roman" w:hAnsi="Times New Roman" w:eastAsia="黑体" w:cs="宋体"/>
      <w:b w:val="0"/>
      <w:bCs w:val="0"/>
      <w:sz w:val="24"/>
      <w:szCs w:val="20"/>
    </w:rPr>
  </w:style>
  <w:style w:type="table" w:customStyle="1" w:styleId="49">
    <w:name w:val="网格型浅色1"/>
    <w:basedOn w:val="21"/>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50">
    <w:name w:val="标题 4 字符"/>
    <w:basedOn w:val="23"/>
    <w:link w:val="5"/>
    <w:qFormat/>
    <w:uiPriority w:val="0"/>
    <w:rPr>
      <w:rFonts w:ascii="CG Times" w:hAnsi="CG Times"/>
      <w:b/>
      <w:bCs/>
      <w:spacing w:val="2"/>
      <w:kern w:val="2"/>
      <w:sz w:val="24"/>
      <w:szCs w:val="24"/>
    </w:rPr>
  </w:style>
  <w:style w:type="character" w:customStyle="1" w:styleId="51">
    <w:name w:val="标题 5 字符"/>
    <w:basedOn w:val="23"/>
    <w:link w:val="6"/>
    <w:qFormat/>
    <w:uiPriority w:val="0"/>
    <w:rPr>
      <w:rFonts w:ascii="CG Times" w:hAnsi="CG Times"/>
      <w:b/>
      <w:bCs/>
      <w:color w:val="000000"/>
      <w:spacing w:val="2"/>
      <w:kern w:val="2"/>
      <w:sz w:val="24"/>
      <w:szCs w:val="24"/>
    </w:rPr>
  </w:style>
  <w:style w:type="character" w:customStyle="1" w:styleId="52">
    <w:name w:val="标题 6 字符"/>
    <w:basedOn w:val="23"/>
    <w:link w:val="7"/>
    <w:qFormat/>
    <w:uiPriority w:val="0"/>
    <w:rPr>
      <w:b/>
      <w:spacing w:val="2"/>
      <w:kern w:val="2"/>
      <w:sz w:val="22"/>
      <w:szCs w:val="24"/>
    </w:rPr>
  </w:style>
  <w:style w:type="character" w:customStyle="1" w:styleId="53">
    <w:name w:val="正文文本缩进 2 字符"/>
    <w:basedOn w:val="23"/>
    <w:link w:val="13"/>
    <w:qFormat/>
    <w:uiPriority w:val="0"/>
    <w:rPr>
      <w:color w:val="000000"/>
      <w:spacing w:val="2"/>
      <w:kern w:val="2"/>
      <w:sz w:val="22"/>
      <w:szCs w:val="24"/>
    </w:rPr>
  </w:style>
  <w:style w:type="character" w:customStyle="1" w:styleId="54">
    <w:name w:val="正文文本 2 字符"/>
    <w:basedOn w:val="23"/>
    <w:link w:val="18"/>
    <w:qFormat/>
    <w:uiPriority w:val="0"/>
    <w:rPr>
      <w:rFonts w:ascii="CG Times" w:hAnsi="CG Times"/>
      <w:b/>
      <w:spacing w:val="2"/>
      <w:kern w:val="2"/>
      <w:sz w:val="21"/>
      <w:szCs w:val="24"/>
    </w:rPr>
  </w:style>
  <w:style w:type="character" w:customStyle="1" w:styleId="55">
    <w:name w:val="正文文本 字符"/>
    <w:basedOn w:val="23"/>
    <w:link w:val="10"/>
    <w:semiHidden/>
    <w:qFormat/>
    <w:uiPriority w:val="99"/>
    <w:rPr>
      <w:kern w:val="2"/>
      <w:sz w:val="21"/>
      <w:szCs w:val="24"/>
    </w:rPr>
  </w:style>
  <w:style w:type="paragraph" w:styleId="5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样式7"/>
    <w:basedOn w:val="1"/>
    <w:qFormat/>
    <w:uiPriority w:val="0"/>
    <w:pPr>
      <w:spacing w:line="480" w:lineRule="exact"/>
      <w:jc w:val="center"/>
    </w:pPr>
    <w:rPr>
      <w:rFonts w:eastAsia="方正大标宋简体"/>
      <w:spacing w:val="6"/>
      <w:sz w:val="44"/>
    </w:rPr>
  </w:style>
  <w:style w:type="paragraph" w:customStyle="1" w:styleId="58">
    <w:name w:val="Compact"/>
    <w:basedOn w:val="10"/>
    <w:qFormat/>
    <w:uiPriority w:val="0"/>
    <w:pPr>
      <w:spacing w:before="36" w:after="36"/>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F78BC-D0B1-4CAD-A5FF-6353D7364082}">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17</Pages>
  <Words>1160</Words>
  <Characters>6615</Characters>
  <Lines>55</Lines>
  <Paragraphs>15</Paragraphs>
  <TotalTime>90</TotalTime>
  <ScaleCrop>false</ScaleCrop>
  <LinksUpToDate>false</LinksUpToDate>
  <CharactersWithSpaces>7760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2021-07-20T01:24:00Z</dcterms:created>
  <dc:creator>Owner</dc:creator>
  <cp:lastModifiedBy>. 此时此刻</cp:lastModifiedBy>
  <cp:lastPrinted>2018-03-23T04:20:00Z</cp:lastPrinted>
  <dcterms:modified xsi:type="dcterms:W3CDTF">2023-06-08T00:38:13Z</dcterms:modified>
  <dc:title>水投公司内控建设招标咨询单位</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