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781" w:type="dxa"/>
        <w:tblInd w:w="108" w:type="dxa"/>
        <w:tblLayout w:type="autofit"/>
        <w:tblCellMar>
          <w:top w:w="0" w:type="dxa"/>
          <w:left w:w="108" w:type="dxa"/>
          <w:bottom w:w="0" w:type="dxa"/>
          <w:right w:w="108" w:type="dxa"/>
        </w:tblCellMar>
      </w:tblPr>
      <w:tblGrid>
        <w:gridCol w:w="709"/>
        <w:gridCol w:w="2693"/>
        <w:gridCol w:w="5245"/>
        <w:gridCol w:w="1134"/>
      </w:tblGrid>
      <w:tr>
        <w:tblPrEx>
          <w:tblCellMar>
            <w:top w:w="0" w:type="dxa"/>
            <w:left w:w="108" w:type="dxa"/>
            <w:bottom w:w="0" w:type="dxa"/>
            <w:right w:w="108" w:type="dxa"/>
          </w:tblCellMar>
        </w:tblPrEx>
        <w:trPr>
          <w:trHeight w:val="690" w:hRule="atLeast"/>
        </w:trPr>
        <w:tc>
          <w:tcPr>
            <w:tcW w:w="9781" w:type="dxa"/>
            <w:gridSpan w:val="4"/>
            <w:tcBorders>
              <w:top w:val="nil"/>
              <w:left w:val="nil"/>
              <w:bottom w:val="nil"/>
              <w:right w:val="nil"/>
            </w:tcBorders>
            <w:shd w:val="clear" w:color="auto" w:fill="auto"/>
            <w:noWrap/>
            <w:vAlign w:val="center"/>
          </w:tcPr>
          <w:p>
            <w:pPr>
              <w:adjustRightInd/>
              <w:snapToGrid/>
              <w:spacing w:after="0"/>
              <w:jc w:val="center"/>
              <w:rPr>
                <w:rFonts w:ascii="宋体" w:hAnsi="宋体" w:eastAsia="宋体" w:cs="Tahoma"/>
                <w:b/>
                <w:bCs/>
                <w:color w:val="000000"/>
                <w:sz w:val="24"/>
                <w:szCs w:val="24"/>
              </w:rPr>
            </w:pPr>
            <w:r>
              <w:rPr>
                <w:rFonts w:hint="eastAsia" w:ascii="宋体" w:hAnsi="宋体" w:eastAsia="宋体" w:cs="Tahoma"/>
                <w:b/>
                <w:bCs/>
                <w:color w:val="000000"/>
                <w:sz w:val="24"/>
                <w:szCs w:val="24"/>
              </w:rPr>
              <w:t>额敏番茄C选台容积槽及管路改造项目询比文件</w:t>
            </w:r>
          </w:p>
        </w:tc>
      </w:tr>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项目</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1</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采购主体</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中粮屯河额敏番茄制品有限公司</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6"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2</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采购标的</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rPr>
                <w:rFonts w:eastAsia="宋体" w:cs="Tahoma"/>
                <w:color w:val="000000"/>
                <w:sz w:val="20"/>
                <w:szCs w:val="20"/>
              </w:rPr>
            </w:pPr>
            <w:r>
              <w:rPr>
                <w:rFonts w:hint="eastAsia" w:ascii="宋体" w:hAnsi="宋体" w:eastAsia="宋体" w:cs="Tahoma"/>
                <w:color w:val="000000"/>
                <w:sz w:val="20"/>
                <w:szCs w:val="20"/>
              </w:rPr>
              <w:t>C选台容积槽及管路改造项目</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221"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3</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技术（验收）标准</w:t>
            </w:r>
          </w:p>
        </w:tc>
        <w:tc>
          <w:tcPr>
            <w:tcW w:w="5245" w:type="dxa"/>
            <w:tcBorders>
              <w:top w:val="nil"/>
              <w:left w:val="nil"/>
              <w:bottom w:val="single" w:color="auto" w:sz="4" w:space="0"/>
              <w:right w:val="single" w:color="auto" w:sz="4" w:space="0"/>
            </w:tcBorders>
            <w:shd w:val="clear" w:color="auto" w:fill="auto"/>
            <w:vAlign w:val="center"/>
          </w:tcPr>
          <w:p>
            <w:pPr>
              <w:numPr>
                <w:ilvl w:val="0"/>
                <w:numId w:val="1"/>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符合国家或行业标准或询价文件要求；</w:t>
            </w:r>
          </w:p>
          <w:p>
            <w:pPr>
              <w:numPr>
                <w:ilvl w:val="0"/>
                <w:numId w:val="1"/>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lang w:eastAsia="zh-CN"/>
              </w:rPr>
              <w:t>详情见附件</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37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4</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付款方式</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lang w:eastAsia="zh-CN"/>
              </w:rPr>
              <w:t>工程进度完成</w:t>
            </w:r>
            <w:r>
              <w:rPr>
                <w:rFonts w:hint="eastAsia" w:ascii="宋体" w:hAnsi="宋体" w:eastAsia="宋体" w:cs="Tahoma"/>
                <w:color w:val="000000"/>
                <w:sz w:val="20"/>
                <w:szCs w:val="20"/>
                <w:lang w:val="en-US" w:eastAsia="zh-CN"/>
              </w:rPr>
              <w:t>50%</w:t>
            </w:r>
            <w:r>
              <w:rPr>
                <w:rFonts w:hint="eastAsia" w:ascii="宋体" w:hAnsi="宋体" w:eastAsia="宋体" w:cs="Tahoma"/>
                <w:color w:val="000000"/>
                <w:sz w:val="20"/>
                <w:szCs w:val="20"/>
              </w:rPr>
              <w:t>乙方提供</w:t>
            </w:r>
            <w:r>
              <w:rPr>
                <w:rFonts w:hint="eastAsia" w:ascii="宋体" w:hAnsi="宋体" w:eastAsia="宋体" w:cs="Tahoma"/>
                <w:color w:val="000000"/>
                <w:sz w:val="20"/>
                <w:szCs w:val="20"/>
                <w:u w:val="single"/>
                <w:lang w:val="en-US" w:eastAsia="zh-CN"/>
              </w:rPr>
              <w:t>13</w:t>
            </w:r>
            <w:r>
              <w:rPr>
                <w:rFonts w:hint="eastAsia" w:ascii="宋体" w:hAnsi="宋体" w:eastAsia="宋体" w:cs="Tahoma"/>
                <w:color w:val="000000"/>
                <w:sz w:val="20"/>
                <w:szCs w:val="20"/>
                <w:lang w:val="en-US" w:eastAsia="zh-CN"/>
              </w:rPr>
              <w:t>%</w:t>
            </w:r>
            <w:r>
              <w:rPr>
                <w:rFonts w:hint="eastAsia" w:ascii="宋体" w:hAnsi="宋体" w:eastAsia="宋体" w:cs="Tahoma"/>
                <w:color w:val="000000"/>
                <w:sz w:val="20"/>
                <w:szCs w:val="20"/>
              </w:rPr>
              <w:t>全额增值税专用发票挂账后，支付总价款的30%，安装完成验收合格后支付</w:t>
            </w:r>
            <w:r>
              <w:rPr>
                <w:rFonts w:hint="eastAsia" w:ascii="宋体" w:hAnsi="宋体" w:eastAsia="宋体" w:cs="Tahoma"/>
                <w:color w:val="000000"/>
                <w:sz w:val="20"/>
                <w:szCs w:val="20"/>
                <w:lang w:val="en-US" w:eastAsia="zh-CN"/>
              </w:rPr>
              <w:t>60%</w:t>
            </w:r>
            <w:r>
              <w:rPr>
                <w:rFonts w:hint="eastAsia" w:ascii="宋体" w:hAnsi="宋体" w:eastAsia="宋体" w:cs="Tahoma"/>
                <w:color w:val="000000"/>
                <w:sz w:val="20"/>
                <w:szCs w:val="20"/>
              </w:rPr>
              <w:t>，</w:t>
            </w:r>
            <w:r>
              <w:rPr>
                <w:rFonts w:hint="eastAsia" w:ascii="宋体" w:hAnsi="宋体" w:eastAsia="宋体" w:cs="Tahoma"/>
                <w:color w:val="000000"/>
                <w:sz w:val="20"/>
                <w:szCs w:val="20"/>
                <w:lang w:eastAsia="zh-CN"/>
              </w:rPr>
              <w:t>剩</w:t>
            </w:r>
            <w:r>
              <w:rPr>
                <w:rFonts w:hint="eastAsia" w:ascii="宋体" w:hAnsi="宋体" w:eastAsia="宋体" w:cs="Tahoma"/>
                <w:color w:val="000000"/>
                <w:sz w:val="20"/>
                <w:szCs w:val="20"/>
              </w:rPr>
              <w:t>余10%作为质保金，待</w:t>
            </w:r>
            <w:r>
              <w:rPr>
                <w:rFonts w:hint="eastAsia" w:ascii="宋体" w:hAnsi="宋体" w:eastAsia="宋体" w:cs="Tahoma"/>
                <w:color w:val="000000"/>
                <w:sz w:val="20"/>
                <w:szCs w:val="20"/>
                <w:lang w:eastAsia="zh-CN"/>
              </w:rPr>
              <w:t>次</w:t>
            </w:r>
            <w:r>
              <w:rPr>
                <w:rFonts w:hint="eastAsia" w:ascii="宋体" w:hAnsi="宋体" w:eastAsia="宋体" w:cs="Tahoma"/>
                <w:color w:val="000000"/>
                <w:sz w:val="20"/>
                <w:szCs w:val="20"/>
              </w:rPr>
              <w:t>生产期结束付清。</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95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5</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交货期</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rPr>
                <w:rFonts w:eastAsia="宋体" w:cs="Tahoma"/>
                <w:color w:val="000000"/>
                <w:sz w:val="20"/>
                <w:szCs w:val="20"/>
              </w:rPr>
            </w:pPr>
            <w:r>
              <w:rPr>
                <w:rFonts w:hint="eastAsia" w:ascii="宋体" w:hAnsi="宋体" w:eastAsia="宋体" w:cs="Tahoma"/>
                <w:color w:val="000000"/>
                <w:sz w:val="20"/>
                <w:szCs w:val="20"/>
              </w:rPr>
              <w:t>2023年</w:t>
            </w:r>
            <w:r>
              <w:rPr>
                <w:rFonts w:hint="eastAsia" w:ascii="宋体" w:hAnsi="宋体" w:eastAsia="宋体" w:cs="Tahoma"/>
                <w:color w:val="000000"/>
                <w:sz w:val="20"/>
                <w:szCs w:val="20"/>
                <w:lang w:val="en-US" w:eastAsia="zh-CN"/>
              </w:rPr>
              <w:t>6</w:t>
            </w:r>
            <w:r>
              <w:rPr>
                <w:rFonts w:hint="eastAsia" w:ascii="宋体" w:hAnsi="宋体" w:eastAsia="宋体" w:cs="Tahoma"/>
                <w:color w:val="000000"/>
                <w:sz w:val="20"/>
                <w:szCs w:val="20"/>
              </w:rPr>
              <w:t>月</w:t>
            </w:r>
            <w:r>
              <w:rPr>
                <w:rFonts w:hint="eastAsia" w:ascii="宋体" w:hAnsi="宋体" w:eastAsia="宋体" w:cs="Tahoma"/>
                <w:color w:val="000000"/>
                <w:sz w:val="20"/>
                <w:szCs w:val="20"/>
                <w:lang w:val="en-US" w:eastAsia="zh-CN"/>
              </w:rPr>
              <w:t>20</w:t>
            </w:r>
            <w:r>
              <w:rPr>
                <w:rFonts w:hint="eastAsia" w:ascii="宋体" w:hAnsi="宋体" w:eastAsia="宋体" w:cs="Tahoma"/>
                <w:color w:val="000000"/>
                <w:sz w:val="20"/>
                <w:szCs w:val="20"/>
              </w:rPr>
              <w:t>日前完成全部制作安装</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8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6</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开标时间（投标截止时间）</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rPr>
                <w:rFonts w:eastAsia="宋体" w:cs="Tahoma"/>
                <w:color w:val="000000"/>
                <w:sz w:val="20"/>
                <w:szCs w:val="20"/>
              </w:rPr>
            </w:pPr>
            <w:r>
              <w:rPr>
                <w:rFonts w:eastAsia="宋体" w:cs="Tahoma"/>
                <w:color w:val="000000"/>
                <w:sz w:val="20"/>
                <w:szCs w:val="20"/>
              </w:rPr>
              <w:t>202</w:t>
            </w:r>
            <w:r>
              <w:rPr>
                <w:rFonts w:hint="eastAsia" w:eastAsia="宋体" w:cs="Tahoma"/>
                <w:color w:val="000000"/>
                <w:sz w:val="20"/>
                <w:szCs w:val="20"/>
              </w:rPr>
              <w:t>3</w:t>
            </w:r>
            <w:r>
              <w:rPr>
                <w:rFonts w:eastAsia="宋体" w:cs="Tahoma"/>
                <w:color w:val="000000"/>
                <w:sz w:val="20"/>
                <w:szCs w:val="20"/>
              </w:rPr>
              <w:t>年</w:t>
            </w:r>
            <w:r>
              <w:rPr>
                <w:rFonts w:hint="eastAsia" w:eastAsia="宋体" w:cs="Tahoma"/>
                <w:color w:val="000000"/>
                <w:sz w:val="20"/>
                <w:szCs w:val="20"/>
                <w:lang w:val="en-US" w:eastAsia="zh-CN"/>
              </w:rPr>
              <w:t>6</w:t>
            </w:r>
            <w:r>
              <w:rPr>
                <w:rFonts w:eastAsia="宋体" w:cs="Tahoma"/>
                <w:color w:val="000000"/>
                <w:sz w:val="20"/>
                <w:szCs w:val="20"/>
              </w:rPr>
              <w:t>月</w:t>
            </w:r>
            <w:r>
              <w:rPr>
                <w:rFonts w:hint="eastAsia" w:eastAsia="宋体" w:cs="Tahoma"/>
                <w:color w:val="000000"/>
                <w:sz w:val="20"/>
                <w:szCs w:val="20"/>
                <w:lang w:val="en-US" w:eastAsia="zh-CN"/>
              </w:rPr>
              <w:t>14</w:t>
            </w:r>
            <w:r>
              <w:rPr>
                <w:rFonts w:eastAsia="宋体" w:cs="Tahoma"/>
                <w:color w:val="000000"/>
                <w:sz w:val="20"/>
                <w:szCs w:val="20"/>
              </w:rPr>
              <w:t>日</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4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7</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采购方式及定标方式</w:t>
            </w:r>
          </w:p>
        </w:tc>
        <w:tc>
          <w:tcPr>
            <w:tcW w:w="5245" w:type="dxa"/>
            <w:tcBorders>
              <w:top w:val="nil"/>
              <w:left w:val="nil"/>
              <w:bottom w:val="single" w:color="auto" w:sz="4" w:space="0"/>
              <w:right w:val="single" w:color="auto" w:sz="4" w:space="0"/>
            </w:tcBorders>
            <w:shd w:val="clear" w:color="auto" w:fill="auto"/>
            <w:vAlign w:val="center"/>
          </w:tcPr>
          <w:p>
            <w:pPr>
              <w:numPr>
                <w:ilvl w:val="0"/>
                <w:numId w:val="2"/>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本次采购为EPS系统询比采购；</w:t>
            </w:r>
          </w:p>
          <w:p>
            <w:pPr>
              <w:numPr>
                <w:ilvl w:val="0"/>
                <w:numId w:val="2"/>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lang w:eastAsia="zh-CN"/>
              </w:rPr>
              <w:t>本次报价轮数为一轮；</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2、定标按总价报价最低确定中标供应商。</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8</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资质要求</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机械设备安装或机械设备</w:t>
            </w:r>
            <w:r>
              <w:rPr>
                <w:rFonts w:hint="eastAsia" w:ascii="宋体" w:hAnsi="宋体" w:eastAsia="宋体" w:cs="Tahoma"/>
                <w:color w:val="000000"/>
                <w:sz w:val="20"/>
                <w:szCs w:val="20"/>
                <w:lang w:eastAsia="zh-CN"/>
              </w:rPr>
              <w:t>维修</w:t>
            </w:r>
            <w:r>
              <w:rPr>
                <w:rFonts w:hint="eastAsia" w:ascii="宋体" w:hAnsi="宋体" w:eastAsia="宋体" w:cs="Tahoma"/>
                <w:color w:val="000000"/>
                <w:sz w:val="20"/>
                <w:szCs w:val="20"/>
              </w:rPr>
              <w:t>或机械加工</w:t>
            </w:r>
            <w:r>
              <w:rPr>
                <w:rFonts w:hint="eastAsia" w:ascii="宋体" w:hAnsi="宋体" w:eastAsia="宋体" w:cs="Tahoma"/>
                <w:color w:val="000000"/>
                <w:sz w:val="20"/>
                <w:szCs w:val="20"/>
                <w:lang w:eastAsia="zh-CN"/>
              </w:rPr>
              <w:t>或机械设备销售</w:t>
            </w:r>
            <w:r>
              <w:rPr>
                <w:rFonts w:hint="eastAsia" w:ascii="宋体" w:hAnsi="宋体" w:eastAsia="宋体" w:cs="Tahoma"/>
                <w:color w:val="000000"/>
                <w:sz w:val="20"/>
                <w:szCs w:val="20"/>
              </w:rPr>
              <w:t>类等相关资质。</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735" w:hRule="atLeast"/>
        </w:trPr>
        <w:tc>
          <w:tcPr>
            <w:tcW w:w="709"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9</w:t>
            </w:r>
          </w:p>
        </w:tc>
        <w:tc>
          <w:tcPr>
            <w:tcW w:w="2693" w:type="dxa"/>
            <w:tcBorders>
              <w:top w:val="nil"/>
              <w:left w:val="nil"/>
              <w:bottom w:val="nil"/>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投标文件要求</w:t>
            </w:r>
          </w:p>
        </w:tc>
        <w:tc>
          <w:tcPr>
            <w:tcW w:w="5245" w:type="dxa"/>
            <w:tcBorders>
              <w:top w:val="nil"/>
              <w:left w:val="nil"/>
              <w:bottom w:val="nil"/>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1、反馈付款方式是否同意，如有</w:t>
            </w:r>
            <w:r>
              <w:rPr>
                <w:rFonts w:ascii="宋体" w:hAnsi="宋体" w:eastAsia="宋体" w:cs="Tahoma"/>
                <w:color w:val="000000"/>
                <w:sz w:val="20"/>
                <w:szCs w:val="20"/>
              </w:rPr>
              <w:t>异议请</w:t>
            </w:r>
            <w:r>
              <w:rPr>
                <w:rFonts w:hint="eastAsia" w:ascii="宋体" w:hAnsi="宋体" w:eastAsia="宋体" w:cs="Tahoma"/>
                <w:color w:val="000000"/>
                <w:sz w:val="20"/>
                <w:szCs w:val="20"/>
              </w:rPr>
              <w:t>打印盖章版PDF文件上传附件。报价为到厂家，含运费及税。</w:t>
            </w:r>
          </w:p>
        </w:tc>
        <w:tc>
          <w:tcPr>
            <w:tcW w:w="1134"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29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hint="eastAsia" w:eastAsia="宋体" w:cs="Tahoma"/>
                <w:color w:val="000000"/>
                <w:sz w:val="20"/>
                <w:szCs w:val="20"/>
              </w:rPr>
              <w:t>10</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报名要求</w:t>
            </w:r>
          </w:p>
        </w:tc>
        <w:tc>
          <w:tcPr>
            <w:tcW w:w="524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hint="eastAsia" w:ascii="宋体" w:hAnsi="宋体" w:eastAsia="宋体" w:cs="Tahoma"/>
                <w:color w:val="000000"/>
                <w:sz w:val="20"/>
                <w:szCs w:val="20"/>
                <w:lang w:eastAsia="zh-CN"/>
              </w:rPr>
            </w:pPr>
            <w:r>
              <w:rPr>
                <w:rFonts w:hint="eastAsia" w:ascii="宋体" w:hAnsi="宋体" w:eastAsia="宋体" w:cs="Tahoma"/>
                <w:color w:val="000000"/>
                <w:sz w:val="20"/>
                <w:szCs w:val="20"/>
              </w:rPr>
              <w:t>在中粮糖业电子采购平台中完善资质的更新与</w:t>
            </w:r>
            <w:r>
              <w:rPr>
                <w:rFonts w:ascii="宋体" w:hAnsi="宋体" w:eastAsia="宋体" w:cs="Tahoma"/>
                <w:color w:val="000000"/>
                <w:sz w:val="20"/>
                <w:szCs w:val="20"/>
              </w:rPr>
              <w:t>中粮屯河</w:t>
            </w:r>
            <w:r>
              <w:rPr>
                <w:rFonts w:hint="eastAsia" w:ascii="宋体" w:hAnsi="宋体" w:eastAsia="宋体" w:cs="Tahoma"/>
                <w:color w:val="000000"/>
                <w:sz w:val="20"/>
                <w:szCs w:val="20"/>
              </w:rPr>
              <w:t>额敏</w:t>
            </w:r>
            <w:r>
              <w:rPr>
                <w:rFonts w:ascii="宋体" w:hAnsi="宋体" w:eastAsia="宋体" w:cs="Tahoma"/>
                <w:color w:val="000000"/>
                <w:sz w:val="20"/>
                <w:szCs w:val="20"/>
              </w:rPr>
              <w:t>番茄制品有限公司</w:t>
            </w:r>
            <w:r>
              <w:rPr>
                <w:rFonts w:hint="eastAsia" w:ascii="宋体" w:hAnsi="宋体" w:eastAsia="宋体" w:cs="Tahoma"/>
                <w:color w:val="000000"/>
                <w:sz w:val="20"/>
                <w:szCs w:val="20"/>
              </w:rPr>
              <w:t>相关的《法定代表人授权书》、《质量承诺书》、《廉洁承诺书》</w:t>
            </w:r>
            <w:r>
              <w:rPr>
                <w:rFonts w:hint="eastAsia" w:ascii="宋体" w:hAnsi="宋体" w:eastAsia="宋体" w:cs="Tahoma"/>
                <w:color w:val="000000"/>
                <w:sz w:val="20"/>
                <w:szCs w:val="20"/>
                <w:lang w:eastAsia="zh-CN"/>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spacing w:line="220" w:lineRule="atLeast"/>
        <w:rPr>
          <w:rFonts w:hint="eastAsia"/>
          <w:lang w:val="en-US" w:eastAsia="zh-CN"/>
        </w:rPr>
      </w:pPr>
      <w:r>
        <w:rPr>
          <w:rFonts w:hint="eastAsia"/>
          <w:lang w:val="en-US" w:eastAsia="zh-CN"/>
        </w:rPr>
        <w:t>附件：</w:t>
      </w:r>
    </w:p>
    <w:p>
      <w:pPr>
        <w:spacing w:line="220" w:lineRule="atLeast"/>
        <w:rPr>
          <w:rFonts w:hint="eastAsia"/>
          <w:lang w:val="en-US" w:eastAsia="zh-CN"/>
        </w:rPr>
      </w:pPr>
      <w:r>
        <w:rPr>
          <w:rFonts w:hint="eastAsia"/>
          <w:lang w:val="en-US" w:eastAsia="zh-CN"/>
        </w:rPr>
        <w:t>技术要求</w:t>
      </w:r>
    </w:p>
    <w:p>
      <w:pPr>
        <w:spacing w:line="220" w:lineRule="atLeast"/>
        <w:rPr>
          <w:rFonts w:hint="eastAsia"/>
          <w:lang w:val="en-US" w:eastAsia="zh-CN"/>
        </w:rPr>
      </w:pPr>
      <w:r>
        <w:rPr>
          <w:rFonts w:hint="eastAsia"/>
          <w:b/>
          <w:bCs/>
          <w:lang w:val="en-US" w:eastAsia="zh-CN"/>
        </w:rPr>
        <w:t>1、</w:t>
      </w:r>
      <w:r>
        <w:rPr>
          <w:rFonts w:hint="eastAsia"/>
          <w:lang w:val="en-US" w:eastAsia="zh-CN"/>
        </w:rPr>
        <w:t>各投标人须到详细阅读询价要求，了解制作及安装工作的具体情况，本项目报价为包干价格，技术要求内所提供数据均为参考数值，具体所需材料以实际为准。</w:t>
      </w:r>
    </w:p>
    <w:p>
      <w:pPr>
        <w:spacing w:line="220" w:lineRule="atLeast"/>
        <w:rPr>
          <w:rFonts w:hint="eastAsia"/>
          <w:b/>
          <w:bCs/>
          <w:lang w:val="en-US" w:eastAsia="zh-CN"/>
        </w:rPr>
      </w:pPr>
      <w:r>
        <w:rPr>
          <w:rFonts w:hint="eastAsia"/>
          <w:b/>
          <w:bCs/>
          <w:lang w:val="en-US" w:eastAsia="zh-CN"/>
        </w:rPr>
        <w:t>2.1、C选台容积槽制作</w:t>
      </w:r>
    </w:p>
    <w:p>
      <w:pPr>
        <w:spacing w:line="220" w:lineRule="atLeast"/>
        <w:rPr>
          <w:rFonts w:hint="eastAsia"/>
          <w:b/>
          <w:bCs/>
          <w:lang w:val="en-US" w:eastAsia="zh-CN"/>
        </w:rPr>
      </w:pPr>
      <w:r>
        <w:rPr>
          <w:rFonts w:hint="eastAsia"/>
          <w:b/>
          <w:bCs/>
          <w:lang w:val="en-US" w:eastAsia="zh-CN"/>
        </w:rPr>
        <w:drawing>
          <wp:inline distT="0" distB="0" distL="114300" distR="114300">
            <wp:extent cx="6193155" cy="2374900"/>
            <wp:effectExtent l="0" t="0" r="17145" b="6350"/>
            <wp:docPr id="2" name="图片 2" descr="clipbord_1686102956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lipbord_1686102956019"/>
                    <pic:cNvPicPr>
                      <a:picLocks noChangeAspect="1"/>
                    </pic:cNvPicPr>
                  </pic:nvPicPr>
                  <pic:blipFill>
                    <a:blip r:embed="rId6"/>
                    <a:stretch>
                      <a:fillRect/>
                    </a:stretch>
                  </pic:blipFill>
                  <pic:spPr>
                    <a:xfrm>
                      <a:off x="0" y="0"/>
                      <a:ext cx="6193155" cy="2374900"/>
                    </a:xfrm>
                    <a:prstGeom prst="rect">
                      <a:avLst/>
                    </a:prstGeom>
                  </pic:spPr>
                </pic:pic>
              </a:graphicData>
            </a:graphic>
          </wp:inline>
        </w:drawing>
      </w:r>
    </w:p>
    <w:p>
      <w:pPr>
        <w:spacing w:line="220" w:lineRule="atLeast"/>
        <w:rPr>
          <w:rFonts w:hint="eastAsia"/>
          <w:lang w:val="en-US" w:eastAsia="zh-CN"/>
        </w:rPr>
      </w:pPr>
      <w:r>
        <w:rPr>
          <w:rFonts w:hint="eastAsia"/>
          <w:lang w:val="en-US" w:eastAsia="zh-CN"/>
        </w:rPr>
        <w:drawing>
          <wp:inline distT="0" distB="0" distL="114300" distR="114300">
            <wp:extent cx="6189345" cy="2477135"/>
            <wp:effectExtent l="0" t="0" r="1905" b="18415"/>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7"/>
                    <a:stretch>
                      <a:fillRect/>
                    </a:stretch>
                  </pic:blipFill>
                  <pic:spPr>
                    <a:xfrm>
                      <a:off x="0" y="0"/>
                      <a:ext cx="6189345" cy="2477135"/>
                    </a:xfrm>
                    <a:prstGeom prst="rect">
                      <a:avLst/>
                    </a:prstGeom>
                  </pic:spPr>
                </pic:pic>
              </a:graphicData>
            </a:graphic>
          </wp:inline>
        </w:drawing>
      </w:r>
    </w:p>
    <w:p>
      <w:pPr>
        <w:spacing w:line="220" w:lineRule="atLeast"/>
        <w:rPr>
          <w:rFonts w:hint="default"/>
          <w:lang w:val="en-US" w:eastAsia="zh-CN"/>
        </w:rPr>
      </w:pPr>
      <w:r>
        <w:rPr>
          <w:rFonts w:hint="eastAsia"/>
          <w:lang w:val="en-US" w:eastAsia="zh-CN"/>
        </w:rPr>
        <w:t>2.1.1、新制作容积槽，使用3MM厚不锈钢板制作，详细尺寸按照图纸制作。</w:t>
      </w:r>
    </w:p>
    <w:p>
      <w:pPr>
        <w:spacing w:line="220" w:lineRule="atLeast"/>
        <w:rPr>
          <w:rFonts w:hint="eastAsia"/>
          <w:lang w:val="en-US" w:eastAsia="zh-CN"/>
        </w:rPr>
      </w:pPr>
      <w:r>
        <w:rPr>
          <w:rFonts w:hint="eastAsia"/>
          <w:lang w:val="en-US" w:eastAsia="zh-CN"/>
        </w:rPr>
        <w:t>2.1.2、将原有的不锈钢DN100管路拆除。</w:t>
      </w:r>
    </w:p>
    <w:p>
      <w:pPr>
        <w:spacing w:line="220" w:lineRule="atLeast"/>
        <w:rPr>
          <w:rFonts w:hint="eastAsia"/>
          <w:lang w:val="en-US" w:eastAsia="zh-CN"/>
        </w:rPr>
      </w:pPr>
      <w:r>
        <w:rPr>
          <w:rFonts w:hint="eastAsia"/>
          <w:lang w:val="en-US" w:eastAsia="zh-CN"/>
        </w:rPr>
        <w:t>2.1.3、新增DN150食品级304卫生管，厚度3MM（约18M）按照原拆除线路进行氩弧焊接。</w:t>
      </w:r>
    </w:p>
    <w:p>
      <w:pPr>
        <w:spacing w:line="220" w:lineRule="atLeast"/>
        <w:rPr>
          <w:rFonts w:hint="default"/>
          <w:lang w:val="en-US" w:eastAsia="zh-CN"/>
        </w:rPr>
      </w:pPr>
      <w:r>
        <w:rPr>
          <w:rFonts w:hint="eastAsia"/>
          <w:lang w:val="en-US" w:eastAsia="zh-CN"/>
        </w:rPr>
        <w:t>2.1.4、泵头安装DN150软连接（1个），附带与软连接匹配不锈钢法兰片2片，原管路上DN100食品级不锈钢法兰球阀更换为DN150食品级不锈钢法兰球阀（3个），附带与阀门匹配的不锈钢法兰片6片，DN150食品级304三通（2个），DN150食品级304弯头（8个），DN150变DN125食品级304变径（1个）。</w:t>
      </w:r>
    </w:p>
    <w:p>
      <w:pPr>
        <w:spacing w:line="220" w:lineRule="atLeast"/>
        <w:rPr>
          <w:rFonts w:hint="default"/>
          <w:sz w:val="36"/>
          <w:szCs w:val="36"/>
          <w:lang w:val="en-US" w:eastAsia="zh-CN"/>
        </w:rPr>
      </w:pPr>
      <w:r>
        <w:rPr>
          <w:rFonts w:hint="eastAsia"/>
          <w:lang w:val="en-US" w:eastAsia="zh-CN"/>
        </w:rPr>
        <w:t>2.1.5、以上更换需要的所有材料及各项人工辅助设备费用均由承揽方提供。</w:t>
      </w:r>
    </w:p>
    <w:p>
      <w:pPr>
        <w:jc w:val="both"/>
        <w:rPr>
          <w:rFonts w:eastAsia="黑体"/>
          <w:b/>
          <w:bCs/>
          <w:spacing w:val="40"/>
          <w:sz w:val="36"/>
          <w:u w:val="single"/>
        </w:rPr>
      </w:pPr>
    </w:p>
    <w:p>
      <w:pPr>
        <w:jc w:val="both"/>
        <w:rPr>
          <w:rFonts w:eastAsia="黑体"/>
          <w:b/>
          <w:bCs/>
          <w:spacing w:val="40"/>
          <w:sz w:val="36"/>
          <w:u w:val="single"/>
        </w:rPr>
      </w:pPr>
    </w:p>
    <w:p>
      <w:pPr>
        <w:jc w:val="both"/>
        <w:rPr>
          <w:rFonts w:eastAsia="黑体"/>
          <w:b/>
          <w:bCs/>
          <w:spacing w:val="40"/>
          <w:sz w:val="36"/>
          <w:u w:val="single"/>
        </w:rPr>
      </w:pPr>
    </w:p>
    <w:p>
      <w:pPr>
        <w:jc w:val="center"/>
        <w:rPr>
          <w:b/>
          <w:sz w:val="36"/>
          <w:szCs w:val="30"/>
        </w:rPr>
      </w:pPr>
      <w:r>
        <w:rPr>
          <w:rFonts w:hint="eastAsia" w:eastAsia="黑体"/>
          <w:b/>
          <w:bCs/>
          <w:spacing w:val="40"/>
          <w:sz w:val="36"/>
        </w:rPr>
        <w:t>C选台容积槽及管路改造合同</w:t>
      </w:r>
    </w:p>
    <w:p>
      <w:pPr>
        <w:rPr>
          <w:rFonts w:ascii="宋体" w:hAnsi="宋体"/>
          <w:sz w:val="24"/>
          <w:u w:val="single"/>
        </w:rPr>
      </w:pPr>
      <w:r>
        <w:rPr>
          <w:rFonts w:hint="eastAsia" w:ascii="宋体" w:hAnsi="宋体"/>
          <w:b/>
          <w:bCs/>
          <w:sz w:val="24"/>
        </w:rPr>
        <w:t>甲方</w:t>
      </w:r>
      <w:r>
        <w:rPr>
          <w:rFonts w:hint="eastAsia" w:ascii="宋体" w:hAnsi="宋体"/>
          <w:sz w:val="24"/>
        </w:rPr>
        <w:t>：中粮屯河额敏番茄制品有限公司                合同编号：</w:t>
      </w:r>
      <w:r>
        <w:rPr>
          <w:rFonts w:ascii="宋体" w:hAnsi="宋体"/>
          <w:bCs/>
          <w:sz w:val="24"/>
        </w:rPr>
        <w:t>Y</w:t>
      </w:r>
      <w:r>
        <w:rPr>
          <w:rFonts w:hint="eastAsia" w:ascii="宋体" w:hAnsi="宋体"/>
          <w:bCs/>
          <w:sz w:val="24"/>
        </w:rPr>
        <w:t>4</w:t>
      </w:r>
      <w:r>
        <w:rPr>
          <w:rFonts w:ascii="宋体" w:hAnsi="宋体"/>
          <w:bCs/>
          <w:sz w:val="24"/>
        </w:rPr>
        <w:t>0-VII20</w:t>
      </w:r>
      <w:r>
        <w:rPr>
          <w:rFonts w:hint="eastAsia" w:ascii="宋体" w:hAnsi="宋体"/>
          <w:bCs/>
          <w:sz w:val="24"/>
          <w:u w:val="single"/>
        </w:rPr>
        <w:t xml:space="preserve">   </w:t>
      </w:r>
      <w:r>
        <w:rPr>
          <w:rFonts w:ascii="宋体" w:hAnsi="宋体"/>
          <w:bCs/>
          <w:sz w:val="24"/>
        </w:rPr>
        <w:t>-</w:t>
      </w:r>
      <w:r>
        <w:rPr>
          <w:rFonts w:hint="eastAsia" w:ascii="宋体" w:hAnsi="宋体"/>
          <w:bCs/>
          <w:sz w:val="24"/>
        </w:rPr>
        <w:t xml:space="preserve"> </w:t>
      </w:r>
      <w:r>
        <w:rPr>
          <w:rFonts w:hint="eastAsia" w:ascii="宋体" w:hAnsi="宋体"/>
          <w:bCs/>
          <w:sz w:val="24"/>
          <w:u w:val="single"/>
        </w:rPr>
        <w:t xml:space="preserve">    </w:t>
      </w:r>
    </w:p>
    <w:p>
      <w:pPr>
        <w:rPr>
          <w:rFonts w:ascii="宋体" w:hAnsi="宋体"/>
          <w:sz w:val="24"/>
        </w:rPr>
      </w:pPr>
      <w:r>
        <w:rPr>
          <w:rFonts w:hint="eastAsia" w:ascii="宋体" w:hAnsi="宋体"/>
          <w:b/>
          <w:bCs/>
          <w:sz w:val="24"/>
        </w:rPr>
        <w:t>乙方</w:t>
      </w:r>
      <w:r>
        <w:rPr>
          <w:rFonts w:hint="eastAsia" w:ascii="宋体" w:hAnsi="宋体"/>
          <w:sz w:val="24"/>
        </w:rPr>
        <w:t>：</w:t>
      </w:r>
      <w:r>
        <w:rPr>
          <w:rFonts w:hint="eastAsia" w:ascii="宋体" w:hAnsi="宋体" w:cs="宋体"/>
          <w:bCs/>
          <w:sz w:val="24"/>
        </w:rPr>
        <w:t xml:space="preserve">                                            </w:t>
      </w:r>
      <w:r>
        <w:rPr>
          <w:rFonts w:hint="eastAsia" w:ascii="宋体" w:hAnsi="宋体"/>
          <w:sz w:val="24"/>
        </w:rPr>
        <w:t>签订时间：20</w:t>
      </w:r>
      <w:r>
        <w:rPr>
          <w:rFonts w:hint="eastAsia" w:ascii="宋体" w:hAnsi="宋体"/>
          <w:sz w:val="24"/>
          <w:u w:val="single"/>
        </w:rPr>
        <w:t xml:space="preserve">   </w:t>
      </w:r>
      <w:r>
        <w:rPr>
          <w:rFonts w:hint="eastAsia" w:ascii="宋体" w:hAnsi="宋体"/>
          <w:sz w:val="24"/>
        </w:rPr>
        <w:t>年   月   日</w:t>
      </w:r>
    </w:p>
    <w:p>
      <w:pPr>
        <w:ind w:left="51" w:leftChars="-85" w:hanging="238" w:hangingChars="85"/>
        <w:jc w:val="center"/>
        <w:rPr>
          <w:rFonts w:ascii="宋体" w:hAnsi="宋体"/>
          <w:sz w:val="24"/>
        </w:rPr>
      </w:pPr>
      <w:r>
        <w:rPr>
          <w:rFonts w:hint="eastAsia" w:ascii="宋体" w:hAnsi="宋体"/>
          <w:sz w:val="28"/>
          <w:szCs w:val="28"/>
        </w:rPr>
        <w:t xml:space="preserve">                               </w:t>
      </w:r>
      <w:r>
        <w:rPr>
          <w:rFonts w:hint="eastAsia" w:ascii="宋体" w:hAnsi="宋体"/>
          <w:sz w:val="24"/>
        </w:rPr>
        <w:t>签订地点：</w:t>
      </w:r>
      <w:r>
        <w:rPr>
          <w:rFonts w:hint="eastAsia"/>
          <w:sz w:val="24"/>
        </w:rPr>
        <w:t>额敏县</w:t>
      </w:r>
      <w:r>
        <w:rPr>
          <w:rFonts w:hint="eastAsia" w:ascii="宋体" w:hAnsi="宋体"/>
          <w:sz w:val="28"/>
          <w:szCs w:val="28"/>
        </w:rPr>
        <w:t xml:space="preserve">                  </w:t>
      </w:r>
    </w:p>
    <w:p>
      <w:pPr>
        <w:ind w:firstLine="480" w:firstLineChars="200"/>
        <w:rPr>
          <w:rFonts w:ascii="宋体" w:hAnsi="宋体"/>
          <w:sz w:val="24"/>
        </w:rPr>
      </w:pPr>
      <w:r>
        <w:rPr>
          <w:rFonts w:hint="eastAsia" w:ascii="宋体" w:hAnsi="宋体"/>
          <w:sz w:val="24"/>
        </w:rPr>
        <w:t>甲乙双方为携手合作，促进发展，满足利益，明确责任，依据中华人民共和国有关法律之相关规定，本着诚实信用，互惠互利原则，结合双方实际，协商一致，特签订本合同，以求共同恪守：</w:t>
      </w:r>
    </w:p>
    <w:p>
      <w:pPr>
        <w:widowControl w:val="0"/>
        <w:numPr>
          <w:ilvl w:val="0"/>
          <w:numId w:val="3"/>
        </w:numPr>
        <w:adjustRightInd/>
        <w:snapToGrid/>
        <w:spacing w:after="0"/>
        <w:jc w:val="both"/>
        <w:rPr>
          <w:rFonts w:ascii="宋体" w:hAnsi="宋体"/>
          <w:sz w:val="24"/>
        </w:rPr>
      </w:pPr>
      <w:r>
        <w:rPr>
          <w:rFonts w:hint="eastAsia" w:ascii="宋体" w:hAnsi="宋体"/>
          <w:sz w:val="24"/>
        </w:rPr>
        <w:t>产品名称、商标、型号、厂家、数量、金额及数量.</w:t>
      </w:r>
    </w:p>
    <w:tbl>
      <w:tblPr>
        <w:tblStyle w:val="6"/>
        <w:tblW w:w="10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42"/>
        <w:gridCol w:w="1485"/>
        <w:gridCol w:w="671"/>
        <w:gridCol w:w="556"/>
        <w:gridCol w:w="824"/>
        <w:gridCol w:w="731"/>
        <w:gridCol w:w="1167"/>
        <w:gridCol w:w="992"/>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88" w:type="dxa"/>
            <w:vAlign w:val="center"/>
          </w:tcPr>
          <w:p>
            <w:pPr>
              <w:jc w:val="center"/>
              <w:rPr>
                <w:rFonts w:ascii="宋体" w:hAnsi="宋体"/>
                <w:sz w:val="18"/>
                <w:szCs w:val="18"/>
              </w:rPr>
            </w:pPr>
            <w:r>
              <w:rPr>
                <w:rFonts w:hint="eastAsia" w:ascii="宋体" w:hAnsi="宋体"/>
                <w:sz w:val="18"/>
                <w:szCs w:val="18"/>
              </w:rPr>
              <w:t>产品名称</w:t>
            </w:r>
          </w:p>
        </w:tc>
        <w:tc>
          <w:tcPr>
            <w:tcW w:w="1342" w:type="dxa"/>
            <w:vAlign w:val="center"/>
          </w:tcPr>
          <w:p>
            <w:pPr>
              <w:jc w:val="center"/>
              <w:rPr>
                <w:rFonts w:ascii="宋体" w:hAnsi="宋体"/>
                <w:sz w:val="18"/>
                <w:szCs w:val="18"/>
              </w:rPr>
            </w:pPr>
            <w:r>
              <w:rPr>
                <w:rFonts w:hint="eastAsia" w:ascii="宋体" w:hAnsi="宋体"/>
                <w:sz w:val="18"/>
                <w:szCs w:val="18"/>
              </w:rPr>
              <w:t>规格型号</w:t>
            </w:r>
          </w:p>
        </w:tc>
        <w:tc>
          <w:tcPr>
            <w:tcW w:w="1485" w:type="dxa"/>
            <w:vAlign w:val="center"/>
          </w:tcPr>
          <w:p>
            <w:pPr>
              <w:jc w:val="center"/>
              <w:rPr>
                <w:rFonts w:ascii="宋体" w:hAnsi="宋体"/>
                <w:sz w:val="18"/>
                <w:szCs w:val="18"/>
              </w:rPr>
            </w:pPr>
            <w:r>
              <w:rPr>
                <w:rFonts w:hint="eastAsia" w:ascii="宋体" w:hAnsi="宋体"/>
                <w:sz w:val="18"/>
                <w:szCs w:val="18"/>
              </w:rPr>
              <w:t>材质</w:t>
            </w:r>
          </w:p>
        </w:tc>
        <w:tc>
          <w:tcPr>
            <w:tcW w:w="671" w:type="dxa"/>
            <w:vAlign w:val="center"/>
          </w:tcPr>
          <w:p>
            <w:pPr>
              <w:jc w:val="center"/>
              <w:rPr>
                <w:rFonts w:ascii="宋体" w:hAnsi="宋体"/>
                <w:sz w:val="18"/>
                <w:szCs w:val="18"/>
              </w:rPr>
            </w:pPr>
            <w:r>
              <w:rPr>
                <w:rFonts w:hint="eastAsia" w:ascii="宋体" w:hAnsi="宋体"/>
                <w:sz w:val="18"/>
                <w:szCs w:val="18"/>
              </w:rPr>
              <w:t>数量</w:t>
            </w:r>
          </w:p>
        </w:tc>
        <w:tc>
          <w:tcPr>
            <w:tcW w:w="556" w:type="dxa"/>
            <w:vAlign w:val="center"/>
          </w:tcPr>
          <w:p>
            <w:pPr>
              <w:jc w:val="center"/>
              <w:rPr>
                <w:rFonts w:ascii="宋体" w:hAnsi="宋体"/>
                <w:sz w:val="18"/>
                <w:szCs w:val="18"/>
              </w:rPr>
            </w:pPr>
            <w:r>
              <w:rPr>
                <w:rFonts w:hint="eastAsia" w:ascii="宋体" w:hAnsi="宋体"/>
                <w:sz w:val="18"/>
                <w:szCs w:val="18"/>
              </w:rPr>
              <w:t>单位</w:t>
            </w:r>
          </w:p>
        </w:tc>
        <w:tc>
          <w:tcPr>
            <w:tcW w:w="824" w:type="dxa"/>
            <w:vAlign w:val="center"/>
          </w:tcPr>
          <w:p>
            <w:pPr>
              <w:jc w:val="center"/>
              <w:rPr>
                <w:rFonts w:ascii="宋体" w:hAnsi="宋体"/>
                <w:sz w:val="18"/>
                <w:szCs w:val="18"/>
              </w:rPr>
            </w:pPr>
            <w:r>
              <w:rPr>
                <w:rFonts w:hint="eastAsia" w:ascii="宋体" w:hAnsi="宋体"/>
                <w:sz w:val="18"/>
                <w:szCs w:val="18"/>
              </w:rPr>
              <w:t>单价（元）</w:t>
            </w:r>
          </w:p>
        </w:tc>
        <w:tc>
          <w:tcPr>
            <w:tcW w:w="731" w:type="dxa"/>
            <w:vAlign w:val="center"/>
          </w:tcPr>
          <w:p>
            <w:pPr>
              <w:jc w:val="center"/>
              <w:rPr>
                <w:rFonts w:ascii="宋体" w:hAnsi="宋体"/>
                <w:sz w:val="18"/>
                <w:szCs w:val="18"/>
              </w:rPr>
            </w:pPr>
            <w:r>
              <w:rPr>
                <w:rFonts w:hint="eastAsia" w:ascii="宋体" w:hAnsi="宋体"/>
                <w:sz w:val="18"/>
                <w:szCs w:val="18"/>
              </w:rPr>
              <w:t>税率</w:t>
            </w:r>
          </w:p>
        </w:tc>
        <w:tc>
          <w:tcPr>
            <w:tcW w:w="1167" w:type="dxa"/>
            <w:vAlign w:val="center"/>
          </w:tcPr>
          <w:p>
            <w:pPr>
              <w:jc w:val="center"/>
              <w:rPr>
                <w:rFonts w:ascii="宋体" w:hAnsi="宋体"/>
                <w:sz w:val="18"/>
                <w:szCs w:val="18"/>
              </w:rPr>
            </w:pPr>
            <w:r>
              <w:rPr>
                <w:rFonts w:hint="eastAsia" w:ascii="宋体" w:hAnsi="宋体"/>
                <w:sz w:val="18"/>
                <w:szCs w:val="18"/>
              </w:rPr>
              <w:t>不含税金额（元）</w:t>
            </w:r>
          </w:p>
        </w:tc>
        <w:tc>
          <w:tcPr>
            <w:tcW w:w="992" w:type="dxa"/>
            <w:vAlign w:val="center"/>
          </w:tcPr>
          <w:p>
            <w:pPr>
              <w:rPr>
                <w:rFonts w:ascii="宋体" w:hAnsi="宋体"/>
                <w:sz w:val="18"/>
                <w:szCs w:val="18"/>
              </w:rPr>
            </w:pPr>
            <w:r>
              <w:rPr>
                <w:rFonts w:hint="eastAsia" w:ascii="宋体" w:hAnsi="宋体"/>
                <w:sz w:val="18"/>
                <w:szCs w:val="18"/>
              </w:rPr>
              <w:t>税额（元）</w:t>
            </w:r>
          </w:p>
        </w:tc>
        <w:tc>
          <w:tcPr>
            <w:tcW w:w="1518" w:type="dxa"/>
            <w:vAlign w:val="center"/>
          </w:tcPr>
          <w:p>
            <w:pPr>
              <w:rPr>
                <w:rFonts w:ascii="宋体" w:hAnsi="宋体"/>
                <w:sz w:val="18"/>
                <w:szCs w:val="18"/>
              </w:rPr>
            </w:pPr>
            <w:r>
              <w:rPr>
                <w:rFonts w:ascii="宋体" w:hAnsi="宋体"/>
                <w:sz w:val="18"/>
                <w:szCs w:val="18"/>
              </w:rPr>
              <w:t>含税金额</w:t>
            </w:r>
            <w:r>
              <w:rPr>
                <w:rFonts w:hint="eastAsia" w:ascii="宋体" w:hAnsi="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88" w:type="dxa"/>
            <w:vAlign w:val="center"/>
          </w:tcPr>
          <w:p>
            <w:pPr>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新增容积槽</w:t>
            </w:r>
          </w:p>
        </w:tc>
        <w:tc>
          <w:tcPr>
            <w:tcW w:w="1342" w:type="dxa"/>
            <w:vAlign w:val="center"/>
          </w:tcPr>
          <w:p>
            <w:pPr>
              <w:tabs>
                <w:tab w:val="left" w:pos="320"/>
              </w:tabs>
              <w:jc w:val="center"/>
              <w:rPr>
                <w:rFonts w:hint="default" w:ascii="宋体" w:hAnsi="宋体" w:eastAsia="微软雅黑"/>
                <w:sz w:val="18"/>
                <w:szCs w:val="18"/>
                <w:lang w:val="en-US" w:eastAsia="zh-CN"/>
              </w:rPr>
            </w:pPr>
            <w:r>
              <w:rPr>
                <w:rFonts w:hint="eastAsia" w:ascii="宋体" w:hAnsi="宋体"/>
                <w:sz w:val="18"/>
                <w:szCs w:val="18"/>
                <w:lang w:val="en-US" w:eastAsia="zh-CN"/>
              </w:rPr>
              <w:t>见图纸</w:t>
            </w:r>
          </w:p>
        </w:tc>
        <w:tc>
          <w:tcPr>
            <w:tcW w:w="1485" w:type="dxa"/>
            <w:vAlign w:val="center"/>
          </w:tcPr>
          <w:p>
            <w:pPr>
              <w:jc w:val="center"/>
              <w:rPr>
                <w:rFonts w:hint="eastAsia" w:ascii="宋体" w:hAnsi="宋体" w:eastAsia="微软雅黑"/>
                <w:sz w:val="18"/>
                <w:szCs w:val="18"/>
                <w:lang w:val="en-US" w:eastAsia="zh-CN"/>
              </w:rPr>
            </w:pPr>
            <w:r>
              <w:rPr>
                <w:rFonts w:hint="eastAsia" w:ascii="宋体" w:hAnsi="宋体"/>
                <w:sz w:val="18"/>
                <w:szCs w:val="18"/>
              </w:rPr>
              <w:t>304</w:t>
            </w:r>
            <w:r>
              <w:rPr>
                <w:rFonts w:hint="eastAsia" w:ascii="宋体" w:hAnsi="宋体"/>
                <w:sz w:val="18"/>
                <w:szCs w:val="18"/>
                <w:lang w:eastAsia="zh-CN"/>
              </w:rPr>
              <w:t>不锈钢板，厚</w:t>
            </w:r>
            <w:r>
              <w:rPr>
                <w:rFonts w:hint="eastAsia" w:ascii="宋体" w:hAnsi="宋体"/>
                <w:sz w:val="18"/>
                <w:szCs w:val="18"/>
                <w:lang w:val="en-US" w:eastAsia="zh-CN"/>
              </w:rPr>
              <w:t>3mm</w:t>
            </w:r>
          </w:p>
        </w:tc>
        <w:tc>
          <w:tcPr>
            <w:tcW w:w="671" w:type="dxa"/>
            <w:vAlign w:val="center"/>
          </w:tcPr>
          <w:p>
            <w:pPr>
              <w:jc w:val="center"/>
              <w:rPr>
                <w:rFonts w:hint="default" w:ascii="宋体" w:hAnsi="宋体" w:eastAsia="微软雅黑"/>
                <w:sz w:val="18"/>
                <w:szCs w:val="18"/>
                <w:lang w:val="en-US" w:eastAsia="zh-CN"/>
              </w:rPr>
            </w:pPr>
            <w:r>
              <w:rPr>
                <w:rFonts w:hint="eastAsia" w:ascii="宋体" w:hAnsi="宋体"/>
                <w:sz w:val="18"/>
                <w:szCs w:val="18"/>
                <w:lang w:val="en-US" w:eastAsia="zh-CN"/>
              </w:rPr>
              <w:t>1</w:t>
            </w:r>
          </w:p>
        </w:tc>
        <w:tc>
          <w:tcPr>
            <w:tcW w:w="556" w:type="dxa"/>
            <w:vAlign w:val="center"/>
          </w:tcPr>
          <w:p>
            <w:pPr>
              <w:jc w:val="center"/>
              <w:rPr>
                <w:rFonts w:hint="eastAsia" w:ascii="宋体" w:hAnsi="宋体" w:eastAsia="微软雅黑"/>
                <w:sz w:val="18"/>
                <w:szCs w:val="18"/>
                <w:lang w:eastAsia="zh-CN"/>
              </w:rPr>
            </w:pPr>
            <w:r>
              <w:rPr>
                <w:rFonts w:hint="eastAsia" w:ascii="宋体" w:hAnsi="宋体"/>
                <w:sz w:val="18"/>
                <w:szCs w:val="18"/>
                <w:lang w:eastAsia="zh-CN"/>
              </w:rPr>
              <w:t>个</w:t>
            </w:r>
          </w:p>
        </w:tc>
        <w:tc>
          <w:tcPr>
            <w:tcW w:w="824" w:type="dxa"/>
            <w:vAlign w:val="center"/>
          </w:tcPr>
          <w:p>
            <w:pPr>
              <w:jc w:val="center"/>
              <w:rPr>
                <w:rFonts w:ascii="宋体" w:hAnsi="宋体"/>
                <w:sz w:val="18"/>
                <w:szCs w:val="18"/>
              </w:rPr>
            </w:pPr>
          </w:p>
        </w:tc>
        <w:tc>
          <w:tcPr>
            <w:tcW w:w="731" w:type="dxa"/>
            <w:vAlign w:val="center"/>
          </w:tcPr>
          <w:p>
            <w:pPr>
              <w:jc w:val="center"/>
              <w:rPr>
                <w:rFonts w:ascii="宋体" w:hAnsi="宋体"/>
                <w:sz w:val="18"/>
                <w:szCs w:val="18"/>
              </w:rPr>
            </w:pPr>
          </w:p>
        </w:tc>
        <w:tc>
          <w:tcPr>
            <w:tcW w:w="1167"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51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88" w:type="dxa"/>
            <w:vAlign w:val="center"/>
          </w:tcPr>
          <w:p>
            <w:pPr>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钢管</w:t>
            </w:r>
          </w:p>
        </w:tc>
        <w:tc>
          <w:tcPr>
            <w:tcW w:w="1342" w:type="dxa"/>
            <w:vAlign w:val="center"/>
          </w:tcPr>
          <w:p>
            <w:pPr>
              <w:jc w:val="center"/>
              <w:rPr>
                <w:rFonts w:hint="default" w:ascii="宋体" w:hAnsi="宋体" w:eastAsia="微软雅黑"/>
                <w:sz w:val="18"/>
                <w:szCs w:val="18"/>
                <w:lang w:val="en-US" w:eastAsia="zh-CN"/>
              </w:rPr>
            </w:pPr>
            <w:r>
              <w:rPr>
                <w:rFonts w:hint="eastAsia" w:ascii="宋体" w:hAnsi="宋体"/>
                <w:sz w:val="18"/>
                <w:szCs w:val="18"/>
                <w:lang w:val="en-US" w:eastAsia="zh-CN"/>
              </w:rPr>
              <w:t>DN150</w:t>
            </w:r>
          </w:p>
        </w:tc>
        <w:tc>
          <w:tcPr>
            <w:tcW w:w="1485" w:type="dxa"/>
            <w:vAlign w:val="center"/>
          </w:tcPr>
          <w:p>
            <w:pPr>
              <w:jc w:val="center"/>
              <w:rPr>
                <w:rFonts w:ascii="宋体" w:hAnsi="宋体"/>
                <w:sz w:val="18"/>
                <w:szCs w:val="18"/>
              </w:rPr>
            </w:pPr>
            <w:r>
              <w:rPr>
                <w:rFonts w:hint="eastAsia" w:ascii="宋体" w:hAnsi="宋体"/>
                <w:sz w:val="18"/>
                <w:szCs w:val="18"/>
                <w:lang w:eastAsia="zh-CN"/>
              </w:rPr>
              <w:t>食品级</w:t>
            </w:r>
            <w:r>
              <w:rPr>
                <w:rFonts w:hint="eastAsia" w:ascii="宋体" w:hAnsi="宋体"/>
                <w:sz w:val="18"/>
                <w:szCs w:val="18"/>
              </w:rPr>
              <w:t>304</w:t>
            </w:r>
          </w:p>
        </w:tc>
        <w:tc>
          <w:tcPr>
            <w:tcW w:w="671" w:type="dxa"/>
            <w:vAlign w:val="center"/>
          </w:tcPr>
          <w:p>
            <w:pPr>
              <w:jc w:val="center"/>
              <w:rPr>
                <w:rFonts w:hint="default" w:ascii="宋体" w:hAnsi="宋体" w:eastAsia="微软雅黑"/>
                <w:sz w:val="18"/>
                <w:szCs w:val="18"/>
                <w:lang w:val="en-US" w:eastAsia="zh-CN"/>
              </w:rPr>
            </w:pPr>
            <w:r>
              <w:rPr>
                <w:rFonts w:hint="eastAsia" w:ascii="宋体" w:hAnsi="宋体"/>
                <w:sz w:val="18"/>
                <w:szCs w:val="18"/>
                <w:lang w:val="en-US" w:eastAsia="zh-CN"/>
              </w:rPr>
              <w:t>18</w:t>
            </w:r>
          </w:p>
        </w:tc>
        <w:tc>
          <w:tcPr>
            <w:tcW w:w="556" w:type="dxa"/>
            <w:vAlign w:val="center"/>
          </w:tcPr>
          <w:p>
            <w:pPr>
              <w:jc w:val="center"/>
              <w:rPr>
                <w:rFonts w:hint="eastAsia" w:ascii="宋体" w:hAnsi="宋体" w:eastAsia="微软雅黑"/>
                <w:sz w:val="18"/>
                <w:szCs w:val="18"/>
                <w:lang w:eastAsia="zh-CN"/>
              </w:rPr>
            </w:pPr>
            <w:r>
              <w:rPr>
                <w:rFonts w:hint="eastAsia" w:ascii="宋体" w:hAnsi="宋体"/>
                <w:sz w:val="18"/>
                <w:szCs w:val="18"/>
                <w:lang w:eastAsia="zh-CN"/>
              </w:rPr>
              <w:t>米</w:t>
            </w:r>
          </w:p>
        </w:tc>
        <w:tc>
          <w:tcPr>
            <w:tcW w:w="824" w:type="dxa"/>
            <w:vAlign w:val="center"/>
          </w:tcPr>
          <w:p>
            <w:pPr>
              <w:jc w:val="center"/>
              <w:rPr>
                <w:rFonts w:ascii="宋体" w:hAnsi="宋体"/>
                <w:sz w:val="18"/>
                <w:szCs w:val="18"/>
              </w:rPr>
            </w:pPr>
          </w:p>
        </w:tc>
        <w:tc>
          <w:tcPr>
            <w:tcW w:w="731" w:type="dxa"/>
            <w:vAlign w:val="center"/>
          </w:tcPr>
          <w:p>
            <w:pPr>
              <w:jc w:val="center"/>
              <w:rPr>
                <w:rFonts w:ascii="宋体" w:hAnsi="宋体"/>
                <w:sz w:val="18"/>
                <w:szCs w:val="18"/>
              </w:rPr>
            </w:pPr>
          </w:p>
        </w:tc>
        <w:tc>
          <w:tcPr>
            <w:tcW w:w="1167"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51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88" w:type="dxa"/>
            <w:vAlign w:val="center"/>
          </w:tcPr>
          <w:p>
            <w:pPr>
              <w:jc w:val="center"/>
              <w:rPr>
                <w:rFonts w:hint="eastAsia" w:ascii="宋体" w:hAnsi="宋体" w:eastAsia="微软雅黑" w:cs="宋体"/>
                <w:color w:val="000000"/>
                <w:sz w:val="18"/>
                <w:szCs w:val="18"/>
                <w:lang w:eastAsia="zh-CN"/>
              </w:rPr>
            </w:pPr>
            <w:r>
              <w:rPr>
                <w:rFonts w:hint="eastAsia" w:ascii="宋体" w:hAnsi="宋体" w:cs="宋体"/>
                <w:color w:val="000000"/>
                <w:sz w:val="18"/>
                <w:szCs w:val="18"/>
                <w:lang w:val="en-US" w:eastAsia="zh-CN"/>
              </w:rPr>
              <w:t>三通</w:t>
            </w:r>
          </w:p>
        </w:tc>
        <w:tc>
          <w:tcPr>
            <w:tcW w:w="1342" w:type="dxa"/>
            <w:vAlign w:val="center"/>
          </w:tcPr>
          <w:p>
            <w:pPr>
              <w:jc w:val="center"/>
              <w:rPr>
                <w:rFonts w:hint="default" w:ascii="宋体" w:hAnsi="宋体" w:eastAsia="微软雅黑"/>
                <w:sz w:val="18"/>
                <w:szCs w:val="18"/>
                <w:lang w:val="en-US" w:eastAsia="zh-CN"/>
              </w:rPr>
            </w:pPr>
            <w:r>
              <w:rPr>
                <w:rFonts w:hint="eastAsia" w:ascii="宋体" w:hAnsi="宋体"/>
                <w:sz w:val="18"/>
                <w:szCs w:val="18"/>
                <w:lang w:val="en-US" w:eastAsia="zh-CN"/>
              </w:rPr>
              <w:t>DN150</w:t>
            </w:r>
          </w:p>
        </w:tc>
        <w:tc>
          <w:tcPr>
            <w:tcW w:w="1485" w:type="dxa"/>
            <w:vAlign w:val="center"/>
          </w:tcPr>
          <w:p>
            <w:pPr>
              <w:jc w:val="center"/>
              <w:rPr>
                <w:rFonts w:hint="default" w:ascii="宋体" w:hAnsi="宋体" w:eastAsia="微软雅黑"/>
                <w:sz w:val="18"/>
                <w:szCs w:val="18"/>
                <w:lang w:val="en-US" w:eastAsia="zh-CN"/>
              </w:rPr>
            </w:pPr>
            <w:r>
              <w:rPr>
                <w:rFonts w:hint="eastAsia" w:ascii="宋体" w:hAnsi="宋体"/>
                <w:sz w:val="18"/>
                <w:szCs w:val="18"/>
                <w:lang w:eastAsia="zh-CN"/>
              </w:rPr>
              <w:t>食品级</w:t>
            </w:r>
            <w:r>
              <w:rPr>
                <w:rFonts w:hint="eastAsia" w:ascii="宋体" w:hAnsi="宋体"/>
                <w:sz w:val="18"/>
                <w:szCs w:val="18"/>
              </w:rPr>
              <w:t>304</w:t>
            </w:r>
          </w:p>
        </w:tc>
        <w:tc>
          <w:tcPr>
            <w:tcW w:w="671" w:type="dxa"/>
            <w:vAlign w:val="center"/>
          </w:tcPr>
          <w:p>
            <w:pPr>
              <w:jc w:val="center"/>
              <w:rPr>
                <w:rFonts w:hint="eastAsia" w:ascii="宋体" w:hAnsi="宋体" w:eastAsia="微软雅黑"/>
                <w:sz w:val="18"/>
                <w:szCs w:val="18"/>
                <w:lang w:val="en-US" w:eastAsia="zh-CN"/>
              </w:rPr>
            </w:pPr>
            <w:r>
              <w:rPr>
                <w:rFonts w:hint="eastAsia" w:ascii="宋体" w:hAnsi="宋体"/>
                <w:sz w:val="18"/>
                <w:szCs w:val="18"/>
                <w:lang w:val="en-US" w:eastAsia="zh-CN"/>
              </w:rPr>
              <w:t>2</w:t>
            </w:r>
          </w:p>
        </w:tc>
        <w:tc>
          <w:tcPr>
            <w:tcW w:w="556" w:type="dxa"/>
            <w:vAlign w:val="center"/>
          </w:tcPr>
          <w:p>
            <w:pPr>
              <w:jc w:val="center"/>
              <w:rPr>
                <w:rFonts w:hint="eastAsia" w:ascii="宋体" w:hAnsi="宋体" w:eastAsia="微软雅黑"/>
                <w:sz w:val="18"/>
                <w:szCs w:val="18"/>
                <w:lang w:eastAsia="zh-CN"/>
              </w:rPr>
            </w:pPr>
            <w:r>
              <w:rPr>
                <w:rFonts w:hint="eastAsia" w:ascii="宋体" w:hAnsi="宋体"/>
                <w:sz w:val="18"/>
                <w:szCs w:val="18"/>
                <w:lang w:eastAsia="zh-CN"/>
              </w:rPr>
              <w:t>个</w:t>
            </w:r>
          </w:p>
        </w:tc>
        <w:tc>
          <w:tcPr>
            <w:tcW w:w="824" w:type="dxa"/>
            <w:vAlign w:val="center"/>
          </w:tcPr>
          <w:p>
            <w:pPr>
              <w:jc w:val="center"/>
              <w:rPr>
                <w:rFonts w:ascii="宋体" w:hAnsi="宋体"/>
                <w:sz w:val="18"/>
                <w:szCs w:val="18"/>
              </w:rPr>
            </w:pPr>
          </w:p>
        </w:tc>
        <w:tc>
          <w:tcPr>
            <w:tcW w:w="731" w:type="dxa"/>
            <w:vAlign w:val="center"/>
          </w:tcPr>
          <w:p>
            <w:pPr>
              <w:jc w:val="center"/>
              <w:rPr>
                <w:rFonts w:ascii="宋体" w:hAnsi="宋体"/>
                <w:sz w:val="18"/>
                <w:szCs w:val="18"/>
              </w:rPr>
            </w:pPr>
          </w:p>
        </w:tc>
        <w:tc>
          <w:tcPr>
            <w:tcW w:w="1167"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51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88" w:type="dxa"/>
            <w:vAlign w:val="center"/>
          </w:tcPr>
          <w:p>
            <w:pPr>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球阀</w:t>
            </w:r>
          </w:p>
        </w:tc>
        <w:tc>
          <w:tcPr>
            <w:tcW w:w="1342" w:type="dxa"/>
            <w:vAlign w:val="center"/>
          </w:tcPr>
          <w:p>
            <w:pPr>
              <w:jc w:val="center"/>
              <w:rPr>
                <w:rFonts w:hint="default" w:ascii="宋体" w:hAnsi="宋体" w:eastAsia="微软雅黑"/>
                <w:sz w:val="18"/>
                <w:szCs w:val="18"/>
                <w:lang w:val="en-US" w:eastAsia="zh-CN"/>
              </w:rPr>
            </w:pPr>
            <w:r>
              <w:rPr>
                <w:rFonts w:hint="eastAsia" w:ascii="宋体" w:hAnsi="宋体"/>
                <w:sz w:val="18"/>
                <w:szCs w:val="18"/>
                <w:lang w:val="en-US" w:eastAsia="zh-CN"/>
              </w:rPr>
              <w:t>DN150</w:t>
            </w:r>
          </w:p>
        </w:tc>
        <w:tc>
          <w:tcPr>
            <w:tcW w:w="1485" w:type="dxa"/>
            <w:vAlign w:val="center"/>
          </w:tcPr>
          <w:p>
            <w:pPr>
              <w:jc w:val="center"/>
              <w:rPr>
                <w:rFonts w:hint="default" w:ascii="宋体" w:hAnsi="宋体" w:eastAsia="微软雅黑"/>
                <w:sz w:val="18"/>
                <w:szCs w:val="18"/>
                <w:lang w:val="en-US" w:eastAsia="zh-CN"/>
              </w:rPr>
            </w:pPr>
            <w:r>
              <w:rPr>
                <w:rFonts w:hint="eastAsia" w:ascii="宋体" w:hAnsi="宋体"/>
                <w:sz w:val="18"/>
                <w:szCs w:val="18"/>
                <w:lang w:eastAsia="zh-CN"/>
              </w:rPr>
              <w:t>食品级</w:t>
            </w:r>
            <w:r>
              <w:rPr>
                <w:rFonts w:hint="eastAsia" w:ascii="宋体" w:hAnsi="宋体"/>
                <w:sz w:val="18"/>
                <w:szCs w:val="18"/>
                <w:lang w:val="en-US" w:eastAsia="zh-CN"/>
              </w:rPr>
              <w:t>304</w:t>
            </w:r>
            <w:bookmarkStart w:id="0" w:name="_GoBack"/>
            <w:bookmarkEnd w:id="0"/>
          </w:p>
        </w:tc>
        <w:tc>
          <w:tcPr>
            <w:tcW w:w="671" w:type="dxa"/>
            <w:vAlign w:val="center"/>
          </w:tcPr>
          <w:p>
            <w:pPr>
              <w:jc w:val="center"/>
              <w:rPr>
                <w:rFonts w:hint="default" w:ascii="宋体" w:hAnsi="宋体" w:eastAsia="微软雅黑"/>
                <w:sz w:val="18"/>
                <w:szCs w:val="18"/>
                <w:lang w:val="en-US" w:eastAsia="zh-CN"/>
              </w:rPr>
            </w:pPr>
            <w:r>
              <w:rPr>
                <w:rFonts w:hint="eastAsia" w:ascii="宋体" w:hAnsi="宋体"/>
                <w:sz w:val="18"/>
                <w:szCs w:val="18"/>
                <w:lang w:val="en-US" w:eastAsia="zh-CN"/>
              </w:rPr>
              <w:t>3</w:t>
            </w:r>
          </w:p>
        </w:tc>
        <w:tc>
          <w:tcPr>
            <w:tcW w:w="556" w:type="dxa"/>
            <w:vAlign w:val="center"/>
          </w:tcPr>
          <w:p>
            <w:pPr>
              <w:jc w:val="center"/>
              <w:rPr>
                <w:rFonts w:hint="eastAsia" w:ascii="宋体" w:hAnsi="宋体" w:eastAsia="微软雅黑"/>
                <w:sz w:val="18"/>
                <w:szCs w:val="18"/>
                <w:lang w:eastAsia="zh-CN"/>
              </w:rPr>
            </w:pPr>
            <w:r>
              <w:rPr>
                <w:rFonts w:hint="eastAsia" w:ascii="宋体" w:hAnsi="宋体"/>
                <w:sz w:val="18"/>
                <w:szCs w:val="18"/>
                <w:lang w:eastAsia="zh-CN"/>
              </w:rPr>
              <w:t>个</w:t>
            </w:r>
          </w:p>
        </w:tc>
        <w:tc>
          <w:tcPr>
            <w:tcW w:w="824" w:type="dxa"/>
            <w:vAlign w:val="center"/>
          </w:tcPr>
          <w:p>
            <w:pPr>
              <w:jc w:val="center"/>
              <w:rPr>
                <w:rFonts w:ascii="宋体" w:hAnsi="宋体"/>
                <w:sz w:val="18"/>
                <w:szCs w:val="18"/>
              </w:rPr>
            </w:pPr>
          </w:p>
        </w:tc>
        <w:tc>
          <w:tcPr>
            <w:tcW w:w="731" w:type="dxa"/>
            <w:vAlign w:val="center"/>
          </w:tcPr>
          <w:p>
            <w:pPr>
              <w:jc w:val="center"/>
              <w:rPr>
                <w:rFonts w:ascii="宋体" w:hAnsi="宋体"/>
                <w:sz w:val="18"/>
                <w:szCs w:val="18"/>
              </w:rPr>
            </w:pPr>
          </w:p>
        </w:tc>
        <w:tc>
          <w:tcPr>
            <w:tcW w:w="1167"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51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88" w:type="dxa"/>
            <w:vAlign w:val="center"/>
          </w:tcPr>
          <w:p>
            <w:pPr>
              <w:jc w:val="center"/>
              <w:rPr>
                <w:rFonts w:hint="eastAsia" w:ascii="宋体" w:hAnsi="宋体" w:eastAsia="微软雅黑" w:cs="宋体"/>
                <w:color w:val="000000"/>
                <w:sz w:val="18"/>
                <w:szCs w:val="18"/>
                <w:lang w:eastAsia="zh-CN"/>
              </w:rPr>
            </w:pPr>
            <w:r>
              <w:rPr>
                <w:rFonts w:hint="eastAsia" w:ascii="宋体" w:hAnsi="宋体" w:cs="宋体"/>
                <w:color w:val="000000"/>
                <w:sz w:val="18"/>
                <w:szCs w:val="18"/>
                <w:lang w:eastAsia="zh-CN"/>
              </w:rPr>
              <w:t>软连接</w:t>
            </w:r>
          </w:p>
        </w:tc>
        <w:tc>
          <w:tcPr>
            <w:tcW w:w="1342" w:type="dxa"/>
            <w:vAlign w:val="center"/>
          </w:tcPr>
          <w:p>
            <w:pPr>
              <w:jc w:val="center"/>
              <w:rPr>
                <w:rFonts w:hint="default" w:ascii="宋体" w:hAnsi="宋体" w:eastAsia="微软雅黑"/>
                <w:sz w:val="18"/>
                <w:szCs w:val="18"/>
                <w:lang w:val="en-US" w:eastAsia="zh-CN"/>
              </w:rPr>
            </w:pPr>
            <w:r>
              <w:rPr>
                <w:rFonts w:hint="eastAsia" w:ascii="宋体" w:hAnsi="宋体"/>
                <w:sz w:val="18"/>
                <w:szCs w:val="18"/>
                <w:lang w:val="en-US" w:eastAsia="zh-CN"/>
              </w:rPr>
              <w:t>DN150</w:t>
            </w:r>
          </w:p>
        </w:tc>
        <w:tc>
          <w:tcPr>
            <w:tcW w:w="1485" w:type="dxa"/>
            <w:vAlign w:val="center"/>
          </w:tcPr>
          <w:p>
            <w:pPr>
              <w:jc w:val="center"/>
              <w:rPr>
                <w:rFonts w:hint="eastAsia" w:ascii="宋体" w:hAnsi="宋体" w:eastAsia="微软雅黑"/>
                <w:sz w:val="18"/>
                <w:szCs w:val="18"/>
                <w:lang w:eastAsia="zh-CN"/>
              </w:rPr>
            </w:pPr>
            <w:r>
              <w:rPr>
                <w:rFonts w:hint="eastAsia" w:ascii="宋体" w:hAnsi="宋体"/>
                <w:sz w:val="18"/>
                <w:szCs w:val="18"/>
                <w:lang w:eastAsia="zh-CN"/>
              </w:rPr>
              <w:t>橡胶</w:t>
            </w:r>
          </w:p>
        </w:tc>
        <w:tc>
          <w:tcPr>
            <w:tcW w:w="671" w:type="dxa"/>
            <w:vAlign w:val="center"/>
          </w:tcPr>
          <w:p>
            <w:pPr>
              <w:jc w:val="center"/>
              <w:rPr>
                <w:rFonts w:hint="eastAsia" w:ascii="宋体" w:hAnsi="宋体" w:eastAsia="微软雅黑"/>
                <w:sz w:val="18"/>
                <w:szCs w:val="18"/>
                <w:lang w:eastAsia="zh-CN"/>
              </w:rPr>
            </w:pPr>
            <w:r>
              <w:rPr>
                <w:rFonts w:hint="eastAsia" w:ascii="宋体" w:hAnsi="宋体"/>
                <w:sz w:val="18"/>
                <w:szCs w:val="18"/>
                <w:lang w:val="en-US" w:eastAsia="zh-CN"/>
              </w:rPr>
              <w:t>1</w:t>
            </w:r>
          </w:p>
        </w:tc>
        <w:tc>
          <w:tcPr>
            <w:tcW w:w="556" w:type="dxa"/>
            <w:vAlign w:val="center"/>
          </w:tcPr>
          <w:p>
            <w:pPr>
              <w:jc w:val="center"/>
              <w:rPr>
                <w:rFonts w:hint="eastAsia" w:ascii="宋体" w:hAnsi="宋体" w:eastAsia="微软雅黑"/>
                <w:sz w:val="18"/>
                <w:szCs w:val="18"/>
                <w:lang w:eastAsia="zh-CN"/>
              </w:rPr>
            </w:pPr>
            <w:r>
              <w:rPr>
                <w:rFonts w:hint="eastAsia" w:ascii="宋体" w:hAnsi="宋体"/>
                <w:sz w:val="18"/>
                <w:szCs w:val="18"/>
                <w:lang w:eastAsia="zh-CN"/>
              </w:rPr>
              <w:t>个</w:t>
            </w:r>
          </w:p>
        </w:tc>
        <w:tc>
          <w:tcPr>
            <w:tcW w:w="824" w:type="dxa"/>
            <w:vAlign w:val="center"/>
          </w:tcPr>
          <w:p>
            <w:pPr>
              <w:jc w:val="center"/>
              <w:rPr>
                <w:rFonts w:ascii="宋体" w:hAnsi="宋体"/>
                <w:sz w:val="18"/>
                <w:szCs w:val="18"/>
              </w:rPr>
            </w:pPr>
          </w:p>
        </w:tc>
        <w:tc>
          <w:tcPr>
            <w:tcW w:w="731" w:type="dxa"/>
            <w:vAlign w:val="center"/>
          </w:tcPr>
          <w:p>
            <w:pPr>
              <w:jc w:val="center"/>
              <w:rPr>
                <w:rFonts w:ascii="宋体" w:hAnsi="宋体"/>
                <w:sz w:val="18"/>
                <w:szCs w:val="18"/>
              </w:rPr>
            </w:pPr>
          </w:p>
        </w:tc>
        <w:tc>
          <w:tcPr>
            <w:tcW w:w="1167"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51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88" w:type="dxa"/>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法兰片</w:t>
            </w:r>
          </w:p>
        </w:tc>
        <w:tc>
          <w:tcPr>
            <w:tcW w:w="1342" w:type="dxa"/>
            <w:vAlign w:val="center"/>
          </w:tcPr>
          <w:p>
            <w:pPr>
              <w:jc w:val="center"/>
              <w:rPr>
                <w:rFonts w:hint="default" w:ascii="宋体" w:hAnsi="宋体" w:eastAsia="微软雅黑"/>
                <w:sz w:val="18"/>
                <w:szCs w:val="18"/>
                <w:lang w:val="en-US" w:eastAsia="zh-CN"/>
              </w:rPr>
            </w:pPr>
            <w:r>
              <w:rPr>
                <w:rFonts w:hint="eastAsia" w:ascii="宋体" w:hAnsi="宋体"/>
                <w:sz w:val="18"/>
                <w:szCs w:val="18"/>
                <w:lang w:val="en-US" w:eastAsia="zh-CN"/>
              </w:rPr>
              <w:t>DN150</w:t>
            </w:r>
          </w:p>
        </w:tc>
        <w:tc>
          <w:tcPr>
            <w:tcW w:w="1485" w:type="dxa"/>
            <w:vAlign w:val="center"/>
          </w:tcPr>
          <w:p>
            <w:pPr>
              <w:jc w:val="center"/>
              <w:rPr>
                <w:rFonts w:hint="default" w:ascii="宋体" w:hAnsi="宋体"/>
                <w:sz w:val="18"/>
                <w:szCs w:val="18"/>
                <w:lang w:val="en-US" w:eastAsia="zh-CN"/>
              </w:rPr>
            </w:pPr>
            <w:r>
              <w:rPr>
                <w:rFonts w:hint="eastAsia" w:ascii="宋体" w:hAnsi="宋体"/>
                <w:sz w:val="18"/>
                <w:szCs w:val="18"/>
                <w:lang w:eastAsia="zh-CN"/>
              </w:rPr>
              <w:t>食品级</w:t>
            </w:r>
            <w:r>
              <w:rPr>
                <w:rFonts w:hint="eastAsia" w:ascii="宋体" w:hAnsi="宋体"/>
                <w:sz w:val="18"/>
                <w:szCs w:val="18"/>
                <w:lang w:val="en-US" w:eastAsia="zh-CN"/>
              </w:rPr>
              <w:t>304，与球阀和软连接配套使用</w:t>
            </w:r>
          </w:p>
        </w:tc>
        <w:tc>
          <w:tcPr>
            <w:tcW w:w="671"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8</w:t>
            </w:r>
          </w:p>
        </w:tc>
        <w:tc>
          <w:tcPr>
            <w:tcW w:w="556" w:type="dxa"/>
            <w:vAlign w:val="center"/>
          </w:tcPr>
          <w:p>
            <w:pPr>
              <w:jc w:val="center"/>
              <w:rPr>
                <w:rFonts w:hint="eastAsia" w:ascii="宋体" w:hAnsi="宋体"/>
                <w:sz w:val="18"/>
                <w:szCs w:val="18"/>
                <w:lang w:eastAsia="zh-CN"/>
              </w:rPr>
            </w:pPr>
            <w:r>
              <w:rPr>
                <w:rFonts w:hint="eastAsia" w:ascii="宋体" w:hAnsi="宋体"/>
                <w:sz w:val="18"/>
                <w:szCs w:val="18"/>
                <w:lang w:eastAsia="zh-CN"/>
              </w:rPr>
              <w:t>片</w:t>
            </w:r>
          </w:p>
        </w:tc>
        <w:tc>
          <w:tcPr>
            <w:tcW w:w="824" w:type="dxa"/>
            <w:vAlign w:val="center"/>
          </w:tcPr>
          <w:p>
            <w:pPr>
              <w:jc w:val="center"/>
              <w:rPr>
                <w:rFonts w:ascii="宋体" w:hAnsi="宋体"/>
                <w:sz w:val="18"/>
                <w:szCs w:val="18"/>
              </w:rPr>
            </w:pPr>
          </w:p>
        </w:tc>
        <w:tc>
          <w:tcPr>
            <w:tcW w:w="731" w:type="dxa"/>
            <w:vAlign w:val="center"/>
          </w:tcPr>
          <w:p>
            <w:pPr>
              <w:jc w:val="center"/>
              <w:rPr>
                <w:rFonts w:ascii="宋体" w:hAnsi="宋体"/>
                <w:sz w:val="18"/>
                <w:szCs w:val="18"/>
              </w:rPr>
            </w:pPr>
          </w:p>
        </w:tc>
        <w:tc>
          <w:tcPr>
            <w:tcW w:w="1167"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51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88" w:type="dxa"/>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变径</w:t>
            </w:r>
          </w:p>
        </w:tc>
        <w:tc>
          <w:tcPr>
            <w:tcW w:w="1342"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DN150变DN125</w:t>
            </w:r>
          </w:p>
        </w:tc>
        <w:tc>
          <w:tcPr>
            <w:tcW w:w="1485" w:type="dxa"/>
            <w:vAlign w:val="center"/>
          </w:tcPr>
          <w:p>
            <w:pPr>
              <w:jc w:val="center"/>
              <w:rPr>
                <w:rFonts w:hint="eastAsia" w:ascii="宋体" w:hAnsi="宋体"/>
                <w:sz w:val="18"/>
                <w:szCs w:val="18"/>
                <w:lang w:eastAsia="zh-CN"/>
              </w:rPr>
            </w:pPr>
            <w:r>
              <w:rPr>
                <w:rFonts w:hint="eastAsia" w:ascii="宋体" w:hAnsi="宋体"/>
                <w:sz w:val="18"/>
                <w:szCs w:val="18"/>
                <w:lang w:eastAsia="zh-CN"/>
              </w:rPr>
              <w:t>食品级</w:t>
            </w:r>
            <w:r>
              <w:rPr>
                <w:rFonts w:hint="eastAsia" w:ascii="宋体" w:hAnsi="宋体"/>
                <w:sz w:val="18"/>
                <w:szCs w:val="18"/>
              </w:rPr>
              <w:t>304</w:t>
            </w:r>
          </w:p>
        </w:tc>
        <w:tc>
          <w:tcPr>
            <w:tcW w:w="671"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1</w:t>
            </w:r>
          </w:p>
        </w:tc>
        <w:tc>
          <w:tcPr>
            <w:tcW w:w="55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个</w:t>
            </w:r>
          </w:p>
        </w:tc>
        <w:tc>
          <w:tcPr>
            <w:tcW w:w="824" w:type="dxa"/>
            <w:vAlign w:val="center"/>
          </w:tcPr>
          <w:p>
            <w:pPr>
              <w:jc w:val="center"/>
              <w:rPr>
                <w:rFonts w:ascii="宋体" w:hAnsi="宋体"/>
                <w:sz w:val="18"/>
                <w:szCs w:val="18"/>
              </w:rPr>
            </w:pPr>
          </w:p>
        </w:tc>
        <w:tc>
          <w:tcPr>
            <w:tcW w:w="731" w:type="dxa"/>
            <w:vAlign w:val="center"/>
          </w:tcPr>
          <w:p>
            <w:pPr>
              <w:jc w:val="center"/>
              <w:rPr>
                <w:rFonts w:ascii="宋体" w:hAnsi="宋体"/>
                <w:sz w:val="18"/>
                <w:szCs w:val="18"/>
              </w:rPr>
            </w:pPr>
          </w:p>
        </w:tc>
        <w:tc>
          <w:tcPr>
            <w:tcW w:w="1167"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51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88" w:type="dxa"/>
            <w:vAlign w:val="center"/>
          </w:tcPr>
          <w:p>
            <w:pPr>
              <w:jc w:val="center"/>
              <w:rPr>
                <w:rFonts w:ascii="宋体" w:hAnsi="宋体"/>
                <w:sz w:val="18"/>
                <w:szCs w:val="18"/>
              </w:rPr>
            </w:pPr>
            <w:r>
              <w:rPr>
                <w:rFonts w:hint="eastAsia" w:ascii="宋体" w:hAnsi="宋体"/>
                <w:sz w:val="18"/>
                <w:szCs w:val="18"/>
              </w:rPr>
              <w:t>合计</w:t>
            </w:r>
          </w:p>
        </w:tc>
        <w:tc>
          <w:tcPr>
            <w:tcW w:w="1342" w:type="dxa"/>
            <w:vAlign w:val="center"/>
          </w:tcPr>
          <w:p>
            <w:pPr>
              <w:jc w:val="center"/>
              <w:rPr>
                <w:rFonts w:ascii="宋体" w:hAnsi="宋体"/>
                <w:sz w:val="18"/>
                <w:szCs w:val="18"/>
              </w:rPr>
            </w:pPr>
          </w:p>
        </w:tc>
        <w:tc>
          <w:tcPr>
            <w:tcW w:w="1485" w:type="dxa"/>
            <w:vAlign w:val="center"/>
          </w:tcPr>
          <w:p>
            <w:pPr>
              <w:jc w:val="center"/>
              <w:rPr>
                <w:rFonts w:ascii="宋体" w:hAnsi="宋体"/>
                <w:sz w:val="18"/>
                <w:szCs w:val="18"/>
              </w:rPr>
            </w:pPr>
          </w:p>
        </w:tc>
        <w:tc>
          <w:tcPr>
            <w:tcW w:w="671" w:type="dxa"/>
            <w:vAlign w:val="center"/>
          </w:tcPr>
          <w:p>
            <w:pPr>
              <w:jc w:val="center"/>
              <w:rPr>
                <w:rFonts w:ascii="宋体" w:hAnsi="宋体"/>
                <w:sz w:val="18"/>
                <w:szCs w:val="18"/>
              </w:rPr>
            </w:pPr>
          </w:p>
        </w:tc>
        <w:tc>
          <w:tcPr>
            <w:tcW w:w="556" w:type="dxa"/>
            <w:vAlign w:val="center"/>
          </w:tcPr>
          <w:p>
            <w:pPr>
              <w:jc w:val="center"/>
              <w:rPr>
                <w:rFonts w:ascii="宋体" w:hAnsi="宋体"/>
                <w:sz w:val="18"/>
                <w:szCs w:val="18"/>
              </w:rPr>
            </w:pPr>
          </w:p>
        </w:tc>
        <w:tc>
          <w:tcPr>
            <w:tcW w:w="824" w:type="dxa"/>
            <w:vAlign w:val="center"/>
          </w:tcPr>
          <w:p>
            <w:pPr>
              <w:jc w:val="center"/>
              <w:rPr>
                <w:rFonts w:ascii="宋体" w:hAnsi="宋体"/>
                <w:sz w:val="18"/>
                <w:szCs w:val="18"/>
              </w:rPr>
            </w:pPr>
          </w:p>
        </w:tc>
        <w:tc>
          <w:tcPr>
            <w:tcW w:w="731" w:type="dxa"/>
            <w:vAlign w:val="center"/>
          </w:tcPr>
          <w:p>
            <w:pPr>
              <w:jc w:val="center"/>
              <w:rPr>
                <w:rFonts w:ascii="宋体" w:hAnsi="宋体"/>
                <w:sz w:val="18"/>
                <w:szCs w:val="18"/>
              </w:rPr>
            </w:pPr>
          </w:p>
        </w:tc>
        <w:tc>
          <w:tcPr>
            <w:tcW w:w="1167"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51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474" w:type="dxa"/>
            <w:gridSpan w:val="10"/>
            <w:vAlign w:val="center"/>
          </w:tcPr>
          <w:p>
            <w:pPr>
              <w:jc w:val="center"/>
              <w:rPr>
                <w:rFonts w:ascii="宋体" w:hAnsi="宋体"/>
                <w:sz w:val="18"/>
                <w:szCs w:val="18"/>
              </w:rPr>
            </w:pPr>
            <w:r>
              <w:rPr>
                <w:rFonts w:hint="eastAsia" w:ascii="宋体" w:hAnsi="宋体"/>
                <w:sz w:val="18"/>
                <w:szCs w:val="18"/>
              </w:rPr>
              <w:t>合计人民币</w:t>
            </w:r>
            <w:r>
              <w:rPr>
                <w:rFonts w:hint="eastAsia" w:ascii="宋体" w:hAnsi="宋体"/>
                <w:sz w:val="18"/>
                <w:szCs w:val="18"/>
                <w:u w:val="single"/>
              </w:rPr>
              <w:t xml:space="preserve">      </w:t>
            </w:r>
            <w:r>
              <w:rPr>
                <w:rFonts w:hint="eastAsia" w:ascii="宋体" w:hAnsi="宋体"/>
                <w:sz w:val="18"/>
                <w:szCs w:val="18"/>
              </w:rPr>
              <w:t>元 金额（大写）：</w:t>
            </w:r>
            <w:r>
              <w:rPr>
                <w:rFonts w:hint="eastAsia" w:ascii="宋体" w:hAnsi="宋体"/>
                <w:sz w:val="18"/>
                <w:szCs w:val="18"/>
                <w:u w:val="single"/>
              </w:rPr>
              <w:t xml:space="preserve">   </w:t>
            </w:r>
            <w:r>
              <w:rPr>
                <w:rFonts w:hint="eastAsia" w:ascii="宋体" w:hAnsi="宋体"/>
                <w:sz w:val="18"/>
                <w:szCs w:val="18"/>
              </w:rPr>
              <w:t>元整（含</w:t>
            </w:r>
            <w:r>
              <w:rPr>
                <w:rFonts w:hint="eastAsia" w:ascii="宋体" w:hAnsi="宋体"/>
                <w:sz w:val="18"/>
                <w:szCs w:val="18"/>
                <w:u w:val="single"/>
              </w:rPr>
              <w:t xml:space="preserve">   </w:t>
            </w:r>
            <w:r>
              <w:rPr>
                <w:rFonts w:hint="eastAsia" w:ascii="宋体" w:hAnsi="宋体"/>
                <w:sz w:val="18"/>
                <w:szCs w:val="18"/>
              </w:rPr>
              <w:t>%增值税）；其中不含增值税税额价款（  ）元，税率（</w:t>
            </w:r>
            <w:r>
              <w:rPr>
                <w:rFonts w:hint="eastAsia" w:ascii="宋体" w:hAnsi="宋体"/>
                <w:sz w:val="18"/>
                <w:szCs w:val="18"/>
                <w:u w:val="single"/>
              </w:rPr>
              <w:t xml:space="preserve">   </w:t>
            </w:r>
            <w:r>
              <w:rPr>
                <w:rFonts w:hint="eastAsia" w:ascii="宋体" w:hAnsi="宋体"/>
                <w:sz w:val="18"/>
                <w:szCs w:val="18"/>
              </w:rPr>
              <w:t>%），增值税税额（  ）元</w:t>
            </w:r>
          </w:p>
        </w:tc>
      </w:tr>
    </w:tbl>
    <w:p>
      <w:pPr>
        <w:pStyle w:val="12"/>
      </w:pPr>
      <w:r>
        <w:rPr>
          <w:rFonts w:hint="eastAsia"/>
        </w:rPr>
        <w:t>二、质量要求、技术标准：</w:t>
      </w:r>
    </w:p>
    <w:p>
      <w:pPr>
        <w:pStyle w:val="12"/>
      </w:pPr>
      <w:r>
        <w:rPr>
          <w:rFonts w:hint="eastAsia"/>
          <w:u w:val="single"/>
        </w:rPr>
        <w:t xml:space="preserve">                                  </w:t>
      </w:r>
      <w:r>
        <w:rPr>
          <w:rFonts w:hint="eastAsia"/>
        </w:rPr>
        <w:t>符合行业标准及甲方的要求，在设备检修或生产当中出现质量问题,甲方有权退货,不予付款，质量保证期为</w:t>
      </w:r>
      <w:r>
        <w:rPr>
          <w:rFonts w:hint="eastAsia"/>
          <w:u w:val="single"/>
        </w:rPr>
        <w:t xml:space="preserve">     </w:t>
      </w:r>
      <w:r>
        <w:rPr>
          <w:rFonts w:hint="eastAsia"/>
        </w:rPr>
        <w:t>年。</w:t>
      </w:r>
    </w:p>
    <w:p>
      <w:pPr>
        <w:pStyle w:val="12"/>
      </w:pPr>
      <w:r>
        <w:rPr>
          <w:rFonts w:hint="eastAsia"/>
        </w:rPr>
        <w:t>三、交货时间、地点：</w:t>
      </w:r>
    </w:p>
    <w:p>
      <w:pPr>
        <w:pStyle w:val="12"/>
      </w:pPr>
      <w:r>
        <w:t>1</w:t>
      </w:r>
      <w:r>
        <w:rPr>
          <w:rFonts w:hint="eastAsia"/>
        </w:rPr>
        <w:t>、交货时间：合同签订后，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日按甲方要求完成安装制作，迟延履行的，每迟延一天向甲方支付合同总额</w:t>
      </w:r>
      <w:r>
        <w:t>3%</w:t>
      </w:r>
      <w:r>
        <w:rPr>
          <w:rFonts w:hint="eastAsia"/>
        </w:rPr>
        <w:t>的违约金。</w:t>
      </w:r>
    </w:p>
    <w:p>
      <w:pPr>
        <w:pStyle w:val="12"/>
      </w:pPr>
      <w:r>
        <w:t>2</w:t>
      </w:r>
      <w:r>
        <w:rPr>
          <w:rFonts w:hint="eastAsia"/>
        </w:rPr>
        <w:t>、交货地点：新疆塔城地区额敏县，中粮屯河额敏番茄制品有限公司院内</w:t>
      </w:r>
    </w:p>
    <w:p>
      <w:pPr>
        <w:pStyle w:val="12"/>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pPr>
        <w:pStyle w:val="12"/>
      </w:pPr>
      <w:r>
        <w:rPr>
          <w:rFonts w:hint="eastAsia"/>
        </w:rPr>
        <w:t>五、验收标准、方法及提出异议的期限：</w:t>
      </w:r>
    </w:p>
    <w:p>
      <w:pPr>
        <w:pStyle w:val="12"/>
      </w:pPr>
      <w:r>
        <w:t>1</w:t>
      </w:r>
      <w:r>
        <w:rPr>
          <w:rFonts w:hint="eastAsia"/>
        </w:rPr>
        <w:t>、数量验收依据合同清单及备注说明，到货后随附配件到货清单；</w:t>
      </w:r>
    </w:p>
    <w:p>
      <w:pPr>
        <w:pStyle w:val="12"/>
      </w:pPr>
      <w:r>
        <w:rPr>
          <w:rFonts w:hint="eastAsia"/>
        </w:rPr>
        <w:t>2、外观及质量验证：甲方组织人员开箱验收，符合国标及甲方要求。</w:t>
      </w:r>
    </w:p>
    <w:p>
      <w:pPr>
        <w:pStyle w:val="12"/>
      </w:pPr>
      <w:r>
        <w:rPr>
          <w:rFonts w:hint="eastAsia"/>
        </w:rPr>
        <w:t>3、货物到达甲方工厂后十天内对产品质量提出异议。</w:t>
      </w:r>
    </w:p>
    <w:p>
      <w:pPr>
        <w:pStyle w:val="12"/>
      </w:pPr>
      <w:r>
        <w:rPr>
          <w:rFonts w:hint="eastAsia"/>
        </w:rPr>
        <w:t>4、乙方所供产品均符合安全标准及相关要求。</w:t>
      </w:r>
      <w:r>
        <w:t xml:space="preserve"> </w:t>
      </w:r>
    </w:p>
    <w:p>
      <w:pPr>
        <w:pStyle w:val="12"/>
      </w:pPr>
      <w:r>
        <w:rPr>
          <w:rFonts w:hint="eastAsia"/>
        </w:rPr>
        <w:t>5、未尽事宜可做补充说明。</w:t>
      </w:r>
    </w:p>
    <w:p>
      <w:pPr>
        <w:pStyle w:val="12"/>
        <w:rPr>
          <w:bCs/>
        </w:rPr>
      </w:pPr>
      <w:r>
        <w:rPr>
          <w:rFonts w:hint="eastAsia"/>
        </w:rPr>
        <w:t>六、付款方式：</w:t>
      </w:r>
      <w:r>
        <w:rPr>
          <w:rFonts w:hint="eastAsia"/>
          <w:lang w:eastAsia="zh-CN"/>
        </w:rPr>
        <w:t>工程进度完成</w:t>
      </w:r>
      <w:r>
        <w:rPr>
          <w:rFonts w:hint="eastAsia"/>
          <w:lang w:val="en-US" w:eastAsia="zh-CN"/>
        </w:rPr>
        <w:t>50%后</w:t>
      </w:r>
      <w:r>
        <w:rPr>
          <w:rFonts w:hint="eastAsia"/>
        </w:rPr>
        <w:t>乙方提供</w:t>
      </w:r>
      <w:r>
        <w:rPr>
          <w:rFonts w:hint="eastAsia"/>
          <w:u w:val="single"/>
          <w:lang w:val="en-US" w:eastAsia="zh-CN"/>
        </w:rPr>
        <w:t xml:space="preserve">   %</w:t>
      </w:r>
      <w:r>
        <w:rPr>
          <w:rFonts w:hint="eastAsia"/>
        </w:rPr>
        <w:t>全额增值税专用发票挂账后，支付总价款的30%，安装完成验收合格后支付</w:t>
      </w:r>
      <w:r>
        <w:rPr>
          <w:rFonts w:hint="eastAsia"/>
          <w:lang w:val="en-US" w:eastAsia="zh-CN"/>
        </w:rPr>
        <w:t>60</w:t>
      </w:r>
      <w:r>
        <w:rPr>
          <w:rFonts w:hint="eastAsia"/>
        </w:rPr>
        <w:t>%，余10%作为质保金，待下年度生产期结束付清。</w:t>
      </w:r>
      <w:r>
        <w:t>（开票期间如遇国家税率调整，以合同中不含税价格为基数乘以国家调整税率为开票金额）</w:t>
      </w:r>
      <w:r>
        <w:rPr>
          <w:rFonts w:hint="eastAsia"/>
        </w:rPr>
        <w:t>。</w:t>
      </w:r>
    </w:p>
    <w:p>
      <w:pPr>
        <w:pStyle w:val="12"/>
        <w:rPr>
          <w:bCs/>
        </w:rPr>
      </w:pPr>
      <w:r>
        <w:rPr>
          <w:rFonts w:hint="eastAsia"/>
          <w:bCs/>
        </w:rPr>
        <w:t>七、产品的保质期：在正常使用情况下包用一年，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年生产期内出现质量问题由乙方负责无偿退货，换货或修复，因质量问题影响到甲方正常生产的，每耽误一天按合同金额10%支付</w:t>
      </w:r>
      <w:r>
        <w:rPr>
          <w:bCs/>
        </w:rPr>
        <w:t>违约金</w:t>
      </w:r>
      <w:r>
        <w:rPr>
          <w:rFonts w:hint="eastAsia"/>
          <w:bCs/>
        </w:rPr>
        <w:t>。</w:t>
      </w:r>
    </w:p>
    <w:p>
      <w:pPr>
        <w:pStyle w:val="12"/>
        <w:rPr>
          <w:bCs/>
        </w:rPr>
      </w:pPr>
      <w:r>
        <w:rPr>
          <w:rFonts w:hint="eastAsia"/>
          <w:bCs/>
        </w:rPr>
        <w:t>八、违约责任：</w:t>
      </w:r>
    </w:p>
    <w:p>
      <w:pPr>
        <w:pStyle w:val="12"/>
        <w:rPr>
          <w:rFonts w:hint="eastAsia" w:eastAsia="微软雅黑"/>
          <w:lang w:eastAsia="zh-CN"/>
        </w:rPr>
      </w:pPr>
      <w:r>
        <w:rPr>
          <w:rFonts w:hint="eastAsia"/>
          <w:bCs/>
        </w:rPr>
        <w:t xml:space="preserve"> </w:t>
      </w:r>
      <w:r>
        <w:rPr>
          <w:rFonts w:hint="eastAsia"/>
        </w:rPr>
        <w:t>1、</w:t>
      </w:r>
      <w:r>
        <w:t>乙方未按约定期限交付货物的，每逾期一日，乙方需依照约定向甲方支付合同总价款3%的迟延履行金，逾期交付超过30日，甲方有权单方解除本合同或中止合同，解除本合同并不妨碍</w:t>
      </w:r>
      <w:r>
        <w:rPr>
          <w:rFonts w:hint="eastAsia"/>
        </w:rPr>
        <w:t>甲</w:t>
      </w:r>
      <w:r>
        <w:t xml:space="preserve">方主张违约责任。 </w:t>
      </w:r>
    </w:p>
    <w:p>
      <w:pPr>
        <w:pStyle w:val="12"/>
        <w:rPr>
          <w:rFonts w:hint="eastAsia"/>
        </w:rPr>
      </w:pPr>
      <w:r>
        <w:rPr>
          <w:rFonts w:hint="eastAsia"/>
        </w:rPr>
        <w:t>2、</w:t>
      </w:r>
      <w:r>
        <w:t>乙方交付的货物中存在不符合合同约定产品质量标准的情形，乙方应按照不符合质</w:t>
      </w:r>
      <w:r>
        <w:rPr>
          <w:rFonts w:hint="eastAsia"/>
        </w:rPr>
        <w:t>量标准货物价值的30%向甲方支付瑕疵履行违约金；当质量存在问题的货物超过合同约定货物总量的30%时，甲方有权单方解除本合同或中止本合同，解除本合同并不妨碍甲方主张违约责任。</w:t>
      </w:r>
    </w:p>
    <w:p>
      <w:pPr>
        <w:pStyle w:val="12"/>
        <w:rPr>
          <w:rFonts w:hint="eastAsia"/>
          <w:lang w:val="en-US" w:eastAsia="zh-CN"/>
        </w:rPr>
      </w:pPr>
      <w:r>
        <w:rPr>
          <w:rFonts w:hint="eastAsia"/>
          <w:lang w:val="en-US" w:eastAsia="zh-CN"/>
        </w:rPr>
        <w:t>3、乙方就本合同约定的业务向采购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pStyle w:val="12"/>
        <w:rPr>
          <w:rFonts w:hint="eastAsia"/>
          <w:lang w:val="en-US" w:eastAsia="zh-CN"/>
        </w:rPr>
      </w:pPr>
      <w:r>
        <w:rPr>
          <w:rFonts w:hint="eastAsia"/>
          <w:lang w:val="en-US" w:eastAsia="zh-CN"/>
        </w:rPr>
        <w:t>九、其它约定事项：</w:t>
      </w:r>
    </w:p>
    <w:p>
      <w:pPr>
        <w:pStyle w:val="12"/>
        <w:rPr>
          <w:rFonts w:hint="eastAsia"/>
          <w:lang w:val="en-US" w:eastAsia="zh-CN"/>
        </w:rPr>
      </w:pPr>
      <w:r>
        <w:rPr>
          <w:rFonts w:hint="eastAsia"/>
          <w:lang w:val="en-US" w:eastAsia="zh-CN"/>
        </w:rPr>
        <w:t>1、如发生合同纠纷由当事人协商解决，协商不成通过甲方所在地法院诉讼解决，由此产生的诉讼相关费用由违约方承担。</w:t>
      </w:r>
    </w:p>
    <w:p>
      <w:pPr>
        <w:pStyle w:val="12"/>
        <w:rPr>
          <w:rFonts w:hint="default"/>
          <w:lang w:val="en-US" w:eastAsia="zh-CN"/>
        </w:rPr>
      </w:pPr>
      <w:r>
        <w:rPr>
          <w:rFonts w:hint="eastAsia"/>
          <w:lang w:val="en-US" w:eastAsia="zh-CN"/>
        </w:rPr>
        <w:t>2、经查实如乙方参与围标、串标行为，其中标无效，列入供应商黑名单，并对乙方处中标项目金额千分之五以上千分之十以下的罚款，如事后查实无法追溯的仅列入供应商黑名单，加大不诚信供应商的违规成本。</w:t>
      </w:r>
    </w:p>
    <w:p>
      <w:pPr>
        <w:pStyle w:val="12"/>
        <w:rPr>
          <w:rFonts w:hint="eastAsia"/>
        </w:rPr>
      </w:pPr>
      <w:r>
        <w:rPr>
          <w:rFonts w:hint="eastAsia"/>
          <w:lang w:val="en-US" w:eastAsia="zh-CN"/>
        </w:rPr>
        <w:t>3</w:t>
      </w:r>
      <w:r>
        <w:rPr>
          <w:rFonts w:hint="eastAsia"/>
        </w:rPr>
        <w:t>、本合同一式肆份，甲方叁份，乙方壹份，自合同盖章之日起生效。</w:t>
      </w:r>
    </w:p>
    <w:p>
      <w:pPr>
        <w:pStyle w:val="12"/>
        <w:rPr>
          <w:rFonts w:hint="eastAsia"/>
          <w:bCs/>
          <w:lang w:val="en-US" w:eastAsia="zh-CN"/>
        </w:rPr>
      </w:pPr>
      <w:r>
        <w:rPr>
          <w:rFonts w:hint="eastAsia"/>
          <w:lang w:val="en-US" w:eastAsia="zh-CN"/>
        </w:rPr>
        <w:t>4、</w:t>
      </w:r>
      <w:r>
        <w:rPr>
          <w:rFonts w:hint="eastAsia"/>
          <w:lang w:eastAsia="zh-CN"/>
        </w:rPr>
        <w:t>乙方</w:t>
      </w:r>
      <w:r>
        <w:rPr>
          <w:rFonts w:hint="eastAsia"/>
        </w:rPr>
        <w:t>选择要充分考虑</w:t>
      </w:r>
      <w:r>
        <w:rPr>
          <w:rFonts w:hint="eastAsia"/>
          <w:lang w:eastAsia="zh-CN"/>
        </w:rPr>
        <w:t>乙方</w:t>
      </w:r>
      <w:r>
        <w:rPr>
          <w:rFonts w:hint="eastAsia"/>
        </w:rPr>
        <w:t>在产品设计过程</w:t>
      </w:r>
      <w:r>
        <w:rPr>
          <w:rFonts w:hint="eastAsia"/>
          <w:bCs/>
        </w:rPr>
        <w:t>中更多采用生态设计技术，以减少环境污染和能源资源消耗，使产品和零部件能够回收循环利用。</w:t>
      </w:r>
    </w:p>
    <w:tbl>
      <w:tblPr>
        <w:tblStyle w:val="6"/>
        <w:tblW w:w="9639" w:type="dxa"/>
        <w:tblInd w:w="15" w:type="dxa"/>
        <w:tblLayout w:type="fixed"/>
        <w:tblCellMar>
          <w:top w:w="15" w:type="dxa"/>
          <w:left w:w="15" w:type="dxa"/>
          <w:bottom w:w="15" w:type="dxa"/>
          <w:right w:w="15" w:type="dxa"/>
        </w:tblCellMar>
      </w:tblPr>
      <w:tblGrid>
        <w:gridCol w:w="4462"/>
        <w:gridCol w:w="5177"/>
      </w:tblGrid>
      <w:tr>
        <w:trPr>
          <w:trHeight w:val="344" w:hRule="atLeast"/>
        </w:trPr>
        <w:tc>
          <w:tcPr>
            <w:tcW w:w="4462"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甲       方</w:t>
            </w:r>
          </w:p>
        </w:tc>
        <w:tc>
          <w:tcPr>
            <w:tcW w:w="5177" w:type="dxa"/>
            <w:tcBorders>
              <w:top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乙  方</w:t>
            </w:r>
          </w:p>
        </w:tc>
      </w:tr>
      <w:tr>
        <w:tblPrEx>
          <w:tblCellMar>
            <w:top w:w="15" w:type="dxa"/>
            <w:left w:w="15" w:type="dxa"/>
            <w:bottom w:w="15" w:type="dxa"/>
            <w:right w:w="15" w:type="dxa"/>
          </w:tblCellMar>
        </w:tblPrEx>
        <w:trPr>
          <w:trHeight w:val="360" w:hRule="atLeast"/>
        </w:trPr>
        <w:tc>
          <w:tcPr>
            <w:tcW w:w="4462"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ascii="宋体" w:hAnsi="宋体" w:eastAsia="宋体" w:cs="宋体"/>
                <w:b/>
                <w:color w:val="000000"/>
                <w:kern w:val="2"/>
                <w:sz w:val="21"/>
                <w:szCs w:val="21"/>
              </w:rPr>
              <w:t>中粮屯河</w:t>
            </w:r>
            <w:r>
              <w:rPr>
                <w:rFonts w:hint="eastAsia" w:ascii="宋体" w:hAnsi="宋体" w:eastAsia="宋体" w:cs="宋体"/>
                <w:b/>
                <w:color w:val="000000"/>
                <w:kern w:val="2"/>
                <w:sz w:val="21"/>
                <w:szCs w:val="21"/>
              </w:rPr>
              <w:t>额敏</w:t>
            </w:r>
            <w:r>
              <w:rPr>
                <w:rFonts w:ascii="宋体" w:hAnsi="宋体" w:eastAsia="宋体" w:cs="宋体"/>
                <w:b/>
                <w:color w:val="000000"/>
                <w:kern w:val="2"/>
                <w:sz w:val="21"/>
                <w:szCs w:val="21"/>
              </w:rPr>
              <w:t>番茄制品有限公司</w:t>
            </w:r>
          </w:p>
        </w:tc>
        <w:tc>
          <w:tcPr>
            <w:tcW w:w="5177"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hint="eastAsia" w:ascii="宋体" w:hAnsi="宋体" w:eastAsia="宋体" w:cs="Times New Roman"/>
                <w:kern w:val="2"/>
                <w:sz w:val="24"/>
                <w:szCs w:val="24"/>
              </w:rPr>
              <w:t xml:space="preserve"> </w:t>
            </w:r>
          </w:p>
        </w:tc>
      </w:tr>
      <w:tr>
        <w:tblPrEx>
          <w:tblCellMar>
            <w:top w:w="15" w:type="dxa"/>
            <w:left w:w="15" w:type="dxa"/>
            <w:bottom w:w="15" w:type="dxa"/>
            <w:right w:w="15" w:type="dxa"/>
          </w:tblCellMar>
        </w:tblPrEx>
        <w:trPr>
          <w:trHeight w:val="285" w:hRule="atLeast"/>
        </w:trPr>
        <w:tc>
          <w:tcPr>
            <w:tcW w:w="4462"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c>
          <w:tcPr>
            <w:tcW w:w="5177"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r>
      <w:tr>
        <w:tblPrEx>
          <w:tblCellMar>
            <w:top w:w="15" w:type="dxa"/>
            <w:left w:w="15" w:type="dxa"/>
            <w:bottom w:w="15" w:type="dxa"/>
            <w:right w:w="15" w:type="dxa"/>
          </w:tblCellMar>
        </w:tblPrEx>
        <w:trPr>
          <w:trHeight w:val="285" w:hRule="atLeast"/>
        </w:trPr>
        <w:tc>
          <w:tcPr>
            <w:tcW w:w="4462"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hint="eastAsia" w:ascii="宋体" w:hAnsi="宋体" w:eastAsia="宋体" w:cs="宋体"/>
                <w:b/>
                <w:color w:val="000000"/>
                <w:kern w:val="2"/>
                <w:sz w:val="21"/>
                <w:szCs w:val="21"/>
              </w:rPr>
              <w:t>塔城额敏县额铁路三十四地段</w:t>
            </w:r>
          </w:p>
        </w:tc>
        <w:tc>
          <w:tcPr>
            <w:tcW w:w="5177"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ascii="宋体" w:hAnsi="宋体" w:eastAsia="宋体" w:cs="宋体"/>
                <w:b/>
                <w:color w:val="000000"/>
                <w:kern w:val="2"/>
                <w:sz w:val="18"/>
              </w:rPr>
              <w:t>;</w:t>
            </w:r>
          </w:p>
        </w:tc>
      </w:tr>
      <w:tr>
        <w:tblPrEx>
          <w:tblCellMar>
            <w:top w:w="15" w:type="dxa"/>
            <w:left w:w="15" w:type="dxa"/>
            <w:bottom w:w="15" w:type="dxa"/>
            <w:right w:w="15" w:type="dxa"/>
          </w:tblCellMar>
        </w:tblPrEx>
        <w:trPr>
          <w:trHeight w:val="381" w:hRule="atLeast"/>
        </w:trPr>
        <w:tc>
          <w:tcPr>
            <w:tcW w:w="4462"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c>
          <w:tcPr>
            <w:tcW w:w="5177"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r>
      <w:tr>
        <w:tblPrEx>
          <w:tblCellMar>
            <w:top w:w="15" w:type="dxa"/>
            <w:left w:w="15" w:type="dxa"/>
            <w:bottom w:w="15" w:type="dxa"/>
            <w:right w:w="15" w:type="dxa"/>
          </w:tblCellMar>
        </w:tblPrEx>
        <w:trPr>
          <w:trHeight w:val="285" w:hRule="atLeast"/>
        </w:trPr>
        <w:tc>
          <w:tcPr>
            <w:tcW w:w="4462"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c>
          <w:tcPr>
            <w:tcW w:w="5177"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4462"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电      话：</w:t>
            </w:r>
            <w:r>
              <w:rPr>
                <w:rFonts w:ascii="宋体" w:hAnsi="宋体" w:eastAsia="宋体" w:cs="宋体"/>
                <w:b/>
                <w:color w:val="000000"/>
                <w:kern w:val="2"/>
                <w:sz w:val="21"/>
                <w:szCs w:val="21"/>
              </w:rPr>
              <w:t>09</w:t>
            </w:r>
            <w:r>
              <w:rPr>
                <w:rFonts w:hint="eastAsia" w:ascii="宋体" w:hAnsi="宋体" w:eastAsia="宋体" w:cs="宋体"/>
                <w:b/>
                <w:color w:val="000000"/>
                <w:kern w:val="2"/>
                <w:sz w:val="21"/>
                <w:szCs w:val="21"/>
              </w:rPr>
              <w:t>01</w:t>
            </w:r>
            <w:r>
              <w:rPr>
                <w:rFonts w:ascii="宋体" w:hAnsi="宋体" w:eastAsia="宋体" w:cs="宋体"/>
                <w:b/>
                <w:color w:val="000000"/>
                <w:kern w:val="2"/>
                <w:sz w:val="21"/>
                <w:szCs w:val="21"/>
              </w:rPr>
              <w:t>-</w:t>
            </w:r>
            <w:r>
              <w:rPr>
                <w:rFonts w:hint="eastAsia" w:ascii="宋体" w:hAnsi="宋体" w:eastAsia="宋体" w:cs="宋体"/>
                <w:b/>
                <w:color w:val="000000"/>
                <w:kern w:val="2"/>
                <w:sz w:val="21"/>
                <w:szCs w:val="21"/>
              </w:rPr>
              <w:t>3362900</w:t>
            </w:r>
          </w:p>
        </w:tc>
        <w:tc>
          <w:tcPr>
            <w:tcW w:w="5177"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 xml:space="preserve">电  </w:t>
            </w:r>
            <w:r>
              <w:rPr>
                <w:rFonts w:ascii="宋体" w:hAnsi="宋体" w:eastAsia="宋体" w:cs="宋体"/>
                <w:b/>
                <w:color w:val="000000"/>
                <w:kern w:val="2"/>
                <w:sz w:val="21"/>
                <w:szCs w:val="21"/>
              </w:rPr>
              <w:t xml:space="preserve">    话： </w:t>
            </w:r>
          </w:p>
        </w:tc>
      </w:tr>
      <w:tr>
        <w:tblPrEx>
          <w:tblCellMar>
            <w:top w:w="15" w:type="dxa"/>
            <w:left w:w="15" w:type="dxa"/>
            <w:bottom w:w="15" w:type="dxa"/>
            <w:right w:w="15" w:type="dxa"/>
          </w:tblCellMar>
        </w:tblPrEx>
        <w:trPr>
          <w:trHeight w:val="285" w:hRule="atLeast"/>
        </w:trPr>
        <w:tc>
          <w:tcPr>
            <w:tcW w:w="4462"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r>
              <w:rPr>
                <w:rFonts w:ascii="宋体" w:hAnsi="宋体" w:eastAsia="宋体" w:cs="宋体"/>
                <w:b/>
                <w:color w:val="000000"/>
                <w:kern w:val="2"/>
                <w:sz w:val="21"/>
                <w:szCs w:val="21"/>
              </w:rPr>
              <w:t>0994-</w:t>
            </w:r>
            <w:r>
              <w:rPr>
                <w:rFonts w:hint="eastAsia" w:ascii="宋体" w:hAnsi="宋体" w:eastAsia="宋体" w:cs="宋体"/>
                <w:b/>
                <w:color w:val="000000"/>
                <w:kern w:val="2"/>
                <w:sz w:val="21"/>
                <w:szCs w:val="21"/>
              </w:rPr>
              <w:t>3361075</w:t>
            </w:r>
          </w:p>
        </w:tc>
        <w:tc>
          <w:tcPr>
            <w:tcW w:w="5177"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305" w:hRule="atLeast"/>
        </w:trPr>
        <w:tc>
          <w:tcPr>
            <w:tcW w:w="4462"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开户银行：</w:t>
            </w:r>
            <w:r>
              <w:rPr>
                <w:rFonts w:hint="eastAsia" w:ascii="宋体" w:hAnsi="宋体" w:eastAsia="宋体" w:cs="宋体"/>
                <w:b/>
                <w:bCs/>
                <w:color w:val="000000"/>
                <w:sz w:val="21"/>
                <w:szCs w:val="21"/>
              </w:rPr>
              <w:t>中国农业银行额敏县支行营业部</w:t>
            </w:r>
            <w:r>
              <w:rPr>
                <w:rFonts w:ascii="宋体" w:hAnsi="宋体" w:eastAsia="宋体" w:cs="宋体"/>
                <w:b/>
                <w:bCs/>
                <w:color w:val="000000"/>
                <w:kern w:val="2"/>
                <w:sz w:val="21"/>
                <w:szCs w:val="21"/>
              </w:rPr>
              <w:t xml:space="preserve"> </w:t>
            </w:r>
          </w:p>
        </w:tc>
        <w:tc>
          <w:tcPr>
            <w:tcW w:w="5177"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 户银 行</w:t>
            </w:r>
            <w:r>
              <w:rPr>
                <w:rFonts w:hint="eastAsia" w:ascii="黑体" w:hAnsi="Times New Roman" w:eastAsia="黑体" w:cs="黑体"/>
                <w:sz w:val="20"/>
                <w:szCs w:val="20"/>
              </w:rPr>
              <w:t>：</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4462"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hint="eastAsia" w:ascii="宋体" w:hAnsi="宋体" w:eastAsia="宋体" w:cs="宋体"/>
                <w:b/>
                <w:bCs/>
                <w:color w:val="000000"/>
                <w:sz w:val="21"/>
                <w:szCs w:val="21"/>
              </w:rPr>
              <w:t>30204001040005532</w:t>
            </w:r>
          </w:p>
        </w:tc>
        <w:tc>
          <w:tcPr>
            <w:tcW w:w="5177"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4462"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kern w:val="2"/>
                <w:sz w:val="21"/>
                <w:szCs w:val="21"/>
              </w:rPr>
              <w:t>纳税人识别号：</w:t>
            </w:r>
            <w:r>
              <w:rPr>
                <w:rFonts w:hint="eastAsia" w:ascii="宋体" w:hAnsi="宋体" w:eastAsia="宋体" w:cs="宋体"/>
                <w:b/>
                <w:bCs/>
                <w:color w:val="000000"/>
                <w:kern w:val="2"/>
                <w:sz w:val="21"/>
                <w:szCs w:val="21"/>
              </w:rPr>
              <w:t>91654221MA77EMHC97</w:t>
            </w:r>
          </w:p>
        </w:tc>
        <w:tc>
          <w:tcPr>
            <w:tcW w:w="5177"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kern w:val="2"/>
                <w:sz w:val="21"/>
                <w:szCs w:val="21"/>
              </w:rPr>
              <w:t>纳税人识别号</w:t>
            </w:r>
            <w:r>
              <w:rPr>
                <w:rFonts w:hint="eastAsia" w:ascii="宋体" w:hAnsi="宋体" w:eastAsia="宋体" w:cs="宋体"/>
                <w:color w:val="000000"/>
                <w:sz w:val="21"/>
                <w:szCs w:val="21"/>
              </w:rPr>
              <w:t>：</w:t>
            </w:r>
            <w:r>
              <w:rPr>
                <w:rFonts w:ascii="宋体" w:hAnsi="宋体" w:eastAsia="宋体" w:cs="宋体"/>
                <w:b/>
                <w:color w:val="000000"/>
                <w:kern w:val="2"/>
                <w:sz w:val="21"/>
                <w:szCs w:val="21"/>
              </w:rPr>
              <w:t xml:space="preserve"> </w:t>
            </w:r>
          </w:p>
        </w:tc>
      </w:tr>
    </w:tbl>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keepNext w:val="0"/>
        <w:keepLines w:val="0"/>
        <w:pageBreakBefore w:val="0"/>
        <w:widowControl w:val="0"/>
        <w:kinsoku/>
        <w:wordWrap/>
        <w:overflowPunct/>
        <w:topLinePunct w:val="0"/>
        <w:autoSpaceDE/>
        <w:autoSpaceDN/>
        <w:bidi w:val="0"/>
        <w:adjustRightInd/>
        <w:snapToGrid/>
        <w:spacing w:line="420" w:lineRule="exact"/>
        <w:ind w:firstLine="760" w:firstLineChars="200"/>
        <w:jc w:val="center"/>
        <w:textAlignment w:val="auto"/>
        <w:rPr>
          <w:rFonts w:hint="eastAsia" w:ascii="方正小标宋_GBK" w:eastAsia="方正小标宋_GBK"/>
          <w:color w:val="000000" w:themeColor="text1"/>
          <w:sz w:val="38"/>
          <w:szCs w:val="3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firstLine="760" w:firstLineChars="200"/>
        <w:jc w:val="center"/>
        <w:textAlignment w:val="auto"/>
        <w:rPr>
          <w:rFonts w:hint="eastAsia" w:ascii="方正小标宋_GBK" w:eastAsia="方正小标宋_GBK"/>
          <w:color w:val="000000" w:themeColor="text1"/>
          <w:sz w:val="38"/>
          <w:szCs w:val="3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小标宋_GBK" w:eastAsia="方正小标宋_GBK"/>
          <w:color w:val="000000" w:themeColor="text1"/>
          <w:sz w:val="38"/>
          <w:szCs w:val="3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firstLine="760" w:firstLineChars="200"/>
        <w:jc w:val="center"/>
        <w:textAlignment w:val="auto"/>
        <w:rPr>
          <w:rFonts w:hint="eastAsia" w:ascii="方正小标宋_GBK" w:eastAsia="方正小标宋_GBK"/>
          <w:color w:val="000000" w:themeColor="text1"/>
          <w:sz w:val="38"/>
          <w:szCs w:val="3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firstLine="760" w:firstLineChars="200"/>
        <w:jc w:val="center"/>
        <w:textAlignment w:val="auto"/>
        <w:rPr>
          <w:rFonts w:ascii="方正小标宋_GBK" w:eastAsia="方正小标宋_GBK"/>
          <w:color w:val="000000" w:themeColor="text1"/>
          <w:sz w:val="38"/>
          <w:szCs w:val="38"/>
          <w14:textFill>
            <w14:solidFill>
              <w14:schemeClr w14:val="tx1"/>
            </w14:solidFill>
          </w14:textFill>
        </w:rPr>
      </w:pPr>
      <w:r>
        <w:rPr>
          <w:rFonts w:hint="eastAsia" w:ascii="方正小标宋_GBK" w:eastAsia="方正小标宋_GBK"/>
          <w:color w:val="000000" w:themeColor="text1"/>
          <w:sz w:val="38"/>
          <w:szCs w:val="38"/>
          <w14:textFill>
            <w14:solidFill>
              <w14:schemeClr w14:val="tx1"/>
            </w14:solidFill>
          </w14:textFill>
        </w:rPr>
        <w:t>廉  洁  告  知  书</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b/>
          <w:color w:val="000000" w:themeColor="text1"/>
          <w:sz w:val="32"/>
          <w:szCs w:val="24"/>
          <w14:textFill>
            <w14:solidFill>
              <w14:schemeClr w14:val="tx1"/>
            </w14:solidFill>
          </w14:textFill>
        </w:rPr>
      </w:pPr>
      <w:r>
        <w:rPr>
          <w:rFonts w:hint="eastAsia" w:ascii="仿宋_GB2312" w:eastAsia="仿宋_GB2312"/>
          <w:b/>
          <w:color w:val="000000" w:themeColor="text1"/>
          <w:sz w:val="32"/>
          <w:szCs w:val="24"/>
          <w14:textFill>
            <w14:solidFill>
              <w14:schemeClr w14:val="tx1"/>
            </w14:solidFill>
          </w14:textFill>
        </w:rPr>
        <w:t>尊敬的供应商，您好！</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中粮屯河番茄有限公司（简称中粮番茄）对领导干部和员工实施廉洁从业管理，致力于保障供应商与我公司合作的正当权益，建立良好的合作关系。</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我公司不允许领导干部和员工吃、拿、卡、要为难供应商，请您监督。</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我们竭诚的希望与供应商共同建立公平、阳光的伙伴关系，如果中粮番茄公司的领导干部、员工出现舞弊行为、存在不廉洁的行为，请通过投诉受理渠道反映。</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我公司向每位供应商（含潜在投标方）发放《廉洁告知书》，接受您的监督。</w:t>
      </w:r>
    </w:p>
    <w:p>
      <w:pPr>
        <w:tabs>
          <w:tab w:val="left" w:pos="5055"/>
        </w:tabs>
        <w:spacing w:line="400" w:lineRule="exact"/>
        <w:ind w:firstLine="560" w:firstLineChars="200"/>
        <w:contextualSpacing/>
        <w:rPr>
          <w:rFonts w:hint="eastAsia" w:ascii="仿宋" w:hAnsi="仿宋" w:eastAsia="仿宋"/>
          <w:sz w:val="28"/>
          <w:szCs w:val="28"/>
        </w:rPr>
      </w:pP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纪检信访举报联络方式</w:t>
      </w:r>
    </w:p>
    <w:p>
      <w:pPr>
        <w:tabs>
          <w:tab w:val="left" w:pos="5055"/>
        </w:tabs>
        <w:spacing w:line="400" w:lineRule="exact"/>
        <w:ind w:firstLine="560" w:firstLineChars="200"/>
        <w:contextualSpacing/>
        <w:rPr>
          <w:rFonts w:hint="eastAsia" w:ascii="仿宋" w:hAnsi="仿宋" w:eastAsia="仿宋"/>
          <w:sz w:val="28"/>
          <w:szCs w:val="28"/>
        </w:rPr>
      </w:pP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中粮糖业控股股份有限公司纪检信访举报联络方式</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1.寄信  通讯地址：北京市朝阳区朝阳门南大街8号中粮福临门大厦9层904室纪委办公室（收），邮政编码：100020</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2.致电  举报电话 010-85017235</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二、中粮屯河番茄有限公司纪检信访举报联络方式</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1.寄信  通讯地址：新疆乌鲁木齐市黄河路2号招商银行大厦20楼中粮屯河番茄有限公司党群纪检部（收），邮政编码：830000</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2.致电  举报电话 18709967070</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3.采购项目监督人联系方式</w:t>
      </w:r>
    </w:p>
    <w:p>
      <w:pPr>
        <w:tabs>
          <w:tab w:val="left" w:pos="5055"/>
        </w:tabs>
        <w:spacing w:line="400" w:lineRule="exact"/>
        <w:ind w:firstLine="560" w:firstLineChars="200"/>
        <w:contextualSpacing/>
        <w:rPr>
          <w:rFonts w:hint="eastAsia" w:ascii="仿宋" w:hAnsi="仿宋" w:eastAsia="仿宋"/>
          <w:sz w:val="28"/>
          <w:szCs w:val="28"/>
          <w:lang w:val="en-US" w:eastAsia="zh-CN"/>
        </w:rPr>
      </w:pPr>
      <w:r>
        <w:rPr>
          <w:rFonts w:hint="eastAsia" w:ascii="仿宋" w:hAnsi="仿宋" w:eastAsia="仿宋"/>
          <w:sz w:val="28"/>
          <w:szCs w:val="28"/>
        </w:rPr>
        <w:t xml:space="preserve">  姓名：</w:t>
      </w:r>
      <w:r>
        <w:rPr>
          <w:rFonts w:hint="eastAsia" w:ascii="仿宋" w:hAnsi="仿宋" w:eastAsia="仿宋"/>
          <w:sz w:val="28"/>
          <w:szCs w:val="28"/>
          <w:lang w:val="en-US" w:eastAsia="zh-CN"/>
        </w:rPr>
        <w:t>丁荣</w:t>
      </w:r>
    </w:p>
    <w:p>
      <w:pPr>
        <w:tabs>
          <w:tab w:val="left" w:pos="5055"/>
        </w:tabs>
        <w:spacing w:line="400" w:lineRule="exact"/>
        <w:ind w:firstLine="560" w:firstLineChars="200"/>
        <w:contextualSpacing/>
        <w:rPr>
          <w:rFonts w:hint="default" w:ascii="仿宋" w:hAnsi="仿宋" w:eastAsia="仿宋"/>
          <w:sz w:val="28"/>
          <w:szCs w:val="28"/>
          <w:lang w:val="en-US" w:eastAsia="zh-CN"/>
        </w:rPr>
      </w:pPr>
      <w:r>
        <w:rPr>
          <w:rFonts w:hint="eastAsia" w:ascii="仿宋" w:hAnsi="仿宋" w:eastAsia="仿宋"/>
          <w:sz w:val="28"/>
          <w:szCs w:val="28"/>
        </w:rPr>
        <w:t xml:space="preserve">  联系电话：</w:t>
      </w:r>
      <w:r>
        <w:rPr>
          <w:rFonts w:hint="eastAsia" w:ascii="仿宋" w:hAnsi="仿宋" w:eastAsia="仿宋"/>
          <w:sz w:val="28"/>
          <w:szCs w:val="28"/>
          <w:lang w:val="en-US" w:eastAsia="zh-CN"/>
        </w:rPr>
        <w:t>13899398565</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 xml:space="preserve">  电子邮箱：</w:t>
      </w:r>
      <w:r>
        <w:rPr>
          <w:rFonts w:hint="eastAsia" w:ascii="仿宋" w:hAnsi="仿宋" w:eastAsia="仿宋"/>
          <w:sz w:val="28"/>
          <w:szCs w:val="28"/>
          <w:lang w:val="en-US" w:eastAsia="zh-CN"/>
        </w:rPr>
        <w:fldChar w:fldCharType="begin"/>
      </w:r>
      <w:r>
        <w:rPr>
          <w:rFonts w:hint="eastAsia" w:ascii="仿宋" w:hAnsi="仿宋" w:eastAsia="仿宋"/>
          <w:sz w:val="28"/>
          <w:szCs w:val="28"/>
          <w:lang w:val="en-US" w:eastAsia="zh-CN"/>
        </w:rPr>
        <w:instrText xml:space="preserve"> HYPERLINK "mailto:dingrong.th@cofco.com" </w:instrText>
      </w:r>
      <w:r>
        <w:rPr>
          <w:rFonts w:hint="eastAsia" w:ascii="仿宋" w:hAnsi="仿宋" w:eastAsia="仿宋"/>
          <w:sz w:val="28"/>
          <w:szCs w:val="28"/>
          <w:lang w:val="en-US" w:eastAsia="zh-CN"/>
        </w:rPr>
        <w:fldChar w:fldCharType="separate"/>
      </w:r>
      <w:r>
        <w:rPr>
          <w:rStyle w:val="8"/>
          <w:rFonts w:hint="eastAsia" w:ascii="仿宋" w:hAnsi="仿宋" w:eastAsia="仿宋"/>
          <w:sz w:val="28"/>
          <w:szCs w:val="28"/>
          <w:lang w:val="en-US" w:eastAsia="zh-CN"/>
        </w:rPr>
        <w:t>dingrong.th</w:t>
      </w:r>
      <w:r>
        <w:rPr>
          <w:rStyle w:val="8"/>
          <w:rFonts w:hint="eastAsia" w:ascii="仿宋" w:hAnsi="仿宋" w:eastAsia="仿宋"/>
          <w:sz w:val="28"/>
          <w:szCs w:val="28"/>
        </w:rPr>
        <w:t>@cofco.com</w:t>
      </w:r>
      <w:r>
        <w:rPr>
          <w:rFonts w:hint="eastAsia" w:ascii="仿宋" w:hAnsi="仿宋" w:eastAsia="仿宋"/>
          <w:sz w:val="28"/>
          <w:szCs w:val="28"/>
          <w:lang w:val="en-US" w:eastAsia="zh-CN"/>
        </w:rPr>
        <w:fldChar w:fldCharType="end"/>
      </w:r>
    </w:p>
    <w:p>
      <w:pPr>
        <w:tabs>
          <w:tab w:val="left" w:pos="5055"/>
        </w:tabs>
        <w:spacing w:line="400" w:lineRule="exact"/>
        <w:ind w:firstLine="840" w:firstLineChars="300"/>
        <w:contextualSpacing/>
        <w:rPr>
          <w:rFonts w:hint="eastAsia" w:ascii="仿宋" w:hAnsi="仿宋" w:eastAsia="仿宋"/>
          <w:sz w:val="28"/>
          <w:szCs w:val="28"/>
        </w:rPr>
      </w:pPr>
      <w:r>
        <w:rPr>
          <w:rFonts w:hint="eastAsia" w:ascii="仿宋" w:hAnsi="仿宋" w:eastAsia="仿宋"/>
          <w:sz w:val="28"/>
          <w:szCs w:val="28"/>
        </w:rPr>
        <w:t>特此告知。</w:t>
      </w:r>
    </w:p>
    <w:p>
      <w:pPr>
        <w:tabs>
          <w:tab w:val="left" w:pos="5055"/>
        </w:tabs>
        <w:spacing w:line="400" w:lineRule="exact"/>
        <w:ind w:firstLine="5040" w:firstLineChars="1800"/>
        <w:contextualSpacing/>
        <w:rPr>
          <w:rFonts w:hint="eastAsia" w:ascii="仿宋" w:hAnsi="仿宋" w:eastAsia="仿宋"/>
          <w:sz w:val="28"/>
          <w:szCs w:val="28"/>
        </w:rPr>
      </w:pPr>
      <w:r>
        <w:rPr>
          <w:rFonts w:hint="eastAsia" w:ascii="仿宋" w:hAnsi="仿宋" w:eastAsia="仿宋"/>
          <w:sz w:val="28"/>
          <w:szCs w:val="28"/>
        </w:rPr>
        <w:t>中粮屯河</w:t>
      </w:r>
      <w:r>
        <w:rPr>
          <w:rFonts w:hint="eastAsia" w:ascii="仿宋" w:hAnsi="仿宋" w:eastAsia="仿宋"/>
          <w:sz w:val="28"/>
          <w:szCs w:val="28"/>
          <w:lang w:eastAsia="zh-CN"/>
        </w:rPr>
        <w:t>额敏</w:t>
      </w:r>
      <w:r>
        <w:rPr>
          <w:rFonts w:hint="eastAsia" w:ascii="仿宋" w:hAnsi="仿宋" w:eastAsia="仿宋"/>
          <w:sz w:val="28"/>
          <w:szCs w:val="28"/>
        </w:rPr>
        <w:t>番茄</w:t>
      </w:r>
      <w:r>
        <w:rPr>
          <w:rFonts w:hint="eastAsia" w:ascii="仿宋" w:hAnsi="仿宋" w:eastAsia="仿宋"/>
          <w:sz w:val="28"/>
          <w:szCs w:val="28"/>
          <w:lang w:eastAsia="zh-CN"/>
        </w:rPr>
        <w:t>制品</w:t>
      </w:r>
      <w:r>
        <w:rPr>
          <w:rFonts w:hint="eastAsia" w:ascii="仿宋" w:hAnsi="仿宋" w:eastAsia="仿宋"/>
          <w:sz w:val="28"/>
          <w:szCs w:val="28"/>
        </w:rPr>
        <w:t>有限公司</w:t>
      </w:r>
    </w:p>
    <w:p>
      <w:pPr>
        <w:tabs>
          <w:tab w:val="left" w:pos="5055"/>
        </w:tabs>
        <w:spacing w:line="400" w:lineRule="exact"/>
        <w:ind w:firstLine="6720" w:firstLineChars="2400"/>
        <w:contextualSpacing/>
        <w:rPr>
          <w:rFonts w:hint="eastAsia"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年1月</w:t>
      </w:r>
    </w:p>
    <w:p>
      <w:pPr>
        <w:tabs>
          <w:tab w:val="left" w:pos="5055"/>
        </w:tabs>
        <w:spacing w:line="400" w:lineRule="exact"/>
        <w:ind w:firstLine="560" w:firstLineChars="200"/>
        <w:contextualSpacing/>
        <w:rPr>
          <w:rFonts w:hint="eastAsia" w:ascii="仿宋" w:hAnsi="仿宋" w:eastAsia="仿宋"/>
          <w:sz w:val="28"/>
          <w:szCs w:val="28"/>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both"/>
        <w:rPr>
          <w:rFonts w:hint="eastAsia" w:ascii="楷体_GB2312" w:hAnsi="Times New Roman" w:eastAsia="楷体_GB2312" w:cs="Times New Roman"/>
          <w:b/>
          <w:kern w:val="2"/>
          <w:sz w:val="36"/>
          <w:szCs w:val="36"/>
        </w:rPr>
      </w:pPr>
    </w:p>
    <w:p>
      <w:pPr>
        <w:widowControl w:val="0"/>
        <w:adjustRightInd/>
        <w:snapToGrid/>
        <w:spacing w:after="0"/>
        <w:jc w:val="both"/>
        <w:rPr>
          <w:rFonts w:hint="eastAsia" w:ascii="楷体_GB2312" w:hAnsi="Times New Roman" w:eastAsia="楷体_GB2312" w:cs="Times New Roman"/>
          <w:b/>
          <w:kern w:val="2"/>
          <w:sz w:val="36"/>
          <w:szCs w:val="36"/>
        </w:rPr>
      </w:pP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代表委托人参加XX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X</w:t>
      </w:r>
      <w:r>
        <w:rPr>
          <w:rFonts w:ascii="楷体_GB2312" w:hAnsi="Times New Roman" w:eastAsia="楷体_GB2312" w:cs="Times New Roman"/>
          <w:b/>
          <w:kern w:val="2"/>
          <w:sz w:val="24"/>
          <w:szCs w:val="24"/>
        </w:rPr>
        <w:t>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jc w:val="center"/>
        <w:rPr>
          <w:rFonts w:ascii="黑体" w:hAnsi="黑体" w:eastAsia="黑体"/>
          <w:b/>
          <w:sz w:val="36"/>
          <w:szCs w:val="32"/>
        </w:rPr>
      </w:pPr>
      <w:r>
        <w:rPr>
          <w:rFonts w:ascii="黑体" w:hAnsi="黑体" w:eastAsia="黑体"/>
          <w:b/>
          <w:sz w:val="36"/>
          <w:szCs w:val="32"/>
        </w:rPr>
        <w:t>质量承诺书</w:t>
      </w:r>
    </w:p>
    <w:p>
      <w:pPr>
        <w:rPr>
          <w:rFonts w:ascii="仿宋" w:hAnsi="仿宋" w:eastAsia="仿宋"/>
          <w:sz w:val="32"/>
          <w:szCs w:val="32"/>
        </w:rPr>
      </w:pPr>
    </w:p>
    <w:p>
      <w:pPr>
        <w:tabs>
          <w:tab w:val="left" w:pos="5055"/>
        </w:tabs>
        <w:spacing w:line="500" w:lineRule="exact"/>
        <w:rPr>
          <w:rFonts w:ascii="仿宋" w:hAnsi="仿宋" w:eastAsia="仿宋"/>
          <w:sz w:val="28"/>
          <w:szCs w:val="28"/>
        </w:rPr>
      </w:pPr>
      <w:r>
        <w:rPr>
          <w:rFonts w:hint="eastAsia" w:ascii="仿宋" w:hAnsi="仿宋" w:eastAsia="仿宋"/>
          <w:b/>
          <w:color w:val="000000"/>
          <w:sz w:val="28"/>
          <w:szCs w:val="28"/>
          <w:u w:val="single"/>
        </w:rPr>
        <w:t>中粮</w:t>
      </w:r>
      <w:r>
        <w:rPr>
          <w:rFonts w:ascii="仿宋" w:hAnsi="仿宋" w:eastAsia="仿宋"/>
          <w:b/>
          <w:color w:val="000000"/>
          <w:sz w:val="28"/>
          <w:szCs w:val="28"/>
          <w:u w:val="single"/>
        </w:rPr>
        <w:t>糖业及下属各</w:t>
      </w:r>
      <w:r>
        <w:rPr>
          <w:rFonts w:hint="eastAsia" w:ascii="仿宋" w:hAnsi="仿宋" w:eastAsia="仿宋"/>
          <w:sz w:val="28"/>
          <w:szCs w:val="28"/>
          <w:u w:val="single"/>
        </w:rPr>
        <w:t>公司</w:t>
      </w:r>
      <w:r>
        <w:rPr>
          <w:rFonts w:hint="eastAsia" w:ascii="仿宋" w:hAnsi="仿宋" w:eastAsia="仿宋"/>
          <w:sz w:val="28"/>
          <w:szCs w:val="28"/>
        </w:rPr>
        <w:t>：</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为积极配合贵公司进行的招标工作，保证产品质量，我们特向贵公司承诺如下事项：</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 我公司承诺所供之商品质量，数量均不出现假冒、短少现象，并随时按贵公司要求提供各种质量检测报告，如发生与之相关的客户投诉赔偿，待材料质量查明之后一概由本供应商负责。</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2. 严格按照合同、订单要求供货、补货，商品价格上调需提前上交调价单，商品下调或做特价时与贵公司</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3. 我公司严格执行供应商应尽义务，做到送货及时，货物质量优质，货物装箱整齐方便运输。</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4.我公司承诺保证为贵公司所供之货，货源充足，不发生断货拒供现象。</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5.我公司认可贵公司的货物验收制度和仓库保存条件，并在对供应货物进行验收时，自愿严格遵守贵公司的货物验收制度。</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6.我公司对未通过验收的货物，保证在贵公司规定时间内补充合格的货物，否则自愿承担由此造成的所有损失。</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400" w:lineRule="exact"/>
        <w:ind w:firstLine="560" w:firstLineChars="200"/>
        <w:contextualSpacing/>
        <w:rPr>
          <w:rFonts w:hint="eastAsia" w:ascii="仿宋" w:hAnsi="仿宋" w:eastAsia="仿宋"/>
          <w:sz w:val="28"/>
          <w:szCs w:val="28"/>
        </w:rPr>
      </w:pPr>
    </w:p>
    <w:p>
      <w:pPr>
        <w:tabs>
          <w:tab w:val="left" w:pos="5055"/>
        </w:tabs>
        <w:spacing w:line="400" w:lineRule="exact"/>
        <w:ind w:firstLine="560" w:firstLineChars="200"/>
        <w:contextualSpacing/>
        <w:rPr>
          <w:rFonts w:hint="eastAsia" w:ascii="仿宋" w:hAnsi="仿宋" w:eastAsia="仿宋"/>
          <w:sz w:val="28"/>
          <w:szCs w:val="28"/>
        </w:rPr>
      </w:pP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 xml:space="preserve">单位名称(盖章)： </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法定代表人或授权代理人（签</w:t>
      </w:r>
      <w:r>
        <w:rPr>
          <w:rFonts w:hint="eastAsia" w:ascii="仿宋" w:hAnsi="仿宋" w:eastAsia="仿宋"/>
          <w:sz w:val="28"/>
          <w:szCs w:val="28"/>
          <w:lang w:val="en-US" w:eastAsia="zh-CN"/>
        </w:rPr>
        <w:t>字或盖</w:t>
      </w:r>
      <w:r>
        <w:rPr>
          <w:rFonts w:hint="eastAsia" w:ascii="仿宋" w:hAnsi="仿宋" w:eastAsia="仿宋"/>
          <w:sz w:val="28"/>
          <w:szCs w:val="28"/>
        </w:rPr>
        <w:t xml:space="preserve">章）：                  </w:t>
      </w:r>
    </w:p>
    <w:p>
      <w:pPr>
        <w:tabs>
          <w:tab w:val="left" w:pos="5055"/>
        </w:tabs>
        <w:spacing w:line="400" w:lineRule="exact"/>
        <w:jc w:val="center"/>
        <w:rPr>
          <w:rFonts w:ascii="黑体" w:hAnsi="黑体" w:eastAsia="黑体" w:cs="Times New Roman"/>
          <w:b/>
          <w:kern w:val="2"/>
          <w:sz w:val="28"/>
          <w:szCs w:val="28"/>
        </w:rPr>
      </w:pPr>
    </w:p>
    <w:p>
      <w:pPr>
        <w:tabs>
          <w:tab w:val="left" w:pos="5055"/>
        </w:tabs>
        <w:spacing w:line="400" w:lineRule="exact"/>
        <w:contextualSpacing/>
        <w:jc w:val="center"/>
        <w:rPr>
          <w:rFonts w:hint="eastAsia" w:ascii="方正小标宋_GBK" w:hAnsi="黑体" w:eastAsia="方正小标宋_GBK"/>
          <w:b/>
          <w:sz w:val="28"/>
          <w:szCs w:val="28"/>
        </w:rPr>
      </w:pPr>
    </w:p>
    <w:p>
      <w:pPr>
        <w:tabs>
          <w:tab w:val="left" w:pos="5055"/>
        </w:tabs>
        <w:spacing w:line="400" w:lineRule="exact"/>
        <w:contextualSpacing/>
        <w:jc w:val="center"/>
        <w:rPr>
          <w:rFonts w:hint="eastAsia" w:ascii="方正小标宋_GBK" w:hAnsi="黑体" w:eastAsia="方正小标宋_GBK"/>
          <w:b/>
          <w:sz w:val="28"/>
          <w:szCs w:val="28"/>
        </w:rPr>
      </w:pPr>
    </w:p>
    <w:p>
      <w:pPr>
        <w:tabs>
          <w:tab w:val="left" w:pos="5055"/>
        </w:tabs>
        <w:spacing w:line="400" w:lineRule="exact"/>
        <w:contextualSpacing/>
        <w:jc w:val="center"/>
        <w:rPr>
          <w:rFonts w:hint="eastAsia" w:ascii="方正小标宋_GBK" w:hAnsi="黑体" w:eastAsia="方正小标宋_GBK"/>
          <w:b/>
          <w:sz w:val="28"/>
          <w:szCs w:val="28"/>
        </w:rPr>
      </w:pPr>
    </w:p>
    <w:p>
      <w:pPr>
        <w:tabs>
          <w:tab w:val="left" w:pos="5055"/>
        </w:tabs>
        <w:spacing w:line="400" w:lineRule="exact"/>
        <w:contextualSpacing/>
        <w:jc w:val="center"/>
        <w:rPr>
          <w:rFonts w:hint="eastAsia" w:ascii="方正小标宋_GBK" w:hAnsi="黑体" w:eastAsia="方正小标宋_GBK"/>
          <w:b/>
          <w:sz w:val="28"/>
          <w:szCs w:val="28"/>
        </w:rPr>
      </w:pPr>
    </w:p>
    <w:p>
      <w:pPr>
        <w:tabs>
          <w:tab w:val="left" w:pos="5055"/>
        </w:tabs>
        <w:spacing w:line="400" w:lineRule="exact"/>
        <w:contextualSpacing/>
        <w:jc w:val="both"/>
        <w:rPr>
          <w:rFonts w:hint="eastAsia" w:ascii="方正小标宋_GBK" w:hAnsi="黑体" w:eastAsia="方正小标宋_GBK"/>
          <w:b/>
          <w:sz w:val="28"/>
          <w:szCs w:val="28"/>
        </w:rPr>
      </w:pPr>
    </w:p>
    <w:p>
      <w:pPr>
        <w:tabs>
          <w:tab w:val="left" w:pos="5055"/>
        </w:tabs>
        <w:spacing w:line="400" w:lineRule="exact"/>
        <w:contextualSpacing/>
        <w:jc w:val="center"/>
        <w:rPr>
          <w:rFonts w:hint="eastAsia" w:ascii="方正小标宋_GBK" w:hAnsi="黑体" w:eastAsia="方正小标宋_GBK"/>
          <w:b/>
          <w:sz w:val="28"/>
          <w:szCs w:val="28"/>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hint="eastAsia" w:ascii="黑体" w:hAnsi="黑体" w:eastAsia="黑体" w:cs="宋体"/>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ascii="黑体" w:hAnsi="黑体" w:eastAsia="黑体" w:cs="宋体"/>
          <w:kern w:val="0"/>
          <w:sz w:val="36"/>
          <w:szCs w:val="32"/>
        </w:rPr>
      </w:pPr>
      <w:r>
        <w:rPr>
          <w:rFonts w:hint="eastAsia" w:ascii="黑体" w:hAnsi="黑体" w:eastAsia="黑体" w:cs="宋体"/>
          <w:kern w:val="0"/>
          <w:sz w:val="36"/>
          <w:szCs w:val="32"/>
        </w:rPr>
        <w:t>中粮糖业廉洁承诺书</w:t>
      </w: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ascii="黑体" w:hAnsi="黑体" w:eastAsia="黑体" w:cs="宋体"/>
          <w:kern w:val="0"/>
          <w:sz w:val="36"/>
          <w:szCs w:val="32"/>
        </w:rPr>
      </w:pP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中粮糖业及下属分子公司：</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为积极配合贵公司进行的项目采购与招投标工作，有效遏制不公平竞争和违规违纪问题的发生，确保采购与招投标工作的公平、公正、公开，我们特向贵公司承诺如下事项：</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1.自觉遵守国家法律法规及中粮糖业有关廉政建设制度。</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2.不使用不正当手段妨碍、排挤其它投标单位或串通投标。</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3.按照采购文件规定的方式进行投标，不隐瞒本单位投标资质的真实情况，投标资质符合规定；保证不会以其他人名义投标或者以其他方式弄虚作假，骗取中标。</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4.不将主体、关键性工作进行分包（包括贴牌生产、转包等）。</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6.不向贵公司涉及采购与招投标的部门及个人支付好处费、介绍费；购置或提供通讯工具、交通工具、电脑等。</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8.一旦发现相关人员在招标过程中有索要财物等不廉洁行为，坚决予以抵制，并及时向贵公司纪委办公室举报。</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9.我方自愿将本承诺书作为投标文件及合同的附件，具有同等的法律效力。</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10.若违反上述承诺或违反有关法律法规及贵公司有关规定，我方自愿永久放弃参与贵公司的所有业务往来，并承担贵公司制度规定的一切法律责任。</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11.本承诺书自签署之日起生效。</w:t>
      </w:r>
    </w:p>
    <w:p>
      <w:pPr>
        <w:tabs>
          <w:tab w:val="left" w:pos="5055"/>
        </w:tabs>
        <w:spacing w:line="400" w:lineRule="exact"/>
        <w:ind w:firstLine="560" w:firstLineChars="200"/>
        <w:contextualSpacing/>
        <w:rPr>
          <w:rFonts w:hint="eastAsia" w:ascii="仿宋" w:hAnsi="仿宋" w:eastAsia="仿宋"/>
          <w:sz w:val="28"/>
          <w:szCs w:val="28"/>
        </w:rPr>
      </w:pPr>
    </w:p>
    <w:p>
      <w:pPr>
        <w:tabs>
          <w:tab w:val="left" w:pos="5055"/>
        </w:tabs>
        <w:spacing w:line="400" w:lineRule="exact"/>
        <w:ind w:firstLine="560" w:firstLineChars="200"/>
        <w:contextualSpacing/>
        <w:rPr>
          <w:rFonts w:hint="eastAsia" w:ascii="仿宋" w:hAnsi="仿宋" w:eastAsia="仿宋"/>
          <w:sz w:val="28"/>
          <w:szCs w:val="28"/>
        </w:rPr>
      </w:pP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投标单位（公章）：</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日期： 年 月 日</w:t>
      </w:r>
    </w:p>
    <w:sectPr>
      <w:headerReference r:id="rId4" w:type="default"/>
      <w:pgSz w:w="11906" w:h="16838"/>
      <w:pgMar w:top="1440" w:right="1077" w:bottom="1440" w:left="1077"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4E8C9"/>
    <w:multiLevelType w:val="singleLevel"/>
    <w:tmpl w:val="8B24E8C9"/>
    <w:lvl w:ilvl="0" w:tentative="0">
      <w:start w:val="1"/>
      <w:numFmt w:val="decimal"/>
      <w:suff w:val="nothing"/>
      <w:lvlText w:val="%1、"/>
      <w:lvlJc w:val="left"/>
    </w:lvl>
  </w:abstractNum>
  <w:abstractNum w:abstractNumId="1">
    <w:nsid w:val="D57296C0"/>
    <w:multiLevelType w:val="singleLevel"/>
    <w:tmpl w:val="D57296C0"/>
    <w:lvl w:ilvl="0" w:tentative="0">
      <w:start w:val="1"/>
      <w:numFmt w:val="decimal"/>
      <w:suff w:val="nothing"/>
      <w:lvlText w:val="%1、"/>
      <w:lvlJc w:val="left"/>
    </w:lvl>
  </w:abstractNum>
  <w:abstractNum w:abstractNumId="2">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Y2NjYTc1YTNlOTUyODkxZDNhNzg4Yjg5NjI1YWYifQ=="/>
  </w:docVars>
  <w:rsids>
    <w:rsidRoot w:val="00172A27"/>
    <w:rsid w:val="00022C21"/>
    <w:rsid w:val="000745F8"/>
    <w:rsid w:val="0008531F"/>
    <w:rsid w:val="000D5A62"/>
    <w:rsid w:val="000E78B5"/>
    <w:rsid w:val="000F438A"/>
    <w:rsid w:val="000F74A3"/>
    <w:rsid w:val="00167869"/>
    <w:rsid w:val="00172A27"/>
    <w:rsid w:val="001758FA"/>
    <w:rsid w:val="00181EF5"/>
    <w:rsid w:val="001D20D3"/>
    <w:rsid w:val="00247819"/>
    <w:rsid w:val="0025725E"/>
    <w:rsid w:val="00276C48"/>
    <w:rsid w:val="002973FF"/>
    <w:rsid w:val="002976B8"/>
    <w:rsid w:val="002A1ED7"/>
    <w:rsid w:val="002B5A66"/>
    <w:rsid w:val="002B5B9D"/>
    <w:rsid w:val="00303B5D"/>
    <w:rsid w:val="00323B43"/>
    <w:rsid w:val="0035229A"/>
    <w:rsid w:val="00355257"/>
    <w:rsid w:val="0037214A"/>
    <w:rsid w:val="003969E5"/>
    <w:rsid w:val="003C3D38"/>
    <w:rsid w:val="003C6D51"/>
    <w:rsid w:val="003D37D8"/>
    <w:rsid w:val="003D6F63"/>
    <w:rsid w:val="00426133"/>
    <w:rsid w:val="004358AB"/>
    <w:rsid w:val="004363A0"/>
    <w:rsid w:val="00491343"/>
    <w:rsid w:val="004B57D8"/>
    <w:rsid w:val="004E7C7E"/>
    <w:rsid w:val="004F2514"/>
    <w:rsid w:val="005305BD"/>
    <w:rsid w:val="00537D25"/>
    <w:rsid w:val="00545064"/>
    <w:rsid w:val="005674DF"/>
    <w:rsid w:val="005A3865"/>
    <w:rsid w:val="005A6CE7"/>
    <w:rsid w:val="005B487D"/>
    <w:rsid w:val="005F09CE"/>
    <w:rsid w:val="005F222A"/>
    <w:rsid w:val="00630271"/>
    <w:rsid w:val="0063140D"/>
    <w:rsid w:val="006547B1"/>
    <w:rsid w:val="006729F5"/>
    <w:rsid w:val="00674BA4"/>
    <w:rsid w:val="0068282B"/>
    <w:rsid w:val="00686968"/>
    <w:rsid w:val="006A067E"/>
    <w:rsid w:val="006A0B2E"/>
    <w:rsid w:val="006B383B"/>
    <w:rsid w:val="006D3C41"/>
    <w:rsid w:val="0070157B"/>
    <w:rsid w:val="00723791"/>
    <w:rsid w:val="007259DD"/>
    <w:rsid w:val="00793439"/>
    <w:rsid w:val="007B214D"/>
    <w:rsid w:val="007D48EB"/>
    <w:rsid w:val="007E5064"/>
    <w:rsid w:val="007E6A9E"/>
    <w:rsid w:val="00832E66"/>
    <w:rsid w:val="00833387"/>
    <w:rsid w:val="008421EA"/>
    <w:rsid w:val="00872986"/>
    <w:rsid w:val="00893123"/>
    <w:rsid w:val="008A3A9B"/>
    <w:rsid w:val="008A478F"/>
    <w:rsid w:val="008B7726"/>
    <w:rsid w:val="008D520E"/>
    <w:rsid w:val="008D7C6C"/>
    <w:rsid w:val="00913FEC"/>
    <w:rsid w:val="00921B7F"/>
    <w:rsid w:val="00937251"/>
    <w:rsid w:val="00954FE6"/>
    <w:rsid w:val="00981CC9"/>
    <w:rsid w:val="009F463D"/>
    <w:rsid w:val="009F644F"/>
    <w:rsid w:val="00A05A09"/>
    <w:rsid w:val="00A40235"/>
    <w:rsid w:val="00A657E2"/>
    <w:rsid w:val="00A706D3"/>
    <w:rsid w:val="00A92EBB"/>
    <w:rsid w:val="00A95F2F"/>
    <w:rsid w:val="00AB14F3"/>
    <w:rsid w:val="00AB3A4C"/>
    <w:rsid w:val="00AC4DF2"/>
    <w:rsid w:val="00AE57FE"/>
    <w:rsid w:val="00AE6AA4"/>
    <w:rsid w:val="00AE7419"/>
    <w:rsid w:val="00B20CE0"/>
    <w:rsid w:val="00B2162E"/>
    <w:rsid w:val="00B74E8E"/>
    <w:rsid w:val="00B77E5A"/>
    <w:rsid w:val="00B9078D"/>
    <w:rsid w:val="00C00FA0"/>
    <w:rsid w:val="00C27D25"/>
    <w:rsid w:val="00C31C1A"/>
    <w:rsid w:val="00C33F9C"/>
    <w:rsid w:val="00C73757"/>
    <w:rsid w:val="00CB6537"/>
    <w:rsid w:val="00CD09F5"/>
    <w:rsid w:val="00CE0364"/>
    <w:rsid w:val="00CF14D0"/>
    <w:rsid w:val="00CF5E9B"/>
    <w:rsid w:val="00D037AC"/>
    <w:rsid w:val="00D31D50"/>
    <w:rsid w:val="00D32B04"/>
    <w:rsid w:val="00D44971"/>
    <w:rsid w:val="00D84D04"/>
    <w:rsid w:val="00DA0D54"/>
    <w:rsid w:val="00DB58E4"/>
    <w:rsid w:val="00DC6FCC"/>
    <w:rsid w:val="00E4572C"/>
    <w:rsid w:val="00E76A31"/>
    <w:rsid w:val="00E8632F"/>
    <w:rsid w:val="00E91C21"/>
    <w:rsid w:val="00E938C1"/>
    <w:rsid w:val="00EE47A9"/>
    <w:rsid w:val="00F46369"/>
    <w:rsid w:val="00F51E51"/>
    <w:rsid w:val="00F60FCE"/>
    <w:rsid w:val="00F631ED"/>
    <w:rsid w:val="00F67A0E"/>
    <w:rsid w:val="00F71024"/>
    <w:rsid w:val="00F75643"/>
    <w:rsid w:val="00FB4332"/>
    <w:rsid w:val="00FB4B19"/>
    <w:rsid w:val="00FD42E2"/>
    <w:rsid w:val="00FF51CC"/>
    <w:rsid w:val="023B66C2"/>
    <w:rsid w:val="03035E0E"/>
    <w:rsid w:val="049E2297"/>
    <w:rsid w:val="052A4B66"/>
    <w:rsid w:val="06F73ADE"/>
    <w:rsid w:val="09E24842"/>
    <w:rsid w:val="0AE024B6"/>
    <w:rsid w:val="0B02681E"/>
    <w:rsid w:val="0CEC7626"/>
    <w:rsid w:val="0DA86222"/>
    <w:rsid w:val="0E18188E"/>
    <w:rsid w:val="0F5C08A7"/>
    <w:rsid w:val="0FE03952"/>
    <w:rsid w:val="101A42BE"/>
    <w:rsid w:val="10483693"/>
    <w:rsid w:val="1107010A"/>
    <w:rsid w:val="116E1E49"/>
    <w:rsid w:val="1181633F"/>
    <w:rsid w:val="124F64A1"/>
    <w:rsid w:val="136360CD"/>
    <w:rsid w:val="13FD017F"/>
    <w:rsid w:val="14AB20C4"/>
    <w:rsid w:val="15883A98"/>
    <w:rsid w:val="18C354F3"/>
    <w:rsid w:val="19C20458"/>
    <w:rsid w:val="19E46B6A"/>
    <w:rsid w:val="1AAD645B"/>
    <w:rsid w:val="1B0C779A"/>
    <w:rsid w:val="1B4346C9"/>
    <w:rsid w:val="1BB8267A"/>
    <w:rsid w:val="1DE87852"/>
    <w:rsid w:val="1F04733B"/>
    <w:rsid w:val="1FD06923"/>
    <w:rsid w:val="205B3F14"/>
    <w:rsid w:val="21BA633F"/>
    <w:rsid w:val="22523041"/>
    <w:rsid w:val="22CD0A2A"/>
    <w:rsid w:val="2346298B"/>
    <w:rsid w:val="235A6290"/>
    <w:rsid w:val="23FB60FC"/>
    <w:rsid w:val="242E02FA"/>
    <w:rsid w:val="24A94E42"/>
    <w:rsid w:val="25E42F4C"/>
    <w:rsid w:val="274E53AF"/>
    <w:rsid w:val="29AF7758"/>
    <w:rsid w:val="29F45C7F"/>
    <w:rsid w:val="2C5F36CE"/>
    <w:rsid w:val="2D002F4A"/>
    <w:rsid w:val="2D320A41"/>
    <w:rsid w:val="2FE65AEC"/>
    <w:rsid w:val="31C76F50"/>
    <w:rsid w:val="31FF3F2F"/>
    <w:rsid w:val="3300392D"/>
    <w:rsid w:val="35182D93"/>
    <w:rsid w:val="35D315FD"/>
    <w:rsid w:val="35DE3B5D"/>
    <w:rsid w:val="3627310D"/>
    <w:rsid w:val="36BE50F4"/>
    <w:rsid w:val="36BE6EA2"/>
    <w:rsid w:val="3752059A"/>
    <w:rsid w:val="37950240"/>
    <w:rsid w:val="390A0022"/>
    <w:rsid w:val="39561A93"/>
    <w:rsid w:val="39614512"/>
    <w:rsid w:val="396A7C61"/>
    <w:rsid w:val="3ABB2021"/>
    <w:rsid w:val="3B133929"/>
    <w:rsid w:val="3C941CBC"/>
    <w:rsid w:val="3E3209DD"/>
    <w:rsid w:val="3EF25404"/>
    <w:rsid w:val="40D075F0"/>
    <w:rsid w:val="40E439A9"/>
    <w:rsid w:val="42186000"/>
    <w:rsid w:val="423E3196"/>
    <w:rsid w:val="424D1B98"/>
    <w:rsid w:val="42EB7271"/>
    <w:rsid w:val="43140359"/>
    <w:rsid w:val="446161D4"/>
    <w:rsid w:val="44AC2D8E"/>
    <w:rsid w:val="451C01EC"/>
    <w:rsid w:val="45456EA2"/>
    <w:rsid w:val="456E0983"/>
    <w:rsid w:val="464A22D2"/>
    <w:rsid w:val="47BB4C87"/>
    <w:rsid w:val="48AE054C"/>
    <w:rsid w:val="495658AC"/>
    <w:rsid w:val="49A206BB"/>
    <w:rsid w:val="49B67CCD"/>
    <w:rsid w:val="4A566B50"/>
    <w:rsid w:val="4A696CF2"/>
    <w:rsid w:val="4AA82AB0"/>
    <w:rsid w:val="4BCD40B9"/>
    <w:rsid w:val="4BDC6B8C"/>
    <w:rsid w:val="4E083354"/>
    <w:rsid w:val="4E1904AD"/>
    <w:rsid w:val="4F403C3D"/>
    <w:rsid w:val="51663CE0"/>
    <w:rsid w:val="517B78C3"/>
    <w:rsid w:val="51C60F0F"/>
    <w:rsid w:val="51E732F9"/>
    <w:rsid w:val="535336B4"/>
    <w:rsid w:val="5371353C"/>
    <w:rsid w:val="53B30692"/>
    <w:rsid w:val="55C53951"/>
    <w:rsid w:val="57586EA1"/>
    <w:rsid w:val="5818420C"/>
    <w:rsid w:val="59BA0B35"/>
    <w:rsid w:val="59F60039"/>
    <w:rsid w:val="5A672C35"/>
    <w:rsid w:val="5C9D3A57"/>
    <w:rsid w:val="5CB52971"/>
    <w:rsid w:val="5D7A7717"/>
    <w:rsid w:val="5D9407D9"/>
    <w:rsid w:val="5F8E0E8E"/>
    <w:rsid w:val="61101173"/>
    <w:rsid w:val="61647D41"/>
    <w:rsid w:val="62160279"/>
    <w:rsid w:val="630E4AA8"/>
    <w:rsid w:val="63BD5CCE"/>
    <w:rsid w:val="647F0199"/>
    <w:rsid w:val="65317AF9"/>
    <w:rsid w:val="66976C44"/>
    <w:rsid w:val="68776D2D"/>
    <w:rsid w:val="68E31B95"/>
    <w:rsid w:val="6ADF6D3C"/>
    <w:rsid w:val="6B1B4207"/>
    <w:rsid w:val="6B2018FE"/>
    <w:rsid w:val="6DBB1484"/>
    <w:rsid w:val="6DFD13BB"/>
    <w:rsid w:val="6F5B588D"/>
    <w:rsid w:val="721536F8"/>
    <w:rsid w:val="725F3EF3"/>
    <w:rsid w:val="734348C2"/>
    <w:rsid w:val="73A274B8"/>
    <w:rsid w:val="73C7279A"/>
    <w:rsid w:val="74053609"/>
    <w:rsid w:val="74A76BEC"/>
    <w:rsid w:val="74E92D60"/>
    <w:rsid w:val="767E179B"/>
    <w:rsid w:val="77152316"/>
    <w:rsid w:val="77CF4538"/>
    <w:rsid w:val="78560421"/>
    <w:rsid w:val="7A903C7E"/>
    <w:rsid w:val="7ADB314B"/>
    <w:rsid w:val="7B0411AF"/>
    <w:rsid w:val="7BA94448"/>
    <w:rsid w:val="7C301A04"/>
    <w:rsid w:val="7CC53784"/>
    <w:rsid w:val="7D2F03B6"/>
    <w:rsid w:val="7E235535"/>
    <w:rsid w:val="7FCA1DB6"/>
    <w:rsid w:val="7FCD5A16"/>
    <w:rsid w:val="7FFD3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8">
    <w:name w:val="Hyperlink"/>
    <w:qFormat/>
    <w:uiPriority w:val="0"/>
    <w:rPr>
      <w:color w:val="0563C1"/>
      <w:u w:val="single"/>
    </w:rPr>
  </w:style>
  <w:style w:type="character" w:customStyle="1" w:styleId="9">
    <w:name w:val="页眉 Char"/>
    <w:basedOn w:val="7"/>
    <w:link w:val="5"/>
    <w:qFormat/>
    <w:uiPriority w:val="99"/>
    <w:rPr>
      <w:rFonts w:ascii="Tahoma" w:hAnsi="Tahoma"/>
      <w:sz w:val="18"/>
      <w:szCs w:val="18"/>
    </w:rPr>
  </w:style>
  <w:style w:type="character" w:customStyle="1" w:styleId="10">
    <w:name w:val="页脚 Char"/>
    <w:basedOn w:val="7"/>
    <w:link w:val="4"/>
    <w:qFormat/>
    <w:uiPriority w:val="99"/>
    <w:rPr>
      <w:rFonts w:ascii="Tahoma" w:hAnsi="Tahoma"/>
      <w:sz w:val="18"/>
      <w:szCs w:val="18"/>
    </w:rPr>
  </w:style>
  <w:style w:type="character" w:customStyle="1" w:styleId="11">
    <w:name w:val="批注框文本 Char"/>
    <w:basedOn w:val="7"/>
    <w:link w:val="3"/>
    <w:semiHidden/>
    <w:qFormat/>
    <w:uiPriority w:val="99"/>
    <w:rPr>
      <w:rFonts w:ascii="Tahoma" w:hAnsi="Tahoma"/>
      <w:sz w:val="18"/>
      <w:szCs w:val="18"/>
    </w:rPr>
  </w:style>
  <w:style w:type="paragraph" w:styleId="12">
    <w:name w:val="No Spacing"/>
    <w:qFormat/>
    <w:uiPriority w:val="1"/>
    <w:pPr>
      <w:adjustRightInd w:val="0"/>
      <w:snapToGrid w:val="0"/>
    </w:pPr>
    <w:rPr>
      <w:rFonts w:ascii="Tahoma" w:hAnsi="Tahoma" w:eastAsia="微软雅黑" w:cstheme="minorBidi"/>
      <w:sz w:val="22"/>
      <w:szCs w:val="22"/>
      <w:lang w:val="en-US" w:eastAsia="zh-CN" w:bidi="ar-SA"/>
    </w:rPr>
  </w:style>
  <w:style w:type="paragraph" w:styleId="13">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4692</Words>
  <Characters>5053</Characters>
  <Lines>38</Lines>
  <Paragraphs>10</Paragraphs>
  <TotalTime>17</TotalTime>
  <ScaleCrop>false</ScaleCrop>
  <LinksUpToDate>false</LinksUpToDate>
  <CharactersWithSpaces>5377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2023-06-07T10:28:45Z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5135BEBE9E0D46CEB8B4318D476C4DAA_13</vt:lpwstr>
  </property>
</Properties>
</file>