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7"/>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8"/>
                    <a:stretch>
                      <a:fillRect/>
                    </a:stretch>
                  </pic:blipFill>
                  <pic:spPr>
                    <a:xfrm>
                      <a:off x="0" y="0"/>
                      <a:ext cx="1600200" cy="523240"/>
                    </a:xfrm>
                    <a:prstGeom prst="rect">
                      <a:avLst/>
                    </a:prstGeom>
                    <a:noFill/>
                    <a:ln>
                      <a:noFill/>
                    </a:ln>
                  </pic:spPr>
                </pic:pic>
              </a:graphicData>
            </a:graphic>
          </wp:anchor>
        </w:drawing>
      </w:r>
    </w:p>
    <w:p>
      <w:pPr>
        <w:snapToGrid w:val="0"/>
        <w:jc w:val="center"/>
        <w:rPr>
          <w:rStyle w:val="37"/>
          <w:rFonts w:ascii="黑体" w:eastAsia="黑体"/>
          <w:bCs/>
          <w:sz w:val="44"/>
          <w:szCs w:val="44"/>
        </w:rPr>
      </w:pPr>
    </w:p>
    <w:p>
      <w:pPr>
        <w:snapToGrid w:val="0"/>
        <w:jc w:val="center"/>
        <w:rPr>
          <w:rStyle w:val="37"/>
          <w:rFonts w:ascii="黑体" w:eastAsia="黑体"/>
          <w:bCs/>
          <w:sz w:val="44"/>
          <w:szCs w:val="44"/>
        </w:rPr>
      </w:pPr>
    </w:p>
    <w:p>
      <w:pPr>
        <w:snapToGrid w:val="0"/>
        <w:rPr>
          <w:rStyle w:val="37"/>
          <w:rFonts w:ascii="黑体" w:eastAsia="黑体"/>
          <w:bCs/>
          <w:sz w:val="44"/>
          <w:szCs w:val="44"/>
        </w:rPr>
      </w:pPr>
    </w:p>
    <w:p>
      <w:pPr>
        <w:snapToGrid w:val="0"/>
        <w:rPr>
          <w:rStyle w:val="37"/>
          <w:rFonts w:ascii="黑体" w:eastAsia="黑体"/>
          <w:bCs/>
          <w:sz w:val="44"/>
          <w:szCs w:val="44"/>
        </w:rPr>
      </w:pPr>
    </w:p>
    <w:p>
      <w:pPr>
        <w:snapToGrid w:val="0"/>
        <w:jc w:val="center"/>
        <w:rPr>
          <w:rStyle w:val="37"/>
          <w:rFonts w:ascii="黑体" w:eastAsia="黑体"/>
          <w:bCs/>
          <w:sz w:val="44"/>
          <w:szCs w:val="44"/>
        </w:rPr>
      </w:pPr>
      <w:r>
        <w:rPr>
          <w:rStyle w:val="37"/>
          <w:rFonts w:ascii="黑体" w:eastAsia="黑体"/>
          <w:bCs/>
          <w:sz w:val="44"/>
          <w:szCs w:val="44"/>
        </w:rPr>
        <w:t>202</w:t>
      </w:r>
      <w:r>
        <w:rPr>
          <w:rStyle w:val="37"/>
          <w:rFonts w:hint="eastAsia" w:ascii="黑体" w:eastAsia="黑体"/>
          <w:bCs/>
          <w:sz w:val="44"/>
          <w:szCs w:val="44"/>
        </w:rPr>
        <w:t>2</w:t>
      </w:r>
      <w:r>
        <w:rPr>
          <w:rStyle w:val="37"/>
          <w:rFonts w:ascii="黑体" w:eastAsia="黑体"/>
          <w:bCs/>
          <w:sz w:val="44"/>
          <w:szCs w:val="44"/>
        </w:rPr>
        <w:t>年中粮糖业甘蔗糖部财产保险集中采购</w:t>
      </w:r>
    </w:p>
    <w:p>
      <w:pPr>
        <w:snapToGrid w:val="0"/>
        <w:jc w:val="center"/>
        <w:rPr>
          <w:rStyle w:val="37"/>
          <w:rFonts w:eastAsia="黑体"/>
          <w:bCs/>
          <w:sz w:val="36"/>
        </w:rPr>
      </w:pPr>
      <w:r>
        <w:rPr>
          <w:rStyle w:val="37"/>
          <w:rFonts w:ascii="黑体" w:eastAsia="黑体"/>
          <w:bCs/>
          <w:sz w:val="44"/>
          <w:szCs w:val="44"/>
        </w:rPr>
        <w:t>询比价采购文件</w:t>
      </w:r>
    </w:p>
    <w:p>
      <w:pPr>
        <w:snapToGrid w:val="0"/>
        <w:rPr>
          <w:rStyle w:val="37"/>
          <w:rFonts w:ascii="仿宋_GB2312" w:eastAsia="仿宋_GB2312"/>
          <w:bCs/>
          <w:sz w:val="28"/>
        </w:rPr>
      </w:pPr>
    </w:p>
    <w:p>
      <w:pPr>
        <w:snapToGrid w:val="0"/>
        <w:rPr>
          <w:rStyle w:val="37"/>
          <w:rFonts w:ascii="仿宋_GB2312" w:eastAsia="仿宋_GB2312"/>
          <w:bCs/>
          <w:sz w:val="28"/>
        </w:rPr>
      </w:pPr>
    </w:p>
    <w:p>
      <w:pPr>
        <w:snapToGrid w:val="0"/>
        <w:rPr>
          <w:rStyle w:val="37"/>
          <w:rFonts w:ascii="仿宋_GB2312" w:eastAsia="仿宋_GB2312"/>
          <w:bCs/>
          <w:sz w:val="28"/>
        </w:rPr>
      </w:pPr>
    </w:p>
    <w:p>
      <w:pPr>
        <w:snapToGrid w:val="0"/>
        <w:rPr>
          <w:rStyle w:val="37"/>
          <w:rFonts w:ascii="仿宋_GB2312" w:eastAsia="仿宋_GB2312"/>
          <w:bCs/>
          <w:sz w:val="28"/>
        </w:rPr>
      </w:pPr>
    </w:p>
    <w:p>
      <w:pPr>
        <w:snapToGrid w:val="0"/>
        <w:ind w:firstLine="2560" w:firstLineChars="800"/>
        <w:rPr>
          <w:rStyle w:val="37"/>
          <w:rFonts w:ascii="黑体" w:hAnsi="黑体" w:eastAsia="黑体"/>
          <w:bCs/>
          <w:sz w:val="24"/>
        </w:rPr>
      </w:pPr>
      <w:r>
        <w:rPr>
          <w:rStyle w:val="37"/>
          <w:rFonts w:ascii="黑体" w:hAnsi="黑体" w:eastAsia="黑体"/>
          <w:bCs/>
          <w:sz w:val="32"/>
        </w:rPr>
        <w:t>单位：</w:t>
      </w:r>
      <w:r>
        <w:rPr>
          <w:rStyle w:val="37"/>
          <w:rFonts w:ascii="黑体" w:eastAsia="黑体"/>
          <w:bCs/>
          <w:sz w:val="32"/>
          <w:szCs w:val="44"/>
        </w:rPr>
        <w:t>中粮糖业甘蔗糖部</w:t>
      </w:r>
    </w:p>
    <w:p>
      <w:pPr>
        <w:snapToGrid w:val="0"/>
        <w:rPr>
          <w:rStyle w:val="37"/>
          <w:rFonts w:ascii="仿宋_GB2312" w:eastAsia="仿宋_GB2312"/>
          <w:bCs/>
          <w:sz w:val="28"/>
        </w:rPr>
      </w:pPr>
    </w:p>
    <w:p>
      <w:pPr>
        <w:snapToGrid w:val="0"/>
        <w:rPr>
          <w:rStyle w:val="37"/>
          <w:rFonts w:ascii="仿宋_GB2312" w:eastAsia="仿宋_GB2312"/>
          <w:bCs/>
          <w:sz w:val="28"/>
        </w:rPr>
      </w:pPr>
    </w:p>
    <w:p>
      <w:pPr>
        <w:snapToGrid w:val="0"/>
        <w:rPr>
          <w:rStyle w:val="37"/>
          <w:rFonts w:ascii="仿宋_GB2312" w:eastAsia="仿宋_GB2312"/>
          <w:bCs/>
          <w:sz w:val="28"/>
        </w:rPr>
      </w:pPr>
    </w:p>
    <w:p>
      <w:pPr>
        <w:snapToGrid w:val="0"/>
        <w:rPr>
          <w:rStyle w:val="37"/>
          <w:rFonts w:ascii="仿宋_GB2312" w:eastAsia="仿宋_GB2312"/>
          <w:bCs/>
          <w:sz w:val="28"/>
        </w:rPr>
      </w:pPr>
    </w:p>
    <w:p>
      <w:pPr>
        <w:snapToGrid w:val="0"/>
        <w:rPr>
          <w:rStyle w:val="37"/>
          <w:rFonts w:ascii="黑体" w:eastAsia="黑体"/>
          <w:bCs/>
          <w:sz w:val="28"/>
          <w:szCs w:val="28"/>
        </w:rPr>
      </w:pPr>
      <w:bookmarkStart w:id="5" w:name="_GoBack"/>
      <w:bookmarkEnd w:id="5"/>
    </w:p>
    <w:p>
      <w:pPr>
        <w:snapToGrid w:val="0"/>
        <w:rPr>
          <w:rStyle w:val="37"/>
          <w:rFonts w:ascii="黑体" w:eastAsia="黑体"/>
          <w:bCs/>
          <w:sz w:val="28"/>
          <w:szCs w:val="28"/>
        </w:rPr>
      </w:pPr>
    </w:p>
    <w:p>
      <w:pPr>
        <w:snapToGrid w:val="0"/>
        <w:ind w:firstLine="2520" w:firstLineChars="900"/>
        <w:rPr>
          <w:rStyle w:val="37"/>
          <w:rFonts w:ascii="黑体" w:eastAsia="黑体"/>
          <w:bCs/>
          <w:sz w:val="28"/>
          <w:szCs w:val="28"/>
        </w:rPr>
      </w:pPr>
      <w:r>
        <w:rPr>
          <w:rStyle w:val="37"/>
          <w:rFonts w:ascii="黑体" w:eastAsia="黑体"/>
          <w:bCs/>
          <w:sz w:val="28"/>
          <w:szCs w:val="28"/>
        </w:rPr>
        <w:t>发布日期：202</w:t>
      </w:r>
      <w:r>
        <w:rPr>
          <w:rStyle w:val="37"/>
          <w:rFonts w:hint="eastAsia" w:ascii="黑体" w:eastAsia="黑体"/>
          <w:bCs/>
          <w:sz w:val="28"/>
          <w:szCs w:val="28"/>
          <w:lang w:val="en-US" w:eastAsia="zh-CN"/>
        </w:rPr>
        <w:t>3</w:t>
      </w:r>
      <w:r>
        <w:rPr>
          <w:rStyle w:val="37"/>
          <w:rFonts w:ascii="黑体" w:eastAsia="黑体"/>
          <w:bCs/>
          <w:sz w:val="28"/>
          <w:szCs w:val="28"/>
        </w:rPr>
        <w:t>年</w:t>
      </w:r>
      <w:r>
        <w:rPr>
          <w:rStyle w:val="37"/>
          <w:rFonts w:hint="eastAsia" w:ascii="黑体" w:eastAsia="黑体"/>
          <w:bCs/>
          <w:sz w:val="28"/>
          <w:szCs w:val="28"/>
          <w:lang w:val="en-US" w:eastAsia="zh-CN"/>
        </w:rPr>
        <w:t>6</w:t>
      </w:r>
      <w:r>
        <w:rPr>
          <w:rStyle w:val="37"/>
          <w:rFonts w:ascii="黑体" w:eastAsia="黑体"/>
          <w:bCs/>
          <w:sz w:val="28"/>
          <w:szCs w:val="28"/>
        </w:rPr>
        <w:t>月</w:t>
      </w:r>
      <w:r>
        <w:rPr>
          <w:rStyle w:val="37"/>
          <w:rFonts w:hint="eastAsia" w:ascii="黑体" w:eastAsia="黑体"/>
          <w:bCs/>
          <w:sz w:val="28"/>
          <w:szCs w:val="28"/>
        </w:rPr>
        <w:t xml:space="preserve">  </w:t>
      </w:r>
      <w:r>
        <w:rPr>
          <w:rStyle w:val="37"/>
          <w:rFonts w:ascii="黑体" w:eastAsia="黑体"/>
          <w:bCs/>
          <w:sz w:val="28"/>
          <w:szCs w:val="28"/>
        </w:rPr>
        <w:t>日</w:t>
      </w:r>
    </w:p>
    <w:p>
      <w:pPr>
        <w:snapToGrid w:val="0"/>
        <w:rPr>
          <w:rStyle w:val="37"/>
          <w:rFonts w:ascii="仿宋_GB2312" w:eastAsia="仿宋_GB2312"/>
          <w:bCs/>
          <w:sz w:val="28"/>
        </w:rPr>
      </w:pPr>
    </w:p>
    <w:p>
      <w:pPr>
        <w:snapToGrid w:val="0"/>
        <w:jc w:val="center"/>
        <w:rPr>
          <w:rStyle w:val="37"/>
          <w:rFonts w:ascii="仿宋_GB2312" w:eastAsia="仿宋_GB2312"/>
          <w:b/>
          <w:bCs/>
          <w:sz w:val="44"/>
          <w:szCs w:val="44"/>
        </w:rPr>
      </w:pPr>
    </w:p>
    <w:p>
      <w:pPr>
        <w:snapToGrid w:val="0"/>
        <w:jc w:val="center"/>
        <w:rPr>
          <w:rStyle w:val="37"/>
          <w:rFonts w:ascii="黑体" w:eastAsia="黑体"/>
          <w:b/>
          <w:bCs/>
          <w:sz w:val="44"/>
          <w:szCs w:val="44"/>
        </w:rPr>
      </w:pPr>
    </w:p>
    <w:p>
      <w:pPr>
        <w:snapToGrid w:val="0"/>
        <w:jc w:val="center"/>
        <w:rPr>
          <w:rStyle w:val="37"/>
          <w:rFonts w:ascii="黑体" w:eastAsia="黑体"/>
          <w:bCs/>
          <w:sz w:val="44"/>
          <w:szCs w:val="44"/>
        </w:rPr>
      </w:pPr>
    </w:p>
    <w:p>
      <w:pPr>
        <w:snapToGrid w:val="0"/>
        <w:jc w:val="center"/>
        <w:rPr>
          <w:rStyle w:val="37"/>
          <w:rFonts w:ascii="黑体" w:eastAsia="黑体"/>
          <w:bCs/>
          <w:sz w:val="44"/>
          <w:szCs w:val="44"/>
        </w:rPr>
      </w:pPr>
    </w:p>
    <w:p>
      <w:pPr>
        <w:snapToGrid w:val="0"/>
        <w:jc w:val="center"/>
        <w:rPr>
          <w:rStyle w:val="37"/>
          <w:rFonts w:ascii="黑体" w:eastAsia="黑体"/>
          <w:bCs/>
          <w:sz w:val="44"/>
          <w:szCs w:val="44"/>
        </w:rPr>
      </w:pPr>
    </w:p>
    <w:p>
      <w:pPr>
        <w:snapToGrid w:val="0"/>
        <w:jc w:val="center"/>
        <w:rPr>
          <w:rStyle w:val="37"/>
          <w:rFonts w:ascii="黑体" w:eastAsia="黑体"/>
          <w:bCs/>
          <w:sz w:val="44"/>
          <w:szCs w:val="44"/>
        </w:rPr>
      </w:pPr>
    </w:p>
    <w:p>
      <w:pPr>
        <w:snapToGrid w:val="0"/>
        <w:jc w:val="center"/>
        <w:rPr>
          <w:rStyle w:val="37"/>
          <w:rFonts w:ascii="黑体" w:eastAsia="黑体"/>
          <w:bCs/>
          <w:sz w:val="44"/>
          <w:szCs w:val="44"/>
        </w:rPr>
      </w:pPr>
    </w:p>
    <w:p>
      <w:pPr>
        <w:snapToGrid w:val="0"/>
        <w:jc w:val="center"/>
        <w:rPr>
          <w:rStyle w:val="37"/>
          <w:rFonts w:ascii="黑体" w:eastAsia="黑体"/>
          <w:bCs/>
          <w:sz w:val="44"/>
          <w:szCs w:val="44"/>
        </w:rPr>
      </w:pPr>
      <w:r>
        <w:rPr>
          <w:rStyle w:val="37"/>
          <w:rFonts w:ascii="黑体" w:eastAsia="黑体"/>
          <w:bCs/>
          <w:sz w:val="44"/>
          <w:szCs w:val="44"/>
        </w:rPr>
        <w:br w:type="page"/>
      </w:r>
    </w:p>
    <w:p>
      <w:pPr>
        <w:snapToGrid w:val="0"/>
        <w:jc w:val="center"/>
        <w:rPr>
          <w:rStyle w:val="37"/>
          <w:rFonts w:ascii="黑体" w:eastAsia="黑体"/>
          <w:bCs/>
          <w:sz w:val="44"/>
          <w:szCs w:val="44"/>
        </w:rPr>
      </w:pPr>
      <w:r>
        <w:rPr>
          <w:rStyle w:val="37"/>
          <w:rFonts w:ascii="黑体" w:eastAsia="黑体"/>
          <w:bCs/>
          <w:sz w:val="44"/>
          <w:szCs w:val="44"/>
        </w:rPr>
        <w:t>目          录</w:t>
      </w:r>
    </w:p>
    <w:p>
      <w:pPr>
        <w:snapToGrid w:val="0"/>
        <w:jc w:val="center"/>
        <w:rPr>
          <w:rStyle w:val="37"/>
          <w:rFonts w:ascii="黑体" w:eastAsia="黑体"/>
          <w:bCs/>
          <w:sz w:val="36"/>
          <w:szCs w:val="36"/>
        </w:rPr>
      </w:pPr>
    </w:p>
    <w:p>
      <w:pPr>
        <w:snapToGrid w:val="0"/>
        <w:jc w:val="center"/>
        <w:rPr>
          <w:rStyle w:val="37"/>
          <w:rFonts w:ascii="黑体" w:eastAsia="黑体"/>
          <w:bCs/>
          <w:sz w:val="36"/>
          <w:szCs w:val="36"/>
        </w:rPr>
      </w:pPr>
    </w:p>
    <w:p>
      <w:pPr>
        <w:snapToGrid w:val="0"/>
        <w:jc w:val="center"/>
        <w:rPr>
          <w:rStyle w:val="37"/>
          <w:rFonts w:ascii="黑体" w:eastAsia="黑体"/>
          <w:bCs/>
          <w:sz w:val="36"/>
          <w:szCs w:val="36"/>
        </w:rPr>
      </w:pPr>
    </w:p>
    <w:p>
      <w:pPr>
        <w:snapToGrid w:val="0"/>
        <w:jc w:val="center"/>
        <w:rPr>
          <w:rStyle w:val="37"/>
          <w:rFonts w:ascii="黑体" w:eastAsia="黑体"/>
          <w:bCs/>
          <w:sz w:val="36"/>
          <w:szCs w:val="36"/>
        </w:rPr>
      </w:pPr>
    </w:p>
    <w:p>
      <w:pPr>
        <w:numPr>
          <w:ilvl w:val="0"/>
          <w:numId w:val="1"/>
        </w:numPr>
        <w:snapToGrid w:val="0"/>
        <w:rPr>
          <w:rStyle w:val="37"/>
          <w:rFonts w:ascii="黑体" w:eastAsia="黑体"/>
          <w:bCs/>
          <w:sz w:val="36"/>
          <w:szCs w:val="36"/>
        </w:rPr>
      </w:pPr>
      <w:r>
        <w:rPr>
          <w:rStyle w:val="37"/>
          <w:rFonts w:hint="eastAsia" w:ascii="黑体" w:eastAsia="黑体"/>
          <w:bCs/>
          <w:sz w:val="36"/>
          <w:szCs w:val="36"/>
        </w:rPr>
        <w:t xml:space="preserve">   </w:t>
      </w:r>
      <w:r>
        <w:rPr>
          <w:rStyle w:val="37"/>
          <w:rFonts w:ascii="黑体" w:eastAsia="黑体"/>
          <w:bCs/>
          <w:sz w:val="36"/>
          <w:szCs w:val="36"/>
        </w:rPr>
        <w:t>供应商须知</w:t>
      </w:r>
    </w:p>
    <w:p>
      <w:pPr>
        <w:snapToGrid w:val="0"/>
        <w:rPr>
          <w:rStyle w:val="37"/>
          <w:rFonts w:ascii="黑体" w:eastAsia="黑体"/>
          <w:bCs/>
          <w:sz w:val="36"/>
          <w:szCs w:val="36"/>
        </w:rPr>
      </w:pPr>
    </w:p>
    <w:p>
      <w:pPr>
        <w:tabs>
          <w:tab w:val="left" w:pos="7005"/>
        </w:tabs>
        <w:snapToGrid w:val="0"/>
        <w:ind w:firstLine="2142" w:firstLineChars="595"/>
        <w:rPr>
          <w:rStyle w:val="37"/>
          <w:rFonts w:ascii="黑体" w:eastAsia="黑体"/>
          <w:bCs/>
          <w:sz w:val="36"/>
          <w:szCs w:val="36"/>
        </w:rPr>
      </w:pPr>
      <w:r>
        <w:rPr>
          <w:rStyle w:val="37"/>
          <w:rFonts w:ascii="黑体" w:eastAsia="黑体"/>
          <w:bCs/>
          <w:sz w:val="36"/>
          <w:szCs w:val="36"/>
        </w:rPr>
        <w:t xml:space="preserve">第二章   </w:t>
      </w:r>
      <w:r>
        <w:rPr>
          <w:rStyle w:val="37"/>
          <w:rFonts w:hint="eastAsia" w:ascii="黑体" w:eastAsia="黑体"/>
          <w:bCs/>
          <w:sz w:val="36"/>
          <w:szCs w:val="36"/>
        </w:rPr>
        <w:t>报价说明</w:t>
      </w:r>
    </w:p>
    <w:p>
      <w:pPr>
        <w:snapToGrid w:val="0"/>
        <w:rPr>
          <w:rStyle w:val="37"/>
          <w:rFonts w:ascii="黑体" w:eastAsia="黑体"/>
          <w:bCs/>
          <w:sz w:val="36"/>
          <w:szCs w:val="36"/>
        </w:rPr>
      </w:pPr>
    </w:p>
    <w:p>
      <w:pPr>
        <w:snapToGrid w:val="0"/>
        <w:ind w:left="2150"/>
        <w:rPr>
          <w:rStyle w:val="37"/>
          <w:rFonts w:ascii="黑体" w:eastAsia="黑体"/>
          <w:bCs/>
          <w:sz w:val="36"/>
          <w:szCs w:val="36"/>
        </w:rPr>
      </w:pPr>
      <w:r>
        <w:rPr>
          <w:rStyle w:val="37"/>
          <w:rFonts w:ascii="黑体" w:eastAsia="黑体"/>
          <w:bCs/>
          <w:sz w:val="36"/>
          <w:szCs w:val="36"/>
        </w:rPr>
        <w:t>第三章   评审方法</w:t>
      </w:r>
    </w:p>
    <w:p>
      <w:pPr>
        <w:snapToGrid w:val="0"/>
        <w:rPr>
          <w:rStyle w:val="37"/>
          <w:rFonts w:ascii="黑体" w:eastAsia="黑体"/>
          <w:bCs/>
          <w:sz w:val="36"/>
          <w:szCs w:val="36"/>
        </w:rPr>
      </w:pPr>
    </w:p>
    <w:p>
      <w:pPr>
        <w:snapToGrid w:val="0"/>
        <w:ind w:firstLine="2160" w:firstLineChars="600"/>
        <w:rPr>
          <w:rStyle w:val="37"/>
          <w:rFonts w:ascii="宋体" w:hAnsi="宋体" w:eastAsia="黑体"/>
          <w:bCs/>
          <w:sz w:val="28"/>
          <w:szCs w:val="28"/>
        </w:rPr>
      </w:pPr>
      <w:r>
        <w:rPr>
          <w:rStyle w:val="37"/>
          <w:rFonts w:ascii="黑体" w:eastAsia="黑体"/>
          <w:bCs/>
          <w:sz w:val="36"/>
          <w:szCs w:val="36"/>
        </w:rPr>
        <w:t xml:space="preserve">第四章   </w:t>
      </w:r>
      <w:r>
        <w:rPr>
          <w:rStyle w:val="37"/>
          <w:rFonts w:hint="eastAsia" w:ascii="黑体" w:hAnsi="黑体" w:eastAsia="黑体"/>
          <w:bCs/>
          <w:sz w:val="36"/>
          <w:szCs w:val="28"/>
        </w:rPr>
        <w:t>合同条款</w:t>
      </w:r>
    </w:p>
    <w:p>
      <w:pPr>
        <w:snapToGrid w:val="0"/>
        <w:rPr>
          <w:rStyle w:val="37"/>
          <w:rFonts w:ascii="黑体" w:eastAsia="黑体"/>
          <w:bCs/>
          <w:sz w:val="36"/>
          <w:szCs w:val="36"/>
        </w:rPr>
      </w:pPr>
    </w:p>
    <w:p>
      <w:pPr>
        <w:snapToGrid w:val="0"/>
        <w:rPr>
          <w:rStyle w:val="37"/>
          <w:rFonts w:ascii="黑体" w:eastAsia="黑体"/>
          <w:b/>
          <w:bCs/>
          <w:sz w:val="36"/>
          <w:szCs w:val="36"/>
        </w:rPr>
      </w:pPr>
    </w:p>
    <w:p>
      <w:pPr>
        <w:snapToGrid w:val="0"/>
        <w:rPr>
          <w:rStyle w:val="37"/>
          <w:rFonts w:ascii="黑体" w:eastAsia="黑体"/>
          <w:b/>
          <w:bCs/>
          <w:sz w:val="36"/>
          <w:szCs w:val="36"/>
        </w:rPr>
      </w:pPr>
    </w:p>
    <w:p>
      <w:pPr>
        <w:snapToGrid w:val="0"/>
        <w:rPr>
          <w:rStyle w:val="37"/>
          <w:rFonts w:ascii="黑体" w:eastAsia="黑体"/>
          <w:b/>
          <w:bCs/>
          <w:sz w:val="28"/>
        </w:rPr>
      </w:pPr>
    </w:p>
    <w:p>
      <w:pPr>
        <w:snapToGrid w:val="0"/>
        <w:rPr>
          <w:rStyle w:val="37"/>
          <w:rFonts w:ascii="黑体" w:eastAsia="黑体"/>
          <w:b/>
          <w:bCs/>
          <w:sz w:val="28"/>
        </w:rPr>
      </w:pPr>
    </w:p>
    <w:p>
      <w:pPr>
        <w:snapToGrid w:val="0"/>
        <w:rPr>
          <w:rStyle w:val="37"/>
          <w:rFonts w:ascii="黑体" w:eastAsia="黑体"/>
          <w:b/>
          <w:bCs/>
          <w:sz w:val="28"/>
        </w:rPr>
      </w:pPr>
    </w:p>
    <w:p>
      <w:pPr>
        <w:snapToGrid w:val="0"/>
        <w:rPr>
          <w:rStyle w:val="37"/>
          <w:rFonts w:ascii="宋体" w:hAnsi="宋体"/>
          <w:b/>
          <w:bCs/>
          <w:sz w:val="36"/>
          <w:szCs w:val="36"/>
        </w:rPr>
      </w:pPr>
    </w:p>
    <w:p>
      <w:pPr>
        <w:snapToGrid w:val="0"/>
        <w:jc w:val="center"/>
        <w:rPr>
          <w:rStyle w:val="37"/>
          <w:rFonts w:ascii="宋体" w:hAnsi="宋体"/>
          <w:b/>
          <w:bCs/>
          <w:sz w:val="36"/>
          <w:szCs w:val="36"/>
        </w:rPr>
      </w:pPr>
      <w:r>
        <w:rPr>
          <w:rStyle w:val="37"/>
          <w:rFonts w:ascii="宋体" w:hAnsi="宋体"/>
          <w:b/>
          <w:bCs/>
          <w:sz w:val="36"/>
          <w:szCs w:val="36"/>
        </w:rPr>
        <w:br w:type="page"/>
      </w:r>
    </w:p>
    <w:p>
      <w:pPr>
        <w:snapToGrid w:val="0"/>
        <w:jc w:val="center"/>
        <w:rPr>
          <w:rStyle w:val="37"/>
          <w:rFonts w:ascii="黑体" w:hAnsi="黑体" w:eastAsia="黑体" w:cs="黑体"/>
          <w:sz w:val="36"/>
          <w:szCs w:val="36"/>
        </w:rPr>
      </w:pPr>
      <w:r>
        <w:rPr>
          <w:rStyle w:val="37"/>
          <w:rFonts w:hint="eastAsia" w:ascii="黑体" w:hAnsi="黑体" w:eastAsia="黑体" w:cs="黑体"/>
          <w:sz w:val="36"/>
          <w:szCs w:val="36"/>
        </w:rPr>
        <w:t>第一章 供应商须知</w:t>
      </w:r>
    </w:p>
    <w:p>
      <w:pPr>
        <w:snapToGrid w:val="0"/>
        <w:spacing w:line="560" w:lineRule="exact"/>
        <w:ind w:firstLine="600" w:firstLineChars="200"/>
        <w:rPr>
          <w:rStyle w:val="37"/>
          <w:rFonts w:hint="eastAsia" w:ascii="仿宋_GB2312" w:hAnsi="仿宋_GB2312" w:eastAsia="仿宋_GB2312" w:cs="仿宋_GB2312"/>
          <w:bCs/>
          <w:sz w:val="30"/>
          <w:szCs w:val="30"/>
        </w:rPr>
      </w:pPr>
    </w:p>
    <w:p>
      <w:pPr>
        <w:snapToGrid w:val="0"/>
        <w:spacing w:line="560" w:lineRule="exact"/>
        <w:ind w:firstLine="600" w:firstLineChars="200"/>
        <w:rPr>
          <w:rStyle w:val="37"/>
          <w:rFonts w:hint="eastAsia" w:ascii="仿宋_GB2312" w:hAnsi="仿宋_GB2312" w:eastAsia="仿宋_GB2312" w:cs="仿宋_GB2312"/>
          <w:bCs/>
          <w:sz w:val="30"/>
          <w:szCs w:val="30"/>
        </w:rPr>
      </w:pPr>
      <w:r>
        <w:rPr>
          <w:rStyle w:val="37"/>
          <w:rFonts w:hint="eastAsia" w:ascii="仿宋_GB2312" w:hAnsi="仿宋_GB2312" w:eastAsia="仿宋_GB2312" w:cs="仿宋_GB2312"/>
          <w:bCs/>
          <w:sz w:val="30"/>
          <w:szCs w:val="30"/>
        </w:rPr>
        <w:t>一、202</w:t>
      </w:r>
      <w:r>
        <w:rPr>
          <w:rStyle w:val="37"/>
          <w:rFonts w:hint="eastAsia" w:ascii="仿宋_GB2312" w:hAnsi="仿宋_GB2312" w:eastAsia="仿宋_GB2312" w:cs="仿宋_GB2312"/>
          <w:bCs/>
          <w:sz w:val="30"/>
          <w:szCs w:val="30"/>
          <w:lang w:val="en-US" w:eastAsia="zh-CN"/>
        </w:rPr>
        <w:t>3</w:t>
      </w:r>
      <w:r>
        <w:rPr>
          <w:rStyle w:val="37"/>
          <w:rFonts w:hint="eastAsia" w:ascii="仿宋_GB2312" w:hAnsi="仿宋_GB2312" w:eastAsia="仿宋_GB2312" w:cs="仿宋_GB2312"/>
          <w:bCs/>
          <w:sz w:val="30"/>
          <w:szCs w:val="30"/>
        </w:rPr>
        <w:t>年07月甘蔗糖部拟开展202</w:t>
      </w:r>
      <w:r>
        <w:rPr>
          <w:rStyle w:val="37"/>
          <w:rFonts w:hint="eastAsia" w:ascii="仿宋_GB2312" w:hAnsi="仿宋_GB2312" w:eastAsia="仿宋_GB2312" w:cs="仿宋_GB2312"/>
          <w:bCs/>
          <w:sz w:val="30"/>
          <w:szCs w:val="30"/>
          <w:lang w:val="en-US" w:eastAsia="zh-CN"/>
        </w:rPr>
        <w:t>3</w:t>
      </w:r>
      <w:r>
        <w:rPr>
          <w:rStyle w:val="37"/>
          <w:rFonts w:hint="eastAsia" w:ascii="仿宋_GB2312" w:hAnsi="仿宋_GB2312" w:eastAsia="仿宋_GB2312" w:cs="仿宋_GB2312"/>
          <w:bCs/>
          <w:sz w:val="30"/>
          <w:szCs w:val="30"/>
        </w:rPr>
        <w:t>-202</w:t>
      </w:r>
      <w:r>
        <w:rPr>
          <w:rStyle w:val="37"/>
          <w:rFonts w:hint="eastAsia" w:ascii="仿宋_GB2312" w:hAnsi="仿宋_GB2312" w:eastAsia="仿宋_GB2312" w:cs="仿宋_GB2312"/>
          <w:bCs/>
          <w:sz w:val="30"/>
          <w:szCs w:val="30"/>
          <w:lang w:val="en-US" w:eastAsia="zh-CN"/>
        </w:rPr>
        <w:t>4</w:t>
      </w:r>
      <w:r>
        <w:rPr>
          <w:rStyle w:val="37"/>
          <w:rFonts w:hint="eastAsia" w:ascii="仿宋_GB2312" w:hAnsi="仿宋_GB2312" w:eastAsia="仿宋_GB2312" w:cs="仿宋_GB2312"/>
          <w:bCs/>
          <w:sz w:val="30"/>
          <w:szCs w:val="30"/>
        </w:rPr>
        <w:t>年甘蔗糖部财产保险集中采购询比价工作；</w:t>
      </w:r>
    </w:p>
    <w:p>
      <w:pPr>
        <w:snapToGrid w:val="0"/>
        <w:spacing w:line="560" w:lineRule="exact"/>
        <w:ind w:firstLine="600" w:firstLineChars="200"/>
        <w:rPr>
          <w:rStyle w:val="37"/>
          <w:rFonts w:hint="eastAsia" w:ascii="仿宋_GB2312" w:hAnsi="仿宋_GB2312" w:eastAsia="仿宋_GB2312" w:cs="仿宋_GB2312"/>
          <w:bCs/>
          <w:sz w:val="30"/>
          <w:szCs w:val="30"/>
        </w:rPr>
      </w:pPr>
      <w:r>
        <w:rPr>
          <w:rStyle w:val="37"/>
          <w:rFonts w:hint="eastAsia" w:ascii="仿宋_GB2312" w:hAnsi="仿宋_GB2312" w:eastAsia="仿宋_GB2312" w:cs="仿宋_GB2312"/>
          <w:bCs/>
          <w:sz w:val="30"/>
          <w:szCs w:val="30"/>
        </w:rPr>
        <w:t>二、本次采购定价形式采用询比价的方式（统谈分签）。</w:t>
      </w:r>
    </w:p>
    <w:p>
      <w:pPr>
        <w:snapToGrid w:val="0"/>
        <w:spacing w:line="560" w:lineRule="exact"/>
        <w:ind w:firstLine="600" w:firstLineChars="200"/>
        <w:rPr>
          <w:rStyle w:val="37"/>
          <w:rFonts w:hint="default" w:ascii="仿宋_GB2312" w:hAnsi="仿宋_GB2312" w:eastAsia="仿宋_GB2312" w:cs="仿宋_GB2312"/>
          <w:bCs/>
          <w:sz w:val="30"/>
          <w:szCs w:val="30"/>
          <w:lang w:val="en-US" w:eastAsia="zh-CN"/>
        </w:rPr>
      </w:pPr>
      <w:r>
        <w:rPr>
          <w:rStyle w:val="37"/>
          <w:rFonts w:hint="eastAsia" w:ascii="仿宋_GB2312" w:hAnsi="仿宋_GB2312" w:eastAsia="仿宋_GB2312" w:cs="仿宋_GB2312"/>
          <w:bCs/>
          <w:sz w:val="30"/>
          <w:szCs w:val="30"/>
        </w:rPr>
        <w:t>三、</w:t>
      </w:r>
      <w:r>
        <w:rPr>
          <w:rStyle w:val="37"/>
          <w:rFonts w:hint="eastAsia" w:ascii="仿宋_GB2312" w:hAnsi="仿宋_GB2312" w:eastAsia="仿宋_GB2312" w:cs="仿宋_GB2312"/>
          <w:bCs/>
          <w:sz w:val="30"/>
          <w:szCs w:val="30"/>
          <w:lang w:val="en-US" w:eastAsia="zh-CN"/>
        </w:rPr>
        <w:t>本次供应商以邀请方式邀请供应商</w:t>
      </w:r>
    </w:p>
    <w:p>
      <w:pPr>
        <w:snapToGrid w:val="0"/>
        <w:spacing w:line="560" w:lineRule="exact"/>
        <w:ind w:firstLine="600" w:firstLineChars="200"/>
        <w:rPr>
          <w:rStyle w:val="37"/>
          <w:rFonts w:hint="eastAsia" w:ascii="仿宋_GB2312" w:hAnsi="仿宋_GB2312" w:eastAsia="仿宋_GB2312" w:cs="仿宋_GB2312"/>
          <w:b/>
          <w:bCs/>
          <w:sz w:val="30"/>
          <w:szCs w:val="30"/>
          <w:lang w:eastAsia="zh-CN"/>
        </w:rPr>
      </w:pPr>
      <w:r>
        <w:rPr>
          <w:rStyle w:val="37"/>
          <w:rFonts w:hint="eastAsia" w:ascii="仿宋_GB2312" w:hAnsi="仿宋_GB2312" w:eastAsia="仿宋_GB2312" w:cs="仿宋_GB2312"/>
          <w:bCs/>
          <w:sz w:val="30"/>
          <w:szCs w:val="30"/>
        </w:rPr>
        <w:t>四</w:t>
      </w:r>
      <w:r>
        <w:rPr>
          <w:rStyle w:val="37"/>
          <w:rFonts w:hint="eastAsia" w:ascii="仿宋_GB2312" w:hAnsi="仿宋_GB2312" w:eastAsia="仿宋_GB2312" w:cs="仿宋_GB2312"/>
          <w:b/>
          <w:bCs/>
          <w:sz w:val="30"/>
          <w:szCs w:val="30"/>
        </w:rPr>
        <w:t>、供应商须在</w:t>
      </w:r>
      <w:r>
        <w:rPr>
          <w:rStyle w:val="37"/>
          <w:rFonts w:hint="eastAsia" w:ascii="仿宋_GB2312" w:hAnsi="仿宋_GB2312" w:eastAsia="仿宋_GB2312" w:cs="仿宋_GB2312"/>
          <w:b/>
          <w:bCs/>
          <w:sz w:val="30"/>
          <w:szCs w:val="30"/>
          <w:highlight w:val="yellow"/>
        </w:rPr>
        <w:t>202</w:t>
      </w:r>
      <w:r>
        <w:rPr>
          <w:rStyle w:val="37"/>
          <w:rFonts w:hint="eastAsia" w:ascii="仿宋_GB2312" w:hAnsi="仿宋_GB2312" w:eastAsia="仿宋_GB2312" w:cs="仿宋_GB2312"/>
          <w:b/>
          <w:bCs/>
          <w:sz w:val="30"/>
          <w:szCs w:val="30"/>
          <w:highlight w:val="yellow"/>
          <w:lang w:val="en-US" w:eastAsia="zh-CN"/>
        </w:rPr>
        <w:t>3</w:t>
      </w:r>
      <w:r>
        <w:rPr>
          <w:rStyle w:val="37"/>
          <w:rFonts w:hint="eastAsia" w:ascii="仿宋_GB2312" w:hAnsi="仿宋_GB2312" w:eastAsia="仿宋_GB2312" w:cs="仿宋_GB2312"/>
          <w:b/>
          <w:bCs/>
          <w:sz w:val="30"/>
          <w:szCs w:val="30"/>
          <w:highlight w:val="yellow"/>
        </w:rPr>
        <w:t>年07月</w:t>
      </w:r>
      <w:r>
        <w:rPr>
          <w:rStyle w:val="37"/>
          <w:rFonts w:hint="eastAsia" w:ascii="仿宋_GB2312" w:hAnsi="仿宋_GB2312" w:eastAsia="仿宋_GB2312" w:cs="仿宋_GB2312"/>
          <w:b/>
          <w:bCs/>
          <w:sz w:val="30"/>
          <w:szCs w:val="30"/>
          <w:highlight w:val="yellow"/>
          <w:lang w:val="en-US" w:eastAsia="zh-CN"/>
        </w:rPr>
        <w:t>7</w:t>
      </w:r>
      <w:r>
        <w:rPr>
          <w:rStyle w:val="37"/>
          <w:rFonts w:hint="eastAsia" w:ascii="仿宋_GB2312" w:hAnsi="仿宋_GB2312" w:eastAsia="仿宋_GB2312" w:cs="仿宋_GB2312"/>
          <w:b/>
          <w:bCs/>
          <w:sz w:val="30"/>
          <w:szCs w:val="30"/>
          <w:highlight w:val="yellow"/>
        </w:rPr>
        <w:t>日</w:t>
      </w:r>
      <w:r>
        <w:rPr>
          <w:rStyle w:val="37"/>
          <w:rFonts w:hint="eastAsia" w:ascii="仿宋_GB2312" w:hAnsi="仿宋_GB2312" w:eastAsia="仿宋_GB2312" w:cs="仿宋_GB2312"/>
          <w:b/>
          <w:bCs/>
          <w:sz w:val="30"/>
          <w:szCs w:val="30"/>
          <w:highlight w:val="yellow"/>
          <w:lang w:val="en-US" w:eastAsia="zh-CN"/>
        </w:rPr>
        <w:t>10</w:t>
      </w:r>
      <w:r>
        <w:rPr>
          <w:rStyle w:val="37"/>
          <w:rFonts w:hint="eastAsia" w:ascii="仿宋_GB2312" w:hAnsi="仿宋_GB2312" w:eastAsia="仿宋_GB2312" w:cs="仿宋_GB2312"/>
          <w:b/>
          <w:bCs/>
          <w:sz w:val="30"/>
          <w:szCs w:val="30"/>
          <w:highlight w:val="yellow"/>
        </w:rPr>
        <w:t>点前到</w:t>
      </w:r>
      <w:r>
        <w:rPr>
          <w:rStyle w:val="37"/>
          <w:rFonts w:hint="eastAsia" w:ascii="仿宋_GB2312" w:hAnsi="仿宋_GB2312" w:eastAsia="仿宋_GB2312" w:cs="仿宋_GB2312"/>
          <w:b/>
          <w:bCs/>
          <w:sz w:val="30"/>
          <w:szCs w:val="30"/>
        </w:rPr>
        <w:t>中粮糖业采购平台</w:t>
      </w:r>
      <w:r>
        <w:rPr>
          <w:rStyle w:val="37"/>
          <w:rFonts w:hint="eastAsia" w:ascii="仿宋_GB2312" w:hAnsi="仿宋_GB2312" w:eastAsia="仿宋_GB2312" w:cs="仿宋_GB2312"/>
          <w:b/>
          <w:bCs/>
          <w:sz w:val="30"/>
          <w:szCs w:val="30"/>
          <w:lang w:val="en-US" w:eastAsia="zh-CN"/>
        </w:rPr>
        <w:t>完成投标</w:t>
      </w:r>
      <w:r>
        <w:rPr>
          <w:rStyle w:val="37"/>
          <w:rFonts w:hint="eastAsia" w:ascii="仿宋_GB2312" w:hAnsi="仿宋_GB2312" w:eastAsia="仿宋_GB2312" w:cs="仿宋_GB2312"/>
          <w:b/>
          <w:bCs/>
          <w:sz w:val="30"/>
          <w:szCs w:val="30"/>
          <w:lang w:eastAsia="zh-CN"/>
        </w:rPr>
        <w:t>。</w:t>
      </w:r>
    </w:p>
    <w:p>
      <w:pPr>
        <w:snapToGrid w:val="0"/>
        <w:spacing w:line="560" w:lineRule="exact"/>
        <w:ind w:firstLine="600" w:firstLineChars="200"/>
        <w:rPr>
          <w:rStyle w:val="37"/>
          <w:rFonts w:hint="eastAsia" w:ascii="仿宋_GB2312" w:hAnsi="仿宋_GB2312" w:eastAsia="仿宋_GB2312" w:cs="仿宋_GB2312"/>
          <w:bCs/>
          <w:sz w:val="30"/>
          <w:szCs w:val="30"/>
        </w:rPr>
      </w:pPr>
      <w:r>
        <w:rPr>
          <w:rStyle w:val="37"/>
          <w:rFonts w:hint="eastAsia" w:ascii="仿宋_GB2312" w:hAnsi="仿宋_GB2312" w:eastAsia="仿宋_GB2312" w:cs="仿宋_GB2312"/>
          <w:bCs/>
          <w:sz w:val="30"/>
          <w:szCs w:val="30"/>
        </w:rPr>
        <w:t>说明：采购工作小组对报送资料初审。初审期间将对报名供应商通过天眼查、信用中国、政府采购网等网站核查供应商关联关系、信用情况及违法违规情况进行核查，对于存在不良记录或报送资料严重不符合要求的将被直接淘汰，对报送资料中非重要部分填写不完整的，审核小组以邮件或微信通知的方式通知供应商补充完善，未补充完成的视为自动放弃本次询价；请报名供应商主动与审核小组人员联系，确认资质审核结果；</w:t>
      </w:r>
    </w:p>
    <w:p>
      <w:pPr>
        <w:numPr>
          <w:ilvl w:val="0"/>
          <w:numId w:val="2"/>
        </w:numPr>
        <w:snapToGrid w:val="0"/>
        <w:spacing w:line="560" w:lineRule="exact"/>
        <w:ind w:firstLine="600" w:firstLineChars="200"/>
        <w:rPr>
          <w:rStyle w:val="37"/>
          <w:rFonts w:hint="eastAsia" w:ascii="仿宋_GB2312" w:hAnsi="仿宋_GB2312" w:eastAsia="仿宋_GB2312" w:cs="仿宋_GB2312"/>
          <w:bCs/>
          <w:sz w:val="30"/>
          <w:szCs w:val="30"/>
        </w:rPr>
      </w:pPr>
      <w:r>
        <w:rPr>
          <w:rStyle w:val="37"/>
          <w:rFonts w:hint="eastAsia" w:ascii="仿宋_GB2312" w:hAnsi="仿宋_GB2312" w:eastAsia="仿宋_GB2312" w:cs="仿宋_GB2312"/>
          <w:bCs/>
          <w:sz w:val="30"/>
          <w:szCs w:val="30"/>
          <w:lang w:val="en-US" w:eastAsia="zh-CN"/>
        </w:rPr>
        <w:t>开标</w:t>
      </w:r>
      <w:r>
        <w:rPr>
          <w:rStyle w:val="37"/>
          <w:rFonts w:hint="eastAsia" w:ascii="仿宋_GB2312" w:hAnsi="仿宋_GB2312" w:eastAsia="仿宋_GB2312" w:cs="仿宋_GB2312"/>
          <w:bCs/>
          <w:sz w:val="30"/>
          <w:szCs w:val="30"/>
        </w:rPr>
        <w:t>时间</w:t>
      </w:r>
      <w:r>
        <w:rPr>
          <w:rStyle w:val="37"/>
          <w:rFonts w:hint="eastAsia" w:ascii="仿宋_GB2312" w:hAnsi="仿宋_GB2312" w:eastAsia="仿宋_GB2312" w:cs="仿宋_GB2312"/>
          <w:bCs/>
          <w:sz w:val="30"/>
          <w:szCs w:val="30"/>
          <w:lang w:val="en-US" w:eastAsia="zh-CN"/>
        </w:rPr>
        <w:t>及开标方式</w:t>
      </w:r>
    </w:p>
    <w:p>
      <w:pPr>
        <w:snapToGrid w:val="0"/>
        <w:spacing w:line="560" w:lineRule="exact"/>
        <w:ind w:firstLine="600" w:firstLineChars="200"/>
        <w:rPr>
          <w:rStyle w:val="37"/>
          <w:rFonts w:hint="eastAsia" w:ascii="仿宋_GB2312" w:hAnsi="仿宋_GB2312" w:eastAsia="仿宋_GB2312" w:cs="仿宋_GB2312"/>
          <w:bCs/>
          <w:sz w:val="30"/>
          <w:szCs w:val="30"/>
          <w:highlight w:val="yellow"/>
          <w:lang w:val="en-US" w:eastAsia="zh-CN"/>
        </w:rPr>
      </w:pPr>
      <w:r>
        <w:rPr>
          <w:rStyle w:val="37"/>
          <w:rFonts w:hint="eastAsia" w:ascii="仿宋_GB2312" w:hAnsi="仿宋_GB2312" w:eastAsia="仿宋_GB2312" w:cs="仿宋_GB2312"/>
          <w:bCs/>
          <w:sz w:val="30"/>
          <w:szCs w:val="30"/>
          <w:highlight w:val="yellow"/>
          <w:lang w:val="en-US" w:eastAsia="zh-CN"/>
        </w:rPr>
        <w:t>开标时间：</w:t>
      </w:r>
      <w:r>
        <w:rPr>
          <w:rStyle w:val="37"/>
          <w:rFonts w:hint="eastAsia" w:ascii="仿宋_GB2312" w:hAnsi="仿宋_GB2312" w:eastAsia="仿宋_GB2312" w:cs="仿宋_GB2312"/>
          <w:bCs/>
          <w:sz w:val="30"/>
          <w:szCs w:val="30"/>
          <w:highlight w:val="yellow"/>
        </w:rPr>
        <w:t>202</w:t>
      </w:r>
      <w:r>
        <w:rPr>
          <w:rStyle w:val="37"/>
          <w:rFonts w:hint="eastAsia" w:ascii="仿宋_GB2312" w:hAnsi="仿宋_GB2312" w:eastAsia="仿宋_GB2312" w:cs="仿宋_GB2312"/>
          <w:bCs/>
          <w:sz w:val="30"/>
          <w:szCs w:val="30"/>
          <w:highlight w:val="yellow"/>
          <w:lang w:val="en-US" w:eastAsia="zh-CN"/>
        </w:rPr>
        <w:t>3</w:t>
      </w:r>
      <w:r>
        <w:rPr>
          <w:rStyle w:val="37"/>
          <w:rFonts w:hint="eastAsia" w:ascii="仿宋_GB2312" w:hAnsi="仿宋_GB2312" w:eastAsia="仿宋_GB2312" w:cs="仿宋_GB2312"/>
          <w:bCs/>
          <w:sz w:val="30"/>
          <w:szCs w:val="30"/>
          <w:highlight w:val="yellow"/>
        </w:rPr>
        <w:t>年7月</w:t>
      </w:r>
      <w:r>
        <w:rPr>
          <w:rStyle w:val="37"/>
          <w:rFonts w:hint="eastAsia" w:ascii="仿宋_GB2312" w:hAnsi="仿宋_GB2312" w:eastAsia="仿宋_GB2312" w:cs="仿宋_GB2312"/>
          <w:bCs/>
          <w:sz w:val="30"/>
          <w:szCs w:val="30"/>
          <w:highlight w:val="yellow"/>
          <w:lang w:val="en-US" w:eastAsia="zh-CN"/>
        </w:rPr>
        <w:t>7</w:t>
      </w:r>
      <w:r>
        <w:rPr>
          <w:rStyle w:val="37"/>
          <w:rFonts w:hint="eastAsia" w:ascii="仿宋_GB2312" w:hAnsi="仿宋_GB2312" w:eastAsia="仿宋_GB2312" w:cs="仿宋_GB2312"/>
          <w:bCs/>
          <w:sz w:val="30"/>
          <w:szCs w:val="30"/>
          <w:highlight w:val="yellow"/>
        </w:rPr>
        <w:t>日</w:t>
      </w:r>
      <w:r>
        <w:rPr>
          <w:rStyle w:val="37"/>
          <w:rFonts w:hint="eastAsia" w:ascii="仿宋_GB2312" w:hAnsi="仿宋_GB2312" w:eastAsia="仿宋_GB2312" w:cs="仿宋_GB2312"/>
          <w:bCs/>
          <w:sz w:val="30"/>
          <w:szCs w:val="30"/>
          <w:highlight w:val="yellow"/>
          <w:lang w:val="en-US" w:eastAsia="zh-CN"/>
        </w:rPr>
        <w:t>10</w:t>
      </w:r>
      <w:r>
        <w:rPr>
          <w:rStyle w:val="37"/>
          <w:rFonts w:hint="eastAsia" w:ascii="仿宋_GB2312" w:hAnsi="仿宋_GB2312" w:eastAsia="仿宋_GB2312" w:cs="仿宋_GB2312"/>
          <w:bCs/>
          <w:sz w:val="30"/>
          <w:szCs w:val="30"/>
          <w:highlight w:val="yellow"/>
        </w:rPr>
        <w:t>点</w:t>
      </w:r>
      <w:r>
        <w:rPr>
          <w:rStyle w:val="37"/>
          <w:rFonts w:hint="eastAsia" w:ascii="仿宋_GB2312" w:hAnsi="仿宋_GB2312" w:eastAsia="仿宋_GB2312" w:cs="仿宋_GB2312"/>
          <w:bCs/>
          <w:sz w:val="30"/>
          <w:szCs w:val="30"/>
          <w:highlight w:val="yellow"/>
          <w:lang w:val="en-US" w:eastAsia="zh-CN"/>
        </w:rPr>
        <w:t>开标</w:t>
      </w:r>
    </w:p>
    <w:p>
      <w:pPr>
        <w:snapToGrid w:val="0"/>
        <w:spacing w:line="560" w:lineRule="exact"/>
        <w:ind w:firstLine="600" w:firstLineChars="200"/>
        <w:rPr>
          <w:rStyle w:val="37"/>
          <w:rFonts w:hint="eastAsia" w:ascii="仿宋_GB2312" w:hAnsi="仿宋_GB2312" w:eastAsia="仿宋_GB2312" w:cs="仿宋_GB2312"/>
          <w:bCs/>
          <w:sz w:val="30"/>
          <w:szCs w:val="30"/>
          <w:highlight w:val="yellow"/>
          <w:lang w:val="en-US" w:eastAsia="zh-CN"/>
        </w:rPr>
      </w:pPr>
      <w:r>
        <w:rPr>
          <w:rStyle w:val="37"/>
          <w:rFonts w:hint="eastAsia" w:ascii="仿宋_GB2312" w:hAnsi="仿宋_GB2312" w:eastAsia="仿宋_GB2312" w:cs="仿宋_GB2312"/>
          <w:bCs/>
          <w:sz w:val="30"/>
          <w:szCs w:val="30"/>
          <w:highlight w:val="yellow"/>
          <w:lang w:val="en-US" w:eastAsia="zh-CN"/>
        </w:rPr>
        <w:t>开标方式： 腾讯会议7539288848，密码：647752</w:t>
      </w:r>
    </w:p>
    <w:p>
      <w:pPr>
        <w:snapToGrid w:val="0"/>
        <w:spacing w:line="560" w:lineRule="exact"/>
        <w:ind w:firstLine="600" w:firstLineChars="200"/>
        <w:rPr>
          <w:rStyle w:val="37"/>
          <w:rFonts w:hint="eastAsia" w:ascii="仿宋_GB2312" w:hAnsi="仿宋_GB2312" w:eastAsia="仿宋_GB2312" w:cs="仿宋_GB2312"/>
          <w:bCs/>
          <w:sz w:val="30"/>
          <w:szCs w:val="30"/>
        </w:rPr>
      </w:pPr>
      <w:r>
        <w:rPr>
          <w:rStyle w:val="37"/>
          <w:rFonts w:hint="eastAsia" w:ascii="仿宋_GB2312" w:hAnsi="仿宋_GB2312" w:eastAsia="仿宋_GB2312" w:cs="仿宋_GB2312"/>
          <w:bCs/>
          <w:sz w:val="30"/>
          <w:szCs w:val="30"/>
          <w:highlight w:val="yellow"/>
          <w:lang w:val="en-US" w:eastAsia="zh-CN"/>
        </w:rPr>
        <w:t>报价轮数：本次询比价不限定具体报价轮数，采购工作组根据开标后实际情况决定发布二次报价相应轮数</w:t>
      </w:r>
      <w:r>
        <w:rPr>
          <w:rStyle w:val="37"/>
          <w:rFonts w:hint="eastAsia" w:ascii="仿宋_GB2312" w:hAnsi="仿宋_GB2312" w:eastAsia="仿宋_GB2312" w:cs="仿宋_GB2312"/>
          <w:bCs/>
          <w:sz w:val="30"/>
          <w:szCs w:val="30"/>
          <w:highlight w:val="yellow"/>
        </w:rPr>
        <w:t>。</w:t>
      </w:r>
    </w:p>
    <w:p>
      <w:pPr>
        <w:numPr>
          <w:ilvl w:val="0"/>
          <w:numId w:val="2"/>
        </w:numPr>
        <w:snapToGrid w:val="0"/>
        <w:spacing w:line="560" w:lineRule="exact"/>
        <w:ind w:firstLine="600" w:firstLineChars="200"/>
        <w:rPr>
          <w:rStyle w:val="37"/>
          <w:rFonts w:hint="eastAsia" w:ascii="仿宋_GB2312" w:hAnsi="仿宋_GB2312" w:eastAsia="仿宋_GB2312" w:cs="仿宋_GB2312"/>
          <w:bCs/>
          <w:sz w:val="30"/>
          <w:szCs w:val="30"/>
        </w:rPr>
      </w:pPr>
      <w:r>
        <w:rPr>
          <w:rStyle w:val="37"/>
          <w:rFonts w:hint="eastAsia" w:ascii="仿宋_GB2312" w:hAnsi="仿宋_GB2312" w:eastAsia="仿宋_GB2312" w:cs="仿宋_GB2312"/>
          <w:bCs/>
          <w:sz w:val="30"/>
          <w:szCs w:val="30"/>
        </w:rPr>
        <w:t>在授标结果下发后5日内中标供应商与甘蔗糖部各投保公司签订保险合同；</w:t>
      </w:r>
    </w:p>
    <w:p>
      <w:pPr>
        <w:numPr>
          <w:ilvl w:val="0"/>
          <w:numId w:val="2"/>
        </w:numPr>
        <w:snapToGrid w:val="0"/>
        <w:spacing w:line="560" w:lineRule="exact"/>
        <w:ind w:firstLine="600" w:firstLineChars="200"/>
        <w:rPr>
          <w:rStyle w:val="37"/>
          <w:rFonts w:hint="eastAsia" w:ascii="仿宋_GB2312" w:hAnsi="仿宋_GB2312" w:eastAsia="仿宋_GB2312" w:cs="仿宋_GB2312"/>
          <w:bCs/>
          <w:sz w:val="30"/>
          <w:szCs w:val="30"/>
          <w:lang w:val="en-US" w:eastAsia="zh-CN"/>
        </w:rPr>
      </w:pPr>
      <w:r>
        <w:rPr>
          <w:rStyle w:val="37"/>
          <w:rFonts w:hint="eastAsia" w:ascii="仿宋_GB2312" w:hAnsi="仿宋_GB2312" w:eastAsia="仿宋_GB2312" w:cs="仿宋_GB2312"/>
          <w:bCs/>
          <w:sz w:val="30"/>
          <w:szCs w:val="30"/>
          <w:lang w:val="en-US" w:eastAsia="zh-CN"/>
        </w:rPr>
        <w:t>采购监督方式</w:t>
      </w:r>
    </w:p>
    <w:p>
      <w:pPr>
        <w:numPr>
          <w:numId w:val="0"/>
        </w:numPr>
        <w:snapToGrid w:val="0"/>
        <w:spacing w:line="560" w:lineRule="exact"/>
        <w:ind w:firstLine="600" w:firstLineChars="200"/>
        <w:rPr>
          <w:rStyle w:val="37"/>
          <w:rFonts w:hint="eastAsia" w:ascii="仿宋_GB2312" w:hAnsi="仿宋_GB2312" w:eastAsia="仿宋_GB2312" w:cs="仿宋_GB2312"/>
          <w:bCs/>
          <w:sz w:val="30"/>
          <w:szCs w:val="30"/>
          <w:lang w:val="en-US" w:eastAsia="zh-CN"/>
        </w:rPr>
      </w:pPr>
      <w:commentRangeStart w:id="0"/>
      <w:r>
        <w:rPr>
          <w:rStyle w:val="37"/>
          <w:rFonts w:hint="eastAsia" w:ascii="仿宋_GB2312" w:hAnsi="仿宋_GB2312" w:eastAsia="仿宋_GB2312" w:cs="仿宋_GB2312"/>
          <w:bCs/>
          <w:sz w:val="30"/>
          <w:szCs w:val="30"/>
          <w:lang w:val="en-US" w:eastAsia="zh-CN"/>
        </w:rPr>
        <w:t>一、寄信、通信地址：北京市朝阳区朝阳门南大街8号9层904室，纪委办公室收，邮编100020。</w:t>
      </w:r>
    </w:p>
    <w:p>
      <w:pPr>
        <w:numPr>
          <w:numId w:val="0"/>
        </w:numPr>
        <w:snapToGrid w:val="0"/>
        <w:spacing w:line="560" w:lineRule="exact"/>
        <w:ind w:firstLine="600" w:firstLineChars="200"/>
        <w:rPr>
          <w:rStyle w:val="37"/>
          <w:rFonts w:hint="eastAsia" w:ascii="仿宋_GB2312" w:hAnsi="仿宋_GB2312" w:eastAsia="仿宋_GB2312" w:cs="仿宋_GB2312"/>
          <w:bCs/>
          <w:sz w:val="30"/>
          <w:szCs w:val="30"/>
          <w:lang w:val="en-US" w:eastAsia="zh-CN"/>
        </w:rPr>
      </w:pPr>
      <w:r>
        <w:rPr>
          <w:rStyle w:val="37"/>
          <w:rFonts w:hint="eastAsia" w:ascii="仿宋_GB2312" w:hAnsi="仿宋_GB2312" w:eastAsia="仿宋_GB2312" w:cs="仿宋_GB2312"/>
          <w:bCs/>
          <w:sz w:val="30"/>
          <w:szCs w:val="30"/>
          <w:lang w:val="en-US" w:eastAsia="zh-CN"/>
        </w:rPr>
        <w:t>二、致电 举报电话：010-85017235。</w:t>
      </w:r>
      <w:commentRangeEnd w:id="0"/>
      <w:r>
        <w:rPr>
          <w:rStyle w:val="37"/>
          <w:rFonts w:hint="eastAsia" w:ascii="仿宋_GB2312" w:hAnsi="仿宋_GB2312" w:eastAsia="仿宋_GB2312" w:cs="仿宋_GB2312"/>
          <w:bCs/>
          <w:sz w:val="30"/>
          <w:szCs w:val="30"/>
          <w:lang w:val="en-US" w:eastAsia="zh-CN"/>
        </w:rPr>
        <w:commentReference w:id="0"/>
      </w:r>
    </w:p>
    <w:p>
      <w:pPr>
        <w:pStyle w:val="2"/>
        <w:rPr>
          <w:rStyle w:val="37"/>
          <w:rFonts w:hint="eastAsia" w:ascii="仿宋_GB2312" w:hAnsi="仿宋_GB2312" w:eastAsia="仿宋_GB2312" w:cs="仿宋_GB2312"/>
          <w:bCs/>
          <w:sz w:val="30"/>
          <w:szCs w:val="30"/>
          <w:lang w:val="en-US" w:eastAsia="zh-CN"/>
        </w:rPr>
      </w:pPr>
      <w:r>
        <w:rPr>
          <w:rStyle w:val="37"/>
          <w:rFonts w:hint="eastAsia" w:ascii="仿宋_GB2312" w:hAnsi="仿宋_GB2312" w:eastAsia="仿宋_GB2312" w:cs="仿宋_GB2312"/>
          <w:bCs/>
          <w:sz w:val="30"/>
          <w:szCs w:val="30"/>
          <w:lang w:val="en-US" w:eastAsia="zh-CN"/>
        </w:rPr>
        <w:t>八、联系方式</w:t>
      </w:r>
    </w:p>
    <w:p>
      <w:pPr>
        <w:pStyle w:val="2"/>
        <w:rPr>
          <w:rStyle w:val="37"/>
          <w:rFonts w:hint="default" w:ascii="仿宋_GB2312" w:hAnsi="仿宋_GB2312" w:eastAsia="仿宋_GB2312" w:cs="仿宋_GB2312"/>
          <w:bCs/>
          <w:sz w:val="30"/>
          <w:szCs w:val="30"/>
          <w:lang w:val="en-US" w:eastAsia="zh-CN"/>
        </w:rPr>
      </w:pPr>
      <w:r>
        <w:rPr>
          <w:rStyle w:val="37"/>
          <w:rFonts w:hint="eastAsia" w:ascii="仿宋_GB2312" w:hAnsi="仿宋_GB2312" w:eastAsia="仿宋_GB2312" w:cs="仿宋_GB2312"/>
          <w:bCs/>
          <w:sz w:val="30"/>
          <w:szCs w:val="30"/>
          <w:lang w:val="en-US" w:eastAsia="zh-CN"/>
        </w:rPr>
        <w:t>采购人：中粮糖业甘蔗糖部</w:t>
      </w:r>
    </w:p>
    <w:p>
      <w:pPr>
        <w:pStyle w:val="2"/>
        <w:rPr>
          <w:rStyle w:val="37"/>
          <w:rFonts w:hint="eastAsia" w:ascii="仿宋_GB2312" w:hAnsi="仿宋_GB2312" w:eastAsia="仿宋_GB2312" w:cs="仿宋_GB2312"/>
          <w:bCs/>
          <w:sz w:val="30"/>
          <w:szCs w:val="30"/>
          <w:lang w:val="en-US" w:eastAsia="zh-CN"/>
        </w:rPr>
      </w:pPr>
      <w:r>
        <w:rPr>
          <w:rStyle w:val="37"/>
          <w:rFonts w:hint="eastAsia" w:ascii="仿宋_GB2312" w:hAnsi="仿宋_GB2312" w:eastAsia="仿宋_GB2312" w:cs="仿宋_GB2312"/>
          <w:bCs/>
          <w:sz w:val="30"/>
          <w:szCs w:val="30"/>
          <w:lang w:val="en-US" w:eastAsia="zh-CN"/>
        </w:rPr>
        <w:t>联系人：黄晓姗</w:t>
      </w:r>
    </w:p>
    <w:p>
      <w:pPr>
        <w:pStyle w:val="2"/>
        <w:rPr>
          <w:rFonts w:hint="default"/>
          <w:lang w:val="en-US" w:eastAsia="zh-CN"/>
        </w:rPr>
      </w:pPr>
      <w:r>
        <w:rPr>
          <w:rStyle w:val="37"/>
          <w:rFonts w:hint="eastAsia" w:ascii="仿宋_GB2312" w:hAnsi="仿宋_GB2312" w:eastAsia="仿宋_GB2312" w:cs="仿宋_GB2312"/>
          <w:bCs/>
          <w:sz w:val="30"/>
          <w:szCs w:val="30"/>
          <w:lang w:val="en-US" w:eastAsia="zh-CN"/>
        </w:rPr>
        <w:t>电话： 18677128992</w:t>
      </w: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p>
    <w:p>
      <w:pPr>
        <w:snapToGrid w:val="0"/>
        <w:jc w:val="center"/>
        <w:rPr>
          <w:rStyle w:val="37"/>
          <w:rFonts w:ascii="宋体" w:hAnsi="宋体"/>
          <w:b/>
          <w:bCs/>
          <w:sz w:val="36"/>
          <w:szCs w:val="36"/>
        </w:rPr>
      </w:pPr>
      <w:r>
        <w:rPr>
          <w:rStyle w:val="37"/>
          <w:rFonts w:ascii="宋体" w:hAnsi="宋体"/>
          <w:b/>
          <w:bCs/>
          <w:sz w:val="36"/>
          <w:szCs w:val="36"/>
        </w:rPr>
        <w:br w:type="page"/>
      </w:r>
    </w:p>
    <w:p>
      <w:pPr>
        <w:numPr>
          <w:ilvl w:val="0"/>
          <w:numId w:val="1"/>
        </w:numPr>
        <w:snapToGrid w:val="0"/>
        <w:ind w:left="0"/>
        <w:jc w:val="center"/>
        <w:rPr>
          <w:rStyle w:val="37"/>
          <w:rFonts w:ascii="宋体" w:hAnsi="宋体"/>
          <w:b/>
          <w:bCs/>
          <w:sz w:val="36"/>
          <w:szCs w:val="36"/>
        </w:rPr>
      </w:pPr>
      <w:r>
        <w:rPr>
          <w:rStyle w:val="37"/>
          <w:rFonts w:hint="eastAsia" w:ascii="黑体" w:hAnsi="黑体" w:eastAsia="黑体" w:cs="黑体"/>
          <w:sz w:val="36"/>
          <w:szCs w:val="36"/>
        </w:rPr>
        <w:t>报价说明</w:t>
      </w:r>
    </w:p>
    <w:p>
      <w:pPr>
        <w:numPr>
          <w:ilvl w:val="0"/>
          <w:numId w:val="0"/>
        </w:numPr>
        <w:snapToGrid w:val="0"/>
        <w:spacing w:line="560" w:lineRule="exact"/>
        <w:ind w:firstLine="600" w:firstLineChars="200"/>
        <w:rPr>
          <w:rStyle w:val="37"/>
          <w:rFonts w:hint="eastAsia" w:ascii="仿宋_GB2312" w:hAnsi="仿宋_GB2312" w:eastAsia="仿宋_GB2312" w:cs="仿宋_GB2312"/>
          <w:bCs/>
          <w:sz w:val="30"/>
          <w:szCs w:val="30"/>
        </w:rPr>
      </w:pPr>
      <w:r>
        <w:rPr>
          <w:rStyle w:val="37"/>
          <w:rFonts w:hint="eastAsia" w:ascii="仿宋_GB2312" w:hAnsi="仿宋_GB2312" w:eastAsia="仿宋_GB2312" w:cs="仿宋_GB2312"/>
          <w:bCs/>
          <w:sz w:val="30"/>
          <w:szCs w:val="30"/>
          <w:lang w:val="en-US" w:eastAsia="zh-CN"/>
        </w:rPr>
        <w:t>1.</w:t>
      </w:r>
      <w:r>
        <w:rPr>
          <w:rStyle w:val="37"/>
          <w:rFonts w:hint="eastAsia" w:ascii="仿宋_GB2312" w:hAnsi="仿宋_GB2312" w:eastAsia="仿宋_GB2312" w:cs="仿宋_GB2312"/>
          <w:bCs/>
          <w:sz w:val="30"/>
          <w:szCs w:val="30"/>
        </w:rPr>
        <w:t>本次询比价有效期为</w:t>
      </w:r>
      <w:r>
        <w:rPr>
          <w:rStyle w:val="37"/>
          <w:rFonts w:hint="eastAsia" w:ascii="仿宋_GB2312" w:hAnsi="仿宋_GB2312" w:eastAsia="仿宋_GB2312" w:cs="仿宋_GB2312"/>
          <w:bCs/>
          <w:sz w:val="30"/>
          <w:szCs w:val="30"/>
          <w:lang w:val="en-US" w:eastAsia="zh-CN"/>
        </w:rPr>
        <w:t>9</w:t>
      </w:r>
      <w:r>
        <w:rPr>
          <w:rStyle w:val="37"/>
          <w:rFonts w:hint="eastAsia" w:ascii="仿宋_GB2312" w:hAnsi="仿宋_GB2312" w:eastAsia="仿宋_GB2312" w:cs="仿宋_GB2312"/>
          <w:bCs/>
          <w:sz w:val="30"/>
          <w:szCs w:val="30"/>
        </w:rPr>
        <w:t>0天；</w:t>
      </w:r>
    </w:p>
    <w:p>
      <w:pPr>
        <w:numPr>
          <w:ilvl w:val="0"/>
          <w:numId w:val="0"/>
        </w:numPr>
        <w:snapToGrid w:val="0"/>
        <w:spacing w:line="560" w:lineRule="exact"/>
        <w:ind w:firstLine="600" w:firstLineChars="200"/>
        <w:rPr>
          <w:rStyle w:val="37"/>
          <w:rFonts w:hint="eastAsia" w:ascii="仿宋_GB2312" w:hAnsi="仿宋_GB2312" w:eastAsia="仿宋_GB2312" w:cs="仿宋_GB2312"/>
          <w:bCs/>
          <w:sz w:val="30"/>
          <w:szCs w:val="30"/>
        </w:rPr>
      </w:pPr>
      <w:r>
        <w:rPr>
          <w:rStyle w:val="37"/>
          <w:rFonts w:hint="eastAsia" w:ascii="仿宋_GB2312" w:hAnsi="仿宋_GB2312" w:eastAsia="仿宋_GB2312" w:cs="仿宋_GB2312"/>
          <w:bCs/>
          <w:sz w:val="30"/>
          <w:szCs w:val="30"/>
          <w:lang w:val="en-US" w:eastAsia="zh-CN"/>
        </w:rPr>
        <w:t>2.</w:t>
      </w:r>
      <w:r>
        <w:rPr>
          <w:rStyle w:val="37"/>
          <w:rFonts w:hint="eastAsia" w:ascii="仿宋_GB2312" w:hAnsi="仿宋_GB2312" w:eastAsia="仿宋_GB2312" w:cs="仿宋_GB2312"/>
          <w:bCs/>
          <w:sz w:val="30"/>
          <w:szCs w:val="30"/>
        </w:rPr>
        <w:t>财产</w:t>
      </w:r>
      <w:r>
        <w:rPr>
          <w:rStyle w:val="37"/>
          <w:rFonts w:hint="eastAsia" w:ascii="仿宋_GB2312" w:hAnsi="仿宋_GB2312" w:eastAsia="仿宋_GB2312" w:cs="仿宋_GB2312"/>
          <w:bCs/>
          <w:sz w:val="30"/>
          <w:szCs w:val="30"/>
          <w:lang w:val="en-US" w:eastAsia="zh-CN"/>
        </w:rPr>
        <w:t>一切险、机损险、公众责任险</w:t>
      </w:r>
      <w:r>
        <w:rPr>
          <w:rStyle w:val="37"/>
          <w:rFonts w:hint="eastAsia" w:ascii="仿宋_GB2312" w:hAnsi="仿宋_GB2312" w:eastAsia="仿宋_GB2312" w:cs="仿宋_GB2312"/>
          <w:bCs/>
          <w:sz w:val="30"/>
          <w:szCs w:val="30"/>
        </w:rPr>
        <w:t>保险履约周期：202</w:t>
      </w:r>
      <w:r>
        <w:rPr>
          <w:rStyle w:val="37"/>
          <w:rFonts w:hint="eastAsia" w:ascii="仿宋_GB2312" w:hAnsi="仿宋_GB2312" w:eastAsia="仿宋_GB2312" w:cs="仿宋_GB2312"/>
          <w:bCs/>
          <w:sz w:val="30"/>
          <w:szCs w:val="30"/>
          <w:lang w:val="en-US" w:eastAsia="zh-CN"/>
        </w:rPr>
        <w:t>3</w:t>
      </w:r>
      <w:r>
        <w:rPr>
          <w:rStyle w:val="37"/>
          <w:rFonts w:hint="eastAsia" w:ascii="仿宋_GB2312" w:hAnsi="仿宋_GB2312" w:eastAsia="仿宋_GB2312" w:cs="仿宋_GB2312"/>
          <w:bCs/>
          <w:sz w:val="30"/>
          <w:szCs w:val="30"/>
        </w:rPr>
        <w:t>年8月1日-202</w:t>
      </w:r>
      <w:r>
        <w:rPr>
          <w:rStyle w:val="37"/>
          <w:rFonts w:hint="eastAsia" w:ascii="仿宋_GB2312" w:hAnsi="仿宋_GB2312" w:eastAsia="仿宋_GB2312" w:cs="仿宋_GB2312"/>
          <w:bCs/>
          <w:sz w:val="30"/>
          <w:szCs w:val="30"/>
          <w:lang w:val="en-US" w:eastAsia="zh-CN"/>
        </w:rPr>
        <w:t>4</w:t>
      </w:r>
      <w:r>
        <w:rPr>
          <w:rStyle w:val="37"/>
          <w:rFonts w:hint="eastAsia" w:ascii="仿宋_GB2312" w:hAnsi="仿宋_GB2312" w:eastAsia="仿宋_GB2312" w:cs="仿宋_GB2312"/>
          <w:bCs/>
          <w:sz w:val="30"/>
          <w:szCs w:val="30"/>
        </w:rPr>
        <w:t>年7月31日；</w:t>
      </w:r>
    </w:p>
    <w:p>
      <w:pPr>
        <w:numPr>
          <w:ilvl w:val="0"/>
          <w:numId w:val="0"/>
        </w:numPr>
        <w:snapToGrid w:val="0"/>
        <w:spacing w:line="560" w:lineRule="exact"/>
        <w:ind w:firstLine="600" w:firstLineChars="200"/>
        <w:rPr>
          <w:rStyle w:val="37"/>
          <w:rFonts w:hint="eastAsia" w:ascii="仿宋_GB2312" w:hAnsi="仿宋_GB2312" w:eastAsia="仿宋_GB2312" w:cs="仿宋_GB2312"/>
          <w:bCs/>
          <w:sz w:val="30"/>
          <w:szCs w:val="30"/>
        </w:rPr>
      </w:pPr>
      <w:r>
        <w:rPr>
          <w:rStyle w:val="37"/>
          <w:rFonts w:hint="eastAsia" w:ascii="仿宋_GB2312" w:hAnsi="仿宋_GB2312" w:eastAsia="仿宋_GB2312" w:cs="仿宋_GB2312"/>
          <w:bCs/>
          <w:sz w:val="30"/>
          <w:szCs w:val="30"/>
          <w:lang w:val="en-US" w:eastAsia="zh-CN"/>
        </w:rPr>
        <w:t>3.</w:t>
      </w:r>
      <w:r>
        <w:rPr>
          <w:rStyle w:val="37"/>
          <w:rFonts w:hint="eastAsia" w:ascii="仿宋_GB2312" w:hAnsi="仿宋_GB2312" w:eastAsia="仿宋_GB2312" w:cs="仿宋_GB2312"/>
          <w:bCs/>
          <w:sz w:val="30"/>
          <w:szCs w:val="30"/>
        </w:rPr>
        <w:t>投保单位：中粮崇左糖业有限公司、中粮崇左江州糖业有限公司、中粮屯河北海糖业有限公司、英德市粤北糖业有限公司、中粮梁河糖业有限公司、广西益兴农业科技发展有限公司；</w:t>
      </w:r>
    </w:p>
    <w:p>
      <w:pPr>
        <w:numPr>
          <w:ilvl w:val="0"/>
          <w:numId w:val="0"/>
        </w:numPr>
        <w:snapToGrid w:val="0"/>
        <w:spacing w:line="560" w:lineRule="exact"/>
        <w:ind w:firstLine="600" w:firstLineChars="200"/>
        <w:rPr>
          <w:rStyle w:val="37"/>
          <w:rFonts w:hint="eastAsia" w:ascii="仿宋_GB2312" w:hAnsi="仿宋_GB2312" w:eastAsia="仿宋_GB2312" w:cs="仿宋_GB2312"/>
          <w:bCs/>
          <w:sz w:val="30"/>
          <w:szCs w:val="30"/>
        </w:rPr>
      </w:pPr>
      <w:r>
        <w:rPr>
          <w:rStyle w:val="37"/>
          <w:rFonts w:hint="eastAsia" w:ascii="仿宋_GB2312" w:hAnsi="仿宋_GB2312" w:eastAsia="仿宋_GB2312" w:cs="仿宋_GB2312"/>
          <w:bCs/>
          <w:sz w:val="30"/>
          <w:szCs w:val="30"/>
          <w:lang w:val="en-US" w:eastAsia="zh-CN"/>
        </w:rPr>
        <w:t>4.</w:t>
      </w:r>
      <w:r>
        <w:rPr>
          <w:rStyle w:val="37"/>
          <w:rFonts w:hint="eastAsia" w:ascii="仿宋_GB2312" w:hAnsi="仿宋_GB2312" w:eastAsia="仿宋_GB2312" w:cs="仿宋_GB2312"/>
          <w:bCs/>
          <w:sz w:val="30"/>
          <w:szCs w:val="30"/>
        </w:rPr>
        <w:t>本次报价时间截至202</w:t>
      </w:r>
      <w:r>
        <w:rPr>
          <w:rStyle w:val="37"/>
          <w:rFonts w:hint="eastAsia" w:ascii="仿宋_GB2312" w:hAnsi="仿宋_GB2312" w:eastAsia="仿宋_GB2312" w:cs="仿宋_GB2312"/>
          <w:bCs/>
          <w:sz w:val="30"/>
          <w:szCs w:val="30"/>
          <w:lang w:val="en-US" w:eastAsia="zh-CN"/>
        </w:rPr>
        <w:t>3</w:t>
      </w:r>
      <w:r>
        <w:rPr>
          <w:rStyle w:val="37"/>
          <w:rFonts w:hint="eastAsia" w:ascii="仿宋_GB2312" w:hAnsi="仿宋_GB2312" w:eastAsia="仿宋_GB2312" w:cs="仿宋_GB2312"/>
          <w:bCs/>
          <w:sz w:val="30"/>
          <w:szCs w:val="30"/>
        </w:rPr>
        <w:t>年 7月</w:t>
      </w:r>
      <w:r>
        <w:rPr>
          <w:rStyle w:val="37"/>
          <w:rFonts w:hint="eastAsia" w:ascii="仿宋_GB2312" w:hAnsi="仿宋_GB2312" w:eastAsia="仿宋_GB2312" w:cs="仿宋_GB2312"/>
          <w:bCs/>
          <w:sz w:val="30"/>
          <w:szCs w:val="30"/>
          <w:lang w:val="en-US" w:eastAsia="zh-CN"/>
        </w:rPr>
        <w:t>7</w:t>
      </w:r>
      <w:r>
        <w:rPr>
          <w:rStyle w:val="37"/>
          <w:rFonts w:hint="eastAsia" w:ascii="仿宋_GB2312" w:hAnsi="仿宋_GB2312" w:eastAsia="仿宋_GB2312" w:cs="仿宋_GB2312"/>
          <w:bCs/>
          <w:sz w:val="30"/>
          <w:szCs w:val="30"/>
        </w:rPr>
        <w:t>日10点；</w:t>
      </w:r>
    </w:p>
    <w:tbl>
      <w:tblPr>
        <w:tblStyle w:val="27"/>
        <w:tblpPr w:leftFromText="180" w:rightFromText="180" w:vertAnchor="text" w:horzAnchor="page" w:tblpX="589" w:tblpY="563"/>
        <w:tblOverlap w:val="never"/>
        <w:tblW w:w="11003" w:type="dxa"/>
        <w:tblInd w:w="0" w:type="dxa"/>
        <w:tblLayout w:type="fixed"/>
        <w:tblCellMar>
          <w:top w:w="0" w:type="dxa"/>
          <w:left w:w="108" w:type="dxa"/>
          <w:bottom w:w="0" w:type="dxa"/>
          <w:right w:w="108" w:type="dxa"/>
        </w:tblCellMar>
      </w:tblPr>
      <w:tblGrid>
        <w:gridCol w:w="1261"/>
        <w:gridCol w:w="1755"/>
        <w:gridCol w:w="1343"/>
        <w:gridCol w:w="1673"/>
        <w:gridCol w:w="1641"/>
        <w:gridCol w:w="3330"/>
      </w:tblGrid>
      <w:tr>
        <w:tblPrEx>
          <w:tblCellMar>
            <w:top w:w="0" w:type="dxa"/>
            <w:left w:w="108" w:type="dxa"/>
            <w:bottom w:w="0" w:type="dxa"/>
            <w:right w:w="108" w:type="dxa"/>
          </w:tblCellMar>
        </w:tblPrEx>
        <w:trPr>
          <w:trHeight w:val="465" w:hRule="atLeast"/>
        </w:trPr>
        <w:tc>
          <w:tcPr>
            <w:tcW w:w="1261"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报价名称</w:t>
            </w:r>
          </w:p>
        </w:tc>
        <w:tc>
          <w:tcPr>
            <w:tcW w:w="1755" w:type="dxa"/>
            <w:tcBorders>
              <w:top w:val="single" w:color="auto" w:sz="4" w:space="0"/>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险种</w:t>
            </w:r>
          </w:p>
        </w:tc>
        <w:tc>
          <w:tcPr>
            <w:tcW w:w="1343" w:type="dxa"/>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保险费率（含税）</w:t>
            </w:r>
          </w:p>
        </w:tc>
        <w:tc>
          <w:tcPr>
            <w:tcW w:w="1673" w:type="dxa"/>
            <w:tcBorders>
              <w:top w:val="single" w:color="auto" w:sz="4" w:space="0"/>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保险费（含税）</w:t>
            </w:r>
          </w:p>
        </w:tc>
        <w:tc>
          <w:tcPr>
            <w:tcW w:w="1641" w:type="dxa"/>
            <w:tcBorders>
              <w:top w:val="single" w:color="auto" w:sz="4" w:space="0"/>
              <w:left w:val="nil"/>
              <w:bottom w:val="single" w:color="auto" w:sz="4" w:space="0"/>
              <w:right w:val="single" w:color="auto" w:sz="4" w:space="0"/>
            </w:tcBorders>
            <w:shd w:val="clear" w:color="auto" w:fill="auto"/>
            <w:noWrap/>
            <w:vAlign w:val="center"/>
          </w:tcPr>
          <w:p>
            <w:pPr>
              <w:jc w:val="center"/>
              <w:textAlignment w:val="auto"/>
              <w:rPr>
                <w:rFonts w:hint="default" w:ascii="宋体" w:hAnsi="宋体" w:eastAsia="宋体" w:cs="宋体"/>
                <w:color w:val="000000"/>
                <w:kern w:val="0"/>
                <w:sz w:val="18"/>
                <w:szCs w:val="18"/>
                <w:lang w:val="en-US" w:eastAsia="zh-CN"/>
              </w:rPr>
            </w:pPr>
            <w:r>
              <w:rPr>
                <w:rFonts w:hint="eastAsia" w:ascii="宋体" w:hAnsi="宋体" w:cs="宋体"/>
                <w:color w:val="000000"/>
                <w:kern w:val="0"/>
                <w:sz w:val="18"/>
                <w:szCs w:val="18"/>
                <w:lang w:val="en-US" w:eastAsia="zh-CN"/>
              </w:rPr>
              <w:t>备注</w:t>
            </w:r>
          </w:p>
        </w:tc>
        <w:tc>
          <w:tcPr>
            <w:tcW w:w="3330" w:type="dxa"/>
            <w:tcBorders>
              <w:top w:val="single" w:color="auto" w:sz="4" w:space="0"/>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说明</w:t>
            </w:r>
          </w:p>
        </w:tc>
      </w:tr>
      <w:tr>
        <w:tblPrEx>
          <w:tblCellMar>
            <w:top w:w="0" w:type="dxa"/>
            <w:left w:w="108" w:type="dxa"/>
            <w:bottom w:w="0" w:type="dxa"/>
            <w:right w:w="108" w:type="dxa"/>
          </w:tblCellMar>
        </w:tblPrEx>
        <w:trPr>
          <w:trHeight w:val="465" w:hRule="atLeast"/>
        </w:trPr>
        <w:tc>
          <w:tcPr>
            <w:tcW w:w="1261" w:type="dxa"/>
            <w:vMerge w:val="restart"/>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崇左糖业</w:t>
            </w: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财产一切险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restart"/>
            <w:tcBorders>
              <w:top w:val="nil"/>
              <w:left w:val="nil"/>
              <w:right w:val="single" w:color="auto" w:sz="4" w:space="0"/>
            </w:tcBorders>
            <w:shd w:val="clear" w:color="auto" w:fill="auto"/>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具体各公司承保金额及保险要求请详见附件1；</w:t>
            </w:r>
          </w:p>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保险须在接到投保方报险申请后，需要现场勘察的，须在72小时内到达现场，保险资料提交齐全后，需在一个月内完成出险及理赔。</w:t>
            </w:r>
          </w:p>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崇左糖业、江州糖业、北海糖业，益兴农业机损险都保一年；梁河糖业机损险投保期间：202</w:t>
            </w:r>
            <w:r>
              <w:rPr>
                <w:rFonts w:hint="eastAsia" w:ascii="宋体" w:hAnsi="宋体" w:cs="宋体"/>
                <w:color w:val="000000"/>
                <w:kern w:val="0"/>
                <w:sz w:val="18"/>
                <w:szCs w:val="18"/>
                <w:lang w:val="en-US" w:eastAsia="zh-CN"/>
              </w:rPr>
              <w:t>3</w:t>
            </w:r>
            <w:r>
              <w:rPr>
                <w:rFonts w:hint="eastAsia" w:ascii="宋体" w:hAnsi="宋体" w:cs="宋体"/>
                <w:color w:val="000000"/>
                <w:kern w:val="0"/>
                <w:sz w:val="18"/>
                <w:szCs w:val="18"/>
              </w:rPr>
              <w:t>年12月1日-202</w:t>
            </w:r>
            <w:r>
              <w:rPr>
                <w:rFonts w:hint="eastAsia" w:ascii="宋体" w:hAnsi="宋体" w:cs="宋体"/>
                <w:color w:val="000000"/>
                <w:kern w:val="0"/>
                <w:sz w:val="18"/>
                <w:szCs w:val="18"/>
                <w:lang w:val="en-US" w:eastAsia="zh-CN"/>
              </w:rPr>
              <w:t>4</w:t>
            </w:r>
            <w:r>
              <w:rPr>
                <w:rFonts w:hint="eastAsia" w:ascii="宋体" w:hAnsi="宋体" w:cs="宋体"/>
                <w:color w:val="000000"/>
                <w:kern w:val="0"/>
                <w:sz w:val="18"/>
                <w:szCs w:val="18"/>
              </w:rPr>
              <w:t>年</w:t>
            </w:r>
            <w:r>
              <w:rPr>
                <w:rFonts w:hint="eastAsia" w:ascii="宋体" w:hAnsi="宋体" w:cs="宋体"/>
                <w:color w:val="000000"/>
                <w:kern w:val="0"/>
                <w:sz w:val="18"/>
                <w:szCs w:val="18"/>
                <w:lang w:val="en-US" w:eastAsia="zh-CN"/>
              </w:rPr>
              <w:t>6</w:t>
            </w:r>
            <w:r>
              <w:rPr>
                <w:rFonts w:hint="eastAsia" w:ascii="宋体" w:hAnsi="宋体" w:cs="宋体"/>
                <w:color w:val="000000"/>
                <w:kern w:val="0"/>
                <w:sz w:val="18"/>
                <w:szCs w:val="18"/>
              </w:rPr>
              <w:t>月3</w:t>
            </w:r>
            <w:r>
              <w:rPr>
                <w:rFonts w:hint="eastAsia" w:ascii="宋体" w:hAnsi="宋体" w:cs="宋体"/>
                <w:color w:val="000000"/>
                <w:kern w:val="0"/>
                <w:sz w:val="18"/>
                <w:szCs w:val="18"/>
                <w:lang w:val="en-US" w:eastAsia="zh-CN"/>
              </w:rPr>
              <w:t>0</w:t>
            </w:r>
            <w:r>
              <w:rPr>
                <w:rFonts w:hint="eastAsia" w:ascii="宋体" w:hAnsi="宋体" w:cs="宋体"/>
                <w:color w:val="000000"/>
                <w:kern w:val="0"/>
                <w:sz w:val="18"/>
                <w:szCs w:val="18"/>
              </w:rPr>
              <w:t>日，粤北机损险保险投保期限：202</w:t>
            </w:r>
            <w:r>
              <w:rPr>
                <w:rFonts w:hint="eastAsia" w:ascii="宋体" w:hAnsi="宋体" w:cs="宋体"/>
                <w:color w:val="000000"/>
                <w:kern w:val="0"/>
                <w:sz w:val="18"/>
                <w:szCs w:val="18"/>
                <w:lang w:val="en-US" w:eastAsia="zh-CN"/>
              </w:rPr>
              <w:t>3</w:t>
            </w:r>
            <w:r>
              <w:rPr>
                <w:rFonts w:hint="eastAsia" w:ascii="宋体" w:hAnsi="宋体" w:cs="宋体"/>
                <w:color w:val="000000"/>
                <w:kern w:val="0"/>
                <w:sz w:val="18"/>
                <w:szCs w:val="18"/>
              </w:rPr>
              <w:t>年11月</w:t>
            </w:r>
            <w:r>
              <w:rPr>
                <w:rFonts w:hint="eastAsia" w:ascii="宋体" w:hAnsi="宋体" w:cs="宋体"/>
                <w:color w:val="000000"/>
                <w:kern w:val="0"/>
                <w:sz w:val="18"/>
                <w:szCs w:val="18"/>
                <w:lang w:val="en-US" w:eastAsia="zh-CN"/>
              </w:rPr>
              <w:t>15</w:t>
            </w:r>
            <w:r>
              <w:rPr>
                <w:rFonts w:hint="eastAsia" w:ascii="宋体" w:hAnsi="宋体" w:cs="宋体"/>
                <w:color w:val="000000"/>
                <w:kern w:val="0"/>
                <w:sz w:val="18"/>
                <w:szCs w:val="18"/>
              </w:rPr>
              <w:t>日-202</w:t>
            </w:r>
            <w:r>
              <w:rPr>
                <w:rFonts w:hint="eastAsia" w:ascii="宋体" w:hAnsi="宋体" w:cs="宋体"/>
                <w:color w:val="000000"/>
                <w:kern w:val="0"/>
                <w:sz w:val="18"/>
                <w:szCs w:val="18"/>
                <w:lang w:val="en-US" w:eastAsia="zh-CN"/>
              </w:rPr>
              <w:t>4</w:t>
            </w:r>
            <w:r>
              <w:rPr>
                <w:rFonts w:hint="eastAsia" w:ascii="宋体" w:hAnsi="宋体" w:cs="宋体"/>
                <w:color w:val="000000"/>
                <w:kern w:val="0"/>
                <w:sz w:val="18"/>
                <w:szCs w:val="18"/>
              </w:rPr>
              <w:t>年3月</w:t>
            </w:r>
            <w:r>
              <w:rPr>
                <w:rFonts w:hint="eastAsia" w:ascii="宋体" w:hAnsi="宋体" w:cs="宋体"/>
                <w:color w:val="000000"/>
                <w:kern w:val="0"/>
                <w:sz w:val="18"/>
                <w:szCs w:val="18"/>
                <w:lang w:val="en-US" w:eastAsia="zh-CN"/>
              </w:rPr>
              <w:t>31</w:t>
            </w:r>
            <w:r>
              <w:rPr>
                <w:rFonts w:hint="eastAsia" w:ascii="宋体" w:hAnsi="宋体" w:cs="宋体"/>
                <w:color w:val="000000"/>
                <w:kern w:val="0"/>
                <w:sz w:val="18"/>
                <w:szCs w:val="18"/>
              </w:rPr>
              <w:t>日，</w:t>
            </w:r>
          </w:p>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p>
            <w:pPr>
              <w:jc w:val="center"/>
              <w:rPr>
                <w:rFonts w:ascii="宋体" w:hAnsi="宋体" w:cs="宋体"/>
                <w:color w:val="000000"/>
                <w:kern w:val="0"/>
                <w:sz w:val="18"/>
                <w:szCs w:val="18"/>
              </w:rPr>
            </w:pPr>
            <w:r>
              <w:rPr>
                <w:rFonts w:hint="eastAsia" w:ascii="宋体" w:hAnsi="宋体" w:cs="宋体"/>
                <w:color w:val="000000"/>
                <w:kern w:val="0"/>
                <w:sz w:val="18"/>
                <w:szCs w:val="18"/>
              </w:rPr>
              <w:t>　</w:t>
            </w:r>
          </w:p>
          <w:p>
            <w:pPr>
              <w:jc w:val="center"/>
              <w:rPr>
                <w:rFonts w:ascii="宋体" w:hAnsi="宋体" w:cs="宋体"/>
                <w:color w:val="000000"/>
                <w:kern w:val="0"/>
                <w:sz w:val="18"/>
                <w:szCs w:val="18"/>
              </w:rPr>
            </w:pPr>
            <w:r>
              <w:rPr>
                <w:rFonts w:hint="eastAsia" w:ascii="宋体" w:hAnsi="宋体" w:cs="宋体"/>
                <w:color w:val="000000"/>
                <w:kern w:val="0"/>
                <w:sz w:val="18"/>
                <w:szCs w:val="18"/>
              </w:rPr>
              <w:t>　</w:t>
            </w:r>
          </w:p>
        </w:tc>
      </w:tr>
      <w:tr>
        <w:tblPrEx>
          <w:tblCellMar>
            <w:top w:w="0" w:type="dxa"/>
            <w:left w:w="108" w:type="dxa"/>
            <w:bottom w:w="0" w:type="dxa"/>
            <w:right w:w="108" w:type="dxa"/>
          </w:tblCellMar>
        </w:tblPrEx>
        <w:trPr>
          <w:trHeight w:val="465"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机器损坏险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single" w:color="auto" w:sz="4" w:space="0"/>
              <w:right w:val="single" w:color="auto" w:sz="4" w:space="0"/>
            </w:tcBorders>
            <w:shd w:val="clear" w:color="auto" w:fill="auto"/>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公众责任险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single" w:color="auto" w:sz="4" w:space="0"/>
              <w:right w:val="single" w:color="auto" w:sz="4" w:space="0"/>
            </w:tcBorders>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restart"/>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江州糖业</w:t>
            </w: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财产一切险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single" w:color="auto" w:sz="4" w:space="0"/>
              <w:right w:val="single" w:color="auto" w:sz="4" w:space="0"/>
            </w:tcBorders>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机器损坏险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single" w:color="auto" w:sz="4" w:space="0"/>
              <w:right w:val="single" w:color="auto" w:sz="4" w:space="0"/>
            </w:tcBorders>
            <w:shd w:val="clear" w:color="auto" w:fill="auto"/>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公众责任险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single" w:color="auto" w:sz="4" w:space="0"/>
              <w:right w:val="single" w:color="auto" w:sz="4" w:space="0"/>
            </w:tcBorders>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restart"/>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北海糖业</w:t>
            </w: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财产一切险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single" w:color="auto" w:sz="4" w:space="0"/>
              <w:right w:val="single" w:color="auto" w:sz="4" w:space="0"/>
            </w:tcBorders>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机器损坏险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single" w:color="auto" w:sz="4" w:space="0"/>
              <w:right w:val="single" w:color="auto" w:sz="4" w:space="0"/>
            </w:tcBorders>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公众责任险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nil"/>
              <w:right w:val="single" w:color="auto" w:sz="4" w:space="0"/>
            </w:tcBorders>
            <w:shd w:val="clear" w:color="auto" w:fill="auto"/>
            <w:noWrap/>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restart"/>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梁河糖业</w:t>
            </w: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财产一切险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nil"/>
              <w:right w:val="single" w:color="auto" w:sz="4" w:space="0"/>
            </w:tcBorders>
            <w:shd w:val="clear" w:color="auto" w:fill="auto"/>
            <w:noWrap/>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机器损坏险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nil"/>
              <w:right w:val="single" w:color="auto" w:sz="4" w:space="0"/>
            </w:tcBorders>
            <w:shd w:val="clear" w:color="auto" w:fill="auto"/>
            <w:noWrap/>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公众责任险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nil"/>
              <w:right w:val="single" w:color="auto" w:sz="4" w:space="0"/>
            </w:tcBorders>
            <w:shd w:val="clear" w:color="auto" w:fill="auto"/>
            <w:noWrap/>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09" w:hRule="atLeast"/>
        </w:trPr>
        <w:tc>
          <w:tcPr>
            <w:tcW w:w="1261" w:type="dxa"/>
            <w:vMerge w:val="restart"/>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粤北糖业</w:t>
            </w: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财产一切险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nil"/>
              <w:right w:val="single" w:color="auto" w:sz="4" w:space="0"/>
            </w:tcBorders>
            <w:shd w:val="clear" w:color="auto" w:fill="auto"/>
            <w:noWrap/>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35"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机器损坏险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nil"/>
              <w:right w:val="single" w:color="auto" w:sz="4" w:space="0"/>
            </w:tcBorders>
            <w:shd w:val="clear" w:color="auto" w:fill="auto"/>
            <w:noWrap/>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36"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公众责任险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nil"/>
              <w:right w:val="single" w:color="auto" w:sz="4" w:space="0"/>
            </w:tcBorders>
            <w:shd w:val="clear" w:color="auto" w:fill="auto"/>
            <w:noWrap/>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12" w:hRule="atLeast"/>
        </w:trPr>
        <w:tc>
          <w:tcPr>
            <w:tcW w:w="1261" w:type="dxa"/>
            <w:vMerge w:val="restart"/>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益兴农业</w:t>
            </w: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财产一切险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nil"/>
              <w:right w:val="single" w:color="auto" w:sz="4" w:space="0"/>
            </w:tcBorders>
            <w:shd w:val="clear" w:color="auto" w:fill="auto"/>
            <w:noWrap/>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机器损坏险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nil"/>
              <w:right w:val="single" w:color="auto" w:sz="4" w:space="0"/>
            </w:tcBorders>
            <w:shd w:val="clear" w:color="auto" w:fill="auto"/>
            <w:noWrap/>
            <w:vAlign w:val="center"/>
          </w:tcPr>
          <w:p>
            <w:pPr>
              <w:jc w:val="center"/>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vMerge w:val="continue"/>
            <w:tcBorders>
              <w:top w:val="nil"/>
              <w:left w:val="single" w:color="auto" w:sz="4" w:space="0"/>
              <w:bottom w:val="single" w:color="auto" w:sz="4" w:space="0"/>
              <w:right w:val="single" w:color="auto" w:sz="4" w:space="0"/>
            </w:tcBorders>
            <w:vAlign w:val="center"/>
          </w:tcPr>
          <w:p>
            <w:pPr>
              <w:jc w:val="left"/>
              <w:textAlignment w:val="auto"/>
              <w:rPr>
                <w:rFonts w:ascii="宋体" w:hAnsi="宋体" w:cs="宋体"/>
                <w:color w:val="000000"/>
                <w:kern w:val="0"/>
                <w:sz w:val="18"/>
                <w:szCs w:val="18"/>
              </w:rPr>
            </w:pPr>
          </w:p>
        </w:tc>
        <w:tc>
          <w:tcPr>
            <w:tcW w:w="1755" w:type="dxa"/>
            <w:tcBorders>
              <w:top w:val="nil"/>
              <w:left w:val="nil"/>
              <w:bottom w:val="single" w:color="auto" w:sz="4" w:space="0"/>
              <w:right w:val="nil"/>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公众责任险</w:t>
            </w:r>
          </w:p>
        </w:tc>
        <w:tc>
          <w:tcPr>
            <w:tcW w:w="1343" w:type="dxa"/>
            <w:tcBorders>
              <w:top w:val="nil"/>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73"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641" w:type="dxa"/>
            <w:tcBorders>
              <w:top w:val="nil"/>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3330" w:type="dxa"/>
            <w:vMerge w:val="continue"/>
            <w:tcBorders>
              <w:left w:val="nil"/>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p>
        </w:tc>
      </w:tr>
      <w:tr>
        <w:tblPrEx>
          <w:tblCellMar>
            <w:top w:w="0" w:type="dxa"/>
            <w:left w:w="108" w:type="dxa"/>
            <w:bottom w:w="0" w:type="dxa"/>
            <w:right w:w="108" w:type="dxa"/>
          </w:tblCellMar>
        </w:tblPrEx>
        <w:trPr>
          <w:trHeight w:val="465" w:hRule="atLeast"/>
        </w:trPr>
        <w:tc>
          <w:tcPr>
            <w:tcW w:w="1261" w:type="dxa"/>
            <w:tcBorders>
              <w:top w:val="nil"/>
              <w:left w:val="single" w:color="auto" w:sz="4" w:space="0"/>
              <w:bottom w:val="single" w:color="auto" w:sz="4" w:space="0"/>
              <w:right w:val="single" w:color="auto" w:sz="4" w:space="0"/>
            </w:tcBorders>
            <w:shd w:val="clear" w:color="auto" w:fill="auto"/>
            <w:noWrap/>
            <w:vAlign w:val="center"/>
          </w:tcPr>
          <w:p>
            <w:pPr>
              <w:jc w:val="left"/>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c>
          <w:tcPr>
            <w:tcW w:w="1755" w:type="dxa"/>
            <w:tcBorders>
              <w:top w:val="nil"/>
              <w:left w:val="nil"/>
              <w:bottom w:val="single" w:color="auto" w:sz="4" w:space="0"/>
              <w:right w:val="nil"/>
            </w:tcBorders>
            <w:shd w:val="clear" w:color="auto" w:fill="auto"/>
            <w:noWrap/>
            <w:vAlign w:val="center"/>
          </w:tcPr>
          <w:p>
            <w:pPr>
              <w:jc w:val="left"/>
              <w:textAlignment w:val="auto"/>
              <w:rPr>
                <w:rFonts w:ascii="宋体" w:hAnsi="宋体" w:cs="宋体"/>
                <w:color w:val="000000"/>
                <w:kern w:val="0"/>
                <w:sz w:val="18"/>
                <w:szCs w:val="18"/>
              </w:rPr>
            </w:pPr>
            <w:r>
              <w:rPr>
                <w:rFonts w:hint="eastAsia" w:ascii="宋体" w:hAnsi="宋体" w:cs="宋体"/>
                <w:color w:val="000000"/>
                <w:kern w:val="0"/>
                <w:sz w:val="18"/>
                <w:szCs w:val="18"/>
              </w:rPr>
              <w:t>合计</w:t>
            </w:r>
          </w:p>
        </w:tc>
        <w:tc>
          <w:tcPr>
            <w:tcW w:w="7987" w:type="dxa"/>
            <w:gridSpan w:val="4"/>
            <w:tcBorders>
              <w:top w:val="single" w:color="auto" w:sz="4" w:space="0"/>
              <w:left w:val="single" w:color="auto" w:sz="4" w:space="0"/>
              <w:bottom w:val="single" w:color="auto" w:sz="4" w:space="0"/>
              <w:right w:val="single" w:color="000000"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r>
      <w:tr>
        <w:tblPrEx>
          <w:tblCellMar>
            <w:top w:w="0" w:type="dxa"/>
            <w:left w:w="108" w:type="dxa"/>
            <w:bottom w:w="0" w:type="dxa"/>
            <w:right w:w="108" w:type="dxa"/>
          </w:tblCellMar>
        </w:tblPrEx>
        <w:trPr>
          <w:trHeight w:val="465" w:hRule="atLeast"/>
        </w:trPr>
        <w:tc>
          <w:tcPr>
            <w:tcW w:w="301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开票类型</w:t>
            </w:r>
          </w:p>
        </w:tc>
        <w:tc>
          <w:tcPr>
            <w:tcW w:w="7987" w:type="dxa"/>
            <w:gridSpan w:val="4"/>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　</w:t>
            </w:r>
          </w:p>
        </w:tc>
      </w:tr>
      <w:tr>
        <w:tblPrEx>
          <w:tblCellMar>
            <w:top w:w="0" w:type="dxa"/>
            <w:left w:w="108" w:type="dxa"/>
            <w:bottom w:w="0" w:type="dxa"/>
            <w:right w:w="108" w:type="dxa"/>
          </w:tblCellMar>
        </w:tblPrEx>
        <w:trPr>
          <w:trHeight w:val="465" w:hRule="atLeast"/>
        </w:trPr>
        <w:tc>
          <w:tcPr>
            <w:tcW w:w="3016" w:type="dxa"/>
            <w:gridSpan w:val="2"/>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textAlignment w:val="auto"/>
              <w:rPr>
                <w:rFonts w:ascii="宋体" w:hAnsi="宋体" w:cs="宋体"/>
                <w:color w:val="000000"/>
                <w:kern w:val="0"/>
                <w:sz w:val="18"/>
                <w:szCs w:val="18"/>
              </w:rPr>
            </w:pPr>
            <w:r>
              <w:rPr>
                <w:rFonts w:hint="eastAsia" w:ascii="宋体" w:hAnsi="宋体" w:cs="宋体"/>
                <w:color w:val="000000"/>
                <w:kern w:val="0"/>
                <w:sz w:val="18"/>
                <w:szCs w:val="18"/>
              </w:rPr>
              <w:t>付款方式</w:t>
            </w:r>
          </w:p>
        </w:tc>
        <w:tc>
          <w:tcPr>
            <w:tcW w:w="7987" w:type="dxa"/>
            <w:gridSpan w:val="4"/>
            <w:tcBorders>
              <w:top w:val="single" w:color="auto" w:sz="4" w:space="0"/>
              <w:left w:val="single" w:color="auto" w:sz="4" w:space="0"/>
              <w:bottom w:val="single" w:color="auto" w:sz="4" w:space="0"/>
              <w:right w:val="single" w:color="auto" w:sz="4" w:space="0"/>
            </w:tcBorders>
            <w:shd w:val="clear" w:color="auto" w:fill="auto"/>
            <w:noWrap/>
            <w:vAlign w:val="center"/>
          </w:tcPr>
          <w:p>
            <w:pPr>
              <w:textAlignment w:val="auto"/>
              <w:rPr>
                <w:rFonts w:ascii="宋体" w:hAnsi="宋体" w:cs="宋体"/>
                <w:color w:val="000000"/>
                <w:kern w:val="0"/>
                <w:sz w:val="18"/>
                <w:szCs w:val="18"/>
              </w:rPr>
            </w:pPr>
            <w:r>
              <w:rPr>
                <w:rFonts w:hint="eastAsia" w:ascii="宋体" w:hAnsi="宋体" w:cs="宋体"/>
                <w:color w:val="000000"/>
                <w:kern w:val="0"/>
                <w:sz w:val="18"/>
                <w:szCs w:val="18"/>
              </w:rPr>
              <w:t>签订合同后，投保方收到保险公司开具6%税率的全额发票后，15个工作日内完成支付。</w:t>
            </w:r>
          </w:p>
        </w:tc>
      </w:tr>
    </w:tbl>
    <w:p>
      <w:pPr>
        <w:snapToGrid w:val="0"/>
        <w:rPr>
          <w:rStyle w:val="37"/>
          <w:rFonts w:ascii="宋体" w:hAnsi="宋体"/>
          <w:bCs/>
          <w:sz w:val="28"/>
          <w:szCs w:val="28"/>
        </w:rPr>
      </w:pPr>
    </w:p>
    <w:p>
      <w:pPr>
        <w:snapToGrid w:val="0"/>
        <w:ind w:firstLine="2880" w:firstLineChars="800"/>
        <w:rPr>
          <w:rStyle w:val="37"/>
          <w:rFonts w:hint="eastAsia" w:ascii="黑体" w:hAnsi="黑体" w:eastAsia="黑体" w:cs="黑体"/>
          <w:sz w:val="36"/>
          <w:szCs w:val="36"/>
        </w:rPr>
      </w:pPr>
    </w:p>
    <w:p>
      <w:pPr>
        <w:snapToGrid w:val="0"/>
        <w:ind w:firstLine="2880" w:firstLineChars="800"/>
        <w:rPr>
          <w:rStyle w:val="37"/>
          <w:rFonts w:hint="eastAsia" w:ascii="黑体" w:hAnsi="黑体" w:eastAsia="黑体" w:cs="黑体"/>
          <w:sz w:val="36"/>
          <w:szCs w:val="36"/>
        </w:rPr>
      </w:pPr>
    </w:p>
    <w:p>
      <w:pPr>
        <w:snapToGrid w:val="0"/>
        <w:ind w:firstLine="2880" w:firstLineChars="800"/>
        <w:rPr>
          <w:rStyle w:val="37"/>
          <w:rFonts w:hint="eastAsia" w:ascii="黑体" w:hAnsi="黑体" w:eastAsia="黑体" w:cs="黑体"/>
          <w:sz w:val="36"/>
          <w:szCs w:val="36"/>
        </w:rPr>
      </w:pPr>
    </w:p>
    <w:p>
      <w:pPr>
        <w:snapToGrid w:val="0"/>
        <w:ind w:firstLine="2880" w:firstLineChars="800"/>
        <w:rPr>
          <w:rStyle w:val="37"/>
          <w:rFonts w:hint="eastAsia" w:ascii="黑体" w:hAnsi="黑体" w:eastAsia="黑体" w:cs="黑体"/>
          <w:sz w:val="36"/>
          <w:szCs w:val="36"/>
        </w:rPr>
      </w:pPr>
    </w:p>
    <w:p>
      <w:pPr>
        <w:snapToGrid w:val="0"/>
        <w:ind w:firstLine="2880" w:firstLineChars="800"/>
        <w:rPr>
          <w:rStyle w:val="37"/>
          <w:rFonts w:hint="eastAsia" w:ascii="黑体" w:hAnsi="黑体" w:eastAsia="黑体" w:cs="黑体"/>
          <w:sz w:val="36"/>
          <w:szCs w:val="36"/>
        </w:rPr>
      </w:pPr>
    </w:p>
    <w:p>
      <w:pPr>
        <w:snapToGrid w:val="0"/>
        <w:ind w:firstLine="2880" w:firstLineChars="800"/>
        <w:rPr>
          <w:rStyle w:val="37"/>
          <w:rFonts w:ascii="黑体" w:hAnsi="黑体" w:eastAsia="黑体" w:cs="黑体"/>
          <w:sz w:val="36"/>
          <w:szCs w:val="36"/>
        </w:rPr>
      </w:pPr>
      <w:r>
        <w:rPr>
          <w:rStyle w:val="37"/>
          <w:rFonts w:hint="eastAsia" w:ascii="黑体" w:hAnsi="黑体" w:eastAsia="黑体" w:cs="黑体"/>
          <w:sz w:val="36"/>
          <w:szCs w:val="36"/>
        </w:rPr>
        <w:t>第三章 评审方法</w:t>
      </w:r>
    </w:p>
    <w:p>
      <w:pPr>
        <w:snapToGrid w:val="0"/>
        <w:jc w:val="center"/>
        <w:rPr>
          <w:rStyle w:val="37"/>
          <w:rFonts w:ascii="宋体" w:hAnsi="宋体"/>
          <w:b/>
          <w:bCs/>
          <w:sz w:val="36"/>
          <w:szCs w:val="36"/>
        </w:rPr>
      </w:pPr>
    </w:p>
    <w:p>
      <w:pPr>
        <w:snapToGrid w:val="0"/>
        <w:ind w:firstLine="600" w:firstLineChars="200"/>
        <w:rPr>
          <w:rStyle w:val="37"/>
          <w:rFonts w:ascii="宋体" w:hAnsi="宋体"/>
          <w:bCs/>
          <w:sz w:val="32"/>
          <w:szCs w:val="32"/>
        </w:rPr>
      </w:pPr>
      <w:r>
        <w:rPr>
          <w:rStyle w:val="37"/>
          <w:rFonts w:ascii="宋体" w:hAnsi="宋体"/>
          <w:bCs/>
          <w:sz w:val="30"/>
          <w:szCs w:val="30"/>
        </w:rPr>
        <w:t>本次采购工作，对供应商的评审采用“总价最低价中标”</w:t>
      </w:r>
      <w:r>
        <w:rPr>
          <w:rStyle w:val="37"/>
          <w:rFonts w:ascii="宋体" w:hAnsi="宋体"/>
          <w:bCs/>
          <w:sz w:val="32"/>
          <w:szCs w:val="32"/>
        </w:rPr>
        <w:t>。</w:t>
      </w: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ascii="宋体" w:hAnsi="宋体"/>
          <w:b/>
          <w:bCs/>
          <w:sz w:val="36"/>
          <w:szCs w:val="28"/>
        </w:rPr>
      </w:pPr>
    </w:p>
    <w:p>
      <w:pPr>
        <w:snapToGrid w:val="0"/>
        <w:jc w:val="center"/>
        <w:rPr>
          <w:rStyle w:val="37"/>
          <w:rFonts w:hint="default" w:ascii="方正小标宋_GBK" w:hAnsi="方正小标宋_GBK" w:eastAsia="方正小标宋_GBK" w:cs="方正小标宋_GBK"/>
          <w:bCs/>
          <w:sz w:val="32"/>
          <w:szCs w:val="32"/>
          <w:lang w:val="en-US" w:eastAsia="zh-CN"/>
        </w:rPr>
      </w:pPr>
      <w:r>
        <w:rPr>
          <w:rStyle w:val="37"/>
          <w:rFonts w:ascii="宋体" w:hAnsi="宋体"/>
          <w:b/>
          <w:bCs/>
          <w:sz w:val="36"/>
          <w:szCs w:val="28"/>
        </w:rPr>
        <w:br w:type="page"/>
      </w:r>
      <w:r>
        <w:rPr>
          <w:rStyle w:val="37"/>
          <w:rFonts w:hint="eastAsia" w:ascii="方正小标宋_GBK" w:hAnsi="方正小标宋_GBK" w:eastAsia="方正小标宋_GBK" w:cs="方正小标宋_GBK"/>
          <w:bCs/>
          <w:sz w:val="32"/>
          <w:szCs w:val="32"/>
          <w:lang w:val="en-US" w:eastAsia="zh-CN"/>
        </w:rPr>
        <w:t>第四章 保险投保金额</w:t>
      </w:r>
    </w:p>
    <w:p>
      <w:pPr>
        <w:pStyle w:val="2"/>
      </w:pPr>
    </w:p>
    <w:tbl>
      <w:tblPr>
        <w:tblStyle w:val="27"/>
        <w:tblW w:w="8948" w:type="dxa"/>
        <w:tblInd w:w="-10" w:type="dxa"/>
        <w:tblLayout w:type="fixed"/>
        <w:tblCellMar>
          <w:top w:w="0" w:type="dxa"/>
          <w:left w:w="0" w:type="dxa"/>
          <w:bottom w:w="0" w:type="dxa"/>
          <w:right w:w="0" w:type="dxa"/>
        </w:tblCellMar>
      </w:tblPr>
      <w:tblGrid>
        <w:gridCol w:w="1973"/>
        <w:gridCol w:w="2234"/>
        <w:gridCol w:w="4741"/>
      </w:tblGrid>
      <w:tr>
        <w:tblPrEx>
          <w:tblCellMar>
            <w:top w:w="0" w:type="dxa"/>
            <w:left w:w="0" w:type="dxa"/>
            <w:bottom w:w="0" w:type="dxa"/>
            <w:right w:w="0" w:type="dxa"/>
          </w:tblCellMar>
        </w:tblPrEx>
        <w:trPr>
          <w:trHeight w:val="295" w:hRule="atLeast"/>
        </w:trPr>
        <w:tc>
          <w:tcPr>
            <w:tcW w:w="1973"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s="宋体"/>
                <w:b/>
                <w:bCs/>
                <w:color w:val="000000"/>
                <w:sz w:val="20"/>
                <w:szCs w:val="20"/>
              </w:rPr>
            </w:pPr>
            <w:r>
              <w:rPr>
                <w:rStyle w:val="37"/>
                <w:rFonts w:ascii="宋体" w:hAnsi="宋体" w:cs="宋体"/>
                <w:b/>
                <w:bCs/>
                <w:color w:val="000000"/>
                <w:kern w:val="0"/>
                <w:sz w:val="20"/>
                <w:szCs w:val="20"/>
              </w:rPr>
              <w:t>险种</w:t>
            </w:r>
          </w:p>
        </w:tc>
        <w:tc>
          <w:tcPr>
            <w:tcW w:w="22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s="宋体"/>
                <w:b/>
                <w:bCs/>
                <w:color w:val="000000"/>
                <w:sz w:val="20"/>
                <w:szCs w:val="20"/>
              </w:rPr>
            </w:pPr>
            <w:r>
              <w:rPr>
                <w:rStyle w:val="37"/>
                <w:rFonts w:ascii="宋体" w:hAnsi="宋体" w:cs="宋体"/>
                <w:b/>
                <w:bCs/>
                <w:color w:val="000000"/>
                <w:kern w:val="0"/>
                <w:sz w:val="20"/>
                <w:szCs w:val="20"/>
              </w:rPr>
              <w:t>公司</w:t>
            </w:r>
          </w:p>
        </w:tc>
        <w:tc>
          <w:tcPr>
            <w:tcW w:w="4741"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s="宋体"/>
                <w:b/>
                <w:bCs/>
                <w:color w:val="000000"/>
                <w:sz w:val="20"/>
                <w:szCs w:val="20"/>
              </w:rPr>
            </w:pPr>
            <w:r>
              <w:rPr>
                <w:rStyle w:val="37"/>
                <w:rFonts w:ascii="宋体" w:hAnsi="宋体" w:cs="宋体"/>
                <w:b/>
                <w:bCs/>
                <w:color w:val="000000"/>
                <w:kern w:val="0"/>
                <w:sz w:val="20"/>
                <w:szCs w:val="20"/>
              </w:rPr>
              <w:t>保额</w:t>
            </w:r>
          </w:p>
        </w:tc>
      </w:tr>
      <w:tr>
        <w:tblPrEx>
          <w:tblCellMar>
            <w:top w:w="0" w:type="dxa"/>
            <w:left w:w="0" w:type="dxa"/>
            <w:bottom w:w="0" w:type="dxa"/>
            <w:right w:w="0" w:type="dxa"/>
          </w:tblCellMar>
        </w:tblPrEx>
        <w:trPr>
          <w:trHeight w:val="295" w:hRule="atLeast"/>
        </w:trPr>
        <w:tc>
          <w:tcPr>
            <w:tcW w:w="1973" w:type="dxa"/>
            <w:vMerge w:val="restart"/>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机器损坏险</w:t>
            </w:r>
          </w:p>
        </w:tc>
        <w:tc>
          <w:tcPr>
            <w:tcW w:w="22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崇左糖业</w:t>
            </w:r>
          </w:p>
        </w:tc>
        <w:tc>
          <w:tcPr>
            <w:tcW w:w="4741"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661</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850</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094</w:t>
            </w:r>
          </w:p>
        </w:tc>
      </w:tr>
      <w:tr>
        <w:tblPrEx>
          <w:tblCellMar>
            <w:top w:w="0" w:type="dxa"/>
            <w:left w:w="0" w:type="dxa"/>
            <w:bottom w:w="0" w:type="dxa"/>
            <w:right w:w="0" w:type="dxa"/>
          </w:tblCellMar>
        </w:tblPrEx>
        <w:trPr>
          <w:trHeight w:val="295"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江州糖业</w:t>
            </w:r>
          </w:p>
        </w:tc>
        <w:tc>
          <w:tcPr>
            <w:tcW w:w="4741"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167</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455</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590</w:t>
            </w:r>
          </w:p>
        </w:tc>
      </w:tr>
      <w:tr>
        <w:tblPrEx>
          <w:tblCellMar>
            <w:top w:w="0" w:type="dxa"/>
            <w:left w:w="0" w:type="dxa"/>
            <w:bottom w:w="0" w:type="dxa"/>
            <w:right w:w="0" w:type="dxa"/>
          </w:tblCellMar>
        </w:tblPrEx>
        <w:trPr>
          <w:trHeight w:val="295"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北海糖业</w:t>
            </w:r>
          </w:p>
        </w:tc>
        <w:tc>
          <w:tcPr>
            <w:tcW w:w="4741"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178</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298</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292</w:t>
            </w:r>
          </w:p>
        </w:tc>
      </w:tr>
      <w:tr>
        <w:tblPrEx>
          <w:tblCellMar>
            <w:top w:w="0" w:type="dxa"/>
            <w:left w:w="0" w:type="dxa"/>
            <w:bottom w:w="0" w:type="dxa"/>
            <w:right w:w="0" w:type="dxa"/>
          </w:tblCellMar>
        </w:tblPrEx>
        <w:trPr>
          <w:trHeight w:val="295"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梁河糖业</w:t>
            </w:r>
          </w:p>
        </w:tc>
        <w:tc>
          <w:tcPr>
            <w:tcW w:w="4741"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50</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432</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858</w:t>
            </w:r>
          </w:p>
        </w:tc>
      </w:tr>
      <w:tr>
        <w:tblPrEx>
          <w:tblCellMar>
            <w:top w:w="0" w:type="dxa"/>
            <w:left w:w="0" w:type="dxa"/>
            <w:bottom w:w="0" w:type="dxa"/>
            <w:right w:w="0" w:type="dxa"/>
          </w:tblCellMar>
        </w:tblPrEx>
        <w:trPr>
          <w:trHeight w:val="295"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粤北糖业</w:t>
            </w:r>
          </w:p>
        </w:tc>
        <w:tc>
          <w:tcPr>
            <w:tcW w:w="4741"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39</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255</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336</w:t>
            </w:r>
          </w:p>
        </w:tc>
      </w:tr>
      <w:tr>
        <w:tblPrEx>
          <w:tblCellMar>
            <w:top w:w="0" w:type="dxa"/>
            <w:left w:w="0" w:type="dxa"/>
            <w:bottom w:w="0" w:type="dxa"/>
            <w:right w:w="0" w:type="dxa"/>
          </w:tblCellMar>
        </w:tblPrEx>
        <w:trPr>
          <w:trHeight w:val="295"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益兴农业</w:t>
            </w:r>
          </w:p>
        </w:tc>
        <w:tc>
          <w:tcPr>
            <w:tcW w:w="4741"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4</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670</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240</w:t>
            </w:r>
          </w:p>
        </w:tc>
      </w:tr>
      <w:tr>
        <w:tblPrEx>
          <w:tblCellMar>
            <w:top w:w="0" w:type="dxa"/>
            <w:left w:w="0" w:type="dxa"/>
            <w:bottom w:w="0" w:type="dxa"/>
            <w:right w:w="0" w:type="dxa"/>
          </w:tblCellMar>
        </w:tblPrEx>
        <w:trPr>
          <w:trHeight w:val="295" w:hRule="atLeast"/>
        </w:trPr>
        <w:tc>
          <w:tcPr>
            <w:tcW w:w="4207" w:type="dxa"/>
            <w:gridSpan w:val="2"/>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合计</w:t>
            </w:r>
          </w:p>
        </w:tc>
        <w:tc>
          <w:tcPr>
            <w:tcW w:w="4741"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s="宋体"/>
                <w:color w:val="000000"/>
                <w:sz w:val="22"/>
                <w:szCs w:val="22"/>
              </w:rPr>
            </w:pPr>
            <w:r>
              <w:rPr>
                <w:rStyle w:val="37"/>
                <w:rFonts w:hint="eastAsia" w:ascii="宋体" w:hAnsi="宋体"/>
                <w:kern w:val="0"/>
                <w:sz w:val="20"/>
                <w:szCs w:val="20"/>
              </w:rPr>
              <w:t>1</w:t>
            </w:r>
            <w:r>
              <w:rPr>
                <w:rStyle w:val="37"/>
                <w:rFonts w:hint="eastAsia" w:ascii="宋体" w:hAnsi="宋体"/>
                <w:kern w:val="0"/>
                <w:sz w:val="20"/>
                <w:szCs w:val="20"/>
                <w:lang w:val="en-US" w:eastAsia="zh-CN"/>
              </w:rPr>
              <w:t>,</w:t>
            </w:r>
            <w:r>
              <w:rPr>
                <w:rStyle w:val="37"/>
                <w:rFonts w:hint="eastAsia" w:ascii="宋体" w:hAnsi="宋体"/>
                <w:kern w:val="0"/>
                <w:sz w:val="20"/>
                <w:szCs w:val="20"/>
              </w:rPr>
              <w:t>101</w:t>
            </w:r>
            <w:r>
              <w:rPr>
                <w:rStyle w:val="37"/>
                <w:rFonts w:hint="eastAsia" w:ascii="宋体" w:hAnsi="宋体"/>
                <w:kern w:val="0"/>
                <w:sz w:val="20"/>
                <w:szCs w:val="20"/>
                <w:lang w:val="en-US" w:eastAsia="zh-CN"/>
              </w:rPr>
              <w:t>,</w:t>
            </w:r>
            <w:r>
              <w:rPr>
                <w:rStyle w:val="37"/>
                <w:rFonts w:hint="eastAsia" w:ascii="宋体" w:hAnsi="宋体"/>
                <w:kern w:val="0"/>
                <w:sz w:val="20"/>
                <w:szCs w:val="20"/>
              </w:rPr>
              <w:t>962</w:t>
            </w:r>
            <w:r>
              <w:rPr>
                <w:rStyle w:val="37"/>
                <w:rFonts w:hint="eastAsia" w:ascii="宋体" w:hAnsi="宋体"/>
                <w:kern w:val="0"/>
                <w:sz w:val="20"/>
                <w:szCs w:val="20"/>
                <w:lang w:val="en-US" w:eastAsia="zh-CN"/>
              </w:rPr>
              <w:t>,</w:t>
            </w:r>
            <w:r>
              <w:rPr>
                <w:rStyle w:val="37"/>
                <w:rFonts w:hint="eastAsia" w:ascii="宋体" w:hAnsi="宋体"/>
                <w:kern w:val="0"/>
                <w:sz w:val="20"/>
                <w:szCs w:val="20"/>
              </w:rPr>
              <w:t>409</w:t>
            </w:r>
          </w:p>
        </w:tc>
      </w:tr>
    </w:tbl>
    <w:p>
      <w:pPr>
        <w:snapToGrid w:val="0"/>
        <w:rPr>
          <w:rStyle w:val="37"/>
          <w:rFonts w:ascii="方正小标宋_GBK" w:hAnsi="方正小标宋_GBK" w:eastAsia="方正小标宋_GBK" w:cs="方正小标宋_GBK"/>
          <w:bCs/>
          <w:sz w:val="32"/>
          <w:szCs w:val="32"/>
        </w:rPr>
      </w:pPr>
    </w:p>
    <w:tbl>
      <w:tblPr>
        <w:tblStyle w:val="27"/>
        <w:tblW w:w="8957" w:type="dxa"/>
        <w:tblInd w:w="-10" w:type="dxa"/>
        <w:tblLayout w:type="fixed"/>
        <w:tblCellMar>
          <w:top w:w="0" w:type="dxa"/>
          <w:left w:w="0" w:type="dxa"/>
          <w:bottom w:w="0" w:type="dxa"/>
          <w:right w:w="0" w:type="dxa"/>
        </w:tblCellMar>
      </w:tblPr>
      <w:tblGrid>
        <w:gridCol w:w="1973"/>
        <w:gridCol w:w="2250"/>
        <w:gridCol w:w="4734"/>
      </w:tblGrid>
      <w:tr>
        <w:tblPrEx>
          <w:tblCellMar>
            <w:top w:w="0" w:type="dxa"/>
            <w:left w:w="0" w:type="dxa"/>
            <w:bottom w:w="0" w:type="dxa"/>
            <w:right w:w="0" w:type="dxa"/>
          </w:tblCellMar>
        </w:tblPrEx>
        <w:trPr>
          <w:trHeight w:val="280" w:hRule="atLeast"/>
        </w:trPr>
        <w:tc>
          <w:tcPr>
            <w:tcW w:w="1973"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s="宋体"/>
                <w:b/>
                <w:bCs/>
                <w:color w:val="000000"/>
                <w:sz w:val="20"/>
                <w:szCs w:val="20"/>
              </w:rPr>
            </w:pPr>
            <w:r>
              <w:rPr>
                <w:rStyle w:val="37"/>
                <w:rFonts w:ascii="宋体" w:hAnsi="宋体" w:cs="宋体"/>
                <w:b/>
                <w:bCs/>
                <w:color w:val="000000"/>
                <w:kern w:val="0"/>
                <w:sz w:val="20"/>
                <w:szCs w:val="20"/>
              </w:rPr>
              <w:t>险种</w:t>
            </w:r>
          </w:p>
        </w:tc>
        <w:tc>
          <w:tcPr>
            <w:tcW w:w="2250"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s="宋体"/>
                <w:b/>
                <w:bCs/>
                <w:color w:val="000000"/>
                <w:sz w:val="20"/>
                <w:szCs w:val="20"/>
              </w:rPr>
            </w:pPr>
            <w:r>
              <w:rPr>
                <w:rStyle w:val="37"/>
                <w:rFonts w:ascii="宋体" w:hAnsi="宋体" w:cs="宋体"/>
                <w:b/>
                <w:bCs/>
                <w:color w:val="000000"/>
                <w:kern w:val="0"/>
                <w:sz w:val="20"/>
                <w:szCs w:val="20"/>
              </w:rPr>
              <w:t>公司</w:t>
            </w:r>
          </w:p>
        </w:tc>
        <w:tc>
          <w:tcPr>
            <w:tcW w:w="47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s="宋体"/>
                <w:b/>
                <w:bCs/>
                <w:color w:val="000000"/>
                <w:sz w:val="20"/>
                <w:szCs w:val="20"/>
              </w:rPr>
            </w:pPr>
            <w:r>
              <w:rPr>
                <w:rStyle w:val="37"/>
                <w:rFonts w:ascii="宋体" w:hAnsi="宋体" w:cs="宋体"/>
                <w:b/>
                <w:bCs/>
                <w:color w:val="000000"/>
                <w:kern w:val="0"/>
                <w:sz w:val="20"/>
                <w:szCs w:val="20"/>
              </w:rPr>
              <w:t>保额</w:t>
            </w:r>
          </w:p>
        </w:tc>
      </w:tr>
      <w:tr>
        <w:tblPrEx>
          <w:tblCellMar>
            <w:top w:w="0" w:type="dxa"/>
            <w:left w:w="0" w:type="dxa"/>
            <w:bottom w:w="0" w:type="dxa"/>
            <w:right w:w="0" w:type="dxa"/>
          </w:tblCellMar>
        </w:tblPrEx>
        <w:trPr>
          <w:trHeight w:val="280" w:hRule="atLeast"/>
        </w:trPr>
        <w:tc>
          <w:tcPr>
            <w:tcW w:w="1973" w:type="dxa"/>
            <w:vMerge w:val="restart"/>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财产一切险</w:t>
            </w:r>
          </w:p>
        </w:tc>
        <w:tc>
          <w:tcPr>
            <w:tcW w:w="2250"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崇左糖业</w:t>
            </w:r>
          </w:p>
        </w:tc>
        <w:tc>
          <w:tcPr>
            <w:tcW w:w="47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1</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650</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360</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054</w:t>
            </w:r>
          </w:p>
        </w:tc>
      </w:tr>
      <w:tr>
        <w:tblPrEx>
          <w:tblCellMar>
            <w:top w:w="0" w:type="dxa"/>
            <w:left w:w="0" w:type="dxa"/>
            <w:bottom w:w="0" w:type="dxa"/>
            <w:right w:w="0" w:type="dxa"/>
          </w:tblCellMar>
        </w:tblPrEx>
        <w:trPr>
          <w:trHeight w:val="280"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50"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江州糖业</w:t>
            </w:r>
          </w:p>
        </w:tc>
        <w:tc>
          <w:tcPr>
            <w:tcW w:w="47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560</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046</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649</w:t>
            </w:r>
          </w:p>
        </w:tc>
      </w:tr>
      <w:tr>
        <w:tblPrEx>
          <w:tblCellMar>
            <w:top w:w="0" w:type="dxa"/>
            <w:left w:w="0" w:type="dxa"/>
            <w:bottom w:w="0" w:type="dxa"/>
            <w:right w:w="0" w:type="dxa"/>
          </w:tblCellMar>
        </w:tblPrEx>
        <w:trPr>
          <w:trHeight w:val="280"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50"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北海糖业</w:t>
            </w:r>
          </w:p>
        </w:tc>
        <w:tc>
          <w:tcPr>
            <w:tcW w:w="47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471</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570</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962</w:t>
            </w:r>
          </w:p>
        </w:tc>
      </w:tr>
      <w:tr>
        <w:tblPrEx>
          <w:tblCellMar>
            <w:top w:w="0" w:type="dxa"/>
            <w:left w:w="0" w:type="dxa"/>
            <w:bottom w:w="0" w:type="dxa"/>
            <w:right w:w="0" w:type="dxa"/>
          </w:tblCellMar>
        </w:tblPrEx>
        <w:trPr>
          <w:trHeight w:val="280"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50"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梁河糖业</w:t>
            </w:r>
          </w:p>
        </w:tc>
        <w:tc>
          <w:tcPr>
            <w:tcW w:w="47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207</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435</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866</w:t>
            </w:r>
          </w:p>
        </w:tc>
      </w:tr>
      <w:tr>
        <w:tblPrEx>
          <w:tblCellMar>
            <w:top w:w="0" w:type="dxa"/>
            <w:left w:w="0" w:type="dxa"/>
            <w:bottom w:w="0" w:type="dxa"/>
            <w:right w:w="0" w:type="dxa"/>
          </w:tblCellMar>
        </w:tblPrEx>
        <w:trPr>
          <w:trHeight w:val="280"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50"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粤北糖业</w:t>
            </w:r>
          </w:p>
        </w:tc>
        <w:tc>
          <w:tcPr>
            <w:tcW w:w="47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81</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988</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344</w:t>
            </w:r>
          </w:p>
        </w:tc>
      </w:tr>
      <w:tr>
        <w:tblPrEx>
          <w:tblCellMar>
            <w:top w:w="0" w:type="dxa"/>
            <w:left w:w="0" w:type="dxa"/>
            <w:bottom w:w="0" w:type="dxa"/>
            <w:right w:w="0" w:type="dxa"/>
          </w:tblCellMar>
        </w:tblPrEx>
        <w:trPr>
          <w:trHeight w:val="280"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50"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益兴农业</w:t>
            </w:r>
          </w:p>
        </w:tc>
        <w:tc>
          <w:tcPr>
            <w:tcW w:w="47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color w:val="000000"/>
                <w:kern w:val="0"/>
                <w:sz w:val="20"/>
                <w:szCs w:val="20"/>
              </w:rPr>
              <w:t>24</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422</w:t>
            </w:r>
            <w:r>
              <w:rPr>
                <w:rStyle w:val="37"/>
                <w:rFonts w:hint="eastAsia" w:ascii="宋体" w:hAnsi="宋体"/>
                <w:color w:val="000000"/>
                <w:kern w:val="0"/>
                <w:sz w:val="20"/>
                <w:szCs w:val="20"/>
                <w:lang w:val="en-US" w:eastAsia="zh-CN"/>
              </w:rPr>
              <w:t>,</w:t>
            </w:r>
            <w:r>
              <w:rPr>
                <w:rStyle w:val="37"/>
                <w:rFonts w:hint="eastAsia" w:ascii="宋体" w:hAnsi="宋体"/>
                <w:color w:val="000000"/>
                <w:kern w:val="0"/>
                <w:sz w:val="20"/>
                <w:szCs w:val="20"/>
              </w:rPr>
              <w:t>533</w:t>
            </w:r>
          </w:p>
        </w:tc>
      </w:tr>
      <w:tr>
        <w:tblPrEx>
          <w:tblCellMar>
            <w:top w:w="0" w:type="dxa"/>
            <w:left w:w="0" w:type="dxa"/>
            <w:bottom w:w="0" w:type="dxa"/>
            <w:right w:w="0" w:type="dxa"/>
          </w:tblCellMar>
        </w:tblPrEx>
        <w:trPr>
          <w:trHeight w:val="339" w:hRule="atLeast"/>
        </w:trPr>
        <w:tc>
          <w:tcPr>
            <w:tcW w:w="4223" w:type="dxa"/>
            <w:gridSpan w:val="2"/>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合计</w:t>
            </w:r>
          </w:p>
        </w:tc>
        <w:tc>
          <w:tcPr>
            <w:tcW w:w="4734"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hint="eastAsia" w:ascii="宋体" w:hAnsi="宋体"/>
                <w:kern w:val="0"/>
                <w:sz w:val="20"/>
                <w:szCs w:val="20"/>
              </w:rPr>
              <w:t>2</w:t>
            </w:r>
            <w:r>
              <w:rPr>
                <w:rStyle w:val="37"/>
                <w:rFonts w:hint="eastAsia" w:ascii="宋体" w:hAnsi="宋体"/>
                <w:kern w:val="0"/>
                <w:sz w:val="20"/>
                <w:szCs w:val="20"/>
                <w:lang w:val="en-US" w:eastAsia="zh-CN"/>
              </w:rPr>
              <w:t>,</w:t>
            </w:r>
            <w:r>
              <w:rPr>
                <w:rStyle w:val="37"/>
                <w:rFonts w:hint="eastAsia" w:ascii="宋体" w:hAnsi="宋体"/>
                <w:kern w:val="0"/>
                <w:sz w:val="20"/>
                <w:szCs w:val="20"/>
              </w:rPr>
              <w:t>995</w:t>
            </w:r>
            <w:r>
              <w:rPr>
                <w:rStyle w:val="37"/>
                <w:rFonts w:hint="eastAsia" w:ascii="宋体" w:hAnsi="宋体"/>
                <w:kern w:val="0"/>
                <w:sz w:val="20"/>
                <w:szCs w:val="20"/>
                <w:lang w:val="en-US" w:eastAsia="zh-CN"/>
              </w:rPr>
              <w:t>,</w:t>
            </w:r>
            <w:r>
              <w:rPr>
                <w:rStyle w:val="37"/>
                <w:rFonts w:hint="eastAsia" w:ascii="宋体" w:hAnsi="宋体"/>
                <w:kern w:val="0"/>
                <w:sz w:val="20"/>
                <w:szCs w:val="20"/>
              </w:rPr>
              <w:t>824</w:t>
            </w:r>
            <w:r>
              <w:rPr>
                <w:rStyle w:val="37"/>
                <w:rFonts w:hint="eastAsia" w:ascii="宋体" w:hAnsi="宋体"/>
                <w:kern w:val="0"/>
                <w:sz w:val="20"/>
                <w:szCs w:val="20"/>
                <w:lang w:val="en-US" w:eastAsia="zh-CN"/>
              </w:rPr>
              <w:t>,</w:t>
            </w:r>
            <w:r>
              <w:rPr>
                <w:rStyle w:val="37"/>
                <w:rFonts w:hint="eastAsia" w:ascii="宋体" w:hAnsi="宋体"/>
                <w:kern w:val="0"/>
                <w:sz w:val="20"/>
                <w:szCs w:val="20"/>
              </w:rPr>
              <w:t>408</w:t>
            </w:r>
          </w:p>
        </w:tc>
      </w:tr>
    </w:tbl>
    <w:p>
      <w:pPr>
        <w:snapToGrid w:val="0"/>
        <w:rPr>
          <w:rStyle w:val="37"/>
          <w:rFonts w:ascii="方正小标宋_GBK" w:hAnsi="方正小标宋_GBK" w:eastAsia="方正小标宋_GBK" w:cs="方正小标宋_GBK"/>
          <w:bCs/>
          <w:sz w:val="32"/>
          <w:szCs w:val="32"/>
        </w:rPr>
      </w:pPr>
    </w:p>
    <w:tbl>
      <w:tblPr>
        <w:tblStyle w:val="27"/>
        <w:tblW w:w="8940" w:type="dxa"/>
        <w:tblInd w:w="-10" w:type="dxa"/>
        <w:tblLayout w:type="fixed"/>
        <w:tblCellMar>
          <w:top w:w="0" w:type="dxa"/>
          <w:left w:w="0" w:type="dxa"/>
          <w:bottom w:w="0" w:type="dxa"/>
          <w:right w:w="0" w:type="dxa"/>
        </w:tblCellMar>
      </w:tblPr>
      <w:tblGrid>
        <w:gridCol w:w="1973"/>
        <w:gridCol w:w="2242"/>
        <w:gridCol w:w="4725"/>
      </w:tblGrid>
      <w:tr>
        <w:tblPrEx>
          <w:tblCellMar>
            <w:top w:w="0" w:type="dxa"/>
            <w:left w:w="0" w:type="dxa"/>
            <w:bottom w:w="0" w:type="dxa"/>
            <w:right w:w="0" w:type="dxa"/>
          </w:tblCellMar>
        </w:tblPrEx>
        <w:trPr>
          <w:trHeight w:val="280" w:hRule="atLeast"/>
        </w:trPr>
        <w:tc>
          <w:tcPr>
            <w:tcW w:w="1973"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s="宋体"/>
                <w:b/>
                <w:bCs/>
                <w:color w:val="000000"/>
                <w:sz w:val="20"/>
                <w:szCs w:val="20"/>
              </w:rPr>
            </w:pPr>
            <w:r>
              <w:rPr>
                <w:rStyle w:val="37"/>
                <w:rFonts w:ascii="宋体" w:hAnsi="宋体" w:cs="宋体"/>
                <w:b/>
                <w:bCs/>
                <w:color w:val="000000"/>
                <w:kern w:val="0"/>
                <w:sz w:val="20"/>
                <w:szCs w:val="20"/>
              </w:rPr>
              <w:t>险种</w:t>
            </w:r>
          </w:p>
        </w:tc>
        <w:tc>
          <w:tcPr>
            <w:tcW w:w="2242"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s="宋体"/>
                <w:b/>
                <w:bCs/>
                <w:color w:val="000000"/>
                <w:sz w:val="20"/>
                <w:szCs w:val="20"/>
              </w:rPr>
            </w:pPr>
            <w:r>
              <w:rPr>
                <w:rStyle w:val="37"/>
                <w:rFonts w:ascii="宋体" w:hAnsi="宋体" w:cs="宋体"/>
                <w:b/>
                <w:bCs/>
                <w:color w:val="000000"/>
                <w:kern w:val="0"/>
                <w:sz w:val="20"/>
                <w:szCs w:val="20"/>
              </w:rPr>
              <w:t>公司</w:t>
            </w:r>
          </w:p>
        </w:tc>
        <w:tc>
          <w:tcPr>
            <w:tcW w:w="4725"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s="宋体"/>
                <w:b/>
                <w:bCs/>
                <w:color w:val="000000"/>
                <w:sz w:val="20"/>
                <w:szCs w:val="20"/>
              </w:rPr>
            </w:pPr>
            <w:r>
              <w:rPr>
                <w:rStyle w:val="37"/>
                <w:rFonts w:ascii="宋体" w:hAnsi="宋体" w:cs="宋体"/>
                <w:b/>
                <w:bCs/>
                <w:color w:val="000000"/>
                <w:kern w:val="0"/>
                <w:sz w:val="20"/>
                <w:szCs w:val="20"/>
              </w:rPr>
              <w:t>保额</w:t>
            </w:r>
          </w:p>
        </w:tc>
      </w:tr>
      <w:tr>
        <w:tblPrEx>
          <w:tblCellMar>
            <w:top w:w="0" w:type="dxa"/>
            <w:left w:w="0" w:type="dxa"/>
            <w:bottom w:w="0" w:type="dxa"/>
            <w:right w:w="0" w:type="dxa"/>
          </w:tblCellMar>
        </w:tblPrEx>
        <w:trPr>
          <w:trHeight w:val="280" w:hRule="atLeast"/>
        </w:trPr>
        <w:tc>
          <w:tcPr>
            <w:tcW w:w="1973" w:type="dxa"/>
            <w:vMerge w:val="restart"/>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共众责任险</w:t>
            </w:r>
          </w:p>
        </w:tc>
        <w:tc>
          <w:tcPr>
            <w:tcW w:w="2242"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崇左糖业</w:t>
            </w:r>
          </w:p>
        </w:tc>
        <w:tc>
          <w:tcPr>
            <w:tcW w:w="4725"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5,000,000.00</w:t>
            </w:r>
          </w:p>
        </w:tc>
      </w:tr>
      <w:tr>
        <w:tblPrEx>
          <w:tblCellMar>
            <w:top w:w="0" w:type="dxa"/>
            <w:left w:w="0" w:type="dxa"/>
            <w:bottom w:w="0" w:type="dxa"/>
            <w:right w:w="0" w:type="dxa"/>
          </w:tblCellMar>
        </w:tblPrEx>
        <w:trPr>
          <w:trHeight w:val="280"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42"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江州糖业</w:t>
            </w:r>
          </w:p>
        </w:tc>
        <w:tc>
          <w:tcPr>
            <w:tcW w:w="4725"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5,000,000.00</w:t>
            </w:r>
          </w:p>
        </w:tc>
      </w:tr>
      <w:tr>
        <w:tblPrEx>
          <w:tblCellMar>
            <w:top w:w="0" w:type="dxa"/>
            <w:left w:w="0" w:type="dxa"/>
            <w:bottom w:w="0" w:type="dxa"/>
            <w:right w:w="0" w:type="dxa"/>
          </w:tblCellMar>
        </w:tblPrEx>
        <w:trPr>
          <w:trHeight w:val="280"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42"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北海糖业</w:t>
            </w:r>
          </w:p>
        </w:tc>
        <w:tc>
          <w:tcPr>
            <w:tcW w:w="4725"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5,000,000.00</w:t>
            </w:r>
          </w:p>
        </w:tc>
      </w:tr>
      <w:tr>
        <w:tblPrEx>
          <w:tblCellMar>
            <w:top w:w="0" w:type="dxa"/>
            <w:left w:w="0" w:type="dxa"/>
            <w:bottom w:w="0" w:type="dxa"/>
            <w:right w:w="0" w:type="dxa"/>
          </w:tblCellMar>
        </w:tblPrEx>
        <w:trPr>
          <w:trHeight w:val="280"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42"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梁河糖业</w:t>
            </w:r>
          </w:p>
        </w:tc>
        <w:tc>
          <w:tcPr>
            <w:tcW w:w="4725"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5,000,000.00</w:t>
            </w:r>
          </w:p>
        </w:tc>
      </w:tr>
      <w:tr>
        <w:tblPrEx>
          <w:tblCellMar>
            <w:top w:w="0" w:type="dxa"/>
            <w:left w:w="0" w:type="dxa"/>
            <w:bottom w:w="0" w:type="dxa"/>
            <w:right w:w="0" w:type="dxa"/>
          </w:tblCellMar>
        </w:tblPrEx>
        <w:trPr>
          <w:trHeight w:val="280"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42"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粤北糖业</w:t>
            </w:r>
          </w:p>
        </w:tc>
        <w:tc>
          <w:tcPr>
            <w:tcW w:w="4725"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5,000,000.00</w:t>
            </w:r>
          </w:p>
        </w:tc>
      </w:tr>
      <w:tr>
        <w:tblPrEx>
          <w:tblCellMar>
            <w:top w:w="0" w:type="dxa"/>
            <w:left w:w="0" w:type="dxa"/>
            <w:bottom w:w="0" w:type="dxa"/>
            <w:right w:w="0" w:type="dxa"/>
          </w:tblCellMar>
        </w:tblPrEx>
        <w:trPr>
          <w:trHeight w:val="280" w:hRule="atLeast"/>
        </w:trPr>
        <w:tc>
          <w:tcPr>
            <w:tcW w:w="1973" w:type="dxa"/>
            <w:vMerge w:val="continue"/>
            <w:tcBorders>
              <w:top w:val="single" w:color="000000" w:sz="4" w:space="0"/>
              <w:left w:val="single" w:color="000000" w:sz="4" w:space="0"/>
              <w:bottom w:val="single" w:color="000000" w:sz="4" w:space="0"/>
              <w:right w:val="single" w:color="000000" w:sz="4" w:space="0"/>
            </w:tcBorders>
            <w:noWrap/>
            <w:vAlign w:val="center"/>
          </w:tcPr>
          <w:p>
            <w:pPr>
              <w:snapToGrid w:val="0"/>
              <w:jc w:val="center"/>
              <w:rPr>
                <w:rStyle w:val="37"/>
                <w:rFonts w:ascii="宋体" w:hAnsi="宋体"/>
                <w:color w:val="000000"/>
                <w:sz w:val="20"/>
                <w:szCs w:val="20"/>
              </w:rPr>
            </w:pPr>
          </w:p>
        </w:tc>
        <w:tc>
          <w:tcPr>
            <w:tcW w:w="2242"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益兴农业</w:t>
            </w:r>
          </w:p>
        </w:tc>
        <w:tc>
          <w:tcPr>
            <w:tcW w:w="4725" w:type="dxa"/>
            <w:tcBorders>
              <w:top w:val="single" w:color="000000" w:sz="4" w:space="0"/>
              <w:left w:val="single" w:color="000000" w:sz="4" w:space="0"/>
              <w:bottom w:val="single" w:color="000000" w:sz="4" w:space="0"/>
              <w:right w:val="single" w:color="000000" w:sz="4" w:space="0"/>
            </w:tcBorders>
            <w:noWrap/>
            <w:vAlign w:val="center"/>
          </w:tcPr>
          <w:p>
            <w:pPr>
              <w:snapToGrid w:val="0"/>
              <w:jc w:val="center"/>
              <w:textAlignment w:val="center"/>
              <w:rPr>
                <w:rStyle w:val="37"/>
                <w:rFonts w:ascii="宋体" w:hAnsi="宋体"/>
                <w:color w:val="000000"/>
                <w:sz w:val="20"/>
                <w:szCs w:val="20"/>
              </w:rPr>
            </w:pPr>
            <w:r>
              <w:rPr>
                <w:rStyle w:val="37"/>
                <w:rFonts w:ascii="宋体" w:hAnsi="宋体"/>
                <w:color w:val="000000"/>
                <w:kern w:val="0"/>
                <w:sz w:val="20"/>
                <w:szCs w:val="20"/>
              </w:rPr>
              <w:t>5,000,000.00</w:t>
            </w:r>
          </w:p>
        </w:tc>
      </w:tr>
    </w:tbl>
    <w:p>
      <w:pPr>
        <w:snapToGrid w:val="0"/>
        <w:rPr>
          <w:rStyle w:val="37"/>
          <w:rFonts w:ascii="黑体" w:hAnsi="黑体" w:eastAsia="黑体" w:cs="黑体"/>
          <w:bCs/>
          <w:sz w:val="32"/>
          <w:szCs w:val="32"/>
        </w:rPr>
      </w:pPr>
    </w:p>
    <w:p>
      <w:pPr>
        <w:snapToGrid w:val="0"/>
        <w:jc w:val="left"/>
        <w:rPr>
          <w:rStyle w:val="37"/>
          <w:rFonts w:ascii="宋体" w:hAnsi="宋体"/>
          <w:bCs/>
          <w:sz w:val="28"/>
          <w:szCs w:val="28"/>
        </w:rPr>
      </w:pPr>
    </w:p>
    <w:p>
      <w:pPr>
        <w:pStyle w:val="2"/>
        <w:rPr>
          <w:rStyle w:val="37"/>
          <w:rFonts w:ascii="宋体" w:hAnsi="宋体"/>
          <w:bCs/>
          <w:sz w:val="28"/>
          <w:szCs w:val="28"/>
        </w:rPr>
      </w:pPr>
    </w:p>
    <w:p>
      <w:pPr>
        <w:rPr>
          <w:rStyle w:val="37"/>
          <w:rFonts w:ascii="宋体" w:hAnsi="宋体"/>
          <w:bCs/>
          <w:sz w:val="28"/>
          <w:szCs w:val="28"/>
        </w:rPr>
      </w:pPr>
    </w:p>
    <w:p>
      <w:pPr>
        <w:pStyle w:val="2"/>
        <w:rPr>
          <w:rStyle w:val="37"/>
          <w:rFonts w:ascii="宋体" w:hAnsi="宋体"/>
          <w:bCs/>
          <w:sz w:val="28"/>
          <w:szCs w:val="28"/>
        </w:rPr>
      </w:pPr>
    </w:p>
    <w:p>
      <w:pPr>
        <w:rPr>
          <w:rStyle w:val="37"/>
          <w:rFonts w:ascii="宋体" w:hAnsi="宋体"/>
          <w:bCs/>
          <w:sz w:val="28"/>
          <w:szCs w:val="28"/>
        </w:rPr>
      </w:pPr>
    </w:p>
    <w:p>
      <w:pPr>
        <w:pStyle w:val="2"/>
        <w:rPr>
          <w:rStyle w:val="37"/>
          <w:rFonts w:ascii="宋体" w:hAnsi="宋体"/>
          <w:bCs/>
          <w:sz w:val="28"/>
          <w:szCs w:val="28"/>
        </w:rPr>
      </w:pPr>
    </w:p>
    <w:p>
      <w:pPr>
        <w:rPr>
          <w:rStyle w:val="37"/>
          <w:rFonts w:ascii="宋体" w:hAnsi="宋体"/>
          <w:bCs/>
          <w:sz w:val="28"/>
          <w:szCs w:val="28"/>
        </w:rPr>
      </w:pPr>
    </w:p>
    <w:p>
      <w:pPr>
        <w:pStyle w:val="2"/>
        <w:numPr>
          <w:ilvl w:val="0"/>
          <w:numId w:val="3"/>
        </w:numPr>
        <w:ind w:firstLine="1506" w:firstLineChars="500"/>
        <w:jc w:val="both"/>
        <w:rPr>
          <w:rFonts w:hint="eastAsia"/>
          <w:sz w:val="32"/>
          <w:szCs w:val="32"/>
          <w:lang w:val="en-US" w:eastAsia="zh-CN"/>
        </w:rPr>
      </w:pPr>
      <w:r>
        <w:rPr>
          <w:rFonts w:hint="eastAsia"/>
          <w:sz w:val="32"/>
          <w:szCs w:val="32"/>
          <w:lang w:val="en-US" w:eastAsia="zh-CN"/>
        </w:rPr>
        <w:t xml:space="preserve"> 合同及保险主要条款</w:t>
      </w:r>
    </w:p>
    <w:p>
      <w:pPr>
        <w:widowControl/>
        <w:jc w:val="center"/>
        <w:rPr>
          <w:rFonts w:ascii="宋体" w:eastAsia="宋体" w:cs="宋体"/>
          <w:b/>
          <w:kern w:val="0"/>
          <w:sz w:val="32"/>
          <w:szCs w:val="32"/>
        </w:rPr>
      </w:pPr>
      <w:r>
        <w:rPr>
          <w:rFonts w:hint="eastAsia" w:ascii="宋体" w:eastAsia="宋体" w:cs="宋体"/>
          <w:b/>
          <w:kern w:val="0"/>
          <w:sz w:val="28"/>
          <w:szCs w:val="32"/>
        </w:rPr>
        <w:t>财产一切险明细表</w:t>
      </w:r>
    </w:p>
    <w:p>
      <w:pPr>
        <w:widowControl/>
        <w:jc w:val="center"/>
        <w:rPr>
          <w:rFonts w:ascii="宋体" w:eastAsia="宋体" w:cs="宋体"/>
          <w:b/>
          <w:kern w:val="0"/>
          <w:sz w:val="32"/>
          <w:szCs w:val="32"/>
        </w:rPr>
      </w:pPr>
    </w:p>
    <w:tbl>
      <w:tblPr>
        <w:tblStyle w:val="27"/>
        <w:tblW w:w="9410" w:type="dxa"/>
        <w:tblInd w:w="0" w:type="dxa"/>
        <w:tblLayout w:type="autofit"/>
        <w:tblCellMar>
          <w:top w:w="0" w:type="dxa"/>
          <w:left w:w="108" w:type="dxa"/>
          <w:bottom w:w="0" w:type="dxa"/>
          <w:right w:w="108" w:type="dxa"/>
        </w:tblCellMar>
      </w:tblPr>
      <w:tblGrid>
        <w:gridCol w:w="1384"/>
        <w:gridCol w:w="425"/>
        <w:gridCol w:w="3115"/>
        <w:gridCol w:w="2210"/>
        <w:gridCol w:w="2235"/>
        <w:gridCol w:w="41"/>
      </w:tblGrid>
      <w:tr>
        <w:tblPrEx>
          <w:tblCellMar>
            <w:top w:w="0" w:type="dxa"/>
            <w:left w:w="108" w:type="dxa"/>
            <w:bottom w:w="0" w:type="dxa"/>
            <w:right w:w="108" w:type="dxa"/>
          </w:tblCellMar>
        </w:tblPrEx>
        <w:trPr>
          <w:gridAfter w:val="1"/>
          <w:wAfter w:w="41" w:type="dxa"/>
          <w:trHeight w:val="757" w:hRule="atLeast"/>
        </w:trPr>
        <w:tc>
          <w:tcPr>
            <w:tcW w:w="1384" w:type="dxa"/>
          </w:tcPr>
          <w:p>
            <w:pPr>
              <w:rPr>
                <w:rFonts w:ascii="Arial" w:hAnsi="Arial" w:cs="Arial"/>
                <w:b/>
                <w:sz w:val="22"/>
              </w:rPr>
            </w:pPr>
            <w:r>
              <w:rPr>
                <w:rFonts w:ascii="Arial" w:hAnsi="Arial" w:cs="Arial"/>
                <w:b/>
                <w:sz w:val="22"/>
              </w:rPr>
              <w:t>被保险人</w:t>
            </w:r>
          </w:p>
          <w:p>
            <w:pPr>
              <w:ind w:firstLine="440" w:firstLineChars="200"/>
              <w:rPr>
                <w:rFonts w:ascii="Arial" w:hAnsi="Arial" w:cs="Arial"/>
                <w:sz w:val="22"/>
              </w:rPr>
            </w:pPr>
          </w:p>
        </w:tc>
        <w:tc>
          <w:tcPr>
            <w:tcW w:w="425" w:type="dxa"/>
          </w:tcPr>
          <w:p>
            <w:pPr>
              <w:rPr>
                <w:rFonts w:ascii="Arial" w:hAnsi="Arial" w:cs="Arial"/>
                <w:b/>
                <w:sz w:val="22"/>
              </w:rPr>
            </w:pPr>
            <w:r>
              <w:rPr>
                <w:rFonts w:ascii="Arial" w:hAnsi="Arial" w:cs="Arial"/>
                <w:b/>
                <w:sz w:val="22"/>
              </w:rPr>
              <w:t>:</w:t>
            </w:r>
          </w:p>
        </w:tc>
        <w:tc>
          <w:tcPr>
            <w:tcW w:w="7560" w:type="dxa"/>
            <w:gridSpan w:val="3"/>
          </w:tcPr>
          <w:p>
            <w:pPr>
              <w:rPr>
                <w:rFonts w:ascii="Arial" w:hAnsi="Arial" w:cs="Arial" w:eastAsiaTheme="minorEastAsia"/>
                <w:b/>
                <w:szCs w:val="21"/>
              </w:rPr>
            </w:pPr>
            <w:r>
              <w:rPr>
                <w:rFonts w:hint="eastAsia" w:ascii="Arial" w:hAnsi="Arial" w:cs="Arial" w:eastAsiaTheme="minorEastAsia"/>
                <w:b/>
                <w:szCs w:val="21"/>
              </w:rPr>
              <w:t>中粮屯河崇左糖业有限公司</w:t>
            </w:r>
          </w:p>
          <w:p>
            <w:pPr>
              <w:rPr>
                <w:rFonts w:ascii="Arial" w:hAnsi="Arial" w:cs="Arial" w:eastAsiaTheme="minorEastAsia"/>
                <w:b/>
                <w:szCs w:val="21"/>
              </w:rPr>
            </w:pPr>
            <w:r>
              <w:rPr>
                <w:rFonts w:hint="eastAsia" w:ascii="Arial" w:hAnsi="Arial" w:cs="Arial" w:eastAsiaTheme="minorEastAsia"/>
                <w:b/>
                <w:szCs w:val="21"/>
              </w:rPr>
              <w:t>中粮崇左江州糖业有限公司</w:t>
            </w:r>
          </w:p>
          <w:p>
            <w:pPr>
              <w:rPr>
                <w:rFonts w:ascii="Arial" w:hAnsi="Arial" w:cs="Arial" w:eastAsiaTheme="minorEastAsia"/>
                <w:b/>
                <w:szCs w:val="21"/>
              </w:rPr>
            </w:pPr>
            <w:r>
              <w:rPr>
                <w:rFonts w:hint="eastAsia" w:ascii="Arial" w:hAnsi="Arial" w:cs="Arial" w:eastAsiaTheme="minorEastAsia"/>
                <w:b/>
                <w:szCs w:val="21"/>
              </w:rPr>
              <w:t>中粮屯河北海糖业有限公司</w:t>
            </w:r>
          </w:p>
          <w:p>
            <w:pPr>
              <w:rPr>
                <w:rFonts w:ascii="Arial" w:hAnsi="Arial" w:cs="Arial" w:eastAsiaTheme="minorEastAsia"/>
                <w:b/>
                <w:szCs w:val="21"/>
              </w:rPr>
            </w:pPr>
            <w:r>
              <w:rPr>
                <w:rFonts w:hint="eastAsia" w:ascii="Arial" w:hAnsi="Arial" w:cs="Arial" w:eastAsiaTheme="minorEastAsia"/>
                <w:b/>
                <w:szCs w:val="21"/>
              </w:rPr>
              <w:t>中粮梁河糖业有限公司</w:t>
            </w:r>
          </w:p>
          <w:p>
            <w:pPr>
              <w:rPr>
                <w:rFonts w:ascii="Arial" w:hAnsi="Arial" w:cs="Arial" w:eastAsiaTheme="minorEastAsia"/>
                <w:b/>
                <w:szCs w:val="21"/>
              </w:rPr>
            </w:pPr>
            <w:r>
              <w:rPr>
                <w:rFonts w:hint="eastAsia" w:ascii="Arial" w:hAnsi="Arial" w:cs="Arial" w:eastAsiaTheme="minorEastAsia"/>
                <w:b/>
                <w:szCs w:val="21"/>
              </w:rPr>
              <w:t>英德市粤北糖业有限公司</w:t>
            </w:r>
          </w:p>
          <w:p>
            <w:pPr>
              <w:rPr>
                <w:rFonts w:ascii="Arial" w:hAnsi="Arial" w:cs="Arial" w:eastAsiaTheme="minorEastAsia"/>
                <w:b/>
                <w:szCs w:val="21"/>
              </w:rPr>
            </w:pPr>
            <w:r>
              <w:rPr>
                <w:rFonts w:hint="eastAsia" w:ascii="Arial" w:hAnsi="Arial" w:cs="Arial" w:eastAsiaTheme="minorEastAsia"/>
                <w:b/>
                <w:szCs w:val="21"/>
              </w:rPr>
              <w:t>广西益兴现代农业科技发展有限公司</w:t>
            </w:r>
          </w:p>
          <w:p>
            <w:pPr>
              <w:rPr>
                <w:rFonts w:ascii="Arial" w:hAnsi="Arial" w:cs="Arial"/>
                <w:sz w:val="22"/>
              </w:rPr>
            </w:pPr>
            <w:r>
              <w:rPr>
                <w:rFonts w:ascii="Arial" w:hAnsi="Arial" w:cs="Arial"/>
                <w:sz w:val="22"/>
              </w:rPr>
              <w:t>和/或其有相关权利和利益的附属公司和关联公司</w:t>
            </w:r>
          </w:p>
          <w:p>
            <w:pPr>
              <w:rPr>
                <w:rFonts w:ascii="Arial" w:hAnsi="Arial" w:cs="Arial"/>
                <w:sz w:val="22"/>
              </w:rPr>
            </w:pPr>
          </w:p>
        </w:tc>
      </w:tr>
      <w:tr>
        <w:tblPrEx>
          <w:tblCellMar>
            <w:top w:w="0" w:type="dxa"/>
            <w:left w:w="108" w:type="dxa"/>
            <w:bottom w:w="0" w:type="dxa"/>
            <w:right w:w="108" w:type="dxa"/>
          </w:tblCellMar>
        </w:tblPrEx>
        <w:trPr>
          <w:gridAfter w:val="1"/>
          <w:wAfter w:w="41" w:type="dxa"/>
        </w:trPr>
        <w:tc>
          <w:tcPr>
            <w:tcW w:w="1384" w:type="dxa"/>
          </w:tcPr>
          <w:p>
            <w:pPr>
              <w:rPr>
                <w:rFonts w:ascii="Arial" w:hAnsi="Arial" w:cs="Arial"/>
                <w:b/>
                <w:sz w:val="22"/>
              </w:rPr>
            </w:pPr>
            <w:r>
              <w:rPr>
                <w:rFonts w:ascii="Arial" w:hAnsi="Arial" w:cs="Arial"/>
                <w:b/>
                <w:sz w:val="22"/>
              </w:rPr>
              <w:t>营业性质</w:t>
            </w:r>
          </w:p>
        </w:tc>
        <w:tc>
          <w:tcPr>
            <w:tcW w:w="425" w:type="dxa"/>
          </w:tcPr>
          <w:p>
            <w:pPr>
              <w:rPr>
                <w:rFonts w:ascii="Arial" w:hAnsi="Arial" w:cs="Arial"/>
                <w:b/>
                <w:sz w:val="22"/>
              </w:rPr>
            </w:pPr>
            <w:r>
              <w:rPr>
                <w:rFonts w:ascii="Arial" w:hAnsi="Arial" w:cs="Arial"/>
                <w:b/>
                <w:sz w:val="22"/>
              </w:rPr>
              <w:t>:</w:t>
            </w:r>
          </w:p>
        </w:tc>
        <w:tc>
          <w:tcPr>
            <w:tcW w:w="7560" w:type="dxa"/>
            <w:gridSpan w:val="3"/>
          </w:tcPr>
          <w:p>
            <w:pPr>
              <w:rPr>
                <w:rFonts w:ascii="Arial" w:hAnsi="Arial" w:cs="Arial"/>
                <w:sz w:val="22"/>
              </w:rPr>
            </w:pPr>
            <w:r>
              <w:rPr>
                <w:rFonts w:hint="eastAsia" w:ascii="Arial" w:hAnsi="Arial" w:cs="Arial"/>
                <w:sz w:val="22"/>
              </w:rPr>
              <w:t>食品制造</w:t>
            </w:r>
          </w:p>
          <w:p>
            <w:pPr>
              <w:ind w:left="491" w:leftChars="234"/>
              <w:rPr>
                <w:rFonts w:ascii="Arial" w:hAnsi="Arial" w:cs="Arial"/>
                <w:sz w:val="22"/>
              </w:rPr>
            </w:pPr>
          </w:p>
        </w:tc>
      </w:tr>
      <w:tr>
        <w:tblPrEx>
          <w:tblCellMar>
            <w:top w:w="0" w:type="dxa"/>
            <w:left w:w="108" w:type="dxa"/>
            <w:bottom w:w="0" w:type="dxa"/>
            <w:right w:w="108" w:type="dxa"/>
          </w:tblCellMar>
        </w:tblPrEx>
        <w:trPr>
          <w:gridAfter w:val="1"/>
          <w:wAfter w:w="41" w:type="dxa"/>
        </w:trPr>
        <w:tc>
          <w:tcPr>
            <w:tcW w:w="1384" w:type="dxa"/>
          </w:tcPr>
          <w:p>
            <w:pPr>
              <w:rPr>
                <w:rFonts w:ascii="Arial" w:hAnsi="Arial" w:cs="Arial"/>
                <w:b/>
                <w:sz w:val="22"/>
              </w:rPr>
            </w:pPr>
            <w:r>
              <w:rPr>
                <w:rFonts w:hint="eastAsia" w:ascii="Arial" w:hAnsi="Arial" w:cs="Arial"/>
                <w:b/>
                <w:sz w:val="22"/>
              </w:rPr>
              <w:t>被保险</w:t>
            </w:r>
            <w:r>
              <w:rPr>
                <w:rFonts w:ascii="Arial" w:hAnsi="Arial" w:cs="Arial"/>
                <w:b/>
                <w:sz w:val="22"/>
              </w:rPr>
              <w:t>地址</w:t>
            </w:r>
          </w:p>
        </w:tc>
        <w:tc>
          <w:tcPr>
            <w:tcW w:w="425" w:type="dxa"/>
          </w:tcPr>
          <w:p>
            <w:pPr>
              <w:rPr>
                <w:rFonts w:ascii="Arial" w:hAnsi="Arial" w:cs="Arial"/>
                <w:b/>
                <w:sz w:val="22"/>
              </w:rPr>
            </w:pPr>
            <w:r>
              <w:rPr>
                <w:rFonts w:ascii="Arial" w:hAnsi="Arial" w:cs="Arial"/>
                <w:b/>
                <w:sz w:val="22"/>
              </w:rPr>
              <w:t>:</w:t>
            </w:r>
          </w:p>
        </w:tc>
        <w:tc>
          <w:tcPr>
            <w:tcW w:w="7560" w:type="dxa"/>
            <w:gridSpan w:val="3"/>
          </w:tcPr>
          <w:p>
            <w:pPr>
              <w:rPr>
                <w:rFonts w:ascii="Arial" w:hAnsi="Arial" w:cs="Arial" w:eastAsiaTheme="minorEastAsia"/>
                <w:b/>
                <w:szCs w:val="21"/>
              </w:rPr>
            </w:pPr>
            <w:r>
              <w:rPr>
                <w:rFonts w:ascii="Arial" w:hAnsi="Arial" w:cs="Arial"/>
                <w:sz w:val="22"/>
              </w:rPr>
              <w:t>任何中国境内被保险人拥有、占有、管理的或使用的场所/地点，无论这些场所/地点在本保单生效前或者之后启用，和全国各分支机构及中转仓所在地。包括但不限于：</w:t>
            </w:r>
            <w:r>
              <w:rPr>
                <w:rFonts w:hint="eastAsia" w:ascii="Arial" w:hAnsi="Arial" w:cs="Arial" w:eastAsiaTheme="minorEastAsia"/>
                <w:b/>
                <w:szCs w:val="21"/>
              </w:rPr>
              <w:t>详细地址以附件</w:t>
            </w:r>
            <w:r>
              <w:rPr>
                <w:rFonts w:hint="eastAsia" w:ascii="Arial" w:hAnsi="Arial" w:cs="Arial" w:eastAsiaTheme="minorEastAsia"/>
                <w:b/>
                <w:szCs w:val="21"/>
                <w:highlight w:val="yellow"/>
              </w:rPr>
              <w:t>“投保信息汇总表”</w:t>
            </w:r>
            <w:r>
              <w:rPr>
                <w:rFonts w:hint="eastAsia" w:ascii="Arial" w:hAnsi="Arial" w:cs="Arial" w:eastAsiaTheme="minorEastAsia"/>
                <w:b/>
                <w:szCs w:val="21"/>
              </w:rPr>
              <w:t>为准</w:t>
            </w:r>
          </w:p>
          <w:p>
            <w:pPr>
              <w:pStyle w:val="47"/>
              <w:ind w:left="0" w:leftChars="0" w:firstLine="0" w:firstLineChars="0"/>
              <w:rPr>
                <w:rFonts w:ascii="Arial" w:hAnsi="Arial" w:cs="Arial" w:eastAsiaTheme="minorEastAsia"/>
                <w:sz w:val="22"/>
                <w:szCs w:val="22"/>
              </w:rPr>
            </w:pPr>
          </w:p>
        </w:tc>
      </w:tr>
      <w:tr>
        <w:tblPrEx>
          <w:tblCellMar>
            <w:top w:w="0" w:type="dxa"/>
            <w:left w:w="108" w:type="dxa"/>
            <w:bottom w:w="0" w:type="dxa"/>
            <w:right w:w="108" w:type="dxa"/>
          </w:tblCellMar>
        </w:tblPrEx>
        <w:trPr>
          <w:gridAfter w:val="1"/>
          <w:wAfter w:w="41" w:type="dxa"/>
        </w:trPr>
        <w:tc>
          <w:tcPr>
            <w:tcW w:w="1384" w:type="dxa"/>
          </w:tcPr>
          <w:p>
            <w:pPr>
              <w:rPr>
                <w:rFonts w:ascii="Arial" w:hAnsi="Arial" w:cs="Arial"/>
                <w:b/>
                <w:szCs w:val="21"/>
              </w:rPr>
            </w:pPr>
            <w:r>
              <w:rPr>
                <w:rFonts w:ascii="Arial" w:hAnsi="Arial" w:cs="Arial"/>
                <w:b/>
                <w:szCs w:val="21"/>
              </w:rPr>
              <w:t>保单司法</w:t>
            </w:r>
          </w:p>
          <w:p>
            <w:pPr>
              <w:rPr>
                <w:rFonts w:ascii="Arial" w:hAnsi="Arial" w:cs="Arial"/>
                <w:b/>
                <w:szCs w:val="21"/>
              </w:rPr>
            </w:pPr>
            <w:r>
              <w:rPr>
                <w:rFonts w:ascii="Arial" w:hAnsi="Arial" w:cs="Arial"/>
                <w:b/>
                <w:szCs w:val="21"/>
              </w:rPr>
              <w:t>管辖</w:t>
            </w:r>
          </w:p>
        </w:tc>
        <w:tc>
          <w:tcPr>
            <w:tcW w:w="425" w:type="dxa"/>
          </w:tcPr>
          <w:p>
            <w:pPr>
              <w:rPr>
                <w:rFonts w:ascii="Arial" w:hAnsi="Arial" w:cs="Arial"/>
                <w:b/>
                <w:szCs w:val="21"/>
              </w:rPr>
            </w:pPr>
            <w:r>
              <w:rPr>
                <w:rFonts w:ascii="Arial" w:hAnsi="Arial" w:cs="Arial"/>
                <w:b/>
                <w:szCs w:val="21"/>
              </w:rPr>
              <w:t>:</w:t>
            </w:r>
          </w:p>
        </w:tc>
        <w:tc>
          <w:tcPr>
            <w:tcW w:w="7560" w:type="dxa"/>
            <w:gridSpan w:val="3"/>
          </w:tcPr>
          <w:p>
            <w:pPr>
              <w:ind w:left="-63" w:leftChars="-30"/>
              <w:rPr>
                <w:rFonts w:ascii="Arial" w:hAnsi="Arial" w:cs="Arial"/>
                <w:szCs w:val="21"/>
              </w:rPr>
            </w:pPr>
            <w:r>
              <w:rPr>
                <w:rFonts w:ascii="Arial" w:hAnsi="Arial" w:cs="Arial"/>
                <w:szCs w:val="21"/>
              </w:rPr>
              <w:t>本保单受中国司法管辖（不包括港、澳、台地区）</w:t>
            </w:r>
          </w:p>
          <w:p>
            <w:pPr>
              <w:rPr>
                <w:rFonts w:ascii="Arial" w:hAnsi="Arial" w:cs="Arial"/>
                <w:szCs w:val="21"/>
              </w:rPr>
            </w:pPr>
          </w:p>
          <w:p>
            <w:pPr>
              <w:rPr>
                <w:rFonts w:ascii="Arial" w:hAnsi="Arial" w:cs="Arial"/>
                <w:szCs w:val="21"/>
              </w:rPr>
            </w:pPr>
          </w:p>
        </w:tc>
      </w:tr>
      <w:tr>
        <w:tblPrEx>
          <w:tblCellMar>
            <w:top w:w="0" w:type="dxa"/>
            <w:left w:w="108" w:type="dxa"/>
            <w:bottom w:w="0" w:type="dxa"/>
            <w:right w:w="108" w:type="dxa"/>
          </w:tblCellMar>
        </w:tblPrEx>
        <w:tc>
          <w:tcPr>
            <w:tcW w:w="1384" w:type="dxa"/>
          </w:tcPr>
          <w:p>
            <w:pPr>
              <w:rPr>
                <w:rFonts w:ascii="Arial" w:hAnsi="Arial" w:cs="Arial"/>
                <w:b/>
                <w:szCs w:val="21"/>
              </w:rPr>
            </w:pPr>
            <w:r>
              <w:rPr>
                <w:rFonts w:ascii="Arial" w:hAnsi="Arial" w:cs="Arial"/>
                <w:b/>
                <w:szCs w:val="21"/>
              </w:rPr>
              <w:t>适用条款</w:t>
            </w:r>
          </w:p>
        </w:tc>
        <w:tc>
          <w:tcPr>
            <w:tcW w:w="425" w:type="dxa"/>
          </w:tcPr>
          <w:p>
            <w:pPr>
              <w:rPr>
                <w:rFonts w:ascii="Arial" w:hAnsi="Arial" w:cs="Arial"/>
                <w:b/>
                <w:szCs w:val="21"/>
              </w:rPr>
            </w:pPr>
            <w:r>
              <w:rPr>
                <w:rFonts w:ascii="Arial" w:hAnsi="Arial" w:cs="Arial"/>
                <w:b/>
                <w:szCs w:val="21"/>
              </w:rPr>
              <w:t>:</w:t>
            </w:r>
          </w:p>
        </w:tc>
        <w:tc>
          <w:tcPr>
            <w:tcW w:w="7601" w:type="dxa"/>
            <w:gridSpan w:val="4"/>
          </w:tcPr>
          <w:p>
            <w:pPr>
              <w:rPr>
                <w:rFonts w:ascii="Arial" w:hAnsi="Arial" w:cs="Arial"/>
                <w:szCs w:val="21"/>
              </w:rPr>
            </w:pPr>
            <w:r>
              <w:rPr>
                <w:rFonts w:ascii="Arial" w:hAnsi="Arial" w:cs="Arial"/>
                <w:szCs w:val="21"/>
              </w:rPr>
              <w:t>财产一切险条款（2009版）及扩展条款</w:t>
            </w:r>
          </w:p>
          <w:p>
            <w:pPr>
              <w:rPr>
                <w:rFonts w:ascii="Arial" w:hAnsi="Arial" w:cs="Arial"/>
                <w:szCs w:val="21"/>
              </w:rPr>
            </w:pPr>
          </w:p>
        </w:tc>
      </w:tr>
      <w:tr>
        <w:tblPrEx>
          <w:tblCellMar>
            <w:top w:w="0" w:type="dxa"/>
            <w:left w:w="108" w:type="dxa"/>
            <w:bottom w:w="0" w:type="dxa"/>
            <w:right w:w="108" w:type="dxa"/>
          </w:tblCellMar>
        </w:tblPrEx>
        <w:trPr>
          <w:trHeight w:val="632" w:hRule="atLeast"/>
        </w:trPr>
        <w:tc>
          <w:tcPr>
            <w:tcW w:w="1384" w:type="dxa"/>
          </w:tcPr>
          <w:p>
            <w:pPr>
              <w:rPr>
                <w:rFonts w:ascii="Arial" w:hAnsi="Arial" w:cs="Arial"/>
                <w:b/>
                <w:szCs w:val="21"/>
              </w:rPr>
            </w:pPr>
            <w:r>
              <w:rPr>
                <w:rFonts w:ascii="Arial" w:hAnsi="Arial" w:cs="Arial"/>
                <w:b/>
                <w:szCs w:val="21"/>
              </w:rPr>
              <w:t>保险期限</w:t>
            </w:r>
          </w:p>
        </w:tc>
        <w:tc>
          <w:tcPr>
            <w:tcW w:w="425" w:type="dxa"/>
          </w:tcPr>
          <w:p>
            <w:pPr>
              <w:rPr>
                <w:rFonts w:ascii="Arial" w:hAnsi="Arial" w:cs="Arial"/>
                <w:b/>
                <w:szCs w:val="21"/>
              </w:rPr>
            </w:pPr>
            <w:r>
              <w:rPr>
                <w:rFonts w:ascii="Arial" w:hAnsi="Arial" w:cs="Arial"/>
                <w:b/>
                <w:szCs w:val="21"/>
              </w:rPr>
              <w:t>:</w:t>
            </w:r>
          </w:p>
        </w:tc>
        <w:tc>
          <w:tcPr>
            <w:tcW w:w="7601" w:type="dxa"/>
            <w:gridSpan w:val="4"/>
          </w:tcPr>
          <w:p>
            <w:pPr>
              <w:pStyle w:val="105"/>
              <w:jc w:val="both"/>
              <w:rPr>
                <w:szCs w:val="21"/>
              </w:rPr>
            </w:pPr>
            <w:r>
              <w:rPr>
                <w:sz w:val="21"/>
                <w:szCs w:val="21"/>
              </w:rPr>
              <w:t>北京时间：自20</w:t>
            </w:r>
            <w:r>
              <w:rPr>
                <w:rFonts w:hint="eastAsia"/>
                <w:sz w:val="21"/>
                <w:szCs w:val="21"/>
              </w:rPr>
              <w:t>2</w:t>
            </w:r>
            <w:r>
              <w:rPr>
                <w:rFonts w:hint="eastAsia"/>
                <w:sz w:val="21"/>
                <w:szCs w:val="21"/>
                <w:lang w:val="en-US" w:eastAsia="zh-CN"/>
              </w:rPr>
              <w:t>3</w:t>
            </w:r>
            <w:r>
              <w:rPr>
                <w:sz w:val="21"/>
                <w:szCs w:val="21"/>
              </w:rPr>
              <w:t>年</w:t>
            </w:r>
            <w:r>
              <w:rPr>
                <w:rFonts w:hint="eastAsia"/>
                <w:sz w:val="21"/>
                <w:szCs w:val="21"/>
              </w:rPr>
              <w:t>0</w:t>
            </w:r>
            <w:r>
              <w:rPr>
                <w:sz w:val="21"/>
                <w:szCs w:val="21"/>
              </w:rPr>
              <w:t>8月</w:t>
            </w:r>
            <w:r>
              <w:rPr>
                <w:rFonts w:hint="eastAsia"/>
                <w:sz w:val="21"/>
                <w:szCs w:val="21"/>
              </w:rPr>
              <w:t>0</w:t>
            </w:r>
            <w:r>
              <w:rPr>
                <w:sz w:val="21"/>
                <w:szCs w:val="21"/>
              </w:rPr>
              <w:t>1日零时起至20</w:t>
            </w:r>
            <w:r>
              <w:rPr>
                <w:rFonts w:hint="eastAsia"/>
                <w:sz w:val="21"/>
                <w:szCs w:val="21"/>
                <w:lang w:val="en-US" w:eastAsia="zh-CN"/>
              </w:rPr>
              <w:t>24</w:t>
            </w:r>
            <w:r>
              <w:rPr>
                <w:sz w:val="21"/>
                <w:szCs w:val="21"/>
              </w:rPr>
              <w:t>年</w:t>
            </w:r>
            <w:r>
              <w:rPr>
                <w:rFonts w:hint="eastAsia"/>
                <w:sz w:val="21"/>
                <w:szCs w:val="21"/>
              </w:rPr>
              <w:t>07</w:t>
            </w:r>
            <w:r>
              <w:rPr>
                <w:sz w:val="21"/>
                <w:szCs w:val="21"/>
              </w:rPr>
              <w:t>月</w:t>
            </w:r>
            <w:r>
              <w:rPr>
                <w:rFonts w:hint="eastAsia"/>
                <w:sz w:val="21"/>
                <w:szCs w:val="21"/>
              </w:rPr>
              <w:t>31</w:t>
            </w:r>
            <w:r>
              <w:rPr>
                <w:sz w:val="21"/>
                <w:szCs w:val="21"/>
              </w:rPr>
              <w:t>日</w:t>
            </w:r>
            <w:r>
              <w:rPr>
                <w:rFonts w:hint="eastAsia"/>
                <w:sz w:val="21"/>
                <w:szCs w:val="21"/>
              </w:rPr>
              <w:t>二十四</w:t>
            </w:r>
            <w:r>
              <w:rPr>
                <w:sz w:val="21"/>
                <w:szCs w:val="21"/>
              </w:rPr>
              <w:t>时止；</w:t>
            </w:r>
          </w:p>
          <w:p>
            <w:pPr>
              <w:rPr>
                <w:rFonts w:ascii="Arial" w:hAnsi="Arial" w:cs="Arial"/>
                <w:color w:val="0000FF"/>
                <w:szCs w:val="21"/>
              </w:rPr>
            </w:pPr>
          </w:p>
        </w:tc>
      </w:tr>
      <w:tr>
        <w:tblPrEx>
          <w:tblCellMar>
            <w:top w:w="0" w:type="dxa"/>
            <w:left w:w="108" w:type="dxa"/>
            <w:bottom w:w="0" w:type="dxa"/>
            <w:right w:w="108" w:type="dxa"/>
          </w:tblCellMar>
        </w:tblPrEx>
        <w:tc>
          <w:tcPr>
            <w:tcW w:w="1384" w:type="dxa"/>
          </w:tcPr>
          <w:p>
            <w:pPr>
              <w:rPr>
                <w:rFonts w:ascii="Arial" w:hAnsi="Arial" w:cs="Arial"/>
                <w:b/>
                <w:szCs w:val="21"/>
              </w:rPr>
            </w:pPr>
            <w:r>
              <w:rPr>
                <w:rFonts w:ascii="Arial" w:hAnsi="Arial" w:cs="Arial"/>
                <w:b/>
                <w:szCs w:val="21"/>
              </w:rPr>
              <w:t>保险责任</w:t>
            </w:r>
          </w:p>
        </w:tc>
        <w:tc>
          <w:tcPr>
            <w:tcW w:w="425" w:type="dxa"/>
          </w:tcPr>
          <w:p>
            <w:pPr>
              <w:rPr>
                <w:rFonts w:ascii="Arial" w:hAnsi="Arial" w:cs="Arial"/>
                <w:b/>
                <w:szCs w:val="21"/>
              </w:rPr>
            </w:pPr>
            <w:r>
              <w:rPr>
                <w:rFonts w:ascii="Arial" w:hAnsi="Arial" w:cs="Arial"/>
                <w:b/>
                <w:szCs w:val="21"/>
              </w:rPr>
              <w:t>:</w:t>
            </w:r>
          </w:p>
        </w:tc>
        <w:tc>
          <w:tcPr>
            <w:tcW w:w="7601" w:type="dxa"/>
            <w:gridSpan w:val="4"/>
          </w:tcPr>
          <w:p>
            <w:pPr>
              <w:rPr>
                <w:rFonts w:ascii="Arial" w:hAnsi="Arial" w:cs="Arial"/>
                <w:szCs w:val="21"/>
              </w:rPr>
            </w:pPr>
            <w:r>
              <w:rPr>
                <w:rFonts w:ascii="Arial" w:hAnsi="Arial" w:cs="Arial"/>
                <w:szCs w:val="21"/>
              </w:rPr>
              <w:t>赔偿保单明细表中列明的保险财产在保险期间内因保单免责范围以外的一切自然灾害或意外事故造成的直接物质损坏或灭失，包括扩展条款扩展的责任。</w:t>
            </w:r>
          </w:p>
          <w:p>
            <w:pPr>
              <w:rPr>
                <w:rFonts w:ascii="Arial" w:hAnsi="Arial" w:cs="Arial"/>
                <w:szCs w:val="21"/>
              </w:rPr>
            </w:pPr>
          </w:p>
        </w:tc>
      </w:tr>
      <w:tr>
        <w:tblPrEx>
          <w:tblCellMar>
            <w:top w:w="0" w:type="dxa"/>
            <w:left w:w="108" w:type="dxa"/>
            <w:bottom w:w="0" w:type="dxa"/>
            <w:right w:w="108" w:type="dxa"/>
          </w:tblCellMar>
        </w:tblPrEx>
        <w:tc>
          <w:tcPr>
            <w:tcW w:w="1384" w:type="dxa"/>
          </w:tcPr>
          <w:p>
            <w:pPr>
              <w:rPr>
                <w:rFonts w:ascii="Arial" w:hAnsi="Arial" w:cs="Arial"/>
                <w:b/>
                <w:szCs w:val="21"/>
              </w:rPr>
            </w:pPr>
            <w:r>
              <w:rPr>
                <w:rFonts w:ascii="Arial" w:hAnsi="Arial" w:cs="Arial"/>
                <w:b/>
                <w:szCs w:val="21"/>
              </w:rPr>
              <w:t>保险标的</w:t>
            </w:r>
          </w:p>
        </w:tc>
        <w:tc>
          <w:tcPr>
            <w:tcW w:w="425" w:type="dxa"/>
          </w:tcPr>
          <w:p>
            <w:pPr>
              <w:rPr>
                <w:rFonts w:ascii="Arial" w:hAnsi="Arial" w:cs="Arial"/>
                <w:b/>
                <w:szCs w:val="21"/>
              </w:rPr>
            </w:pPr>
            <w:r>
              <w:rPr>
                <w:rFonts w:ascii="Arial" w:hAnsi="Arial" w:cs="Arial"/>
                <w:b/>
                <w:szCs w:val="21"/>
              </w:rPr>
              <w:t>:</w:t>
            </w:r>
          </w:p>
        </w:tc>
        <w:tc>
          <w:tcPr>
            <w:tcW w:w="7601" w:type="dxa"/>
            <w:gridSpan w:val="4"/>
          </w:tcPr>
          <w:p>
            <w:pPr>
              <w:rPr>
                <w:rFonts w:ascii="Arial" w:hAnsi="Arial" w:cs="Arial"/>
                <w:szCs w:val="21"/>
              </w:rPr>
            </w:pPr>
            <w:r>
              <w:rPr>
                <w:rFonts w:ascii="Arial" w:hAnsi="Arial" w:cs="Arial"/>
                <w:szCs w:val="21"/>
              </w:rPr>
              <w:t>被保险人所有，或租赁，或为其保管并应由被保险人负责的财产：</w:t>
            </w:r>
          </w:p>
          <w:p>
            <w:pPr>
              <w:rPr>
                <w:rFonts w:ascii="Arial" w:hAnsi="Arial" w:cs="Arial"/>
                <w:szCs w:val="21"/>
              </w:rPr>
            </w:pPr>
          </w:p>
          <w:p>
            <w:pPr>
              <w:rPr>
                <w:rFonts w:ascii="Arial" w:hAnsi="Arial" w:cs="Arial"/>
                <w:szCs w:val="21"/>
              </w:rPr>
            </w:pPr>
            <w:r>
              <w:rPr>
                <w:rFonts w:ascii="Arial" w:hAnsi="Arial" w:cs="Arial"/>
                <w:szCs w:val="21"/>
              </w:rPr>
              <w:t>1．建筑物及土建结构物</w:t>
            </w:r>
          </w:p>
          <w:p>
            <w:pPr>
              <w:rPr>
                <w:rFonts w:ascii="Arial" w:hAnsi="Arial" w:cs="Arial"/>
                <w:szCs w:val="21"/>
              </w:rPr>
            </w:pPr>
            <w:r>
              <w:rPr>
                <w:rFonts w:ascii="Arial" w:hAnsi="Arial" w:cs="Arial"/>
                <w:szCs w:val="21"/>
              </w:rPr>
              <w:t>包括但不限于土建结构、建筑物及附属于建筑物的固有设施、室内外装修、大门、围墙、栏杆、道路、庭院、停车场、室外告示牌等被保险人所有或负责的部分。</w:t>
            </w:r>
          </w:p>
          <w:p>
            <w:pPr>
              <w:rPr>
                <w:rFonts w:ascii="Arial" w:hAnsi="Arial" w:cs="Arial"/>
                <w:szCs w:val="21"/>
              </w:rPr>
            </w:pPr>
          </w:p>
          <w:p>
            <w:pPr>
              <w:rPr>
                <w:rFonts w:ascii="Arial" w:hAnsi="Arial" w:cs="Arial"/>
                <w:szCs w:val="21"/>
              </w:rPr>
            </w:pPr>
            <w:r>
              <w:rPr>
                <w:rFonts w:ascii="Arial" w:hAnsi="Arial" w:cs="Arial"/>
                <w:szCs w:val="21"/>
              </w:rPr>
              <w:t>2．机器设备、电子设备</w:t>
            </w:r>
          </w:p>
          <w:p>
            <w:pPr>
              <w:rPr>
                <w:rFonts w:ascii="Arial" w:hAnsi="Arial" w:cs="Arial"/>
                <w:szCs w:val="21"/>
              </w:rPr>
            </w:pPr>
            <w:r>
              <w:rPr>
                <w:rFonts w:ascii="Arial" w:hAnsi="Arial" w:cs="Arial"/>
                <w:szCs w:val="21"/>
              </w:rPr>
              <w:t>包括但不限于与生产活动有关的设备（含模具）、控制系统、供水系统、热力系统、变压及供电系统、除尘系统、水处理系统、通风及温控系统、通讯系统、消防系统等及所有相关的附属设备系统和附件，包含运输和起重工具等可移动财产，但不含办公设备和领取公共行使执照的，在公共道路上行驶的机动车辆。</w:t>
            </w:r>
          </w:p>
          <w:p>
            <w:pPr>
              <w:rPr>
                <w:rFonts w:ascii="Arial" w:hAnsi="Arial" w:cs="Arial"/>
                <w:szCs w:val="21"/>
              </w:rPr>
            </w:pPr>
          </w:p>
          <w:p>
            <w:pPr>
              <w:rPr>
                <w:rFonts w:ascii="Arial" w:hAnsi="Arial" w:cs="Arial"/>
                <w:szCs w:val="21"/>
              </w:rPr>
            </w:pPr>
            <w:r>
              <w:rPr>
                <w:rFonts w:ascii="Arial" w:hAnsi="Arial" w:cs="Arial"/>
                <w:szCs w:val="21"/>
              </w:rPr>
              <w:t>3．装置、家具及办公设施</w:t>
            </w:r>
          </w:p>
          <w:p>
            <w:pPr>
              <w:rPr>
                <w:rFonts w:ascii="Arial" w:hAnsi="Arial" w:cs="Arial"/>
                <w:szCs w:val="21"/>
              </w:rPr>
            </w:pPr>
            <w:r>
              <w:rPr>
                <w:rFonts w:ascii="Arial" w:hAnsi="Arial" w:cs="Arial"/>
                <w:szCs w:val="21"/>
              </w:rPr>
              <w:t>所有办公室内的物件、家具、台式和便携式电脑设备、通讯设备、办公设备等。</w:t>
            </w:r>
          </w:p>
          <w:p>
            <w:pPr>
              <w:rPr>
                <w:rFonts w:ascii="Arial" w:hAnsi="Arial" w:cs="Arial"/>
                <w:szCs w:val="21"/>
              </w:rPr>
            </w:pPr>
          </w:p>
          <w:p>
            <w:pPr>
              <w:rPr>
                <w:rFonts w:ascii="Arial" w:hAnsi="Arial" w:cs="Arial"/>
                <w:szCs w:val="21"/>
              </w:rPr>
            </w:pPr>
            <w:r>
              <w:rPr>
                <w:rFonts w:ascii="Arial" w:hAnsi="Arial" w:cs="Arial"/>
                <w:szCs w:val="21"/>
              </w:rPr>
              <w:t>4．在建项目</w:t>
            </w:r>
          </w:p>
          <w:p>
            <w:pPr>
              <w:rPr>
                <w:rFonts w:ascii="Arial" w:hAnsi="Arial" w:cs="Arial"/>
                <w:szCs w:val="21"/>
              </w:rPr>
            </w:pPr>
            <w:r>
              <w:rPr>
                <w:rFonts w:ascii="Arial" w:hAnsi="Arial" w:cs="Arial"/>
                <w:szCs w:val="21"/>
              </w:rPr>
              <w:t>包括已经在建和已建成但尚未移交或尚未投入运营的建筑物和/或机器设备的扩建﹑改建﹑维修、技改等工程项目。</w:t>
            </w:r>
          </w:p>
          <w:p>
            <w:pPr>
              <w:rPr>
                <w:rFonts w:ascii="Arial" w:hAnsi="Arial" w:cs="Arial"/>
                <w:szCs w:val="21"/>
              </w:rPr>
            </w:pPr>
          </w:p>
          <w:p>
            <w:pPr>
              <w:rPr>
                <w:rFonts w:ascii="Arial" w:hAnsi="Arial" w:cs="Arial"/>
                <w:szCs w:val="21"/>
              </w:rPr>
            </w:pPr>
            <w:r>
              <w:rPr>
                <w:rFonts w:ascii="Arial" w:hAnsi="Arial" w:cs="Arial"/>
                <w:szCs w:val="21"/>
              </w:rPr>
              <w:t>5．仓储物</w:t>
            </w:r>
          </w:p>
          <w:p>
            <w:pPr>
              <w:rPr>
                <w:rFonts w:ascii="Arial" w:hAnsi="Arial" w:cs="Arial"/>
                <w:szCs w:val="21"/>
              </w:rPr>
            </w:pPr>
            <w:r>
              <w:rPr>
                <w:rFonts w:ascii="Arial" w:hAnsi="Arial" w:cs="Arial"/>
                <w:szCs w:val="21"/>
              </w:rPr>
              <w:t>包括原材料、在产品、半成品、产成品、样品、备品备件、媒介物、燃料以及其他被保险人所经营的辅助材料等，但不包括在运输途中的货物。</w:t>
            </w:r>
          </w:p>
          <w:p>
            <w:pPr>
              <w:rPr>
                <w:rFonts w:ascii="Arial" w:hAnsi="Arial" w:cs="Arial"/>
                <w:szCs w:val="21"/>
              </w:rPr>
            </w:pPr>
          </w:p>
        </w:tc>
      </w:tr>
      <w:tr>
        <w:tblPrEx>
          <w:tblCellMar>
            <w:top w:w="0" w:type="dxa"/>
            <w:left w:w="108" w:type="dxa"/>
            <w:bottom w:w="0" w:type="dxa"/>
            <w:right w:w="108" w:type="dxa"/>
          </w:tblCellMar>
        </w:tblPrEx>
        <w:tc>
          <w:tcPr>
            <w:tcW w:w="1384" w:type="dxa"/>
          </w:tcPr>
          <w:p>
            <w:pPr>
              <w:rPr>
                <w:rFonts w:ascii="Arial" w:hAnsi="Arial" w:cs="Arial"/>
                <w:b/>
                <w:szCs w:val="21"/>
              </w:rPr>
            </w:pPr>
            <w:r>
              <w:rPr>
                <w:rFonts w:ascii="Arial" w:hAnsi="Arial" w:cs="Arial"/>
                <w:b/>
                <w:szCs w:val="21"/>
              </w:rPr>
              <w:t>赔偿基础/</w:t>
            </w:r>
          </w:p>
          <w:p>
            <w:pPr>
              <w:rPr>
                <w:rFonts w:ascii="Arial" w:hAnsi="Arial" w:cs="Arial"/>
                <w:b/>
                <w:szCs w:val="21"/>
              </w:rPr>
            </w:pPr>
            <w:r>
              <w:rPr>
                <w:rFonts w:ascii="Arial" w:hAnsi="Arial" w:cs="Arial"/>
                <w:b/>
                <w:szCs w:val="21"/>
              </w:rPr>
              <w:t>保险价值</w:t>
            </w:r>
          </w:p>
        </w:tc>
        <w:tc>
          <w:tcPr>
            <w:tcW w:w="425" w:type="dxa"/>
          </w:tcPr>
          <w:p>
            <w:pPr>
              <w:rPr>
                <w:rFonts w:ascii="Arial" w:hAnsi="Arial" w:cs="Arial"/>
                <w:b/>
                <w:szCs w:val="21"/>
              </w:rPr>
            </w:pPr>
            <w:r>
              <w:rPr>
                <w:rFonts w:ascii="Arial" w:hAnsi="Arial" w:cs="Arial"/>
                <w:b/>
                <w:szCs w:val="21"/>
              </w:rPr>
              <w:t>:</w:t>
            </w:r>
          </w:p>
        </w:tc>
        <w:tc>
          <w:tcPr>
            <w:tcW w:w="7601" w:type="dxa"/>
            <w:gridSpan w:val="4"/>
          </w:tcPr>
          <w:p>
            <w:pPr>
              <w:numPr>
                <w:ilvl w:val="0"/>
                <w:numId w:val="4"/>
              </w:numPr>
              <w:rPr>
                <w:rFonts w:ascii="Arial" w:hAnsi="Arial" w:cs="Arial"/>
                <w:szCs w:val="21"/>
              </w:rPr>
            </w:pPr>
            <w:r>
              <w:rPr>
                <w:rFonts w:ascii="Arial" w:hAnsi="Arial" w:cs="Arial"/>
                <w:szCs w:val="21"/>
              </w:rPr>
              <w:t>保险标的1-4：建筑物及土建结构物，机器设备、电子设备，装置、家具及办公设施- 出险时的重置价值</w:t>
            </w:r>
          </w:p>
          <w:p>
            <w:pPr>
              <w:ind w:left="420"/>
              <w:rPr>
                <w:rFonts w:ascii="Arial" w:hAnsi="Arial" w:cs="Arial"/>
                <w:szCs w:val="21"/>
              </w:rPr>
            </w:pPr>
          </w:p>
          <w:p>
            <w:pPr>
              <w:widowControl/>
              <w:numPr>
                <w:ilvl w:val="0"/>
                <w:numId w:val="4"/>
              </w:numPr>
              <w:jc w:val="left"/>
              <w:rPr>
                <w:rFonts w:ascii="Arial" w:hAnsi="Arial" w:cs="Arial"/>
                <w:szCs w:val="21"/>
              </w:rPr>
            </w:pPr>
            <w:r>
              <w:rPr>
                <w:rFonts w:ascii="Arial" w:hAnsi="Arial" w:cs="Arial"/>
                <w:szCs w:val="21"/>
              </w:rPr>
              <w:t xml:space="preserve">保险标的5：仓储物 </w:t>
            </w:r>
          </w:p>
          <w:p>
            <w:pPr>
              <w:widowControl/>
              <w:numPr>
                <w:ilvl w:val="0"/>
                <w:numId w:val="5"/>
              </w:numPr>
              <w:ind w:left="769" w:hanging="284"/>
              <w:jc w:val="left"/>
              <w:rPr>
                <w:rFonts w:ascii="Arial" w:hAnsi="Arial" w:cs="Arial"/>
                <w:szCs w:val="21"/>
              </w:rPr>
            </w:pPr>
            <w:r>
              <w:rPr>
                <w:rFonts w:ascii="Arial" w:hAnsi="Arial" w:cs="Arial"/>
                <w:szCs w:val="21"/>
              </w:rPr>
              <w:t>原材料/辅料或非被保险人制造的商品 - 出险时被保险人财务账中的成本价值</w:t>
            </w:r>
          </w:p>
          <w:p>
            <w:pPr>
              <w:widowControl/>
              <w:numPr>
                <w:ilvl w:val="0"/>
                <w:numId w:val="5"/>
              </w:numPr>
              <w:ind w:left="769" w:hanging="284"/>
              <w:jc w:val="left"/>
              <w:rPr>
                <w:rFonts w:ascii="Arial" w:hAnsi="Arial" w:cs="Arial"/>
                <w:szCs w:val="21"/>
              </w:rPr>
            </w:pPr>
            <w:r>
              <w:rPr>
                <w:rFonts w:ascii="Arial" w:hAnsi="Arial" w:cs="Arial"/>
                <w:szCs w:val="21"/>
              </w:rPr>
              <w:t>在制品/在产品/半成品 - 原材料/辅料出险时被保险人财务账中的成本价值、工资及其它费用（如水/电/气等费用）</w:t>
            </w:r>
          </w:p>
          <w:p>
            <w:pPr>
              <w:widowControl/>
              <w:numPr>
                <w:ilvl w:val="0"/>
                <w:numId w:val="5"/>
              </w:numPr>
              <w:ind w:left="769" w:hanging="284"/>
              <w:jc w:val="left"/>
              <w:rPr>
                <w:rFonts w:ascii="Arial" w:hAnsi="Arial" w:cs="Arial"/>
                <w:szCs w:val="21"/>
              </w:rPr>
            </w:pPr>
            <w:r>
              <w:rPr>
                <w:rFonts w:ascii="Arial" w:hAnsi="Arial" w:cs="Arial"/>
                <w:szCs w:val="21"/>
              </w:rPr>
              <w:t>产成品 - 原材料/辅料出险时被保险人财务账中的成本价值、工资及其它费用（如水/电/气等费用，但不含利润）或其外购成本，以两者中较低者为准。</w:t>
            </w:r>
          </w:p>
          <w:p>
            <w:pPr>
              <w:widowControl/>
              <w:numPr>
                <w:ilvl w:val="0"/>
                <w:numId w:val="5"/>
              </w:numPr>
              <w:ind w:left="769" w:hanging="284"/>
              <w:jc w:val="left"/>
              <w:rPr>
                <w:rFonts w:ascii="Arial" w:hAnsi="Arial" w:cs="Arial"/>
                <w:szCs w:val="21"/>
              </w:rPr>
            </w:pPr>
            <w:r>
              <w:rPr>
                <w:rFonts w:ascii="Arial" w:hAnsi="Arial" w:cs="Arial"/>
                <w:szCs w:val="21"/>
              </w:rPr>
              <w:t>原已销售而依买卖合约被保险人应负责之未交运产成品，因发生承保事故致合约全部或一部取消者 - 其合约价格</w:t>
            </w:r>
          </w:p>
          <w:p>
            <w:pPr>
              <w:rPr>
                <w:rFonts w:ascii="Arial" w:hAnsi="Arial" w:cs="Arial"/>
                <w:szCs w:val="21"/>
              </w:rPr>
            </w:pPr>
          </w:p>
          <w:p>
            <w:pPr>
              <w:rPr>
                <w:rFonts w:ascii="Arial" w:hAnsi="Arial" w:cs="Arial"/>
                <w:szCs w:val="21"/>
              </w:rPr>
            </w:pPr>
          </w:p>
          <w:p>
            <w:pPr>
              <w:rPr>
                <w:rFonts w:ascii="Arial" w:hAnsi="Arial" w:cs="Arial"/>
                <w:szCs w:val="21"/>
              </w:rPr>
            </w:pPr>
          </w:p>
        </w:tc>
      </w:tr>
      <w:tr>
        <w:tblPrEx>
          <w:tblCellMar>
            <w:top w:w="0" w:type="dxa"/>
            <w:left w:w="108" w:type="dxa"/>
            <w:bottom w:w="0" w:type="dxa"/>
            <w:right w:w="108" w:type="dxa"/>
          </w:tblCellMar>
        </w:tblPrEx>
        <w:tc>
          <w:tcPr>
            <w:tcW w:w="1384" w:type="dxa"/>
            <w:vMerge w:val="restart"/>
          </w:tcPr>
          <w:p>
            <w:pPr>
              <w:rPr>
                <w:rFonts w:ascii="Arial" w:hAnsi="Arial" w:cs="Arial"/>
                <w:b/>
                <w:szCs w:val="21"/>
              </w:rPr>
            </w:pPr>
            <w:r>
              <w:rPr>
                <w:rFonts w:ascii="Arial" w:hAnsi="Arial" w:cs="Arial"/>
                <w:b/>
                <w:szCs w:val="21"/>
              </w:rPr>
              <w:t>保险金额</w:t>
            </w:r>
          </w:p>
        </w:tc>
        <w:tc>
          <w:tcPr>
            <w:tcW w:w="425" w:type="dxa"/>
            <w:vMerge w:val="restart"/>
          </w:tcPr>
          <w:p>
            <w:pPr>
              <w:rPr>
                <w:rFonts w:ascii="Arial" w:hAnsi="Arial" w:cs="Arial"/>
                <w:b/>
                <w:szCs w:val="21"/>
              </w:rPr>
            </w:pPr>
            <w:r>
              <w:rPr>
                <w:rFonts w:ascii="Arial" w:hAnsi="Arial" w:cs="Arial"/>
                <w:b/>
                <w:szCs w:val="21"/>
              </w:rPr>
              <w:t>:</w:t>
            </w:r>
          </w:p>
        </w:tc>
        <w:tc>
          <w:tcPr>
            <w:tcW w:w="3115" w:type="dxa"/>
          </w:tcPr>
          <w:p>
            <w:pPr>
              <w:jc w:val="left"/>
              <w:rPr>
                <w:rFonts w:ascii="Arial" w:hAnsi="Arial" w:cs="Arial"/>
                <w:szCs w:val="21"/>
              </w:rPr>
            </w:pPr>
            <w:r>
              <w:rPr>
                <w:rFonts w:ascii="Arial" w:hAnsi="Arial" w:cs="Arial"/>
                <w:szCs w:val="21"/>
              </w:rPr>
              <w:t>建筑物及土建结构物</w:t>
            </w:r>
          </w:p>
        </w:tc>
        <w:tc>
          <w:tcPr>
            <w:tcW w:w="2210" w:type="dxa"/>
          </w:tcPr>
          <w:p>
            <w:pPr>
              <w:jc w:val="right"/>
              <w:rPr>
                <w:rFonts w:ascii="Arial" w:hAnsi="Arial" w:cs="Arial"/>
                <w:szCs w:val="21"/>
              </w:rPr>
            </w:pPr>
            <w:r>
              <w:rPr>
                <w:rFonts w:ascii="Arial" w:hAnsi="Arial" w:cs="Arial"/>
                <w:szCs w:val="21"/>
              </w:rPr>
              <w:t>RMB</w:t>
            </w:r>
          </w:p>
        </w:tc>
        <w:tc>
          <w:tcPr>
            <w:tcW w:w="2276" w:type="dxa"/>
            <w:gridSpan w:val="2"/>
          </w:tcPr>
          <w:p>
            <w:pPr>
              <w:jc w:val="right"/>
              <w:rPr>
                <w:rFonts w:ascii="Arial" w:hAnsi="Arial" w:cs="Arial"/>
                <w:szCs w:val="21"/>
              </w:rPr>
            </w:pPr>
          </w:p>
        </w:tc>
      </w:tr>
      <w:tr>
        <w:tblPrEx>
          <w:tblCellMar>
            <w:top w:w="0" w:type="dxa"/>
            <w:left w:w="108" w:type="dxa"/>
            <w:bottom w:w="0" w:type="dxa"/>
            <w:right w:w="108" w:type="dxa"/>
          </w:tblCellMar>
        </w:tblPrEx>
        <w:tc>
          <w:tcPr>
            <w:tcW w:w="1384" w:type="dxa"/>
            <w:vMerge w:val="continue"/>
          </w:tcPr>
          <w:p>
            <w:pPr>
              <w:rPr>
                <w:rFonts w:ascii="Arial" w:hAnsi="Arial" w:cs="Arial"/>
                <w:b/>
                <w:szCs w:val="21"/>
              </w:rPr>
            </w:pPr>
          </w:p>
        </w:tc>
        <w:tc>
          <w:tcPr>
            <w:tcW w:w="425" w:type="dxa"/>
            <w:vMerge w:val="continue"/>
          </w:tcPr>
          <w:p>
            <w:pPr>
              <w:rPr>
                <w:rFonts w:ascii="Arial" w:hAnsi="Arial" w:cs="Arial"/>
                <w:b/>
                <w:szCs w:val="21"/>
              </w:rPr>
            </w:pPr>
          </w:p>
        </w:tc>
        <w:tc>
          <w:tcPr>
            <w:tcW w:w="3115" w:type="dxa"/>
          </w:tcPr>
          <w:p>
            <w:pPr>
              <w:jc w:val="left"/>
              <w:rPr>
                <w:rFonts w:ascii="Arial" w:hAnsi="Arial" w:cs="Arial"/>
                <w:szCs w:val="21"/>
              </w:rPr>
            </w:pPr>
            <w:r>
              <w:rPr>
                <w:rFonts w:ascii="Arial" w:hAnsi="Arial" w:cs="Arial"/>
                <w:szCs w:val="21"/>
              </w:rPr>
              <w:t>机器设备、电子设备</w:t>
            </w:r>
          </w:p>
        </w:tc>
        <w:tc>
          <w:tcPr>
            <w:tcW w:w="2210" w:type="dxa"/>
          </w:tcPr>
          <w:p>
            <w:pPr>
              <w:jc w:val="right"/>
              <w:rPr>
                <w:rFonts w:ascii="Arial" w:hAnsi="Arial" w:cs="Arial"/>
                <w:szCs w:val="21"/>
              </w:rPr>
            </w:pPr>
            <w:r>
              <w:rPr>
                <w:rFonts w:ascii="Arial" w:hAnsi="Arial" w:cs="Arial"/>
                <w:szCs w:val="21"/>
              </w:rPr>
              <w:t>RMB</w:t>
            </w:r>
          </w:p>
        </w:tc>
        <w:tc>
          <w:tcPr>
            <w:tcW w:w="2276" w:type="dxa"/>
            <w:gridSpan w:val="2"/>
          </w:tcPr>
          <w:p>
            <w:pPr>
              <w:jc w:val="right"/>
              <w:rPr>
                <w:rFonts w:ascii="Arial" w:hAnsi="Arial" w:cs="Arial"/>
                <w:szCs w:val="21"/>
              </w:rPr>
            </w:pPr>
          </w:p>
        </w:tc>
      </w:tr>
      <w:tr>
        <w:tblPrEx>
          <w:tblCellMar>
            <w:top w:w="0" w:type="dxa"/>
            <w:left w:w="108" w:type="dxa"/>
            <w:bottom w:w="0" w:type="dxa"/>
            <w:right w:w="108" w:type="dxa"/>
          </w:tblCellMar>
        </w:tblPrEx>
        <w:tc>
          <w:tcPr>
            <w:tcW w:w="1384" w:type="dxa"/>
            <w:vMerge w:val="continue"/>
          </w:tcPr>
          <w:p>
            <w:pPr>
              <w:rPr>
                <w:rFonts w:ascii="Arial" w:hAnsi="Arial" w:cs="Arial"/>
                <w:b/>
                <w:szCs w:val="21"/>
              </w:rPr>
            </w:pPr>
          </w:p>
        </w:tc>
        <w:tc>
          <w:tcPr>
            <w:tcW w:w="425" w:type="dxa"/>
            <w:vMerge w:val="continue"/>
          </w:tcPr>
          <w:p>
            <w:pPr>
              <w:rPr>
                <w:rFonts w:ascii="Arial" w:hAnsi="Arial" w:cs="Arial"/>
                <w:b/>
                <w:szCs w:val="21"/>
              </w:rPr>
            </w:pPr>
          </w:p>
        </w:tc>
        <w:tc>
          <w:tcPr>
            <w:tcW w:w="3115" w:type="dxa"/>
          </w:tcPr>
          <w:p>
            <w:pPr>
              <w:jc w:val="left"/>
              <w:rPr>
                <w:rFonts w:ascii="Arial" w:hAnsi="Arial" w:cs="Arial"/>
                <w:szCs w:val="21"/>
              </w:rPr>
            </w:pPr>
            <w:r>
              <w:rPr>
                <w:rFonts w:ascii="Arial" w:hAnsi="Arial" w:cs="Arial"/>
                <w:szCs w:val="21"/>
              </w:rPr>
              <w:t>装置、家具及办公设施</w:t>
            </w:r>
          </w:p>
        </w:tc>
        <w:tc>
          <w:tcPr>
            <w:tcW w:w="2210" w:type="dxa"/>
          </w:tcPr>
          <w:p>
            <w:pPr>
              <w:jc w:val="right"/>
              <w:rPr>
                <w:rFonts w:ascii="Arial" w:hAnsi="Arial" w:cs="Arial"/>
                <w:szCs w:val="21"/>
              </w:rPr>
            </w:pPr>
            <w:r>
              <w:rPr>
                <w:rFonts w:ascii="Arial" w:hAnsi="Arial" w:cs="Arial"/>
                <w:szCs w:val="21"/>
              </w:rPr>
              <w:t>RMB</w:t>
            </w:r>
          </w:p>
        </w:tc>
        <w:tc>
          <w:tcPr>
            <w:tcW w:w="2276" w:type="dxa"/>
            <w:gridSpan w:val="2"/>
          </w:tcPr>
          <w:p>
            <w:pPr>
              <w:jc w:val="right"/>
              <w:rPr>
                <w:rFonts w:ascii="Arial" w:hAnsi="Arial" w:cs="Arial"/>
                <w:szCs w:val="21"/>
              </w:rPr>
            </w:pPr>
          </w:p>
        </w:tc>
      </w:tr>
      <w:tr>
        <w:tblPrEx>
          <w:tblCellMar>
            <w:top w:w="0" w:type="dxa"/>
            <w:left w:w="108" w:type="dxa"/>
            <w:bottom w:w="0" w:type="dxa"/>
            <w:right w:w="108" w:type="dxa"/>
          </w:tblCellMar>
        </w:tblPrEx>
        <w:tc>
          <w:tcPr>
            <w:tcW w:w="1384" w:type="dxa"/>
            <w:vMerge w:val="continue"/>
          </w:tcPr>
          <w:p>
            <w:pPr>
              <w:rPr>
                <w:rFonts w:ascii="Arial" w:hAnsi="Arial" w:cs="Arial"/>
                <w:szCs w:val="21"/>
              </w:rPr>
            </w:pPr>
          </w:p>
        </w:tc>
        <w:tc>
          <w:tcPr>
            <w:tcW w:w="425" w:type="dxa"/>
            <w:vMerge w:val="continue"/>
          </w:tcPr>
          <w:p>
            <w:pPr>
              <w:rPr>
                <w:rFonts w:ascii="Arial" w:hAnsi="Arial" w:cs="Arial"/>
                <w:b/>
                <w:szCs w:val="21"/>
              </w:rPr>
            </w:pPr>
          </w:p>
        </w:tc>
        <w:tc>
          <w:tcPr>
            <w:tcW w:w="3115" w:type="dxa"/>
          </w:tcPr>
          <w:p>
            <w:pPr>
              <w:ind w:left="824" w:leftChars="114" w:hanging="585" w:hangingChars="279"/>
              <w:rPr>
                <w:rFonts w:ascii="Arial" w:hAnsi="Arial" w:cs="Arial"/>
                <w:i/>
                <w:szCs w:val="21"/>
              </w:rPr>
            </w:pPr>
            <w:r>
              <w:rPr>
                <w:rFonts w:ascii="Arial" w:hAnsi="Arial" w:cs="Arial"/>
                <w:i/>
                <w:szCs w:val="21"/>
              </w:rPr>
              <w:t>其中：便携式通讯装置、便携式计算机设备、便携式照相摄像器材以及其他便携式装置、设备</w:t>
            </w:r>
          </w:p>
        </w:tc>
        <w:tc>
          <w:tcPr>
            <w:tcW w:w="2210" w:type="dxa"/>
          </w:tcPr>
          <w:p>
            <w:pPr>
              <w:jc w:val="right"/>
              <w:rPr>
                <w:rFonts w:ascii="Arial" w:hAnsi="Arial" w:cs="Arial"/>
                <w:i/>
                <w:szCs w:val="21"/>
              </w:rPr>
            </w:pPr>
          </w:p>
        </w:tc>
        <w:tc>
          <w:tcPr>
            <w:tcW w:w="2276" w:type="dxa"/>
            <w:gridSpan w:val="2"/>
          </w:tcPr>
          <w:p>
            <w:pPr>
              <w:jc w:val="right"/>
              <w:rPr>
                <w:rFonts w:ascii="Arial" w:hAnsi="Arial" w:cs="Arial"/>
                <w:szCs w:val="21"/>
              </w:rPr>
            </w:pPr>
          </w:p>
        </w:tc>
      </w:tr>
      <w:tr>
        <w:tblPrEx>
          <w:tblCellMar>
            <w:top w:w="0" w:type="dxa"/>
            <w:left w:w="108" w:type="dxa"/>
            <w:bottom w:w="0" w:type="dxa"/>
            <w:right w:w="108" w:type="dxa"/>
          </w:tblCellMar>
        </w:tblPrEx>
        <w:tc>
          <w:tcPr>
            <w:tcW w:w="1384" w:type="dxa"/>
            <w:vMerge w:val="continue"/>
          </w:tcPr>
          <w:p>
            <w:pPr>
              <w:rPr>
                <w:rFonts w:ascii="Arial" w:hAnsi="Arial" w:cs="Arial"/>
                <w:szCs w:val="21"/>
              </w:rPr>
            </w:pPr>
          </w:p>
        </w:tc>
        <w:tc>
          <w:tcPr>
            <w:tcW w:w="425" w:type="dxa"/>
            <w:vMerge w:val="continue"/>
          </w:tcPr>
          <w:p>
            <w:pPr>
              <w:rPr>
                <w:rFonts w:ascii="Arial" w:hAnsi="Arial" w:cs="Arial"/>
                <w:b/>
                <w:szCs w:val="21"/>
              </w:rPr>
            </w:pPr>
          </w:p>
        </w:tc>
        <w:tc>
          <w:tcPr>
            <w:tcW w:w="3115" w:type="dxa"/>
          </w:tcPr>
          <w:p>
            <w:pPr>
              <w:jc w:val="left"/>
              <w:rPr>
                <w:rFonts w:ascii="Arial" w:hAnsi="Arial" w:cs="Arial"/>
                <w:szCs w:val="21"/>
              </w:rPr>
            </w:pPr>
            <w:r>
              <w:rPr>
                <w:rFonts w:hint="eastAsia" w:ascii="Arial" w:hAnsi="Arial" w:cs="Arial"/>
                <w:szCs w:val="21"/>
              </w:rPr>
              <w:t>其他（包括在建项目）</w:t>
            </w:r>
          </w:p>
        </w:tc>
        <w:tc>
          <w:tcPr>
            <w:tcW w:w="2210" w:type="dxa"/>
          </w:tcPr>
          <w:p>
            <w:pPr>
              <w:jc w:val="right"/>
              <w:rPr>
                <w:rFonts w:ascii="Arial" w:hAnsi="Arial" w:cs="Arial"/>
                <w:szCs w:val="21"/>
              </w:rPr>
            </w:pPr>
            <w:r>
              <w:rPr>
                <w:rFonts w:hint="eastAsia" w:ascii="Arial" w:hAnsi="Arial" w:cs="Arial"/>
                <w:szCs w:val="21"/>
              </w:rPr>
              <w:t>RMB</w:t>
            </w:r>
          </w:p>
        </w:tc>
        <w:tc>
          <w:tcPr>
            <w:tcW w:w="2276" w:type="dxa"/>
            <w:gridSpan w:val="2"/>
          </w:tcPr>
          <w:p>
            <w:pPr>
              <w:jc w:val="right"/>
              <w:rPr>
                <w:rFonts w:ascii="Arial" w:hAnsi="Arial" w:cs="Arial"/>
                <w:szCs w:val="21"/>
              </w:rPr>
            </w:pPr>
          </w:p>
        </w:tc>
      </w:tr>
      <w:tr>
        <w:tblPrEx>
          <w:tblCellMar>
            <w:top w:w="0" w:type="dxa"/>
            <w:left w:w="108" w:type="dxa"/>
            <w:bottom w:w="0" w:type="dxa"/>
            <w:right w:w="108" w:type="dxa"/>
          </w:tblCellMar>
        </w:tblPrEx>
        <w:tc>
          <w:tcPr>
            <w:tcW w:w="1384" w:type="dxa"/>
            <w:vMerge w:val="continue"/>
          </w:tcPr>
          <w:p>
            <w:pPr>
              <w:rPr>
                <w:rFonts w:ascii="Arial" w:hAnsi="Arial" w:cs="Arial"/>
                <w:szCs w:val="21"/>
              </w:rPr>
            </w:pPr>
          </w:p>
        </w:tc>
        <w:tc>
          <w:tcPr>
            <w:tcW w:w="425" w:type="dxa"/>
            <w:vMerge w:val="continue"/>
          </w:tcPr>
          <w:p>
            <w:pPr>
              <w:rPr>
                <w:rFonts w:ascii="Arial" w:hAnsi="Arial" w:cs="Arial"/>
                <w:b/>
                <w:szCs w:val="21"/>
              </w:rPr>
            </w:pPr>
          </w:p>
        </w:tc>
        <w:tc>
          <w:tcPr>
            <w:tcW w:w="3115" w:type="dxa"/>
          </w:tcPr>
          <w:p>
            <w:pPr>
              <w:ind w:firstLine="210" w:firstLineChars="100"/>
              <w:jc w:val="left"/>
              <w:rPr>
                <w:rFonts w:ascii="Arial" w:hAnsi="Arial" w:cs="Arial"/>
                <w:szCs w:val="21"/>
              </w:rPr>
            </w:pPr>
            <w:r>
              <w:rPr>
                <w:rFonts w:ascii="Arial" w:hAnsi="Arial" w:cs="Arial"/>
                <w:i/>
                <w:szCs w:val="21"/>
              </w:rPr>
              <w:t>其中：</w:t>
            </w:r>
            <w:r>
              <w:rPr>
                <w:rFonts w:hint="eastAsia" w:ascii="Arial" w:hAnsi="Arial" w:cs="Arial"/>
                <w:i/>
                <w:szCs w:val="21"/>
              </w:rPr>
              <w:t>在建项目</w:t>
            </w:r>
          </w:p>
        </w:tc>
        <w:tc>
          <w:tcPr>
            <w:tcW w:w="2210" w:type="dxa"/>
          </w:tcPr>
          <w:p>
            <w:pPr>
              <w:jc w:val="right"/>
              <w:rPr>
                <w:rFonts w:ascii="Arial" w:hAnsi="Arial" w:cs="Arial"/>
                <w:i/>
                <w:szCs w:val="21"/>
              </w:rPr>
            </w:pPr>
            <w:r>
              <w:rPr>
                <w:rFonts w:hint="eastAsia" w:ascii="Arial" w:hAnsi="Arial" w:cs="Arial"/>
                <w:szCs w:val="21"/>
              </w:rPr>
              <w:t>RMB</w:t>
            </w:r>
          </w:p>
        </w:tc>
        <w:tc>
          <w:tcPr>
            <w:tcW w:w="2276" w:type="dxa"/>
            <w:gridSpan w:val="2"/>
          </w:tcPr>
          <w:p>
            <w:pPr>
              <w:jc w:val="right"/>
              <w:rPr>
                <w:rFonts w:ascii="Arial" w:hAnsi="Arial" w:cs="Arial"/>
                <w:szCs w:val="21"/>
              </w:rPr>
            </w:pPr>
          </w:p>
        </w:tc>
      </w:tr>
      <w:tr>
        <w:tblPrEx>
          <w:tblCellMar>
            <w:top w:w="0" w:type="dxa"/>
            <w:left w:w="108" w:type="dxa"/>
            <w:bottom w:w="0" w:type="dxa"/>
            <w:right w:w="108" w:type="dxa"/>
          </w:tblCellMar>
        </w:tblPrEx>
        <w:tc>
          <w:tcPr>
            <w:tcW w:w="1384" w:type="dxa"/>
            <w:vMerge w:val="continue"/>
          </w:tcPr>
          <w:p>
            <w:pPr>
              <w:rPr>
                <w:rFonts w:ascii="Arial" w:hAnsi="Arial" w:cs="Arial"/>
                <w:szCs w:val="21"/>
              </w:rPr>
            </w:pPr>
          </w:p>
        </w:tc>
        <w:tc>
          <w:tcPr>
            <w:tcW w:w="425" w:type="dxa"/>
            <w:vMerge w:val="continue"/>
          </w:tcPr>
          <w:p>
            <w:pPr>
              <w:rPr>
                <w:rFonts w:ascii="Arial" w:hAnsi="Arial" w:cs="Arial"/>
                <w:b/>
                <w:szCs w:val="21"/>
              </w:rPr>
            </w:pPr>
          </w:p>
        </w:tc>
        <w:tc>
          <w:tcPr>
            <w:tcW w:w="3115" w:type="dxa"/>
          </w:tcPr>
          <w:p>
            <w:pPr>
              <w:jc w:val="left"/>
              <w:rPr>
                <w:rFonts w:ascii="Arial" w:hAnsi="Arial" w:cs="Arial"/>
                <w:szCs w:val="21"/>
              </w:rPr>
            </w:pPr>
            <w:r>
              <w:rPr>
                <w:rFonts w:ascii="Arial" w:hAnsi="Arial" w:cs="Arial"/>
                <w:szCs w:val="21"/>
              </w:rPr>
              <w:t>仓储物品（峰值）</w:t>
            </w:r>
          </w:p>
        </w:tc>
        <w:tc>
          <w:tcPr>
            <w:tcW w:w="2210" w:type="dxa"/>
          </w:tcPr>
          <w:p>
            <w:pPr>
              <w:jc w:val="right"/>
              <w:rPr>
                <w:rFonts w:ascii="Arial" w:hAnsi="Arial" w:cs="Arial"/>
                <w:szCs w:val="21"/>
              </w:rPr>
            </w:pPr>
            <w:r>
              <w:rPr>
                <w:rFonts w:ascii="Arial" w:hAnsi="Arial" w:cs="Arial"/>
                <w:szCs w:val="21"/>
              </w:rPr>
              <w:t>RMB</w:t>
            </w:r>
          </w:p>
        </w:tc>
        <w:tc>
          <w:tcPr>
            <w:tcW w:w="2276" w:type="dxa"/>
            <w:gridSpan w:val="2"/>
          </w:tcPr>
          <w:p>
            <w:pPr>
              <w:jc w:val="right"/>
              <w:rPr>
                <w:rFonts w:ascii="Arial" w:hAnsi="Arial" w:cs="Arial"/>
                <w:szCs w:val="21"/>
              </w:rPr>
            </w:pPr>
          </w:p>
        </w:tc>
      </w:tr>
      <w:tr>
        <w:tblPrEx>
          <w:tblCellMar>
            <w:top w:w="0" w:type="dxa"/>
            <w:left w:w="108" w:type="dxa"/>
            <w:bottom w:w="0" w:type="dxa"/>
            <w:right w:w="108" w:type="dxa"/>
          </w:tblCellMar>
        </w:tblPrEx>
        <w:tc>
          <w:tcPr>
            <w:tcW w:w="1384" w:type="dxa"/>
            <w:vMerge w:val="continue"/>
          </w:tcPr>
          <w:p>
            <w:pPr>
              <w:rPr>
                <w:rFonts w:ascii="Arial" w:hAnsi="Arial" w:cs="Arial"/>
                <w:szCs w:val="21"/>
              </w:rPr>
            </w:pPr>
          </w:p>
        </w:tc>
        <w:tc>
          <w:tcPr>
            <w:tcW w:w="425" w:type="dxa"/>
            <w:vMerge w:val="continue"/>
          </w:tcPr>
          <w:p>
            <w:pPr>
              <w:rPr>
                <w:rFonts w:ascii="Arial" w:hAnsi="Arial" w:cs="Arial"/>
                <w:b/>
                <w:szCs w:val="21"/>
              </w:rPr>
            </w:pPr>
          </w:p>
        </w:tc>
        <w:tc>
          <w:tcPr>
            <w:tcW w:w="3115" w:type="dxa"/>
          </w:tcPr>
          <w:p>
            <w:pPr>
              <w:ind w:left="239" w:leftChars="114"/>
              <w:jc w:val="left"/>
              <w:rPr>
                <w:rFonts w:ascii="Arial" w:hAnsi="Arial" w:cs="Arial"/>
                <w:i/>
                <w:szCs w:val="21"/>
              </w:rPr>
            </w:pPr>
            <w:r>
              <w:rPr>
                <w:rFonts w:ascii="Arial" w:hAnsi="Arial" w:cs="Arial"/>
                <w:i/>
                <w:szCs w:val="21"/>
              </w:rPr>
              <w:t>其中：代储物品</w:t>
            </w:r>
          </w:p>
        </w:tc>
        <w:tc>
          <w:tcPr>
            <w:tcW w:w="2210" w:type="dxa"/>
          </w:tcPr>
          <w:p>
            <w:pPr>
              <w:jc w:val="right"/>
              <w:rPr>
                <w:rFonts w:ascii="Arial" w:hAnsi="Arial" w:cs="Arial"/>
                <w:i/>
                <w:szCs w:val="21"/>
              </w:rPr>
            </w:pPr>
          </w:p>
        </w:tc>
        <w:tc>
          <w:tcPr>
            <w:tcW w:w="2276" w:type="dxa"/>
            <w:gridSpan w:val="2"/>
            <w:tcBorders>
              <w:bottom w:val="double" w:color="auto" w:sz="12" w:space="0"/>
            </w:tcBorders>
          </w:tcPr>
          <w:p>
            <w:pPr>
              <w:jc w:val="right"/>
              <w:rPr>
                <w:rFonts w:ascii="Arial" w:hAnsi="Arial" w:cs="Arial"/>
                <w:i/>
                <w:szCs w:val="21"/>
              </w:rPr>
            </w:pPr>
          </w:p>
        </w:tc>
      </w:tr>
      <w:tr>
        <w:tblPrEx>
          <w:tblCellMar>
            <w:top w:w="0" w:type="dxa"/>
            <w:left w:w="108" w:type="dxa"/>
            <w:bottom w:w="0" w:type="dxa"/>
            <w:right w:w="108" w:type="dxa"/>
          </w:tblCellMar>
        </w:tblPrEx>
        <w:tc>
          <w:tcPr>
            <w:tcW w:w="1384" w:type="dxa"/>
            <w:vMerge w:val="continue"/>
          </w:tcPr>
          <w:p>
            <w:pPr>
              <w:rPr>
                <w:rFonts w:ascii="Arial" w:hAnsi="Arial" w:cs="Arial"/>
                <w:szCs w:val="21"/>
              </w:rPr>
            </w:pPr>
          </w:p>
        </w:tc>
        <w:tc>
          <w:tcPr>
            <w:tcW w:w="425" w:type="dxa"/>
            <w:vMerge w:val="continue"/>
          </w:tcPr>
          <w:p>
            <w:pPr>
              <w:rPr>
                <w:rFonts w:ascii="Arial" w:hAnsi="Arial" w:cs="Arial"/>
                <w:b/>
                <w:szCs w:val="21"/>
              </w:rPr>
            </w:pPr>
          </w:p>
        </w:tc>
        <w:tc>
          <w:tcPr>
            <w:tcW w:w="3115" w:type="dxa"/>
          </w:tcPr>
          <w:p>
            <w:pPr>
              <w:jc w:val="right"/>
              <w:rPr>
                <w:rFonts w:ascii="Arial" w:hAnsi="Arial" w:cs="Arial"/>
                <w:b/>
                <w:szCs w:val="21"/>
              </w:rPr>
            </w:pPr>
            <w:r>
              <w:rPr>
                <w:rFonts w:ascii="Arial" w:hAnsi="Arial" w:cs="Arial"/>
                <w:b/>
                <w:szCs w:val="21"/>
              </w:rPr>
              <w:t>合计:</w:t>
            </w:r>
          </w:p>
        </w:tc>
        <w:tc>
          <w:tcPr>
            <w:tcW w:w="2210" w:type="dxa"/>
            <w:tcBorders>
              <w:top w:val="double" w:color="auto" w:sz="12" w:space="0"/>
            </w:tcBorders>
          </w:tcPr>
          <w:p>
            <w:pPr>
              <w:jc w:val="right"/>
              <w:rPr>
                <w:rFonts w:ascii="Arial" w:hAnsi="Arial" w:cs="Arial"/>
                <w:b/>
                <w:szCs w:val="21"/>
              </w:rPr>
            </w:pPr>
            <w:r>
              <w:rPr>
                <w:rFonts w:ascii="Arial" w:hAnsi="Arial" w:cs="Arial"/>
                <w:b/>
                <w:szCs w:val="21"/>
              </w:rPr>
              <w:t>RMB</w:t>
            </w:r>
          </w:p>
        </w:tc>
        <w:tc>
          <w:tcPr>
            <w:tcW w:w="2276" w:type="dxa"/>
            <w:gridSpan w:val="2"/>
            <w:tcBorders>
              <w:top w:val="double" w:color="auto" w:sz="12" w:space="0"/>
            </w:tcBorders>
          </w:tcPr>
          <w:p>
            <w:pPr>
              <w:jc w:val="right"/>
              <w:rPr>
                <w:rFonts w:ascii="Arial" w:hAnsi="Arial" w:cs="Arial"/>
                <w:szCs w:val="21"/>
              </w:rPr>
            </w:pPr>
          </w:p>
        </w:tc>
      </w:tr>
      <w:tr>
        <w:tblPrEx>
          <w:tblCellMar>
            <w:top w:w="0" w:type="dxa"/>
            <w:left w:w="108" w:type="dxa"/>
            <w:bottom w:w="0" w:type="dxa"/>
            <w:right w:w="108" w:type="dxa"/>
          </w:tblCellMar>
        </w:tblPrEx>
        <w:tc>
          <w:tcPr>
            <w:tcW w:w="1384" w:type="dxa"/>
            <w:vMerge w:val="restart"/>
          </w:tcPr>
          <w:p>
            <w:pPr>
              <w:rPr>
                <w:rFonts w:ascii="Arial" w:hAnsi="Arial" w:cs="Arial"/>
                <w:b/>
                <w:szCs w:val="21"/>
              </w:rPr>
            </w:pPr>
            <w:r>
              <w:rPr>
                <w:rFonts w:ascii="Arial" w:hAnsi="Arial" w:cs="Arial"/>
                <w:b/>
                <w:szCs w:val="21"/>
              </w:rPr>
              <w:t>保险费</w:t>
            </w:r>
          </w:p>
          <w:p>
            <w:pPr>
              <w:rPr>
                <w:rFonts w:ascii="Arial" w:hAnsi="Arial" w:cs="Arial"/>
                <w:szCs w:val="21"/>
              </w:rPr>
            </w:pPr>
            <w:r>
              <w:rPr>
                <w:rFonts w:ascii="Arial" w:hAnsi="Arial" w:cs="Arial"/>
                <w:b/>
                <w:szCs w:val="21"/>
              </w:rPr>
              <w:t>计算基础</w:t>
            </w:r>
          </w:p>
        </w:tc>
        <w:tc>
          <w:tcPr>
            <w:tcW w:w="425" w:type="dxa"/>
            <w:vMerge w:val="restart"/>
          </w:tcPr>
          <w:p>
            <w:pPr>
              <w:rPr>
                <w:rFonts w:ascii="Arial" w:hAnsi="Arial" w:cs="Arial"/>
                <w:b/>
                <w:szCs w:val="21"/>
              </w:rPr>
            </w:pPr>
            <w:r>
              <w:rPr>
                <w:rFonts w:ascii="Arial" w:hAnsi="Arial" w:cs="Arial"/>
                <w:b/>
                <w:szCs w:val="21"/>
              </w:rPr>
              <w:t>:</w:t>
            </w:r>
          </w:p>
        </w:tc>
        <w:tc>
          <w:tcPr>
            <w:tcW w:w="3115" w:type="dxa"/>
          </w:tcPr>
          <w:p>
            <w:pPr>
              <w:rPr>
                <w:rFonts w:ascii="Arial" w:hAnsi="Arial" w:cs="Arial"/>
                <w:szCs w:val="21"/>
              </w:rPr>
            </w:pPr>
            <w:r>
              <w:rPr>
                <w:rFonts w:ascii="Arial" w:hAnsi="Arial" w:cs="Arial"/>
                <w:szCs w:val="21"/>
              </w:rPr>
              <w:t>固定资产</w:t>
            </w:r>
          </w:p>
        </w:tc>
        <w:tc>
          <w:tcPr>
            <w:tcW w:w="2210" w:type="dxa"/>
          </w:tcPr>
          <w:p>
            <w:pPr>
              <w:jc w:val="right"/>
              <w:rPr>
                <w:rFonts w:ascii="Arial" w:hAnsi="Arial" w:cs="Arial"/>
                <w:szCs w:val="21"/>
              </w:rPr>
            </w:pPr>
            <w:r>
              <w:rPr>
                <w:rFonts w:ascii="Arial" w:hAnsi="Arial" w:cs="Arial"/>
                <w:szCs w:val="21"/>
              </w:rPr>
              <w:t>RMB</w:t>
            </w:r>
          </w:p>
        </w:tc>
        <w:tc>
          <w:tcPr>
            <w:tcW w:w="2276" w:type="dxa"/>
            <w:gridSpan w:val="2"/>
          </w:tcPr>
          <w:p>
            <w:pPr>
              <w:jc w:val="right"/>
              <w:rPr>
                <w:rFonts w:ascii="Arial" w:hAnsi="Arial" w:cs="Arial"/>
                <w:szCs w:val="21"/>
              </w:rPr>
            </w:pPr>
          </w:p>
        </w:tc>
      </w:tr>
      <w:tr>
        <w:tblPrEx>
          <w:tblCellMar>
            <w:top w:w="0" w:type="dxa"/>
            <w:left w:w="108" w:type="dxa"/>
            <w:bottom w:w="0" w:type="dxa"/>
            <w:right w:w="108" w:type="dxa"/>
          </w:tblCellMar>
        </w:tblPrEx>
        <w:tc>
          <w:tcPr>
            <w:tcW w:w="1384" w:type="dxa"/>
            <w:vMerge w:val="continue"/>
          </w:tcPr>
          <w:p>
            <w:pPr>
              <w:rPr>
                <w:rFonts w:ascii="Arial" w:hAnsi="Arial" w:cs="Arial"/>
                <w:b/>
                <w:szCs w:val="21"/>
              </w:rPr>
            </w:pPr>
          </w:p>
        </w:tc>
        <w:tc>
          <w:tcPr>
            <w:tcW w:w="425" w:type="dxa"/>
            <w:vMerge w:val="continue"/>
          </w:tcPr>
          <w:p>
            <w:pPr>
              <w:rPr>
                <w:rFonts w:ascii="Arial" w:hAnsi="Arial" w:cs="Arial"/>
                <w:b/>
                <w:szCs w:val="21"/>
              </w:rPr>
            </w:pPr>
          </w:p>
        </w:tc>
        <w:tc>
          <w:tcPr>
            <w:tcW w:w="3115" w:type="dxa"/>
          </w:tcPr>
          <w:p>
            <w:pPr>
              <w:rPr>
                <w:rFonts w:ascii="Arial" w:hAnsi="Arial" w:cs="Arial"/>
                <w:szCs w:val="21"/>
              </w:rPr>
            </w:pPr>
            <w:r>
              <w:rPr>
                <w:rFonts w:ascii="Arial" w:hAnsi="Arial" w:cs="Arial"/>
                <w:szCs w:val="21"/>
              </w:rPr>
              <w:t>仓储物品（</w:t>
            </w:r>
            <w:r>
              <w:rPr>
                <w:rFonts w:hint="eastAsia" w:ascii="Arial" w:hAnsi="Arial" w:cs="Arial"/>
                <w:szCs w:val="21"/>
              </w:rPr>
              <w:t>均值</w:t>
            </w:r>
            <w:r>
              <w:rPr>
                <w:rFonts w:ascii="Arial" w:hAnsi="Arial" w:cs="Arial"/>
                <w:szCs w:val="21"/>
              </w:rPr>
              <w:t>）</w:t>
            </w:r>
          </w:p>
        </w:tc>
        <w:tc>
          <w:tcPr>
            <w:tcW w:w="2210" w:type="dxa"/>
          </w:tcPr>
          <w:p>
            <w:pPr>
              <w:jc w:val="right"/>
              <w:rPr>
                <w:rFonts w:ascii="Arial" w:hAnsi="Arial" w:cs="Arial"/>
                <w:szCs w:val="21"/>
              </w:rPr>
            </w:pPr>
            <w:r>
              <w:rPr>
                <w:rFonts w:ascii="Arial" w:hAnsi="Arial" w:cs="Arial"/>
                <w:szCs w:val="21"/>
              </w:rPr>
              <w:t>RMB</w:t>
            </w:r>
          </w:p>
        </w:tc>
        <w:tc>
          <w:tcPr>
            <w:tcW w:w="2276" w:type="dxa"/>
            <w:gridSpan w:val="2"/>
          </w:tcPr>
          <w:p>
            <w:pPr>
              <w:jc w:val="right"/>
              <w:rPr>
                <w:rFonts w:ascii="Arial" w:hAnsi="Arial" w:cs="Arial"/>
                <w:szCs w:val="21"/>
              </w:rPr>
            </w:pPr>
          </w:p>
        </w:tc>
      </w:tr>
      <w:tr>
        <w:tblPrEx>
          <w:tblCellMar>
            <w:top w:w="0" w:type="dxa"/>
            <w:left w:w="108" w:type="dxa"/>
            <w:bottom w:w="0" w:type="dxa"/>
            <w:right w:w="108" w:type="dxa"/>
          </w:tblCellMar>
        </w:tblPrEx>
        <w:tc>
          <w:tcPr>
            <w:tcW w:w="1384" w:type="dxa"/>
            <w:vMerge w:val="continue"/>
          </w:tcPr>
          <w:p>
            <w:pPr>
              <w:rPr>
                <w:rFonts w:ascii="Arial" w:hAnsi="Arial" w:cs="Arial"/>
                <w:szCs w:val="21"/>
              </w:rPr>
            </w:pPr>
          </w:p>
        </w:tc>
        <w:tc>
          <w:tcPr>
            <w:tcW w:w="425" w:type="dxa"/>
            <w:vMerge w:val="continue"/>
          </w:tcPr>
          <w:p>
            <w:pPr>
              <w:rPr>
                <w:rFonts w:ascii="Arial" w:hAnsi="Arial" w:cs="Arial"/>
                <w:b/>
                <w:szCs w:val="21"/>
              </w:rPr>
            </w:pPr>
          </w:p>
        </w:tc>
        <w:tc>
          <w:tcPr>
            <w:tcW w:w="3115" w:type="dxa"/>
          </w:tcPr>
          <w:p>
            <w:pPr>
              <w:ind w:left="239" w:leftChars="114"/>
              <w:jc w:val="left"/>
              <w:rPr>
                <w:rFonts w:ascii="Arial" w:hAnsi="Arial" w:cs="Arial"/>
                <w:i/>
                <w:szCs w:val="21"/>
              </w:rPr>
            </w:pPr>
            <w:r>
              <w:rPr>
                <w:rFonts w:ascii="Arial" w:hAnsi="Arial" w:cs="Arial"/>
                <w:i/>
                <w:szCs w:val="21"/>
              </w:rPr>
              <w:t>其中：代储物品</w:t>
            </w:r>
          </w:p>
        </w:tc>
        <w:tc>
          <w:tcPr>
            <w:tcW w:w="2210" w:type="dxa"/>
            <w:tcBorders>
              <w:bottom w:val="double" w:color="auto" w:sz="12" w:space="0"/>
            </w:tcBorders>
          </w:tcPr>
          <w:p>
            <w:pPr>
              <w:jc w:val="right"/>
              <w:rPr>
                <w:rFonts w:ascii="Arial" w:hAnsi="Arial" w:cs="Arial"/>
                <w:i/>
                <w:szCs w:val="21"/>
              </w:rPr>
            </w:pPr>
          </w:p>
        </w:tc>
        <w:tc>
          <w:tcPr>
            <w:tcW w:w="2276" w:type="dxa"/>
            <w:gridSpan w:val="2"/>
            <w:tcBorders>
              <w:bottom w:val="double" w:color="auto" w:sz="12" w:space="0"/>
            </w:tcBorders>
          </w:tcPr>
          <w:p>
            <w:pPr>
              <w:jc w:val="right"/>
              <w:rPr>
                <w:rFonts w:ascii="Arial" w:hAnsi="Arial" w:cs="Arial"/>
                <w:i/>
                <w:szCs w:val="21"/>
              </w:rPr>
            </w:pPr>
          </w:p>
        </w:tc>
      </w:tr>
      <w:tr>
        <w:tblPrEx>
          <w:tblCellMar>
            <w:top w:w="0" w:type="dxa"/>
            <w:left w:w="108" w:type="dxa"/>
            <w:bottom w:w="0" w:type="dxa"/>
            <w:right w:w="108" w:type="dxa"/>
          </w:tblCellMar>
        </w:tblPrEx>
        <w:tc>
          <w:tcPr>
            <w:tcW w:w="1384" w:type="dxa"/>
            <w:vMerge w:val="continue"/>
          </w:tcPr>
          <w:p>
            <w:pPr>
              <w:rPr>
                <w:rFonts w:ascii="Arial" w:hAnsi="Arial" w:cs="Arial"/>
                <w:szCs w:val="21"/>
              </w:rPr>
            </w:pPr>
          </w:p>
        </w:tc>
        <w:tc>
          <w:tcPr>
            <w:tcW w:w="425" w:type="dxa"/>
            <w:vMerge w:val="continue"/>
          </w:tcPr>
          <w:p>
            <w:pPr>
              <w:rPr>
                <w:rFonts w:ascii="Arial" w:hAnsi="Arial" w:cs="Arial"/>
                <w:b/>
                <w:szCs w:val="21"/>
              </w:rPr>
            </w:pPr>
          </w:p>
        </w:tc>
        <w:tc>
          <w:tcPr>
            <w:tcW w:w="3115" w:type="dxa"/>
          </w:tcPr>
          <w:p>
            <w:pPr>
              <w:jc w:val="right"/>
              <w:rPr>
                <w:rFonts w:ascii="Arial" w:hAnsi="Arial" w:cs="Arial"/>
                <w:b/>
                <w:szCs w:val="21"/>
              </w:rPr>
            </w:pPr>
            <w:r>
              <w:rPr>
                <w:rFonts w:ascii="Arial" w:hAnsi="Arial" w:cs="Arial"/>
                <w:b/>
                <w:szCs w:val="21"/>
              </w:rPr>
              <w:t>合计:</w:t>
            </w:r>
          </w:p>
        </w:tc>
        <w:tc>
          <w:tcPr>
            <w:tcW w:w="2210" w:type="dxa"/>
            <w:tcBorders>
              <w:top w:val="double" w:color="auto" w:sz="12" w:space="0"/>
            </w:tcBorders>
          </w:tcPr>
          <w:p>
            <w:pPr>
              <w:jc w:val="right"/>
              <w:rPr>
                <w:rFonts w:ascii="Arial" w:hAnsi="Arial" w:cs="Arial"/>
                <w:b/>
                <w:szCs w:val="21"/>
              </w:rPr>
            </w:pPr>
            <w:r>
              <w:rPr>
                <w:rFonts w:ascii="Arial" w:hAnsi="Arial" w:cs="Arial"/>
                <w:b/>
                <w:szCs w:val="21"/>
              </w:rPr>
              <w:t>RMB</w:t>
            </w:r>
          </w:p>
        </w:tc>
        <w:tc>
          <w:tcPr>
            <w:tcW w:w="2276" w:type="dxa"/>
            <w:gridSpan w:val="2"/>
            <w:tcBorders>
              <w:top w:val="double" w:color="auto" w:sz="12" w:space="0"/>
            </w:tcBorders>
          </w:tcPr>
          <w:p>
            <w:pPr>
              <w:jc w:val="right"/>
              <w:rPr>
                <w:rFonts w:ascii="Arial" w:hAnsi="Arial" w:cs="Arial"/>
                <w:b/>
                <w:szCs w:val="21"/>
              </w:rPr>
            </w:pPr>
          </w:p>
        </w:tc>
      </w:tr>
      <w:tr>
        <w:tblPrEx>
          <w:tblCellMar>
            <w:top w:w="0" w:type="dxa"/>
            <w:left w:w="108" w:type="dxa"/>
            <w:bottom w:w="0" w:type="dxa"/>
            <w:right w:w="108" w:type="dxa"/>
          </w:tblCellMar>
        </w:tblPrEx>
        <w:tc>
          <w:tcPr>
            <w:tcW w:w="1384" w:type="dxa"/>
            <w:vMerge w:val="continue"/>
          </w:tcPr>
          <w:p>
            <w:pPr>
              <w:rPr>
                <w:rFonts w:ascii="Arial" w:hAnsi="Arial" w:cs="Arial"/>
                <w:szCs w:val="21"/>
              </w:rPr>
            </w:pPr>
          </w:p>
        </w:tc>
        <w:tc>
          <w:tcPr>
            <w:tcW w:w="425" w:type="dxa"/>
            <w:vMerge w:val="continue"/>
          </w:tcPr>
          <w:p>
            <w:pPr>
              <w:rPr>
                <w:rFonts w:ascii="Arial" w:hAnsi="Arial" w:cs="Arial"/>
                <w:b/>
                <w:szCs w:val="21"/>
              </w:rPr>
            </w:pPr>
          </w:p>
        </w:tc>
        <w:tc>
          <w:tcPr>
            <w:tcW w:w="7601" w:type="dxa"/>
            <w:gridSpan w:val="4"/>
          </w:tcPr>
          <w:p>
            <w:pPr>
              <w:rPr>
                <w:rFonts w:ascii="Arial" w:hAnsi="Arial" w:cs="Arial"/>
                <w:szCs w:val="21"/>
              </w:rPr>
            </w:pPr>
          </w:p>
        </w:tc>
      </w:tr>
      <w:tr>
        <w:tblPrEx>
          <w:tblCellMar>
            <w:top w:w="0" w:type="dxa"/>
            <w:left w:w="108" w:type="dxa"/>
            <w:bottom w:w="0" w:type="dxa"/>
            <w:right w:w="108" w:type="dxa"/>
          </w:tblCellMar>
        </w:tblPrEx>
        <w:tc>
          <w:tcPr>
            <w:tcW w:w="1384" w:type="dxa"/>
          </w:tcPr>
          <w:p>
            <w:pPr>
              <w:rPr>
                <w:rFonts w:ascii="Arial" w:hAnsi="Arial" w:cs="Arial"/>
                <w:b/>
                <w:szCs w:val="21"/>
              </w:rPr>
            </w:pPr>
            <w:r>
              <w:rPr>
                <w:rFonts w:ascii="Arial" w:hAnsi="Arial" w:cs="Arial"/>
                <w:b/>
                <w:szCs w:val="21"/>
              </w:rPr>
              <w:t>特别约定</w:t>
            </w:r>
          </w:p>
        </w:tc>
        <w:tc>
          <w:tcPr>
            <w:tcW w:w="425" w:type="dxa"/>
          </w:tcPr>
          <w:p>
            <w:pPr>
              <w:rPr>
                <w:rFonts w:ascii="Arial" w:hAnsi="Arial" w:cs="Arial"/>
                <w:b/>
                <w:szCs w:val="21"/>
              </w:rPr>
            </w:pPr>
            <w:r>
              <w:rPr>
                <w:rFonts w:ascii="Arial" w:hAnsi="Arial" w:cs="Arial"/>
                <w:b/>
                <w:szCs w:val="21"/>
              </w:rPr>
              <w:t>:</w:t>
            </w:r>
          </w:p>
        </w:tc>
        <w:tc>
          <w:tcPr>
            <w:tcW w:w="7601" w:type="dxa"/>
            <w:gridSpan w:val="4"/>
          </w:tcPr>
          <w:p>
            <w:pPr>
              <w:numPr>
                <w:ilvl w:val="0"/>
                <w:numId w:val="6"/>
              </w:numPr>
              <w:rPr>
                <w:rFonts w:ascii="Arial" w:hAnsi="Arial" w:cs="Arial"/>
                <w:szCs w:val="21"/>
              </w:rPr>
            </w:pPr>
            <w:r>
              <w:rPr>
                <w:rFonts w:ascii="Arial" w:hAnsi="Arial" w:cs="Arial"/>
                <w:szCs w:val="21"/>
              </w:rPr>
              <w:t>保险单中的特别条款、特别约定以及备注等保险单明细表中的保险条件，适用于保险单的各个部分，若其与保险单的主险条款等其他规定相冲突，则以保险单明细表中的保险条件为准。</w:t>
            </w:r>
          </w:p>
          <w:p>
            <w:pPr>
              <w:numPr>
                <w:ilvl w:val="0"/>
                <w:numId w:val="6"/>
              </w:numPr>
              <w:rPr>
                <w:rFonts w:ascii="Arial" w:hAnsi="Arial" w:cs="Arial"/>
                <w:szCs w:val="21"/>
              </w:rPr>
            </w:pPr>
            <w:r>
              <w:rPr>
                <w:rFonts w:ascii="Arial" w:hAnsi="Arial" w:cs="Arial"/>
                <w:szCs w:val="21"/>
              </w:rPr>
              <w:t>保险公司必须提前90天通知被保险人方可解除合同</w:t>
            </w:r>
            <w:r>
              <w:rPr>
                <w:rFonts w:hint="eastAsia" w:ascii="Arial" w:hAnsi="Arial" w:cs="Arial"/>
                <w:szCs w:val="21"/>
              </w:rPr>
              <w:t>，对未到期的保险费保险人应按日比例退回给被保险人</w:t>
            </w:r>
            <w:r>
              <w:rPr>
                <w:rFonts w:ascii="Arial" w:hAnsi="Arial" w:cs="Arial"/>
                <w:szCs w:val="21"/>
              </w:rPr>
              <w:t>；被保险人可以随时提出书面申请解除保险合同</w:t>
            </w:r>
            <w:r>
              <w:rPr>
                <w:rFonts w:hint="eastAsia" w:ascii="Arial" w:hAnsi="Arial" w:cs="Arial"/>
                <w:szCs w:val="21"/>
              </w:rPr>
              <w:t>，</w:t>
            </w:r>
            <w:r>
              <w:rPr>
                <w:rFonts w:ascii="Arial" w:hAnsi="Arial" w:cs="Arial"/>
                <w:szCs w:val="21"/>
              </w:rPr>
              <w:t>对本保险单已生效期间的保险费按日比例计收。</w:t>
            </w:r>
          </w:p>
          <w:p>
            <w:pPr>
              <w:pStyle w:val="47"/>
              <w:numPr>
                <w:ilvl w:val="0"/>
                <w:numId w:val="6"/>
              </w:numPr>
              <w:rPr>
                <w:rFonts w:ascii="Arial" w:hAnsi="Arial" w:cs="Arial" w:eastAsiaTheme="minorEastAsia"/>
                <w:szCs w:val="21"/>
              </w:rPr>
            </w:pPr>
            <w:r>
              <w:rPr>
                <w:rFonts w:hint="eastAsia" w:ascii="Arial" w:hAnsi="Arial" w:cs="Arial" w:eastAsiaTheme="minorEastAsia"/>
                <w:szCs w:val="21"/>
              </w:rPr>
              <w:t>短期保费的计算标准：兹经双方同意，保险期限不足一年的短期保险保费按保险期天数除以365天乘以 “年保费”计算。</w:t>
            </w:r>
          </w:p>
          <w:p>
            <w:pPr>
              <w:numPr>
                <w:ilvl w:val="0"/>
                <w:numId w:val="6"/>
              </w:numPr>
              <w:rPr>
                <w:rFonts w:ascii="Arial" w:hAnsi="Arial" w:cs="Arial"/>
                <w:szCs w:val="21"/>
              </w:rPr>
            </w:pPr>
            <w:r>
              <w:rPr>
                <w:rFonts w:ascii="Arial" w:hAnsi="Arial" w:cs="Arial"/>
                <w:szCs w:val="21"/>
              </w:rPr>
              <w:t>关于足额投保的约定：鉴于保险期间全部投保财产的重置价值会发生部分升高而部分降低的变化（如新置财产转入和弃置财产转出），只要出险时保单总保额不低于全部应投保财产的重置价值，无论保险财产是否分项或是否提供投保财产明细清单，即认为是足额投保，而不追究发生损失的具体财产或其所在的分类项目投保时或出险时是否足额。此外，对于固定资产类别的保险财产的保险金额设定，被保险人参照账面原值或者以高于原值的金额估算重置价值，从而确定本保单保险金额，保险人认可被保险人已尽其能力足额投保并遵守最大诚信原则，除非保险人在起保前向被保险人书面提出充分证据证明账面原值和重置价值之间的差距，否则理赔时不应以不足额投保为由按比例赔付，或以商业公平为由对抗本保单下的相关条款。</w:t>
            </w:r>
          </w:p>
          <w:p>
            <w:pPr>
              <w:numPr>
                <w:ilvl w:val="0"/>
                <w:numId w:val="6"/>
              </w:numPr>
              <w:rPr>
                <w:rFonts w:ascii="Arial" w:hAnsi="Arial" w:cs="Arial"/>
                <w:szCs w:val="21"/>
              </w:rPr>
            </w:pPr>
            <w:r>
              <w:rPr>
                <w:rFonts w:ascii="Arial" w:hAnsi="Arial" w:cs="Arial"/>
                <w:szCs w:val="21"/>
              </w:rPr>
              <w:t>可移动财产（包括但不限于火车头、罐车，</w:t>
            </w:r>
            <w:r>
              <w:rPr>
                <w:rFonts w:hint="eastAsia" w:ascii="Arial" w:hAnsi="Arial" w:cs="Arial"/>
                <w:szCs w:val="21"/>
              </w:rPr>
              <w:t>农用机械、</w:t>
            </w:r>
            <w:r>
              <w:rPr>
                <w:rFonts w:ascii="Arial" w:hAnsi="Arial" w:cs="Arial"/>
                <w:szCs w:val="21"/>
              </w:rPr>
              <w:t>但不包含仓储物品）的地域范围为中华人民共和国境内（港、澳、台</w:t>
            </w:r>
            <w:r>
              <w:rPr>
                <w:rFonts w:hint="eastAsia" w:ascii="Arial" w:hAnsi="Arial" w:cs="Arial"/>
                <w:szCs w:val="21"/>
              </w:rPr>
              <w:t>地区</w:t>
            </w:r>
            <w:r>
              <w:rPr>
                <w:rFonts w:ascii="Arial" w:hAnsi="Arial" w:cs="Arial"/>
                <w:szCs w:val="21"/>
              </w:rPr>
              <w:t>除外）。</w:t>
            </w:r>
          </w:p>
        </w:tc>
      </w:tr>
      <w:tr>
        <w:tblPrEx>
          <w:tblCellMar>
            <w:top w:w="0" w:type="dxa"/>
            <w:left w:w="108" w:type="dxa"/>
            <w:bottom w:w="0" w:type="dxa"/>
            <w:right w:w="108" w:type="dxa"/>
          </w:tblCellMar>
        </w:tblPrEx>
        <w:tc>
          <w:tcPr>
            <w:tcW w:w="1384" w:type="dxa"/>
          </w:tcPr>
          <w:p>
            <w:pPr>
              <w:rPr>
                <w:rFonts w:ascii="Arial" w:hAnsi="Arial" w:cs="Arial"/>
                <w:b/>
                <w:szCs w:val="21"/>
              </w:rPr>
            </w:pPr>
          </w:p>
        </w:tc>
        <w:tc>
          <w:tcPr>
            <w:tcW w:w="425" w:type="dxa"/>
          </w:tcPr>
          <w:p>
            <w:pPr>
              <w:rPr>
                <w:rFonts w:ascii="Arial" w:hAnsi="Arial" w:cs="Arial"/>
                <w:b/>
                <w:szCs w:val="21"/>
              </w:rPr>
            </w:pPr>
          </w:p>
        </w:tc>
        <w:tc>
          <w:tcPr>
            <w:tcW w:w="7601" w:type="dxa"/>
            <w:gridSpan w:val="4"/>
          </w:tcPr>
          <w:p>
            <w:pPr>
              <w:numPr>
                <w:ilvl w:val="0"/>
                <w:numId w:val="6"/>
              </w:numPr>
              <w:rPr>
                <w:rFonts w:ascii="Arial" w:hAnsi="Arial" w:cs="Arial"/>
                <w:szCs w:val="21"/>
              </w:rPr>
            </w:pPr>
            <w:r>
              <w:rPr>
                <w:rFonts w:ascii="Arial" w:hAnsi="Arial" w:cs="Arial"/>
                <w:szCs w:val="21"/>
              </w:rPr>
              <w:t>关税及其它税金 - 本保险合同扩展承保为修复或置换受损保险标的所需缴付关税及其它税金（如无法抵扣的增值税）。</w:t>
            </w:r>
          </w:p>
          <w:p>
            <w:pPr>
              <w:numPr>
                <w:ilvl w:val="0"/>
                <w:numId w:val="6"/>
              </w:numPr>
              <w:rPr>
                <w:rFonts w:ascii="Arial" w:hAnsi="Arial" w:cs="Arial"/>
                <w:szCs w:val="21"/>
              </w:rPr>
            </w:pPr>
            <w:r>
              <w:rPr>
                <w:rFonts w:ascii="Arial" w:hAnsi="Arial" w:cs="Arial"/>
                <w:szCs w:val="21"/>
              </w:rPr>
              <w:t>对被保险人自行修复的损失，保险人对重置所需材料成本、人工费部分应当以市场可参考的平均标准为限给予赔偿。</w:t>
            </w:r>
          </w:p>
          <w:p>
            <w:pPr>
              <w:numPr>
                <w:ilvl w:val="0"/>
                <w:numId w:val="6"/>
              </w:numPr>
              <w:rPr>
                <w:rFonts w:ascii="Arial" w:hAnsi="Arial" w:cs="Arial"/>
                <w:szCs w:val="21"/>
              </w:rPr>
            </w:pPr>
            <w:r>
              <w:rPr>
                <w:rFonts w:ascii="Arial" w:hAnsi="Arial" w:cs="Arial"/>
                <w:szCs w:val="21"/>
              </w:rPr>
              <w:t>关于三停事故证明的约定：对于承保范围内的三停事故的理赔，被保险人尽可能向公用事业部门或第三方供应商索取书面的《事故证明》，其他应适用于本保险附加的索赔单据条款。对于不超过人民币20万元单次事故的保险理赔，保险人同意放弃向公用事业服务提供者追偿。</w:t>
            </w:r>
          </w:p>
          <w:p>
            <w:pPr>
              <w:numPr>
                <w:ilvl w:val="0"/>
                <w:numId w:val="6"/>
              </w:numPr>
              <w:rPr>
                <w:rFonts w:ascii="Arial" w:hAnsi="Arial" w:cs="Arial"/>
                <w:szCs w:val="21"/>
              </w:rPr>
            </w:pPr>
            <w:r>
              <w:rPr>
                <w:rFonts w:ascii="Arial" w:hAnsi="Arial" w:cs="Arial"/>
                <w:szCs w:val="21"/>
              </w:rPr>
              <w:t>仓储物以201</w:t>
            </w:r>
            <w:r>
              <w:rPr>
                <w:rFonts w:hint="eastAsia" w:ascii="Arial" w:hAnsi="Arial" w:cs="Arial"/>
                <w:szCs w:val="21"/>
              </w:rPr>
              <w:t>9</w:t>
            </w:r>
            <w:r>
              <w:rPr>
                <w:rFonts w:ascii="Arial" w:hAnsi="Arial" w:cs="Arial"/>
                <w:szCs w:val="21"/>
              </w:rPr>
              <w:t>年</w:t>
            </w:r>
            <w:r>
              <w:rPr>
                <w:rFonts w:hint="eastAsia" w:ascii="Arial" w:hAnsi="Arial" w:cs="Arial"/>
                <w:szCs w:val="21"/>
              </w:rPr>
              <w:t>8</w:t>
            </w:r>
            <w:r>
              <w:rPr>
                <w:rFonts w:ascii="Arial" w:hAnsi="Arial" w:cs="Arial"/>
                <w:szCs w:val="21"/>
              </w:rPr>
              <w:t>月至20</w:t>
            </w:r>
            <w:r>
              <w:rPr>
                <w:rFonts w:hint="eastAsia" w:ascii="Arial" w:hAnsi="Arial" w:cs="Arial"/>
                <w:szCs w:val="21"/>
              </w:rPr>
              <w:t>20</w:t>
            </w:r>
            <w:r>
              <w:rPr>
                <w:rFonts w:ascii="Arial" w:hAnsi="Arial" w:cs="Arial"/>
                <w:szCs w:val="21"/>
              </w:rPr>
              <w:t>年</w:t>
            </w:r>
            <w:r>
              <w:rPr>
                <w:rFonts w:hint="eastAsia" w:ascii="Arial" w:hAnsi="Arial" w:cs="Arial"/>
                <w:szCs w:val="21"/>
              </w:rPr>
              <w:t>7</w:t>
            </w:r>
            <w:r>
              <w:rPr>
                <w:rFonts w:ascii="Arial" w:hAnsi="Arial" w:cs="Arial"/>
                <w:szCs w:val="21"/>
              </w:rPr>
              <w:t>月预计仓储物（包括账内和账外）的峰值为保险金额。仓储物品的计费基础按仓储物</w:t>
            </w:r>
            <w:r>
              <w:rPr>
                <w:rFonts w:hint="eastAsia" w:ascii="Arial" w:hAnsi="Arial" w:cs="Arial"/>
                <w:szCs w:val="21"/>
              </w:rPr>
              <w:t>均</w:t>
            </w:r>
            <w:r>
              <w:rPr>
                <w:rFonts w:ascii="Arial" w:hAnsi="Arial" w:cs="Arial"/>
                <w:szCs w:val="21"/>
              </w:rPr>
              <w:t>值的计算，在整个保险期限内视同足额投保，一旦发生损失进行足额赔付。保单到期时仓储物保费</w:t>
            </w:r>
            <w:r>
              <w:rPr>
                <w:rFonts w:hint="eastAsia" w:ascii="Arial" w:hAnsi="Arial" w:cs="Arial"/>
                <w:szCs w:val="21"/>
              </w:rPr>
              <w:t>不再</w:t>
            </w:r>
            <w:r>
              <w:rPr>
                <w:rFonts w:ascii="Arial" w:hAnsi="Arial" w:cs="Arial"/>
                <w:szCs w:val="21"/>
              </w:rPr>
              <w:t>另行调整。</w:t>
            </w:r>
          </w:p>
          <w:p>
            <w:pPr>
              <w:numPr>
                <w:ilvl w:val="0"/>
                <w:numId w:val="6"/>
              </w:numPr>
              <w:rPr>
                <w:rFonts w:ascii="Arial" w:hAnsi="Arial" w:cs="Arial"/>
                <w:szCs w:val="21"/>
              </w:rPr>
            </w:pPr>
            <w:r>
              <w:rPr>
                <w:rFonts w:ascii="Arial" w:hAnsi="Arial" w:cs="Arial"/>
                <w:szCs w:val="21"/>
              </w:rPr>
              <w:t>关于抗震设防达标证明的约定：被保险人应尽可能向保险人提供建筑物本身的抗震设防达标证明、建筑物的建筑结构及主要原材料工艺质量证明或相关资料，但保险人不能以被保险人未能提供上述证明材料为由拒绝承担地震损失赔偿责任。</w:t>
            </w:r>
          </w:p>
          <w:p>
            <w:pPr>
              <w:numPr>
                <w:ilvl w:val="0"/>
                <w:numId w:val="6"/>
              </w:numPr>
              <w:rPr>
                <w:rFonts w:ascii="Arial" w:hAnsi="Arial" w:cs="Arial"/>
                <w:szCs w:val="21"/>
              </w:rPr>
            </w:pPr>
            <w:r>
              <w:rPr>
                <w:rFonts w:ascii="Arial" w:hAnsi="Arial" w:cs="Arial"/>
                <w:szCs w:val="21"/>
              </w:rPr>
              <w:t>近因约定特别约定 - 对于被保险财产遭受火灾或爆炸所引起的损失，保险人应当认定该损失属于保险责任，不再追溯该事故的近因，但由于被保险人的故意行为、核辐射、战争属除外责任。</w:t>
            </w:r>
          </w:p>
          <w:p>
            <w:pPr>
              <w:numPr>
                <w:ilvl w:val="0"/>
                <w:numId w:val="6"/>
              </w:numPr>
              <w:rPr>
                <w:rFonts w:ascii="Arial" w:hAnsi="Arial" w:cs="Arial"/>
                <w:szCs w:val="21"/>
              </w:rPr>
            </w:pPr>
            <w:r>
              <w:rPr>
                <w:rFonts w:ascii="Arial" w:hAnsi="Arial" w:cs="Arial"/>
                <w:szCs w:val="21"/>
              </w:rPr>
              <w:t>功能性重置 - 具有计量功能或功率输出力或产能（以下称功能）的保险标的之损失，若重置保险标的功能大于原有受损保险标的功能，但其重置费用未超过原有受损保险标的，则以重置保险标的的重置费用为准，不扣减功能提高所产生的影响。</w:t>
            </w:r>
          </w:p>
          <w:p>
            <w:pPr>
              <w:numPr>
                <w:ilvl w:val="0"/>
                <w:numId w:val="6"/>
              </w:numPr>
              <w:rPr>
                <w:rFonts w:ascii="Arial" w:hAnsi="Arial" w:cs="Arial"/>
                <w:szCs w:val="21"/>
              </w:rPr>
            </w:pPr>
            <w:r>
              <w:rPr>
                <w:rFonts w:ascii="Arial" w:hAnsi="Arial" w:cs="Arial"/>
                <w:szCs w:val="21"/>
              </w:rPr>
              <w:t>关于恶劣气候损失的约定：因风、雨、雪等引发意外事故，继而导致保险财产遭受意外损失时，保险人不应以被保险人无法提供气象证明，或者气象证明的数据未达到自然灾害标准而拒绝承担赔偿责任。</w:t>
            </w:r>
          </w:p>
          <w:p>
            <w:pPr>
              <w:numPr>
                <w:ilvl w:val="0"/>
                <w:numId w:val="6"/>
              </w:numPr>
              <w:rPr>
                <w:rFonts w:ascii="Arial" w:hAnsi="Arial" w:cs="Arial"/>
                <w:szCs w:val="21"/>
              </w:rPr>
            </w:pPr>
            <w:r>
              <w:rPr>
                <w:rFonts w:ascii="Arial" w:hAnsi="Arial" w:cs="Arial"/>
                <w:szCs w:val="21"/>
              </w:rPr>
              <w:t>关于“故意行为”和“重大过失”约定：本保单条款中的“故意行为”指有完全认知的、有意向的、有目的的、有支配其行为能力的，或主观故意的情况下作出的行为；“重大过失”是指极端地违背了通常、合理的行为准则的行为，不包括无心的错误、遗漏和疏忽。只有在被保险人的代表实施了“故意”和“重大过失”行为的情况下保险人才有权主张保单免责，被保险人的“代表”指被保险组织的高管人员或高级管理层，并且仅当该高管或高管层代表组织意志决策并实施了该“故意”或“重大过失”行为的情况下。普通员工的单独行为不被认为可以“代表”被保险人。</w:t>
            </w:r>
          </w:p>
          <w:p>
            <w:pPr>
              <w:numPr>
                <w:ilvl w:val="0"/>
                <w:numId w:val="6"/>
              </w:numPr>
              <w:rPr>
                <w:rFonts w:ascii="Arial" w:hAnsi="Arial" w:cs="Arial"/>
                <w:szCs w:val="21"/>
              </w:rPr>
            </w:pPr>
            <w:r>
              <w:rPr>
                <w:rFonts w:ascii="Arial" w:hAnsi="Arial" w:cs="Arial"/>
                <w:szCs w:val="21"/>
              </w:rPr>
              <w:t>兹经双方约定，发生保险事故时，被保险人应及时通知保险人，同时可以按照有关规范要求，立即组织开展抢险工作，不必保留现场，但应做好相关记录。若条件许可，被保险人应做好对第一现场情况的拍照或录像工作。</w:t>
            </w:r>
          </w:p>
          <w:p>
            <w:pPr>
              <w:numPr>
                <w:ilvl w:val="0"/>
                <w:numId w:val="6"/>
              </w:numPr>
              <w:rPr>
                <w:rFonts w:ascii="Arial" w:hAnsi="Arial" w:cs="Arial"/>
                <w:szCs w:val="21"/>
              </w:rPr>
            </w:pPr>
            <w:r>
              <w:rPr>
                <w:rFonts w:ascii="Arial" w:hAnsi="Arial" w:cs="Arial"/>
                <w:szCs w:val="21"/>
              </w:rPr>
              <w:t>关于违章建筑的约定：凡在被保险人经营场所内，不影响救火、逃生设施和通道，不侵占被保险人与他人共用的公共区域和设施，不对被保险人场所内其他建筑够成危险的，由被保险人自行搭建的简易建筑，不应视其为违章建筑，本约定不因建筑未向政府相关部门申报审批而失效。</w:t>
            </w:r>
          </w:p>
          <w:p>
            <w:pPr>
              <w:numPr>
                <w:ilvl w:val="0"/>
                <w:numId w:val="6"/>
              </w:numPr>
              <w:rPr>
                <w:rFonts w:ascii="Arial" w:hAnsi="Arial" w:cs="Arial"/>
                <w:szCs w:val="21"/>
              </w:rPr>
            </w:pPr>
            <w:r>
              <w:rPr>
                <w:rFonts w:ascii="Arial" w:hAnsi="Arial" w:cs="Arial"/>
                <w:szCs w:val="21"/>
              </w:rPr>
              <w:t>关于小型火灾事故自行扑灭的约定：若发生预估损失小于或等于RMB200,000的火灾/爆炸案件，若被保险人使用自有灭火设备及时扑灭，在保险公司现场查勘并获得被保险人提供的内部证明数据或文件后，无需被保险人提供消防当局的火灾事故报告/安监局事故证明报告。</w:t>
            </w:r>
          </w:p>
          <w:p>
            <w:pPr>
              <w:numPr>
                <w:ilvl w:val="0"/>
                <w:numId w:val="6"/>
              </w:numPr>
              <w:rPr>
                <w:rFonts w:ascii="Arial" w:hAnsi="Arial" w:cs="Arial"/>
                <w:szCs w:val="21"/>
              </w:rPr>
            </w:pPr>
            <w:r>
              <w:rPr>
                <w:rFonts w:ascii="Arial" w:hAnsi="Arial" w:cs="Arial"/>
                <w:szCs w:val="21"/>
              </w:rPr>
              <w:t>关于盗窃案件理赔的约定：若发生盗窃案件，保险公司根据公安机关的接报案回执处理赔案，并在此同意不再要求提供公安机关的立案证明，也无需等待期与未破案证明。</w:t>
            </w:r>
          </w:p>
          <w:p>
            <w:pPr>
              <w:numPr>
                <w:ilvl w:val="0"/>
                <w:numId w:val="6"/>
              </w:numPr>
              <w:rPr>
                <w:rFonts w:ascii="Arial" w:hAnsi="Arial" w:cs="Arial"/>
                <w:szCs w:val="21"/>
              </w:rPr>
            </w:pPr>
            <w:r>
              <w:rPr>
                <w:rFonts w:ascii="Arial" w:hAnsi="Arial" w:cs="Arial"/>
                <w:szCs w:val="21"/>
              </w:rPr>
              <w:t>关于保险标的“本身损失”除外的约定：保单“责任免除”部分列明的各项原因（包括但不限于缺陷、工艺不善、自然磨损等）导致保险标的“本身的损失”，这里的“本身”应指最小可分割或独立的零部件、装置。由此导致的其他保险财产的损失属于本保单的赔偿范围。</w:t>
            </w:r>
          </w:p>
          <w:p>
            <w:pPr>
              <w:numPr>
                <w:ilvl w:val="0"/>
                <w:numId w:val="6"/>
              </w:numPr>
              <w:rPr>
                <w:rFonts w:ascii="Arial" w:hAnsi="Arial" w:cs="Arial"/>
                <w:szCs w:val="21"/>
              </w:rPr>
            </w:pPr>
            <w:r>
              <w:rPr>
                <w:rFonts w:ascii="Arial" w:hAnsi="Arial" w:cs="Arial"/>
                <w:szCs w:val="21"/>
              </w:rPr>
              <w:t>关于举证责任的约定：鉴于被保险人投保了财产一切险，在发生保险理赔时，被保险人只需证明：a.发生了自然灾害，或者意外事故（不可预见、无法控制、突发的）；b.发生了损失，即可向保险人提出保险索赔，无需证明保险事故不在“责任免除”范围内，以及损失和自然灾害或意外事故有因果关系。若保险人提出拒赔，则有义务举证证明事故属于“责任免除”中列明的一种或几种情况，或者损失和自然灾害或意外事故没有因果关系。</w:t>
            </w:r>
          </w:p>
          <w:p>
            <w:pPr>
              <w:numPr>
                <w:ilvl w:val="0"/>
                <w:numId w:val="6"/>
              </w:numPr>
              <w:rPr>
                <w:szCs w:val="21"/>
              </w:rPr>
            </w:pPr>
            <w:r>
              <w:rPr>
                <w:rFonts w:hint="eastAsia"/>
              </w:rPr>
              <w:t>RMB</w:t>
            </w:r>
            <w:r>
              <w:t>5</w:t>
            </w:r>
            <w:r>
              <w:rPr>
                <w:szCs w:val="21"/>
              </w:rPr>
              <w:t>万索赔金额以下（包括</w:t>
            </w:r>
            <w:r>
              <w:rPr>
                <w:rFonts w:hint="eastAsia"/>
              </w:rPr>
              <w:t>RMB</w:t>
            </w:r>
            <w:r>
              <w:rPr>
                <w:rFonts w:ascii="Arial" w:hAnsi="Arial" w:cs="Arial"/>
                <w:szCs w:val="21"/>
              </w:rPr>
              <w:t xml:space="preserve"> 5</w:t>
            </w:r>
            <w:r>
              <w:rPr>
                <w:szCs w:val="21"/>
              </w:rPr>
              <w:t>万）的索赔案件实行小赔案处理快速通道。仅需提供如下文件：</w:t>
            </w:r>
          </w:p>
          <w:p>
            <w:pPr>
              <w:pStyle w:val="105"/>
              <w:ind w:firstLine="420" w:firstLineChars="200"/>
              <w:jc w:val="both"/>
              <w:rPr>
                <w:sz w:val="21"/>
                <w:szCs w:val="21"/>
              </w:rPr>
            </w:pPr>
            <w:r>
              <w:rPr>
                <w:rFonts w:ascii="Arial" w:hAnsi="Arial" w:cs="Arial"/>
                <w:sz w:val="21"/>
                <w:szCs w:val="21"/>
              </w:rPr>
              <w:t xml:space="preserve">- </w:t>
            </w:r>
            <w:r>
              <w:rPr>
                <w:sz w:val="21"/>
                <w:szCs w:val="21"/>
              </w:rPr>
              <w:t>小额案件快速理赔处理表</w:t>
            </w:r>
            <w:r>
              <w:rPr>
                <w:rFonts w:ascii="Arial" w:hAnsi="Arial" w:cs="Arial"/>
                <w:sz w:val="21"/>
                <w:szCs w:val="21"/>
              </w:rPr>
              <w:t>/</w:t>
            </w:r>
            <w:r>
              <w:rPr>
                <w:sz w:val="21"/>
                <w:szCs w:val="21"/>
              </w:rPr>
              <w:t>索赔申请书及权益转让书（加盖财务章）</w:t>
            </w:r>
          </w:p>
          <w:p>
            <w:pPr>
              <w:pStyle w:val="105"/>
              <w:ind w:firstLine="420" w:firstLineChars="200"/>
              <w:jc w:val="both"/>
              <w:rPr>
                <w:sz w:val="21"/>
                <w:szCs w:val="21"/>
              </w:rPr>
            </w:pPr>
            <w:r>
              <w:rPr>
                <w:rFonts w:ascii="Arial" w:hAnsi="Arial" w:cs="Arial"/>
                <w:sz w:val="21"/>
                <w:szCs w:val="21"/>
              </w:rPr>
              <w:t xml:space="preserve">- </w:t>
            </w:r>
            <w:r>
              <w:rPr>
                <w:sz w:val="21"/>
                <w:szCs w:val="21"/>
              </w:rPr>
              <w:t>事故照片（包括受损全景，受损部件特写）</w:t>
            </w:r>
          </w:p>
          <w:p>
            <w:pPr>
              <w:pStyle w:val="105"/>
              <w:ind w:firstLine="420" w:firstLineChars="200"/>
              <w:jc w:val="both"/>
              <w:rPr>
                <w:sz w:val="21"/>
                <w:szCs w:val="21"/>
              </w:rPr>
            </w:pPr>
            <w:r>
              <w:rPr>
                <w:rFonts w:ascii="Arial" w:hAnsi="Arial" w:cs="Arial"/>
                <w:sz w:val="21"/>
                <w:szCs w:val="21"/>
              </w:rPr>
              <w:t xml:space="preserve">- </w:t>
            </w:r>
            <w:r>
              <w:rPr>
                <w:sz w:val="21"/>
                <w:szCs w:val="21"/>
              </w:rPr>
              <w:t>事故报告（加盖公章）</w:t>
            </w:r>
          </w:p>
          <w:p>
            <w:pPr>
              <w:pStyle w:val="105"/>
              <w:ind w:firstLine="420" w:firstLineChars="200"/>
              <w:jc w:val="both"/>
              <w:rPr>
                <w:sz w:val="21"/>
                <w:szCs w:val="21"/>
              </w:rPr>
            </w:pPr>
            <w:r>
              <w:rPr>
                <w:rFonts w:ascii="Arial" w:hAnsi="Arial" w:cs="Arial"/>
                <w:sz w:val="21"/>
                <w:szCs w:val="21"/>
              </w:rPr>
              <w:t xml:space="preserve">- </w:t>
            </w:r>
            <w:r>
              <w:rPr>
                <w:sz w:val="21"/>
                <w:szCs w:val="21"/>
              </w:rPr>
              <w:t>受损财产索赔金额对应清单，如第三方的维修报价或成本表（正本或复印</w:t>
            </w:r>
          </w:p>
          <w:p>
            <w:pPr>
              <w:pStyle w:val="105"/>
              <w:ind w:firstLine="630" w:firstLineChars="300"/>
              <w:jc w:val="both"/>
              <w:rPr>
                <w:sz w:val="21"/>
                <w:szCs w:val="21"/>
              </w:rPr>
            </w:pPr>
            <w:r>
              <w:rPr>
                <w:sz w:val="21"/>
                <w:szCs w:val="21"/>
              </w:rPr>
              <w:t>件加盖公章）</w:t>
            </w:r>
          </w:p>
          <w:p>
            <w:pPr>
              <w:pStyle w:val="105"/>
              <w:ind w:firstLine="420" w:firstLineChars="200"/>
              <w:jc w:val="both"/>
              <w:rPr>
                <w:sz w:val="21"/>
                <w:szCs w:val="21"/>
              </w:rPr>
            </w:pPr>
            <w:r>
              <w:rPr>
                <w:rFonts w:ascii="Arial" w:hAnsi="Arial" w:cs="Arial"/>
                <w:sz w:val="21"/>
                <w:szCs w:val="21"/>
              </w:rPr>
              <w:t xml:space="preserve">- </w:t>
            </w:r>
            <w:r>
              <w:rPr>
                <w:sz w:val="21"/>
                <w:szCs w:val="21"/>
              </w:rPr>
              <w:t>受损财产维修发票（正本或复印件加盖公章）</w:t>
            </w:r>
          </w:p>
          <w:p>
            <w:pPr>
              <w:pStyle w:val="105"/>
              <w:ind w:firstLine="420" w:firstLineChars="200"/>
              <w:jc w:val="both"/>
              <w:rPr>
                <w:sz w:val="21"/>
                <w:szCs w:val="21"/>
              </w:rPr>
            </w:pPr>
            <w:r>
              <w:rPr>
                <w:rFonts w:ascii="Arial" w:hAnsi="Arial" w:cs="Arial"/>
                <w:sz w:val="21"/>
                <w:szCs w:val="21"/>
              </w:rPr>
              <w:t xml:space="preserve">- </w:t>
            </w:r>
            <w:r>
              <w:rPr>
                <w:rFonts w:hint="eastAsia"/>
              </w:rPr>
              <w:t>RMB</w:t>
            </w:r>
            <w:r>
              <w:rPr>
                <w:rFonts w:ascii="Arial" w:hAnsi="Arial" w:cs="Arial"/>
                <w:sz w:val="21"/>
                <w:szCs w:val="21"/>
              </w:rPr>
              <w:t xml:space="preserve"> 1</w:t>
            </w:r>
            <w:r>
              <w:rPr>
                <w:sz w:val="21"/>
                <w:szCs w:val="21"/>
              </w:rPr>
              <w:t>万元以上赔案，提供固定资产卡片（复印件加盖公章）</w:t>
            </w:r>
          </w:p>
          <w:p>
            <w:pPr>
              <w:pStyle w:val="105"/>
              <w:ind w:firstLine="420" w:firstLineChars="200"/>
              <w:jc w:val="both"/>
              <w:rPr>
                <w:sz w:val="21"/>
                <w:szCs w:val="21"/>
              </w:rPr>
            </w:pPr>
            <w:r>
              <w:rPr>
                <w:rFonts w:ascii="Arial" w:hAnsi="Arial" w:cs="Arial"/>
                <w:sz w:val="21"/>
                <w:szCs w:val="21"/>
              </w:rPr>
              <w:t xml:space="preserve">- </w:t>
            </w:r>
            <w:r>
              <w:rPr>
                <w:sz w:val="21"/>
                <w:szCs w:val="21"/>
              </w:rPr>
              <w:t>自然灾害或者盗窃引起的保险事故，提供自然灾害证明</w:t>
            </w:r>
            <w:r>
              <w:rPr>
                <w:rFonts w:ascii="Arial" w:hAnsi="Arial" w:cs="Arial"/>
                <w:sz w:val="21"/>
                <w:szCs w:val="21"/>
              </w:rPr>
              <w:t>/</w:t>
            </w:r>
            <w:r>
              <w:rPr>
                <w:sz w:val="21"/>
                <w:szCs w:val="21"/>
              </w:rPr>
              <w:t>报警证明</w:t>
            </w:r>
            <w:r>
              <w:rPr>
                <w:rFonts w:hint="eastAsia"/>
                <w:sz w:val="21"/>
                <w:szCs w:val="21"/>
              </w:rPr>
              <w:t>。</w:t>
            </w:r>
          </w:p>
          <w:p>
            <w:pPr>
              <w:ind w:left="420"/>
              <w:rPr>
                <w:rFonts w:ascii="Arial" w:hAnsi="Arial" w:cs="Arial"/>
                <w:szCs w:val="21"/>
              </w:rPr>
            </w:pPr>
          </w:p>
        </w:tc>
      </w:tr>
      <w:tr>
        <w:tblPrEx>
          <w:tblCellMar>
            <w:top w:w="0" w:type="dxa"/>
            <w:left w:w="108" w:type="dxa"/>
            <w:bottom w:w="0" w:type="dxa"/>
            <w:right w:w="108" w:type="dxa"/>
          </w:tblCellMar>
        </w:tblPrEx>
        <w:tc>
          <w:tcPr>
            <w:tcW w:w="1384" w:type="dxa"/>
          </w:tcPr>
          <w:p>
            <w:pPr>
              <w:rPr>
                <w:rFonts w:ascii="Arial" w:hAnsi="Arial" w:cs="Arial"/>
                <w:b/>
                <w:szCs w:val="21"/>
              </w:rPr>
            </w:pPr>
            <w:r>
              <w:rPr>
                <w:rFonts w:ascii="Arial" w:hAnsi="Arial" w:cs="Arial"/>
                <w:b/>
                <w:szCs w:val="21"/>
              </w:rPr>
              <w:t>免赔额</w:t>
            </w:r>
          </w:p>
        </w:tc>
        <w:tc>
          <w:tcPr>
            <w:tcW w:w="425" w:type="dxa"/>
          </w:tcPr>
          <w:p>
            <w:pPr>
              <w:rPr>
                <w:rFonts w:ascii="Arial" w:hAnsi="Arial" w:cs="Arial"/>
                <w:b/>
                <w:szCs w:val="21"/>
              </w:rPr>
            </w:pPr>
            <w:r>
              <w:rPr>
                <w:rFonts w:ascii="Arial" w:hAnsi="Arial" w:cs="Arial"/>
                <w:b/>
                <w:szCs w:val="21"/>
              </w:rPr>
              <w:t>:</w:t>
            </w:r>
          </w:p>
        </w:tc>
        <w:tc>
          <w:tcPr>
            <w:tcW w:w="7601" w:type="dxa"/>
            <w:gridSpan w:val="4"/>
          </w:tcPr>
          <w:p>
            <w:pPr>
              <w:rPr>
                <w:rFonts w:ascii="Arial" w:hAnsi="Arial" w:cs="Arial"/>
                <w:szCs w:val="21"/>
              </w:rPr>
            </w:pPr>
            <w:r>
              <w:rPr>
                <w:rFonts w:ascii="Arial" w:hAnsi="Arial" w:cs="Arial"/>
                <w:szCs w:val="21"/>
              </w:rPr>
              <w:t>每次事故绝对免赔额 RMB</w:t>
            </w:r>
            <w:r>
              <w:rPr>
                <w:rFonts w:hint="eastAsia" w:ascii="Arial" w:hAnsi="Arial" w:cs="Arial"/>
                <w:szCs w:val="21"/>
              </w:rPr>
              <w:t>10</w:t>
            </w:r>
            <w:r>
              <w:rPr>
                <w:rFonts w:ascii="Arial" w:hAnsi="Arial" w:cs="Arial"/>
                <w:szCs w:val="21"/>
              </w:rPr>
              <w:t xml:space="preserve">,000.00 </w:t>
            </w:r>
            <w:r>
              <w:rPr>
                <w:rFonts w:hint="eastAsia" w:ascii="Arial" w:hAnsi="Arial" w:cs="Arial"/>
                <w:szCs w:val="21"/>
              </w:rPr>
              <w:t>或者损失金额的1</w:t>
            </w:r>
            <w:r>
              <w:rPr>
                <w:rFonts w:ascii="Arial" w:hAnsi="Arial" w:cs="Arial"/>
                <w:szCs w:val="21"/>
              </w:rPr>
              <w:t>0%</w:t>
            </w:r>
            <w:r>
              <w:rPr>
                <w:rFonts w:hint="eastAsia" w:ascii="Arial" w:hAnsi="Arial" w:cs="Arial"/>
                <w:szCs w:val="21"/>
              </w:rPr>
              <w:t>，两者取高</w:t>
            </w:r>
          </w:p>
          <w:p>
            <w:pPr>
              <w:rPr>
                <w:rFonts w:ascii="Arial" w:hAnsi="Arial" w:cs="Arial"/>
                <w:szCs w:val="21"/>
              </w:rPr>
            </w:pPr>
          </w:p>
        </w:tc>
      </w:tr>
      <w:tr>
        <w:tblPrEx>
          <w:tblCellMar>
            <w:top w:w="0" w:type="dxa"/>
            <w:left w:w="108" w:type="dxa"/>
            <w:bottom w:w="0" w:type="dxa"/>
            <w:right w:w="108" w:type="dxa"/>
          </w:tblCellMar>
        </w:tblPrEx>
        <w:tc>
          <w:tcPr>
            <w:tcW w:w="1384" w:type="dxa"/>
          </w:tcPr>
          <w:p>
            <w:pPr>
              <w:rPr>
                <w:rFonts w:ascii="Arial" w:hAnsi="Arial" w:cs="Arial"/>
                <w:b/>
                <w:szCs w:val="21"/>
              </w:rPr>
            </w:pPr>
            <w:r>
              <w:rPr>
                <w:rFonts w:ascii="Arial" w:hAnsi="Arial" w:cs="Arial"/>
                <w:b/>
                <w:szCs w:val="21"/>
              </w:rPr>
              <w:t>年保险费率</w:t>
            </w:r>
          </w:p>
          <w:p>
            <w:pPr>
              <w:rPr>
                <w:rFonts w:ascii="Arial" w:hAnsi="Arial" w:cs="Arial"/>
                <w:b/>
                <w:szCs w:val="21"/>
              </w:rPr>
            </w:pPr>
          </w:p>
        </w:tc>
        <w:tc>
          <w:tcPr>
            <w:tcW w:w="425" w:type="dxa"/>
          </w:tcPr>
          <w:p>
            <w:pPr>
              <w:rPr>
                <w:rFonts w:ascii="Arial" w:hAnsi="Arial" w:cs="Arial"/>
                <w:b/>
                <w:szCs w:val="21"/>
              </w:rPr>
            </w:pPr>
            <w:r>
              <w:rPr>
                <w:rFonts w:ascii="Arial" w:hAnsi="Arial" w:cs="Arial"/>
                <w:b/>
                <w:szCs w:val="21"/>
              </w:rPr>
              <w:t>:</w:t>
            </w:r>
          </w:p>
        </w:tc>
        <w:tc>
          <w:tcPr>
            <w:tcW w:w="7601" w:type="dxa"/>
            <w:gridSpan w:val="4"/>
          </w:tcPr>
          <w:p>
            <w:pPr>
              <w:rPr>
                <w:rFonts w:ascii="Arial" w:hAnsi="Arial" w:cs="Arial"/>
                <w:szCs w:val="21"/>
              </w:rPr>
            </w:pPr>
          </w:p>
        </w:tc>
      </w:tr>
      <w:tr>
        <w:tblPrEx>
          <w:tblCellMar>
            <w:top w:w="0" w:type="dxa"/>
            <w:left w:w="108" w:type="dxa"/>
            <w:bottom w:w="0" w:type="dxa"/>
            <w:right w:w="108" w:type="dxa"/>
          </w:tblCellMar>
        </w:tblPrEx>
        <w:trPr>
          <w:trHeight w:val="52" w:hRule="atLeast"/>
        </w:trPr>
        <w:tc>
          <w:tcPr>
            <w:tcW w:w="1384" w:type="dxa"/>
          </w:tcPr>
          <w:p>
            <w:pPr>
              <w:rPr>
                <w:rFonts w:ascii="Arial" w:hAnsi="Arial" w:cs="Arial"/>
                <w:b/>
                <w:szCs w:val="21"/>
              </w:rPr>
            </w:pPr>
            <w:r>
              <w:rPr>
                <w:rFonts w:ascii="Arial" w:hAnsi="Arial" w:cs="Arial"/>
                <w:b/>
                <w:szCs w:val="21"/>
              </w:rPr>
              <w:t>全年保费</w:t>
            </w:r>
          </w:p>
          <w:p>
            <w:pPr>
              <w:rPr>
                <w:rFonts w:ascii="Arial" w:hAnsi="Arial" w:cs="Arial"/>
                <w:b/>
                <w:szCs w:val="21"/>
              </w:rPr>
            </w:pPr>
            <w:r>
              <w:rPr>
                <w:rFonts w:ascii="Arial" w:hAnsi="Arial" w:cs="Arial"/>
                <w:b/>
                <w:szCs w:val="21"/>
              </w:rPr>
              <w:t>（含税）</w:t>
            </w:r>
          </w:p>
        </w:tc>
        <w:tc>
          <w:tcPr>
            <w:tcW w:w="425" w:type="dxa"/>
          </w:tcPr>
          <w:p>
            <w:pPr>
              <w:rPr>
                <w:rFonts w:ascii="Arial" w:hAnsi="Arial" w:cs="Arial"/>
                <w:b/>
                <w:szCs w:val="21"/>
              </w:rPr>
            </w:pPr>
            <w:r>
              <w:rPr>
                <w:rFonts w:ascii="Arial" w:hAnsi="Arial" w:cs="Arial"/>
                <w:b/>
                <w:szCs w:val="21"/>
              </w:rPr>
              <w:t>:</w:t>
            </w:r>
          </w:p>
        </w:tc>
        <w:tc>
          <w:tcPr>
            <w:tcW w:w="7601" w:type="dxa"/>
            <w:gridSpan w:val="4"/>
          </w:tcPr>
          <w:p>
            <w:pPr>
              <w:rPr>
                <w:rFonts w:ascii="Arial" w:hAnsi="Arial" w:cs="Arial"/>
                <w:b/>
                <w:szCs w:val="21"/>
              </w:rPr>
            </w:pPr>
            <w:r>
              <w:rPr>
                <w:rFonts w:hint="eastAsia" w:ascii="Arial" w:hAnsi="Arial" w:cs="Arial"/>
                <w:szCs w:val="21"/>
              </w:rPr>
              <w:t>RMB</w:t>
            </w:r>
          </w:p>
        </w:tc>
      </w:tr>
      <w:tr>
        <w:tblPrEx>
          <w:tblCellMar>
            <w:top w:w="0" w:type="dxa"/>
            <w:left w:w="108" w:type="dxa"/>
            <w:bottom w:w="0" w:type="dxa"/>
            <w:right w:w="108" w:type="dxa"/>
          </w:tblCellMar>
        </w:tblPrEx>
        <w:trPr>
          <w:trHeight w:val="52" w:hRule="atLeast"/>
        </w:trPr>
        <w:tc>
          <w:tcPr>
            <w:tcW w:w="1384" w:type="dxa"/>
          </w:tcPr>
          <w:p>
            <w:pPr>
              <w:rPr>
                <w:rFonts w:ascii="Arial" w:hAnsi="Arial" w:cs="Arial"/>
                <w:b/>
                <w:szCs w:val="21"/>
              </w:rPr>
            </w:pPr>
          </w:p>
          <w:p>
            <w:pPr>
              <w:rPr>
                <w:rFonts w:ascii="Arial" w:hAnsi="Arial" w:cs="Arial"/>
                <w:b/>
                <w:szCs w:val="21"/>
              </w:rPr>
            </w:pPr>
            <w:r>
              <w:rPr>
                <w:rFonts w:ascii="Arial" w:hAnsi="Arial" w:cs="Arial"/>
                <w:b/>
                <w:szCs w:val="21"/>
              </w:rPr>
              <w:t>保费支付</w:t>
            </w:r>
          </w:p>
        </w:tc>
        <w:tc>
          <w:tcPr>
            <w:tcW w:w="425" w:type="dxa"/>
          </w:tcPr>
          <w:p>
            <w:pPr>
              <w:rPr>
                <w:rFonts w:ascii="Arial" w:hAnsi="Arial" w:cs="Arial"/>
                <w:b/>
                <w:szCs w:val="21"/>
              </w:rPr>
            </w:pPr>
          </w:p>
          <w:p>
            <w:pPr>
              <w:rPr>
                <w:rFonts w:ascii="Arial" w:hAnsi="Arial" w:cs="Arial"/>
                <w:b/>
                <w:szCs w:val="21"/>
              </w:rPr>
            </w:pPr>
            <w:r>
              <w:rPr>
                <w:rFonts w:ascii="Arial" w:hAnsi="Arial" w:cs="Arial"/>
                <w:b/>
                <w:szCs w:val="21"/>
              </w:rPr>
              <w:t>:</w:t>
            </w:r>
          </w:p>
        </w:tc>
        <w:tc>
          <w:tcPr>
            <w:tcW w:w="7601" w:type="dxa"/>
            <w:gridSpan w:val="4"/>
          </w:tcPr>
          <w:p>
            <w:pPr>
              <w:rPr>
                <w:rFonts w:ascii="Arial" w:hAnsi="Arial" w:cs="Arial"/>
                <w:szCs w:val="21"/>
              </w:rPr>
            </w:pPr>
          </w:p>
          <w:p>
            <w:pPr>
              <w:rPr>
                <w:rFonts w:ascii="Arial" w:hAnsi="Arial" w:cs="Arial"/>
                <w:szCs w:val="21"/>
              </w:rPr>
            </w:pPr>
            <w:r>
              <w:rPr>
                <w:rFonts w:ascii="Arial" w:hAnsi="Arial" w:cs="Arial"/>
                <w:szCs w:val="21"/>
              </w:rPr>
              <w:t>被保险人在实际收到并确认正式保险单和符合要求的保险费发票后的30个工作日内支付全部保险费，在保险人收到保险费之前，仍将按照保单规定承担全部保险责任，不因被保险人非故意的延迟支付保险费影响保险责任。</w:t>
            </w:r>
          </w:p>
          <w:p>
            <w:pPr>
              <w:rPr>
                <w:rFonts w:ascii="Arial" w:hAnsi="Arial" w:cs="Arial"/>
                <w:szCs w:val="21"/>
              </w:rPr>
            </w:pPr>
          </w:p>
          <w:p>
            <w:pPr>
              <w:pStyle w:val="105"/>
              <w:jc w:val="both"/>
              <w:rPr>
                <w:szCs w:val="21"/>
              </w:rPr>
            </w:pPr>
            <w:r>
              <w:rPr>
                <w:sz w:val="21"/>
                <w:szCs w:val="21"/>
              </w:rPr>
              <w:t>如当地实行</w:t>
            </w:r>
            <w:r>
              <w:rPr>
                <w:rFonts w:ascii="Arial" w:hAnsi="Arial" w:cs="Arial"/>
                <w:sz w:val="21"/>
                <w:szCs w:val="21"/>
              </w:rPr>
              <w:t>“</w:t>
            </w:r>
            <w:r>
              <w:rPr>
                <w:sz w:val="21"/>
                <w:szCs w:val="21"/>
              </w:rPr>
              <w:t>见费出单</w:t>
            </w:r>
            <w:r>
              <w:rPr>
                <w:rFonts w:ascii="Arial" w:hAnsi="Arial" w:cs="Arial"/>
                <w:sz w:val="21"/>
                <w:szCs w:val="21"/>
              </w:rPr>
              <w:t>”</w:t>
            </w:r>
            <w:r>
              <w:rPr>
                <w:sz w:val="21"/>
                <w:szCs w:val="21"/>
              </w:rPr>
              <w:t>，则按照</w:t>
            </w:r>
            <w:r>
              <w:rPr>
                <w:rFonts w:ascii="Arial" w:hAnsi="Arial" w:cs="Arial"/>
                <w:sz w:val="21"/>
                <w:szCs w:val="21"/>
              </w:rPr>
              <w:t>“</w:t>
            </w:r>
            <w:r>
              <w:rPr>
                <w:sz w:val="21"/>
                <w:szCs w:val="21"/>
              </w:rPr>
              <w:t>见费出单</w:t>
            </w:r>
            <w:r>
              <w:rPr>
                <w:rFonts w:ascii="Arial" w:hAnsi="Arial" w:cs="Arial"/>
                <w:sz w:val="21"/>
                <w:szCs w:val="21"/>
              </w:rPr>
              <w:t>”</w:t>
            </w:r>
            <w:r>
              <w:rPr>
                <w:sz w:val="21"/>
                <w:szCs w:val="21"/>
              </w:rPr>
              <w:t>程序支付保费。</w:t>
            </w:r>
          </w:p>
          <w:p>
            <w:pPr>
              <w:rPr>
                <w:rFonts w:ascii="Arial" w:hAnsi="Arial" w:cs="Arial"/>
                <w:szCs w:val="21"/>
              </w:rPr>
            </w:pPr>
          </w:p>
        </w:tc>
      </w:tr>
      <w:tr>
        <w:tblPrEx>
          <w:tblCellMar>
            <w:top w:w="0" w:type="dxa"/>
            <w:left w:w="108" w:type="dxa"/>
            <w:bottom w:w="0" w:type="dxa"/>
            <w:right w:w="108" w:type="dxa"/>
          </w:tblCellMar>
        </w:tblPrEx>
        <w:tc>
          <w:tcPr>
            <w:tcW w:w="1384" w:type="dxa"/>
          </w:tcPr>
          <w:p>
            <w:pPr>
              <w:rPr>
                <w:rFonts w:ascii="Arial" w:hAnsi="Arial" w:cs="Arial"/>
                <w:b/>
                <w:szCs w:val="21"/>
              </w:rPr>
            </w:pPr>
            <w:r>
              <w:rPr>
                <w:rFonts w:ascii="Arial" w:hAnsi="Arial" w:cs="Arial"/>
                <w:b/>
                <w:szCs w:val="21"/>
              </w:rPr>
              <w:t>地域范围</w:t>
            </w:r>
          </w:p>
        </w:tc>
        <w:tc>
          <w:tcPr>
            <w:tcW w:w="425" w:type="dxa"/>
          </w:tcPr>
          <w:p>
            <w:pPr>
              <w:rPr>
                <w:rFonts w:ascii="Arial" w:hAnsi="Arial" w:cs="Arial"/>
                <w:b/>
                <w:szCs w:val="21"/>
              </w:rPr>
            </w:pPr>
            <w:r>
              <w:rPr>
                <w:rFonts w:ascii="Arial" w:hAnsi="Arial" w:cs="Arial"/>
                <w:b/>
                <w:szCs w:val="21"/>
              </w:rPr>
              <w:t>:</w:t>
            </w:r>
          </w:p>
        </w:tc>
        <w:tc>
          <w:tcPr>
            <w:tcW w:w="7601" w:type="dxa"/>
            <w:gridSpan w:val="4"/>
          </w:tcPr>
          <w:p>
            <w:pPr>
              <w:rPr>
                <w:rFonts w:ascii="Arial" w:hAnsi="Arial" w:cs="Arial"/>
                <w:szCs w:val="21"/>
              </w:rPr>
            </w:pPr>
            <w:r>
              <w:rPr>
                <w:rFonts w:ascii="Arial" w:hAnsi="Arial" w:cs="Arial"/>
                <w:szCs w:val="21"/>
              </w:rPr>
              <w:t>中华人民共和国（不包括港、澳、台地区）</w:t>
            </w:r>
          </w:p>
        </w:tc>
      </w:tr>
    </w:tbl>
    <w:p/>
    <w:tbl>
      <w:tblPr>
        <w:tblStyle w:val="27"/>
        <w:tblW w:w="0" w:type="auto"/>
        <w:tblInd w:w="0" w:type="dxa"/>
        <w:tblLayout w:type="autofit"/>
        <w:tblCellMar>
          <w:top w:w="0" w:type="dxa"/>
          <w:left w:w="108" w:type="dxa"/>
          <w:bottom w:w="0" w:type="dxa"/>
          <w:right w:w="108" w:type="dxa"/>
        </w:tblCellMar>
      </w:tblPr>
      <w:tblGrid>
        <w:gridCol w:w="1647"/>
        <w:gridCol w:w="338"/>
        <w:gridCol w:w="6537"/>
      </w:tblGrid>
      <w:tr>
        <w:tblPrEx>
          <w:tblCellMar>
            <w:top w:w="0" w:type="dxa"/>
            <w:left w:w="108" w:type="dxa"/>
            <w:bottom w:w="0" w:type="dxa"/>
            <w:right w:w="108" w:type="dxa"/>
          </w:tblCellMar>
        </w:tblPrEx>
        <w:tc>
          <w:tcPr>
            <w:tcW w:w="1647" w:type="dxa"/>
          </w:tcPr>
          <w:p>
            <w:pPr>
              <w:rPr>
                <w:rFonts w:ascii="Arial" w:hAnsi="Arial" w:cs="Arial"/>
                <w:b/>
                <w:szCs w:val="21"/>
              </w:rPr>
            </w:pPr>
            <w:r>
              <w:rPr>
                <w:rFonts w:ascii="Arial" w:hAnsi="Arial" w:cs="Arial"/>
                <w:b/>
                <w:szCs w:val="21"/>
              </w:rPr>
              <w:t>扩展条款</w:t>
            </w:r>
          </w:p>
        </w:tc>
        <w:tc>
          <w:tcPr>
            <w:tcW w:w="338" w:type="dxa"/>
          </w:tcPr>
          <w:p>
            <w:pPr>
              <w:rPr>
                <w:rFonts w:ascii="Arial" w:hAnsi="Arial" w:cs="Arial"/>
                <w:b/>
                <w:szCs w:val="21"/>
              </w:rPr>
            </w:pPr>
            <w:r>
              <w:rPr>
                <w:rFonts w:ascii="Arial" w:hAnsi="Arial" w:cs="Arial"/>
                <w:b/>
                <w:szCs w:val="21"/>
              </w:rPr>
              <w:t>:</w:t>
            </w:r>
          </w:p>
        </w:tc>
        <w:tc>
          <w:tcPr>
            <w:tcW w:w="6537" w:type="dxa"/>
          </w:tcPr>
          <w:p>
            <w:pPr>
              <w:numPr>
                <w:ilvl w:val="0"/>
                <w:numId w:val="7"/>
              </w:numPr>
              <w:spacing w:line="300" w:lineRule="exact"/>
              <w:rPr>
                <w:rFonts w:ascii="Arial" w:hAnsi="Arial" w:cs="Arial"/>
                <w:szCs w:val="21"/>
              </w:rPr>
            </w:pPr>
            <w:r>
              <w:rPr>
                <w:rFonts w:ascii="Arial" w:hAnsi="Arial" w:cs="Arial"/>
                <w:szCs w:val="21"/>
              </w:rPr>
              <w:t>重置价值条款</w:t>
            </w:r>
          </w:p>
          <w:p>
            <w:pPr>
              <w:numPr>
                <w:ilvl w:val="0"/>
                <w:numId w:val="7"/>
              </w:numPr>
              <w:spacing w:line="300" w:lineRule="exact"/>
              <w:rPr>
                <w:rFonts w:ascii="Arial" w:hAnsi="Arial" w:cs="Arial"/>
                <w:szCs w:val="21"/>
              </w:rPr>
            </w:pPr>
            <w:r>
              <w:rPr>
                <w:rFonts w:ascii="Arial" w:hAnsi="Arial" w:cs="Arial"/>
                <w:szCs w:val="21"/>
              </w:rPr>
              <w:t>罢工、暴乱及民众骚乱扩展条款</w:t>
            </w:r>
          </w:p>
          <w:p>
            <w:pPr>
              <w:numPr>
                <w:ilvl w:val="0"/>
                <w:numId w:val="7"/>
              </w:numPr>
              <w:spacing w:line="300" w:lineRule="exact"/>
              <w:rPr>
                <w:rFonts w:ascii="Arial" w:hAnsi="Arial" w:cs="Arial"/>
                <w:szCs w:val="21"/>
              </w:rPr>
            </w:pPr>
            <w:r>
              <w:rPr>
                <w:rFonts w:ascii="Arial" w:hAnsi="Arial" w:cs="Arial"/>
                <w:szCs w:val="21"/>
              </w:rPr>
              <w:t>建筑师、检验师、顾问、法律和其它专业费用条款（赔偿限额: 总保险金额的15%）</w:t>
            </w:r>
          </w:p>
          <w:p>
            <w:pPr>
              <w:numPr>
                <w:ilvl w:val="0"/>
                <w:numId w:val="7"/>
              </w:numPr>
              <w:spacing w:line="300" w:lineRule="exact"/>
              <w:rPr>
                <w:rFonts w:ascii="Arial" w:hAnsi="Arial" w:cs="Arial"/>
                <w:szCs w:val="21"/>
              </w:rPr>
            </w:pPr>
            <w:r>
              <w:rPr>
                <w:rFonts w:ascii="Arial" w:hAnsi="Arial" w:cs="Arial"/>
                <w:szCs w:val="21"/>
              </w:rPr>
              <w:t>装修、改造条款（每个合同金额以RMB10,000,000.00为限）</w:t>
            </w:r>
          </w:p>
          <w:p>
            <w:pPr>
              <w:numPr>
                <w:ilvl w:val="0"/>
                <w:numId w:val="7"/>
              </w:numPr>
              <w:spacing w:line="300" w:lineRule="exact"/>
              <w:rPr>
                <w:rFonts w:ascii="Arial" w:hAnsi="Arial" w:cs="Arial"/>
                <w:szCs w:val="21"/>
              </w:rPr>
            </w:pPr>
            <w:r>
              <w:rPr>
                <w:rFonts w:ascii="Arial" w:hAnsi="Arial" w:cs="Arial"/>
                <w:szCs w:val="21"/>
              </w:rPr>
              <w:t>公共当局扩展条款</w:t>
            </w:r>
          </w:p>
          <w:p>
            <w:pPr>
              <w:numPr>
                <w:ilvl w:val="0"/>
                <w:numId w:val="7"/>
              </w:numPr>
              <w:spacing w:line="300" w:lineRule="exact"/>
              <w:rPr>
                <w:rFonts w:ascii="Arial" w:hAnsi="Arial" w:cs="Arial"/>
                <w:szCs w:val="21"/>
              </w:rPr>
            </w:pPr>
            <w:r>
              <w:rPr>
                <w:rFonts w:ascii="Arial" w:hAnsi="Arial" w:cs="Arial"/>
                <w:szCs w:val="21"/>
              </w:rPr>
              <w:t>自动恢复保险金额条款</w:t>
            </w:r>
          </w:p>
          <w:p>
            <w:pPr>
              <w:numPr>
                <w:ilvl w:val="0"/>
                <w:numId w:val="7"/>
              </w:numPr>
              <w:spacing w:line="300" w:lineRule="exact"/>
              <w:rPr>
                <w:rFonts w:ascii="Arial" w:hAnsi="Arial" w:cs="Arial"/>
                <w:szCs w:val="21"/>
              </w:rPr>
            </w:pPr>
            <w:r>
              <w:rPr>
                <w:rFonts w:ascii="Arial" w:hAnsi="Arial" w:cs="Arial"/>
                <w:szCs w:val="21"/>
              </w:rPr>
              <w:t>72小时条款</w:t>
            </w:r>
          </w:p>
          <w:p>
            <w:pPr>
              <w:numPr>
                <w:ilvl w:val="0"/>
                <w:numId w:val="7"/>
              </w:numPr>
              <w:spacing w:line="300" w:lineRule="exact"/>
              <w:rPr>
                <w:rFonts w:ascii="Arial" w:hAnsi="Arial" w:cs="Arial"/>
                <w:szCs w:val="21"/>
              </w:rPr>
            </w:pPr>
            <w:r>
              <w:rPr>
                <w:rFonts w:ascii="Arial" w:hAnsi="Arial" w:cs="Arial"/>
                <w:szCs w:val="21"/>
              </w:rPr>
              <w:t>临时移动扩展条款</w:t>
            </w:r>
          </w:p>
          <w:p>
            <w:pPr>
              <w:numPr>
                <w:ilvl w:val="0"/>
                <w:numId w:val="7"/>
              </w:numPr>
              <w:spacing w:line="300" w:lineRule="exact"/>
              <w:rPr>
                <w:rFonts w:ascii="Arial" w:hAnsi="Arial" w:cs="Arial"/>
                <w:szCs w:val="21"/>
              </w:rPr>
            </w:pPr>
            <w:r>
              <w:rPr>
                <w:rFonts w:ascii="Arial" w:hAnsi="Arial" w:cs="Arial"/>
                <w:szCs w:val="21"/>
              </w:rPr>
              <w:t>清理残骸费用扩展条款（赔偿限额: 总保险金额的10 %）</w:t>
            </w:r>
          </w:p>
          <w:p>
            <w:pPr>
              <w:numPr>
                <w:ilvl w:val="0"/>
                <w:numId w:val="7"/>
              </w:numPr>
              <w:spacing w:line="300" w:lineRule="exact"/>
              <w:rPr>
                <w:rFonts w:ascii="Arial" w:hAnsi="Arial" w:cs="Arial"/>
                <w:szCs w:val="21"/>
              </w:rPr>
            </w:pPr>
            <w:r>
              <w:rPr>
                <w:rFonts w:ascii="Arial" w:hAnsi="Arial" w:cs="Arial"/>
                <w:szCs w:val="21"/>
              </w:rPr>
              <w:t>其他物品扩展条款（赔偿限额: RMB500,000.00）</w:t>
            </w:r>
          </w:p>
          <w:p>
            <w:pPr>
              <w:numPr>
                <w:ilvl w:val="0"/>
                <w:numId w:val="7"/>
              </w:numPr>
              <w:spacing w:line="300" w:lineRule="exact"/>
              <w:rPr>
                <w:rFonts w:ascii="Arial" w:hAnsi="Arial" w:cs="Arial"/>
                <w:szCs w:val="21"/>
              </w:rPr>
            </w:pPr>
            <w:r>
              <w:rPr>
                <w:rFonts w:ascii="Arial" w:hAnsi="Arial" w:cs="Arial"/>
                <w:szCs w:val="21"/>
              </w:rPr>
              <w:t>错误和遗漏条款</w:t>
            </w:r>
          </w:p>
          <w:p>
            <w:pPr>
              <w:widowControl/>
              <w:numPr>
                <w:ilvl w:val="0"/>
                <w:numId w:val="7"/>
              </w:numPr>
              <w:spacing w:line="300" w:lineRule="exact"/>
              <w:jc w:val="left"/>
              <w:rPr>
                <w:rFonts w:ascii="Arial" w:hAnsi="Arial" w:cs="Arial"/>
                <w:szCs w:val="21"/>
              </w:rPr>
            </w:pPr>
            <w:r>
              <w:rPr>
                <w:rFonts w:ascii="Arial" w:hAnsi="Arial" w:cs="Arial"/>
                <w:szCs w:val="21"/>
              </w:rPr>
              <w:t>额外费用条款（赔偿限额: 总保险金额的10%）</w:t>
            </w:r>
          </w:p>
          <w:p>
            <w:pPr>
              <w:numPr>
                <w:ilvl w:val="0"/>
                <w:numId w:val="7"/>
              </w:numPr>
              <w:spacing w:line="300" w:lineRule="exact"/>
              <w:rPr>
                <w:rFonts w:ascii="Arial" w:hAnsi="Arial" w:cs="Arial"/>
                <w:szCs w:val="21"/>
              </w:rPr>
            </w:pPr>
            <w:r>
              <w:rPr>
                <w:rFonts w:ascii="Arial" w:hAnsi="Arial" w:cs="Arial"/>
                <w:szCs w:val="21"/>
              </w:rPr>
              <w:t>灭火费用扩展条款</w:t>
            </w:r>
          </w:p>
          <w:p>
            <w:pPr>
              <w:numPr>
                <w:ilvl w:val="0"/>
                <w:numId w:val="7"/>
              </w:numPr>
              <w:spacing w:line="300" w:lineRule="exact"/>
              <w:rPr>
                <w:rFonts w:ascii="Arial" w:hAnsi="Arial" w:cs="Arial"/>
                <w:szCs w:val="21"/>
              </w:rPr>
            </w:pPr>
            <w:r>
              <w:rPr>
                <w:rFonts w:ascii="Arial" w:hAnsi="Arial" w:cs="Arial"/>
                <w:szCs w:val="21"/>
              </w:rPr>
              <w:t>预付赔款条款</w:t>
            </w:r>
          </w:p>
          <w:p>
            <w:pPr>
              <w:numPr>
                <w:ilvl w:val="0"/>
                <w:numId w:val="7"/>
              </w:numPr>
              <w:spacing w:line="300" w:lineRule="exact"/>
              <w:rPr>
                <w:rFonts w:ascii="Arial" w:hAnsi="Arial" w:cs="Arial"/>
                <w:szCs w:val="21"/>
              </w:rPr>
            </w:pPr>
            <w:r>
              <w:rPr>
                <w:rFonts w:ascii="Arial" w:hAnsi="Arial" w:cs="Arial"/>
                <w:szCs w:val="21"/>
              </w:rPr>
              <w:t>自动升值扩展条款（限额: 总保险金额的25%）</w:t>
            </w:r>
          </w:p>
          <w:p>
            <w:pPr>
              <w:numPr>
                <w:ilvl w:val="0"/>
                <w:numId w:val="7"/>
              </w:numPr>
              <w:spacing w:line="300" w:lineRule="exact"/>
              <w:rPr>
                <w:rFonts w:ascii="Arial" w:hAnsi="Arial" w:cs="Arial"/>
                <w:szCs w:val="21"/>
              </w:rPr>
            </w:pPr>
            <w:r>
              <w:rPr>
                <w:rFonts w:ascii="Arial" w:hAnsi="Arial" w:cs="Arial"/>
                <w:szCs w:val="21"/>
              </w:rPr>
              <w:t>锅炉及压力容器爆炸扩展条款</w:t>
            </w:r>
          </w:p>
          <w:p>
            <w:pPr>
              <w:numPr>
                <w:ilvl w:val="0"/>
                <w:numId w:val="7"/>
              </w:numPr>
              <w:spacing w:line="300" w:lineRule="exact"/>
              <w:rPr>
                <w:rFonts w:ascii="Arial" w:hAnsi="Arial" w:cs="Arial"/>
                <w:spacing w:val="-2"/>
                <w:szCs w:val="21"/>
              </w:rPr>
            </w:pPr>
            <w:r>
              <w:rPr>
                <w:rFonts w:ascii="Arial" w:hAnsi="Arial" w:cs="Arial"/>
                <w:szCs w:val="21"/>
              </w:rPr>
              <w:t>不受控制条款</w:t>
            </w:r>
          </w:p>
          <w:p>
            <w:pPr>
              <w:numPr>
                <w:ilvl w:val="0"/>
                <w:numId w:val="7"/>
              </w:numPr>
              <w:spacing w:line="300" w:lineRule="exact"/>
              <w:rPr>
                <w:rFonts w:ascii="Arial" w:hAnsi="Arial" w:cs="Arial"/>
                <w:spacing w:val="-2"/>
                <w:szCs w:val="21"/>
              </w:rPr>
            </w:pPr>
            <w:r>
              <w:rPr>
                <w:rFonts w:ascii="Arial" w:hAnsi="Arial" w:cs="Arial"/>
                <w:szCs w:val="21"/>
              </w:rPr>
              <w:t>增加资产扩展条款</w:t>
            </w:r>
            <w:r>
              <w:rPr>
                <w:rFonts w:ascii="Arial" w:hAnsi="Arial" w:cs="Arial"/>
                <w:spacing w:val="-2"/>
                <w:szCs w:val="21"/>
              </w:rPr>
              <w:t>（不超过相关项下类似财产保额的20%）</w:t>
            </w:r>
          </w:p>
          <w:p>
            <w:pPr>
              <w:numPr>
                <w:ilvl w:val="0"/>
                <w:numId w:val="7"/>
              </w:numPr>
              <w:spacing w:line="300" w:lineRule="exact"/>
              <w:rPr>
                <w:rFonts w:ascii="Arial" w:hAnsi="Arial" w:cs="Arial"/>
                <w:szCs w:val="21"/>
              </w:rPr>
            </w:pPr>
            <w:r>
              <w:rPr>
                <w:rFonts w:ascii="Arial" w:hAnsi="Arial" w:cs="Arial"/>
                <w:szCs w:val="21"/>
              </w:rPr>
              <w:t>烟熏扩展条款</w:t>
            </w:r>
          </w:p>
          <w:p>
            <w:pPr>
              <w:numPr>
                <w:ilvl w:val="0"/>
                <w:numId w:val="7"/>
              </w:numPr>
              <w:spacing w:line="300" w:lineRule="exact"/>
              <w:rPr>
                <w:rFonts w:ascii="Arial" w:hAnsi="Arial" w:cs="Arial"/>
                <w:szCs w:val="21"/>
              </w:rPr>
            </w:pPr>
            <w:r>
              <w:rPr>
                <w:rFonts w:ascii="Arial" w:hAnsi="Arial" w:cs="Arial"/>
                <w:szCs w:val="21"/>
              </w:rPr>
              <w:t>地震扩展条款</w:t>
            </w:r>
          </w:p>
          <w:p>
            <w:pPr>
              <w:numPr>
                <w:ilvl w:val="0"/>
                <w:numId w:val="7"/>
              </w:numPr>
              <w:spacing w:line="300" w:lineRule="exact"/>
              <w:rPr>
                <w:rFonts w:ascii="Arial" w:hAnsi="Arial" w:cs="Arial"/>
                <w:szCs w:val="21"/>
              </w:rPr>
            </w:pPr>
            <w:r>
              <w:rPr>
                <w:rFonts w:ascii="Arial" w:hAnsi="Arial" w:cs="Arial"/>
                <w:szCs w:val="21"/>
              </w:rPr>
              <w:t>露天存放及简易建筑内财产扩展条款</w:t>
            </w:r>
            <w:r>
              <w:rPr>
                <w:rFonts w:hint="eastAsia" w:ascii="Arial" w:hAnsi="Arial" w:cs="Arial"/>
                <w:szCs w:val="21"/>
              </w:rPr>
              <w:t>（每次事故赔偿限额RMB100万元）</w:t>
            </w:r>
          </w:p>
          <w:p>
            <w:pPr>
              <w:numPr>
                <w:ilvl w:val="0"/>
                <w:numId w:val="7"/>
              </w:numPr>
              <w:spacing w:line="300" w:lineRule="exact"/>
              <w:rPr>
                <w:rFonts w:ascii="Arial" w:hAnsi="Arial" w:cs="Arial"/>
                <w:szCs w:val="21"/>
              </w:rPr>
            </w:pPr>
            <w:r>
              <w:rPr>
                <w:rFonts w:ascii="Arial" w:hAnsi="Arial" w:cs="Arial"/>
                <w:szCs w:val="21"/>
              </w:rPr>
              <w:t>指定公估人条款（根宁翰保险公估（中国）有限公司 /平量行保险公估（上海）有限公司，及保险合同双方认可的其他有合法执业资格的机构）</w:t>
            </w:r>
          </w:p>
          <w:p>
            <w:pPr>
              <w:numPr>
                <w:ilvl w:val="0"/>
                <w:numId w:val="7"/>
              </w:numPr>
              <w:spacing w:line="300" w:lineRule="exact"/>
              <w:rPr>
                <w:rFonts w:ascii="Arial" w:hAnsi="Arial" w:cs="Arial"/>
                <w:szCs w:val="21"/>
              </w:rPr>
            </w:pPr>
            <w:r>
              <w:rPr>
                <w:rFonts w:ascii="Arial" w:hAnsi="Arial" w:cs="Arial"/>
                <w:szCs w:val="21"/>
              </w:rPr>
              <w:t>自燃扩展条款</w:t>
            </w:r>
          </w:p>
          <w:p>
            <w:pPr>
              <w:numPr>
                <w:ilvl w:val="0"/>
                <w:numId w:val="7"/>
              </w:numPr>
              <w:spacing w:line="300" w:lineRule="exact"/>
              <w:rPr>
                <w:rFonts w:ascii="Arial" w:hAnsi="Arial" w:cs="Arial"/>
                <w:szCs w:val="21"/>
              </w:rPr>
            </w:pPr>
            <w:r>
              <w:rPr>
                <w:rFonts w:ascii="Arial" w:hAnsi="Arial" w:cs="Arial"/>
                <w:szCs w:val="21"/>
              </w:rPr>
              <w:t>手提电脑及照相摄像器材条款</w:t>
            </w:r>
          </w:p>
          <w:p>
            <w:pPr>
              <w:numPr>
                <w:ilvl w:val="0"/>
                <w:numId w:val="7"/>
              </w:numPr>
              <w:spacing w:line="300" w:lineRule="exact"/>
              <w:rPr>
                <w:rFonts w:ascii="Arial" w:hAnsi="Arial" w:cs="Arial"/>
                <w:szCs w:val="21"/>
              </w:rPr>
            </w:pPr>
            <w:r>
              <w:rPr>
                <w:rFonts w:ascii="Arial" w:hAnsi="Arial" w:cs="Arial"/>
                <w:szCs w:val="21"/>
              </w:rPr>
              <w:t>建筑物外部附属设施扩展条款</w:t>
            </w:r>
          </w:p>
          <w:p>
            <w:pPr>
              <w:numPr>
                <w:ilvl w:val="0"/>
                <w:numId w:val="7"/>
              </w:numPr>
              <w:spacing w:line="300" w:lineRule="exact"/>
              <w:rPr>
                <w:rFonts w:ascii="Arial" w:hAnsi="Arial" w:cs="Arial"/>
                <w:szCs w:val="21"/>
              </w:rPr>
            </w:pPr>
            <w:r>
              <w:rPr>
                <w:rFonts w:ascii="Arial" w:hAnsi="Arial" w:cs="Arial"/>
                <w:szCs w:val="21"/>
              </w:rPr>
              <w:t>品牌和商标条款</w:t>
            </w:r>
          </w:p>
          <w:p>
            <w:pPr>
              <w:numPr>
                <w:ilvl w:val="0"/>
                <w:numId w:val="7"/>
              </w:numPr>
              <w:spacing w:line="300" w:lineRule="exact"/>
              <w:rPr>
                <w:rFonts w:ascii="Arial" w:hAnsi="Arial" w:cs="Arial"/>
                <w:szCs w:val="21"/>
              </w:rPr>
            </w:pPr>
            <w:r>
              <w:rPr>
                <w:rFonts w:ascii="Arial" w:hAnsi="Arial" w:cs="Arial"/>
                <w:szCs w:val="21"/>
              </w:rPr>
              <w:t>车辆装载物扩展条款</w:t>
            </w:r>
          </w:p>
          <w:p>
            <w:pPr>
              <w:numPr>
                <w:ilvl w:val="0"/>
                <w:numId w:val="7"/>
              </w:numPr>
              <w:spacing w:line="300" w:lineRule="exact"/>
              <w:rPr>
                <w:rFonts w:ascii="Arial" w:hAnsi="Arial" w:cs="Arial"/>
                <w:szCs w:val="21"/>
              </w:rPr>
            </w:pPr>
            <w:r>
              <w:rPr>
                <w:rFonts w:ascii="Arial" w:hAnsi="Arial" w:cs="Arial"/>
                <w:szCs w:val="21"/>
              </w:rPr>
              <w:t>放弃代位追偿扩展条款</w:t>
            </w:r>
          </w:p>
          <w:p>
            <w:pPr>
              <w:numPr>
                <w:ilvl w:val="0"/>
                <w:numId w:val="7"/>
              </w:numPr>
              <w:spacing w:line="300" w:lineRule="exact"/>
              <w:rPr>
                <w:rFonts w:ascii="Arial" w:hAnsi="Arial" w:cs="Arial"/>
                <w:szCs w:val="21"/>
              </w:rPr>
            </w:pPr>
            <w:r>
              <w:rPr>
                <w:rFonts w:ascii="Arial" w:hAnsi="Arial" w:cs="Arial"/>
                <w:szCs w:val="21"/>
              </w:rPr>
              <w:t>索赔准备费用条款（每次事故及累计赔偿限额RMB10,000,000.00）</w:t>
            </w:r>
          </w:p>
          <w:p>
            <w:pPr>
              <w:numPr>
                <w:ilvl w:val="0"/>
                <w:numId w:val="7"/>
              </w:numPr>
              <w:spacing w:line="300" w:lineRule="exact"/>
              <w:rPr>
                <w:rFonts w:ascii="Arial" w:hAnsi="Arial" w:cs="Arial"/>
                <w:szCs w:val="21"/>
              </w:rPr>
            </w:pPr>
            <w:r>
              <w:rPr>
                <w:rFonts w:ascii="Arial" w:hAnsi="Arial" w:cs="Arial"/>
                <w:szCs w:val="21"/>
              </w:rPr>
              <w:t>不予失效条款</w:t>
            </w:r>
          </w:p>
          <w:p>
            <w:pPr>
              <w:numPr>
                <w:ilvl w:val="0"/>
                <w:numId w:val="7"/>
              </w:numPr>
              <w:spacing w:line="300" w:lineRule="exact"/>
              <w:rPr>
                <w:rFonts w:ascii="Arial" w:hAnsi="Arial" w:cs="Arial"/>
                <w:szCs w:val="21"/>
              </w:rPr>
            </w:pPr>
            <w:r>
              <w:rPr>
                <w:rFonts w:ascii="Arial" w:hAnsi="Arial" w:cs="Arial"/>
                <w:szCs w:val="21"/>
              </w:rPr>
              <w:t>违反条件条款</w:t>
            </w:r>
          </w:p>
          <w:p>
            <w:pPr>
              <w:numPr>
                <w:ilvl w:val="0"/>
                <w:numId w:val="7"/>
              </w:numPr>
              <w:spacing w:line="300" w:lineRule="exact"/>
              <w:rPr>
                <w:rFonts w:ascii="Arial" w:hAnsi="Arial" w:cs="Arial"/>
                <w:szCs w:val="21"/>
              </w:rPr>
            </w:pPr>
            <w:r>
              <w:rPr>
                <w:rFonts w:ascii="Arial" w:hAnsi="Arial" w:cs="Arial"/>
                <w:szCs w:val="21"/>
              </w:rPr>
              <w:t>重新安装费用条款</w:t>
            </w:r>
          </w:p>
          <w:p>
            <w:pPr>
              <w:numPr>
                <w:ilvl w:val="0"/>
                <w:numId w:val="7"/>
              </w:numPr>
              <w:spacing w:line="300" w:lineRule="exact"/>
              <w:rPr>
                <w:rFonts w:ascii="Arial" w:hAnsi="Arial" w:cs="Arial"/>
                <w:szCs w:val="21"/>
              </w:rPr>
            </w:pPr>
            <w:r>
              <w:rPr>
                <w:rFonts w:ascii="Arial" w:hAnsi="Arial" w:cs="Arial"/>
                <w:szCs w:val="21"/>
              </w:rPr>
              <w:t>账目分类条款</w:t>
            </w:r>
          </w:p>
          <w:p>
            <w:pPr>
              <w:numPr>
                <w:ilvl w:val="0"/>
                <w:numId w:val="7"/>
              </w:numPr>
              <w:spacing w:line="300" w:lineRule="exact"/>
              <w:rPr>
                <w:rFonts w:ascii="Arial" w:hAnsi="Arial" w:cs="Arial"/>
                <w:szCs w:val="21"/>
              </w:rPr>
            </w:pPr>
            <w:r>
              <w:rPr>
                <w:rFonts w:ascii="Arial" w:hAnsi="Arial" w:cs="Arial"/>
                <w:szCs w:val="21"/>
              </w:rPr>
              <w:t>损失通知条款</w:t>
            </w:r>
          </w:p>
          <w:p>
            <w:pPr>
              <w:numPr>
                <w:ilvl w:val="0"/>
                <w:numId w:val="7"/>
              </w:numPr>
              <w:spacing w:line="300" w:lineRule="exact"/>
              <w:rPr>
                <w:rFonts w:ascii="Arial" w:hAnsi="Arial" w:cs="Arial"/>
                <w:szCs w:val="21"/>
              </w:rPr>
            </w:pPr>
            <w:r>
              <w:rPr>
                <w:rFonts w:ascii="Arial" w:hAnsi="Arial" w:cs="Arial"/>
                <w:szCs w:val="21"/>
              </w:rPr>
              <w:t>临时保护措施扩展条款（赔偿限额: 总保险金额的10%）</w:t>
            </w:r>
          </w:p>
          <w:p>
            <w:pPr>
              <w:widowControl/>
              <w:numPr>
                <w:ilvl w:val="0"/>
                <w:numId w:val="7"/>
              </w:numPr>
              <w:spacing w:line="300" w:lineRule="exact"/>
              <w:jc w:val="left"/>
              <w:rPr>
                <w:rFonts w:ascii="Arial" w:hAnsi="Arial" w:cs="Arial"/>
                <w:color w:val="000000"/>
                <w:szCs w:val="21"/>
              </w:rPr>
            </w:pPr>
            <w:r>
              <w:rPr>
                <w:rFonts w:ascii="Arial" w:hAnsi="Arial" w:cs="Arial"/>
                <w:color w:val="000000"/>
                <w:szCs w:val="21"/>
              </w:rPr>
              <w:t>盗窃险扩展条款</w:t>
            </w:r>
          </w:p>
          <w:p>
            <w:pPr>
              <w:numPr>
                <w:ilvl w:val="0"/>
                <w:numId w:val="7"/>
              </w:numPr>
              <w:spacing w:line="300" w:lineRule="exact"/>
              <w:rPr>
                <w:rFonts w:ascii="Arial" w:hAnsi="Arial" w:cs="Arial"/>
                <w:szCs w:val="21"/>
              </w:rPr>
            </w:pPr>
            <w:r>
              <w:rPr>
                <w:rFonts w:ascii="Arial" w:hAnsi="Arial" w:cs="Arial"/>
                <w:szCs w:val="21"/>
              </w:rPr>
              <w:t>承保全部盗窃条款</w:t>
            </w:r>
          </w:p>
          <w:p>
            <w:pPr>
              <w:numPr>
                <w:ilvl w:val="0"/>
                <w:numId w:val="7"/>
              </w:numPr>
              <w:spacing w:line="300" w:lineRule="exact"/>
              <w:rPr>
                <w:rFonts w:ascii="Arial" w:hAnsi="Arial" w:cs="Arial"/>
                <w:szCs w:val="21"/>
              </w:rPr>
            </w:pPr>
            <w:r>
              <w:rPr>
                <w:rFonts w:ascii="Arial" w:hAnsi="Arial" w:cs="Arial"/>
                <w:szCs w:val="21"/>
              </w:rPr>
              <w:t>成对或成套设备条款</w:t>
            </w:r>
          </w:p>
          <w:p>
            <w:pPr>
              <w:numPr>
                <w:ilvl w:val="0"/>
                <w:numId w:val="7"/>
              </w:numPr>
              <w:spacing w:line="300" w:lineRule="exact"/>
              <w:rPr>
                <w:rFonts w:ascii="Arial" w:hAnsi="Arial" w:cs="Arial"/>
                <w:szCs w:val="21"/>
              </w:rPr>
            </w:pPr>
            <w:r>
              <w:rPr>
                <w:rFonts w:ascii="Arial" w:hAnsi="Arial" w:cs="Arial"/>
                <w:szCs w:val="21"/>
              </w:rPr>
              <w:t>虫蛀、鼠咬损失扩展条款</w:t>
            </w:r>
          </w:p>
          <w:p>
            <w:pPr>
              <w:widowControl/>
              <w:numPr>
                <w:ilvl w:val="0"/>
                <w:numId w:val="7"/>
              </w:numPr>
              <w:spacing w:line="300" w:lineRule="exact"/>
              <w:jc w:val="left"/>
              <w:rPr>
                <w:rFonts w:ascii="Arial" w:hAnsi="Arial" w:cs="Arial"/>
                <w:szCs w:val="21"/>
              </w:rPr>
            </w:pPr>
            <w:r>
              <w:rPr>
                <w:rFonts w:ascii="Arial" w:hAnsi="Arial" w:cs="Arial"/>
                <w:szCs w:val="21"/>
              </w:rPr>
              <w:t>公用设施故障条款</w:t>
            </w:r>
          </w:p>
          <w:p>
            <w:pPr>
              <w:widowControl/>
              <w:numPr>
                <w:ilvl w:val="0"/>
                <w:numId w:val="7"/>
              </w:numPr>
              <w:spacing w:line="300" w:lineRule="exact"/>
              <w:jc w:val="left"/>
              <w:rPr>
                <w:rFonts w:ascii="Arial" w:hAnsi="Arial" w:cs="Arial"/>
                <w:szCs w:val="21"/>
              </w:rPr>
            </w:pPr>
            <w:r>
              <w:rPr>
                <w:rFonts w:ascii="Arial" w:hAnsi="Arial" w:cs="Arial"/>
                <w:szCs w:val="21"/>
              </w:rPr>
              <w:t>霉变条款</w:t>
            </w:r>
          </w:p>
          <w:p>
            <w:pPr>
              <w:widowControl/>
              <w:numPr>
                <w:ilvl w:val="0"/>
                <w:numId w:val="7"/>
              </w:numPr>
              <w:spacing w:line="300" w:lineRule="exact"/>
              <w:jc w:val="left"/>
              <w:rPr>
                <w:rFonts w:ascii="Arial" w:hAnsi="Arial" w:cs="Arial"/>
                <w:szCs w:val="21"/>
              </w:rPr>
            </w:pPr>
            <w:r>
              <w:rPr>
                <w:rFonts w:ascii="Arial" w:hAnsi="Arial" w:cs="Arial"/>
                <w:szCs w:val="21"/>
              </w:rPr>
              <w:t>厂区间临时移动扩展条款</w:t>
            </w:r>
          </w:p>
          <w:p>
            <w:pPr>
              <w:numPr>
                <w:ilvl w:val="0"/>
                <w:numId w:val="7"/>
              </w:numPr>
              <w:spacing w:line="300" w:lineRule="exact"/>
              <w:rPr>
                <w:rFonts w:ascii="Arial" w:hAnsi="Arial" w:cs="Arial"/>
                <w:szCs w:val="21"/>
              </w:rPr>
            </w:pPr>
            <w:r>
              <w:rPr>
                <w:rFonts w:ascii="Arial" w:hAnsi="Arial" w:cs="Arial"/>
                <w:szCs w:val="21"/>
              </w:rPr>
              <w:t>被看护、保管和管理财产条款</w:t>
            </w:r>
          </w:p>
          <w:p>
            <w:pPr>
              <w:numPr>
                <w:ilvl w:val="0"/>
                <w:numId w:val="7"/>
              </w:numPr>
              <w:spacing w:line="300" w:lineRule="exact"/>
              <w:rPr>
                <w:rFonts w:ascii="Arial" w:hAnsi="Arial" w:cs="Arial"/>
                <w:szCs w:val="21"/>
              </w:rPr>
            </w:pPr>
            <w:r>
              <w:rPr>
                <w:rFonts w:ascii="Arial" w:hAnsi="Arial" w:cs="Arial"/>
                <w:szCs w:val="21"/>
              </w:rPr>
              <w:t>媒介物扩展条款</w:t>
            </w:r>
          </w:p>
          <w:p>
            <w:pPr>
              <w:numPr>
                <w:ilvl w:val="0"/>
                <w:numId w:val="7"/>
              </w:numPr>
              <w:spacing w:line="300" w:lineRule="exact"/>
              <w:rPr>
                <w:rFonts w:ascii="Arial" w:hAnsi="Arial" w:cs="Arial"/>
                <w:szCs w:val="21"/>
              </w:rPr>
            </w:pPr>
            <w:r>
              <w:rPr>
                <w:rFonts w:ascii="Arial" w:hAnsi="Arial" w:cs="Arial"/>
                <w:szCs w:val="21"/>
              </w:rPr>
              <w:t>合同价格扩展条款</w:t>
            </w:r>
          </w:p>
          <w:p>
            <w:pPr>
              <w:numPr>
                <w:ilvl w:val="0"/>
                <w:numId w:val="7"/>
              </w:numPr>
              <w:spacing w:line="300" w:lineRule="exact"/>
              <w:rPr>
                <w:rFonts w:ascii="Arial" w:hAnsi="Arial" w:cs="Arial"/>
                <w:szCs w:val="21"/>
              </w:rPr>
            </w:pPr>
            <w:r>
              <w:rPr>
                <w:rFonts w:ascii="Arial" w:hAnsi="Arial" w:cs="Arial"/>
                <w:szCs w:val="21"/>
              </w:rPr>
              <w:t>放弃比例分摊扩展条款</w:t>
            </w:r>
          </w:p>
          <w:p>
            <w:pPr>
              <w:numPr>
                <w:ilvl w:val="0"/>
                <w:numId w:val="7"/>
              </w:numPr>
              <w:spacing w:line="300" w:lineRule="exact"/>
              <w:rPr>
                <w:rFonts w:ascii="Arial" w:hAnsi="Arial" w:cs="Arial"/>
                <w:szCs w:val="21"/>
              </w:rPr>
            </w:pPr>
            <w:r>
              <w:rPr>
                <w:rFonts w:ascii="Arial" w:hAnsi="Arial" w:cs="Arial"/>
                <w:szCs w:val="21"/>
              </w:rPr>
              <w:t>索赔单据条款</w:t>
            </w:r>
          </w:p>
          <w:p>
            <w:pPr>
              <w:numPr>
                <w:ilvl w:val="0"/>
                <w:numId w:val="7"/>
              </w:numPr>
              <w:spacing w:line="300" w:lineRule="exact"/>
              <w:rPr>
                <w:rFonts w:ascii="Arial" w:hAnsi="Arial" w:cs="Arial"/>
                <w:szCs w:val="21"/>
              </w:rPr>
            </w:pPr>
            <w:r>
              <w:rPr>
                <w:rFonts w:ascii="Arial" w:hAnsi="Arial" w:cs="Arial"/>
                <w:szCs w:val="21"/>
              </w:rPr>
              <w:t>草木特约条款</w:t>
            </w:r>
          </w:p>
          <w:p>
            <w:pPr>
              <w:widowControl/>
              <w:numPr>
                <w:ilvl w:val="0"/>
                <w:numId w:val="7"/>
              </w:numPr>
              <w:spacing w:line="300" w:lineRule="exact"/>
              <w:jc w:val="left"/>
              <w:rPr>
                <w:rFonts w:ascii="Arial" w:hAnsi="Arial" w:cs="Arial"/>
                <w:szCs w:val="21"/>
              </w:rPr>
            </w:pPr>
            <w:r>
              <w:rPr>
                <w:rFonts w:ascii="Arial" w:hAnsi="Arial" w:cs="Arial"/>
                <w:szCs w:val="21"/>
              </w:rPr>
              <w:t>抢险施救条款</w:t>
            </w:r>
          </w:p>
          <w:p>
            <w:pPr>
              <w:numPr>
                <w:ilvl w:val="0"/>
                <w:numId w:val="7"/>
              </w:numPr>
              <w:spacing w:line="300" w:lineRule="exact"/>
              <w:rPr>
                <w:rFonts w:ascii="Arial" w:hAnsi="Arial" w:cs="Arial"/>
                <w:szCs w:val="21"/>
              </w:rPr>
            </w:pPr>
            <w:r>
              <w:rPr>
                <w:rFonts w:ascii="Arial" w:hAnsi="Arial" w:cs="Arial"/>
                <w:szCs w:val="21"/>
              </w:rPr>
              <w:t>消防队灭火费用扩展条款</w:t>
            </w:r>
          </w:p>
          <w:p>
            <w:pPr>
              <w:numPr>
                <w:ilvl w:val="0"/>
                <w:numId w:val="7"/>
              </w:numPr>
              <w:spacing w:line="300" w:lineRule="exact"/>
              <w:rPr>
                <w:rFonts w:ascii="Arial" w:hAnsi="Arial" w:cs="Arial"/>
                <w:szCs w:val="21"/>
              </w:rPr>
            </w:pPr>
            <w:r>
              <w:rPr>
                <w:rFonts w:ascii="Arial" w:hAnsi="Arial" w:cs="Arial"/>
                <w:szCs w:val="21"/>
              </w:rPr>
              <w:t>施救费用条款</w:t>
            </w:r>
          </w:p>
          <w:p>
            <w:pPr>
              <w:widowControl/>
              <w:numPr>
                <w:ilvl w:val="0"/>
                <w:numId w:val="7"/>
              </w:numPr>
              <w:spacing w:line="300" w:lineRule="exact"/>
              <w:jc w:val="left"/>
              <w:rPr>
                <w:rFonts w:ascii="Arial" w:hAnsi="Arial" w:cs="Arial"/>
                <w:szCs w:val="21"/>
              </w:rPr>
            </w:pPr>
            <w:r>
              <w:rPr>
                <w:rFonts w:ascii="Arial" w:hAnsi="Arial" w:cs="Arial"/>
                <w:szCs w:val="21"/>
              </w:rPr>
              <w:t>内陆运输扩展条款（仅限被保险人所在市范围内，并不适用于销售目的的运输，限额：每一运输工具每次RMB500,000.00）</w:t>
            </w:r>
          </w:p>
          <w:p>
            <w:pPr>
              <w:widowControl/>
              <w:numPr>
                <w:ilvl w:val="0"/>
                <w:numId w:val="7"/>
              </w:numPr>
              <w:spacing w:line="300" w:lineRule="exact"/>
              <w:jc w:val="left"/>
              <w:rPr>
                <w:rFonts w:ascii="Arial" w:hAnsi="Arial" w:cs="Arial"/>
                <w:szCs w:val="21"/>
              </w:rPr>
            </w:pPr>
            <w:r>
              <w:rPr>
                <w:rFonts w:ascii="Arial" w:hAnsi="Arial" w:cs="Arial"/>
                <w:szCs w:val="21"/>
              </w:rPr>
              <w:t>建筑物未受损部分额外费用扩展条款</w:t>
            </w:r>
          </w:p>
          <w:p>
            <w:pPr>
              <w:numPr>
                <w:ilvl w:val="0"/>
                <w:numId w:val="7"/>
              </w:numPr>
              <w:spacing w:line="300" w:lineRule="exact"/>
              <w:rPr>
                <w:rFonts w:ascii="Arial" w:hAnsi="Arial" w:cs="Arial"/>
                <w:szCs w:val="21"/>
              </w:rPr>
            </w:pPr>
            <w:r>
              <w:rPr>
                <w:rFonts w:ascii="Arial" w:hAnsi="Arial" w:cs="Arial"/>
                <w:szCs w:val="21"/>
              </w:rPr>
              <w:t>税项条款</w:t>
            </w:r>
          </w:p>
          <w:p>
            <w:pPr>
              <w:numPr>
                <w:ilvl w:val="0"/>
                <w:numId w:val="7"/>
              </w:numPr>
              <w:spacing w:line="300" w:lineRule="exact"/>
              <w:rPr>
                <w:rFonts w:ascii="Arial" w:hAnsi="Arial" w:cs="Arial"/>
                <w:szCs w:val="21"/>
              </w:rPr>
            </w:pPr>
            <w:r>
              <w:rPr>
                <w:rFonts w:ascii="Arial" w:hAnsi="Arial" w:cs="Arial"/>
                <w:szCs w:val="21"/>
              </w:rPr>
              <w:t>装卸及吊装保险条款</w:t>
            </w:r>
          </w:p>
          <w:p>
            <w:pPr>
              <w:widowControl/>
              <w:numPr>
                <w:ilvl w:val="0"/>
                <w:numId w:val="7"/>
              </w:numPr>
              <w:spacing w:line="300" w:lineRule="exact"/>
              <w:jc w:val="left"/>
              <w:rPr>
                <w:rFonts w:ascii="Arial" w:hAnsi="Arial" w:cs="Arial"/>
                <w:szCs w:val="21"/>
              </w:rPr>
            </w:pPr>
            <w:r>
              <w:rPr>
                <w:rFonts w:ascii="Arial" w:hAnsi="Arial" w:cs="Arial"/>
                <w:szCs w:val="21"/>
              </w:rPr>
              <w:t>资产确定条款</w:t>
            </w:r>
          </w:p>
          <w:p>
            <w:pPr>
              <w:widowControl/>
              <w:numPr>
                <w:ilvl w:val="0"/>
                <w:numId w:val="7"/>
              </w:numPr>
              <w:spacing w:line="300" w:lineRule="exact"/>
              <w:jc w:val="left"/>
              <w:rPr>
                <w:rFonts w:ascii="Arial" w:hAnsi="Arial" w:cs="Arial"/>
                <w:szCs w:val="21"/>
              </w:rPr>
            </w:pPr>
            <w:r>
              <w:rPr>
                <w:rFonts w:ascii="Arial" w:hAnsi="Arial" w:cs="Arial"/>
                <w:szCs w:val="21"/>
              </w:rPr>
              <w:t>委托加工扩展条款</w:t>
            </w:r>
          </w:p>
          <w:p>
            <w:pPr>
              <w:widowControl/>
              <w:numPr>
                <w:ilvl w:val="0"/>
                <w:numId w:val="7"/>
              </w:numPr>
              <w:spacing w:line="300" w:lineRule="exact"/>
              <w:jc w:val="left"/>
              <w:rPr>
                <w:rFonts w:ascii="Arial" w:hAnsi="Arial" w:cs="Arial"/>
                <w:szCs w:val="21"/>
              </w:rPr>
            </w:pPr>
            <w:r>
              <w:rPr>
                <w:rFonts w:ascii="Arial" w:hAnsi="Arial" w:cs="Arial"/>
                <w:szCs w:val="21"/>
              </w:rPr>
              <w:t>优先使用原供应商条款</w:t>
            </w:r>
          </w:p>
          <w:p>
            <w:pPr>
              <w:widowControl/>
              <w:numPr>
                <w:ilvl w:val="0"/>
                <w:numId w:val="7"/>
              </w:numPr>
              <w:spacing w:line="300" w:lineRule="exact"/>
              <w:jc w:val="left"/>
              <w:rPr>
                <w:rFonts w:ascii="Arial" w:hAnsi="Arial" w:cs="Arial"/>
                <w:szCs w:val="21"/>
              </w:rPr>
            </w:pPr>
            <w:r>
              <w:rPr>
                <w:rFonts w:ascii="Arial" w:hAnsi="Arial" w:cs="Arial"/>
                <w:szCs w:val="21"/>
              </w:rPr>
              <w:t>承保新地址与未指明仓储地址条款</w:t>
            </w:r>
          </w:p>
          <w:p>
            <w:pPr>
              <w:widowControl/>
              <w:numPr>
                <w:ilvl w:val="0"/>
                <w:numId w:val="7"/>
              </w:numPr>
              <w:spacing w:line="300" w:lineRule="exact"/>
              <w:jc w:val="left"/>
              <w:rPr>
                <w:rFonts w:ascii="Arial" w:hAnsi="Arial" w:cs="Arial"/>
                <w:szCs w:val="21"/>
              </w:rPr>
            </w:pPr>
            <w:r>
              <w:rPr>
                <w:rFonts w:ascii="Arial" w:hAnsi="Arial" w:cs="Arial"/>
                <w:szCs w:val="21"/>
              </w:rPr>
              <w:t>计算机及其附属设备扩展条款</w:t>
            </w:r>
          </w:p>
          <w:p>
            <w:pPr>
              <w:widowControl/>
              <w:numPr>
                <w:ilvl w:val="0"/>
                <w:numId w:val="7"/>
              </w:numPr>
              <w:spacing w:line="300" w:lineRule="exact"/>
              <w:jc w:val="left"/>
              <w:rPr>
                <w:rFonts w:ascii="Arial" w:hAnsi="Arial" w:cs="Arial"/>
                <w:szCs w:val="21"/>
              </w:rPr>
            </w:pPr>
            <w:r>
              <w:rPr>
                <w:rFonts w:ascii="Arial" w:hAnsi="Arial" w:cs="Arial"/>
                <w:szCs w:val="21"/>
              </w:rPr>
              <w:t>检修扩展条款</w:t>
            </w:r>
          </w:p>
          <w:p>
            <w:pPr>
              <w:widowControl/>
              <w:numPr>
                <w:ilvl w:val="0"/>
                <w:numId w:val="7"/>
              </w:numPr>
              <w:spacing w:line="300" w:lineRule="exact"/>
              <w:jc w:val="left"/>
              <w:rPr>
                <w:rFonts w:ascii="Arial" w:hAnsi="Arial" w:cs="Arial"/>
                <w:szCs w:val="21"/>
              </w:rPr>
            </w:pPr>
            <w:r>
              <w:rPr>
                <w:rFonts w:ascii="Arial" w:hAnsi="Arial" w:cs="Arial"/>
                <w:szCs w:val="21"/>
              </w:rPr>
              <w:t>空运费扩展条款</w:t>
            </w:r>
          </w:p>
          <w:p>
            <w:pPr>
              <w:widowControl/>
              <w:numPr>
                <w:ilvl w:val="0"/>
                <w:numId w:val="7"/>
              </w:numPr>
              <w:spacing w:line="300" w:lineRule="exact"/>
              <w:jc w:val="left"/>
              <w:rPr>
                <w:rFonts w:ascii="Arial" w:hAnsi="Arial" w:cs="Arial"/>
                <w:szCs w:val="21"/>
              </w:rPr>
            </w:pPr>
            <w:r>
              <w:rPr>
                <w:rFonts w:ascii="Arial" w:hAnsi="Arial" w:cs="Arial"/>
                <w:szCs w:val="21"/>
              </w:rPr>
              <w:t>恐怖活动扩展条款（限额：财一利损共用，为保额的70%，且不超过</w:t>
            </w:r>
            <w:r>
              <w:rPr>
                <w:rFonts w:hint="eastAsia" w:ascii="Arial" w:hAnsi="Arial" w:cs="Arial"/>
                <w:szCs w:val="21"/>
              </w:rPr>
              <w:t>RMB</w:t>
            </w:r>
            <w:r>
              <w:rPr>
                <w:rFonts w:ascii="Arial" w:hAnsi="Arial" w:cs="Arial"/>
                <w:szCs w:val="21"/>
              </w:rPr>
              <w:t>5亿；免赔RMB100,000.00</w:t>
            </w:r>
            <w:bookmarkStart w:id="0" w:name="_Hlk522026502"/>
            <w:r>
              <w:rPr>
                <w:rFonts w:hint="eastAsia" w:ascii="Arial" w:hAnsi="Arial" w:cs="Arial"/>
                <w:szCs w:val="21"/>
              </w:rPr>
              <w:t>每次事故</w:t>
            </w:r>
            <w:bookmarkEnd w:id="0"/>
            <w:r>
              <w:rPr>
                <w:rFonts w:ascii="Arial" w:hAnsi="Arial" w:cs="Arial"/>
                <w:szCs w:val="21"/>
              </w:rPr>
              <w:t>）</w:t>
            </w:r>
          </w:p>
          <w:p>
            <w:pPr>
              <w:widowControl/>
              <w:numPr>
                <w:ilvl w:val="0"/>
                <w:numId w:val="7"/>
              </w:numPr>
              <w:spacing w:line="300" w:lineRule="exact"/>
              <w:jc w:val="left"/>
              <w:rPr>
                <w:rFonts w:ascii="Arial" w:hAnsi="Arial" w:cs="Arial"/>
                <w:szCs w:val="21"/>
              </w:rPr>
            </w:pPr>
            <w:r>
              <w:rPr>
                <w:rFonts w:ascii="Arial" w:hAnsi="Arial" w:cs="Arial"/>
                <w:szCs w:val="21"/>
              </w:rPr>
              <w:t>玻璃破碎条款</w:t>
            </w:r>
          </w:p>
          <w:p>
            <w:pPr>
              <w:widowControl/>
              <w:numPr>
                <w:ilvl w:val="0"/>
                <w:numId w:val="7"/>
              </w:numPr>
              <w:spacing w:line="300" w:lineRule="exact"/>
              <w:jc w:val="left"/>
              <w:rPr>
                <w:rFonts w:ascii="Arial" w:hAnsi="Arial" w:cs="Arial"/>
                <w:szCs w:val="21"/>
              </w:rPr>
            </w:pPr>
            <w:r>
              <w:rPr>
                <w:rFonts w:ascii="Arial" w:hAnsi="Arial" w:cs="Arial"/>
                <w:szCs w:val="21"/>
              </w:rPr>
              <w:t>车上货物条款</w:t>
            </w:r>
          </w:p>
          <w:p>
            <w:pPr>
              <w:widowControl/>
              <w:numPr>
                <w:ilvl w:val="0"/>
                <w:numId w:val="7"/>
              </w:numPr>
              <w:spacing w:line="300" w:lineRule="exact"/>
              <w:jc w:val="left"/>
              <w:rPr>
                <w:rFonts w:ascii="Arial" w:hAnsi="Arial" w:cs="Arial"/>
                <w:szCs w:val="21"/>
              </w:rPr>
            </w:pPr>
            <w:r>
              <w:rPr>
                <w:rFonts w:ascii="Arial" w:hAnsi="Arial" w:cs="Arial"/>
                <w:szCs w:val="21"/>
              </w:rPr>
              <w:t>紧急抢修条款</w:t>
            </w:r>
          </w:p>
          <w:p>
            <w:pPr>
              <w:widowControl/>
              <w:numPr>
                <w:ilvl w:val="0"/>
                <w:numId w:val="7"/>
              </w:numPr>
              <w:spacing w:line="300" w:lineRule="exact"/>
              <w:jc w:val="left"/>
              <w:rPr>
                <w:rFonts w:ascii="Arial" w:hAnsi="Arial" w:cs="Arial"/>
                <w:szCs w:val="21"/>
              </w:rPr>
            </w:pPr>
            <w:r>
              <w:rPr>
                <w:rFonts w:ascii="Arial" w:hAnsi="Arial" w:cs="Arial"/>
                <w:szCs w:val="21"/>
              </w:rPr>
              <w:t>“污闪”损失扩展条款</w:t>
            </w:r>
          </w:p>
          <w:p>
            <w:pPr>
              <w:widowControl/>
              <w:numPr>
                <w:ilvl w:val="0"/>
                <w:numId w:val="7"/>
              </w:numPr>
              <w:spacing w:line="300" w:lineRule="exact"/>
              <w:jc w:val="left"/>
              <w:rPr>
                <w:rFonts w:ascii="Arial" w:hAnsi="Arial" w:cs="Arial"/>
                <w:szCs w:val="21"/>
              </w:rPr>
            </w:pPr>
            <w:r>
              <w:rPr>
                <w:rFonts w:ascii="Arial" w:hAnsi="Arial" w:cs="Arial"/>
                <w:szCs w:val="21"/>
              </w:rPr>
              <w:t>弃权和禁止发言条款</w:t>
            </w:r>
          </w:p>
          <w:p>
            <w:pPr>
              <w:widowControl/>
              <w:numPr>
                <w:ilvl w:val="0"/>
                <w:numId w:val="7"/>
              </w:numPr>
              <w:spacing w:line="300" w:lineRule="exact"/>
              <w:jc w:val="left"/>
              <w:rPr>
                <w:rFonts w:ascii="Arial" w:hAnsi="Arial" w:cs="Arial"/>
                <w:szCs w:val="21"/>
              </w:rPr>
            </w:pPr>
            <w:r>
              <w:rPr>
                <w:rFonts w:ascii="Arial" w:hAnsi="Arial" w:cs="Arial"/>
                <w:szCs w:val="21"/>
              </w:rPr>
              <w:t>免检条款</w:t>
            </w:r>
          </w:p>
          <w:p>
            <w:pPr>
              <w:widowControl/>
              <w:numPr>
                <w:ilvl w:val="0"/>
                <w:numId w:val="7"/>
              </w:numPr>
              <w:spacing w:line="300" w:lineRule="exact"/>
              <w:jc w:val="left"/>
              <w:rPr>
                <w:rFonts w:ascii="Arial" w:hAnsi="Arial" w:cs="Arial"/>
                <w:szCs w:val="21"/>
              </w:rPr>
            </w:pPr>
            <w:r>
              <w:rPr>
                <w:rFonts w:ascii="Arial" w:hAnsi="Arial" w:cs="Arial"/>
                <w:szCs w:val="21"/>
              </w:rPr>
              <w:t>导线“舞动”损失扩展条款</w:t>
            </w:r>
          </w:p>
          <w:p>
            <w:pPr>
              <w:widowControl/>
              <w:numPr>
                <w:ilvl w:val="0"/>
                <w:numId w:val="7"/>
              </w:numPr>
              <w:spacing w:line="300" w:lineRule="exact"/>
              <w:jc w:val="left"/>
              <w:rPr>
                <w:rFonts w:ascii="Arial" w:hAnsi="Arial" w:cs="Arial"/>
                <w:szCs w:val="21"/>
              </w:rPr>
            </w:pPr>
            <w:r>
              <w:rPr>
                <w:rFonts w:ascii="Arial" w:hAnsi="Arial" w:cs="Arial"/>
                <w:szCs w:val="21"/>
              </w:rPr>
              <w:t>财产流动条款（存货及机械设备）</w:t>
            </w:r>
          </w:p>
          <w:p>
            <w:pPr>
              <w:widowControl/>
              <w:numPr>
                <w:ilvl w:val="0"/>
                <w:numId w:val="7"/>
              </w:numPr>
              <w:spacing w:line="300" w:lineRule="exact"/>
              <w:jc w:val="left"/>
              <w:rPr>
                <w:rFonts w:ascii="Arial" w:hAnsi="Arial" w:cs="Arial"/>
                <w:szCs w:val="21"/>
              </w:rPr>
            </w:pPr>
            <w:r>
              <w:rPr>
                <w:rFonts w:ascii="Arial" w:hAnsi="Arial" w:cs="Arial"/>
                <w:szCs w:val="21"/>
              </w:rPr>
              <w:t>碰撞扩展条款</w:t>
            </w:r>
          </w:p>
          <w:p>
            <w:pPr>
              <w:widowControl/>
              <w:numPr>
                <w:ilvl w:val="0"/>
                <w:numId w:val="7"/>
              </w:numPr>
              <w:spacing w:line="300" w:lineRule="exact"/>
              <w:jc w:val="left"/>
              <w:rPr>
                <w:rFonts w:ascii="Arial" w:hAnsi="Arial" w:cs="Arial"/>
                <w:szCs w:val="21"/>
              </w:rPr>
            </w:pPr>
            <w:r>
              <w:rPr>
                <w:rFonts w:ascii="Arial" w:hAnsi="Arial" w:cs="Arial"/>
                <w:szCs w:val="21"/>
              </w:rPr>
              <w:t>抵押权人条款</w:t>
            </w:r>
          </w:p>
          <w:p>
            <w:pPr>
              <w:widowControl/>
              <w:numPr>
                <w:ilvl w:val="0"/>
                <w:numId w:val="7"/>
              </w:numPr>
              <w:spacing w:line="300" w:lineRule="exact"/>
              <w:jc w:val="left"/>
              <w:rPr>
                <w:rFonts w:ascii="Arial" w:hAnsi="Arial" w:cs="Arial"/>
                <w:szCs w:val="21"/>
              </w:rPr>
            </w:pPr>
            <w:r>
              <w:rPr>
                <w:rFonts w:ascii="Arial" w:hAnsi="Arial" w:cs="Arial"/>
                <w:szCs w:val="21"/>
              </w:rPr>
              <w:t>地域调整特别条款</w:t>
            </w:r>
          </w:p>
          <w:p>
            <w:pPr>
              <w:widowControl/>
              <w:numPr>
                <w:ilvl w:val="0"/>
                <w:numId w:val="7"/>
              </w:numPr>
              <w:spacing w:line="300" w:lineRule="exact"/>
              <w:jc w:val="left"/>
              <w:rPr>
                <w:rFonts w:ascii="Arial" w:hAnsi="Arial" w:cs="Arial"/>
                <w:szCs w:val="21"/>
              </w:rPr>
            </w:pPr>
            <w:r>
              <w:rPr>
                <w:rFonts w:ascii="Arial" w:hAnsi="Arial" w:cs="Arial"/>
                <w:szCs w:val="21"/>
              </w:rPr>
              <w:t xml:space="preserve">清理排水道费用条款（限额：损失金额的10％） </w:t>
            </w:r>
          </w:p>
          <w:p>
            <w:pPr>
              <w:widowControl/>
              <w:numPr>
                <w:ilvl w:val="0"/>
                <w:numId w:val="7"/>
              </w:numPr>
              <w:spacing w:line="300" w:lineRule="exact"/>
              <w:jc w:val="left"/>
              <w:rPr>
                <w:rFonts w:ascii="Arial" w:hAnsi="Arial" w:cs="Arial"/>
                <w:szCs w:val="21"/>
              </w:rPr>
            </w:pPr>
            <w:r>
              <w:rPr>
                <w:rFonts w:ascii="Arial" w:hAnsi="Arial" w:cs="Arial"/>
                <w:szCs w:val="21"/>
              </w:rPr>
              <w:t>场外维修、保养及改造条款</w:t>
            </w:r>
          </w:p>
          <w:p>
            <w:pPr>
              <w:widowControl/>
              <w:numPr>
                <w:ilvl w:val="0"/>
                <w:numId w:val="7"/>
              </w:numPr>
              <w:spacing w:line="300" w:lineRule="exact"/>
              <w:jc w:val="left"/>
              <w:rPr>
                <w:rFonts w:ascii="Arial" w:hAnsi="Arial" w:cs="Arial"/>
                <w:szCs w:val="21"/>
              </w:rPr>
            </w:pPr>
            <w:r>
              <w:rPr>
                <w:rFonts w:hint="eastAsia" w:ascii="Arial" w:hAnsi="Arial" w:cs="Arial"/>
                <w:szCs w:val="21"/>
              </w:rPr>
              <w:t>霉烂、受潮、烘焙风险扩展</w:t>
            </w:r>
          </w:p>
          <w:p>
            <w:pPr>
              <w:rPr>
                <w:rFonts w:ascii="Arial" w:hAnsi="Arial" w:cs="Arial"/>
                <w:szCs w:val="21"/>
              </w:rPr>
            </w:pPr>
          </w:p>
        </w:tc>
      </w:tr>
    </w:tbl>
    <w:p>
      <w:pPr>
        <w:widowControl/>
        <w:jc w:val="left"/>
        <w:rPr>
          <w:rFonts w:ascii="Arial" w:hAnsi="Arial" w:cs="Arial"/>
          <w:b/>
          <w:sz w:val="30"/>
          <w:szCs w:val="30"/>
        </w:rPr>
      </w:pPr>
    </w:p>
    <w:p>
      <w:pPr>
        <w:widowControl/>
        <w:jc w:val="center"/>
        <w:rPr>
          <w:rFonts w:ascii="Arial" w:hAnsi="Arial" w:cs="Arial"/>
          <w:b/>
          <w:sz w:val="30"/>
          <w:szCs w:val="30"/>
        </w:rPr>
      </w:pPr>
      <w:r>
        <w:rPr>
          <w:rFonts w:ascii="Arial" w:hAnsi="Arial" w:cs="Arial"/>
          <w:b/>
          <w:sz w:val="30"/>
          <w:szCs w:val="30"/>
        </w:rPr>
        <w:br w:type="page"/>
      </w:r>
      <w:r>
        <w:rPr>
          <w:rFonts w:hint="eastAsia" w:ascii="宋体" w:hAnsi="宋体"/>
          <w:b/>
          <w:sz w:val="28"/>
          <w:szCs w:val="28"/>
        </w:rPr>
        <w:t>财产一切险条款</w:t>
      </w:r>
    </w:p>
    <w:p>
      <w:pPr>
        <w:ind w:firstLine="422" w:firstLineChars="200"/>
        <w:jc w:val="center"/>
        <w:rPr>
          <w:rFonts w:ascii="Arial" w:hAnsi="Arial" w:cs="Arial"/>
          <w:b/>
          <w:bCs/>
          <w:szCs w:val="21"/>
        </w:rPr>
      </w:pPr>
      <w:r>
        <w:rPr>
          <w:rFonts w:ascii="Arial" w:hAnsi="Arial" w:cs="Arial"/>
          <w:b/>
          <w:bCs/>
          <w:szCs w:val="21"/>
        </w:rPr>
        <w:t>总则</w:t>
      </w:r>
    </w:p>
    <w:p>
      <w:pPr>
        <w:ind w:firstLine="422" w:firstLineChars="200"/>
        <w:rPr>
          <w:rFonts w:ascii="Arial" w:hAnsi="Arial" w:cs="Arial"/>
          <w:szCs w:val="21"/>
        </w:rPr>
      </w:pPr>
      <w:r>
        <w:rPr>
          <w:rFonts w:ascii="Arial" w:hAnsi="Arial" w:cs="Arial"/>
          <w:b/>
          <w:szCs w:val="21"/>
        </w:rPr>
        <w:t>第一条</w:t>
      </w:r>
      <w:r>
        <w:rPr>
          <w:rFonts w:ascii="Arial" w:hAnsi="Arial" w:cs="Arial"/>
          <w:szCs w:val="21"/>
        </w:rPr>
        <w:t xml:space="preserve">  本保险合同由保险条款、投保单、保险单或其他保险凭证以及批单组成。凡涉及本保险合同的约定，均应采用书面形式。</w:t>
      </w:r>
    </w:p>
    <w:p>
      <w:pPr>
        <w:ind w:firstLine="420" w:firstLineChars="200"/>
        <w:rPr>
          <w:rFonts w:ascii="Arial" w:hAnsi="Arial" w:cs="Arial"/>
          <w:szCs w:val="21"/>
        </w:rPr>
      </w:pPr>
    </w:p>
    <w:p>
      <w:pPr>
        <w:ind w:firstLine="422" w:firstLineChars="200"/>
        <w:jc w:val="center"/>
        <w:rPr>
          <w:rFonts w:ascii="Arial" w:hAnsi="Arial" w:cs="Arial"/>
          <w:b/>
          <w:bCs/>
          <w:szCs w:val="21"/>
        </w:rPr>
      </w:pPr>
      <w:r>
        <w:rPr>
          <w:rFonts w:ascii="Arial" w:hAnsi="Arial" w:cs="Arial"/>
          <w:b/>
          <w:bCs/>
          <w:szCs w:val="21"/>
        </w:rPr>
        <w:t>保险标的</w:t>
      </w:r>
    </w:p>
    <w:p>
      <w:pPr>
        <w:ind w:firstLine="422" w:firstLineChars="200"/>
        <w:rPr>
          <w:rFonts w:ascii="Arial" w:hAnsi="Arial" w:cs="Arial"/>
          <w:szCs w:val="21"/>
        </w:rPr>
      </w:pPr>
      <w:r>
        <w:rPr>
          <w:rFonts w:ascii="Arial" w:hAnsi="Arial" w:cs="Arial"/>
          <w:b/>
          <w:szCs w:val="21"/>
        </w:rPr>
        <w:t>第二条</w:t>
      </w:r>
      <w:r>
        <w:rPr>
          <w:rFonts w:ascii="Arial" w:hAnsi="Arial" w:cs="Arial"/>
          <w:szCs w:val="21"/>
        </w:rPr>
        <w:t xml:space="preserve">  本保险合同载明地址内的下列财产可作为保险标的：</w:t>
      </w:r>
    </w:p>
    <w:p>
      <w:pPr>
        <w:ind w:firstLine="420" w:firstLineChars="200"/>
        <w:rPr>
          <w:rFonts w:ascii="Arial" w:hAnsi="Arial" w:cs="Arial"/>
          <w:szCs w:val="21"/>
        </w:rPr>
      </w:pPr>
      <w:r>
        <w:rPr>
          <w:rFonts w:ascii="Arial" w:hAnsi="Arial" w:cs="Arial"/>
          <w:szCs w:val="21"/>
        </w:rPr>
        <w:t>（一）属于被保险人所有或与他人共有而由被保险人负责的财产；</w:t>
      </w:r>
    </w:p>
    <w:p>
      <w:pPr>
        <w:ind w:firstLine="420" w:firstLineChars="200"/>
        <w:rPr>
          <w:rFonts w:ascii="Arial" w:hAnsi="Arial" w:cs="Arial"/>
          <w:szCs w:val="21"/>
        </w:rPr>
      </w:pPr>
      <w:r>
        <w:rPr>
          <w:rFonts w:ascii="Arial" w:hAnsi="Arial" w:cs="Arial"/>
          <w:szCs w:val="21"/>
        </w:rPr>
        <w:t>（二）由被保险人经营管理或替他人保管的财产；</w:t>
      </w:r>
    </w:p>
    <w:p>
      <w:pPr>
        <w:ind w:firstLine="420" w:firstLineChars="200"/>
        <w:rPr>
          <w:rFonts w:ascii="Arial" w:hAnsi="Arial" w:cs="Arial"/>
          <w:szCs w:val="21"/>
        </w:rPr>
      </w:pPr>
      <w:r>
        <w:rPr>
          <w:rFonts w:ascii="Arial" w:hAnsi="Arial" w:cs="Arial"/>
          <w:szCs w:val="21"/>
        </w:rPr>
        <w:t>（三）其他具有法律上承认的与被保险人有经济利害关系的财产。</w:t>
      </w:r>
    </w:p>
    <w:p>
      <w:pPr>
        <w:ind w:firstLine="422" w:firstLineChars="200"/>
        <w:rPr>
          <w:rFonts w:ascii="Arial" w:hAnsi="Arial" w:cs="Arial"/>
          <w:szCs w:val="21"/>
        </w:rPr>
      </w:pPr>
      <w:r>
        <w:rPr>
          <w:rFonts w:ascii="Arial" w:hAnsi="Arial" w:cs="Arial"/>
          <w:b/>
          <w:szCs w:val="21"/>
        </w:rPr>
        <w:t>第三条</w:t>
      </w:r>
      <w:r>
        <w:rPr>
          <w:rFonts w:ascii="Arial" w:hAnsi="Arial" w:cs="Arial"/>
          <w:szCs w:val="21"/>
        </w:rPr>
        <w:t xml:space="preserve">  本保险合同载明地址内的下列财产未经保险合同双方特别约定并在保险合同中载明保险价值的，不属于本保险合同的保险标的：</w:t>
      </w:r>
    </w:p>
    <w:p>
      <w:pPr>
        <w:ind w:firstLine="420" w:firstLineChars="200"/>
        <w:rPr>
          <w:rFonts w:ascii="Arial" w:hAnsi="Arial" w:cs="Arial"/>
          <w:szCs w:val="21"/>
        </w:rPr>
      </w:pPr>
      <w:r>
        <w:rPr>
          <w:rFonts w:ascii="Arial" w:hAnsi="Arial" w:cs="Arial"/>
          <w:szCs w:val="21"/>
        </w:rPr>
        <w:t>（一） 金银、珠宝、钻石、玉器、首饰、古币、古玩、古书、古画、邮票、字画、艺术品、稀有金属等珍贵财物；</w:t>
      </w:r>
    </w:p>
    <w:p>
      <w:pPr>
        <w:ind w:firstLine="420" w:firstLineChars="200"/>
        <w:rPr>
          <w:rFonts w:ascii="Arial" w:hAnsi="Arial" w:cs="Arial"/>
          <w:szCs w:val="21"/>
        </w:rPr>
      </w:pPr>
      <w:r>
        <w:rPr>
          <w:rFonts w:ascii="Arial" w:hAnsi="Arial" w:cs="Arial"/>
          <w:szCs w:val="21"/>
        </w:rPr>
        <w:t>（二）堤堰、水闸、铁路、道路、涵洞、隧道、桥梁、码头；</w:t>
      </w:r>
    </w:p>
    <w:p>
      <w:pPr>
        <w:ind w:firstLine="420" w:firstLineChars="200"/>
        <w:rPr>
          <w:rFonts w:ascii="Arial" w:hAnsi="Arial" w:cs="Arial"/>
          <w:szCs w:val="21"/>
        </w:rPr>
      </w:pPr>
      <w:r>
        <w:rPr>
          <w:rFonts w:ascii="Arial" w:hAnsi="Arial" w:cs="Arial"/>
          <w:szCs w:val="21"/>
        </w:rPr>
        <w:t>（三）矿井（坑）内的设备和物资；</w:t>
      </w:r>
    </w:p>
    <w:p>
      <w:pPr>
        <w:ind w:firstLine="420" w:firstLineChars="200"/>
        <w:rPr>
          <w:rFonts w:ascii="Arial" w:hAnsi="Arial" w:cs="Arial"/>
          <w:szCs w:val="21"/>
        </w:rPr>
      </w:pPr>
      <w:r>
        <w:rPr>
          <w:rFonts w:ascii="Arial" w:hAnsi="Arial" w:cs="Arial"/>
          <w:szCs w:val="21"/>
        </w:rPr>
        <w:t>（四）便携式通讯装置、便携式计算机设备、便携式照相摄像器材以及其他便携式装置、设备；</w:t>
      </w:r>
    </w:p>
    <w:p>
      <w:pPr>
        <w:ind w:firstLine="420" w:firstLineChars="200"/>
        <w:rPr>
          <w:rFonts w:ascii="Arial" w:hAnsi="Arial" w:cs="Arial"/>
          <w:szCs w:val="21"/>
        </w:rPr>
      </w:pPr>
      <w:r>
        <w:rPr>
          <w:rFonts w:ascii="Arial" w:hAnsi="Arial" w:cs="Arial"/>
          <w:szCs w:val="21"/>
        </w:rPr>
        <w:t>（五）尚未交付使用或验收的工程。</w:t>
      </w:r>
    </w:p>
    <w:p>
      <w:pPr>
        <w:ind w:firstLine="422" w:firstLineChars="200"/>
        <w:rPr>
          <w:rFonts w:ascii="Arial" w:hAnsi="Arial" w:cs="Arial"/>
          <w:szCs w:val="21"/>
        </w:rPr>
      </w:pPr>
      <w:r>
        <w:rPr>
          <w:rFonts w:ascii="Arial" w:hAnsi="Arial" w:cs="Arial"/>
          <w:b/>
          <w:szCs w:val="21"/>
        </w:rPr>
        <w:t>第四条</w:t>
      </w:r>
      <w:r>
        <w:rPr>
          <w:rFonts w:ascii="Arial" w:hAnsi="Arial" w:cs="Arial"/>
          <w:szCs w:val="21"/>
        </w:rPr>
        <w:t xml:space="preserve">  下列财产不属于本保险合同的保险标的：</w:t>
      </w:r>
    </w:p>
    <w:p>
      <w:pPr>
        <w:ind w:firstLine="420" w:firstLineChars="200"/>
        <w:rPr>
          <w:rFonts w:ascii="Arial" w:hAnsi="Arial" w:cs="Arial"/>
          <w:szCs w:val="21"/>
        </w:rPr>
      </w:pPr>
      <w:r>
        <w:rPr>
          <w:rFonts w:ascii="Arial" w:hAnsi="Arial" w:cs="Arial"/>
          <w:szCs w:val="21"/>
        </w:rPr>
        <w:t>（一）土地、矿藏、水资源及其他自然资源；</w:t>
      </w:r>
    </w:p>
    <w:p>
      <w:pPr>
        <w:ind w:firstLine="420" w:firstLineChars="200"/>
        <w:rPr>
          <w:rFonts w:ascii="Arial" w:hAnsi="Arial" w:cs="Arial"/>
          <w:szCs w:val="21"/>
        </w:rPr>
      </w:pPr>
      <w:r>
        <w:rPr>
          <w:rFonts w:ascii="Arial" w:hAnsi="Arial" w:cs="Arial"/>
          <w:szCs w:val="21"/>
        </w:rPr>
        <w:t>（二）矿井、矿坑；</w:t>
      </w:r>
    </w:p>
    <w:p>
      <w:pPr>
        <w:ind w:firstLine="420" w:firstLineChars="200"/>
        <w:rPr>
          <w:rFonts w:ascii="Arial" w:hAnsi="Arial" w:cs="Arial"/>
          <w:szCs w:val="21"/>
        </w:rPr>
      </w:pPr>
      <w:r>
        <w:rPr>
          <w:rFonts w:ascii="Arial" w:hAnsi="Arial" w:cs="Arial"/>
          <w:szCs w:val="21"/>
        </w:rPr>
        <w:t>（三）货币、票证、有价证券以及有现金价值的磁卡、集成电路（IC）卡等卡类；</w:t>
      </w:r>
    </w:p>
    <w:p>
      <w:pPr>
        <w:ind w:firstLine="420" w:firstLineChars="200"/>
        <w:rPr>
          <w:rFonts w:ascii="Arial" w:hAnsi="Arial" w:cs="Arial"/>
          <w:szCs w:val="21"/>
        </w:rPr>
      </w:pPr>
      <w:r>
        <w:rPr>
          <w:rFonts w:ascii="Arial" w:hAnsi="Arial" w:cs="Arial"/>
          <w:szCs w:val="21"/>
        </w:rPr>
        <w:t>（四）文件、账册、图表、技术资料、计算机软件、计算机数据资料等无法鉴定价值的财产；</w:t>
      </w:r>
    </w:p>
    <w:p>
      <w:pPr>
        <w:ind w:firstLine="420" w:firstLineChars="200"/>
        <w:rPr>
          <w:rFonts w:ascii="Arial" w:hAnsi="Arial" w:cs="Arial"/>
          <w:szCs w:val="21"/>
        </w:rPr>
      </w:pPr>
      <w:r>
        <w:rPr>
          <w:rFonts w:ascii="Arial" w:hAnsi="Arial" w:cs="Arial"/>
          <w:szCs w:val="21"/>
        </w:rPr>
        <w:t xml:space="preserve">（五）枪支弹药； </w:t>
      </w:r>
    </w:p>
    <w:p>
      <w:pPr>
        <w:ind w:firstLine="420" w:firstLineChars="200"/>
        <w:rPr>
          <w:rFonts w:ascii="Arial" w:hAnsi="Arial" w:cs="Arial"/>
          <w:szCs w:val="21"/>
        </w:rPr>
      </w:pPr>
      <w:r>
        <w:rPr>
          <w:rFonts w:ascii="Arial" w:hAnsi="Arial" w:cs="Arial"/>
          <w:szCs w:val="21"/>
        </w:rPr>
        <w:t>（六）违章建筑、危险建筑、非法占用的财产；</w:t>
      </w:r>
    </w:p>
    <w:p>
      <w:pPr>
        <w:ind w:firstLine="420" w:firstLineChars="200"/>
        <w:rPr>
          <w:rFonts w:ascii="Arial" w:hAnsi="Arial" w:cs="Arial"/>
          <w:szCs w:val="21"/>
        </w:rPr>
      </w:pPr>
      <w:r>
        <w:rPr>
          <w:rFonts w:ascii="Arial" w:hAnsi="Arial" w:cs="Arial"/>
          <w:szCs w:val="21"/>
        </w:rPr>
        <w:t>（七）领取公共行驶执照的机动车辆；</w:t>
      </w:r>
    </w:p>
    <w:p>
      <w:pPr>
        <w:ind w:firstLine="420" w:firstLineChars="200"/>
        <w:rPr>
          <w:rFonts w:ascii="Arial" w:hAnsi="Arial" w:cs="Arial"/>
          <w:szCs w:val="21"/>
        </w:rPr>
      </w:pPr>
      <w:r>
        <w:rPr>
          <w:rFonts w:ascii="Arial" w:hAnsi="Arial" w:cs="Arial"/>
          <w:szCs w:val="21"/>
        </w:rPr>
        <w:t>（八）动物、植物、农作物。</w:t>
      </w:r>
    </w:p>
    <w:p>
      <w:pPr>
        <w:ind w:firstLine="420" w:firstLineChars="200"/>
        <w:rPr>
          <w:rFonts w:ascii="Arial" w:hAnsi="Arial" w:cs="Arial"/>
          <w:i/>
          <w:iCs/>
          <w:szCs w:val="21"/>
        </w:rPr>
      </w:pPr>
    </w:p>
    <w:p>
      <w:pPr>
        <w:ind w:firstLine="422" w:firstLineChars="200"/>
        <w:jc w:val="center"/>
        <w:rPr>
          <w:rFonts w:ascii="Arial" w:hAnsi="Arial" w:cs="Arial"/>
          <w:b/>
          <w:bCs/>
          <w:szCs w:val="21"/>
        </w:rPr>
      </w:pPr>
      <w:r>
        <w:rPr>
          <w:rFonts w:ascii="Arial" w:hAnsi="Arial" w:cs="Arial"/>
          <w:b/>
          <w:bCs/>
          <w:szCs w:val="21"/>
        </w:rPr>
        <w:t>保险责任</w:t>
      </w:r>
    </w:p>
    <w:p>
      <w:pPr>
        <w:ind w:firstLine="422" w:firstLineChars="200"/>
        <w:rPr>
          <w:rFonts w:ascii="Arial" w:hAnsi="Arial" w:cs="Arial"/>
          <w:szCs w:val="21"/>
        </w:rPr>
      </w:pPr>
      <w:r>
        <w:rPr>
          <w:rFonts w:ascii="Arial" w:hAnsi="Arial" w:cs="Arial"/>
          <w:b/>
          <w:szCs w:val="21"/>
        </w:rPr>
        <w:t>第五条</w:t>
      </w:r>
      <w:r>
        <w:rPr>
          <w:rFonts w:ascii="Arial" w:hAnsi="Arial" w:cs="Arial"/>
          <w:szCs w:val="21"/>
        </w:rPr>
        <w:t xml:space="preserve">  在保险期间内，由于自然灾害或意外事故造成</w:t>
      </w:r>
      <w:r>
        <w:rPr>
          <w:rFonts w:ascii="Arial" w:hAnsi="Arial" w:cs="Arial"/>
          <w:bCs/>
          <w:szCs w:val="21"/>
        </w:rPr>
        <w:t>保险标的直接物质损坏或灭失（以下简称“损失”）</w:t>
      </w:r>
      <w:r>
        <w:rPr>
          <w:rFonts w:ascii="Arial" w:hAnsi="Arial" w:cs="Arial"/>
          <w:szCs w:val="21"/>
        </w:rPr>
        <w:t>，保险人按照本保险合同的约定负责赔偿。</w:t>
      </w:r>
    </w:p>
    <w:p>
      <w:pPr>
        <w:pStyle w:val="22"/>
        <w:spacing w:after="0" w:line="240" w:lineRule="auto"/>
        <w:ind w:firstLine="420" w:firstLineChars="200"/>
        <w:rPr>
          <w:rFonts w:ascii="Arial" w:hAnsi="Arial" w:cs="Arial" w:eastAsiaTheme="minorEastAsia"/>
          <w:bCs/>
          <w:szCs w:val="21"/>
        </w:rPr>
      </w:pPr>
      <w:r>
        <w:rPr>
          <w:rFonts w:ascii="Arial" w:hAnsi="Arial" w:cs="Arial" w:eastAsiaTheme="minorEastAsia"/>
          <w:bCs/>
          <w:szCs w:val="21"/>
        </w:rPr>
        <w:t>前款原因造成的保险事故发生时，为抢救保险标的或防止灾害蔓延，采取必要的、合理的措施而造成保险标的的损失，保险人按照本保险合同的约定也负责赔偿。</w:t>
      </w:r>
    </w:p>
    <w:p>
      <w:pPr>
        <w:pStyle w:val="22"/>
        <w:spacing w:after="0" w:line="240" w:lineRule="auto"/>
        <w:ind w:firstLine="420" w:firstLineChars="200"/>
        <w:rPr>
          <w:rFonts w:ascii="Arial" w:hAnsi="Arial" w:cs="Arial" w:eastAsiaTheme="minorEastAsia"/>
          <w:szCs w:val="21"/>
        </w:rPr>
      </w:pPr>
      <w:r>
        <w:rPr>
          <w:rFonts w:ascii="Arial" w:hAnsi="Arial" w:cs="Arial" w:eastAsiaTheme="minorEastAsia"/>
          <w:szCs w:val="21"/>
        </w:rPr>
        <w:t>第六条  保险事故发生后，被保险人为防止或减少保险标的的损失所支付的必要的、合理的费用，保险人按照本保险合同的约定也负责赔偿。</w:t>
      </w:r>
    </w:p>
    <w:p>
      <w:pPr>
        <w:pStyle w:val="22"/>
        <w:spacing w:after="0" w:line="240" w:lineRule="auto"/>
        <w:ind w:firstLine="420" w:firstLineChars="200"/>
        <w:rPr>
          <w:rFonts w:ascii="Arial" w:hAnsi="Arial" w:cs="Arial" w:eastAsiaTheme="minorEastAsia"/>
          <w:b/>
          <w:szCs w:val="21"/>
        </w:rPr>
      </w:pPr>
    </w:p>
    <w:p>
      <w:pPr>
        <w:ind w:firstLine="422" w:firstLineChars="200"/>
        <w:jc w:val="center"/>
        <w:rPr>
          <w:rFonts w:ascii="Arial" w:hAnsi="Arial" w:cs="Arial"/>
          <w:b/>
          <w:bCs/>
          <w:szCs w:val="21"/>
        </w:rPr>
      </w:pPr>
      <w:r>
        <w:rPr>
          <w:rFonts w:ascii="Arial" w:hAnsi="Arial" w:cs="Arial"/>
          <w:b/>
          <w:bCs/>
          <w:szCs w:val="21"/>
        </w:rPr>
        <w:t>责任免除</w:t>
      </w:r>
    </w:p>
    <w:p>
      <w:pPr>
        <w:ind w:firstLine="422" w:firstLineChars="200"/>
        <w:rPr>
          <w:rFonts w:ascii="Arial" w:hAnsi="Arial" w:cs="Arial"/>
          <w:b/>
          <w:szCs w:val="21"/>
        </w:rPr>
      </w:pPr>
      <w:r>
        <w:rPr>
          <w:rFonts w:ascii="Arial" w:hAnsi="Arial" w:cs="Arial"/>
          <w:b/>
          <w:szCs w:val="21"/>
        </w:rPr>
        <w:t>第七条</w:t>
      </w:r>
      <w:r>
        <w:rPr>
          <w:rFonts w:ascii="Arial" w:hAnsi="Arial" w:cs="Arial"/>
          <w:szCs w:val="21"/>
        </w:rPr>
        <w:t xml:space="preserve"> </w:t>
      </w:r>
      <w:r>
        <w:rPr>
          <w:rFonts w:ascii="Arial" w:hAnsi="Arial" w:cs="Arial"/>
          <w:b/>
          <w:szCs w:val="21"/>
        </w:rPr>
        <w:t xml:space="preserve"> 下列原因造成的损失、费用，保险人不负责赔偿：</w:t>
      </w:r>
    </w:p>
    <w:p>
      <w:pPr>
        <w:ind w:firstLine="422" w:firstLineChars="200"/>
        <w:rPr>
          <w:rFonts w:ascii="Arial" w:hAnsi="Arial" w:cs="Arial"/>
          <w:b/>
          <w:szCs w:val="21"/>
        </w:rPr>
      </w:pPr>
      <w:r>
        <w:rPr>
          <w:rFonts w:ascii="Arial" w:hAnsi="Arial" w:cs="Arial"/>
          <w:b/>
          <w:szCs w:val="21"/>
        </w:rPr>
        <w:t>（一）投保人、被保险人及其代表的故意或重大过失行为；</w:t>
      </w:r>
    </w:p>
    <w:p>
      <w:pPr>
        <w:ind w:firstLine="422" w:firstLineChars="200"/>
        <w:rPr>
          <w:rFonts w:ascii="Arial" w:hAnsi="Arial" w:cs="Arial"/>
          <w:b/>
          <w:szCs w:val="21"/>
        </w:rPr>
      </w:pPr>
      <w:r>
        <w:rPr>
          <w:rFonts w:ascii="Arial" w:hAnsi="Arial" w:cs="Arial"/>
          <w:b/>
          <w:szCs w:val="21"/>
        </w:rPr>
        <w:t xml:space="preserve">（二）行政行为或司法行为； </w:t>
      </w:r>
    </w:p>
    <w:p>
      <w:pPr>
        <w:ind w:firstLine="422" w:firstLineChars="200"/>
        <w:rPr>
          <w:rFonts w:ascii="Arial" w:hAnsi="Arial" w:cs="Arial"/>
          <w:b/>
          <w:szCs w:val="21"/>
        </w:rPr>
      </w:pPr>
      <w:r>
        <w:rPr>
          <w:rFonts w:ascii="Arial" w:hAnsi="Arial" w:cs="Arial"/>
          <w:b/>
          <w:szCs w:val="21"/>
        </w:rPr>
        <w:t xml:space="preserve">（三）战争、类似战争行为、敌对行动、军事行动、武装冲突、罢工、骚乱、暴动、政变、谋反、恐怖活动； </w:t>
      </w:r>
    </w:p>
    <w:p>
      <w:pPr>
        <w:ind w:firstLine="422" w:firstLineChars="200"/>
        <w:rPr>
          <w:rFonts w:ascii="Arial" w:hAnsi="Arial" w:cs="Arial"/>
          <w:b/>
          <w:szCs w:val="21"/>
        </w:rPr>
      </w:pPr>
      <w:r>
        <w:rPr>
          <w:rFonts w:ascii="Arial" w:hAnsi="Arial" w:cs="Arial"/>
          <w:b/>
          <w:szCs w:val="21"/>
        </w:rPr>
        <w:t>（四）地震、海啸及其次生灾害；</w:t>
      </w:r>
    </w:p>
    <w:p>
      <w:pPr>
        <w:ind w:firstLine="422" w:firstLineChars="200"/>
        <w:rPr>
          <w:rFonts w:ascii="Arial" w:hAnsi="Arial" w:cs="Arial"/>
          <w:b/>
          <w:szCs w:val="21"/>
        </w:rPr>
      </w:pPr>
      <w:r>
        <w:rPr>
          <w:rFonts w:ascii="Arial" w:hAnsi="Arial" w:cs="Arial"/>
          <w:b/>
          <w:szCs w:val="21"/>
        </w:rPr>
        <w:t>（五）核辐射、核裂变、核聚变、核污染及其他放射性污染；</w:t>
      </w:r>
    </w:p>
    <w:p>
      <w:pPr>
        <w:ind w:firstLine="422" w:firstLineChars="200"/>
        <w:rPr>
          <w:rFonts w:ascii="Arial" w:hAnsi="Arial" w:cs="Arial"/>
          <w:b/>
          <w:szCs w:val="21"/>
        </w:rPr>
      </w:pPr>
      <w:r>
        <w:rPr>
          <w:rFonts w:ascii="Arial" w:hAnsi="Arial" w:cs="Arial"/>
          <w:b/>
          <w:szCs w:val="21"/>
        </w:rPr>
        <w:t>（六）大气污染、土地污染、水污染及其他非放射性污染，但因保险事故造成的非放射性污染不在此限；</w:t>
      </w:r>
    </w:p>
    <w:p>
      <w:pPr>
        <w:ind w:firstLine="422" w:firstLineChars="200"/>
        <w:rPr>
          <w:rFonts w:ascii="Arial" w:hAnsi="Arial" w:cs="Arial"/>
          <w:b/>
          <w:szCs w:val="21"/>
        </w:rPr>
      </w:pPr>
      <w:r>
        <w:rPr>
          <w:rFonts w:ascii="Arial" w:hAnsi="Arial" w:cs="Arial"/>
          <w:b/>
          <w:szCs w:val="21"/>
        </w:rPr>
        <w:t>（七）保险标的的内在或潜在缺陷、自然磨损、自然损耗，大气（气候或气温）变化、正常水位变化或其他渐变原因，物质本身变化、霉烂、受潮、鼠咬、虫蛀、鸟啄、氧化、锈蚀、渗漏、烘焙；</w:t>
      </w:r>
    </w:p>
    <w:p>
      <w:pPr>
        <w:ind w:firstLine="422" w:firstLineChars="200"/>
        <w:rPr>
          <w:rFonts w:ascii="Arial" w:hAnsi="Arial" w:cs="Arial"/>
          <w:b/>
          <w:szCs w:val="21"/>
        </w:rPr>
      </w:pPr>
      <w:r>
        <w:rPr>
          <w:rFonts w:ascii="Arial" w:hAnsi="Arial" w:cs="Arial"/>
          <w:b/>
          <w:szCs w:val="21"/>
        </w:rPr>
        <w:t>（八）盗窃、抢劫。</w:t>
      </w:r>
    </w:p>
    <w:p>
      <w:pPr>
        <w:ind w:firstLine="422" w:firstLineChars="200"/>
        <w:rPr>
          <w:rFonts w:ascii="Arial" w:hAnsi="Arial" w:cs="Arial"/>
          <w:b/>
          <w:szCs w:val="21"/>
        </w:rPr>
      </w:pPr>
      <w:r>
        <w:rPr>
          <w:rFonts w:ascii="Arial" w:hAnsi="Arial" w:cs="Arial"/>
          <w:b/>
          <w:szCs w:val="21"/>
        </w:rPr>
        <w:t>第八条  下列损失、费用，保险人也不负责赔偿：</w:t>
      </w:r>
    </w:p>
    <w:p>
      <w:pPr>
        <w:ind w:firstLine="422" w:firstLineChars="200"/>
        <w:rPr>
          <w:rFonts w:ascii="Arial" w:hAnsi="Arial" w:cs="Arial"/>
          <w:b/>
          <w:szCs w:val="21"/>
        </w:rPr>
      </w:pPr>
      <w:r>
        <w:rPr>
          <w:rFonts w:ascii="Arial" w:hAnsi="Arial" w:cs="Arial"/>
          <w:b/>
          <w:szCs w:val="21"/>
        </w:rPr>
        <w:t>（一） 保险标的遭受保险事故引起的各种间接损失；</w:t>
      </w:r>
    </w:p>
    <w:p>
      <w:pPr>
        <w:ind w:firstLine="422" w:firstLineChars="200"/>
        <w:rPr>
          <w:rFonts w:ascii="Arial" w:hAnsi="Arial" w:cs="Arial"/>
          <w:b/>
          <w:szCs w:val="21"/>
        </w:rPr>
      </w:pPr>
      <w:r>
        <w:rPr>
          <w:rFonts w:ascii="Arial" w:hAnsi="Arial" w:cs="Arial"/>
          <w:b/>
          <w:szCs w:val="21"/>
        </w:rPr>
        <w:t>（二）设计错误、原材料缺陷或工艺不善造成保险标的本身的损失；</w:t>
      </w:r>
    </w:p>
    <w:p>
      <w:pPr>
        <w:ind w:firstLine="422" w:firstLineChars="200"/>
        <w:rPr>
          <w:rFonts w:ascii="Arial" w:hAnsi="Arial" w:cs="Arial"/>
          <w:b/>
          <w:szCs w:val="21"/>
        </w:rPr>
      </w:pPr>
      <w:r>
        <w:rPr>
          <w:rFonts w:ascii="Arial" w:hAnsi="Arial" w:cs="Arial"/>
          <w:b/>
          <w:szCs w:val="21"/>
        </w:rPr>
        <w:t>（三）广告牌、天线、霓虹灯、太阳能装置等建筑物外部附属设施，存放于露天或简易建筑物内的保险标的以及简易建筑，由于雷电、暴雨、洪水、暴风、龙卷风、冰雹、台风、飓风、暴雪、冰凌、沙尘暴造成的损失；</w:t>
      </w:r>
    </w:p>
    <w:p>
      <w:pPr>
        <w:ind w:firstLine="422" w:firstLineChars="200"/>
        <w:rPr>
          <w:rFonts w:ascii="Arial" w:hAnsi="Arial" w:cs="Arial"/>
          <w:b/>
          <w:szCs w:val="21"/>
        </w:rPr>
      </w:pPr>
      <w:r>
        <w:rPr>
          <w:rFonts w:ascii="Arial" w:hAnsi="Arial" w:cs="Arial"/>
          <w:b/>
          <w:szCs w:val="21"/>
        </w:rPr>
        <w:t>（四）锅炉及压力容器爆炸造成其本身的损失；</w:t>
      </w:r>
    </w:p>
    <w:p>
      <w:pPr>
        <w:ind w:firstLine="422" w:firstLineChars="200"/>
        <w:rPr>
          <w:rFonts w:ascii="Arial" w:hAnsi="Arial" w:cs="Arial"/>
          <w:b/>
          <w:szCs w:val="21"/>
        </w:rPr>
      </w:pPr>
      <w:r>
        <w:rPr>
          <w:rFonts w:ascii="Arial" w:hAnsi="Arial" w:cs="Arial"/>
          <w:b/>
          <w:szCs w:val="21"/>
        </w:rPr>
        <w:t>（五）非外力造成机械或电气设备本身的损失；</w:t>
      </w:r>
    </w:p>
    <w:p>
      <w:pPr>
        <w:ind w:firstLine="422" w:firstLineChars="200"/>
        <w:rPr>
          <w:rFonts w:ascii="Arial" w:hAnsi="Arial" w:cs="Arial"/>
          <w:b/>
          <w:szCs w:val="21"/>
        </w:rPr>
      </w:pPr>
      <w:r>
        <w:rPr>
          <w:rFonts w:ascii="Arial" w:hAnsi="Arial" w:cs="Arial"/>
          <w:b/>
          <w:szCs w:val="21"/>
        </w:rPr>
        <w:t>（六）被保险人及其雇员的操作不当、技术缺陷造成被操作的机械或电气设备的损失；</w:t>
      </w:r>
    </w:p>
    <w:p>
      <w:pPr>
        <w:ind w:firstLine="422" w:firstLineChars="200"/>
        <w:rPr>
          <w:rFonts w:ascii="Arial" w:hAnsi="Arial" w:cs="Arial"/>
          <w:b/>
          <w:szCs w:val="21"/>
        </w:rPr>
      </w:pPr>
      <w:r>
        <w:rPr>
          <w:rFonts w:ascii="Arial" w:hAnsi="Arial" w:cs="Arial"/>
          <w:b/>
          <w:szCs w:val="21"/>
        </w:rPr>
        <w:t>（七）盘点时发现的短缺；</w:t>
      </w:r>
    </w:p>
    <w:p>
      <w:pPr>
        <w:ind w:firstLine="422" w:firstLineChars="200"/>
        <w:rPr>
          <w:rFonts w:ascii="Arial" w:hAnsi="Arial" w:cs="Arial"/>
          <w:b/>
          <w:szCs w:val="21"/>
        </w:rPr>
      </w:pPr>
      <w:r>
        <w:rPr>
          <w:rFonts w:ascii="Arial" w:hAnsi="Arial" w:cs="Arial"/>
          <w:b/>
          <w:szCs w:val="21"/>
        </w:rPr>
        <w:t>（八）任何原因导致公共供电、供水、供气及其他能源供应中断造成的损失和费用；</w:t>
      </w:r>
    </w:p>
    <w:p>
      <w:pPr>
        <w:ind w:firstLine="422" w:firstLineChars="200"/>
        <w:rPr>
          <w:rFonts w:ascii="Arial" w:hAnsi="Arial" w:cs="Arial"/>
          <w:b/>
          <w:szCs w:val="21"/>
        </w:rPr>
      </w:pPr>
      <w:r>
        <w:rPr>
          <w:rFonts w:ascii="Arial" w:hAnsi="Arial" w:cs="Arial"/>
          <w:b/>
          <w:szCs w:val="21"/>
        </w:rPr>
        <w:t>（九）本保险合同中载明的免赔额或按本保险合同中载明的免赔率计算的免赔额。</w:t>
      </w:r>
    </w:p>
    <w:p>
      <w:pPr>
        <w:ind w:firstLine="422" w:firstLineChars="200"/>
        <w:rPr>
          <w:rFonts w:ascii="Arial" w:hAnsi="Arial" w:cs="Arial"/>
          <w:szCs w:val="21"/>
        </w:rPr>
      </w:pPr>
      <w:r>
        <w:rPr>
          <w:rFonts w:ascii="Arial" w:hAnsi="Arial" w:cs="Arial"/>
          <w:b/>
          <w:szCs w:val="21"/>
        </w:rPr>
        <w:t xml:space="preserve"> </w:t>
      </w:r>
    </w:p>
    <w:p>
      <w:pPr>
        <w:ind w:firstLine="422" w:firstLineChars="200"/>
        <w:jc w:val="center"/>
        <w:rPr>
          <w:rFonts w:ascii="Arial" w:hAnsi="Arial" w:cs="Arial"/>
          <w:b/>
          <w:bCs/>
          <w:szCs w:val="21"/>
        </w:rPr>
      </w:pPr>
      <w:r>
        <w:rPr>
          <w:rFonts w:ascii="Arial" w:hAnsi="Arial" w:cs="Arial"/>
          <w:b/>
          <w:bCs/>
          <w:szCs w:val="21"/>
        </w:rPr>
        <w:t>保险价值、保险金额与免赔额（率）</w:t>
      </w:r>
    </w:p>
    <w:p>
      <w:pPr>
        <w:ind w:firstLine="422" w:firstLineChars="200"/>
        <w:rPr>
          <w:rFonts w:ascii="Arial" w:hAnsi="Arial" w:cs="Arial"/>
          <w:b/>
          <w:bCs/>
          <w:szCs w:val="21"/>
        </w:rPr>
      </w:pPr>
      <w:r>
        <w:rPr>
          <w:rFonts w:ascii="Arial" w:hAnsi="Arial" w:cs="Arial"/>
          <w:b/>
          <w:szCs w:val="21"/>
        </w:rPr>
        <w:t xml:space="preserve">第九条  </w:t>
      </w:r>
      <w:r>
        <w:rPr>
          <w:rFonts w:ascii="Arial" w:hAnsi="Arial" w:cs="Arial"/>
          <w:bCs/>
          <w:szCs w:val="21"/>
        </w:rPr>
        <w:t>保险标的的保险价值可以为出险时的重置价值、出险时的账面余额、出险时的市场价值或其他价值，由投保人与保险人协商确定，并在本保险合同中载明。</w:t>
      </w:r>
      <w:r>
        <w:rPr>
          <w:rFonts w:ascii="Arial" w:hAnsi="Arial" w:cs="Arial"/>
          <w:b/>
          <w:bCs/>
          <w:szCs w:val="21"/>
        </w:rPr>
        <w:t xml:space="preserve"> </w:t>
      </w:r>
    </w:p>
    <w:p>
      <w:pPr>
        <w:ind w:firstLine="422" w:firstLineChars="200"/>
        <w:rPr>
          <w:rFonts w:ascii="Arial" w:hAnsi="Arial" w:cs="Arial"/>
          <w:szCs w:val="21"/>
        </w:rPr>
      </w:pPr>
      <w:r>
        <w:rPr>
          <w:rFonts w:ascii="Arial" w:hAnsi="Arial" w:cs="Arial"/>
          <w:b/>
          <w:szCs w:val="21"/>
        </w:rPr>
        <w:t>第十条</w:t>
      </w:r>
      <w:r>
        <w:rPr>
          <w:rFonts w:ascii="Arial" w:hAnsi="Arial" w:cs="Arial"/>
          <w:szCs w:val="21"/>
        </w:rPr>
        <w:t xml:space="preserve">  保险金额由投保人参照保险价值自行确定，并在保险合同中载明。保险金额不得超过保险价值。超过保险价值的，超过部分无效，保险人应当退还相应的保险费。</w:t>
      </w:r>
    </w:p>
    <w:p>
      <w:pPr>
        <w:ind w:firstLine="422" w:firstLineChars="200"/>
        <w:rPr>
          <w:rFonts w:ascii="Arial" w:hAnsi="Arial" w:cs="Arial"/>
          <w:szCs w:val="21"/>
        </w:rPr>
      </w:pPr>
      <w:r>
        <w:rPr>
          <w:rFonts w:ascii="Arial" w:hAnsi="Arial" w:cs="Arial"/>
          <w:b/>
          <w:bCs/>
          <w:szCs w:val="21"/>
        </w:rPr>
        <w:t>第十一条</w:t>
      </w:r>
      <w:r>
        <w:rPr>
          <w:rFonts w:ascii="Arial" w:hAnsi="Arial" w:cs="Arial"/>
          <w:szCs w:val="21"/>
        </w:rPr>
        <w:t xml:space="preserve">  免赔额（率）由投保人与保险人在订立保险合同时协商确定，并在保险合同中载明。</w:t>
      </w:r>
    </w:p>
    <w:p>
      <w:pPr>
        <w:ind w:firstLine="420" w:firstLineChars="200"/>
        <w:rPr>
          <w:rFonts w:ascii="Arial" w:hAnsi="Arial" w:cs="Arial"/>
          <w:szCs w:val="21"/>
        </w:rPr>
      </w:pPr>
    </w:p>
    <w:p>
      <w:pPr>
        <w:ind w:firstLine="422" w:firstLineChars="200"/>
        <w:jc w:val="center"/>
        <w:rPr>
          <w:rFonts w:ascii="Arial" w:hAnsi="Arial" w:cs="Arial"/>
          <w:b/>
          <w:bCs/>
          <w:szCs w:val="21"/>
        </w:rPr>
      </w:pPr>
      <w:r>
        <w:rPr>
          <w:rFonts w:ascii="Arial" w:hAnsi="Arial" w:cs="Arial"/>
          <w:b/>
          <w:bCs/>
          <w:szCs w:val="21"/>
        </w:rPr>
        <w:t>保险期间</w:t>
      </w:r>
    </w:p>
    <w:p>
      <w:pPr>
        <w:ind w:firstLine="422" w:firstLineChars="200"/>
        <w:rPr>
          <w:rFonts w:ascii="Arial" w:hAnsi="Arial" w:cs="Arial"/>
          <w:szCs w:val="21"/>
        </w:rPr>
      </w:pPr>
      <w:r>
        <w:rPr>
          <w:rFonts w:ascii="Arial" w:hAnsi="Arial" w:cs="Arial"/>
          <w:b/>
          <w:szCs w:val="21"/>
        </w:rPr>
        <w:t xml:space="preserve">第十二条  </w:t>
      </w:r>
      <w:r>
        <w:rPr>
          <w:rFonts w:ascii="Arial" w:hAnsi="Arial" w:cs="Arial"/>
          <w:szCs w:val="21"/>
        </w:rPr>
        <w:t>除另有约定外，保险期间为一年，以保险单载明的起讫时间为准。</w:t>
      </w:r>
    </w:p>
    <w:p>
      <w:pPr>
        <w:ind w:firstLine="422" w:firstLineChars="200"/>
        <w:rPr>
          <w:rFonts w:ascii="Arial" w:hAnsi="Arial" w:cs="Arial"/>
          <w:b/>
          <w:szCs w:val="21"/>
        </w:rPr>
      </w:pPr>
    </w:p>
    <w:p>
      <w:pPr>
        <w:ind w:firstLine="422" w:firstLineChars="200"/>
        <w:jc w:val="center"/>
        <w:rPr>
          <w:rFonts w:ascii="Arial" w:hAnsi="Arial" w:cs="Arial"/>
          <w:b/>
          <w:bCs/>
          <w:szCs w:val="21"/>
        </w:rPr>
      </w:pPr>
      <w:r>
        <w:rPr>
          <w:rFonts w:ascii="Arial" w:hAnsi="Arial" w:cs="Arial"/>
          <w:b/>
          <w:bCs/>
          <w:szCs w:val="21"/>
        </w:rPr>
        <w:t>保险人义务</w:t>
      </w:r>
    </w:p>
    <w:p>
      <w:pPr>
        <w:ind w:firstLine="422" w:firstLineChars="200"/>
        <w:rPr>
          <w:rFonts w:ascii="Arial" w:hAnsi="Arial" w:cs="Arial"/>
          <w:szCs w:val="21"/>
        </w:rPr>
      </w:pPr>
      <w:r>
        <w:rPr>
          <w:rFonts w:ascii="Arial" w:hAnsi="Arial" w:cs="Arial"/>
          <w:b/>
          <w:bCs/>
          <w:szCs w:val="21"/>
        </w:rPr>
        <w:t xml:space="preserve">第十三条 </w:t>
      </w:r>
      <w:r>
        <w:rPr>
          <w:rFonts w:ascii="Arial" w:hAnsi="Arial" w:cs="Arial"/>
          <w:szCs w:val="21"/>
        </w:rPr>
        <w:t xml:space="preserve"> 订立保险合同时，采用保险人提供的格式条款的，保险人向投保人提供的投保单应当附格式条款，保险人应当向投保人说明保险合同的内容。对保险合同中免除保险人责任的条款，保险人在订立合同时应当在投保单、保险单或者其他保险凭证上作出足以引起投保人注意的提示，并对该条款的内容以书面或者口头形式向投保人作出明确说明；未作提示或者明确说明的，该条款不产生效力。</w:t>
      </w:r>
    </w:p>
    <w:p>
      <w:pPr>
        <w:ind w:firstLine="422" w:firstLineChars="200"/>
        <w:rPr>
          <w:rFonts w:ascii="Arial" w:hAnsi="Arial" w:cs="Arial"/>
          <w:szCs w:val="21"/>
        </w:rPr>
      </w:pPr>
      <w:r>
        <w:rPr>
          <w:rFonts w:ascii="Arial" w:hAnsi="Arial" w:cs="Arial"/>
          <w:b/>
          <w:bCs/>
          <w:szCs w:val="21"/>
        </w:rPr>
        <w:t xml:space="preserve">第十四条 </w:t>
      </w:r>
      <w:r>
        <w:rPr>
          <w:rFonts w:ascii="Arial" w:hAnsi="Arial" w:cs="Arial"/>
          <w:szCs w:val="21"/>
        </w:rPr>
        <w:t xml:space="preserve"> 本保险合同成立后，保险人应当及时向投保人签发保险单或其他保险凭证。</w:t>
      </w:r>
    </w:p>
    <w:p>
      <w:pPr>
        <w:ind w:firstLine="422" w:firstLineChars="200"/>
        <w:rPr>
          <w:rStyle w:val="91"/>
          <w:rFonts w:ascii="Arial" w:hAnsi="Arial" w:cs="Arial"/>
          <w:szCs w:val="21"/>
        </w:rPr>
      </w:pPr>
      <w:r>
        <w:rPr>
          <w:rFonts w:ascii="Arial" w:hAnsi="Arial" w:cs="Arial"/>
          <w:b/>
          <w:bCs/>
          <w:szCs w:val="21"/>
        </w:rPr>
        <w:t xml:space="preserve">第十五条 </w:t>
      </w:r>
      <w:r>
        <w:rPr>
          <w:rFonts w:ascii="Arial" w:hAnsi="Arial" w:cs="Arial"/>
          <w:szCs w:val="21"/>
        </w:rPr>
        <w:t xml:space="preserve"> 保险人依据第十九条所取得的保险合同解除权，</w:t>
      </w:r>
      <w:r>
        <w:rPr>
          <w:rStyle w:val="91"/>
          <w:rFonts w:ascii="Arial" w:hAnsi="Arial" w:cs="Arial"/>
          <w:color w:val="000000"/>
          <w:szCs w:val="21"/>
        </w:rPr>
        <w:t>自保险人知道有解除事由之日起，超过三十日不行使而消灭。自保险合同成立之日起超过二年的，保险人不得解除合同；发生保险事故的，保险人承担赔偿责任。</w:t>
      </w:r>
    </w:p>
    <w:p>
      <w:pPr>
        <w:ind w:firstLine="420" w:firstLineChars="200"/>
        <w:rPr>
          <w:rFonts w:ascii="Arial" w:hAnsi="Arial" w:cs="Arial"/>
          <w:color w:val="000000"/>
          <w:szCs w:val="21"/>
        </w:rPr>
      </w:pPr>
      <w:r>
        <w:rPr>
          <w:rStyle w:val="91"/>
          <w:rFonts w:ascii="Arial" w:hAnsi="Arial" w:cs="Arial"/>
          <w:color w:val="000000"/>
          <w:szCs w:val="21"/>
        </w:rPr>
        <w:t>保险人在合同订立时已经知道投保人未如实告知的情况的，保险人不得解除合同；发生保险事故的，保险人应当承担赔偿责任。</w:t>
      </w:r>
    </w:p>
    <w:p>
      <w:pPr>
        <w:ind w:firstLine="422" w:firstLineChars="200"/>
        <w:rPr>
          <w:rStyle w:val="91"/>
          <w:rFonts w:ascii="Arial" w:hAnsi="Arial" w:cs="Arial"/>
          <w:szCs w:val="21"/>
        </w:rPr>
      </w:pPr>
      <w:r>
        <w:rPr>
          <w:rFonts w:ascii="Arial" w:hAnsi="Arial" w:cs="Arial"/>
          <w:b/>
          <w:bCs/>
          <w:szCs w:val="21"/>
        </w:rPr>
        <w:t xml:space="preserve">第十六条 </w:t>
      </w:r>
      <w:r>
        <w:rPr>
          <w:rFonts w:ascii="Arial" w:hAnsi="Arial" w:cs="Arial"/>
          <w:szCs w:val="21"/>
        </w:rPr>
        <w:t xml:space="preserve"> </w:t>
      </w:r>
      <w:r>
        <w:rPr>
          <w:rStyle w:val="91"/>
          <w:rFonts w:ascii="Arial" w:hAnsi="Arial" w:cs="Arial"/>
          <w:color w:val="000000"/>
          <w:szCs w:val="21"/>
        </w:rPr>
        <w:t>保险人按照第二十五条的约定，认为被保险人提供的有关索赔的证明和资料不完整的，应当及时一次性通知投保人、被保险人补充提供。</w:t>
      </w:r>
    </w:p>
    <w:p>
      <w:pPr>
        <w:adjustRightInd w:val="0"/>
        <w:snapToGrid w:val="0"/>
        <w:ind w:firstLine="422" w:firstLineChars="200"/>
        <w:rPr>
          <w:rFonts w:ascii="Arial" w:hAnsi="Arial" w:cs="Arial"/>
          <w:szCs w:val="21"/>
        </w:rPr>
      </w:pPr>
      <w:r>
        <w:rPr>
          <w:rFonts w:ascii="Arial" w:hAnsi="Arial" w:cs="Arial"/>
          <w:b/>
          <w:bCs/>
          <w:szCs w:val="21"/>
        </w:rPr>
        <w:t xml:space="preserve">第十七条 </w:t>
      </w:r>
      <w:r>
        <w:rPr>
          <w:rFonts w:ascii="Arial" w:hAnsi="Arial" w:cs="Arial"/>
          <w:szCs w:val="21"/>
        </w:rPr>
        <w:t xml:space="preserve"> 保险人收到被保险人的赔偿保险金的请求后，应当及时作出是否属于保险责任的核定；情形复杂的，应当在三十日内作出核定，但保险合同另有约定的除外。</w:t>
      </w:r>
    </w:p>
    <w:p>
      <w:pPr>
        <w:adjustRightInd w:val="0"/>
        <w:snapToGrid w:val="0"/>
        <w:ind w:firstLine="420" w:firstLineChars="200"/>
        <w:rPr>
          <w:rStyle w:val="91"/>
          <w:rFonts w:ascii="Arial" w:hAnsi="Arial" w:cs="Arial"/>
          <w:color w:val="000000"/>
          <w:szCs w:val="21"/>
        </w:rPr>
      </w:pPr>
      <w:r>
        <w:rPr>
          <w:rFonts w:ascii="Arial" w:hAnsi="Arial" w:cs="Arial"/>
          <w:szCs w:val="21"/>
        </w:rPr>
        <w:t>保险人应当将核定结果通知被保险人；对属于保险责任的，在与被保险人达成赔偿保险金的协议后十日内，履行赔偿保险金义务。保险合同对赔偿保险金的期限有约定的，保险人应当按照约定履行赔偿保险金的义务。保险人依照前款约定作出核定后，</w:t>
      </w:r>
      <w:r>
        <w:rPr>
          <w:rStyle w:val="91"/>
          <w:rFonts w:ascii="Arial" w:hAnsi="Arial" w:cs="Arial"/>
          <w:szCs w:val="21"/>
        </w:rPr>
        <w:t>对不属于保险责任的，应当自作出核定之日起三日内向被保险人发出拒绝赔偿保险金通知书，并说明理由</w:t>
      </w:r>
      <w:r>
        <w:rPr>
          <w:rFonts w:ascii="Arial" w:hAnsi="Arial" w:cs="Arial"/>
          <w:szCs w:val="21"/>
        </w:rPr>
        <w:t>。</w:t>
      </w:r>
    </w:p>
    <w:p>
      <w:pPr>
        <w:ind w:firstLine="422" w:firstLineChars="200"/>
        <w:rPr>
          <w:rFonts w:ascii="Arial" w:hAnsi="Arial" w:cs="Arial"/>
          <w:szCs w:val="21"/>
        </w:rPr>
      </w:pPr>
      <w:r>
        <w:rPr>
          <w:rFonts w:ascii="Arial" w:hAnsi="Arial" w:cs="Arial"/>
          <w:b/>
          <w:bCs/>
          <w:szCs w:val="21"/>
        </w:rPr>
        <w:t xml:space="preserve">第十八条 </w:t>
      </w:r>
      <w:r>
        <w:rPr>
          <w:rFonts w:ascii="Arial" w:hAnsi="Arial" w:cs="Arial"/>
          <w:szCs w:val="21"/>
        </w:rPr>
        <w:t xml:space="preserve"> </w:t>
      </w:r>
      <w:r>
        <w:rPr>
          <w:rStyle w:val="91"/>
          <w:rFonts w:ascii="Arial" w:hAnsi="Arial" w:cs="Arial"/>
          <w:color w:val="000000"/>
          <w:szCs w:val="21"/>
        </w:rPr>
        <w:t>保险人自收到赔偿的请求和有关证明、资料之日起六十日内，对其赔偿保险金的数额不能确定的，应当根据已有证明和资料可以确定的数额先予支付；保险人最终确定赔偿的数额后，应当支付相应的差额。</w:t>
      </w:r>
      <w:r>
        <w:rPr>
          <w:rStyle w:val="92"/>
          <w:rFonts w:ascii="Arial" w:hAnsi="Arial" w:cs="Arial"/>
          <w:color w:val="000000"/>
          <w:szCs w:val="21"/>
        </w:rPr>
        <w:t> </w:t>
      </w:r>
    </w:p>
    <w:p>
      <w:pPr>
        <w:ind w:firstLine="420" w:firstLineChars="200"/>
        <w:rPr>
          <w:rFonts w:ascii="Arial" w:hAnsi="Arial" w:cs="Arial"/>
          <w:i/>
          <w:iCs/>
          <w:szCs w:val="21"/>
        </w:rPr>
      </w:pPr>
    </w:p>
    <w:p>
      <w:pPr>
        <w:ind w:firstLine="422" w:firstLineChars="200"/>
        <w:jc w:val="center"/>
        <w:rPr>
          <w:rFonts w:ascii="Arial" w:hAnsi="Arial" w:cs="Arial"/>
          <w:b/>
          <w:bCs/>
          <w:szCs w:val="21"/>
        </w:rPr>
      </w:pPr>
      <w:r>
        <w:rPr>
          <w:rFonts w:ascii="Arial" w:hAnsi="Arial" w:cs="Arial"/>
          <w:b/>
          <w:bCs/>
          <w:szCs w:val="21"/>
        </w:rPr>
        <w:t>投保人、被保险人义务</w:t>
      </w:r>
    </w:p>
    <w:p>
      <w:pPr>
        <w:pStyle w:val="16"/>
        <w:spacing w:after="0" w:line="240" w:lineRule="auto"/>
        <w:ind w:left="0" w:leftChars="0" w:firstLine="420" w:firstLineChars="200"/>
        <w:rPr>
          <w:rFonts w:ascii="Arial" w:hAnsi="Arial" w:cs="Arial" w:eastAsiaTheme="minorEastAsia"/>
          <w:szCs w:val="21"/>
        </w:rPr>
      </w:pPr>
      <w:r>
        <w:rPr>
          <w:rFonts w:ascii="Arial" w:hAnsi="Arial" w:cs="Arial" w:eastAsiaTheme="minorEastAsia"/>
          <w:b/>
          <w:szCs w:val="21"/>
        </w:rPr>
        <w:t>第十九条</w:t>
      </w:r>
      <w:r>
        <w:rPr>
          <w:rFonts w:ascii="Arial" w:hAnsi="Arial" w:cs="Arial" w:eastAsiaTheme="minorEastAsia"/>
          <w:szCs w:val="21"/>
        </w:rPr>
        <w:t xml:space="preserve">  订立保险合同，保险人就保险标的或者被保险人的有关情况提出询问的，投保人应当如实告知，并如实填写投保单。</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sz w:val="21"/>
          <w:szCs w:val="21"/>
          <w:lang w:eastAsia="zh-CN"/>
        </w:rPr>
        <w:t>投保人故意或者因重大过失未履行前款规定的如实告知义务，足以影响保险人决定是否同意承保或者提高保险费率的，保险人有权解除合同。</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b/>
          <w:sz w:val="21"/>
          <w:szCs w:val="21"/>
          <w:lang w:eastAsia="zh-CN"/>
        </w:rPr>
        <w:t>投保人故意不履行如实告知义务的，保险人对于合同解除前发生的保险事故，不承担赔偿责任，并不退还保险费。</w:t>
      </w:r>
    </w:p>
    <w:p>
      <w:pPr>
        <w:pStyle w:val="13"/>
        <w:spacing w:after="0"/>
        <w:ind w:left="0" w:leftChars="0" w:firstLine="420" w:firstLineChars="200"/>
        <w:jc w:val="both"/>
        <w:rPr>
          <w:rFonts w:ascii="Arial" w:hAnsi="Arial" w:cs="Arial" w:eastAsiaTheme="minorEastAsia"/>
          <w:bCs/>
          <w:sz w:val="21"/>
          <w:szCs w:val="21"/>
          <w:lang w:eastAsia="zh-CN"/>
        </w:rPr>
      </w:pPr>
      <w:r>
        <w:rPr>
          <w:rFonts w:ascii="Arial" w:hAnsi="Arial" w:cs="Arial" w:eastAsiaTheme="minorEastAsia"/>
          <w:b/>
          <w:sz w:val="21"/>
          <w:szCs w:val="21"/>
          <w:lang w:eastAsia="zh-CN"/>
        </w:rPr>
        <w:t>投保人因重大过失未履行如实告知义务，对保险事故的发生有严重影响的，保险人对于合同解除前发生的保险事故，不承担赔偿责任，</w:t>
      </w:r>
      <w:r>
        <w:rPr>
          <w:rFonts w:ascii="Arial" w:hAnsi="Arial" w:cs="Arial" w:eastAsiaTheme="minorEastAsia"/>
          <w:b/>
          <w:bCs/>
          <w:sz w:val="21"/>
          <w:szCs w:val="21"/>
          <w:lang w:eastAsia="zh-CN"/>
        </w:rPr>
        <w:t>但应当退还保险费。</w:t>
      </w:r>
    </w:p>
    <w:p>
      <w:pPr>
        <w:pStyle w:val="16"/>
        <w:spacing w:after="0" w:line="240" w:lineRule="auto"/>
        <w:ind w:left="0" w:leftChars="0" w:firstLine="420" w:firstLineChars="200"/>
        <w:rPr>
          <w:rFonts w:ascii="Arial" w:hAnsi="Arial" w:cs="Arial" w:eastAsiaTheme="minorEastAsia"/>
          <w:b/>
          <w:bCs/>
          <w:szCs w:val="21"/>
        </w:rPr>
      </w:pPr>
      <w:r>
        <w:rPr>
          <w:rFonts w:ascii="Arial" w:hAnsi="Arial" w:cs="Arial" w:eastAsiaTheme="minorEastAsia"/>
          <w:b/>
          <w:szCs w:val="21"/>
        </w:rPr>
        <w:t xml:space="preserve">第二十条  </w:t>
      </w:r>
      <w:r>
        <w:rPr>
          <w:rFonts w:ascii="Arial" w:hAnsi="Arial" w:cs="Arial" w:eastAsiaTheme="minorEastAsia"/>
          <w:bCs/>
          <w:szCs w:val="21"/>
        </w:rPr>
        <w:t>投保人应按约定交付保险费。</w:t>
      </w:r>
    </w:p>
    <w:p>
      <w:pPr>
        <w:pStyle w:val="16"/>
        <w:spacing w:after="0" w:line="240" w:lineRule="auto"/>
        <w:ind w:left="0" w:leftChars="0" w:firstLine="420" w:firstLineChars="200"/>
        <w:rPr>
          <w:rFonts w:ascii="Arial" w:hAnsi="Arial" w:cs="Arial" w:eastAsiaTheme="minorEastAsia"/>
          <w:b/>
          <w:bCs/>
          <w:szCs w:val="21"/>
        </w:rPr>
      </w:pPr>
      <w:r>
        <w:rPr>
          <w:rFonts w:ascii="Arial" w:hAnsi="Arial" w:cs="Arial" w:eastAsiaTheme="minorEastAsia"/>
          <w:bCs/>
          <w:szCs w:val="21"/>
        </w:rPr>
        <w:t>约定一次性交付保险费的，</w:t>
      </w:r>
      <w:r>
        <w:rPr>
          <w:rFonts w:ascii="Arial" w:hAnsi="Arial" w:cs="Arial" w:eastAsiaTheme="minorEastAsia"/>
          <w:b/>
          <w:bCs/>
          <w:szCs w:val="21"/>
        </w:rPr>
        <w:t>投保人在约定交费日后交付保险费的，保险人对交费之前发生的保险事故不承担保险责任。</w:t>
      </w:r>
    </w:p>
    <w:p>
      <w:pPr>
        <w:pStyle w:val="16"/>
        <w:spacing w:after="0" w:line="240" w:lineRule="auto"/>
        <w:ind w:left="0" w:leftChars="0" w:firstLine="420" w:firstLineChars="200"/>
        <w:rPr>
          <w:rFonts w:ascii="Arial" w:hAnsi="Arial" w:cs="Arial" w:eastAsiaTheme="minorEastAsia"/>
          <w:b/>
          <w:bCs/>
          <w:szCs w:val="21"/>
        </w:rPr>
      </w:pPr>
      <w:r>
        <w:rPr>
          <w:rFonts w:ascii="Arial" w:hAnsi="Arial" w:cs="Arial" w:eastAsiaTheme="minorEastAsia"/>
          <w:bCs/>
          <w:szCs w:val="21"/>
        </w:rPr>
        <w:t>约定分期交付保险费的，</w:t>
      </w:r>
      <w:r>
        <w:rPr>
          <w:rFonts w:ascii="Arial" w:hAnsi="Arial" w:cs="Arial" w:eastAsiaTheme="minorEastAsia"/>
          <w:b/>
          <w:bCs/>
          <w:szCs w:val="21"/>
        </w:rPr>
        <w:t>保险人按照保险事故发生前保险人实际收取保险费总额与投保人应当交付的保险费的比例承担保险责任，</w:t>
      </w:r>
      <w:r>
        <w:rPr>
          <w:rFonts w:ascii="Arial" w:hAnsi="Arial" w:cs="Arial" w:eastAsiaTheme="minorEastAsia"/>
          <w:bCs/>
          <w:szCs w:val="21"/>
        </w:rPr>
        <w:t>投保人应当交付的保险费是指截至保险事故发生时投保人按约定分期应该缴纳的保费总额。</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b/>
          <w:sz w:val="21"/>
          <w:szCs w:val="21"/>
          <w:lang w:eastAsia="zh-CN"/>
        </w:rPr>
        <w:t>第二十一条</w:t>
      </w:r>
      <w:r>
        <w:rPr>
          <w:rFonts w:ascii="Arial" w:hAnsi="Arial" w:cs="Arial" w:eastAsiaTheme="minorEastAsia"/>
          <w:sz w:val="21"/>
          <w:szCs w:val="21"/>
          <w:lang w:eastAsia="zh-CN"/>
        </w:rPr>
        <w:t xml:space="preserve">  被保险人应当遵守国家有关消防、安全、生产操作、劳动保护等方面的相关法律、法规及规定，加强管理，采取合理的预防措施，尽力避免或减少责任事故的发生，维护保险标的的安全。</w:t>
      </w:r>
    </w:p>
    <w:p>
      <w:pPr>
        <w:adjustRightInd w:val="0"/>
        <w:snapToGrid w:val="0"/>
        <w:ind w:firstLine="420" w:firstLineChars="200"/>
        <w:rPr>
          <w:rFonts w:ascii="Arial" w:hAnsi="Arial" w:cs="Arial"/>
          <w:szCs w:val="21"/>
        </w:rPr>
      </w:pPr>
      <w:r>
        <w:rPr>
          <w:rFonts w:ascii="Arial" w:hAnsi="Arial" w:cs="Arial"/>
          <w:szCs w:val="21"/>
        </w:rPr>
        <w:t>保险人可以对被保险人遵守前款约定的情况进行检查，向投保人、被保险人提出消除不安全因素和隐患的书面建议，投保人、被保险人应该认真付诸实施。</w:t>
      </w:r>
    </w:p>
    <w:p>
      <w:pPr>
        <w:pStyle w:val="16"/>
        <w:spacing w:after="0" w:line="240" w:lineRule="auto"/>
        <w:ind w:left="0" w:leftChars="0" w:firstLine="420" w:firstLineChars="200"/>
        <w:rPr>
          <w:rFonts w:ascii="Arial" w:hAnsi="Arial" w:cs="Arial" w:eastAsiaTheme="minorEastAsia"/>
          <w:szCs w:val="21"/>
        </w:rPr>
      </w:pPr>
      <w:r>
        <w:rPr>
          <w:rFonts w:ascii="Arial" w:hAnsi="Arial" w:cs="Arial" w:eastAsiaTheme="minorEastAsia"/>
          <w:szCs w:val="21"/>
        </w:rPr>
        <w:t>投保人、被保险人未按照约定履行其对保险标的的安全应尽责任的，保险人有权要求增加保险费或者解除合同。</w:t>
      </w:r>
    </w:p>
    <w:p>
      <w:pPr>
        <w:pStyle w:val="16"/>
        <w:spacing w:after="0" w:line="240" w:lineRule="auto"/>
        <w:ind w:left="0" w:leftChars="0" w:firstLine="420" w:firstLineChars="200"/>
        <w:rPr>
          <w:rStyle w:val="91"/>
          <w:rFonts w:ascii="Arial" w:hAnsi="Arial" w:cs="Arial" w:eastAsiaTheme="minorEastAsia"/>
          <w:bCs/>
          <w:szCs w:val="21"/>
        </w:rPr>
      </w:pPr>
      <w:r>
        <w:rPr>
          <w:rFonts w:ascii="Arial" w:hAnsi="Arial" w:cs="Arial" w:eastAsiaTheme="minorEastAsia"/>
          <w:b/>
          <w:bCs/>
          <w:szCs w:val="21"/>
        </w:rPr>
        <w:t>第二十二条</w:t>
      </w:r>
      <w:r>
        <w:rPr>
          <w:rFonts w:ascii="Arial" w:hAnsi="Arial" w:cs="Arial" w:eastAsiaTheme="minorEastAsia"/>
          <w:szCs w:val="21"/>
        </w:rPr>
        <w:t xml:space="preserve">  </w:t>
      </w:r>
      <w:r>
        <w:rPr>
          <w:rStyle w:val="91"/>
          <w:rFonts w:ascii="Arial" w:hAnsi="Arial" w:cs="Arial" w:eastAsiaTheme="minorEastAsia"/>
          <w:color w:val="000000"/>
          <w:szCs w:val="21"/>
        </w:rPr>
        <w:t>保险标的转让的，被保险人或者受让人应当及时通知保险人。</w:t>
      </w:r>
    </w:p>
    <w:p>
      <w:pPr>
        <w:pStyle w:val="16"/>
        <w:spacing w:after="0" w:line="240" w:lineRule="auto"/>
        <w:ind w:left="0" w:leftChars="0" w:firstLine="420" w:firstLineChars="200"/>
        <w:rPr>
          <w:rFonts w:ascii="Arial" w:hAnsi="Arial" w:cs="Arial" w:eastAsiaTheme="minorEastAsia"/>
          <w:szCs w:val="21"/>
        </w:rPr>
      </w:pPr>
      <w:r>
        <w:rPr>
          <w:rFonts w:ascii="Arial" w:hAnsi="Arial" w:cs="Arial" w:eastAsiaTheme="minorEastAsia"/>
          <w:szCs w:val="21"/>
        </w:rPr>
        <w:t>因保险标的转让导致危险程度显著增加的，保险人自收到前款规定的通知之日起三十日内，可以按照合同约定增加保险费或者解除合同。</w:t>
      </w:r>
      <w:r>
        <w:rPr>
          <w:rFonts w:ascii="Arial" w:hAnsi="Arial" w:cs="Arial" w:eastAsiaTheme="minorEastAsia"/>
          <w:color w:val="000000"/>
          <w:szCs w:val="21"/>
        </w:rPr>
        <w:t>保险人解除合同的，应当将已收取的保险费，按照合同约定扣除自保险责任开始之日起至合同解除之日止应收的部分后，退还投保人。</w:t>
      </w:r>
    </w:p>
    <w:p>
      <w:pPr>
        <w:pStyle w:val="16"/>
        <w:spacing w:after="0" w:line="240" w:lineRule="auto"/>
        <w:ind w:left="0" w:leftChars="0" w:firstLine="420" w:firstLineChars="200"/>
        <w:rPr>
          <w:rFonts w:ascii="Arial" w:hAnsi="Arial" w:cs="Arial" w:eastAsiaTheme="minorEastAsia"/>
          <w:b/>
          <w:szCs w:val="21"/>
        </w:rPr>
      </w:pPr>
      <w:r>
        <w:rPr>
          <w:rStyle w:val="91"/>
          <w:rFonts w:ascii="Arial" w:hAnsi="Arial" w:cs="Arial" w:eastAsiaTheme="minorEastAsia"/>
          <w:b/>
          <w:color w:val="000000"/>
          <w:szCs w:val="21"/>
        </w:rPr>
        <w:t>被保险人、受让人未履行本条规定的通知义务的，因转让导致保险标的危险程度显著增加而发生的保险事故，保险人不承担赔偿责任。</w:t>
      </w:r>
    </w:p>
    <w:p>
      <w:pPr>
        <w:pStyle w:val="16"/>
        <w:spacing w:after="0" w:line="240" w:lineRule="auto"/>
        <w:ind w:left="0" w:leftChars="0" w:firstLine="420" w:firstLineChars="200"/>
        <w:rPr>
          <w:rFonts w:ascii="Arial" w:hAnsi="Arial" w:cs="Arial" w:eastAsiaTheme="minorEastAsia"/>
          <w:bCs/>
          <w:szCs w:val="21"/>
        </w:rPr>
      </w:pPr>
      <w:r>
        <w:rPr>
          <w:rFonts w:ascii="Arial" w:hAnsi="Arial" w:cs="Arial" w:eastAsiaTheme="minorEastAsia"/>
          <w:b/>
          <w:bCs/>
          <w:szCs w:val="21"/>
        </w:rPr>
        <w:t>第二十三条</w:t>
      </w:r>
      <w:r>
        <w:rPr>
          <w:rFonts w:ascii="Arial" w:hAnsi="Arial" w:cs="Arial" w:eastAsiaTheme="minorEastAsia"/>
          <w:szCs w:val="21"/>
        </w:rPr>
        <w:t xml:space="preserve">  在合同有效期内，如保险标的占用与使用性质、保险标的地址及其他可能导致保险标的危险程度显著增加的、或其他足以影响保险人决定是否继续承保或是否增加保险费的保险合同重要事项变更，被保险人应及时书面通知保险人，保险人有权要求增加保险费或者解除合同。</w:t>
      </w:r>
    </w:p>
    <w:p>
      <w:pPr>
        <w:ind w:firstLine="422" w:firstLineChars="200"/>
        <w:rPr>
          <w:rFonts w:ascii="Arial" w:hAnsi="Arial" w:cs="Arial"/>
          <w:b/>
          <w:szCs w:val="21"/>
        </w:rPr>
      </w:pPr>
      <w:r>
        <w:rPr>
          <w:rFonts w:ascii="Arial" w:hAnsi="Arial" w:cs="Arial"/>
          <w:b/>
          <w:szCs w:val="21"/>
        </w:rPr>
        <w:t>被保险人未履行前款约定的通知义务的，因保险标的的危险程度显著增加而发生的保险事故，保险人不承担赔偿责任。</w:t>
      </w:r>
    </w:p>
    <w:p>
      <w:pPr>
        <w:ind w:firstLine="422" w:firstLineChars="200"/>
        <w:rPr>
          <w:rFonts w:ascii="Arial" w:hAnsi="Arial" w:cs="Arial"/>
          <w:szCs w:val="21"/>
        </w:rPr>
      </w:pPr>
      <w:r>
        <w:rPr>
          <w:rFonts w:ascii="Arial" w:hAnsi="Arial" w:cs="Arial"/>
          <w:b/>
          <w:szCs w:val="21"/>
        </w:rPr>
        <w:t>第二十四条</w:t>
      </w:r>
      <w:r>
        <w:rPr>
          <w:rFonts w:ascii="Arial" w:hAnsi="Arial" w:cs="Arial"/>
          <w:szCs w:val="21"/>
        </w:rPr>
        <w:t xml:space="preserve">  知道保险事故发生后，被保险人应该：</w:t>
      </w:r>
    </w:p>
    <w:p>
      <w:pPr>
        <w:ind w:firstLine="420" w:firstLineChars="200"/>
        <w:rPr>
          <w:rFonts w:ascii="Arial" w:hAnsi="Arial" w:cs="Arial"/>
          <w:szCs w:val="21"/>
        </w:rPr>
      </w:pPr>
      <w:r>
        <w:rPr>
          <w:rFonts w:ascii="Arial" w:hAnsi="Arial" w:cs="Arial"/>
          <w:szCs w:val="21"/>
        </w:rPr>
        <w:t>（一）尽力采取必要、合理的措施，防止或减少损失，否则，</w:t>
      </w:r>
      <w:r>
        <w:rPr>
          <w:rFonts w:ascii="Arial" w:hAnsi="Arial" w:cs="Arial"/>
          <w:b/>
          <w:szCs w:val="21"/>
        </w:rPr>
        <w:t>对因此扩大的损失，保险人不承担赔偿责任；</w:t>
      </w:r>
    </w:p>
    <w:p>
      <w:pPr>
        <w:ind w:firstLine="420" w:firstLineChars="200"/>
        <w:rPr>
          <w:rFonts w:ascii="Arial" w:hAnsi="Arial" w:cs="Arial"/>
          <w:szCs w:val="21"/>
        </w:rPr>
      </w:pPr>
      <w:r>
        <w:rPr>
          <w:rFonts w:ascii="Arial" w:hAnsi="Arial" w:cs="Arial"/>
          <w:szCs w:val="21"/>
        </w:rPr>
        <w:t>（二）立即通知保险人，并书面说明事故发生的原因、经过和损失情况；</w:t>
      </w:r>
      <w:r>
        <w:rPr>
          <w:rStyle w:val="91"/>
          <w:rFonts w:ascii="Arial" w:hAnsi="Arial" w:cs="Arial"/>
          <w:b/>
          <w:color w:val="000000"/>
          <w:szCs w:val="21"/>
        </w:rPr>
        <w:t>故意或者因重大过失未及时通知，致使保险事故的性质、原因、损失程度等难以确定的，保险人对无法确定的部分，不承担赔偿责任，但保险人通过其他途径已经及时知道或者应当及时知道保险事故发生的除外；</w:t>
      </w:r>
    </w:p>
    <w:p>
      <w:pPr>
        <w:ind w:firstLine="420" w:firstLineChars="200"/>
        <w:rPr>
          <w:rFonts w:ascii="Arial" w:hAnsi="Arial" w:cs="Arial"/>
          <w:bCs/>
          <w:szCs w:val="21"/>
        </w:rPr>
      </w:pPr>
      <w:r>
        <w:rPr>
          <w:rFonts w:ascii="Arial" w:hAnsi="Arial" w:cs="Arial"/>
          <w:bCs/>
          <w:szCs w:val="21"/>
        </w:rPr>
        <w:t>（三）保护事故现场，允许并且协助保险人进行事故调查；</w:t>
      </w:r>
      <w:r>
        <w:rPr>
          <w:rFonts w:ascii="Arial" w:hAnsi="Arial" w:cs="Arial"/>
          <w:b/>
          <w:bCs/>
          <w:szCs w:val="21"/>
        </w:rPr>
        <w:t>对于拒绝或者妨碍保险人进行事故调查导致无法确定事故原因或核实损失情况的，保险人对无法核实的部分不承担赔偿责任。</w:t>
      </w:r>
    </w:p>
    <w:p>
      <w:pPr>
        <w:ind w:firstLine="422" w:firstLineChars="200"/>
        <w:rPr>
          <w:rFonts w:ascii="Arial" w:hAnsi="Arial" w:cs="Arial"/>
          <w:szCs w:val="21"/>
        </w:rPr>
      </w:pPr>
      <w:r>
        <w:rPr>
          <w:rFonts w:ascii="Arial" w:hAnsi="Arial" w:cs="Arial"/>
          <w:b/>
          <w:szCs w:val="21"/>
        </w:rPr>
        <w:t xml:space="preserve">第二十五条  </w:t>
      </w:r>
      <w:r>
        <w:rPr>
          <w:rFonts w:ascii="Arial" w:hAnsi="Arial" w:cs="Arial"/>
          <w:szCs w:val="21"/>
        </w:rPr>
        <w:t>被保险人请求赔偿时，应向保险人提供下列证明和资料：</w:t>
      </w:r>
    </w:p>
    <w:p>
      <w:pPr>
        <w:ind w:firstLine="420" w:firstLineChars="200"/>
        <w:rPr>
          <w:rFonts w:ascii="Arial" w:hAnsi="Arial" w:cs="Arial"/>
          <w:szCs w:val="21"/>
        </w:rPr>
      </w:pPr>
      <w:r>
        <w:rPr>
          <w:rFonts w:ascii="Arial" w:hAnsi="Arial" w:cs="Arial"/>
          <w:szCs w:val="21"/>
        </w:rPr>
        <w:t>（一）保险单正本、索赔申请、财产损失清单、技术鉴定证明、事故报告书、救护费用发票、必要的帐簿、单据和有关部门的证明；</w:t>
      </w:r>
    </w:p>
    <w:p>
      <w:pPr>
        <w:ind w:firstLine="420" w:firstLineChars="200"/>
        <w:rPr>
          <w:rFonts w:ascii="Arial" w:hAnsi="Arial" w:cs="Arial"/>
          <w:szCs w:val="21"/>
        </w:rPr>
      </w:pPr>
      <w:r>
        <w:rPr>
          <w:rFonts w:ascii="Arial" w:hAnsi="Arial" w:cs="Arial"/>
          <w:szCs w:val="21"/>
        </w:rPr>
        <w:t>（二）投保人、被保险人所能提供的与确认保险事故的性质、原因、损失程度等有关的其他证明和资料。</w:t>
      </w:r>
    </w:p>
    <w:p>
      <w:pPr>
        <w:ind w:firstLine="422" w:firstLineChars="200"/>
        <w:rPr>
          <w:rFonts w:ascii="Arial" w:hAnsi="Arial" w:cs="Arial"/>
          <w:b/>
          <w:szCs w:val="21"/>
        </w:rPr>
      </w:pPr>
      <w:r>
        <w:rPr>
          <w:rFonts w:ascii="Arial" w:hAnsi="Arial" w:cs="Arial"/>
          <w:b/>
          <w:szCs w:val="21"/>
        </w:rPr>
        <w:t>投保人、被保险人未履行前款约定的单证提供义务，导致保险人无法核实损失情况的，保险人对无法核实的部分不承担赔偿责任。</w:t>
      </w:r>
    </w:p>
    <w:p>
      <w:pPr>
        <w:ind w:firstLine="420" w:firstLineChars="200"/>
        <w:rPr>
          <w:rFonts w:ascii="Arial" w:hAnsi="Arial" w:cs="Arial"/>
          <w:szCs w:val="21"/>
        </w:rPr>
      </w:pPr>
    </w:p>
    <w:p>
      <w:pPr>
        <w:ind w:firstLine="422" w:firstLineChars="200"/>
        <w:jc w:val="center"/>
        <w:rPr>
          <w:rFonts w:ascii="Arial" w:hAnsi="Arial" w:cs="Arial"/>
          <w:b/>
          <w:bCs/>
          <w:szCs w:val="21"/>
        </w:rPr>
      </w:pPr>
      <w:r>
        <w:rPr>
          <w:rFonts w:ascii="Arial" w:hAnsi="Arial" w:cs="Arial"/>
          <w:b/>
          <w:bCs/>
          <w:szCs w:val="21"/>
        </w:rPr>
        <w:t>赔偿处理</w:t>
      </w:r>
    </w:p>
    <w:p>
      <w:pPr>
        <w:ind w:firstLine="422" w:firstLineChars="200"/>
        <w:rPr>
          <w:rFonts w:ascii="Arial" w:hAnsi="Arial" w:cs="Arial"/>
          <w:szCs w:val="21"/>
        </w:rPr>
      </w:pPr>
      <w:r>
        <w:rPr>
          <w:rFonts w:ascii="Arial" w:hAnsi="Arial" w:cs="Arial"/>
          <w:b/>
          <w:szCs w:val="21"/>
        </w:rPr>
        <w:t>第二十六条</w:t>
      </w:r>
      <w:r>
        <w:rPr>
          <w:rFonts w:ascii="Arial" w:hAnsi="Arial" w:cs="Arial"/>
          <w:szCs w:val="21"/>
        </w:rPr>
        <w:t xml:space="preserve">  </w:t>
      </w:r>
      <w:r>
        <w:rPr>
          <w:rStyle w:val="91"/>
          <w:rFonts w:ascii="Arial" w:hAnsi="Arial" w:cs="Arial"/>
          <w:b/>
          <w:color w:val="000000"/>
          <w:szCs w:val="21"/>
        </w:rPr>
        <w:t>保险事故发生时，被保险人对保险标的不具有保险利益的，不得向保险人请求赔偿保险金。</w:t>
      </w:r>
    </w:p>
    <w:p>
      <w:pPr>
        <w:ind w:firstLine="422" w:firstLineChars="200"/>
        <w:rPr>
          <w:rFonts w:ascii="Arial" w:hAnsi="Arial" w:cs="Arial"/>
          <w:szCs w:val="21"/>
        </w:rPr>
      </w:pPr>
      <w:r>
        <w:rPr>
          <w:rFonts w:ascii="Arial" w:hAnsi="Arial" w:cs="Arial"/>
          <w:b/>
          <w:szCs w:val="21"/>
        </w:rPr>
        <w:t>第二十七条</w:t>
      </w:r>
      <w:r>
        <w:rPr>
          <w:rFonts w:ascii="Arial" w:hAnsi="Arial" w:cs="Arial"/>
          <w:szCs w:val="21"/>
        </w:rPr>
        <w:t xml:space="preserve">  保险标的发生保险责任范围内的损失，保险人有权选择下列方式赔偿：</w:t>
      </w:r>
    </w:p>
    <w:p>
      <w:pPr>
        <w:ind w:firstLine="420" w:firstLineChars="200"/>
        <w:rPr>
          <w:rFonts w:ascii="Arial" w:hAnsi="Arial" w:cs="Arial"/>
          <w:szCs w:val="21"/>
        </w:rPr>
      </w:pPr>
      <w:r>
        <w:rPr>
          <w:rFonts w:ascii="Arial" w:hAnsi="Arial" w:cs="Arial"/>
          <w:szCs w:val="21"/>
        </w:rPr>
        <w:t>（一）货币赔偿：保险人以支付保险金的方式赔偿；</w:t>
      </w:r>
    </w:p>
    <w:p>
      <w:pPr>
        <w:ind w:firstLine="420" w:firstLineChars="200"/>
        <w:rPr>
          <w:rFonts w:ascii="Arial" w:hAnsi="Arial" w:cs="Arial"/>
          <w:szCs w:val="21"/>
        </w:rPr>
      </w:pPr>
      <w:r>
        <w:rPr>
          <w:rFonts w:ascii="Arial" w:hAnsi="Arial" w:cs="Arial"/>
          <w:szCs w:val="21"/>
        </w:rPr>
        <w:t>（二）实物赔偿：保险人以实物替换受损标的，该实物应具有保险标的出险前同等的类型、结构、状态和性能；</w:t>
      </w:r>
    </w:p>
    <w:p>
      <w:pPr>
        <w:ind w:firstLine="420" w:firstLineChars="200"/>
        <w:rPr>
          <w:rFonts w:ascii="Arial" w:hAnsi="Arial" w:cs="Arial"/>
          <w:szCs w:val="21"/>
        </w:rPr>
      </w:pPr>
      <w:r>
        <w:rPr>
          <w:rFonts w:ascii="Arial" w:hAnsi="Arial" w:cs="Arial"/>
          <w:szCs w:val="21"/>
        </w:rPr>
        <w:t>（三）实际修复：保险人自行或委托他人修理修复受损标的。</w:t>
      </w:r>
    </w:p>
    <w:p>
      <w:pPr>
        <w:ind w:firstLine="422" w:firstLineChars="200"/>
        <w:rPr>
          <w:rFonts w:ascii="Arial" w:hAnsi="Arial" w:cs="Arial"/>
          <w:b/>
          <w:szCs w:val="21"/>
        </w:rPr>
      </w:pPr>
      <w:r>
        <w:rPr>
          <w:rFonts w:ascii="Arial" w:hAnsi="Arial" w:cs="Arial"/>
          <w:b/>
          <w:szCs w:val="21"/>
        </w:rPr>
        <w:t>对保险标的在修复或替换过程中，被保险人进行的任何变更、性能增加或改进所产生的额外费用，保险人不负责赔偿。</w:t>
      </w:r>
    </w:p>
    <w:p>
      <w:pPr>
        <w:pStyle w:val="13"/>
        <w:adjustRightInd w:val="0"/>
        <w:snapToGrid w:val="0"/>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b/>
          <w:sz w:val="21"/>
          <w:szCs w:val="21"/>
          <w:lang w:eastAsia="zh-CN"/>
        </w:rPr>
        <w:t>第二十八条</w:t>
      </w:r>
      <w:r>
        <w:rPr>
          <w:rFonts w:ascii="Arial" w:hAnsi="Arial" w:cs="Arial" w:eastAsiaTheme="minorEastAsia"/>
          <w:sz w:val="21"/>
          <w:szCs w:val="21"/>
          <w:lang w:eastAsia="zh-CN"/>
        </w:rPr>
        <w:t xml:space="preserve">  保险标的遭受损失后，如果有残余价值，应由双方协商处理。如折归被保险人，由双方协商确定其价值，并在保险赔款中扣除。</w:t>
      </w:r>
    </w:p>
    <w:p>
      <w:pPr>
        <w:ind w:firstLine="422" w:firstLineChars="200"/>
        <w:rPr>
          <w:rFonts w:ascii="Arial" w:hAnsi="Arial" w:cs="Arial"/>
          <w:szCs w:val="21"/>
        </w:rPr>
      </w:pPr>
      <w:r>
        <w:rPr>
          <w:rFonts w:ascii="Arial" w:hAnsi="Arial" w:cs="Arial"/>
          <w:b/>
          <w:szCs w:val="21"/>
        </w:rPr>
        <w:t>第二十九条</w:t>
      </w:r>
      <w:r>
        <w:rPr>
          <w:rFonts w:ascii="Arial" w:hAnsi="Arial" w:cs="Arial"/>
          <w:szCs w:val="21"/>
        </w:rPr>
        <w:t xml:space="preserve">  保险标的发生保险责任范围内的损失，保险人按以下方式计算赔偿：</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sz w:val="21"/>
          <w:szCs w:val="21"/>
          <w:lang w:eastAsia="zh-CN"/>
        </w:rPr>
        <w:t>（一）保险金额等于或高于保险价值时，按实际损失计算赔偿，最高不超过保险价值；</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sz w:val="21"/>
          <w:szCs w:val="21"/>
          <w:lang w:eastAsia="zh-CN"/>
        </w:rPr>
        <w:t>（二）保险金额低于保险价值时，按保险金额与保险价值的比例乘以实际损失计算赔偿，最高不超过保险金额；</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sz w:val="21"/>
          <w:szCs w:val="21"/>
          <w:lang w:eastAsia="zh-CN"/>
        </w:rPr>
        <w:t>（三）若本保险合同所列标的不止一项时，应分项按照本条约定处理。</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b/>
          <w:sz w:val="21"/>
          <w:szCs w:val="21"/>
          <w:lang w:eastAsia="zh-CN"/>
        </w:rPr>
        <w:t xml:space="preserve">第三十条 </w:t>
      </w:r>
      <w:r>
        <w:rPr>
          <w:rFonts w:ascii="Arial" w:hAnsi="Arial" w:cs="Arial" w:eastAsiaTheme="minorEastAsia"/>
          <w:sz w:val="21"/>
          <w:szCs w:val="21"/>
          <w:lang w:eastAsia="zh-CN"/>
        </w:rPr>
        <w:t xml:space="preserve"> 保险标的的保险金额大于或等于其保险价值时，被保险人为防止或减少保险标的的损失所支付的必要的、合理的费用，在保险标的损失赔偿金额之外另行计算，最高不超过被施救保险标的的保险价值。</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sz w:val="21"/>
          <w:szCs w:val="21"/>
          <w:lang w:eastAsia="zh-CN"/>
        </w:rPr>
        <w:t>保险标的的保险金额小于其保险价值时，上述费用按被施救保险标的的保险金额与其保险价值的比例在保险标的损失赔偿金额之外另行计算，最高不超过被施救保险标的的保险金额。</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sz w:val="21"/>
          <w:szCs w:val="21"/>
          <w:lang w:eastAsia="zh-CN"/>
        </w:rPr>
        <w:t>被施救的财产中，含有本保险合同未承保财产的，按被施救保险标的的保险价值与全部被施救财产价值的比例分摊施救费用。</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b/>
          <w:sz w:val="21"/>
          <w:szCs w:val="21"/>
          <w:lang w:eastAsia="zh-CN"/>
        </w:rPr>
        <w:t xml:space="preserve">第三十一条  </w:t>
      </w:r>
      <w:r>
        <w:rPr>
          <w:rFonts w:ascii="Arial" w:hAnsi="Arial" w:cs="Arial" w:eastAsiaTheme="minorEastAsia"/>
          <w:sz w:val="21"/>
          <w:szCs w:val="21"/>
          <w:lang w:eastAsia="zh-CN"/>
        </w:rPr>
        <w:t>每次事故保险人的赔偿金额为根据第二十九条、第三十条约定计算的金额扣除每次事故免赔额后的金额，或者为根据第二十九条、第三十条约定计算的金额扣除该金额与免赔率乘积后的金额。</w:t>
      </w:r>
    </w:p>
    <w:p>
      <w:pPr>
        <w:adjustRightInd w:val="0"/>
        <w:snapToGrid w:val="0"/>
        <w:ind w:firstLine="422" w:firstLineChars="200"/>
        <w:rPr>
          <w:rFonts w:ascii="Arial" w:hAnsi="Arial" w:cs="Arial"/>
          <w:szCs w:val="21"/>
        </w:rPr>
      </w:pPr>
      <w:r>
        <w:rPr>
          <w:rFonts w:ascii="Arial" w:hAnsi="Arial" w:cs="Arial"/>
          <w:b/>
          <w:szCs w:val="21"/>
        </w:rPr>
        <w:t>第三十二条</w:t>
      </w:r>
      <w:r>
        <w:rPr>
          <w:rFonts w:ascii="Arial" w:hAnsi="Arial" w:cs="Arial"/>
          <w:szCs w:val="21"/>
        </w:rPr>
        <w:t xml:space="preserve">  保险事故发生时，如果存在重复保险，保险人按照本保险合同的相应保险金额与其他保险合同及本保险合同相应保险金额总和的比例承担赔偿责任。</w:t>
      </w:r>
    </w:p>
    <w:p>
      <w:pPr>
        <w:adjustRightInd w:val="0"/>
        <w:snapToGrid w:val="0"/>
        <w:ind w:firstLine="422" w:firstLineChars="200"/>
        <w:rPr>
          <w:rFonts w:ascii="Arial" w:hAnsi="Arial" w:cs="Arial"/>
          <w:szCs w:val="21"/>
        </w:rPr>
      </w:pPr>
      <w:r>
        <w:rPr>
          <w:rFonts w:ascii="Arial" w:hAnsi="Arial" w:cs="Arial"/>
          <w:b/>
          <w:szCs w:val="21"/>
        </w:rPr>
        <w:t>其他保险人应承担的赔偿金额，本保险人不负责垫付。若被保险人未如实告知导致保险人多支付赔偿金的，保险人有权向被保险人追回多支付的部分。</w:t>
      </w:r>
    </w:p>
    <w:p>
      <w:pPr>
        <w:autoSpaceDE w:val="0"/>
        <w:autoSpaceDN w:val="0"/>
        <w:ind w:firstLine="422" w:firstLineChars="200"/>
        <w:rPr>
          <w:rFonts w:ascii="Arial" w:hAnsi="Arial" w:cs="Arial"/>
          <w:szCs w:val="21"/>
        </w:rPr>
      </w:pPr>
      <w:r>
        <w:rPr>
          <w:rFonts w:ascii="Arial" w:hAnsi="Arial" w:cs="Arial"/>
          <w:b/>
          <w:szCs w:val="21"/>
        </w:rPr>
        <w:t>第三十三条</w:t>
      </w:r>
      <w:r>
        <w:rPr>
          <w:rFonts w:ascii="Arial" w:hAnsi="Arial" w:cs="Arial"/>
          <w:szCs w:val="21"/>
        </w:rPr>
        <w:t xml:space="preserve">  保险标的发生部分损失，保险人履行赔偿义务后，本保险合同的保险金额自损失发生之日起按保险人的赔偿金额相应减少，保险人不退还保险金额减少部分的保险费。如投保人请求恢复至原保险金额，应按原约定的保险费率另行支付恢复部分从投保人请求的恢复日期起至保险期间届满之日止按日比例计算的保险费。</w:t>
      </w:r>
    </w:p>
    <w:p>
      <w:pPr>
        <w:tabs>
          <w:tab w:val="left" w:pos="2160"/>
        </w:tabs>
        <w:adjustRightInd w:val="0"/>
        <w:snapToGrid w:val="0"/>
        <w:ind w:firstLine="422" w:firstLineChars="200"/>
        <w:rPr>
          <w:rStyle w:val="91"/>
          <w:rFonts w:ascii="Arial" w:hAnsi="Arial" w:cs="Arial"/>
          <w:color w:val="000000"/>
          <w:szCs w:val="21"/>
        </w:rPr>
      </w:pPr>
      <w:r>
        <w:rPr>
          <w:rFonts w:ascii="Arial" w:hAnsi="Arial" w:cs="Arial"/>
          <w:b/>
          <w:szCs w:val="21"/>
        </w:rPr>
        <w:t>第三十四条</w:t>
      </w:r>
      <w:r>
        <w:rPr>
          <w:rFonts w:ascii="Arial" w:hAnsi="Arial" w:cs="Arial"/>
          <w:szCs w:val="21"/>
        </w:rPr>
        <w:t xml:space="preserve">  发</w:t>
      </w:r>
      <w:r>
        <w:rPr>
          <w:rStyle w:val="91"/>
          <w:rFonts w:ascii="Arial" w:hAnsi="Arial" w:cs="Arial"/>
          <w:color w:val="000000"/>
          <w:szCs w:val="21"/>
        </w:rPr>
        <w:t>生保险责任范围内的损失，应由有关责任方负责赔偿的，保险人自向被保险人赔偿保险金之日起，在赔偿金额范围内代位行使被保险人对有关责任方请求赔偿的权利，被保险人应当向保险人提供必要的文件和所知道的有关情况。</w:t>
      </w:r>
    </w:p>
    <w:p>
      <w:pPr>
        <w:tabs>
          <w:tab w:val="left" w:pos="2160"/>
        </w:tabs>
        <w:adjustRightInd w:val="0"/>
        <w:snapToGrid w:val="0"/>
        <w:ind w:firstLine="420" w:firstLineChars="200"/>
        <w:rPr>
          <w:rStyle w:val="91"/>
          <w:rFonts w:ascii="Arial" w:hAnsi="Arial" w:cs="Arial"/>
          <w:color w:val="000000"/>
          <w:szCs w:val="21"/>
        </w:rPr>
      </w:pPr>
      <w:r>
        <w:rPr>
          <w:rStyle w:val="91"/>
          <w:rFonts w:ascii="Arial" w:hAnsi="Arial" w:cs="Arial"/>
          <w:color w:val="000000"/>
          <w:szCs w:val="21"/>
        </w:rPr>
        <w:t>被保险人已经从有关责任方取得赔偿的，保险人赔偿保险金时，可以相应扣减被保险人已从有关责任方取得的赔偿金额。</w:t>
      </w:r>
    </w:p>
    <w:p>
      <w:pPr>
        <w:ind w:firstLine="422" w:firstLineChars="200"/>
        <w:rPr>
          <w:rStyle w:val="91"/>
          <w:rFonts w:ascii="Arial" w:hAnsi="Arial" w:cs="Arial"/>
          <w:b/>
          <w:color w:val="000000"/>
          <w:szCs w:val="21"/>
        </w:rPr>
      </w:pPr>
      <w:r>
        <w:rPr>
          <w:rStyle w:val="91"/>
          <w:rFonts w:ascii="Arial" w:hAnsi="Arial" w:cs="Arial"/>
          <w:b/>
          <w:color w:val="000000"/>
          <w:szCs w:val="21"/>
        </w:rPr>
        <w:t>保险事故发生后，在保险人未赔偿保险金之前，被保险人放弃对有关责任方请求赔偿权利的，保险人不承担赔偿责任；</w:t>
      </w:r>
      <w:r>
        <w:rPr>
          <w:rStyle w:val="91"/>
          <w:rFonts w:ascii="Arial" w:hAnsi="Arial" w:cs="Arial"/>
          <w:color w:val="000000"/>
          <w:szCs w:val="21"/>
        </w:rPr>
        <w:t>保险人向被保险人赔偿保险金后，被保险人未经保险人同意放弃对有关责任方请求赔偿权利的，该行为无效；</w:t>
      </w:r>
      <w:r>
        <w:rPr>
          <w:rStyle w:val="91"/>
          <w:rFonts w:ascii="Arial" w:hAnsi="Arial" w:cs="Arial"/>
          <w:b/>
          <w:color w:val="000000"/>
          <w:szCs w:val="21"/>
        </w:rPr>
        <w:t>由于被保险人故意或者因重大过失致使保险人不能行使代位请求赔偿的权利的，保险人可以扣减或者要求返还相应的保险金。</w:t>
      </w:r>
    </w:p>
    <w:p>
      <w:pPr>
        <w:ind w:firstLine="422" w:firstLineChars="200"/>
        <w:rPr>
          <w:rFonts w:ascii="Arial" w:hAnsi="Arial" w:cs="Arial"/>
          <w:szCs w:val="21"/>
        </w:rPr>
      </w:pPr>
      <w:r>
        <w:rPr>
          <w:rFonts w:ascii="Arial" w:hAnsi="Arial" w:cs="Arial"/>
          <w:b/>
          <w:szCs w:val="21"/>
        </w:rPr>
        <w:t>第三十五条</w:t>
      </w:r>
      <w:r>
        <w:rPr>
          <w:rFonts w:ascii="Arial" w:hAnsi="Arial" w:cs="Arial"/>
          <w:szCs w:val="21"/>
        </w:rPr>
        <w:t xml:space="preserve">  </w:t>
      </w:r>
      <w:r>
        <w:rPr>
          <w:rStyle w:val="91"/>
          <w:rFonts w:ascii="Arial" w:hAnsi="Arial" w:cs="Arial"/>
          <w:color w:val="000000"/>
          <w:szCs w:val="21"/>
        </w:rPr>
        <w:t>被保险人向保险人请求赔偿保险金的诉讼时效期间为二年，自其知道或者应当知道保险事故发生之日起计算。</w:t>
      </w:r>
      <w:r>
        <w:rPr>
          <w:rStyle w:val="92"/>
          <w:rFonts w:ascii="Arial" w:hAnsi="Arial" w:cs="Arial"/>
          <w:color w:val="000000"/>
          <w:szCs w:val="21"/>
        </w:rPr>
        <w:t> </w:t>
      </w:r>
    </w:p>
    <w:p>
      <w:pPr>
        <w:ind w:firstLine="420" w:firstLineChars="200"/>
        <w:rPr>
          <w:rFonts w:ascii="Arial" w:hAnsi="Arial" w:cs="Arial"/>
          <w:szCs w:val="21"/>
        </w:rPr>
      </w:pPr>
    </w:p>
    <w:p>
      <w:pPr>
        <w:ind w:firstLine="422" w:firstLineChars="200"/>
        <w:jc w:val="center"/>
        <w:rPr>
          <w:rFonts w:ascii="Arial" w:hAnsi="Arial" w:cs="Arial"/>
          <w:b/>
          <w:bCs/>
          <w:szCs w:val="21"/>
        </w:rPr>
      </w:pPr>
      <w:r>
        <w:rPr>
          <w:rFonts w:ascii="Arial" w:hAnsi="Arial" w:cs="Arial"/>
          <w:b/>
          <w:bCs/>
          <w:szCs w:val="21"/>
        </w:rPr>
        <w:t>争议处理和法律适用</w:t>
      </w:r>
    </w:p>
    <w:p>
      <w:pPr>
        <w:ind w:firstLine="422" w:firstLineChars="200"/>
        <w:rPr>
          <w:rFonts w:ascii="Arial" w:hAnsi="Arial" w:cs="Arial"/>
          <w:szCs w:val="21"/>
        </w:rPr>
      </w:pPr>
      <w:r>
        <w:rPr>
          <w:rFonts w:ascii="Arial" w:hAnsi="Arial" w:cs="Arial"/>
          <w:b/>
          <w:szCs w:val="21"/>
        </w:rPr>
        <w:t>第三十六条</w:t>
      </w:r>
      <w:r>
        <w:rPr>
          <w:rFonts w:ascii="Arial" w:hAnsi="Arial" w:cs="Arial"/>
          <w:szCs w:val="21"/>
        </w:rPr>
        <w:t xml:space="preserve">  因履行本保险合同发生的争议，由当事人协商解决。协商不成的，提交保险单载明的仲裁机构仲裁；保险单未载明仲裁机构且争议发生后未达成仲裁协议的，依法向人民法院起诉。</w:t>
      </w:r>
    </w:p>
    <w:p>
      <w:pPr>
        <w:ind w:firstLine="422" w:firstLineChars="200"/>
        <w:rPr>
          <w:rFonts w:ascii="Arial" w:hAnsi="Arial" w:cs="Arial"/>
          <w:szCs w:val="21"/>
        </w:rPr>
      </w:pPr>
      <w:r>
        <w:rPr>
          <w:rFonts w:ascii="Arial" w:hAnsi="Arial" w:cs="Arial"/>
          <w:b/>
          <w:szCs w:val="21"/>
        </w:rPr>
        <w:t>第三十七条</w:t>
      </w:r>
      <w:r>
        <w:rPr>
          <w:rFonts w:ascii="Arial" w:hAnsi="Arial" w:cs="Arial"/>
          <w:szCs w:val="21"/>
        </w:rPr>
        <w:t xml:space="preserve">  与本保险合同有关的以及履行本保险合同产生的一切争议，适用中华人民共和国法律（不包括港澳台地区法律）。</w:t>
      </w:r>
    </w:p>
    <w:p>
      <w:pPr>
        <w:ind w:firstLine="420" w:firstLineChars="200"/>
        <w:rPr>
          <w:rFonts w:ascii="Arial" w:hAnsi="Arial" w:cs="Arial"/>
          <w:szCs w:val="21"/>
        </w:rPr>
      </w:pPr>
    </w:p>
    <w:p>
      <w:pPr>
        <w:ind w:firstLine="422" w:firstLineChars="200"/>
        <w:jc w:val="center"/>
        <w:rPr>
          <w:rFonts w:ascii="Arial" w:hAnsi="Arial" w:cs="Arial"/>
          <w:b/>
          <w:bCs/>
          <w:szCs w:val="21"/>
        </w:rPr>
      </w:pPr>
      <w:r>
        <w:rPr>
          <w:rFonts w:ascii="Arial" w:hAnsi="Arial" w:cs="Arial"/>
          <w:b/>
          <w:bCs/>
          <w:szCs w:val="21"/>
        </w:rPr>
        <w:t>其他事项</w:t>
      </w:r>
    </w:p>
    <w:p>
      <w:pPr>
        <w:ind w:firstLine="422" w:firstLineChars="200"/>
        <w:rPr>
          <w:rStyle w:val="92"/>
          <w:rFonts w:ascii="Arial" w:hAnsi="Arial" w:cs="Arial"/>
          <w:color w:val="000000"/>
          <w:szCs w:val="21"/>
        </w:rPr>
      </w:pPr>
      <w:r>
        <w:rPr>
          <w:rFonts w:ascii="Arial" w:hAnsi="Arial" w:cs="Arial"/>
          <w:b/>
          <w:szCs w:val="21"/>
        </w:rPr>
        <w:t>第三十八条</w:t>
      </w:r>
      <w:r>
        <w:rPr>
          <w:rFonts w:ascii="Arial" w:hAnsi="Arial" w:cs="Arial"/>
          <w:szCs w:val="21"/>
        </w:rPr>
        <w:t xml:space="preserve">  </w:t>
      </w:r>
      <w:r>
        <w:rPr>
          <w:rStyle w:val="91"/>
          <w:rFonts w:ascii="Arial" w:hAnsi="Arial" w:cs="Arial"/>
          <w:color w:val="000000"/>
          <w:szCs w:val="21"/>
        </w:rPr>
        <w:t>保险标的发生部分损失的，自保险人赔偿之日起三十日内，投保人可以解除合同；除合同另有约定外，保险人也可以解除合同，但应当提前十五日通知投保人。</w:t>
      </w:r>
    </w:p>
    <w:p>
      <w:pPr>
        <w:ind w:firstLine="420" w:firstLineChars="200"/>
        <w:rPr>
          <w:rStyle w:val="91"/>
          <w:rFonts w:ascii="Arial" w:hAnsi="Arial" w:cs="Arial"/>
          <w:szCs w:val="21"/>
        </w:rPr>
      </w:pPr>
      <w:r>
        <w:rPr>
          <w:rFonts w:ascii="Arial" w:hAnsi="Arial" w:cs="Arial"/>
          <w:color w:val="000000"/>
          <w:szCs w:val="21"/>
        </w:rPr>
        <w:t>保险合同依据前款规定</w:t>
      </w:r>
      <w:r>
        <w:rPr>
          <w:rStyle w:val="91"/>
          <w:rFonts w:ascii="Arial" w:hAnsi="Arial" w:cs="Arial"/>
          <w:color w:val="000000"/>
          <w:szCs w:val="21"/>
        </w:rPr>
        <w:t>解除的，保险人应当将保险标的未受损失部分的保险费，按照合同约定扣除自保险责任开始之日起至合同解除之日止应收的部分后，退还投保人。</w:t>
      </w:r>
    </w:p>
    <w:p>
      <w:pPr>
        <w:ind w:firstLine="422" w:firstLineChars="200"/>
        <w:rPr>
          <w:rStyle w:val="91"/>
          <w:rFonts w:ascii="Arial" w:hAnsi="Arial" w:cs="Arial"/>
          <w:szCs w:val="21"/>
        </w:rPr>
      </w:pPr>
      <w:r>
        <w:rPr>
          <w:rFonts w:ascii="Arial" w:hAnsi="Arial" w:cs="Arial"/>
          <w:b/>
          <w:szCs w:val="21"/>
        </w:rPr>
        <w:t>第三十九条</w:t>
      </w:r>
      <w:r>
        <w:rPr>
          <w:rFonts w:ascii="Arial" w:hAnsi="Arial" w:cs="Arial"/>
          <w:szCs w:val="21"/>
        </w:rPr>
        <w:t xml:space="preserve">  </w:t>
      </w:r>
      <w:r>
        <w:rPr>
          <w:rStyle w:val="91"/>
          <w:rFonts w:ascii="Arial" w:hAnsi="Arial" w:cs="Arial"/>
          <w:szCs w:val="21"/>
        </w:rPr>
        <w:t>保险责任开始前，投保人要求解除保险合同的，应当按本保险合同的约定向保险人支付退保手续费，保险人应当退还剩余部分保险费。</w:t>
      </w:r>
    </w:p>
    <w:p>
      <w:pPr>
        <w:ind w:firstLine="420" w:firstLineChars="200"/>
        <w:rPr>
          <w:rStyle w:val="91"/>
          <w:rFonts w:ascii="Arial" w:hAnsi="Arial" w:cs="Arial"/>
          <w:szCs w:val="21"/>
        </w:rPr>
      </w:pPr>
      <w:r>
        <w:rPr>
          <w:rStyle w:val="91"/>
          <w:rFonts w:ascii="Arial" w:hAnsi="Arial" w:cs="Arial"/>
          <w:szCs w:val="21"/>
        </w:rPr>
        <w:t>保险责任开始后，投保人要求解除保险合同的，自通知保险人之日起，保险合同解除，保险人按短期费率计收保险责任开始之日起至合同解除之日止期间的保险费，并退还剩余部分保险费。</w:t>
      </w:r>
    </w:p>
    <w:p>
      <w:pPr>
        <w:ind w:firstLine="420" w:firstLineChars="200"/>
        <w:rPr>
          <w:rFonts w:ascii="Arial" w:hAnsi="Arial" w:cs="Arial"/>
          <w:szCs w:val="21"/>
        </w:rPr>
      </w:pPr>
      <w:r>
        <w:rPr>
          <w:rStyle w:val="91"/>
          <w:rFonts w:ascii="Arial" w:hAnsi="Arial" w:cs="Arial"/>
          <w:szCs w:val="21"/>
        </w:rPr>
        <w:t>保险责任开始后，保险人要求解除保险合同的，可提前十五日向投保人发出解约通知书解除本保险合同，保险人按照保险责任开始之日起至合同解除之日止期间与保险期间的日比例计收保险费，并退还剩余部分保险费。</w:t>
      </w:r>
    </w:p>
    <w:p>
      <w:pPr>
        <w:ind w:firstLine="422" w:firstLineChars="200"/>
        <w:rPr>
          <w:rFonts w:ascii="Arial" w:hAnsi="Arial" w:cs="Arial"/>
          <w:szCs w:val="21"/>
        </w:rPr>
      </w:pPr>
      <w:r>
        <w:rPr>
          <w:rFonts w:ascii="Arial" w:hAnsi="Arial" w:cs="Arial"/>
          <w:b/>
          <w:szCs w:val="21"/>
        </w:rPr>
        <w:t>第四十条</w:t>
      </w:r>
      <w:r>
        <w:rPr>
          <w:rFonts w:ascii="Arial" w:hAnsi="Arial" w:cs="Arial"/>
          <w:szCs w:val="21"/>
        </w:rPr>
        <w:t xml:space="preserve">  保险标的发生全部损失，属于保险责任的，保险人在履行赔偿义务后，本保险合同终止；不属于保险责任的，本保险合同终止，保险人按短期费率计收自保险责任开始之日起至损失发生之日止期间的保险费，并退还剩余部分保险费。</w:t>
      </w:r>
    </w:p>
    <w:p>
      <w:pPr>
        <w:ind w:firstLine="420" w:firstLineChars="200"/>
        <w:rPr>
          <w:rFonts w:ascii="Arial" w:hAnsi="Arial" w:cs="Arial"/>
          <w:szCs w:val="21"/>
        </w:rPr>
      </w:pPr>
    </w:p>
    <w:p>
      <w:pPr>
        <w:ind w:firstLine="422" w:firstLineChars="200"/>
        <w:jc w:val="center"/>
        <w:rPr>
          <w:rFonts w:ascii="Arial" w:hAnsi="Arial" w:cs="Arial"/>
          <w:b/>
          <w:szCs w:val="21"/>
        </w:rPr>
      </w:pPr>
      <w:r>
        <w:rPr>
          <w:rFonts w:ascii="Arial" w:hAnsi="Arial" w:cs="Arial"/>
          <w:b/>
          <w:szCs w:val="21"/>
        </w:rPr>
        <w:t>释义</w:t>
      </w:r>
    </w:p>
    <w:p>
      <w:pPr>
        <w:pStyle w:val="4"/>
        <w:spacing w:line="240" w:lineRule="auto"/>
        <w:ind w:left="0" w:right="0" w:firstLine="420" w:firstLineChars="200"/>
        <w:jc w:val="both"/>
        <w:rPr>
          <w:rFonts w:ascii="Arial" w:hAnsi="Arial" w:cs="Arial" w:eastAsiaTheme="minorEastAsia"/>
          <w:b/>
          <w:sz w:val="21"/>
          <w:szCs w:val="21"/>
          <w:lang w:eastAsia="zh-CN"/>
        </w:rPr>
      </w:pPr>
      <w:r>
        <w:rPr>
          <w:rFonts w:ascii="Arial" w:hAnsi="Arial" w:cs="Arial" w:eastAsiaTheme="minorEastAsia"/>
          <w:sz w:val="21"/>
          <w:szCs w:val="21"/>
          <w:lang w:eastAsia="zh-CN"/>
        </w:rPr>
        <w:t xml:space="preserve">第四十一条  </w:t>
      </w:r>
      <w:r>
        <w:rPr>
          <w:rFonts w:ascii="Arial" w:hAnsi="Arial" w:cs="Arial" w:eastAsiaTheme="minorEastAsia"/>
          <w:b/>
          <w:sz w:val="21"/>
          <w:szCs w:val="21"/>
          <w:lang w:eastAsia="zh-CN"/>
        </w:rPr>
        <w:t>本保险合同涉及下列术语时，适用下列释义：</w:t>
      </w:r>
    </w:p>
    <w:p>
      <w:pPr>
        <w:ind w:firstLine="420" w:firstLineChars="200"/>
        <w:rPr>
          <w:rFonts w:ascii="Arial" w:hAnsi="Arial" w:cs="Arial"/>
          <w:szCs w:val="21"/>
        </w:rPr>
      </w:pPr>
      <w:r>
        <w:rPr>
          <w:rFonts w:ascii="Arial" w:hAnsi="Arial" w:cs="Arial"/>
          <w:szCs w:val="21"/>
        </w:rPr>
        <w:t>（一）火灾</w:t>
      </w:r>
    </w:p>
    <w:p>
      <w:pPr>
        <w:ind w:firstLine="420" w:firstLineChars="200"/>
        <w:rPr>
          <w:rFonts w:ascii="Arial" w:hAnsi="Arial" w:cs="Arial"/>
          <w:szCs w:val="21"/>
        </w:rPr>
      </w:pPr>
      <w:r>
        <w:rPr>
          <w:rFonts w:ascii="Arial" w:hAnsi="Arial" w:cs="Arial"/>
          <w:szCs w:val="21"/>
        </w:rPr>
        <w:t xml:space="preserve"> 在时间或空间上失去控制的燃烧所造成的灾害。构成本保险的火灾责任必须同时具备以下三个条件：</w:t>
      </w:r>
    </w:p>
    <w:p>
      <w:pPr>
        <w:ind w:firstLine="420" w:firstLineChars="200"/>
        <w:rPr>
          <w:rFonts w:ascii="Arial" w:hAnsi="Arial" w:cs="Arial"/>
          <w:szCs w:val="21"/>
        </w:rPr>
      </w:pPr>
      <w:r>
        <w:rPr>
          <w:rFonts w:ascii="Arial" w:hAnsi="Arial" w:cs="Arial"/>
          <w:szCs w:val="21"/>
        </w:rPr>
        <w:t xml:space="preserve">  1．有燃烧现象，即有热有光有火焰；</w:t>
      </w:r>
    </w:p>
    <w:p>
      <w:pPr>
        <w:ind w:firstLine="420" w:firstLineChars="200"/>
        <w:rPr>
          <w:rFonts w:ascii="Arial" w:hAnsi="Arial" w:cs="Arial"/>
          <w:szCs w:val="21"/>
        </w:rPr>
      </w:pPr>
      <w:r>
        <w:rPr>
          <w:rFonts w:ascii="Arial" w:hAnsi="Arial" w:cs="Arial"/>
          <w:szCs w:val="21"/>
        </w:rPr>
        <w:t xml:space="preserve">  2．偶然、意外发生的燃烧；</w:t>
      </w:r>
    </w:p>
    <w:p>
      <w:pPr>
        <w:ind w:firstLine="420" w:firstLineChars="200"/>
        <w:rPr>
          <w:rFonts w:ascii="Arial" w:hAnsi="Arial" w:cs="Arial"/>
          <w:szCs w:val="21"/>
        </w:rPr>
      </w:pPr>
      <w:r>
        <w:rPr>
          <w:rFonts w:ascii="Arial" w:hAnsi="Arial" w:cs="Arial"/>
          <w:szCs w:val="21"/>
        </w:rPr>
        <w:t xml:space="preserve">  3．燃烧失去控制并有蔓延扩大的趋势。</w:t>
      </w:r>
    </w:p>
    <w:p>
      <w:pPr>
        <w:ind w:firstLine="420" w:firstLineChars="200"/>
        <w:rPr>
          <w:rFonts w:ascii="Arial" w:hAnsi="Arial" w:cs="Arial"/>
          <w:szCs w:val="21"/>
        </w:rPr>
      </w:pPr>
      <w:r>
        <w:rPr>
          <w:rFonts w:ascii="Arial" w:hAnsi="Arial" w:cs="Arial"/>
          <w:szCs w:val="21"/>
        </w:rPr>
        <w:t xml:space="preserve">  因此，仅有燃烧现象并不等于构成本保险中的火灾责任。在生产、生活中有目的用火，如为了防疫而焚毁站污的衣物，点火烧荒等属正常燃烧，不同于火灾责任。</w:t>
      </w:r>
    </w:p>
    <w:p>
      <w:pPr>
        <w:ind w:firstLine="420" w:firstLineChars="200"/>
        <w:rPr>
          <w:rFonts w:ascii="Arial" w:hAnsi="Arial" w:cs="Arial"/>
          <w:szCs w:val="21"/>
        </w:rPr>
      </w:pPr>
      <w:r>
        <w:rPr>
          <w:rFonts w:ascii="Arial" w:hAnsi="Arial" w:cs="Arial"/>
          <w:szCs w:val="21"/>
        </w:rPr>
        <w:t xml:space="preserve">  因烘、烤、烫、烙造成焦糊变质等损失，既无燃烧现象，又无蔓延扩大趋势，也不属于火灾责任。</w:t>
      </w:r>
    </w:p>
    <w:p>
      <w:pPr>
        <w:ind w:firstLine="420" w:firstLineChars="200"/>
        <w:rPr>
          <w:rFonts w:ascii="Arial" w:hAnsi="Arial" w:cs="Arial"/>
          <w:szCs w:val="21"/>
        </w:rPr>
      </w:pPr>
      <w:r>
        <w:rPr>
          <w:rFonts w:ascii="Arial" w:hAnsi="Arial" w:cs="Arial"/>
          <w:szCs w:val="21"/>
        </w:rPr>
        <w:t xml:space="preserve">  电机、电器、电气设备因使用过度、超电压、碰线、孤花、漏电、自身发热所造成的本身损毁，不属于火灾责任。但如果发生了燃烧并失去控制蔓延扩大，才构成火灾责任，并对电机、电器、电气设备本身的损失负责赔偿。</w:t>
      </w:r>
    </w:p>
    <w:p>
      <w:pPr>
        <w:ind w:firstLine="420" w:firstLineChars="200"/>
        <w:rPr>
          <w:rFonts w:ascii="Arial" w:hAnsi="Arial" w:cs="Arial"/>
          <w:szCs w:val="21"/>
        </w:rPr>
      </w:pPr>
      <w:r>
        <w:rPr>
          <w:rFonts w:ascii="Arial" w:hAnsi="Arial" w:cs="Arial"/>
          <w:szCs w:val="21"/>
        </w:rPr>
        <w:t xml:space="preserve"> （二）爆炸</w:t>
      </w:r>
    </w:p>
    <w:p>
      <w:pPr>
        <w:ind w:firstLine="420" w:firstLineChars="200"/>
        <w:rPr>
          <w:rFonts w:ascii="Arial" w:hAnsi="Arial" w:cs="Arial"/>
          <w:szCs w:val="21"/>
        </w:rPr>
      </w:pPr>
      <w:r>
        <w:rPr>
          <w:rFonts w:ascii="Arial" w:hAnsi="Arial" w:cs="Arial"/>
          <w:szCs w:val="21"/>
        </w:rPr>
        <w:t>爆炸分物理性爆炸和化学性爆炸。</w:t>
      </w:r>
    </w:p>
    <w:p>
      <w:pPr>
        <w:ind w:firstLine="420" w:firstLineChars="200"/>
        <w:rPr>
          <w:rFonts w:ascii="Arial" w:hAnsi="Arial" w:cs="Arial"/>
          <w:szCs w:val="21"/>
        </w:rPr>
      </w:pPr>
      <w:r>
        <w:rPr>
          <w:rFonts w:ascii="Arial" w:hAnsi="Arial" w:cs="Arial"/>
          <w:szCs w:val="21"/>
        </w:rPr>
        <w:t xml:space="preserve"> 1．物理性爆炸：由于液体变为蒸汽或气体膨胀，压力急剧增加并大大超过容器所能承受的极限压力，因而发生爆炸。如锅炉、空气压缩机、压缩气体钢瓶、液化气罐爆炸等。关于锅炉、压力容器爆炸的定义是：‘锅炉或区力容器在使用中或试压时发生破裂，使压力瞬时降到等于外界大气压力的事故，称为“爆炸事故”。</w:t>
      </w:r>
    </w:p>
    <w:p>
      <w:pPr>
        <w:ind w:firstLine="420" w:firstLineChars="200"/>
        <w:rPr>
          <w:rFonts w:ascii="Arial" w:hAnsi="Arial" w:cs="Arial"/>
          <w:szCs w:val="21"/>
        </w:rPr>
      </w:pPr>
      <w:r>
        <w:rPr>
          <w:rFonts w:ascii="Arial" w:hAnsi="Arial" w:cs="Arial"/>
          <w:szCs w:val="21"/>
        </w:rPr>
        <w:t xml:space="preserve"> 2．化学性爆炸：物体在瞬息分解或燃烧时放出大量的热和气体，并以很大的压力向四周扩散的现象。如火药爆炸、可燃性粉尘纤维爆炸、可燃气体爆炸及各种化学物品的爆炸等。</w:t>
      </w:r>
    </w:p>
    <w:p>
      <w:pPr>
        <w:ind w:firstLine="420" w:firstLineChars="200"/>
        <w:rPr>
          <w:rFonts w:ascii="Arial" w:hAnsi="Arial" w:cs="Arial"/>
          <w:szCs w:val="21"/>
        </w:rPr>
      </w:pPr>
      <w:r>
        <w:rPr>
          <w:rFonts w:ascii="Arial" w:hAnsi="Arial" w:cs="Arial"/>
          <w:szCs w:val="21"/>
        </w:rPr>
        <w:t>因物体本身的瑕疵，使用损耗或产品质量低劣以及由于容器内部承受“负压’（内压比外压小）造成的损失，不属于爆炸责任。</w:t>
      </w:r>
    </w:p>
    <w:p>
      <w:pPr>
        <w:ind w:firstLine="420" w:firstLineChars="200"/>
        <w:rPr>
          <w:rFonts w:ascii="Arial" w:hAnsi="Arial" w:cs="Arial"/>
          <w:szCs w:val="21"/>
        </w:rPr>
      </w:pPr>
      <w:r>
        <w:rPr>
          <w:rFonts w:ascii="Arial" w:hAnsi="Arial" w:cs="Arial"/>
          <w:szCs w:val="21"/>
        </w:rPr>
        <w:t>（三）雷击</w:t>
      </w:r>
    </w:p>
    <w:p>
      <w:pPr>
        <w:ind w:firstLine="420" w:firstLineChars="200"/>
        <w:rPr>
          <w:rFonts w:ascii="Arial" w:hAnsi="Arial" w:cs="Arial"/>
          <w:szCs w:val="21"/>
        </w:rPr>
      </w:pPr>
      <w:r>
        <w:rPr>
          <w:rFonts w:ascii="Arial" w:hAnsi="Arial" w:cs="Arial"/>
          <w:szCs w:val="21"/>
        </w:rPr>
        <w:t>雷击指由雷电造成的灾害。雷电为积雨云中、云间或云地之间产生的放电现象。雷击的破坏形式分直接雷击与感应雷击两种。</w:t>
      </w:r>
    </w:p>
    <w:p>
      <w:pPr>
        <w:ind w:firstLine="420" w:firstLineChars="200"/>
        <w:rPr>
          <w:rFonts w:ascii="Arial" w:hAnsi="Arial" w:cs="Arial"/>
          <w:szCs w:val="21"/>
        </w:rPr>
      </w:pPr>
      <w:r>
        <w:rPr>
          <w:rFonts w:ascii="Arial" w:hAnsi="Arial" w:cs="Arial"/>
          <w:szCs w:val="21"/>
        </w:rPr>
        <w:t>1．直接雷击：由于雷电直接击中保险标的造成损失，属直接雷击责任。</w:t>
      </w:r>
    </w:p>
    <w:p>
      <w:pPr>
        <w:ind w:firstLine="420" w:firstLineChars="200"/>
        <w:rPr>
          <w:rFonts w:ascii="Arial" w:hAnsi="Arial" w:cs="Arial"/>
          <w:szCs w:val="21"/>
        </w:rPr>
      </w:pPr>
      <w:r>
        <w:rPr>
          <w:rFonts w:ascii="Arial" w:hAnsi="Arial" w:cs="Arial"/>
          <w:szCs w:val="21"/>
        </w:rPr>
        <w:t xml:space="preserve">2．感应雷击：由于雷击产生的静电感应或电磁感应使屋内对地绝缘金属物体产生高电位放出火花引起的火灾，导致电器本身的损毁，或因雷电的高电压感应，致使电器部件的损毁，属感应雷击责任。    </w:t>
      </w:r>
    </w:p>
    <w:p>
      <w:pPr>
        <w:ind w:firstLine="420" w:firstLineChars="200"/>
        <w:rPr>
          <w:rFonts w:ascii="Arial" w:hAnsi="Arial" w:cs="Arial"/>
          <w:szCs w:val="21"/>
        </w:rPr>
      </w:pPr>
      <w:r>
        <w:rPr>
          <w:rFonts w:ascii="Arial" w:hAnsi="Arial" w:cs="Arial"/>
          <w:szCs w:val="21"/>
        </w:rPr>
        <w:t>（四）暴雨：指每小时降雨量达16毫米以上，或连续12小时降雨量达30毫米以上，或连续24小时降雨量达50毫米以上的降雨。</w:t>
      </w:r>
    </w:p>
    <w:p>
      <w:pPr>
        <w:ind w:firstLine="420" w:firstLineChars="200"/>
        <w:rPr>
          <w:rFonts w:ascii="Arial" w:hAnsi="Arial" w:cs="Arial"/>
          <w:szCs w:val="21"/>
        </w:rPr>
      </w:pPr>
      <w:r>
        <w:rPr>
          <w:rFonts w:ascii="Arial" w:hAnsi="Arial" w:cs="Arial"/>
          <w:szCs w:val="21"/>
        </w:rPr>
        <w:t>（五）洪水：指山洪暴发、江河泛滥、潮水上岸及倒灌。但规律性的涨潮、自动灭火设施漏水以及在常年水位以下或地下渗水、水管暴裂不属于洪水责任。</w:t>
      </w:r>
    </w:p>
    <w:p>
      <w:pPr>
        <w:ind w:firstLine="420" w:firstLineChars="200"/>
        <w:rPr>
          <w:rFonts w:ascii="Arial" w:hAnsi="Arial" w:cs="Arial"/>
          <w:szCs w:val="21"/>
        </w:rPr>
      </w:pPr>
      <w:r>
        <w:rPr>
          <w:rFonts w:ascii="Arial" w:hAnsi="Arial" w:cs="Arial"/>
          <w:szCs w:val="21"/>
        </w:rPr>
        <w:t>（六）暴风：指风力达8级、风速在17.2米/秒以上的自然风。</w:t>
      </w:r>
    </w:p>
    <w:p>
      <w:pPr>
        <w:ind w:firstLine="420" w:firstLineChars="200"/>
        <w:rPr>
          <w:rFonts w:ascii="Arial" w:hAnsi="Arial" w:cs="Arial"/>
          <w:szCs w:val="21"/>
        </w:rPr>
      </w:pPr>
      <w:r>
        <w:rPr>
          <w:rFonts w:ascii="Arial" w:hAnsi="Arial" w:cs="Arial"/>
          <w:szCs w:val="21"/>
        </w:rPr>
        <w:t>（七）龙卷风：指一种范围小而时间短的猛烈旋风，陆地上平均最大风速在79米/秒-103米/秒，极端最大风速在100米/秒以上。</w:t>
      </w:r>
    </w:p>
    <w:p>
      <w:pPr>
        <w:ind w:firstLine="420" w:firstLineChars="200"/>
        <w:rPr>
          <w:rFonts w:ascii="Arial" w:hAnsi="Arial" w:cs="Arial"/>
          <w:szCs w:val="21"/>
        </w:rPr>
      </w:pPr>
      <w:r>
        <w:rPr>
          <w:rFonts w:ascii="Arial" w:hAnsi="Arial" w:cs="Arial"/>
          <w:szCs w:val="21"/>
        </w:rPr>
        <w:t>（八）冰雹：指从强烈对流的积雨云中降落到地面的冰块或冰球，直径大于5毫米，核心坚硬的固体降水。</w:t>
      </w:r>
    </w:p>
    <w:p>
      <w:pPr>
        <w:ind w:firstLine="420" w:firstLineChars="200"/>
        <w:rPr>
          <w:rFonts w:ascii="Arial" w:hAnsi="Arial" w:cs="Arial"/>
          <w:szCs w:val="21"/>
        </w:rPr>
      </w:pPr>
      <w:r>
        <w:rPr>
          <w:rFonts w:ascii="Arial" w:hAnsi="Arial" w:cs="Arial"/>
          <w:szCs w:val="21"/>
        </w:rPr>
        <w:t>（九）台风、飓风：台风指中心附近最大平均风力12级或以上，即风速在32.6米/秒以上的热带气旋；飓风是一种与台风性质相同、但出现的位置区域不同的热带气旋，台风出现在西北太平洋海域，而飓风出现在印度洋、大西洋海域。</w:t>
      </w:r>
    </w:p>
    <w:p>
      <w:pPr>
        <w:ind w:firstLine="420" w:firstLineChars="200"/>
        <w:rPr>
          <w:rFonts w:ascii="Arial" w:hAnsi="Arial" w:cs="Arial"/>
          <w:szCs w:val="21"/>
        </w:rPr>
      </w:pPr>
      <w:r>
        <w:rPr>
          <w:rFonts w:ascii="Arial" w:hAnsi="Arial" w:cs="Arial"/>
          <w:szCs w:val="21"/>
        </w:rPr>
        <w:t>（十）沙尘暴：指强风将地面大量尘沙吹起，使空气很混浊，水平能见度小于1公里的天气现象。</w:t>
      </w:r>
    </w:p>
    <w:p>
      <w:pPr>
        <w:ind w:firstLine="420" w:firstLineChars="200"/>
        <w:rPr>
          <w:rFonts w:ascii="Arial" w:hAnsi="Arial" w:cs="Arial"/>
          <w:szCs w:val="21"/>
        </w:rPr>
      </w:pPr>
      <w:r>
        <w:rPr>
          <w:rFonts w:ascii="Arial" w:hAnsi="Arial" w:cs="Arial"/>
          <w:szCs w:val="21"/>
        </w:rPr>
        <w:t>（十一）暴雪：指连续12小时的降雪量大于或等于10毫米的降雪现象。</w:t>
      </w:r>
    </w:p>
    <w:p>
      <w:pPr>
        <w:ind w:firstLine="420" w:firstLineChars="200"/>
        <w:rPr>
          <w:rFonts w:ascii="Arial" w:hAnsi="Arial" w:cs="Arial"/>
          <w:szCs w:val="21"/>
        </w:rPr>
      </w:pPr>
      <w:r>
        <w:rPr>
          <w:rFonts w:ascii="Arial" w:hAnsi="Arial" w:cs="Arial"/>
          <w:szCs w:val="21"/>
        </w:rPr>
        <w:t>（十二）冰凌：指春季江河解冻期时冰块飘浮遇阻，堆积成坝，堵塞江道，造成水位急剧上升，以致江水溢出江道，漫延成灾。</w:t>
      </w:r>
    </w:p>
    <w:p>
      <w:pPr>
        <w:ind w:firstLine="420" w:firstLineChars="200"/>
        <w:rPr>
          <w:rFonts w:ascii="Arial" w:hAnsi="Arial" w:cs="Arial"/>
          <w:szCs w:val="21"/>
        </w:rPr>
      </w:pPr>
      <w:r>
        <w:rPr>
          <w:rFonts w:ascii="Arial" w:hAnsi="Arial" w:cs="Arial"/>
          <w:szCs w:val="21"/>
        </w:rPr>
        <w:t>陆上有些地区，如山谷风口或酷寒致使雨雪在物体上结成冰块，成下垂形状，越结越厚，重量增加，由于下垂的拉力致使物体毁坏，也属冰凌责任。</w:t>
      </w:r>
    </w:p>
    <w:p>
      <w:pPr>
        <w:ind w:firstLine="420" w:firstLineChars="200"/>
        <w:rPr>
          <w:rFonts w:ascii="Arial" w:hAnsi="Arial" w:cs="Arial"/>
          <w:szCs w:val="21"/>
        </w:rPr>
      </w:pPr>
      <w:r>
        <w:rPr>
          <w:rFonts w:ascii="Arial" w:hAnsi="Arial" w:cs="Arial"/>
          <w:szCs w:val="21"/>
        </w:rPr>
        <w:t>（十三）突发性滑坡：斜坡上不稳的岩土体或人为堆积物在重力作用下突然整体向下滑动的现象。</w:t>
      </w:r>
    </w:p>
    <w:p>
      <w:pPr>
        <w:ind w:firstLine="420" w:firstLineChars="200"/>
        <w:rPr>
          <w:rFonts w:ascii="Arial" w:hAnsi="Arial" w:cs="Arial"/>
          <w:szCs w:val="21"/>
        </w:rPr>
      </w:pPr>
      <w:r>
        <w:rPr>
          <w:rFonts w:ascii="Arial" w:hAnsi="Arial" w:cs="Arial"/>
          <w:szCs w:val="21"/>
        </w:rPr>
        <w:t>（十四）崩塌：石崖、土崖、岩石受自然风化、雨蚀造成崩溃下塌，以及大量积雪在重力作用下从高处突然崩塌滚落。</w:t>
      </w:r>
    </w:p>
    <w:p>
      <w:pPr>
        <w:ind w:firstLine="420" w:firstLineChars="200"/>
        <w:rPr>
          <w:rFonts w:ascii="Arial" w:hAnsi="Arial" w:cs="Arial"/>
          <w:szCs w:val="21"/>
        </w:rPr>
      </w:pPr>
      <w:r>
        <w:rPr>
          <w:rFonts w:ascii="Arial" w:hAnsi="Arial" w:cs="Arial"/>
          <w:szCs w:val="21"/>
        </w:rPr>
        <w:t>（十五）泥石流：由于雨水、冰雪融化等水源激发的、含有大量泥沙石块的特殊洪流。</w:t>
      </w:r>
    </w:p>
    <w:p>
      <w:pPr>
        <w:ind w:firstLine="420" w:firstLineChars="200"/>
        <w:rPr>
          <w:rFonts w:ascii="Arial" w:hAnsi="Arial" w:cs="Arial"/>
          <w:szCs w:val="21"/>
        </w:rPr>
      </w:pPr>
      <w:r>
        <w:rPr>
          <w:rFonts w:ascii="Arial" w:hAnsi="Arial" w:cs="Arial"/>
          <w:szCs w:val="21"/>
        </w:rPr>
        <w:t>（十六）地面突然下陷下沉：地壳因为自然变异，地层收缩而发生突然塌陷。对于因海潮、河流、大雨侵蚀或在建筑房屋前没有掌握地层情况，地下有孔穴、矿穴，以致地面突然塌陷，也属地面突然下陷下沉。但未按建筑施工要求导致建筑地基下沉、裂缝、倒塌等，不在此列。</w:t>
      </w:r>
    </w:p>
    <w:p>
      <w:pPr>
        <w:ind w:firstLine="420" w:firstLineChars="200"/>
        <w:rPr>
          <w:rFonts w:ascii="Arial" w:hAnsi="Arial" w:cs="Arial"/>
          <w:szCs w:val="21"/>
        </w:rPr>
      </w:pPr>
      <w:r>
        <w:rPr>
          <w:rFonts w:ascii="Arial" w:hAnsi="Arial" w:cs="Arial"/>
          <w:szCs w:val="21"/>
        </w:rPr>
        <w:t>（十七）飞行物体及其他空中运行物体坠落：指空中飞行器、人造卫星、陨石坠落，吊车、行车在运行时发生的物体坠落，人工开凿或爆炸而致石方、石块、土方飞射、塌下，建筑物倒塌、倒落、倾倒，以及其他空中运行物体坠落。</w:t>
      </w:r>
    </w:p>
    <w:p>
      <w:pPr>
        <w:ind w:firstLine="420" w:firstLineChars="200"/>
        <w:rPr>
          <w:rFonts w:ascii="Arial" w:hAnsi="Arial" w:cs="Arial"/>
          <w:szCs w:val="21"/>
        </w:rPr>
      </w:pPr>
      <w:r>
        <w:rPr>
          <w:rFonts w:ascii="Arial" w:hAnsi="Arial" w:cs="Arial"/>
          <w:szCs w:val="21"/>
        </w:rPr>
        <w:t>（十八）自然灾害：指雷击、暴雨、洪水、暴风、龙卷风、冰雹、台风、飓风、沙尘暴、暴雪、冰凌、突发性滑坡、崩塌、泥石流、地面突然下陷下沉及其他人力不可抗拒的破坏力强大的自然现象。</w:t>
      </w:r>
    </w:p>
    <w:p>
      <w:pPr>
        <w:ind w:firstLine="420" w:firstLineChars="200"/>
        <w:rPr>
          <w:rFonts w:ascii="Arial" w:hAnsi="Arial" w:cs="Arial"/>
          <w:szCs w:val="21"/>
        </w:rPr>
      </w:pPr>
      <w:r>
        <w:rPr>
          <w:rFonts w:ascii="Arial" w:hAnsi="Arial" w:cs="Arial"/>
          <w:szCs w:val="21"/>
        </w:rPr>
        <w:t>（十九）意外事故：指不可预料的以及被保险人无法控制并造成物质损失的突发性事件，包括火灾和爆炸。</w:t>
      </w:r>
    </w:p>
    <w:p>
      <w:pPr>
        <w:ind w:firstLine="420" w:firstLineChars="200"/>
        <w:rPr>
          <w:rFonts w:ascii="Arial" w:hAnsi="Arial" w:cs="Arial"/>
          <w:szCs w:val="21"/>
        </w:rPr>
      </w:pPr>
      <w:r>
        <w:rPr>
          <w:rFonts w:ascii="Arial" w:hAnsi="Arial" w:cs="Arial"/>
          <w:szCs w:val="21"/>
        </w:rPr>
        <w:t>（二十）重大过失行为：指行为人不但没有遵守法律规范对其较高要求，甚至连人们都应当注意并能注意的一般标准也未达到的行为。</w:t>
      </w:r>
    </w:p>
    <w:p>
      <w:pPr>
        <w:ind w:firstLine="420" w:firstLineChars="200"/>
        <w:rPr>
          <w:rFonts w:ascii="Arial" w:hAnsi="Arial" w:cs="Arial"/>
          <w:szCs w:val="21"/>
        </w:rPr>
      </w:pPr>
      <w:r>
        <w:rPr>
          <w:rFonts w:ascii="Arial" w:hAnsi="Arial" w:cs="Arial"/>
          <w:szCs w:val="21"/>
        </w:rPr>
        <w:t>（二十一）恐怖活动：指任何人以某一组织的名义或参与某一组织使用武力或暴力对任何政府进行恐吓或施加影响而采取的行动。</w:t>
      </w:r>
    </w:p>
    <w:p>
      <w:pPr>
        <w:ind w:firstLine="420" w:firstLineChars="200"/>
        <w:rPr>
          <w:rFonts w:ascii="Arial" w:hAnsi="Arial" w:cs="Arial"/>
          <w:szCs w:val="21"/>
        </w:rPr>
      </w:pPr>
      <w:r>
        <w:rPr>
          <w:rFonts w:ascii="Arial" w:hAnsi="Arial" w:cs="Arial"/>
          <w:szCs w:val="21"/>
        </w:rPr>
        <w:t>（二十二）地震：地壳发生的震动。</w:t>
      </w:r>
    </w:p>
    <w:p>
      <w:pPr>
        <w:ind w:firstLine="420" w:firstLineChars="200"/>
        <w:rPr>
          <w:rFonts w:ascii="Arial" w:hAnsi="Arial" w:cs="Arial"/>
          <w:szCs w:val="21"/>
        </w:rPr>
      </w:pPr>
      <w:r>
        <w:rPr>
          <w:rFonts w:ascii="Arial" w:hAnsi="Arial" w:cs="Arial"/>
          <w:szCs w:val="21"/>
        </w:rPr>
        <w:t>（二十三）海啸：海啸是指由海底地震，火山爆发或水下滑坡、塌陷所激发的海洋巨波。</w:t>
      </w:r>
    </w:p>
    <w:p>
      <w:pPr>
        <w:ind w:firstLine="420" w:firstLineChars="200"/>
        <w:rPr>
          <w:rFonts w:ascii="Arial" w:hAnsi="Arial" w:cs="Arial"/>
          <w:szCs w:val="21"/>
        </w:rPr>
      </w:pPr>
      <w:r>
        <w:rPr>
          <w:rFonts w:ascii="Arial" w:hAnsi="Arial" w:cs="Arial"/>
          <w:szCs w:val="21"/>
        </w:rPr>
        <w:t>（二十四）行政行为、司法行为：指各级政府部门、执法机关或依法履行公共管理、社会管理职能的机构下令破坏、征用、罚没保险标的的行为。</w:t>
      </w:r>
    </w:p>
    <w:p>
      <w:pPr>
        <w:ind w:firstLine="420" w:firstLineChars="200"/>
        <w:rPr>
          <w:rFonts w:ascii="Arial" w:hAnsi="Arial" w:cs="Arial"/>
          <w:szCs w:val="21"/>
        </w:rPr>
      </w:pPr>
      <w:r>
        <w:rPr>
          <w:rFonts w:ascii="Arial" w:hAnsi="Arial" w:cs="Arial"/>
          <w:szCs w:val="21"/>
        </w:rPr>
        <w:t>（二十五）简易建筑：指符合下列条件之一的建筑：（1）使用竹木、芦席、蓬布、茅草、油毛毡、塑料膜、尼龙布、玻璃钢瓦等材料为顶或墙体的建筑；（2）顶部封闭，但直立面非封闭部分的面积与直立面总面积的比例超过10％的建筑；（3）屋顶与所有墙体之间的最大距离超过一米的建筑。</w:t>
      </w:r>
    </w:p>
    <w:p>
      <w:pPr>
        <w:ind w:firstLine="420" w:firstLineChars="200"/>
        <w:rPr>
          <w:rFonts w:ascii="Arial" w:hAnsi="Arial" w:cs="Arial"/>
          <w:szCs w:val="21"/>
        </w:rPr>
      </w:pPr>
      <w:r>
        <w:rPr>
          <w:rFonts w:ascii="Arial" w:hAnsi="Arial" w:cs="Arial"/>
          <w:szCs w:val="21"/>
        </w:rPr>
        <w:t>（二十六）自燃：指可燃物在没有外部热源直接作用的情况下，由于其内部的物理作用（如吸附、辐射等）、化学作用（如氧化、分解、聚合等）或生物作用（如发酵、细菌腐败等）而发热，热量积聚导致升温，当可燃物达到一定温度时，未与明火直接接触而发生燃烧的现象。</w:t>
      </w:r>
    </w:p>
    <w:p>
      <w:pPr>
        <w:ind w:firstLine="420" w:firstLineChars="200"/>
        <w:rPr>
          <w:rFonts w:ascii="Arial" w:hAnsi="Arial" w:cs="Arial"/>
          <w:szCs w:val="21"/>
        </w:rPr>
      </w:pPr>
      <w:r>
        <w:rPr>
          <w:rFonts w:ascii="Arial" w:hAnsi="Arial" w:cs="Arial"/>
          <w:szCs w:val="21"/>
        </w:rPr>
        <w:t>（二十七）重置价值：指替换、重建受损保险标的，以使其达到全新状态而发生的费用，但不包括被保险人进行的任何变更、性能增加或改进所产生的额外费用。</w:t>
      </w:r>
    </w:p>
    <w:p>
      <w:pPr>
        <w:ind w:firstLine="420" w:firstLineChars="200"/>
        <w:rPr>
          <w:rFonts w:ascii="Arial" w:hAnsi="Arial" w:cs="Arial"/>
          <w:szCs w:val="21"/>
        </w:rPr>
      </w:pPr>
      <w:r>
        <w:rPr>
          <w:rFonts w:ascii="Arial" w:hAnsi="Arial" w:cs="Arial"/>
          <w:szCs w:val="21"/>
        </w:rPr>
        <w:t>（二十八）水箱、水管爆裂：包括冻裂和意外爆裂两种情况。水箱、水管爆裂一般是由水箱、水管本身瑕疵或使用耗损或严寒结冰造成的。</w:t>
      </w:r>
    </w:p>
    <w:p>
      <w:pPr>
        <w:spacing w:after="156" w:afterLines="50"/>
        <w:rPr>
          <w:rFonts w:ascii="宋体" w:hAnsi="宋体"/>
          <w:b/>
          <w:szCs w:val="21"/>
        </w:rPr>
      </w:pPr>
    </w:p>
    <w:p>
      <w:pPr>
        <w:spacing w:after="156" w:afterLines="50"/>
        <w:jc w:val="center"/>
        <w:rPr>
          <w:rFonts w:ascii="宋体" w:hAnsi="宋体"/>
          <w:b/>
          <w:szCs w:val="21"/>
        </w:rPr>
      </w:pPr>
      <w:r>
        <w:rPr>
          <w:rFonts w:ascii="宋体" w:hAnsi="宋体"/>
          <w:b/>
          <w:szCs w:val="21"/>
        </w:rPr>
        <w:br w:type="page"/>
      </w:r>
    </w:p>
    <w:p>
      <w:pPr>
        <w:spacing w:after="156" w:afterLines="50"/>
        <w:jc w:val="center"/>
        <w:rPr>
          <w:rFonts w:ascii="宋体" w:hAnsi="宋体"/>
          <w:b/>
          <w:szCs w:val="21"/>
        </w:rPr>
      </w:pPr>
      <w:r>
        <w:rPr>
          <w:rFonts w:hint="eastAsia" w:ascii="宋体" w:hAnsi="宋体"/>
          <w:b/>
          <w:szCs w:val="21"/>
        </w:rPr>
        <w:t>附录</w:t>
      </w:r>
    </w:p>
    <w:p>
      <w:pPr>
        <w:spacing w:after="156" w:afterLines="50"/>
        <w:jc w:val="center"/>
        <w:rPr>
          <w:rFonts w:ascii="宋体" w:hAnsi="宋体"/>
          <w:szCs w:val="21"/>
        </w:rPr>
      </w:pPr>
      <w:r>
        <w:rPr>
          <w:rFonts w:hint="eastAsia" w:ascii="宋体" w:hAnsi="宋体"/>
          <w:bCs/>
          <w:szCs w:val="21"/>
        </w:rPr>
        <w:t>短期费率表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5"/>
        <w:gridCol w:w="540"/>
        <w:gridCol w:w="540"/>
        <w:gridCol w:w="540"/>
        <w:gridCol w:w="540"/>
        <w:gridCol w:w="540"/>
        <w:gridCol w:w="540"/>
        <w:gridCol w:w="540"/>
        <w:gridCol w:w="540"/>
        <w:gridCol w:w="540"/>
        <w:gridCol w:w="540"/>
        <w:gridCol w:w="537"/>
        <w:gridCol w:w="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5" w:type="dxa"/>
            <w:vAlign w:val="center"/>
          </w:tcPr>
          <w:p>
            <w:pPr>
              <w:spacing w:after="156" w:afterLines="50"/>
              <w:jc w:val="center"/>
              <w:rPr>
                <w:rFonts w:ascii="Arial" w:hAnsi="Arial" w:cs="Arial"/>
                <w:szCs w:val="21"/>
              </w:rPr>
            </w:pPr>
            <w:r>
              <w:rPr>
                <w:rFonts w:ascii="Arial" w:hAnsi="Arial" w:cs="Arial"/>
                <w:szCs w:val="21"/>
              </w:rPr>
              <w:t>保险</w:t>
            </w:r>
          </w:p>
          <w:p>
            <w:pPr>
              <w:spacing w:after="156" w:afterLines="50"/>
              <w:jc w:val="center"/>
              <w:rPr>
                <w:rFonts w:ascii="Arial" w:hAnsi="Arial" w:cs="Arial"/>
                <w:szCs w:val="21"/>
              </w:rPr>
            </w:pPr>
            <w:r>
              <w:rPr>
                <w:rFonts w:ascii="Arial" w:hAnsi="Arial" w:cs="Arial"/>
                <w:szCs w:val="21"/>
              </w:rPr>
              <w:t>期间</w:t>
            </w:r>
          </w:p>
        </w:tc>
        <w:tc>
          <w:tcPr>
            <w:tcW w:w="540" w:type="dxa"/>
            <w:vAlign w:val="center"/>
          </w:tcPr>
          <w:p>
            <w:pPr>
              <w:spacing w:after="156" w:afterLines="50"/>
              <w:jc w:val="center"/>
              <w:rPr>
                <w:rFonts w:ascii="Arial" w:hAnsi="Arial" w:cs="Arial"/>
                <w:szCs w:val="21"/>
              </w:rPr>
            </w:pPr>
            <w:r>
              <w:rPr>
                <w:rFonts w:ascii="Arial" w:hAnsi="Arial" w:cs="Arial"/>
                <w:szCs w:val="21"/>
              </w:rPr>
              <w:t>一</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二</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三</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四</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五</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六</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七</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八</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九</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十</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37" w:type="dxa"/>
            <w:vAlign w:val="center"/>
          </w:tcPr>
          <w:p>
            <w:pPr>
              <w:spacing w:after="156" w:afterLines="50"/>
              <w:jc w:val="center"/>
              <w:rPr>
                <w:rFonts w:ascii="Arial" w:hAnsi="Arial" w:cs="Arial"/>
                <w:szCs w:val="21"/>
              </w:rPr>
            </w:pPr>
            <w:r>
              <w:rPr>
                <w:rFonts w:ascii="Arial" w:hAnsi="Arial" w:cs="Arial"/>
                <w:szCs w:val="21"/>
              </w:rPr>
              <w:t>十</w:t>
            </w:r>
          </w:p>
          <w:p>
            <w:pPr>
              <w:spacing w:after="156" w:afterLines="50"/>
              <w:jc w:val="center"/>
              <w:rPr>
                <w:rFonts w:ascii="Arial" w:hAnsi="Arial" w:cs="Arial"/>
                <w:szCs w:val="21"/>
              </w:rPr>
            </w:pPr>
            <w:r>
              <w:rPr>
                <w:rFonts w:ascii="Arial" w:hAnsi="Arial" w:cs="Arial"/>
                <w:szCs w:val="21"/>
              </w:rPr>
              <w:t>一</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31" w:type="dxa"/>
            <w:vAlign w:val="center"/>
          </w:tcPr>
          <w:p>
            <w:pPr>
              <w:spacing w:after="156" w:afterLines="50"/>
              <w:jc w:val="center"/>
              <w:rPr>
                <w:rFonts w:ascii="Arial" w:hAnsi="Arial" w:cs="Arial"/>
                <w:szCs w:val="21"/>
              </w:rPr>
            </w:pPr>
            <w:r>
              <w:rPr>
                <w:rFonts w:ascii="Arial" w:hAnsi="Arial" w:cs="Arial"/>
                <w:szCs w:val="21"/>
              </w:rPr>
              <w:t>十</w:t>
            </w:r>
          </w:p>
          <w:p>
            <w:pPr>
              <w:spacing w:after="156" w:afterLines="50"/>
              <w:jc w:val="center"/>
              <w:rPr>
                <w:rFonts w:ascii="Arial" w:hAnsi="Arial" w:cs="Arial"/>
                <w:szCs w:val="21"/>
              </w:rPr>
            </w:pPr>
            <w:r>
              <w:rPr>
                <w:rFonts w:ascii="Arial" w:hAnsi="Arial" w:cs="Arial"/>
                <w:szCs w:val="21"/>
              </w:rPr>
              <w:t>二</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5" w:type="dxa"/>
            <w:vAlign w:val="center"/>
          </w:tcPr>
          <w:p>
            <w:pPr>
              <w:spacing w:after="156" w:afterLines="50"/>
              <w:jc w:val="center"/>
              <w:rPr>
                <w:rFonts w:ascii="Arial" w:hAnsi="Arial" w:cs="Arial"/>
                <w:szCs w:val="21"/>
              </w:rPr>
            </w:pPr>
            <w:r>
              <w:rPr>
                <w:rFonts w:ascii="Arial" w:hAnsi="Arial" w:cs="Arial"/>
                <w:szCs w:val="21"/>
              </w:rPr>
              <w:t>年费率的百分比</w:t>
            </w:r>
          </w:p>
        </w:tc>
        <w:tc>
          <w:tcPr>
            <w:tcW w:w="540" w:type="dxa"/>
            <w:vAlign w:val="center"/>
          </w:tcPr>
          <w:p>
            <w:pPr>
              <w:spacing w:after="156" w:afterLines="50"/>
              <w:jc w:val="center"/>
              <w:rPr>
                <w:rFonts w:ascii="Arial" w:hAnsi="Arial" w:cs="Arial"/>
                <w:szCs w:val="21"/>
              </w:rPr>
            </w:pPr>
            <w:r>
              <w:rPr>
                <w:rFonts w:ascii="Arial" w:hAnsi="Arial" w:cs="Arial"/>
                <w:szCs w:val="21"/>
              </w:rPr>
              <w:t>10</w:t>
            </w:r>
          </w:p>
        </w:tc>
        <w:tc>
          <w:tcPr>
            <w:tcW w:w="540" w:type="dxa"/>
            <w:vAlign w:val="center"/>
          </w:tcPr>
          <w:p>
            <w:pPr>
              <w:spacing w:after="156" w:afterLines="50"/>
              <w:jc w:val="center"/>
              <w:rPr>
                <w:rFonts w:ascii="Arial" w:hAnsi="Arial" w:cs="Arial"/>
                <w:szCs w:val="21"/>
              </w:rPr>
            </w:pPr>
            <w:r>
              <w:rPr>
                <w:rFonts w:ascii="Arial" w:hAnsi="Arial" w:cs="Arial"/>
                <w:szCs w:val="21"/>
              </w:rPr>
              <w:t>20</w:t>
            </w:r>
          </w:p>
        </w:tc>
        <w:tc>
          <w:tcPr>
            <w:tcW w:w="540" w:type="dxa"/>
            <w:vAlign w:val="center"/>
          </w:tcPr>
          <w:p>
            <w:pPr>
              <w:spacing w:after="156" w:afterLines="50"/>
              <w:jc w:val="center"/>
              <w:rPr>
                <w:rFonts w:ascii="Arial" w:hAnsi="Arial" w:cs="Arial"/>
                <w:szCs w:val="21"/>
              </w:rPr>
            </w:pPr>
            <w:r>
              <w:rPr>
                <w:rFonts w:ascii="Arial" w:hAnsi="Arial" w:cs="Arial"/>
                <w:szCs w:val="21"/>
              </w:rPr>
              <w:t>30</w:t>
            </w:r>
          </w:p>
        </w:tc>
        <w:tc>
          <w:tcPr>
            <w:tcW w:w="540" w:type="dxa"/>
            <w:vAlign w:val="center"/>
          </w:tcPr>
          <w:p>
            <w:pPr>
              <w:spacing w:after="156" w:afterLines="50"/>
              <w:jc w:val="center"/>
              <w:rPr>
                <w:rFonts w:ascii="Arial" w:hAnsi="Arial" w:cs="Arial"/>
                <w:szCs w:val="21"/>
              </w:rPr>
            </w:pPr>
            <w:r>
              <w:rPr>
                <w:rFonts w:ascii="Arial" w:hAnsi="Arial" w:cs="Arial"/>
                <w:szCs w:val="21"/>
              </w:rPr>
              <w:t>40</w:t>
            </w:r>
          </w:p>
        </w:tc>
        <w:tc>
          <w:tcPr>
            <w:tcW w:w="540" w:type="dxa"/>
            <w:vAlign w:val="center"/>
          </w:tcPr>
          <w:p>
            <w:pPr>
              <w:spacing w:after="156" w:afterLines="50"/>
              <w:jc w:val="center"/>
              <w:rPr>
                <w:rFonts w:ascii="Arial" w:hAnsi="Arial" w:cs="Arial"/>
                <w:szCs w:val="21"/>
              </w:rPr>
            </w:pPr>
            <w:r>
              <w:rPr>
                <w:rFonts w:ascii="Arial" w:hAnsi="Arial" w:cs="Arial"/>
                <w:szCs w:val="21"/>
              </w:rPr>
              <w:t>50</w:t>
            </w:r>
          </w:p>
        </w:tc>
        <w:tc>
          <w:tcPr>
            <w:tcW w:w="540" w:type="dxa"/>
            <w:vAlign w:val="center"/>
          </w:tcPr>
          <w:p>
            <w:pPr>
              <w:spacing w:after="156" w:afterLines="50"/>
              <w:jc w:val="center"/>
              <w:rPr>
                <w:rFonts w:ascii="Arial" w:hAnsi="Arial" w:cs="Arial"/>
                <w:szCs w:val="21"/>
              </w:rPr>
            </w:pPr>
            <w:r>
              <w:rPr>
                <w:rFonts w:ascii="Arial" w:hAnsi="Arial" w:cs="Arial"/>
                <w:szCs w:val="21"/>
              </w:rPr>
              <w:t>60</w:t>
            </w:r>
          </w:p>
        </w:tc>
        <w:tc>
          <w:tcPr>
            <w:tcW w:w="540" w:type="dxa"/>
            <w:vAlign w:val="center"/>
          </w:tcPr>
          <w:p>
            <w:pPr>
              <w:spacing w:after="156" w:afterLines="50"/>
              <w:jc w:val="center"/>
              <w:rPr>
                <w:rFonts w:ascii="Arial" w:hAnsi="Arial" w:cs="Arial"/>
                <w:szCs w:val="21"/>
              </w:rPr>
            </w:pPr>
            <w:r>
              <w:rPr>
                <w:rFonts w:ascii="Arial" w:hAnsi="Arial" w:cs="Arial"/>
                <w:szCs w:val="21"/>
              </w:rPr>
              <w:t>70</w:t>
            </w:r>
          </w:p>
        </w:tc>
        <w:tc>
          <w:tcPr>
            <w:tcW w:w="540" w:type="dxa"/>
            <w:vAlign w:val="center"/>
          </w:tcPr>
          <w:p>
            <w:pPr>
              <w:spacing w:after="156" w:afterLines="50"/>
              <w:jc w:val="center"/>
              <w:rPr>
                <w:rFonts w:ascii="Arial" w:hAnsi="Arial" w:cs="Arial"/>
                <w:szCs w:val="21"/>
              </w:rPr>
            </w:pPr>
            <w:r>
              <w:rPr>
                <w:rFonts w:ascii="Arial" w:hAnsi="Arial" w:cs="Arial"/>
                <w:szCs w:val="21"/>
              </w:rPr>
              <w:t>80</w:t>
            </w:r>
          </w:p>
        </w:tc>
        <w:tc>
          <w:tcPr>
            <w:tcW w:w="540" w:type="dxa"/>
            <w:vAlign w:val="center"/>
          </w:tcPr>
          <w:p>
            <w:pPr>
              <w:spacing w:after="156" w:afterLines="50"/>
              <w:jc w:val="center"/>
              <w:rPr>
                <w:rFonts w:ascii="Arial" w:hAnsi="Arial" w:cs="Arial"/>
                <w:szCs w:val="21"/>
              </w:rPr>
            </w:pPr>
            <w:r>
              <w:rPr>
                <w:rFonts w:ascii="Arial" w:hAnsi="Arial" w:cs="Arial"/>
                <w:szCs w:val="21"/>
              </w:rPr>
              <w:t>85</w:t>
            </w:r>
          </w:p>
        </w:tc>
        <w:tc>
          <w:tcPr>
            <w:tcW w:w="540" w:type="dxa"/>
            <w:vAlign w:val="center"/>
          </w:tcPr>
          <w:p>
            <w:pPr>
              <w:spacing w:after="156" w:afterLines="50"/>
              <w:jc w:val="center"/>
              <w:rPr>
                <w:rFonts w:ascii="Arial" w:hAnsi="Arial" w:cs="Arial"/>
                <w:szCs w:val="21"/>
              </w:rPr>
            </w:pPr>
            <w:r>
              <w:rPr>
                <w:rFonts w:ascii="Arial" w:hAnsi="Arial" w:cs="Arial"/>
                <w:szCs w:val="21"/>
              </w:rPr>
              <w:t>90</w:t>
            </w:r>
          </w:p>
        </w:tc>
        <w:tc>
          <w:tcPr>
            <w:tcW w:w="537" w:type="dxa"/>
            <w:vAlign w:val="center"/>
          </w:tcPr>
          <w:p>
            <w:pPr>
              <w:spacing w:after="156" w:afterLines="50"/>
              <w:jc w:val="center"/>
              <w:rPr>
                <w:rFonts w:ascii="Arial" w:hAnsi="Arial" w:cs="Arial"/>
                <w:szCs w:val="21"/>
              </w:rPr>
            </w:pPr>
            <w:r>
              <w:rPr>
                <w:rFonts w:ascii="Arial" w:hAnsi="Arial" w:cs="Arial"/>
                <w:szCs w:val="21"/>
              </w:rPr>
              <w:t>95</w:t>
            </w:r>
          </w:p>
        </w:tc>
        <w:tc>
          <w:tcPr>
            <w:tcW w:w="531" w:type="dxa"/>
            <w:vAlign w:val="center"/>
          </w:tcPr>
          <w:p>
            <w:pPr>
              <w:spacing w:after="156" w:afterLines="50"/>
              <w:jc w:val="center"/>
              <w:rPr>
                <w:rFonts w:ascii="Arial" w:hAnsi="Arial" w:cs="Arial"/>
                <w:szCs w:val="21"/>
              </w:rPr>
            </w:pPr>
            <w:r>
              <w:rPr>
                <w:rFonts w:ascii="Arial" w:hAnsi="Arial" w:cs="Arial"/>
                <w:szCs w:val="21"/>
              </w:rPr>
              <w:t>100</w:t>
            </w:r>
          </w:p>
        </w:tc>
      </w:tr>
    </w:tbl>
    <w:p>
      <w:pPr>
        <w:spacing w:after="156" w:afterLines="50"/>
        <w:rPr>
          <w:rFonts w:ascii="Arial" w:hAnsi="Arial" w:cs="Arial"/>
          <w:szCs w:val="21"/>
        </w:rPr>
      </w:pPr>
      <w:r>
        <w:rPr>
          <w:rFonts w:ascii="Arial" w:hAnsi="Arial" w:cs="Arial"/>
          <w:szCs w:val="21"/>
        </w:rPr>
        <w:t>注：不足一个月的部分按一个月计收。</w:t>
      </w:r>
    </w:p>
    <w:p>
      <w:pPr>
        <w:ind w:firstLine="420" w:firstLineChars="200"/>
        <w:rPr>
          <w:rFonts w:ascii="Arial" w:hAnsi="Arial" w:cs="Arial"/>
          <w:szCs w:val="21"/>
        </w:rPr>
      </w:pPr>
    </w:p>
    <w:p>
      <w:pPr>
        <w:ind w:firstLine="420" w:firstLineChars="200"/>
        <w:rPr>
          <w:rFonts w:ascii="Arial" w:hAnsi="Arial" w:cs="Arial"/>
          <w:szCs w:val="21"/>
        </w:rPr>
      </w:pPr>
    </w:p>
    <w:p>
      <w:pPr>
        <w:rPr>
          <w:rFonts w:ascii="Arial" w:hAnsi="Arial" w:cs="Arial"/>
          <w:szCs w:val="21"/>
        </w:rPr>
      </w:pPr>
    </w:p>
    <w:p>
      <w:pPr>
        <w:widowControl/>
        <w:jc w:val="left"/>
        <w:rPr>
          <w:rFonts w:ascii="Arial" w:hAnsi="Arial" w:cs="Arial"/>
          <w:b/>
          <w:szCs w:val="21"/>
        </w:rPr>
      </w:pPr>
      <w:r>
        <w:rPr>
          <w:rFonts w:ascii="Arial" w:hAnsi="Arial" w:cs="Arial"/>
          <w:b/>
          <w:szCs w:val="21"/>
        </w:rPr>
        <w:br w:type="page"/>
      </w:r>
    </w:p>
    <w:p>
      <w:pPr>
        <w:snapToGrid w:val="0"/>
        <w:jc w:val="center"/>
        <w:outlineLvl w:val="0"/>
        <w:rPr>
          <w:rFonts w:ascii="Arial" w:hAnsi="Arial" w:cs="Arial"/>
          <w:b/>
          <w:szCs w:val="21"/>
        </w:rPr>
      </w:pPr>
      <w:r>
        <w:rPr>
          <w:rFonts w:ascii="Arial" w:hAnsi="Arial" w:cs="Arial"/>
          <w:b/>
          <w:szCs w:val="21"/>
        </w:rPr>
        <w:t>财产一切险扩展条款</w:t>
      </w:r>
    </w:p>
    <w:p>
      <w:pPr>
        <w:rPr>
          <w:rFonts w:ascii="Arial" w:hAnsi="Arial" w:cs="Arial"/>
          <w:b/>
          <w:bCs/>
          <w:szCs w:val="21"/>
        </w:rPr>
      </w:pPr>
    </w:p>
    <w:p>
      <w:pPr>
        <w:jc w:val="center"/>
        <w:rPr>
          <w:rFonts w:ascii="Arial" w:hAnsi="Arial" w:cs="Arial"/>
          <w:szCs w:val="21"/>
        </w:rPr>
      </w:pPr>
    </w:p>
    <w:p>
      <w:pPr>
        <w:rPr>
          <w:rFonts w:ascii="Arial" w:hAnsi="Arial" w:cs="Arial"/>
          <w:b/>
          <w:szCs w:val="21"/>
        </w:rPr>
      </w:pPr>
      <w:r>
        <w:rPr>
          <w:rFonts w:ascii="Arial" w:hAnsi="Arial" w:cs="Arial"/>
          <w:b/>
          <w:szCs w:val="21"/>
        </w:rPr>
        <w:t>1)</w:t>
      </w:r>
      <w:r>
        <w:rPr>
          <w:rFonts w:ascii="Arial" w:hAnsi="Arial" w:cs="Arial"/>
          <w:b/>
          <w:szCs w:val="21"/>
        </w:rPr>
        <w:tab/>
      </w:r>
      <w:r>
        <w:rPr>
          <w:rFonts w:ascii="Arial" w:hAnsi="Arial" w:cs="Arial"/>
          <w:b/>
          <w:szCs w:val="21"/>
        </w:rPr>
        <w:t>重置价值条款</w:t>
      </w:r>
    </w:p>
    <w:p>
      <w:pPr>
        <w:autoSpaceDE w:val="0"/>
        <w:autoSpaceDN w:val="0"/>
        <w:adjustRightInd w:val="0"/>
        <w:ind w:firstLine="420"/>
        <w:jc w:val="left"/>
        <w:rPr>
          <w:rFonts w:ascii="Arial" w:hAnsi="Arial" w:cs="Arial"/>
          <w:kern w:val="0"/>
          <w:szCs w:val="21"/>
        </w:rPr>
      </w:pPr>
      <w:r>
        <w:rPr>
          <w:rFonts w:ascii="Arial" w:hAnsi="Arial" w:cs="Arial"/>
          <w:kern w:val="0"/>
          <w:szCs w:val="21"/>
        </w:rPr>
        <w:t>经双方同意，若投保人与保险人约定保险价值为出险时的重置价值，则适用下列约定：</w:t>
      </w:r>
    </w:p>
    <w:p>
      <w:pPr>
        <w:autoSpaceDE w:val="0"/>
        <w:autoSpaceDN w:val="0"/>
        <w:adjustRightInd w:val="0"/>
        <w:jc w:val="left"/>
        <w:rPr>
          <w:rFonts w:ascii="Arial" w:hAnsi="Arial" w:cs="Arial"/>
          <w:kern w:val="0"/>
          <w:szCs w:val="21"/>
        </w:rPr>
      </w:pPr>
      <w:r>
        <w:rPr>
          <w:rFonts w:ascii="Arial" w:hAnsi="Arial" w:cs="Arial"/>
          <w:kern w:val="0"/>
          <w:szCs w:val="21"/>
        </w:rPr>
        <w:t>（一）发生保险事故后，被保险人应对受损保险标的进行重置。</w:t>
      </w:r>
    </w:p>
    <w:p>
      <w:pPr>
        <w:autoSpaceDE w:val="0"/>
        <w:autoSpaceDN w:val="0"/>
        <w:adjustRightInd w:val="0"/>
        <w:jc w:val="left"/>
        <w:rPr>
          <w:rFonts w:ascii="Arial" w:hAnsi="Arial" w:cs="Arial"/>
          <w:kern w:val="0"/>
          <w:szCs w:val="21"/>
        </w:rPr>
      </w:pPr>
      <w:r>
        <w:rPr>
          <w:rFonts w:ascii="Arial" w:hAnsi="Arial" w:cs="Arial"/>
          <w:kern w:val="0"/>
          <w:szCs w:val="21"/>
        </w:rPr>
        <w:t>重置是指：</w:t>
      </w:r>
    </w:p>
    <w:p>
      <w:pPr>
        <w:autoSpaceDE w:val="0"/>
        <w:autoSpaceDN w:val="0"/>
        <w:adjustRightInd w:val="0"/>
        <w:jc w:val="left"/>
        <w:rPr>
          <w:rFonts w:ascii="Arial" w:hAnsi="Arial" w:cs="Arial"/>
          <w:kern w:val="0"/>
          <w:szCs w:val="21"/>
        </w:rPr>
      </w:pPr>
      <w:r>
        <w:rPr>
          <w:rFonts w:ascii="Arial" w:hAnsi="Arial" w:cs="Arial"/>
          <w:kern w:val="0"/>
          <w:szCs w:val="21"/>
        </w:rPr>
        <w:t>1、替换、重建保险标的；</w:t>
      </w:r>
    </w:p>
    <w:p>
      <w:pPr>
        <w:autoSpaceDE w:val="0"/>
        <w:autoSpaceDN w:val="0"/>
        <w:adjustRightInd w:val="0"/>
        <w:jc w:val="left"/>
        <w:rPr>
          <w:rFonts w:ascii="Arial" w:hAnsi="Arial" w:cs="Arial"/>
          <w:kern w:val="0"/>
          <w:szCs w:val="21"/>
        </w:rPr>
      </w:pPr>
      <w:r>
        <w:rPr>
          <w:rFonts w:ascii="Arial" w:hAnsi="Arial" w:cs="Arial"/>
          <w:kern w:val="0"/>
          <w:szCs w:val="21"/>
        </w:rPr>
        <w:t>2、修理、修复保险标的。</w:t>
      </w:r>
    </w:p>
    <w:p>
      <w:pPr>
        <w:autoSpaceDE w:val="0"/>
        <w:autoSpaceDN w:val="0"/>
        <w:adjustRightInd w:val="0"/>
        <w:ind w:firstLine="420"/>
        <w:jc w:val="left"/>
        <w:rPr>
          <w:rFonts w:ascii="Arial" w:hAnsi="Arial" w:cs="Arial"/>
          <w:kern w:val="0"/>
          <w:szCs w:val="21"/>
        </w:rPr>
      </w:pPr>
      <w:r>
        <w:rPr>
          <w:rFonts w:ascii="Arial" w:hAnsi="Arial" w:cs="Arial"/>
          <w:kern w:val="0"/>
          <w:szCs w:val="21"/>
        </w:rPr>
        <w:t>无论采用上述哪一种方式，目的是使保险标的的受损部分经过重置后达到其全新时的状</w:t>
      </w:r>
    </w:p>
    <w:p>
      <w:pPr>
        <w:autoSpaceDE w:val="0"/>
        <w:autoSpaceDN w:val="0"/>
        <w:adjustRightInd w:val="0"/>
        <w:jc w:val="left"/>
        <w:rPr>
          <w:rFonts w:ascii="Arial" w:hAnsi="Arial" w:cs="Arial"/>
          <w:kern w:val="0"/>
          <w:szCs w:val="21"/>
        </w:rPr>
      </w:pPr>
      <w:r>
        <w:rPr>
          <w:rFonts w:ascii="Arial" w:hAnsi="Arial" w:cs="Arial"/>
          <w:kern w:val="0"/>
          <w:szCs w:val="21"/>
        </w:rPr>
        <w:t>态。</w:t>
      </w:r>
    </w:p>
    <w:p>
      <w:pPr>
        <w:autoSpaceDE w:val="0"/>
        <w:autoSpaceDN w:val="0"/>
        <w:adjustRightInd w:val="0"/>
        <w:jc w:val="left"/>
        <w:rPr>
          <w:rFonts w:ascii="Arial" w:hAnsi="Arial" w:cs="Arial"/>
          <w:kern w:val="0"/>
          <w:szCs w:val="21"/>
        </w:rPr>
      </w:pPr>
      <w:r>
        <w:rPr>
          <w:rFonts w:ascii="Arial" w:hAnsi="Arial" w:cs="Arial"/>
          <w:kern w:val="0"/>
          <w:szCs w:val="21"/>
        </w:rPr>
        <w:t>（二）若遇下列情况，保险价值变更为出险时的市场价值：</w:t>
      </w:r>
    </w:p>
    <w:p>
      <w:pPr>
        <w:autoSpaceDE w:val="0"/>
        <w:autoSpaceDN w:val="0"/>
        <w:adjustRightInd w:val="0"/>
        <w:jc w:val="left"/>
        <w:rPr>
          <w:rFonts w:ascii="Arial" w:hAnsi="Arial" w:cs="Arial"/>
          <w:kern w:val="0"/>
          <w:szCs w:val="21"/>
        </w:rPr>
      </w:pPr>
      <w:r>
        <w:rPr>
          <w:rFonts w:ascii="Arial" w:hAnsi="Arial" w:cs="Arial"/>
          <w:kern w:val="0"/>
          <w:szCs w:val="21"/>
        </w:rPr>
        <w:t>1、被保险人没有合理的原因和理由而推迟、延误重置工作；</w:t>
      </w:r>
    </w:p>
    <w:p>
      <w:pPr>
        <w:autoSpaceDE w:val="0"/>
        <w:autoSpaceDN w:val="0"/>
        <w:adjustRightInd w:val="0"/>
        <w:jc w:val="left"/>
        <w:rPr>
          <w:rFonts w:ascii="Arial" w:hAnsi="Arial" w:cs="Arial"/>
          <w:kern w:val="0"/>
          <w:szCs w:val="21"/>
        </w:rPr>
      </w:pPr>
      <w:r>
        <w:rPr>
          <w:rFonts w:ascii="Arial" w:hAnsi="Arial" w:cs="Arial"/>
          <w:kern w:val="0"/>
          <w:szCs w:val="21"/>
        </w:rPr>
        <w:t>2、被保险人没有对受损保险标的进行重置；</w:t>
      </w:r>
    </w:p>
    <w:p>
      <w:pPr>
        <w:autoSpaceDE w:val="0"/>
        <w:autoSpaceDN w:val="0"/>
        <w:adjustRightInd w:val="0"/>
        <w:jc w:val="left"/>
        <w:rPr>
          <w:rFonts w:ascii="Arial" w:hAnsi="Arial" w:cs="Arial"/>
          <w:kern w:val="0"/>
          <w:szCs w:val="21"/>
        </w:rPr>
      </w:pPr>
      <w:r>
        <w:rPr>
          <w:rFonts w:ascii="Arial" w:hAnsi="Arial" w:cs="Arial"/>
          <w:kern w:val="0"/>
          <w:szCs w:val="21"/>
        </w:rPr>
        <w:t>3、发生损失时，若存在重复保险且其他保险合同没有按重置价值承保。</w:t>
      </w:r>
    </w:p>
    <w:p>
      <w:pPr>
        <w:autoSpaceDE w:val="0"/>
        <w:autoSpaceDN w:val="0"/>
        <w:adjustRightInd w:val="0"/>
        <w:ind w:firstLine="420"/>
        <w:jc w:val="left"/>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2)</w:t>
      </w:r>
      <w:r>
        <w:rPr>
          <w:rFonts w:ascii="Arial" w:hAnsi="Arial" w:cs="Arial"/>
          <w:b/>
          <w:kern w:val="0"/>
          <w:szCs w:val="21"/>
        </w:rPr>
        <w:tab/>
      </w:r>
      <w:r>
        <w:rPr>
          <w:rFonts w:ascii="Arial" w:hAnsi="Arial" w:cs="Arial"/>
          <w:b/>
          <w:kern w:val="0"/>
          <w:szCs w:val="21"/>
        </w:rPr>
        <w:t>罢工、暴乱及民众骚乱扩展条款</w:t>
      </w:r>
    </w:p>
    <w:p>
      <w:pPr>
        <w:autoSpaceDE w:val="0"/>
        <w:autoSpaceDN w:val="0"/>
        <w:adjustRightInd w:val="0"/>
        <w:ind w:firstLine="420"/>
        <w:jc w:val="left"/>
        <w:rPr>
          <w:rFonts w:ascii="Arial" w:hAnsi="Arial" w:cs="Arial"/>
          <w:kern w:val="0"/>
          <w:szCs w:val="21"/>
        </w:rPr>
      </w:pPr>
      <w:r>
        <w:rPr>
          <w:rFonts w:ascii="Arial" w:hAnsi="Arial" w:cs="Arial"/>
          <w:kern w:val="0"/>
          <w:szCs w:val="21"/>
        </w:rPr>
        <w:t>经双方同意，在罢工、暴乱或民众骚动期间，由于参与罢工、暴乱或民众骚动的人员造</w:t>
      </w:r>
    </w:p>
    <w:p>
      <w:pPr>
        <w:autoSpaceDE w:val="0"/>
        <w:autoSpaceDN w:val="0"/>
        <w:adjustRightInd w:val="0"/>
        <w:jc w:val="left"/>
        <w:rPr>
          <w:rFonts w:ascii="Arial" w:hAnsi="Arial" w:cs="Arial"/>
          <w:kern w:val="0"/>
          <w:szCs w:val="21"/>
        </w:rPr>
      </w:pPr>
      <w:r>
        <w:rPr>
          <w:rFonts w:ascii="Arial" w:hAnsi="Arial" w:cs="Arial"/>
          <w:kern w:val="0"/>
          <w:szCs w:val="21"/>
        </w:rPr>
        <w:t>成保险标的的损失，以及因发生抢劫造成保险标的的损失，保险人按照本保险合同的约定负</w:t>
      </w:r>
    </w:p>
    <w:p>
      <w:pPr>
        <w:autoSpaceDE w:val="0"/>
        <w:autoSpaceDN w:val="0"/>
        <w:adjustRightInd w:val="0"/>
        <w:jc w:val="left"/>
        <w:rPr>
          <w:rFonts w:ascii="Arial" w:hAnsi="Arial" w:cs="Arial"/>
          <w:kern w:val="0"/>
          <w:szCs w:val="21"/>
        </w:rPr>
      </w:pPr>
      <w:r>
        <w:rPr>
          <w:rFonts w:ascii="Arial" w:hAnsi="Arial" w:cs="Arial"/>
          <w:kern w:val="0"/>
          <w:szCs w:val="21"/>
        </w:rPr>
        <w:t>责赔偿。但由于国家有关部门的命令、没收、征用或拆毁造成的损失以及因参与人员或其他</w:t>
      </w:r>
    </w:p>
    <w:p>
      <w:pPr>
        <w:autoSpaceDE w:val="0"/>
        <w:autoSpaceDN w:val="0"/>
        <w:adjustRightInd w:val="0"/>
        <w:jc w:val="left"/>
        <w:rPr>
          <w:rFonts w:ascii="Arial" w:hAnsi="Arial" w:cs="Arial"/>
          <w:kern w:val="0"/>
          <w:szCs w:val="21"/>
        </w:rPr>
      </w:pPr>
      <w:r>
        <w:rPr>
          <w:rFonts w:ascii="Arial" w:hAnsi="Arial" w:cs="Arial"/>
          <w:kern w:val="0"/>
          <w:szCs w:val="21"/>
        </w:rPr>
        <w:t>人故意纵火造成的损失，保险人不负责赔偿。</w:t>
      </w:r>
    </w:p>
    <w:p>
      <w:pPr>
        <w:autoSpaceDE w:val="0"/>
        <w:autoSpaceDN w:val="0"/>
        <w:adjustRightInd w:val="0"/>
        <w:ind w:firstLine="420"/>
        <w:jc w:val="left"/>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3)</w:t>
      </w:r>
      <w:r>
        <w:rPr>
          <w:rFonts w:ascii="Arial" w:hAnsi="Arial" w:cs="Arial"/>
          <w:b/>
          <w:kern w:val="0"/>
          <w:szCs w:val="21"/>
        </w:rPr>
        <w:tab/>
      </w:r>
      <w:r>
        <w:rPr>
          <w:rFonts w:ascii="Arial" w:hAnsi="Arial" w:cs="Arial"/>
          <w:b/>
          <w:kern w:val="0"/>
          <w:szCs w:val="21"/>
        </w:rPr>
        <w:t>建筑师、检验师、顾问、法律和其它专业费用条款（赔偿限额: 总保险金额的15%）</w:t>
      </w:r>
    </w:p>
    <w:p>
      <w:pPr>
        <w:autoSpaceDE w:val="0"/>
        <w:autoSpaceDN w:val="0"/>
        <w:adjustRightInd w:val="0"/>
        <w:ind w:firstLine="420"/>
        <w:jc w:val="left"/>
        <w:rPr>
          <w:rFonts w:ascii="Arial" w:hAnsi="Arial" w:cs="Arial"/>
          <w:kern w:val="0"/>
          <w:szCs w:val="21"/>
        </w:rPr>
      </w:pPr>
      <w:r>
        <w:rPr>
          <w:rFonts w:ascii="Arial" w:hAnsi="Arial" w:cs="Arial"/>
          <w:kern w:val="0"/>
          <w:szCs w:val="21"/>
        </w:rPr>
        <w:t>经双方同意，本保险合同扩展承保在发生保险事故造成财产损失而进行重置或修理时，必要、合理的建筑师、检验师、顾问、法律和其它专业费用。但不包括为了准备索赔和理算时发生的费用和支出。</w:t>
      </w:r>
    </w:p>
    <w:p>
      <w:pPr>
        <w:autoSpaceDE w:val="0"/>
        <w:autoSpaceDN w:val="0"/>
        <w:adjustRightInd w:val="0"/>
        <w:ind w:firstLine="420"/>
        <w:jc w:val="left"/>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4)</w:t>
      </w:r>
      <w:r>
        <w:rPr>
          <w:rFonts w:ascii="Arial" w:hAnsi="Arial" w:cs="Arial"/>
          <w:b/>
          <w:kern w:val="0"/>
          <w:szCs w:val="21"/>
        </w:rPr>
        <w:tab/>
      </w:r>
      <w:r>
        <w:rPr>
          <w:rFonts w:ascii="Arial" w:hAnsi="Arial" w:cs="Arial"/>
          <w:b/>
          <w:kern w:val="0"/>
          <w:szCs w:val="21"/>
        </w:rPr>
        <w:t>装修、改造条款（每个合同金额以RMB10,000,000.00为限）</w:t>
      </w:r>
    </w:p>
    <w:p>
      <w:pPr>
        <w:autoSpaceDE w:val="0"/>
        <w:autoSpaceDN w:val="0"/>
        <w:adjustRightInd w:val="0"/>
        <w:ind w:firstLine="420"/>
        <w:jc w:val="left"/>
        <w:rPr>
          <w:rFonts w:ascii="Arial" w:hAnsi="Arial" w:cs="Arial"/>
          <w:kern w:val="0"/>
          <w:szCs w:val="21"/>
        </w:rPr>
      </w:pPr>
      <w:r>
        <w:rPr>
          <w:rFonts w:ascii="Arial" w:hAnsi="Arial" w:cs="Arial"/>
          <w:kern w:val="0"/>
          <w:szCs w:val="21"/>
        </w:rPr>
        <w:t>经双方同意，鉴于被保险人已交付了附加的保险费，本保险扩展承保保险财产在进行扩建、改建、维修、装修过程中发生的本保险责任范围内的物质损失，但被保险人克尽职责防止损失发生。本扩展条款项下每个合同金额不得超过</w:t>
      </w:r>
      <w:r>
        <w:rPr>
          <w:rFonts w:ascii="Arial" w:hAnsi="Arial" w:cs="Arial"/>
          <w:b/>
          <w:kern w:val="0"/>
          <w:szCs w:val="21"/>
          <w:u w:val="single"/>
        </w:rPr>
        <w:t>RMB10,000,000.00</w:t>
      </w:r>
      <w:r>
        <w:rPr>
          <w:rFonts w:ascii="Arial" w:hAnsi="Arial" w:cs="Arial"/>
          <w:kern w:val="0"/>
          <w:szCs w:val="21"/>
        </w:rPr>
        <w:t>。</w:t>
      </w:r>
    </w:p>
    <w:p>
      <w:pPr>
        <w:autoSpaceDE w:val="0"/>
        <w:autoSpaceDN w:val="0"/>
        <w:adjustRightInd w:val="0"/>
        <w:ind w:firstLine="420"/>
        <w:jc w:val="left"/>
        <w:rPr>
          <w:rFonts w:ascii="Arial" w:hAnsi="Arial" w:cs="Arial"/>
          <w:kern w:val="0"/>
          <w:szCs w:val="21"/>
        </w:rPr>
      </w:pPr>
      <w:r>
        <w:rPr>
          <w:rFonts w:ascii="Arial" w:hAnsi="Arial" w:cs="Arial"/>
          <w:kern w:val="0"/>
          <w:szCs w:val="21"/>
        </w:rPr>
        <w:t>本保险单所载其他条件不变。</w:t>
      </w:r>
    </w:p>
    <w:p>
      <w:pPr>
        <w:autoSpaceDE w:val="0"/>
        <w:autoSpaceDN w:val="0"/>
        <w:adjustRightInd w:val="0"/>
        <w:ind w:firstLine="420"/>
        <w:jc w:val="left"/>
        <w:rPr>
          <w:rFonts w:ascii="Arial" w:hAnsi="Arial" w:cs="Arial"/>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5)</w:t>
      </w:r>
      <w:r>
        <w:rPr>
          <w:rFonts w:ascii="Arial" w:hAnsi="Arial" w:cs="Arial"/>
          <w:b/>
          <w:kern w:val="0"/>
          <w:szCs w:val="21"/>
        </w:rPr>
        <w:tab/>
      </w:r>
      <w:r>
        <w:rPr>
          <w:rFonts w:ascii="Arial" w:hAnsi="Arial" w:cs="Arial"/>
          <w:b/>
          <w:kern w:val="0"/>
          <w:szCs w:val="21"/>
        </w:rPr>
        <w:t>公共当局扩展条款</w:t>
      </w:r>
    </w:p>
    <w:p>
      <w:pPr>
        <w:autoSpaceDE w:val="0"/>
        <w:autoSpaceDN w:val="0"/>
        <w:adjustRightInd w:val="0"/>
        <w:ind w:firstLine="420"/>
        <w:jc w:val="left"/>
        <w:rPr>
          <w:rFonts w:ascii="Arial" w:hAnsi="Arial" w:cs="Arial"/>
          <w:kern w:val="0"/>
          <w:szCs w:val="21"/>
        </w:rPr>
      </w:pPr>
      <w:r>
        <w:rPr>
          <w:rFonts w:ascii="Arial" w:hAnsi="Arial" w:cs="Arial"/>
          <w:kern w:val="0"/>
          <w:szCs w:val="21"/>
        </w:rPr>
        <w:t>经双方同意，因保险事故造成保险标的损失，在重建或修复时，由于必须执行公共当局的有关法律、法令、法规产生的额外费用，保险人按照本保险合同的约定负责赔偿。但以下列约定为条件：</w:t>
      </w:r>
    </w:p>
    <w:p>
      <w:pPr>
        <w:autoSpaceDE w:val="0"/>
        <w:autoSpaceDN w:val="0"/>
        <w:adjustRightInd w:val="0"/>
        <w:ind w:firstLine="420"/>
        <w:jc w:val="left"/>
        <w:rPr>
          <w:rFonts w:ascii="Arial" w:hAnsi="Arial" w:cs="Arial"/>
          <w:kern w:val="0"/>
          <w:szCs w:val="21"/>
        </w:rPr>
      </w:pPr>
      <w:r>
        <w:rPr>
          <w:rFonts w:ascii="Arial" w:hAnsi="Arial" w:cs="Arial"/>
          <w:kern w:val="0"/>
          <w:szCs w:val="21"/>
        </w:rPr>
        <w:t>（一）下列情况下执行上述法律、法令、法规产生的额外费用，保险人不负责赔偿：</w:t>
      </w:r>
    </w:p>
    <w:p>
      <w:pPr>
        <w:autoSpaceDE w:val="0"/>
        <w:autoSpaceDN w:val="0"/>
        <w:adjustRightInd w:val="0"/>
        <w:ind w:firstLine="420"/>
        <w:jc w:val="left"/>
        <w:rPr>
          <w:rFonts w:ascii="Arial" w:hAnsi="Arial" w:cs="Arial"/>
          <w:b/>
          <w:kern w:val="0"/>
          <w:szCs w:val="21"/>
        </w:rPr>
      </w:pPr>
      <w:r>
        <w:rPr>
          <w:rFonts w:ascii="Arial" w:hAnsi="Arial" w:cs="Arial"/>
          <w:b/>
          <w:kern w:val="0"/>
          <w:szCs w:val="21"/>
        </w:rPr>
        <w:t>1、本条款生效之前发生的损失；</w:t>
      </w:r>
    </w:p>
    <w:p>
      <w:pPr>
        <w:autoSpaceDE w:val="0"/>
        <w:autoSpaceDN w:val="0"/>
        <w:adjustRightInd w:val="0"/>
        <w:ind w:firstLine="420"/>
        <w:jc w:val="left"/>
        <w:rPr>
          <w:rFonts w:ascii="Arial" w:hAnsi="Arial" w:cs="Arial"/>
          <w:b/>
          <w:kern w:val="0"/>
          <w:szCs w:val="21"/>
        </w:rPr>
      </w:pPr>
      <w:r>
        <w:rPr>
          <w:rFonts w:ascii="Arial" w:hAnsi="Arial" w:cs="Arial"/>
          <w:b/>
          <w:kern w:val="0"/>
          <w:szCs w:val="21"/>
        </w:rPr>
        <w:t>2、本保险合同责任范围以外的损失；</w:t>
      </w:r>
    </w:p>
    <w:p>
      <w:pPr>
        <w:autoSpaceDE w:val="0"/>
        <w:autoSpaceDN w:val="0"/>
        <w:adjustRightInd w:val="0"/>
        <w:ind w:firstLine="420"/>
        <w:jc w:val="left"/>
        <w:rPr>
          <w:rFonts w:ascii="Arial" w:hAnsi="Arial" w:cs="Arial"/>
          <w:b/>
          <w:kern w:val="0"/>
          <w:szCs w:val="21"/>
        </w:rPr>
      </w:pPr>
      <w:r>
        <w:rPr>
          <w:rFonts w:ascii="Arial" w:hAnsi="Arial" w:cs="Arial"/>
          <w:b/>
          <w:kern w:val="0"/>
          <w:szCs w:val="21"/>
        </w:rPr>
        <w:t>3、发生损失前被保险人已接到有关当局关于拆除、重建的通知；</w:t>
      </w:r>
    </w:p>
    <w:p>
      <w:pPr>
        <w:autoSpaceDE w:val="0"/>
        <w:autoSpaceDN w:val="0"/>
        <w:adjustRightInd w:val="0"/>
        <w:ind w:firstLine="420"/>
        <w:jc w:val="left"/>
        <w:rPr>
          <w:rFonts w:ascii="Arial" w:hAnsi="Arial" w:cs="Arial"/>
          <w:b/>
          <w:kern w:val="0"/>
          <w:szCs w:val="21"/>
        </w:rPr>
      </w:pPr>
      <w:r>
        <w:rPr>
          <w:rFonts w:ascii="Arial" w:hAnsi="Arial" w:cs="Arial"/>
          <w:b/>
          <w:kern w:val="0"/>
          <w:szCs w:val="21"/>
        </w:rPr>
        <w:t>4、未受损保险标的（但不包括被保险的地基）的修复、拆除、重建。</w:t>
      </w:r>
    </w:p>
    <w:p>
      <w:pPr>
        <w:autoSpaceDE w:val="0"/>
        <w:autoSpaceDN w:val="0"/>
        <w:adjustRightInd w:val="0"/>
        <w:ind w:firstLine="420"/>
        <w:jc w:val="left"/>
        <w:rPr>
          <w:rFonts w:ascii="Arial" w:hAnsi="Arial" w:cs="Arial"/>
          <w:kern w:val="0"/>
          <w:szCs w:val="21"/>
        </w:rPr>
      </w:pPr>
      <w:r>
        <w:rPr>
          <w:rFonts w:ascii="Arial" w:hAnsi="Arial" w:cs="Arial"/>
          <w:kern w:val="0"/>
          <w:szCs w:val="21"/>
        </w:rPr>
        <w:t>（二）被保险人的重建、修复工作必须立即实施，并在损失发生之日起十二个月或经保险人书面同意延长的期限内完工；若根据有关法律、法令、法规及其附则，该受损保险标的必须在其他地点重建、修复时，保险人亦可赔偿，但保险人的赔偿责任不得因此增加。</w:t>
      </w:r>
    </w:p>
    <w:p>
      <w:pPr>
        <w:autoSpaceDE w:val="0"/>
        <w:autoSpaceDN w:val="0"/>
        <w:adjustRightInd w:val="0"/>
        <w:ind w:firstLine="420"/>
        <w:jc w:val="left"/>
        <w:rPr>
          <w:rFonts w:ascii="Arial" w:hAnsi="Arial" w:cs="Arial"/>
          <w:kern w:val="0"/>
          <w:szCs w:val="21"/>
        </w:rPr>
      </w:pPr>
      <w:r>
        <w:rPr>
          <w:rFonts w:ascii="Arial" w:hAnsi="Arial" w:cs="Arial"/>
          <w:kern w:val="0"/>
          <w:szCs w:val="21"/>
        </w:rPr>
        <w:t>（三）若在本保险合同项下保险标的受损，但按本保险合同约定，保险人的赔偿责任减少时，则本附加条款项下的赔偿责任也相应减少。</w:t>
      </w:r>
    </w:p>
    <w:p>
      <w:pPr>
        <w:autoSpaceDE w:val="0"/>
        <w:autoSpaceDN w:val="0"/>
        <w:adjustRightInd w:val="0"/>
        <w:ind w:firstLine="420"/>
        <w:jc w:val="left"/>
        <w:rPr>
          <w:rFonts w:ascii="Arial" w:hAnsi="Arial" w:cs="Arial"/>
          <w:kern w:val="0"/>
          <w:szCs w:val="21"/>
        </w:rPr>
      </w:pPr>
      <w:r>
        <w:rPr>
          <w:rFonts w:ascii="Arial" w:hAnsi="Arial" w:cs="Arial"/>
          <w:kern w:val="0"/>
          <w:szCs w:val="21"/>
        </w:rPr>
        <w:t>（四）保险人对任何一项受损保险标的的赔偿金额不得超过该项目在本保险合同中列明的保险金额。</w:t>
      </w:r>
    </w:p>
    <w:p>
      <w:pPr>
        <w:autoSpaceDE w:val="0"/>
        <w:autoSpaceDN w:val="0"/>
        <w:adjustRightInd w:val="0"/>
        <w:ind w:firstLine="420"/>
        <w:jc w:val="left"/>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6)</w:t>
      </w:r>
      <w:r>
        <w:rPr>
          <w:rFonts w:ascii="Arial" w:hAnsi="Arial" w:cs="Arial"/>
          <w:b/>
          <w:kern w:val="0"/>
          <w:szCs w:val="21"/>
        </w:rPr>
        <w:tab/>
      </w:r>
      <w:r>
        <w:rPr>
          <w:rFonts w:ascii="Arial" w:hAnsi="Arial" w:cs="Arial"/>
          <w:b/>
          <w:kern w:val="0"/>
          <w:szCs w:val="21"/>
        </w:rPr>
        <w:t>自动恢复保险金额条款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经双方同意，发生保险责任范围内的损失时，各项受损保险标的的保险金额自动恢复，但被保险人应按日比例支付恢复部分自损失发生之日起至本保险合同保险期间届满之日止期间的保险费。</w:t>
      </w:r>
    </w:p>
    <w:p>
      <w:pPr>
        <w:autoSpaceDE w:val="0"/>
        <w:autoSpaceDN w:val="0"/>
        <w:adjustRightInd w:val="0"/>
        <w:ind w:firstLine="420"/>
        <w:jc w:val="left"/>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7)</w:t>
      </w:r>
      <w:r>
        <w:rPr>
          <w:rFonts w:ascii="Arial" w:hAnsi="Arial" w:cs="Arial"/>
          <w:b/>
          <w:kern w:val="0"/>
          <w:szCs w:val="21"/>
        </w:rPr>
        <w:tab/>
      </w:r>
      <w:r>
        <w:rPr>
          <w:rFonts w:ascii="Arial" w:hAnsi="Arial" w:cs="Arial"/>
          <w:b/>
          <w:kern w:val="0"/>
          <w:szCs w:val="21"/>
        </w:rPr>
        <w:t>72小时条款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本保险合同项下保险标的在连续72小时内遭受暴风雨、台风、洪水或地震所致损失应视为一单独事件，在计算赔偿时视为一次保险事故。被保险人可自行决定72小时的起始时间，但若在连续数个72小时时间内发生损失，任何两个或两个以上72小时期限不得重叠。</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8)</w:t>
      </w:r>
      <w:r>
        <w:rPr>
          <w:rFonts w:ascii="Arial" w:hAnsi="Arial" w:cs="Arial"/>
          <w:b/>
          <w:kern w:val="0"/>
          <w:szCs w:val="21"/>
        </w:rPr>
        <w:tab/>
      </w:r>
      <w:r>
        <w:rPr>
          <w:rFonts w:ascii="Arial" w:hAnsi="Arial" w:cs="Arial"/>
          <w:b/>
          <w:kern w:val="0"/>
          <w:szCs w:val="21"/>
        </w:rPr>
        <w:t>临时移动扩展条款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保险标的（不包括存货）因为清洁、改装、维修或其他类似目的，临时从本保险合同中载明的保险标的地址移动至中华人民共和国境内（不包括香港、澳门、台湾）的任何地方，在陆路、水路、铁路和航空往返运输途中因保险事故造成的损失，保险人按照本保险合同的约定负责赔偿。</w:t>
      </w:r>
    </w:p>
    <w:p>
      <w:pPr>
        <w:autoSpaceDE w:val="0"/>
        <w:autoSpaceDN w:val="0"/>
        <w:adjustRightInd w:val="0"/>
        <w:snapToGrid w:val="0"/>
        <w:ind w:firstLine="420"/>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9)</w:t>
      </w:r>
      <w:r>
        <w:rPr>
          <w:rFonts w:ascii="Arial" w:hAnsi="Arial" w:cs="Arial"/>
          <w:b/>
          <w:kern w:val="0"/>
          <w:szCs w:val="21"/>
        </w:rPr>
        <w:tab/>
      </w:r>
      <w:r>
        <w:rPr>
          <w:rFonts w:ascii="Arial" w:hAnsi="Arial" w:cs="Arial"/>
          <w:b/>
          <w:kern w:val="0"/>
          <w:szCs w:val="21"/>
        </w:rPr>
        <w:t>清理残骸费用扩展条款（赔偿限额: 总保险金额的10 %）</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经双方同意，因发生保险责任范围内的损失而产生的清除、拆除或支撑受损保险标的的费用，保险人按照本保险合同的约定负责赔偿。</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本附加条款项下保险人的赔偿责任不超过本保险合同中载明的相应赔偿限额。</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10)</w:t>
      </w:r>
      <w:r>
        <w:rPr>
          <w:rFonts w:ascii="Arial" w:hAnsi="Arial" w:cs="Arial"/>
          <w:b/>
          <w:kern w:val="0"/>
          <w:szCs w:val="21"/>
        </w:rPr>
        <w:tab/>
      </w:r>
      <w:r>
        <w:rPr>
          <w:rFonts w:ascii="Arial" w:hAnsi="Arial" w:cs="Arial"/>
          <w:b/>
          <w:kern w:val="0"/>
          <w:szCs w:val="21"/>
        </w:rPr>
        <w:t>其他物品扩展条款（赔偿限额: RMB500,000.00）</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经双方同意，由于保险事故造成其他物品的损失，保险人按照本保险合同的约定负责赔偿。</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本附加条款所称“其他物品”是指下列被保险人所有的或管控的：</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（一）单证、手稿、商务帐册、计算机软件及资料，但仅限于其载体材料的价值以及为恢复原有数据及资料而发生的费用，保险人在该项下的赔偿责任以本保险合同中载明的相应赔偿限额为限；</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（二）被保险人未另投保的模板、模具、模型、设计图纸的重新制作费用，但不包括设计费用；</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（三）被保险人雇员的衣物及其他个人物品，保险人对每一雇员的赔偿责任以本保险合同中载明的相应赔偿限额为限。</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本附加条款项下保险人的赔偿责任不超过本保险合同中载明的相应赔偿限额。</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11)</w:t>
      </w:r>
      <w:r>
        <w:rPr>
          <w:rFonts w:ascii="Arial" w:hAnsi="Arial" w:cs="Arial"/>
          <w:b/>
          <w:kern w:val="0"/>
          <w:szCs w:val="21"/>
        </w:rPr>
        <w:tab/>
      </w:r>
      <w:r>
        <w:rPr>
          <w:rFonts w:ascii="Arial" w:hAnsi="Arial" w:cs="Arial"/>
          <w:b/>
          <w:kern w:val="0"/>
          <w:szCs w:val="21"/>
        </w:rPr>
        <w:t>错误和遗漏条款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经双方同意，投保人、被保险人因过失而延迟、错误或遗漏向保险人告知或通知保险标的所占用的场地或价值的变更、保险标的危险程度增加或其他重要事项，被保险人在本保险合同项下的权益不受影响。</w:t>
      </w:r>
      <w:r>
        <w:rPr>
          <w:rFonts w:ascii="Arial" w:hAnsi="Arial" w:cs="Arial"/>
          <w:b/>
          <w:kern w:val="0"/>
          <w:szCs w:val="21"/>
        </w:rPr>
        <w:t>但投保人、被保险人一旦发现其延迟、错误或遗漏，应立即通知保险人上述事项，并支付从风险增加之日起至保险期间届满之日止期间可能的额外保险费，否则保险人不承担保险责任。</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12)</w:t>
      </w:r>
      <w:r>
        <w:rPr>
          <w:rFonts w:ascii="Arial" w:hAnsi="Arial" w:cs="Arial"/>
          <w:b/>
          <w:kern w:val="0"/>
          <w:szCs w:val="21"/>
        </w:rPr>
        <w:tab/>
      </w:r>
      <w:r>
        <w:rPr>
          <w:rFonts w:ascii="Arial" w:hAnsi="Arial" w:cs="Arial"/>
          <w:b/>
          <w:kern w:val="0"/>
          <w:szCs w:val="21"/>
        </w:rPr>
        <w:t>额外费用条款（赔偿限额: 总保险金额的10%）</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如果保险财产的任何部分遭受保险人应予负责的损失，本保险合同项下的赔偿将扩展包括：</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（一）快递或专递任何零部件所产生的必要费用；</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（二）进行经认可的修理时，为加快修理所支付的必要的加班费用，包括周日、节假日及夜班的加班费。</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但保险人的附加责任以保险金额的10% 为限。若保险财产的保额不足，本条款项下特别费用的赔偿金额按比例减少。</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color w:val="FF0000"/>
          <w:kern w:val="0"/>
          <w:szCs w:val="21"/>
        </w:rPr>
      </w:pPr>
      <w:r>
        <w:rPr>
          <w:rFonts w:ascii="Arial" w:hAnsi="Arial" w:cs="Arial"/>
          <w:b/>
          <w:kern w:val="0"/>
          <w:szCs w:val="21"/>
        </w:rPr>
        <w:t>13)</w:t>
      </w:r>
      <w:r>
        <w:rPr>
          <w:rFonts w:ascii="Arial" w:hAnsi="Arial" w:cs="Arial"/>
          <w:b/>
          <w:kern w:val="0"/>
          <w:szCs w:val="21"/>
        </w:rPr>
        <w:tab/>
      </w:r>
      <w:r>
        <w:rPr>
          <w:rFonts w:ascii="Arial" w:hAnsi="Arial" w:cs="Arial"/>
          <w:b/>
          <w:kern w:val="0"/>
          <w:szCs w:val="21"/>
        </w:rPr>
        <w:t>灭火费用扩展条款</w:t>
      </w:r>
    </w:p>
    <w:p>
      <w:pPr>
        <w:autoSpaceDE w:val="0"/>
        <w:autoSpaceDN w:val="0"/>
        <w:adjustRightInd w:val="0"/>
        <w:snapToGrid w:val="0"/>
        <w:ind w:firstLine="420"/>
        <w:rPr>
          <w:rFonts w:ascii="Arial" w:hAnsi="Arial" w:cs="Arial"/>
          <w:kern w:val="0"/>
          <w:szCs w:val="21"/>
        </w:rPr>
      </w:pPr>
      <w:r>
        <w:rPr>
          <w:rFonts w:ascii="Arial" w:hAnsi="Arial" w:cs="Arial"/>
          <w:kern w:val="0"/>
          <w:szCs w:val="21"/>
        </w:rPr>
        <w:t>经双方同意，本保险扩展承保：</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1. 参加救火的被保险人雇员，但不包括工厂消防队专职队员的工资。</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2. 除非另有其他保险，补充消防器具及损毁材料（包括雇员的衣服及私人物品）的费用，以及重置或修理救火过程中使用的材料或设备的费用。</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3. 所有其他有关救火或防止火势蔓延，或因火或其他承保风险受损或存在受损的威胁，而提供临时安全装置的费用。</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但是，保险人对于上述工资及费用的责任限于，扑灭发生在本保险单项下保险财产所在地或其附近的，或即将危及保险财产的火灾过程中，必要和合理的支出。</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 xml:space="preserve">每次事故赔偿限额：       。 </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本保险单所载其他条件不变。</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14)</w:t>
      </w:r>
      <w:r>
        <w:rPr>
          <w:rFonts w:ascii="Arial" w:hAnsi="Arial" w:cs="Arial"/>
          <w:b/>
          <w:kern w:val="0"/>
          <w:szCs w:val="21"/>
        </w:rPr>
        <w:tab/>
      </w:r>
      <w:r>
        <w:rPr>
          <w:rFonts w:ascii="Arial" w:hAnsi="Arial" w:cs="Arial"/>
          <w:b/>
          <w:kern w:val="0"/>
          <w:szCs w:val="21"/>
        </w:rPr>
        <w:t>预付赔款条款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经双方同意，发生保险责任范围内的损失，经保险人或保险人委托的公估人理算后，损失金额已确定部分的赔款可预付给被保险人，该部分预付赔款应从总赔款金额中扣除。</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15)</w:t>
      </w:r>
      <w:r>
        <w:rPr>
          <w:rFonts w:ascii="Arial" w:hAnsi="Arial" w:cs="Arial"/>
          <w:b/>
          <w:kern w:val="0"/>
          <w:szCs w:val="21"/>
        </w:rPr>
        <w:tab/>
      </w:r>
      <w:r>
        <w:rPr>
          <w:rFonts w:ascii="Arial" w:hAnsi="Arial" w:cs="Arial"/>
          <w:b/>
          <w:kern w:val="0"/>
          <w:szCs w:val="21"/>
        </w:rPr>
        <w:t>自动升值扩展条款（限额: 总保险金额的25%）</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经双方同意，本保险合同项下双方约定自动升值的保险标的（存货除外）的保险金额在保险期间内每天以本保险合同中载明的保险金额升值率的1/365增加，计算公式如下：</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保险金额每天升值金额＝本保险合同中载明的保险金额×升值率×1/365</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16)</w:t>
      </w:r>
      <w:r>
        <w:rPr>
          <w:rFonts w:ascii="Arial" w:hAnsi="Arial" w:cs="Arial"/>
          <w:b/>
          <w:kern w:val="0"/>
          <w:szCs w:val="21"/>
        </w:rPr>
        <w:tab/>
      </w:r>
      <w:r>
        <w:rPr>
          <w:rFonts w:ascii="Arial" w:hAnsi="Arial" w:cs="Arial"/>
          <w:b/>
          <w:kern w:val="0"/>
          <w:szCs w:val="21"/>
        </w:rPr>
        <w:t>锅炉及压力容器爆炸扩展条款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经双方同意，本保险扩展承保本保险单明细表列明的地点范围内，由于被保险锅炉及压力容器爆炸，造成锅炉及压力容器本身的损失。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被保险人应持有有关当局颁发的锅炉合格证书及操作人员的许可证书，并保证对锅炉及压力容器由合格技术人员定期进行检查和维修。</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本保险单所载其他条件不变。</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17)</w:t>
      </w:r>
      <w:r>
        <w:rPr>
          <w:rFonts w:ascii="Arial" w:hAnsi="Arial" w:cs="Arial"/>
          <w:b/>
          <w:kern w:val="0"/>
          <w:szCs w:val="21"/>
        </w:rPr>
        <w:tab/>
      </w:r>
      <w:r>
        <w:rPr>
          <w:rFonts w:ascii="Arial" w:hAnsi="Arial" w:cs="Arial"/>
          <w:b/>
          <w:kern w:val="0"/>
          <w:szCs w:val="21"/>
        </w:rPr>
        <w:t>不受控制条款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经双方同意，被保险人在无法控制或不存在过错的情况下违反本保险合同的条件和保证，本保险合同的保障不受影响。</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snapToGrid w:val="0"/>
        <w:ind w:firstLine="472" w:firstLineChars="225"/>
        <w:rPr>
          <w:rFonts w:ascii="Arial" w:hAnsi="Arial" w:cs="Arial"/>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18)</w:t>
      </w:r>
      <w:r>
        <w:rPr>
          <w:rFonts w:ascii="Arial" w:hAnsi="Arial" w:cs="Arial"/>
          <w:b/>
          <w:kern w:val="0"/>
          <w:szCs w:val="21"/>
        </w:rPr>
        <w:tab/>
      </w:r>
      <w:r>
        <w:rPr>
          <w:rFonts w:ascii="Arial" w:hAnsi="Arial" w:cs="Arial"/>
          <w:b/>
          <w:kern w:val="0"/>
          <w:szCs w:val="21"/>
        </w:rPr>
        <w:t>增加资产扩展条款（不超过相关项下类似财产保额的20%）</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本保险合同生效后，被保险人在中华人民共和国境内（不包括香港、澳门、台湾）新增加的资产，但不包括财产本身的升值及存货，保险人按照本保险合同的约定承担保险责任，但在保险期间内新增加资产的金额应不超过本保险合同中载明的相应限额,且被保险人须每季度末10日内申报增加资产的价值。</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19)</w:t>
      </w:r>
      <w:r>
        <w:rPr>
          <w:rFonts w:ascii="Arial" w:hAnsi="Arial" w:cs="Arial"/>
          <w:b/>
          <w:kern w:val="0"/>
          <w:szCs w:val="21"/>
        </w:rPr>
        <w:tab/>
      </w:r>
      <w:r>
        <w:rPr>
          <w:rFonts w:ascii="Arial" w:hAnsi="Arial" w:cs="Arial"/>
          <w:b/>
          <w:kern w:val="0"/>
          <w:szCs w:val="21"/>
        </w:rPr>
        <w:t>烟熏扩展条款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经双方同意，由于意外事故引起烟熏造成保险标的的直接物质损失或清除污迹的费用，保险人按照本保险合同的约定负责赔偿。</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20)</w:t>
      </w:r>
      <w:r>
        <w:rPr>
          <w:rFonts w:ascii="Arial" w:hAnsi="Arial" w:cs="Arial"/>
          <w:b/>
          <w:kern w:val="0"/>
          <w:szCs w:val="21"/>
        </w:rPr>
        <w:tab/>
      </w:r>
      <w:r>
        <w:rPr>
          <w:rFonts w:ascii="Arial" w:hAnsi="Arial" w:cs="Arial"/>
          <w:b/>
          <w:kern w:val="0"/>
          <w:szCs w:val="21"/>
        </w:rPr>
        <w:t>地震扩展条款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条款扩展承保本保险单明细表中列明的保险财产因破坏性地震（由国家地震部门最终测定的里氏震级在4.7级及其以上且烈度达到六度以上的地震）震动或由此引起的海啸、火灾、爆炸、滑坡、地陷所造成的直接物质损坏或灭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由于地震引起的在连续的72小时内的损失视为一次事故的损失。被保险人可以选择前述72小时的开始时间，但两次事故的时间不应当有重叠部分。保险人不承担在本保险单保险期间开始前发生地震引起的损失，也不承担在本保险单保险期间终止后发生地震引起的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本附加保险条款与财产保险条款内容相悖时，以本条款为准，其他未尽事项以财产保险条款为准。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21)</w:t>
      </w:r>
      <w:r>
        <w:rPr>
          <w:rFonts w:ascii="Arial" w:hAnsi="Arial" w:cs="Arial"/>
          <w:b/>
          <w:kern w:val="0"/>
          <w:szCs w:val="21"/>
        </w:rPr>
        <w:tab/>
      </w:r>
      <w:r>
        <w:rPr>
          <w:rFonts w:ascii="Arial" w:hAnsi="Arial" w:cs="Arial"/>
          <w:b/>
          <w:kern w:val="0"/>
          <w:szCs w:val="21"/>
        </w:rPr>
        <w:t>露天存放及简易建筑内财产扩展条款</w:t>
      </w:r>
      <w:r>
        <w:rPr>
          <w:rFonts w:hint="eastAsia" w:ascii="Arial" w:hAnsi="Arial" w:cs="Arial"/>
          <w:b/>
          <w:kern w:val="0"/>
          <w:szCs w:val="21"/>
        </w:rPr>
        <w:t>（每次事故赔偿限额RMB100万元）</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经双方同意，由于暴风、暴雨、龙卷风、台风、飓风、雷击、冰雹、暴雪、冰凌、洪水造成的存放于露天或简易建筑内的保险标的的损失，保险人按照本保险合同的约定负责赔偿。</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被保险人对露天及简易建筑内财产的存放，应符合仓储及有关部门的规定，并采取相应的安全防护措施。</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22)</w:t>
      </w:r>
      <w:r>
        <w:rPr>
          <w:rFonts w:ascii="Arial" w:hAnsi="Arial" w:cs="Arial"/>
          <w:b/>
          <w:kern w:val="0"/>
          <w:szCs w:val="21"/>
        </w:rPr>
        <w:tab/>
      </w:r>
      <w:r>
        <w:rPr>
          <w:rFonts w:ascii="Arial" w:hAnsi="Arial" w:cs="Arial"/>
          <w:b/>
          <w:kern w:val="0"/>
          <w:szCs w:val="21"/>
        </w:rPr>
        <w:t>指定公估人条款（根宁翰保险公估（中国）有限公司 /平量行保险公估（上海）有限公司，</w:t>
      </w:r>
      <w:r>
        <w:rPr>
          <w:rFonts w:ascii="Arial" w:hAnsi="Arial" w:cs="Arial"/>
          <w:b/>
          <w:szCs w:val="21"/>
        </w:rPr>
        <w:t>及保险合同双方认可的其他有合法执业资格的机构</w:t>
      </w:r>
      <w:r>
        <w:rPr>
          <w:rFonts w:ascii="Arial" w:hAnsi="Arial" w:cs="Arial"/>
          <w:b/>
          <w:kern w:val="0"/>
          <w:szCs w:val="21"/>
        </w:rPr>
        <w:t>）</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经双方同意，当发生保险责任范围内的损失，可以指定双方认可的以下机构作为公估人，公估费用由保险人承担。</w:t>
      </w:r>
    </w:p>
    <w:p>
      <w:pPr>
        <w:numPr>
          <w:ilvl w:val="0"/>
          <w:numId w:val="8"/>
        </w:numPr>
        <w:adjustRightInd w:val="0"/>
        <w:snapToGrid w:val="0"/>
        <w:ind w:left="630" w:hanging="270"/>
        <w:rPr>
          <w:rFonts w:ascii="Arial" w:hAnsi="Arial" w:cs="Arial"/>
          <w:kern w:val="0"/>
          <w:szCs w:val="21"/>
        </w:rPr>
      </w:pPr>
      <w:r>
        <w:rPr>
          <w:rFonts w:ascii="Arial" w:hAnsi="Arial" w:cs="Arial"/>
          <w:kern w:val="0"/>
          <w:szCs w:val="21"/>
        </w:rPr>
        <w:t>根宁翰保险公估（中国）有限公司</w:t>
      </w:r>
    </w:p>
    <w:p>
      <w:pPr>
        <w:numPr>
          <w:ilvl w:val="0"/>
          <w:numId w:val="8"/>
        </w:numPr>
        <w:adjustRightInd w:val="0"/>
        <w:snapToGrid w:val="0"/>
        <w:ind w:left="630" w:hanging="270"/>
        <w:rPr>
          <w:rFonts w:ascii="Arial" w:hAnsi="Arial" w:cs="Arial"/>
          <w:kern w:val="0"/>
          <w:szCs w:val="21"/>
        </w:rPr>
      </w:pPr>
      <w:r>
        <w:rPr>
          <w:rFonts w:ascii="Arial" w:hAnsi="Arial" w:cs="Arial"/>
          <w:kern w:val="0"/>
          <w:szCs w:val="21"/>
        </w:rPr>
        <w:t xml:space="preserve">平量行保险公估（上海）有限公司 </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以</w:t>
      </w:r>
      <w:r>
        <w:rPr>
          <w:rFonts w:ascii="Arial" w:hAnsi="Arial" w:cs="Arial"/>
          <w:szCs w:val="21"/>
        </w:rPr>
        <w:t>及保险合同双方认可的其他有合法执业资格的机构。</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snapToGrid w:val="0"/>
        <w:ind w:firstLine="472" w:firstLineChars="225"/>
        <w:rPr>
          <w:rFonts w:ascii="Arial" w:hAnsi="Arial" w:cs="Arial"/>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23)</w:t>
      </w:r>
      <w:r>
        <w:rPr>
          <w:rFonts w:ascii="Arial" w:hAnsi="Arial" w:cs="Arial"/>
          <w:b/>
          <w:kern w:val="0"/>
          <w:szCs w:val="21"/>
        </w:rPr>
        <w:tab/>
      </w:r>
      <w:r>
        <w:rPr>
          <w:rFonts w:ascii="Arial" w:hAnsi="Arial" w:cs="Arial"/>
          <w:b/>
          <w:kern w:val="0"/>
          <w:szCs w:val="21"/>
        </w:rPr>
        <w:t>自燃扩展条款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经双方同意，由于自燃造成保险标的的损失，保险人按照本保险合同的约定负责赔偿。</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snapToGrid w:val="0"/>
        <w:ind w:firstLine="472" w:firstLineChars="225"/>
        <w:rPr>
          <w:rFonts w:ascii="Arial" w:hAnsi="Arial" w:cs="Arial"/>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24)</w:t>
      </w:r>
      <w:r>
        <w:rPr>
          <w:rFonts w:ascii="Arial" w:hAnsi="Arial" w:cs="Arial"/>
          <w:b/>
          <w:kern w:val="0"/>
          <w:szCs w:val="21"/>
        </w:rPr>
        <w:tab/>
      </w:r>
      <w:r>
        <w:rPr>
          <w:rFonts w:ascii="Arial" w:hAnsi="Arial" w:cs="Arial"/>
          <w:b/>
          <w:kern w:val="0"/>
          <w:szCs w:val="21"/>
        </w:rPr>
        <w:t>手提电脑及照相摄像器材条款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本保险合同扩展承保属被保险人所有的手提电脑及照相摄像器材的以下物质损失：1）存放于被保险人营业场所内因本保险合同责任所致的直接物质损失；2）由高级行政管理人员公务外出时携带，因本保险合同责任或因盗抢等意外事件所致的直接物质损失。但由于过失导致的手提电脑及照相摄像器材遗失不属本条款保险责任。</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25)</w:t>
      </w:r>
      <w:r>
        <w:rPr>
          <w:rFonts w:ascii="Arial" w:hAnsi="Arial" w:cs="Arial"/>
          <w:b/>
          <w:kern w:val="0"/>
          <w:szCs w:val="21"/>
        </w:rPr>
        <w:tab/>
      </w:r>
      <w:r>
        <w:rPr>
          <w:rFonts w:ascii="Arial" w:hAnsi="Arial" w:cs="Arial"/>
          <w:b/>
          <w:kern w:val="0"/>
          <w:szCs w:val="21"/>
        </w:rPr>
        <w:t>建筑物外部附属设施扩展条款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兹经双方同意，本保险单扩展承保因发生保险责任范围内的事故，而造成被保险人加装于建筑物上的广告、天线、霓红灯、太阳能装置的损失。</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26)</w:t>
      </w:r>
      <w:r>
        <w:rPr>
          <w:rFonts w:ascii="Arial" w:hAnsi="Arial" w:cs="Arial"/>
          <w:b/>
          <w:kern w:val="0"/>
          <w:szCs w:val="21"/>
        </w:rPr>
        <w:tab/>
      </w:r>
      <w:r>
        <w:rPr>
          <w:rFonts w:ascii="Arial" w:hAnsi="Arial" w:cs="Arial"/>
          <w:b/>
          <w:kern w:val="0"/>
          <w:szCs w:val="21"/>
        </w:rPr>
        <w:t>品牌和商标条款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如果本保险单承保的贴有商标或标签的商品受损，被保险人有权处理受损之商品，但其残值应由受损商品之理赔金额中扣除；如被保险人同意由本公司以协商或估价全部或部分接收上述商品，在不造成商品物质损失及影响被保险人品牌声誉的前提下，被保险人得自付费用在商品或其容器上加盖“残品”字样，或去除商标或标签，自行处理该残馀物。</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27)</w:t>
      </w:r>
      <w:r>
        <w:rPr>
          <w:rFonts w:ascii="Arial" w:hAnsi="Arial" w:cs="Arial"/>
          <w:b/>
          <w:kern w:val="0"/>
          <w:szCs w:val="21"/>
        </w:rPr>
        <w:tab/>
      </w:r>
      <w:r>
        <w:rPr>
          <w:rFonts w:ascii="Arial" w:hAnsi="Arial" w:cs="Arial"/>
          <w:b/>
          <w:kern w:val="0"/>
          <w:szCs w:val="21"/>
        </w:rPr>
        <w:t>车辆装载物扩展条款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经双方同意，由于保险事故造成装载于停置在本保险合同中载明的保险标的地址内车辆或货柜中的保险标的的损失，保险人按照本保险合同的约定负责赔偿。</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28)</w:t>
      </w:r>
      <w:r>
        <w:rPr>
          <w:rFonts w:ascii="Arial" w:hAnsi="Arial" w:cs="Arial"/>
          <w:b/>
          <w:kern w:val="0"/>
          <w:szCs w:val="21"/>
        </w:rPr>
        <w:tab/>
      </w:r>
      <w:r>
        <w:rPr>
          <w:rFonts w:ascii="Arial" w:hAnsi="Arial" w:cs="Arial"/>
          <w:b/>
          <w:kern w:val="0"/>
          <w:szCs w:val="21"/>
        </w:rPr>
        <w:t>放弃代位追偿扩展条款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经双方同意，保险人同意放弃对下列各方可能拥有的代位请求赔偿的权利：</w:t>
      </w:r>
    </w:p>
    <w:p>
      <w:pPr>
        <w:adjustRightInd w:val="0"/>
        <w:snapToGrid w:val="0"/>
        <w:ind w:firstLine="420" w:firstLineChars="200"/>
        <w:rPr>
          <w:rFonts w:ascii="Arial" w:hAnsi="Arial" w:cs="Arial"/>
          <w:kern w:val="0"/>
          <w:szCs w:val="21"/>
        </w:rPr>
      </w:pPr>
      <w:r>
        <w:rPr>
          <w:rFonts w:ascii="Arial" w:hAnsi="Arial" w:cs="Arial"/>
          <w:kern w:val="0"/>
          <w:szCs w:val="21"/>
        </w:rPr>
        <w:t>（一）被保险人的关联或联营公司；</w:t>
      </w:r>
    </w:p>
    <w:p>
      <w:pPr>
        <w:adjustRightInd w:val="0"/>
        <w:snapToGrid w:val="0"/>
        <w:ind w:firstLine="420" w:firstLineChars="200"/>
        <w:rPr>
          <w:rFonts w:ascii="Arial" w:hAnsi="Arial" w:cs="Arial"/>
          <w:kern w:val="0"/>
          <w:szCs w:val="21"/>
        </w:rPr>
      </w:pPr>
      <w:r>
        <w:rPr>
          <w:rFonts w:ascii="Arial" w:hAnsi="Arial" w:cs="Arial"/>
          <w:kern w:val="0"/>
          <w:szCs w:val="21"/>
        </w:rPr>
        <w:t>（二）被保险人的子公司或控股公司；</w:t>
      </w:r>
    </w:p>
    <w:p>
      <w:pPr>
        <w:adjustRightInd w:val="0"/>
        <w:snapToGrid w:val="0"/>
        <w:ind w:firstLine="420" w:firstLineChars="200"/>
        <w:rPr>
          <w:rFonts w:ascii="Arial" w:hAnsi="Arial" w:cs="Arial"/>
          <w:kern w:val="0"/>
          <w:szCs w:val="21"/>
        </w:rPr>
      </w:pPr>
      <w:r>
        <w:rPr>
          <w:rFonts w:ascii="Arial" w:hAnsi="Arial" w:cs="Arial"/>
          <w:kern w:val="0"/>
          <w:szCs w:val="21"/>
        </w:rPr>
        <w:t>（三）被保险人的董事、合伙人；</w:t>
      </w:r>
    </w:p>
    <w:p>
      <w:pPr>
        <w:adjustRightInd w:val="0"/>
        <w:snapToGrid w:val="0"/>
        <w:ind w:firstLine="420" w:firstLineChars="200"/>
        <w:rPr>
          <w:rFonts w:ascii="Arial" w:hAnsi="Arial" w:cs="Arial"/>
          <w:szCs w:val="21"/>
        </w:rPr>
      </w:pPr>
      <w:r>
        <w:rPr>
          <w:rFonts w:ascii="Arial" w:hAnsi="Arial" w:cs="Arial"/>
          <w:szCs w:val="21"/>
        </w:rPr>
        <w:t>（</w:t>
      </w:r>
      <w:r>
        <w:rPr>
          <w:rFonts w:ascii="Arial" w:hAnsi="Arial" w:cs="Arial"/>
          <w:kern w:val="0"/>
          <w:szCs w:val="21"/>
        </w:rPr>
        <w:t>四）被保险人的雇员。</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但上述各方的故意行为造成保险事故的，保险人保留代位请求赔偿的权利。</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29)</w:t>
      </w:r>
      <w:r>
        <w:rPr>
          <w:rFonts w:ascii="Arial" w:hAnsi="Arial" w:cs="Arial"/>
          <w:b/>
          <w:kern w:val="0"/>
          <w:szCs w:val="21"/>
        </w:rPr>
        <w:tab/>
      </w:r>
      <w:r>
        <w:rPr>
          <w:rFonts w:ascii="Arial" w:hAnsi="Arial" w:cs="Arial"/>
          <w:b/>
          <w:kern w:val="0"/>
          <w:szCs w:val="21"/>
        </w:rPr>
        <w:t>索赔准备费用条款（每次事故及累计赔偿限额RMB10,000,000.00）</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在保险期间内，本保险单列明的财产发生保险事故后，被保险人为提供索赔材料单证而支付的费用（包括但不限于公安、交警、消防、气象等部门的查勘及证明费用等）及支付给索赔准备人（由被保险人委任，包括但不限于安排保单的经纪人）的合理的专业的费用均由保险人承担。</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本保险合同所载其他条件不变。</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30)</w:t>
      </w:r>
      <w:r>
        <w:rPr>
          <w:rFonts w:ascii="Arial" w:hAnsi="Arial" w:cs="Arial"/>
          <w:b/>
          <w:kern w:val="0"/>
          <w:szCs w:val="21"/>
        </w:rPr>
        <w:tab/>
      </w:r>
      <w:r>
        <w:rPr>
          <w:rFonts w:ascii="Arial" w:hAnsi="Arial" w:cs="Arial"/>
          <w:b/>
          <w:kern w:val="0"/>
          <w:szCs w:val="21"/>
        </w:rPr>
        <w:t>不予失效条款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经双方同意并约定，本保险不因下述原因而失效：在被保险人不知情的情况下，承保财产占用性质改变或风险程度增加。但是一旦知道该情况，被保险人应立即通知保险人并缴付从风险增加之日起的额外保费。</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本保险单所载其他条件不变。</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31)</w:t>
      </w:r>
      <w:r>
        <w:rPr>
          <w:rFonts w:ascii="Arial" w:hAnsi="Arial" w:cs="Arial"/>
          <w:b/>
          <w:kern w:val="0"/>
          <w:szCs w:val="21"/>
        </w:rPr>
        <w:tab/>
      </w:r>
      <w:r>
        <w:rPr>
          <w:rFonts w:ascii="Arial" w:hAnsi="Arial" w:cs="Arial"/>
          <w:b/>
          <w:kern w:val="0"/>
          <w:szCs w:val="21"/>
        </w:rPr>
        <w:t>违反条件条款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经双方同意，被保险人违反了本保险合同约定的条件和保证时，仅使这些违反的条件和保证所对应的保障失效，而不影响其他保障的效力。</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32)</w:t>
      </w:r>
      <w:r>
        <w:rPr>
          <w:rFonts w:ascii="Arial" w:hAnsi="Arial" w:cs="Arial"/>
          <w:b/>
          <w:kern w:val="0"/>
          <w:szCs w:val="21"/>
        </w:rPr>
        <w:tab/>
      </w:r>
      <w:r>
        <w:rPr>
          <w:rFonts w:ascii="Arial" w:hAnsi="Arial" w:cs="Arial"/>
          <w:b/>
          <w:kern w:val="0"/>
          <w:szCs w:val="21"/>
        </w:rPr>
        <w:t>重新安装费用条款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经双方同意并约定，本保单扩展承保由于任何承保风险造成的损坏而导致的重新安装、安置机器设备的费用。但本保单项下的总赔偿金额以保险金额为限。</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33)</w:t>
      </w:r>
      <w:r>
        <w:rPr>
          <w:rFonts w:ascii="Arial" w:hAnsi="Arial" w:cs="Arial"/>
          <w:b/>
          <w:kern w:val="0"/>
          <w:szCs w:val="21"/>
        </w:rPr>
        <w:tab/>
      </w:r>
      <w:r>
        <w:rPr>
          <w:rFonts w:ascii="Arial" w:hAnsi="Arial" w:cs="Arial"/>
          <w:b/>
          <w:kern w:val="0"/>
          <w:szCs w:val="21"/>
        </w:rPr>
        <w:t>账目分类条款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在决定哪些帐项应包含于清偿损失基础时，保险人同意以被保险人提供账目中该账项所登入之项目为准。</w:t>
      </w:r>
    </w:p>
    <w:p>
      <w:pPr>
        <w:autoSpaceDE w:val="0"/>
        <w:autoSpaceDN w:val="0"/>
        <w:adjustRightInd w:val="0"/>
        <w:ind w:firstLine="42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34)</w:t>
      </w:r>
      <w:r>
        <w:rPr>
          <w:rFonts w:ascii="Arial" w:hAnsi="Arial" w:cs="Arial"/>
          <w:b/>
          <w:kern w:val="0"/>
          <w:szCs w:val="21"/>
        </w:rPr>
        <w:tab/>
      </w:r>
      <w:r>
        <w:rPr>
          <w:rFonts w:ascii="Arial" w:hAnsi="Arial" w:cs="Arial"/>
          <w:b/>
          <w:kern w:val="0"/>
          <w:szCs w:val="21"/>
        </w:rPr>
        <w:t>损失通知条款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 xml:space="preserve">经双方同意，本保险项下的赔偿责任不因被保险人非故意地延迟向本公司通知引起本保单下的索赔的情况或者事件而被拒负。 </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本保险单所载其他条件不变。</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35)</w:t>
      </w:r>
      <w:r>
        <w:rPr>
          <w:rFonts w:ascii="Arial" w:hAnsi="Arial" w:cs="Arial"/>
          <w:b/>
          <w:kern w:val="0"/>
          <w:szCs w:val="21"/>
        </w:rPr>
        <w:tab/>
      </w:r>
      <w:r>
        <w:rPr>
          <w:rFonts w:ascii="Arial" w:hAnsi="Arial" w:cs="Arial"/>
          <w:b/>
          <w:kern w:val="0"/>
          <w:szCs w:val="21"/>
        </w:rPr>
        <w:t>临时保护措施扩展条款（赔偿限额: 总保险金额的10%）</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由于对受损保险标的进行合理的临时性修理、保护而产生的必要费用，保险人按照本保险合同的约定负责赔偿，但上述费用仅限于为防止受损保险标的遭受进一步损失所进行的修理、保护而产生的费用。</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本附加条款项下保险人的赔偿责任不超过本保险合同中载明的相应赔偿限额。</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36)</w:t>
      </w:r>
      <w:r>
        <w:rPr>
          <w:rFonts w:ascii="Arial" w:hAnsi="Arial" w:cs="Arial"/>
          <w:b/>
          <w:kern w:val="0"/>
          <w:szCs w:val="21"/>
        </w:rPr>
        <w:tab/>
      </w:r>
      <w:r>
        <w:rPr>
          <w:rFonts w:ascii="Arial" w:hAnsi="Arial" w:cs="Arial"/>
          <w:b/>
          <w:kern w:val="0"/>
          <w:szCs w:val="21"/>
        </w:rPr>
        <w:t>盗窃险扩展条款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经双方同意，本保险扩展承保保险期间内因抢劫、有痕迹的入室行窃或盗贼暴力侵入本保单所列明的营业处所（以下简称“盗窃”）而造成的被保险财产的灭失或损坏。</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保险人对下列各项，不负责赔偿：</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(一)被保险人或其代表的故意行为或重大过失造成保险财产的损失；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(二)被保险人的家庭成员、亲属、雇员、同住人员或寄宿人员盗窃或纵容他人盗窃保险财产造成的损失；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(三)放置在无人居住或看管超过七天的营业处所的保险财产被盗窃而造成的损失；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(四)在发生地震、洪水等自然灾害时保险财产被盗窃而造成的损失；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(五)在发生火灾时保险财产被盗窃而造成的损失。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本附加险条款与主险条款内容相悖之处，以本附加险条款为准；未尽之处，以主险条款为准。</w:t>
      </w:r>
    </w:p>
    <w:p>
      <w:pPr>
        <w:autoSpaceDE w:val="0"/>
        <w:autoSpaceDN w:val="0"/>
        <w:adjustRightInd w:val="0"/>
        <w:jc w:val="left"/>
        <w:rPr>
          <w:rFonts w:ascii="Arial" w:hAnsi="Arial" w:cs="Arial"/>
          <w:b/>
          <w:color w:val="FF0000"/>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3</w:t>
      </w:r>
      <w:r>
        <w:rPr>
          <w:rFonts w:hint="eastAsia" w:ascii="Arial" w:hAnsi="Arial" w:cs="Arial"/>
          <w:b/>
          <w:kern w:val="0"/>
          <w:szCs w:val="21"/>
        </w:rPr>
        <w:t>7</w:t>
      </w:r>
      <w:r>
        <w:rPr>
          <w:rFonts w:ascii="Arial" w:hAnsi="Arial" w:cs="Arial"/>
          <w:b/>
          <w:kern w:val="0"/>
          <w:szCs w:val="21"/>
        </w:rPr>
        <w:t>)</w:t>
      </w:r>
      <w:r>
        <w:rPr>
          <w:rFonts w:ascii="Arial" w:hAnsi="Arial" w:cs="Arial"/>
          <w:b/>
          <w:kern w:val="0"/>
          <w:szCs w:val="21"/>
        </w:rPr>
        <w:tab/>
      </w:r>
      <w:r>
        <w:rPr>
          <w:rFonts w:ascii="Arial" w:hAnsi="Arial" w:cs="Arial"/>
          <w:b/>
          <w:kern w:val="0"/>
          <w:szCs w:val="21"/>
        </w:rPr>
        <w:t>承保全部盗窃条款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 尽管有相反规定，依据保险单条款、除外责任、限制及条件的规定，如果场所内的财产或其任何部分由于非暴力进出场所的偷盗而失窃或受损，保险人将赔偿被保险人的此种损失。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但是本扩展条款对盘点时发现的任何消失或短缺不予负责。</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3</w:t>
      </w:r>
      <w:r>
        <w:rPr>
          <w:rFonts w:hint="eastAsia" w:ascii="Arial" w:hAnsi="Arial" w:cs="Arial"/>
          <w:b/>
          <w:kern w:val="0"/>
          <w:szCs w:val="21"/>
        </w:rPr>
        <w:t>8</w:t>
      </w:r>
      <w:r>
        <w:rPr>
          <w:rFonts w:ascii="Arial" w:hAnsi="Arial" w:cs="Arial"/>
          <w:b/>
          <w:kern w:val="0"/>
          <w:szCs w:val="21"/>
        </w:rPr>
        <w:t>)</w:t>
      </w:r>
      <w:r>
        <w:rPr>
          <w:rFonts w:ascii="Arial" w:hAnsi="Arial" w:cs="Arial"/>
          <w:b/>
          <w:kern w:val="0"/>
          <w:szCs w:val="21"/>
        </w:rPr>
        <w:tab/>
      </w:r>
      <w:r>
        <w:rPr>
          <w:rFonts w:ascii="Arial" w:hAnsi="Arial" w:cs="Arial"/>
          <w:b/>
          <w:kern w:val="0"/>
          <w:szCs w:val="21"/>
        </w:rPr>
        <w:t>成对或成套设备条款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本保险合同项下承保的属于成对或成套的机器设备的组件发生损失时，保险人按受损组件的价值在所属整对或整套设备中所占的合理比例计算赔偿；但若修理或替换受损组件均不能使该成对或成套设备恢复到同类设备基本相同的使用状况，按受损组件所属整对或整套设备的全部价值计算赔偿。</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hint="eastAsia" w:ascii="Arial" w:hAnsi="Arial" w:cs="Arial"/>
          <w:b/>
          <w:kern w:val="0"/>
          <w:szCs w:val="21"/>
        </w:rPr>
        <w:t>39）</w:t>
      </w:r>
      <w:r>
        <w:rPr>
          <w:rFonts w:ascii="Arial" w:hAnsi="Arial" w:cs="Arial"/>
          <w:b/>
          <w:kern w:val="0"/>
          <w:szCs w:val="21"/>
        </w:rPr>
        <w:t>虫蛀、鼠咬损失扩展条款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经双方同意，保险人负责赔偿本保险合同中列明的各项保险财产因虫蛀、鼠咬导致意外事故发生所造成的损失。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4</w:t>
      </w:r>
      <w:r>
        <w:rPr>
          <w:rFonts w:hint="eastAsia" w:ascii="Arial" w:hAnsi="Arial" w:cs="Arial"/>
          <w:b/>
          <w:kern w:val="0"/>
          <w:szCs w:val="21"/>
        </w:rPr>
        <w:t>0</w:t>
      </w:r>
      <w:r>
        <w:rPr>
          <w:rFonts w:ascii="Arial" w:hAnsi="Arial" w:cs="Arial"/>
          <w:b/>
          <w:kern w:val="0"/>
          <w:szCs w:val="21"/>
        </w:rPr>
        <w:t>)</w:t>
      </w:r>
      <w:r>
        <w:rPr>
          <w:rFonts w:ascii="Arial" w:hAnsi="Arial" w:cs="Arial"/>
          <w:b/>
          <w:kern w:val="0"/>
          <w:szCs w:val="21"/>
        </w:rPr>
        <w:tab/>
      </w:r>
      <w:r>
        <w:rPr>
          <w:rFonts w:ascii="Arial" w:hAnsi="Arial" w:cs="Arial"/>
          <w:b/>
          <w:kern w:val="0"/>
          <w:szCs w:val="21"/>
        </w:rPr>
        <w:t>公用设施故障条款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 xml:space="preserve">经双方同意，由于任何承保风险使得供应给营业场所电、水、气的公用设施如供电厂、发电站、变电站、电压器和其它设备（包括传输线路））因遭受保险事故发生损失，导致供应到营业场所的电、水、气供应发生故障或中断造成保险财产的损失和破坏。（无论这些供应设施是否座落于该保险场所），本保险合同予以赔偿。公共设施当局为防止或减少供应系统即将面临的意外中断或故障而有意行使权力停止或限制供应也属于本保险合同承保的范围之内。 </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ind w:firstLine="42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4</w:t>
      </w:r>
      <w:r>
        <w:rPr>
          <w:rFonts w:hint="eastAsia" w:ascii="Arial" w:hAnsi="Arial" w:cs="Arial"/>
          <w:b/>
          <w:kern w:val="0"/>
          <w:szCs w:val="21"/>
        </w:rPr>
        <w:t>1</w:t>
      </w:r>
      <w:r>
        <w:rPr>
          <w:rFonts w:ascii="Arial" w:hAnsi="Arial" w:cs="Arial"/>
          <w:b/>
          <w:kern w:val="0"/>
          <w:szCs w:val="21"/>
        </w:rPr>
        <w:t>)</w:t>
      </w:r>
      <w:r>
        <w:rPr>
          <w:rFonts w:ascii="Arial" w:hAnsi="Arial" w:cs="Arial"/>
          <w:b/>
          <w:kern w:val="0"/>
          <w:szCs w:val="21"/>
        </w:rPr>
        <w:tab/>
      </w:r>
      <w:r>
        <w:rPr>
          <w:rFonts w:ascii="Arial" w:hAnsi="Arial" w:cs="Arial"/>
          <w:b/>
          <w:kern w:val="0"/>
          <w:szCs w:val="21"/>
        </w:rPr>
        <w:t>霉变条款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经双方同意，本保单保险合同承保由于霉变引起的本保险合同项下保险财产的损失和费用。但被保险人未按正常程序操作的除外。</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ind w:firstLine="420"/>
        <w:jc w:val="left"/>
        <w:rPr>
          <w:rFonts w:ascii="Arial" w:hAnsi="Arial" w:cs="Arial"/>
          <w:b/>
          <w:color w:val="000000"/>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4</w:t>
      </w:r>
      <w:r>
        <w:rPr>
          <w:rFonts w:hint="eastAsia" w:ascii="Arial" w:hAnsi="Arial" w:cs="Arial"/>
          <w:b/>
          <w:kern w:val="0"/>
          <w:szCs w:val="21"/>
        </w:rPr>
        <w:t>2</w:t>
      </w:r>
      <w:r>
        <w:rPr>
          <w:rFonts w:ascii="Arial" w:hAnsi="Arial" w:cs="Arial"/>
          <w:b/>
          <w:kern w:val="0"/>
          <w:szCs w:val="21"/>
        </w:rPr>
        <w:t>)</w:t>
      </w:r>
      <w:r>
        <w:rPr>
          <w:rFonts w:ascii="Arial" w:hAnsi="Arial" w:cs="Arial"/>
          <w:b/>
          <w:kern w:val="0"/>
          <w:szCs w:val="21"/>
        </w:rPr>
        <w:tab/>
      </w:r>
      <w:r>
        <w:rPr>
          <w:rFonts w:ascii="Arial" w:hAnsi="Arial" w:cs="Arial"/>
          <w:b/>
          <w:kern w:val="0"/>
          <w:szCs w:val="21"/>
        </w:rPr>
        <w:t>厂区间临时移动扩展条款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经双方同意，保险标的因生产需要在本保险合同中载明的地域范围内被保险人各厂区间临时移动时，由于保险事故造成的损失，保险人按照本保险合同的约定负责赔偿。</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snapToGrid w:val="0"/>
        <w:ind w:firstLine="472" w:firstLineChars="225"/>
        <w:rPr>
          <w:rFonts w:ascii="Arial" w:hAnsi="Arial" w:cs="Arial"/>
          <w:kern w:val="0"/>
          <w:szCs w:val="21"/>
        </w:rPr>
      </w:pP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4</w:t>
      </w:r>
      <w:r>
        <w:rPr>
          <w:rFonts w:hint="eastAsia" w:ascii="Arial" w:hAnsi="Arial" w:cs="Arial"/>
          <w:b/>
          <w:kern w:val="0"/>
          <w:szCs w:val="21"/>
        </w:rPr>
        <w:t>3</w:t>
      </w:r>
      <w:r>
        <w:rPr>
          <w:rFonts w:ascii="Arial" w:hAnsi="Arial" w:cs="Arial"/>
          <w:b/>
          <w:kern w:val="0"/>
          <w:szCs w:val="21"/>
        </w:rPr>
        <w:t>)</w:t>
      </w:r>
      <w:r>
        <w:rPr>
          <w:rFonts w:ascii="Arial" w:hAnsi="Arial" w:cs="Arial"/>
          <w:b/>
          <w:kern w:val="0"/>
          <w:szCs w:val="21"/>
        </w:rPr>
        <w:tab/>
      </w:r>
      <w:r>
        <w:rPr>
          <w:rFonts w:ascii="Arial" w:hAnsi="Arial" w:cs="Arial"/>
          <w:b/>
          <w:kern w:val="0"/>
          <w:szCs w:val="21"/>
        </w:rPr>
        <w:t>被看护、保管和管理财产条款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经双方同意，本保险合同扩展承保在被保险人拥有的，或受被保险人看护、保管和管理之下并对其负有法律责任的财产。</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4</w:t>
      </w:r>
      <w:r>
        <w:rPr>
          <w:rFonts w:hint="eastAsia" w:ascii="Arial" w:hAnsi="Arial" w:cs="Arial"/>
          <w:b/>
          <w:kern w:val="0"/>
          <w:szCs w:val="21"/>
        </w:rPr>
        <w:t>4</w:t>
      </w:r>
      <w:r>
        <w:rPr>
          <w:rFonts w:ascii="Arial" w:hAnsi="Arial" w:cs="Arial"/>
          <w:b/>
          <w:kern w:val="0"/>
          <w:szCs w:val="21"/>
        </w:rPr>
        <w:t>)</w:t>
      </w:r>
      <w:r>
        <w:rPr>
          <w:rFonts w:ascii="Arial" w:hAnsi="Arial" w:cs="Arial"/>
          <w:b/>
          <w:kern w:val="0"/>
          <w:szCs w:val="21"/>
        </w:rPr>
        <w:tab/>
      </w:r>
      <w:r>
        <w:rPr>
          <w:rFonts w:ascii="Arial" w:hAnsi="Arial" w:cs="Arial"/>
          <w:b/>
          <w:kern w:val="0"/>
          <w:szCs w:val="21"/>
        </w:rPr>
        <w:t>媒介物扩展条款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经双方同意,本保险合同扩展承保包括但不限于润滑油、冷却油在内的媒介物损失。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4</w:t>
      </w:r>
      <w:r>
        <w:rPr>
          <w:rFonts w:hint="eastAsia" w:ascii="Arial" w:hAnsi="Arial" w:cs="Arial"/>
          <w:b/>
          <w:kern w:val="0"/>
          <w:szCs w:val="21"/>
        </w:rPr>
        <w:t>5</w:t>
      </w:r>
      <w:r>
        <w:rPr>
          <w:rFonts w:ascii="Arial" w:hAnsi="Arial" w:cs="Arial"/>
          <w:b/>
          <w:kern w:val="0"/>
          <w:szCs w:val="21"/>
        </w:rPr>
        <w:t>)</w:t>
      </w:r>
      <w:r>
        <w:rPr>
          <w:rFonts w:ascii="Arial" w:hAnsi="Arial" w:cs="Arial"/>
          <w:b/>
          <w:kern w:val="0"/>
          <w:szCs w:val="21"/>
        </w:rPr>
        <w:tab/>
      </w:r>
      <w:r>
        <w:rPr>
          <w:rFonts w:ascii="Arial" w:hAnsi="Arial" w:cs="Arial"/>
          <w:b/>
          <w:kern w:val="0"/>
          <w:szCs w:val="21"/>
        </w:rPr>
        <w:t>合同价格扩展条款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当保险标的已经售出但尚未交付而存放于本保险合同中载明的保险标的地址内，因发生保险事故造成该保险标的损毁，导致该销售合同被注销，则保险人对上述受损保险标的的赔偿按销售合同单价为基础计算。</w:t>
      </w:r>
    </w:p>
    <w:p>
      <w:pPr>
        <w:autoSpaceDE w:val="0"/>
        <w:autoSpaceDN w:val="0"/>
        <w:adjustRightInd w:val="0"/>
        <w:snapToGrid w:val="0"/>
        <w:ind w:firstLine="472" w:firstLineChars="225"/>
        <w:rPr>
          <w:rFonts w:ascii="Arial" w:hAnsi="Arial" w:cs="Arial"/>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4</w:t>
      </w:r>
      <w:r>
        <w:rPr>
          <w:rFonts w:hint="eastAsia" w:ascii="Arial" w:hAnsi="Arial" w:cs="Arial"/>
          <w:b/>
          <w:kern w:val="0"/>
          <w:szCs w:val="21"/>
        </w:rPr>
        <w:t>6</w:t>
      </w:r>
      <w:r>
        <w:rPr>
          <w:rFonts w:ascii="Arial" w:hAnsi="Arial" w:cs="Arial"/>
          <w:b/>
          <w:kern w:val="0"/>
          <w:szCs w:val="21"/>
        </w:rPr>
        <w:t>)</w:t>
      </w:r>
      <w:r>
        <w:rPr>
          <w:rFonts w:ascii="Arial" w:hAnsi="Arial" w:cs="Arial"/>
          <w:b/>
          <w:kern w:val="0"/>
          <w:szCs w:val="21"/>
        </w:rPr>
        <w:tab/>
      </w:r>
      <w:r>
        <w:rPr>
          <w:rFonts w:ascii="Arial" w:hAnsi="Arial" w:cs="Arial"/>
          <w:b/>
          <w:kern w:val="0"/>
          <w:szCs w:val="21"/>
        </w:rPr>
        <w:t>放弃比例分摊扩展条款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保险人视本保险合同为足额投保，发生保险责任范围内的损失，保险人在保险金额以内按实际损失计算赔偿，不作比例分摊。若本保险合同所列标的物不止一项时，应逐项分别计算之限制,但保险期间内累计赔偿金额仍以总保险金额为限。</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4</w:t>
      </w:r>
      <w:r>
        <w:rPr>
          <w:rFonts w:hint="eastAsia" w:ascii="Arial" w:hAnsi="Arial" w:cs="Arial"/>
          <w:b/>
          <w:kern w:val="0"/>
          <w:szCs w:val="21"/>
        </w:rPr>
        <w:t>7</w:t>
      </w:r>
      <w:r>
        <w:rPr>
          <w:rFonts w:ascii="Arial" w:hAnsi="Arial" w:cs="Arial"/>
          <w:b/>
          <w:kern w:val="0"/>
          <w:szCs w:val="21"/>
        </w:rPr>
        <w:t>)</w:t>
      </w:r>
      <w:r>
        <w:rPr>
          <w:rFonts w:ascii="Arial" w:hAnsi="Arial" w:cs="Arial"/>
          <w:b/>
          <w:kern w:val="0"/>
          <w:szCs w:val="21"/>
        </w:rPr>
        <w:tab/>
      </w:r>
      <w:r>
        <w:rPr>
          <w:rFonts w:ascii="Arial" w:hAnsi="Arial" w:cs="Arial"/>
          <w:b/>
          <w:kern w:val="0"/>
          <w:szCs w:val="21"/>
        </w:rPr>
        <w:t>索赔单据条款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被保险人应提供其所能提供的与确认事故的性质、原因、损失程度等有关的证明和材料。在事故的原因和损失已被证实的情况下，保险人不得仅以缺少单据或单据不合格为由拒绝或拖延承担其在本保险合同项下应承担的赔偿责任。</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snapToGrid w:val="0"/>
        <w:ind w:firstLine="472" w:firstLineChars="225"/>
        <w:rPr>
          <w:rFonts w:ascii="Arial" w:hAnsi="Arial" w:cs="Arial"/>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4</w:t>
      </w:r>
      <w:r>
        <w:rPr>
          <w:rFonts w:hint="eastAsia" w:ascii="Arial" w:hAnsi="Arial" w:cs="Arial"/>
          <w:b/>
          <w:kern w:val="0"/>
          <w:szCs w:val="21"/>
        </w:rPr>
        <w:t>8</w:t>
      </w:r>
      <w:r>
        <w:rPr>
          <w:rFonts w:ascii="Arial" w:hAnsi="Arial" w:cs="Arial"/>
          <w:b/>
          <w:kern w:val="0"/>
          <w:szCs w:val="21"/>
        </w:rPr>
        <w:t>)</w:t>
      </w:r>
      <w:r>
        <w:rPr>
          <w:rFonts w:ascii="Arial" w:hAnsi="Arial" w:cs="Arial"/>
          <w:b/>
          <w:kern w:val="0"/>
          <w:szCs w:val="21"/>
        </w:rPr>
        <w:tab/>
      </w:r>
      <w:r>
        <w:rPr>
          <w:rFonts w:ascii="Arial" w:hAnsi="Arial" w:cs="Arial"/>
          <w:b/>
          <w:kern w:val="0"/>
          <w:szCs w:val="21"/>
        </w:rPr>
        <w:t>草木特约条款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经双方同意，本保险合同扩展承保本保险合同载明的地点范围内所种植的一切各类型植物，包括但不限于高尔夫球场的花草树木（连同草皮），但对下列损失、费用和责任，保险人不负责赔偿：</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（一）因受保植物的季节性枯萎、虫灾、人为践踏、保护不周所造成的损失;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（二）因设计缺陷或施工质量不达标造成排水不畅而引起受保植物的损失。</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hint="eastAsia" w:ascii="Arial" w:hAnsi="Arial" w:cs="Arial"/>
          <w:b/>
          <w:kern w:val="0"/>
          <w:szCs w:val="21"/>
        </w:rPr>
        <w:t>49</w:t>
      </w:r>
      <w:r>
        <w:rPr>
          <w:rFonts w:ascii="Arial" w:hAnsi="Arial" w:cs="Arial"/>
          <w:b/>
          <w:kern w:val="0"/>
          <w:szCs w:val="21"/>
        </w:rPr>
        <w:t>)</w:t>
      </w:r>
      <w:r>
        <w:rPr>
          <w:rFonts w:ascii="Arial" w:hAnsi="Arial" w:cs="Arial"/>
          <w:b/>
          <w:kern w:val="0"/>
          <w:szCs w:val="21"/>
        </w:rPr>
        <w:tab/>
      </w:r>
      <w:r>
        <w:rPr>
          <w:rFonts w:ascii="Arial" w:hAnsi="Arial" w:cs="Arial"/>
          <w:b/>
          <w:kern w:val="0"/>
          <w:szCs w:val="21"/>
        </w:rPr>
        <w:t>抢险施救条款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发生保险事故时，被保险人按照有关规范要求立即进行必要的抢险施救工作，而导致无法保留现场，不影响被保险人的索赔效力，但被保险人应及时通知保险人，并做好相关记录。若条件许可，被保险人应做好对第一现场的拍照或录像工作。</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5</w:t>
      </w:r>
      <w:r>
        <w:rPr>
          <w:rFonts w:hint="eastAsia" w:ascii="Arial" w:hAnsi="Arial" w:cs="Arial"/>
          <w:b/>
          <w:kern w:val="0"/>
          <w:szCs w:val="21"/>
        </w:rPr>
        <w:t>0</w:t>
      </w:r>
      <w:r>
        <w:rPr>
          <w:rFonts w:ascii="Arial" w:hAnsi="Arial" w:cs="Arial"/>
          <w:b/>
          <w:kern w:val="0"/>
          <w:szCs w:val="21"/>
        </w:rPr>
        <w:t>)</w:t>
      </w:r>
      <w:r>
        <w:rPr>
          <w:rFonts w:ascii="Arial" w:hAnsi="Arial" w:cs="Arial"/>
          <w:b/>
          <w:kern w:val="0"/>
          <w:szCs w:val="21"/>
        </w:rPr>
        <w:tab/>
      </w:r>
      <w:r>
        <w:rPr>
          <w:rFonts w:ascii="Arial" w:hAnsi="Arial" w:cs="Arial"/>
          <w:b/>
          <w:kern w:val="0"/>
          <w:szCs w:val="21"/>
        </w:rPr>
        <w:t>消防队灭火费用扩展条款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经双方同意，消防队为扑灭保险责任范围内的火灾而依法收取的灭火费用，保险人按照本保险合同的约定负责赔偿。上述消防队不包括被保险人自有的消防部门。</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5</w:t>
      </w:r>
      <w:r>
        <w:rPr>
          <w:rFonts w:hint="eastAsia" w:ascii="Arial" w:hAnsi="Arial" w:cs="Arial"/>
          <w:b/>
          <w:kern w:val="0"/>
          <w:szCs w:val="21"/>
        </w:rPr>
        <w:t>1</w:t>
      </w:r>
      <w:r>
        <w:rPr>
          <w:rFonts w:ascii="Arial" w:hAnsi="Arial" w:cs="Arial"/>
          <w:b/>
          <w:kern w:val="0"/>
          <w:szCs w:val="21"/>
        </w:rPr>
        <w:t>)</w:t>
      </w:r>
      <w:r>
        <w:rPr>
          <w:rFonts w:ascii="Arial" w:hAnsi="Arial" w:cs="Arial"/>
          <w:b/>
          <w:kern w:val="0"/>
          <w:szCs w:val="21"/>
        </w:rPr>
        <w:tab/>
      </w:r>
      <w:r>
        <w:rPr>
          <w:rFonts w:ascii="Arial" w:hAnsi="Arial" w:cs="Arial"/>
          <w:b/>
          <w:kern w:val="0"/>
          <w:szCs w:val="21"/>
        </w:rPr>
        <w:t>施救费用条款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并约定,当发生火灾或其他本保单承保风险时，被保险人、其代理人、雇员和受让人有义务有必要采取施救措施来保护和恢复保险财产或其部分，而不损害本保单权益；同时，被保险人或本公司采取恢复、拯救和保护受损保险财产的措施，不应视作放弃或接受委付。因此发生的费用由被保险人和本公司按受益比例分摊。</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本保险单所载其它条件不变。</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5</w:t>
      </w:r>
      <w:r>
        <w:rPr>
          <w:rFonts w:hint="eastAsia" w:ascii="Arial" w:hAnsi="Arial" w:cs="Arial"/>
          <w:b/>
          <w:kern w:val="0"/>
          <w:szCs w:val="21"/>
        </w:rPr>
        <w:t>2</w:t>
      </w:r>
      <w:r>
        <w:rPr>
          <w:rFonts w:ascii="Arial" w:hAnsi="Arial" w:cs="Arial"/>
          <w:b/>
          <w:kern w:val="0"/>
          <w:szCs w:val="21"/>
        </w:rPr>
        <w:t>)</w:t>
      </w:r>
      <w:r>
        <w:rPr>
          <w:rFonts w:ascii="Arial" w:hAnsi="Arial" w:cs="Arial"/>
          <w:b/>
          <w:kern w:val="0"/>
          <w:szCs w:val="21"/>
        </w:rPr>
        <w:tab/>
      </w:r>
      <w:r>
        <w:rPr>
          <w:rFonts w:ascii="Arial" w:hAnsi="Arial" w:cs="Arial"/>
          <w:b/>
          <w:kern w:val="0"/>
          <w:szCs w:val="21"/>
        </w:rPr>
        <w:t>内陆运输扩展条款（仅限被保险人所在市范围内，并不适用于销售目的的运输，限额：每一运输工具每次RMB500,000.00）</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经双方同意，鉴于被保险人已交付了附加的保险费，本保险扩展承保在被保险人所在市范围内直接和不间断陆运过程中的保险财产，自其离开工厂、仓库、货栈或其他起运点开始，持续承保其后直接和不间断的正常陆运过程中，处于被保险人所有或经营的交通工具中的，或任何公共或契约承运人照管下的保险财产，至其运送至仓库、货栈或被保险人所在市范围内的其他目的地为止，并包括上述交通工具处于被保险人所在市范围内的常规渡船运送的过程。</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本保险单所载其他条件均不变。</w:t>
      </w:r>
    </w:p>
    <w:p>
      <w:pPr>
        <w:autoSpaceDE w:val="0"/>
        <w:autoSpaceDN w:val="0"/>
        <w:adjustRightInd w:val="0"/>
        <w:ind w:firstLine="42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5</w:t>
      </w:r>
      <w:r>
        <w:rPr>
          <w:rFonts w:hint="eastAsia" w:ascii="Arial" w:hAnsi="Arial" w:cs="Arial"/>
          <w:b/>
          <w:kern w:val="0"/>
          <w:szCs w:val="21"/>
        </w:rPr>
        <w:t>3</w:t>
      </w:r>
      <w:r>
        <w:rPr>
          <w:rFonts w:ascii="Arial" w:hAnsi="Arial" w:cs="Arial"/>
          <w:b/>
          <w:kern w:val="0"/>
          <w:szCs w:val="21"/>
        </w:rPr>
        <w:t>)</w:t>
      </w:r>
      <w:r>
        <w:rPr>
          <w:rFonts w:ascii="Arial" w:hAnsi="Arial" w:cs="Arial"/>
          <w:b/>
          <w:kern w:val="0"/>
          <w:szCs w:val="21"/>
        </w:rPr>
        <w:tab/>
      </w:r>
      <w:r>
        <w:rPr>
          <w:rFonts w:ascii="Arial" w:hAnsi="Arial" w:cs="Arial"/>
          <w:b/>
          <w:kern w:val="0"/>
          <w:szCs w:val="21"/>
        </w:rPr>
        <w:t>建筑物未受损部分额外费用扩展条款</w:t>
      </w:r>
    </w:p>
    <w:p>
      <w:pPr>
        <w:autoSpaceDE w:val="0"/>
        <w:autoSpaceDN w:val="0"/>
        <w:adjustRightInd w:val="0"/>
        <w:snapToGrid w:val="0"/>
        <w:ind w:firstLine="472" w:firstLineChars="225"/>
        <w:rPr>
          <w:rFonts w:ascii="Arial" w:hAnsi="Arial" w:cs="Arial"/>
          <w:b/>
          <w:kern w:val="0"/>
          <w:szCs w:val="21"/>
        </w:rPr>
      </w:pPr>
      <w:r>
        <w:rPr>
          <w:rFonts w:ascii="Arial" w:hAnsi="Arial" w:cs="Arial"/>
          <w:kern w:val="0"/>
          <w:szCs w:val="21"/>
        </w:rPr>
        <w:t>经双方同意，被保险建筑物部分损失时，若根据有关法律、法令、法规及其附则，该受损保险标的必须在其他地点重建，对于因此必须废弃的建筑物未受损部分，保险人按照本保险合同的约定负责赔偿。</w:t>
      </w:r>
      <w:r>
        <w:rPr>
          <w:rFonts w:ascii="Arial" w:hAnsi="Arial" w:cs="Arial"/>
          <w:b/>
          <w:kern w:val="0"/>
          <w:szCs w:val="21"/>
        </w:rPr>
        <w:t>但发生损失前被保险人已接到有关当局关于移址的通知的，保险人不负责赔偿。</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本附加条款项下保险人的赔偿责任不超过本保险合同中载明的相应赔偿限额。</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5</w:t>
      </w:r>
      <w:r>
        <w:rPr>
          <w:rFonts w:hint="eastAsia" w:ascii="Arial" w:hAnsi="Arial" w:cs="Arial"/>
          <w:b/>
          <w:kern w:val="0"/>
          <w:szCs w:val="21"/>
        </w:rPr>
        <w:t>4</w:t>
      </w:r>
      <w:r>
        <w:rPr>
          <w:rFonts w:ascii="Arial" w:hAnsi="Arial" w:cs="Arial"/>
          <w:b/>
          <w:kern w:val="0"/>
          <w:szCs w:val="21"/>
        </w:rPr>
        <w:t>)</w:t>
      </w:r>
      <w:r>
        <w:rPr>
          <w:rFonts w:ascii="Arial" w:hAnsi="Arial" w:cs="Arial"/>
          <w:b/>
          <w:kern w:val="0"/>
          <w:szCs w:val="21"/>
        </w:rPr>
        <w:tab/>
      </w:r>
      <w:r>
        <w:rPr>
          <w:rFonts w:ascii="Arial" w:hAnsi="Arial" w:cs="Arial"/>
          <w:b/>
          <w:kern w:val="0"/>
          <w:szCs w:val="21"/>
        </w:rPr>
        <w:t>税项条款</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兹经双方同意,对属本保险单保险责任范围内的风险造成的物质损失,在修理﹑重置或替换相关受损财产时,如须缴付关税及其他税项,即使在原来购买或进口该保险财产时已放弃关税及杂费和/或在保单生效之后才征收的,该税项将由保险承担.</w:t>
      </w:r>
    </w:p>
    <w:p>
      <w:pPr>
        <w:autoSpaceDE w:val="0"/>
        <w:autoSpaceDN w:val="0"/>
        <w:adjustRightInd w:val="0"/>
        <w:snapToGrid w:val="0"/>
        <w:ind w:firstLine="472" w:firstLineChars="225"/>
        <w:rPr>
          <w:rFonts w:ascii="Arial" w:hAnsi="Arial" w:cs="Arial"/>
          <w:kern w:val="0"/>
          <w:szCs w:val="21"/>
        </w:rPr>
      </w:pPr>
      <w:r>
        <w:rPr>
          <w:rFonts w:ascii="Arial" w:hAnsi="Arial" w:cs="Arial"/>
          <w:kern w:val="0"/>
          <w:szCs w:val="21"/>
        </w:rPr>
        <w:t>本保险单所载其他条件均不变。</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5</w:t>
      </w:r>
      <w:r>
        <w:rPr>
          <w:rFonts w:hint="eastAsia" w:ascii="Arial" w:hAnsi="Arial" w:cs="Arial"/>
          <w:b/>
          <w:kern w:val="0"/>
          <w:szCs w:val="21"/>
        </w:rPr>
        <w:t>5</w:t>
      </w:r>
      <w:r>
        <w:rPr>
          <w:rFonts w:ascii="Arial" w:hAnsi="Arial" w:cs="Arial"/>
          <w:b/>
          <w:kern w:val="0"/>
          <w:szCs w:val="21"/>
        </w:rPr>
        <w:t>)</w:t>
      </w:r>
      <w:r>
        <w:rPr>
          <w:rFonts w:ascii="Arial" w:hAnsi="Arial" w:cs="Arial"/>
          <w:b/>
          <w:kern w:val="0"/>
          <w:szCs w:val="21"/>
        </w:rPr>
        <w:tab/>
      </w:r>
      <w:r>
        <w:rPr>
          <w:rFonts w:ascii="Arial" w:hAnsi="Arial" w:cs="Arial"/>
          <w:b/>
          <w:kern w:val="0"/>
          <w:szCs w:val="21"/>
        </w:rPr>
        <w:t>装卸及吊装保险条款</w:t>
      </w:r>
    </w:p>
    <w:p>
      <w:pPr>
        <w:ind w:firstLine="420"/>
        <w:rPr>
          <w:rFonts w:ascii="Arial" w:hAnsi="Arial" w:cs="Arial"/>
          <w:szCs w:val="21"/>
        </w:rPr>
      </w:pPr>
      <w:r>
        <w:rPr>
          <w:rFonts w:ascii="Arial" w:hAnsi="Arial" w:cs="Arial"/>
          <w:kern w:val="0"/>
          <w:szCs w:val="21"/>
        </w:rPr>
        <w:t>本保险单扩展承保被保险人的财产在车辆装卸过程以及吊装过程中或委托第三人进行装卸或吊装而发生保险责任范围内的损失时，由保险人负责赔偿；依法应由第三者承担经济赔偿责任的，则应先向第三者索赔，但无需等待第三人的赔付，即可向保险人索赔，保险人赔付后，被保险人应将权益转让给保险人</w:t>
      </w:r>
      <w:r>
        <w:rPr>
          <w:rFonts w:ascii="Arial" w:hAnsi="Arial" w:cs="Arial"/>
          <w:szCs w:val="21"/>
        </w:rPr>
        <w:t>。</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5</w:t>
      </w:r>
      <w:r>
        <w:rPr>
          <w:rFonts w:hint="eastAsia" w:ascii="Arial" w:hAnsi="Arial" w:cs="Arial"/>
          <w:b/>
          <w:kern w:val="0"/>
          <w:szCs w:val="21"/>
        </w:rPr>
        <w:t>6</w:t>
      </w:r>
      <w:r>
        <w:rPr>
          <w:rFonts w:ascii="Arial" w:hAnsi="Arial" w:cs="Arial"/>
          <w:b/>
          <w:kern w:val="0"/>
          <w:szCs w:val="21"/>
        </w:rPr>
        <w:t>)</w:t>
      </w:r>
      <w:r>
        <w:rPr>
          <w:rFonts w:ascii="Arial" w:hAnsi="Arial" w:cs="Arial"/>
          <w:b/>
          <w:kern w:val="0"/>
          <w:szCs w:val="21"/>
        </w:rPr>
        <w:tab/>
      </w:r>
      <w:r>
        <w:rPr>
          <w:rFonts w:ascii="Arial" w:hAnsi="Arial" w:cs="Arial"/>
          <w:b/>
          <w:kern w:val="0"/>
          <w:szCs w:val="21"/>
        </w:rPr>
        <w:t>资产确定条款</w:t>
      </w:r>
    </w:p>
    <w:p>
      <w:pPr>
        <w:ind w:firstLine="420"/>
        <w:rPr>
          <w:rFonts w:ascii="Arial" w:hAnsi="Arial" w:cs="Arial"/>
          <w:szCs w:val="21"/>
        </w:rPr>
      </w:pPr>
      <w:r>
        <w:rPr>
          <w:rFonts w:ascii="Arial" w:hAnsi="Arial" w:cs="Arial"/>
          <w:kern w:val="0"/>
          <w:szCs w:val="21"/>
        </w:rPr>
        <w:t>为了确定保险标的的名称，保险人同意接受被保险人会计簿册中所指定的标的名称。</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5</w:t>
      </w:r>
      <w:r>
        <w:rPr>
          <w:rFonts w:hint="eastAsia" w:ascii="Arial" w:hAnsi="Arial" w:cs="Arial"/>
          <w:b/>
          <w:kern w:val="0"/>
          <w:szCs w:val="21"/>
        </w:rPr>
        <w:t>7</w:t>
      </w:r>
      <w:r>
        <w:rPr>
          <w:rFonts w:ascii="Arial" w:hAnsi="Arial" w:cs="Arial"/>
          <w:b/>
          <w:kern w:val="0"/>
          <w:szCs w:val="21"/>
        </w:rPr>
        <w:t>)</w:t>
      </w:r>
      <w:r>
        <w:rPr>
          <w:rFonts w:ascii="Arial" w:hAnsi="Arial" w:cs="Arial"/>
          <w:b/>
          <w:kern w:val="0"/>
          <w:szCs w:val="21"/>
        </w:rPr>
        <w:tab/>
      </w:r>
      <w:r>
        <w:rPr>
          <w:rFonts w:ascii="Arial" w:hAnsi="Arial" w:cs="Arial"/>
          <w:b/>
          <w:kern w:val="0"/>
          <w:szCs w:val="21"/>
        </w:rPr>
        <w:t>委托加工扩展条款</w:t>
      </w:r>
    </w:p>
    <w:p>
      <w:pPr>
        <w:autoSpaceDE w:val="0"/>
        <w:autoSpaceDN w:val="0"/>
        <w:adjustRightInd w:val="0"/>
        <w:ind w:firstLine="420"/>
        <w:jc w:val="left"/>
        <w:rPr>
          <w:rFonts w:ascii="Arial" w:hAnsi="Arial" w:cs="Arial"/>
          <w:kern w:val="0"/>
          <w:szCs w:val="21"/>
        </w:rPr>
      </w:pPr>
      <w:r>
        <w:rPr>
          <w:rFonts w:ascii="Arial" w:hAnsi="Arial" w:cs="Arial"/>
          <w:kern w:val="0"/>
          <w:szCs w:val="21"/>
        </w:rPr>
        <w:t>经双方同意，被保险人向外委托加工的保险标的，在经保险人同意的加工场所内,因保险事故造成的损失，保险人按照本保险合同的约定负责赔偿。但依据委托加工合同应由被委托加工方承担的赔偿责任，保险人不负责赔偿。</w:t>
      </w:r>
    </w:p>
    <w:p>
      <w:pPr>
        <w:autoSpaceDE w:val="0"/>
        <w:autoSpaceDN w:val="0"/>
        <w:adjustRightInd w:val="0"/>
        <w:ind w:firstLine="420"/>
        <w:jc w:val="left"/>
        <w:rPr>
          <w:rFonts w:ascii="Arial" w:hAnsi="Arial" w:cs="Arial"/>
          <w:kern w:val="0"/>
          <w:szCs w:val="21"/>
        </w:rPr>
      </w:pPr>
      <w:r>
        <w:rPr>
          <w:rFonts w:ascii="Arial" w:hAnsi="Arial" w:cs="Arial"/>
          <w:kern w:val="0"/>
          <w:szCs w:val="21"/>
        </w:rPr>
        <w:t>上述委托加工场所必须在中华人民共和国境内（不包括香港、澳门、台湾），被保险人应于每季度结束后10个工作日内将该季度委托加工货物的地址、货物型号、数量、货物价值等信息清单提交保险公司。</w:t>
      </w:r>
    </w:p>
    <w:p>
      <w:pPr>
        <w:autoSpaceDE w:val="0"/>
        <w:autoSpaceDN w:val="0"/>
        <w:adjustRightInd w:val="0"/>
        <w:ind w:firstLine="420"/>
        <w:jc w:val="left"/>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5</w:t>
      </w:r>
      <w:r>
        <w:rPr>
          <w:rFonts w:hint="eastAsia" w:ascii="Arial" w:hAnsi="Arial" w:cs="Arial"/>
          <w:b/>
          <w:kern w:val="0"/>
          <w:szCs w:val="21"/>
        </w:rPr>
        <w:t>8</w:t>
      </w:r>
      <w:r>
        <w:rPr>
          <w:rFonts w:ascii="Arial" w:hAnsi="Arial" w:cs="Arial"/>
          <w:b/>
          <w:kern w:val="0"/>
          <w:szCs w:val="21"/>
        </w:rPr>
        <w:t>)</w:t>
      </w:r>
      <w:r>
        <w:rPr>
          <w:rFonts w:ascii="Arial" w:hAnsi="Arial" w:cs="Arial"/>
          <w:b/>
          <w:kern w:val="0"/>
          <w:szCs w:val="21"/>
        </w:rPr>
        <w:tab/>
      </w:r>
      <w:r>
        <w:rPr>
          <w:rFonts w:ascii="Arial" w:hAnsi="Arial" w:cs="Arial"/>
          <w:b/>
          <w:kern w:val="0"/>
          <w:szCs w:val="21"/>
        </w:rPr>
        <w:t>优先使用原供应商条款</w:t>
      </w:r>
    </w:p>
    <w:p>
      <w:pPr>
        <w:autoSpaceDE w:val="0"/>
        <w:autoSpaceDN w:val="0"/>
        <w:adjustRightInd w:val="0"/>
        <w:ind w:firstLine="420"/>
        <w:jc w:val="left"/>
        <w:rPr>
          <w:rFonts w:ascii="Arial" w:hAnsi="Arial" w:cs="Arial"/>
          <w:szCs w:val="21"/>
        </w:rPr>
      </w:pPr>
      <w:r>
        <w:rPr>
          <w:rFonts w:ascii="Arial" w:hAnsi="Arial" w:cs="Arial"/>
          <w:szCs w:val="21"/>
        </w:rPr>
        <w:t>经双方同意，发生保险事故后，除非被保险人同意，否则应由受损保险标的之原供应商确定是否维修或者重置，且维修或者重置应该选择该保险标的的原供应商。</w:t>
      </w:r>
    </w:p>
    <w:p>
      <w:pPr>
        <w:autoSpaceDE w:val="0"/>
        <w:autoSpaceDN w:val="0"/>
        <w:adjustRightInd w:val="0"/>
        <w:ind w:firstLine="42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hint="eastAsia" w:ascii="Arial" w:hAnsi="Arial" w:cs="Arial"/>
          <w:b/>
          <w:kern w:val="0"/>
          <w:szCs w:val="21"/>
        </w:rPr>
        <w:t>59</w:t>
      </w:r>
      <w:r>
        <w:rPr>
          <w:rFonts w:ascii="Arial" w:hAnsi="Arial" w:cs="Arial"/>
          <w:b/>
          <w:kern w:val="0"/>
          <w:szCs w:val="21"/>
        </w:rPr>
        <w:t>)</w:t>
      </w:r>
      <w:r>
        <w:rPr>
          <w:rFonts w:ascii="Arial" w:hAnsi="Arial" w:cs="Arial"/>
          <w:b/>
          <w:kern w:val="0"/>
          <w:szCs w:val="21"/>
        </w:rPr>
        <w:tab/>
      </w:r>
      <w:r>
        <w:rPr>
          <w:rFonts w:ascii="Arial" w:hAnsi="Arial" w:cs="Arial"/>
          <w:b/>
          <w:kern w:val="0"/>
          <w:szCs w:val="21"/>
        </w:rPr>
        <w:t>承保新地址与未指明仓储地址条款</w:t>
      </w:r>
    </w:p>
    <w:p>
      <w:pPr>
        <w:snapToGrid w:val="0"/>
        <w:spacing w:after="156" w:afterLines="50"/>
        <w:ind w:firstLine="420" w:firstLineChars="200"/>
        <w:rPr>
          <w:rFonts w:ascii="Arial" w:hAnsi="Arial" w:cs="Arial"/>
          <w:bCs/>
          <w:color w:val="000000"/>
          <w:szCs w:val="21"/>
        </w:rPr>
      </w:pPr>
      <w:r>
        <w:rPr>
          <w:rFonts w:ascii="Arial" w:hAnsi="Arial" w:cs="Arial"/>
          <w:bCs/>
          <w:color w:val="000000"/>
          <w:szCs w:val="21"/>
        </w:rPr>
        <w:t>经双方同意，本保险合同负责承保被保险人名下或负责的新建成、新运到、新转让的财产及未指明的仓储地址（除另外投保）。被保险人应在可行情况下尽快将新添置财产资料通知保险人，并根据原定费率按日比例缴纳附加保险费。</w:t>
      </w:r>
    </w:p>
    <w:p>
      <w:pPr>
        <w:autoSpaceDE w:val="0"/>
        <w:autoSpaceDN w:val="0"/>
        <w:adjustRightInd w:val="0"/>
        <w:ind w:firstLine="420"/>
        <w:jc w:val="left"/>
        <w:rPr>
          <w:rFonts w:ascii="Arial" w:hAnsi="Arial" w:cs="Arial"/>
          <w:color w:val="000000"/>
          <w:szCs w:val="21"/>
        </w:rPr>
      </w:pPr>
      <w:r>
        <w:rPr>
          <w:rFonts w:ascii="Arial" w:hAnsi="Arial" w:cs="Arial"/>
          <w:color w:val="000000"/>
          <w:szCs w:val="21"/>
        </w:rPr>
        <w:t>本附加条款与主条款内容相悖之处，以本附加条款为准；未尽之处，以主条款为准。</w:t>
      </w:r>
    </w:p>
    <w:p>
      <w:pPr>
        <w:autoSpaceDE w:val="0"/>
        <w:autoSpaceDN w:val="0"/>
        <w:adjustRightInd w:val="0"/>
        <w:jc w:val="left"/>
        <w:rPr>
          <w:rFonts w:ascii="Arial" w:hAnsi="Arial" w:cs="Arial"/>
          <w:b/>
          <w:color w:val="000000"/>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6</w:t>
      </w:r>
      <w:r>
        <w:rPr>
          <w:rFonts w:hint="eastAsia" w:ascii="Arial" w:hAnsi="Arial" w:cs="Arial"/>
          <w:b/>
          <w:kern w:val="0"/>
          <w:szCs w:val="21"/>
        </w:rPr>
        <w:t>0</w:t>
      </w:r>
      <w:r>
        <w:rPr>
          <w:rFonts w:ascii="Arial" w:hAnsi="Arial" w:cs="Arial"/>
          <w:b/>
          <w:kern w:val="0"/>
          <w:szCs w:val="21"/>
        </w:rPr>
        <w:t>)</w:t>
      </w:r>
      <w:r>
        <w:rPr>
          <w:rFonts w:ascii="Arial" w:hAnsi="Arial" w:cs="Arial"/>
          <w:b/>
          <w:kern w:val="0"/>
          <w:szCs w:val="21"/>
        </w:rPr>
        <w:tab/>
      </w:r>
      <w:r>
        <w:rPr>
          <w:rFonts w:ascii="Arial" w:hAnsi="Arial" w:cs="Arial"/>
          <w:b/>
          <w:kern w:val="0"/>
          <w:szCs w:val="21"/>
        </w:rPr>
        <w:t>计算机及其附属设备扩展条款</w:t>
      </w:r>
    </w:p>
    <w:p>
      <w:pPr>
        <w:autoSpaceDE w:val="0"/>
        <w:autoSpaceDN w:val="0"/>
        <w:adjustRightInd w:val="0"/>
        <w:ind w:firstLine="420"/>
        <w:jc w:val="left"/>
        <w:rPr>
          <w:rFonts w:ascii="Arial" w:hAnsi="Arial" w:cs="Arial"/>
          <w:kern w:val="0"/>
          <w:szCs w:val="21"/>
        </w:rPr>
      </w:pPr>
      <w:r>
        <w:rPr>
          <w:rFonts w:ascii="Arial" w:hAnsi="Arial" w:cs="Arial"/>
          <w:kern w:val="0"/>
          <w:szCs w:val="21"/>
        </w:rPr>
        <w:t>经双方同意，保险人负责赔付被保险人在使用计算机过程中因自然灾害、使用不当、停</w:t>
      </w:r>
    </w:p>
    <w:p>
      <w:pPr>
        <w:autoSpaceDE w:val="0"/>
        <w:autoSpaceDN w:val="0"/>
        <w:adjustRightInd w:val="0"/>
        <w:jc w:val="left"/>
        <w:rPr>
          <w:rFonts w:ascii="Arial" w:hAnsi="Arial" w:cs="Arial"/>
          <w:kern w:val="0"/>
          <w:szCs w:val="21"/>
        </w:rPr>
      </w:pPr>
      <w:r>
        <w:rPr>
          <w:rFonts w:ascii="Arial" w:hAnsi="Arial" w:cs="Arial"/>
          <w:kern w:val="0"/>
          <w:szCs w:val="21"/>
        </w:rPr>
        <w:t>电、碰击导致计算机设备的损毁，包括其中数据、图表的制作费、复制费损失。</w:t>
      </w:r>
    </w:p>
    <w:p>
      <w:pPr>
        <w:autoSpaceDE w:val="0"/>
        <w:autoSpaceDN w:val="0"/>
        <w:adjustRightInd w:val="0"/>
        <w:ind w:firstLine="420"/>
        <w:jc w:val="left"/>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6</w:t>
      </w:r>
      <w:r>
        <w:rPr>
          <w:rFonts w:hint="eastAsia" w:ascii="Arial" w:hAnsi="Arial" w:cs="Arial"/>
          <w:b/>
          <w:kern w:val="0"/>
          <w:szCs w:val="21"/>
        </w:rPr>
        <w:t>1</w:t>
      </w:r>
      <w:r>
        <w:rPr>
          <w:rFonts w:ascii="Arial" w:hAnsi="Arial" w:cs="Arial"/>
          <w:b/>
          <w:kern w:val="0"/>
          <w:szCs w:val="21"/>
        </w:rPr>
        <w:t>)</w:t>
      </w:r>
      <w:r>
        <w:rPr>
          <w:rFonts w:ascii="Arial" w:hAnsi="Arial" w:cs="Arial"/>
          <w:b/>
          <w:kern w:val="0"/>
          <w:szCs w:val="21"/>
        </w:rPr>
        <w:tab/>
      </w:r>
      <w:r>
        <w:rPr>
          <w:rFonts w:ascii="Arial" w:hAnsi="Arial" w:cs="Arial"/>
          <w:b/>
          <w:kern w:val="0"/>
          <w:szCs w:val="21"/>
        </w:rPr>
        <w:t>检修扩展条款</w:t>
      </w:r>
    </w:p>
    <w:p>
      <w:pPr>
        <w:autoSpaceDE w:val="0"/>
        <w:autoSpaceDN w:val="0"/>
        <w:adjustRightInd w:val="0"/>
        <w:ind w:firstLine="420"/>
        <w:jc w:val="left"/>
        <w:rPr>
          <w:rFonts w:ascii="Arial" w:hAnsi="Arial" w:cs="Arial"/>
          <w:kern w:val="0"/>
          <w:szCs w:val="21"/>
        </w:rPr>
      </w:pPr>
      <w:r>
        <w:rPr>
          <w:rFonts w:ascii="Arial" w:hAnsi="Arial" w:cs="Arial"/>
          <w:kern w:val="0"/>
          <w:szCs w:val="21"/>
        </w:rPr>
        <w:t>经双方同意，本保险合同扩展承保被保险财产在工作或停机状态下，以清洗、大修或检</w:t>
      </w:r>
    </w:p>
    <w:p>
      <w:pPr>
        <w:autoSpaceDE w:val="0"/>
        <w:autoSpaceDN w:val="0"/>
        <w:adjustRightInd w:val="0"/>
        <w:jc w:val="left"/>
        <w:rPr>
          <w:rFonts w:ascii="Arial" w:hAnsi="Arial" w:cs="Arial"/>
          <w:kern w:val="0"/>
          <w:szCs w:val="21"/>
        </w:rPr>
      </w:pPr>
      <w:r>
        <w:rPr>
          <w:rFonts w:ascii="Arial" w:hAnsi="Arial" w:cs="Arial"/>
          <w:kern w:val="0"/>
          <w:szCs w:val="21"/>
        </w:rPr>
        <w:t>修为目的拆卸，或在上述操作的过程中，或在随后的重新安装、试车、调试过程中因承保风</w:t>
      </w:r>
    </w:p>
    <w:p>
      <w:pPr>
        <w:autoSpaceDE w:val="0"/>
        <w:autoSpaceDN w:val="0"/>
        <w:adjustRightInd w:val="0"/>
        <w:jc w:val="left"/>
        <w:rPr>
          <w:rFonts w:ascii="Arial" w:hAnsi="Arial" w:cs="Arial"/>
          <w:kern w:val="0"/>
          <w:szCs w:val="21"/>
        </w:rPr>
      </w:pPr>
      <w:r>
        <w:rPr>
          <w:rFonts w:ascii="Arial" w:hAnsi="Arial" w:cs="Arial"/>
          <w:kern w:val="0"/>
          <w:szCs w:val="21"/>
        </w:rPr>
        <w:t>险所造成的被保险财产的损失。</w:t>
      </w:r>
    </w:p>
    <w:p>
      <w:pPr>
        <w:autoSpaceDE w:val="0"/>
        <w:autoSpaceDN w:val="0"/>
        <w:adjustRightInd w:val="0"/>
        <w:ind w:firstLine="420"/>
        <w:jc w:val="left"/>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autoSpaceDE w:val="0"/>
        <w:autoSpaceDN w:val="0"/>
        <w:adjustRightInd w:val="0"/>
        <w:jc w:val="left"/>
        <w:rPr>
          <w:rFonts w:ascii="Arial" w:hAnsi="Arial" w:cs="Arial"/>
          <w:b/>
          <w:kern w:val="0"/>
          <w:szCs w:val="21"/>
        </w:rPr>
      </w:pPr>
    </w:p>
    <w:p>
      <w:pPr>
        <w:autoSpaceDE w:val="0"/>
        <w:autoSpaceDN w:val="0"/>
        <w:adjustRightInd w:val="0"/>
        <w:jc w:val="left"/>
        <w:rPr>
          <w:rFonts w:ascii="Arial" w:hAnsi="Arial" w:cs="Arial"/>
          <w:b/>
          <w:kern w:val="0"/>
          <w:szCs w:val="21"/>
        </w:rPr>
      </w:pPr>
      <w:r>
        <w:rPr>
          <w:rFonts w:ascii="Arial" w:hAnsi="Arial" w:cs="Arial"/>
          <w:b/>
          <w:kern w:val="0"/>
          <w:szCs w:val="21"/>
        </w:rPr>
        <w:t>6</w:t>
      </w:r>
      <w:r>
        <w:rPr>
          <w:rFonts w:hint="eastAsia" w:ascii="Arial" w:hAnsi="Arial" w:cs="Arial"/>
          <w:b/>
          <w:kern w:val="0"/>
          <w:szCs w:val="21"/>
        </w:rPr>
        <w:t>2</w:t>
      </w:r>
      <w:r>
        <w:rPr>
          <w:rFonts w:ascii="Arial" w:hAnsi="Arial" w:cs="Arial"/>
          <w:b/>
          <w:kern w:val="0"/>
          <w:szCs w:val="21"/>
        </w:rPr>
        <w:t>)</w:t>
      </w:r>
      <w:r>
        <w:rPr>
          <w:rFonts w:ascii="Arial" w:hAnsi="Arial" w:cs="Arial"/>
          <w:b/>
          <w:kern w:val="0"/>
          <w:szCs w:val="21"/>
        </w:rPr>
        <w:tab/>
      </w:r>
      <w:r>
        <w:rPr>
          <w:rFonts w:ascii="Arial" w:hAnsi="Arial" w:cs="Arial"/>
          <w:b/>
          <w:kern w:val="0"/>
          <w:szCs w:val="21"/>
        </w:rPr>
        <w:t>空运费扩展条款</w:t>
      </w:r>
    </w:p>
    <w:p>
      <w:pPr>
        <w:autoSpaceDE w:val="0"/>
        <w:autoSpaceDN w:val="0"/>
        <w:adjustRightInd w:val="0"/>
        <w:ind w:firstLine="420"/>
        <w:jc w:val="left"/>
        <w:rPr>
          <w:rFonts w:ascii="Arial" w:hAnsi="Arial" w:cs="Arial"/>
          <w:kern w:val="0"/>
          <w:szCs w:val="21"/>
        </w:rPr>
      </w:pPr>
      <w:r>
        <w:rPr>
          <w:rFonts w:ascii="Arial" w:hAnsi="Arial" w:cs="Arial"/>
          <w:kern w:val="0"/>
          <w:szCs w:val="21"/>
        </w:rPr>
        <w:t>经双方同意，发生保险责任范围内的损失，为及时修复或恢复保险标的而发生的空运费，保险人按照本保险合同的约定负责赔偿。</w:t>
      </w:r>
    </w:p>
    <w:p>
      <w:pPr>
        <w:autoSpaceDE w:val="0"/>
        <w:autoSpaceDN w:val="0"/>
        <w:adjustRightInd w:val="0"/>
        <w:ind w:firstLine="420"/>
        <w:jc w:val="left"/>
        <w:rPr>
          <w:rFonts w:ascii="Arial" w:hAnsi="Arial" w:cs="Arial"/>
          <w:kern w:val="0"/>
          <w:szCs w:val="21"/>
        </w:rPr>
      </w:pPr>
      <w:r>
        <w:rPr>
          <w:rFonts w:ascii="Arial" w:hAnsi="Arial" w:cs="Arial"/>
          <w:kern w:val="0"/>
          <w:szCs w:val="21"/>
        </w:rPr>
        <w:t>本附加条款项下保险人的赔偿责任不超过本保险合同中载明的相应赔偿限额。</w:t>
      </w:r>
    </w:p>
    <w:p>
      <w:pPr>
        <w:autoSpaceDE w:val="0"/>
        <w:autoSpaceDN w:val="0"/>
        <w:adjustRightInd w:val="0"/>
        <w:ind w:firstLine="420"/>
        <w:jc w:val="left"/>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widowControl/>
        <w:spacing w:line="300" w:lineRule="exact"/>
        <w:jc w:val="left"/>
        <w:rPr>
          <w:rFonts w:ascii="Arial" w:hAnsi="Arial" w:cs="Arial"/>
          <w:b/>
          <w:szCs w:val="21"/>
        </w:rPr>
      </w:pPr>
    </w:p>
    <w:p>
      <w:pPr>
        <w:widowControl/>
        <w:spacing w:line="300" w:lineRule="exact"/>
        <w:jc w:val="left"/>
        <w:rPr>
          <w:rFonts w:ascii="Arial" w:hAnsi="Arial" w:cs="Arial"/>
          <w:b/>
          <w:kern w:val="0"/>
          <w:szCs w:val="21"/>
        </w:rPr>
      </w:pPr>
      <w:r>
        <w:rPr>
          <w:rFonts w:ascii="Arial" w:hAnsi="Arial" w:cs="Arial"/>
          <w:b/>
          <w:kern w:val="0"/>
          <w:szCs w:val="21"/>
        </w:rPr>
        <w:t>6</w:t>
      </w:r>
      <w:r>
        <w:rPr>
          <w:rFonts w:hint="eastAsia" w:ascii="Arial" w:hAnsi="Arial" w:cs="Arial"/>
          <w:b/>
          <w:kern w:val="0"/>
          <w:szCs w:val="21"/>
        </w:rPr>
        <w:t>3</w:t>
      </w:r>
      <w:r>
        <w:rPr>
          <w:rFonts w:ascii="Arial" w:hAnsi="Arial" w:cs="Arial"/>
          <w:b/>
          <w:kern w:val="0"/>
          <w:szCs w:val="21"/>
        </w:rPr>
        <w:t>） 恐怖活动扩展条款（限额：财一利损共用，为保额的70%，且不超过</w:t>
      </w:r>
      <w:r>
        <w:rPr>
          <w:rFonts w:hint="eastAsia" w:ascii="Arial" w:hAnsi="Arial" w:cs="Arial"/>
          <w:b/>
          <w:kern w:val="0"/>
          <w:szCs w:val="21"/>
        </w:rPr>
        <w:t>RMB</w:t>
      </w:r>
      <w:r>
        <w:rPr>
          <w:rFonts w:ascii="Arial" w:hAnsi="Arial" w:cs="Arial"/>
          <w:b/>
          <w:kern w:val="0"/>
          <w:szCs w:val="21"/>
        </w:rPr>
        <w:t>5亿；免赔RMB100,000</w:t>
      </w:r>
      <w:r>
        <w:rPr>
          <w:rFonts w:hint="eastAsia" w:ascii="Arial" w:hAnsi="Arial" w:cs="Arial"/>
          <w:b/>
          <w:kern w:val="0"/>
          <w:szCs w:val="21"/>
        </w:rPr>
        <w:t>.00</w:t>
      </w:r>
      <w:r>
        <w:rPr>
          <w:rFonts w:hint="eastAsia" w:ascii="Arial" w:hAnsi="Arial" w:cs="Arial"/>
          <w:b/>
          <w:szCs w:val="21"/>
        </w:rPr>
        <w:t>每次事故</w:t>
      </w:r>
      <w:r>
        <w:rPr>
          <w:rFonts w:ascii="Arial" w:hAnsi="Arial" w:cs="Arial"/>
          <w:b/>
          <w:kern w:val="0"/>
          <w:szCs w:val="21"/>
        </w:rPr>
        <w:t>）</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经双方同意，由于恐怖活动引起火灾、爆炸而造成保险标的的损失，保险人按照本保险合同的约定负责赔偿。</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但对下列损失，保险人不负责赔偿：</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（一）公共当局没收、临时或永久征用所致的损失；</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（二）由于建筑物临时或永久被非法占据所致的损失；</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（三）由于核辐射、核爆炸、核污染及其他放射性污染所致的损失。</w:t>
      </w:r>
    </w:p>
    <w:p>
      <w:pPr>
        <w:snapToGrid w:val="0"/>
        <w:spacing w:after="156" w:afterLines="50"/>
        <w:ind w:firstLine="420" w:firstLineChars="200"/>
        <w:rPr>
          <w:rFonts w:ascii="Arial" w:hAnsi="Arial" w:cs="Arial"/>
          <w:szCs w:val="21"/>
        </w:rPr>
      </w:pPr>
      <w:r>
        <w:rPr>
          <w:rFonts w:ascii="Arial" w:hAnsi="Arial" w:cs="Arial"/>
          <w:szCs w:val="21"/>
        </w:rPr>
        <w:t>本附加险条款与主险条款内容相悖之处，以本附加险条款为准；未尽之处，以主险条款为准。</w:t>
      </w:r>
    </w:p>
    <w:p>
      <w:pPr>
        <w:widowControl/>
        <w:spacing w:line="300" w:lineRule="exact"/>
        <w:jc w:val="left"/>
        <w:rPr>
          <w:rFonts w:ascii="Arial" w:hAnsi="Arial" w:cs="Arial"/>
          <w:b/>
          <w:kern w:val="0"/>
          <w:szCs w:val="21"/>
        </w:rPr>
      </w:pPr>
    </w:p>
    <w:p>
      <w:pPr>
        <w:widowControl/>
        <w:spacing w:line="300" w:lineRule="exact"/>
        <w:jc w:val="left"/>
        <w:rPr>
          <w:rFonts w:ascii="Arial" w:hAnsi="Arial" w:cs="Arial"/>
          <w:b/>
          <w:kern w:val="0"/>
          <w:szCs w:val="21"/>
        </w:rPr>
      </w:pPr>
      <w:r>
        <w:rPr>
          <w:rFonts w:ascii="Arial" w:hAnsi="Arial" w:cs="Arial"/>
          <w:b/>
          <w:kern w:val="0"/>
          <w:szCs w:val="21"/>
        </w:rPr>
        <w:t>6</w:t>
      </w:r>
      <w:r>
        <w:rPr>
          <w:rFonts w:hint="eastAsia" w:ascii="Arial" w:hAnsi="Arial" w:cs="Arial"/>
          <w:b/>
          <w:kern w:val="0"/>
          <w:szCs w:val="21"/>
        </w:rPr>
        <w:t>4</w:t>
      </w:r>
      <w:r>
        <w:rPr>
          <w:rFonts w:ascii="Arial" w:hAnsi="Arial" w:cs="Arial"/>
          <w:b/>
          <w:kern w:val="0"/>
          <w:szCs w:val="21"/>
        </w:rPr>
        <w:t>）玻璃破碎条款</w:t>
      </w:r>
    </w:p>
    <w:p>
      <w:pPr>
        <w:widowControl/>
        <w:spacing w:line="300" w:lineRule="exact"/>
        <w:jc w:val="left"/>
        <w:rPr>
          <w:rFonts w:ascii="Arial" w:hAnsi="Arial" w:cs="Arial"/>
          <w:color w:val="000000"/>
          <w:szCs w:val="21"/>
        </w:rPr>
      </w:pPr>
      <w:r>
        <w:rPr>
          <w:rFonts w:ascii="Arial" w:hAnsi="Arial" w:cs="Arial"/>
          <w:color w:val="000000"/>
          <w:szCs w:val="21"/>
        </w:rPr>
        <w:t>经双方同意，本保险扩展承保本保险单中列明的保险财产的玻璃由于不明原因导致的破碎损失。</w:t>
      </w:r>
    </w:p>
    <w:p>
      <w:pPr>
        <w:widowControl/>
        <w:spacing w:line="300" w:lineRule="exact"/>
        <w:jc w:val="left"/>
        <w:rPr>
          <w:rFonts w:ascii="Arial" w:hAnsi="Arial" w:cs="Arial"/>
          <w:b/>
          <w:kern w:val="0"/>
          <w:szCs w:val="21"/>
        </w:rPr>
      </w:pPr>
    </w:p>
    <w:p>
      <w:pPr>
        <w:widowControl/>
        <w:spacing w:line="300" w:lineRule="exact"/>
        <w:jc w:val="left"/>
        <w:rPr>
          <w:rFonts w:ascii="Arial" w:hAnsi="Arial" w:cs="Arial"/>
          <w:b/>
          <w:kern w:val="0"/>
          <w:szCs w:val="21"/>
        </w:rPr>
      </w:pPr>
      <w:r>
        <w:rPr>
          <w:rFonts w:ascii="Arial" w:hAnsi="Arial" w:cs="Arial"/>
          <w:b/>
          <w:kern w:val="0"/>
          <w:szCs w:val="21"/>
        </w:rPr>
        <w:t>6</w:t>
      </w:r>
      <w:r>
        <w:rPr>
          <w:rFonts w:hint="eastAsia" w:ascii="Arial" w:hAnsi="Arial" w:cs="Arial"/>
          <w:b/>
          <w:kern w:val="0"/>
          <w:szCs w:val="21"/>
        </w:rPr>
        <w:t>5</w:t>
      </w:r>
      <w:r>
        <w:rPr>
          <w:rFonts w:ascii="Arial" w:hAnsi="Arial" w:cs="Arial"/>
          <w:b/>
          <w:kern w:val="0"/>
          <w:szCs w:val="21"/>
        </w:rPr>
        <w:t>）车上货物条款</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兹经双方同意并约定,被保险人的车辆在尚未卸货的情况下在保单载明的场所内过夜,对该货物遭受本保单承保的风险造成的损失,保险人将给予赔偿。</w:t>
      </w:r>
    </w:p>
    <w:p>
      <w:pPr>
        <w:snapToGrid w:val="0"/>
        <w:spacing w:after="156" w:afterLines="50"/>
        <w:ind w:firstLine="420" w:firstLineChars="200"/>
        <w:rPr>
          <w:rFonts w:ascii="Arial" w:hAnsi="Arial" w:cs="Arial"/>
          <w:szCs w:val="21"/>
        </w:rPr>
      </w:pPr>
      <w:r>
        <w:rPr>
          <w:rFonts w:ascii="Arial" w:hAnsi="Arial" w:cs="Arial"/>
          <w:szCs w:val="21"/>
        </w:rPr>
        <w:t>本附加险条款与主险条款内容相悖之处，以本附加险条款为准；未尽之处，以主险条款为准。</w:t>
      </w:r>
    </w:p>
    <w:p>
      <w:pPr>
        <w:widowControl/>
        <w:spacing w:line="300" w:lineRule="exact"/>
        <w:jc w:val="left"/>
        <w:rPr>
          <w:rFonts w:ascii="Arial" w:hAnsi="Arial" w:cs="Arial"/>
          <w:b/>
          <w:kern w:val="0"/>
          <w:szCs w:val="21"/>
        </w:rPr>
      </w:pPr>
    </w:p>
    <w:p>
      <w:pPr>
        <w:widowControl/>
        <w:spacing w:line="300" w:lineRule="exact"/>
        <w:jc w:val="left"/>
        <w:rPr>
          <w:rFonts w:ascii="Arial" w:hAnsi="Arial" w:cs="Arial"/>
          <w:b/>
          <w:kern w:val="0"/>
          <w:szCs w:val="21"/>
        </w:rPr>
      </w:pPr>
      <w:r>
        <w:rPr>
          <w:rFonts w:ascii="Arial" w:hAnsi="Arial" w:cs="Arial"/>
          <w:b/>
          <w:kern w:val="0"/>
          <w:szCs w:val="21"/>
        </w:rPr>
        <w:t>6</w:t>
      </w:r>
      <w:r>
        <w:rPr>
          <w:rFonts w:hint="eastAsia" w:ascii="Arial" w:hAnsi="Arial" w:cs="Arial"/>
          <w:b/>
          <w:kern w:val="0"/>
          <w:szCs w:val="21"/>
        </w:rPr>
        <w:t>6</w:t>
      </w:r>
      <w:r>
        <w:rPr>
          <w:rFonts w:ascii="Arial" w:hAnsi="Arial" w:cs="Arial"/>
          <w:b/>
          <w:kern w:val="0"/>
          <w:szCs w:val="21"/>
        </w:rPr>
        <w:t>）紧急抢修条款</w:t>
      </w:r>
    </w:p>
    <w:p>
      <w:pPr>
        <w:spacing w:after="156" w:afterLines="50"/>
        <w:ind w:firstLine="420" w:firstLineChars="200"/>
        <w:rPr>
          <w:rFonts w:ascii="Arial" w:hAnsi="Arial" w:cs="Arial"/>
          <w:szCs w:val="21"/>
        </w:rPr>
      </w:pPr>
      <w:r>
        <w:rPr>
          <w:rFonts w:ascii="Arial" w:hAnsi="Arial" w:cs="Arial"/>
          <w:szCs w:val="21"/>
        </w:rPr>
        <w:t>经双方同意，保险事故发生后，如保险人在接到被保险人出险通知两小时内未到达事故现场，且对紧急抢险措施未提出反对意见，被保险人可按照规范要求以及生产与安全需要，立即组织抢险、抢修工作，但被保险人应认真做好相关记录，并在条件许可时对第一现场情况进行拍照或录像。</w:t>
      </w:r>
    </w:p>
    <w:p>
      <w:pPr>
        <w:spacing w:after="156" w:afterLines="50"/>
        <w:ind w:firstLine="420" w:firstLineChars="200"/>
        <w:rPr>
          <w:rFonts w:ascii="Arial" w:hAnsi="Arial" w:cs="Arial"/>
          <w:szCs w:val="21"/>
        </w:rPr>
      </w:pPr>
      <w:r>
        <w:rPr>
          <w:rFonts w:ascii="Arial" w:hAnsi="Arial" w:cs="Arial"/>
          <w:szCs w:val="21"/>
        </w:rPr>
        <w:t>本附加险条款与主险条款内容相悖之处，以本附加险条款为准；未尽之处，以主险条款为准。</w:t>
      </w:r>
    </w:p>
    <w:p>
      <w:pPr>
        <w:widowControl/>
        <w:spacing w:line="300" w:lineRule="exact"/>
        <w:jc w:val="left"/>
        <w:rPr>
          <w:rFonts w:ascii="Arial" w:hAnsi="Arial" w:cs="Arial"/>
          <w:b/>
          <w:kern w:val="0"/>
          <w:szCs w:val="21"/>
        </w:rPr>
      </w:pPr>
    </w:p>
    <w:p>
      <w:pPr>
        <w:widowControl/>
        <w:spacing w:line="300" w:lineRule="exact"/>
        <w:jc w:val="left"/>
        <w:rPr>
          <w:rFonts w:ascii="Arial" w:hAnsi="Arial" w:cs="Arial"/>
          <w:b/>
          <w:kern w:val="0"/>
          <w:szCs w:val="21"/>
        </w:rPr>
      </w:pPr>
      <w:r>
        <w:rPr>
          <w:rFonts w:ascii="Arial" w:hAnsi="Arial" w:cs="Arial"/>
          <w:b/>
          <w:kern w:val="0"/>
          <w:szCs w:val="21"/>
        </w:rPr>
        <w:t>6</w:t>
      </w:r>
      <w:r>
        <w:rPr>
          <w:rFonts w:hint="eastAsia" w:ascii="Arial" w:hAnsi="Arial" w:cs="Arial"/>
          <w:b/>
          <w:kern w:val="0"/>
          <w:szCs w:val="21"/>
        </w:rPr>
        <w:t>7</w:t>
      </w:r>
      <w:r>
        <w:rPr>
          <w:rFonts w:ascii="Arial" w:hAnsi="Arial" w:cs="Arial"/>
          <w:b/>
          <w:kern w:val="0"/>
          <w:szCs w:val="21"/>
        </w:rPr>
        <w:t>）“污闪”损失扩展条款</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经双方同意，本保险合同扩展承保保险财产因"污闪"造成的保险责任范围内的损失。</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污闪":即电气设备的绝缘子在遭受自然或工业污染后，附着在其表面的污秽物具有一定的导电性和吸湿性，当遇到环境湿度较大时（如毛毛雨、小雪、大雾等天气），绝缘子的绝缘水平大大下降，其表面泄漏电流明显增加，在工作电压下可能会使绝缘子发生闪络事故，从而导致设备本身损坏或线路跳闸。</w:t>
      </w:r>
    </w:p>
    <w:p>
      <w:pPr>
        <w:widowControl/>
        <w:spacing w:line="300" w:lineRule="exact"/>
        <w:ind w:firstLine="420" w:firstLineChars="200"/>
        <w:jc w:val="left"/>
        <w:rPr>
          <w:rFonts w:ascii="Arial" w:hAnsi="Arial" w:cs="Arial"/>
          <w:color w:val="000000"/>
          <w:szCs w:val="21"/>
        </w:rPr>
      </w:pPr>
      <w:r>
        <w:rPr>
          <w:rFonts w:ascii="Arial" w:hAnsi="Arial" w:cs="Arial"/>
          <w:color w:val="000000"/>
          <w:szCs w:val="21"/>
        </w:rPr>
        <w:t>本附加条款与主条款内容相悖之处，以本附加条款为准；未尽之处，以主条款为准。</w:t>
      </w:r>
    </w:p>
    <w:p>
      <w:pPr>
        <w:widowControl/>
        <w:spacing w:line="300" w:lineRule="exact"/>
        <w:jc w:val="left"/>
        <w:rPr>
          <w:rFonts w:ascii="Arial" w:hAnsi="Arial" w:cs="Arial"/>
          <w:b/>
          <w:kern w:val="0"/>
          <w:szCs w:val="21"/>
        </w:rPr>
      </w:pPr>
    </w:p>
    <w:p>
      <w:pPr>
        <w:widowControl/>
        <w:spacing w:line="300" w:lineRule="exact"/>
        <w:jc w:val="left"/>
        <w:rPr>
          <w:rFonts w:ascii="Arial" w:hAnsi="Arial" w:cs="Arial"/>
          <w:b/>
          <w:kern w:val="0"/>
          <w:szCs w:val="21"/>
        </w:rPr>
      </w:pPr>
      <w:r>
        <w:rPr>
          <w:rFonts w:ascii="Arial" w:hAnsi="Arial" w:cs="Arial"/>
          <w:b/>
          <w:kern w:val="0"/>
          <w:szCs w:val="21"/>
        </w:rPr>
        <w:t>6</w:t>
      </w:r>
      <w:r>
        <w:rPr>
          <w:rFonts w:hint="eastAsia" w:ascii="Arial" w:hAnsi="Arial" w:cs="Arial"/>
          <w:b/>
          <w:kern w:val="0"/>
          <w:szCs w:val="21"/>
        </w:rPr>
        <w:t>8</w:t>
      </w:r>
      <w:r>
        <w:rPr>
          <w:rFonts w:ascii="Arial" w:hAnsi="Arial" w:cs="Arial"/>
          <w:b/>
          <w:kern w:val="0"/>
          <w:szCs w:val="21"/>
        </w:rPr>
        <w:t>）弃权和禁止发言条款</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双方一致同意，被保险人或投保人告知义务的履行仅限于保险人在承保前的书面询问，保险人签发保险单，表明保险人对保险标的的风险已有完全了解，因此，在发生事故损失时，保险人不得以投保人未对书面询问外的其他信息履行告知义务而拒赔。</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本保险单所载其他条件不变。</w:t>
      </w:r>
    </w:p>
    <w:p>
      <w:pPr>
        <w:widowControl/>
        <w:spacing w:line="300" w:lineRule="exact"/>
        <w:jc w:val="left"/>
        <w:rPr>
          <w:rFonts w:ascii="Arial" w:hAnsi="Arial" w:cs="Arial"/>
          <w:b/>
          <w:kern w:val="0"/>
          <w:szCs w:val="21"/>
        </w:rPr>
      </w:pPr>
    </w:p>
    <w:p>
      <w:pPr>
        <w:widowControl/>
        <w:spacing w:line="300" w:lineRule="exact"/>
        <w:jc w:val="left"/>
        <w:rPr>
          <w:rFonts w:ascii="Arial" w:hAnsi="Arial" w:cs="Arial"/>
          <w:b/>
          <w:color w:val="000000"/>
          <w:szCs w:val="21"/>
        </w:rPr>
      </w:pPr>
      <w:r>
        <w:rPr>
          <w:rFonts w:hint="eastAsia" w:ascii="Arial" w:hAnsi="Arial" w:cs="Arial"/>
          <w:b/>
          <w:kern w:val="0"/>
          <w:szCs w:val="21"/>
        </w:rPr>
        <w:t>69</w:t>
      </w:r>
      <w:r>
        <w:rPr>
          <w:rFonts w:ascii="Arial" w:hAnsi="Arial" w:cs="Arial"/>
          <w:b/>
          <w:kern w:val="0"/>
          <w:szCs w:val="21"/>
        </w:rPr>
        <w:t xml:space="preserve">） </w:t>
      </w:r>
      <w:r>
        <w:rPr>
          <w:rFonts w:ascii="Arial" w:hAnsi="Arial" w:cs="Arial"/>
          <w:b/>
          <w:color w:val="000000"/>
          <w:szCs w:val="21"/>
        </w:rPr>
        <w:t>免检条款</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兹经双方同意，如果预计索赔金额不超过_RMB10万元_（已扣减应适用的免赔额），此索赔无需进行查勘即予认可，被保险人无需事先同保险人协商即可着手修复，但应向保险人递交一份附有支持文件的全面的书面事故报告，并保留所有损失照片。</w:t>
      </w:r>
    </w:p>
    <w:p>
      <w:pPr>
        <w:snapToGrid w:val="0"/>
        <w:spacing w:after="156" w:afterLines="50"/>
        <w:ind w:firstLine="420" w:firstLineChars="200"/>
        <w:rPr>
          <w:rFonts w:ascii="Arial" w:hAnsi="Arial" w:cs="Arial"/>
          <w:szCs w:val="21"/>
        </w:rPr>
      </w:pPr>
      <w:r>
        <w:rPr>
          <w:rFonts w:ascii="Arial" w:hAnsi="Arial" w:cs="Arial"/>
          <w:szCs w:val="21"/>
        </w:rPr>
        <w:t>本附加险条款与主险条款内容相悖之处，以本附加险条款为准；未尽之处，以主险条款为准。</w:t>
      </w:r>
    </w:p>
    <w:p>
      <w:pPr>
        <w:snapToGrid w:val="0"/>
        <w:spacing w:after="156" w:afterLines="50"/>
        <w:ind w:firstLine="420" w:firstLineChars="200"/>
        <w:rPr>
          <w:rFonts w:ascii="Arial" w:hAnsi="Arial" w:cs="Arial"/>
          <w:szCs w:val="21"/>
        </w:rPr>
      </w:pPr>
    </w:p>
    <w:p>
      <w:pPr>
        <w:widowControl/>
        <w:spacing w:line="300" w:lineRule="exact"/>
        <w:jc w:val="left"/>
        <w:rPr>
          <w:rFonts w:ascii="Arial" w:hAnsi="Arial" w:cs="Arial"/>
          <w:b/>
          <w:color w:val="000000"/>
          <w:szCs w:val="21"/>
        </w:rPr>
      </w:pPr>
      <w:r>
        <w:rPr>
          <w:rFonts w:ascii="Arial" w:hAnsi="Arial" w:cs="Arial"/>
          <w:b/>
          <w:color w:val="000000"/>
          <w:szCs w:val="21"/>
        </w:rPr>
        <w:t>7</w:t>
      </w:r>
      <w:r>
        <w:rPr>
          <w:rFonts w:hint="eastAsia" w:ascii="Arial" w:hAnsi="Arial" w:cs="Arial"/>
          <w:b/>
          <w:color w:val="000000"/>
          <w:szCs w:val="21"/>
        </w:rPr>
        <w:t>0</w:t>
      </w:r>
      <w:r>
        <w:rPr>
          <w:rFonts w:ascii="Arial" w:hAnsi="Arial" w:cs="Arial"/>
          <w:b/>
          <w:color w:val="000000"/>
          <w:szCs w:val="21"/>
        </w:rPr>
        <w:t xml:space="preserve">）导线“舞动”损失扩展条款 </w:t>
      </w:r>
    </w:p>
    <w:p>
      <w:pPr>
        <w:widowControl/>
        <w:snapToGrid w:val="0"/>
        <w:ind w:firstLine="420" w:firstLineChars="200"/>
        <w:jc w:val="left"/>
        <w:rPr>
          <w:rFonts w:ascii="Arial" w:hAnsi="Arial" w:cs="Arial"/>
          <w:color w:val="000000"/>
          <w:kern w:val="0"/>
          <w:szCs w:val="21"/>
        </w:rPr>
      </w:pPr>
    </w:p>
    <w:p>
      <w:pPr>
        <w:snapToGrid w:val="0"/>
        <w:spacing w:after="156" w:afterLines="50"/>
        <w:ind w:firstLine="420" w:firstLineChars="200"/>
        <w:rPr>
          <w:rFonts w:ascii="Arial" w:hAnsi="Arial" w:cs="Arial"/>
          <w:color w:val="000000"/>
          <w:szCs w:val="21"/>
        </w:rPr>
      </w:pPr>
      <w:r>
        <w:rPr>
          <w:rFonts w:ascii="Arial" w:hAnsi="Arial" w:cs="Arial"/>
          <w:color w:val="000000"/>
          <w:szCs w:val="21"/>
        </w:rPr>
        <w:t>本保险合同扩展承保因导线“舞动”造成的保险财产的损失。</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导线“舞动”：指输电线路在外力的作用下（如刮风、线路覆冰局部脱落、意外撞击等），可能出现导线振动、摆动、跳跃等现象，从而发生导线碰线、短路、接地、断线及杆塔倾倒等事故。</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本附加条款与主条款内容相悖之处，以本附加条款为准；未尽之处，以主条款为准。</w:t>
      </w:r>
    </w:p>
    <w:p>
      <w:pPr>
        <w:snapToGrid w:val="0"/>
        <w:spacing w:after="156" w:afterLines="50"/>
        <w:rPr>
          <w:rFonts w:ascii="Arial" w:hAnsi="Arial" w:cs="Arial"/>
          <w:color w:val="000000"/>
          <w:szCs w:val="21"/>
        </w:rPr>
      </w:pPr>
    </w:p>
    <w:p>
      <w:pPr>
        <w:snapToGrid w:val="0"/>
        <w:spacing w:after="156" w:afterLines="50"/>
        <w:rPr>
          <w:rFonts w:ascii="Arial" w:hAnsi="Arial" w:cs="Arial"/>
          <w:szCs w:val="21"/>
        </w:rPr>
      </w:pPr>
      <w:r>
        <w:rPr>
          <w:rFonts w:ascii="Arial" w:hAnsi="Arial" w:cs="Arial"/>
          <w:b/>
          <w:color w:val="000000"/>
          <w:szCs w:val="21"/>
        </w:rPr>
        <w:t>7</w:t>
      </w:r>
      <w:r>
        <w:rPr>
          <w:rFonts w:hint="eastAsia" w:ascii="Arial" w:hAnsi="Arial" w:cs="Arial"/>
          <w:b/>
          <w:color w:val="000000"/>
          <w:szCs w:val="21"/>
        </w:rPr>
        <w:t>1</w:t>
      </w:r>
      <w:r>
        <w:rPr>
          <w:rFonts w:ascii="Arial" w:hAnsi="Arial" w:cs="Arial"/>
          <w:b/>
          <w:color w:val="000000"/>
          <w:szCs w:val="21"/>
        </w:rPr>
        <w:t>）财产流动条款（存货及机械设备）</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经双方同意，在被保险人缴付了附加的保险费，本保险合同扩展存货及机械设备在独立危险单位内移动过程中因发生意外而造成的本身的损失。</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本附加条款与主条款内容相悖之处，以本附加条款为准；未尽之处，以主条款为准。</w:t>
      </w:r>
    </w:p>
    <w:p>
      <w:pPr>
        <w:snapToGrid w:val="0"/>
        <w:spacing w:after="156" w:afterLines="50"/>
        <w:rPr>
          <w:rFonts w:ascii="Arial" w:hAnsi="Arial" w:cs="Arial"/>
          <w:szCs w:val="21"/>
        </w:rPr>
      </w:pPr>
    </w:p>
    <w:p>
      <w:pPr>
        <w:snapToGrid w:val="0"/>
        <w:spacing w:after="156" w:afterLines="50"/>
        <w:rPr>
          <w:rFonts w:ascii="Arial" w:hAnsi="Arial" w:cs="Arial"/>
          <w:b/>
          <w:color w:val="000000"/>
          <w:szCs w:val="21"/>
        </w:rPr>
      </w:pPr>
      <w:r>
        <w:rPr>
          <w:rFonts w:ascii="Arial" w:hAnsi="Arial" w:cs="Arial"/>
          <w:b/>
          <w:color w:val="000000"/>
          <w:szCs w:val="21"/>
        </w:rPr>
        <w:t>7</w:t>
      </w:r>
      <w:r>
        <w:rPr>
          <w:rFonts w:hint="eastAsia" w:ascii="Arial" w:hAnsi="Arial" w:cs="Arial"/>
          <w:b/>
          <w:color w:val="000000"/>
          <w:szCs w:val="21"/>
        </w:rPr>
        <w:t>2</w:t>
      </w:r>
      <w:r>
        <w:rPr>
          <w:rFonts w:ascii="Arial" w:hAnsi="Arial" w:cs="Arial"/>
          <w:b/>
          <w:color w:val="000000"/>
          <w:szCs w:val="21"/>
        </w:rPr>
        <w:t xml:space="preserve">）碰撞扩展条款 </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经双方同意，由于非被保险人及其雇员所有的或管控的动物、车辆及船舶等交通工具的碰撞造成保险标的的损失，保险人按照本保险合同的约定负责赔偿。</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本附加条款与主条款内容相悖之处，以本附加条款为准；未尽之处，以主条款为准。</w:t>
      </w:r>
      <w:r>
        <w:rPr>
          <w:rFonts w:hint="eastAsia" w:ascii="Arial" w:hAnsi="Arial" w:cs="Arial"/>
          <w:color w:val="000000"/>
          <w:szCs w:val="21"/>
        </w:rPr>
        <w:t>、</w:t>
      </w:r>
    </w:p>
    <w:p>
      <w:pPr>
        <w:snapToGrid w:val="0"/>
        <w:spacing w:after="156" w:afterLines="50"/>
        <w:rPr>
          <w:rFonts w:ascii="Arial" w:hAnsi="Arial" w:cs="Arial"/>
          <w:color w:val="000000"/>
          <w:szCs w:val="21"/>
        </w:rPr>
      </w:pPr>
    </w:p>
    <w:p>
      <w:pPr>
        <w:snapToGrid w:val="0"/>
        <w:spacing w:after="156" w:afterLines="50"/>
        <w:rPr>
          <w:rFonts w:ascii="Arial" w:hAnsi="Arial" w:cs="Arial"/>
          <w:b/>
          <w:color w:val="000000"/>
          <w:szCs w:val="21"/>
        </w:rPr>
      </w:pPr>
      <w:r>
        <w:rPr>
          <w:rFonts w:ascii="Arial" w:hAnsi="Arial" w:cs="Arial"/>
          <w:b/>
          <w:color w:val="000000"/>
          <w:szCs w:val="21"/>
        </w:rPr>
        <w:t>7</w:t>
      </w:r>
      <w:r>
        <w:rPr>
          <w:rFonts w:hint="eastAsia" w:ascii="Arial" w:hAnsi="Arial" w:cs="Arial"/>
          <w:b/>
          <w:color w:val="000000"/>
          <w:szCs w:val="21"/>
        </w:rPr>
        <w:t>3</w:t>
      </w:r>
      <w:r>
        <w:rPr>
          <w:rFonts w:ascii="Arial" w:hAnsi="Arial" w:cs="Arial"/>
          <w:b/>
          <w:color w:val="000000"/>
          <w:szCs w:val="21"/>
        </w:rPr>
        <w:t xml:space="preserve">）抵押权人条款 </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任何本保单项下的损失应按照受抵押人或抵押受让人利益损害程度进行赔付。</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 xml:space="preserve">兹经双方同意，在发生损失或损坏时，保险公司将按照受抵押人或上述受让人的利益损害程度进行赔付；本保险只涉及受抵押人或上述受让人的利益。上述同意事项不能因抵押人的或被保财产的所有人之行为或疏忽致使无效，也不能因受抵押人或上述受让人未能得知被保建筑物之风险增加致使无效，在得知所有权的变化或本保单不涵括之风险的改变或增加时将通知保险公司这些变化、改变或增加，并应保险公司要求缴付自这些风险发生之时起适当的附加保险费。 </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 xml:space="preserve">兹经双方进一步同意，在保险公司赔付给受抵押人或上述受让人任何本保单下的损失或损坏且受抵押人或所有人对此无责任时，受抵押人或上述受让人的所有权利将按照法律随即马上转让给保险公司，这些权利行使范围为所赔付金额的额度内、受抵押人的权限内或上述受让人的权限内、转让的权限内、票据的权限内以及其他保险公司认为必要或合理要求的事项之权限内，但是这种权利转让不能损害保险公司对受抵押人或上述受让人之索赔全额的第三方之追偿。规定：保险公司和抵押人或被保财产之所有人同意，本条款内所有内容均不能构成或被视为放弃、损害或影响任何保险公司可能拥有的对抵押人或被保财产之权利，均不能构成或被视为减少抵押人或被保财产所有人可能应承受的本保单项下或法律规定的义务，以上权利和义务对保险公司和抵押人或被保财产所有人全部有效。 </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 xml:space="preserve">保险公司根据保单条款保留在任何时候取消本保单的权利，但在此情况下，在给受抵押人或上述受让人发出取消通知后，保单在只针对受抵押人或上述受让人的利益之前提下仍持续30 天有效，之后，保险公司将终止该保单。保险公司有权发出类似通知来取消本协议。 </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以本保单之条款和术语、除外和条件为准。</w:t>
      </w:r>
    </w:p>
    <w:p>
      <w:pPr>
        <w:snapToGrid w:val="0"/>
        <w:spacing w:after="156" w:afterLines="50"/>
        <w:rPr>
          <w:rFonts w:ascii="Arial" w:hAnsi="Arial" w:cs="Arial"/>
          <w:szCs w:val="21"/>
        </w:rPr>
      </w:pPr>
    </w:p>
    <w:p>
      <w:pPr>
        <w:snapToGrid w:val="0"/>
        <w:spacing w:after="156" w:afterLines="50"/>
        <w:rPr>
          <w:rFonts w:ascii="Arial" w:hAnsi="Arial" w:cs="Arial"/>
          <w:b/>
          <w:color w:val="000000"/>
          <w:szCs w:val="21"/>
        </w:rPr>
      </w:pPr>
      <w:r>
        <w:rPr>
          <w:rFonts w:ascii="Arial" w:hAnsi="Arial" w:cs="Arial"/>
          <w:b/>
          <w:color w:val="000000"/>
          <w:szCs w:val="21"/>
        </w:rPr>
        <w:t>7</w:t>
      </w:r>
      <w:r>
        <w:rPr>
          <w:rFonts w:hint="eastAsia" w:ascii="Arial" w:hAnsi="Arial" w:cs="Arial"/>
          <w:b/>
          <w:color w:val="000000"/>
          <w:szCs w:val="21"/>
        </w:rPr>
        <w:t>4</w:t>
      </w:r>
      <w:r>
        <w:rPr>
          <w:rFonts w:ascii="Arial" w:hAnsi="Arial" w:cs="Arial"/>
          <w:b/>
          <w:color w:val="000000"/>
          <w:szCs w:val="21"/>
        </w:rPr>
        <w:t xml:space="preserve">）地域调整特别条款 </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经双方同意，本保险合同项下保险财产因遭受一次或多次地震、暴风、暴雨、台风、洪水时，保险人同意对所致的半径为100公里的圆形地域范围内的保险财产损失按一次单独事件进行赔偿处理，并因此按一次事故扣除规定的免赔额。被保险人可自行决定圆形区域的划分方式和包括地域，但若在相邻数个圆形区域范围内发生损失，任何两个或两个以上圆形区域范围不得重叠。</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但本条款与时间调整条款中一次事故的划分出现交叉时，保险人可同时按本条款及时间调整条款的规定重复扣除免赔，但无论单独采取或同时使用何种标准，免赔扣除最多以五个为限。</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本附加条款与主条款内容相悖之处，以本附加条款为准；未尽之处，以主条款为准。</w:t>
      </w:r>
    </w:p>
    <w:p>
      <w:pPr>
        <w:snapToGrid w:val="0"/>
        <w:spacing w:after="156" w:afterLines="50"/>
        <w:rPr>
          <w:rFonts w:ascii="Arial" w:hAnsi="Arial" w:cs="Arial"/>
          <w:szCs w:val="21"/>
        </w:rPr>
      </w:pPr>
    </w:p>
    <w:p>
      <w:pPr>
        <w:snapToGrid w:val="0"/>
        <w:spacing w:after="156" w:afterLines="50"/>
        <w:rPr>
          <w:rFonts w:ascii="Arial" w:hAnsi="Arial" w:cs="Arial"/>
          <w:b/>
          <w:color w:val="000000"/>
          <w:szCs w:val="21"/>
        </w:rPr>
      </w:pPr>
      <w:r>
        <w:rPr>
          <w:rFonts w:ascii="Arial" w:hAnsi="Arial" w:cs="Arial"/>
          <w:b/>
          <w:color w:val="000000"/>
          <w:szCs w:val="21"/>
        </w:rPr>
        <w:t>7</w:t>
      </w:r>
      <w:r>
        <w:rPr>
          <w:rFonts w:hint="eastAsia" w:ascii="Arial" w:hAnsi="Arial" w:cs="Arial"/>
          <w:b/>
          <w:color w:val="000000"/>
          <w:szCs w:val="21"/>
        </w:rPr>
        <w:t>5</w:t>
      </w:r>
      <w:r>
        <w:rPr>
          <w:rFonts w:ascii="Arial" w:hAnsi="Arial" w:cs="Arial"/>
          <w:b/>
          <w:color w:val="000000"/>
          <w:szCs w:val="21"/>
        </w:rPr>
        <w:t xml:space="preserve">）清理排水道费用条款（限额：损失金额的10％） </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对由于任何本保险合同应负责的损失导致被保险地点或其周围的排水沟、水槽、下水道及类似设施淤塞，本保险合同负责赔偿被保险人为清除、清扫或修理排水沟、水槽、下水道及类似设施而发生的费用，但保险人责任以每一事故及全期累计为损失金额的10%为限。</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本附加条款与主条款内容相悖之处，以本附加条款为准；未尽之处，以主条款为准。</w:t>
      </w:r>
    </w:p>
    <w:p>
      <w:pPr>
        <w:snapToGrid w:val="0"/>
        <w:spacing w:after="156" w:afterLines="50"/>
        <w:rPr>
          <w:rFonts w:ascii="Arial" w:hAnsi="Arial" w:cs="Arial"/>
          <w:szCs w:val="21"/>
        </w:rPr>
      </w:pPr>
    </w:p>
    <w:p>
      <w:pPr>
        <w:snapToGrid w:val="0"/>
        <w:spacing w:after="156" w:afterLines="50"/>
        <w:rPr>
          <w:rFonts w:ascii="Arial" w:hAnsi="Arial" w:cs="Arial"/>
          <w:b/>
          <w:color w:val="000000"/>
          <w:szCs w:val="21"/>
        </w:rPr>
      </w:pPr>
      <w:r>
        <w:rPr>
          <w:rFonts w:ascii="Arial" w:hAnsi="Arial" w:cs="Arial"/>
          <w:b/>
          <w:color w:val="000000"/>
          <w:szCs w:val="21"/>
        </w:rPr>
        <w:t>7</w:t>
      </w:r>
      <w:r>
        <w:rPr>
          <w:rFonts w:hint="eastAsia" w:ascii="Arial" w:hAnsi="Arial" w:cs="Arial"/>
          <w:b/>
          <w:color w:val="000000"/>
          <w:szCs w:val="21"/>
        </w:rPr>
        <w:t>6</w:t>
      </w:r>
      <w:r>
        <w:rPr>
          <w:rFonts w:ascii="Arial" w:hAnsi="Arial" w:cs="Arial"/>
          <w:b/>
          <w:color w:val="000000"/>
          <w:szCs w:val="21"/>
        </w:rPr>
        <w:t xml:space="preserve">）场外维修、保养及改造条款 </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经双方同意，在保险期限内，若被保险财产需要在投保地点以外的场地进行维修、保养或改造时，本保险合同扩展承保位于维修或改造地点的这部分被保险财产由于本保险合同保险责任所引起的损失。</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本附加条款与主条款内容相悖之处，以本附加条款为准；未尽之处，以主条款为准。</w:t>
      </w:r>
    </w:p>
    <w:p>
      <w:pPr>
        <w:rPr>
          <w:rFonts w:ascii="Arial" w:hAnsi="Arial" w:cs="Arial"/>
          <w:szCs w:val="21"/>
        </w:rPr>
      </w:pPr>
    </w:p>
    <w:p>
      <w:pPr>
        <w:rPr>
          <w:rFonts w:ascii="Arial" w:hAnsi="Arial" w:cs="Arial"/>
          <w:b/>
          <w:szCs w:val="21"/>
        </w:rPr>
      </w:pPr>
      <w:r>
        <w:rPr>
          <w:rFonts w:hint="eastAsia" w:ascii="Arial" w:hAnsi="Arial" w:cs="Arial"/>
          <w:b/>
          <w:szCs w:val="21"/>
        </w:rPr>
        <w:t>77）霉烂、受潮、烘焙风险扩展</w:t>
      </w:r>
    </w:p>
    <w:p>
      <w:pPr>
        <w:rPr>
          <w:rFonts w:ascii="Arial" w:hAnsi="Arial" w:cs="Arial"/>
          <w:szCs w:val="21"/>
        </w:rPr>
      </w:pPr>
      <w:r>
        <w:rPr>
          <w:rFonts w:hint="eastAsia" w:ascii="Arial" w:hAnsi="Arial" w:cs="Arial"/>
          <w:szCs w:val="21"/>
        </w:rPr>
        <w:tab/>
      </w:r>
      <w:r>
        <w:rPr>
          <w:rFonts w:hint="eastAsia" w:ascii="Arial" w:hAnsi="Arial" w:cs="Arial"/>
          <w:szCs w:val="21"/>
        </w:rPr>
        <w:t>兹经双方协商同意，本保险合同扩展承保因约定保险事故的发生造成保险标的受潮、霉变的贬值损失，或由于约定保险事故的发生造成正在烘焙中保险标的的损失和保险标的本身霉变而引发的自燃造成保险标的的损失。</w:t>
      </w:r>
    </w:p>
    <w:p>
      <w:pPr>
        <w:ind w:firstLine="420"/>
        <w:rPr>
          <w:rFonts w:ascii="Arial" w:hAnsi="Arial" w:cs="Arial"/>
          <w:szCs w:val="21"/>
        </w:rPr>
      </w:pPr>
      <w:r>
        <w:rPr>
          <w:rFonts w:hint="eastAsia" w:ascii="Arial" w:hAnsi="Arial" w:cs="Arial"/>
          <w:szCs w:val="21"/>
        </w:rPr>
        <w:t>本保险合同所载其他事项不变。</w:t>
      </w: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hint="eastAsia" w:ascii="宋体" w:eastAsia="宋体" w:cs="宋体"/>
          <w:b/>
          <w:kern w:val="0"/>
          <w:sz w:val="32"/>
          <w:szCs w:val="32"/>
        </w:rPr>
      </w:pPr>
    </w:p>
    <w:p>
      <w:pPr>
        <w:jc w:val="center"/>
        <w:rPr>
          <w:rFonts w:ascii="宋体" w:hAnsi="宋体"/>
          <w:b/>
          <w:bCs/>
          <w:sz w:val="32"/>
          <w:szCs w:val="32"/>
        </w:rPr>
      </w:pPr>
      <w:r>
        <w:rPr>
          <w:rFonts w:hint="eastAsia" w:ascii="宋体" w:hAnsi="宋体"/>
          <w:b/>
          <w:bCs/>
          <w:sz w:val="28"/>
          <w:szCs w:val="32"/>
        </w:rPr>
        <w:t>机器损坏险明细表</w:t>
      </w:r>
    </w:p>
    <w:p>
      <w:pPr>
        <w:jc w:val="center"/>
        <w:rPr>
          <w:rFonts w:ascii="宋体" w:hAnsi="宋体"/>
          <w:b/>
          <w:bCs/>
          <w:sz w:val="32"/>
          <w:szCs w:val="32"/>
        </w:rPr>
      </w:pPr>
    </w:p>
    <w:tbl>
      <w:tblPr>
        <w:tblStyle w:val="27"/>
        <w:tblW w:w="9180" w:type="dxa"/>
        <w:tblInd w:w="0" w:type="dxa"/>
        <w:tblLayout w:type="autofit"/>
        <w:tblCellMar>
          <w:top w:w="0" w:type="dxa"/>
          <w:left w:w="108" w:type="dxa"/>
          <w:bottom w:w="0" w:type="dxa"/>
          <w:right w:w="108" w:type="dxa"/>
        </w:tblCellMar>
      </w:tblPr>
      <w:tblGrid>
        <w:gridCol w:w="1384"/>
        <w:gridCol w:w="327"/>
        <w:gridCol w:w="7469"/>
      </w:tblGrid>
      <w:tr>
        <w:tblPrEx>
          <w:tblCellMar>
            <w:top w:w="0" w:type="dxa"/>
            <w:left w:w="108" w:type="dxa"/>
            <w:bottom w:w="0" w:type="dxa"/>
            <w:right w:w="108" w:type="dxa"/>
          </w:tblCellMar>
        </w:tblPrEx>
        <w:tc>
          <w:tcPr>
            <w:tcW w:w="1384" w:type="dxa"/>
          </w:tcPr>
          <w:p>
            <w:pPr>
              <w:rPr>
                <w:rFonts w:cs="Arial" w:asciiTheme="minorEastAsia" w:hAnsiTheme="minorEastAsia"/>
                <w:b/>
                <w:sz w:val="22"/>
              </w:rPr>
            </w:pPr>
            <w:r>
              <w:rPr>
                <w:rFonts w:cs="Arial" w:asciiTheme="minorEastAsia" w:hAnsiTheme="minorEastAsia"/>
                <w:b/>
                <w:sz w:val="22"/>
              </w:rPr>
              <w:t>被保险人</w:t>
            </w:r>
          </w:p>
        </w:tc>
        <w:tc>
          <w:tcPr>
            <w:tcW w:w="327" w:type="dxa"/>
          </w:tcPr>
          <w:p>
            <w:pPr>
              <w:rPr>
                <w:rFonts w:cs="Arial" w:asciiTheme="minorEastAsia" w:hAnsiTheme="minorEastAsia"/>
                <w:b/>
                <w:sz w:val="22"/>
              </w:rPr>
            </w:pPr>
            <w:r>
              <w:rPr>
                <w:rFonts w:cs="Arial" w:asciiTheme="minorEastAsia" w:hAnsiTheme="minorEastAsia"/>
                <w:b/>
                <w:sz w:val="22"/>
              </w:rPr>
              <w:t>:</w:t>
            </w:r>
          </w:p>
        </w:tc>
        <w:tc>
          <w:tcPr>
            <w:tcW w:w="7469" w:type="dxa"/>
          </w:tcPr>
          <w:p>
            <w:pPr>
              <w:rPr>
                <w:rFonts w:ascii="Arial" w:hAnsi="Arial" w:cs="Arial" w:eastAsiaTheme="minorEastAsia"/>
                <w:b/>
                <w:szCs w:val="21"/>
              </w:rPr>
            </w:pPr>
            <w:r>
              <w:rPr>
                <w:rFonts w:hint="eastAsia" w:ascii="Arial" w:hAnsi="Arial" w:cs="Arial" w:eastAsiaTheme="minorEastAsia"/>
                <w:b/>
                <w:szCs w:val="21"/>
              </w:rPr>
              <w:t>中粮屯河崇左糖业有限公司</w:t>
            </w:r>
          </w:p>
          <w:p>
            <w:pPr>
              <w:rPr>
                <w:rFonts w:ascii="Arial" w:hAnsi="Arial" w:cs="Arial" w:eastAsiaTheme="minorEastAsia"/>
                <w:b/>
                <w:szCs w:val="21"/>
              </w:rPr>
            </w:pPr>
            <w:r>
              <w:rPr>
                <w:rFonts w:hint="eastAsia" w:ascii="Arial" w:hAnsi="Arial" w:cs="Arial" w:eastAsiaTheme="minorEastAsia"/>
                <w:b/>
                <w:szCs w:val="21"/>
              </w:rPr>
              <w:t>中粮崇左江州糖业有限公司</w:t>
            </w:r>
          </w:p>
          <w:p>
            <w:pPr>
              <w:rPr>
                <w:rFonts w:ascii="Arial" w:hAnsi="Arial" w:cs="Arial" w:eastAsiaTheme="minorEastAsia"/>
                <w:b/>
                <w:szCs w:val="21"/>
              </w:rPr>
            </w:pPr>
            <w:r>
              <w:rPr>
                <w:rFonts w:hint="eastAsia" w:ascii="Arial" w:hAnsi="Arial" w:cs="Arial" w:eastAsiaTheme="minorEastAsia"/>
                <w:b/>
                <w:szCs w:val="21"/>
              </w:rPr>
              <w:t>中粮屯河北海糖业有限公司</w:t>
            </w:r>
          </w:p>
          <w:p>
            <w:pPr>
              <w:rPr>
                <w:rFonts w:ascii="Arial" w:hAnsi="Arial" w:cs="Arial" w:eastAsiaTheme="minorEastAsia"/>
                <w:b/>
                <w:szCs w:val="21"/>
              </w:rPr>
            </w:pPr>
            <w:r>
              <w:rPr>
                <w:rFonts w:hint="eastAsia" w:ascii="Arial" w:hAnsi="Arial" w:cs="Arial" w:eastAsiaTheme="minorEastAsia"/>
                <w:b/>
                <w:szCs w:val="21"/>
              </w:rPr>
              <w:t>中粮梁河糖业有限公司</w:t>
            </w:r>
          </w:p>
          <w:p>
            <w:pPr>
              <w:rPr>
                <w:rFonts w:ascii="Arial" w:hAnsi="Arial" w:cs="Arial" w:eastAsiaTheme="minorEastAsia"/>
                <w:b/>
                <w:szCs w:val="21"/>
              </w:rPr>
            </w:pPr>
            <w:r>
              <w:rPr>
                <w:rFonts w:hint="eastAsia" w:ascii="Arial" w:hAnsi="Arial" w:cs="Arial" w:eastAsiaTheme="minorEastAsia"/>
                <w:b/>
                <w:szCs w:val="21"/>
              </w:rPr>
              <w:t>英德市粤北糖业有限公司</w:t>
            </w:r>
          </w:p>
          <w:p>
            <w:pPr>
              <w:rPr>
                <w:rFonts w:ascii="Arial" w:hAnsi="Arial" w:cs="Arial" w:eastAsiaTheme="minorEastAsia"/>
                <w:b/>
                <w:szCs w:val="21"/>
              </w:rPr>
            </w:pPr>
            <w:r>
              <w:rPr>
                <w:rFonts w:hint="eastAsia" w:ascii="Arial" w:hAnsi="Arial" w:cs="Arial" w:eastAsiaTheme="minorEastAsia"/>
                <w:b/>
                <w:szCs w:val="21"/>
              </w:rPr>
              <w:t>广西益兴现代农业科技发展有限公司</w:t>
            </w:r>
          </w:p>
          <w:p>
            <w:pPr>
              <w:rPr>
                <w:rFonts w:cs="Arial" w:asciiTheme="minorEastAsia" w:hAnsiTheme="minorEastAsia"/>
                <w:sz w:val="22"/>
              </w:rPr>
            </w:pPr>
            <w:r>
              <w:rPr>
                <w:rFonts w:cs="Arial" w:asciiTheme="minorEastAsia" w:hAnsiTheme="minorEastAsia"/>
                <w:sz w:val="22"/>
              </w:rPr>
              <w:t>和/或其有相关权利和利益的附属公司和关联公司</w:t>
            </w:r>
          </w:p>
          <w:p>
            <w:pPr>
              <w:rPr>
                <w:rFonts w:cs="Arial" w:asciiTheme="minorEastAsia" w:hAnsiTheme="minorEastAsia"/>
                <w:sz w:val="22"/>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rPr>
            </w:pPr>
            <w:r>
              <w:rPr>
                <w:rFonts w:cs="Arial" w:asciiTheme="minorEastAsia" w:hAnsiTheme="minorEastAsia"/>
                <w:b/>
                <w:sz w:val="22"/>
              </w:rPr>
              <w:t>营业性质</w:t>
            </w:r>
          </w:p>
        </w:tc>
        <w:tc>
          <w:tcPr>
            <w:tcW w:w="327" w:type="dxa"/>
          </w:tcPr>
          <w:p>
            <w:pPr>
              <w:rPr>
                <w:rFonts w:cs="Arial" w:asciiTheme="minorEastAsia" w:hAnsiTheme="minorEastAsia"/>
                <w:b/>
                <w:sz w:val="22"/>
              </w:rPr>
            </w:pPr>
            <w:r>
              <w:rPr>
                <w:rFonts w:cs="Arial" w:asciiTheme="minorEastAsia" w:hAnsiTheme="minorEastAsia"/>
                <w:b/>
                <w:sz w:val="22"/>
              </w:rPr>
              <w:t>:</w:t>
            </w:r>
          </w:p>
        </w:tc>
        <w:tc>
          <w:tcPr>
            <w:tcW w:w="7469" w:type="dxa"/>
          </w:tcPr>
          <w:p>
            <w:pPr>
              <w:rPr>
                <w:rFonts w:cs="Arial" w:asciiTheme="minorEastAsia" w:hAnsiTheme="minorEastAsia"/>
                <w:sz w:val="22"/>
              </w:rPr>
            </w:pPr>
            <w:r>
              <w:rPr>
                <w:rFonts w:hint="eastAsia" w:cs="Arial" w:asciiTheme="minorEastAsia" w:hAnsiTheme="minorEastAsia"/>
                <w:sz w:val="22"/>
              </w:rPr>
              <w:t>食品制造</w:t>
            </w:r>
          </w:p>
          <w:p>
            <w:pPr>
              <w:rPr>
                <w:rFonts w:cs="Arial" w:asciiTheme="minorEastAsia" w:hAnsiTheme="minorEastAsia"/>
                <w:sz w:val="22"/>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rPr>
            </w:pPr>
            <w:r>
              <w:rPr>
                <w:rFonts w:hint="eastAsia" w:cs="Arial" w:asciiTheme="minorEastAsia" w:hAnsiTheme="minorEastAsia"/>
                <w:b/>
                <w:sz w:val="22"/>
              </w:rPr>
              <w:t>被保险</w:t>
            </w:r>
            <w:r>
              <w:rPr>
                <w:rFonts w:cs="Arial" w:asciiTheme="minorEastAsia" w:hAnsiTheme="minorEastAsia"/>
                <w:b/>
                <w:sz w:val="22"/>
              </w:rPr>
              <w:t>地址</w:t>
            </w:r>
          </w:p>
        </w:tc>
        <w:tc>
          <w:tcPr>
            <w:tcW w:w="327" w:type="dxa"/>
          </w:tcPr>
          <w:p>
            <w:pPr>
              <w:rPr>
                <w:rFonts w:cs="Arial" w:asciiTheme="minorEastAsia" w:hAnsiTheme="minorEastAsia"/>
                <w:b/>
                <w:sz w:val="22"/>
              </w:rPr>
            </w:pPr>
            <w:r>
              <w:rPr>
                <w:rFonts w:cs="Arial" w:asciiTheme="minorEastAsia" w:hAnsiTheme="minorEastAsia"/>
                <w:b/>
                <w:sz w:val="22"/>
              </w:rPr>
              <w:t>:</w:t>
            </w:r>
          </w:p>
        </w:tc>
        <w:tc>
          <w:tcPr>
            <w:tcW w:w="7469" w:type="dxa"/>
          </w:tcPr>
          <w:p>
            <w:pPr>
              <w:rPr>
                <w:rFonts w:ascii="Arial" w:hAnsi="Arial" w:cs="Arial" w:eastAsiaTheme="minorEastAsia"/>
                <w:b/>
                <w:szCs w:val="21"/>
              </w:rPr>
            </w:pPr>
            <w:r>
              <w:rPr>
                <w:rFonts w:cs="Arial" w:asciiTheme="minorEastAsia" w:hAnsiTheme="minorEastAsia"/>
                <w:sz w:val="22"/>
              </w:rPr>
              <w:t>任何中国境内被保险人拥有、占有、管理的或使用的场所/地点，无论这些场所/地点在本保单生效前或者之后启用，和全国各分支机构及中转仓所在地。包括但不限于：</w:t>
            </w:r>
            <w:r>
              <w:rPr>
                <w:rFonts w:hint="eastAsia" w:ascii="Arial" w:hAnsi="Arial" w:cs="Arial" w:eastAsiaTheme="minorEastAsia"/>
                <w:b/>
                <w:szCs w:val="21"/>
              </w:rPr>
              <w:t>详细地址以附件</w:t>
            </w:r>
            <w:r>
              <w:rPr>
                <w:rFonts w:hint="eastAsia" w:ascii="Arial" w:hAnsi="Arial" w:cs="Arial" w:eastAsiaTheme="minorEastAsia"/>
                <w:b/>
                <w:szCs w:val="21"/>
                <w:highlight w:val="yellow"/>
              </w:rPr>
              <w:t>“投保信息汇总表”</w:t>
            </w:r>
            <w:r>
              <w:rPr>
                <w:rFonts w:hint="eastAsia" w:ascii="Arial" w:hAnsi="Arial" w:cs="Arial" w:eastAsiaTheme="minorEastAsia"/>
                <w:b/>
                <w:szCs w:val="21"/>
              </w:rPr>
              <w:t>为准</w:t>
            </w:r>
          </w:p>
          <w:p>
            <w:pPr>
              <w:rPr>
                <w:rFonts w:cs="Arial" w:asciiTheme="minorEastAsia" w:hAnsiTheme="minorEastAsia"/>
                <w:sz w:val="22"/>
              </w:rPr>
            </w:pPr>
          </w:p>
          <w:p>
            <w:pPr>
              <w:pStyle w:val="47"/>
              <w:numPr>
                <w:ilvl w:val="0"/>
                <w:numId w:val="9"/>
              </w:numPr>
              <w:rPr>
                <w:rFonts w:cs="Arial" w:asciiTheme="minorEastAsia" w:hAnsiTheme="minorEastAsia" w:eastAsiaTheme="minorEastAsia"/>
                <w:sz w:val="22"/>
                <w:szCs w:val="22"/>
              </w:rPr>
            </w:pPr>
            <w:r>
              <w:rPr>
                <w:rFonts w:hint="eastAsia" w:cs="Arial" w:asciiTheme="minorEastAsia" w:hAnsiTheme="minorEastAsia" w:eastAsiaTheme="minorEastAsia"/>
                <w:sz w:val="22"/>
                <w:szCs w:val="22"/>
              </w:rPr>
              <w:t>外仓地址：</w:t>
            </w:r>
          </w:p>
          <w:tbl>
            <w:tblPr>
              <w:tblStyle w:val="28"/>
              <w:tblW w:w="721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6"/>
              <w:gridCol w:w="3964"/>
              <w:gridCol w:w="2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trPr>
              <w:tc>
                <w:tcPr>
                  <w:tcW w:w="416" w:type="dxa"/>
                  <w:vAlign w:val="center"/>
                </w:tcPr>
                <w:p>
                  <w:pPr>
                    <w:rPr>
                      <w:rFonts w:cs="Times New Roman" w:asciiTheme="minorEastAsia" w:hAnsiTheme="minorEastAsia" w:eastAsiaTheme="minorEastAsia"/>
                      <w:kern w:val="0"/>
                      <w:sz w:val="21"/>
                      <w:szCs w:val="21"/>
                    </w:rPr>
                  </w:pPr>
                </w:p>
              </w:tc>
              <w:tc>
                <w:tcPr>
                  <w:tcW w:w="3964" w:type="dxa"/>
                  <w:vAlign w:val="center"/>
                </w:tcPr>
                <w:p>
                  <w:pPr>
                    <w:rPr>
                      <w:rFonts w:cs="Times New Roman" w:asciiTheme="minorEastAsia" w:hAnsiTheme="minorEastAsia" w:eastAsiaTheme="minorEastAsia"/>
                      <w:kern w:val="0"/>
                      <w:sz w:val="21"/>
                      <w:szCs w:val="21"/>
                    </w:rPr>
                  </w:pPr>
                </w:p>
              </w:tc>
              <w:tc>
                <w:tcPr>
                  <w:tcW w:w="2835" w:type="dxa"/>
                  <w:vAlign w:val="center"/>
                </w:tcPr>
                <w:p>
                  <w:pPr>
                    <w:rPr>
                      <w:rFonts w:cs="Times New Roman" w:asciiTheme="minorEastAsia" w:hAnsiTheme="minorEastAsia" w:eastAsiaTheme="minorEastAsia"/>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16" w:type="dxa"/>
                  <w:vAlign w:val="center"/>
                </w:tcPr>
                <w:p>
                  <w:pPr>
                    <w:jc w:val="center"/>
                    <w:rPr>
                      <w:rFonts w:cs="Times New Roman" w:asciiTheme="minorEastAsia" w:hAnsiTheme="minorEastAsia" w:eastAsiaTheme="minorEastAsia"/>
                      <w:kern w:val="0"/>
                      <w:sz w:val="21"/>
                      <w:szCs w:val="21"/>
                    </w:rPr>
                  </w:pPr>
                </w:p>
              </w:tc>
              <w:tc>
                <w:tcPr>
                  <w:tcW w:w="3964" w:type="dxa"/>
                  <w:vAlign w:val="center"/>
                </w:tcPr>
                <w:p>
                  <w:pPr>
                    <w:rPr>
                      <w:rFonts w:cs="Times New Roman" w:asciiTheme="minorEastAsia" w:hAnsiTheme="minorEastAsia" w:eastAsiaTheme="minorEastAsia"/>
                      <w:kern w:val="0"/>
                      <w:sz w:val="21"/>
                      <w:szCs w:val="21"/>
                    </w:rPr>
                  </w:pPr>
                </w:p>
              </w:tc>
              <w:tc>
                <w:tcPr>
                  <w:tcW w:w="2835" w:type="dxa"/>
                  <w:vAlign w:val="center"/>
                </w:tcPr>
                <w:p>
                  <w:pPr>
                    <w:rPr>
                      <w:rFonts w:cs="Times New Roman" w:asciiTheme="minorEastAsia" w:hAnsiTheme="minorEastAsia" w:eastAsiaTheme="minorEastAsia"/>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16" w:type="dxa"/>
                  <w:vAlign w:val="center"/>
                </w:tcPr>
                <w:p>
                  <w:pPr>
                    <w:jc w:val="center"/>
                    <w:rPr>
                      <w:rFonts w:cs="Times New Roman" w:asciiTheme="minorEastAsia" w:hAnsiTheme="minorEastAsia" w:eastAsiaTheme="minorEastAsia"/>
                      <w:kern w:val="0"/>
                      <w:sz w:val="21"/>
                      <w:szCs w:val="21"/>
                    </w:rPr>
                  </w:pPr>
                </w:p>
              </w:tc>
              <w:tc>
                <w:tcPr>
                  <w:tcW w:w="3964" w:type="dxa"/>
                  <w:vAlign w:val="center"/>
                </w:tcPr>
                <w:p>
                  <w:pPr>
                    <w:rPr>
                      <w:rFonts w:cs="Times New Roman" w:asciiTheme="minorEastAsia" w:hAnsiTheme="minorEastAsia" w:eastAsiaTheme="minorEastAsia"/>
                      <w:kern w:val="0"/>
                      <w:sz w:val="21"/>
                      <w:szCs w:val="21"/>
                    </w:rPr>
                  </w:pPr>
                </w:p>
              </w:tc>
              <w:tc>
                <w:tcPr>
                  <w:tcW w:w="2835" w:type="dxa"/>
                  <w:vAlign w:val="center"/>
                </w:tcPr>
                <w:p>
                  <w:pPr>
                    <w:rPr>
                      <w:rFonts w:cs="Times New Roman" w:asciiTheme="minorEastAsia" w:hAnsiTheme="minorEastAsia" w:eastAsiaTheme="minorEastAsia"/>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16" w:type="dxa"/>
                  <w:vAlign w:val="center"/>
                </w:tcPr>
                <w:p>
                  <w:pPr>
                    <w:jc w:val="center"/>
                    <w:rPr>
                      <w:rFonts w:cs="Times New Roman" w:asciiTheme="minorEastAsia" w:hAnsiTheme="minorEastAsia" w:eastAsiaTheme="minorEastAsia"/>
                      <w:kern w:val="0"/>
                      <w:sz w:val="21"/>
                      <w:szCs w:val="21"/>
                    </w:rPr>
                  </w:pPr>
                </w:p>
              </w:tc>
              <w:tc>
                <w:tcPr>
                  <w:tcW w:w="3964" w:type="dxa"/>
                  <w:vAlign w:val="center"/>
                </w:tcPr>
                <w:p>
                  <w:pPr>
                    <w:rPr>
                      <w:rFonts w:cs="Times New Roman" w:asciiTheme="minorEastAsia" w:hAnsiTheme="minorEastAsia" w:eastAsiaTheme="minorEastAsia"/>
                      <w:kern w:val="0"/>
                      <w:sz w:val="21"/>
                      <w:szCs w:val="21"/>
                    </w:rPr>
                  </w:pPr>
                </w:p>
              </w:tc>
              <w:tc>
                <w:tcPr>
                  <w:tcW w:w="2835" w:type="dxa"/>
                  <w:vAlign w:val="center"/>
                </w:tcPr>
                <w:p>
                  <w:pPr>
                    <w:rPr>
                      <w:rFonts w:cs="Times New Roman" w:asciiTheme="minorEastAsia" w:hAnsiTheme="minorEastAsia" w:eastAsiaTheme="minorEastAsia"/>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16" w:type="dxa"/>
                  <w:vAlign w:val="center"/>
                </w:tcPr>
                <w:p>
                  <w:pPr>
                    <w:jc w:val="center"/>
                    <w:rPr>
                      <w:rFonts w:cs="Times New Roman" w:asciiTheme="minorEastAsia" w:hAnsiTheme="minorEastAsia" w:eastAsiaTheme="minorEastAsia"/>
                      <w:kern w:val="0"/>
                      <w:sz w:val="21"/>
                      <w:szCs w:val="21"/>
                    </w:rPr>
                  </w:pPr>
                </w:p>
              </w:tc>
              <w:tc>
                <w:tcPr>
                  <w:tcW w:w="3964" w:type="dxa"/>
                  <w:vAlign w:val="center"/>
                </w:tcPr>
                <w:p>
                  <w:pPr>
                    <w:rPr>
                      <w:rFonts w:cs="Times New Roman" w:asciiTheme="minorEastAsia" w:hAnsiTheme="minorEastAsia" w:eastAsiaTheme="minorEastAsia"/>
                      <w:kern w:val="0"/>
                      <w:sz w:val="21"/>
                      <w:szCs w:val="21"/>
                    </w:rPr>
                  </w:pPr>
                </w:p>
              </w:tc>
              <w:tc>
                <w:tcPr>
                  <w:tcW w:w="2835" w:type="dxa"/>
                  <w:vAlign w:val="center"/>
                </w:tcPr>
                <w:p>
                  <w:pPr>
                    <w:rPr>
                      <w:rFonts w:cs="Times New Roman" w:asciiTheme="minorEastAsia" w:hAnsiTheme="minorEastAsia" w:eastAsiaTheme="minorEastAsia"/>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16" w:type="dxa"/>
                  <w:vAlign w:val="center"/>
                </w:tcPr>
                <w:p>
                  <w:pPr>
                    <w:jc w:val="center"/>
                    <w:rPr>
                      <w:rFonts w:cs="Times New Roman" w:asciiTheme="minorEastAsia" w:hAnsiTheme="minorEastAsia" w:eastAsiaTheme="minorEastAsia"/>
                      <w:kern w:val="0"/>
                      <w:sz w:val="21"/>
                      <w:szCs w:val="21"/>
                    </w:rPr>
                  </w:pPr>
                </w:p>
              </w:tc>
              <w:tc>
                <w:tcPr>
                  <w:tcW w:w="3964" w:type="dxa"/>
                  <w:vAlign w:val="center"/>
                </w:tcPr>
                <w:p>
                  <w:pPr>
                    <w:rPr>
                      <w:rFonts w:cs="Times New Roman" w:asciiTheme="minorEastAsia" w:hAnsiTheme="minorEastAsia" w:eastAsiaTheme="minorEastAsia"/>
                      <w:kern w:val="0"/>
                      <w:sz w:val="21"/>
                      <w:szCs w:val="21"/>
                    </w:rPr>
                  </w:pPr>
                </w:p>
              </w:tc>
              <w:tc>
                <w:tcPr>
                  <w:tcW w:w="2835" w:type="dxa"/>
                  <w:vAlign w:val="center"/>
                </w:tcPr>
                <w:p>
                  <w:pPr>
                    <w:pStyle w:val="105"/>
                    <w:jc w:val="both"/>
                    <w:rPr>
                      <w:rFonts w:cs="Times New Roman" w:asciiTheme="minorEastAsia" w:hAnsiTheme="minorEastAsia" w:eastAsiaTheme="minor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16" w:type="dxa"/>
                  <w:vAlign w:val="center"/>
                </w:tcPr>
                <w:p>
                  <w:pPr>
                    <w:jc w:val="center"/>
                    <w:rPr>
                      <w:rFonts w:cs="Times New Roman" w:asciiTheme="minorEastAsia" w:hAnsiTheme="minorEastAsia" w:eastAsiaTheme="minorEastAsia"/>
                      <w:kern w:val="0"/>
                      <w:sz w:val="21"/>
                      <w:szCs w:val="21"/>
                    </w:rPr>
                  </w:pPr>
                </w:p>
              </w:tc>
              <w:tc>
                <w:tcPr>
                  <w:tcW w:w="3964" w:type="dxa"/>
                  <w:vAlign w:val="center"/>
                </w:tcPr>
                <w:p>
                  <w:pPr>
                    <w:rPr>
                      <w:rFonts w:cs="Times New Roman" w:asciiTheme="minorEastAsia" w:hAnsiTheme="minorEastAsia" w:eastAsiaTheme="minorEastAsia"/>
                      <w:kern w:val="0"/>
                      <w:sz w:val="21"/>
                      <w:szCs w:val="21"/>
                    </w:rPr>
                  </w:pPr>
                </w:p>
              </w:tc>
              <w:tc>
                <w:tcPr>
                  <w:tcW w:w="2835" w:type="dxa"/>
                  <w:vAlign w:val="center"/>
                </w:tcPr>
                <w:p>
                  <w:pPr>
                    <w:rPr>
                      <w:rFonts w:cs="Times New Roman" w:asciiTheme="minorEastAsia" w:hAnsiTheme="minorEastAsia" w:eastAsiaTheme="minorEastAsia"/>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16" w:type="dxa"/>
                  <w:vAlign w:val="center"/>
                </w:tcPr>
                <w:p>
                  <w:pPr>
                    <w:jc w:val="center"/>
                    <w:rPr>
                      <w:rFonts w:cs="Times New Roman" w:asciiTheme="minorEastAsia" w:hAnsiTheme="minorEastAsia" w:eastAsiaTheme="minorEastAsia"/>
                      <w:kern w:val="0"/>
                      <w:sz w:val="21"/>
                      <w:szCs w:val="21"/>
                    </w:rPr>
                  </w:pPr>
                </w:p>
              </w:tc>
              <w:tc>
                <w:tcPr>
                  <w:tcW w:w="3964" w:type="dxa"/>
                  <w:vAlign w:val="center"/>
                </w:tcPr>
                <w:p>
                  <w:pPr>
                    <w:rPr>
                      <w:rFonts w:cs="Times New Roman" w:asciiTheme="minorEastAsia" w:hAnsiTheme="minorEastAsia" w:eastAsiaTheme="minorEastAsia"/>
                      <w:kern w:val="0"/>
                      <w:sz w:val="21"/>
                      <w:szCs w:val="21"/>
                    </w:rPr>
                  </w:pPr>
                </w:p>
              </w:tc>
              <w:tc>
                <w:tcPr>
                  <w:tcW w:w="2835" w:type="dxa"/>
                  <w:vAlign w:val="center"/>
                </w:tcPr>
                <w:p>
                  <w:pPr>
                    <w:rPr>
                      <w:rFonts w:cs="Times New Roman" w:asciiTheme="minorEastAsia" w:hAnsiTheme="minorEastAsia" w:eastAsiaTheme="minorEastAsia"/>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16" w:type="dxa"/>
                  <w:vAlign w:val="center"/>
                </w:tcPr>
                <w:p>
                  <w:pPr>
                    <w:jc w:val="center"/>
                    <w:rPr>
                      <w:rFonts w:cs="Times New Roman" w:asciiTheme="minorEastAsia" w:hAnsiTheme="minorEastAsia" w:eastAsiaTheme="minorEastAsia"/>
                      <w:kern w:val="0"/>
                      <w:sz w:val="21"/>
                      <w:szCs w:val="21"/>
                    </w:rPr>
                  </w:pPr>
                </w:p>
              </w:tc>
              <w:tc>
                <w:tcPr>
                  <w:tcW w:w="3964" w:type="dxa"/>
                  <w:vAlign w:val="center"/>
                </w:tcPr>
                <w:p>
                  <w:pPr>
                    <w:rPr>
                      <w:rFonts w:cs="Times New Roman" w:asciiTheme="minorEastAsia" w:hAnsiTheme="minorEastAsia" w:eastAsiaTheme="minorEastAsia"/>
                      <w:kern w:val="0"/>
                      <w:sz w:val="21"/>
                      <w:szCs w:val="21"/>
                    </w:rPr>
                  </w:pPr>
                </w:p>
              </w:tc>
              <w:tc>
                <w:tcPr>
                  <w:tcW w:w="2835" w:type="dxa"/>
                  <w:vAlign w:val="center"/>
                </w:tcPr>
                <w:p>
                  <w:pPr>
                    <w:rPr>
                      <w:rFonts w:cs="Times New Roman" w:asciiTheme="minorEastAsia" w:hAnsiTheme="minorEastAsia" w:eastAsiaTheme="minorEastAsia"/>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trPr>
              <w:tc>
                <w:tcPr>
                  <w:tcW w:w="416" w:type="dxa"/>
                  <w:vAlign w:val="center"/>
                </w:tcPr>
                <w:p>
                  <w:pPr>
                    <w:jc w:val="center"/>
                    <w:rPr>
                      <w:rFonts w:eastAsia="宋体" w:cs="宋体" w:asciiTheme="minorEastAsia" w:hAnsiTheme="minorEastAsia"/>
                      <w:b/>
                      <w:bCs/>
                      <w:color w:val="000000"/>
                      <w:kern w:val="0"/>
                      <w:sz w:val="20"/>
                      <w:szCs w:val="21"/>
                    </w:rPr>
                  </w:pPr>
                </w:p>
              </w:tc>
              <w:tc>
                <w:tcPr>
                  <w:tcW w:w="3964" w:type="dxa"/>
                  <w:vAlign w:val="center"/>
                </w:tcPr>
                <w:p>
                  <w:pPr>
                    <w:rPr>
                      <w:rFonts w:cs="宋体" w:asciiTheme="minorEastAsia" w:hAnsiTheme="minorEastAsia" w:eastAsiaTheme="minorEastAsia"/>
                      <w:color w:val="000000"/>
                      <w:kern w:val="0"/>
                      <w:sz w:val="21"/>
                      <w:szCs w:val="21"/>
                    </w:rPr>
                  </w:pPr>
                </w:p>
              </w:tc>
              <w:tc>
                <w:tcPr>
                  <w:tcW w:w="2835" w:type="dxa"/>
                  <w:vAlign w:val="center"/>
                </w:tcPr>
                <w:p>
                  <w:pPr>
                    <w:rPr>
                      <w:rFonts w:cs="宋体" w:asciiTheme="minorEastAsia" w:hAnsiTheme="minorEastAsia" w:eastAsiaTheme="minorEastAsia"/>
                      <w:color w:val="000000"/>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trPr>
              <w:tc>
                <w:tcPr>
                  <w:tcW w:w="416" w:type="dxa"/>
                  <w:vAlign w:val="center"/>
                </w:tcPr>
                <w:p>
                  <w:pPr>
                    <w:jc w:val="center"/>
                    <w:rPr>
                      <w:rFonts w:eastAsia="宋体" w:cs="宋体" w:asciiTheme="minorEastAsia" w:hAnsiTheme="minorEastAsia"/>
                      <w:b/>
                      <w:bCs/>
                      <w:color w:val="000000"/>
                      <w:kern w:val="0"/>
                      <w:sz w:val="20"/>
                      <w:szCs w:val="21"/>
                    </w:rPr>
                  </w:pPr>
                </w:p>
              </w:tc>
              <w:tc>
                <w:tcPr>
                  <w:tcW w:w="3964" w:type="dxa"/>
                  <w:vAlign w:val="center"/>
                </w:tcPr>
                <w:p>
                  <w:pPr>
                    <w:rPr>
                      <w:rFonts w:cs="宋体" w:asciiTheme="minorEastAsia" w:hAnsiTheme="minorEastAsia" w:eastAsiaTheme="minorEastAsia"/>
                      <w:color w:val="000000"/>
                      <w:kern w:val="0"/>
                      <w:sz w:val="21"/>
                      <w:szCs w:val="21"/>
                    </w:rPr>
                  </w:pPr>
                </w:p>
              </w:tc>
              <w:tc>
                <w:tcPr>
                  <w:tcW w:w="2835" w:type="dxa"/>
                  <w:vAlign w:val="center"/>
                </w:tcPr>
                <w:p>
                  <w:pPr>
                    <w:rPr>
                      <w:rFonts w:cs="宋体" w:asciiTheme="minorEastAsia" w:hAnsiTheme="minorEastAsia" w:eastAsiaTheme="minorEastAsia"/>
                      <w:color w:val="000000"/>
                      <w:kern w:val="0"/>
                      <w:sz w:val="21"/>
                      <w:szCs w:val="21"/>
                    </w:rPr>
                  </w:pPr>
                </w:p>
              </w:tc>
            </w:tr>
          </w:tbl>
          <w:p>
            <w:pPr>
              <w:rPr>
                <w:rFonts w:cs="Arial" w:asciiTheme="minorEastAsia" w:hAnsiTheme="minorEastAsia"/>
                <w:sz w:val="22"/>
              </w:rPr>
            </w:pPr>
          </w:p>
        </w:tc>
      </w:tr>
      <w:tr>
        <w:tblPrEx>
          <w:tblCellMar>
            <w:top w:w="0" w:type="dxa"/>
            <w:left w:w="108" w:type="dxa"/>
            <w:bottom w:w="0" w:type="dxa"/>
            <w:right w:w="108" w:type="dxa"/>
          </w:tblCellMar>
        </w:tblPrEx>
        <w:tc>
          <w:tcPr>
            <w:tcW w:w="1384" w:type="dxa"/>
          </w:tcPr>
          <w:p>
            <w:pPr>
              <w:rPr>
                <w:rFonts w:ascii="Arial" w:hAnsi="Arial" w:cs="Arial"/>
                <w:b/>
                <w:szCs w:val="21"/>
              </w:rPr>
            </w:pPr>
          </w:p>
        </w:tc>
        <w:tc>
          <w:tcPr>
            <w:tcW w:w="327" w:type="dxa"/>
          </w:tcPr>
          <w:p>
            <w:pPr>
              <w:rPr>
                <w:rFonts w:ascii="Arial" w:hAnsi="Arial" w:cs="Arial"/>
                <w:b/>
                <w:szCs w:val="21"/>
              </w:rPr>
            </w:pPr>
          </w:p>
        </w:tc>
        <w:tc>
          <w:tcPr>
            <w:tcW w:w="7469" w:type="dxa"/>
          </w:tcPr>
          <w:p>
            <w:pPr>
              <w:rPr>
                <w:rFonts w:ascii="Arial" w:hAnsi="Arial" w:cs="Arial"/>
                <w:szCs w:val="21"/>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szCs w:val="21"/>
              </w:rPr>
            </w:pPr>
            <w:r>
              <w:rPr>
                <w:rFonts w:cs="Arial" w:asciiTheme="minorEastAsia" w:hAnsiTheme="minorEastAsia"/>
                <w:b/>
                <w:sz w:val="22"/>
                <w:szCs w:val="21"/>
              </w:rPr>
              <w:t>保单司法</w:t>
            </w:r>
          </w:p>
          <w:p>
            <w:pPr>
              <w:rPr>
                <w:rFonts w:cs="Arial" w:asciiTheme="minorEastAsia" w:hAnsiTheme="minorEastAsia"/>
                <w:b/>
                <w:sz w:val="22"/>
                <w:szCs w:val="21"/>
              </w:rPr>
            </w:pPr>
            <w:r>
              <w:rPr>
                <w:rFonts w:cs="Arial" w:asciiTheme="minorEastAsia" w:hAnsiTheme="minorEastAsia"/>
                <w:b/>
                <w:sz w:val="22"/>
                <w:szCs w:val="21"/>
              </w:rPr>
              <w:t>管辖</w:t>
            </w:r>
          </w:p>
        </w:tc>
        <w:tc>
          <w:tcPr>
            <w:tcW w:w="327" w:type="dxa"/>
          </w:tcPr>
          <w:p>
            <w:pPr>
              <w:rPr>
                <w:rFonts w:cs="Arial" w:asciiTheme="minorEastAsia" w:hAnsiTheme="minorEastAsia"/>
                <w:b/>
                <w:sz w:val="22"/>
                <w:szCs w:val="21"/>
              </w:rPr>
            </w:pPr>
            <w:r>
              <w:rPr>
                <w:rFonts w:cs="Arial" w:asciiTheme="minorEastAsia" w:hAnsiTheme="minorEastAsia"/>
                <w:b/>
                <w:sz w:val="22"/>
                <w:szCs w:val="21"/>
              </w:rPr>
              <w:t>:</w:t>
            </w:r>
          </w:p>
        </w:tc>
        <w:tc>
          <w:tcPr>
            <w:tcW w:w="7469" w:type="dxa"/>
          </w:tcPr>
          <w:p>
            <w:pPr>
              <w:rPr>
                <w:rFonts w:cs="Arial" w:asciiTheme="minorEastAsia" w:hAnsiTheme="minorEastAsia"/>
                <w:sz w:val="22"/>
                <w:szCs w:val="21"/>
              </w:rPr>
            </w:pPr>
            <w:r>
              <w:rPr>
                <w:rFonts w:cs="Arial" w:asciiTheme="minorEastAsia" w:hAnsiTheme="minorEastAsia"/>
                <w:sz w:val="22"/>
                <w:szCs w:val="21"/>
              </w:rPr>
              <w:t>本保单受中国司法管辖（不包括港、澳、台地区）</w:t>
            </w:r>
          </w:p>
          <w:p>
            <w:pPr>
              <w:rPr>
                <w:rFonts w:cs="Arial" w:asciiTheme="minorEastAsia" w:hAnsiTheme="minorEastAsia"/>
                <w:sz w:val="22"/>
                <w:szCs w:val="21"/>
              </w:rPr>
            </w:pPr>
          </w:p>
          <w:p>
            <w:pPr>
              <w:rPr>
                <w:rFonts w:cs="Arial" w:asciiTheme="minorEastAsia" w:hAnsiTheme="minorEastAsia"/>
                <w:sz w:val="22"/>
                <w:szCs w:val="21"/>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szCs w:val="21"/>
              </w:rPr>
            </w:pPr>
            <w:r>
              <w:rPr>
                <w:rFonts w:cs="Arial" w:asciiTheme="minorEastAsia" w:hAnsiTheme="minorEastAsia"/>
                <w:b/>
                <w:sz w:val="22"/>
                <w:szCs w:val="21"/>
              </w:rPr>
              <w:t>适用条款</w:t>
            </w:r>
          </w:p>
        </w:tc>
        <w:tc>
          <w:tcPr>
            <w:tcW w:w="327" w:type="dxa"/>
          </w:tcPr>
          <w:p>
            <w:pPr>
              <w:rPr>
                <w:rFonts w:cs="Arial" w:asciiTheme="minorEastAsia" w:hAnsiTheme="minorEastAsia"/>
                <w:b/>
                <w:sz w:val="22"/>
                <w:szCs w:val="21"/>
              </w:rPr>
            </w:pPr>
            <w:r>
              <w:rPr>
                <w:rFonts w:cs="Arial" w:asciiTheme="minorEastAsia" w:hAnsiTheme="minorEastAsia"/>
                <w:b/>
                <w:sz w:val="22"/>
                <w:szCs w:val="21"/>
              </w:rPr>
              <w:t>:</w:t>
            </w:r>
          </w:p>
        </w:tc>
        <w:tc>
          <w:tcPr>
            <w:tcW w:w="7469" w:type="dxa"/>
          </w:tcPr>
          <w:p>
            <w:pPr>
              <w:ind w:left="-269" w:leftChars="-128" w:firstLine="281" w:firstLineChars="128"/>
              <w:rPr>
                <w:rFonts w:cs="Arial" w:asciiTheme="minorEastAsia" w:hAnsiTheme="minorEastAsia"/>
                <w:sz w:val="22"/>
                <w:szCs w:val="21"/>
              </w:rPr>
            </w:pPr>
            <w:r>
              <w:rPr>
                <w:rFonts w:cs="Arial" w:asciiTheme="minorEastAsia" w:hAnsiTheme="minorEastAsia"/>
                <w:sz w:val="22"/>
                <w:szCs w:val="21"/>
              </w:rPr>
              <w:t>机器损坏保险条款（2009版）及扩展条款</w:t>
            </w:r>
          </w:p>
          <w:p>
            <w:pPr>
              <w:rPr>
                <w:rFonts w:cs="Arial" w:asciiTheme="minorEastAsia" w:hAnsiTheme="minorEastAsia"/>
                <w:sz w:val="22"/>
                <w:szCs w:val="21"/>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szCs w:val="21"/>
              </w:rPr>
            </w:pPr>
            <w:r>
              <w:rPr>
                <w:rFonts w:cs="Arial" w:asciiTheme="minorEastAsia" w:hAnsiTheme="minorEastAsia"/>
                <w:b/>
                <w:sz w:val="22"/>
                <w:szCs w:val="21"/>
              </w:rPr>
              <w:t>保险期限</w:t>
            </w:r>
          </w:p>
        </w:tc>
        <w:tc>
          <w:tcPr>
            <w:tcW w:w="327" w:type="dxa"/>
          </w:tcPr>
          <w:p>
            <w:pPr>
              <w:rPr>
                <w:rFonts w:cs="Arial" w:asciiTheme="minorEastAsia" w:hAnsiTheme="minorEastAsia"/>
                <w:b/>
                <w:sz w:val="22"/>
                <w:szCs w:val="21"/>
              </w:rPr>
            </w:pPr>
            <w:r>
              <w:rPr>
                <w:rFonts w:cs="Arial" w:asciiTheme="minorEastAsia" w:hAnsiTheme="minorEastAsia"/>
                <w:b/>
                <w:sz w:val="22"/>
                <w:szCs w:val="21"/>
              </w:rPr>
              <w:t>:</w:t>
            </w:r>
          </w:p>
        </w:tc>
        <w:tc>
          <w:tcPr>
            <w:tcW w:w="7469" w:type="dxa"/>
          </w:tcPr>
          <w:p>
            <w:pPr>
              <w:pStyle w:val="105"/>
              <w:jc w:val="both"/>
              <w:rPr>
                <w:rFonts w:asciiTheme="minorEastAsia" w:hAnsiTheme="minorEastAsia"/>
                <w:sz w:val="22"/>
                <w:szCs w:val="21"/>
              </w:rPr>
            </w:pPr>
            <w:r>
              <w:rPr>
                <w:rFonts w:cs="Arial" w:asciiTheme="minorEastAsia" w:hAnsiTheme="minorEastAsia"/>
                <w:color w:val="auto"/>
                <w:kern w:val="2"/>
                <w:sz w:val="22"/>
                <w:szCs w:val="21"/>
              </w:rPr>
              <w:t>北京时间：自20</w:t>
            </w:r>
            <w:r>
              <w:rPr>
                <w:rFonts w:hint="eastAsia" w:cs="Arial" w:asciiTheme="minorEastAsia" w:hAnsiTheme="minorEastAsia"/>
                <w:color w:val="auto"/>
                <w:kern w:val="2"/>
                <w:sz w:val="22"/>
                <w:szCs w:val="21"/>
              </w:rPr>
              <w:t>2</w:t>
            </w:r>
            <w:r>
              <w:rPr>
                <w:rFonts w:hint="eastAsia" w:cs="Arial" w:asciiTheme="minorEastAsia" w:hAnsiTheme="minorEastAsia"/>
                <w:color w:val="auto"/>
                <w:kern w:val="2"/>
                <w:sz w:val="22"/>
                <w:szCs w:val="21"/>
                <w:lang w:val="en-US" w:eastAsia="zh-CN"/>
              </w:rPr>
              <w:t>3</w:t>
            </w:r>
            <w:r>
              <w:rPr>
                <w:rFonts w:cs="Arial" w:asciiTheme="minorEastAsia" w:hAnsiTheme="minorEastAsia"/>
                <w:color w:val="auto"/>
                <w:kern w:val="2"/>
                <w:sz w:val="22"/>
                <w:szCs w:val="21"/>
              </w:rPr>
              <w:t>年</w:t>
            </w:r>
            <w:r>
              <w:rPr>
                <w:rFonts w:hint="eastAsia" w:cs="Arial" w:asciiTheme="minorEastAsia" w:hAnsiTheme="minorEastAsia"/>
                <w:color w:val="auto"/>
                <w:kern w:val="2"/>
                <w:sz w:val="22"/>
                <w:szCs w:val="21"/>
              </w:rPr>
              <w:t>0</w:t>
            </w:r>
            <w:r>
              <w:rPr>
                <w:rFonts w:cs="Arial" w:asciiTheme="minorEastAsia" w:hAnsiTheme="minorEastAsia"/>
                <w:color w:val="auto"/>
                <w:kern w:val="2"/>
                <w:sz w:val="22"/>
                <w:szCs w:val="21"/>
              </w:rPr>
              <w:t>8月1日零时起至20</w:t>
            </w:r>
            <w:r>
              <w:rPr>
                <w:rFonts w:hint="eastAsia" w:cs="Arial" w:asciiTheme="minorEastAsia" w:hAnsiTheme="minorEastAsia"/>
                <w:color w:val="auto"/>
                <w:kern w:val="2"/>
                <w:sz w:val="22"/>
                <w:szCs w:val="21"/>
              </w:rPr>
              <w:t>2</w:t>
            </w:r>
            <w:r>
              <w:rPr>
                <w:rFonts w:hint="eastAsia" w:cs="Arial" w:asciiTheme="minorEastAsia" w:hAnsiTheme="minorEastAsia"/>
                <w:color w:val="auto"/>
                <w:kern w:val="2"/>
                <w:sz w:val="22"/>
                <w:szCs w:val="21"/>
                <w:lang w:val="en-US" w:eastAsia="zh-CN"/>
              </w:rPr>
              <w:t>4</w:t>
            </w:r>
            <w:r>
              <w:rPr>
                <w:rFonts w:cs="Arial" w:asciiTheme="minorEastAsia" w:hAnsiTheme="minorEastAsia"/>
                <w:color w:val="auto"/>
                <w:kern w:val="2"/>
                <w:sz w:val="22"/>
                <w:szCs w:val="21"/>
              </w:rPr>
              <w:t>年</w:t>
            </w:r>
            <w:r>
              <w:rPr>
                <w:rFonts w:hint="eastAsia" w:cs="Arial" w:asciiTheme="minorEastAsia" w:hAnsiTheme="minorEastAsia"/>
                <w:color w:val="auto"/>
                <w:kern w:val="2"/>
                <w:sz w:val="22"/>
                <w:szCs w:val="21"/>
              </w:rPr>
              <w:t>07</w:t>
            </w:r>
            <w:r>
              <w:rPr>
                <w:rFonts w:cs="Arial" w:asciiTheme="minorEastAsia" w:hAnsiTheme="minorEastAsia"/>
                <w:color w:val="auto"/>
                <w:kern w:val="2"/>
                <w:sz w:val="22"/>
                <w:szCs w:val="21"/>
              </w:rPr>
              <w:t>月</w:t>
            </w:r>
            <w:r>
              <w:rPr>
                <w:rFonts w:hint="eastAsia" w:cs="Arial" w:asciiTheme="minorEastAsia" w:hAnsiTheme="minorEastAsia"/>
                <w:color w:val="auto"/>
                <w:kern w:val="2"/>
                <w:sz w:val="22"/>
                <w:szCs w:val="21"/>
              </w:rPr>
              <w:t>31</w:t>
            </w:r>
            <w:r>
              <w:rPr>
                <w:rFonts w:cs="Arial" w:asciiTheme="minorEastAsia" w:hAnsiTheme="minorEastAsia"/>
                <w:color w:val="auto"/>
                <w:kern w:val="2"/>
                <w:sz w:val="22"/>
                <w:szCs w:val="21"/>
              </w:rPr>
              <w:t>日</w:t>
            </w:r>
            <w:r>
              <w:rPr>
                <w:rFonts w:hint="eastAsia" w:cs="Arial" w:asciiTheme="minorEastAsia" w:hAnsiTheme="minorEastAsia"/>
                <w:color w:val="auto"/>
                <w:kern w:val="2"/>
                <w:sz w:val="22"/>
                <w:szCs w:val="21"/>
              </w:rPr>
              <w:t>二十四</w:t>
            </w:r>
            <w:r>
              <w:rPr>
                <w:rFonts w:cs="Arial" w:asciiTheme="minorEastAsia" w:hAnsiTheme="minorEastAsia"/>
                <w:color w:val="auto"/>
                <w:kern w:val="2"/>
                <w:sz w:val="22"/>
                <w:szCs w:val="21"/>
              </w:rPr>
              <w:t>时止</w:t>
            </w:r>
          </w:p>
        </w:tc>
      </w:tr>
      <w:tr>
        <w:tblPrEx>
          <w:tblCellMar>
            <w:top w:w="0" w:type="dxa"/>
            <w:left w:w="108" w:type="dxa"/>
            <w:bottom w:w="0" w:type="dxa"/>
            <w:right w:w="108" w:type="dxa"/>
          </w:tblCellMar>
        </w:tblPrEx>
        <w:tc>
          <w:tcPr>
            <w:tcW w:w="1384" w:type="dxa"/>
          </w:tcPr>
          <w:p>
            <w:pPr>
              <w:rPr>
                <w:rFonts w:cs="Arial" w:asciiTheme="minorEastAsia" w:hAnsiTheme="minorEastAsia"/>
                <w:b/>
                <w:sz w:val="22"/>
                <w:szCs w:val="21"/>
              </w:rPr>
            </w:pPr>
          </w:p>
        </w:tc>
        <w:tc>
          <w:tcPr>
            <w:tcW w:w="327" w:type="dxa"/>
          </w:tcPr>
          <w:p>
            <w:pPr>
              <w:rPr>
                <w:rFonts w:cs="Arial" w:asciiTheme="minorEastAsia" w:hAnsiTheme="minorEastAsia"/>
                <w:b/>
                <w:sz w:val="22"/>
                <w:szCs w:val="21"/>
              </w:rPr>
            </w:pPr>
          </w:p>
        </w:tc>
        <w:tc>
          <w:tcPr>
            <w:tcW w:w="7469" w:type="dxa"/>
          </w:tcPr>
          <w:p>
            <w:pPr>
              <w:rPr>
                <w:rFonts w:cs="Arial" w:asciiTheme="minorEastAsia" w:hAnsiTheme="minorEastAsia"/>
                <w:sz w:val="22"/>
                <w:szCs w:val="21"/>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szCs w:val="21"/>
              </w:rPr>
            </w:pPr>
            <w:r>
              <w:rPr>
                <w:rFonts w:cs="Arial" w:asciiTheme="minorEastAsia" w:hAnsiTheme="minorEastAsia"/>
                <w:b/>
                <w:sz w:val="22"/>
                <w:szCs w:val="21"/>
              </w:rPr>
              <w:t>保险责任</w:t>
            </w:r>
          </w:p>
        </w:tc>
        <w:tc>
          <w:tcPr>
            <w:tcW w:w="327" w:type="dxa"/>
          </w:tcPr>
          <w:p>
            <w:pPr>
              <w:rPr>
                <w:rFonts w:cs="Arial" w:asciiTheme="minorEastAsia" w:hAnsiTheme="minorEastAsia"/>
                <w:b/>
                <w:sz w:val="22"/>
                <w:szCs w:val="21"/>
              </w:rPr>
            </w:pPr>
            <w:r>
              <w:rPr>
                <w:rFonts w:cs="Arial" w:asciiTheme="minorEastAsia" w:hAnsiTheme="minorEastAsia"/>
                <w:b/>
                <w:sz w:val="22"/>
                <w:szCs w:val="21"/>
              </w:rPr>
              <w:t>:</w:t>
            </w:r>
          </w:p>
        </w:tc>
        <w:tc>
          <w:tcPr>
            <w:tcW w:w="7469" w:type="dxa"/>
          </w:tcPr>
          <w:p>
            <w:pPr>
              <w:rPr>
                <w:rFonts w:cs="Arial" w:asciiTheme="minorEastAsia" w:hAnsiTheme="minorEastAsia"/>
                <w:sz w:val="22"/>
                <w:szCs w:val="21"/>
              </w:rPr>
            </w:pPr>
            <w:r>
              <w:rPr>
                <w:rFonts w:cs="Arial" w:asciiTheme="minorEastAsia" w:hAnsiTheme="minorEastAsia"/>
                <w:sz w:val="22"/>
                <w:szCs w:val="21"/>
              </w:rPr>
              <w:t>赔偿保单明细表中列明的被保险机器设备在保险期间内因任何保单免责范围以外的原因，包括电气或机械故障等，引起突然的、不可预料的意外事故造成的损坏，具体以保单条款为准</w:t>
            </w:r>
          </w:p>
          <w:p>
            <w:pPr>
              <w:rPr>
                <w:rFonts w:cs="Arial" w:asciiTheme="minorEastAsia" w:hAnsiTheme="minorEastAsia"/>
                <w:sz w:val="22"/>
                <w:szCs w:val="21"/>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rPr>
            </w:pPr>
            <w:r>
              <w:rPr>
                <w:rFonts w:cs="Arial" w:asciiTheme="minorEastAsia" w:hAnsiTheme="minorEastAsia"/>
                <w:b/>
                <w:sz w:val="22"/>
              </w:rPr>
              <w:t>保险标的</w:t>
            </w:r>
          </w:p>
        </w:tc>
        <w:tc>
          <w:tcPr>
            <w:tcW w:w="327" w:type="dxa"/>
          </w:tcPr>
          <w:p>
            <w:pPr>
              <w:rPr>
                <w:rFonts w:cs="Arial" w:asciiTheme="minorEastAsia" w:hAnsiTheme="minorEastAsia"/>
                <w:b/>
                <w:sz w:val="22"/>
              </w:rPr>
            </w:pPr>
            <w:r>
              <w:rPr>
                <w:rFonts w:cs="Arial" w:asciiTheme="minorEastAsia" w:hAnsiTheme="minorEastAsia"/>
                <w:b/>
                <w:sz w:val="22"/>
              </w:rPr>
              <w:t>:</w:t>
            </w:r>
          </w:p>
        </w:tc>
        <w:tc>
          <w:tcPr>
            <w:tcW w:w="7469" w:type="dxa"/>
          </w:tcPr>
          <w:p>
            <w:pPr>
              <w:rPr>
                <w:rFonts w:cs="Arial" w:asciiTheme="minorEastAsia" w:hAnsiTheme="minorEastAsia"/>
                <w:sz w:val="22"/>
              </w:rPr>
            </w:pPr>
            <w:r>
              <w:rPr>
                <w:rFonts w:cs="Arial" w:asciiTheme="minorEastAsia" w:hAnsiTheme="minorEastAsia"/>
                <w:sz w:val="22"/>
              </w:rPr>
              <w:t>被保险人所有，或租赁，或为其保管并应由被保险人负责（代保管）的机器设备，包括但不限于控制系统、通风系统、温控系统、热力系统、供水系统、水处理系统、除尘系统、电力系统、消防系统等及所有相关的附属设备系统和附件，以及安装费用：</w:t>
            </w:r>
          </w:p>
          <w:p>
            <w:pPr>
              <w:rPr>
                <w:rFonts w:cs="Arial" w:asciiTheme="minorEastAsia" w:hAnsiTheme="minorEastAsia"/>
                <w:sz w:val="22"/>
              </w:rPr>
            </w:pPr>
          </w:p>
          <w:p>
            <w:pPr>
              <w:rPr>
                <w:rFonts w:cs="Arial" w:asciiTheme="minorEastAsia" w:hAnsiTheme="minorEastAsia"/>
                <w:sz w:val="22"/>
              </w:rPr>
            </w:pPr>
            <w:r>
              <w:rPr>
                <w:rFonts w:cs="Arial" w:asciiTheme="minorEastAsia" w:hAnsiTheme="minorEastAsia"/>
                <w:sz w:val="22"/>
              </w:rPr>
              <w:t>1.</w:t>
            </w:r>
            <w:r>
              <w:rPr>
                <w:rFonts w:cs="Arial" w:asciiTheme="minorEastAsia" w:hAnsiTheme="minorEastAsia"/>
                <w:sz w:val="22"/>
              </w:rPr>
              <w:tab/>
            </w:r>
            <w:r>
              <w:rPr>
                <w:rFonts w:cs="Arial" w:asciiTheme="minorEastAsia" w:hAnsiTheme="minorEastAsia"/>
                <w:sz w:val="22"/>
              </w:rPr>
              <w:t>生产设备及公用设施</w:t>
            </w:r>
          </w:p>
          <w:p>
            <w:pPr>
              <w:rPr>
                <w:rFonts w:cs="Arial" w:asciiTheme="minorEastAsia" w:hAnsiTheme="minorEastAsia"/>
                <w:sz w:val="22"/>
              </w:rPr>
            </w:pPr>
            <w:r>
              <w:rPr>
                <w:rFonts w:cs="Arial" w:asciiTheme="minorEastAsia" w:hAnsiTheme="minorEastAsia"/>
                <w:sz w:val="22"/>
              </w:rPr>
              <w:t>与生产活动有关的设备，包括但不限于模具、电子控制系统、通风系统、传输系统、温控系统、热力系统、供水系统、水处理系统、除尘系统、电力系统、通讯系统、消防系统、电梯系统等及所有相关的附属设备系统和附件，其中包含安装费用。</w:t>
            </w:r>
          </w:p>
          <w:p>
            <w:pPr>
              <w:rPr>
                <w:rFonts w:cs="Arial" w:asciiTheme="minorEastAsia" w:hAnsiTheme="minorEastAsia"/>
                <w:sz w:val="22"/>
              </w:rPr>
            </w:pPr>
          </w:p>
          <w:p>
            <w:pPr>
              <w:rPr>
                <w:rFonts w:cs="Arial" w:asciiTheme="minorEastAsia" w:hAnsiTheme="minorEastAsia"/>
                <w:sz w:val="22"/>
              </w:rPr>
            </w:pPr>
            <w:r>
              <w:rPr>
                <w:rFonts w:cs="Arial" w:asciiTheme="minorEastAsia" w:hAnsiTheme="minorEastAsia"/>
                <w:sz w:val="22"/>
              </w:rPr>
              <w:t>2.</w:t>
            </w:r>
            <w:r>
              <w:rPr>
                <w:rFonts w:cs="Arial" w:asciiTheme="minorEastAsia" w:hAnsiTheme="minorEastAsia"/>
                <w:sz w:val="22"/>
              </w:rPr>
              <w:tab/>
            </w:r>
            <w:r>
              <w:rPr>
                <w:rFonts w:cs="Arial" w:asciiTheme="minorEastAsia" w:hAnsiTheme="minorEastAsia"/>
                <w:sz w:val="22"/>
              </w:rPr>
              <w:t>可移动设备</w:t>
            </w:r>
          </w:p>
          <w:p>
            <w:pPr>
              <w:rPr>
                <w:rFonts w:cs="Arial" w:asciiTheme="minorEastAsia" w:hAnsiTheme="minorEastAsia"/>
                <w:sz w:val="22"/>
              </w:rPr>
            </w:pPr>
            <w:r>
              <w:rPr>
                <w:rFonts w:cs="Arial" w:asciiTheme="minorEastAsia" w:hAnsiTheme="minorEastAsia"/>
                <w:sz w:val="22"/>
              </w:rPr>
              <w:t>包括运输和起重工具，比如叉车、起重机等。</w:t>
            </w:r>
          </w:p>
          <w:p>
            <w:pPr>
              <w:rPr>
                <w:rFonts w:cs="Arial" w:asciiTheme="minorEastAsia" w:hAnsiTheme="minorEastAsia"/>
                <w:sz w:val="22"/>
              </w:rPr>
            </w:pPr>
          </w:p>
          <w:p>
            <w:pPr>
              <w:rPr>
                <w:rFonts w:cs="Arial" w:asciiTheme="minorEastAsia" w:hAnsiTheme="minorEastAsia"/>
                <w:sz w:val="22"/>
              </w:rPr>
            </w:pPr>
            <w:r>
              <w:rPr>
                <w:rFonts w:cs="Arial" w:asciiTheme="minorEastAsia" w:hAnsiTheme="minorEastAsia"/>
                <w:sz w:val="22"/>
              </w:rPr>
              <w:t>3.</w:t>
            </w:r>
            <w:r>
              <w:rPr>
                <w:rFonts w:cs="Arial" w:asciiTheme="minorEastAsia" w:hAnsiTheme="minorEastAsia"/>
                <w:sz w:val="22"/>
              </w:rPr>
              <w:tab/>
            </w:r>
            <w:r>
              <w:rPr>
                <w:rFonts w:cs="Arial" w:asciiTheme="minorEastAsia" w:hAnsiTheme="minorEastAsia"/>
                <w:sz w:val="22"/>
              </w:rPr>
              <w:t>办公设施</w:t>
            </w:r>
          </w:p>
          <w:p>
            <w:pPr>
              <w:rPr>
                <w:rFonts w:cs="Arial" w:asciiTheme="minorEastAsia" w:hAnsiTheme="minorEastAsia"/>
                <w:sz w:val="22"/>
              </w:rPr>
            </w:pPr>
            <w:r>
              <w:rPr>
                <w:rFonts w:cs="Arial" w:asciiTheme="minorEastAsia" w:hAnsiTheme="minorEastAsia"/>
                <w:sz w:val="22"/>
              </w:rPr>
              <w:t>包括所有办公用途的电脑、服务器、通讯设备及其他电子设备等。</w:t>
            </w:r>
          </w:p>
          <w:p>
            <w:pPr>
              <w:rPr>
                <w:rFonts w:cs="Arial" w:asciiTheme="minorEastAsia" w:hAnsiTheme="minorEastAsia"/>
                <w:sz w:val="22"/>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rPr>
            </w:pPr>
            <w:r>
              <w:rPr>
                <w:rFonts w:cs="Arial" w:asciiTheme="minorEastAsia" w:hAnsiTheme="minorEastAsia"/>
                <w:b/>
                <w:sz w:val="22"/>
              </w:rPr>
              <w:t>赔偿基础</w:t>
            </w:r>
          </w:p>
        </w:tc>
        <w:tc>
          <w:tcPr>
            <w:tcW w:w="327" w:type="dxa"/>
          </w:tcPr>
          <w:p>
            <w:pPr>
              <w:rPr>
                <w:rFonts w:cs="Arial" w:asciiTheme="minorEastAsia" w:hAnsiTheme="minorEastAsia"/>
                <w:b/>
                <w:sz w:val="22"/>
              </w:rPr>
            </w:pPr>
            <w:r>
              <w:rPr>
                <w:rFonts w:cs="Arial" w:asciiTheme="minorEastAsia" w:hAnsiTheme="minorEastAsia"/>
                <w:b/>
                <w:sz w:val="22"/>
              </w:rPr>
              <w:t>:</w:t>
            </w:r>
          </w:p>
        </w:tc>
        <w:tc>
          <w:tcPr>
            <w:tcW w:w="7469" w:type="dxa"/>
          </w:tcPr>
          <w:p>
            <w:pPr>
              <w:rPr>
                <w:rFonts w:cs="Arial" w:asciiTheme="minorEastAsia" w:hAnsiTheme="minorEastAsia"/>
                <w:sz w:val="22"/>
              </w:rPr>
            </w:pPr>
            <w:r>
              <w:rPr>
                <w:rFonts w:cs="Arial" w:asciiTheme="minorEastAsia" w:hAnsiTheme="minorEastAsia"/>
                <w:sz w:val="22"/>
              </w:rPr>
              <w:t>出险时的重置价值</w:t>
            </w:r>
          </w:p>
          <w:p>
            <w:pPr>
              <w:rPr>
                <w:rFonts w:cs="Arial" w:asciiTheme="minorEastAsia" w:hAnsiTheme="minorEastAsia"/>
                <w:sz w:val="22"/>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rPr>
            </w:pPr>
            <w:r>
              <w:rPr>
                <w:rFonts w:cs="Arial" w:asciiTheme="minorEastAsia" w:hAnsiTheme="minorEastAsia"/>
                <w:b/>
                <w:sz w:val="22"/>
              </w:rPr>
              <w:t>保险金额</w:t>
            </w:r>
          </w:p>
        </w:tc>
        <w:tc>
          <w:tcPr>
            <w:tcW w:w="327" w:type="dxa"/>
          </w:tcPr>
          <w:p>
            <w:pPr>
              <w:rPr>
                <w:rFonts w:cs="Arial" w:asciiTheme="minorEastAsia" w:hAnsiTheme="minorEastAsia"/>
                <w:b/>
                <w:sz w:val="22"/>
              </w:rPr>
            </w:pPr>
            <w:r>
              <w:rPr>
                <w:rFonts w:cs="Arial" w:asciiTheme="minorEastAsia" w:hAnsiTheme="minorEastAsia"/>
                <w:b/>
                <w:sz w:val="22"/>
              </w:rPr>
              <w:t>:</w:t>
            </w:r>
          </w:p>
        </w:tc>
        <w:tc>
          <w:tcPr>
            <w:tcW w:w="7469" w:type="dxa"/>
          </w:tcPr>
          <w:p>
            <w:pPr>
              <w:rPr>
                <w:rFonts w:cs="Arial" w:asciiTheme="minorEastAsia" w:hAnsiTheme="minorEastAsia"/>
                <w:sz w:val="22"/>
              </w:rPr>
            </w:pPr>
            <w:r>
              <w:rPr>
                <w:rFonts w:hint="eastAsia" w:cs="Arial" w:asciiTheme="minorEastAsia" w:hAnsiTheme="minorEastAsia"/>
                <w:sz w:val="22"/>
              </w:rPr>
              <w:t>RMB</w:t>
            </w:r>
          </w:p>
          <w:p>
            <w:pPr>
              <w:rPr>
                <w:rFonts w:cs="Arial" w:asciiTheme="minorEastAsia" w:hAnsiTheme="minorEastAsia"/>
                <w:sz w:val="22"/>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rPr>
            </w:pPr>
            <w:r>
              <w:rPr>
                <w:rFonts w:cs="Arial" w:asciiTheme="minorEastAsia" w:hAnsiTheme="minorEastAsia"/>
                <w:b/>
                <w:sz w:val="22"/>
              </w:rPr>
              <w:t>免赔额</w:t>
            </w:r>
          </w:p>
        </w:tc>
        <w:tc>
          <w:tcPr>
            <w:tcW w:w="327" w:type="dxa"/>
          </w:tcPr>
          <w:p>
            <w:pPr>
              <w:rPr>
                <w:rFonts w:cs="Arial" w:asciiTheme="minorEastAsia" w:hAnsiTheme="minorEastAsia"/>
                <w:b/>
                <w:sz w:val="22"/>
              </w:rPr>
            </w:pPr>
            <w:r>
              <w:rPr>
                <w:rFonts w:cs="Arial" w:asciiTheme="minorEastAsia" w:hAnsiTheme="minorEastAsia"/>
                <w:b/>
                <w:sz w:val="22"/>
              </w:rPr>
              <w:t>:</w:t>
            </w:r>
          </w:p>
        </w:tc>
        <w:tc>
          <w:tcPr>
            <w:tcW w:w="7469" w:type="dxa"/>
          </w:tcPr>
          <w:p>
            <w:pPr>
              <w:rPr>
                <w:rFonts w:cs="Arial" w:asciiTheme="minorEastAsia" w:hAnsiTheme="minorEastAsia"/>
                <w:sz w:val="22"/>
              </w:rPr>
            </w:pPr>
            <w:r>
              <w:rPr>
                <w:rFonts w:cs="Arial" w:asciiTheme="minorEastAsia" w:hAnsiTheme="minorEastAsia"/>
                <w:sz w:val="22"/>
              </w:rPr>
              <w:t>每次事故绝对免赔</w:t>
            </w:r>
            <w:r>
              <w:rPr>
                <w:rFonts w:hint="eastAsia" w:cs="Arial" w:asciiTheme="minorEastAsia" w:hAnsiTheme="minorEastAsia"/>
                <w:sz w:val="22"/>
              </w:rPr>
              <w:t>为人民币30,000.00或损失金额的10%，两者以高者为准。</w:t>
            </w:r>
          </w:p>
          <w:p>
            <w:pPr>
              <w:rPr>
                <w:rFonts w:cs="Arial" w:asciiTheme="minorEastAsia" w:hAnsiTheme="minorEastAsia"/>
                <w:sz w:val="22"/>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rPr>
            </w:pPr>
            <w:r>
              <w:rPr>
                <w:rFonts w:cs="Arial" w:asciiTheme="minorEastAsia" w:hAnsiTheme="minorEastAsia"/>
                <w:b/>
                <w:sz w:val="22"/>
              </w:rPr>
              <w:t>年保险费率</w:t>
            </w:r>
          </w:p>
        </w:tc>
        <w:tc>
          <w:tcPr>
            <w:tcW w:w="327" w:type="dxa"/>
          </w:tcPr>
          <w:p>
            <w:pPr>
              <w:rPr>
                <w:rFonts w:cs="Arial" w:asciiTheme="minorEastAsia" w:hAnsiTheme="minorEastAsia"/>
                <w:b/>
                <w:sz w:val="22"/>
              </w:rPr>
            </w:pPr>
            <w:r>
              <w:rPr>
                <w:rFonts w:cs="Arial" w:asciiTheme="minorEastAsia" w:hAnsiTheme="minorEastAsia"/>
                <w:b/>
                <w:sz w:val="22"/>
              </w:rPr>
              <w:t>:</w:t>
            </w:r>
          </w:p>
        </w:tc>
        <w:tc>
          <w:tcPr>
            <w:tcW w:w="7469" w:type="dxa"/>
          </w:tcPr>
          <w:p>
            <w:pPr>
              <w:rPr>
                <w:rFonts w:cs="Arial" w:asciiTheme="minorEastAsia" w:hAnsiTheme="minorEastAsia"/>
                <w:sz w:val="22"/>
              </w:rPr>
            </w:pPr>
          </w:p>
          <w:p>
            <w:pPr>
              <w:rPr>
                <w:rFonts w:cs="Arial" w:asciiTheme="minorEastAsia" w:hAnsiTheme="minorEastAsia"/>
                <w:sz w:val="22"/>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rPr>
            </w:pPr>
            <w:r>
              <w:rPr>
                <w:rFonts w:hint="eastAsia" w:cs="Arial" w:asciiTheme="minorEastAsia" w:hAnsiTheme="minorEastAsia"/>
                <w:b/>
                <w:sz w:val="22"/>
              </w:rPr>
              <w:t>年</w:t>
            </w:r>
            <w:r>
              <w:rPr>
                <w:rFonts w:cs="Arial" w:asciiTheme="minorEastAsia" w:hAnsiTheme="minorEastAsia"/>
                <w:b/>
                <w:sz w:val="22"/>
              </w:rPr>
              <w:t>保费</w:t>
            </w:r>
          </w:p>
          <w:p>
            <w:pPr>
              <w:rPr>
                <w:rFonts w:cs="Arial" w:asciiTheme="minorEastAsia" w:hAnsiTheme="minorEastAsia"/>
                <w:b/>
                <w:sz w:val="22"/>
              </w:rPr>
            </w:pPr>
            <w:r>
              <w:rPr>
                <w:rFonts w:cs="Arial" w:asciiTheme="minorEastAsia" w:hAnsiTheme="minorEastAsia"/>
                <w:b/>
                <w:sz w:val="22"/>
              </w:rPr>
              <w:t>（含税）</w:t>
            </w:r>
          </w:p>
        </w:tc>
        <w:tc>
          <w:tcPr>
            <w:tcW w:w="327" w:type="dxa"/>
          </w:tcPr>
          <w:p>
            <w:pPr>
              <w:rPr>
                <w:rFonts w:cs="Arial" w:asciiTheme="minorEastAsia" w:hAnsiTheme="minorEastAsia"/>
                <w:b/>
                <w:sz w:val="22"/>
              </w:rPr>
            </w:pPr>
            <w:r>
              <w:rPr>
                <w:rFonts w:cs="Arial" w:asciiTheme="minorEastAsia" w:hAnsiTheme="minorEastAsia"/>
                <w:b/>
                <w:sz w:val="22"/>
              </w:rPr>
              <w:t>:</w:t>
            </w:r>
          </w:p>
        </w:tc>
        <w:tc>
          <w:tcPr>
            <w:tcW w:w="7469" w:type="dxa"/>
          </w:tcPr>
          <w:p>
            <w:pPr>
              <w:rPr>
                <w:rFonts w:cs="Arial" w:asciiTheme="minorEastAsia" w:hAnsiTheme="minorEastAsia"/>
                <w:sz w:val="22"/>
              </w:rPr>
            </w:pPr>
            <w:r>
              <w:rPr>
                <w:rFonts w:hint="eastAsia" w:cs="Arial" w:asciiTheme="minorEastAsia" w:hAnsiTheme="minorEastAsia"/>
                <w:sz w:val="22"/>
              </w:rPr>
              <w:t>RMB</w:t>
            </w:r>
          </w:p>
          <w:p>
            <w:pPr>
              <w:rPr>
                <w:rFonts w:cs="Arial" w:asciiTheme="minorEastAsia" w:hAnsiTheme="minorEastAsia"/>
                <w:sz w:val="22"/>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rPr>
            </w:pPr>
          </w:p>
          <w:p>
            <w:pPr>
              <w:rPr>
                <w:rFonts w:cs="Arial" w:asciiTheme="minorEastAsia" w:hAnsiTheme="minorEastAsia"/>
                <w:b/>
                <w:sz w:val="22"/>
              </w:rPr>
            </w:pPr>
            <w:r>
              <w:rPr>
                <w:rFonts w:cs="Arial" w:asciiTheme="minorEastAsia" w:hAnsiTheme="minorEastAsia"/>
                <w:b/>
                <w:sz w:val="22"/>
              </w:rPr>
              <w:t>保费支付</w:t>
            </w:r>
          </w:p>
        </w:tc>
        <w:tc>
          <w:tcPr>
            <w:tcW w:w="327" w:type="dxa"/>
          </w:tcPr>
          <w:p>
            <w:pPr>
              <w:rPr>
                <w:rFonts w:cs="Arial" w:asciiTheme="minorEastAsia" w:hAnsiTheme="minorEastAsia"/>
                <w:b/>
                <w:sz w:val="22"/>
              </w:rPr>
            </w:pPr>
          </w:p>
          <w:p>
            <w:pPr>
              <w:rPr>
                <w:rFonts w:cs="Arial" w:asciiTheme="minorEastAsia" w:hAnsiTheme="minorEastAsia"/>
                <w:b/>
                <w:sz w:val="22"/>
              </w:rPr>
            </w:pPr>
            <w:r>
              <w:rPr>
                <w:rFonts w:cs="Arial" w:asciiTheme="minorEastAsia" w:hAnsiTheme="minorEastAsia"/>
                <w:b/>
                <w:sz w:val="22"/>
              </w:rPr>
              <w:t>:</w:t>
            </w:r>
          </w:p>
        </w:tc>
        <w:tc>
          <w:tcPr>
            <w:tcW w:w="7469" w:type="dxa"/>
          </w:tcPr>
          <w:p>
            <w:pPr>
              <w:rPr>
                <w:rFonts w:cs="Arial" w:asciiTheme="minorEastAsia" w:hAnsiTheme="minorEastAsia"/>
                <w:sz w:val="22"/>
              </w:rPr>
            </w:pPr>
          </w:p>
          <w:p>
            <w:pPr>
              <w:rPr>
                <w:rFonts w:cs="Arial" w:asciiTheme="minorEastAsia" w:hAnsiTheme="minorEastAsia"/>
                <w:sz w:val="22"/>
              </w:rPr>
            </w:pPr>
            <w:r>
              <w:rPr>
                <w:rFonts w:cs="Arial" w:asciiTheme="minorEastAsia" w:hAnsiTheme="minorEastAsia"/>
                <w:sz w:val="22"/>
              </w:rPr>
              <w:t>被保险人在实际收到并确认正式保险单和符合要求的保险费发票后的30个工作日内支付全部保险费，在保险人收到保险费之前，仍将按照保单规定承担全部保险责任，不因被保险人非故意的延迟支付保险费影响保险责任。</w:t>
            </w:r>
          </w:p>
          <w:p>
            <w:pPr>
              <w:rPr>
                <w:rFonts w:cs="Arial" w:asciiTheme="minorEastAsia" w:hAnsiTheme="minorEastAsia"/>
                <w:b/>
                <w:sz w:val="22"/>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rPr>
            </w:pPr>
            <w:r>
              <w:rPr>
                <w:rFonts w:cs="Arial" w:asciiTheme="minorEastAsia" w:hAnsiTheme="minorEastAsia"/>
                <w:b/>
                <w:sz w:val="22"/>
              </w:rPr>
              <w:t>特别约定</w:t>
            </w:r>
          </w:p>
        </w:tc>
        <w:tc>
          <w:tcPr>
            <w:tcW w:w="327" w:type="dxa"/>
          </w:tcPr>
          <w:p>
            <w:pPr>
              <w:rPr>
                <w:rFonts w:cs="Arial" w:asciiTheme="minorEastAsia" w:hAnsiTheme="minorEastAsia"/>
                <w:b/>
                <w:sz w:val="22"/>
              </w:rPr>
            </w:pPr>
            <w:r>
              <w:rPr>
                <w:rFonts w:cs="Arial" w:asciiTheme="minorEastAsia" w:hAnsiTheme="minorEastAsia"/>
                <w:b/>
                <w:sz w:val="22"/>
              </w:rPr>
              <w:t>:</w:t>
            </w:r>
          </w:p>
        </w:tc>
        <w:tc>
          <w:tcPr>
            <w:tcW w:w="7469" w:type="dxa"/>
          </w:tcPr>
          <w:p>
            <w:pPr>
              <w:widowControl/>
              <w:numPr>
                <w:ilvl w:val="0"/>
                <w:numId w:val="10"/>
              </w:numPr>
              <w:rPr>
                <w:rFonts w:cs="Arial" w:asciiTheme="minorEastAsia" w:hAnsiTheme="minorEastAsia"/>
                <w:color w:val="000000"/>
                <w:sz w:val="22"/>
              </w:rPr>
            </w:pPr>
            <w:r>
              <w:rPr>
                <w:rFonts w:cs="Arial" w:asciiTheme="minorEastAsia" w:hAnsiTheme="minorEastAsia"/>
                <w:color w:val="000000"/>
                <w:sz w:val="22"/>
              </w:rPr>
              <w:t>保险单中的特别条款、特别约定以及备注等保险单明细表中的保险条件，适用于保险单的各个部分，若其与保险单的主险条款等其他规定相冲突，则以保险单明细表中的保险条件为准。</w:t>
            </w:r>
          </w:p>
          <w:p>
            <w:pPr>
              <w:widowControl/>
              <w:numPr>
                <w:ilvl w:val="0"/>
                <w:numId w:val="10"/>
              </w:numPr>
              <w:rPr>
                <w:rFonts w:cs="Arial" w:asciiTheme="minorEastAsia" w:hAnsiTheme="minorEastAsia"/>
                <w:color w:val="000000"/>
                <w:sz w:val="22"/>
              </w:rPr>
            </w:pPr>
            <w:r>
              <w:rPr>
                <w:rFonts w:cs="Arial" w:asciiTheme="minorEastAsia" w:hAnsiTheme="minorEastAsia"/>
                <w:color w:val="000000"/>
                <w:sz w:val="22"/>
              </w:rPr>
              <w:t>保险公司必须提前90天通知被保险人方可解除合同</w:t>
            </w:r>
            <w:r>
              <w:rPr>
                <w:rFonts w:hint="eastAsia" w:cs="Arial" w:asciiTheme="minorEastAsia" w:hAnsiTheme="minorEastAsia"/>
                <w:color w:val="000000"/>
                <w:sz w:val="22"/>
              </w:rPr>
              <w:t>，对未到期的保险费保险人应按日比例退回给被保险人</w:t>
            </w:r>
            <w:r>
              <w:rPr>
                <w:rFonts w:cs="Arial" w:asciiTheme="minorEastAsia" w:hAnsiTheme="minorEastAsia"/>
                <w:color w:val="000000"/>
                <w:sz w:val="22"/>
              </w:rPr>
              <w:t>；被保险人可以随时提出书面申请解除保险合同</w:t>
            </w:r>
            <w:r>
              <w:rPr>
                <w:rFonts w:hint="eastAsia" w:cs="Arial" w:asciiTheme="minorEastAsia" w:hAnsiTheme="minorEastAsia"/>
                <w:color w:val="000000"/>
                <w:sz w:val="22"/>
              </w:rPr>
              <w:t>，</w:t>
            </w:r>
            <w:r>
              <w:rPr>
                <w:rFonts w:cs="Arial" w:asciiTheme="minorEastAsia" w:hAnsiTheme="minorEastAsia"/>
                <w:color w:val="000000"/>
                <w:sz w:val="22"/>
              </w:rPr>
              <w:t>对本保险单已生效期间的保险费按日比例计收。</w:t>
            </w:r>
          </w:p>
          <w:p>
            <w:pPr>
              <w:pStyle w:val="47"/>
              <w:widowControl/>
              <w:numPr>
                <w:ilvl w:val="0"/>
                <w:numId w:val="10"/>
              </w:numPr>
              <w:rPr>
                <w:rFonts w:cs="Arial" w:asciiTheme="minorEastAsia" w:hAnsiTheme="minorEastAsia" w:eastAsiaTheme="minorEastAsia"/>
                <w:color w:val="000000"/>
                <w:sz w:val="22"/>
                <w:szCs w:val="22"/>
              </w:rPr>
            </w:pPr>
            <w:r>
              <w:rPr>
                <w:rFonts w:hint="eastAsia" w:cs="Arial" w:asciiTheme="minorEastAsia" w:hAnsiTheme="minorEastAsia" w:eastAsiaTheme="minorEastAsia"/>
                <w:color w:val="000000"/>
                <w:sz w:val="22"/>
                <w:szCs w:val="22"/>
              </w:rPr>
              <w:t>短期保费的计算标准：兹经双方同意，保险期限不足一年的短期保险保费按保险期天数除以365天乘以 “年保费”计算。</w:t>
            </w:r>
          </w:p>
          <w:p>
            <w:pPr>
              <w:widowControl/>
              <w:numPr>
                <w:ilvl w:val="0"/>
                <w:numId w:val="10"/>
              </w:numPr>
              <w:rPr>
                <w:rFonts w:cs="Arial" w:asciiTheme="minorEastAsia" w:hAnsiTheme="minorEastAsia"/>
                <w:color w:val="000000"/>
                <w:sz w:val="22"/>
              </w:rPr>
            </w:pPr>
            <w:r>
              <w:rPr>
                <w:rFonts w:cs="Arial" w:asciiTheme="minorEastAsia" w:hAnsiTheme="minorEastAsia"/>
                <w:color w:val="000000"/>
                <w:sz w:val="22"/>
              </w:rPr>
              <w:t>机器设备按重置价值确定保险金额，保险期间内若有变化按实际调整保险金额和保险费，保险人视同足额投保，发生部分损失足额赔偿，不适用比例赔付。</w:t>
            </w:r>
          </w:p>
          <w:p>
            <w:pPr>
              <w:widowControl/>
              <w:numPr>
                <w:ilvl w:val="0"/>
                <w:numId w:val="10"/>
              </w:numPr>
              <w:rPr>
                <w:rFonts w:cs="Arial" w:asciiTheme="minorEastAsia" w:hAnsiTheme="minorEastAsia"/>
                <w:sz w:val="22"/>
              </w:rPr>
            </w:pPr>
            <w:r>
              <w:rPr>
                <w:rFonts w:cs="Arial" w:asciiTheme="minorEastAsia" w:hAnsiTheme="minorEastAsia"/>
                <w:sz w:val="22"/>
              </w:rPr>
              <w:t>关税及其它税金：本保险合同扩展承保为修复或置换受损保险标的所需缴付关税及其它税金（如无法抵扣的增值税）。</w:t>
            </w:r>
          </w:p>
          <w:p>
            <w:pPr>
              <w:widowControl/>
              <w:numPr>
                <w:ilvl w:val="0"/>
                <w:numId w:val="10"/>
              </w:numPr>
              <w:rPr>
                <w:rFonts w:cs="Arial" w:asciiTheme="minorEastAsia" w:hAnsiTheme="minorEastAsia"/>
                <w:color w:val="000000"/>
                <w:sz w:val="22"/>
              </w:rPr>
            </w:pPr>
            <w:r>
              <w:rPr>
                <w:rFonts w:cs="Arial" w:asciiTheme="minorEastAsia" w:hAnsiTheme="minorEastAsia"/>
                <w:color w:val="000000"/>
                <w:sz w:val="22"/>
              </w:rPr>
              <w:t>由被保险人自行修复者，保险人对重置所需材料成本、人工费部分应当以市场可参考的平均标准为限给予赔偿。</w:t>
            </w:r>
          </w:p>
          <w:p>
            <w:pPr>
              <w:widowControl/>
              <w:numPr>
                <w:ilvl w:val="0"/>
                <w:numId w:val="10"/>
              </w:numPr>
              <w:rPr>
                <w:rFonts w:cs="Arial" w:asciiTheme="minorEastAsia" w:hAnsiTheme="minorEastAsia"/>
                <w:color w:val="000000"/>
                <w:sz w:val="22"/>
              </w:rPr>
            </w:pPr>
            <w:r>
              <w:rPr>
                <w:rFonts w:cs="Arial" w:asciiTheme="minorEastAsia" w:hAnsiTheme="minorEastAsia"/>
                <w:color w:val="000000"/>
                <w:sz w:val="22"/>
              </w:rPr>
              <w:t>保险人在此同意，对于损失金额在人民币10万元以下的单独案件，以被保险人签约合作的指定维修商或供应商出具的损坏事故原因鉴定报告为准。</w:t>
            </w:r>
          </w:p>
          <w:p>
            <w:pPr>
              <w:widowControl/>
              <w:numPr>
                <w:ilvl w:val="0"/>
                <w:numId w:val="10"/>
              </w:numPr>
              <w:rPr>
                <w:rFonts w:cs="Arial" w:asciiTheme="minorEastAsia" w:hAnsiTheme="minorEastAsia"/>
                <w:color w:val="000000"/>
                <w:sz w:val="22"/>
              </w:rPr>
            </w:pPr>
            <w:r>
              <w:rPr>
                <w:rFonts w:cs="Arial" w:asciiTheme="minorEastAsia" w:hAnsiTheme="minorEastAsia"/>
                <w:color w:val="000000"/>
                <w:sz w:val="22"/>
              </w:rPr>
              <w:t xml:space="preserve">功能性重置 - 具有计量功能或功率输出力或产能（以下称功能）的保险标的之损失，若重置保险标的功能大于原有受损保险标的功能，但其重置费用未超过原有受损保险标的，则以重置保险标的的重置费用为准，不扣减功能提高所产生的影响。 </w:t>
            </w:r>
          </w:p>
          <w:p>
            <w:pPr>
              <w:widowControl/>
              <w:numPr>
                <w:ilvl w:val="0"/>
                <w:numId w:val="10"/>
              </w:numPr>
              <w:rPr>
                <w:rFonts w:cs="Arial" w:asciiTheme="minorEastAsia" w:hAnsiTheme="minorEastAsia"/>
                <w:color w:val="000000"/>
                <w:sz w:val="22"/>
              </w:rPr>
            </w:pPr>
            <w:r>
              <w:rPr>
                <w:rFonts w:cs="Arial" w:asciiTheme="minorEastAsia" w:hAnsiTheme="minorEastAsia"/>
                <w:color w:val="000000"/>
                <w:sz w:val="22"/>
              </w:rPr>
              <w:t>扩展条款第23条“完全置换价条款”中提到的“保险财产”包括保单约定承保的保险财产的整机、整套设备及其组件、零部件、配件等。</w:t>
            </w:r>
          </w:p>
          <w:p>
            <w:pPr>
              <w:widowControl/>
              <w:numPr>
                <w:ilvl w:val="0"/>
                <w:numId w:val="10"/>
              </w:numPr>
              <w:rPr>
                <w:rFonts w:cs="Arial" w:asciiTheme="minorEastAsia" w:hAnsiTheme="minorEastAsia"/>
                <w:color w:val="000000"/>
                <w:sz w:val="22"/>
              </w:rPr>
            </w:pPr>
            <w:r>
              <w:rPr>
                <w:rFonts w:cs="Arial" w:asciiTheme="minorEastAsia" w:hAnsiTheme="minorEastAsia"/>
                <w:color w:val="000000"/>
                <w:sz w:val="22"/>
              </w:rPr>
              <w:t>工时费赔偿约定：机器设备发生保险损失时，如果需要聘请外部人员维修时，工时费以该设备供应商或其指定和授权的服务商的报价为准，没有供应商报价则按市场价格</w:t>
            </w:r>
            <w:r>
              <w:rPr>
                <w:rFonts w:hint="eastAsia" w:cs="Arial" w:asciiTheme="minorEastAsia" w:hAnsiTheme="minorEastAsia"/>
                <w:color w:val="000000"/>
                <w:sz w:val="22"/>
              </w:rPr>
              <w:t>赔偿。</w:t>
            </w:r>
          </w:p>
          <w:p>
            <w:pPr>
              <w:widowControl/>
              <w:numPr>
                <w:ilvl w:val="0"/>
                <w:numId w:val="10"/>
              </w:numPr>
              <w:rPr>
                <w:rFonts w:cs="Arial" w:asciiTheme="minorEastAsia" w:hAnsiTheme="minorEastAsia"/>
                <w:color w:val="000000"/>
                <w:sz w:val="22"/>
              </w:rPr>
            </w:pPr>
            <w:r>
              <w:rPr>
                <w:rFonts w:cs="Arial" w:asciiTheme="minorEastAsia" w:hAnsiTheme="minorEastAsia"/>
                <w:color w:val="000000"/>
                <w:sz w:val="22"/>
              </w:rPr>
              <w:t>保险人同意赔案处理中，为明确事故原因，损失程度等，需要请第三方的检测费用由保险人承担。</w:t>
            </w:r>
          </w:p>
          <w:p>
            <w:pPr>
              <w:widowControl/>
              <w:numPr>
                <w:ilvl w:val="0"/>
                <w:numId w:val="10"/>
              </w:numPr>
              <w:rPr>
                <w:rFonts w:cs="Arial" w:asciiTheme="minorEastAsia" w:hAnsiTheme="minorEastAsia"/>
                <w:color w:val="000000"/>
                <w:sz w:val="22"/>
              </w:rPr>
            </w:pPr>
            <w:r>
              <w:rPr>
                <w:rFonts w:hint="eastAsia" w:cs="Arial" w:asciiTheme="minorEastAsia" w:hAnsiTheme="minorEastAsia"/>
                <w:color w:val="000000"/>
                <w:sz w:val="22"/>
              </w:rPr>
              <w:t>RMB</w:t>
            </w:r>
            <w:r>
              <w:rPr>
                <w:rFonts w:cs="Arial" w:asciiTheme="minorEastAsia" w:hAnsiTheme="minorEastAsia"/>
                <w:color w:val="000000"/>
                <w:sz w:val="22"/>
              </w:rPr>
              <w:t>5万索赔金额以下（包括</w:t>
            </w:r>
            <w:r>
              <w:rPr>
                <w:rFonts w:hint="eastAsia" w:cs="Arial" w:asciiTheme="minorEastAsia" w:hAnsiTheme="minorEastAsia"/>
                <w:color w:val="000000"/>
                <w:sz w:val="22"/>
              </w:rPr>
              <w:t>RMB</w:t>
            </w:r>
            <w:r>
              <w:rPr>
                <w:rFonts w:cs="Arial" w:asciiTheme="minorEastAsia" w:hAnsiTheme="minorEastAsia"/>
                <w:color w:val="000000"/>
                <w:sz w:val="22"/>
              </w:rPr>
              <w:t>5万）的索赔案件实行小赔案处理快速通道。仅需提供如下文件：</w:t>
            </w:r>
          </w:p>
          <w:p>
            <w:pPr>
              <w:pStyle w:val="105"/>
              <w:widowControl/>
              <w:ind w:firstLine="440" w:firstLineChars="200"/>
              <w:jc w:val="both"/>
              <w:rPr>
                <w:rFonts w:cs="Arial" w:asciiTheme="minorEastAsia" w:hAnsiTheme="minorEastAsia"/>
                <w:kern w:val="2"/>
                <w:sz w:val="22"/>
                <w:szCs w:val="22"/>
              </w:rPr>
            </w:pPr>
            <w:r>
              <w:rPr>
                <w:rFonts w:cs="Arial" w:asciiTheme="minorEastAsia" w:hAnsiTheme="minorEastAsia"/>
                <w:kern w:val="2"/>
                <w:sz w:val="22"/>
                <w:szCs w:val="22"/>
              </w:rPr>
              <w:t>- 小额案件快速理赔处理表或索赔申请书及权益转让书（加盖财务章）</w:t>
            </w:r>
          </w:p>
          <w:p>
            <w:pPr>
              <w:pStyle w:val="105"/>
              <w:widowControl/>
              <w:ind w:firstLine="440" w:firstLineChars="200"/>
              <w:jc w:val="both"/>
              <w:rPr>
                <w:rFonts w:cs="Arial" w:asciiTheme="minorEastAsia" w:hAnsiTheme="minorEastAsia"/>
                <w:kern w:val="2"/>
                <w:sz w:val="22"/>
                <w:szCs w:val="22"/>
              </w:rPr>
            </w:pPr>
            <w:r>
              <w:rPr>
                <w:rFonts w:cs="Arial" w:asciiTheme="minorEastAsia" w:hAnsiTheme="minorEastAsia"/>
                <w:kern w:val="2"/>
                <w:sz w:val="22"/>
                <w:szCs w:val="22"/>
              </w:rPr>
              <w:t>- 事故照片（包括受损全景，受损部件特写，设备铭牌）</w:t>
            </w:r>
          </w:p>
          <w:p>
            <w:pPr>
              <w:pStyle w:val="105"/>
              <w:widowControl/>
              <w:ind w:firstLine="440" w:firstLineChars="200"/>
              <w:jc w:val="both"/>
              <w:rPr>
                <w:rFonts w:cs="Arial" w:asciiTheme="minorEastAsia" w:hAnsiTheme="minorEastAsia"/>
                <w:kern w:val="2"/>
                <w:sz w:val="22"/>
                <w:szCs w:val="22"/>
              </w:rPr>
            </w:pPr>
            <w:r>
              <w:rPr>
                <w:rFonts w:cs="Arial" w:asciiTheme="minorEastAsia" w:hAnsiTheme="minorEastAsia"/>
                <w:kern w:val="2"/>
                <w:sz w:val="22"/>
                <w:szCs w:val="22"/>
              </w:rPr>
              <w:t>- 事故报告（加盖公章）</w:t>
            </w:r>
          </w:p>
          <w:p>
            <w:pPr>
              <w:pStyle w:val="105"/>
              <w:widowControl/>
              <w:ind w:firstLine="440" w:firstLineChars="200"/>
              <w:jc w:val="both"/>
              <w:rPr>
                <w:rFonts w:cs="Arial" w:asciiTheme="minorEastAsia" w:hAnsiTheme="minorEastAsia"/>
                <w:kern w:val="2"/>
                <w:sz w:val="22"/>
                <w:szCs w:val="22"/>
              </w:rPr>
            </w:pPr>
            <w:r>
              <w:rPr>
                <w:rFonts w:cs="Arial" w:asciiTheme="minorEastAsia" w:hAnsiTheme="minorEastAsia"/>
                <w:kern w:val="2"/>
                <w:sz w:val="22"/>
                <w:szCs w:val="22"/>
              </w:rPr>
              <w:t>- 机器维修报价（正本或复印件加盖公章）</w:t>
            </w:r>
          </w:p>
          <w:p>
            <w:pPr>
              <w:pStyle w:val="105"/>
              <w:widowControl/>
              <w:ind w:firstLine="440" w:firstLineChars="200"/>
              <w:jc w:val="both"/>
              <w:rPr>
                <w:rFonts w:cs="Arial" w:asciiTheme="minorEastAsia" w:hAnsiTheme="minorEastAsia"/>
                <w:kern w:val="2"/>
                <w:sz w:val="22"/>
                <w:szCs w:val="22"/>
              </w:rPr>
            </w:pPr>
            <w:r>
              <w:rPr>
                <w:rFonts w:cs="Arial" w:asciiTheme="minorEastAsia" w:hAnsiTheme="minorEastAsia"/>
                <w:kern w:val="2"/>
                <w:sz w:val="22"/>
                <w:szCs w:val="22"/>
              </w:rPr>
              <w:t>- 机器维修发票（正本或复印件加盖公章）</w:t>
            </w:r>
          </w:p>
          <w:p>
            <w:pPr>
              <w:pStyle w:val="105"/>
              <w:widowControl/>
              <w:ind w:firstLine="440" w:firstLineChars="200"/>
              <w:jc w:val="both"/>
              <w:rPr>
                <w:rFonts w:cs="Arial" w:asciiTheme="minorEastAsia" w:hAnsiTheme="minorEastAsia"/>
                <w:kern w:val="2"/>
                <w:sz w:val="22"/>
                <w:szCs w:val="22"/>
              </w:rPr>
            </w:pPr>
            <w:r>
              <w:rPr>
                <w:rFonts w:cs="Arial" w:asciiTheme="minorEastAsia" w:hAnsiTheme="minorEastAsia"/>
                <w:kern w:val="2"/>
                <w:sz w:val="22"/>
                <w:szCs w:val="22"/>
              </w:rPr>
              <w:t xml:space="preserve">- </w:t>
            </w:r>
            <w:r>
              <w:rPr>
                <w:rFonts w:hint="eastAsia" w:cs="Arial" w:asciiTheme="minorEastAsia" w:hAnsiTheme="minorEastAsia"/>
                <w:kern w:val="2"/>
                <w:sz w:val="22"/>
                <w:szCs w:val="22"/>
              </w:rPr>
              <w:t>RMB</w:t>
            </w:r>
            <w:r>
              <w:rPr>
                <w:rFonts w:cs="Arial" w:asciiTheme="minorEastAsia" w:hAnsiTheme="minorEastAsia"/>
                <w:kern w:val="2"/>
                <w:sz w:val="22"/>
                <w:szCs w:val="22"/>
              </w:rPr>
              <w:t>1万元以上赔案，提供固定资产卡片（复印件加盖公章）</w:t>
            </w:r>
          </w:p>
          <w:p>
            <w:pPr>
              <w:widowControl/>
              <w:ind w:left="420"/>
              <w:jc w:val="left"/>
              <w:rPr>
                <w:rFonts w:cs="Arial" w:asciiTheme="minorEastAsia" w:hAnsiTheme="minorEastAsia"/>
                <w:color w:val="000000"/>
                <w:sz w:val="22"/>
              </w:rPr>
            </w:pPr>
          </w:p>
        </w:tc>
      </w:tr>
      <w:tr>
        <w:tblPrEx>
          <w:tblCellMar>
            <w:top w:w="0" w:type="dxa"/>
            <w:left w:w="108" w:type="dxa"/>
            <w:bottom w:w="0" w:type="dxa"/>
            <w:right w:w="108" w:type="dxa"/>
          </w:tblCellMar>
        </w:tblPrEx>
        <w:tc>
          <w:tcPr>
            <w:tcW w:w="1384" w:type="dxa"/>
          </w:tcPr>
          <w:p>
            <w:pPr>
              <w:rPr>
                <w:rFonts w:cs="Arial" w:asciiTheme="minorEastAsia" w:hAnsiTheme="minorEastAsia"/>
                <w:b/>
                <w:sz w:val="22"/>
              </w:rPr>
            </w:pPr>
            <w:r>
              <w:rPr>
                <w:rFonts w:cs="Arial" w:asciiTheme="minorEastAsia" w:hAnsiTheme="minorEastAsia"/>
                <w:b/>
                <w:sz w:val="22"/>
              </w:rPr>
              <w:t>扩展条款</w:t>
            </w:r>
          </w:p>
        </w:tc>
        <w:tc>
          <w:tcPr>
            <w:tcW w:w="327" w:type="dxa"/>
          </w:tcPr>
          <w:p>
            <w:pPr>
              <w:rPr>
                <w:rFonts w:cs="Arial" w:asciiTheme="minorEastAsia" w:hAnsiTheme="minorEastAsia"/>
                <w:b/>
                <w:sz w:val="22"/>
              </w:rPr>
            </w:pPr>
            <w:r>
              <w:rPr>
                <w:rFonts w:cs="Arial" w:asciiTheme="minorEastAsia" w:hAnsiTheme="minorEastAsia"/>
                <w:b/>
                <w:sz w:val="22"/>
              </w:rPr>
              <w:t>:</w:t>
            </w:r>
          </w:p>
        </w:tc>
        <w:tc>
          <w:tcPr>
            <w:tcW w:w="7469" w:type="dxa"/>
          </w:tcPr>
          <w:p>
            <w:pPr>
              <w:widowControl/>
              <w:numPr>
                <w:ilvl w:val="0"/>
                <w:numId w:val="11"/>
              </w:numPr>
              <w:rPr>
                <w:rFonts w:cs="Arial" w:asciiTheme="minorEastAsia" w:hAnsiTheme="minorEastAsia"/>
                <w:sz w:val="22"/>
              </w:rPr>
            </w:pPr>
            <w:r>
              <w:rPr>
                <w:rFonts w:cs="Arial" w:asciiTheme="minorEastAsia" w:hAnsiTheme="minorEastAsia"/>
                <w:sz w:val="22"/>
              </w:rPr>
              <w:t>空运费条款（赔偿限额：损失的20%）</w:t>
            </w:r>
          </w:p>
          <w:p>
            <w:pPr>
              <w:widowControl/>
              <w:numPr>
                <w:ilvl w:val="0"/>
                <w:numId w:val="11"/>
              </w:numPr>
              <w:rPr>
                <w:rFonts w:cs="Arial" w:asciiTheme="minorEastAsia" w:hAnsiTheme="minorEastAsia"/>
                <w:sz w:val="22"/>
              </w:rPr>
            </w:pPr>
            <w:r>
              <w:rPr>
                <w:rFonts w:cs="Arial" w:asciiTheme="minorEastAsia" w:hAnsiTheme="minorEastAsia"/>
                <w:sz w:val="22"/>
              </w:rPr>
              <w:t>专业费用条款（赔偿限额: 总保险金额的15%）</w:t>
            </w:r>
          </w:p>
          <w:p>
            <w:pPr>
              <w:widowControl/>
              <w:numPr>
                <w:ilvl w:val="0"/>
                <w:numId w:val="11"/>
              </w:numPr>
              <w:rPr>
                <w:rFonts w:cs="Arial" w:asciiTheme="minorEastAsia" w:hAnsiTheme="minorEastAsia"/>
                <w:sz w:val="22"/>
              </w:rPr>
            </w:pPr>
            <w:r>
              <w:rPr>
                <w:rFonts w:cs="Arial" w:asciiTheme="minorEastAsia" w:hAnsiTheme="minorEastAsia"/>
                <w:sz w:val="22"/>
              </w:rPr>
              <w:t>自动恢复保险金额条款</w:t>
            </w:r>
          </w:p>
          <w:p>
            <w:pPr>
              <w:widowControl/>
              <w:numPr>
                <w:ilvl w:val="0"/>
                <w:numId w:val="11"/>
              </w:numPr>
              <w:rPr>
                <w:rFonts w:cs="Arial" w:asciiTheme="minorEastAsia" w:hAnsiTheme="minorEastAsia"/>
                <w:sz w:val="22"/>
              </w:rPr>
            </w:pPr>
            <w:r>
              <w:rPr>
                <w:rFonts w:cs="Arial" w:asciiTheme="minorEastAsia" w:hAnsiTheme="minorEastAsia"/>
                <w:sz w:val="22"/>
              </w:rPr>
              <w:t>清理残骸条款（赔偿限额: 总保险金额的10%）</w:t>
            </w:r>
          </w:p>
          <w:p>
            <w:pPr>
              <w:widowControl/>
              <w:numPr>
                <w:ilvl w:val="0"/>
                <w:numId w:val="11"/>
              </w:numPr>
              <w:rPr>
                <w:rFonts w:cs="Arial" w:asciiTheme="minorEastAsia" w:hAnsiTheme="minorEastAsia"/>
                <w:sz w:val="22"/>
              </w:rPr>
            </w:pPr>
            <w:r>
              <w:rPr>
                <w:rFonts w:cs="Arial" w:asciiTheme="minorEastAsia" w:hAnsiTheme="minorEastAsia"/>
                <w:sz w:val="22"/>
              </w:rPr>
              <w:t>特别费用扩展条款（赔偿限额: 总保险金额的10%）</w:t>
            </w:r>
          </w:p>
          <w:p>
            <w:pPr>
              <w:widowControl/>
              <w:numPr>
                <w:ilvl w:val="0"/>
                <w:numId w:val="11"/>
              </w:numPr>
              <w:rPr>
                <w:rFonts w:cs="Arial" w:asciiTheme="minorEastAsia" w:hAnsiTheme="minorEastAsia"/>
                <w:sz w:val="22"/>
              </w:rPr>
            </w:pPr>
            <w:r>
              <w:rPr>
                <w:rFonts w:cs="Arial" w:asciiTheme="minorEastAsia" w:hAnsiTheme="minorEastAsia"/>
                <w:sz w:val="22"/>
              </w:rPr>
              <w:t>预付赔款条款</w:t>
            </w:r>
          </w:p>
          <w:p>
            <w:pPr>
              <w:widowControl/>
              <w:numPr>
                <w:ilvl w:val="0"/>
                <w:numId w:val="11"/>
              </w:numPr>
              <w:rPr>
                <w:rFonts w:cs="Arial" w:asciiTheme="minorEastAsia" w:hAnsiTheme="minorEastAsia"/>
                <w:sz w:val="22"/>
              </w:rPr>
            </w:pPr>
            <w:r>
              <w:rPr>
                <w:rFonts w:cs="Arial" w:asciiTheme="minorEastAsia" w:hAnsiTheme="minorEastAsia"/>
                <w:sz w:val="22"/>
              </w:rPr>
              <w:t>自动升值条款(赔偿限额: 总保险金额的25%)</w:t>
            </w:r>
          </w:p>
          <w:p>
            <w:pPr>
              <w:widowControl/>
              <w:numPr>
                <w:ilvl w:val="0"/>
                <w:numId w:val="11"/>
              </w:numPr>
              <w:rPr>
                <w:rFonts w:cs="Arial" w:asciiTheme="minorEastAsia" w:hAnsiTheme="minorEastAsia"/>
                <w:sz w:val="22"/>
              </w:rPr>
            </w:pPr>
            <w:r>
              <w:rPr>
                <w:rFonts w:cs="Arial" w:asciiTheme="minorEastAsia" w:hAnsiTheme="minorEastAsia"/>
                <w:sz w:val="22"/>
              </w:rPr>
              <w:t>错误和遗漏条款</w:t>
            </w:r>
          </w:p>
          <w:p>
            <w:pPr>
              <w:widowControl/>
              <w:numPr>
                <w:ilvl w:val="0"/>
                <w:numId w:val="11"/>
              </w:numPr>
              <w:rPr>
                <w:rFonts w:cs="Arial" w:asciiTheme="minorEastAsia" w:hAnsiTheme="minorEastAsia"/>
                <w:sz w:val="22"/>
              </w:rPr>
            </w:pPr>
            <w:r>
              <w:rPr>
                <w:rFonts w:cs="Arial" w:asciiTheme="minorEastAsia" w:hAnsiTheme="minorEastAsia"/>
                <w:sz w:val="22"/>
              </w:rPr>
              <w:t>指定公估人条款（根宁翰保险公估（中国）有限公司 /平量行保险公估（上海）有限公司，及保险合同双方认可的其他有合法执业资格的机构）</w:t>
            </w:r>
          </w:p>
          <w:p>
            <w:pPr>
              <w:widowControl/>
              <w:numPr>
                <w:ilvl w:val="0"/>
                <w:numId w:val="11"/>
              </w:numPr>
              <w:rPr>
                <w:rFonts w:cs="Arial" w:asciiTheme="minorEastAsia" w:hAnsiTheme="minorEastAsia"/>
                <w:sz w:val="22"/>
              </w:rPr>
            </w:pPr>
            <w:r>
              <w:rPr>
                <w:rFonts w:cs="Arial" w:asciiTheme="minorEastAsia" w:hAnsiTheme="minorEastAsia"/>
                <w:sz w:val="22"/>
              </w:rPr>
              <w:t>扩展承保新增地点条款</w:t>
            </w:r>
          </w:p>
          <w:p>
            <w:pPr>
              <w:widowControl/>
              <w:numPr>
                <w:ilvl w:val="0"/>
                <w:numId w:val="11"/>
              </w:numPr>
              <w:rPr>
                <w:rFonts w:cs="Arial" w:asciiTheme="minorEastAsia" w:hAnsiTheme="minorEastAsia"/>
                <w:sz w:val="22"/>
              </w:rPr>
            </w:pPr>
            <w:r>
              <w:rPr>
                <w:rFonts w:cs="Arial" w:asciiTheme="minorEastAsia" w:hAnsiTheme="minorEastAsia"/>
                <w:sz w:val="22"/>
              </w:rPr>
              <w:t>重新安装费用条款</w:t>
            </w:r>
          </w:p>
          <w:p>
            <w:pPr>
              <w:widowControl/>
              <w:numPr>
                <w:ilvl w:val="0"/>
                <w:numId w:val="11"/>
              </w:numPr>
              <w:rPr>
                <w:rFonts w:cs="Arial" w:asciiTheme="minorEastAsia" w:hAnsiTheme="minorEastAsia"/>
                <w:sz w:val="22"/>
              </w:rPr>
            </w:pPr>
            <w:r>
              <w:rPr>
                <w:rFonts w:cs="Arial" w:asciiTheme="minorEastAsia" w:hAnsiTheme="minorEastAsia"/>
                <w:sz w:val="22"/>
              </w:rPr>
              <w:t>不受控制条款</w:t>
            </w:r>
          </w:p>
          <w:p>
            <w:pPr>
              <w:widowControl/>
              <w:numPr>
                <w:ilvl w:val="0"/>
                <w:numId w:val="11"/>
              </w:numPr>
              <w:rPr>
                <w:rFonts w:cs="Arial" w:asciiTheme="minorEastAsia" w:hAnsiTheme="minorEastAsia"/>
                <w:sz w:val="22"/>
              </w:rPr>
            </w:pPr>
            <w:r>
              <w:rPr>
                <w:rFonts w:cs="Arial" w:asciiTheme="minorEastAsia" w:hAnsiTheme="minorEastAsia"/>
                <w:sz w:val="22"/>
              </w:rPr>
              <w:t>放弃代位求偿权条款</w:t>
            </w:r>
          </w:p>
          <w:p>
            <w:pPr>
              <w:widowControl/>
              <w:numPr>
                <w:ilvl w:val="0"/>
                <w:numId w:val="11"/>
              </w:numPr>
              <w:rPr>
                <w:rFonts w:cs="Arial" w:asciiTheme="minorEastAsia" w:hAnsiTheme="minorEastAsia"/>
                <w:sz w:val="22"/>
              </w:rPr>
            </w:pPr>
            <w:r>
              <w:rPr>
                <w:rFonts w:cs="Arial" w:asciiTheme="minorEastAsia" w:hAnsiTheme="minorEastAsia"/>
                <w:sz w:val="22"/>
              </w:rPr>
              <w:t>索赔准备费用条款（每次事故及累计赔偿限额：RMB10,000,000.00）</w:t>
            </w:r>
          </w:p>
          <w:p>
            <w:pPr>
              <w:widowControl/>
              <w:numPr>
                <w:ilvl w:val="0"/>
                <w:numId w:val="11"/>
              </w:numPr>
              <w:rPr>
                <w:rFonts w:cs="Arial" w:asciiTheme="minorEastAsia" w:hAnsiTheme="minorEastAsia"/>
                <w:sz w:val="22"/>
              </w:rPr>
            </w:pPr>
            <w:r>
              <w:rPr>
                <w:rFonts w:cs="Arial" w:asciiTheme="minorEastAsia" w:hAnsiTheme="minorEastAsia"/>
                <w:sz w:val="22"/>
              </w:rPr>
              <w:t>公共当局扩展条款</w:t>
            </w:r>
          </w:p>
          <w:p>
            <w:pPr>
              <w:widowControl/>
              <w:numPr>
                <w:ilvl w:val="0"/>
                <w:numId w:val="11"/>
              </w:numPr>
              <w:rPr>
                <w:rFonts w:cs="Arial" w:asciiTheme="minorEastAsia" w:hAnsiTheme="minorEastAsia"/>
                <w:sz w:val="22"/>
              </w:rPr>
            </w:pPr>
            <w:r>
              <w:rPr>
                <w:rFonts w:cs="Arial" w:asciiTheme="minorEastAsia" w:hAnsiTheme="minorEastAsia"/>
                <w:sz w:val="22"/>
              </w:rPr>
              <w:t>增加资产条款(不超过相关项下类似财产保额的20%)</w:t>
            </w:r>
          </w:p>
          <w:p>
            <w:pPr>
              <w:widowControl/>
              <w:numPr>
                <w:ilvl w:val="0"/>
                <w:numId w:val="11"/>
              </w:numPr>
              <w:rPr>
                <w:rFonts w:cs="Arial" w:asciiTheme="minorEastAsia" w:hAnsiTheme="minorEastAsia"/>
                <w:sz w:val="22"/>
              </w:rPr>
            </w:pPr>
            <w:r>
              <w:rPr>
                <w:rFonts w:cs="Arial" w:asciiTheme="minorEastAsia" w:hAnsiTheme="minorEastAsia"/>
                <w:sz w:val="22"/>
              </w:rPr>
              <w:t>不予失效条款</w:t>
            </w:r>
          </w:p>
          <w:p>
            <w:pPr>
              <w:widowControl/>
              <w:numPr>
                <w:ilvl w:val="0"/>
                <w:numId w:val="11"/>
              </w:numPr>
              <w:rPr>
                <w:rFonts w:cs="Arial" w:asciiTheme="minorEastAsia" w:hAnsiTheme="minorEastAsia"/>
                <w:sz w:val="22"/>
              </w:rPr>
            </w:pPr>
            <w:r>
              <w:rPr>
                <w:rFonts w:cs="Arial" w:asciiTheme="minorEastAsia" w:hAnsiTheme="minorEastAsia"/>
                <w:sz w:val="22"/>
              </w:rPr>
              <w:t>违反保单条件条款</w:t>
            </w:r>
          </w:p>
          <w:p>
            <w:pPr>
              <w:widowControl/>
              <w:numPr>
                <w:ilvl w:val="0"/>
                <w:numId w:val="11"/>
              </w:numPr>
              <w:rPr>
                <w:rFonts w:cs="Arial" w:asciiTheme="minorEastAsia" w:hAnsiTheme="minorEastAsia"/>
                <w:sz w:val="22"/>
              </w:rPr>
            </w:pPr>
            <w:r>
              <w:rPr>
                <w:rFonts w:cs="Arial" w:asciiTheme="minorEastAsia" w:hAnsiTheme="minorEastAsia"/>
                <w:sz w:val="22"/>
              </w:rPr>
              <w:t>损失通知条款</w:t>
            </w:r>
          </w:p>
          <w:p>
            <w:pPr>
              <w:widowControl/>
              <w:numPr>
                <w:ilvl w:val="0"/>
                <w:numId w:val="11"/>
              </w:numPr>
              <w:rPr>
                <w:rFonts w:cs="Arial" w:asciiTheme="minorEastAsia" w:hAnsiTheme="minorEastAsia"/>
                <w:sz w:val="22"/>
              </w:rPr>
            </w:pPr>
            <w:r>
              <w:rPr>
                <w:rFonts w:cs="Arial" w:asciiTheme="minorEastAsia" w:hAnsiTheme="minorEastAsia"/>
                <w:sz w:val="22"/>
              </w:rPr>
              <w:t>临时保护费用条款(赔偿限额: RMB5,000,000.00)</w:t>
            </w:r>
          </w:p>
          <w:p>
            <w:pPr>
              <w:widowControl/>
              <w:numPr>
                <w:ilvl w:val="0"/>
                <w:numId w:val="11"/>
              </w:numPr>
              <w:rPr>
                <w:rFonts w:cs="Arial" w:asciiTheme="minorEastAsia" w:hAnsiTheme="minorEastAsia"/>
                <w:sz w:val="22"/>
              </w:rPr>
            </w:pPr>
            <w:r>
              <w:rPr>
                <w:rFonts w:cs="Arial" w:asciiTheme="minorEastAsia" w:hAnsiTheme="minorEastAsia"/>
                <w:sz w:val="22"/>
              </w:rPr>
              <w:t>成对或成套设备条款</w:t>
            </w:r>
          </w:p>
          <w:p>
            <w:pPr>
              <w:widowControl/>
              <w:numPr>
                <w:ilvl w:val="0"/>
                <w:numId w:val="11"/>
              </w:numPr>
              <w:rPr>
                <w:rFonts w:cs="Arial" w:asciiTheme="minorEastAsia" w:hAnsiTheme="minorEastAsia"/>
                <w:sz w:val="22"/>
              </w:rPr>
            </w:pPr>
            <w:r>
              <w:rPr>
                <w:rFonts w:cs="Arial" w:asciiTheme="minorEastAsia" w:hAnsiTheme="minorEastAsia"/>
                <w:sz w:val="22"/>
              </w:rPr>
              <w:t>抢险施救条款</w:t>
            </w:r>
          </w:p>
          <w:p>
            <w:pPr>
              <w:widowControl/>
              <w:numPr>
                <w:ilvl w:val="0"/>
                <w:numId w:val="11"/>
              </w:numPr>
              <w:rPr>
                <w:rFonts w:cs="Arial" w:asciiTheme="minorEastAsia" w:hAnsiTheme="minorEastAsia"/>
                <w:sz w:val="22"/>
              </w:rPr>
            </w:pPr>
            <w:r>
              <w:rPr>
                <w:rFonts w:cs="Arial" w:asciiTheme="minorEastAsia" w:hAnsiTheme="minorEastAsia"/>
                <w:sz w:val="22"/>
              </w:rPr>
              <w:t>完全置换价条款</w:t>
            </w:r>
          </w:p>
          <w:p>
            <w:pPr>
              <w:widowControl/>
              <w:numPr>
                <w:ilvl w:val="0"/>
                <w:numId w:val="11"/>
              </w:numPr>
              <w:rPr>
                <w:rFonts w:cs="Arial" w:asciiTheme="minorEastAsia" w:hAnsiTheme="minorEastAsia"/>
                <w:sz w:val="22"/>
              </w:rPr>
            </w:pPr>
            <w:r>
              <w:rPr>
                <w:rFonts w:cs="Arial" w:asciiTheme="minorEastAsia" w:hAnsiTheme="minorEastAsia"/>
                <w:sz w:val="22"/>
              </w:rPr>
              <w:t>索赔单据条款</w:t>
            </w:r>
          </w:p>
          <w:p>
            <w:pPr>
              <w:widowControl/>
              <w:numPr>
                <w:ilvl w:val="0"/>
                <w:numId w:val="11"/>
              </w:numPr>
              <w:rPr>
                <w:rFonts w:cs="Arial" w:asciiTheme="minorEastAsia" w:hAnsiTheme="minorEastAsia"/>
                <w:sz w:val="22"/>
              </w:rPr>
            </w:pPr>
            <w:r>
              <w:rPr>
                <w:rFonts w:cs="Arial" w:asciiTheme="minorEastAsia" w:hAnsiTheme="minorEastAsia"/>
                <w:sz w:val="22"/>
              </w:rPr>
              <w:t>媒介物条款</w:t>
            </w:r>
          </w:p>
          <w:p>
            <w:pPr>
              <w:widowControl/>
              <w:numPr>
                <w:ilvl w:val="0"/>
                <w:numId w:val="11"/>
              </w:numPr>
              <w:rPr>
                <w:rFonts w:cs="Arial" w:asciiTheme="minorEastAsia" w:hAnsiTheme="minorEastAsia"/>
                <w:sz w:val="22"/>
              </w:rPr>
            </w:pPr>
            <w:r>
              <w:rPr>
                <w:rFonts w:cs="Arial" w:asciiTheme="minorEastAsia" w:hAnsiTheme="minorEastAsia"/>
                <w:sz w:val="22"/>
              </w:rPr>
              <w:t>传送带、链条扩展条款</w:t>
            </w:r>
          </w:p>
          <w:p>
            <w:pPr>
              <w:widowControl/>
              <w:numPr>
                <w:ilvl w:val="0"/>
                <w:numId w:val="11"/>
              </w:numPr>
              <w:rPr>
                <w:rFonts w:cs="Arial" w:asciiTheme="minorEastAsia" w:hAnsiTheme="minorEastAsia"/>
                <w:sz w:val="22"/>
              </w:rPr>
            </w:pPr>
            <w:r>
              <w:rPr>
                <w:rFonts w:cs="Arial" w:asciiTheme="minorEastAsia" w:hAnsiTheme="minorEastAsia"/>
                <w:sz w:val="22"/>
              </w:rPr>
              <w:t>营业场所外财产条款</w:t>
            </w:r>
          </w:p>
          <w:p>
            <w:pPr>
              <w:widowControl/>
              <w:numPr>
                <w:ilvl w:val="0"/>
                <w:numId w:val="11"/>
              </w:numPr>
              <w:rPr>
                <w:rFonts w:cs="Arial" w:asciiTheme="minorEastAsia" w:hAnsiTheme="minorEastAsia"/>
                <w:sz w:val="22"/>
              </w:rPr>
            </w:pPr>
            <w:r>
              <w:rPr>
                <w:rFonts w:cs="Arial" w:asciiTheme="minorEastAsia" w:hAnsiTheme="minorEastAsia"/>
                <w:sz w:val="22"/>
              </w:rPr>
              <w:t>资产确定条款</w:t>
            </w:r>
          </w:p>
          <w:p>
            <w:pPr>
              <w:widowControl/>
              <w:numPr>
                <w:ilvl w:val="0"/>
                <w:numId w:val="11"/>
              </w:numPr>
              <w:rPr>
                <w:rFonts w:cs="Arial" w:asciiTheme="minorEastAsia" w:hAnsiTheme="minorEastAsia"/>
                <w:sz w:val="22"/>
              </w:rPr>
            </w:pPr>
            <w:r>
              <w:rPr>
                <w:rFonts w:cs="Arial" w:asciiTheme="minorEastAsia" w:hAnsiTheme="minorEastAsia"/>
                <w:sz w:val="22"/>
              </w:rPr>
              <w:t>税项条款</w:t>
            </w:r>
          </w:p>
          <w:p>
            <w:pPr>
              <w:widowControl/>
              <w:numPr>
                <w:ilvl w:val="0"/>
                <w:numId w:val="11"/>
              </w:numPr>
              <w:rPr>
                <w:rFonts w:cs="Arial" w:asciiTheme="minorEastAsia" w:hAnsiTheme="minorEastAsia"/>
                <w:sz w:val="22"/>
              </w:rPr>
            </w:pPr>
            <w:r>
              <w:rPr>
                <w:rFonts w:cs="Arial" w:asciiTheme="minorEastAsia" w:hAnsiTheme="minorEastAsia"/>
                <w:sz w:val="22"/>
              </w:rPr>
              <w:t>放弃比例分摊扩展条款</w:t>
            </w:r>
          </w:p>
          <w:p>
            <w:pPr>
              <w:widowControl/>
              <w:numPr>
                <w:ilvl w:val="0"/>
                <w:numId w:val="11"/>
              </w:numPr>
              <w:rPr>
                <w:rFonts w:cs="Arial" w:asciiTheme="minorEastAsia" w:hAnsiTheme="minorEastAsia"/>
                <w:sz w:val="22"/>
              </w:rPr>
            </w:pPr>
            <w:r>
              <w:rPr>
                <w:rFonts w:cs="Arial" w:asciiTheme="minorEastAsia" w:hAnsiTheme="minorEastAsia"/>
                <w:sz w:val="22"/>
              </w:rPr>
              <w:t>计算机及其附属设备扩展条款</w:t>
            </w:r>
          </w:p>
          <w:p>
            <w:pPr>
              <w:widowControl/>
              <w:numPr>
                <w:ilvl w:val="0"/>
                <w:numId w:val="11"/>
              </w:numPr>
              <w:rPr>
                <w:rFonts w:cs="Arial" w:asciiTheme="minorEastAsia" w:hAnsiTheme="minorEastAsia"/>
                <w:sz w:val="22"/>
              </w:rPr>
            </w:pPr>
            <w:r>
              <w:rPr>
                <w:rFonts w:cs="Arial" w:asciiTheme="minorEastAsia" w:hAnsiTheme="minorEastAsia"/>
                <w:sz w:val="22"/>
              </w:rPr>
              <w:t>场外维修及改造条款</w:t>
            </w:r>
          </w:p>
          <w:p>
            <w:pPr>
              <w:widowControl/>
              <w:numPr>
                <w:ilvl w:val="0"/>
                <w:numId w:val="11"/>
              </w:numPr>
              <w:rPr>
                <w:rFonts w:cs="Arial" w:asciiTheme="minorEastAsia" w:hAnsiTheme="minorEastAsia"/>
                <w:sz w:val="22"/>
              </w:rPr>
            </w:pPr>
            <w:r>
              <w:rPr>
                <w:rFonts w:cs="Arial" w:asciiTheme="minorEastAsia" w:hAnsiTheme="minorEastAsia"/>
                <w:sz w:val="22"/>
              </w:rPr>
              <w:t xml:space="preserve">紧急抢险条款 </w:t>
            </w:r>
          </w:p>
          <w:p>
            <w:pPr>
              <w:widowControl/>
              <w:numPr>
                <w:ilvl w:val="0"/>
                <w:numId w:val="11"/>
              </w:numPr>
              <w:rPr>
                <w:rFonts w:cs="Arial" w:asciiTheme="minorEastAsia" w:hAnsiTheme="minorEastAsia"/>
                <w:sz w:val="22"/>
              </w:rPr>
            </w:pPr>
            <w:r>
              <w:rPr>
                <w:rFonts w:cs="Arial" w:asciiTheme="minorEastAsia" w:hAnsiTheme="minorEastAsia"/>
                <w:sz w:val="22"/>
              </w:rPr>
              <w:t>优先使用原供应商条款</w:t>
            </w:r>
          </w:p>
          <w:p>
            <w:pPr>
              <w:widowControl/>
              <w:numPr>
                <w:ilvl w:val="0"/>
                <w:numId w:val="11"/>
              </w:numPr>
              <w:rPr>
                <w:rFonts w:cs="Arial" w:asciiTheme="minorEastAsia" w:hAnsiTheme="minorEastAsia"/>
                <w:sz w:val="22"/>
              </w:rPr>
            </w:pPr>
            <w:r>
              <w:rPr>
                <w:rFonts w:cs="Arial" w:asciiTheme="minorEastAsia" w:hAnsiTheme="minorEastAsia"/>
                <w:sz w:val="22"/>
              </w:rPr>
              <w:t>租金损失险条款</w:t>
            </w:r>
          </w:p>
          <w:p>
            <w:pPr>
              <w:widowControl/>
              <w:numPr>
                <w:ilvl w:val="0"/>
                <w:numId w:val="11"/>
              </w:numPr>
              <w:rPr>
                <w:rFonts w:cs="Arial" w:asciiTheme="minorEastAsia" w:hAnsiTheme="minorEastAsia"/>
                <w:sz w:val="22"/>
              </w:rPr>
            </w:pPr>
            <w:r>
              <w:rPr>
                <w:rFonts w:cs="Arial" w:asciiTheme="minorEastAsia" w:hAnsiTheme="minorEastAsia"/>
                <w:sz w:val="22"/>
              </w:rPr>
              <w:t>账目分类条款</w:t>
            </w:r>
          </w:p>
          <w:p>
            <w:pPr>
              <w:widowControl/>
              <w:numPr>
                <w:ilvl w:val="0"/>
                <w:numId w:val="11"/>
              </w:numPr>
              <w:rPr>
                <w:rFonts w:cs="Arial" w:asciiTheme="minorEastAsia" w:hAnsiTheme="minorEastAsia"/>
                <w:sz w:val="22"/>
              </w:rPr>
            </w:pPr>
            <w:r>
              <w:rPr>
                <w:rFonts w:cs="Arial" w:asciiTheme="minorEastAsia" w:hAnsiTheme="minorEastAsia"/>
                <w:sz w:val="22"/>
              </w:rPr>
              <w:t xml:space="preserve">试车条款/调试条款 </w:t>
            </w:r>
          </w:p>
          <w:p>
            <w:pPr>
              <w:widowControl/>
              <w:numPr>
                <w:ilvl w:val="0"/>
                <w:numId w:val="11"/>
              </w:numPr>
              <w:rPr>
                <w:rFonts w:cs="Arial" w:asciiTheme="minorEastAsia" w:hAnsiTheme="minorEastAsia"/>
                <w:sz w:val="22"/>
              </w:rPr>
            </w:pPr>
            <w:r>
              <w:rPr>
                <w:rFonts w:cs="Arial" w:asciiTheme="minorEastAsia" w:hAnsiTheme="minorEastAsia"/>
                <w:sz w:val="22"/>
              </w:rPr>
              <w:t>检修扩展条款</w:t>
            </w:r>
          </w:p>
          <w:p>
            <w:pPr>
              <w:widowControl/>
              <w:numPr>
                <w:ilvl w:val="0"/>
                <w:numId w:val="11"/>
              </w:numPr>
              <w:rPr>
                <w:rFonts w:cs="Arial" w:asciiTheme="minorEastAsia" w:hAnsiTheme="minorEastAsia"/>
                <w:sz w:val="22"/>
              </w:rPr>
            </w:pPr>
            <w:r>
              <w:rPr>
                <w:rFonts w:cs="Arial" w:asciiTheme="minorEastAsia" w:hAnsiTheme="minorEastAsia"/>
                <w:sz w:val="22"/>
              </w:rPr>
              <w:t>租赁财产条款（每次及累计赔偿限额：RMB1000万元）</w:t>
            </w:r>
          </w:p>
          <w:p>
            <w:pPr>
              <w:widowControl/>
              <w:numPr>
                <w:ilvl w:val="0"/>
                <w:numId w:val="11"/>
              </w:numPr>
              <w:rPr>
                <w:rFonts w:asciiTheme="minorEastAsia" w:hAnsiTheme="minorEastAsia"/>
                <w:sz w:val="22"/>
              </w:rPr>
            </w:pPr>
            <w:r>
              <w:rPr>
                <w:rFonts w:asciiTheme="minorEastAsia" w:hAnsiTheme="minorEastAsia"/>
                <w:sz w:val="22"/>
              </w:rPr>
              <w:t>关于机器设备零部件及易损易耗件条款</w:t>
            </w:r>
          </w:p>
          <w:p>
            <w:pPr>
              <w:widowControl/>
              <w:jc w:val="left"/>
              <w:rPr>
                <w:rFonts w:cs="Arial" w:asciiTheme="minorEastAsia" w:hAnsiTheme="minorEastAsia"/>
                <w:sz w:val="22"/>
              </w:rPr>
            </w:pPr>
          </w:p>
          <w:p>
            <w:pPr>
              <w:ind w:left="420"/>
              <w:rPr>
                <w:rFonts w:cs="Arial" w:asciiTheme="minorEastAsia" w:hAnsiTheme="minorEastAsia"/>
                <w:sz w:val="22"/>
              </w:rPr>
            </w:pPr>
          </w:p>
        </w:tc>
      </w:tr>
      <w:tr>
        <w:tblPrEx>
          <w:tblCellMar>
            <w:top w:w="0" w:type="dxa"/>
            <w:left w:w="108" w:type="dxa"/>
            <w:bottom w:w="0" w:type="dxa"/>
            <w:right w:w="108" w:type="dxa"/>
          </w:tblCellMar>
        </w:tblPrEx>
        <w:tc>
          <w:tcPr>
            <w:tcW w:w="1384" w:type="dxa"/>
          </w:tcPr>
          <w:p>
            <w:pPr>
              <w:rPr>
                <w:rFonts w:ascii="Arial" w:hAnsi="Arial" w:cs="Arial"/>
                <w:b/>
                <w:szCs w:val="21"/>
              </w:rPr>
            </w:pPr>
          </w:p>
        </w:tc>
        <w:tc>
          <w:tcPr>
            <w:tcW w:w="327" w:type="dxa"/>
          </w:tcPr>
          <w:p>
            <w:pPr>
              <w:rPr>
                <w:rFonts w:ascii="Arial" w:hAnsi="Arial" w:cs="Arial"/>
                <w:b/>
                <w:szCs w:val="21"/>
              </w:rPr>
            </w:pPr>
          </w:p>
        </w:tc>
        <w:tc>
          <w:tcPr>
            <w:tcW w:w="7469" w:type="dxa"/>
          </w:tcPr>
          <w:p>
            <w:pPr>
              <w:rPr>
                <w:rFonts w:ascii="Arial" w:hAnsi="Arial" w:cs="Arial"/>
                <w:szCs w:val="21"/>
              </w:rPr>
            </w:pPr>
          </w:p>
        </w:tc>
      </w:tr>
    </w:tbl>
    <w:p>
      <w:pPr>
        <w:rPr>
          <w:rFonts w:ascii="Arial" w:hAnsi="Arial" w:cs="Arial"/>
          <w:szCs w:val="21"/>
        </w:rPr>
      </w:pPr>
      <w:r>
        <w:rPr>
          <w:rFonts w:ascii="Arial" w:hAnsi="Arial" w:cs="Arial"/>
          <w:szCs w:val="21"/>
        </w:rPr>
        <w:br w:type="page"/>
      </w:r>
    </w:p>
    <w:p>
      <w:pPr>
        <w:pStyle w:val="3"/>
        <w:spacing w:before="100" w:beforeAutospacing="1" w:after="156" w:afterLines="50" w:line="240" w:lineRule="auto"/>
        <w:ind w:left="0"/>
        <w:jc w:val="center"/>
        <w:rPr>
          <w:rFonts w:ascii="宋体" w:hAnsi="宋体"/>
          <w:sz w:val="28"/>
          <w:szCs w:val="28"/>
          <w:lang w:eastAsia="zh-CN"/>
        </w:rPr>
      </w:pPr>
      <w:r>
        <w:rPr>
          <w:rFonts w:hint="eastAsia" w:ascii="宋体" w:hAnsi="宋体"/>
          <w:sz w:val="28"/>
          <w:szCs w:val="28"/>
          <w:lang w:eastAsia="zh-CN"/>
        </w:rPr>
        <w:t>机器损坏保险条款</w:t>
      </w:r>
    </w:p>
    <w:p>
      <w:pPr>
        <w:rPr>
          <w:rFonts w:ascii="Arial" w:hAnsi="Arial" w:cs="Arial"/>
          <w:szCs w:val="21"/>
        </w:rPr>
      </w:pPr>
    </w:p>
    <w:p>
      <w:pPr>
        <w:ind w:firstLine="422" w:firstLineChars="200"/>
        <w:jc w:val="center"/>
        <w:rPr>
          <w:rFonts w:ascii="Arial" w:hAnsi="Arial" w:cs="Arial"/>
          <w:b/>
          <w:bCs/>
          <w:szCs w:val="21"/>
        </w:rPr>
      </w:pPr>
      <w:r>
        <w:rPr>
          <w:rFonts w:ascii="Arial" w:hAnsi="Arial" w:cs="Arial"/>
          <w:b/>
          <w:bCs/>
          <w:szCs w:val="21"/>
        </w:rPr>
        <w:t>总则</w:t>
      </w:r>
    </w:p>
    <w:p>
      <w:pPr>
        <w:ind w:firstLine="422" w:firstLineChars="200"/>
        <w:rPr>
          <w:rFonts w:ascii="Arial" w:hAnsi="Arial" w:cs="Arial"/>
          <w:szCs w:val="21"/>
        </w:rPr>
      </w:pPr>
      <w:r>
        <w:rPr>
          <w:rFonts w:ascii="Arial" w:hAnsi="Arial" w:cs="Arial"/>
          <w:b/>
          <w:szCs w:val="21"/>
        </w:rPr>
        <w:t>第一条</w:t>
      </w:r>
      <w:r>
        <w:rPr>
          <w:rFonts w:ascii="Arial" w:hAnsi="Arial" w:cs="Arial"/>
          <w:szCs w:val="21"/>
        </w:rPr>
        <w:t xml:space="preserve">  本保险合同由保险条款、投保单、保险单或其他保险凭证以及批单组成。凡涉及本保险合同的约定，均应采用书面形式。</w:t>
      </w:r>
    </w:p>
    <w:p>
      <w:pPr>
        <w:ind w:firstLine="420" w:firstLineChars="200"/>
        <w:rPr>
          <w:rFonts w:ascii="Arial" w:hAnsi="Arial" w:cs="Arial"/>
          <w:szCs w:val="21"/>
        </w:rPr>
      </w:pPr>
    </w:p>
    <w:p>
      <w:pPr>
        <w:ind w:firstLine="422" w:firstLineChars="200"/>
        <w:jc w:val="center"/>
        <w:rPr>
          <w:rFonts w:ascii="Arial" w:hAnsi="Arial" w:cs="Arial"/>
          <w:b/>
          <w:bCs/>
          <w:szCs w:val="21"/>
        </w:rPr>
      </w:pPr>
      <w:r>
        <w:rPr>
          <w:rFonts w:ascii="Arial" w:hAnsi="Arial" w:cs="Arial"/>
          <w:b/>
          <w:bCs/>
          <w:szCs w:val="21"/>
        </w:rPr>
        <w:t>保险标的</w:t>
      </w:r>
    </w:p>
    <w:p>
      <w:pPr>
        <w:ind w:firstLine="422" w:firstLineChars="200"/>
        <w:rPr>
          <w:rFonts w:ascii="Arial" w:hAnsi="Arial" w:cs="Arial"/>
          <w:szCs w:val="21"/>
        </w:rPr>
      </w:pPr>
      <w:r>
        <w:rPr>
          <w:rFonts w:ascii="Arial" w:hAnsi="Arial" w:cs="Arial"/>
          <w:b/>
          <w:szCs w:val="21"/>
        </w:rPr>
        <w:t>第二条</w:t>
      </w:r>
      <w:r>
        <w:rPr>
          <w:rFonts w:ascii="Arial" w:hAnsi="Arial" w:cs="Arial"/>
          <w:szCs w:val="21"/>
        </w:rPr>
        <w:t xml:space="preserve">  本保险合同载明的机器及附属设备，均可作为保险标的。</w:t>
      </w:r>
    </w:p>
    <w:p>
      <w:pPr>
        <w:ind w:firstLine="420" w:firstLineChars="200"/>
        <w:rPr>
          <w:rFonts w:ascii="Arial" w:hAnsi="Arial" w:cs="Arial"/>
          <w:i/>
          <w:iCs/>
          <w:szCs w:val="21"/>
        </w:rPr>
      </w:pPr>
    </w:p>
    <w:p>
      <w:pPr>
        <w:ind w:firstLine="422" w:firstLineChars="200"/>
        <w:jc w:val="center"/>
        <w:rPr>
          <w:rFonts w:ascii="Arial" w:hAnsi="Arial" w:cs="Arial"/>
          <w:b/>
          <w:bCs/>
          <w:szCs w:val="21"/>
        </w:rPr>
      </w:pPr>
      <w:r>
        <w:rPr>
          <w:rFonts w:ascii="Arial" w:hAnsi="Arial" w:cs="Arial"/>
          <w:b/>
          <w:bCs/>
          <w:szCs w:val="21"/>
        </w:rPr>
        <w:t>保险责任</w:t>
      </w:r>
    </w:p>
    <w:p>
      <w:pPr>
        <w:autoSpaceDE w:val="0"/>
        <w:autoSpaceDN w:val="0"/>
        <w:adjustRightInd w:val="0"/>
        <w:snapToGrid w:val="0"/>
        <w:ind w:firstLine="422" w:firstLineChars="200"/>
        <w:rPr>
          <w:rFonts w:ascii="Arial" w:hAnsi="Arial" w:cs="Arial"/>
          <w:szCs w:val="21"/>
        </w:rPr>
      </w:pPr>
      <w:r>
        <w:rPr>
          <w:rFonts w:ascii="Arial" w:hAnsi="Arial" w:cs="Arial"/>
          <w:b/>
          <w:szCs w:val="21"/>
        </w:rPr>
        <w:t>第三条</w:t>
      </w:r>
      <w:r>
        <w:rPr>
          <w:rFonts w:ascii="Arial" w:hAnsi="Arial" w:cs="Arial"/>
          <w:szCs w:val="21"/>
        </w:rPr>
        <w:t xml:space="preserve">  在保险期间内，因下列原因引起或构成突然的、不可预料的意外事故造成的物质损坏或灭失(以下简称“损失”)，保险人按照本保险合同的约定负责赔偿：</w:t>
      </w:r>
    </w:p>
    <w:p>
      <w:pPr>
        <w:autoSpaceDE w:val="0"/>
        <w:autoSpaceDN w:val="0"/>
        <w:adjustRightInd w:val="0"/>
        <w:snapToGrid w:val="0"/>
        <w:ind w:firstLine="420" w:firstLineChars="200"/>
        <w:rPr>
          <w:rFonts w:ascii="Arial" w:hAnsi="Arial" w:cs="Arial"/>
          <w:szCs w:val="21"/>
        </w:rPr>
      </w:pPr>
      <w:r>
        <w:rPr>
          <w:rFonts w:ascii="Arial" w:hAnsi="Arial" w:cs="Arial"/>
          <w:szCs w:val="21"/>
        </w:rPr>
        <w:t>(一) 设计、制造或安装错误、铸造和原材料缺陷；</w:t>
      </w:r>
    </w:p>
    <w:p>
      <w:pPr>
        <w:autoSpaceDE w:val="0"/>
        <w:autoSpaceDN w:val="0"/>
        <w:adjustRightInd w:val="0"/>
        <w:snapToGrid w:val="0"/>
        <w:ind w:firstLine="420" w:firstLineChars="200"/>
        <w:rPr>
          <w:rFonts w:ascii="Arial" w:hAnsi="Arial" w:cs="Arial"/>
          <w:szCs w:val="21"/>
        </w:rPr>
      </w:pPr>
      <w:r>
        <w:rPr>
          <w:rFonts w:ascii="Arial" w:hAnsi="Arial" w:cs="Arial"/>
          <w:szCs w:val="21"/>
        </w:rPr>
        <w:t>(二) 工人、技术人员操作错误、缺乏经验、技术不善、疏忽、过失、恶意行为；</w:t>
      </w:r>
    </w:p>
    <w:p>
      <w:pPr>
        <w:autoSpaceDE w:val="0"/>
        <w:autoSpaceDN w:val="0"/>
        <w:adjustRightInd w:val="0"/>
        <w:snapToGrid w:val="0"/>
        <w:ind w:firstLine="420" w:firstLineChars="200"/>
        <w:rPr>
          <w:rFonts w:ascii="Arial" w:hAnsi="Arial" w:cs="Arial"/>
          <w:szCs w:val="21"/>
        </w:rPr>
      </w:pPr>
      <w:r>
        <w:rPr>
          <w:rFonts w:ascii="Arial" w:hAnsi="Arial" w:cs="Arial"/>
          <w:szCs w:val="21"/>
        </w:rPr>
        <w:t>(三) 离心力引起的断裂；</w:t>
      </w:r>
    </w:p>
    <w:p>
      <w:pPr>
        <w:autoSpaceDE w:val="0"/>
        <w:autoSpaceDN w:val="0"/>
        <w:adjustRightInd w:val="0"/>
        <w:snapToGrid w:val="0"/>
        <w:ind w:firstLine="420" w:firstLineChars="200"/>
        <w:rPr>
          <w:rFonts w:ascii="Arial" w:hAnsi="Arial" w:cs="Arial"/>
          <w:szCs w:val="21"/>
        </w:rPr>
      </w:pPr>
      <w:r>
        <w:rPr>
          <w:rFonts w:ascii="Arial" w:hAnsi="Arial" w:cs="Arial"/>
          <w:szCs w:val="21"/>
        </w:rPr>
        <w:t>(四) 超负荷、超电压、碰线、电弧、漏电、短路、大气放电、感应电及其他电气原因；</w:t>
      </w:r>
    </w:p>
    <w:p>
      <w:pPr>
        <w:autoSpaceDE w:val="0"/>
        <w:autoSpaceDN w:val="0"/>
        <w:adjustRightInd w:val="0"/>
        <w:snapToGrid w:val="0"/>
        <w:ind w:firstLine="420" w:firstLineChars="200"/>
        <w:rPr>
          <w:rFonts w:ascii="Arial" w:hAnsi="Arial" w:cs="Arial"/>
          <w:szCs w:val="21"/>
        </w:rPr>
      </w:pPr>
      <w:r>
        <w:rPr>
          <w:rFonts w:ascii="Arial" w:hAnsi="Arial" w:cs="Arial"/>
          <w:szCs w:val="21"/>
        </w:rPr>
        <w:t>(五) 除本条款中“责任免除”规定以外的其他原因。</w:t>
      </w:r>
    </w:p>
    <w:p>
      <w:pPr>
        <w:autoSpaceDE w:val="0"/>
        <w:autoSpaceDN w:val="0"/>
        <w:adjustRightInd w:val="0"/>
        <w:snapToGrid w:val="0"/>
        <w:ind w:firstLine="422" w:firstLineChars="200"/>
        <w:rPr>
          <w:rFonts w:ascii="Arial" w:hAnsi="Arial" w:cs="Arial"/>
          <w:szCs w:val="21"/>
        </w:rPr>
      </w:pPr>
      <w:r>
        <w:rPr>
          <w:rFonts w:ascii="Arial" w:hAnsi="Arial" w:cs="Arial"/>
          <w:b/>
          <w:szCs w:val="21"/>
        </w:rPr>
        <w:t>第四条</w:t>
      </w:r>
      <w:r>
        <w:rPr>
          <w:rFonts w:ascii="Arial" w:hAnsi="Arial" w:cs="Arial"/>
          <w:szCs w:val="21"/>
        </w:rPr>
        <w:t xml:space="preserve">  保险事故发生后，被保险人为防止或减少保险标的的损失所支付的必要的、合理的费用，保险人按照本保险合同的约定也负责赔偿。</w:t>
      </w:r>
    </w:p>
    <w:p>
      <w:pPr>
        <w:pStyle w:val="22"/>
        <w:spacing w:after="0" w:line="240" w:lineRule="auto"/>
        <w:ind w:firstLine="420" w:firstLineChars="200"/>
        <w:rPr>
          <w:rFonts w:ascii="Arial" w:hAnsi="Arial" w:cs="Arial" w:eastAsiaTheme="minorEastAsia"/>
          <w:b/>
          <w:szCs w:val="21"/>
        </w:rPr>
      </w:pPr>
    </w:p>
    <w:p>
      <w:pPr>
        <w:ind w:firstLine="422" w:firstLineChars="200"/>
        <w:jc w:val="center"/>
        <w:rPr>
          <w:rFonts w:ascii="Arial" w:hAnsi="Arial" w:cs="Arial"/>
          <w:b/>
          <w:bCs/>
          <w:szCs w:val="21"/>
        </w:rPr>
      </w:pPr>
      <w:r>
        <w:rPr>
          <w:rFonts w:ascii="Arial" w:hAnsi="Arial" w:cs="Arial"/>
          <w:b/>
          <w:bCs/>
          <w:szCs w:val="21"/>
        </w:rPr>
        <w:t>责任免除</w:t>
      </w:r>
    </w:p>
    <w:p>
      <w:pPr>
        <w:ind w:firstLine="422" w:firstLineChars="200"/>
        <w:rPr>
          <w:rFonts w:ascii="Arial" w:hAnsi="Arial" w:cs="Arial"/>
          <w:b/>
          <w:szCs w:val="21"/>
        </w:rPr>
      </w:pPr>
      <w:r>
        <w:rPr>
          <w:rFonts w:ascii="Arial" w:hAnsi="Arial" w:cs="Arial"/>
          <w:b/>
          <w:szCs w:val="21"/>
        </w:rPr>
        <w:t>第五条</w:t>
      </w:r>
      <w:r>
        <w:rPr>
          <w:rFonts w:ascii="Arial" w:hAnsi="Arial" w:cs="Arial"/>
          <w:szCs w:val="21"/>
        </w:rPr>
        <w:t xml:space="preserve"> </w:t>
      </w:r>
      <w:r>
        <w:rPr>
          <w:rFonts w:ascii="Arial" w:hAnsi="Arial" w:cs="Arial"/>
          <w:b/>
          <w:szCs w:val="21"/>
        </w:rPr>
        <w:t xml:space="preserve"> 下列原因造成的损失、费用，保险人不负责赔偿：</w:t>
      </w:r>
    </w:p>
    <w:p>
      <w:pPr>
        <w:ind w:firstLine="422" w:firstLineChars="200"/>
        <w:rPr>
          <w:rFonts w:ascii="Arial" w:hAnsi="Arial" w:cs="Arial"/>
          <w:b/>
          <w:szCs w:val="21"/>
        </w:rPr>
      </w:pPr>
      <w:r>
        <w:rPr>
          <w:rFonts w:ascii="Arial" w:hAnsi="Arial" w:cs="Arial"/>
          <w:b/>
          <w:szCs w:val="21"/>
        </w:rPr>
        <w:t>（一）被保险人及其代表的故意行为或重大过失；</w:t>
      </w:r>
    </w:p>
    <w:p>
      <w:pPr>
        <w:ind w:firstLine="422" w:firstLineChars="200"/>
        <w:rPr>
          <w:rFonts w:ascii="Arial" w:hAnsi="Arial" w:cs="Arial"/>
          <w:b/>
          <w:szCs w:val="21"/>
        </w:rPr>
      </w:pPr>
      <w:r>
        <w:rPr>
          <w:rFonts w:ascii="Arial" w:hAnsi="Arial" w:cs="Arial"/>
          <w:b/>
          <w:szCs w:val="21"/>
        </w:rPr>
        <w:t>（二）被保险人及其代表已经知道或应该知道的保险机器及其附属设备在本保险开始前已经存在的缺点或缺陷；</w:t>
      </w:r>
    </w:p>
    <w:p>
      <w:pPr>
        <w:autoSpaceDE w:val="0"/>
        <w:autoSpaceDN w:val="0"/>
        <w:adjustRightInd w:val="0"/>
        <w:snapToGrid w:val="0"/>
        <w:ind w:firstLine="422" w:firstLineChars="200"/>
        <w:rPr>
          <w:rFonts w:ascii="Arial" w:hAnsi="Arial" w:cs="Arial"/>
          <w:b/>
          <w:szCs w:val="21"/>
        </w:rPr>
      </w:pPr>
      <w:r>
        <w:rPr>
          <w:rFonts w:ascii="Arial" w:hAnsi="Arial" w:cs="Arial"/>
          <w:b/>
          <w:szCs w:val="21"/>
        </w:rPr>
        <w:t>（三）战争、类似战争行为、敌对行为、武装冲突、恐怖活动、谋反、政变、罢工、暴动、民众骚乱；</w:t>
      </w:r>
    </w:p>
    <w:p>
      <w:pPr>
        <w:autoSpaceDE w:val="0"/>
        <w:autoSpaceDN w:val="0"/>
        <w:adjustRightInd w:val="0"/>
        <w:snapToGrid w:val="0"/>
        <w:ind w:firstLine="422" w:firstLineChars="200"/>
        <w:rPr>
          <w:rFonts w:ascii="Arial" w:hAnsi="Arial" w:cs="Arial"/>
          <w:b/>
          <w:szCs w:val="21"/>
        </w:rPr>
      </w:pPr>
      <w:r>
        <w:rPr>
          <w:rFonts w:ascii="Arial" w:hAnsi="Arial" w:cs="Arial"/>
          <w:b/>
          <w:szCs w:val="21"/>
        </w:rPr>
        <w:t>（四）政府命令或任何公共当局没收、征用、销毁或毁坏；</w:t>
      </w:r>
    </w:p>
    <w:p>
      <w:pPr>
        <w:autoSpaceDE w:val="0"/>
        <w:autoSpaceDN w:val="0"/>
        <w:adjustRightInd w:val="0"/>
        <w:snapToGrid w:val="0"/>
        <w:ind w:firstLine="422" w:firstLineChars="200"/>
        <w:rPr>
          <w:rFonts w:ascii="Arial" w:hAnsi="Arial" w:cs="Arial"/>
          <w:b/>
          <w:szCs w:val="21"/>
        </w:rPr>
      </w:pPr>
      <w:r>
        <w:rPr>
          <w:rFonts w:ascii="Arial" w:hAnsi="Arial" w:cs="Arial"/>
          <w:b/>
          <w:szCs w:val="21"/>
        </w:rPr>
        <w:t>（五）核裂变、核聚变、核武器、核材料、核辐射及放射性污染；</w:t>
      </w:r>
    </w:p>
    <w:p>
      <w:pPr>
        <w:autoSpaceDE w:val="0"/>
        <w:autoSpaceDN w:val="0"/>
        <w:adjustRightInd w:val="0"/>
        <w:snapToGrid w:val="0"/>
        <w:ind w:firstLine="422" w:firstLineChars="200"/>
        <w:rPr>
          <w:rFonts w:ascii="Arial" w:hAnsi="Arial" w:cs="Arial"/>
          <w:b/>
          <w:szCs w:val="21"/>
        </w:rPr>
      </w:pPr>
      <w:r>
        <w:rPr>
          <w:rFonts w:ascii="Arial" w:hAnsi="Arial" w:cs="Arial"/>
          <w:b/>
          <w:szCs w:val="21"/>
        </w:rPr>
        <w:t>（六）机器设备运行必然引起的后果，如自然磨损、氧化、腐蚀、锈蚀、孔蚀、锅垢等物理性变化或化学反应；</w:t>
      </w:r>
    </w:p>
    <w:p>
      <w:pPr>
        <w:autoSpaceDE w:val="0"/>
        <w:autoSpaceDN w:val="0"/>
        <w:adjustRightInd w:val="0"/>
        <w:snapToGrid w:val="0"/>
        <w:ind w:firstLine="422" w:firstLineChars="200"/>
        <w:rPr>
          <w:rFonts w:ascii="Arial" w:hAnsi="Arial" w:cs="Arial"/>
          <w:b/>
          <w:szCs w:val="21"/>
        </w:rPr>
      </w:pPr>
      <w:r>
        <w:rPr>
          <w:rFonts w:ascii="Arial" w:hAnsi="Arial" w:cs="Arial"/>
          <w:b/>
          <w:szCs w:val="21"/>
        </w:rPr>
        <w:t>（七）由于公共设施部门的限制性供应及故意行为或非意外事故引起的停电、停气、停水；</w:t>
      </w:r>
    </w:p>
    <w:p>
      <w:pPr>
        <w:autoSpaceDE w:val="0"/>
        <w:autoSpaceDN w:val="0"/>
        <w:adjustRightInd w:val="0"/>
        <w:snapToGrid w:val="0"/>
        <w:ind w:firstLine="422" w:firstLineChars="200"/>
        <w:rPr>
          <w:rFonts w:ascii="Arial" w:hAnsi="Arial" w:cs="Arial"/>
          <w:b/>
          <w:szCs w:val="21"/>
        </w:rPr>
      </w:pPr>
      <w:r>
        <w:rPr>
          <w:rFonts w:ascii="Arial" w:hAnsi="Arial" w:cs="Arial"/>
          <w:b/>
          <w:szCs w:val="21"/>
        </w:rPr>
        <w:t>（八）火灾、爆炸；</w:t>
      </w:r>
    </w:p>
    <w:p>
      <w:pPr>
        <w:autoSpaceDE w:val="0"/>
        <w:autoSpaceDN w:val="0"/>
        <w:adjustRightInd w:val="0"/>
        <w:snapToGrid w:val="0"/>
        <w:ind w:firstLine="422" w:firstLineChars="200"/>
        <w:rPr>
          <w:rFonts w:ascii="Arial" w:hAnsi="Arial" w:cs="Arial"/>
          <w:b/>
          <w:szCs w:val="21"/>
        </w:rPr>
      </w:pPr>
      <w:r>
        <w:rPr>
          <w:rFonts w:ascii="Arial" w:hAnsi="Arial" w:cs="Arial"/>
          <w:b/>
          <w:szCs w:val="21"/>
        </w:rPr>
        <w:t>（九）地震、海啸及其次生灾害；</w:t>
      </w:r>
    </w:p>
    <w:p>
      <w:pPr>
        <w:autoSpaceDE w:val="0"/>
        <w:autoSpaceDN w:val="0"/>
        <w:adjustRightInd w:val="0"/>
        <w:snapToGrid w:val="0"/>
        <w:ind w:firstLine="422" w:firstLineChars="200"/>
        <w:rPr>
          <w:rFonts w:ascii="Arial" w:hAnsi="Arial" w:cs="Arial"/>
          <w:b/>
          <w:szCs w:val="21"/>
        </w:rPr>
      </w:pPr>
      <w:r>
        <w:rPr>
          <w:rFonts w:ascii="Arial" w:hAnsi="Arial" w:cs="Arial"/>
          <w:b/>
          <w:szCs w:val="21"/>
        </w:rPr>
        <w:t>（十）雷击、飓风、台风、龙卷风、暴风、暴雨、洪水、冰雹、地崩、山崩、雪崩、火山爆发、地面下陷下沉及其他自然灾害；</w:t>
      </w:r>
    </w:p>
    <w:p>
      <w:pPr>
        <w:autoSpaceDE w:val="0"/>
        <w:autoSpaceDN w:val="0"/>
        <w:adjustRightInd w:val="0"/>
        <w:snapToGrid w:val="0"/>
        <w:ind w:firstLine="422" w:firstLineChars="200"/>
        <w:rPr>
          <w:rFonts w:ascii="Arial" w:hAnsi="Arial" w:cs="Arial"/>
          <w:b/>
          <w:szCs w:val="21"/>
        </w:rPr>
      </w:pPr>
      <w:r>
        <w:rPr>
          <w:rFonts w:ascii="Arial" w:hAnsi="Arial" w:cs="Arial"/>
          <w:b/>
          <w:szCs w:val="21"/>
        </w:rPr>
        <w:t>（十一）飞机坠毁、飞机部件或飞机物体坠落；</w:t>
      </w:r>
    </w:p>
    <w:p>
      <w:pPr>
        <w:autoSpaceDE w:val="0"/>
        <w:autoSpaceDN w:val="0"/>
        <w:adjustRightInd w:val="0"/>
        <w:snapToGrid w:val="0"/>
        <w:ind w:firstLine="422" w:firstLineChars="200"/>
        <w:rPr>
          <w:rFonts w:ascii="Arial" w:hAnsi="Arial" w:cs="Arial"/>
          <w:b/>
          <w:szCs w:val="21"/>
        </w:rPr>
      </w:pPr>
      <w:r>
        <w:rPr>
          <w:rFonts w:ascii="Arial" w:hAnsi="Arial" w:cs="Arial"/>
          <w:b/>
          <w:szCs w:val="21"/>
        </w:rPr>
        <w:t>（十二）机动车碰撞；</w:t>
      </w:r>
    </w:p>
    <w:p>
      <w:pPr>
        <w:autoSpaceDE w:val="0"/>
        <w:autoSpaceDN w:val="0"/>
        <w:adjustRightInd w:val="0"/>
        <w:snapToGrid w:val="0"/>
        <w:ind w:firstLine="422" w:firstLineChars="200"/>
        <w:rPr>
          <w:rFonts w:ascii="Arial" w:hAnsi="Arial" w:cs="Arial"/>
          <w:b/>
          <w:szCs w:val="21"/>
        </w:rPr>
      </w:pPr>
      <w:r>
        <w:rPr>
          <w:rFonts w:ascii="Arial" w:hAnsi="Arial" w:cs="Arial"/>
          <w:b/>
          <w:szCs w:val="21"/>
        </w:rPr>
        <w:t>（十三）水箱、水管爆裂。</w:t>
      </w:r>
    </w:p>
    <w:p>
      <w:pPr>
        <w:autoSpaceDE w:val="0"/>
        <w:autoSpaceDN w:val="0"/>
        <w:adjustRightInd w:val="0"/>
        <w:snapToGrid w:val="0"/>
        <w:ind w:firstLine="422" w:firstLineChars="200"/>
        <w:rPr>
          <w:rFonts w:ascii="Arial" w:hAnsi="Arial" w:cs="Arial"/>
          <w:b/>
          <w:szCs w:val="21"/>
        </w:rPr>
      </w:pPr>
      <w:r>
        <w:rPr>
          <w:rFonts w:ascii="Arial" w:hAnsi="Arial" w:cs="Arial"/>
          <w:b/>
          <w:szCs w:val="21"/>
        </w:rPr>
        <w:t>第六条  下列损失、费用，保险人也不负责赔偿：</w:t>
      </w:r>
    </w:p>
    <w:p>
      <w:pPr>
        <w:autoSpaceDE w:val="0"/>
        <w:autoSpaceDN w:val="0"/>
        <w:adjustRightInd w:val="0"/>
        <w:snapToGrid w:val="0"/>
        <w:ind w:firstLine="422" w:firstLineChars="200"/>
        <w:rPr>
          <w:rFonts w:ascii="Arial" w:hAnsi="Arial" w:cs="Arial"/>
          <w:b/>
          <w:szCs w:val="21"/>
        </w:rPr>
      </w:pPr>
      <w:r>
        <w:rPr>
          <w:rFonts w:ascii="Arial" w:hAnsi="Arial" w:cs="Arial"/>
          <w:b/>
          <w:szCs w:val="21"/>
        </w:rPr>
        <w:t>（一）保险事故发生后引起的各种间接损失或费用；</w:t>
      </w:r>
    </w:p>
    <w:p>
      <w:pPr>
        <w:autoSpaceDE w:val="0"/>
        <w:autoSpaceDN w:val="0"/>
        <w:adjustRightInd w:val="0"/>
        <w:snapToGrid w:val="0"/>
        <w:ind w:firstLine="422" w:firstLineChars="200"/>
        <w:rPr>
          <w:rFonts w:ascii="Arial" w:hAnsi="Arial" w:cs="Arial"/>
          <w:b/>
          <w:szCs w:val="21"/>
        </w:rPr>
      </w:pPr>
      <w:r>
        <w:rPr>
          <w:rFonts w:ascii="Arial" w:hAnsi="Arial" w:cs="Arial"/>
          <w:b/>
          <w:szCs w:val="21"/>
        </w:rPr>
        <w:t>（二）各种传送带、缆绳、金属线、链条、轮胎、可调换或替代的钻头、钻杆、刀具、印刷滚筒、套筒、活动管道、玻璃、磁、陶及钢筛、网筛、毛毡制品、一切操作中的媒介物(如润滑油、燃料、催化剂等) 及其他各种易损、易耗品；</w:t>
      </w:r>
    </w:p>
    <w:p>
      <w:pPr>
        <w:autoSpaceDE w:val="0"/>
        <w:autoSpaceDN w:val="0"/>
        <w:adjustRightInd w:val="0"/>
        <w:snapToGrid w:val="0"/>
        <w:ind w:firstLine="422" w:firstLineChars="200"/>
        <w:rPr>
          <w:rFonts w:ascii="Arial" w:hAnsi="Arial" w:cs="Arial"/>
          <w:b/>
          <w:szCs w:val="21"/>
        </w:rPr>
      </w:pPr>
      <w:r>
        <w:rPr>
          <w:rFonts w:ascii="Arial" w:hAnsi="Arial" w:cs="Arial"/>
          <w:b/>
          <w:szCs w:val="21"/>
        </w:rPr>
        <w:t>（三）根据法律或契约应由供货方、制造人、安装人或修理人负责的损失或费用；</w:t>
      </w:r>
    </w:p>
    <w:p>
      <w:pPr>
        <w:autoSpaceDE w:val="0"/>
        <w:autoSpaceDN w:val="0"/>
        <w:adjustRightInd w:val="0"/>
        <w:snapToGrid w:val="0"/>
        <w:ind w:firstLine="422" w:firstLineChars="200"/>
        <w:rPr>
          <w:rFonts w:ascii="Arial" w:hAnsi="Arial" w:cs="Arial"/>
          <w:b/>
          <w:szCs w:val="21"/>
        </w:rPr>
      </w:pPr>
      <w:r>
        <w:rPr>
          <w:rFonts w:ascii="Arial" w:hAnsi="Arial" w:cs="Arial"/>
          <w:b/>
          <w:szCs w:val="21"/>
        </w:rPr>
        <w:t>（四）保险机器设备在修复或重置过程中发生的任何变更、性能增加或改进所产生的额外费用；</w:t>
      </w:r>
    </w:p>
    <w:p>
      <w:pPr>
        <w:autoSpaceDE w:val="0"/>
        <w:autoSpaceDN w:val="0"/>
        <w:adjustRightInd w:val="0"/>
        <w:snapToGrid w:val="0"/>
        <w:ind w:firstLine="422" w:firstLineChars="200"/>
        <w:rPr>
          <w:rFonts w:ascii="Arial" w:hAnsi="Arial" w:cs="Arial"/>
          <w:b/>
          <w:szCs w:val="21"/>
        </w:rPr>
      </w:pPr>
      <w:r>
        <w:rPr>
          <w:rFonts w:ascii="Arial" w:hAnsi="Arial" w:cs="Arial"/>
          <w:b/>
          <w:szCs w:val="21"/>
        </w:rPr>
        <w:t>（五） 本保险合同中载明的免赔额或按本保险合同中载明的免赔率计算的免赔额。</w:t>
      </w:r>
    </w:p>
    <w:p>
      <w:pPr>
        <w:ind w:firstLine="420" w:firstLineChars="200"/>
        <w:rPr>
          <w:rFonts w:ascii="Arial" w:hAnsi="Arial" w:cs="Arial"/>
          <w:szCs w:val="21"/>
        </w:rPr>
      </w:pPr>
    </w:p>
    <w:p>
      <w:pPr>
        <w:ind w:firstLine="422" w:firstLineChars="200"/>
        <w:jc w:val="center"/>
        <w:rPr>
          <w:rFonts w:ascii="Arial" w:hAnsi="Arial" w:cs="Arial"/>
          <w:b/>
          <w:bCs/>
          <w:szCs w:val="21"/>
        </w:rPr>
      </w:pPr>
      <w:r>
        <w:rPr>
          <w:rFonts w:ascii="Arial" w:hAnsi="Arial" w:cs="Arial"/>
          <w:b/>
          <w:bCs/>
          <w:szCs w:val="21"/>
        </w:rPr>
        <w:t>保险金额与免赔额（率）</w:t>
      </w:r>
    </w:p>
    <w:p>
      <w:pPr>
        <w:autoSpaceDE w:val="0"/>
        <w:autoSpaceDN w:val="0"/>
        <w:adjustRightInd w:val="0"/>
        <w:snapToGrid w:val="0"/>
        <w:ind w:firstLine="422" w:firstLineChars="200"/>
        <w:rPr>
          <w:rFonts w:ascii="Arial" w:hAnsi="Arial" w:cs="Arial"/>
          <w:szCs w:val="21"/>
        </w:rPr>
      </w:pPr>
      <w:r>
        <w:rPr>
          <w:rFonts w:ascii="Arial" w:hAnsi="Arial" w:cs="Arial"/>
          <w:b/>
          <w:szCs w:val="21"/>
        </w:rPr>
        <w:t xml:space="preserve">第七条  </w:t>
      </w:r>
      <w:r>
        <w:rPr>
          <w:rFonts w:ascii="Arial" w:hAnsi="Arial" w:cs="Arial"/>
          <w:szCs w:val="21"/>
        </w:rPr>
        <w:t>本保险合同承保的机器设备的保险金额，应为该机器设备的重置价值，即重新换置同一厂牌或相类似的型号、规格、性能的新机器设备的价格，包括出厂价格、运保费、税款、可能支付的关税以及安装费用等。</w:t>
      </w:r>
    </w:p>
    <w:p>
      <w:pPr>
        <w:ind w:firstLine="422" w:firstLineChars="200"/>
        <w:rPr>
          <w:rFonts w:ascii="Arial" w:hAnsi="Arial" w:cs="Arial"/>
          <w:szCs w:val="21"/>
        </w:rPr>
      </w:pPr>
      <w:r>
        <w:rPr>
          <w:rFonts w:ascii="Arial" w:hAnsi="Arial" w:cs="Arial"/>
          <w:b/>
          <w:szCs w:val="21"/>
        </w:rPr>
        <w:t>第八条</w:t>
      </w:r>
      <w:r>
        <w:rPr>
          <w:rFonts w:ascii="Arial" w:hAnsi="Arial" w:cs="Arial"/>
          <w:szCs w:val="21"/>
        </w:rPr>
        <w:t xml:space="preserve">  免赔额（率）由投保人与保险人在订立保险合同时协商确定，并在保险合同中载明。</w:t>
      </w:r>
    </w:p>
    <w:p>
      <w:pPr>
        <w:ind w:firstLine="420" w:firstLineChars="200"/>
        <w:rPr>
          <w:rFonts w:ascii="Arial" w:hAnsi="Arial" w:cs="Arial"/>
          <w:szCs w:val="21"/>
        </w:rPr>
      </w:pPr>
    </w:p>
    <w:p>
      <w:pPr>
        <w:ind w:firstLine="422" w:firstLineChars="200"/>
        <w:jc w:val="center"/>
        <w:rPr>
          <w:rFonts w:ascii="Arial" w:hAnsi="Arial" w:cs="Arial"/>
          <w:b/>
          <w:bCs/>
          <w:szCs w:val="21"/>
        </w:rPr>
      </w:pPr>
      <w:r>
        <w:rPr>
          <w:rFonts w:ascii="Arial" w:hAnsi="Arial" w:cs="Arial"/>
          <w:b/>
          <w:bCs/>
          <w:szCs w:val="21"/>
        </w:rPr>
        <w:t>保险期间</w:t>
      </w:r>
    </w:p>
    <w:p>
      <w:pPr>
        <w:ind w:firstLine="422" w:firstLineChars="200"/>
        <w:rPr>
          <w:rFonts w:ascii="Arial" w:hAnsi="Arial" w:cs="Arial"/>
          <w:szCs w:val="21"/>
        </w:rPr>
      </w:pPr>
      <w:r>
        <w:rPr>
          <w:rFonts w:ascii="Arial" w:hAnsi="Arial" w:cs="Arial"/>
          <w:b/>
          <w:szCs w:val="21"/>
        </w:rPr>
        <w:t xml:space="preserve">第九条  </w:t>
      </w:r>
      <w:r>
        <w:rPr>
          <w:rFonts w:ascii="Arial" w:hAnsi="Arial" w:cs="Arial"/>
          <w:szCs w:val="21"/>
        </w:rPr>
        <w:t>除另有约定外，保险期间为一年，以保险单载明的起讫时间为准。</w:t>
      </w:r>
    </w:p>
    <w:p>
      <w:pPr>
        <w:ind w:firstLine="422" w:firstLineChars="200"/>
        <w:rPr>
          <w:rFonts w:ascii="Arial" w:hAnsi="Arial" w:cs="Arial"/>
          <w:b/>
          <w:szCs w:val="21"/>
        </w:rPr>
      </w:pPr>
    </w:p>
    <w:p>
      <w:pPr>
        <w:ind w:firstLine="422" w:firstLineChars="200"/>
        <w:jc w:val="center"/>
        <w:rPr>
          <w:rFonts w:ascii="Arial" w:hAnsi="Arial" w:cs="Arial"/>
          <w:b/>
          <w:bCs/>
          <w:szCs w:val="21"/>
        </w:rPr>
      </w:pPr>
      <w:r>
        <w:rPr>
          <w:rFonts w:ascii="Arial" w:hAnsi="Arial" w:cs="Arial"/>
          <w:b/>
          <w:bCs/>
          <w:szCs w:val="21"/>
        </w:rPr>
        <w:t>保险人义务</w:t>
      </w:r>
    </w:p>
    <w:p>
      <w:pPr>
        <w:ind w:firstLine="422" w:firstLineChars="200"/>
        <w:rPr>
          <w:rFonts w:ascii="Arial" w:hAnsi="Arial" w:cs="Arial"/>
          <w:szCs w:val="21"/>
        </w:rPr>
      </w:pPr>
      <w:r>
        <w:rPr>
          <w:rFonts w:ascii="Arial" w:hAnsi="Arial" w:cs="Arial"/>
          <w:b/>
          <w:bCs/>
          <w:szCs w:val="21"/>
        </w:rPr>
        <w:t xml:space="preserve">第十条 </w:t>
      </w:r>
      <w:r>
        <w:rPr>
          <w:rFonts w:ascii="Arial" w:hAnsi="Arial" w:cs="Arial"/>
          <w:szCs w:val="21"/>
        </w:rPr>
        <w:t xml:space="preserve"> </w:t>
      </w:r>
      <w:r>
        <w:rPr>
          <w:rStyle w:val="91"/>
          <w:rFonts w:ascii="Arial" w:hAnsi="Arial" w:cs="Arial"/>
          <w:color w:val="000000"/>
          <w:szCs w:val="21"/>
        </w:rPr>
        <w:t>订立本保险合同时，</w:t>
      </w:r>
      <w:r>
        <w:rPr>
          <w:rStyle w:val="91"/>
          <w:rFonts w:ascii="Arial" w:hAnsi="Arial" w:cs="Arial"/>
          <w:szCs w:val="21"/>
        </w:rPr>
        <w:t>保险人应向投保人说明本合同的条款内容。</w:t>
      </w:r>
      <w:r>
        <w:rPr>
          <w:rStyle w:val="91"/>
          <w:rFonts w:ascii="Arial" w:hAnsi="Arial" w:cs="Arial"/>
          <w:color w:val="000000"/>
          <w:szCs w:val="21"/>
        </w:rPr>
        <w:t>对保险合同中免除保险人责任的条款，保险人在订立合同时应当在投保单、保险单或者其他保险凭证上作出足以引起投保人注意的提示，并对该条款的内容以书面或者口头形式向投保人作出明确说明；未作提示或者明确说明的，该条款不产生效力。</w:t>
      </w:r>
    </w:p>
    <w:p>
      <w:pPr>
        <w:ind w:firstLine="422" w:firstLineChars="200"/>
        <w:rPr>
          <w:rFonts w:ascii="Arial" w:hAnsi="Arial" w:cs="Arial"/>
          <w:szCs w:val="21"/>
        </w:rPr>
      </w:pPr>
      <w:r>
        <w:rPr>
          <w:rFonts w:ascii="Arial" w:hAnsi="Arial" w:cs="Arial"/>
          <w:b/>
          <w:bCs/>
          <w:szCs w:val="21"/>
        </w:rPr>
        <w:t xml:space="preserve">第十一条 </w:t>
      </w:r>
      <w:r>
        <w:rPr>
          <w:rFonts w:ascii="Arial" w:hAnsi="Arial" w:cs="Arial"/>
          <w:szCs w:val="21"/>
        </w:rPr>
        <w:t xml:space="preserve"> 本保险合同成立后，保险人应当及时向投保人签发保险单或其他保险凭证。</w:t>
      </w:r>
    </w:p>
    <w:p>
      <w:pPr>
        <w:ind w:firstLine="422" w:firstLineChars="200"/>
        <w:rPr>
          <w:rStyle w:val="91"/>
          <w:rFonts w:ascii="Arial" w:hAnsi="Arial" w:cs="Arial"/>
          <w:color w:val="000000"/>
          <w:szCs w:val="21"/>
        </w:rPr>
      </w:pPr>
      <w:r>
        <w:rPr>
          <w:rFonts w:ascii="Arial" w:hAnsi="Arial" w:cs="Arial"/>
          <w:b/>
          <w:bCs/>
          <w:szCs w:val="21"/>
        </w:rPr>
        <w:t xml:space="preserve">第十二条 </w:t>
      </w:r>
      <w:r>
        <w:rPr>
          <w:rFonts w:ascii="Arial" w:hAnsi="Arial" w:cs="Arial"/>
          <w:szCs w:val="21"/>
        </w:rPr>
        <w:t xml:space="preserve"> 保险人依据第十六条所取得的保险合同解除权，</w:t>
      </w:r>
      <w:r>
        <w:rPr>
          <w:rStyle w:val="91"/>
          <w:rFonts w:ascii="Arial" w:hAnsi="Arial" w:cs="Arial"/>
          <w:color w:val="000000"/>
          <w:szCs w:val="21"/>
        </w:rPr>
        <w:t>自保险人知道有解除事由之日起，超过三十日不行使而消灭。自保险合同成立之日起超过二年的，保险人不得解除合同；发生保险事故的，保险人承担赔偿责任。</w:t>
      </w:r>
    </w:p>
    <w:p>
      <w:pPr>
        <w:ind w:firstLine="420" w:firstLineChars="200"/>
        <w:rPr>
          <w:rStyle w:val="91"/>
          <w:rFonts w:ascii="Arial" w:hAnsi="Arial" w:cs="Arial"/>
          <w:color w:val="000000"/>
          <w:szCs w:val="21"/>
        </w:rPr>
      </w:pPr>
      <w:r>
        <w:rPr>
          <w:rStyle w:val="91"/>
          <w:rFonts w:ascii="Arial" w:hAnsi="Arial" w:cs="Arial"/>
          <w:color w:val="000000"/>
          <w:szCs w:val="21"/>
        </w:rPr>
        <w:t>保险人在合同订立时已经知道投保人未如实告知的情况的，保险人不得解除合同；发生保险事故的，保险人应当承担赔偿责任。</w:t>
      </w:r>
    </w:p>
    <w:p>
      <w:pPr>
        <w:ind w:firstLine="422" w:firstLineChars="200"/>
        <w:rPr>
          <w:rStyle w:val="91"/>
          <w:rFonts w:ascii="Arial" w:hAnsi="Arial" w:cs="Arial"/>
          <w:szCs w:val="21"/>
        </w:rPr>
      </w:pPr>
      <w:r>
        <w:rPr>
          <w:rFonts w:ascii="Arial" w:hAnsi="Arial" w:cs="Arial"/>
          <w:b/>
          <w:bCs/>
          <w:szCs w:val="21"/>
        </w:rPr>
        <w:t xml:space="preserve">第十三条 </w:t>
      </w:r>
      <w:r>
        <w:rPr>
          <w:rFonts w:ascii="Arial" w:hAnsi="Arial" w:cs="Arial"/>
          <w:szCs w:val="21"/>
        </w:rPr>
        <w:t xml:space="preserve"> </w:t>
      </w:r>
      <w:r>
        <w:rPr>
          <w:rStyle w:val="91"/>
          <w:rFonts w:ascii="Arial" w:hAnsi="Arial" w:cs="Arial"/>
          <w:color w:val="000000"/>
          <w:szCs w:val="21"/>
        </w:rPr>
        <w:t>保险人按照第二十二条的约定，认为被保险人提供的有关索赔的证明和资料不完整的，应当及时一次性通知投保人、被保险人补充提供。</w:t>
      </w:r>
    </w:p>
    <w:p>
      <w:pPr>
        <w:adjustRightInd w:val="0"/>
        <w:snapToGrid w:val="0"/>
        <w:ind w:firstLine="422" w:firstLineChars="200"/>
        <w:rPr>
          <w:rFonts w:ascii="Arial" w:hAnsi="Arial" w:cs="Arial"/>
          <w:szCs w:val="21"/>
        </w:rPr>
      </w:pPr>
      <w:r>
        <w:rPr>
          <w:rFonts w:ascii="Arial" w:hAnsi="Arial" w:cs="Arial"/>
          <w:b/>
          <w:bCs/>
          <w:szCs w:val="21"/>
        </w:rPr>
        <w:t xml:space="preserve">第十四条 </w:t>
      </w:r>
      <w:r>
        <w:rPr>
          <w:rFonts w:ascii="Arial" w:hAnsi="Arial" w:cs="Arial"/>
          <w:szCs w:val="21"/>
        </w:rPr>
        <w:t xml:space="preserve"> 保险人收到被保险人的赔偿保险金的请求后，应当及时作出是否属于保险责任的核定；情形复杂的，应当在三十日内作出核定，但保险合同另有约定的除外。</w:t>
      </w:r>
    </w:p>
    <w:p>
      <w:pPr>
        <w:adjustRightInd w:val="0"/>
        <w:snapToGrid w:val="0"/>
        <w:ind w:firstLine="420" w:firstLineChars="200"/>
        <w:rPr>
          <w:rStyle w:val="91"/>
          <w:rFonts w:ascii="Arial" w:hAnsi="Arial" w:cs="Arial"/>
          <w:color w:val="000000"/>
          <w:szCs w:val="21"/>
        </w:rPr>
      </w:pPr>
      <w:r>
        <w:rPr>
          <w:rFonts w:ascii="Arial" w:hAnsi="Arial" w:cs="Arial"/>
          <w:szCs w:val="21"/>
        </w:rPr>
        <w:t>保险人应当将核定结果通知被保险人；对属于保险责任的，在与被保险人达成赔偿保险金的协议后十日内，履行赔偿保险金义务。保险合同对赔偿保险金的期限有约定的，保险人应当按照约定履行赔偿保险金的义务。保险人依照前款约定作出核定后，</w:t>
      </w:r>
      <w:r>
        <w:rPr>
          <w:rStyle w:val="91"/>
          <w:rFonts w:ascii="Arial" w:hAnsi="Arial" w:cs="Arial"/>
          <w:szCs w:val="21"/>
        </w:rPr>
        <w:t>对不属于保险责任的，应当自作出核定之日起三日内向被保险人发出拒绝赔偿保险金通知书，并说明理由</w:t>
      </w:r>
      <w:r>
        <w:rPr>
          <w:rFonts w:ascii="Arial" w:hAnsi="Arial" w:cs="Arial"/>
          <w:szCs w:val="21"/>
        </w:rPr>
        <w:t>。</w:t>
      </w:r>
    </w:p>
    <w:p>
      <w:pPr>
        <w:ind w:firstLine="422" w:firstLineChars="200"/>
        <w:rPr>
          <w:rStyle w:val="92"/>
          <w:rFonts w:ascii="Arial" w:hAnsi="Arial" w:cs="Arial"/>
          <w:color w:val="000000"/>
          <w:szCs w:val="21"/>
        </w:rPr>
      </w:pPr>
      <w:r>
        <w:rPr>
          <w:rFonts w:ascii="Arial" w:hAnsi="Arial" w:cs="Arial"/>
          <w:b/>
          <w:bCs/>
          <w:szCs w:val="21"/>
        </w:rPr>
        <w:t xml:space="preserve">第十五条 </w:t>
      </w:r>
      <w:r>
        <w:rPr>
          <w:rFonts w:ascii="Arial" w:hAnsi="Arial" w:cs="Arial"/>
          <w:szCs w:val="21"/>
        </w:rPr>
        <w:t xml:space="preserve"> </w:t>
      </w:r>
      <w:r>
        <w:rPr>
          <w:rStyle w:val="91"/>
          <w:rFonts w:ascii="Arial" w:hAnsi="Arial" w:cs="Arial"/>
          <w:color w:val="000000"/>
          <w:szCs w:val="21"/>
        </w:rPr>
        <w:t>保险人自收到赔偿的请求和有关证明、资料之日起六十日内，对其赔偿保险金的数额不能确定的，应当根据已有证明和资料可以确定的数额先予支付；保险人最终确定赔偿的数额后，应当支付相应的差额。</w:t>
      </w:r>
      <w:r>
        <w:rPr>
          <w:rStyle w:val="92"/>
          <w:rFonts w:ascii="Arial" w:hAnsi="Arial" w:cs="Arial"/>
          <w:color w:val="000000"/>
          <w:szCs w:val="21"/>
        </w:rPr>
        <w:t> </w:t>
      </w:r>
    </w:p>
    <w:p>
      <w:pPr>
        <w:ind w:firstLine="420" w:firstLineChars="200"/>
        <w:rPr>
          <w:rFonts w:ascii="Arial" w:hAnsi="Arial" w:cs="Arial"/>
          <w:i/>
          <w:iCs/>
          <w:szCs w:val="21"/>
        </w:rPr>
      </w:pPr>
    </w:p>
    <w:p>
      <w:pPr>
        <w:ind w:firstLine="422" w:firstLineChars="200"/>
        <w:jc w:val="center"/>
        <w:rPr>
          <w:rFonts w:ascii="Arial" w:hAnsi="Arial" w:cs="Arial"/>
          <w:b/>
          <w:bCs/>
          <w:szCs w:val="21"/>
        </w:rPr>
      </w:pPr>
      <w:r>
        <w:rPr>
          <w:rFonts w:ascii="Arial" w:hAnsi="Arial" w:cs="Arial"/>
          <w:b/>
          <w:bCs/>
          <w:szCs w:val="21"/>
        </w:rPr>
        <w:t>投保人、被保险人义务</w:t>
      </w:r>
    </w:p>
    <w:p>
      <w:pPr>
        <w:pStyle w:val="16"/>
        <w:spacing w:after="0" w:line="240" w:lineRule="auto"/>
        <w:ind w:left="0" w:leftChars="0" w:firstLine="420" w:firstLineChars="200"/>
        <w:rPr>
          <w:rFonts w:ascii="Arial" w:hAnsi="Arial" w:cs="Arial" w:eastAsiaTheme="minorEastAsia"/>
          <w:szCs w:val="21"/>
        </w:rPr>
      </w:pPr>
      <w:r>
        <w:rPr>
          <w:rFonts w:ascii="Arial" w:hAnsi="Arial" w:cs="Arial" w:eastAsiaTheme="minorEastAsia"/>
          <w:b/>
          <w:szCs w:val="21"/>
        </w:rPr>
        <w:t>第十六条</w:t>
      </w:r>
      <w:r>
        <w:rPr>
          <w:rFonts w:ascii="Arial" w:hAnsi="Arial" w:cs="Arial" w:eastAsiaTheme="minorEastAsia"/>
          <w:szCs w:val="21"/>
        </w:rPr>
        <w:t xml:space="preserve">  订立保险合同，保险人就保险标的或者被保险人的有关情况提出询问的，投保人应当如实告知，并如实填写投保单。</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sz w:val="21"/>
          <w:szCs w:val="21"/>
          <w:lang w:eastAsia="zh-CN"/>
        </w:rPr>
        <w:t>投保人故意或者因重大过失未履行前款规定的如实告知义务，足以影响保险人决定是否同意承保或者提高保险费率的，保险人有权解除合同。</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b/>
          <w:sz w:val="21"/>
          <w:szCs w:val="21"/>
          <w:lang w:eastAsia="zh-CN"/>
        </w:rPr>
        <w:t>投保人故意不履行如实告知义务的，保险人对于合同解除前发生的保险事故，不承担赔偿责任，并不退还保险费。</w:t>
      </w:r>
    </w:p>
    <w:p>
      <w:pPr>
        <w:pStyle w:val="13"/>
        <w:spacing w:after="0"/>
        <w:ind w:left="0" w:leftChars="0" w:firstLine="420" w:firstLineChars="200"/>
        <w:jc w:val="both"/>
        <w:rPr>
          <w:rFonts w:ascii="Arial" w:hAnsi="Arial" w:cs="Arial" w:eastAsiaTheme="minorEastAsia"/>
          <w:bCs/>
          <w:sz w:val="21"/>
          <w:szCs w:val="21"/>
          <w:lang w:eastAsia="zh-CN"/>
        </w:rPr>
      </w:pPr>
      <w:r>
        <w:rPr>
          <w:rFonts w:ascii="Arial" w:hAnsi="Arial" w:cs="Arial" w:eastAsiaTheme="minorEastAsia"/>
          <w:b/>
          <w:sz w:val="21"/>
          <w:szCs w:val="21"/>
          <w:lang w:eastAsia="zh-CN"/>
        </w:rPr>
        <w:t>投保人因重大过失未履行如实告知义务，对保险事故的发生有严重影响的，保险人对于合同解除前发生的保险事故，不承担赔偿责任，</w:t>
      </w:r>
      <w:r>
        <w:rPr>
          <w:rFonts w:ascii="Arial" w:hAnsi="Arial" w:cs="Arial" w:eastAsiaTheme="minorEastAsia"/>
          <w:b/>
          <w:bCs/>
          <w:sz w:val="21"/>
          <w:szCs w:val="21"/>
          <w:lang w:eastAsia="zh-CN"/>
        </w:rPr>
        <w:t>但应当退还保险费。</w:t>
      </w:r>
    </w:p>
    <w:p>
      <w:pPr>
        <w:pStyle w:val="13"/>
        <w:spacing w:after="0"/>
        <w:ind w:left="0" w:leftChars="0" w:firstLine="420" w:firstLineChars="200"/>
        <w:jc w:val="both"/>
        <w:rPr>
          <w:rFonts w:ascii="Arial" w:hAnsi="Arial" w:cs="Arial" w:eastAsiaTheme="minorEastAsia"/>
          <w:b/>
          <w:sz w:val="21"/>
          <w:szCs w:val="21"/>
          <w:lang w:eastAsia="zh-CN"/>
        </w:rPr>
      </w:pPr>
      <w:r>
        <w:rPr>
          <w:rFonts w:ascii="Arial" w:hAnsi="Arial" w:cs="Arial" w:eastAsiaTheme="minorEastAsia"/>
          <w:b/>
          <w:sz w:val="21"/>
          <w:szCs w:val="21"/>
          <w:lang w:eastAsia="zh-CN"/>
        </w:rPr>
        <w:t xml:space="preserve">第十七条  </w:t>
      </w:r>
      <w:r>
        <w:rPr>
          <w:rFonts w:ascii="Arial" w:hAnsi="Arial" w:cs="Arial" w:eastAsiaTheme="minorEastAsia"/>
          <w:sz w:val="21"/>
          <w:szCs w:val="21"/>
          <w:lang w:eastAsia="zh-CN"/>
        </w:rPr>
        <w:t>除另有约定外，投保人应在保险合同成立时交清保险费。</w:t>
      </w:r>
      <w:r>
        <w:rPr>
          <w:rFonts w:ascii="Arial" w:hAnsi="Arial" w:cs="Arial" w:eastAsiaTheme="minorEastAsia"/>
          <w:b/>
          <w:sz w:val="21"/>
          <w:szCs w:val="21"/>
          <w:lang w:eastAsia="zh-CN"/>
        </w:rPr>
        <w:t>保险费交清前发生的保险事故，保险人不承担赔偿责任。</w:t>
      </w:r>
    </w:p>
    <w:p>
      <w:pPr>
        <w:pStyle w:val="16"/>
        <w:spacing w:after="0" w:line="240" w:lineRule="auto"/>
        <w:ind w:left="0" w:leftChars="0" w:firstLine="420" w:firstLineChars="200"/>
        <w:rPr>
          <w:rFonts w:ascii="Arial" w:hAnsi="Arial" w:cs="Arial" w:eastAsiaTheme="minorEastAsia"/>
          <w:szCs w:val="21"/>
        </w:rPr>
      </w:pPr>
      <w:r>
        <w:rPr>
          <w:rFonts w:ascii="Arial" w:hAnsi="Arial" w:cs="Arial" w:eastAsiaTheme="minorEastAsia"/>
          <w:b/>
          <w:szCs w:val="21"/>
        </w:rPr>
        <w:t>第十八条</w:t>
      </w:r>
      <w:r>
        <w:rPr>
          <w:rFonts w:ascii="Arial" w:hAnsi="Arial" w:cs="Arial" w:eastAsiaTheme="minorEastAsia"/>
          <w:szCs w:val="21"/>
        </w:rPr>
        <w:t xml:space="preserve">  被保险人应当遵守国家有关消防、安全、生产操作、劳动保护等方面的相关法律、法规及规定，加强管理，采取合理的预防措施，尽力避免或减少责任事故的发生，维护保险标的的安全。保险人可以对被保险人遵守前款约定的情况进行检查，向投保人、被保险人提出消除不安全因素和隐患的书面建议，投保人、被保险人应该认真付诸实施。</w:t>
      </w:r>
    </w:p>
    <w:p>
      <w:pPr>
        <w:pStyle w:val="16"/>
        <w:spacing w:after="0" w:line="240" w:lineRule="auto"/>
        <w:ind w:left="0" w:leftChars="0" w:firstLine="420" w:firstLineChars="200"/>
        <w:rPr>
          <w:rFonts w:ascii="Arial" w:hAnsi="Arial" w:cs="Arial" w:eastAsiaTheme="minorEastAsia"/>
          <w:szCs w:val="21"/>
        </w:rPr>
      </w:pPr>
      <w:r>
        <w:rPr>
          <w:rFonts w:ascii="Arial" w:hAnsi="Arial" w:cs="Arial" w:eastAsiaTheme="minorEastAsia"/>
          <w:szCs w:val="21"/>
        </w:rPr>
        <w:t>投保人、被保险人未按照约定履行其对保险标的的安全应尽责任的，保险人有权要求增加保险费或者解除合同。</w:t>
      </w:r>
    </w:p>
    <w:p>
      <w:pPr>
        <w:pStyle w:val="16"/>
        <w:spacing w:after="0" w:line="240" w:lineRule="auto"/>
        <w:ind w:left="0" w:leftChars="0" w:firstLine="420" w:firstLineChars="200"/>
        <w:rPr>
          <w:rStyle w:val="91"/>
          <w:rFonts w:ascii="Arial" w:hAnsi="Arial" w:cs="Arial" w:eastAsiaTheme="minorEastAsia"/>
          <w:bCs/>
          <w:szCs w:val="21"/>
        </w:rPr>
      </w:pPr>
      <w:r>
        <w:rPr>
          <w:rFonts w:ascii="Arial" w:hAnsi="Arial" w:cs="Arial" w:eastAsiaTheme="minorEastAsia"/>
          <w:b/>
          <w:bCs/>
          <w:szCs w:val="21"/>
        </w:rPr>
        <w:t>第十九条</w:t>
      </w:r>
      <w:r>
        <w:rPr>
          <w:rFonts w:ascii="Arial" w:hAnsi="Arial" w:cs="Arial" w:eastAsiaTheme="minorEastAsia"/>
          <w:szCs w:val="21"/>
        </w:rPr>
        <w:t xml:space="preserve">  </w:t>
      </w:r>
      <w:r>
        <w:rPr>
          <w:rStyle w:val="91"/>
          <w:rFonts w:ascii="Arial" w:hAnsi="Arial" w:cs="Arial" w:eastAsiaTheme="minorEastAsia"/>
          <w:color w:val="000000"/>
          <w:szCs w:val="21"/>
        </w:rPr>
        <w:t>保险标的转让的，被保险人或者受让人应当及时通知保险人。</w:t>
      </w:r>
    </w:p>
    <w:p>
      <w:pPr>
        <w:pStyle w:val="16"/>
        <w:spacing w:after="0" w:line="240" w:lineRule="auto"/>
        <w:ind w:left="0" w:leftChars="0" w:firstLine="420" w:firstLineChars="200"/>
        <w:rPr>
          <w:rFonts w:ascii="Arial" w:hAnsi="Arial" w:cs="Arial" w:eastAsiaTheme="minorEastAsia"/>
          <w:szCs w:val="21"/>
        </w:rPr>
      </w:pPr>
      <w:r>
        <w:rPr>
          <w:rFonts w:ascii="Arial" w:hAnsi="Arial" w:cs="Arial" w:eastAsiaTheme="minorEastAsia"/>
          <w:szCs w:val="21"/>
        </w:rPr>
        <w:t>因保险标的转让导致危险程度显著增加的，保险人自收到前款规定的通知之日起三十日内，可以按照合同约定增加保险费或者解除合同。</w:t>
      </w:r>
      <w:r>
        <w:rPr>
          <w:rFonts w:ascii="Arial" w:hAnsi="Arial" w:cs="Arial" w:eastAsiaTheme="minorEastAsia"/>
          <w:color w:val="000000"/>
          <w:szCs w:val="21"/>
        </w:rPr>
        <w:t>保险人解除合同的，应当将已收取的保险费，按照合同约定扣除自保险责任开始之日起至合同解除之日止应收的部分后，退还投保人。</w:t>
      </w:r>
    </w:p>
    <w:p>
      <w:pPr>
        <w:pStyle w:val="16"/>
        <w:spacing w:after="0" w:line="240" w:lineRule="auto"/>
        <w:ind w:left="0" w:leftChars="0" w:firstLine="420" w:firstLineChars="200"/>
        <w:rPr>
          <w:rFonts w:ascii="Arial" w:hAnsi="Arial" w:cs="Arial" w:eastAsiaTheme="minorEastAsia"/>
          <w:b/>
          <w:szCs w:val="21"/>
        </w:rPr>
      </w:pPr>
      <w:r>
        <w:rPr>
          <w:rStyle w:val="91"/>
          <w:rFonts w:ascii="Arial" w:hAnsi="Arial" w:cs="Arial" w:eastAsiaTheme="minorEastAsia"/>
          <w:b/>
          <w:color w:val="000000"/>
          <w:szCs w:val="21"/>
        </w:rPr>
        <w:t>被保险人、受让人未履行本条规定的通知义务的，因转让导致保险标的危险程度显著增加而发生的保险事故，保险人不承担赔偿责任。</w:t>
      </w:r>
    </w:p>
    <w:p>
      <w:pPr>
        <w:pStyle w:val="16"/>
        <w:spacing w:after="0" w:line="240" w:lineRule="auto"/>
        <w:ind w:left="0" w:leftChars="0" w:firstLine="420" w:firstLineChars="200"/>
        <w:rPr>
          <w:rFonts w:ascii="Arial" w:hAnsi="Arial" w:cs="Arial" w:eastAsiaTheme="minorEastAsia"/>
          <w:bCs/>
          <w:szCs w:val="21"/>
        </w:rPr>
      </w:pPr>
      <w:r>
        <w:rPr>
          <w:rFonts w:ascii="Arial" w:hAnsi="Arial" w:cs="Arial" w:eastAsiaTheme="minorEastAsia"/>
          <w:b/>
          <w:bCs/>
          <w:szCs w:val="21"/>
        </w:rPr>
        <w:t>第二十条</w:t>
      </w:r>
      <w:r>
        <w:rPr>
          <w:rFonts w:ascii="Arial" w:hAnsi="Arial" w:cs="Arial" w:eastAsiaTheme="minorEastAsia"/>
          <w:szCs w:val="21"/>
        </w:rPr>
        <w:t xml:space="preserve">  在合同有效期内，如保险标的占用与使用性质、保险标的地址及其他可能导致保险标的危险程度显著增加的、或其他足以影响保险人决定是否继续承保或是否增加保险费的保险合同重要事项变更，被保险人应及时书面通知保险人，保险人有权要求增加保险费或者解除合同。</w:t>
      </w:r>
    </w:p>
    <w:p>
      <w:pPr>
        <w:ind w:firstLine="422" w:firstLineChars="200"/>
        <w:rPr>
          <w:rFonts w:ascii="Arial" w:hAnsi="Arial" w:cs="Arial"/>
          <w:b/>
          <w:szCs w:val="21"/>
        </w:rPr>
      </w:pPr>
      <w:r>
        <w:rPr>
          <w:rFonts w:ascii="Arial" w:hAnsi="Arial" w:cs="Arial"/>
          <w:b/>
          <w:szCs w:val="21"/>
        </w:rPr>
        <w:t>被保险人未履行前款约定的通知义务的，因保险标的的危险程度显著增加而发生的保险事故，保险人不承担赔偿责任。</w:t>
      </w:r>
    </w:p>
    <w:p>
      <w:pPr>
        <w:ind w:firstLine="422" w:firstLineChars="200"/>
        <w:rPr>
          <w:rFonts w:ascii="Arial" w:hAnsi="Arial" w:cs="Arial"/>
          <w:szCs w:val="21"/>
        </w:rPr>
      </w:pPr>
      <w:r>
        <w:rPr>
          <w:rFonts w:ascii="Arial" w:hAnsi="Arial" w:cs="Arial"/>
          <w:b/>
          <w:szCs w:val="21"/>
        </w:rPr>
        <w:t>第二十一条</w:t>
      </w:r>
      <w:r>
        <w:rPr>
          <w:rFonts w:ascii="Arial" w:hAnsi="Arial" w:cs="Arial"/>
          <w:szCs w:val="21"/>
        </w:rPr>
        <w:t xml:space="preserve">  知道保险事故发生后，被保险人应该：</w:t>
      </w:r>
    </w:p>
    <w:p>
      <w:pPr>
        <w:ind w:firstLine="420" w:firstLineChars="200"/>
        <w:rPr>
          <w:rFonts w:ascii="Arial" w:hAnsi="Arial" w:cs="Arial"/>
          <w:szCs w:val="21"/>
        </w:rPr>
      </w:pPr>
      <w:r>
        <w:rPr>
          <w:rFonts w:ascii="Arial" w:hAnsi="Arial" w:cs="Arial"/>
          <w:szCs w:val="21"/>
        </w:rPr>
        <w:t>（一）尽力采取必要、合理的措施，防止或减少损失，否则，</w:t>
      </w:r>
      <w:r>
        <w:rPr>
          <w:rFonts w:ascii="Arial" w:hAnsi="Arial" w:cs="Arial"/>
          <w:b/>
          <w:szCs w:val="21"/>
        </w:rPr>
        <w:t>对因此扩大的损失，保险人不承担赔偿责任；</w:t>
      </w:r>
    </w:p>
    <w:p>
      <w:pPr>
        <w:ind w:firstLine="420" w:firstLineChars="200"/>
        <w:rPr>
          <w:rFonts w:ascii="Arial" w:hAnsi="Arial" w:cs="Arial"/>
          <w:szCs w:val="21"/>
        </w:rPr>
      </w:pPr>
      <w:r>
        <w:rPr>
          <w:rFonts w:ascii="Arial" w:hAnsi="Arial" w:cs="Arial"/>
          <w:szCs w:val="21"/>
        </w:rPr>
        <w:t>（二）立即通知保险人，并书面说明事故发生的原因、经过和损失情况；</w:t>
      </w:r>
      <w:r>
        <w:rPr>
          <w:rStyle w:val="91"/>
          <w:rFonts w:ascii="Arial" w:hAnsi="Arial" w:cs="Arial"/>
          <w:b/>
          <w:color w:val="000000"/>
          <w:szCs w:val="21"/>
        </w:rPr>
        <w:t>故意或者因重大过失未及时通知，致使保险事故的性质、原因、损失程度等难以确定的，保险人对无法确定的部分，不承担赔偿责任，但保险人通过其他途径已经及时知道或者应当及时知道保险事故发生的除外；</w:t>
      </w:r>
    </w:p>
    <w:p>
      <w:pPr>
        <w:ind w:firstLine="420" w:firstLineChars="200"/>
        <w:rPr>
          <w:rFonts w:ascii="Arial" w:hAnsi="Arial" w:cs="Arial"/>
          <w:bCs/>
          <w:szCs w:val="21"/>
        </w:rPr>
      </w:pPr>
      <w:r>
        <w:rPr>
          <w:rFonts w:ascii="Arial" w:hAnsi="Arial" w:cs="Arial"/>
          <w:bCs/>
          <w:szCs w:val="21"/>
        </w:rPr>
        <w:t>（三）保护事故现场，允许并且协助保险人进行事故调查；</w:t>
      </w:r>
      <w:r>
        <w:rPr>
          <w:rFonts w:ascii="Arial" w:hAnsi="Arial" w:cs="Arial"/>
          <w:b/>
          <w:bCs/>
          <w:szCs w:val="21"/>
        </w:rPr>
        <w:t>对于拒绝或者妨碍保险人进行事故调查导致无法确定事故原因或核实损失情况的，保险人对无法核实的部分不承担赔偿责任。</w:t>
      </w:r>
    </w:p>
    <w:p>
      <w:pPr>
        <w:ind w:firstLine="422" w:firstLineChars="200"/>
        <w:rPr>
          <w:rFonts w:ascii="Arial" w:hAnsi="Arial" w:cs="Arial"/>
          <w:szCs w:val="21"/>
        </w:rPr>
      </w:pPr>
      <w:r>
        <w:rPr>
          <w:rFonts w:ascii="Arial" w:hAnsi="Arial" w:cs="Arial"/>
          <w:b/>
          <w:szCs w:val="21"/>
        </w:rPr>
        <w:t xml:space="preserve">第二十二条  </w:t>
      </w:r>
      <w:r>
        <w:rPr>
          <w:rFonts w:ascii="Arial" w:hAnsi="Arial" w:cs="Arial"/>
          <w:szCs w:val="21"/>
        </w:rPr>
        <w:t>被保险人请求赔偿时，应向保险人提供下列证明和资料：</w:t>
      </w:r>
    </w:p>
    <w:p>
      <w:pPr>
        <w:ind w:firstLine="420" w:firstLineChars="200"/>
        <w:rPr>
          <w:rFonts w:ascii="Arial" w:hAnsi="Arial" w:cs="Arial"/>
          <w:szCs w:val="21"/>
        </w:rPr>
      </w:pPr>
      <w:r>
        <w:rPr>
          <w:rFonts w:ascii="Arial" w:hAnsi="Arial" w:cs="Arial"/>
          <w:szCs w:val="21"/>
        </w:rPr>
        <w:t>（一）保险单正本、索赔申请、财产损失清单、技术鉴定证明、事故报告书、救护费用发票、必要的帐簿、单据和有关部门的证明；</w:t>
      </w:r>
    </w:p>
    <w:p>
      <w:pPr>
        <w:ind w:firstLine="420" w:firstLineChars="200"/>
        <w:rPr>
          <w:rFonts w:ascii="Arial" w:hAnsi="Arial" w:cs="Arial"/>
          <w:szCs w:val="21"/>
        </w:rPr>
      </w:pPr>
      <w:r>
        <w:rPr>
          <w:rFonts w:ascii="Arial" w:hAnsi="Arial" w:cs="Arial"/>
          <w:szCs w:val="21"/>
        </w:rPr>
        <w:t>（二）投保人、被保险人所能提供的与确认保险事故的性质、原因、损失程度等有关的其他证明和资料。</w:t>
      </w:r>
    </w:p>
    <w:p>
      <w:pPr>
        <w:ind w:firstLine="422" w:firstLineChars="200"/>
        <w:rPr>
          <w:rFonts w:ascii="Arial" w:hAnsi="Arial" w:cs="Arial"/>
          <w:szCs w:val="21"/>
        </w:rPr>
      </w:pPr>
      <w:r>
        <w:rPr>
          <w:rFonts w:ascii="Arial" w:hAnsi="Arial" w:cs="Arial"/>
          <w:b/>
          <w:szCs w:val="21"/>
        </w:rPr>
        <w:t>投保人、被保险人未履行前款约定的单证提供义务，导致保险人无法核实损失情况的，保险人对无法核实的部分不承担赔偿责任。</w:t>
      </w:r>
    </w:p>
    <w:p>
      <w:pPr>
        <w:ind w:firstLine="422" w:firstLineChars="200"/>
        <w:rPr>
          <w:rFonts w:ascii="Arial" w:hAnsi="Arial" w:cs="Arial"/>
          <w:b/>
          <w:bCs/>
          <w:szCs w:val="21"/>
        </w:rPr>
      </w:pPr>
    </w:p>
    <w:p>
      <w:pPr>
        <w:ind w:firstLine="422" w:firstLineChars="200"/>
        <w:jc w:val="center"/>
        <w:rPr>
          <w:rFonts w:ascii="Arial" w:hAnsi="Arial" w:cs="Arial"/>
          <w:b/>
          <w:bCs/>
          <w:szCs w:val="21"/>
        </w:rPr>
      </w:pPr>
      <w:r>
        <w:rPr>
          <w:rFonts w:ascii="Arial" w:hAnsi="Arial" w:cs="Arial"/>
          <w:b/>
          <w:bCs/>
          <w:szCs w:val="21"/>
        </w:rPr>
        <w:t>赔偿处理</w:t>
      </w:r>
    </w:p>
    <w:p>
      <w:pPr>
        <w:ind w:firstLine="422" w:firstLineChars="200"/>
        <w:rPr>
          <w:rFonts w:ascii="Arial" w:hAnsi="Arial" w:cs="Arial"/>
          <w:szCs w:val="21"/>
        </w:rPr>
      </w:pPr>
      <w:r>
        <w:rPr>
          <w:rFonts w:ascii="Arial" w:hAnsi="Arial" w:cs="Arial"/>
          <w:b/>
          <w:szCs w:val="21"/>
        </w:rPr>
        <w:t>第二十三条</w:t>
      </w:r>
      <w:r>
        <w:rPr>
          <w:rFonts w:ascii="Arial" w:hAnsi="Arial" w:cs="Arial"/>
          <w:szCs w:val="21"/>
        </w:rPr>
        <w:t xml:space="preserve">  </w:t>
      </w:r>
      <w:r>
        <w:rPr>
          <w:rStyle w:val="91"/>
          <w:rFonts w:ascii="Arial" w:hAnsi="Arial" w:cs="Arial"/>
          <w:b/>
          <w:color w:val="000000"/>
          <w:szCs w:val="21"/>
        </w:rPr>
        <w:t>保险事故发生时，被保险人对保险标的不具有保险利益的，不得向保险人请求赔偿保险金。</w:t>
      </w:r>
    </w:p>
    <w:p>
      <w:pPr>
        <w:ind w:firstLine="422" w:firstLineChars="200"/>
        <w:rPr>
          <w:rFonts w:ascii="Arial" w:hAnsi="Arial" w:cs="Arial"/>
          <w:szCs w:val="21"/>
        </w:rPr>
      </w:pPr>
      <w:r>
        <w:rPr>
          <w:rFonts w:ascii="Arial" w:hAnsi="Arial" w:cs="Arial"/>
          <w:b/>
          <w:szCs w:val="21"/>
        </w:rPr>
        <w:t>第二十四条</w:t>
      </w:r>
      <w:r>
        <w:rPr>
          <w:rFonts w:ascii="Arial" w:hAnsi="Arial" w:cs="Arial"/>
          <w:szCs w:val="21"/>
        </w:rPr>
        <w:t xml:space="preserve">  保险标的发生保险责任范围内的损失，保险人有权选择下列方式赔偿：</w:t>
      </w:r>
    </w:p>
    <w:p>
      <w:pPr>
        <w:ind w:firstLine="420" w:firstLineChars="200"/>
        <w:rPr>
          <w:rFonts w:ascii="Arial" w:hAnsi="Arial" w:cs="Arial"/>
          <w:szCs w:val="21"/>
        </w:rPr>
      </w:pPr>
      <w:r>
        <w:rPr>
          <w:rFonts w:ascii="Arial" w:hAnsi="Arial" w:cs="Arial"/>
          <w:szCs w:val="21"/>
        </w:rPr>
        <w:t>（一）货币赔偿：保险人以支付保险金的方式赔偿；</w:t>
      </w:r>
    </w:p>
    <w:p>
      <w:pPr>
        <w:ind w:firstLine="420" w:firstLineChars="200"/>
        <w:rPr>
          <w:rFonts w:ascii="Arial" w:hAnsi="Arial" w:cs="Arial"/>
          <w:szCs w:val="21"/>
        </w:rPr>
      </w:pPr>
      <w:r>
        <w:rPr>
          <w:rFonts w:ascii="Arial" w:hAnsi="Arial" w:cs="Arial"/>
          <w:szCs w:val="21"/>
        </w:rPr>
        <w:t>（二）实物赔偿：保险人以实物替换受损标的，该实物应具有保险标的出险前同等的类型、结构、状态和性能；</w:t>
      </w:r>
    </w:p>
    <w:p>
      <w:pPr>
        <w:ind w:firstLine="420" w:firstLineChars="200"/>
        <w:rPr>
          <w:rFonts w:ascii="Arial" w:hAnsi="Arial" w:cs="Arial"/>
          <w:szCs w:val="21"/>
        </w:rPr>
      </w:pPr>
      <w:r>
        <w:rPr>
          <w:rFonts w:ascii="Arial" w:hAnsi="Arial" w:cs="Arial"/>
          <w:szCs w:val="21"/>
        </w:rPr>
        <w:t>（三）实际修复：保险人自行或委托他人修理修复受损标的。</w:t>
      </w:r>
    </w:p>
    <w:p>
      <w:pPr>
        <w:ind w:firstLine="420" w:firstLineChars="200"/>
        <w:rPr>
          <w:rFonts w:ascii="Arial" w:hAnsi="Arial" w:cs="Arial"/>
          <w:szCs w:val="21"/>
        </w:rPr>
      </w:pPr>
      <w:r>
        <w:rPr>
          <w:rFonts w:ascii="Arial" w:hAnsi="Arial" w:cs="Arial"/>
          <w:szCs w:val="21"/>
        </w:rPr>
        <w:t>对保险标的在修复或替换过程中，被保险人进行的任何变更、性能增加或改进所产生的额外费用，保险人不负责赔偿。</w:t>
      </w:r>
    </w:p>
    <w:p>
      <w:pPr>
        <w:pStyle w:val="13"/>
        <w:adjustRightInd w:val="0"/>
        <w:snapToGrid w:val="0"/>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b/>
          <w:sz w:val="21"/>
          <w:szCs w:val="21"/>
          <w:lang w:eastAsia="zh-CN"/>
        </w:rPr>
        <w:t>第二十五条</w:t>
      </w:r>
      <w:r>
        <w:rPr>
          <w:rFonts w:ascii="Arial" w:hAnsi="Arial" w:cs="Arial" w:eastAsiaTheme="minorEastAsia"/>
          <w:sz w:val="21"/>
          <w:szCs w:val="21"/>
          <w:lang w:eastAsia="zh-CN"/>
        </w:rPr>
        <w:t xml:space="preserve">  保险标的遭受损失后，如果有残余价值，应由双方协商处理。如折归被保险人，由双方协商确定其价值，并在保险赔款中扣除。</w:t>
      </w:r>
    </w:p>
    <w:p>
      <w:pPr>
        <w:autoSpaceDE w:val="0"/>
        <w:autoSpaceDN w:val="0"/>
        <w:adjustRightInd w:val="0"/>
        <w:snapToGrid w:val="0"/>
        <w:ind w:firstLine="422" w:firstLineChars="200"/>
        <w:rPr>
          <w:rFonts w:ascii="Arial" w:hAnsi="Arial" w:cs="Arial"/>
          <w:szCs w:val="21"/>
        </w:rPr>
      </w:pPr>
      <w:r>
        <w:rPr>
          <w:rFonts w:ascii="Arial" w:hAnsi="Arial" w:cs="Arial"/>
          <w:b/>
          <w:szCs w:val="21"/>
        </w:rPr>
        <w:t>第二十六条</w:t>
      </w:r>
      <w:r>
        <w:rPr>
          <w:rFonts w:ascii="Arial" w:hAnsi="Arial" w:cs="Arial"/>
          <w:szCs w:val="21"/>
        </w:rPr>
        <w:t xml:space="preserve">  保险标的发生保险责任范围内的损失，保险人按以下方式计算赔偿： </w:t>
      </w:r>
    </w:p>
    <w:p>
      <w:pPr>
        <w:autoSpaceDE w:val="0"/>
        <w:autoSpaceDN w:val="0"/>
        <w:adjustRightInd w:val="0"/>
        <w:snapToGrid w:val="0"/>
        <w:ind w:firstLine="420" w:firstLineChars="200"/>
        <w:rPr>
          <w:rFonts w:ascii="Arial" w:hAnsi="Arial" w:cs="Arial"/>
          <w:szCs w:val="21"/>
        </w:rPr>
      </w:pPr>
      <w:r>
        <w:rPr>
          <w:rFonts w:ascii="Arial" w:hAnsi="Arial" w:cs="Arial"/>
          <w:szCs w:val="21"/>
        </w:rPr>
        <w:t>（一）部分损失以将被保险机器设备修复至其基本恢复受损前状态的费用金额为准，如残值</w:t>
      </w:r>
      <w:r>
        <w:rPr>
          <w:rFonts w:ascii="Arial" w:hAnsi="Arial" w:cs="Arial"/>
          <w:kern w:val="0"/>
          <w:szCs w:val="21"/>
        </w:rPr>
        <w:t>折归被保险人，则按双方协商确定的价值，在上述费用金额中扣除；</w:t>
      </w:r>
    </w:p>
    <w:p>
      <w:pPr>
        <w:autoSpaceDE w:val="0"/>
        <w:autoSpaceDN w:val="0"/>
        <w:adjustRightInd w:val="0"/>
        <w:snapToGrid w:val="0"/>
        <w:ind w:firstLine="420" w:firstLineChars="200"/>
        <w:rPr>
          <w:rFonts w:ascii="Arial" w:hAnsi="Arial" w:cs="Arial"/>
          <w:szCs w:val="21"/>
        </w:rPr>
      </w:pPr>
      <w:r>
        <w:rPr>
          <w:rFonts w:ascii="Arial" w:hAnsi="Arial" w:cs="Arial"/>
          <w:szCs w:val="21"/>
        </w:rPr>
        <w:t>（二）全部损失或推定全损以保险机器设备损失前的实际价值为准，如残值</w:t>
      </w:r>
      <w:r>
        <w:rPr>
          <w:rFonts w:ascii="Arial" w:hAnsi="Arial" w:cs="Arial"/>
          <w:kern w:val="0"/>
          <w:szCs w:val="21"/>
        </w:rPr>
        <w:t>折归被保险人，则按双方协商确定的价值，在上述费用金额中扣除；</w:t>
      </w:r>
    </w:p>
    <w:p>
      <w:pPr>
        <w:autoSpaceDE w:val="0"/>
        <w:autoSpaceDN w:val="0"/>
        <w:adjustRightInd w:val="0"/>
        <w:snapToGrid w:val="0"/>
        <w:ind w:firstLine="420" w:firstLineChars="200"/>
        <w:rPr>
          <w:rFonts w:ascii="Arial" w:hAnsi="Arial" w:cs="Arial"/>
          <w:szCs w:val="21"/>
        </w:rPr>
      </w:pPr>
      <w:r>
        <w:rPr>
          <w:rFonts w:ascii="Arial" w:hAnsi="Arial" w:cs="Arial"/>
          <w:szCs w:val="21"/>
        </w:rPr>
        <w:t>（三）任何属于成对或成套的设备项目，若发生损失，保险人的赔偿责任不超过该受损项目在所属整对或整套设备项目的保险金额中所占的比例；</w:t>
      </w:r>
    </w:p>
    <w:p>
      <w:pPr>
        <w:autoSpaceDE w:val="0"/>
        <w:autoSpaceDN w:val="0"/>
        <w:adjustRightInd w:val="0"/>
        <w:snapToGrid w:val="0"/>
        <w:ind w:firstLine="420" w:firstLineChars="200"/>
        <w:rPr>
          <w:rFonts w:ascii="Arial" w:hAnsi="Arial" w:cs="Arial"/>
          <w:szCs w:val="21"/>
        </w:rPr>
      </w:pPr>
      <w:r>
        <w:rPr>
          <w:rFonts w:ascii="Arial" w:hAnsi="Arial" w:cs="Arial"/>
          <w:szCs w:val="21"/>
        </w:rPr>
        <w:t>（四）发生保险事故时，若受损保险标的的分项或总保险金额低于重置价值时，其差额部分视为被保险人所自保，保险人则按本保险合同中列明的保险金额与对应的重置价值的比例负责赔偿。如保险机器多于一项时，每一项将按照本保险合同规定的分项保险金额单独计算比例赔偿的责任。</w:t>
      </w:r>
    </w:p>
    <w:p>
      <w:pPr>
        <w:autoSpaceDE w:val="0"/>
        <w:autoSpaceDN w:val="0"/>
        <w:adjustRightInd w:val="0"/>
        <w:snapToGrid w:val="0"/>
        <w:ind w:firstLine="422" w:firstLineChars="200"/>
        <w:rPr>
          <w:rFonts w:ascii="Arial" w:hAnsi="Arial" w:cs="Arial"/>
          <w:szCs w:val="21"/>
        </w:rPr>
      </w:pPr>
      <w:r>
        <w:rPr>
          <w:rFonts w:ascii="Arial" w:hAnsi="Arial" w:cs="Arial"/>
          <w:b/>
          <w:szCs w:val="21"/>
        </w:rPr>
        <w:t xml:space="preserve">第二十七条 </w:t>
      </w:r>
      <w:r>
        <w:rPr>
          <w:rFonts w:ascii="Arial" w:hAnsi="Arial" w:cs="Arial"/>
          <w:szCs w:val="21"/>
        </w:rPr>
        <w:t xml:space="preserve"> 发生保险事故后，被保险人为减少损失而采取必要措施所产生的合理费用，保险人也予以赔偿，但本项费用以被施救保险机器设备的保险金额为限。</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sz w:val="21"/>
          <w:szCs w:val="21"/>
          <w:lang w:eastAsia="zh-CN"/>
        </w:rPr>
        <w:t>被施救的财产中，含有本保险合同未承保财产的，按被施救保险标的的重置价值与全部被施救财产价值的比例分摊施救费用。</w:t>
      </w:r>
    </w:p>
    <w:p>
      <w:pPr>
        <w:pStyle w:val="13"/>
        <w:spacing w:after="0"/>
        <w:ind w:left="0" w:leftChars="0" w:firstLine="420" w:firstLineChars="200"/>
        <w:jc w:val="both"/>
        <w:rPr>
          <w:rFonts w:ascii="Arial" w:hAnsi="Arial" w:cs="Arial" w:eastAsiaTheme="minorEastAsia"/>
          <w:sz w:val="21"/>
          <w:szCs w:val="21"/>
          <w:lang w:eastAsia="zh-CN"/>
        </w:rPr>
      </w:pPr>
      <w:r>
        <w:rPr>
          <w:rFonts w:ascii="Arial" w:hAnsi="Arial" w:cs="Arial" w:eastAsiaTheme="minorEastAsia"/>
          <w:b/>
          <w:sz w:val="21"/>
          <w:szCs w:val="21"/>
          <w:lang w:eastAsia="zh-CN"/>
        </w:rPr>
        <w:t xml:space="preserve">第二十八条  </w:t>
      </w:r>
      <w:r>
        <w:rPr>
          <w:rFonts w:ascii="Arial" w:hAnsi="Arial" w:cs="Arial" w:eastAsiaTheme="minorEastAsia"/>
          <w:sz w:val="21"/>
          <w:szCs w:val="21"/>
          <w:lang w:eastAsia="zh-CN"/>
        </w:rPr>
        <w:t>每次事故保险人的赔偿金额为根据第二十六条、第二十七条约定计算的金额扣除每次事故免赔额后的金额，或者为根据第二十六条、第二十七条约定计算的金额扣除该金额与免赔率乘积后的金额。</w:t>
      </w:r>
    </w:p>
    <w:p>
      <w:pPr>
        <w:adjustRightInd w:val="0"/>
        <w:snapToGrid w:val="0"/>
        <w:ind w:firstLine="422" w:firstLineChars="200"/>
        <w:rPr>
          <w:rFonts w:ascii="Arial" w:hAnsi="Arial" w:cs="Arial"/>
          <w:szCs w:val="21"/>
        </w:rPr>
      </w:pPr>
      <w:r>
        <w:rPr>
          <w:rFonts w:ascii="Arial" w:hAnsi="Arial" w:cs="Arial"/>
          <w:b/>
          <w:szCs w:val="21"/>
        </w:rPr>
        <w:t>第二十九条</w:t>
      </w:r>
      <w:r>
        <w:rPr>
          <w:rFonts w:ascii="Arial" w:hAnsi="Arial" w:cs="Arial"/>
          <w:szCs w:val="21"/>
        </w:rPr>
        <w:t xml:space="preserve">  保险事故发生时，如果存在重复保险，保险人按照本保险合同的相应保险金额与其他保险合同及本保险合同相应保险金额总和的比例承担赔偿责任。</w:t>
      </w:r>
    </w:p>
    <w:p>
      <w:pPr>
        <w:adjustRightInd w:val="0"/>
        <w:snapToGrid w:val="0"/>
        <w:ind w:firstLine="422" w:firstLineChars="200"/>
        <w:rPr>
          <w:rFonts w:ascii="Arial" w:hAnsi="Arial" w:cs="Arial"/>
          <w:szCs w:val="21"/>
        </w:rPr>
      </w:pPr>
      <w:r>
        <w:rPr>
          <w:rFonts w:ascii="Arial" w:hAnsi="Arial" w:cs="Arial"/>
          <w:b/>
          <w:szCs w:val="21"/>
        </w:rPr>
        <w:t>其他保险人应承担的赔偿金额，本保险人不负责垫付。若被保险人未如实告知导致保险人多支付赔偿金的，保险人有权向被保险人追回多支付的部分。</w:t>
      </w:r>
    </w:p>
    <w:p>
      <w:pPr>
        <w:autoSpaceDE w:val="0"/>
        <w:autoSpaceDN w:val="0"/>
        <w:ind w:firstLine="422" w:firstLineChars="200"/>
        <w:rPr>
          <w:rFonts w:ascii="Arial" w:hAnsi="Arial" w:cs="Arial"/>
          <w:szCs w:val="21"/>
        </w:rPr>
      </w:pPr>
      <w:r>
        <w:rPr>
          <w:rFonts w:ascii="Arial" w:hAnsi="Arial" w:cs="Arial"/>
          <w:b/>
          <w:szCs w:val="21"/>
        </w:rPr>
        <w:t>第三十条</w:t>
      </w:r>
      <w:r>
        <w:rPr>
          <w:rFonts w:ascii="Arial" w:hAnsi="Arial" w:cs="Arial"/>
          <w:szCs w:val="21"/>
        </w:rPr>
        <w:t xml:space="preserve">  保险标的发生部分损失，保险人履行赔偿义务后，本保险合同的保险金额自损失发生之日起按保险人的赔偿金额相应减少，保险人不退还保险金额减少部分的保险费。如投保人请求恢复至原保险金额，应按原约定的保险费率另行支付恢复部分从投保人请求的恢复日期起至保险期间届满之日止按日比例计算的保险费。</w:t>
      </w:r>
    </w:p>
    <w:p>
      <w:pPr>
        <w:tabs>
          <w:tab w:val="left" w:pos="2160"/>
        </w:tabs>
        <w:adjustRightInd w:val="0"/>
        <w:snapToGrid w:val="0"/>
        <w:ind w:firstLine="422" w:firstLineChars="200"/>
        <w:rPr>
          <w:rStyle w:val="91"/>
          <w:rFonts w:ascii="Arial" w:hAnsi="Arial" w:cs="Arial"/>
          <w:color w:val="000000"/>
          <w:szCs w:val="21"/>
        </w:rPr>
      </w:pPr>
      <w:r>
        <w:rPr>
          <w:rFonts w:ascii="Arial" w:hAnsi="Arial" w:cs="Arial"/>
          <w:b/>
          <w:szCs w:val="21"/>
        </w:rPr>
        <w:t>第三十一条</w:t>
      </w:r>
      <w:r>
        <w:rPr>
          <w:rFonts w:ascii="Arial" w:hAnsi="Arial" w:cs="Arial"/>
          <w:szCs w:val="21"/>
        </w:rPr>
        <w:t xml:space="preserve">  发</w:t>
      </w:r>
      <w:r>
        <w:rPr>
          <w:rStyle w:val="91"/>
          <w:rFonts w:ascii="Arial" w:hAnsi="Arial" w:cs="Arial"/>
          <w:color w:val="000000"/>
          <w:szCs w:val="21"/>
        </w:rPr>
        <w:t>生保险责任范围内的损失，应由有关责任方负责赔偿的，保险人自向被保险人赔偿保险金之日起，在赔偿金额范围内代位行使被保险人对有关责任方请求赔偿的权利，被保险人应当向保险人提供必要的文件和所知道的有关情况。</w:t>
      </w:r>
    </w:p>
    <w:p>
      <w:pPr>
        <w:tabs>
          <w:tab w:val="left" w:pos="2160"/>
        </w:tabs>
        <w:adjustRightInd w:val="0"/>
        <w:snapToGrid w:val="0"/>
        <w:ind w:firstLine="420" w:firstLineChars="200"/>
        <w:rPr>
          <w:rStyle w:val="91"/>
          <w:rFonts w:ascii="Arial" w:hAnsi="Arial" w:cs="Arial"/>
          <w:color w:val="000000"/>
          <w:szCs w:val="21"/>
        </w:rPr>
      </w:pPr>
      <w:r>
        <w:rPr>
          <w:rStyle w:val="91"/>
          <w:rFonts w:ascii="Arial" w:hAnsi="Arial" w:cs="Arial"/>
          <w:color w:val="000000"/>
          <w:szCs w:val="21"/>
        </w:rPr>
        <w:t>被保险人已经从有关责任方取得赔偿的，保险人赔偿保险金时，可以相应扣减被保险人已从有关责任方取得的赔偿金额。</w:t>
      </w:r>
    </w:p>
    <w:p>
      <w:pPr>
        <w:ind w:firstLine="422" w:firstLineChars="200"/>
        <w:rPr>
          <w:rStyle w:val="91"/>
          <w:rFonts w:ascii="Arial" w:hAnsi="Arial" w:cs="Arial"/>
          <w:b/>
          <w:color w:val="000000"/>
          <w:szCs w:val="21"/>
        </w:rPr>
      </w:pPr>
      <w:r>
        <w:rPr>
          <w:rStyle w:val="91"/>
          <w:rFonts w:ascii="Arial" w:hAnsi="Arial" w:cs="Arial"/>
          <w:b/>
          <w:color w:val="000000"/>
          <w:szCs w:val="21"/>
        </w:rPr>
        <w:t>保险事故发生后，在保险人未赔偿保险金之前，被保险人放弃对有关责任方请求赔偿权利的，保险人不承担赔偿责任；</w:t>
      </w:r>
      <w:r>
        <w:rPr>
          <w:rStyle w:val="91"/>
          <w:rFonts w:ascii="Arial" w:hAnsi="Arial" w:cs="Arial"/>
          <w:color w:val="000000"/>
          <w:szCs w:val="21"/>
        </w:rPr>
        <w:t>保险人向被保险人赔偿保险金后，被保险人未经保险人同意放弃对有关责任方请求赔偿权利的，该行为无效；</w:t>
      </w:r>
      <w:r>
        <w:rPr>
          <w:rStyle w:val="91"/>
          <w:rFonts w:ascii="Arial" w:hAnsi="Arial" w:cs="Arial"/>
          <w:b/>
          <w:color w:val="000000"/>
          <w:szCs w:val="21"/>
        </w:rPr>
        <w:t>由于被保险人故意或者因重大过失致使保险人不能行使代位请求赔偿的权利的，保险人可以扣减或者要求返还相应的保险金。</w:t>
      </w:r>
    </w:p>
    <w:p>
      <w:pPr>
        <w:ind w:firstLine="422" w:firstLineChars="200"/>
        <w:rPr>
          <w:rFonts w:ascii="Arial" w:hAnsi="Arial" w:cs="Arial"/>
          <w:szCs w:val="21"/>
        </w:rPr>
      </w:pPr>
      <w:r>
        <w:rPr>
          <w:rFonts w:ascii="Arial" w:hAnsi="Arial" w:cs="Arial"/>
          <w:b/>
          <w:szCs w:val="21"/>
        </w:rPr>
        <w:t>第三十二条</w:t>
      </w:r>
      <w:r>
        <w:rPr>
          <w:rFonts w:ascii="Arial" w:hAnsi="Arial" w:cs="Arial"/>
          <w:szCs w:val="21"/>
        </w:rPr>
        <w:t xml:space="preserve">  </w:t>
      </w:r>
      <w:r>
        <w:rPr>
          <w:rStyle w:val="91"/>
          <w:rFonts w:ascii="Arial" w:hAnsi="Arial" w:cs="Arial"/>
          <w:color w:val="000000"/>
          <w:szCs w:val="21"/>
        </w:rPr>
        <w:t>被保险人向保险人请求赔偿保险金的诉讼时效期间为二年，自其知道或者应当知道保险事故发生之日起计算。</w:t>
      </w:r>
      <w:r>
        <w:rPr>
          <w:rStyle w:val="92"/>
          <w:rFonts w:ascii="Arial" w:hAnsi="Arial" w:cs="Arial"/>
          <w:color w:val="000000"/>
          <w:szCs w:val="21"/>
        </w:rPr>
        <w:t> </w:t>
      </w:r>
    </w:p>
    <w:p>
      <w:pPr>
        <w:ind w:firstLine="420" w:firstLineChars="200"/>
        <w:rPr>
          <w:rFonts w:ascii="Arial" w:hAnsi="Arial" w:cs="Arial"/>
          <w:szCs w:val="21"/>
        </w:rPr>
      </w:pPr>
    </w:p>
    <w:p>
      <w:pPr>
        <w:ind w:firstLine="422" w:firstLineChars="200"/>
        <w:jc w:val="center"/>
        <w:rPr>
          <w:rFonts w:ascii="Arial" w:hAnsi="Arial" w:cs="Arial"/>
          <w:b/>
          <w:bCs/>
          <w:szCs w:val="21"/>
        </w:rPr>
      </w:pPr>
      <w:r>
        <w:rPr>
          <w:rFonts w:ascii="Arial" w:hAnsi="Arial" w:cs="Arial"/>
          <w:b/>
          <w:bCs/>
          <w:szCs w:val="21"/>
        </w:rPr>
        <w:t>争议处理和法律适用</w:t>
      </w:r>
    </w:p>
    <w:p>
      <w:pPr>
        <w:ind w:firstLine="422" w:firstLineChars="200"/>
        <w:rPr>
          <w:rFonts w:ascii="Arial" w:hAnsi="Arial" w:cs="Arial"/>
          <w:szCs w:val="21"/>
        </w:rPr>
      </w:pPr>
      <w:r>
        <w:rPr>
          <w:rFonts w:ascii="Arial" w:hAnsi="Arial" w:cs="Arial"/>
          <w:b/>
          <w:szCs w:val="21"/>
        </w:rPr>
        <w:t>第三十三条</w:t>
      </w:r>
      <w:r>
        <w:rPr>
          <w:rFonts w:ascii="Arial" w:hAnsi="Arial" w:cs="Arial"/>
          <w:szCs w:val="21"/>
        </w:rPr>
        <w:t xml:space="preserve">  因履行本保险合同发生的争议，由当事人协商解决。协商不成的，提交保险单载明的仲裁机构仲裁；保险单未载明仲裁机构且争议发生后未达成仲裁协议的，依法向人民法院起诉。</w:t>
      </w:r>
    </w:p>
    <w:p>
      <w:pPr>
        <w:ind w:firstLine="422" w:firstLineChars="200"/>
        <w:rPr>
          <w:rFonts w:ascii="Arial" w:hAnsi="Arial" w:cs="Arial"/>
          <w:szCs w:val="21"/>
        </w:rPr>
      </w:pPr>
      <w:r>
        <w:rPr>
          <w:rFonts w:ascii="Arial" w:hAnsi="Arial" w:cs="Arial"/>
          <w:b/>
          <w:szCs w:val="21"/>
        </w:rPr>
        <w:t>第三十四条</w:t>
      </w:r>
      <w:r>
        <w:rPr>
          <w:rFonts w:ascii="Arial" w:hAnsi="Arial" w:cs="Arial"/>
          <w:szCs w:val="21"/>
        </w:rPr>
        <w:t xml:space="preserve">  与本保险合同有关的以及履行本保险合同产生的一切争议，适用中华人民共和国法律（不包括港澳台地区法律）。</w:t>
      </w:r>
    </w:p>
    <w:p>
      <w:pPr>
        <w:ind w:firstLine="420" w:firstLineChars="200"/>
        <w:rPr>
          <w:rFonts w:ascii="Arial" w:hAnsi="Arial" w:cs="Arial"/>
          <w:szCs w:val="21"/>
        </w:rPr>
      </w:pPr>
    </w:p>
    <w:p>
      <w:pPr>
        <w:ind w:firstLine="422" w:firstLineChars="200"/>
        <w:jc w:val="center"/>
        <w:rPr>
          <w:rFonts w:ascii="Arial" w:hAnsi="Arial" w:cs="Arial"/>
          <w:b/>
          <w:bCs/>
          <w:szCs w:val="21"/>
        </w:rPr>
      </w:pPr>
      <w:r>
        <w:rPr>
          <w:rFonts w:ascii="Arial" w:hAnsi="Arial" w:cs="Arial"/>
          <w:b/>
          <w:bCs/>
          <w:szCs w:val="21"/>
        </w:rPr>
        <w:t>其他事项</w:t>
      </w:r>
    </w:p>
    <w:p>
      <w:pPr>
        <w:ind w:firstLine="422" w:firstLineChars="200"/>
        <w:rPr>
          <w:rStyle w:val="92"/>
          <w:rFonts w:ascii="Arial" w:hAnsi="Arial" w:cs="Arial"/>
          <w:color w:val="000000"/>
          <w:szCs w:val="21"/>
        </w:rPr>
      </w:pPr>
      <w:r>
        <w:rPr>
          <w:rFonts w:ascii="Arial" w:hAnsi="Arial" w:cs="Arial"/>
          <w:b/>
          <w:szCs w:val="21"/>
        </w:rPr>
        <w:t>第三十五条</w:t>
      </w:r>
      <w:r>
        <w:rPr>
          <w:rFonts w:ascii="Arial" w:hAnsi="Arial" w:cs="Arial"/>
          <w:szCs w:val="21"/>
        </w:rPr>
        <w:t xml:space="preserve">  </w:t>
      </w:r>
      <w:r>
        <w:rPr>
          <w:rStyle w:val="91"/>
          <w:rFonts w:ascii="Arial" w:hAnsi="Arial" w:cs="Arial"/>
          <w:color w:val="000000"/>
          <w:szCs w:val="21"/>
        </w:rPr>
        <w:t>保险标的发生部分损失的，自保险人赔偿之日起三十日内，投保人可以解除合同；除合同另有约定外，保险人也可以解除合同，但应当提前十五日通知投保人。</w:t>
      </w:r>
      <w:r>
        <w:rPr>
          <w:rStyle w:val="92"/>
          <w:rFonts w:ascii="Arial" w:hAnsi="Arial" w:cs="Arial"/>
          <w:color w:val="000000"/>
          <w:szCs w:val="21"/>
        </w:rPr>
        <w:t> </w:t>
      </w:r>
    </w:p>
    <w:p>
      <w:pPr>
        <w:ind w:firstLine="420" w:firstLineChars="200"/>
        <w:rPr>
          <w:rStyle w:val="91"/>
          <w:rFonts w:ascii="Arial" w:hAnsi="Arial" w:cs="Arial"/>
          <w:szCs w:val="21"/>
        </w:rPr>
      </w:pPr>
      <w:r>
        <w:rPr>
          <w:rFonts w:ascii="Arial" w:hAnsi="Arial" w:cs="Arial"/>
          <w:color w:val="000000"/>
          <w:szCs w:val="21"/>
        </w:rPr>
        <w:t>保险合同依据前款规定</w:t>
      </w:r>
      <w:r>
        <w:rPr>
          <w:rStyle w:val="91"/>
          <w:rFonts w:ascii="Arial" w:hAnsi="Arial" w:cs="Arial"/>
          <w:color w:val="000000"/>
          <w:szCs w:val="21"/>
        </w:rPr>
        <w:t>解除的，保险人应当将保险标的未受损失部分的保险费，按照合同约定扣除自保险责任开始之日起至合同解除之日止应收的部分后，退还投保人。</w:t>
      </w:r>
    </w:p>
    <w:p>
      <w:pPr>
        <w:ind w:firstLine="422" w:firstLineChars="200"/>
        <w:rPr>
          <w:rStyle w:val="91"/>
          <w:rFonts w:ascii="Arial" w:hAnsi="Arial" w:cs="Arial"/>
          <w:szCs w:val="21"/>
        </w:rPr>
      </w:pPr>
      <w:r>
        <w:rPr>
          <w:rFonts w:ascii="Arial" w:hAnsi="Arial" w:cs="Arial"/>
          <w:b/>
          <w:szCs w:val="21"/>
        </w:rPr>
        <w:t>第三十六条</w:t>
      </w:r>
      <w:r>
        <w:rPr>
          <w:rFonts w:ascii="Arial" w:hAnsi="Arial" w:cs="Arial"/>
          <w:szCs w:val="21"/>
        </w:rPr>
        <w:t xml:space="preserve">  </w:t>
      </w:r>
      <w:r>
        <w:rPr>
          <w:rStyle w:val="91"/>
          <w:rFonts w:ascii="Arial" w:hAnsi="Arial" w:cs="Arial"/>
          <w:szCs w:val="21"/>
        </w:rPr>
        <w:t>保险责任开始前，投保人要求解除保险合同的，应当按本保险合同的约定向保险人支付退保手续费，保险人应当退还剩余部分保险费。</w:t>
      </w:r>
    </w:p>
    <w:p>
      <w:pPr>
        <w:ind w:firstLine="420" w:firstLineChars="200"/>
        <w:rPr>
          <w:rStyle w:val="91"/>
          <w:rFonts w:ascii="Arial" w:hAnsi="Arial" w:cs="Arial"/>
          <w:szCs w:val="21"/>
        </w:rPr>
      </w:pPr>
      <w:r>
        <w:rPr>
          <w:rStyle w:val="91"/>
          <w:rFonts w:ascii="Arial" w:hAnsi="Arial" w:cs="Arial"/>
          <w:szCs w:val="21"/>
        </w:rPr>
        <w:t>保险责任开始后，投保人要求解除保险合同的，自通知保险人之日起，保险合同解除，保险人按短期费率计收保险责任开始之日起至合同解除之日止期间的保险费，并退还剩余部分保险费。</w:t>
      </w:r>
    </w:p>
    <w:p>
      <w:pPr>
        <w:ind w:firstLine="420" w:firstLineChars="200"/>
        <w:rPr>
          <w:rFonts w:ascii="Arial" w:hAnsi="Arial" w:cs="Arial"/>
          <w:szCs w:val="21"/>
        </w:rPr>
      </w:pPr>
      <w:r>
        <w:rPr>
          <w:rStyle w:val="91"/>
          <w:rFonts w:ascii="Arial" w:hAnsi="Arial" w:cs="Arial"/>
          <w:szCs w:val="21"/>
        </w:rPr>
        <w:t>保险责任开始后，保险人要求解除保险合同的，可提前十五日向投保人发出解约通知书解除本保险合同，保险人按照保险责任开始之日起至合同解除之日止期间与保险期间的日比例计收保险费，并退还剩余部分保险费。</w:t>
      </w:r>
    </w:p>
    <w:p>
      <w:pPr>
        <w:ind w:firstLine="422" w:firstLineChars="200"/>
        <w:rPr>
          <w:rFonts w:ascii="Arial" w:hAnsi="Arial" w:cs="Arial"/>
          <w:szCs w:val="21"/>
        </w:rPr>
      </w:pPr>
      <w:r>
        <w:rPr>
          <w:rFonts w:ascii="Arial" w:hAnsi="Arial" w:cs="Arial"/>
          <w:b/>
          <w:szCs w:val="21"/>
        </w:rPr>
        <w:t>第三十七条</w:t>
      </w:r>
      <w:r>
        <w:rPr>
          <w:rFonts w:ascii="Arial" w:hAnsi="Arial" w:cs="Arial"/>
          <w:szCs w:val="21"/>
        </w:rPr>
        <w:t xml:space="preserve">  保险标的发生全部损失，属于保险责任的，保险人在履行赔偿义务后，本保险合同终止；不属于保险责任的，本保险合同终止，保险人按短期费率计收自保险责任开始之日起至损失发生之日止期间的保险费，并退还剩余部分保险费。</w:t>
      </w:r>
    </w:p>
    <w:p>
      <w:pPr>
        <w:autoSpaceDE w:val="0"/>
        <w:autoSpaceDN w:val="0"/>
        <w:adjustRightInd w:val="0"/>
        <w:snapToGrid w:val="0"/>
        <w:ind w:firstLine="420" w:firstLineChars="200"/>
        <w:rPr>
          <w:rFonts w:ascii="Arial" w:hAnsi="Arial" w:cs="Arial"/>
          <w:szCs w:val="21"/>
        </w:rPr>
      </w:pPr>
      <w:r>
        <w:rPr>
          <w:rFonts w:ascii="Arial" w:hAnsi="Arial" w:cs="Arial"/>
          <w:szCs w:val="21"/>
        </w:rPr>
        <w:t xml:space="preserve">    </w:t>
      </w:r>
    </w:p>
    <w:p>
      <w:pPr>
        <w:ind w:firstLine="422" w:firstLineChars="200"/>
        <w:jc w:val="center"/>
        <w:rPr>
          <w:rFonts w:ascii="Arial" w:hAnsi="Arial" w:cs="Arial"/>
          <w:b/>
          <w:szCs w:val="21"/>
        </w:rPr>
      </w:pPr>
      <w:r>
        <w:rPr>
          <w:rFonts w:ascii="Arial" w:hAnsi="Arial" w:cs="Arial"/>
          <w:b/>
          <w:szCs w:val="21"/>
        </w:rPr>
        <w:t>释义</w:t>
      </w:r>
    </w:p>
    <w:p>
      <w:pPr>
        <w:pStyle w:val="4"/>
        <w:spacing w:line="240" w:lineRule="auto"/>
        <w:ind w:left="0" w:right="0" w:firstLine="420" w:firstLineChars="200"/>
        <w:jc w:val="both"/>
        <w:rPr>
          <w:rFonts w:ascii="Arial" w:hAnsi="Arial" w:cs="Arial" w:eastAsiaTheme="minorEastAsia"/>
          <w:b/>
          <w:sz w:val="21"/>
          <w:szCs w:val="21"/>
          <w:lang w:eastAsia="zh-CN"/>
        </w:rPr>
      </w:pPr>
      <w:r>
        <w:rPr>
          <w:rFonts w:ascii="Arial" w:hAnsi="Arial" w:cs="Arial" w:eastAsiaTheme="minorEastAsia"/>
          <w:sz w:val="21"/>
          <w:szCs w:val="21"/>
          <w:lang w:eastAsia="zh-CN"/>
        </w:rPr>
        <w:t xml:space="preserve">第三十八条  </w:t>
      </w:r>
      <w:r>
        <w:rPr>
          <w:rFonts w:ascii="Arial" w:hAnsi="Arial" w:cs="Arial" w:eastAsiaTheme="minorEastAsia"/>
          <w:b/>
          <w:sz w:val="21"/>
          <w:szCs w:val="21"/>
          <w:lang w:eastAsia="zh-CN"/>
        </w:rPr>
        <w:t>本保险合同涉及下列术语时，适用下列释义：</w:t>
      </w:r>
    </w:p>
    <w:p>
      <w:pPr>
        <w:ind w:firstLine="420" w:firstLineChars="200"/>
        <w:rPr>
          <w:rFonts w:ascii="Arial" w:hAnsi="Arial" w:cs="Arial"/>
          <w:szCs w:val="21"/>
        </w:rPr>
      </w:pPr>
      <w:r>
        <w:rPr>
          <w:rFonts w:ascii="Arial" w:hAnsi="Arial" w:cs="Arial"/>
          <w:szCs w:val="21"/>
        </w:rPr>
        <w:t>（一）火灾</w:t>
      </w:r>
    </w:p>
    <w:p>
      <w:pPr>
        <w:ind w:firstLine="420" w:firstLineChars="200"/>
        <w:rPr>
          <w:rFonts w:ascii="Arial" w:hAnsi="Arial" w:cs="Arial"/>
          <w:szCs w:val="21"/>
        </w:rPr>
      </w:pPr>
      <w:r>
        <w:rPr>
          <w:rFonts w:ascii="Arial" w:hAnsi="Arial" w:cs="Arial"/>
          <w:szCs w:val="21"/>
        </w:rPr>
        <w:t xml:space="preserve"> 在时间或空间上失去控制的燃烧所造成的灾害。构成本保险的火灾责任必须同时具备以下三个条件：</w:t>
      </w:r>
    </w:p>
    <w:p>
      <w:pPr>
        <w:ind w:firstLine="420" w:firstLineChars="200"/>
        <w:rPr>
          <w:rFonts w:ascii="Arial" w:hAnsi="Arial" w:cs="Arial"/>
          <w:szCs w:val="21"/>
        </w:rPr>
      </w:pPr>
      <w:r>
        <w:rPr>
          <w:rFonts w:ascii="Arial" w:hAnsi="Arial" w:cs="Arial"/>
          <w:szCs w:val="21"/>
        </w:rPr>
        <w:t xml:space="preserve">  1、有燃烧现象，即有热有光有火焰；</w:t>
      </w:r>
    </w:p>
    <w:p>
      <w:pPr>
        <w:ind w:firstLine="420" w:firstLineChars="200"/>
        <w:rPr>
          <w:rFonts w:ascii="Arial" w:hAnsi="Arial" w:cs="Arial"/>
          <w:szCs w:val="21"/>
        </w:rPr>
      </w:pPr>
      <w:r>
        <w:rPr>
          <w:rFonts w:ascii="Arial" w:hAnsi="Arial" w:cs="Arial"/>
          <w:szCs w:val="21"/>
        </w:rPr>
        <w:t xml:space="preserve">  2、偶然、意外发生的燃烧；</w:t>
      </w:r>
    </w:p>
    <w:p>
      <w:pPr>
        <w:ind w:firstLine="420" w:firstLineChars="200"/>
        <w:rPr>
          <w:rFonts w:ascii="Arial" w:hAnsi="Arial" w:cs="Arial"/>
          <w:szCs w:val="21"/>
        </w:rPr>
      </w:pPr>
      <w:r>
        <w:rPr>
          <w:rFonts w:ascii="Arial" w:hAnsi="Arial" w:cs="Arial"/>
          <w:szCs w:val="21"/>
        </w:rPr>
        <w:t xml:space="preserve">  3、燃烧失去控制并有蔓延扩大的趋势。</w:t>
      </w:r>
    </w:p>
    <w:p>
      <w:pPr>
        <w:ind w:firstLine="420" w:firstLineChars="200"/>
        <w:rPr>
          <w:rFonts w:ascii="Arial" w:hAnsi="Arial" w:cs="Arial"/>
          <w:szCs w:val="21"/>
        </w:rPr>
      </w:pPr>
      <w:r>
        <w:rPr>
          <w:rFonts w:ascii="Arial" w:hAnsi="Arial" w:cs="Arial"/>
          <w:szCs w:val="21"/>
        </w:rPr>
        <w:t>因此，仅有燃烧现象并不等于构成本保险中的火灾责任。在生产、生活中有目的用火，如为了防疫而焚毁站污的衣物，点火烧荒等属正常燃烧，不同于火灾责任。</w:t>
      </w:r>
    </w:p>
    <w:p>
      <w:pPr>
        <w:ind w:firstLine="420" w:firstLineChars="200"/>
        <w:rPr>
          <w:rFonts w:ascii="Arial" w:hAnsi="Arial" w:cs="Arial"/>
          <w:szCs w:val="21"/>
        </w:rPr>
      </w:pPr>
      <w:r>
        <w:rPr>
          <w:rFonts w:ascii="Arial" w:hAnsi="Arial" w:cs="Arial"/>
          <w:szCs w:val="21"/>
        </w:rPr>
        <w:t>因烘、烤、烫、烙造成焦糊变质等损失，既无燃烧现象，又无蔓延扩大趋势，也不属于火灾责任。</w:t>
      </w:r>
    </w:p>
    <w:p>
      <w:pPr>
        <w:ind w:firstLine="420" w:firstLineChars="200"/>
        <w:rPr>
          <w:rFonts w:ascii="Arial" w:hAnsi="Arial" w:cs="Arial"/>
          <w:szCs w:val="21"/>
        </w:rPr>
      </w:pPr>
      <w:r>
        <w:rPr>
          <w:rFonts w:ascii="Arial" w:hAnsi="Arial" w:cs="Arial"/>
          <w:szCs w:val="21"/>
        </w:rPr>
        <w:t>电机、电器、电气设备因使用过度、超电压、碰线、孤花、漏电、自身发热所造成的本身损毁，不属于火灾责任。但如果发生了燃烧并失去控制蔓延扩大，才构成火灾责任，并对电机、电器、电气设备本身的损失负责赔偿。</w:t>
      </w:r>
    </w:p>
    <w:p>
      <w:pPr>
        <w:ind w:firstLine="420" w:firstLineChars="200"/>
        <w:rPr>
          <w:rFonts w:ascii="Arial" w:hAnsi="Arial" w:cs="Arial"/>
          <w:szCs w:val="21"/>
        </w:rPr>
      </w:pPr>
      <w:r>
        <w:rPr>
          <w:rFonts w:ascii="Arial" w:hAnsi="Arial" w:cs="Arial"/>
          <w:szCs w:val="21"/>
        </w:rPr>
        <w:t xml:space="preserve"> （二）爆炸</w:t>
      </w:r>
    </w:p>
    <w:p>
      <w:pPr>
        <w:ind w:firstLine="420" w:firstLineChars="200"/>
        <w:rPr>
          <w:rFonts w:ascii="Arial" w:hAnsi="Arial" w:cs="Arial"/>
          <w:szCs w:val="21"/>
        </w:rPr>
      </w:pPr>
      <w:r>
        <w:rPr>
          <w:rFonts w:ascii="Arial" w:hAnsi="Arial" w:cs="Arial"/>
          <w:szCs w:val="21"/>
        </w:rPr>
        <w:t>爆炸分物理性爆炸和化学性爆炸。</w:t>
      </w:r>
    </w:p>
    <w:p>
      <w:pPr>
        <w:ind w:firstLine="420" w:firstLineChars="200"/>
        <w:rPr>
          <w:rFonts w:ascii="Arial" w:hAnsi="Arial" w:cs="Arial"/>
          <w:szCs w:val="21"/>
        </w:rPr>
      </w:pPr>
      <w:r>
        <w:rPr>
          <w:rFonts w:ascii="Arial" w:hAnsi="Arial" w:cs="Arial"/>
          <w:szCs w:val="21"/>
        </w:rPr>
        <w:t xml:space="preserve"> 1、物理性爆炸：由于液体变为蒸汽或气体膨胀，压力急剧增加并大大超过容器所能承受的极限压力，因而发生爆炸。如锅炉、空气压缩机、压缩气体钢瓶、液化气罐爆炸等。关于锅炉、压力容器爆炸的定义是：锅炉或区力容器在使用中或试压时发生破裂，使压力瞬时降到等于外界大气压力的事故，称为“爆炸事故”。</w:t>
      </w:r>
    </w:p>
    <w:p>
      <w:pPr>
        <w:ind w:firstLine="420" w:firstLineChars="200"/>
        <w:rPr>
          <w:rFonts w:ascii="Arial" w:hAnsi="Arial" w:cs="Arial"/>
          <w:szCs w:val="21"/>
        </w:rPr>
      </w:pPr>
      <w:r>
        <w:rPr>
          <w:rFonts w:ascii="Arial" w:hAnsi="Arial" w:cs="Arial"/>
          <w:szCs w:val="21"/>
        </w:rPr>
        <w:t xml:space="preserve"> 2、化学性爆炸：物体在瞬息分解或燃烧时放出大量的热和气体，并以很大的压力向四周扩散的现象。如火药爆炸、可燃性粉尘纤维爆炸、可燃气体爆炸及各种化学物品的爆炸等。</w:t>
      </w:r>
    </w:p>
    <w:p>
      <w:pPr>
        <w:ind w:firstLine="420" w:firstLineChars="200"/>
        <w:rPr>
          <w:rFonts w:ascii="Arial" w:hAnsi="Arial" w:cs="Arial"/>
          <w:szCs w:val="21"/>
        </w:rPr>
      </w:pPr>
      <w:r>
        <w:rPr>
          <w:rFonts w:ascii="Arial" w:hAnsi="Arial" w:cs="Arial"/>
          <w:szCs w:val="21"/>
        </w:rPr>
        <w:t>因物体本身的瑕疵，使用损耗或产品质量低劣以及由于容器内部承受“负压’（内压比外压小）造成的损失，不属于爆炸责任。</w:t>
      </w:r>
    </w:p>
    <w:p>
      <w:pPr>
        <w:ind w:firstLine="420" w:firstLineChars="200"/>
        <w:rPr>
          <w:rFonts w:ascii="Arial" w:hAnsi="Arial" w:cs="Arial"/>
          <w:szCs w:val="21"/>
        </w:rPr>
      </w:pPr>
      <w:r>
        <w:rPr>
          <w:rFonts w:ascii="Arial" w:hAnsi="Arial" w:cs="Arial"/>
          <w:szCs w:val="21"/>
        </w:rPr>
        <w:t>（三）雷击</w:t>
      </w:r>
    </w:p>
    <w:p>
      <w:pPr>
        <w:ind w:firstLine="420" w:firstLineChars="200"/>
        <w:rPr>
          <w:rFonts w:ascii="Arial" w:hAnsi="Arial" w:cs="Arial"/>
          <w:szCs w:val="21"/>
        </w:rPr>
      </w:pPr>
      <w:r>
        <w:rPr>
          <w:rFonts w:ascii="Arial" w:hAnsi="Arial" w:cs="Arial"/>
          <w:szCs w:val="21"/>
        </w:rPr>
        <w:t>雷击指由雷电造成的灾害。雷电为积雨云中、云间或云地之间产生的放电现象。雷击的破坏形式分直接雷击与感应雷击两种。</w:t>
      </w:r>
    </w:p>
    <w:p>
      <w:pPr>
        <w:ind w:firstLine="420" w:firstLineChars="200"/>
        <w:rPr>
          <w:rFonts w:ascii="Arial" w:hAnsi="Arial" w:cs="Arial"/>
          <w:szCs w:val="21"/>
        </w:rPr>
      </w:pPr>
      <w:r>
        <w:rPr>
          <w:rFonts w:ascii="Arial" w:hAnsi="Arial" w:cs="Arial"/>
          <w:szCs w:val="21"/>
        </w:rPr>
        <w:t>1、直接雷击：由于雷电直接击中保险标的造成损失，属直接雷击责任。</w:t>
      </w:r>
    </w:p>
    <w:p>
      <w:pPr>
        <w:ind w:firstLine="420" w:firstLineChars="200"/>
        <w:rPr>
          <w:rFonts w:ascii="Arial" w:hAnsi="Arial" w:cs="Arial"/>
          <w:szCs w:val="21"/>
        </w:rPr>
      </w:pPr>
      <w:r>
        <w:rPr>
          <w:rFonts w:ascii="Arial" w:hAnsi="Arial" w:cs="Arial"/>
          <w:szCs w:val="21"/>
        </w:rPr>
        <w:t>2、感应雷击：由于雷击产生的静电感应或电磁感应使屋内对地绝缘金属物体产生高电位放出火花引起的火灾，导致电器本身的损毁，或因雷电的高电压感应，致使电器部件的损毁，属感应雷击责任。</w:t>
      </w:r>
    </w:p>
    <w:p>
      <w:pPr>
        <w:ind w:firstLine="420" w:firstLineChars="200"/>
        <w:rPr>
          <w:rFonts w:ascii="Arial" w:hAnsi="Arial" w:cs="Arial"/>
          <w:szCs w:val="21"/>
        </w:rPr>
      </w:pPr>
      <w:r>
        <w:rPr>
          <w:rFonts w:ascii="Arial" w:hAnsi="Arial" w:cs="Arial"/>
          <w:szCs w:val="21"/>
        </w:rPr>
        <w:t>（四）暴雨：指每小时降雨量达16毫米以上，或连续12小时降雨量达30毫米以上，或连续24小时降雨量达50毫米以上的降雨。</w:t>
      </w:r>
    </w:p>
    <w:p>
      <w:pPr>
        <w:ind w:firstLine="420" w:firstLineChars="200"/>
        <w:rPr>
          <w:rFonts w:ascii="Arial" w:hAnsi="Arial" w:cs="Arial"/>
          <w:szCs w:val="21"/>
        </w:rPr>
      </w:pPr>
      <w:r>
        <w:rPr>
          <w:rFonts w:ascii="Arial" w:hAnsi="Arial" w:cs="Arial"/>
          <w:szCs w:val="21"/>
        </w:rPr>
        <w:t>（五）洪水：指山洪暴发、江河泛滥、潮水上岸及倒灌。但规律性的涨潮、自动灭火设施漏水以及在常年水位以下或地下渗水、水管爆裂不属于洪水责任。</w:t>
      </w:r>
    </w:p>
    <w:p>
      <w:pPr>
        <w:ind w:firstLine="420" w:firstLineChars="200"/>
        <w:rPr>
          <w:rFonts w:ascii="Arial" w:hAnsi="Arial" w:cs="Arial"/>
          <w:szCs w:val="21"/>
        </w:rPr>
      </w:pPr>
      <w:r>
        <w:rPr>
          <w:rFonts w:ascii="Arial" w:hAnsi="Arial" w:cs="Arial"/>
          <w:szCs w:val="21"/>
        </w:rPr>
        <w:t>（六）暴风：指风力达8级、风速在17.2米/秒以上的自然风。</w:t>
      </w:r>
    </w:p>
    <w:p>
      <w:pPr>
        <w:ind w:firstLine="420" w:firstLineChars="200"/>
        <w:rPr>
          <w:rFonts w:ascii="Arial" w:hAnsi="Arial" w:cs="Arial"/>
          <w:szCs w:val="21"/>
        </w:rPr>
      </w:pPr>
      <w:r>
        <w:rPr>
          <w:rFonts w:ascii="Arial" w:hAnsi="Arial" w:cs="Arial"/>
          <w:szCs w:val="21"/>
        </w:rPr>
        <w:t>（七）龙卷风：指一种范围小而时间短的猛烈旋风，陆地上平均最大风速在79米/秒-103米/秒，极端最大风速在100米/秒以上。</w:t>
      </w:r>
    </w:p>
    <w:p>
      <w:pPr>
        <w:ind w:firstLine="420" w:firstLineChars="200"/>
        <w:rPr>
          <w:rFonts w:ascii="Arial" w:hAnsi="Arial" w:cs="Arial"/>
          <w:szCs w:val="21"/>
        </w:rPr>
      </w:pPr>
      <w:r>
        <w:rPr>
          <w:rFonts w:ascii="Arial" w:hAnsi="Arial" w:cs="Arial"/>
          <w:szCs w:val="21"/>
        </w:rPr>
        <w:t>（八）冰雹：指从强烈对流的积雨云中降落到地面的冰块或冰球，直径大于5毫米，核心坚硬的固体降水。</w:t>
      </w:r>
    </w:p>
    <w:p>
      <w:pPr>
        <w:ind w:firstLine="420" w:firstLineChars="200"/>
        <w:rPr>
          <w:rFonts w:ascii="Arial" w:hAnsi="Arial" w:cs="Arial"/>
          <w:szCs w:val="21"/>
        </w:rPr>
      </w:pPr>
      <w:r>
        <w:rPr>
          <w:rFonts w:ascii="Arial" w:hAnsi="Arial" w:cs="Arial"/>
          <w:szCs w:val="21"/>
        </w:rPr>
        <w:t>（九）台风、飓风：台风指中心附近最大平均风力12级或以上，即风速在32.6米/秒以上的热带气旋；飓风是一种与台风性质相同、但出现的位置区域不同的热带气旋，台风出现在西北太平洋海域，而飓风出现在印度洋、大西洋海域。</w:t>
      </w:r>
    </w:p>
    <w:p>
      <w:pPr>
        <w:ind w:firstLine="420" w:firstLineChars="200"/>
        <w:rPr>
          <w:rFonts w:ascii="Arial" w:hAnsi="Arial" w:cs="Arial"/>
          <w:szCs w:val="21"/>
        </w:rPr>
      </w:pPr>
      <w:r>
        <w:rPr>
          <w:rFonts w:ascii="Arial" w:hAnsi="Arial" w:cs="Arial"/>
          <w:szCs w:val="21"/>
        </w:rPr>
        <w:t>（十）沙尘暴：指强风将地面大量尘沙吹起，使空气很混浊，水平能见度小于1公里的天气现象。</w:t>
      </w:r>
    </w:p>
    <w:p>
      <w:pPr>
        <w:ind w:firstLine="420" w:firstLineChars="200"/>
        <w:rPr>
          <w:rFonts w:ascii="Arial" w:hAnsi="Arial" w:cs="Arial"/>
          <w:szCs w:val="21"/>
        </w:rPr>
      </w:pPr>
      <w:r>
        <w:rPr>
          <w:rFonts w:ascii="Arial" w:hAnsi="Arial" w:cs="Arial"/>
          <w:szCs w:val="21"/>
        </w:rPr>
        <w:t>（十一）暴雪：指连续12小时的降雪量大于或等于10毫米的降雪现象。</w:t>
      </w:r>
    </w:p>
    <w:p>
      <w:pPr>
        <w:ind w:firstLine="420" w:firstLineChars="200"/>
        <w:rPr>
          <w:rFonts w:ascii="Arial" w:hAnsi="Arial" w:cs="Arial"/>
          <w:szCs w:val="21"/>
        </w:rPr>
      </w:pPr>
      <w:r>
        <w:rPr>
          <w:rFonts w:ascii="Arial" w:hAnsi="Arial" w:cs="Arial"/>
          <w:szCs w:val="21"/>
        </w:rPr>
        <w:t>（十二）冰凌：指春季江河解冻期时冰块飘浮遇阻，堆积成坝，堵塞江道，造成水位急剧上升，以致江水溢出江道，漫延成灾。</w:t>
      </w:r>
    </w:p>
    <w:p>
      <w:pPr>
        <w:ind w:firstLine="420" w:firstLineChars="200"/>
        <w:rPr>
          <w:rFonts w:ascii="Arial" w:hAnsi="Arial" w:cs="Arial"/>
          <w:szCs w:val="21"/>
        </w:rPr>
      </w:pPr>
      <w:r>
        <w:rPr>
          <w:rFonts w:ascii="Arial" w:hAnsi="Arial" w:cs="Arial"/>
          <w:szCs w:val="21"/>
        </w:rPr>
        <w:t>陆上有些地区，如山谷风口或酷寒致使雨雪在物体上结成冰块，成下垂形状，越结越厚，重量增加，由于下垂的拉力致使物体毁坏，也属冰凌责任。</w:t>
      </w:r>
    </w:p>
    <w:p>
      <w:pPr>
        <w:ind w:firstLine="420" w:firstLineChars="200"/>
        <w:rPr>
          <w:rFonts w:ascii="Arial" w:hAnsi="Arial" w:cs="Arial"/>
          <w:szCs w:val="21"/>
        </w:rPr>
      </w:pPr>
      <w:r>
        <w:rPr>
          <w:rFonts w:ascii="Arial" w:hAnsi="Arial" w:cs="Arial"/>
          <w:szCs w:val="21"/>
        </w:rPr>
        <w:t>（十三）突发性滑坡：斜坡上不稳的岩土体或人为堆积物在重力作用下突然整体向下滑动的现象。</w:t>
      </w:r>
    </w:p>
    <w:p>
      <w:pPr>
        <w:ind w:firstLine="420" w:firstLineChars="200"/>
        <w:rPr>
          <w:rFonts w:ascii="Arial" w:hAnsi="Arial" w:cs="Arial"/>
          <w:szCs w:val="21"/>
        </w:rPr>
      </w:pPr>
      <w:r>
        <w:rPr>
          <w:rFonts w:ascii="Arial" w:hAnsi="Arial" w:cs="Arial"/>
          <w:szCs w:val="21"/>
        </w:rPr>
        <w:t>（十四）崩塌：石崖、土崖、岩石受自然风化、雨蚀造成崩溃下塌，以及大量积雪在重力作用下从高处突然崩塌滚落。</w:t>
      </w:r>
    </w:p>
    <w:p>
      <w:pPr>
        <w:ind w:firstLine="420" w:firstLineChars="200"/>
        <w:rPr>
          <w:rFonts w:ascii="Arial" w:hAnsi="Arial" w:cs="Arial"/>
          <w:szCs w:val="21"/>
        </w:rPr>
      </w:pPr>
      <w:r>
        <w:rPr>
          <w:rFonts w:ascii="Arial" w:hAnsi="Arial" w:cs="Arial"/>
          <w:szCs w:val="21"/>
        </w:rPr>
        <w:t>（十五）泥石流：由于雨水、冰雪融化等水源激发的、含有大量泥沙石块的特殊洪流。</w:t>
      </w:r>
    </w:p>
    <w:p>
      <w:pPr>
        <w:ind w:firstLine="420" w:firstLineChars="200"/>
        <w:rPr>
          <w:rFonts w:ascii="Arial" w:hAnsi="Arial" w:cs="Arial"/>
          <w:szCs w:val="21"/>
        </w:rPr>
      </w:pPr>
      <w:r>
        <w:rPr>
          <w:rFonts w:ascii="Arial" w:hAnsi="Arial" w:cs="Arial"/>
          <w:szCs w:val="21"/>
        </w:rPr>
        <w:t>（十六）地面突然下陷下沉：地壳因为自然变异，地层收缩而发生突然塌陷。对于因海潮、河流、大雨侵蚀或在建筑房屋前没有掌握地层情况，地下有孔穴、矿穴，以致地面突然塌陷，也属地面突然下陷下沉。但未按建筑施工要求导致建筑地基下沉、裂缝、倒塌等，不在此列。</w:t>
      </w:r>
    </w:p>
    <w:p>
      <w:pPr>
        <w:ind w:firstLine="420" w:firstLineChars="200"/>
        <w:rPr>
          <w:rFonts w:ascii="Arial" w:hAnsi="Arial" w:cs="Arial"/>
          <w:szCs w:val="21"/>
        </w:rPr>
      </w:pPr>
      <w:r>
        <w:rPr>
          <w:rFonts w:ascii="Arial" w:hAnsi="Arial" w:cs="Arial"/>
          <w:szCs w:val="21"/>
        </w:rPr>
        <w:t>（十七）飞行物体及其他空中运行物体坠落：指空中飞行器、人造卫星、陨石坠落，吊车、行车在运行时发生的物体坠落，人工开凿或爆炸而致石方、石块、土方飞射、塌下，建筑物倒塌、倒落、倾倒，以及其他空中运行物体坠落。</w:t>
      </w:r>
    </w:p>
    <w:p>
      <w:pPr>
        <w:ind w:firstLine="420" w:firstLineChars="200"/>
        <w:rPr>
          <w:rFonts w:ascii="Arial" w:hAnsi="Arial" w:cs="Arial"/>
          <w:szCs w:val="21"/>
        </w:rPr>
      </w:pPr>
      <w:r>
        <w:rPr>
          <w:rFonts w:ascii="Arial" w:hAnsi="Arial" w:cs="Arial"/>
          <w:szCs w:val="21"/>
        </w:rPr>
        <w:t>（十八）自然灾害：指雷击、暴雨、洪水、暴风、龙卷风、冰雹、台风、飓风、沙尘暴、暴雪、冰凌、突发性滑坡、崩塌、泥石流、地面突然下陷下沉及其他人力不可抗拒的破坏力强大的自然现象。</w:t>
      </w:r>
    </w:p>
    <w:p>
      <w:pPr>
        <w:ind w:firstLine="420" w:firstLineChars="200"/>
        <w:rPr>
          <w:rFonts w:ascii="Arial" w:hAnsi="Arial" w:cs="Arial"/>
          <w:szCs w:val="21"/>
        </w:rPr>
      </w:pPr>
      <w:r>
        <w:rPr>
          <w:rFonts w:ascii="Arial" w:hAnsi="Arial" w:cs="Arial"/>
          <w:szCs w:val="21"/>
        </w:rPr>
        <w:t>（十九）意外事故：指不可预料的以及被保险人无法控制并造成物质损失的突发性事件，包括火灾和爆炸。</w:t>
      </w:r>
    </w:p>
    <w:p>
      <w:pPr>
        <w:ind w:firstLine="420" w:firstLineChars="200"/>
        <w:rPr>
          <w:rFonts w:ascii="Arial" w:hAnsi="Arial" w:cs="Arial"/>
          <w:szCs w:val="21"/>
        </w:rPr>
      </w:pPr>
      <w:r>
        <w:rPr>
          <w:rFonts w:ascii="Arial" w:hAnsi="Arial" w:cs="Arial"/>
          <w:szCs w:val="21"/>
        </w:rPr>
        <w:t>（二十）重大过失行为：指行为人不但没有遵守法律规范对其较高要求，甚至连人们都应当注意并能注意的一般标准也未达到的行为。</w:t>
      </w:r>
    </w:p>
    <w:p>
      <w:pPr>
        <w:ind w:firstLine="420" w:firstLineChars="200"/>
        <w:rPr>
          <w:rFonts w:ascii="Arial" w:hAnsi="Arial" w:cs="Arial"/>
          <w:szCs w:val="21"/>
        </w:rPr>
      </w:pPr>
      <w:r>
        <w:rPr>
          <w:rFonts w:ascii="Arial" w:hAnsi="Arial" w:cs="Arial"/>
          <w:szCs w:val="21"/>
        </w:rPr>
        <w:t>（二十一）恐怖活动：指任何人以某一组织的名义或参与某一组织使用武力或暴力对任何政府进行恐吓或施加影响而采取的行动。</w:t>
      </w:r>
    </w:p>
    <w:p>
      <w:pPr>
        <w:ind w:firstLine="420" w:firstLineChars="200"/>
        <w:rPr>
          <w:rFonts w:ascii="Arial" w:hAnsi="Arial" w:cs="Arial"/>
          <w:szCs w:val="21"/>
        </w:rPr>
      </w:pPr>
      <w:r>
        <w:rPr>
          <w:rFonts w:ascii="Arial" w:hAnsi="Arial" w:cs="Arial"/>
          <w:szCs w:val="21"/>
        </w:rPr>
        <w:t>（二十二）地震：地壳发生的震动。</w:t>
      </w:r>
    </w:p>
    <w:p>
      <w:pPr>
        <w:ind w:firstLine="420" w:firstLineChars="200"/>
        <w:rPr>
          <w:rFonts w:ascii="Arial" w:hAnsi="Arial" w:cs="Arial"/>
          <w:szCs w:val="21"/>
        </w:rPr>
      </w:pPr>
      <w:r>
        <w:rPr>
          <w:rFonts w:ascii="Arial" w:hAnsi="Arial" w:cs="Arial"/>
          <w:szCs w:val="21"/>
        </w:rPr>
        <w:t>（二十三）海啸：海啸是指由海底地震，火山爆发或水下滑坡、塌陷所激发的海洋巨波。</w:t>
      </w:r>
    </w:p>
    <w:p>
      <w:pPr>
        <w:ind w:firstLine="420" w:firstLineChars="200"/>
        <w:rPr>
          <w:rFonts w:ascii="Arial" w:hAnsi="Arial" w:cs="Arial"/>
          <w:szCs w:val="21"/>
        </w:rPr>
      </w:pPr>
      <w:r>
        <w:rPr>
          <w:rFonts w:ascii="Arial" w:hAnsi="Arial" w:cs="Arial"/>
          <w:szCs w:val="21"/>
        </w:rPr>
        <w:t>（二十四）行政行为、司法行为：指各级政府部门、执法机关或依法履行公共管理、社会管理职能的机构下令破坏、征用、罚没保险标的的行为。</w:t>
      </w:r>
    </w:p>
    <w:p>
      <w:pPr>
        <w:ind w:firstLine="420" w:firstLineChars="200"/>
        <w:rPr>
          <w:rFonts w:ascii="Arial" w:hAnsi="Arial" w:cs="Arial"/>
          <w:szCs w:val="21"/>
        </w:rPr>
      </w:pPr>
      <w:r>
        <w:rPr>
          <w:rFonts w:ascii="Arial" w:hAnsi="Arial" w:cs="Arial"/>
          <w:szCs w:val="21"/>
        </w:rPr>
        <w:t>（二十五）简易建筑：指符合下列条件之一的建筑：（1）使用竹木、芦席、蓬布、茅草、油毛毡、塑料膜、尼龙布、玻璃钢瓦等材料为顶或墙体的建筑；（2）顶部封闭，但直立面非封闭部分的面积与直立面总面积的比例超过10％的建筑；（3）屋顶与所有墙体之间的最大距离超过一米的建筑。</w:t>
      </w:r>
    </w:p>
    <w:p>
      <w:pPr>
        <w:ind w:firstLine="420" w:firstLineChars="200"/>
        <w:rPr>
          <w:rFonts w:ascii="Arial" w:hAnsi="Arial" w:cs="Arial"/>
          <w:szCs w:val="21"/>
        </w:rPr>
      </w:pPr>
      <w:r>
        <w:rPr>
          <w:rFonts w:ascii="Arial" w:hAnsi="Arial" w:cs="Arial"/>
          <w:szCs w:val="21"/>
        </w:rPr>
        <w:t>（二十六）自燃：指可燃物在没有外部热源直接作用的情况下，由于其内部的物理作用（如吸附、辐射等）、化学作用（如氧化、分解、聚合等）或生物作用（如发酵、细菌腐败等）而发热，热量积聚导致升温，当可燃物达到一定温度时，未与明火直接接触而发生燃烧的现象。</w:t>
      </w:r>
    </w:p>
    <w:p>
      <w:pPr>
        <w:ind w:firstLine="420" w:firstLineChars="200"/>
        <w:rPr>
          <w:rFonts w:ascii="Arial" w:hAnsi="Arial" w:cs="Arial"/>
          <w:szCs w:val="21"/>
        </w:rPr>
      </w:pPr>
      <w:r>
        <w:rPr>
          <w:rFonts w:ascii="Arial" w:hAnsi="Arial" w:cs="Arial"/>
          <w:szCs w:val="21"/>
        </w:rPr>
        <w:t>（二十七）水箱、水管爆裂：包括冻裂和意外爆裂两种情况。水箱、水管爆裂一般是由水箱、水管本身瑕疵或使用耗损或严寒结冰造成的。</w:t>
      </w:r>
    </w:p>
    <w:p>
      <w:pPr>
        <w:pStyle w:val="94"/>
        <w:autoSpaceDE w:val="0"/>
        <w:autoSpaceDN w:val="0"/>
        <w:spacing w:line="240" w:lineRule="auto"/>
        <w:ind w:firstLine="420" w:firstLineChars="200"/>
        <w:jc w:val="both"/>
        <w:textAlignment w:val="bottom"/>
        <w:rPr>
          <w:rFonts w:ascii="Arial" w:hAnsi="Arial" w:cs="Arial" w:eastAsiaTheme="minorEastAsia"/>
          <w:sz w:val="21"/>
          <w:szCs w:val="21"/>
        </w:rPr>
      </w:pPr>
      <w:r>
        <w:rPr>
          <w:rFonts w:ascii="Arial" w:hAnsi="Arial" w:cs="Arial" w:eastAsiaTheme="minorEastAsia"/>
          <w:sz w:val="21"/>
          <w:szCs w:val="21"/>
        </w:rPr>
        <w:t>（二十八）错误：指应该按规定做好的事情而没有做好；</w:t>
      </w:r>
    </w:p>
    <w:p>
      <w:pPr>
        <w:pStyle w:val="94"/>
        <w:autoSpaceDE w:val="0"/>
        <w:autoSpaceDN w:val="0"/>
        <w:spacing w:line="240" w:lineRule="auto"/>
        <w:ind w:firstLine="420" w:firstLineChars="200"/>
        <w:jc w:val="both"/>
        <w:textAlignment w:val="bottom"/>
        <w:rPr>
          <w:rFonts w:ascii="Arial" w:hAnsi="Arial" w:cs="Arial" w:eastAsiaTheme="minorEastAsia"/>
          <w:sz w:val="21"/>
          <w:szCs w:val="21"/>
        </w:rPr>
      </w:pPr>
      <w:r>
        <w:rPr>
          <w:rFonts w:ascii="Arial" w:hAnsi="Arial" w:cs="Arial" w:eastAsiaTheme="minorEastAsia"/>
          <w:sz w:val="21"/>
          <w:szCs w:val="21"/>
        </w:rPr>
        <w:t>（二十九）缺陷：指材料、设备的质量、工艺未达到国家或行业协会规定的标准。</w:t>
      </w:r>
    </w:p>
    <w:p>
      <w:pPr>
        <w:ind w:firstLine="420" w:firstLineChars="200"/>
        <w:rPr>
          <w:rFonts w:ascii="Arial" w:hAnsi="Arial" w:cs="Arial"/>
          <w:szCs w:val="21"/>
        </w:rPr>
      </w:pPr>
      <w:r>
        <w:rPr>
          <w:rFonts w:ascii="Arial" w:hAnsi="Arial" w:cs="Arial"/>
          <w:szCs w:val="21"/>
        </w:rPr>
        <w:t>（三十）离心力：是指向心力的反作用力，也称“惯性离心力”；</w:t>
      </w:r>
    </w:p>
    <w:p>
      <w:pPr>
        <w:pStyle w:val="94"/>
        <w:autoSpaceDE w:val="0"/>
        <w:autoSpaceDN w:val="0"/>
        <w:spacing w:line="240" w:lineRule="auto"/>
        <w:ind w:firstLine="420" w:firstLineChars="200"/>
        <w:jc w:val="both"/>
        <w:textAlignment w:val="bottom"/>
        <w:rPr>
          <w:rFonts w:ascii="Arial" w:hAnsi="Arial" w:cs="Arial" w:eastAsiaTheme="minorEastAsia"/>
          <w:sz w:val="21"/>
          <w:szCs w:val="21"/>
        </w:rPr>
      </w:pPr>
      <w:r>
        <w:rPr>
          <w:rFonts w:ascii="Arial" w:hAnsi="Arial" w:cs="Arial" w:eastAsiaTheme="minorEastAsia"/>
          <w:sz w:val="21"/>
          <w:szCs w:val="21"/>
        </w:rPr>
        <w:t>（三十一）超负荷：指因电流超过额定数值，电器负荷电流过高，致使电器设备超过额定容量或额定功率。</w:t>
      </w:r>
    </w:p>
    <w:p>
      <w:pPr>
        <w:pStyle w:val="94"/>
        <w:autoSpaceDE w:val="0"/>
        <w:autoSpaceDN w:val="0"/>
        <w:spacing w:line="240" w:lineRule="auto"/>
        <w:ind w:firstLine="420" w:firstLineChars="200"/>
        <w:jc w:val="both"/>
        <w:textAlignment w:val="bottom"/>
        <w:rPr>
          <w:rFonts w:ascii="Arial" w:hAnsi="Arial" w:cs="Arial" w:eastAsiaTheme="minorEastAsia"/>
          <w:sz w:val="21"/>
          <w:szCs w:val="21"/>
        </w:rPr>
      </w:pPr>
      <w:r>
        <w:rPr>
          <w:rFonts w:ascii="Arial" w:hAnsi="Arial" w:cs="Arial" w:eastAsiaTheme="minorEastAsia"/>
          <w:sz w:val="21"/>
          <w:szCs w:val="21"/>
        </w:rPr>
        <w:t>（三十二）电弧：指导体与导体之间产生的放电现象。</w:t>
      </w:r>
    </w:p>
    <w:p>
      <w:pPr>
        <w:pStyle w:val="94"/>
        <w:autoSpaceDE w:val="0"/>
        <w:autoSpaceDN w:val="0"/>
        <w:spacing w:line="240" w:lineRule="auto"/>
        <w:ind w:firstLine="420" w:firstLineChars="200"/>
        <w:jc w:val="both"/>
        <w:textAlignment w:val="bottom"/>
        <w:rPr>
          <w:rFonts w:ascii="Arial" w:hAnsi="Arial" w:cs="Arial" w:eastAsiaTheme="minorEastAsia"/>
          <w:sz w:val="21"/>
          <w:szCs w:val="21"/>
        </w:rPr>
      </w:pPr>
      <w:r>
        <w:rPr>
          <w:rFonts w:ascii="Arial" w:hAnsi="Arial" w:cs="Arial" w:eastAsiaTheme="minorEastAsia"/>
          <w:sz w:val="21"/>
          <w:szCs w:val="21"/>
        </w:rPr>
        <w:t>（三十三）感应电：指通电导体周围造成的磁场使其它导体产生的带电现象。</w:t>
      </w:r>
    </w:p>
    <w:p>
      <w:pPr>
        <w:rPr>
          <w:rFonts w:ascii="Arial" w:hAnsi="Arial" w:cs="Arial"/>
          <w:szCs w:val="21"/>
        </w:rPr>
      </w:pPr>
    </w:p>
    <w:p>
      <w:pPr>
        <w:rPr>
          <w:rFonts w:ascii="Arial" w:hAnsi="Arial" w:cs="Arial"/>
          <w:szCs w:val="21"/>
        </w:rPr>
      </w:pPr>
    </w:p>
    <w:p>
      <w:pPr>
        <w:rPr>
          <w:rFonts w:ascii="Arial" w:hAnsi="Arial" w:cs="Arial"/>
          <w:szCs w:val="21"/>
        </w:rPr>
      </w:pPr>
    </w:p>
    <w:p>
      <w:pPr>
        <w:spacing w:after="156" w:afterLines="50"/>
        <w:jc w:val="center"/>
        <w:rPr>
          <w:rFonts w:ascii="宋体" w:hAnsi="宋体"/>
          <w:b/>
          <w:szCs w:val="21"/>
        </w:rPr>
      </w:pPr>
      <w:r>
        <w:rPr>
          <w:rFonts w:hint="eastAsia" w:ascii="宋体" w:hAnsi="宋体"/>
          <w:b/>
          <w:szCs w:val="21"/>
        </w:rPr>
        <w:t>附录</w:t>
      </w:r>
    </w:p>
    <w:p>
      <w:pPr>
        <w:spacing w:after="156" w:afterLines="50"/>
        <w:jc w:val="center"/>
        <w:rPr>
          <w:rFonts w:ascii="宋体" w:hAnsi="宋体"/>
          <w:szCs w:val="21"/>
        </w:rPr>
      </w:pPr>
      <w:r>
        <w:rPr>
          <w:rFonts w:hint="eastAsia" w:ascii="宋体" w:hAnsi="宋体"/>
          <w:bCs/>
          <w:szCs w:val="21"/>
        </w:rPr>
        <w:t>短期费率表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5"/>
        <w:gridCol w:w="540"/>
        <w:gridCol w:w="540"/>
        <w:gridCol w:w="540"/>
        <w:gridCol w:w="540"/>
        <w:gridCol w:w="540"/>
        <w:gridCol w:w="540"/>
        <w:gridCol w:w="540"/>
        <w:gridCol w:w="540"/>
        <w:gridCol w:w="540"/>
        <w:gridCol w:w="540"/>
        <w:gridCol w:w="537"/>
        <w:gridCol w:w="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5" w:type="dxa"/>
            <w:vAlign w:val="center"/>
          </w:tcPr>
          <w:p>
            <w:pPr>
              <w:spacing w:after="156" w:afterLines="50"/>
              <w:jc w:val="center"/>
              <w:rPr>
                <w:rFonts w:ascii="Arial" w:hAnsi="Arial" w:cs="Arial"/>
                <w:szCs w:val="21"/>
              </w:rPr>
            </w:pPr>
            <w:r>
              <w:rPr>
                <w:rFonts w:ascii="Arial" w:hAnsi="Arial" w:cs="Arial"/>
                <w:szCs w:val="21"/>
              </w:rPr>
              <w:t>保险</w:t>
            </w:r>
          </w:p>
          <w:p>
            <w:pPr>
              <w:spacing w:after="156" w:afterLines="50"/>
              <w:jc w:val="center"/>
              <w:rPr>
                <w:rFonts w:ascii="Arial" w:hAnsi="Arial" w:cs="Arial"/>
                <w:szCs w:val="21"/>
              </w:rPr>
            </w:pPr>
            <w:r>
              <w:rPr>
                <w:rFonts w:ascii="Arial" w:hAnsi="Arial" w:cs="Arial"/>
                <w:szCs w:val="21"/>
              </w:rPr>
              <w:t>期间</w:t>
            </w:r>
          </w:p>
        </w:tc>
        <w:tc>
          <w:tcPr>
            <w:tcW w:w="540" w:type="dxa"/>
            <w:vAlign w:val="center"/>
          </w:tcPr>
          <w:p>
            <w:pPr>
              <w:spacing w:after="156" w:afterLines="50"/>
              <w:jc w:val="center"/>
              <w:rPr>
                <w:rFonts w:ascii="Arial" w:hAnsi="Arial" w:cs="Arial"/>
                <w:szCs w:val="21"/>
              </w:rPr>
            </w:pPr>
            <w:r>
              <w:rPr>
                <w:rFonts w:ascii="Arial" w:hAnsi="Arial" w:cs="Arial"/>
                <w:szCs w:val="21"/>
              </w:rPr>
              <w:t>一</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二</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三</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四</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五</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六</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七</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八</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九</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40" w:type="dxa"/>
            <w:vAlign w:val="center"/>
          </w:tcPr>
          <w:p>
            <w:pPr>
              <w:spacing w:after="156" w:afterLines="50"/>
              <w:jc w:val="center"/>
              <w:rPr>
                <w:rFonts w:ascii="Arial" w:hAnsi="Arial" w:cs="Arial"/>
                <w:szCs w:val="21"/>
              </w:rPr>
            </w:pPr>
            <w:r>
              <w:rPr>
                <w:rFonts w:ascii="Arial" w:hAnsi="Arial" w:cs="Arial"/>
                <w:szCs w:val="21"/>
              </w:rPr>
              <w:t>十</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37" w:type="dxa"/>
            <w:vAlign w:val="center"/>
          </w:tcPr>
          <w:p>
            <w:pPr>
              <w:spacing w:after="156" w:afterLines="50"/>
              <w:jc w:val="center"/>
              <w:rPr>
                <w:rFonts w:ascii="Arial" w:hAnsi="Arial" w:cs="Arial"/>
                <w:szCs w:val="21"/>
              </w:rPr>
            </w:pPr>
            <w:r>
              <w:rPr>
                <w:rFonts w:ascii="Arial" w:hAnsi="Arial" w:cs="Arial"/>
                <w:szCs w:val="21"/>
              </w:rPr>
              <w:t>十</w:t>
            </w:r>
          </w:p>
          <w:p>
            <w:pPr>
              <w:spacing w:after="156" w:afterLines="50"/>
              <w:jc w:val="center"/>
              <w:rPr>
                <w:rFonts w:ascii="Arial" w:hAnsi="Arial" w:cs="Arial"/>
                <w:szCs w:val="21"/>
              </w:rPr>
            </w:pPr>
            <w:r>
              <w:rPr>
                <w:rFonts w:ascii="Arial" w:hAnsi="Arial" w:cs="Arial"/>
                <w:szCs w:val="21"/>
              </w:rPr>
              <w:t>一</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c>
          <w:tcPr>
            <w:tcW w:w="531" w:type="dxa"/>
            <w:vAlign w:val="center"/>
          </w:tcPr>
          <w:p>
            <w:pPr>
              <w:spacing w:after="156" w:afterLines="50"/>
              <w:jc w:val="center"/>
              <w:rPr>
                <w:rFonts w:ascii="Arial" w:hAnsi="Arial" w:cs="Arial"/>
                <w:szCs w:val="21"/>
              </w:rPr>
            </w:pPr>
            <w:r>
              <w:rPr>
                <w:rFonts w:ascii="Arial" w:hAnsi="Arial" w:cs="Arial"/>
                <w:szCs w:val="21"/>
              </w:rPr>
              <w:t>十</w:t>
            </w:r>
          </w:p>
          <w:p>
            <w:pPr>
              <w:spacing w:after="156" w:afterLines="50"/>
              <w:jc w:val="center"/>
              <w:rPr>
                <w:rFonts w:ascii="Arial" w:hAnsi="Arial" w:cs="Arial"/>
                <w:szCs w:val="21"/>
              </w:rPr>
            </w:pPr>
            <w:r>
              <w:rPr>
                <w:rFonts w:ascii="Arial" w:hAnsi="Arial" w:cs="Arial"/>
                <w:szCs w:val="21"/>
              </w:rPr>
              <w:t>二</w:t>
            </w:r>
          </w:p>
          <w:p>
            <w:pPr>
              <w:spacing w:after="156" w:afterLines="50"/>
              <w:jc w:val="center"/>
              <w:rPr>
                <w:rFonts w:ascii="Arial" w:hAnsi="Arial" w:cs="Arial"/>
                <w:szCs w:val="21"/>
              </w:rPr>
            </w:pPr>
            <w:r>
              <w:rPr>
                <w:rFonts w:ascii="Arial" w:hAnsi="Arial" w:cs="Arial"/>
                <w:szCs w:val="21"/>
              </w:rPr>
              <w:t>个</w:t>
            </w:r>
          </w:p>
          <w:p>
            <w:pPr>
              <w:spacing w:after="156" w:afterLines="50"/>
              <w:jc w:val="center"/>
              <w:rPr>
                <w:rFonts w:ascii="Arial" w:hAnsi="Arial" w:cs="Arial"/>
                <w:szCs w:val="21"/>
              </w:rPr>
            </w:pPr>
            <w:r>
              <w:rPr>
                <w:rFonts w:ascii="Arial" w:hAnsi="Arial" w:cs="Arial"/>
                <w:szCs w:val="21"/>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95" w:type="dxa"/>
            <w:vAlign w:val="center"/>
          </w:tcPr>
          <w:p>
            <w:pPr>
              <w:spacing w:after="156" w:afterLines="50"/>
              <w:jc w:val="center"/>
              <w:rPr>
                <w:rFonts w:ascii="Arial" w:hAnsi="Arial" w:cs="Arial"/>
                <w:szCs w:val="21"/>
              </w:rPr>
            </w:pPr>
            <w:r>
              <w:rPr>
                <w:rFonts w:ascii="Arial" w:hAnsi="Arial" w:cs="Arial"/>
                <w:szCs w:val="21"/>
              </w:rPr>
              <w:t>年费率的百分比</w:t>
            </w:r>
          </w:p>
        </w:tc>
        <w:tc>
          <w:tcPr>
            <w:tcW w:w="540" w:type="dxa"/>
            <w:vAlign w:val="center"/>
          </w:tcPr>
          <w:p>
            <w:pPr>
              <w:spacing w:after="156" w:afterLines="50"/>
              <w:jc w:val="center"/>
              <w:rPr>
                <w:rFonts w:ascii="Arial" w:hAnsi="Arial" w:cs="Arial"/>
                <w:szCs w:val="21"/>
              </w:rPr>
            </w:pPr>
            <w:r>
              <w:rPr>
                <w:rFonts w:ascii="Arial" w:hAnsi="Arial" w:cs="Arial"/>
                <w:szCs w:val="21"/>
              </w:rPr>
              <w:t>10</w:t>
            </w:r>
          </w:p>
        </w:tc>
        <w:tc>
          <w:tcPr>
            <w:tcW w:w="540" w:type="dxa"/>
            <w:vAlign w:val="center"/>
          </w:tcPr>
          <w:p>
            <w:pPr>
              <w:spacing w:after="156" w:afterLines="50"/>
              <w:jc w:val="center"/>
              <w:rPr>
                <w:rFonts w:ascii="Arial" w:hAnsi="Arial" w:cs="Arial"/>
                <w:szCs w:val="21"/>
              </w:rPr>
            </w:pPr>
            <w:r>
              <w:rPr>
                <w:rFonts w:ascii="Arial" w:hAnsi="Arial" w:cs="Arial"/>
                <w:szCs w:val="21"/>
              </w:rPr>
              <w:t>20</w:t>
            </w:r>
          </w:p>
        </w:tc>
        <w:tc>
          <w:tcPr>
            <w:tcW w:w="540" w:type="dxa"/>
            <w:vAlign w:val="center"/>
          </w:tcPr>
          <w:p>
            <w:pPr>
              <w:spacing w:after="156" w:afterLines="50"/>
              <w:jc w:val="center"/>
              <w:rPr>
                <w:rFonts w:ascii="Arial" w:hAnsi="Arial" w:cs="Arial"/>
                <w:szCs w:val="21"/>
              </w:rPr>
            </w:pPr>
            <w:r>
              <w:rPr>
                <w:rFonts w:ascii="Arial" w:hAnsi="Arial" w:cs="Arial"/>
                <w:szCs w:val="21"/>
              </w:rPr>
              <w:t>30</w:t>
            </w:r>
          </w:p>
        </w:tc>
        <w:tc>
          <w:tcPr>
            <w:tcW w:w="540" w:type="dxa"/>
            <w:vAlign w:val="center"/>
          </w:tcPr>
          <w:p>
            <w:pPr>
              <w:spacing w:after="156" w:afterLines="50"/>
              <w:jc w:val="center"/>
              <w:rPr>
                <w:rFonts w:ascii="Arial" w:hAnsi="Arial" w:cs="Arial"/>
                <w:szCs w:val="21"/>
              </w:rPr>
            </w:pPr>
            <w:r>
              <w:rPr>
                <w:rFonts w:ascii="Arial" w:hAnsi="Arial" w:cs="Arial"/>
                <w:szCs w:val="21"/>
              </w:rPr>
              <w:t>40</w:t>
            </w:r>
          </w:p>
        </w:tc>
        <w:tc>
          <w:tcPr>
            <w:tcW w:w="540" w:type="dxa"/>
            <w:vAlign w:val="center"/>
          </w:tcPr>
          <w:p>
            <w:pPr>
              <w:spacing w:after="156" w:afterLines="50"/>
              <w:jc w:val="center"/>
              <w:rPr>
                <w:rFonts w:ascii="Arial" w:hAnsi="Arial" w:cs="Arial"/>
                <w:szCs w:val="21"/>
              </w:rPr>
            </w:pPr>
            <w:r>
              <w:rPr>
                <w:rFonts w:ascii="Arial" w:hAnsi="Arial" w:cs="Arial"/>
                <w:szCs w:val="21"/>
              </w:rPr>
              <w:t>50</w:t>
            </w:r>
          </w:p>
        </w:tc>
        <w:tc>
          <w:tcPr>
            <w:tcW w:w="540" w:type="dxa"/>
            <w:vAlign w:val="center"/>
          </w:tcPr>
          <w:p>
            <w:pPr>
              <w:spacing w:after="156" w:afterLines="50"/>
              <w:jc w:val="center"/>
              <w:rPr>
                <w:rFonts w:ascii="Arial" w:hAnsi="Arial" w:cs="Arial"/>
                <w:szCs w:val="21"/>
              </w:rPr>
            </w:pPr>
            <w:r>
              <w:rPr>
                <w:rFonts w:ascii="Arial" w:hAnsi="Arial" w:cs="Arial"/>
                <w:szCs w:val="21"/>
              </w:rPr>
              <w:t>60</w:t>
            </w:r>
          </w:p>
        </w:tc>
        <w:tc>
          <w:tcPr>
            <w:tcW w:w="540" w:type="dxa"/>
            <w:vAlign w:val="center"/>
          </w:tcPr>
          <w:p>
            <w:pPr>
              <w:spacing w:after="156" w:afterLines="50"/>
              <w:jc w:val="center"/>
              <w:rPr>
                <w:rFonts w:ascii="Arial" w:hAnsi="Arial" w:cs="Arial"/>
                <w:szCs w:val="21"/>
              </w:rPr>
            </w:pPr>
            <w:r>
              <w:rPr>
                <w:rFonts w:ascii="Arial" w:hAnsi="Arial" w:cs="Arial"/>
                <w:szCs w:val="21"/>
              </w:rPr>
              <w:t>70</w:t>
            </w:r>
          </w:p>
        </w:tc>
        <w:tc>
          <w:tcPr>
            <w:tcW w:w="540" w:type="dxa"/>
            <w:vAlign w:val="center"/>
          </w:tcPr>
          <w:p>
            <w:pPr>
              <w:spacing w:after="156" w:afterLines="50"/>
              <w:jc w:val="center"/>
              <w:rPr>
                <w:rFonts w:ascii="Arial" w:hAnsi="Arial" w:cs="Arial"/>
                <w:szCs w:val="21"/>
              </w:rPr>
            </w:pPr>
            <w:r>
              <w:rPr>
                <w:rFonts w:ascii="Arial" w:hAnsi="Arial" w:cs="Arial"/>
                <w:szCs w:val="21"/>
              </w:rPr>
              <w:t>80</w:t>
            </w:r>
          </w:p>
        </w:tc>
        <w:tc>
          <w:tcPr>
            <w:tcW w:w="540" w:type="dxa"/>
            <w:vAlign w:val="center"/>
          </w:tcPr>
          <w:p>
            <w:pPr>
              <w:spacing w:after="156" w:afterLines="50"/>
              <w:jc w:val="center"/>
              <w:rPr>
                <w:rFonts w:ascii="Arial" w:hAnsi="Arial" w:cs="Arial"/>
                <w:szCs w:val="21"/>
              </w:rPr>
            </w:pPr>
            <w:r>
              <w:rPr>
                <w:rFonts w:ascii="Arial" w:hAnsi="Arial" w:cs="Arial"/>
                <w:szCs w:val="21"/>
              </w:rPr>
              <w:t>85</w:t>
            </w:r>
          </w:p>
        </w:tc>
        <w:tc>
          <w:tcPr>
            <w:tcW w:w="540" w:type="dxa"/>
            <w:vAlign w:val="center"/>
          </w:tcPr>
          <w:p>
            <w:pPr>
              <w:spacing w:after="156" w:afterLines="50"/>
              <w:jc w:val="center"/>
              <w:rPr>
                <w:rFonts w:ascii="Arial" w:hAnsi="Arial" w:cs="Arial"/>
                <w:szCs w:val="21"/>
              </w:rPr>
            </w:pPr>
            <w:r>
              <w:rPr>
                <w:rFonts w:ascii="Arial" w:hAnsi="Arial" w:cs="Arial"/>
                <w:szCs w:val="21"/>
              </w:rPr>
              <w:t>90</w:t>
            </w:r>
          </w:p>
        </w:tc>
        <w:tc>
          <w:tcPr>
            <w:tcW w:w="537" w:type="dxa"/>
            <w:vAlign w:val="center"/>
          </w:tcPr>
          <w:p>
            <w:pPr>
              <w:spacing w:after="156" w:afterLines="50"/>
              <w:jc w:val="center"/>
              <w:rPr>
                <w:rFonts w:ascii="Arial" w:hAnsi="Arial" w:cs="Arial"/>
                <w:szCs w:val="21"/>
              </w:rPr>
            </w:pPr>
            <w:r>
              <w:rPr>
                <w:rFonts w:ascii="Arial" w:hAnsi="Arial" w:cs="Arial"/>
                <w:szCs w:val="21"/>
              </w:rPr>
              <w:t>95</w:t>
            </w:r>
          </w:p>
        </w:tc>
        <w:tc>
          <w:tcPr>
            <w:tcW w:w="531" w:type="dxa"/>
            <w:vAlign w:val="center"/>
          </w:tcPr>
          <w:p>
            <w:pPr>
              <w:spacing w:after="156" w:afterLines="50"/>
              <w:jc w:val="center"/>
              <w:rPr>
                <w:rFonts w:ascii="Arial" w:hAnsi="Arial" w:cs="Arial"/>
                <w:szCs w:val="21"/>
              </w:rPr>
            </w:pPr>
            <w:r>
              <w:rPr>
                <w:rFonts w:ascii="Arial" w:hAnsi="Arial" w:cs="Arial"/>
                <w:szCs w:val="21"/>
              </w:rPr>
              <w:t>100</w:t>
            </w:r>
          </w:p>
        </w:tc>
      </w:tr>
    </w:tbl>
    <w:p>
      <w:pPr>
        <w:spacing w:after="156" w:afterLines="50"/>
        <w:rPr>
          <w:rFonts w:ascii="Arial" w:hAnsi="Arial" w:cs="Arial"/>
          <w:szCs w:val="21"/>
        </w:rPr>
      </w:pPr>
      <w:r>
        <w:rPr>
          <w:rFonts w:ascii="Arial" w:hAnsi="Arial" w:cs="Arial"/>
          <w:szCs w:val="21"/>
        </w:rPr>
        <w:t>注：不足一个月的部分按一个月计收。</w:t>
      </w:r>
    </w:p>
    <w:p>
      <w:pPr>
        <w:rPr>
          <w:rFonts w:ascii="Arial" w:hAnsi="Arial" w:cs="Arial"/>
          <w:szCs w:val="21"/>
        </w:rPr>
      </w:pPr>
      <w:r>
        <w:rPr>
          <w:rFonts w:ascii="Arial" w:hAnsi="Arial" w:cs="Arial"/>
          <w:szCs w:val="21"/>
        </w:rPr>
        <w:br w:type="page"/>
      </w:r>
    </w:p>
    <w:p>
      <w:pPr>
        <w:autoSpaceDE w:val="0"/>
        <w:autoSpaceDN w:val="0"/>
        <w:jc w:val="center"/>
        <w:textAlignment w:val="bottom"/>
        <w:rPr>
          <w:rFonts w:ascii="Arial" w:hAnsi="Arial" w:cs="Arial"/>
          <w:b/>
          <w:szCs w:val="21"/>
        </w:rPr>
      </w:pPr>
      <w:r>
        <w:rPr>
          <w:rFonts w:ascii="Arial" w:hAnsi="Arial" w:cs="Arial"/>
          <w:b/>
          <w:szCs w:val="21"/>
        </w:rPr>
        <w:t>机器损坏险扩展条款</w:t>
      </w:r>
    </w:p>
    <w:p>
      <w:pPr>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空运费条款（赔偿限额：损失的20%）</w:t>
      </w:r>
    </w:p>
    <w:p>
      <w:pPr>
        <w:autoSpaceDE w:val="0"/>
        <w:autoSpaceDN w:val="0"/>
        <w:adjustRightInd w:val="0"/>
        <w:snapToGrid w:val="0"/>
        <w:ind w:left="420" w:firstLine="472" w:firstLineChars="225"/>
        <w:rPr>
          <w:rFonts w:ascii="Arial" w:hAnsi="Arial" w:cs="Arial"/>
          <w:kern w:val="0"/>
          <w:szCs w:val="21"/>
        </w:rPr>
      </w:pPr>
      <w:r>
        <w:rPr>
          <w:rFonts w:ascii="Arial" w:hAnsi="Arial" w:cs="Arial"/>
          <w:kern w:val="0"/>
          <w:szCs w:val="21"/>
        </w:rPr>
        <w:t>兹经双方同意，本保险扩展承保空运费，该空运费须与本保险项下予以赔偿的保险财产的损失有关，但本条款项下最高赔偿金额不超过以下列明限额。</w:t>
      </w:r>
    </w:p>
    <w:p>
      <w:pPr>
        <w:autoSpaceDE w:val="0"/>
        <w:autoSpaceDN w:val="0"/>
        <w:adjustRightInd w:val="0"/>
        <w:snapToGrid w:val="0"/>
        <w:ind w:left="367" w:firstLine="472" w:firstLineChars="225"/>
        <w:rPr>
          <w:rFonts w:ascii="Arial" w:hAnsi="Arial" w:cs="Arial"/>
          <w:kern w:val="0"/>
          <w:szCs w:val="21"/>
        </w:rPr>
      </w:pPr>
      <w:r>
        <w:rPr>
          <w:rFonts w:ascii="Arial" w:hAnsi="Arial" w:cs="Arial"/>
          <w:kern w:val="0"/>
          <w:szCs w:val="21"/>
        </w:rPr>
        <w:t>本保险单所载其他条件不变。</w:t>
      </w:r>
    </w:p>
    <w:p>
      <w:pPr>
        <w:autoSpaceDE w:val="0"/>
        <w:autoSpaceDN w:val="0"/>
        <w:adjustRightInd w:val="0"/>
        <w:snapToGrid w:val="0"/>
        <w:ind w:left="367" w:firstLine="472" w:firstLineChars="225"/>
        <w:rPr>
          <w:rFonts w:ascii="Arial" w:hAnsi="Arial" w:cs="Arial"/>
          <w:kern w:val="0"/>
          <w:szCs w:val="21"/>
        </w:rPr>
      </w:pPr>
      <w:r>
        <w:rPr>
          <w:rFonts w:ascii="Arial" w:hAnsi="Arial" w:cs="Arial"/>
          <w:kern w:val="0"/>
          <w:szCs w:val="21"/>
        </w:rPr>
        <w:t>每次事故赔偿限额：损失的20%。</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专业费用条款（赔偿限额: 总保险金额的15%）</w:t>
      </w:r>
    </w:p>
    <w:p>
      <w:pPr>
        <w:widowControl/>
        <w:ind w:left="420" w:firstLine="420"/>
        <w:jc w:val="left"/>
        <w:rPr>
          <w:rFonts w:ascii="Arial" w:hAnsi="Arial" w:cs="Arial"/>
          <w:szCs w:val="21"/>
        </w:rPr>
      </w:pPr>
      <w:r>
        <w:rPr>
          <w:rFonts w:ascii="Arial" w:hAnsi="Arial" w:cs="Arial"/>
          <w:szCs w:val="21"/>
        </w:rPr>
        <w:t>兹经双方同意，保险人负责赔偿被保险人因保险人保险单项下承保风险造成保险财产损失后，在重置过程中发生的必要的设计师、检验师及工程咨询人费用，但不包括被保险人为了准备索赔或估损所发生的任何费用。上述赔偿费用应以财产损失时适用的有关行业管理部门的收费规定为准，但保险人在本扩展条款项下的赔偿责任不得超过以下列明的限额。</w:t>
      </w:r>
    </w:p>
    <w:p>
      <w:pPr>
        <w:widowControl/>
        <w:ind w:left="840"/>
        <w:jc w:val="left"/>
        <w:rPr>
          <w:rFonts w:ascii="Arial" w:hAnsi="Arial" w:cs="Arial"/>
          <w:szCs w:val="21"/>
        </w:rPr>
      </w:pPr>
      <w:r>
        <w:rPr>
          <w:rFonts w:ascii="Arial" w:hAnsi="Arial" w:cs="Arial"/>
          <w:szCs w:val="21"/>
        </w:rPr>
        <w:t>赔偿限额：总保险金额的15%。</w:t>
      </w:r>
    </w:p>
    <w:p>
      <w:pPr>
        <w:widowControl/>
        <w:ind w:left="840"/>
        <w:jc w:val="left"/>
        <w:rPr>
          <w:rFonts w:ascii="Arial" w:hAnsi="Arial" w:cs="Arial"/>
          <w:szCs w:val="21"/>
        </w:rPr>
      </w:pPr>
      <w:r>
        <w:rPr>
          <w:rFonts w:ascii="Arial" w:hAnsi="Arial" w:cs="Arial"/>
          <w:szCs w:val="21"/>
        </w:rPr>
        <w:t>本保险单所载其他条件均不变。</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自动恢复保险金额条款</w:t>
      </w:r>
    </w:p>
    <w:p>
      <w:pPr>
        <w:widowControl/>
        <w:ind w:left="420" w:firstLine="420"/>
        <w:jc w:val="left"/>
        <w:rPr>
          <w:rFonts w:ascii="Arial" w:hAnsi="Arial" w:cs="Arial"/>
          <w:szCs w:val="21"/>
        </w:rPr>
      </w:pPr>
      <w:r>
        <w:rPr>
          <w:rFonts w:ascii="Arial" w:hAnsi="Arial" w:cs="Arial"/>
          <w:szCs w:val="21"/>
        </w:rPr>
        <w:t>兹经双方同意，在保险人对本保险单明细表中列明的被保险财产的损失予以赔偿后，原保险金额自动恢复。但被保险人应按日比例补缴自损失发生之日起至保险单终止之日止恢复保险金额部分的保险费。本保险单所载其他条件不变。</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清理残骸条款（赔偿限额: 总保险金额的10%）</w:t>
      </w:r>
    </w:p>
    <w:p>
      <w:pPr>
        <w:widowControl/>
        <w:ind w:left="420" w:firstLine="420"/>
        <w:jc w:val="left"/>
        <w:rPr>
          <w:rFonts w:ascii="Arial" w:hAnsi="Arial" w:cs="Arial"/>
          <w:szCs w:val="21"/>
        </w:rPr>
      </w:pPr>
      <w:r>
        <w:rPr>
          <w:rFonts w:ascii="Arial" w:hAnsi="Arial" w:cs="Arial"/>
          <w:szCs w:val="21"/>
        </w:rPr>
        <w:t>经双方同意，因发生保险责任范围内的损失而产生的清除、拆除或支撑受损保险标的的费用，保险人按照本保险合同的约定负责赔偿。</w:t>
      </w:r>
    </w:p>
    <w:p>
      <w:pPr>
        <w:widowControl/>
        <w:ind w:left="840"/>
        <w:jc w:val="left"/>
        <w:rPr>
          <w:rFonts w:ascii="Arial" w:hAnsi="Arial" w:cs="Arial"/>
          <w:szCs w:val="21"/>
        </w:rPr>
      </w:pPr>
      <w:r>
        <w:rPr>
          <w:rFonts w:ascii="Arial" w:hAnsi="Arial" w:cs="Arial"/>
          <w:szCs w:val="21"/>
        </w:rPr>
        <w:t>本附加条款项下保险人的赔偿责任不超过本保险合同中载明的相应赔偿限额。</w:t>
      </w:r>
    </w:p>
    <w:p>
      <w:pPr>
        <w:widowControl/>
        <w:ind w:left="84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840"/>
        <w:jc w:val="left"/>
        <w:rPr>
          <w:rFonts w:ascii="Arial" w:hAnsi="Arial" w:cs="Arial"/>
          <w:szCs w:val="21"/>
        </w:rPr>
      </w:pPr>
      <w:r>
        <w:rPr>
          <w:rFonts w:ascii="Arial" w:hAnsi="Arial" w:cs="Arial"/>
          <w:szCs w:val="21"/>
        </w:rPr>
        <w:t>本附加险赔偿限额：保险金额的10%</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特别费用扩展条款（赔偿限额: 总保险金额的10%）</w:t>
      </w:r>
    </w:p>
    <w:p>
      <w:pPr>
        <w:widowControl/>
        <w:ind w:left="420" w:firstLine="420"/>
        <w:jc w:val="left"/>
        <w:rPr>
          <w:rFonts w:ascii="Arial" w:hAnsi="Arial" w:cs="Arial"/>
          <w:szCs w:val="21"/>
        </w:rPr>
      </w:pPr>
      <w:r>
        <w:rPr>
          <w:rFonts w:ascii="Arial" w:hAnsi="Arial" w:cs="Arial"/>
          <w:szCs w:val="21"/>
        </w:rPr>
        <w:t>兹经双方同意并约定，如果被保险财产发生本保险单承保范围内的损失，则本保险单扩展承保：</w:t>
      </w:r>
    </w:p>
    <w:p>
      <w:pPr>
        <w:widowControl/>
        <w:ind w:left="840"/>
        <w:jc w:val="left"/>
        <w:rPr>
          <w:rFonts w:ascii="Arial" w:hAnsi="Arial" w:cs="Arial"/>
          <w:szCs w:val="21"/>
        </w:rPr>
      </w:pPr>
      <w:r>
        <w:rPr>
          <w:rFonts w:ascii="Arial" w:hAnsi="Arial" w:cs="Arial"/>
          <w:szCs w:val="21"/>
        </w:rPr>
        <w:t>a）零部件的快递费用或特快专递费用；</w:t>
      </w:r>
    </w:p>
    <w:p>
      <w:pPr>
        <w:widowControl/>
        <w:ind w:left="840"/>
        <w:jc w:val="left"/>
        <w:rPr>
          <w:rFonts w:ascii="Arial" w:hAnsi="Arial" w:cs="Arial"/>
          <w:szCs w:val="21"/>
        </w:rPr>
      </w:pPr>
      <w:r>
        <w:rPr>
          <w:rFonts w:ascii="Arial" w:hAnsi="Arial" w:cs="Arial"/>
          <w:szCs w:val="21"/>
        </w:rPr>
        <w:t>b）经同意进行的修理所必要的劳工加班费用包括星期日、节假日、夜晚加班。</w:t>
      </w:r>
    </w:p>
    <w:p>
      <w:pPr>
        <w:widowControl/>
        <w:ind w:left="420" w:firstLine="420"/>
        <w:jc w:val="left"/>
        <w:rPr>
          <w:rFonts w:ascii="Arial" w:hAnsi="Arial" w:cs="Arial"/>
          <w:szCs w:val="21"/>
        </w:rPr>
      </w:pPr>
      <w:r>
        <w:rPr>
          <w:rFonts w:ascii="Arial" w:hAnsi="Arial" w:cs="Arial"/>
          <w:szCs w:val="21"/>
        </w:rPr>
        <w:t>但赔偿限额不超过总保险金额的10%。</w:t>
      </w:r>
    </w:p>
    <w:p>
      <w:pPr>
        <w:widowControl/>
        <w:ind w:left="840"/>
        <w:jc w:val="left"/>
        <w:rPr>
          <w:rFonts w:ascii="Arial" w:hAnsi="Arial" w:cs="Arial"/>
          <w:szCs w:val="21"/>
        </w:rPr>
      </w:pPr>
      <w:r>
        <w:rPr>
          <w:rFonts w:ascii="Arial" w:hAnsi="Arial" w:cs="Arial"/>
          <w:szCs w:val="21"/>
        </w:rPr>
        <w:t>本保险单所载其他条件不变。</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预付赔款条款</w:t>
      </w:r>
    </w:p>
    <w:p>
      <w:pPr>
        <w:widowControl/>
        <w:ind w:left="420" w:firstLine="420"/>
        <w:jc w:val="left"/>
        <w:rPr>
          <w:rFonts w:ascii="Arial" w:hAnsi="Arial" w:cs="Arial"/>
          <w:szCs w:val="21"/>
        </w:rPr>
      </w:pPr>
      <w:r>
        <w:rPr>
          <w:rFonts w:ascii="Arial" w:hAnsi="Arial" w:cs="Arial"/>
          <w:szCs w:val="21"/>
        </w:rPr>
        <w:t>经双方同意，发生保险责任范围内的损失，经保险人或保险人委托的公估人理算后，损失金额已确定部分的赔款可预付给被保险人，该部分预付赔款应从总赔款金额中扣除。</w:t>
      </w:r>
    </w:p>
    <w:p>
      <w:pPr>
        <w:widowControl/>
        <w:ind w:left="84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自动升值条款(赔偿限额: 总保险金额的25%)</w:t>
      </w:r>
    </w:p>
    <w:p>
      <w:pPr>
        <w:widowControl/>
        <w:ind w:left="420" w:firstLine="420"/>
        <w:jc w:val="left"/>
        <w:rPr>
          <w:rFonts w:ascii="Arial" w:hAnsi="Arial" w:cs="Arial"/>
          <w:szCs w:val="21"/>
        </w:rPr>
      </w:pPr>
      <w:r>
        <w:rPr>
          <w:rFonts w:ascii="Arial" w:hAnsi="Arial" w:cs="Arial"/>
          <w:szCs w:val="21"/>
        </w:rPr>
        <w:t>经双方同意，本保险合同项下双方约定自动升值的保险标的（存货除外）的保险金额在保险期间内每天以本保险合同中载明的保险金额升值率的1/365增加，计算公式如下：</w:t>
      </w:r>
    </w:p>
    <w:p>
      <w:pPr>
        <w:widowControl/>
        <w:ind w:left="840"/>
        <w:jc w:val="left"/>
        <w:rPr>
          <w:rFonts w:ascii="Arial" w:hAnsi="Arial" w:cs="Arial"/>
          <w:szCs w:val="21"/>
        </w:rPr>
      </w:pPr>
      <w:r>
        <w:rPr>
          <w:rFonts w:ascii="Arial" w:hAnsi="Arial" w:cs="Arial"/>
          <w:szCs w:val="21"/>
        </w:rPr>
        <w:t>保险金额每天升值金额＝本保险合同中载明的保险金额×升值率×1/365</w:t>
      </w:r>
    </w:p>
    <w:p>
      <w:pPr>
        <w:widowControl/>
        <w:ind w:left="84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错误和遗漏条款</w:t>
      </w:r>
    </w:p>
    <w:p>
      <w:pPr>
        <w:widowControl/>
        <w:ind w:left="420" w:firstLine="420"/>
        <w:jc w:val="left"/>
        <w:rPr>
          <w:rFonts w:ascii="Arial" w:hAnsi="Arial" w:cs="Arial"/>
          <w:szCs w:val="21"/>
        </w:rPr>
      </w:pPr>
      <w:r>
        <w:rPr>
          <w:rFonts w:ascii="Arial" w:hAnsi="Arial" w:cs="Arial"/>
          <w:szCs w:val="21"/>
        </w:rPr>
        <w:t>兹经双方同意，本保险项下的赔偿责任不因被保险人非故意地延迟、错误或遗漏向保险人申报有关新取得的或所占用的场地、保险财产价值的变更或其他有关信息而被拒付，一旦被保险人发现其疏忽或遗漏应在合理的时间内尽快向保险人申报，并根据保险人要求支付自风险增加之日起的适当的附加保险费。</w:t>
      </w:r>
    </w:p>
    <w:p>
      <w:pPr>
        <w:widowControl/>
        <w:ind w:left="840"/>
        <w:jc w:val="left"/>
        <w:rPr>
          <w:rFonts w:ascii="Arial" w:hAnsi="Arial" w:cs="Arial"/>
          <w:szCs w:val="21"/>
        </w:rPr>
      </w:pPr>
      <w:r>
        <w:rPr>
          <w:rFonts w:ascii="Arial" w:hAnsi="Arial" w:cs="Arial"/>
          <w:szCs w:val="21"/>
        </w:rPr>
        <w:t>不正确的、有缺陷的或错误的评估不可视为非故意的错误与遗漏。</w:t>
      </w:r>
    </w:p>
    <w:p>
      <w:pPr>
        <w:widowControl/>
        <w:ind w:left="840"/>
        <w:jc w:val="left"/>
        <w:rPr>
          <w:rFonts w:ascii="Arial" w:hAnsi="Arial" w:cs="Arial"/>
          <w:szCs w:val="21"/>
        </w:rPr>
      </w:pPr>
      <w:r>
        <w:rPr>
          <w:rFonts w:ascii="Arial" w:hAnsi="Arial" w:cs="Arial"/>
          <w:szCs w:val="21"/>
        </w:rPr>
        <w:t>本保险单所载其他条件不变。</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指定公估人条款（根宁翰保险公估（中国）有限公司 /平量行保险公估（上海）有限公司，及保险合同双方认可的其他有合法执业资格的机构）</w:t>
      </w:r>
    </w:p>
    <w:p>
      <w:pPr>
        <w:autoSpaceDE w:val="0"/>
        <w:autoSpaceDN w:val="0"/>
        <w:adjustRightInd w:val="0"/>
        <w:snapToGrid w:val="0"/>
        <w:ind w:left="360" w:firstLine="472" w:firstLineChars="225"/>
        <w:rPr>
          <w:rFonts w:ascii="Arial" w:hAnsi="Arial" w:cs="Arial"/>
          <w:kern w:val="0"/>
          <w:szCs w:val="21"/>
        </w:rPr>
      </w:pPr>
      <w:r>
        <w:rPr>
          <w:rFonts w:ascii="Arial" w:hAnsi="Arial" w:cs="Arial"/>
          <w:kern w:val="0"/>
          <w:szCs w:val="21"/>
        </w:rPr>
        <w:t>经双方同意，当发生保险责任范围内的损失，可以指定双方认可的以下机构作为公估人，公估费用由保险人承担。</w:t>
      </w:r>
    </w:p>
    <w:p>
      <w:pPr>
        <w:numPr>
          <w:ilvl w:val="0"/>
          <w:numId w:val="13"/>
        </w:numPr>
        <w:adjustRightInd w:val="0"/>
        <w:snapToGrid w:val="0"/>
        <w:rPr>
          <w:rFonts w:ascii="Arial" w:hAnsi="Arial" w:cs="Arial"/>
          <w:kern w:val="0"/>
          <w:szCs w:val="21"/>
        </w:rPr>
      </w:pPr>
      <w:r>
        <w:rPr>
          <w:rFonts w:ascii="Arial" w:hAnsi="Arial" w:cs="Arial"/>
          <w:kern w:val="0"/>
          <w:szCs w:val="21"/>
        </w:rPr>
        <w:t>根宁翰保险公估（中国）有限公司</w:t>
      </w:r>
    </w:p>
    <w:p>
      <w:pPr>
        <w:numPr>
          <w:ilvl w:val="0"/>
          <w:numId w:val="13"/>
        </w:numPr>
        <w:adjustRightInd w:val="0"/>
        <w:snapToGrid w:val="0"/>
        <w:rPr>
          <w:rFonts w:ascii="Arial" w:hAnsi="Arial" w:cs="Arial"/>
          <w:kern w:val="0"/>
          <w:szCs w:val="21"/>
        </w:rPr>
      </w:pPr>
      <w:r>
        <w:rPr>
          <w:rFonts w:ascii="Arial" w:hAnsi="Arial" w:cs="Arial"/>
          <w:kern w:val="0"/>
          <w:szCs w:val="21"/>
        </w:rPr>
        <w:t xml:space="preserve">平量行保险公估（上海）有限公司 </w:t>
      </w:r>
    </w:p>
    <w:p>
      <w:pPr>
        <w:autoSpaceDE w:val="0"/>
        <w:autoSpaceDN w:val="0"/>
        <w:adjustRightInd w:val="0"/>
        <w:snapToGrid w:val="0"/>
        <w:ind w:left="287" w:firstLine="472" w:firstLineChars="225"/>
        <w:rPr>
          <w:rFonts w:ascii="Arial" w:hAnsi="Arial" w:cs="Arial"/>
          <w:kern w:val="0"/>
          <w:szCs w:val="21"/>
        </w:rPr>
      </w:pPr>
      <w:r>
        <w:rPr>
          <w:rFonts w:ascii="Arial" w:hAnsi="Arial" w:cs="Arial"/>
          <w:kern w:val="0"/>
          <w:szCs w:val="21"/>
        </w:rPr>
        <w:t>以</w:t>
      </w:r>
      <w:r>
        <w:rPr>
          <w:rFonts w:ascii="Arial" w:hAnsi="Arial" w:cs="Arial"/>
          <w:szCs w:val="21"/>
        </w:rPr>
        <w:t>及保险合同双方认可的其他有合法执业资格的机构。</w:t>
      </w:r>
    </w:p>
    <w:p>
      <w:pPr>
        <w:autoSpaceDE w:val="0"/>
        <w:autoSpaceDN w:val="0"/>
        <w:adjustRightInd w:val="0"/>
        <w:snapToGrid w:val="0"/>
        <w:ind w:left="287" w:firstLine="472" w:firstLineChars="225"/>
        <w:rPr>
          <w:rFonts w:ascii="Arial" w:hAnsi="Arial" w:cs="Arial"/>
          <w:kern w:val="0"/>
          <w:szCs w:val="21"/>
        </w:rPr>
      </w:pPr>
      <w:r>
        <w:rPr>
          <w:rFonts w:ascii="Arial" w:hAnsi="Arial" w:cs="Arial"/>
          <w:kern w:val="0"/>
          <w:szCs w:val="21"/>
        </w:rPr>
        <w:t>本附加条款与主条款内容相悖之处，以本附加条款为准；未尽之处，以主条款为准。</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扩展承保新增地点条款</w:t>
      </w:r>
    </w:p>
    <w:p>
      <w:pPr>
        <w:widowControl/>
        <w:ind w:left="420" w:firstLine="420"/>
        <w:jc w:val="left"/>
        <w:rPr>
          <w:rFonts w:ascii="Arial" w:hAnsi="Arial" w:cs="Arial"/>
          <w:szCs w:val="21"/>
        </w:rPr>
      </w:pPr>
      <w:r>
        <w:rPr>
          <w:rFonts w:ascii="Arial" w:hAnsi="Arial" w:cs="Arial"/>
          <w:szCs w:val="21"/>
        </w:rPr>
        <w:t>经双方同意，本保险合同的赔偿将自保险合同载明的新增地点完全建成或获得，或其转移至被保险人名下，或被保险人开始对其负责（除非另有其它保险）时起自动适用于所有这些新增地点。被保险人应在获得上述财产的60天内通知保险人，并按日比例缴纳附加保险费。</w:t>
      </w:r>
    </w:p>
    <w:p>
      <w:pPr>
        <w:widowControl/>
        <w:ind w:left="84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重新安装费用条款</w:t>
      </w:r>
    </w:p>
    <w:p>
      <w:pPr>
        <w:widowControl/>
        <w:ind w:left="420" w:firstLine="420"/>
        <w:jc w:val="left"/>
        <w:rPr>
          <w:rFonts w:ascii="Arial" w:hAnsi="Arial" w:cs="Arial"/>
          <w:szCs w:val="21"/>
        </w:rPr>
      </w:pPr>
      <w:r>
        <w:rPr>
          <w:rFonts w:ascii="Arial" w:hAnsi="Arial" w:cs="Arial"/>
          <w:szCs w:val="21"/>
        </w:rPr>
        <w:t>兹经双方同意并约定，本保险单扩展承保由于任何被保风险造成的损坏而导致的重新安装、安置机器设备的费用。但本保险单项下的总赔偿金额以保险金额为限。</w:t>
      </w:r>
    </w:p>
    <w:p>
      <w:pPr>
        <w:widowControl/>
        <w:ind w:left="840"/>
        <w:jc w:val="left"/>
        <w:rPr>
          <w:rFonts w:ascii="Arial" w:hAnsi="Arial" w:cs="Arial"/>
          <w:szCs w:val="21"/>
        </w:rPr>
      </w:pPr>
      <w:r>
        <w:rPr>
          <w:rFonts w:ascii="Arial" w:hAnsi="Arial" w:cs="Arial"/>
          <w:szCs w:val="21"/>
        </w:rPr>
        <w:t>本保险单所载其他条件不变。</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不受控制条款</w:t>
      </w:r>
    </w:p>
    <w:p>
      <w:pPr>
        <w:widowControl/>
        <w:ind w:left="420" w:firstLine="420"/>
        <w:jc w:val="left"/>
        <w:rPr>
          <w:rFonts w:ascii="Arial" w:hAnsi="Arial" w:cs="Arial"/>
          <w:szCs w:val="21"/>
        </w:rPr>
      </w:pPr>
      <w:r>
        <w:rPr>
          <w:rFonts w:ascii="Arial" w:hAnsi="Arial" w:cs="Arial"/>
          <w:szCs w:val="21"/>
        </w:rPr>
        <w:t>兹经双方同意，被保险人在占用或使用营业场所时，由于不知情或远非其所能控制的事件发生造成的遗漏申报或任何行为，不会影响本保险单的有效性，一旦被保险人知道应立即通知保险人并按要求支付适当的附加保险费。</w:t>
      </w:r>
    </w:p>
    <w:p>
      <w:pPr>
        <w:widowControl/>
        <w:ind w:left="840"/>
        <w:jc w:val="left"/>
        <w:rPr>
          <w:rFonts w:ascii="Arial" w:hAnsi="Arial" w:cs="Arial"/>
          <w:szCs w:val="21"/>
        </w:rPr>
      </w:pPr>
      <w:r>
        <w:rPr>
          <w:rFonts w:ascii="Arial" w:hAnsi="Arial" w:cs="Arial"/>
          <w:szCs w:val="21"/>
        </w:rPr>
        <w:t>本保险单所载其他条件不变。</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放弃代位求偿权条款</w:t>
      </w:r>
    </w:p>
    <w:p>
      <w:pPr>
        <w:widowControl/>
        <w:ind w:left="840"/>
        <w:jc w:val="left"/>
        <w:rPr>
          <w:rFonts w:ascii="Arial" w:hAnsi="Arial" w:cs="Arial"/>
          <w:szCs w:val="21"/>
        </w:rPr>
      </w:pPr>
      <w:r>
        <w:rPr>
          <w:rFonts w:ascii="Arial" w:hAnsi="Arial" w:cs="Arial"/>
          <w:szCs w:val="21"/>
        </w:rPr>
        <w:t>经双方同意，保险人同意放弃对下列各方可能拥有的代位请求赔偿的权利：</w:t>
      </w:r>
    </w:p>
    <w:p>
      <w:pPr>
        <w:widowControl/>
        <w:ind w:left="840"/>
        <w:jc w:val="left"/>
        <w:rPr>
          <w:rFonts w:ascii="Arial" w:hAnsi="Arial" w:cs="Arial"/>
          <w:szCs w:val="21"/>
        </w:rPr>
      </w:pPr>
      <w:r>
        <w:rPr>
          <w:rFonts w:ascii="Arial" w:hAnsi="Arial" w:cs="Arial"/>
          <w:szCs w:val="21"/>
        </w:rPr>
        <w:t>（一）被保险人的关联或联营公司；</w:t>
      </w:r>
    </w:p>
    <w:p>
      <w:pPr>
        <w:widowControl/>
        <w:ind w:left="840"/>
        <w:jc w:val="left"/>
        <w:rPr>
          <w:rFonts w:ascii="Arial" w:hAnsi="Arial" w:cs="Arial"/>
          <w:szCs w:val="21"/>
        </w:rPr>
      </w:pPr>
      <w:r>
        <w:rPr>
          <w:rFonts w:ascii="Arial" w:hAnsi="Arial" w:cs="Arial"/>
          <w:szCs w:val="21"/>
        </w:rPr>
        <w:t>（二）被保险人的子公司或控股公司；</w:t>
      </w:r>
    </w:p>
    <w:p>
      <w:pPr>
        <w:widowControl/>
        <w:ind w:left="840"/>
        <w:jc w:val="left"/>
        <w:rPr>
          <w:rFonts w:ascii="Arial" w:hAnsi="Arial" w:cs="Arial"/>
          <w:szCs w:val="21"/>
        </w:rPr>
      </w:pPr>
      <w:r>
        <w:rPr>
          <w:rFonts w:ascii="Arial" w:hAnsi="Arial" w:cs="Arial"/>
          <w:szCs w:val="21"/>
        </w:rPr>
        <w:t>（三）被保险人的董事、合伙人；</w:t>
      </w:r>
    </w:p>
    <w:p>
      <w:pPr>
        <w:widowControl/>
        <w:ind w:left="840"/>
        <w:jc w:val="left"/>
        <w:rPr>
          <w:rFonts w:ascii="Arial" w:hAnsi="Arial" w:cs="Arial"/>
          <w:szCs w:val="21"/>
        </w:rPr>
      </w:pPr>
      <w:r>
        <w:rPr>
          <w:rFonts w:ascii="Arial" w:hAnsi="Arial" w:cs="Arial"/>
          <w:szCs w:val="21"/>
        </w:rPr>
        <w:t>（四）被保险人的雇员。</w:t>
      </w:r>
    </w:p>
    <w:p>
      <w:pPr>
        <w:widowControl/>
        <w:ind w:left="840"/>
        <w:jc w:val="left"/>
        <w:rPr>
          <w:rFonts w:ascii="Arial" w:hAnsi="Arial" w:cs="Arial"/>
          <w:szCs w:val="21"/>
        </w:rPr>
      </w:pPr>
      <w:r>
        <w:rPr>
          <w:rFonts w:ascii="Arial" w:hAnsi="Arial" w:cs="Arial"/>
          <w:szCs w:val="21"/>
        </w:rPr>
        <w:t>但上述各方的故意行为造成保险事故的，保险人保留代位请求赔偿的权利。</w:t>
      </w:r>
    </w:p>
    <w:p>
      <w:pPr>
        <w:widowControl/>
        <w:ind w:left="84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索赔准备费用条款（每次事故及累计赔偿限额：RMB10,000,000.00）</w:t>
      </w:r>
    </w:p>
    <w:p>
      <w:pPr>
        <w:widowControl/>
        <w:ind w:left="420" w:firstLine="420"/>
        <w:jc w:val="left"/>
        <w:rPr>
          <w:rFonts w:ascii="Arial" w:hAnsi="Arial" w:cs="Arial"/>
          <w:szCs w:val="21"/>
        </w:rPr>
      </w:pPr>
      <w:r>
        <w:rPr>
          <w:rFonts w:ascii="Arial" w:hAnsi="Arial" w:cs="Arial"/>
          <w:szCs w:val="21"/>
        </w:rPr>
        <w:t>在保险期间内，本保险单列明的财产发生保险事故后，被保险人为提供索赔材料单证而支付的费用（包括但不限于公安、交警、消防、气象等部门的查勘及证明费用等）及支付给索赔准备人（由被保险人委任，包括但不限于安排保单的经纪人）的合理的专业的费用均由保险人承担。</w:t>
      </w:r>
    </w:p>
    <w:p>
      <w:pPr>
        <w:widowControl/>
        <w:ind w:left="840"/>
        <w:jc w:val="left"/>
        <w:rPr>
          <w:rFonts w:ascii="Arial" w:hAnsi="Arial" w:cs="Arial"/>
          <w:szCs w:val="21"/>
        </w:rPr>
      </w:pPr>
      <w:r>
        <w:rPr>
          <w:rFonts w:ascii="Arial" w:hAnsi="Arial" w:cs="Arial"/>
          <w:szCs w:val="21"/>
        </w:rPr>
        <w:t>本保险合同所载其他条件不变。</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公共当局扩展条款</w:t>
      </w:r>
    </w:p>
    <w:p>
      <w:pPr>
        <w:widowControl/>
        <w:ind w:left="420" w:firstLine="420"/>
        <w:jc w:val="left"/>
        <w:rPr>
          <w:rFonts w:ascii="Arial" w:hAnsi="Arial" w:cs="Arial"/>
          <w:szCs w:val="21"/>
        </w:rPr>
      </w:pPr>
      <w:r>
        <w:rPr>
          <w:rFonts w:ascii="Arial" w:hAnsi="Arial" w:cs="Arial"/>
          <w:szCs w:val="21"/>
        </w:rPr>
        <w:t>兹经双方同意，本保险扩展承保被保险人在重建或修复受损财产时，仅仅由于必须执行公共当局的有关法律、法令、法规而产生的额外费用，但以下列规定为条件：</w:t>
      </w:r>
    </w:p>
    <w:p>
      <w:pPr>
        <w:widowControl/>
        <w:ind w:left="420" w:firstLine="420"/>
        <w:jc w:val="left"/>
        <w:rPr>
          <w:rFonts w:ascii="Arial" w:hAnsi="Arial" w:cs="Arial"/>
          <w:szCs w:val="21"/>
        </w:rPr>
      </w:pPr>
      <w:r>
        <w:rPr>
          <w:rFonts w:ascii="Arial" w:hAnsi="Arial" w:cs="Arial"/>
          <w:szCs w:val="21"/>
        </w:rPr>
        <w:t>1.被保险人在下列情况下执行上述法律、法令、法规产生的额外费用，保险人不负责赔偿：</w:t>
      </w:r>
    </w:p>
    <w:p>
      <w:pPr>
        <w:widowControl/>
        <w:ind w:left="420" w:firstLine="840"/>
        <w:jc w:val="left"/>
        <w:rPr>
          <w:rFonts w:ascii="Arial" w:hAnsi="Arial" w:cs="Arial"/>
          <w:szCs w:val="21"/>
        </w:rPr>
      </w:pPr>
      <w:r>
        <w:rPr>
          <w:rFonts w:ascii="Arial" w:hAnsi="Arial" w:cs="Arial"/>
          <w:szCs w:val="21"/>
        </w:rPr>
        <w:t>1）本条款生效之前发生的损失；</w:t>
      </w:r>
    </w:p>
    <w:p>
      <w:pPr>
        <w:widowControl/>
        <w:ind w:left="840" w:firstLine="420"/>
        <w:jc w:val="left"/>
        <w:rPr>
          <w:rFonts w:ascii="Arial" w:hAnsi="Arial" w:cs="Arial"/>
          <w:szCs w:val="21"/>
        </w:rPr>
      </w:pPr>
      <w:r>
        <w:rPr>
          <w:rFonts w:ascii="Arial" w:hAnsi="Arial" w:cs="Arial"/>
          <w:szCs w:val="21"/>
        </w:rPr>
        <w:t>2）本保险责任范围以外的损失；</w:t>
      </w:r>
    </w:p>
    <w:p>
      <w:pPr>
        <w:widowControl/>
        <w:ind w:left="840" w:firstLine="420"/>
        <w:jc w:val="left"/>
        <w:rPr>
          <w:rFonts w:ascii="Arial" w:hAnsi="Arial" w:cs="Arial"/>
          <w:szCs w:val="21"/>
        </w:rPr>
      </w:pPr>
      <w:r>
        <w:rPr>
          <w:rFonts w:ascii="Arial" w:hAnsi="Arial" w:cs="Arial"/>
          <w:szCs w:val="21"/>
        </w:rPr>
        <w:t>3）发生损失前被保险人己接到有关当局关于拆除、重建的通知；</w:t>
      </w:r>
    </w:p>
    <w:p>
      <w:pPr>
        <w:widowControl/>
        <w:ind w:left="840" w:firstLine="420"/>
        <w:jc w:val="left"/>
        <w:rPr>
          <w:rFonts w:ascii="Arial" w:hAnsi="Arial" w:cs="Arial"/>
          <w:szCs w:val="21"/>
        </w:rPr>
      </w:pPr>
      <w:r>
        <w:rPr>
          <w:rFonts w:ascii="Arial" w:hAnsi="Arial" w:cs="Arial"/>
          <w:szCs w:val="21"/>
        </w:rPr>
        <w:t>4）未受损财产（但不包括被保险的地基）的修复、拆除、重建；</w:t>
      </w:r>
    </w:p>
    <w:p>
      <w:pPr>
        <w:widowControl/>
        <w:ind w:left="420" w:firstLine="420"/>
        <w:jc w:val="left"/>
        <w:rPr>
          <w:rFonts w:ascii="Arial" w:hAnsi="Arial" w:cs="Arial"/>
          <w:szCs w:val="21"/>
        </w:rPr>
      </w:pPr>
      <w:r>
        <w:rPr>
          <w:rFonts w:ascii="Arial" w:hAnsi="Arial" w:cs="Arial"/>
          <w:szCs w:val="21"/>
        </w:rPr>
        <w:t>2.被保险人的重建、修复工作必须立即实施，并在损失发生之日起十二个月（或经保险人在上述12个月内书面同意延长的期限）内完工；若根据有关法律、法令、法规及其附则，该受损财产必须在其他地点重建、修复时，保险人亦可赔偿，但保险人的赔偿责任不得因此增加。</w:t>
      </w:r>
    </w:p>
    <w:p>
      <w:pPr>
        <w:widowControl/>
        <w:ind w:left="420" w:firstLine="420"/>
        <w:jc w:val="left"/>
        <w:rPr>
          <w:rFonts w:ascii="Arial" w:hAnsi="Arial" w:cs="Arial"/>
          <w:szCs w:val="21"/>
        </w:rPr>
      </w:pPr>
      <w:r>
        <w:rPr>
          <w:rFonts w:ascii="Arial" w:hAnsi="Arial" w:cs="Arial"/>
          <w:szCs w:val="21"/>
        </w:rPr>
        <w:t>3.若在本保险单下保险财产受损，但因保险单的规定，赔偿责任减少，则本扩展条款责任也相应减少。</w:t>
      </w:r>
    </w:p>
    <w:p>
      <w:pPr>
        <w:widowControl/>
        <w:ind w:left="420" w:firstLine="420"/>
        <w:jc w:val="left"/>
        <w:rPr>
          <w:rFonts w:ascii="Arial" w:hAnsi="Arial" w:cs="Arial"/>
          <w:szCs w:val="21"/>
        </w:rPr>
      </w:pPr>
      <w:r>
        <w:rPr>
          <w:rFonts w:ascii="Arial" w:hAnsi="Arial" w:cs="Arial"/>
          <w:szCs w:val="21"/>
        </w:rPr>
        <w:t>4.保险人对任何一项受损财产的赔偿金额不得超过该项目在保险单明细表中列明的保险金额。</w:t>
      </w:r>
    </w:p>
    <w:p>
      <w:pPr>
        <w:widowControl/>
        <w:ind w:left="420" w:firstLine="420"/>
        <w:jc w:val="left"/>
        <w:rPr>
          <w:rFonts w:ascii="Arial" w:hAnsi="Arial" w:cs="Arial"/>
          <w:szCs w:val="21"/>
        </w:rPr>
      </w:pPr>
      <w:r>
        <w:rPr>
          <w:rFonts w:ascii="Arial" w:hAnsi="Arial" w:cs="Arial"/>
          <w:szCs w:val="21"/>
        </w:rPr>
        <w:t>本保险单所载其他条件不变。</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增加资产条款(不超过相关项下类似财产保额的20%)</w:t>
      </w:r>
    </w:p>
    <w:p>
      <w:pPr>
        <w:widowControl/>
        <w:ind w:left="420" w:firstLine="420"/>
        <w:jc w:val="left"/>
        <w:rPr>
          <w:rFonts w:ascii="Arial" w:hAnsi="Arial" w:cs="Arial"/>
          <w:szCs w:val="21"/>
        </w:rPr>
      </w:pPr>
      <w:r>
        <w:rPr>
          <w:rFonts w:ascii="Arial" w:hAnsi="Arial" w:cs="Arial"/>
          <w:szCs w:val="21"/>
        </w:rPr>
        <w:t>经双方同意，本保险合同生效后，被保险人在中华人民共和国境内（不包括香港、澳门、台湾）新增加的资产，但不包括财产本身的升值及存货，保险人按照本保险合同的约定承担保险责任，但在保险期间内新增加资产的金额应不超过本保险合同中载明的相应限额，且被保险人须每季度末10日内申报增加资产的价值。</w:t>
      </w:r>
    </w:p>
    <w:p>
      <w:pPr>
        <w:widowControl/>
        <w:ind w:left="420" w:firstLine="42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420" w:firstLine="420"/>
        <w:jc w:val="left"/>
        <w:rPr>
          <w:rFonts w:ascii="Arial" w:hAnsi="Arial" w:cs="Arial"/>
          <w:szCs w:val="21"/>
        </w:rPr>
      </w:pPr>
      <w:r>
        <w:rPr>
          <w:rFonts w:ascii="Arial" w:hAnsi="Arial" w:cs="Arial"/>
          <w:szCs w:val="21"/>
        </w:rPr>
        <w:t>本附加险免赔额/赔偿限额：不超过相关项下类似财产保额的20%。</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不予失效条款</w:t>
      </w:r>
    </w:p>
    <w:p>
      <w:pPr>
        <w:widowControl/>
        <w:ind w:left="840"/>
        <w:jc w:val="left"/>
        <w:rPr>
          <w:rFonts w:ascii="Arial" w:hAnsi="Arial" w:cs="Arial"/>
          <w:szCs w:val="21"/>
        </w:rPr>
      </w:pPr>
      <w:r>
        <w:rPr>
          <w:rFonts w:ascii="Arial" w:hAnsi="Arial" w:cs="Arial"/>
          <w:szCs w:val="21"/>
        </w:rPr>
        <w:t>本保险合同不因下列原因失效：</w:t>
      </w:r>
    </w:p>
    <w:p>
      <w:pPr>
        <w:widowControl/>
        <w:ind w:left="840"/>
        <w:jc w:val="left"/>
        <w:rPr>
          <w:rFonts w:ascii="Arial" w:hAnsi="Arial" w:cs="Arial"/>
          <w:szCs w:val="21"/>
        </w:rPr>
      </w:pPr>
      <w:r>
        <w:rPr>
          <w:rFonts w:ascii="Arial" w:hAnsi="Arial" w:cs="Arial"/>
          <w:szCs w:val="21"/>
        </w:rPr>
        <w:t>（一）被保险人不知情的保险财产的占用变化或风险增加，但被保险人一经知道应立即通知保险人，并支付可能要求的自风险增加之日起的附加保险费。</w:t>
      </w:r>
    </w:p>
    <w:p>
      <w:pPr>
        <w:widowControl/>
        <w:ind w:left="840"/>
        <w:jc w:val="left"/>
        <w:rPr>
          <w:rFonts w:ascii="Arial" w:hAnsi="Arial" w:cs="Arial"/>
          <w:szCs w:val="21"/>
        </w:rPr>
      </w:pPr>
      <w:r>
        <w:rPr>
          <w:rFonts w:ascii="Arial" w:hAnsi="Arial" w:cs="Arial"/>
          <w:szCs w:val="21"/>
        </w:rPr>
        <w:t>（二）工人出于修理、微小变动或一般维修等类似目的在保险单列明场所作业。</w:t>
      </w:r>
    </w:p>
    <w:p>
      <w:pPr>
        <w:widowControl/>
        <w:ind w:left="84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违反保单条件条款</w:t>
      </w:r>
    </w:p>
    <w:p>
      <w:pPr>
        <w:widowControl/>
        <w:ind w:left="420" w:firstLine="420"/>
        <w:jc w:val="left"/>
        <w:rPr>
          <w:rFonts w:ascii="Arial" w:hAnsi="Arial" w:cs="Arial"/>
          <w:szCs w:val="21"/>
        </w:rPr>
      </w:pPr>
      <w:r>
        <w:rPr>
          <w:rFonts w:ascii="Arial" w:hAnsi="Arial" w:cs="Arial"/>
          <w:szCs w:val="21"/>
        </w:rPr>
        <w:t>经双方同意，被保险人违反了本保险合同约定的条件和保证时，仅使这些违反的条件和保证所对应的保障失效，而不影响其他保障的效力。</w:t>
      </w:r>
    </w:p>
    <w:p>
      <w:pPr>
        <w:widowControl/>
        <w:ind w:left="420" w:firstLine="42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损失通知条款</w:t>
      </w:r>
    </w:p>
    <w:p>
      <w:pPr>
        <w:widowControl/>
        <w:ind w:left="420" w:firstLine="420"/>
        <w:jc w:val="left"/>
        <w:rPr>
          <w:rFonts w:ascii="Arial" w:hAnsi="Arial" w:cs="Arial"/>
          <w:szCs w:val="21"/>
        </w:rPr>
      </w:pPr>
      <w:r>
        <w:rPr>
          <w:rFonts w:ascii="Arial" w:hAnsi="Arial" w:cs="Arial"/>
          <w:szCs w:val="21"/>
        </w:rPr>
        <w:t>若有其他内容与本条款不符，以本条款为主。在通知保险人发生或可能发生保险事故时, 被保险人的权利不得因其非有意的延迟、错误、遗漏而受到损害。</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临时保护费用条款(赔偿限额: RMB5,000,000.00)</w:t>
      </w:r>
    </w:p>
    <w:p>
      <w:pPr>
        <w:widowControl/>
        <w:ind w:left="420" w:firstLine="420"/>
        <w:jc w:val="left"/>
        <w:rPr>
          <w:rFonts w:ascii="Arial" w:hAnsi="Arial" w:cs="Arial"/>
          <w:szCs w:val="21"/>
        </w:rPr>
      </w:pPr>
      <w:r>
        <w:rPr>
          <w:rFonts w:ascii="Arial" w:hAnsi="Arial" w:cs="Arial"/>
          <w:szCs w:val="21"/>
        </w:rPr>
        <w:t>经双方同意，由于对受损保险标的进行合理的临时性修理、保护而产生的必要费用，保险人按照本保险合同的约定负责赔偿，但上述费用仅限于为防止受损保险标的遭受进一步损失所进行的修理、保护而产生的费用。</w:t>
      </w:r>
    </w:p>
    <w:p>
      <w:pPr>
        <w:widowControl/>
        <w:ind w:left="420" w:firstLine="420"/>
        <w:jc w:val="left"/>
        <w:rPr>
          <w:rFonts w:ascii="Arial" w:hAnsi="Arial" w:cs="Arial"/>
          <w:szCs w:val="21"/>
        </w:rPr>
      </w:pPr>
      <w:r>
        <w:rPr>
          <w:rFonts w:ascii="Arial" w:hAnsi="Arial" w:cs="Arial"/>
          <w:szCs w:val="21"/>
        </w:rPr>
        <w:t>本附加条款项下保险人的赔偿责任不超过本保险合同中载明的相应赔偿限额。</w:t>
      </w:r>
    </w:p>
    <w:p>
      <w:pPr>
        <w:widowControl/>
        <w:ind w:left="420" w:firstLine="42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420" w:firstLine="420"/>
        <w:jc w:val="left"/>
        <w:rPr>
          <w:rFonts w:ascii="Arial" w:hAnsi="Arial" w:cs="Arial"/>
          <w:szCs w:val="21"/>
        </w:rPr>
      </w:pPr>
      <w:r>
        <w:rPr>
          <w:rFonts w:ascii="Arial" w:hAnsi="Arial" w:cs="Arial"/>
          <w:szCs w:val="21"/>
        </w:rPr>
        <w:t>本附加险赔偿限额：RMB5,000,000.00。</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成对或成套设备条款</w:t>
      </w:r>
    </w:p>
    <w:p>
      <w:pPr>
        <w:widowControl/>
        <w:ind w:left="420" w:firstLine="420"/>
        <w:jc w:val="left"/>
        <w:rPr>
          <w:rFonts w:ascii="Arial" w:hAnsi="Arial" w:cs="Arial"/>
          <w:szCs w:val="21"/>
        </w:rPr>
      </w:pPr>
      <w:r>
        <w:rPr>
          <w:rFonts w:ascii="Arial" w:hAnsi="Arial" w:cs="Arial"/>
          <w:szCs w:val="21"/>
        </w:rPr>
        <w:t>经双方同意，本保险合同项下承保的属于成对或成套的机器设备的组件发生损失时，保险人按受损组件的价值在所属整对或整套设备中所占的合理比例计算赔偿；但若修理或替换受损组件均不能使该成对或成套设备恢复到同类设备基本相同的使用状况，按受损组件所属整对或整套设备的全部价值计算赔偿。</w:t>
      </w:r>
    </w:p>
    <w:p>
      <w:pPr>
        <w:widowControl/>
        <w:ind w:left="420" w:firstLine="42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抢险施救条款</w:t>
      </w:r>
    </w:p>
    <w:p>
      <w:pPr>
        <w:widowControl/>
        <w:ind w:left="420" w:firstLine="420"/>
        <w:jc w:val="left"/>
        <w:rPr>
          <w:rFonts w:ascii="Arial" w:hAnsi="Arial" w:cs="Arial"/>
          <w:szCs w:val="21"/>
        </w:rPr>
      </w:pPr>
      <w:r>
        <w:rPr>
          <w:rFonts w:ascii="Arial" w:hAnsi="Arial" w:cs="Arial"/>
          <w:szCs w:val="21"/>
        </w:rPr>
        <w:t>发生保险事故时，被保险人按照有关规范要求立即进行必要的抢险施救工作，而导致无法保留现场，不影响被保险人的索赔效力，但被保险人应及时通知保险人，并做好相关记录。若条件许可，被保险人应做好对第一现场的拍照或录像工作。</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完全置换价条款</w:t>
      </w:r>
    </w:p>
    <w:p>
      <w:pPr>
        <w:widowControl/>
        <w:ind w:left="420" w:firstLine="420"/>
        <w:jc w:val="left"/>
        <w:rPr>
          <w:rFonts w:ascii="Arial" w:hAnsi="Arial" w:cs="Arial"/>
          <w:szCs w:val="21"/>
        </w:rPr>
      </w:pPr>
      <w:r>
        <w:rPr>
          <w:rFonts w:ascii="Arial" w:hAnsi="Arial" w:cs="Arial"/>
          <w:szCs w:val="21"/>
        </w:rPr>
        <w:t>兹经双方同意，根据本保险单的规定,如果保险财产遭受全损而无法修理,则本保险单项下的赔偿金额的基础应为受损财产的完全置换价。“完全置换价”是指在损失发生之际，以相同型号、性能、规格和质量的新财产置换该受损财产所需要支付的费用。</w:t>
      </w:r>
    </w:p>
    <w:p>
      <w:pPr>
        <w:widowControl/>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索赔单据条款</w:t>
      </w:r>
    </w:p>
    <w:p>
      <w:pPr>
        <w:widowControl/>
        <w:ind w:left="420" w:firstLine="420"/>
        <w:jc w:val="left"/>
        <w:rPr>
          <w:rFonts w:ascii="Arial" w:hAnsi="Arial" w:cs="Arial"/>
          <w:szCs w:val="21"/>
        </w:rPr>
      </w:pPr>
      <w:r>
        <w:rPr>
          <w:rFonts w:ascii="Arial" w:hAnsi="Arial" w:cs="Arial"/>
          <w:szCs w:val="21"/>
        </w:rPr>
        <w:t>经双方同意，被保险人应提供其所能提供的与确认事故的性质、原因、损失程度等有关的证明和材料。在事故的原因和损失已被证实的情况下，保险人不得仅以缺少单据或单据不合格为由拒绝或拖延承担其在本保险合同项下应承担的赔偿责任。</w:t>
      </w:r>
    </w:p>
    <w:p>
      <w:pPr>
        <w:widowControl/>
        <w:ind w:left="420" w:firstLine="42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420" w:firstLine="420"/>
        <w:jc w:val="left"/>
        <w:rPr>
          <w:rFonts w:ascii="Arial" w:hAnsi="Arial" w:cs="Arial"/>
          <w:szCs w:val="21"/>
        </w:rPr>
      </w:pPr>
    </w:p>
    <w:p>
      <w:pPr>
        <w:widowControl/>
        <w:ind w:left="420" w:firstLine="42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媒介物条款</w:t>
      </w:r>
    </w:p>
    <w:p>
      <w:pPr>
        <w:widowControl/>
        <w:ind w:left="840"/>
        <w:jc w:val="left"/>
        <w:rPr>
          <w:rFonts w:ascii="Arial" w:hAnsi="Arial" w:cs="Arial"/>
          <w:szCs w:val="21"/>
        </w:rPr>
      </w:pPr>
      <w:r>
        <w:rPr>
          <w:rFonts w:ascii="Arial" w:hAnsi="Arial" w:cs="Arial"/>
          <w:szCs w:val="21"/>
        </w:rPr>
        <w:t>兹经双方同意，本保险扩展承保包括但不限于润滑油、冷却油在内的媒介物质损失。</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传送带、链条扩展条款</w:t>
      </w:r>
    </w:p>
    <w:p>
      <w:pPr>
        <w:widowControl/>
        <w:ind w:left="420" w:firstLine="420"/>
        <w:jc w:val="left"/>
        <w:rPr>
          <w:rFonts w:ascii="Arial" w:hAnsi="Arial" w:cs="Arial"/>
          <w:szCs w:val="21"/>
        </w:rPr>
      </w:pPr>
      <w:r>
        <w:rPr>
          <w:rFonts w:ascii="Arial" w:hAnsi="Arial" w:cs="Arial"/>
          <w:szCs w:val="21"/>
        </w:rPr>
        <w:t>兹经双方同意，尽管本保险单有相反规定，保险人负责赔偿因承保风险造成传送带、链条本身的损坏或损失。</w:t>
      </w:r>
    </w:p>
    <w:p>
      <w:pPr>
        <w:widowControl/>
        <w:ind w:left="840"/>
        <w:jc w:val="left"/>
        <w:rPr>
          <w:rFonts w:ascii="Arial" w:hAnsi="Arial" w:cs="Arial"/>
          <w:szCs w:val="21"/>
        </w:rPr>
      </w:pP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营业场所外财产条款</w:t>
      </w:r>
    </w:p>
    <w:p>
      <w:pPr>
        <w:widowControl/>
        <w:ind w:left="420" w:firstLine="420"/>
        <w:jc w:val="left"/>
        <w:rPr>
          <w:rFonts w:ascii="Arial" w:hAnsi="Arial" w:cs="Arial"/>
          <w:szCs w:val="21"/>
        </w:rPr>
      </w:pPr>
      <w:r>
        <w:rPr>
          <w:rFonts w:ascii="Arial" w:hAnsi="Arial" w:cs="Arial"/>
          <w:szCs w:val="21"/>
        </w:rPr>
        <w:t>兹经双方同意，本保险单扩展承保为修理、检修或避免受到承保风险的威胁，而从保险财产地址移走的保险财产所遭受的直接物质损失，但自移动之日起不得超过90天（含）。</w:t>
      </w:r>
    </w:p>
    <w:p>
      <w:pPr>
        <w:widowControl/>
        <w:ind w:left="420" w:firstLine="420"/>
        <w:jc w:val="left"/>
        <w:rPr>
          <w:rFonts w:ascii="Arial" w:hAnsi="Arial" w:cs="Arial"/>
          <w:szCs w:val="21"/>
        </w:rPr>
      </w:pPr>
      <w:r>
        <w:rPr>
          <w:rFonts w:ascii="Arial" w:hAnsi="Arial" w:cs="Arial"/>
          <w:szCs w:val="21"/>
        </w:rPr>
        <w:t>本条款不适用于为加工而移动的保险财产，也不适用于另行投保的财产。</w:t>
      </w:r>
    </w:p>
    <w:p>
      <w:pPr>
        <w:widowControl/>
        <w:ind w:left="420" w:firstLine="420"/>
        <w:jc w:val="left"/>
        <w:rPr>
          <w:rFonts w:ascii="Arial" w:hAnsi="Arial" w:cs="Arial"/>
          <w:szCs w:val="21"/>
        </w:rPr>
      </w:pPr>
      <w:r>
        <w:rPr>
          <w:rFonts w:ascii="Arial" w:hAnsi="Arial" w:cs="Arial"/>
          <w:szCs w:val="21"/>
        </w:rPr>
        <w:t>本保险单所载其他条件不变。</w:t>
      </w:r>
    </w:p>
    <w:p>
      <w:pPr>
        <w:widowControl/>
        <w:ind w:left="420" w:firstLine="42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资产确定条款</w:t>
      </w:r>
    </w:p>
    <w:p>
      <w:pPr>
        <w:widowControl/>
        <w:ind w:left="420" w:firstLine="420"/>
        <w:jc w:val="left"/>
        <w:rPr>
          <w:rFonts w:ascii="Arial" w:hAnsi="Arial" w:cs="Arial"/>
          <w:szCs w:val="21"/>
        </w:rPr>
      </w:pPr>
      <w:r>
        <w:rPr>
          <w:rFonts w:ascii="Arial" w:hAnsi="Arial" w:cs="Arial"/>
          <w:szCs w:val="21"/>
        </w:rPr>
        <w:t>为了确定保险标的的名称，保险人同意接受被保险人会计簿册中对标的名称的指定。</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税项条款</w:t>
      </w:r>
    </w:p>
    <w:p>
      <w:pPr>
        <w:widowControl/>
        <w:ind w:left="420" w:firstLine="420"/>
        <w:jc w:val="left"/>
        <w:rPr>
          <w:rFonts w:ascii="Arial" w:hAnsi="Arial" w:cs="Arial"/>
          <w:szCs w:val="21"/>
        </w:rPr>
      </w:pPr>
      <w:r>
        <w:rPr>
          <w:rFonts w:ascii="Arial" w:hAnsi="Arial" w:cs="Arial"/>
          <w:szCs w:val="21"/>
        </w:rPr>
        <w:t>本保险单责任范围风险造成损失需修理、重置或替换保险财产，如须缴纳关税及其他税项，即使在原来购买或进口该保险财产已放弃关税及杂费和／或在保险单生效之后才征收的，该税项将由保险人承担，保额已包含在投保金额内。</w:t>
      </w:r>
    </w:p>
    <w:p>
      <w:pPr>
        <w:widowControl/>
        <w:ind w:left="420" w:firstLine="420"/>
        <w:jc w:val="left"/>
        <w:rPr>
          <w:rFonts w:ascii="Arial" w:hAnsi="Arial" w:cs="Arial"/>
          <w:szCs w:val="21"/>
        </w:rPr>
      </w:pPr>
      <w:r>
        <w:rPr>
          <w:rFonts w:ascii="Arial" w:hAnsi="Arial" w:cs="Arial"/>
          <w:szCs w:val="21"/>
        </w:rPr>
        <w:t>本保险单所载其他条件均不变。</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放弃比例分摊扩展条款</w:t>
      </w:r>
    </w:p>
    <w:p>
      <w:pPr>
        <w:widowControl/>
        <w:ind w:left="420" w:firstLine="420"/>
        <w:jc w:val="left"/>
        <w:rPr>
          <w:rFonts w:ascii="Arial" w:hAnsi="Arial" w:cs="Arial"/>
          <w:szCs w:val="21"/>
        </w:rPr>
      </w:pPr>
      <w:r>
        <w:rPr>
          <w:rFonts w:ascii="Arial" w:hAnsi="Arial" w:cs="Arial"/>
          <w:szCs w:val="21"/>
        </w:rPr>
        <w:t>经双方同意，保险人视本保险合同为足额投保，发生保险责任范围内的损失，保险人在保险金额以内按实际损失计算赔偿，不作比例分摊。若本保险合同所列标的物不止一项时，应逐项分别计算之限制,但保险期间内累计赔偿金额仍以总保险金额为限。</w:t>
      </w:r>
    </w:p>
    <w:p>
      <w:pPr>
        <w:widowControl/>
        <w:ind w:left="420" w:firstLine="420"/>
        <w:jc w:val="left"/>
        <w:rPr>
          <w:rFonts w:ascii="Arial" w:hAnsi="Arial" w:cs="Arial"/>
          <w:szCs w:val="21"/>
        </w:rPr>
      </w:pPr>
      <w:r>
        <w:rPr>
          <w:rFonts w:ascii="Arial" w:hAnsi="Arial" w:cs="Arial"/>
          <w:szCs w:val="21"/>
        </w:rPr>
        <w:t>本附加条款与主条款内容相悖之处，以本附加条款为准；未尽之处，以主条款为准。</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计算机及其附属设备扩展条款</w:t>
      </w:r>
    </w:p>
    <w:p>
      <w:pPr>
        <w:widowControl/>
        <w:ind w:left="420" w:firstLine="420"/>
        <w:jc w:val="left"/>
        <w:rPr>
          <w:rFonts w:ascii="Arial" w:hAnsi="Arial" w:cs="Arial"/>
          <w:szCs w:val="21"/>
        </w:rPr>
      </w:pPr>
      <w:r>
        <w:rPr>
          <w:rFonts w:ascii="Arial" w:hAnsi="Arial" w:cs="Arial"/>
          <w:szCs w:val="21"/>
        </w:rPr>
        <w:t>兹经双方同意并约定，本附加险扩展承保计算机及其附属设备包括便携式电脑在保险单有效期内，在经营场所内出现本保险单责任范围内保险事故及因电压的突然升高或降低或持计算机操作等级证及专业维修、检测的技术人员在操作、维修、检测中因非故意行为造成的损失；以及因业务需要由被保险人或其雇员在被保险地址或其他各地（但必须在保险单明细表列明的地域范围内）所使用的便携式计算机因发生保险责任范围内的事故而导致的损失（包括在营业场所被窃），保险人负责赔偿。</w:t>
      </w:r>
    </w:p>
    <w:p>
      <w:pPr>
        <w:widowControl/>
        <w:ind w:left="420" w:firstLine="420"/>
        <w:jc w:val="left"/>
        <w:rPr>
          <w:rFonts w:ascii="Arial" w:hAnsi="Arial" w:cs="Arial"/>
          <w:szCs w:val="21"/>
        </w:rPr>
      </w:pPr>
      <w:r>
        <w:rPr>
          <w:rFonts w:ascii="Arial" w:hAnsi="Arial" w:cs="Arial"/>
          <w:szCs w:val="21"/>
        </w:rPr>
        <w:t>主险条款与本附加险条款相抵触之处，以本附加险条款为准；本附加险条款未约定事项，以主险条款为准。</w:t>
      </w:r>
    </w:p>
    <w:p>
      <w:pPr>
        <w:widowControl/>
        <w:ind w:left="84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场外维修及改造条款</w:t>
      </w:r>
    </w:p>
    <w:p>
      <w:pPr>
        <w:widowControl/>
        <w:ind w:left="420" w:firstLine="420"/>
        <w:jc w:val="left"/>
        <w:rPr>
          <w:rFonts w:ascii="Arial" w:hAnsi="Arial" w:cs="Arial"/>
          <w:szCs w:val="21"/>
        </w:rPr>
      </w:pPr>
      <w:r>
        <w:rPr>
          <w:rFonts w:ascii="Arial" w:hAnsi="Arial" w:cs="Arial"/>
          <w:szCs w:val="21"/>
        </w:rPr>
        <w:t>在保险期间内，若被保财产需要在投保地点以外的场地进行维修和/或改造时，本保险单自动扩展承保位于维修或改造地点的这部分被保财产。</w:t>
      </w:r>
    </w:p>
    <w:p>
      <w:pPr>
        <w:widowControl/>
        <w:ind w:left="420" w:firstLine="420"/>
        <w:jc w:val="left"/>
        <w:rPr>
          <w:rFonts w:ascii="Arial" w:hAnsi="Arial" w:cs="Arial"/>
          <w:szCs w:val="21"/>
        </w:rPr>
      </w:pPr>
      <w:r>
        <w:rPr>
          <w:rFonts w:ascii="Arial" w:hAnsi="Arial" w:cs="Arial"/>
          <w:szCs w:val="21"/>
        </w:rPr>
        <w:t>本保险单所载其他条件不变。</w:t>
      </w:r>
    </w:p>
    <w:p>
      <w:pPr>
        <w:widowControl/>
        <w:ind w:left="420" w:firstLine="42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紧急抢险条款</w:t>
      </w:r>
    </w:p>
    <w:p>
      <w:pPr>
        <w:widowControl/>
        <w:ind w:left="420" w:firstLine="420"/>
        <w:jc w:val="left"/>
        <w:rPr>
          <w:rFonts w:ascii="Arial" w:hAnsi="Arial" w:cs="Arial"/>
          <w:szCs w:val="21"/>
        </w:rPr>
      </w:pPr>
      <w:r>
        <w:rPr>
          <w:rFonts w:ascii="Arial" w:hAnsi="Arial" w:cs="Arial"/>
          <w:szCs w:val="21"/>
        </w:rPr>
        <w:t>经双方同意，保险事故发生后，如保险人在接到被保险人出险通知两小时内未到达事故现场，且对紧急抢险措施未提出反对意见，被保险人可按照规范要求以及生产与安全需要，立即组织抢险、抢修工作，但被保险人应认真做好相关记录，并在条件许可时对第一现场情况进行拍照或录像。</w:t>
      </w:r>
    </w:p>
    <w:p>
      <w:pPr>
        <w:widowControl/>
        <w:ind w:left="420" w:firstLine="420"/>
        <w:jc w:val="left"/>
        <w:rPr>
          <w:rFonts w:ascii="Arial" w:hAnsi="Arial" w:cs="Arial"/>
          <w:szCs w:val="21"/>
        </w:rPr>
      </w:pPr>
      <w:r>
        <w:rPr>
          <w:rFonts w:ascii="Arial" w:hAnsi="Arial" w:cs="Arial"/>
          <w:szCs w:val="21"/>
        </w:rPr>
        <w:t>本附加险条款与主险条款内容相悖之处，以本附加险条款为准；未尽之处，以主险条款为准。</w:t>
      </w:r>
    </w:p>
    <w:p>
      <w:pPr>
        <w:widowControl/>
        <w:ind w:left="420" w:firstLine="42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优先使用原供应商条款</w:t>
      </w:r>
    </w:p>
    <w:p>
      <w:pPr>
        <w:autoSpaceDE w:val="0"/>
        <w:autoSpaceDN w:val="0"/>
        <w:adjustRightInd w:val="0"/>
        <w:ind w:firstLine="420"/>
        <w:jc w:val="left"/>
        <w:rPr>
          <w:rFonts w:ascii="Arial" w:hAnsi="Arial" w:cs="Arial"/>
          <w:szCs w:val="21"/>
        </w:rPr>
      </w:pPr>
      <w:r>
        <w:rPr>
          <w:rFonts w:ascii="Arial" w:hAnsi="Arial" w:cs="Arial"/>
          <w:szCs w:val="21"/>
        </w:rPr>
        <w:t>经双方同意，发生保险事故后，除非被保险人同意，否则应由受损保险标的之原供应商确定是否维修或者重置，且维修或者重置应该选择该保险标的的原供应商。</w:t>
      </w:r>
    </w:p>
    <w:p>
      <w:pPr>
        <w:widowControl/>
        <w:ind w:left="420" w:firstLine="420"/>
        <w:jc w:val="left"/>
        <w:rPr>
          <w:rFonts w:ascii="Arial" w:hAnsi="Arial" w:cs="Arial"/>
          <w:szCs w:val="21"/>
        </w:rPr>
      </w:pPr>
    </w:p>
    <w:p>
      <w:pPr>
        <w:widowControl/>
        <w:numPr>
          <w:ilvl w:val="0"/>
          <w:numId w:val="12"/>
        </w:numPr>
        <w:jc w:val="left"/>
        <w:rPr>
          <w:rFonts w:ascii="Arial" w:hAnsi="Arial" w:cs="Arial"/>
          <w:b/>
          <w:szCs w:val="21"/>
        </w:rPr>
      </w:pPr>
      <w:r>
        <w:rPr>
          <w:rFonts w:ascii="Arial" w:hAnsi="Arial" w:cs="Arial"/>
          <w:b/>
          <w:szCs w:val="21"/>
        </w:rPr>
        <w:t>租金损失险条款</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兹经双方同意，保险人负责赔偿因发生本保险合同主险项下的保险事故导致下列后果造成被保险人因无法如期归还租借的保险标的而遭受的租金损失：</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（一）租借的保险标的发生全损或推定全损；</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（二）被保险人按租赁合同的约定对受损的租借保险标的进行修复。</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但本附加条款项下的租金赔偿责任以受损保险标的的每日租金为限，且赔偿期限自原定归还日起计，但最长不超过30天。</w:t>
      </w:r>
    </w:p>
    <w:p>
      <w:pPr>
        <w:adjustRightInd w:val="0"/>
        <w:snapToGrid w:val="0"/>
        <w:spacing w:after="156" w:afterLines="50"/>
        <w:ind w:firstLine="420" w:firstLineChars="200"/>
        <w:rPr>
          <w:rFonts w:ascii="Arial" w:hAnsi="Arial" w:cs="Arial"/>
          <w:color w:val="000000"/>
          <w:szCs w:val="21"/>
        </w:rPr>
      </w:pPr>
    </w:p>
    <w:p>
      <w:pPr>
        <w:widowControl/>
        <w:numPr>
          <w:ilvl w:val="0"/>
          <w:numId w:val="12"/>
        </w:numPr>
        <w:jc w:val="left"/>
        <w:rPr>
          <w:rFonts w:ascii="Arial" w:hAnsi="Arial" w:cs="Arial"/>
          <w:b/>
          <w:szCs w:val="21"/>
        </w:rPr>
      </w:pPr>
      <w:r>
        <w:rPr>
          <w:rFonts w:ascii="Arial" w:hAnsi="Arial" w:cs="Arial"/>
          <w:b/>
          <w:szCs w:val="21"/>
        </w:rPr>
        <w:t xml:space="preserve">账目分类条款 </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兹经双方同意，在决定哪些账项应包含于清偿损失基础时，保险人同意以被保险人提供账目中该账项所登入之项目为准。</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本保险合同所载其他条件不变。</w:t>
      </w:r>
    </w:p>
    <w:p>
      <w:pPr>
        <w:adjustRightInd w:val="0"/>
        <w:snapToGrid w:val="0"/>
        <w:spacing w:after="156" w:afterLines="50"/>
        <w:ind w:firstLine="420" w:firstLineChars="200"/>
        <w:rPr>
          <w:rFonts w:ascii="Arial" w:hAnsi="Arial" w:cs="Arial"/>
          <w:color w:val="000000"/>
          <w:szCs w:val="21"/>
        </w:rPr>
      </w:pPr>
    </w:p>
    <w:p>
      <w:pPr>
        <w:adjustRightInd w:val="0"/>
        <w:snapToGrid w:val="0"/>
        <w:spacing w:after="156" w:afterLines="50"/>
        <w:ind w:firstLine="422" w:firstLineChars="200"/>
        <w:rPr>
          <w:rFonts w:ascii="Arial" w:hAnsi="Arial" w:cs="Arial"/>
          <w:b/>
          <w:szCs w:val="21"/>
        </w:rPr>
      </w:pPr>
      <w:r>
        <w:rPr>
          <w:rFonts w:hint="eastAsia" w:ascii="Arial" w:hAnsi="Arial" w:cs="Arial"/>
          <w:b/>
          <w:szCs w:val="21"/>
        </w:rPr>
        <w:t>37</w:t>
      </w:r>
      <w:r>
        <w:rPr>
          <w:rFonts w:ascii="Arial" w:hAnsi="Arial" w:cs="Arial"/>
          <w:b/>
          <w:szCs w:val="21"/>
        </w:rPr>
        <w:t xml:space="preserve">）试车条款/调试条款 </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本保险单扩展承保机器设备的试车，但为期不超过四个星期（由第一次试车开始起计）。对部分投入使用或交接完毕的机器，保险责任即告终止。对于为投入使用或交接的只要不超过规定外的期限，保险仍然有效。</w:t>
      </w:r>
      <w:r>
        <w:rPr>
          <w:rFonts w:ascii="Arial" w:hAnsi="Arial" w:cs="Arial"/>
          <w:b/>
          <w:color w:val="000000"/>
          <w:szCs w:val="21"/>
        </w:rPr>
        <w:t>如使用旧的机器设备，本条款即停用</w:t>
      </w:r>
      <w:r>
        <w:rPr>
          <w:rFonts w:ascii="Arial" w:hAnsi="Arial" w:cs="Arial"/>
          <w:color w:val="000000"/>
          <w:szCs w:val="21"/>
        </w:rPr>
        <w:t>。</w:t>
      </w:r>
    </w:p>
    <w:p>
      <w:pPr>
        <w:adjustRightInd w:val="0"/>
        <w:snapToGrid w:val="0"/>
        <w:spacing w:after="156" w:afterLines="50"/>
        <w:ind w:firstLine="420" w:firstLineChars="200"/>
        <w:rPr>
          <w:rFonts w:ascii="Arial" w:hAnsi="Arial" w:cs="Arial"/>
          <w:szCs w:val="21"/>
        </w:rPr>
      </w:pPr>
    </w:p>
    <w:p>
      <w:pPr>
        <w:adjustRightInd w:val="0"/>
        <w:snapToGrid w:val="0"/>
        <w:spacing w:after="156" w:afterLines="50"/>
        <w:ind w:firstLine="422" w:firstLineChars="200"/>
        <w:rPr>
          <w:rFonts w:ascii="Arial" w:hAnsi="Arial" w:cs="Arial"/>
          <w:b/>
          <w:szCs w:val="21"/>
        </w:rPr>
      </w:pPr>
      <w:r>
        <w:rPr>
          <w:rFonts w:hint="eastAsia" w:ascii="Arial" w:hAnsi="Arial" w:cs="Arial"/>
          <w:b/>
          <w:szCs w:val="21"/>
        </w:rPr>
        <w:t>38</w:t>
      </w:r>
      <w:r>
        <w:rPr>
          <w:rFonts w:ascii="Arial" w:hAnsi="Arial" w:cs="Arial"/>
          <w:b/>
          <w:szCs w:val="21"/>
        </w:rPr>
        <w:t xml:space="preserve">）检修扩展条款 </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经双方同意，本保险合同扩展承保被保险财产在工作或停机状态下，以清洗、大修或检修为目的拆卸，或在上述操作的过程中，或在随后的重新安装、试车、调试过程中因承保风险所造成的被保险财产的损失。</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本附加条款与主条款内容相悖之处，以本附加条款为准；未尽之处，以主条款为准。</w:t>
      </w:r>
    </w:p>
    <w:p>
      <w:pPr>
        <w:adjustRightInd w:val="0"/>
        <w:snapToGrid w:val="0"/>
        <w:spacing w:after="156" w:afterLines="50"/>
        <w:ind w:firstLine="420" w:firstLineChars="200"/>
        <w:rPr>
          <w:rFonts w:ascii="Arial" w:hAnsi="Arial" w:cs="Arial"/>
          <w:szCs w:val="21"/>
        </w:rPr>
      </w:pPr>
    </w:p>
    <w:p>
      <w:pPr>
        <w:adjustRightInd w:val="0"/>
        <w:snapToGrid w:val="0"/>
        <w:spacing w:after="156" w:afterLines="50"/>
        <w:ind w:firstLine="422" w:firstLineChars="200"/>
        <w:rPr>
          <w:rFonts w:ascii="Arial" w:hAnsi="Arial" w:cs="Arial"/>
          <w:b/>
          <w:szCs w:val="21"/>
        </w:rPr>
      </w:pPr>
      <w:r>
        <w:rPr>
          <w:rFonts w:hint="eastAsia" w:ascii="Arial" w:hAnsi="Arial" w:cs="Arial"/>
          <w:b/>
          <w:szCs w:val="21"/>
        </w:rPr>
        <w:t>39</w:t>
      </w:r>
      <w:r>
        <w:rPr>
          <w:rFonts w:ascii="Arial" w:hAnsi="Arial" w:cs="Arial"/>
          <w:b/>
          <w:szCs w:val="21"/>
        </w:rPr>
        <w:t>）租赁财产条款 （每次及累计赔偿限额：RMB1000万元 ）</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经双方同意,本保险合同扩展承保用于抵押出租、临时或长期租用的保险标的。已在其他保险合同中承保的保险标的，不在此限。</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本附加条款与主条款内容相悖之处，以本附加条款为准；未尽之处，以主条款为准。</w:t>
      </w:r>
    </w:p>
    <w:p>
      <w:pPr>
        <w:autoSpaceDE w:val="0"/>
        <w:autoSpaceDN w:val="0"/>
        <w:adjustRightInd w:val="0"/>
        <w:jc w:val="left"/>
        <w:rPr>
          <w:rFonts w:ascii="宋体" w:hAnsi="宋体"/>
          <w:kern w:val="0"/>
          <w:sz w:val="24"/>
          <w:szCs w:val="24"/>
        </w:rPr>
      </w:pPr>
    </w:p>
    <w:p>
      <w:pPr>
        <w:adjustRightInd w:val="0"/>
        <w:snapToGrid w:val="0"/>
        <w:spacing w:after="156" w:afterLines="50"/>
        <w:ind w:firstLine="422" w:firstLineChars="200"/>
        <w:rPr>
          <w:rFonts w:ascii="Arial" w:hAnsi="Arial" w:cs="Arial"/>
          <w:b/>
          <w:szCs w:val="21"/>
        </w:rPr>
      </w:pPr>
      <w:r>
        <w:rPr>
          <w:rFonts w:hint="eastAsia" w:ascii="Arial" w:hAnsi="Arial" w:cs="Arial"/>
          <w:b/>
          <w:szCs w:val="21"/>
        </w:rPr>
        <w:t>40）</w:t>
      </w:r>
      <w:r>
        <w:rPr>
          <w:rFonts w:ascii="Arial" w:hAnsi="Arial" w:cs="Arial"/>
          <w:b/>
          <w:szCs w:val="21"/>
        </w:rPr>
        <w:t>关于机器设备零部件及易损易耗件条款</w:t>
      </w:r>
    </w:p>
    <w:p>
      <w:pPr>
        <w:adjustRightInd w:val="0"/>
        <w:snapToGrid w:val="0"/>
        <w:spacing w:after="156" w:afterLines="50"/>
        <w:ind w:firstLine="420" w:firstLineChars="200"/>
        <w:rPr>
          <w:rFonts w:ascii="Arial" w:hAnsi="Arial" w:cs="Arial"/>
          <w:color w:val="000000"/>
          <w:szCs w:val="21"/>
        </w:rPr>
      </w:pPr>
      <w:r>
        <w:rPr>
          <w:rFonts w:ascii="Arial" w:hAnsi="Arial" w:cs="Arial"/>
          <w:color w:val="000000"/>
          <w:szCs w:val="21"/>
        </w:rPr>
        <w:t xml:space="preserve">兹经双方同意，任何单价超过人民币2万元的机器设备零部件及易损易耗件等不适用于主条款“责任免除”中第六条之(二) [原条款约定：“各种传送带、缆绳、金属线、链条、轮胎、可调换或替代的钻头、钻杆、刀具、印刷滚筒、套筒、活动管道、玻璃、磁、陶及钢筛、网筛、毛毡制品、一切操作中的媒介物（如润滑油、燃料、催化剂等）及其他各种易损、易耗品]的相关规定，在发生保险事故时，保险人应予以赔偿，但保险人不负责赔偿由于正常的检修保养需要而进行替换所产生的费用。” </w:t>
      </w:r>
    </w:p>
    <w:p>
      <w:pPr>
        <w:adjustRightInd w:val="0"/>
        <w:snapToGrid w:val="0"/>
        <w:spacing w:after="156" w:afterLines="50"/>
        <w:ind w:firstLine="420" w:firstLineChars="200"/>
        <w:rPr>
          <w:rFonts w:ascii="Arial" w:hAnsi="Arial" w:cs="Arial"/>
          <w:b/>
          <w:bCs/>
          <w:szCs w:val="21"/>
        </w:rPr>
      </w:pPr>
      <w:r>
        <w:rPr>
          <w:rFonts w:ascii="Arial" w:hAnsi="Arial" w:cs="Arial"/>
          <w:color w:val="000000"/>
          <w:szCs w:val="21"/>
        </w:rPr>
        <w:t>本保险单所载其他条件不变</w:t>
      </w:r>
      <w:r>
        <w:rPr>
          <w:rFonts w:hint="eastAsia" w:ascii="Arial" w:hAnsi="Arial" w:cs="Arial"/>
          <w:color w:val="000000"/>
          <w:szCs w:val="21"/>
        </w:rPr>
        <w:t>.</w:t>
      </w:r>
    </w:p>
    <w:p>
      <w:pPr>
        <w:jc w:val="center"/>
        <w:rPr>
          <w:rFonts w:hint="eastAsia" w:ascii="宋体" w:eastAsia="宋体" w:cs="宋体"/>
          <w:b/>
          <w:kern w:val="0"/>
          <w:sz w:val="32"/>
          <w:szCs w:val="32"/>
        </w:rPr>
      </w:pPr>
    </w:p>
    <w:p>
      <w:pPr>
        <w:pStyle w:val="2"/>
        <w:rPr>
          <w:rFonts w:hint="eastAsia"/>
        </w:rPr>
      </w:pPr>
    </w:p>
    <w:p>
      <w:pPr>
        <w:jc w:val="center"/>
        <w:rPr>
          <w:rFonts w:ascii="宋体" w:eastAsia="宋体" w:cs="宋体"/>
          <w:b/>
          <w:kern w:val="0"/>
          <w:sz w:val="32"/>
          <w:szCs w:val="32"/>
        </w:rPr>
      </w:pPr>
      <w:r>
        <w:rPr>
          <w:rFonts w:hint="eastAsia" w:ascii="宋体" w:eastAsia="宋体" w:cs="宋体"/>
          <w:b/>
          <w:kern w:val="0"/>
          <w:sz w:val="32"/>
          <w:szCs w:val="32"/>
        </w:rPr>
        <w:t>公众责任险明细表</w:t>
      </w:r>
    </w:p>
    <w:p>
      <w:pPr>
        <w:jc w:val="center"/>
        <w:rPr>
          <w:rFonts w:ascii="宋体" w:eastAsia="宋体" w:cs="宋体"/>
          <w:b/>
          <w:kern w:val="0"/>
          <w:sz w:val="32"/>
          <w:szCs w:val="32"/>
        </w:rPr>
      </w:pPr>
    </w:p>
    <w:tbl>
      <w:tblPr>
        <w:tblStyle w:val="27"/>
        <w:tblW w:w="9115" w:type="dxa"/>
        <w:tblInd w:w="0" w:type="dxa"/>
        <w:tblLayout w:type="autofit"/>
        <w:tblCellMar>
          <w:top w:w="0" w:type="dxa"/>
          <w:left w:w="108" w:type="dxa"/>
          <w:bottom w:w="0" w:type="dxa"/>
          <w:right w:w="108" w:type="dxa"/>
        </w:tblCellMar>
      </w:tblPr>
      <w:tblGrid>
        <w:gridCol w:w="1242"/>
        <w:gridCol w:w="354"/>
        <w:gridCol w:w="7519"/>
      </w:tblGrid>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被保险人</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rPr>
                <w:rFonts w:ascii="Arial" w:hAnsi="Arial" w:cs="Arial" w:eastAsiaTheme="minorEastAsia"/>
                <w:b/>
                <w:szCs w:val="21"/>
              </w:rPr>
            </w:pPr>
            <w:r>
              <w:rPr>
                <w:rFonts w:hint="eastAsia" w:ascii="Arial" w:hAnsi="Arial" w:cs="Arial" w:eastAsiaTheme="minorEastAsia"/>
                <w:b/>
                <w:szCs w:val="21"/>
              </w:rPr>
              <w:t>中粮屯河崇左糖业有限公司</w:t>
            </w:r>
          </w:p>
          <w:p>
            <w:pPr>
              <w:rPr>
                <w:rFonts w:ascii="Arial" w:hAnsi="Arial" w:cs="Arial" w:eastAsiaTheme="minorEastAsia"/>
                <w:b/>
                <w:szCs w:val="21"/>
              </w:rPr>
            </w:pPr>
            <w:r>
              <w:rPr>
                <w:rFonts w:hint="eastAsia" w:ascii="Arial" w:hAnsi="Arial" w:cs="Arial" w:eastAsiaTheme="minorEastAsia"/>
                <w:b/>
                <w:szCs w:val="21"/>
              </w:rPr>
              <w:t>中粮崇左江州糖业有限公司</w:t>
            </w:r>
          </w:p>
          <w:p>
            <w:pPr>
              <w:rPr>
                <w:rFonts w:ascii="Arial" w:hAnsi="Arial" w:cs="Arial" w:eastAsiaTheme="minorEastAsia"/>
                <w:b/>
                <w:szCs w:val="21"/>
              </w:rPr>
            </w:pPr>
            <w:r>
              <w:rPr>
                <w:rFonts w:hint="eastAsia" w:ascii="Arial" w:hAnsi="Arial" w:cs="Arial" w:eastAsiaTheme="minorEastAsia"/>
                <w:b/>
                <w:szCs w:val="21"/>
              </w:rPr>
              <w:t>中粮屯河北海糖业有限公司</w:t>
            </w:r>
          </w:p>
          <w:p>
            <w:pPr>
              <w:rPr>
                <w:rFonts w:ascii="Arial" w:hAnsi="Arial" w:cs="Arial" w:eastAsiaTheme="minorEastAsia"/>
                <w:b/>
                <w:szCs w:val="21"/>
              </w:rPr>
            </w:pPr>
            <w:r>
              <w:rPr>
                <w:rFonts w:hint="eastAsia" w:ascii="Arial" w:hAnsi="Arial" w:cs="Arial" w:eastAsiaTheme="minorEastAsia"/>
                <w:b/>
                <w:szCs w:val="21"/>
              </w:rPr>
              <w:t>中粮梁河糖业有限公司</w:t>
            </w:r>
          </w:p>
          <w:p>
            <w:pPr>
              <w:rPr>
                <w:rFonts w:ascii="Arial" w:hAnsi="Arial" w:cs="Arial" w:eastAsiaTheme="minorEastAsia"/>
                <w:b/>
                <w:szCs w:val="21"/>
              </w:rPr>
            </w:pPr>
            <w:r>
              <w:rPr>
                <w:rFonts w:hint="eastAsia" w:ascii="Arial" w:hAnsi="Arial" w:cs="Arial" w:eastAsiaTheme="minorEastAsia"/>
                <w:b/>
                <w:szCs w:val="21"/>
              </w:rPr>
              <w:t>英德市粤北糖业有限公司</w:t>
            </w:r>
          </w:p>
          <w:p>
            <w:pPr>
              <w:rPr>
                <w:rFonts w:ascii="Arial" w:hAnsi="Arial" w:cs="Arial" w:eastAsiaTheme="minorEastAsia"/>
                <w:b/>
                <w:szCs w:val="21"/>
              </w:rPr>
            </w:pPr>
            <w:r>
              <w:rPr>
                <w:rFonts w:hint="eastAsia" w:ascii="Arial" w:hAnsi="Arial" w:cs="Arial" w:eastAsiaTheme="minorEastAsia"/>
                <w:b/>
                <w:szCs w:val="21"/>
              </w:rPr>
              <w:t>广西益兴现代农业科技发展有限公司</w:t>
            </w:r>
          </w:p>
          <w:p>
            <w:pPr>
              <w:rPr>
                <w:rFonts w:cs="Arial" w:asciiTheme="minorEastAsia" w:hAnsiTheme="minorEastAsia"/>
                <w:sz w:val="22"/>
              </w:rPr>
            </w:pPr>
            <w:r>
              <w:rPr>
                <w:rFonts w:cs="Arial" w:asciiTheme="minorEastAsia" w:hAnsiTheme="minorEastAsia"/>
                <w:sz w:val="22"/>
              </w:rPr>
              <w:t>和/或其有相关权利和利益的附属公司和关联公司</w:t>
            </w:r>
          </w:p>
          <w:p>
            <w:pPr>
              <w:rPr>
                <w:rFonts w:cs="Arial" w:asciiTheme="minorEastAsia" w:hAnsiTheme="minorEastAsia"/>
                <w:sz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营业性质</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rPr>
                <w:rFonts w:cs="Arial" w:asciiTheme="minorEastAsia" w:hAnsiTheme="minorEastAsia"/>
                <w:sz w:val="22"/>
              </w:rPr>
            </w:pPr>
            <w:r>
              <w:rPr>
                <w:rFonts w:hint="eastAsia" w:cs="Arial" w:asciiTheme="minorEastAsia" w:hAnsiTheme="minorEastAsia"/>
                <w:sz w:val="22"/>
              </w:rPr>
              <w:t>食品制造</w:t>
            </w:r>
          </w:p>
          <w:p>
            <w:pPr>
              <w:rPr>
                <w:rFonts w:cs="Arial" w:asciiTheme="minorEastAsia" w:hAnsiTheme="minorEastAsia"/>
                <w:sz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地址</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rPr>
                <w:rFonts w:cs="Arial" w:asciiTheme="minorEastAsia" w:hAnsiTheme="minorEastAsia"/>
                <w:sz w:val="22"/>
              </w:rPr>
            </w:pPr>
            <w:r>
              <w:rPr>
                <w:rFonts w:cs="Arial" w:asciiTheme="minorEastAsia" w:hAnsiTheme="minorEastAsia"/>
                <w:sz w:val="22"/>
              </w:rPr>
              <w:t>任何中国境内被保险人拥有、占有、管理的或使用的场所/地点，无论这些场所/地点在本保单生效前或者之后启用，和全国各分支机构及中转仓所在地。包括但不限于：</w:t>
            </w:r>
          </w:p>
          <w:p>
            <w:pPr>
              <w:pStyle w:val="47"/>
              <w:numPr>
                <w:ilvl w:val="0"/>
                <w:numId w:val="9"/>
              </w:numPr>
              <w:rPr>
                <w:rFonts w:cs="Arial" w:asciiTheme="minorEastAsia" w:hAnsiTheme="minorEastAsia" w:eastAsiaTheme="minorEastAsia"/>
                <w:sz w:val="22"/>
                <w:szCs w:val="22"/>
              </w:rPr>
            </w:pPr>
            <w:r>
              <w:rPr>
                <w:rFonts w:hint="eastAsia" w:cs="Arial" w:asciiTheme="minorEastAsia" w:hAnsiTheme="minorEastAsia" w:eastAsiaTheme="minorEastAsia"/>
                <w:sz w:val="22"/>
                <w:szCs w:val="22"/>
              </w:rPr>
              <w:t>广西崇左市江州区工业园区工业大道</w:t>
            </w:r>
          </w:p>
          <w:p>
            <w:pPr>
              <w:pStyle w:val="47"/>
              <w:numPr>
                <w:ilvl w:val="0"/>
                <w:numId w:val="9"/>
              </w:numPr>
              <w:rPr>
                <w:rFonts w:cs="Arial" w:asciiTheme="minorEastAsia" w:hAnsiTheme="minorEastAsia" w:eastAsiaTheme="minorEastAsia"/>
                <w:sz w:val="22"/>
                <w:szCs w:val="22"/>
              </w:rPr>
            </w:pPr>
            <w:r>
              <w:rPr>
                <w:rFonts w:hint="eastAsia" w:cs="Arial" w:asciiTheme="minorEastAsia" w:hAnsiTheme="minorEastAsia" w:eastAsiaTheme="minorEastAsia"/>
                <w:sz w:val="22"/>
                <w:szCs w:val="22"/>
              </w:rPr>
              <w:t>外仓地址：</w:t>
            </w:r>
          </w:p>
          <w:tbl>
            <w:tblPr>
              <w:tblStyle w:val="28"/>
              <w:tblW w:w="72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3827"/>
              <w:gridCol w:w="30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40" w:type="dxa"/>
                  <w:noWrap/>
                  <w:vAlign w:val="center"/>
                </w:tcPr>
                <w:p>
                  <w:pPr>
                    <w:widowControl/>
                    <w:rPr>
                      <w:rFonts w:cs="宋体" w:asciiTheme="minorEastAsia" w:hAnsiTheme="minorEastAsia" w:eastAsiaTheme="minorEastAsia"/>
                      <w:b/>
                      <w:bCs/>
                      <w:color w:val="000000"/>
                      <w:kern w:val="0"/>
                      <w:sz w:val="21"/>
                      <w:szCs w:val="20"/>
                    </w:rPr>
                  </w:pPr>
                </w:p>
              </w:tc>
              <w:tc>
                <w:tcPr>
                  <w:tcW w:w="3827" w:type="dxa"/>
                  <w:vAlign w:val="center"/>
                </w:tcPr>
                <w:p>
                  <w:pPr>
                    <w:rPr>
                      <w:rFonts w:cs="Times New Roman" w:asciiTheme="minorEastAsia" w:hAnsiTheme="minorEastAsia" w:eastAsiaTheme="minorEastAsia"/>
                      <w:kern w:val="0"/>
                      <w:sz w:val="21"/>
                      <w:szCs w:val="20"/>
                    </w:rPr>
                  </w:pPr>
                </w:p>
              </w:tc>
              <w:tc>
                <w:tcPr>
                  <w:tcW w:w="3026" w:type="dxa"/>
                  <w:vAlign w:val="center"/>
                </w:tcPr>
                <w:p>
                  <w:pPr>
                    <w:rPr>
                      <w:rFonts w:cs="Times New Roman" w:asciiTheme="minorEastAsia" w:hAnsiTheme="minorEastAsia" w:eastAsiaTheme="minorEastAsia"/>
                      <w:kern w:val="0"/>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40" w:type="dxa"/>
                  <w:noWrap/>
                  <w:vAlign w:val="center"/>
                </w:tcPr>
                <w:p>
                  <w:pPr>
                    <w:widowControl/>
                    <w:rPr>
                      <w:rFonts w:cs="宋体" w:asciiTheme="minorEastAsia" w:hAnsiTheme="minorEastAsia" w:eastAsiaTheme="minorEastAsia"/>
                      <w:b/>
                      <w:bCs/>
                      <w:color w:val="000000"/>
                      <w:kern w:val="0"/>
                      <w:sz w:val="21"/>
                      <w:szCs w:val="20"/>
                    </w:rPr>
                  </w:pPr>
                </w:p>
              </w:tc>
              <w:tc>
                <w:tcPr>
                  <w:tcW w:w="3827" w:type="dxa"/>
                  <w:vAlign w:val="center"/>
                </w:tcPr>
                <w:p>
                  <w:pPr>
                    <w:rPr>
                      <w:rFonts w:cs="Times New Roman" w:asciiTheme="minorEastAsia" w:hAnsiTheme="minorEastAsia" w:eastAsiaTheme="minorEastAsia"/>
                      <w:kern w:val="0"/>
                      <w:sz w:val="21"/>
                      <w:szCs w:val="20"/>
                    </w:rPr>
                  </w:pPr>
                </w:p>
              </w:tc>
              <w:tc>
                <w:tcPr>
                  <w:tcW w:w="3026" w:type="dxa"/>
                  <w:vAlign w:val="center"/>
                </w:tcPr>
                <w:p>
                  <w:pPr>
                    <w:rPr>
                      <w:rFonts w:cs="Times New Roman" w:asciiTheme="minorEastAsia" w:hAnsiTheme="minorEastAsia" w:eastAsiaTheme="minorEastAsia"/>
                      <w:kern w:val="0"/>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trPr>
              <w:tc>
                <w:tcPr>
                  <w:tcW w:w="440" w:type="dxa"/>
                  <w:noWrap/>
                  <w:vAlign w:val="center"/>
                </w:tcPr>
                <w:p>
                  <w:pPr>
                    <w:widowControl/>
                    <w:rPr>
                      <w:rFonts w:cs="宋体" w:asciiTheme="minorEastAsia" w:hAnsiTheme="minorEastAsia" w:eastAsiaTheme="minorEastAsia"/>
                      <w:b/>
                      <w:bCs/>
                      <w:color w:val="000000"/>
                      <w:kern w:val="0"/>
                      <w:sz w:val="21"/>
                      <w:szCs w:val="20"/>
                    </w:rPr>
                  </w:pPr>
                </w:p>
              </w:tc>
              <w:tc>
                <w:tcPr>
                  <w:tcW w:w="3827" w:type="dxa"/>
                  <w:vAlign w:val="center"/>
                </w:tcPr>
                <w:p>
                  <w:pPr>
                    <w:rPr>
                      <w:rFonts w:cs="Times New Roman" w:asciiTheme="minorEastAsia" w:hAnsiTheme="minorEastAsia" w:eastAsiaTheme="minorEastAsia"/>
                      <w:kern w:val="0"/>
                      <w:sz w:val="21"/>
                      <w:szCs w:val="20"/>
                    </w:rPr>
                  </w:pPr>
                </w:p>
              </w:tc>
              <w:tc>
                <w:tcPr>
                  <w:tcW w:w="3026" w:type="dxa"/>
                  <w:vAlign w:val="center"/>
                </w:tcPr>
                <w:p>
                  <w:pPr>
                    <w:rPr>
                      <w:rFonts w:cs="Times New Roman" w:asciiTheme="minorEastAsia" w:hAnsiTheme="minorEastAsia" w:eastAsiaTheme="minorEastAsia"/>
                      <w:kern w:val="0"/>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40" w:type="dxa"/>
                  <w:noWrap/>
                  <w:vAlign w:val="center"/>
                </w:tcPr>
                <w:p>
                  <w:pPr>
                    <w:widowControl/>
                    <w:rPr>
                      <w:rFonts w:cs="宋体" w:asciiTheme="minorEastAsia" w:hAnsiTheme="minorEastAsia" w:eastAsiaTheme="minorEastAsia"/>
                      <w:b/>
                      <w:bCs/>
                      <w:color w:val="000000"/>
                      <w:kern w:val="0"/>
                      <w:sz w:val="21"/>
                      <w:szCs w:val="20"/>
                    </w:rPr>
                  </w:pPr>
                </w:p>
              </w:tc>
              <w:tc>
                <w:tcPr>
                  <w:tcW w:w="3827" w:type="dxa"/>
                  <w:vAlign w:val="center"/>
                </w:tcPr>
                <w:p>
                  <w:pPr>
                    <w:rPr>
                      <w:rFonts w:cs="Times New Roman" w:asciiTheme="minorEastAsia" w:hAnsiTheme="minorEastAsia" w:eastAsiaTheme="minorEastAsia"/>
                      <w:kern w:val="0"/>
                      <w:sz w:val="21"/>
                      <w:szCs w:val="20"/>
                    </w:rPr>
                  </w:pPr>
                </w:p>
              </w:tc>
              <w:tc>
                <w:tcPr>
                  <w:tcW w:w="3026" w:type="dxa"/>
                  <w:vAlign w:val="center"/>
                </w:tcPr>
                <w:p>
                  <w:pPr>
                    <w:rPr>
                      <w:rFonts w:cs="Times New Roman" w:asciiTheme="minorEastAsia" w:hAnsiTheme="minorEastAsia" w:eastAsiaTheme="minorEastAsia"/>
                      <w:kern w:val="0"/>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40" w:type="dxa"/>
                  <w:noWrap/>
                  <w:vAlign w:val="center"/>
                </w:tcPr>
                <w:p>
                  <w:pPr>
                    <w:widowControl/>
                    <w:rPr>
                      <w:rFonts w:cs="宋体" w:asciiTheme="minorEastAsia" w:hAnsiTheme="minorEastAsia" w:eastAsiaTheme="minorEastAsia"/>
                      <w:b/>
                      <w:bCs/>
                      <w:color w:val="000000"/>
                      <w:kern w:val="0"/>
                      <w:sz w:val="21"/>
                      <w:szCs w:val="20"/>
                    </w:rPr>
                  </w:pPr>
                </w:p>
              </w:tc>
              <w:tc>
                <w:tcPr>
                  <w:tcW w:w="3827" w:type="dxa"/>
                  <w:vAlign w:val="center"/>
                </w:tcPr>
                <w:p>
                  <w:pPr>
                    <w:rPr>
                      <w:rFonts w:cs="Times New Roman" w:asciiTheme="minorEastAsia" w:hAnsiTheme="minorEastAsia" w:eastAsiaTheme="minorEastAsia"/>
                      <w:kern w:val="0"/>
                      <w:sz w:val="21"/>
                      <w:szCs w:val="20"/>
                    </w:rPr>
                  </w:pPr>
                </w:p>
              </w:tc>
              <w:tc>
                <w:tcPr>
                  <w:tcW w:w="3026" w:type="dxa"/>
                  <w:vAlign w:val="center"/>
                </w:tcPr>
                <w:p>
                  <w:pPr>
                    <w:rPr>
                      <w:rFonts w:cs="Times New Roman" w:asciiTheme="minorEastAsia" w:hAnsiTheme="minorEastAsia" w:eastAsiaTheme="minorEastAsia"/>
                      <w:kern w:val="0"/>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40" w:type="dxa"/>
                  <w:noWrap/>
                  <w:vAlign w:val="center"/>
                </w:tcPr>
                <w:p>
                  <w:pPr>
                    <w:widowControl/>
                    <w:rPr>
                      <w:rFonts w:cs="宋体" w:asciiTheme="minorEastAsia" w:hAnsiTheme="minorEastAsia" w:eastAsiaTheme="minorEastAsia"/>
                      <w:b/>
                      <w:bCs/>
                      <w:color w:val="000000"/>
                      <w:kern w:val="0"/>
                      <w:sz w:val="21"/>
                      <w:szCs w:val="20"/>
                    </w:rPr>
                  </w:pPr>
                </w:p>
              </w:tc>
              <w:tc>
                <w:tcPr>
                  <w:tcW w:w="3827" w:type="dxa"/>
                  <w:vAlign w:val="center"/>
                </w:tcPr>
                <w:p>
                  <w:pPr>
                    <w:rPr>
                      <w:rFonts w:cs="Times New Roman" w:asciiTheme="minorEastAsia" w:hAnsiTheme="minorEastAsia" w:eastAsiaTheme="minorEastAsia"/>
                      <w:kern w:val="0"/>
                      <w:sz w:val="21"/>
                      <w:szCs w:val="20"/>
                    </w:rPr>
                  </w:pPr>
                </w:p>
              </w:tc>
              <w:tc>
                <w:tcPr>
                  <w:tcW w:w="3026" w:type="dxa"/>
                  <w:vAlign w:val="center"/>
                </w:tcPr>
                <w:p>
                  <w:pPr>
                    <w:rPr>
                      <w:rFonts w:cs="Times New Roman" w:asciiTheme="minorEastAsia" w:hAnsiTheme="minorEastAsia" w:eastAsiaTheme="minorEastAsia"/>
                      <w:kern w:val="0"/>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40" w:type="dxa"/>
                  <w:noWrap/>
                  <w:vAlign w:val="center"/>
                </w:tcPr>
                <w:p>
                  <w:pPr>
                    <w:widowControl/>
                    <w:rPr>
                      <w:rFonts w:cs="宋体" w:asciiTheme="minorEastAsia" w:hAnsiTheme="minorEastAsia" w:eastAsiaTheme="minorEastAsia"/>
                      <w:b/>
                      <w:bCs/>
                      <w:color w:val="000000"/>
                      <w:kern w:val="0"/>
                      <w:sz w:val="21"/>
                      <w:szCs w:val="20"/>
                    </w:rPr>
                  </w:pPr>
                </w:p>
              </w:tc>
              <w:tc>
                <w:tcPr>
                  <w:tcW w:w="3827" w:type="dxa"/>
                  <w:vAlign w:val="center"/>
                </w:tcPr>
                <w:p>
                  <w:pPr>
                    <w:rPr>
                      <w:rFonts w:cs="Times New Roman" w:asciiTheme="minorEastAsia" w:hAnsiTheme="minorEastAsia" w:eastAsiaTheme="minorEastAsia"/>
                      <w:kern w:val="0"/>
                      <w:sz w:val="21"/>
                      <w:szCs w:val="20"/>
                    </w:rPr>
                  </w:pPr>
                </w:p>
              </w:tc>
              <w:tc>
                <w:tcPr>
                  <w:tcW w:w="3026" w:type="dxa"/>
                  <w:vAlign w:val="center"/>
                </w:tcPr>
                <w:p>
                  <w:pPr>
                    <w:rPr>
                      <w:rFonts w:cs="Times New Roman" w:asciiTheme="minorEastAsia" w:hAnsiTheme="minorEastAsia" w:eastAsiaTheme="minorEastAsia"/>
                      <w:kern w:val="0"/>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40" w:type="dxa"/>
                  <w:noWrap/>
                  <w:vAlign w:val="center"/>
                </w:tcPr>
                <w:p>
                  <w:pPr>
                    <w:widowControl/>
                    <w:rPr>
                      <w:rFonts w:cs="宋体" w:asciiTheme="minorEastAsia" w:hAnsiTheme="minorEastAsia" w:eastAsiaTheme="minorEastAsia"/>
                      <w:b/>
                      <w:bCs/>
                      <w:color w:val="000000"/>
                      <w:kern w:val="0"/>
                      <w:sz w:val="21"/>
                      <w:szCs w:val="20"/>
                    </w:rPr>
                  </w:pPr>
                </w:p>
              </w:tc>
              <w:tc>
                <w:tcPr>
                  <w:tcW w:w="3827" w:type="dxa"/>
                  <w:vAlign w:val="center"/>
                </w:tcPr>
                <w:p>
                  <w:pPr>
                    <w:rPr>
                      <w:rFonts w:cs="Times New Roman" w:asciiTheme="minorEastAsia" w:hAnsiTheme="minorEastAsia" w:eastAsiaTheme="minorEastAsia"/>
                      <w:kern w:val="0"/>
                      <w:sz w:val="21"/>
                      <w:szCs w:val="20"/>
                    </w:rPr>
                  </w:pPr>
                </w:p>
              </w:tc>
              <w:tc>
                <w:tcPr>
                  <w:tcW w:w="3026" w:type="dxa"/>
                  <w:vAlign w:val="center"/>
                </w:tcPr>
                <w:p>
                  <w:pPr>
                    <w:rPr>
                      <w:rFonts w:cs="Times New Roman" w:asciiTheme="minorEastAsia" w:hAnsiTheme="minorEastAsia" w:eastAsiaTheme="minorEastAsia"/>
                      <w:kern w:val="0"/>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40" w:type="dxa"/>
                  <w:noWrap/>
                  <w:vAlign w:val="center"/>
                </w:tcPr>
                <w:p>
                  <w:pPr>
                    <w:widowControl/>
                    <w:rPr>
                      <w:rFonts w:cs="宋体" w:asciiTheme="minorEastAsia" w:hAnsiTheme="minorEastAsia" w:eastAsiaTheme="minorEastAsia"/>
                      <w:b/>
                      <w:bCs/>
                      <w:color w:val="000000"/>
                      <w:kern w:val="0"/>
                      <w:sz w:val="21"/>
                      <w:szCs w:val="20"/>
                    </w:rPr>
                  </w:pPr>
                </w:p>
              </w:tc>
              <w:tc>
                <w:tcPr>
                  <w:tcW w:w="3827" w:type="dxa"/>
                  <w:vAlign w:val="center"/>
                </w:tcPr>
                <w:p>
                  <w:pPr>
                    <w:rPr>
                      <w:rFonts w:cs="Times New Roman" w:asciiTheme="minorEastAsia" w:hAnsiTheme="minorEastAsia" w:eastAsiaTheme="minorEastAsia"/>
                      <w:kern w:val="0"/>
                      <w:sz w:val="21"/>
                      <w:szCs w:val="20"/>
                    </w:rPr>
                  </w:pPr>
                </w:p>
              </w:tc>
              <w:tc>
                <w:tcPr>
                  <w:tcW w:w="3026" w:type="dxa"/>
                  <w:vAlign w:val="center"/>
                </w:tcPr>
                <w:p>
                  <w:pPr>
                    <w:rPr>
                      <w:rFonts w:cs="Times New Roman" w:asciiTheme="minorEastAsia" w:hAnsiTheme="minorEastAsia" w:eastAsiaTheme="minorEastAsia"/>
                      <w:kern w:val="0"/>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40" w:type="dxa"/>
                  <w:noWrap/>
                  <w:vAlign w:val="center"/>
                </w:tcPr>
                <w:p>
                  <w:pPr>
                    <w:widowControl/>
                    <w:rPr>
                      <w:rFonts w:cs="宋体" w:asciiTheme="minorEastAsia" w:hAnsiTheme="minorEastAsia" w:eastAsiaTheme="minorEastAsia"/>
                      <w:b/>
                      <w:bCs/>
                      <w:color w:val="000000"/>
                      <w:kern w:val="0"/>
                      <w:sz w:val="21"/>
                      <w:szCs w:val="20"/>
                    </w:rPr>
                  </w:pPr>
                </w:p>
              </w:tc>
              <w:tc>
                <w:tcPr>
                  <w:tcW w:w="3827" w:type="dxa"/>
                  <w:vAlign w:val="center"/>
                </w:tcPr>
                <w:p>
                  <w:pPr>
                    <w:rPr>
                      <w:rFonts w:cs="Times New Roman" w:asciiTheme="minorEastAsia" w:hAnsiTheme="minorEastAsia" w:eastAsiaTheme="minorEastAsia"/>
                      <w:kern w:val="0"/>
                      <w:sz w:val="21"/>
                      <w:szCs w:val="20"/>
                    </w:rPr>
                  </w:pPr>
                </w:p>
              </w:tc>
              <w:tc>
                <w:tcPr>
                  <w:tcW w:w="3026" w:type="dxa"/>
                  <w:vAlign w:val="center"/>
                </w:tcPr>
                <w:p>
                  <w:pPr>
                    <w:rPr>
                      <w:rFonts w:cs="Times New Roman" w:asciiTheme="minorEastAsia" w:hAnsiTheme="minorEastAsia" w:eastAsiaTheme="minorEastAsia"/>
                      <w:kern w:val="0"/>
                      <w:sz w:val="21"/>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trPr>
              <w:tc>
                <w:tcPr>
                  <w:tcW w:w="440" w:type="dxa"/>
                  <w:noWrap/>
                  <w:vAlign w:val="center"/>
                </w:tcPr>
                <w:p>
                  <w:pPr>
                    <w:widowControl/>
                    <w:rPr>
                      <w:rFonts w:cs="宋体" w:asciiTheme="minorEastAsia" w:hAnsiTheme="minorEastAsia" w:eastAsiaTheme="minorEastAsia"/>
                      <w:b/>
                      <w:bCs/>
                      <w:color w:val="000000"/>
                      <w:kern w:val="0"/>
                      <w:sz w:val="21"/>
                      <w:szCs w:val="20"/>
                    </w:rPr>
                  </w:pPr>
                </w:p>
              </w:tc>
              <w:tc>
                <w:tcPr>
                  <w:tcW w:w="3827" w:type="dxa"/>
                  <w:vAlign w:val="center"/>
                </w:tcPr>
                <w:p>
                  <w:pPr>
                    <w:rPr>
                      <w:rFonts w:cs="Times New Roman" w:asciiTheme="minorEastAsia" w:hAnsiTheme="minorEastAsia" w:eastAsiaTheme="minorEastAsia"/>
                      <w:kern w:val="0"/>
                      <w:sz w:val="21"/>
                      <w:szCs w:val="20"/>
                    </w:rPr>
                  </w:pPr>
                </w:p>
              </w:tc>
              <w:tc>
                <w:tcPr>
                  <w:tcW w:w="3026" w:type="dxa"/>
                  <w:vAlign w:val="center"/>
                </w:tcPr>
                <w:p>
                  <w:pPr>
                    <w:rPr>
                      <w:rFonts w:cs="Times New Roman" w:asciiTheme="minorEastAsia" w:hAnsiTheme="minorEastAsia" w:eastAsiaTheme="minorEastAsia"/>
                      <w:kern w:val="0"/>
                      <w:sz w:val="21"/>
                      <w:szCs w:val="20"/>
                    </w:rPr>
                  </w:pPr>
                </w:p>
              </w:tc>
            </w:tr>
          </w:tbl>
          <w:p>
            <w:pPr>
              <w:pStyle w:val="47"/>
              <w:ind w:left="360"/>
              <w:rPr>
                <w:rFonts w:cs="Arial" w:asciiTheme="minorEastAsia" w:hAnsiTheme="minorEastAsia" w:eastAsiaTheme="minorEastAsia"/>
                <w:sz w:val="22"/>
                <w:szCs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p>
        </w:tc>
        <w:tc>
          <w:tcPr>
            <w:tcW w:w="354" w:type="dxa"/>
          </w:tcPr>
          <w:p>
            <w:pPr>
              <w:rPr>
                <w:rFonts w:cs="Arial" w:asciiTheme="minorEastAsia" w:hAnsiTheme="minorEastAsia"/>
                <w:b/>
                <w:sz w:val="22"/>
              </w:rPr>
            </w:pPr>
          </w:p>
        </w:tc>
        <w:tc>
          <w:tcPr>
            <w:tcW w:w="7519" w:type="dxa"/>
          </w:tcPr>
          <w:p>
            <w:pPr>
              <w:rPr>
                <w:rFonts w:cs="Arial" w:asciiTheme="minorEastAsia" w:hAnsiTheme="minorEastAsia"/>
                <w:sz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保单司法管辖</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rPr>
                <w:rFonts w:cs="Arial" w:asciiTheme="minorEastAsia" w:hAnsiTheme="minorEastAsia"/>
                <w:sz w:val="22"/>
              </w:rPr>
            </w:pPr>
            <w:r>
              <w:rPr>
                <w:rFonts w:cs="Arial" w:asciiTheme="minorEastAsia" w:hAnsiTheme="minorEastAsia"/>
                <w:sz w:val="22"/>
              </w:rPr>
              <w:t>本保单受中国司法管辖（不包括港、澳、台地区）</w:t>
            </w:r>
          </w:p>
          <w:p>
            <w:pPr>
              <w:rPr>
                <w:rFonts w:cs="Arial" w:asciiTheme="minorEastAsia" w:hAnsiTheme="minorEastAsia"/>
                <w:sz w:val="22"/>
              </w:rPr>
            </w:pPr>
          </w:p>
          <w:p>
            <w:pPr>
              <w:rPr>
                <w:rFonts w:cs="Arial" w:asciiTheme="minorEastAsia" w:hAnsiTheme="minorEastAsia"/>
                <w:sz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适用条款</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rPr>
                <w:rFonts w:cs="Arial" w:asciiTheme="minorEastAsia" w:hAnsiTheme="minorEastAsia"/>
                <w:sz w:val="22"/>
              </w:rPr>
            </w:pPr>
            <w:r>
              <w:rPr>
                <w:rFonts w:cs="Arial" w:asciiTheme="minorEastAsia" w:hAnsiTheme="minorEastAsia"/>
                <w:sz w:val="22"/>
              </w:rPr>
              <w:t>公众责任保险条款及扩展条款</w:t>
            </w:r>
          </w:p>
          <w:p>
            <w:pPr>
              <w:rPr>
                <w:rFonts w:cs="Arial" w:asciiTheme="minorEastAsia" w:hAnsiTheme="minorEastAsia"/>
                <w:sz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保险期限</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pStyle w:val="105"/>
              <w:jc w:val="both"/>
              <w:rPr>
                <w:rFonts w:asciiTheme="minorEastAsia" w:hAnsiTheme="minorEastAsia"/>
                <w:sz w:val="22"/>
                <w:szCs w:val="22"/>
              </w:rPr>
            </w:pPr>
            <w:r>
              <w:rPr>
                <w:rFonts w:asciiTheme="minorEastAsia" w:hAnsiTheme="minorEastAsia"/>
                <w:sz w:val="22"/>
                <w:szCs w:val="22"/>
              </w:rPr>
              <w:t>北京时间：</w:t>
            </w:r>
            <w:r>
              <w:rPr>
                <w:rFonts w:cs="Arial" w:asciiTheme="minorEastAsia" w:hAnsiTheme="minorEastAsia"/>
                <w:color w:val="auto"/>
                <w:kern w:val="2"/>
                <w:sz w:val="22"/>
                <w:szCs w:val="22"/>
              </w:rPr>
              <w:t>自20</w:t>
            </w:r>
            <w:r>
              <w:rPr>
                <w:rFonts w:hint="eastAsia" w:cs="Arial" w:asciiTheme="minorEastAsia" w:hAnsiTheme="minorEastAsia"/>
                <w:color w:val="auto"/>
                <w:kern w:val="2"/>
                <w:sz w:val="22"/>
                <w:szCs w:val="22"/>
              </w:rPr>
              <w:t>2</w:t>
            </w:r>
            <w:r>
              <w:rPr>
                <w:rFonts w:hint="eastAsia" w:cs="Arial" w:asciiTheme="minorEastAsia" w:hAnsiTheme="minorEastAsia"/>
                <w:color w:val="auto"/>
                <w:kern w:val="2"/>
                <w:sz w:val="22"/>
                <w:szCs w:val="22"/>
                <w:lang w:val="en-US" w:eastAsia="zh-CN"/>
              </w:rPr>
              <w:t>3</w:t>
            </w:r>
            <w:r>
              <w:rPr>
                <w:rFonts w:cs="Arial" w:asciiTheme="minorEastAsia" w:hAnsiTheme="minorEastAsia"/>
                <w:color w:val="auto"/>
                <w:kern w:val="2"/>
                <w:sz w:val="22"/>
                <w:szCs w:val="22"/>
              </w:rPr>
              <w:t>年8月1日零时起至20</w:t>
            </w:r>
            <w:r>
              <w:rPr>
                <w:rFonts w:hint="eastAsia" w:cs="Arial" w:asciiTheme="minorEastAsia" w:hAnsiTheme="minorEastAsia"/>
                <w:color w:val="auto"/>
                <w:kern w:val="2"/>
                <w:sz w:val="22"/>
                <w:szCs w:val="22"/>
              </w:rPr>
              <w:t>2</w:t>
            </w:r>
            <w:r>
              <w:rPr>
                <w:rFonts w:hint="eastAsia" w:cs="Arial" w:asciiTheme="minorEastAsia" w:hAnsiTheme="minorEastAsia"/>
                <w:color w:val="auto"/>
                <w:kern w:val="2"/>
                <w:sz w:val="22"/>
                <w:szCs w:val="22"/>
                <w:lang w:val="en-US" w:eastAsia="zh-CN"/>
              </w:rPr>
              <w:t>4</w:t>
            </w:r>
            <w:r>
              <w:rPr>
                <w:rFonts w:cs="Arial" w:asciiTheme="minorEastAsia" w:hAnsiTheme="minorEastAsia"/>
                <w:color w:val="auto"/>
                <w:kern w:val="2"/>
                <w:sz w:val="22"/>
                <w:szCs w:val="22"/>
              </w:rPr>
              <w:t>年</w:t>
            </w:r>
            <w:r>
              <w:rPr>
                <w:rFonts w:hint="eastAsia" w:cs="Arial" w:asciiTheme="minorEastAsia" w:hAnsiTheme="minorEastAsia"/>
                <w:color w:val="auto"/>
                <w:kern w:val="2"/>
                <w:sz w:val="22"/>
                <w:szCs w:val="22"/>
              </w:rPr>
              <w:t>7</w:t>
            </w:r>
            <w:r>
              <w:rPr>
                <w:rFonts w:cs="Arial" w:asciiTheme="minorEastAsia" w:hAnsiTheme="minorEastAsia"/>
                <w:color w:val="auto"/>
                <w:kern w:val="2"/>
                <w:sz w:val="22"/>
                <w:szCs w:val="22"/>
              </w:rPr>
              <w:t>月</w:t>
            </w:r>
            <w:r>
              <w:rPr>
                <w:rFonts w:hint="eastAsia" w:cs="Arial" w:asciiTheme="minorEastAsia" w:hAnsiTheme="minorEastAsia"/>
                <w:color w:val="auto"/>
                <w:kern w:val="2"/>
                <w:sz w:val="22"/>
                <w:szCs w:val="22"/>
              </w:rPr>
              <w:t>31</w:t>
            </w:r>
            <w:r>
              <w:rPr>
                <w:rFonts w:cs="Arial" w:asciiTheme="minorEastAsia" w:hAnsiTheme="minorEastAsia"/>
                <w:color w:val="auto"/>
                <w:kern w:val="2"/>
                <w:sz w:val="22"/>
                <w:szCs w:val="22"/>
              </w:rPr>
              <w:t>日</w:t>
            </w:r>
            <w:r>
              <w:rPr>
                <w:rFonts w:hint="eastAsia" w:cs="Arial" w:asciiTheme="minorEastAsia" w:hAnsiTheme="minorEastAsia"/>
                <w:color w:val="auto"/>
                <w:kern w:val="2"/>
                <w:sz w:val="22"/>
                <w:szCs w:val="22"/>
              </w:rPr>
              <w:t>二十四</w:t>
            </w:r>
            <w:r>
              <w:rPr>
                <w:rFonts w:cs="Arial" w:asciiTheme="minorEastAsia" w:hAnsiTheme="minorEastAsia"/>
                <w:color w:val="auto"/>
                <w:kern w:val="2"/>
                <w:sz w:val="22"/>
                <w:szCs w:val="22"/>
              </w:rPr>
              <w:t>时止；</w:t>
            </w: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p>
        </w:tc>
        <w:tc>
          <w:tcPr>
            <w:tcW w:w="354" w:type="dxa"/>
          </w:tcPr>
          <w:p>
            <w:pPr>
              <w:rPr>
                <w:rFonts w:cs="Arial" w:asciiTheme="minorEastAsia" w:hAnsiTheme="minorEastAsia"/>
                <w:b/>
                <w:sz w:val="22"/>
              </w:rPr>
            </w:pPr>
          </w:p>
        </w:tc>
        <w:tc>
          <w:tcPr>
            <w:tcW w:w="7519" w:type="dxa"/>
          </w:tcPr>
          <w:p>
            <w:pPr>
              <w:rPr>
                <w:rFonts w:cs="Arial" w:asciiTheme="minorEastAsia" w:hAnsiTheme="minorEastAsia"/>
                <w:sz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责任范围</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numPr>
                <w:ilvl w:val="0"/>
                <w:numId w:val="14"/>
              </w:numPr>
              <w:rPr>
                <w:rFonts w:cs="Arial" w:asciiTheme="minorEastAsia" w:hAnsiTheme="minorEastAsia"/>
                <w:sz w:val="22"/>
              </w:rPr>
            </w:pPr>
            <w:r>
              <w:rPr>
                <w:rFonts w:cs="Arial" w:asciiTheme="minorEastAsia" w:hAnsiTheme="minorEastAsia"/>
                <w:sz w:val="22"/>
              </w:rPr>
              <w:t>因经营业务发生意外事故，造成第三者的人身伤亡和财产损失,依法应由被保险人承担的经济赔偿责任；</w:t>
            </w:r>
          </w:p>
          <w:p>
            <w:pPr>
              <w:numPr>
                <w:ilvl w:val="0"/>
                <w:numId w:val="14"/>
              </w:numPr>
              <w:rPr>
                <w:rFonts w:cs="Arial" w:asciiTheme="minorEastAsia" w:hAnsiTheme="minorEastAsia"/>
                <w:sz w:val="22"/>
              </w:rPr>
            </w:pPr>
            <w:r>
              <w:rPr>
                <w:rFonts w:cs="Arial" w:asciiTheme="minorEastAsia" w:hAnsiTheme="minorEastAsia"/>
                <w:sz w:val="22"/>
              </w:rPr>
              <w:t>被保险人因上述原因而支付的诉讼费用；</w:t>
            </w:r>
          </w:p>
          <w:p>
            <w:pPr>
              <w:numPr>
                <w:ilvl w:val="0"/>
                <w:numId w:val="14"/>
              </w:numPr>
              <w:rPr>
                <w:rFonts w:cs="Arial" w:asciiTheme="minorEastAsia" w:hAnsiTheme="minorEastAsia"/>
                <w:sz w:val="22"/>
              </w:rPr>
            </w:pPr>
            <w:r>
              <w:rPr>
                <w:rFonts w:cs="Arial" w:asciiTheme="minorEastAsia" w:hAnsiTheme="minorEastAsia"/>
                <w:sz w:val="22"/>
              </w:rPr>
              <w:t>被保险人因上述原因而支付的事先经保险公司书面同意的其他费用赔偿。</w:t>
            </w:r>
          </w:p>
          <w:p>
            <w:pPr>
              <w:rPr>
                <w:rFonts w:cs="Arial" w:asciiTheme="minorEastAsia" w:hAnsiTheme="minorEastAsia"/>
                <w:sz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赔偿限额</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ind w:left="880" w:right="-391" w:rightChars="-186" w:hanging="880" w:hangingChars="400"/>
              <w:jc w:val="left"/>
              <w:rPr>
                <w:rFonts w:cs="Arial" w:asciiTheme="minorEastAsia" w:hAnsiTheme="minorEastAsia"/>
                <w:sz w:val="22"/>
              </w:rPr>
            </w:pPr>
            <w:r>
              <w:rPr>
                <w:rFonts w:cs="Arial" w:asciiTheme="minorEastAsia" w:hAnsiTheme="minorEastAsia"/>
                <w:sz w:val="22"/>
              </w:rPr>
              <w:t>每次事故及累计赔偿限额RMB</w:t>
            </w:r>
          </w:p>
          <w:p>
            <w:pPr>
              <w:ind w:left="883" w:right="-391" w:rightChars="-186" w:hanging="883" w:hangingChars="400"/>
              <w:jc w:val="left"/>
              <w:rPr>
                <w:rFonts w:cs="Arial" w:asciiTheme="minorEastAsia" w:hAnsiTheme="minorEastAsia"/>
                <w:b/>
                <w:sz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免赔额</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rPr>
                <w:rFonts w:cs="Arial" w:asciiTheme="minorEastAsia" w:hAnsiTheme="minorEastAsia"/>
                <w:sz w:val="22"/>
              </w:rPr>
            </w:pPr>
            <w:r>
              <w:rPr>
                <w:rFonts w:cs="Arial" w:asciiTheme="minorEastAsia" w:hAnsiTheme="minorEastAsia"/>
                <w:sz w:val="22"/>
              </w:rPr>
              <w:t>每次事故（仅适用于财产损失）- RMB</w:t>
            </w:r>
            <w:r>
              <w:rPr>
                <w:rFonts w:hint="eastAsia" w:cs="Arial" w:asciiTheme="minorEastAsia" w:hAnsiTheme="minorEastAsia"/>
                <w:sz w:val="22"/>
              </w:rPr>
              <w:t>10,0</w:t>
            </w:r>
            <w:r>
              <w:rPr>
                <w:rFonts w:cs="Arial" w:asciiTheme="minorEastAsia" w:hAnsiTheme="minorEastAsia"/>
                <w:sz w:val="22"/>
              </w:rPr>
              <w:t xml:space="preserve">00.00 </w:t>
            </w:r>
            <w:r>
              <w:rPr>
                <w:rFonts w:hint="eastAsia" w:cs="Arial" w:asciiTheme="minorEastAsia" w:hAnsiTheme="minorEastAsia"/>
                <w:sz w:val="22"/>
              </w:rPr>
              <w:t>或者损失金额的1</w:t>
            </w:r>
            <w:r>
              <w:rPr>
                <w:rFonts w:cs="Arial" w:asciiTheme="minorEastAsia" w:hAnsiTheme="minorEastAsia"/>
                <w:sz w:val="22"/>
              </w:rPr>
              <w:t>0%</w:t>
            </w:r>
            <w:r>
              <w:rPr>
                <w:rFonts w:hint="eastAsia" w:cs="Arial" w:asciiTheme="minorEastAsia" w:hAnsiTheme="minorEastAsia"/>
                <w:sz w:val="22"/>
              </w:rPr>
              <w:t>，两者取高</w:t>
            </w:r>
          </w:p>
          <w:p>
            <w:pPr>
              <w:rPr>
                <w:rFonts w:cs="Arial" w:asciiTheme="minorEastAsia" w:hAnsiTheme="minorEastAsia"/>
                <w:sz w:val="22"/>
              </w:rPr>
            </w:pPr>
          </w:p>
          <w:p>
            <w:pPr>
              <w:jc w:val="left"/>
              <w:rPr>
                <w:rFonts w:cs="Arial" w:asciiTheme="minorEastAsia" w:hAnsiTheme="minorEastAsia"/>
                <w:sz w:val="22"/>
              </w:rPr>
            </w:pPr>
            <w:r>
              <w:rPr>
                <w:rFonts w:cs="Arial" w:asciiTheme="minorEastAsia" w:hAnsiTheme="minorEastAsia"/>
                <w:sz w:val="22"/>
              </w:rPr>
              <w:t>每次事故是指一次意外事故，包括持续地或者反复地暴露于同一致损环境下</w:t>
            </w:r>
          </w:p>
          <w:p>
            <w:pPr>
              <w:rPr>
                <w:rFonts w:cs="Arial" w:asciiTheme="minorEastAsia" w:hAnsiTheme="minorEastAsia"/>
                <w:sz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hint="eastAsia" w:cs="Arial" w:asciiTheme="minorEastAsia" w:hAnsiTheme="minorEastAsia"/>
                <w:b/>
                <w:sz w:val="22"/>
              </w:rPr>
              <w:t>年</w:t>
            </w:r>
            <w:r>
              <w:rPr>
                <w:rFonts w:cs="Arial" w:asciiTheme="minorEastAsia" w:hAnsiTheme="minorEastAsia"/>
                <w:b/>
                <w:sz w:val="22"/>
              </w:rPr>
              <w:t>保费</w:t>
            </w:r>
          </w:p>
          <w:p>
            <w:pPr>
              <w:rPr>
                <w:rFonts w:cs="Arial" w:asciiTheme="minorEastAsia" w:hAnsiTheme="minorEastAsia"/>
                <w:b/>
                <w:sz w:val="22"/>
              </w:rPr>
            </w:pPr>
            <w:r>
              <w:rPr>
                <w:rFonts w:cs="Arial" w:asciiTheme="minorEastAsia" w:hAnsiTheme="minorEastAsia"/>
                <w:b/>
                <w:sz w:val="22"/>
              </w:rPr>
              <w:t>（含税）</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rPr>
                <w:rFonts w:cs="Arial" w:asciiTheme="minorEastAsia" w:hAnsiTheme="minorEastAsia"/>
                <w:sz w:val="22"/>
              </w:rPr>
            </w:pPr>
            <w:r>
              <w:rPr>
                <w:rFonts w:cs="Arial" w:asciiTheme="minorEastAsia" w:hAnsiTheme="minorEastAsia"/>
                <w:sz w:val="22"/>
              </w:rPr>
              <w:t xml:space="preserve">RMB </w:t>
            </w: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p>
          <w:p>
            <w:pPr>
              <w:rPr>
                <w:rFonts w:cs="Arial" w:asciiTheme="minorEastAsia" w:hAnsiTheme="minorEastAsia"/>
                <w:b/>
                <w:sz w:val="22"/>
              </w:rPr>
            </w:pPr>
            <w:r>
              <w:rPr>
                <w:rFonts w:cs="Arial" w:asciiTheme="minorEastAsia" w:hAnsiTheme="minorEastAsia"/>
                <w:b/>
                <w:sz w:val="22"/>
              </w:rPr>
              <w:t>保费支付</w:t>
            </w:r>
          </w:p>
        </w:tc>
        <w:tc>
          <w:tcPr>
            <w:tcW w:w="354" w:type="dxa"/>
          </w:tcPr>
          <w:p>
            <w:pPr>
              <w:rPr>
                <w:rFonts w:cs="Arial" w:asciiTheme="minorEastAsia" w:hAnsiTheme="minorEastAsia"/>
                <w:b/>
                <w:sz w:val="22"/>
              </w:rPr>
            </w:pPr>
          </w:p>
          <w:p>
            <w:pPr>
              <w:rPr>
                <w:rFonts w:cs="Arial" w:asciiTheme="minorEastAsia" w:hAnsiTheme="minorEastAsia"/>
                <w:b/>
                <w:sz w:val="22"/>
              </w:rPr>
            </w:pPr>
            <w:r>
              <w:rPr>
                <w:rFonts w:cs="Arial" w:asciiTheme="minorEastAsia" w:hAnsiTheme="minorEastAsia"/>
                <w:b/>
                <w:sz w:val="22"/>
              </w:rPr>
              <w:t>:</w:t>
            </w:r>
          </w:p>
        </w:tc>
        <w:tc>
          <w:tcPr>
            <w:tcW w:w="7519" w:type="dxa"/>
          </w:tcPr>
          <w:p>
            <w:pPr>
              <w:rPr>
                <w:rFonts w:cs="Arial" w:asciiTheme="minorEastAsia" w:hAnsiTheme="minorEastAsia"/>
                <w:sz w:val="22"/>
              </w:rPr>
            </w:pPr>
          </w:p>
          <w:p>
            <w:pPr>
              <w:rPr>
                <w:rFonts w:cs="Arial" w:asciiTheme="minorEastAsia" w:hAnsiTheme="minorEastAsia"/>
                <w:sz w:val="22"/>
              </w:rPr>
            </w:pPr>
            <w:r>
              <w:rPr>
                <w:rFonts w:cs="Arial" w:asciiTheme="minorEastAsia" w:hAnsiTheme="minorEastAsia"/>
                <w:sz w:val="22"/>
              </w:rPr>
              <w:t>被保险人在实际收到并确认正式保险单和符合要求的保险费发票后的30个工作日内支付全部保险费，在保险人收到保险费之前，仍将按照保单规定承担全部保险责任，不因被保险人非故意的延迟支付保险费影响保险责任。</w:t>
            </w:r>
          </w:p>
          <w:p>
            <w:pPr>
              <w:rPr>
                <w:rFonts w:cs="Arial" w:asciiTheme="minorEastAsia" w:hAnsiTheme="minorEastAsia"/>
                <w:sz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特别约定</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numPr>
                <w:ilvl w:val="0"/>
                <w:numId w:val="15"/>
              </w:numPr>
              <w:rPr>
                <w:rFonts w:cs="Arial" w:asciiTheme="minorEastAsia" w:hAnsiTheme="minorEastAsia"/>
                <w:sz w:val="22"/>
              </w:rPr>
            </w:pPr>
            <w:r>
              <w:rPr>
                <w:rFonts w:cs="Arial" w:asciiTheme="minorEastAsia" w:hAnsiTheme="minorEastAsia"/>
                <w:sz w:val="22"/>
              </w:rPr>
              <w:t>保险单中的特别条款、特别约定以及备注等保险单明细表中的保险条件，适用于保险单的各个部分，若其与保险单的主险条款等其他规定相冲突，则以保险单明细表中的保险条件为准。</w:t>
            </w:r>
          </w:p>
          <w:p>
            <w:pPr>
              <w:numPr>
                <w:ilvl w:val="0"/>
                <w:numId w:val="15"/>
              </w:numPr>
              <w:rPr>
                <w:rFonts w:cs="Arial" w:asciiTheme="minorEastAsia" w:hAnsiTheme="minorEastAsia"/>
                <w:sz w:val="22"/>
              </w:rPr>
            </w:pPr>
            <w:r>
              <w:rPr>
                <w:rFonts w:cs="Arial" w:asciiTheme="minorEastAsia" w:hAnsiTheme="minorEastAsia"/>
                <w:sz w:val="22"/>
              </w:rPr>
              <w:t>保险公司必须提前90天通知被保险人方可解除合同</w:t>
            </w:r>
            <w:r>
              <w:rPr>
                <w:rFonts w:hint="eastAsia" w:cs="Arial" w:asciiTheme="minorEastAsia" w:hAnsiTheme="minorEastAsia"/>
                <w:sz w:val="22"/>
              </w:rPr>
              <w:t>，对未到期的保险费保险人应按日比例退回给被保险人</w:t>
            </w:r>
            <w:r>
              <w:rPr>
                <w:rFonts w:cs="Arial" w:asciiTheme="minorEastAsia" w:hAnsiTheme="minorEastAsia"/>
                <w:sz w:val="22"/>
              </w:rPr>
              <w:t>；被保险人可以随时提出书面申请解除保险合同</w:t>
            </w:r>
            <w:r>
              <w:rPr>
                <w:rFonts w:hint="eastAsia" w:cs="Arial" w:asciiTheme="minorEastAsia" w:hAnsiTheme="minorEastAsia"/>
                <w:sz w:val="22"/>
              </w:rPr>
              <w:t>，</w:t>
            </w:r>
            <w:r>
              <w:rPr>
                <w:rFonts w:cs="Arial" w:asciiTheme="minorEastAsia" w:hAnsiTheme="minorEastAsia"/>
                <w:sz w:val="22"/>
              </w:rPr>
              <w:t>对本保险单已生效期间的保险费按日比例计收。</w:t>
            </w:r>
          </w:p>
          <w:p>
            <w:pPr>
              <w:pStyle w:val="47"/>
              <w:numPr>
                <w:ilvl w:val="0"/>
                <w:numId w:val="15"/>
              </w:numPr>
              <w:rPr>
                <w:rFonts w:cs="Arial" w:asciiTheme="minorEastAsia" w:hAnsiTheme="minorEastAsia" w:eastAsiaTheme="minorEastAsia"/>
                <w:sz w:val="22"/>
                <w:szCs w:val="22"/>
              </w:rPr>
            </w:pPr>
            <w:r>
              <w:rPr>
                <w:rFonts w:hint="eastAsia" w:cs="Arial" w:asciiTheme="minorEastAsia" w:hAnsiTheme="minorEastAsia" w:eastAsiaTheme="minorEastAsia"/>
                <w:sz w:val="22"/>
                <w:szCs w:val="22"/>
              </w:rPr>
              <w:t>短期保费的计算标准：兹经双方同意，保险期限不足一年的短期保险保费按保险期天数除以366天乘以 “年保费”计算。</w:t>
            </w:r>
          </w:p>
          <w:p>
            <w:pPr>
              <w:numPr>
                <w:ilvl w:val="0"/>
                <w:numId w:val="15"/>
              </w:numPr>
              <w:rPr>
                <w:rFonts w:cs="Arial" w:asciiTheme="minorEastAsia" w:hAnsiTheme="minorEastAsia"/>
                <w:sz w:val="22"/>
              </w:rPr>
            </w:pPr>
            <w:r>
              <w:rPr>
                <w:rFonts w:cs="Arial" w:asciiTheme="minorEastAsia" w:hAnsiTheme="minorEastAsia"/>
                <w:sz w:val="22"/>
              </w:rPr>
              <w:t>移动机具（包括但不限于厂用叉车、铲车、翻斗车、吊车等厂用运输工具）在厂区内及在厂区与厂区外仓库之间行驶，包含在本保单保障范围内；</w:t>
            </w:r>
          </w:p>
          <w:p>
            <w:pPr>
              <w:numPr>
                <w:ilvl w:val="0"/>
                <w:numId w:val="15"/>
              </w:numPr>
              <w:rPr>
                <w:rFonts w:cs="Arial" w:asciiTheme="minorEastAsia" w:hAnsiTheme="minorEastAsia"/>
                <w:sz w:val="22"/>
              </w:rPr>
            </w:pPr>
            <w:r>
              <w:rPr>
                <w:rFonts w:cs="Arial" w:asciiTheme="minorEastAsia" w:hAnsiTheme="minorEastAsia"/>
                <w:sz w:val="22"/>
              </w:rPr>
              <w:t>对于第三者的医药费用不局限于《国家基本医疗保险药品目录》规定的医药范围及住院服务标准。同时，对于支付给第三者的赔偿金不以诉讼或仲裁为必要条件，但须经保险公司书面同意。</w:t>
            </w:r>
          </w:p>
          <w:p>
            <w:pPr>
              <w:numPr>
                <w:ilvl w:val="0"/>
                <w:numId w:val="15"/>
              </w:numPr>
              <w:rPr>
                <w:rFonts w:cs="Arial" w:asciiTheme="minorEastAsia" w:hAnsiTheme="minorEastAsia"/>
                <w:sz w:val="22"/>
              </w:rPr>
            </w:pPr>
            <w:r>
              <w:rPr>
                <w:rFonts w:cs="Arial" w:asciiTheme="minorEastAsia" w:hAnsiTheme="minorEastAsia"/>
                <w:sz w:val="22"/>
              </w:rPr>
              <w:t>本保单中“为被保险人服务的任何人”仅限于被保险人或其雇员或其代表。</w:t>
            </w:r>
          </w:p>
          <w:p>
            <w:pPr>
              <w:numPr>
                <w:ilvl w:val="0"/>
                <w:numId w:val="15"/>
              </w:numPr>
              <w:rPr>
                <w:rFonts w:cs="Arial" w:asciiTheme="minorEastAsia" w:hAnsiTheme="minorEastAsia"/>
                <w:sz w:val="22"/>
              </w:rPr>
            </w:pPr>
            <w:r>
              <w:rPr>
                <w:rFonts w:cs="Arial" w:asciiTheme="minorEastAsia" w:hAnsiTheme="minorEastAsia"/>
                <w:sz w:val="22"/>
              </w:rPr>
              <w:t>兹经双方同意，本保单为营运公众责任险保单，保险人按照以上“保险地域范围”承担任何中国境内被保险人拥有、占有、管理的或使用的场所/地点，无论这些场所/地点在本保单生效前或者之后启用。</w:t>
            </w:r>
          </w:p>
          <w:p>
            <w:pPr>
              <w:numPr>
                <w:ilvl w:val="0"/>
                <w:numId w:val="15"/>
              </w:numPr>
              <w:rPr>
                <w:rFonts w:cs="Arial" w:asciiTheme="minorEastAsia" w:hAnsiTheme="minorEastAsia"/>
                <w:sz w:val="22"/>
              </w:rPr>
            </w:pPr>
            <w:r>
              <w:rPr>
                <w:rFonts w:cs="Arial" w:asciiTheme="minorEastAsia" w:hAnsiTheme="minorEastAsia"/>
                <w:sz w:val="22"/>
              </w:rPr>
              <w:t xml:space="preserve">保单保险责任成立不以“受害方在保险期限内首次提出赔偿请求”作为强制条件。保单责任免除部分“被保险人或其雇员或其代表的故意或重大过失行为、犯罪行为或重大过失”修改为“被保险人或其代表的故意或重大过失行为、犯罪行为或重大过失” </w:t>
            </w:r>
          </w:p>
          <w:p>
            <w:pPr>
              <w:rPr>
                <w:rFonts w:cs="Arial" w:asciiTheme="minorEastAsia" w:hAnsiTheme="minorEastAsia"/>
                <w:b/>
                <w:sz w:val="22"/>
              </w:rPr>
            </w:pP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地域范围</w:t>
            </w:r>
          </w:p>
          <w:p>
            <w:pPr>
              <w:rPr>
                <w:rFonts w:cs="Arial" w:asciiTheme="minorEastAsia" w:hAnsiTheme="minorEastAsia"/>
                <w:b/>
                <w:sz w:val="22"/>
              </w:rPr>
            </w:pPr>
          </w:p>
          <w:p>
            <w:pPr>
              <w:rPr>
                <w:rFonts w:cs="Arial" w:asciiTheme="minorEastAsia" w:hAnsiTheme="minorEastAsia"/>
                <w:b/>
                <w:sz w:val="22"/>
              </w:rPr>
            </w:pPr>
          </w:p>
        </w:tc>
        <w:tc>
          <w:tcPr>
            <w:tcW w:w="354" w:type="dxa"/>
          </w:tcPr>
          <w:p>
            <w:pPr>
              <w:rPr>
                <w:rFonts w:cs="Arial" w:asciiTheme="minorEastAsia" w:hAnsiTheme="minorEastAsia"/>
                <w:b/>
                <w:sz w:val="22"/>
              </w:rPr>
            </w:pPr>
            <w:r>
              <w:rPr>
                <w:rFonts w:cs="Arial" w:asciiTheme="minorEastAsia" w:hAnsiTheme="minorEastAsia"/>
                <w:b/>
                <w:sz w:val="22"/>
              </w:rPr>
              <w:t>:</w:t>
            </w:r>
          </w:p>
          <w:p>
            <w:pPr>
              <w:rPr>
                <w:rFonts w:cs="Arial" w:asciiTheme="minorEastAsia" w:hAnsiTheme="minorEastAsia"/>
                <w:b/>
                <w:sz w:val="22"/>
              </w:rPr>
            </w:pPr>
          </w:p>
          <w:p>
            <w:pPr>
              <w:rPr>
                <w:rFonts w:cs="Arial" w:asciiTheme="minorEastAsia" w:hAnsiTheme="minorEastAsia"/>
                <w:b/>
                <w:sz w:val="22"/>
              </w:rPr>
            </w:pPr>
          </w:p>
        </w:tc>
        <w:tc>
          <w:tcPr>
            <w:tcW w:w="7519" w:type="dxa"/>
          </w:tcPr>
          <w:p>
            <w:pPr>
              <w:rPr>
                <w:rFonts w:cs="Arial" w:asciiTheme="minorEastAsia" w:hAnsiTheme="minorEastAsia"/>
                <w:sz w:val="22"/>
              </w:rPr>
            </w:pPr>
            <w:r>
              <w:rPr>
                <w:rFonts w:cs="Arial" w:asciiTheme="minorEastAsia" w:hAnsiTheme="minorEastAsia"/>
                <w:sz w:val="22"/>
              </w:rPr>
              <w:t>中华人民共和国境内（不包括港、澳、台地区，但对于境外商务旅行，地域范围扩展至全球范围）</w:t>
            </w:r>
          </w:p>
        </w:tc>
      </w:tr>
      <w:tr>
        <w:tblPrEx>
          <w:tblCellMar>
            <w:top w:w="0" w:type="dxa"/>
            <w:left w:w="108" w:type="dxa"/>
            <w:bottom w:w="0" w:type="dxa"/>
            <w:right w:w="108" w:type="dxa"/>
          </w:tblCellMar>
        </w:tblPrEx>
        <w:tc>
          <w:tcPr>
            <w:tcW w:w="1242" w:type="dxa"/>
          </w:tcPr>
          <w:p>
            <w:pPr>
              <w:rPr>
                <w:rFonts w:cs="Arial" w:asciiTheme="minorEastAsia" w:hAnsiTheme="minorEastAsia"/>
                <w:b/>
                <w:sz w:val="22"/>
              </w:rPr>
            </w:pPr>
            <w:r>
              <w:rPr>
                <w:rFonts w:cs="Arial" w:asciiTheme="minorEastAsia" w:hAnsiTheme="minorEastAsia"/>
                <w:b/>
                <w:sz w:val="22"/>
              </w:rPr>
              <w:t>特别条款</w:t>
            </w:r>
          </w:p>
        </w:tc>
        <w:tc>
          <w:tcPr>
            <w:tcW w:w="354" w:type="dxa"/>
          </w:tcPr>
          <w:p>
            <w:pPr>
              <w:rPr>
                <w:rFonts w:cs="Arial" w:asciiTheme="minorEastAsia" w:hAnsiTheme="minorEastAsia"/>
                <w:b/>
                <w:sz w:val="22"/>
              </w:rPr>
            </w:pPr>
            <w:r>
              <w:rPr>
                <w:rFonts w:cs="Arial" w:asciiTheme="minorEastAsia" w:hAnsiTheme="minorEastAsia"/>
                <w:b/>
                <w:sz w:val="22"/>
              </w:rPr>
              <w:t>:</w:t>
            </w:r>
          </w:p>
        </w:tc>
        <w:tc>
          <w:tcPr>
            <w:tcW w:w="7519" w:type="dxa"/>
          </w:tcPr>
          <w:p>
            <w:pPr>
              <w:numPr>
                <w:ilvl w:val="0"/>
                <w:numId w:val="16"/>
              </w:numPr>
              <w:rPr>
                <w:rFonts w:cs="Arial" w:asciiTheme="minorEastAsia" w:hAnsiTheme="minorEastAsia"/>
                <w:sz w:val="22"/>
              </w:rPr>
            </w:pPr>
            <w:r>
              <w:rPr>
                <w:rFonts w:cs="Arial" w:asciiTheme="minorEastAsia" w:hAnsiTheme="minorEastAsia"/>
                <w:sz w:val="22"/>
              </w:rPr>
              <w:t>食品、饮料责任条款</w:t>
            </w:r>
          </w:p>
          <w:p>
            <w:pPr>
              <w:numPr>
                <w:ilvl w:val="0"/>
                <w:numId w:val="16"/>
              </w:numPr>
              <w:rPr>
                <w:rFonts w:cs="Arial" w:asciiTheme="minorEastAsia" w:hAnsiTheme="minorEastAsia"/>
                <w:sz w:val="22"/>
              </w:rPr>
            </w:pPr>
            <w:r>
              <w:rPr>
                <w:rFonts w:cs="Arial" w:asciiTheme="minorEastAsia" w:hAnsiTheme="minorEastAsia"/>
                <w:sz w:val="22"/>
              </w:rPr>
              <w:t>提供物品及服务条款</w:t>
            </w:r>
          </w:p>
          <w:p>
            <w:pPr>
              <w:numPr>
                <w:ilvl w:val="0"/>
                <w:numId w:val="16"/>
              </w:numPr>
              <w:rPr>
                <w:rFonts w:cs="Arial" w:asciiTheme="minorEastAsia" w:hAnsiTheme="minorEastAsia"/>
                <w:sz w:val="22"/>
              </w:rPr>
            </w:pPr>
            <w:r>
              <w:rPr>
                <w:rFonts w:cs="Arial" w:asciiTheme="minorEastAsia" w:hAnsiTheme="minorEastAsia"/>
                <w:sz w:val="22"/>
              </w:rPr>
              <w:t>锅炉爆炸责任条款</w:t>
            </w:r>
          </w:p>
          <w:p>
            <w:pPr>
              <w:numPr>
                <w:ilvl w:val="0"/>
                <w:numId w:val="16"/>
              </w:numPr>
              <w:rPr>
                <w:rFonts w:cs="Arial" w:asciiTheme="minorEastAsia" w:hAnsiTheme="minorEastAsia"/>
                <w:sz w:val="22"/>
              </w:rPr>
            </w:pPr>
            <w:r>
              <w:rPr>
                <w:rFonts w:cs="Arial" w:asciiTheme="minorEastAsia" w:hAnsiTheme="minorEastAsia"/>
                <w:sz w:val="22"/>
              </w:rPr>
              <w:t>广告及装饰装置责任条款</w:t>
            </w:r>
          </w:p>
          <w:p>
            <w:pPr>
              <w:numPr>
                <w:ilvl w:val="0"/>
                <w:numId w:val="16"/>
              </w:numPr>
              <w:rPr>
                <w:rFonts w:cs="Arial" w:asciiTheme="minorEastAsia" w:hAnsiTheme="minorEastAsia"/>
                <w:sz w:val="22"/>
              </w:rPr>
            </w:pPr>
            <w:r>
              <w:rPr>
                <w:rFonts w:cs="Arial" w:asciiTheme="minorEastAsia" w:hAnsiTheme="minorEastAsia"/>
                <w:sz w:val="22"/>
              </w:rPr>
              <w:t>车辆装卸责任条款</w:t>
            </w:r>
          </w:p>
          <w:p>
            <w:pPr>
              <w:numPr>
                <w:ilvl w:val="0"/>
                <w:numId w:val="16"/>
              </w:numPr>
              <w:rPr>
                <w:rFonts w:cs="Arial" w:asciiTheme="minorEastAsia" w:hAnsiTheme="minorEastAsia"/>
                <w:sz w:val="22"/>
              </w:rPr>
            </w:pPr>
            <w:r>
              <w:rPr>
                <w:rFonts w:cs="Arial" w:asciiTheme="minorEastAsia" w:hAnsiTheme="minorEastAsia"/>
                <w:sz w:val="22"/>
              </w:rPr>
              <w:t>建筑物改变条款</w:t>
            </w:r>
          </w:p>
          <w:p>
            <w:pPr>
              <w:numPr>
                <w:ilvl w:val="0"/>
                <w:numId w:val="16"/>
              </w:numPr>
              <w:rPr>
                <w:rFonts w:cs="Arial" w:asciiTheme="minorEastAsia" w:hAnsiTheme="minorEastAsia"/>
                <w:sz w:val="22"/>
              </w:rPr>
            </w:pPr>
            <w:r>
              <w:rPr>
                <w:rFonts w:cs="Arial" w:asciiTheme="minorEastAsia" w:hAnsiTheme="minorEastAsia"/>
                <w:sz w:val="22"/>
              </w:rPr>
              <w:t>火灾、爆炸、烟熏及水损条款</w:t>
            </w:r>
          </w:p>
          <w:p>
            <w:pPr>
              <w:numPr>
                <w:ilvl w:val="0"/>
                <w:numId w:val="16"/>
              </w:numPr>
              <w:rPr>
                <w:rFonts w:cs="Arial" w:asciiTheme="minorEastAsia" w:hAnsiTheme="minorEastAsia"/>
                <w:sz w:val="22"/>
              </w:rPr>
            </w:pPr>
            <w:r>
              <w:rPr>
                <w:rFonts w:cs="Arial" w:asciiTheme="minorEastAsia" w:hAnsiTheme="minorEastAsia"/>
                <w:sz w:val="22"/>
              </w:rPr>
              <w:t>意外及突然渗漏、污染条款（每次事故赔偿限额：RMB500,000.00）</w:t>
            </w:r>
          </w:p>
          <w:p>
            <w:pPr>
              <w:numPr>
                <w:ilvl w:val="0"/>
                <w:numId w:val="16"/>
              </w:numPr>
              <w:rPr>
                <w:rFonts w:cs="Arial" w:asciiTheme="minorEastAsia" w:hAnsiTheme="minorEastAsia"/>
                <w:sz w:val="22"/>
              </w:rPr>
            </w:pPr>
            <w:r>
              <w:rPr>
                <w:rFonts w:hint="eastAsia" w:cs="Arial" w:asciiTheme="minorEastAsia" w:hAnsiTheme="minorEastAsia"/>
                <w:sz w:val="22"/>
              </w:rPr>
              <w:t>租用汽车责任条款</w:t>
            </w:r>
          </w:p>
          <w:p>
            <w:pPr>
              <w:numPr>
                <w:ilvl w:val="0"/>
                <w:numId w:val="16"/>
              </w:numPr>
              <w:rPr>
                <w:rFonts w:cs="Arial" w:asciiTheme="minorEastAsia" w:hAnsiTheme="minorEastAsia"/>
                <w:sz w:val="22"/>
              </w:rPr>
            </w:pPr>
            <w:r>
              <w:rPr>
                <w:rFonts w:cs="Arial" w:asciiTheme="minorEastAsia" w:hAnsiTheme="minorEastAsia"/>
                <w:sz w:val="22"/>
              </w:rPr>
              <w:t>恐怖活动条款（赔偿限额: RMB100,000.00）</w:t>
            </w:r>
          </w:p>
          <w:p>
            <w:pPr>
              <w:numPr>
                <w:ilvl w:val="0"/>
                <w:numId w:val="16"/>
              </w:numPr>
              <w:rPr>
                <w:rFonts w:cs="Arial" w:asciiTheme="minorEastAsia" w:hAnsiTheme="minorEastAsia"/>
                <w:sz w:val="22"/>
              </w:rPr>
            </w:pPr>
            <w:r>
              <w:rPr>
                <w:rFonts w:cs="Arial" w:asciiTheme="minorEastAsia" w:hAnsiTheme="minorEastAsia"/>
                <w:sz w:val="22"/>
              </w:rPr>
              <w:t>急救费用条款</w:t>
            </w:r>
          </w:p>
          <w:p>
            <w:pPr>
              <w:numPr>
                <w:ilvl w:val="0"/>
                <w:numId w:val="16"/>
              </w:numPr>
              <w:rPr>
                <w:rFonts w:cs="Arial" w:asciiTheme="minorEastAsia" w:hAnsiTheme="minorEastAsia"/>
                <w:sz w:val="22"/>
              </w:rPr>
            </w:pPr>
            <w:r>
              <w:rPr>
                <w:rFonts w:cs="Arial" w:asciiTheme="minorEastAsia" w:hAnsiTheme="minorEastAsia"/>
                <w:sz w:val="22"/>
              </w:rPr>
              <w:t>交叉责任条款</w:t>
            </w:r>
          </w:p>
          <w:p>
            <w:pPr>
              <w:numPr>
                <w:ilvl w:val="0"/>
                <w:numId w:val="16"/>
              </w:numPr>
              <w:rPr>
                <w:rFonts w:cs="Arial" w:asciiTheme="minorEastAsia" w:hAnsiTheme="minorEastAsia"/>
                <w:sz w:val="22"/>
              </w:rPr>
            </w:pPr>
            <w:r>
              <w:rPr>
                <w:rFonts w:cs="Arial" w:asciiTheme="minorEastAsia" w:hAnsiTheme="minorEastAsia"/>
                <w:sz w:val="22"/>
              </w:rPr>
              <w:t>出租人责任条款</w:t>
            </w:r>
          </w:p>
          <w:p>
            <w:pPr>
              <w:numPr>
                <w:ilvl w:val="0"/>
                <w:numId w:val="16"/>
              </w:numPr>
              <w:rPr>
                <w:rFonts w:cs="Arial" w:asciiTheme="minorEastAsia" w:hAnsiTheme="minorEastAsia"/>
                <w:sz w:val="22"/>
              </w:rPr>
            </w:pPr>
            <w:r>
              <w:rPr>
                <w:rFonts w:cs="Arial" w:asciiTheme="minorEastAsia" w:hAnsiTheme="minorEastAsia"/>
                <w:sz w:val="22"/>
              </w:rPr>
              <w:t>承租人责任条款</w:t>
            </w:r>
          </w:p>
          <w:p>
            <w:pPr>
              <w:numPr>
                <w:ilvl w:val="0"/>
                <w:numId w:val="16"/>
              </w:numPr>
              <w:rPr>
                <w:rFonts w:cs="Arial" w:asciiTheme="minorEastAsia" w:hAnsiTheme="minorEastAsia"/>
                <w:sz w:val="22"/>
              </w:rPr>
            </w:pPr>
            <w:r>
              <w:rPr>
                <w:rFonts w:cs="Arial" w:asciiTheme="minorEastAsia" w:hAnsiTheme="minorEastAsia"/>
                <w:sz w:val="22"/>
              </w:rPr>
              <w:t>董事、管理人员及雇员个人责任条款</w:t>
            </w:r>
          </w:p>
          <w:p>
            <w:pPr>
              <w:numPr>
                <w:ilvl w:val="0"/>
                <w:numId w:val="16"/>
              </w:numPr>
              <w:rPr>
                <w:rFonts w:cs="Arial" w:asciiTheme="minorEastAsia" w:hAnsiTheme="minorEastAsia"/>
                <w:sz w:val="22"/>
              </w:rPr>
            </w:pPr>
            <w:r>
              <w:rPr>
                <w:rFonts w:cs="Arial" w:asciiTheme="minorEastAsia" w:hAnsiTheme="minorEastAsia"/>
                <w:sz w:val="22"/>
              </w:rPr>
              <w:t>电梯和升降机责任条款</w:t>
            </w:r>
          </w:p>
          <w:p>
            <w:pPr>
              <w:numPr>
                <w:ilvl w:val="0"/>
                <w:numId w:val="16"/>
              </w:numPr>
              <w:rPr>
                <w:rFonts w:cs="Arial" w:asciiTheme="minorEastAsia" w:hAnsiTheme="minorEastAsia"/>
                <w:sz w:val="22"/>
              </w:rPr>
            </w:pPr>
            <w:r>
              <w:rPr>
                <w:rFonts w:cs="Arial" w:asciiTheme="minorEastAsia" w:hAnsiTheme="minorEastAsia"/>
                <w:sz w:val="22"/>
              </w:rPr>
              <w:t>罢工、暴乱、民众骚动及恶意破坏条款</w:t>
            </w:r>
          </w:p>
          <w:p>
            <w:pPr>
              <w:numPr>
                <w:ilvl w:val="0"/>
                <w:numId w:val="16"/>
              </w:numPr>
              <w:rPr>
                <w:rFonts w:cs="Arial" w:asciiTheme="minorEastAsia" w:hAnsiTheme="minorEastAsia"/>
                <w:sz w:val="22"/>
              </w:rPr>
            </w:pPr>
            <w:r>
              <w:rPr>
                <w:rFonts w:cs="Arial" w:asciiTheme="minorEastAsia" w:hAnsiTheme="minorEastAsia"/>
                <w:sz w:val="22"/>
              </w:rPr>
              <w:t>社交及娱乐场所责任条款</w:t>
            </w:r>
          </w:p>
          <w:p>
            <w:pPr>
              <w:numPr>
                <w:ilvl w:val="0"/>
                <w:numId w:val="16"/>
              </w:numPr>
              <w:rPr>
                <w:rFonts w:cs="Arial" w:asciiTheme="minorEastAsia" w:hAnsiTheme="minorEastAsia"/>
                <w:sz w:val="22"/>
              </w:rPr>
            </w:pPr>
            <w:r>
              <w:rPr>
                <w:rFonts w:cs="Arial" w:asciiTheme="minorEastAsia" w:hAnsiTheme="minorEastAsia"/>
                <w:sz w:val="22"/>
              </w:rPr>
              <w:t>卫生设施缺陷责任</w:t>
            </w:r>
          </w:p>
          <w:p>
            <w:pPr>
              <w:numPr>
                <w:ilvl w:val="0"/>
                <w:numId w:val="16"/>
              </w:numPr>
              <w:rPr>
                <w:rFonts w:cs="Arial" w:asciiTheme="minorEastAsia" w:hAnsiTheme="minorEastAsia"/>
                <w:sz w:val="22"/>
              </w:rPr>
            </w:pPr>
            <w:r>
              <w:rPr>
                <w:rFonts w:hint="eastAsia" w:cs="Arial" w:asciiTheme="minorEastAsia" w:hAnsiTheme="minorEastAsia"/>
                <w:sz w:val="22"/>
              </w:rPr>
              <w:t>自有车辆责任条款</w:t>
            </w:r>
            <w:r>
              <w:rPr>
                <w:rFonts w:cs="Arial" w:asciiTheme="minorEastAsia" w:hAnsiTheme="minorEastAsia"/>
                <w:sz w:val="22"/>
              </w:rPr>
              <w:t>（每次事故起赔点RMB20,000.00，每次事故赔偿限额: RMB100,000.00）</w:t>
            </w:r>
          </w:p>
          <w:p>
            <w:pPr>
              <w:numPr>
                <w:ilvl w:val="0"/>
                <w:numId w:val="16"/>
              </w:numPr>
              <w:rPr>
                <w:rFonts w:cs="Arial" w:asciiTheme="minorEastAsia" w:hAnsiTheme="minorEastAsia"/>
                <w:sz w:val="22"/>
              </w:rPr>
            </w:pPr>
            <w:r>
              <w:rPr>
                <w:rFonts w:cs="Arial" w:asciiTheme="minorEastAsia" w:hAnsiTheme="minorEastAsia"/>
                <w:sz w:val="22"/>
              </w:rPr>
              <w:t>预付赔款条款</w:t>
            </w:r>
          </w:p>
          <w:p>
            <w:pPr>
              <w:numPr>
                <w:ilvl w:val="0"/>
                <w:numId w:val="16"/>
              </w:numPr>
              <w:rPr>
                <w:rFonts w:cs="Arial" w:asciiTheme="minorEastAsia" w:hAnsiTheme="minorEastAsia"/>
                <w:sz w:val="22"/>
              </w:rPr>
            </w:pPr>
            <w:r>
              <w:rPr>
                <w:rFonts w:cs="Arial" w:asciiTheme="minorEastAsia" w:hAnsiTheme="minorEastAsia"/>
                <w:sz w:val="22"/>
              </w:rPr>
              <w:t>对业主赔偿条款</w:t>
            </w:r>
          </w:p>
          <w:p>
            <w:pPr>
              <w:numPr>
                <w:ilvl w:val="0"/>
                <w:numId w:val="16"/>
              </w:numPr>
              <w:rPr>
                <w:rFonts w:cs="Arial" w:asciiTheme="minorEastAsia" w:hAnsiTheme="minorEastAsia"/>
                <w:sz w:val="22"/>
              </w:rPr>
            </w:pPr>
            <w:r>
              <w:rPr>
                <w:rFonts w:cs="Arial" w:asciiTheme="minorEastAsia" w:hAnsiTheme="minorEastAsia"/>
                <w:sz w:val="22"/>
              </w:rPr>
              <w:t>附加被保险人条款</w:t>
            </w:r>
          </w:p>
          <w:p>
            <w:pPr>
              <w:numPr>
                <w:ilvl w:val="0"/>
                <w:numId w:val="16"/>
              </w:numPr>
              <w:rPr>
                <w:rFonts w:cs="Arial" w:asciiTheme="minorEastAsia" w:hAnsiTheme="minorEastAsia"/>
                <w:sz w:val="22"/>
              </w:rPr>
            </w:pPr>
            <w:r>
              <w:rPr>
                <w:rFonts w:cs="Arial" w:asciiTheme="minorEastAsia" w:hAnsiTheme="minorEastAsia"/>
                <w:sz w:val="22"/>
              </w:rPr>
              <w:t>指定公估人条款（根宁翰保险公估（中国）有限公司 /平量行保险公估（上海）有限公司，及保险合同双方认可的其他有合法执业资格的机构）</w:t>
            </w:r>
          </w:p>
          <w:p>
            <w:pPr>
              <w:numPr>
                <w:ilvl w:val="0"/>
                <w:numId w:val="16"/>
              </w:numPr>
              <w:rPr>
                <w:rFonts w:cs="Arial" w:asciiTheme="minorEastAsia" w:hAnsiTheme="minorEastAsia"/>
                <w:sz w:val="22"/>
              </w:rPr>
            </w:pPr>
            <w:r>
              <w:rPr>
                <w:rFonts w:cs="Arial" w:asciiTheme="minorEastAsia" w:hAnsiTheme="minorEastAsia"/>
                <w:sz w:val="22"/>
              </w:rPr>
              <w:t>被保险人保管、控制的财产条款</w:t>
            </w:r>
          </w:p>
          <w:p>
            <w:pPr>
              <w:numPr>
                <w:ilvl w:val="0"/>
                <w:numId w:val="16"/>
              </w:numPr>
              <w:rPr>
                <w:rFonts w:cs="Arial" w:asciiTheme="minorEastAsia" w:hAnsiTheme="minorEastAsia"/>
                <w:sz w:val="22"/>
              </w:rPr>
            </w:pPr>
            <w:r>
              <w:rPr>
                <w:rFonts w:cs="Arial" w:asciiTheme="minorEastAsia" w:hAnsiTheme="minorEastAsia"/>
                <w:sz w:val="22"/>
              </w:rPr>
              <w:t>损失通知条款</w:t>
            </w:r>
          </w:p>
          <w:p>
            <w:pPr>
              <w:numPr>
                <w:ilvl w:val="0"/>
                <w:numId w:val="16"/>
              </w:numPr>
              <w:rPr>
                <w:rFonts w:cs="Arial" w:asciiTheme="minorEastAsia" w:hAnsiTheme="minorEastAsia"/>
                <w:sz w:val="22"/>
              </w:rPr>
            </w:pPr>
            <w:r>
              <w:rPr>
                <w:rFonts w:cs="Arial" w:asciiTheme="minorEastAsia" w:hAnsiTheme="minorEastAsia"/>
                <w:sz w:val="22"/>
              </w:rPr>
              <w:t>独立承包商条款（每一合同赔偿限额: RMB</w:t>
            </w:r>
            <w:r>
              <w:rPr>
                <w:rFonts w:hint="eastAsia" w:cs="Arial" w:asciiTheme="minorEastAsia" w:hAnsiTheme="minorEastAsia"/>
                <w:sz w:val="22"/>
              </w:rPr>
              <w:t>10,</w:t>
            </w:r>
            <w:r>
              <w:rPr>
                <w:rFonts w:cs="Arial" w:asciiTheme="minorEastAsia" w:hAnsiTheme="minorEastAsia"/>
                <w:sz w:val="22"/>
              </w:rPr>
              <w:t>000,000.00）</w:t>
            </w:r>
          </w:p>
          <w:p>
            <w:pPr>
              <w:numPr>
                <w:ilvl w:val="0"/>
                <w:numId w:val="16"/>
              </w:numPr>
              <w:rPr>
                <w:rFonts w:cs="Arial" w:asciiTheme="minorEastAsia" w:hAnsiTheme="minorEastAsia"/>
                <w:sz w:val="22"/>
              </w:rPr>
            </w:pPr>
            <w:r>
              <w:rPr>
                <w:rFonts w:cs="Arial" w:asciiTheme="minorEastAsia" w:hAnsiTheme="minorEastAsia"/>
                <w:sz w:val="22"/>
              </w:rPr>
              <w:t>营业场所外工作条款</w:t>
            </w:r>
          </w:p>
          <w:p>
            <w:pPr>
              <w:numPr>
                <w:ilvl w:val="0"/>
                <w:numId w:val="16"/>
              </w:numPr>
              <w:rPr>
                <w:rFonts w:cs="Arial" w:asciiTheme="minorEastAsia" w:hAnsiTheme="minorEastAsia"/>
                <w:sz w:val="22"/>
              </w:rPr>
            </w:pPr>
            <w:r>
              <w:rPr>
                <w:rFonts w:cs="Arial" w:asciiTheme="minorEastAsia" w:hAnsiTheme="minorEastAsia"/>
                <w:sz w:val="22"/>
              </w:rPr>
              <w:t>错误和疏漏条款</w:t>
            </w:r>
          </w:p>
          <w:p>
            <w:pPr>
              <w:numPr>
                <w:ilvl w:val="0"/>
                <w:numId w:val="16"/>
              </w:numPr>
              <w:rPr>
                <w:rFonts w:cs="Arial" w:asciiTheme="minorEastAsia" w:hAnsiTheme="minorEastAsia"/>
                <w:sz w:val="22"/>
              </w:rPr>
            </w:pPr>
            <w:r>
              <w:rPr>
                <w:rFonts w:cs="Arial" w:asciiTheme="minorEastAsia" w:hAnsiTheme="minorEastAsia"/>
                <w:sz w:val="22"/>
              </w:rPr>
              <w:t>起重机械及不需注册的车辆责任条款</w:t>
            </w:r>
          </w:p>
          <w:p>
            <w:pPr>
              <w:numPr>
                <w:ilvl w:val="0"/>
                <w:numId w:val="16"/>
              </w:numPr>
              <w:rPr>
                <w:rFonts w:cs="Arial" w:asciiTheme="minorEastAsia" w:hAnsiTheme="minorEastAsia"/>
                <w:sz w:val="22"/>
              </w:rPr>
            </w:pPr>
            <w:r>
              <w:rPr>
                <w:rFonts w:cs="Arial" w:asciiTheme="minorEastAsia" w:hAnsiTheme="minorEastAsia"/>
                <w:sz w:val="22"/>
              </w:rPr>
              <w:t>震动、移动或减弱支撑扩展条款</w:t>
            </w:r>
          </w:p>
          <w:p>
            <w:pPr>
              <w:numPr>
                <w:ilvl w:val="0"/>
                <w:numId w:val="16"/>
              </w:numPr>
              <w:rPr>
                <w:rFonts w:cs="Arial" w:asciiTheme="minorEastAsia" w:hAnsiTheme="minorEastAsia"/>
                <w:sz w:val="22"/>
              </w:rPr>
            </w:pPr>
            <w:r>
              <w:rPr>
                <w:rFonts w:cs="Arial" w:asciiTheme="minorEastAsia" w:hAnsiTheme="minorEastAsia"/>
                <w:sz w:val="22"/>
              </w:rPr>
              <w:t>放弃代位追偿权条款</w:t>
            </w:r>
          </w:p>
          <w:p>
            <w:pPr>
              <w:numPr>
                <w:ilvl w:val="0"/>
                <w:numId w:val="16"/>
              </w:numPr>
              <w:rPr>
                <w:rFonts w:cs="Arial" w:asciiTheme="minorEastAsia" w:hAnsiTheme="minorEastAsia"/>
                <w:sz w:val="22"/>
              </w:rPr>
            </w:pPr>
            <w:r>
              <w:rPr>
                <w:rFonts w:cs="Arial" w:asciiTheme="minorEastAsia" w:hAnsiTheme="minorEastAsia"/>
                <w:sz w:val="22"/>
              </w:rPr>
              <w:t>展览会条款</w:t>
            </w:r>
          </w:p>
          <w:p>
            <w:pPr>
              <w:numPr>
                <w:ilvl w:val="0"/>
                <w:numId w:val="16"/>
              </w:numPr>
              <w:rPr>
                <w:rFonts w:cs="Arial" w:asciiTheme="minorEastAsia" w:hAnsiTheme="minorEastAsia"/>
                <w:sz w:val="22"/>
              </w:rPr>
            </w:pPr>
            <w:r>
              <w:rPr>
                <w:rFonts w:cs="Arial" w:asciiTheme="minorEastAsia" w:hAnsiTheme="minorEastAsia"/>
                <w:sz w:val="22"/>
              </w:rPr>
              <w:t>对承包商和分包商的临时责任条款</w:t>
            </w:r>
          </w:p>
          <w:p>
            <w:pPr>
              <w:numPr>
                <w:ilvl w:val="0"/>
                <w:numId w:val="16"/>
              </w:numPr>
              <w:rPr>
                <w:rFonts w:cs="Arial" w:asciiTheme="minorEastAsia" w:hAnsiTheme="minorEastAsia"/>
                <w:sz w:val="22"/>
              </w:rPr>
            </w:pPr>
            <w:r>
              <w:rPr>
                <w:rFonts w:cs="Arial" w:asciiTheme="minorEastAsia" w:hAnsiTheme="minorEastAsia"/>
                <w:sz w:val="22"/>
              </w:rPr>
              <w:t>被保险人址内汽车停放责任条款（每次及累计赔偿限额：RMB200,000.00)</w:t>
            </w:r>
          </w:p>
          <w:p>
            <w:pPr>
              <w:numPr>
                <w:ilvl w:val="0"/>
                <w:numId w:val="16"/>
              </w:numPr>
              <w:rPr>
                <w:rFonts w:cs="Arial" w:asciiTheme="minorEastAsia" w:hAnsiTheme="minorEastAsia"/>
                <w:sz w:val="22"/>
              </w:rPr>
            </w:pPr>
            <w:r>
              <w:rPr>
                <w:rFonts w:cs="Arial" w:asciiTheme="minorEastAsia" w:hAnsiTheme="minorEastAsia"/>
                <w:sz w:val="22"/>
              </w:rPr>
              <w:t>个人伤害责任条款</w:t>
            </w:r>
          </w:p>
          <w:p>
            <w:pPr>
              <w:numPr>
                <w:ilvl w:val="0"/>
                <w:numId w:val="16"/>
              </w:numPr>
              <w:rPr>
                <w:rFonts w:cs="Arial" w:asciiTheme="minorEastAsia" w:hAnsiTheme="minorEastAsia"/>
                <w:sz w:val="22"/>
              </w:rPr>
            </w:pPr>
            <w:r>
              <w:rPr>
                <w:rFonts w:cs="Arial" w:asciiTheme="minorEastAsia" w:hAnsiTheme="minorEastAsia"/>
                <w:sz w:val="22"/>
              </w:rPr>
              <w:t>酒类责任条款</w:t>
            </w:r>
          </w:p>
          <w:p>
            <w:pPr>
              <w:numPr>
                <w:ilvl w:val="0"/>
                <w:numId w:val="16"/>
              </w:numPr>
              <w:adjustRightInd w:val="0"/>
              <w:snapToGrid w:val="0"/>
              <w:contextualSpacing/>
              <w:rPr>
                <w:rFonts w:cs="Arial" w:asciiTheme="minorEastAsia" w:hAnsiTheme="minorEastAsia"/>
                <w:sz w:val="22"/>
              </w:rPr>
            </w:pPr>
            <w:r>
              <w:rPr>
                <w:rFonts w:cs="Arial" w:asciiTheme="minorEastAsia" w:hAnsiTheme="minorEastAsia"/>
                <w:sz w:val="22"/>
              </w:rPr>
              <w:t>自然灾害扩展条款</w:t>
            </w:r>
          </w:p>
          <w:p>
            <w:pPr>
              <w:numPr>
                <w:ilvl w:val="0"/>
                <w:numId w:val="16"/>
              </w:numPr>
              <w:adjustRightInd w:val="0"/>
              <w:snapToGrid w:val="0"/>
              <w:contextualSpacing/>
              <w:rPr>
                <w:rFonts w:cs="Arial" w:asciiTheme="minorEastAsia" w:hAnsiTheme="minorEastAsia"/>
                <w:sz w:val="22"/>
              </w:rPr>
            </w:pPr>
            <w:r>
              <w:rPr>
                <w:rFonts w:cs="Arial" w:asciiTheme="minorEastAsia" w:hAnsiTheme="minorEastAsia"/>
                <w:sz w:val="22"/>
              </w:rPr>
              <w:t>不受控制条款</w:t>
            </w:r>
          </w:p>
          <w:p>
            <w:pPr>
              <w:numPr>
                <w:ilvl w:val="0"/>
                <w:numId w:val="16"/>
              </w:numPr>
              <w:adjustRightInd w:val="0"/>
              <w:snapToGrid w:val="0"/>
              <w:contextualSpacing/>
              <w:rPr>
                <w:rFonts w:cs="Arial" w:asciiTheme="minorEastAsia" w:hAnsiTheme="minorEastAsia"/>
                <w:sz w:val="22"/>
              </w:rPr>
            </w:pPr>
            <w:r>
              <w:rPr>
                <w:rFonts w:cs="Arial" w:asciiTheme="minorEastAsia" w:hAnsiTheme="minorEastAsia"/>
                <w:sz w:val="22"/>
              </w:rPr>
              <w:t>急救责任条款</w:t>
            </w:r>
          </w:p>
        </w:tc>
      </w:tr>
    </w:tbl>
    <w:p>
      <w:pPr>
        <w:jc w:val="center"/>
        <w:rPr>
          <w:rFonts w:ascii="宋体" w:hAnsi="宋体"/>
          <w:b/>
          <w:sz w:val="32"/>
          <w:szCs w:val="32"/>
        </w:rPr>
      </w:pPr>
      <w:r>
        <w:rPr>
          <w:rFonts w:hint="eastAsia" w:ascii="宋体" w:hAnsi="宋体"/>
          <w:b/>
          <w:sz w:val="32"/>
          <w:szCs w:val="32"/>
        </w:rPr>
        <w:t xml:space="preserve">平安公众责任保险条款 </w:t>
      </w:r>
    </w:p>
    <w:p>
      <w:pPr>
        <w:jc w:val="center"/>
        <w:rPr>
          <w:rFonts w:ascii="宋体" w:hAnsi="宋体"/>
          <w:b/>
          <w:sz w:val="32"/>
          <w:szCs w:val="32"/>
        </w:rPr>
      </w:pPr>
    </w:p>
    <w:p>
      <w:pPr>
        <w:adjustRightInd w:val="0"/>
        <w:snapToGrid w:val="0"/>
        <w:spacing w:after="156" w:afterLines="50"/>
        <w:jc w:val="center"/>
        <w:rPr>
          <w:rFonts w:ascii="宋体"/>
          <w:b/>
          <w:bCs/>
          <w:szCs w:val="21"/>
        </w:rPr>
      </w:pPr>
      <w:r>
        <w:rPr>
          <w:rFonts w:hint="eastAsia" w:ascii="宋体" w:hAnsi="宋体"/>
          <w:b/>
          <w:bCs/>
          <w:szCs w:val="21"/>
        </w:rPr>
        <w:t>总则</w:t>
      </w:r>
    </w:p>
    <w:p>
      <w:pPr>
        <w:adjustRightInd w:val="0"/>
        <w:snapToGrid w:val="0"/>
        <w:spacing w:after="156" w:afterLines="50"/>
        <w:ind w:firstLine="422" w:firstLineChars="200"/>
        <w:rPr>
          <w:rFonts w:ascii="宋体"/>
          <w:szCs w:val="21"/>
        </w:rPr>
      </w:pPr>
      <w:r>
        <w:rPr>
          <w:rFonts w:hint="eastAsia" w:ascii="宋体" w:hAnsi="宋体"/>
          <w:b/>
          <w:bCs/>
          <w:szCs w:val="21"/>
        </w:rPr>
        <w:t>第一条</w:t>
      </w:r>
      <w:r>
        <w:rPr>
          <w:rFonts w:ascii="宋体" w:hAnsi="宋体"/>
          <w:szCs w:val="21"/>
        </w:rPr>
        <w:t xml:space="preserve">  </w:t>
      </w:r>
      <w:r>
        <w:rPr>
          <w:rFonts w:hint="eastAsia" w:ascii="宋体" w:hAnsi="宋体"/>
          <w:szCs w:val="21"/>
        </w:rPr>
        <w:t>本保险合同由保险条款、投保单、保险单、保险凭证以及批单组成。凡涉及本保险合同的约定，均应采用书面形式。</w:t>
      </w:r>
    </w:p>
    <w:p>
      <w:pPr>
        <w:adjustRightInd w:val="0"/>
        <w:snapToGrid w:val="0"/>
        <w:spacing w:after="156" w:afterLines="50"/>
        <w:ind w:firstLine="422" w:firstLineChars="200"/>
        <w:rPr>
          <w:rFonts w:ascii="宋体"/>
          <w:szCs w:val="21"/>
        </w:rPr>
      </w:pPr>
      <w:r>
        <w:rPr>
          <w:rFonts w:hint="eastAsia" w:ascii="宋体" w:hAnsi="宋体"/>
          <w:b/>
          <w:bCs/>
          <w:szCs w:val="21"/>
        </w:rPr>
        <w:t>第二条</w:t>
      </w:r>
      <w:r>
        <w:rPr>
          <w:rFonts w:ascii="宋体" w:hAnsi="宋体"/>
          <w:szCs w:val="21"/>
        </w:rPr>
        <w:t xml:space="preserve">  </w:t>
      </w:r>
      <w:r>
        <w:rPr>
          <w:rFonts w:hint="eastAsia" w:ascii="宋体" w:hAnsi="宋体"/>
          <w:szCs w:val="21"/>
        </w:rPr>
        <w:t>中华人民共和国境内的各类机关、企事业单位、个体经济组织以及其他组织，均可作为本保险合同的被保险人。</w:t>
      </w:r>
    </w:p>
    <w:p>
      <w:pPr>
        <w:adjustRightInd w:val="0"/>
        <w:snapToGrid w:val="0"/>
        <w:spacing w:after="156" w:afterLines="50"/>
        <w:jc w:val="center"/>
        <w:rPr>
          <w:rFonts w:ascii="宋体"/>
          <w:b/>
          <w:bCs/>
          <w:szCs w:val="21"/>
        </w:rPr>
      </w:pPr>
      <w:r>
        <w:rPr>
          <w:rFonts w:hint="eastAsia" w:ascii="宋体" w:hAnsi="宋体"/>
          <w:b/>
          <w:bCs/>
          <w:szCs w:val="21"/>
        </w:rPr>
        <w:t>保险责任</w:t>
      </w:r>
    </w:p>
    <w:p>
      <w:pPr>
        <w:adjustRightInd w:val="0"/>
        <w:snapToGrid w:val="0"/>
        <w:spacing w:after="156" w:afterLines="50"/>
        <w:ind w:firstLine="422" w:firstLineChars="200"/>
        <w:rPr>
          <w:rFonts w:ascii="宋体"/>
          <w:szCs w:val="21"/>
        </w:rPr>
      </w:pPr>
      <w:r>
        <w:rPr>
          <w:rFonts w:hint="eastAsia" w:ascii="宋体" w:hAnsi="宋体"/>
          <w:b/>
          <w:bCs/>
          <w:szCs w:val="21"/>
        </w:rPr>
        <w:t>第三条</w:t>
      </w:r>
      <w:r>
        <w:rPr>
          <w:rFonts w:ascii="宋体" w:hAnsi="宋体"/>
          <w:szCs w:val="21"/>
        </w:rPr>
        <w:t xml:space="preserve">  </w:t>
      </w:r>
      <w:r>
        <w:rPr>
          <w:rFonts w:hint="eastAsia" w:ascii="宋体" w:hAnsi="宋体"/>
          <w:szCs w:val="21"/>
        </w:rPr>
        <w:t>在保险期间内，被保险人在保险单载明的区域范围内因经营业务发生意外事故，造成第三者的人身伤亡或财产损失，依照中华人民共和国法律（不包括港澳台地区法律）应由被保险人承担的经济赔偿责任，保险人按照本保险合同约定负责赔偿。</w:t>
      </w:r>
    </w:p>
    <w:p>
      <w:pPr>
        <w:snapToGrid w:val="0"/>
        <w:spacing w:after="156" w:afterLines="50"/>
        <w:ind w:firstLine="422" w:firstLineChars="200"/>
        <w:rPr>
          <w:rFonts w:ascii="宋体"/>
          <w:snapToGrid w:val="0"/>
          <w:kern w:val="0"/>
          <w:szCs w:val="21"/>
        </w:rPr>
      </w:pPr>
      <w:r>
        <w:rPr>
          <w:rFonts w:hint="eastAsia" w:ascii="宋体" w:hAnsi="宋体"/>
          <w:b/>
          <w:bCs/>
          <w:snapToGrid w:val="0"/>
          <w:kern w:val="0"/>
          <w:szCs w:val="21"/>
        </w:rPr>
        <w:t>第四条</w:t>
      </w:r>
      <w:r>
        <w:rPr>
          <w:rFonts w:ascii="宋体" w:hAnsi="宋体"/>
          <w:snapToGrid w:val="0"/>
          <w:kern w:val="0"/>
          <w:szCs w:val="21"/>
        </w:rPr>
        <w:t xml:space="preserve">  </w:t>
      </w:r>
      <w:r>
        <w:rPr>
          <w:rFonts w:hint="eastAsia" w:ascii="宋体" w:hAnsi="宋体"/>
          <w:snapToGrid w:val="0"/>
          <w:kern w:val="0"/>
          <w:szCs w:val="21"/>
        </w:rPr>
        <w:t>在保险期间内，发生本条款第三条所规定的意外事故造成第三者的人身伤亡，受害人或其近亲属提出精神损害赔偿的，</w:t>
      </w:r>
      <w:r>
        <w:rPr>
          <w:rFonts w:hint="eastAsia" w:ascii="宋体" w:hAnsi="宋体"/>
          <w:szCs w:val="21"/>
        </w:rPr>
        <w:t>依照中华人民共和国（不包括港澳台地区）法院判决应由</w:t>
      </w:r>
      <w:r>
        <w:rPr>
          <w:rFonts w:hint="eastAsia" w:ascii="宋体" w:hAnsi="宋体"/>
          <w:snapToGrid w:val="0"/>
          <w:kern w:val="0"/>
          <w:szCs w:val="21"/>
        </w:rPr>
        <w:t>被保险人承担的精神损害赔偿责任，保险人按照本保险合同约定负责赔偿。</w:t>
      </w:r>
    </w:p>
    <w:p>
      <w:pPr>
        <w:adjustRightInd w:val="0"/>
        <w:snapToGrid w:val="0"/>
        <w:spacing w:after="156" w:afterLines="50"/>
        <w:ind w:firstLine="422" w:firstLineChars="200"/>
        <w:rPr>
          <w:rFonts w:ascii="宋体"/>
          <w:szCs w:val="21"/>
        </w:rPr>
      </w:pPr>
      <w:r>
        <w:rPr>
          <w:rFonts w:hint="eastAsia" w:ascii="宋体" w:hAnsi="宋体"/>
          <w:b/>
          <w:bCs/>
          <w:szCs w:val="21"/>
        </w:rPr>
        <w:t>第五条</w:t>
      </w:r>
      <w:r>
        <w:rPr>
          <w:rFonts w:ascii="宋体" w:hAnsi="宋体"/>
          <w:szCs w:val="21"/>
        </w:rPr>
        <w:t xml:space="preserve">  </w:t>
      </w:r>
      <w:r>
        <w:rPr>
          <w:rFonts w:hint="eastAsia" w:ascii="宋体" w:hAnsi="宋体"/>
          <w:szCs w:val="21"/>
        </w:rPr>
        <w:t>保险事故发生后，被保险人因保险事故而被提起仲裁或者诉讼的，对应由被保险人支付的仲裁或诉讼费用以及事先经保险人书面同意支付的其他必要的、合理的费用（以下简称“法律费用”），保险人按照本保险合同约定也负责赔偿。</w:t>
      </w:r>
    </w:p>
    <w:p>
      <w:pPr>
        <w:adjustRightInd w:val="0"/>
        <w:snapToGrid w:val="0"/>
        <w:spacing w:after="156" w:afterLines="50"/>
        <w:jc w:val="center"/>
        <w:rPr>
          <w:rFonts w:ascii="宋体"/>
          <w:b/>
          <w:bCs/>
          <w:szCs w:val="21"/>
        </w:rPr>
      </w:pPr>
      <w:r>
        <w:rPr>
          <w:rFonts w:hint="eastAsia" w:ascii="宋体" w:hAnsi="宋体"/>
          <w:szCs w:val="21"/>
        </w:rPr>
        <w:t xml:space="preserve">  </w:t>
      </w:r>
      <w:r>
        <w:rPr>
          <w:rFonts w:hint="eastAsia" w:ascii="宋体" w:hAnsi="宋体"/>
          <w:b/>
          <w:bCs/>
          <w:szCs w:val="21"/>
        </w:rPr>
        <w:t>责任免除</w:t>
      </w:r>
    </w:p>
    <w:p>
      <w:pPr>
        <w:adjustRightInd w:val="0"/>
        <w:snapToGrid w:val="0"/>
        <w:spacing w:after="156" w:afterLines="50"/>
        <w:ind w:firstLine="422" w:firstLineChars="200"/>
        <w:rPr>
          <w:rFonts w:ascii="宋体"/>
          <w:b/>
          <w:szCs w:val="21"/>
        </w:rPr>
      </w:pPr>
      <w:r>
        <w:rPr>
          <w:rFonts w:hint="eastAsia" w:ascii="宋体" w:hAnsi="宋体"/>
          <w:b/>
          <w:bCs/>
          <w:szCs w:val="21"/>
        </w:rPr>
        <w:t>第六条</w:t>
      </w:r>
      <w:r>
        <w:rPr>
          <w:rFonts w:ascii="宋体" w:hAnsi="宋体"/>
          <w:szCs w:val="21"/>
        </w:rPr>
        <w:t xml:space="preserve">  </w:t>
      </w:r>
      <w:r>
        <w:rPr>
          <w:rFonts w:hint="eastAsia" w:ascii="宋体" w:hAnsi="宋体"/>
          <w:b/>
          <w:szCs w:val="21"/>
        </w:rPr>
        <w:t>下列原因造成的损失、费用和责任，保险人不负责赔偿：</w:t>
      </w:r>
    </w:p>
    <w:p>
      <w:pPr>
        <w:adjustRightInd w:val="0"/>
        <w:snapToGrid w:val="0"/>
        <w:spacing w:after="156" w:afterLines="50"/>
        <w:ind w:firstLine="422" w:firstLineChars="200"/>
        <w:rPr>
          <w:rFonts w:ascii="宋体"/>
          <w:b/>
          <w:szCs w:val="21"/>
        </w:rPr>
      </w:pPr>
      <w:r>
        <w:rPr>
          <w:rFonts w:hint="eastAsia" w:ascii="宋体" w:hAnsi="宋体"/>
          <w:b/>
          <w:szCs w:val="21"/>
        </w:rPr>
        <w:t>（一）投保人、被保险人及其代表的故意行为或重大过失；</w:t>
      </w:r>
    </w:p>
    <w:p>
      <w:pPr>
        <w:adjustRightInd w:val="0"/>
        <w:snapToGrid w:val="0"/>
        <w:spacing w:after="156" w:afterLines="50"/>
        <w:ind w:firstLine="422" w:firstLineChars="200"/>
        <w:rPr>
          <w:rFonts w:ascii="宋体"/>
          <w:b/>
          <w:szCs w:val="21"/>
        </w:rPr>
      </w:pPr>
      <w:r>
        <w:rPr>
          <w:rFonts w:hint="eastAsia" w:ascii="宋体" w:hAnsi="宋体"/>
          <w:b/>
          <w:szCs w:val="21"/>
        </w:rPr>
        <w:t>（二）战争、敌对行动、军事行为、武装冲突、罢工、骚乱、暴动、恐怖活动；</w:t>
      </w:r>
    </w:p>
    <w:p>
      <w:pPr>
        <w:adjustRightInd w:val="0"/>
        <w:snapToGrid w:val="0"/>
        <w:spacing w:after="156" w:afterLines="50"/>
        <w:ind w:firstLine="422" w:firstLineChars="200"/>
        <w:rPr>
          <w:rFonts w:ascii="宋体"/>
          <w:b/>
          <w:szCs w:val="21"/>
        </w:rPr>
      </w:pPr>
      <w:r>
        <w:rPr>
          <w:rFonts w:hint="eastAsia" w:ascii="宋体" w:hAnsi="宋体"/>
          <w:b/>
          <w:szCs w:val="21"/>
        </w:rPr>
        <w:t>（三）核辐射、核爆炸、核污染及其他放射性污染；</w:t>
      </w:r>
    </w:p>
    <w:p>
      <w:pPr>
        <w:adjustRightInd w:val="0"/>
        <w:snapToGrid w:val="0"/>
        <w:spacing w:after="156" w:afterLines="50"/>
        <w:ind w:firstLine="422" w:firstLineChars="200"/>
        <w:rPr>
          <w:rFonts w:ascii="宋体"/>
          <w:b/>
          <w:szCs w:val="21"/>
        </w:rPr>
      </w:pPr>
      <w:r>
        <w:rPr>
          <w:rFonts w:hint="eastAsia" w:ascii="宋体" w:hAnsi="宋体"/>
          <w:b/>
          <w:szCs w:val="21"/>
        </w:rPr>
        <w:t>（四）大气污染、土地污染、水污染及其他各种污染；</w:t>
      </w:r>
    </w:p>
    <w:p>
      <w:pPr>
        <w:adjustRightInd w:val="0"/>
        <w:snapToGrid w:val="0"/>
        <w:spacing w:after="156" w:afterLines="50"/>
        <w:ind w:firstLine="422" w:firstLineChars="200"/>
        <w:rPr>
          <w:rFonts w:ascii="宋体"/>
          <w:szCs w:val="21"/>
        </w:rPr>
      </w:pPr>
      <w:r>
        <w:rPr>
          <w:rFonts w:hint="eastAsia" w:ascii="宋体" w:hAnsi="宋体"/>
          <w:b/>
          <w:szCs w:val="21"/>
        </w:rPr>
        <w:t>（五）行政行为或司法行为；</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（六）地震、台风、暴雨、洪水等自然灾害；</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（七）火灾、爆炸、烟熏；</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（八）被保险人超越经营范围的行为；</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（九）被保险人侵害他人姓名权、名称权、肖像权、名誉权、荣誉权以及个人隐私的行为；</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（十）被保险人侵害他人商标权、专利权、著作权以及商业秘密的行为；</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（十一）被保险人所有、管理的机动车辆、核设施、航空航天器、铁路机车、海上设施、船舶、起重机械、电梯、升降机、自动扶梯导致的损失。</w:t>
      </w:r>
    </w:p>
    <w:p>
      <w:pPr>
        <w:adjustRightInd w:val="0"/>
        <w:snapToGrid w:val="0"/>
        <w:spacing w:after="156" w:afterLines="50"/>
        <w:ind w:firstLine="422" w:firstLineChars="200"/>
        <w:rPr>
          <w:rFonts w:ascii="宋体"/>
          <w:b/>
          <w:szCs w:val="21"/>
        </w:rPr>
      </w:pPr>
      <w:r>
        <w:rPr>
          <w:rFonts w:hint="eastAsia" w:ascii="宋体" w:hAnsi="宋体"/>
          <w:b/>
          <w:bCs/>
          <w:szCs w:val="21"/>
        </w:rPr>
        <w:t>第七条</w:t>
      </w:r>
      <w:r>
        <w:rPr>
          <w:rFonts w:ascii="宋体" w:hAnsi="宋体"/>
          <w:szCs w:val="21"/>
        </w:rPr>
        <w:t xml:space="preserve">  </w:t>
      </w:r>
      <w:r>
        <w:rPr>
          <w:rFonts w:hint="eastAsia" w:ascii="宋体" w:hAnsi="宋体"/>
          <w:b/>
          <w:szCs w:val="21"/>
        </w:rPr>
        <w:t>下列损失、费用和责任，保险人不负责赔偿：</w:t>
      </w:r>
    </w:p>
    <w:p>
      <w:pPr>
        <w:adjustRightInd w:val="0"/>
        <w:snapToGrid w:val="0"/>
        <w:spacing w:after="156" w:afterLines="50"/>
        <w:ind w:firstLine="422" w:firstLineChars="200"/>
        <w:rPr>
          <w:rFonts w:ascii="宋体"/>
          <w:b/>
          <w:szCs w:val="21"/>
        </w:rPr>
      </w:pPr>
      <w:r>
        <w:rPr>
          <w:rFonts w:hint="eastAsia" w:ascii="宋体" w:hAnsi="宋体"/>
          <w:b/>
          <w:szCs w:val="21"/>
        </w:rPr>
        <w:t>（一）被保险人或其雇员的人身伤亡及其所有或管理的财产的损失；</w:t>
      </w:r>
    </w:p>
    <w:p>
      <w:pPr>
        <w:adjustRightInd w:val="0"/>
        <w:snapToGrid w:val="0"/>
        <w:spacing w:after="156" w:afterLines="50"/>
        <w:ind w:firstLine="422" w:firstLineChars="200"/>
        <w:rPr>
          <w:rFonts w:ascii="宋体"/>
          <w:b/>
          <w:szCs w:val="21"/>
        </w:rPr>
      </w:pPr>
      <w:r>
        <w:rPr>
          <w:rFonts w:hint="eastAsia" w:ascii="宋体" w:hAnsi="宋体"/>
          <w:b/>
          <w:szCs w:val="21"/>
        </w:rPr>
        <w:t>（二）被保险人应该承担的合同责任，但无合同存在时依法仍然应由被保险人承担的经济赔偿责任不在此限；</w:t>
      </w:r>
    </w:p>
    <w:p>
      <w:pPr>
        <w:adjustRightInd w:val="0"/>
        <w:snapToGrid w:val="0"/>
        <w:spacing w:after="156" w:afterLines="50"/>
        <w:ind w:firstLine="422" w:firstLineChars="200"/>
        <w:rPr>
          <w:rFonts w:ascii="宋体"/>
          <w:b/>
          <w:szCs w:val="21"/>
        </w:rPr>
      </w:pPr>
      <w:r>
        <w:rPr>
          <w:rFonts w:hint="eastAsia" w:ascii="宋体" w:hAnsi="宋体"/>
          <w:b/>
          <w:szCs w:val="21"/>
        </w:rPr>
        <w:t>（三）罚款、罚金及惩罚性赔偿；</w:t>
      </w:r>
      <w:r>
        <w:rPr>
          <w:rFonts w:ascii="宋体" w:hAnsi="宋体"/>
          <w:b/>
          <w:szCs w:val="21"/>
        </w:rPr>
        <w:t xml:space="preserve"> </w:t>
      </w:r>
    </w:p>
    <w:p>
      <w:pPr>
        <w:tabs>
          <w:tab w:val="left" w:pos="1800"/>
        </w:tabs>
        <w:snapToGrid w:val="0"/>
        <w:spacing w:after="156" w:afterLines="50"/>
        <w:ind w:firstLine="422" w:firstLineChars="200"/>
        <w:rPr>
          <w:rFonts w:ascii="宋体"/>
          <w:b/>
          <w:szCs w:val="21"/>
        </w:rPr>
      </w:pPr>
      <w:r>
        <w:rPr>
          <w:rFonts w:hint="eastAsia" w:ascii="宋体" w:hAnsi="宋体"/>
          <w:b/>
          <w:szCs w:val="21"/>
        </w:rPr>
        <w:t>（四）</w:t>
      </w:r>
      <w:r>
        <w:rPr>
          <w:rFonts w:hint="eastAsia" w:ascii="宋体" w:hAnsi="宋体"/>
          <w:b/>
          <w:snapToGrid w:val="0"/>
          <w:kern w:val="0"/>
          <w:szCs w:val="21"/>
        </w:rPr>
        <w:t>非人民法院以判决方式做出的</w:t>
      </w:r>
      <w:r>
        <w:rPr>
          <w:rFonts w:hint="eastAsia" w:ascii="宋体" w:hAnsi="宋体"/>
          <w:b/>
          <w:szCs w:val="21"/>
        </w:rPr>
        <w:t>精神损害赔偿，但</w:t>
      </w:r>
      <w:r>
        <w:rPr>
          <w:rFonts w:hint="eastAsia" w:ascii="宋体" w:hAnsi="宋体"/>
          <w:b/>
          <w:snapToGrid w:val="0"/>
          <w:kern w:val="0"/>
          <w:szCs w:val="21"/>
        </w:rPr>
        <w:t>保险人事先书面同意的不在此限</w:t>
      </w:r>
      <w:r>
        <w:rPr>
          <w:rFonts w:hint="eastAsia" w:ascii="宋体" w:hAnsi="宋体"/>
          <w:b/>
          <w:szCs w:val="21"/>
        </w:rPr>
        <w:t>；</w:t>
      </w:r>
    </w:p>
    <w:p>
      <w:pPr>
        <w:adjustRightInd w:val="0"/>
        <w:snapToGrid w:val="0"/>
        <w:spacing w:after="156" w:afterLines="50"/>
        <w:ind w:firstLine="422" w:firstLineChars="200"/>
        <w:rPr>
          <w:rFonts w:ascii="宋体"/>
          <w:b/>
          <w:szCs w:val="21"/>
        </w:rPr>
      </w:pPr>
      <w:r>
        <w:rPr>
          <w:rFonts w:hint="eastAsia" w:ascii="宋体" w:hAnsi="宋体"/>
          <w:b/>
          <w:szCs w:val="21"/>
        </w:rPr>
        <w:t>（五）间接损失；</w:t>
      </w:r>
    </w:p>
    <w:p>
      <w:pPr>
        <w:adjustRightInd w:val="0"/>
        <w:snapToGrid w:val="0"/>
        <w:spacing w:after="156" w:afterLines="50"/>
        <w:ind w:firstLine="422" w:firstLineChars="200"/>
        <w:rPr>
          <w:rFonts w:ascii="宋体"/>
          <w:b/>
          <w:szCs w:val="21"/>
        </w:rPr>
      </w:pPr>
      <w:r>
        <w:rPr>
          <w:rFonts w:hint="eastAsia" w:ascii="宋体" w:hAnsi="宋体"/>
          <w:b/>
          <w:szCs w:val="21"/>
        </w:rPr>
        <w:t>（六）</w:t>
      </w:r>
      <w:r>
        <w:rPr>
          <w:rFonts w:hint="eastAsia" w:ascii="宋体" w:hAnsi="宋体"/>
          <w:b/>
          <w:snapToGrid w:val="0"/>
          <w:spacing w:val="-6"/>
          <w:kern w:val="0"/>
          <w:szCs w:val="21"/>
        </w:rPr>
        <w:t>投保人、被保险人在投保之前已经知道或可以合理预见的索赔情况；</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（七）被保险人或其雇员出售、赠与的产品、货物、商品所导致的损失；</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（八）因建设工程施工引起的任何人身伤害和财产损失；</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（九）患传染病以及食物、饮料、酒精中毒造成的损失；</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（十）被保险人或其雇员因从事医师、药剂师、美容师、会计师、审计师、设计师、监理师、评估师、律师等专门职业造成的损失；</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（十一）被保险人或其雇员因从事加工、修理、改进、承揽等工作造成委托人的损失；</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（十二）停放车辆车内财产的损失或因刮蹭、碰撞、倾覆造成停放车辆的损失；</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（十三）在中华人民共和国境外（包括港澳台地区）所发生的任何事故所造成的损失；</w:t>
      </w:r>
    </w:p>
    <w:p>
      <w:pPr>
        <w:snapToGrid w:val="0"/>
        <w:spacing w:after="156" w:afterLines="50"/>
        <w:ind w:firstLine="422" w:firstLineChars="200"/>
        <w:rPr>
          <w:rFonts w:ascii="宋体"/>
          <w:b/>
          <w:snapToGrid w:val="0"/>
          <w:kern w:val="0"/>
          <w:szCs w:val="21"/>
        </w:rPr>
      </w:pPr>
      <w:r>
        <w:rPr>
          <w:rFonts w:hint="eastAsia" w:ascii="宋体" w:hAnsi="宋体"/>
          <w:b/>
          <w:snapToGrid w:val="0"/>
          <w:kern w:val="0"/>
          <w:szCs w:val="21"/>
        </w:rPr>
        <w:t>（十四）在保险单列明的区域范围外所发生的任何损失；</w:t>
      </w:r>
    </w:p>
    <w:p>
      <w:pPr>
        <w:adjustRightInd w:val="0"/>
        <w:snapToGrid w:val="0"/>
        <w:spacing w:after="156" w:afterLines="50"/>
        <w:ind w:firstLine="422" w:firstLineChars="200"/>
        <w:rPr>
          <w:rFonts w:ascii="宋体"/>
          <w:b/>
          <w:szCs w:val="21"/>
        </w:rPr>
      </w:pPr>
      <w:r>
        <w:rPr>
          <w:rFonts w:hint="eastAsia" w:ascii="宋体" w:hAnsi="宋体"/>
          <w:b/>
          <w:szCs w:val="21"/>
        </w:rPr>
        <w:t>（十五）本保险合同中载明的免赔额。</w:t>
      </w:r>
    </w:p>
    <w:p>
      <w:pPr>
        <w:adjustRightInd w:val="0"/>
        <w:snapToGrid w:val="0"/>
        <w:spacing w:after="156" w:afterLines="50"/>
        <w:ind w:firstLine="422" w:firstLineChars="200"/>
        <w:rPr>
          <w:rFonts w:ascii="宋体"/>
          <w:b/>
          <w:szCs w:val="21"/>
          <w:u w:val="single"/>
        </w:rPr>
      </w:pPr>
      <w:r>
        <w:rPr>
          <w:rFonts w:hint="eastAsia" w:ascii="宋体" w:hAnsi="宋体"/>
          <w:b/>
          <w:bCs/>
          <w:szCs w:val="21"/>
        </w:rPr>
        <w:t>第八条</w:t>
      </w:r>
      <w:r>
        <w:rPr>
          <w:rFonts w:ascii="宋体" w:hAnsi="宋体"/>
          <w:szCs w:val="21"/>
        </w:rPr>
        <w:t xml:space="preserve">  </w:t>
      </w:r>
      <w:r>
        <w:rPr>
          <w:rFonts w:hint="eastAsia" w:ascii="宋体" w:hAnsi="宋体"/>
          <w:b/>
          <w:szCs w:val="21"/>
        </w:rPr>
        <w:t>其他不属于本保险责任范围内的损失、费用和责任，保险人不负责赔偿。</w:t>
      </w:r>
    </w:p>
    <w:p>
      <w:pPr>
        <w:adjustRightInd w:val="0"/>
        <w:snapToGrid w:val="0"/>
        <w:spacing w:after="156" w:afterLines="50"/>
        <w:rPr>
          <w:rFonts w:ascii="Arial" w:hAnsi="Arial" w:cs="Arial"/>
          <w:b/>
          <w:bCs/>
          <w:szCs w:val="21"/>
        </w:rPr>
      </w:pPr>
    </w:p>
    <w:p>
      <w:pPr>
        <w:adjustRightInd w:val="0"/>
        <w:snapToGrid w:val="0"/>
        <w:spacing w:after="156" w:afterLines="50"/>
        <w:jc w:val="center"/>
        <w:rPr>
          <w:rFonts w:ascii="宋体"/>
          <w:b/>
          <w:bCs/>
          <w:szCs w:val="21"/>
        </w:rPr>
      </w:pPr>
      <w:r>
        <w:rPr>
          <w:rFonts w:hint="eastAsia" w:ascii="宋体" w:hAnsi="宋体"/>
          <w:b/>
          <w:bCs/>
          <w:szCs w:val="21"/>
        </w:rPr>
        <w:t>赔偿限额与免赔额</w:t>
      </w:r>
    </w:p>
    <w:p>
      <w:pPr>
        <w:adjustRightInd w:val="0"/>
        <w:snapToGrid w:val="0"/>
        <w:spacing w:after="156" w:afterLines="50"/>
        <w:ind w:firstLine="422" w:firstLineChars="200"/>
        <w:rPr>
          <w:rFonts w:ascii="宋体"/>
          <w:szCs w:val="21"/>
        </w:rPr>
      </w:pPr>
      <w:r>
        <w:rPr>
          <w:rFonts w:hint="eastAsia" w:ascii="宋体" w:hAnsi="宋体"/>
          <w:b/>
          <w:bCs/>
          <w:szCs w:val="21"/>
        </w:rPr>
        <w:t>第九条</w:t>
      </w:r>
      <w:r>
        <w:rPr>
          <w:rFonts w:ascii="宋体" w:hAnsi="宋体"/>
          <w:szCs w:val="21"/>
        </w:rPr>
        <w:t xml:space="preserve">  </w:t>
      </w:r>
      <w:r>
        <w:rPr>
          <w:rFonts w:hint="eastAsia" w:ascii="宋体" w:hAnsi="宋体"/>
          <w:szCs w:val="21"/>
        </w:rPr>
        <w:t>赔偿限额包括每次事故</w:t>
      </w:r>
      <w:r>
        <w:rPr>
          <w:rFonts w:hint="eastAsia" w:ascii="宋体" w:hAnsi="宋体"/>
          <w:bCs/>
          <w:szCs w:val="21"/>
        </w:rPr>
        <w:t>赔偿限额</w:t>
      </w:r>
      <w:r>
        <w:rPr>
          <w:rFonts w:hint="eastAsia" w:ascii="宋体" w:hAnsi="宋体"/>
          <w:szCs w:val="21"/>
        </w:rPr>
        <w:t>、每次事故每人</w:t>
      </w:r>
      <w:r>
        <w:rPr>
          <w:rFonts w:hint="eastAsia" w:ascii="宋体" w:hAnsi="宋体"/>
          <w:bCs/>
          <w:szCs w:val="21"/>
        </w:rPr>
        <w:t>赔偿限额</w:t>
      </w:r>
      <w:r>
        <w:rPr>
          <w:rFonts w:hint="eastAsia" w:ascii="宋体" w:hAnsi="宋体"/>
          <w:szCs w:val="21"/>
        </w:rPr>
        <w:t>、每次事故人身伤亡赔偿限额、每次事故财产损失赔偿限额、累计赔偿限额，由投保人与保险人协商确定，并在保险合同中载明。</w:t>
      </w:r>
    </w:p>
    <w:p>
      <w:pPr>
        <w:adjustRightInd w:val="0"/>
        <w:snapToGrid w:val="0"/>
        <w:spacing w:after="156" w:afterLines="50"/>
        <w:ind w:firstLine="422" w:firstLineChars="200"/>
        <w:rPr>
          <w:rFonts w:ascii="宋体"/>
          <w:szCs w:val="21"/>
        </w:rPr>
      </w:pPr>
      <w:r>
        <w:rPr>
          <w:rFonts w:hint="eastAsia" w:ascii="宋体" w:hAnsi="宋体"/>
          <w:b/>
          <w:bCs/>
          <w:szCs w:val="21"/>
        </w:rPr>
        <w:t>第十条</w:t>
      </w:r>
      <w:r>
        <w:rPr>
          <w:rFonts w:ascii="宋体" w:hAnsi="宋体"/>
          <w:szCs w:val="21"/>
        </w:rPr>
        <w:t xml:space="preserve">  </w:t>
      </w:r>
      <w:r>
        <w:rPr>
          <w:rFonts w:hint="eastAsia" w:ascii="宋体" w:hAnsi="宋体"/>
          <w:szCs w:val="21"/>
        </w:rPr>
        <w:t>每次事故免赔额由投保人与保险人在签订保险合同时协商确定，并在保险合同中载明。</w:t>
      </w:r>
    </w:p>
    <w:p>
      <w:pPr>
        <w:adjustRightInd w:val="0"/>
        <w:snapToGrid w:val="0"/>
        <w:spacing w:after="156" w:afterLines="50"/>
        <w:jc w:val="center"/>
        <w:rPr>
          <w:rFonts w:ascii="宋体"/>
          <w:b/>
          <w:bCs/>
          <w:szCs w:val="21"/>
        </w:rPr>
      </w:pPr>
      <w:r>
        <w:rPr>
          <w:rFonts w:hint="eastAsia" w:ascii="宋体" w:hAnsi="宋体"/>
          <w:b/>
          <w:bCs/>
          <w:szCs w:val="21"/>
        </w:rPr>
        <w:t>保险期间</w:t>
      </w:r>
    </w:p>
    <w:p>
      <w:pPr>
        <w:adjustRightInd w:val="0"/>
        <w:snapToGrid w:val="0"/>
        <w:spacing w:after="156" w:afterLines="50"/>
        <w:ind w:firstLine="422" w:firstLineChars="200"/>
        <w:rPr>
          <w:rFonts w:ascii="宋体" w:hAnsi="宋体"/>
          <w:szCs w:val="21"/>
        </w:rPr>
      </w:pPr>
      <w:r>
        <w:rPr>
          <w:rFonts w:hint="eastAsia" w:ascii="宋体" w:hAnsi="宋体"/>
          <w:b/>
          <w:bCs/>
          <w:szCs w:val="21"/>
        </w:rPr>
        <w:t>第十一条</w:t>
      </w:r>
      <w:r>
        <w:rPr>
          <w:rFonts w:ascii="宋体" w:hAnsi="宋体"/>
          <w:b/>
          <w:bCs/>
          <w:szCs w:val="21"/>
        </w:rPr>
        <w:t xml:space="preserve">  </w:t>
      </w:r>
      <w:r>
        <w:rPr>
          <w:rFonts w:hint="eastAsia" w:ascii="宋体" w:hAnsi="宋体"/>
          <w:szCs w:val="21"/>
        </w:rPr>
        <w:t>除另有约定外，保险期间为一年，以保险单载明的起讫时间为准。</w:t>
      </w:r>
    </w:p>
    <w:p>
      <w:pPr>
        <w:adjustRightInd w:val="0"/>
        <w:snapToGrid w:val="0"/>
        <w:spacing w:after="156" w:afterLines="50"/>
        <w:jc w:val="center"/>
        <w:rPr>
          <w:rFonts w:ascii="宋体"/>
          <w:b/>
          <w:bCs/>
          <w:szCs w:val="21"/>
        </w:rPr>
      </w:pPr>
      <w:r>
        <w:rPr>
          <w:rFonts w:hint="eastAsia" w:ascii="宋体" w:hAnsi="宋体"/>
          <w:b/>
          <w:bCs/>
          <w:szCs w:val="21"/>
        </w:rPr>
        <w:t>保险人义务</w:t>
      </w:r>
    </w:p>
    <w:p>
      <w:pPr>
        <w:adjustRightInd w:val="0"/>
        <w:snapToGrid w:val="0"/>
        <w:spacing w:after="156" w:afterLines="50"/>
        <w:ind w:firstLine="422" w:firstLineChars="200"/>
        <w:rPr>
          <w:rFonts w:ascii="宋体"/>
          <w:b/>
          <w:bCs/>
          <w:szCs w:val="21"/>
        </w:rPr>
      </w:pPr>
      <w:r>
        <w:rPr>
          <w:rFonts w:hint="eastAsia" w:ascii="宋体" w:hAnsi="宋体"/>
          <w:b/>
          <w:bCs/>
          <w:szCs w:val="21"/>
        </w:rPr>
        <w:t>第十二条</w:t>
      </w:r>
      <w:r>
        <w:rPr>
          <w:rFonts w:ascii="宋体" w:hAnsi="宋体"/>
          <w:b/>
          <w:bCs/>
          <w:szCs w:val="21"/>
        </w:rPr>
        <w:t xml:space="preserve">  </w:t>
      </w:r>
      <w:r>
        <w:rPr>
          <w:rFonts w:hint="eastAsia" w:ascii="宋体" w:hAnsi="宋体"/>
          <w:szCs w:val="21"/>
        </w:rPr>
        <w:t>本保险合同成立后，保险人应当及时向投保人签发保险单或其他保险凭证。</w:t>
      </w:r>
    </w:p>
    <w:p>
      <w:pPr>
        <w:adjustRightInd w:val="0"/>
        <w:snapToGrid w:val="0"/>
        <w:spacing w:after="156" w:afterLines="50"/>
        <w:ind w:firstLine="422" w:firstLineChars="200"/>
        <w:rPr>
          <w:rStyle w:val="91"/>
          <w:rFonts w:ascii="宋体"/>
          <w:color w:val="000000"/>
          <w:szCs w:val="21"/>
        </w:rPr>
      </w:pPr>
      <w:r>
        <w:rPr>
          <w:rFonts w:hint="eastAsia" w:ascii="宋体" w:hAnsi="宋体"/>
          <w:b/>
          <w:bCs/>
          <w:szCs w:val="21"/>
        </w:rPr>
        <w:t>第十三条</w:t>
      </w:r>
      <w:r>
        <w:rPr>
          <w:rFonts w:ascii="宋体" w:hAnsi="宋体"/>
          <w:b/>
          <w:bCs/>
          <w:szCs w:val="21"/>
        </w:rPr>
        <w:t xml:space="preserve">  </w:t>
      </w:r>
      <w:r>
        <w:rPr>
          <w:rStyle w:val="91"/>
          <w:rFonts w:hint="eastAsia" w:ascii="宋体" w:hAnsi="宋体"/>
          <w:color w:val="000000"/>
          <w:szCs w:val="21"/>
        </w:rPr>
        <w:t>保险人按照</w:t>
      </w:r>
      <w:r>
        <w:rPr>
          <w:rFonts w:hint="eastAsia" w:ascii="宋体" w:hAnsi="宋体"/>
          <w:szCs w:val="21"/>
        </w:rPr>
        <w:t>第二十三条</w:t>
      </w:r>
      <w:r>
        <w:rPr>
          <w:rStyle w:val="91"/>
          <w:rFonts w:hint="eastAsia" w:ascii="宋体" w:hAnsi="宋体"/>
          <w:color w:val="000000"/>
          <w:szCs w:val="21"/>
        </w:rPr>
        <w:t>的约定，认为被保险人提供的有关索赔的证明和资料不完整的，应当及时一次性通知投保人、被保险人补充提供。</w:t>
      </w:r>
    </w:p>
    <w:p>
      <w:pPr>
        <w:adjustRightInd w:val="0"/>
        <w:snapToGrid w:val="0"/>
        <w:spacing w:after="156" w:afterLines="50"/>
        <w:ind w:firstLine="422" w:firstLineChars="200"/>
        <w:rPr>
          <w:rFonts w:ascii="宋体" w:hAnsi="宋体"/>
          <w:szCs w:val="21"/>
        </w:rPr>
      </w:pPr>
      <w:r>
        <w:rPr>
          <w:rFonts w:hint="eastAsia" w:ascii="宋体" w:hAnsi="宋体"/>
          <w:b/>
          <w:bCs/>
          <w:szCs w:val="21"/>
        </w:rPr>
        <w:t>第十四条</w:t>
      </w:r>
      <w:r>
        <w:rPr>
          <w:rFonts w:ascii="宋体" w:hAnsi="宋体"/>
          <w:b/>
          <w:bCs/>
          <w:szCs w:val="21"/>
        </w:rPr>
        <w:t xml:space="preserve">  </w:t>
      </w:r>
      <w:r>
        <w:rPr>
          <w:rFonts w:hint="eastAsia" w:ascii="宋体" w:hAnsi="宋体"/>
          <w:szCs w:val="21"/>
        </w:rPr>
        <w:t>保险人收到被保险人的赔偿保险金的请求后，应当及时作出是否属于保险责任的核定；情形复杂的，保险人将在确定是否属于保险责任的基本材料收集齐全后，尽快做出核定。</w:t>
      </w:r>
    </w:p>
    <w:p>
      <w:pPr>
        <w:adjustRightInd w:val="0"/>
        <w:snapToGrid w:val="0"/>
        <w:spacing w:after="156" w:afterLines="50"/>
        <w:ind w:firstLine="420" w:firstLineChars="200"/>
        <w:rPr>
          <w:rFonts w:ascii="宋体"/>
          <w:szCs w:val="21"/>
        </w:rPr>
      </w:pPr>
      <w:r>
        <w:rPr>
          <w:rFonts w:hint="eastAsia" w:ascii="宋体" w:hAnsi="宋体"/>
          <w:szCs w:val="21"/>
        </w:rPr>
        <w:t>保险人应当将核定结果通知被保险人；对属于保险责任的，在与被保险人达成赔偿保险金的协议后十日内，履行赔偿保险金义务。保险合同对赔偿保险金的期限有约定的，保险人应当按照约定履行赔偿保险金的义务。保险人依照前款的规定作出核定后，对不属于保险责任的，应当自作出核定之日起三日内向被保险人发出拒绝赔偿保险金通知书，并说明理由。</w:t>
      </w:r>
    </w:p>
    <w:p>
      <w:pPr>
        <w:adjustRightInd w:val="0"/>
        <w:snapToGrid w:val="0"/>
        <w:spacing w:after="156" w:afterLines="50"/>
        <w:ind w:firstLine="422" w:firstLineChars="200"/>
        <w:rPr>
          <w:rFonts w:ascii="宋体"/>
          <w:color w:val="000000"/>
          <w:szCs w:val="21"/>
        </w:rPr>
      </w:pPr>
      <w:r>
        <w:rPr>
          <w:rFonts w:hint="eastAsia" w:ascii="宋体" w:hAnsi="宋体"/>
          <w:b/>
          <w:bCs/>
          <w:szCs w:val="21"/>
        </w:rPr>
        <w:t>第十五条</w:t>
      </w:r>
      <w:r>
        <w:rPr>
          <w:rFonts w:ascii="宋体" w:hAnsi="宋体"/>
          <w:b/>
          <w:bCs/>
          <w:szCs w:val="21"/>
        </w:rPr>
        <w:t xml:space="preserve">  </w:t>
      </w:r>
      <w:r>
        <w:rPr>
          <w:rStyle w:val="91"/>
          <w:rFonts w:hint="eastAsia" w:ascii="宋体" w:hAnsi="宋体"/>
          <w:color w:val="000000"/>
          <w:szCs w:val="21"/>
        </w:rPr>
        <w:t>保险人自收到</w:t>
      </w:r>
      <w:r>
        <w:rPr>
          <w:rFonts w:hint="eastAsia" w:ascii="宋体" w:hAnsi="宋体"/>
          <w:szCs w:val="21"/>
        </w:rPr>
        <w:t>赔偿</w:t>
      </w:r>
      <w:r>
        <w:rPr>
          <w:rStyle w:val="91"/>
          <w:rFonts w:hint="eastAsia" w:ascii="宋体" w:hAnsi="宋体"/>
          <w:color w:val="000000"/>
          <w:szCs w:val="21"/>
        </w:rPr>
        <w:t>保险金的请求和有关证明、资料之日起六十日内，对其赔偿保险金的数额不能确定的，应当根据已有证明和资料可以确定的数额先予支付；保险人最终确定赔偿的数额后，应当支付相应的差额。</w:t>
      </w:r>
      <w:r>
        <w:rPr>
          <w:rStyle w:val="92"/>
          <w:rFonts w:ascii="宋体"/>
          <w:color w:val="000000"/>
          <w:szCs w:val="21"/>
        </w:rPr>
        <w:t> </w:t>
      </w:r>
    </w:p>
    <w:p>
      <w:pPr>
        <w:adjustRightInd w:val="0"/>
        <w:snapToGrid w:val="0"/>
        <w:spacing w:after="156" w:afterLines="50"/>
        <w:jc w:val="center"/>
        <w:rPr>
          <w:rFonts w:ascii="宋体"/>
          <w:b/>
          <w:bCs/>
          <w:szCs w:val="21"/>
        </w:rPr>
      </w:pPr>
      <w:r>
        <w:rPr>
          <w:rFonts w:hint="eastAsia" w:ascii="宋体" w:hAnsi="宋体"/>
          <w:b/>
          <w:bCs/>
          <w:szCs w:val="21"/>
        </w:rPr>
        <w:t>投保人、被保险人义务</w:t>
      </w:r>
    </w:p>
    <w:p>
      <w:pPr>
        <w:adjustRightInd w:val="0"/>
        <w:snapToGrid w:val="0"/>
        <w:spacing w:after="156" w:afterLines="50"/>
        <w:ind w:firstLine="422" w:firstLineChars="200"/>
        <w:rPr>
          <w:rFonts w:ascii="宋体"/>
          <w:szCs w:val="21"/>
        </w:rPr>
      </w:pPr>
      <w:r>
        <w:rPr>
          <w:rFonts w:hint="eastAsia" w:ascii="宋体" w:hAnsi="宋体"/>
          <w:b/>
          <w:bCs/>
          <w:szCs w:val="21"/>
        </w:rPr>
        <w:t>第十六条</w:t>
      </w:r>
      <w:r>
        <w:rPr>
          <w:rFonts w:ascii="宋体" w:hAnsi="宋体"/>
          <w:szCs w:val="21"/>
        </w:rPr>
        <w:t xml:space="preserve">  </w:t>
      </w:r>
      <w:bookmarkStart w:id="1" w:name="OLE_LINK1"/>
      <w:bookmarkStart w:id="2" w:name="OLE_LINK2"/>
      <w:r>
        <w:rPr>
          <w:rFonts w:hint="eastAsia" w:ascii="宋体" w:hAnsi="宋体"/>
          <w:szCs w:val="21"/>
        </w:rPr>
        <w:t>订立保险合同，保险人就保险标的或者被保险人的有关情况提出询问的，投保人应当如实告知。</w:t>
      </w:r>
    </w:p>
    <w:p>
      <w:pPr>
        <w:adjustRightInd w:val="0"/>
        <w:snapToGrid w:val="0"/>
        <w:spacing w:after="156" w:afterLines="50"/>
        <w:ind w:firstLine="420" w:firstLineChars="200"/>
        <w:rPr>
          <w:rFonts w:ascii="宋体"/>
          <w:szCs w:val="21"/>
        </w:rPr>
      </w:pPr>
      <w:r>
        <w:rPr>
          <w:rFonts w:hint="eastAsia" w:ascii="宋体" w:hAnsi="宋体"/>
          <w:szCs w:val="21"/>
        </w:rPr>
        <w:t>投保人故意或者因重大过失未履行前款规定的如实告知义务，足以影响保险人决定是否同意承保或者提高保险费率的，保险人有权解除保险合同。</w:t>
      </w:r>
    </w:p>
    <w:p>
      <w:pPr>
        <w:adjustRightInd w:val="0"/>
        <w:snapToGrid w:val="0"/>
        <w:spacing w:after="156" w:afterLines="50"/>
        <w:ind w:firstLine="420" w:firstLineChars="200"/>
        <w:rPr>
          <w:rFonts w:ascii="宋体"/>
          <w:szCs w:val="21"/>
        </w:rPr>
      </w:pPr>
      <w:r>
        <w:rPr>
          <w:rFonts w:hint="eastAsia" w:ascii="宋体" w:hAnsi="宋体"/>
          <w:szCs w:val="21"/>
        </w:rPr>
        <w:t>前款规定的合同解除权，自保险人知道有解除事由之日起，超过三十日不行使而消灭。自合同成立之日起超过二年的，保险人不得解除合同；发生保险事故的，保险人应当承担赔偿保险金的责任。</w:t>
      </w:r>
    </w:p>
    <w:p>
      <w:pPr>
        <w:adjustRightInd w:val="0"/>
        <w:snapToGrid w:val="0"/>
        <w:spacing w:after="156" w:afterLines="50"/>
        <w:ind w:firstLine="422" w:firstLineChars="200"/>
        <w:rPr>
          <w:rFonts w:ascii="宋体"/>
          <w:b/>
          <w:szCs w:val="21"/>
        </w:rPr>
      </w:pPr>
      <w:r>
        <w:rPr>
          <w:rFonts w:hint="eastAsia" w:ascii="宋体" w:hAnsi="宋体"/>
          <w:b/>
          <w:szCs w:val="21"/>
        </w:rPr>
        <w:t>投保人故意不履行如实告知义务的，保险人对于合同解除前发生的保险事故，不承担赔偿保险金的责任，并不退还保险费。</w:t>
      </w:r>
    </w:p>
    <w:p>
      <w:pPr>
        <w:adjustRightInd w:val="0"/>
        <w:snapToGrid w:val="0"/>
        <w:spacing w:after="156" w:afterLines="50"/>
        <w:ind w:firstLine="422" w:firstLineChars="200"/>
        <w:rPr>
          <w:rFonts w:ascii="宋体"/>
          <w:b/>
          <w:szCs w:val="21"/>
        </w:rPr>
      </w:pPr>
      <w:r>
        <w:rPr>
          <w:rFonts w:hint="eastAsia" w:ascii="宋体" w:hAnsi="宋体"/>
          <w:b/>
          <w:szCs w:val="21"/>
        </w:rPr>
        <w:t>投保人因重大过失未履行如实告知义务，对保险事故的发生有严重影响的，保险人对于合同解除前发生的保险事故，不承担赔偿保险金的责任，但应当退还保险费。</w:t>
      </w:r>
    </w:p>
    <w:p>
      <w:pPr>
        <w:adjustRightInd w:val="0"/>
        <w:snapToGrid w:val="0"/>
        <w:spacing w:after="156" w:afterLines="50"/>
        <w:ind w:firstLine="420" w:firstLineChars="200"/>
        <w:rPr>
          <w:rFonts w:ascii="宋体"/>
          <w:szCs w:val="21"/>
        </w:rPr>
      </w:pPr>
      <w:r>
        <w:rPr>
          <w:rFonts w:hint="eastAsia" w:ascii="宋体" w:hAnsi="宋体"/>
          <w:szCs w:val="21"/>
        </w:rPr>
        <w:t>保险人在合同订立时已经知道投保人未如实告知的情况的，保险人不得解除合同；发生保险事故的，保险人应当承担赔偿保险金的责任。</w:t>
      </w:r>
    </w:p>
    <w:bookmarkEnd w:id="1"/>
    <w:bookmarkEnd w:id="2"/>
    <w:p>
      <w:pPr>
        <w:adjustRightInd w:val="0"/>
        <w:snapToGrid w:val="0"/>
        <w:spacing w:after="156" w:afterLines="50"/>
        <w:ind w:firstLine="422" w:firstLineChars="200"/>
        <w:rPr>
          <w:rFonts w:ascii="宋体"/>
          <w:szCs w:val="21"/>
        </w:rPr>
      </w:pPr>
      <w:r>
        <w:rPr>
          <w:rFonts w:hint="eastAsia" w:ascii="宋体" w:hAnsi="宋体"/>
          <w:b/>
          <w:bCs/>
          <w:szCs w:val="21"/>
        </w:rPr>
        <w:t>第十七条</w:t>
      </w:r>
      <w:r>
        <w:rPr>
          <w:rFonts w:ascii="宋体" w:hAnsi="宋体"/>
          <w:szCs w:val="21"/>
        </w:rPr>
        <w:t xml:space="preserve">  </w:t>
      </w:r>
      <w:r>
        <w:rPr>
          <w:rFonts w:hint="eastAsia" w:ascii="宋体" w:hAnsi="宋体"/>
          <w:szCs w:val="21"/>
        </w:rPr>
        <w:t>除另有约定外，投保人应当在保险合同成立时交付保险费。</w:t>
      </w:r>
    </w:p>
    <w:p>
      <w:pPr>
        <w:adjustRightInd w:val="0"/>
        <w:snapToGrid w:val="0"/>
        <w:spacing w:after="156" w:afterLines="50"/>
        <w:ind w:firstLine="422" w:firstLineChars="200"/>
        <w:rPr>
          <w:rFonts w:ascii="宋体"/>
          <w:b/>
          <w:szCs w:val="21"/>
        </w:rPr>
      </w:pPr>
      <w:r>
        <w:rPr>
          <w:rFonts w:hint="eastAsia" w:ascii="宋体" w:hAnsi="宋体"/>
          <w:b/>
          <w:szCs w:val="21"/>
        </w:rPr>
        <w:t>约定一次性交付保险费的，投保人在约定交费日后交付保险费的，保险人对交费之前发生的保险事故不承担保险责任。</w:t>
      </w:r>
    </w:p>
    <w:p>
      <w:pPr>
        <w:adjustRightInd w:val="0"/>
        <w:snapToGrid w:val="0"/>
        <w:spacing w:after="156" w:afterLines="50"/>
        <w:ind w:firstLine="420" w:firstLineChars="200"/>
        <w:rPr>
          <w:rFonts w:ascii="宋体"/>
          <w:szCs w:val="21"/>
        </w:rPr>
      </w:pPr>
      <w:r>
        <w:rPr>
          <w:rFonts w:hint="eastAsia" w:ascii="宋体" w:hAnsi="宋体"/>
          <w:szCs w:val="21"/>
        </w:rPr>
        <w:t>约定分期交付保险费的，保险人按照保险事故发生前保险人实际收取保险费总额与投保人应当交付的保险费的比例承担保险责任，投保人应当交付的保险费是指截至保险事故发生时投保人按约定分期应该缴纳的保费总额。</w:t>
      </w:r>
    </w:p>
    <w:p>
      <w:pPr>
        <w:adjustRightInd w:val="0"/>
        <w:snapToGrid w:val="0"/>
        <w:spacing w:after="156" w:afterLines="50"/>
        <w:ind w:firstLine="422" w:firstLineChars="200"/>
        <w:rPr>
          <w:rFonts w:ascii="宋体"/>
          <w:szCs w:val="21"/>
        </w:rPr>
      </w:pPr>
      <w:r>
        <w:rPr>
          <w:rFonts w:hint="eastAsia" w:ascii="宋体" w:hAnsi="宋体"/>
          <w:b/>
          <w:bCs/>
          <w:szCs w:val="21"/>
        </w:rPr>
        <w:t>第十八条</w:t>
      </w:r>
      <w:r>
        <w:rPr>
          <w:rFonts w:ascii="宋体" w:hAnsi="宋体"/>
          <w:szCs w:val="21"/>
        </w:rPr>
        <w:t xml:space="preserve">  </w:t>
      </w:r>
      <w:r>
        <w:rPr>
          <w:rFonts w:hint="eastAsia" w:ascii="宋体" w:hAnsi="宋体"/>
          <w:szCs w:val="21"/>
        </w:rPr>
        <w:t>被保险人应严格遵守以及国家有关消防、安全、生产操作等方面的规定，加强管理，采取合理的预防措施，尽力避免或减少责任事故的发生。</w:t>
      </w:r>
    </w:p>
    <w:p>
      <w:pPr>
        <w:adjustRightInd w:val="0"/>
        <w:snapToGrid w:val="0"/>
        <w:spacing w:after="156" w:afterLines="50"/>
        <w:ind w:firstLine="420" w:firstLineChars="200"/>
        <w:rPr>
          <w:rFonts w:ascii="宋体"/>
          <w:szCs w:val="21"/>
        </w:rPr>
      </w:pPr>
      <w:r>
        <w:rPr>
          <w:rFonts w:hint="eastAsia" w:ascii="宋体" w:hAnsi="宋体"/>
          <w:szCs w:val="21"/>
        </w:rPr>
        <w:t>保险人可以对被保险人遵守前款约定的情况进行检查，向投保人、被保险人提出消除不安全因素和隐患的书面建议，投保人、被保险人应该认真付诸实施。</w:t>
      </w:r>
      <w:r>
        <w:rPr>
          <w:rFonts w:hint="eastAsia" w:ascii="宋体" w:hAnsi="宋体"/>
          <w:snapToGrid w:val="0"/>
          <w:kern w:val="0"/>
          <w:szCs w:val="21"/>
        </w:rPr>
        <w:t>但前述检查并不构成保险人对被保险人的任何承诺。</w:t>
      </w:r>
    </w:p>
    <w:p>
      <w:pPr>
        <w:adjustRightInd w:val="0"/>
        <w:snapToGrid w:val="0"/>
        <w:spacing w:after="156" w:afterLines="50"/>
        <w:ind w:firstLine="420" w:firstLineChars="200"/>
        <w:rPr>
          <w:rFonts w:ascii="宋体"/>
          <w:szCs w:val="21"/>
        </w:rPr>
      </w:pPr>
      <w:r>
        <w:rPr>
          <w:rFonts w:hint="eastAsia" w:ascii="宋体" w:hAnsi="宋体"/>
          <w:szCs w:val="21"/>
        </w:rPr>
        <w:t>投保人、被保险人未按照约定履行上述安全义务的，保险人有权要求增加保险费或者解除合同。</w:t>
      </w:r>
    </w:p>
    <w:p>
      <w:pPr>
        <w:adjustRightInd w:val="0"/>
        <w:snapToGrid w:val="0"/>
        <w:spacing w:after="156" w:afterLines="50"/>
        <w:ind w:firstLine="422" w:firstLineChars="200"/>
        <w:rPr>
          <w:rFonts w:ascii="宋体"/>
          <w:szCs w:val="21"/>
        </w:rPr>
      </w:pPr>
      <w:r>
        <w:rPr>
          <w:rFonts w:hint="eastAsia" w:ascii="宋体" w:hAnsi="宋体"/>
          <w:b/>
          <w:bCs/>
          <w:szCs w:val="21"/>
        </w:rPr>
        <w:t>第十九条</w:t>
      </w:r>
      <w:r>
        <w:rPr>
          <w:rFonts w:ascii="宋体" w:hAnsi="宋体"/>
          <w:szCs w:val="21"/>
        </w:rPr>
        <w:t xml:space="preserve">  </w:t>
      </w:r>
      <w:r>
        <w:rPr>
          <w:rFonts w:hint="eastAsia" w:ascii="宋体" w:hAnsi="宋体"/>
          <w:szCs w:val="21"/>
        </w:rPr>
        <w:t>在保险合同有效期内，保险标的的危险程度显著增加的，被保险人应当及时通知保险人，保险人可以根据费率表的规定增加保险费或者解除合同。</w:t>
      </w:r>
    </w:p>
    <w:p>
      <w:pPr>
        <w:adjustRightInd w:val="0"/>
        <w:snapToGrid w:val="0"/>
        <w:spacing w:after="156" w:afterLines="50"/>
        <w:ind w:firstLine="422" w:firstLineChars="200"/>
        <w:rPr>
          <w:rFonts w:ascii="宋体"/>
          <w:b/>
          <w:szCs w:val="21"/>
        </w:rPr>
      </w:pPr>
      <w:r>
        <w:rPr>
          <w:rFonts w:hint="eastAsia" w:ascii="宋体" w:hAnsi="宋体"/>
          <w:b/>
          <w:szCs w:val="21"/>
        </w:rPr>
        <w:t>被保险人未履行前款约定的通知义务的，因保险标的的危险程度显著增加而发生的保险事故，保险人不承担赔偿保险金的责任。</w:t>
      </w:r>
    </w:p>
    <w:p>
      <w:pPr>
        <w:adjustRightInd w:val="0"/>
        <w:snapToGrid w:val="0"/>
        <w:spacing w:after="156" w:afterLines="50"/>
        <w:ind w:firstLine="422" w:firstLineChars="200"/>
        <w:rPr>
          <w:rFonts w:ascii="宋体"/>
          <w:szCs w:val="21"/>
        </w:rPr>
      </w:pPr>
      <w:r>
        <w:rPr>
          <w:rFonts w:hint="eastAsia" w:ascii="宋体" w:hAnsi="宋体"/>
          <w:b/>
          <w:bCs/>
          <w:szCs w:val="21"/>
        </w:rPr>
        <w:t>第二十条</w:t>
      </w:r>
      <w:r>
        <w:rPr>
          <w:rFonts w:ascii="宋体" w:hAnsi="宋体"/>
          <w:szCs w:val="21"/>
        </w:rPr>
        <w:t xml:space="preserve">  </w:t>
      </w:r>
      <w:r>
        <w:rPr>
          <w:rFonts w:hint="eastAsia" w:ascii="宋体" w:hAnsi="宋体"/>
          <w:szCs w:val="21"/>
        </w:rPr>
        <w:t>知道保险事故发生后，被保险人应该：</w:t>
      </w:r>
    </w:p>
    <w:p>
      <w:pPr>
        <w:adjustRightInd w:val="0"/>
        <w:snapToGrid w:val="0"/>
        <w:spacing w:after="156" w:afterLines="50"/>
        <w:ind w:firstLine="420" w:firstLineChars="200"/>
        <w:rPr>
          <w:rFonts w:ascii="宋体"/>
          <w:szCs w:val="21"/>
        </w:rPr>
      </w:pPr>
      <w:r>
        <w:rPr>
          <w:rFonts w:hint="eastAsia" w:ascii="宋体" w:hAnsi="宋体"/>
          <w:szCs w:val="21"/>
        </w:rPr>
        <w:t>（一）尽力采取必要、合理的措施，防止或减少损失，</w:t>
      </w:r>
      <w:r>
        <w:rPr>
          <w:rFonts w:hint="eastAsia" w:ascii="宋体" w:hAnsi="宋体"/>
          <w:b/>
          <w:szCs w:val="21"/>
        </w:rPr>
        <w:t>否则，对因此扩大的损失，保险人不承担赔偿责任；</w:t>
      </w:r>
    </w:p>
    <w:p>
      <w:pPr>
        <w:adjustRightInd w:val="0"/>
        <w:snapToGrid w:val="0"/>
        <w:spacing w:after="156" w:afterLines="50"/>
        <w:ind w:firstLine="420" w:firstLineChars="200"/>
        <w:rPr>
          <w:rStyle w:val="91"/>
          <w:rFonts w:ascii="宋体"/>
          <w:color w:val="000000"/>
          <w:szCs w:val="21"/>
        </w:rPr>
      </w:pPr>
      <w:r>
        <w:rPr>
          <w:rFonts w:hint="eastAsia" w:ascii="宋体" w:hAnsi="宋体"/>
          <w:szCs w:val="21"/>
        </w:rPr>
        <w:t>（二）及时通知保险人，并书面说明事故发生的原因、经过和损失情况；</w:t>
      </w:r>
      <w:r>
        <w:rPr>
          <w:rStyle w:val="91"/>
          <w:rFonts w:hint="eastAsia" w:ascii="宋体" w:hAnsi="宋体"/>
          <w:b/>
          <w:color w:val="000000"/>
          <w:szCs w:val="21"/>
        </w:rPr>
        <w:t>故意或者因重大过失未及时通知，致使保险事故的性质、原因、损失程度等难以确定的，保险人对无法确定的部分，不承担赔偿责任，</w:t>
      </w:r>
      <w:r>
        <w:rPr>
          <w:rStyle w:val="91"/>
          <w:rFonts w:hint="eastAsia" w:ascii="宋体" w:hAnsi="宋体"/>
          <w:color w:val="000000"/>
          <w:szCs w:val="21"/>
        </w:rPr>
        <w:t>但保险人通过其他途径已经及时知道或者应当及时知道保险事故发生的除外；</w:t>
      </w:r>
    </w:p>
    <w:p>
      <w:pPr>
        <w:adjustRightInd w:val="0"/>
        <w:snapToGrid w:val="0"/>
        <w:spacing w:after="156" w:afterLines="50"/>
        <w:ind w:firstLine="420" w:firstLineChars="200"/>
        <w:rPr>
          <w:rFonts w:ascii="宋体"/>
          <w:b/>
          <w:szCs w:val="21"/>
        </w:rPr>
      </w:pPr>
      <w:r>
        <w:rPr>
          <w:rFonts w:hint="eastAsia" w:ascii="宋体" w:hAnsi="宋体"/>
          <w:szCs w:val="21"/>
        </w:rPr>
        <w:t>（三）保护事故现场，允许并且协助保险人进行事故调查；</w:t>
      </w:r>
      <w:r>
        <w:rPr>
          <w:rFonts w:hint="eastAsia" w:ascii="宋体" w:hAnsi="宋体"/>
          <w:b/>
          <w:szCs w:val="21"/>
        </w:rPr>
        <w:t>对于拒绝或者妨碍保险人进行事故调查导致无法确定事故原因或核实损失情况的，保险人对无法确定或核实的部分，不承担赔偿责任；</w:t>
      </w:r>
    </w:p>
    <w:p>
      <w:pPr>
        <w:adjustRightInd w:val="0"/>
        <w:snapToGrid w:val="0"/>
        <w:spacing w:after="156" w:afterLines="50"/>
        <w:ind w:firstLine="420" w:firstLineChars="200"/>
        <w:rPr>
          <w:szCs w:val="21"/>
        </w:rPr>
      </w:pPr>
      <w:r>
        <w:rPr>
          <w:rFonts w:hint="eastAsia"/>
          <w:szCs w:val="21"/>
        </w:rPr>
        <w:t>（四）涉及违法、犯罪的，应立即向公安部门报案，</w:t>
      </w:r>
      <w:r>
        <w:rPr>
          <w:rFonts w:hint="eastAsia" w:ascii="宋体" w:hAnsi="宋体"/>
          <w:b/>
          <w:szCs w:val="21"/>
        </w:rPr>
        <w:t>否则，对因此扩大的损失，保险人不承担赔偿责任。</w:t>
      </w:r>
    </w:p>
    <w:p>
      <w:pPr>
        <w:adjustRightInd w:val="0"/>
        <w:snapToGrid w:val="0"/>
        <w:spacing w:after="156" w:afterLines="50"/>
        <w:ind w:firstLine="422" w:firstLineChars="200"/>
        <w:rPr>
          <w:rFonts w:ascii="宋体"/>
          <w:szCs w:val="21"/>
        </w:rPr>
      </w:pPr>
      <w:r>
        <w:rPr>
          <w:rFonts w:hint="eastAsia" w:ascii="宋体" w:hAnsi="宋体"/>
          <w:b/>
          <w:bCs/>
          <w:szCs w:val="21"/>
        </w:rPr>
        <w:t>第二十一条</w:t>
      </w:r>
      <w:r>
        <w:rPr>
          <w:rFonts w:ascii="宋体" w:hAnsi="宋体"/>
          <w:szCs w:val="21"/>
        </w:rPr>
        <w:t xml:space="preserve">  </w:t>
      </w:r>
      <w:r>
        <w:rPr>
          <w:rFonts w:hint="eastAsia" w:ascii="宋体" w:hAnsi="宋体"/>
          <w:szCs w:val="21"/>
        </w:rPr>
        <w:t>被保险人收到受害人的损害赔偿请求时，应立即通知保险人。</w:t>
      </w:r>
      <w:r>
        <w:rPr>
          <w:rStyle w:val="91"/>
          <w:rFonts w:hint="eastAsia" w:ascii="宋体" w:hAnsi="宋体"/>
          <w:szCs w:val="21"/>
        </w:rPr>
        <w:t>未经保险人书面同意，被保险人对受害人作出的任何承诺、拒绝、出价、约定、付款或赔偿，保险人不受其约束。</w:t>
      </w:r>
      <w:r>
        <w:rPr>
          <w:rStyle w:val="91"/>
          <w:rFonts w:hint="eastAsia" w:ascii="宋体" w:hAnsi="宋体"/>
          <w:b/>
          <w:szCs w:val="21"/>
        </w:rPr>
        <w:t>对于被保险人自行承诺或支付的赔偿金额，保险人有权重新核定，不属于本</w:t>
      </w:r>
      <w:r>
        <w:rPr>
          <w:rStyle w:val="91"/>
          <w:rFonts w:hint="eastAsia" w:ascii="宋体" w:hAnsi="宋体"/>
          <w:b/>
          <w:color w:val="000000"/>
          <w:szCs w:val="21"/>
        </w:rPr>
        <w:t>保险责任范围或超出应赔偿限额的，保险人不承担赔偿责任。</w:t>
      </w:r>
      <w:r>
        <w:rPr>
          <w:rStyle w:val="91"/>
          <w:rFonts w:hint="eastAsia" w:ascii="宋体" w:hAnsi="宋体"/>
          <w:color w:val="000000"/>
          <w:szCs w:val="21"/>
        </w:rPr>
        <w:t>在处理索赔过程中，保险人有权自行处理由其承担最终赔偿责任的任何索赔案件，被保险人有义务向保险人提供其所能提供的资料和协助</w:t>
      </w:r>
      <w:r>
        <w:rPr>
          <w:rFonts w:hint="eastAsia" w:ascii="宋体" w:hAnsi="宋体"/>
          <w:b/>
          <w:szCs w:val="21"/>
        </w:rPr>
        <w:t>。</w:t>
      </w:r>
    </w:p>
    <w:p>
      <w:pPr>
        <w:adjustRightInd w:val="0"/>
        <w:snapToGrid w:val="0"/>
        <w:spacing w:after="156" w:afterLines="50"/>
        <w:ind w:firstLine="422" w:firstLineChars="200"/>
        <w:rPr>
          <w:rFonts w:ascii="宋体"/>
          <w:szCs w:val="21"/>
        </w:rPr>
      </w:pPr>
      <w:r>
        <w:rPr>
          <w:rFonts w:hint="eastAsia" w:ascii="宋体" w:hAnsi="宋体"/>
          <w:b/>
          <w:bCs/>
          <w:szCs w:val="21"/>
        </w:rPr>
        <w:t>第二十二条</w:t>
      </w:r>
      <w:r>
        <w:rPr>
          <w:rFonts w:ascii="宋体" w:hAnsi="宋体"/>
          <w:szCs w:val="21"/>
        </w:rPr>
        <w:t xml:space="preserve">  </w:t>
      </w:r>
      <w:r>
        <w:rPr>
          <w:rFonts w:hint="eastAsia" w:ascii="宋体" w:hAnsi="宋体"/>
          <w:szCs w:val="21"/>
        </w:rPr>
        <w:t>被保险人获悉可能发生诉讼、仲裁时，应立即以书面形式通知保险人；接到法院传票或其他法律文书后，应将其副本及时送交保险人。保险人有权以被保险人的名义处理有关诉讼或仲裁事宜，被保险人应提供有关文件，并给予必要的协助。</w:t>
      </w:r>
    </w:p>
    <w:p>
      <w:pPr>
        <w:adjustRightInd w:val="0"/>
        <w:snapToGrid w:val="0"/>
        <w:spacing w:after="156" w:afterLines="50"/>
        <w:ind w:firstLine="422" w:firstLineChars="200"/>
        <w:rPr>
          <w:rFonts w:ascii="宋体"/>
          <w:b/>
          <w:szCs w:val="21"/>
        </w:rPr>
      </w:pPr>
      <w:r>
        <w:rPr>
          <w:rFonts w:hint="eastAsia" w:ascii="宋体" w:hAnsi="宋体"/>
          <w:b/>
          <w:szCs w:val="21"/>
        </w:rPr>
        <w:t>对因未及时提供上述通知或必要协助导致扩大的损失，保险人不承担赔偿责任。</w:t>
      </w:r>
    </w:p>
    <w:p>
      <w:pPr>
        <w:adjustRightInd w:val="0"/>
        <w:snapToGrid w:val="0"/>
        <w:spacing w:after="156" w:afterLines="50"/>
        <w:ind w:firstLine="422" w:firstLineChars="200"/>
        <w:rPr>
          <w:rFonts w:ascii="宋体"/>
          <w:color w:val="008000"/>
          <w:szCs w:val="21"/>
        </w:rPr>
      </w:pPr>
      <w:r>
        <w:rPr>
          <w:rFonts w:hint="eastAsia" w:ascii="宋体" w:hAnsi="宋体"/>
          <w:b/>
          <w:bCs/>
          <w:szCs w:val="21"/>
        </w:rPr>
        <w:t>第二十三条</w:t>
      </w:r>
      <w:r>
        <w:rPr>
          <w:rFonts w:ascii="宋体" w:hAnsi="宋体"/>
          <w:szCs w:val="21"/>
        </w:rPr>
        <w:t xml:space="preserve">  </w:t>
      </w:r>
      <w:r>
        <w:rPr>
          <w:rFonts w:hint="eastAsia" w:ascii="宋体" w:hAnsi="宋体"/>
          <w:szCs w:val="21"/>
        </w:rPr>
        <w:t>被保险人请求赔偿时，应向保险人提供下列证明和资料：</w:t>
      </w:r>
    </w:p>
    <w:p>
      <w:pPr>
        <w:adjustRightInd w:val="0"/>
        <w:snapToGrid w:val="0"/>
        <w:spacing w:after="156" w:afterLines="50"/>
        <w:ind w:firstLine="420" w:firstLineChars="200"/>
        <w:rPr>
          <w:rFonts w:ascii="宋体"/>
          <w:szCs w:val="21"/>
        </w:rPr>
      </w:pPr>
      <w:r>
        <w:rPr>
          <w:rFonts w:hint="eastAsia" w:ascii="宋体" w:hAnsi="宋体"/>
          <w:szCs w:val="21"/>
        </w:rPr>
        <w:t>（一）保险单正本；</w:t>
      </w:r>
    </w:p>
    <w:p>
      <w:pPr>
        <w:adjustRightInd w:val="0"/>
        <w:snapToGrid w:val="0"/>
        <w:spacing w:after="156" w:afterLines="50"/>
        <w:ind w:firstLine="420" w:firstLineChars="200"/>
        <w:rPr>
          <w:rFonts w:ascii="宋体"/>
          <w:szCs w:val="21"/>
        </w:rPr>
      </w:pPr>
      <w:r>
        <w:rPr>
          <w:rFonts w:hint="eastAsia" w:ascii="宋体" w:hAnsi="宋体"/>
          <w:szCs w:val="21"/>
        </w:rPr>
        <w:t>（二）被保险人或其代表填具的索赔申请书；</w:t>
      </w:r>
    </w:p>
    <w:p>
      <w:pPr>
        <w:adjustRightInd w:val="0"/>
        <w:snapToGrid w:val="0"/>
        <w:spacing w:after="156" w:afterLines="50"/>
        <w:ind w:firstLine="420" w:firstLineChars="200"/>
        <w:rPr>
          <w:rFonts w:ascii="宋体"/>
          <w:szCs w:val="21"/>
        </w:rPr>
      </w:pPr>
      <w:r>
        <w:rPr>
          <w:rFonts w:hint="eastAsia" w:ascii="宋体" w:hAnsi="宋体"/>
          <w:szCs w:val="21"/>
        </w:rPr>
        <w:t>（三）受害人向被保险人提出索赔的相关材料；</w:t>
      </w:r>
    </w:p>
    <w:p>
      <w:pPr>
        <w:adjustRightInd w:val="0"/>
        <w:snapToGrid w:val="0"/>
        <w:spacing w:after="156" w:afterLines="50"/>
        <w:ind w:firstLine="420" w:firstLineChars="200"/>
        <w:rPr>
          <w:rFonts w:ascii="宋体"/>
          <w:szCs w:val="21"/>
        </w:rPr>
      </w:pPr>
      <w:r>
        <w:rPr>
          <w:rFonts w:hint="eastAsia" w:ascii="宋体" w:hAnsi="宋体"/>
          <w:szCs w:val="21"/>
        </w:rPr>
        <w:t>（四）造成受害人人身伤害的，应包括：受害人的病历、诊断证明、医疗费等医疗原始单据；受害人的人身伤害程度证明：受害人伤残的，应当提供具备相关法律法规要求的伤残鉴定资格的医疗机构出具的伤残程度证明；受害人死亡的，公安机关或医疗机构出具的死亡证明书；</w:t>
      </w:r>
    </w:p>
    <w:p>
      <w:pPr>
        <w:adjustRightInd w:val="0"/>
        <w:snapToGrid w:val="0"/>
        <w:spacing w:after="156" w:afterLines="50"/>
        <w:ind w:firstLine="420" w:firstLineChars="200"/>
        <w:rPr>
          <w:rFonts w:ascii="宋体"/>
          <w:szCs w:val="21"/>
        </w:rPr>
      </w:pPr>
      <w:r>
        <w:rPr>
          <w:rFonts w:hint="eastAsia" w:ascii="宋体" w:hAnsi="宋体"/>
          <w:szCs w:val="21"/>
        </w:rPr>
        <w:t>（五）造成受害人财产损失的，应包括：损失、费用清单；</w:t>
      </w:r>
    </w:p>
    <w:p>
      <w:pPr>
        <w:adjustRightInd w:val="0"/>
        <w:snapToGrid w:val="0"/>
        <w:spacing w:after="156" w:afterLines="50"/>
        <w:ind w:firstLine="420" w:firstLineChars="200"/>
        <w:rPr>
          <w:rFonts w:ascii="宋体"/>
          <w:szCs w:val="21"/>
        </w:rPr>
      </w:pPr>
      <w:r>
        <w:rPr>
          <w:rFonts w:hint="eastAsia" w:ascii="宋体" w:hAnsi="宋体"/>
          <w:szCs w:val="21"/>
        </w:rPr>
        <w:t>（六）被保险人与受害人所签订的赔偿协议书或和解书；经判决或仲裁的，应提供判决文书或仲裁裁决文书；</w:t>
      </w:r>
    </w:p>
    <w:p>
      <w:pPr>
        <w:adjustRightInd w:val="0"/>
        <w:snapToGrid w:val="0"/>
        <w:spacing w:after="156" w:afterLines="50"/>
        <w:ind w:firstLine="420" w:firstLineChars="200"/>
        <w:rPr>
          <w:rFonts w:ascii="宋体"/>
          <w:szCs w:val="21"/>
        </w:rPr>
      </w:pPr>
      <w:r>
        <w:rPr>
          <w:rFonts w:hint="eastAsia" w:ascii="宋体" w:hAnsi="宋体"/>
          <w:szCs w:val="21"/>
        </w:rPr>
        <w:t>（七）投保人、被保险人所能提供的与确认保险事故的性质、原因、损失程度等有关的其他证明和资料。</w:t>
      </w:r>
    </w:p>
    <w:p>
      <w:pPr>
        <w:adjustRightInd w:val="0"/>
        <w:snapToGrid w:val="0"/>
        <w:spacing w:after="156" w:afterLines="50"/>
        <w:ind w:firstLine="422" w:firstLineChars="200"/>
        <w:rPr>
          <w:rFonts w:ascii="宋体"/>
          <w:b/>
          <w:szCs w:val="21"/>
        </w:rPr>
      </w:pPr>
      <w:r>
        <w:rPr>
          <w:rFonts w:hint="eastAsia" w:ascii="宋体" w:hAnsi="宋体"/>
          <w:b/>
          <w:szCs w:val="21"/>
        </w:rPr>
        <w:t>被保险人未履行前款约定的索赔材料提供义务，导致保险人无法核实损失情况的，保险人对无法核实部分不承担赔偿责任。</w:t>
      </w:r>
    </w:p>
    <w:p>
      <w:pPr>
        <w:adjustRightInd w:val="0"/>
        <w:snapToGrid w:val="0"/>
        <w:spacing w:after="156" w:afterLines="50"/>
        <w:jc w:val="center"/>
        <w:rPr>
          <w:rFonts w:ascii="宋体"/>
          <w:b/>
          <w:bCs/>
          <w:szCs w:val="21"/>
        </w:rPr>
      </w:pPr>
      <w:r>
        <w:rPr>
          <w:rFonts w:hint="eastAsia" w:ascii="宋体" w:hAnsi="宋体"/>
          <w:b/>
          <w:bCs/>
          <w:szCs w:val="21"/>
        </w:rPr>
        <w:t>赔偿处理</w:t>
      </w:r>
    </w:p>
    <w:p>
      <w:pPr>
        <w:adjustRightInd w:val="0"/>
        <w:snapToGrid w:val="0"/>
        <w:spacing w:after="156" w:afterLines="50"/>
        <w:ind w:firstLine="422" w:firstLineChars="200"/>
        <w:rPr>
          <w:rFonts w:ascii="宋体"/>
          <w:szCs w:val="21"/>
        </w:rPr>
      </w:pPr>
      <w:r>
        <w:rPr>
          <w:rFonts w:hint="eastAsia" w:ascii="宋体" w:hAnsi="宋体"/>
          <w:b/>
          <w:bCs/>
          <w:szCs w:val="21"/>
        </w:rPr>
        <w:t>第二十四条</w:t>
      </w:r>
      <w:r>
        <w:rPr>
          <w:rFonts w:ascii="宋体" w:hAnsi="宋体"/>
          <w:szCs w:val="21"/>
        </w:rPr>
        <w:t xml:space="preserve">  </w:t>
      </w:r>
      <w:r>
        <w:rPr>
          <w:rFonts w:hint="eastAsia" w:ascii="宋体" w:hAnsi="宋体"/>
          <w:szCs w:val="21"/>
        </w:rPr>
        <w:t>保险人的赔偿以下列方式之一确定的被保险人的赔偿责任为基础：</w:t>
      </w:r>
    </w:p>
    <w:p>
      <w:pPr>
        <w:adjustRightInd w:val="0"/>
        <w:snapToGrid w:val="0"/>
        <w:spacing w:after="156" w:afterLines="50"/>
        <w:ind w:firstLine="420" w:firstLineChars="200"/>
        <w:rPr>
          <w:rFonts w:ascii="宋体"/>
          <w:szCs w:val="21"/>
        </w:rPr>
      </w:pPr>
      <w:r>
        <w:rPr>
          <w:rFonts w:hint="eastAsia" w:ascii="宋体" w:hAnsi="宋体"/>
          <w:szCs w:val="21"/>
        </w:rPr>
        <w:t>（一）被保险人和向其提出损害赔偿请求的受害人协商并经保险人确认；</w:t>
      </w:r>
    </w:p>
    <w:p>
      <w:pPr>
        <w:adjustRightInd w:val="0"/>
        <w:snapToGrid w:val="0"/>
        <w:spacing w:after="156" w:afterLines="50"/>
        <w:ind w:firstLine="420" w:firstLineChars="200"/>
        <w:rPr>
          <w:rFonts w:ascii="宋体"/>
          <w:szCs w:val="21"/>
        </w:rPr>
      </w:pPr>
      <w:r>
        <w:rPr>
          <w:rFonts w:hint="eastAsia" w:ascii="宋体" w:hAnsi="宋体"/>
          <w:szCs w:val="21"/>
        </w:rPr>
        <w:t>（二）仲裁机构裁决；</w:t>
      </w:r>
    </w:p>
    <w:p>
      <w:pPr>
        <w:adjustRightInd w:val="0"/>
        <w:snapToGrid w:val="0"/>
        <w:spacing w:after="156" w:afterLines="50"/>
        <w:ind w:firstLine="420" w:firstLineChars="200"/>
        <w:rPr>
          <w:rFonts w:ascii="宋体"/>
          <w:szCs w:val="21"/>
        </w:rPr>
      </w:pPr>
      <w:r>
        <w:rPr>
          <w:rFonts w:hint="eastAsia" w:ascii="宋体" w:hAnsi="宋体"/>
          <w:szCs w:val="21"/>
        </w:rPr>
        <w:t>（三）人民法院判决；</w:t>
      </w:r>
    </w:p>
    <w:p>
      <w:pPr>
        <w:adjustRightInd w:val="0"/>
        <w:snapToGrid w:val="0"/>
        <w:spacing w:after="156" w:afterLines="50"/>
        <w:ind w:firstLine="420" w:firstLineChars="200"/>
        <w:rPr>
          <w:rFonts w:ascii="宋体"/>
          <w:szCs w:val="21"/>
        </w:rPr>
      </w:pPr>
      <w:r>
        <w:rPr>
          <w:rFonts w:hint="eastAsia" w:ascii="宋体" w:hAnsi="宋体"/>
          <w:szCs w:val="21"/>
        </w:rPr>
        <w:t>（四）保险人认可的其他方式。</w:t>
      </w:r>
    </w:p>
    <w:p>
      <w:pPr>
        <w:adjustRightInd w:val="0"/>
        <w:snapToGrid w:val="0"/>
        <w:spacing w:after="156" w:afterLines="50"/>
        <w:ind w:firstLine="422" w:firstLineChars="200"/>
        <w:rPr>
          <w:rFonts w:ascii="宋体"/>
          <w:b/>
          <w:szCs w:val="21"/>
        </w:rPr>
      </w:pPr>
      <w:r>
        <w:rPr>
          <w:rFonts w:hint="eastAsia" w:ascii="宋体" w:hAnsi="宋体"/>
          <w:b/>
          <w:bCs/>
          <w:szCs w:val="21"/>
        </w:rPr>
        <w:t>第二十五条</w:t>
      </w:r>
      <w:r>
        <w:rPr>
          <w:rFonts w:ascii="宋体" w:hAnsi="宋体"/>
          <w:szCs w:val="21"/>
        </w:rPr>
        <w:t xml:space="preserve">  </w:t>
      </w:r>
      <w:r>
        <w:rPr>
          <w:rFonts w:hint="eastAsia" w:ascii="宋体" w:hAnsi="宋体"/>
          <w:b/>
          <w:szCs w:val="21"/>
        </w:rPr>
        <w:t>被保险人给第三者造成损害，被保险人未向该第三者赔偿的，保险人不负责向被保险人赔偿保险金。</w:t>
      </w:r>
    </w:p>
    <w:p>
      <w:pPr>
        <w:adjustRightInd w:val="0"/>
        <w:snapToGrid w:val="0"/>
        <w:spacing w:after="156" w:afterLines="50"/>
        <w:ind w:firstLine="422" w:firstLineChars="200"/>
        <w:rPr>
          <w:rFonts w:ascii="宋体"/>
          <w:szCs w:val="21"/>
        </w:rPr>
      </w:pPr>
      <w:r>
        <w:rPr>
          <w:rFonts w:hint="eastAsia" w:ascii="宋体" w:hAnsi="宋体"/>
          <w:b/>
          <w:bCs/>
          <w:szCs w:val="21"/>
        </w:rPr>
        <w:t>第二十六条</w:t>
      </w:r>
      <w:r>
        <w:rPr>
          <w:rFonts w:ascii="宋体" w:hAnsi="宋体"/>
          <w:b/>
          <w:bCs/>
          <w:szCs w:val="21"/>
        </w:rPr>
        <w:t xml:space="preserve">  </w:t>
      </w:r>
      <w:r>
        <w:rPr>
          <w:rFonts w:hint="eastAsia" w:ascii="宋体" w:hAnsi="宋体"/>
          <w:szCs w:val="21"/>
        </w:rPr>
        <w:t>发生保险责任范围内的损失，保险人按以下方式计算赔偿：</w:t>
      </w:r>
    </w:p>
    <w:p>
      <w:pPr>
        <w:adjustRightInd w:val="0"/>
        <w:snapToGrid w:val="0"/>
        <w:spacing w:after="156" w:afterLines="50"/>
        <w:ind w:firstLine="420" w:firstLineChars="200"/>
        <w:rPr>
          <w:rFonts w:ascii="宋体"/>
          <w:szCs w:val="21"/>
        </w:rPr>
      </w:pPr>
      <w:r>
        <w:rPr>
          <w:rFonts w:hint="eastAsia" w:ascii="宋体" w:hAnsi="宋体"/>
          <w:szCs w:val="21"/>
        </w:rPr>
        <w:t>（一）对于每次事故造成的损失，保险人在每次事故赔偿限额内计算赔偿，其中对每人的赔偿金额不得超过每次事故每人赔偿限额，对每次事故多人人身伤亡的赔偿金额不得超过每次事故人身伤亡赔偿限额，对每次事故多人财产损失的赔偿金额不得超过每次事故财产损失赔偿限额，对每次事故承担的法律费用的赔偿金额不超过每次事故赔偿限额的</w:t>
      </w:r>
      <w:r>
        <w:rPr>
          <w:rFonts w:ascii="宋体" w:hAnsi="宋体"/>
          <w:szCs w:val="21"/>
        </w:rPr>
        <w:t>10%</w:t>
      </w:r>
      <w:r>
        <w:rPr>
          <w:rFonts w:hint="eastAsia" w:ascii="宋体" w:hAnsi="宋体"/>
          <w:szCs w:val="21"/>
        </w:rPr>
        <w:t>，但合同另有约定的除外。</w:t>
      </w:r>
    </w:p>
    <w:p>
      <w:pPr>
        <w:adjustRightInd w:val="0"/>
        <w:snapToGrid w:val="0"/>
        <w:spacing w:after="156" w:afterLines="50"/>
        <w:ind w:firstLine="420" w:firstLineChars="200"/>
        <w:rPr>
          <w:rFonts w:ascii="宋体"/>
          <w:szCs w:val="21"/>
        </w:rPr>
      </w:pPr>
      <w:r>
        <w:rPr>
          <w:rFonts w:hint="eastAsia" w:ascii="宋体" w:hAnsi="宋体"/>
          <w:szCs w:val="21"/>
        </w:rPr>
        <w:t>（二）在依据本条第（一）项计算的基础上，保险人在扣除每次事故免赔额后进行赔偿；</w:t>
      </w:r>
    </w:p>
    <w:p>
      <w:pPr>
        <w:adjustRightInd w:val="0"/>
        <w:snapToGrid w:val="0"/>
        <w:spacing w:after="156" w:afterLines="50"/>
        <w:ind w:firstLine="420" w:firstLineChars="200"/>
        <w:rPr>
          <w:rFonts w:ascii="宋体"/>
          <w:szCs w:val="21"/>
        </w:rPr>
      </w:pPr>
      <w:r>
        <w:rPr>
          <w:rFonts w:hint="eastAsia" w:ascii="宋体" w:hAnsi="宋体"/>
          <w:szCs w:val="21"/>
        </w:rPr>
        <w:t>（三）在保险期间内，保险人对多次事故承担的本条款第三、四、五条规定的赔偿金额之和累计不超过累计赔偿限额。</w:t>
      </w:r>
    </w:p>
    <w:p>
      <w:pPr>
        <w:tabs>
          <w:tab w:val="left" w:pos="1800"/>
        </w:tabs>
        <w:snapToGrid w:val="0"/>
        <w:spacing w:after="156" w:afterLines="50"/>
        <w:ind w:firstLine="422" w:firstLineChars="200"/>
        <w:rPr>
          <w:rFonts w:ascii="宋体"/>
          <w:snapToGrid w:val="0"/>
          <w:kern w:val="0"/>
          <w:szCs w:val="21"/>
        </w:rPr>
      </w:pPr>
      <w:r>
        <w:rPr>
          <w:rFonts w:hint="eastAsia" w:ascii="宋体" w:hAnsi="宋体"/>
          <w:b/>
          <w:bCs/>
          <w:snapToGrid w:val="0"/>
          <w:kern w:val="0"/>
          <w:szCs w:val="21"/>
        </w:rPr>
        <w:t>第二十七条</w:t>
      </w:r>
      <w:r>
        <w:rPr>
          <w:rFonts w:ascii="宋体" w:hAnsi="宋体"/>
          <w:snapToGrid w:val="0"/>
          <w:kern w:val="0"/>
          <w:szCs w:val="21"/>
        </w:rPr>
        <w:t xml:space="preserve">  </w:t>
      </w:r>
      <w:r>
        <w:rPr>
          <w:rFonts w:hint="eastAsia" w:ascii="宋体" w:hAnsi="宋体"/>
          <w:snapToGrid w:val="0"/>
          <w:kern w:val="0"/>
          <w:szCs w:val="21"/>
        </w:rPr>
        <w:t>发生保险事故造成财产损失的，应当尽量修复。修理前被保险人须会同保险人检验，确定修理项目、方式和费用。否则，保险人有权重新核定或拒绝赔偿。</w:t>
      </w:r>
    </w:p>
    <w:p>
      <w:pPr>
        <w:tabs>
          <w:tab w:val="left" w:pos="1800"/>
        </w:tabs>
        <w:snapToGrid w:val="0"/>
        <w:spacing w:after="156" w:afterLines="50"/>
        <w:ind w:firstLine="422" w:firstLineChars="200"/>
        <w:rPr>
          <w:rFonts w:ascii="宋体"/>
          <w:snapToGrid w:val="0"/>
          <w:kern w:val="0"/>
          <w:szCs w:val="21"/>
        </w:rPr>
      </w:pPr>
      <w:r>
        <w:rPr>
          <w:rFonts w:hint="eastAsia" w:ascii="宋体" w:hAnsi="宋体"/>
          <w:b/>
          <w:bCs/>
          <w:snapToGrid w:val="0"/>
          <w:kern w:val="0"/>
          <w:szCs w:val="21"/>
        </w:rPr>
        <w:t>第二十八条</w:t>
      </w:r>
      <w:r>
        <w:rPr>
          <w:rFonts w:ascii="宋体" w:hAnsi="宋体"/>
          <w:snapToGrid w:val="0"/>
          <w:kern w:val="0"/>
          <w:szCs w:val="21"/>
        </w:rPr>
        <w:t xml:space="preserve">  </w:t>
      </w:r>
      <w:r>
        <w:rPr>
          <w:rFonts w:hint="eastAsia" w:ascii="宋体" w:hAnsi="宋体"/>
          <w:snapToGrid w:val="0"/>
          <w:kern w:val="0"/>
          <w:szCs w:val="21"/>
        </w:rPr>
        <w:t>死亡赔偿金按照事故发生地城镇居民人均可支配收入或农村居民人均纯收入标准，按二十年计算。但六十岁以上的，年龄每增加一岁减少一年；七十五岁以上的，按五年计算。</w:t>
      </w:r>
    </w:p>
    <w:p>
      <w:pPr>
        <w:tabs>
          <w:tab w:val="left" w:pos="1800"/>
        </w:tabs>
        <w:snapToGrid w:val="0"/>
        <w:spacing w:after="156" w:afterLines="50"/>
        <w:ind w:firstLine="420" w:firstLineChars="200"/>
        <w:rPr>
          <w:rFonts w:ascii="宋体"/>
          <w:snapToGrid w:val="0"/>
          <w:kern w:val="0"/>
          <w:szCs w:val="21"/>
        </w:rPr>
      </w:pPr>
      <w:r>
        <w:rPr>
          <w:rFonts w:hint="eastAsia" w:ascii="宋体" w:hAnsi="宋体"/>
          <w:snapToGrid w:val="0"/>
          <w:kern w:val="0"/>
          <w:szCs w:val="21"/>
        </w:rPr>
        <w:t>死亡赔偿金＝城镇居民人均可支配收入（或农村居民人均纯收入）×计算年限</w:t>
      </w:r>
    </w:p>
    <w:p>
      <w:pPr>
        <w:tabs>
          <w:tab w:val="left" w:pos="1800"/>
        </w:tabs>
        <w:snapToGrid w:val="0"/>
        <w:spacing w:after="156" w:afterLines="50"/>
        <w:ind w:firstLine="422" w:firstLineChars="200"/>
        <w:rPr>
          <w:rFonts w:ascii="宋体"/>
          <w:snapToGrid w:val="0"/>
          <w:kern w:val="0"/>
          <w:szCs w:val="21"/>
        </w:rPr>
      </w:pPr>
      <w:r>
        <w:rPr>
          <w:rFonts w:hint="eastAsia" w:ascii="宋体" w:hAnsi="宋体"/>
          <w:b/>
          <w:bCs/>
          <w:snapToGrid w:val="0"/>
          <w:kern w:val="0"/>
          <w:szCs w:val="21"/>
        </w:rPr>
        <w:t>第二十九条</w:t>
      </w:r>
      <w:r>
        <w:rPr>
          <w:rFonts w:ascii="宋体" w:hAnsi="宋体"/>
          <w:snapToGrid w:val="0"/>
          <w:kern w:val="0"/>
          <w:szCs w:val="21"/>
        </w:rPr>
        <w:t xml:space="preserve">  </w:t>
      </w:r>
      <w:r>
        <w:rPr>
          <w:rFonts w:hint="eastAsia" w:ascii="宋体" w:hAnsi="宋体"/>
          <w:snapToGrid w:val="0"/>
          <w:kern w:val="0"/>
          <w:szCs w:val="21"/>
        </w:rPr>
        <w:t>残疾赔偿金根据受害人丧失劳动能力程度或伤残等级参照死亡赔偿金的标准计算。</w:t>
      </w:r>
    </w:p>
    <w:p>
      <w:pPr>
        <w:tabs>
          <w:tab w:val="left" w:pos="1800"/>
        </w:tabs>
        <w:snapToGrid w:val="0"/>
        <w:spacing w:after="156" w:afterLines="50"/>
        <w:ind w:firstLine="420" w:firstLineChars="200"/>
        <w:rPr>
          <w:rFonts w:ascii="宋体"/>
          <w:snapToGrid w:val="0"/>
          <w:kern w:val="0"/>
          <w:szCs w:val="21"/>
        </w:rPr>
      </w:pPr>
      <w:r>
        <w:rPr>
          <w:rFonts w:hint="eastAsia" w:ascii="宋体" w:hAnsi="宋体"/>
          <w:snapToGrid w:val="0"/>
          <w:kern w:val="0"/>
          <w:szCs w:val="21"/>
        </w:rPr>
        <w:t>伤残赔偿金＝死亡赔偿金×伤残赔偿系数</w:t>
      </w:r>
    </w:p>
    <w:tbl>
      <w:tblPr>
        <w:tblStyle w:val="27"/>
        <w:tblW w:w="89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5"/>
        <w:gridCol w:w="3776"/>
        <w:gridCol w:w="3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125" w:type="dxa"/>
            <w:vAlign w:val="center"/>
          </w:tcPr>
          <w:p>
            <w:pPr>
              <w:snapToGrid w:val="0"/>
              <w:jc w:val="center"/>
              <w:rPr>
                <w:rFonts w:ascii="宋体"/>
                <w:b/>
                <w:bCs/>
                <w:snapToGrid w:val="0"/>
                <w:kern w:val="0"/>
                <w:szCs w:val="21"/>
              </w:rPr>
            </w:pPr>
            <w:r>
              <w:rPr>
                <w:rFonts w:hint="eastAsia" w:ascii="宋体" w:hAnsi="宋体"/>
                <w:b/>
                <w:bCs/>
                <w:snapToGrid w:val="0"/>
                <w:kern w:val="0"/>
                <w:szCs w:val="21"/>
              </w:rPr>
              <w:t>伤残等级</w:t>
            </w:r>
          </w:p>
        </w:tc>
        <w:tc>
          <w:tcPr>
            <w:tcW w:w="3776" w:type="dxa"/>
            <w:vAlign w:val="center"/>
          </w:tcPr>
          <w:p>
            <w:pPr>
              <w:snapToGrid w:val="0"/>
              <w:jc w:val="center"/>
              <w:rPr>
                <w:rFonts w:ascii="宋体"/>
                <w:b/>
                <w:bCs/>
                <w:snapToGrid w:val="0"/>
                <w:kern w:val="0"/>
                <w:szCs w:val="21"/>
              </w:rPr>
            </w:pPr>
            <w:r>
              <w:rPr>
                <w:rFonts w:hint="eastAsia" w:ascii="宋体" w:hAnsi="宋体"/>
                <w:b/>
                <w:bCs/>
                <w:snapToGrid w:val="0"/>
                <w:kern w:val="0"/>
                <w:szCs w:val="21"/>
              </w:rPr>
              <w:t>丧失劳动能力程度</w:t>
            </w:r>
          </w:p>
        </w:tc>
        <w:tc>
          <w:tcPr>
            <w:tcW w:w="3070" w:type="dxa"/>
            <w:vAlign w:val="center"/>
          </w:tcPr>
          <w:p>
            <w:pPr>
              <w:snapToGrid w:val="0"/>
              <w:jc w:val="center"/>
              <w:rPr>
                <w:rFonts w:ascii="宋体"/>
                <w:b/>
                <w:bCs/>
                <w:snapToGrid w:val="0"/>
                <w:kern w:val="0"/>
                <w:szCs w:val="21"/>
              </w:rPr>
            </w:pPr>
            <w:r>
              <w:rPr>
                <w:rFonts w:hint="eastAsia" w:ascii="宋体" w:hAnsi="宋体"/>
                <w:b/>
                <w:bCs/>
                <w:snapToGrid w:val="0"/>
                <w:kern w:val="0"/>
                <w:szCs w:val="21"/>
              </w:rPr>
              <w:t>伤残赔偿系数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125" w:type="dxa"/>
            <w:vAlign w:val="center"/>
          </w:tcPr>
          <w:p>
            <w:pPr>
              <w:snapToGrid w:val="0"/>
              <w:jc w:val="center"/>
              <w:rPr>
                <w:rFonts w:ascii="宋体"/>
                <w:snapToGrid w:val="0"/>
                <w:kern w:val="0"/>
                <w:szCs w:val="21"/>
              </w:rPr>
            </w:pPr>
            <w:r>
              <w:rPr>
                <w:rFonts w:ascii="宋体" w:hAnsi="宋体"/>
                <w:snapToGrid w:val="0"/>
                <w:kern w:val="0"/>
                <w:szCs w:val="21"/>
              </w:rPr>
              <w:t>1</w:t>
            </w:r>
            <w:r>
              <w:rPr>
                <w:rFonts w:hint="eastAsia" w:ascii="宋体" w:hAnsi="宋体"/>
                <w:snapToGrid w:val="0"/>
                <w:kern w:val="0"/>
                <w:szCs w:val="21"/>
              </w:rPr>
              <w:t>级</w:t>
            </w:r>
          </w:p>
        </w:tc>
        <w:tc>
          <w:tcPr>
            <w:tcW w:w="3776" w:type="dxa"/>
            <w:vAlign w:val="center"/>
          </w:tcPr>
          <w:p>
            <w:pPr>
              <w:snapToGrid w:val="0"/>
              <w:jc w:val="center"/>
              <w:rPr>
                <w:rFonts w:ascii="宋体" w:hAnsi="宋体"/>
                <w:snapToGrid w:val="0"/>
                <w:kern w:val="0"/>
                <w:szCs w:val="21"/>
              </w:rPr>
            </w:pPr>
            <w:r>
              <w:rPr>
                <w:rFonts w:ascii="宋体" w:hAnsi="宋体"/>
                <w:snapToGrid w:val="0"/>
                <w:kern w:val="0"/>
                <w:szCs w:val="21"/>
              </w:rPr>
              <w:t>100%</w:t>
            </w:r>
          </w:p>
        </w:tc>
        <w:tc>
          <w:tcPr>
            <w:tcW w:w="3070" w:type="dxa"/>
            <w:vAlign w:val="center"/>
          </w:tcPr>
          <w:p>
            <w:pPr>
              <w:snapToGrid w:val="0"/>
              <w:jc w:val="center"/>
              <w:rPr>
                <w:rFonts w:ascii="宋体" w:hAnsi="宋体"/>
                <w:snapToGrid w:val="0"/>
                <w:kern w:val="0"/>
                <w:szCs w:val="21"/>
              </w:rPr>
            </w:pPr>
            <w:r>
              <w:rPr>
                <w:rFonts w:ascii="宋体" w:hAnsi="宋体"/>
                <w:snapToGrid w:val="0"/>
                <w:kern w:val="0"/>
                <w:szCs w:val="21"/>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125" w:type="dxa"/>
            <w:vAlign w:val="center"/>
          </w:tcPr>
          <w:p>
            <w:pPr>
              <w:snapToGrid w:val="0"/>
              <w:jc w:val="center"/>
              <w:rPr>
                <w:rFonts w:ascii="宋体"/>
                <w:snapToGrid w:val="0"/>
                <w:kern w:val="0"/>
                <w:szCs w:val="21"/>
              </w:rPr>
            </w:pPr>
            <w:r>
              <w:rPr>
                <w:rFonts w:ascii="宋体" w:hAnsi="宋体"/>
                <w:snapToGrid w:val="0"/>
                <w:kern w:val="0"/>
                <w:szCs w:val="21"/>
              </w:rPr>
              <w:t>2</w:t>
            </w:r>
            <w:r>
              <w:rPr>
                <w:rFonts w:hint="eastAsia" w:ascii="宋体" w:hAnsi="宋体"/>
                <w:snapToGrid w:val="0"/>
                <w:kern w:val="0"/>
                <w:szCs w:val="21"/>
              </w:rPr>
              <w:t>级</w:t>
            </w:r>
          </w:p>
        </w:tc>
        <w:tc>
          <w:tcPr>
            <w:tcW w:w="3776" w:type="dxa"/>
            <w:vAlign w:val="center"/>
          </w:tcPr>
          <w:p>
            <w:pPr>
              <w:snapToGrid w:val="0"/>
              <w:jc w:val="center"/>
              <w:rPr>
                <w:rFonts w:ascii="宋体" w:hAnsi="宋体"/>
                <w:snapToGrid w:val="0"/>
                <w:kern w:val="0"/>
                <w:szCs w:val="21"/>
              </w:rPr>
            </w:pPr>
            <w:r>
              <w:rPr>
                <w:rFonts w:ascii="宋体" w:hAnsi="宋体"/>
                <w:snapToGrid w:val="0"/>
                <w:kern w:val="0"/>
                <w:szCs w:val="21"/>
              </w:rPr>
              <w:t>90%</w:t>
            </w:r>
          </w:p>
        </w:tc>
        <w:tc>
          <w:tcPr>
            <w:tcW w:w="3070" w:type="dxa"/>
            <w:vAlign w:val="center"/>
          </w:tcPr>
          <w:p>
            <w:pPr>
              <w:snapToGrid w:val="0"/>
              <w:jc w:val="center"/>
              <w:rPr>
                <w:rFonts w:ascii="宋体" w:hAnsi="宋体"/>
                <w:snapToGrid w:val="0"/>
                <w:kern w:val="0"/>
                <w:szCs w:val="21"/>
              </w:rPr>
            </w:pPr>
            <w:r>
              <w:rPr>
                <w:rFonts w:ascii="宋体" w:hAnsi="宋体"/>
                <w:snapToGrid w:val="0"/>
                <w:kern w:val="0"/>
                <w:szCs w:val="21"/>
              </w:rPr>
              <w:t>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125" w:type="dxa"/>
            <w:vAlign w:val="center"/>
          </w:tcPr>
          <w:p>
            <w:pPr>
              <w:snapToGrid w:val="0"/>
              <w:jc w:val="center"/>
              <w:rPr>
                <w:rFonts w:ascii="宋体"/>
                <w:snapToGrid w:val="0"/>
                <w:kern w:val="0"/>
                <w:szCs w:val="21"/>
              </w:rPr>
            </w:pPr>
            <w:r>
              <w:rPr>
                <w:rFonts w:ascii="宋体" w:hAnsi="宋体"/>
                <w:snapToGrid w:val="0"/>
                <w:kern w:val="0"/>
                <w:szCs w:val="21"/>
              </w:rPr>
              <w:t>3</w:t>
            </w:r>
            <w:r>
              <w:rPr>
                <w:rFonts w:hint="eastAsia" w:ascii="宋体" w:hAnsi="宋体"/>
                <w:snapToGrid w:val="0"/>
                <w:kern w:val="0"/>
                <w:szCs w:val="21"/>
              </w:rPr>
              <w:t>级</w:t>
            </w:r>
          </w:p>
        </w:tc>
        <w:tc>
          <w:tcPr>
            <w:tcW w:w="3776" w:type="dxa"/>
            <w:vAlign w:val="center"/>
          </w:tcPr>
          <w:p>
            <w:pPr>
              <w:snapToGrid w:val="0"/>
              <w:jc w:val="center"/>
              <w:rPr>
                <w:rFonts w:ascii="宋体" w:hAnsi="宋体"/>
                <w:snapToGrid w:val="0"/>
                <w:kern w:val="0"/>
                <w:szCs w:val="21"/>
              </w:rPr>
            </w:pPr>
            <w:r>
              <w:rPr>
                <w:rFonts w:ascii="宋体" w:hAnsi="宋体"/>
                <w:snapToGrid w:val="0"/>
                <w:kern w:val="0"/>
                <w:szCs w:val="21"/>
              </w:rPr>
              <w:t>80%</w:t>
            </w:r>
          </w:p>
        </w:tc>
        <w:tc>
          <w:tcPr>
            <w:tcW w:w="3070" w:type="dxa"/>
            <w:vAlign w:val="center"/>
          </w:tcPr>
          <w:p>
            <w:pPr>
              <w:snapToGrid w:val="0"/>
              <w:jc w:val="center"/>
              <w:rPr>
                <w:rFonts w:ascii="宋体" w:hAnsi="宋体"/>
                <w:snapToGrid w:val="0"/>
                <w:kern w:val="0"/>
                <w:szCs w:val="21"/>
              </w:rPr>
            </w:pPr>
            <w:r>
              <w:rPr>
                <w:rFonts w:ascii="宋体" w:hAnsi="宋体"/>
                <w:snapToGrid w:val="0"/>
                <w:kern w:val="0"/>
                <w:szCs w:val="21"/>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125" w:type="dxa"/>
            <w:vAlign w:val="center"/>
          </w:tcPr>
          <w:p>
            <w:pPr>
              <w:snapToGrid w:val="0"/>
              <w:jc w:val="center"/>
              <w:rPr>
                <w:rFonts w:ascii="宋体"/>
                <w:snapToGrid w:val="0"/>
                <w:kern w:val="0"/>
                <w:szCs w:val="21"/>
              </w:rPr>
            </w:pPr>
            <w:r>
              <w:rPr>
                <w:rFonts w:ascii="宋体" w:hAnsi="宋体"/>
                <w:snapToGrid w:val="0"/>
                <w:kern w:val="0"/>
                <w:szCs w:val="21"/>
              </w:rPr>
              <w:t>4</w:t>
            </w:r>
            <w:r>
              <w:rPr>
                <w:rFonts w:hint="eastAsia" w:ascii="宋体" w:hAnsi="宋体"/>
                <w:snapToGrid w:val="0"/>
                <w:kern w:val="0"/>
                <w:szCs w:val="21"/>
              </w:rPr>
              <w:t>级</w:t>
            </w:r>
          </w:p>
        </w:tc>
        <w:tc>
          <w:tcPr>
            <w:tcW w:w="3776" w:type="dxa"/>
            <w:vAlign w:val="center"/>
          </w:tcPr>
          <w:p>
            <w:pPr>
              <w:snapToGrid w:val="0"/>
              <w:jc w:val="center"/>
              <w:rPr>
                <w:rFonts w:ascii="宋体" w:hAnsi="宋体"/>
                <w:snapToGrid w:val="0"/>
                <w:kern w:val="0"/>
                <w:szCs w:val="21"/>
              </w:rPr>
            </w:pPr>
            <w:r>
              <w:rPr>
                <w:rFonts w:ascii="宋体" w:hAnsi="宋体"/>
                <w:snapToGrid w:val="0"/>
                <w:kern w:val="0"/>
                <w:szCs w:val="21"/>
              </w:rPr>
              <w:t>70%</w:t>
            </w:r>
          </w:p>
        </w:tc>
        <w:tc>
          <w:tcPr>
            <w:tcW w:w="3070" w:type="dxa"/>
            <w:vAlign w:val="center"/>
          </w:tcPr>
          <w:p>
            <w:pPr>
              <w:snapToGrid w:val="0"/>
              <w:jc w:val="center"/>
              <w:rPr>
                <w:rFonts w:ascii="宋体" w:hAnsi="宋体"/>
                <w:snapToGrid w:val="0"/>
                <w:kern w:val="0"/>
                <w:szCs w:val="21"/>
              </w:rPr>
            </w:pPr>
            <w:r>
              <w:rPr>
                <w:rFonts w:ascii="宋体" w:hAnsi="宋体"/>
                <w:snapToGrid w:val="0"/>
                <w:kern w:val="0"/>
                <w:szCs w:val="21"/>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125" w:type="dxa"/>
            <w:vAlign w:val="center"/>
          </w:tcPr>
          <w:p>
            <w:pPr>
              <w:snapToGrid w:val="0"/>
              <w:jc w:val="center"/>
              <w:rPr>
                <w:rFonts w:ascii="宋体"/>
                <w:snapToGrid w:val="0"/>
                <w:kern w:val="0"/>
                <w:szCs w:val="21"/>
              </w:rPr>
            </w:pPr>
            <w:r>
              <w:rPr>
                <w:rFonts w:ascii="宋体" w:hAnsi="宋体"/>
                <w:snapToGrid w:val="0"/>
                <w:kern w:val="0"/>
                <w:szCs w:val="21"/>
              </w:rPr>
              <w:t>5</w:t>
            </w:r>
            <w:r>
              <w:rPr>
                <w:rFonts w:hint="eastAsia" w:ascii="宋体" w:hAnsi="宋体"/>
                <w:snapToGrid w:val="0"/>
                <w:kern w:val="0"/>
                <w:szCs w:val="21"/>
              </w:rPr>
              <w:t>级</w:t>
            </w:r>
          </w:p>
        </w:tc>
        <w:tc>
          <w:tcPr>
            <w:tcW w:w="3776" w:type="dxa"/>
            <w:vAlign w:val="center"/>
          </w:tcPr>
          <w:p>
            <w:pPr>
              <w:snapToGrid w:val="0"/>
              <w:jc w:val="center"/>
              <w:rPr>
                <w:rFonts w:ascii="宋体" w:hAnsi="宋体"/>
                <w:snapToGrid w:val="0"/>
                <w:kern w:val="0"/>
                <w:szCs w:val="21"/>
              </w:rPr>
            </w:pPr>
            <w:r>
              <w:rPr>
                <w:rFonts w:ascii="宋体" w:hAnsi="宋体"/>
                <w:snapToGrid w:val="0"/>
                <w:kern w:val="0"/>
                <w:szCs w:val="21"/>
              </w:rPr>
              <w:t>60%</w:t>
            </w:r>
          </w:p>
        </w:tc>
        <w:tc>
          <w:tcPr>
            <w:tcW w:w="3070" w:type="dxa"/>
            <w:vAlign w:val="center"/>
          </w:tcPr>
          <w:p>
            <w:pPr>
              <w:snapToGrid w:val="0"/>
              <w:jc w:val="center"/>
              <w:rPr>
                <w:rFonts w:ascii="宋体" w:hAnsi="宋体"/>
                <w:snapToGrid w:val="0"/>
                <w:kern w:val="0"/>
                <w:szCs w:val="21"/>
              </w:rPr>
            </w:pPr>
            <w:r>
              <w:rPr>
                <w:rFonts w:ascii="宋体" w:hAnsi="宋体"/>
                <w:snapToGrid w:val="0"/>
                <w:kern w:val="0"/>
                <w:szCs w:val="21"/>
              </w:rPr>
              <w:t>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125" w:type="dxa"/>
            <w:vAlign w:val="center"/>
          </w:tcPr>
          <w:p>
            <w:pPr>
              <w:snapToGrid w:val="0"/>
              <w:jc w:val="center"/>
              <w:rPr>
                <w:rFonts w:ascii="宋体"/>
                <w:snapToGrid w:val="0"/>
                <w:kern w:val="0"/>
                <w:szCs w:val="21"/>
              </w:rPr>
            </w:pPr>
            <w:r>
              <w:rPr>
                <w:rFonts w:ascii="宋体" w:hAnsi="宋体"/>
                <w:snapToGrid w:val="0"/>
                <w:kern w:val="0"/>
                <w:szCs w:val="21"/>
              </w:rPr>
              <w:t>6</w:t>
            </w:r>
            <w:r>
              <w:rPr>
                <w:rFonts w:hint="eastAsia" w:ascii="宋体" w:hAnsi="宋体"/>
                <w:snapToGrid w:val="0"/>
                <w:kern w:val="0"/>
                <w:szCs w:val="21"/>
              </w:rPr>
              <w:t>级</w:t>
            </w:r>
          </w:p>
        </w:tc>
        <w:tc>
          <w:tcPr>
            <w:tcW w:w="3776" w:type="dxa"/>
            <w:vAlign w:val="center"/>
          </w:tcPr>
          <w:p>
            <w:pPr>
              <w:snapToGrid w:val="0"/>
              <w:jc w:val="center"/>
              <w:rPr>
                <w:rFonts w:ascii="宋体" w:hAnsi="宋体"/>
                <w:snapToGrid w:val="0"/>
                <w:kern w:val="0"/>
                <w:szCs w:val="21"/>
              </w:rPr>
            </w:pPr>
            <w:r>
              <w:rPr>
                <w:rFonts w:ascii="宋体" w:hAnsi="宋体"/>
                <w:snapToGrid w:val="0"/>
                <w:kern w:val="0"/>
                <w:szCs w:val="21"/>
              </w:rPr>
              <w:t>50%</w:t>
            </w:r>
          </w:p>
        </w:tc>
        <w:tc>
          <w:tcPr>
            <w:tcW w:w="3070" w:type="dxa"/>
            <w:vAlign w:val="center"/>
          </w:tcPr>
          <w:p>
            <w:pPr>
              <w:snapToGrid w:val="0"/>
              <w:jc w:val="center"/>
              <w:rPr>
                <w:rFonts w:ascii="宋体" w:hAnsi="宋体"/>
                <w:snapToGrid w:val="0"/>
                <w:kern w:val="0"/>
                <w:szCs w:val="21"/>
              </w:rPr>
            </w:pPr>
            <w:r>
              <w:rPr>
                <w:rFonts w:ascii="宋体" w:hAnsi="宋体"/>
                <w:snapToGrid w:val="0"/>
                <w:kern w:val="0"/>
                <w:szCs w:val="21"/>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125" w:type="dxa"/>
            <w:vAlign w:val="center"/>
          </w:tcPr>
          <w:p>
            <w:pPr>
              <w:snapToGrid w:val="0"/>
              <w:jc w:val="center"/>
              <w:rPr>
                <w:rFonts w:ascii="宋体"/>
                <w:snapToGrid w:val="0"/>
                <w:kern w:val="0"/>
                <w:szCs w:val="21"/>
              </w:rPr>
            </w:pPr>
            <w:r>
              <w:rPr>
                <w:rFonts w:ascii="宋体" w:hAnsi="宋体"/>
                <w:snapToGrid w:val="0"/>
                <w:kern w:val="0"/>
                <w:szCs w:val="21"/>
              </w:rPr>
              <w:t>7</w:t>
            </w:r>
            <w:r>
              <w:rPr>
                <w:rFonts w:hint="eastAsia" w:ascii="宋体" w:hAnsi="宋体"/>
                <w:snapToGrid w:val="0"/>
                <w:kern w:val="0"/>
                <w:szCs w:val="21"/>
              </w:rPr>
              <w:t>级</w:t>
            </w:r>
          </w:p>
        </w:tc>
        <w:tc>
          <w:tcPr>
            <w:tcW w:w="3776" w:type="dxa"/>
            <w:vAlign w:val="center"/>
          </w:tcPr>
          <w:p>
            <w:pPr>
              <w:snapToGrid w:val="0"/>
              <w:jc w:val="center"/>
              <w:rPr>
                <w:rFonts w:ascii="宋体" w:hAnsi="宋体"/>
                <w:snapToGrid w:val="0"/>
                <w:kern w:val="0"/>
                <w:szCs w:val="21"/>
              </w:rPr>
            </w:pPr>
            <w:r>
              <w:rPr>
                <w:rFonts w:ascii="宋体" w:hAnsi="宋体"/>
                <w:snapToGrid w:val="0"/>
                <w:kern w:val="0"/>
                <w:szCs w:val="21"/>
              </w:rPr>
              <w:t>40%</w:t>
            </w:r>
          </w:p>
        </w:tc>
        <w:tc>
          <w:tcPr>
            <w:tcW w:w="3070" w:type="dxa"/>
            <w:vAlign w:val="center"/>
          </w:tcPr>
          <w:p>
            <w:pPr>
              <w:snapToGrid w:val="0"/>
              <w:jc w:val="center"/>
              <w:rPr>
                <w:rFonts w:ascii="宋体" w:hAnsi="宋体"/>
                <w:snapToGrid w:val="0"/>
                <w:kern w:val="0"/>
                <w:szCs w:val="21"/>
              </w:rPr>
            </w:pPr>
            <w:r>
              <w:rPr>
                <w:rFonts w:ascii="宋体" w:hAnsi="宋体"/>
                <w:snapToGrid w:val="0"/>
                <w:kern w:val="0"/>
                <w:szCs w:val="21"/>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125" w:type="dxa"/>
            <w:vAlign w:val="center"/>
          </w:tcPr>
          <w:p>
            <w:pPr>
              <w:snapToGrid w:val="0"/>
              <w:jc w:val="center"/>
              <w:rPr>
                <w:rFonts w:ascii="宋体"/>
                <w:snapToGrid w:val="0"/>
                <w:kern w:val="0"/>
                <w:szCs w:val="21"/>
              </w:rPr>
            </w:pPr>
            <w:r>
              <w:rPr>
                <w:rFonts w:ascii="宋体" w:hAnsi="宋体"/>
                <w:snapToGrid w:val="0"/>
                <w:kern w:val="0"/>
                <w:szCs w:val="21"/>
              </w:rPr>
              <w:t>8</w:t>
            </w:r>
            <w:r>
              <w:rPr>
                <w:rFonts w:hint="eastAsia" w:ascii="宋体" w:hAnsi="宋体"/>
                <w:snapToGrid w:val="0"/>
                <w:kern w:val="0"/>
                <w:szCs w:val="21"/>
              </w:rPr>
              <w:t>级</w:t>
            </w:r>
          </w:p>
        </w:tc>
        <w:tc>
          <w:tcPr>
            <w:tcW w:w="3776" w:type="dxa"/>
            <w:vAlign w:val="center"/>
          </w:tcPr>
          <w:p>
            <w:pPr>
              <w:snapToGrid w:val="0"/>
              <w:jc w:val="center"/>
              <w:rPr>
                <w:rFonts w:ascii="宋体" w:hAnsi="宋体"/>
                <w:snapToGrid w:val="0"/>
                <w:kern w:val="0"/>
                <w:szCs w:val="21"/>
              </w:rPr>
            </w:pPr>
            <w:r>
              <w:rPr>
                <w:rFonts w:ascii="宋体" w:hAnsi="宋体"/>
                <w:snapToGrid w:val="0"/>
                <w:kern w:val="0"/>
                <w:szCs w:val="21"/>
              </w:rPr>
              <w:t>30%</w:t>
            </w:r>
          </w:p>
        </w:tc>
        <w:tc>
          <w:tcPr>
            <w:tcW w:w="3070" w:type="dxa"/>
            <w:vAlign w:val="center"/>
          </w:tcPr>
          <w:p>
            <w:pPr>
              <w:snapToGrid w:val="0"/>
              <w:jc w:val="center"/>
              <w:rPr>
                <w:rFonts w:ascii="宋体" w:hAnsi="宋体"/>
                <w:snapToGrid w:val="0"/>
                <w:kern w:val="0"/>
                <w:szCs w:val="21"/>
              </w:rPr>
            </w:pPr>
            <w:r>
              <w:rPr>
                <w:rFonts w:ascii="宋体" w:hAnsi="宋体"/>
                <w:snapToGrid w:val="0"/>
                <w:kern w:val="0"/>
                <w:szCs w:val="21"/>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125" w:type="dxa"/>
            <w:vAlign w:val="center"/>
          </w:tcPr>
          <w:p>
            <w:pPr>
              <w:snapToGrid w:val="0"/>
              <w:jc w:val="center"/>
              <w:rPr>
                <w:rFonts w:ascii="宋体"/>
                <w:snapToGrid w:val="0"/>
                <w:kern w:val="0"/>
                <w:szCs w:val="21"/>
              </w:rPr>
            </w:pPr>
            <w:r>
              <w:rPr>
                <w:rFonts w:ascii="宋体" w:hAnsi="宋体"/>
                <w:snapToGrid w:val="0"/>
                <w:kern w:val="0"/>
                <w:szCs w:val="21"/>
              </w:rPr>
              <w:t>9</w:t>
            </w:r>
            <w:r>
              <w:rPr>
                <w:rFonts w:hint="eastAsia" w:ascii="宋体" w:hAnsi="宋体"/>
                <w:snapToGrid w:val="0"/>
                <w:kern w:val="0"/>
                <w:szCs w:val="21"/>
              </w:rPr>
              <w:t>级</w:t>
            </w:r>
          </w:p>
        </w:tc>
        <w:tc>
          <w:tcPr>
            <w:tcW w:w="3776" w:type="dxa"/>
            <w:vAlign w:val="center"/>
          </w:tcPr>
          <w:p>
            <w:pPr>
              <w:snapToGrid w:val="0"/>
              <w:jc w:val="center"/>
              <w:rPr>
                <w:rFonts w:ascii="宋体" w:hAnsi="宋体"/>
                <w:snapToGrid w:val="0"/>
                <w:kern w:val="0"/>
                <w:szCs w:val="21"/>
              </w:rPr>
            </w:pPr>
            <w:r>
              <w:rPr>
                <w:rFonts w:ascii="宋体" w:hAnsi="宋体"/>
                <w:snapToGrid w:val="0"/>
                <w:kern w:val="0"/>
                <w:szCs w:val="21"/>
              </w:rPr>
              <w:t>20%</w:t>
            </w:r>
          </w:p>
        </w:tc>
        <w:tc>
          <w:tcPr>
            <w:tcW w:w="3070" w:type="dxa"/>
            <w:vAlign w:val="center"/>
          </w:tcPr>
          <w:p>
            <w:pPr>
              <w:snapToGrid w:val="0"/>
              <w:jc w:val="center"/>
              <w:rPr>
                <w:rFonts w:ascii="宋体" w:hAnsi="宋体"/>
                <w:snapToGrid w:val="0"/>
                <w:kern w:val="0"/>
                <w:szCs w:val="21"/>
              </w:rPr>
            </w:pPr>
            <w:r>
              <w:rPr>
                <w:rFonts w:ascii="宋体" w:hAnsi="宋体"/>
                <w:snapToGrid w:val="0"/>
                <w:kern w:val="0"/>
                <w:szCs w:val="21"/>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125" w:type="dxa"/>
            <w:vAlign w:val="center"/>
          </w:tcPr>
          <w:p>
            <w:pPr>
              <w:snapToGrid w:val="0"/>
              <w:jc w:val="center"/>
              <w:rPr>
                <w:rFonts w:ascii="宋体"/>
                <w:snapToGrid w:val="0"/>
                <w:kern w:val="0"/>
                <w:szCs w:val="21"/>
              </w:rPr>
            </w:pPr>
            <w:r>
              <w:rPr>
                <w:rFonts w:ascii="宋体" w:hAnsi="宋体"/>
                <w:snapToGrid w:val="0"/>
                <w:kern w:val="0"/>
                <w:szCs w:val="21"/>
              </w:rPr>
              <w:t>10</w:t>
            </w:r>
            <w:r>
              <w:rPr>
                <w:rFonts w:hint="eastAsia" w:ascii="宋体" w:hAnsi="宋体"/>
                <w:snapToGrid w:val="0"/>
                <w:kern w:val="0"/>
                <w:szCs w:val="21"/>
              </w:rPr>
              <w:t>级</w:t>
            </w:r>
          </w:p>
        </w:tc>
        <w:tc>
          <w:tcPr>
            <w:tcW w:w="3776" w:type="dxa"/>
            <w:vAlign w:val="center"/>
          </w:tcPr>
          <w:p>
            <w:pPr>
              <w:snapToGrid w:val="0"/>
              <w:jc w:val="center"/>
              <w:rPr>
                <w:rFonts w:ascii="宋体" w:hAnsi="宋体"/>
                <w:snapToGrid w:val="0"/>
                <w:kern w:val="0"/>
                <w:szCs w:val="21"/>
              </w:rPr>
            </w:pPr>
            <w:r>
              <w:rPr>
                <w:rFonts w:ascii="宋体" w:hAnsi="宋体"/>
                <w:snapToGrid w:val="0"/>
                <w:kern w:val="0"/>
                <w:szCs w:val="21"/>
              </w:rPr>
              <w:t>10%</w:t>
            </w:r>
          </w:p>
        </w:tc>
        <w:tc>
          <w:tcPr>
            <w:tcW w:w="3070" w:type="dxa"/>
            <w:vAlign w:val="center"/>
          </w:tcPr>
          <w:p>
            <w:pPr>
              <w:snapToGrid w:val="0"/>
              <w:jc w:val="center"/>
              <w:rPr>
                <w:rFonts w:ascii="宋体" w:hAnsi="宋体"/>
                <w:snapToGrid w:val="0"/>
                <w:kern w:val="0"/>
                <w:szCs w:val="21"/>
              </w:rPr>
            </w:pPr>
            <w:r>
              <w:rPr>
                <w:rFonts w:ascii="宋体" w:hAnsi="宋体"/>
                <w:snapToGrid w:val="0"/>
                <w:kern w:val="0"/>
                <w:szCs w:val="21"/>
              </w:rPr>
              <w:t>0.1</w:t>
            </w:r>
          </w:p>
        </w:tc>
      </w:tr>
    </w:tbl>
    <w:p>
      <w:pPr>
        <w:tabs>
          <w:tab w:val="left" w:pos="1800"/>
        </w:tabs>
        <w:snapToGrid w:val="0"/>
        <w:spacing w:before="156" w:beforeLines="50" w:after="156" w:afterLines="50"/>
        <w:ind w:firstLine="422" w:firstLineChars="200"/>
        <w:rPr>
          <w:rFonts w:ascii="宋体"/>
          <w:snapToGrid w:val="0"/>
          <w:kern w:val="0"/>
          <w:szCs w:val="21"/>
        </w:rPr>
      </w:pPr>
      <w:r>
        <w:rPr>
          <w:rFonts w:hint="eastAsia" w:ascii="宋体" w:hAnsi="宋体"/>
          <w:b/>
          <w:bCs/>
          <w:snapToGrid w:val="0"/>
          <w:kern w:val="0"/>
          <w:szCs w:val="21"/>
        </w:rPr>
        <w:t>第三十条</w:t>
      </w:r>
      <w:r>
        <w:rPr>
          <w:rFonts w:ascii="宋体" w:hAnsi="宋体"/>
          <w:b/>
          <w:bCs/>
          <w:snapToGrid w:val="0"/>
          <w:kern w:val="0"/>
          <w:szCs w:val="21"/>
        </w:rPr>
        <w:t xml:space="preserve">  </w:t>
      </w:r>
      <w:r>
        <w:rPr>
          <w:rFonts w:hint="eastAsia" w:ascii="宋体" w:hAnsi="宋体"/>
          <w:snapToGrid w:val="0"/>
          <w:kern w:val="0"/>
          <w:szCs w:val="21"/>
        </w:rPr>
        <w:t>保险人将结合病历、诊断证明等材料审核诊疗费、治疗费、化验费、药费、住院费等用以治疗人身伤害的费用，</w:t>
      </w:r>
      <w:r>
        <w:rPr>
          <w:rFonts w:hint="eastAsia" w:ascii="宋体" w:hAnsi="宋体"/>
          <w:b/>
          <w:snapToGrid w:val="0"/>
          <w:kern w:val="0"/>
          <w:szCs w:val="21"/>
        </w:rPr>
        <w:t>对超出《国家基本医疗保险和工伤保险药品目录》的药品费用、超出事故发生地基本医疗保险诊疗项目范围和标准的任何费用，保险人不负责赔偿。</w:t>
      </w:r>
    </w:p>
    <w:p>
      <w:pPr>
        <w:snapToGrid w:val="0"/>
        <w:spacing w:after="156" w:afterLines="50"/>
        <w:ind w:firstLine="422" w:firstLineChars="200"/>
        <w:rPr>
          <w:rFonts w:ascii="宋体"/>
          <w:snapToGrid w:val="0"/>
          <w:kern w:val="0"/>
          <w:szCs w:val="21"/>
        </w:rPr>
      </w:pPr>
      <w:r>
        <w:rPr>
          <w:rFonts w:hint="eastAsia" w:ascii="宋体" w:hAnsi="宋体"/>
          <w:b/>
          <w:bCs/>
          <w:snapToGrid w:val="0"/>
          <w:kern w:val="0"/>
          <w:szCs w:val="21"/>
        </w:rPr>
        <w:t>第三十一条</w:t>
      </w:r>
      <w:r>
        <w:rPr>
          <w:rFonts w:ascii="宋体" w:hAnsi="宋体"/>
          <w:b/>
          <w:bCs/>
          <w:snapToGrid w:val="0"/>
          <w:kern w:val="0"/>
          <w:szCs w:val="21"/>
        </w:rPr>
        <w:t xml:space="preserve">  </w:t>
      </w:r>
      <w:r>
        <w:rPr>
          <w:rFonts w:hint="eastAsia" w:ascii="宋体" w:hAnsi="宋体"/>
          <w:snapToGrid w:val="0"/>
          <w:kern w:val="0"/>
          <w:szCs w:val="21"/>
        </w:rPr>
        <w:t>误工费用的赔偿根据受害人误工时间和收入状况确定。</w:t>
      </w:r>
    </w:p>
    <w:p>
      <w:pPr>
        <w:snapToGrid w:val="0"/>
        <w:spacing w:after="156" w:afterLines="50"/>
        <w:ind w:firstLine="420" w:firstLineChars="200"/>
        <w:rPr>
          <w:rFonts w:ascii="宋体"/>
          <w:snapToGrid w:val="0"/>
          <w:kern w:val="0"/>
          <w:szCs w:val="21"/>
        </w:rPr>
      </w:pPr>
      <w:r>
        <w:rPr>
          <w:rFonts w:hint="eastAsia" w:ascii="宋体" w:hAnsi="宋体"/>
          <w:snapToGrid w:val="0"/>
          <w:kern w:val="0"/>
          <w:szCs w:val="21"/>
        </w:rPr>
        <w:t>受害人有固定收入的，按照其实际减少的收入计算，</w:t>
      </w:r>
      <w:r>
        <w:rPr>
          <w:rFonts w:hint="eastAsia" w:ascii="宋体" w:hAnsi="宋体"/>
          <w:b/>
          <w:snapToGrid w:val="0"/>
          <w:kern w:val="0"/>
          <w:szCs w:val="21"/>
        </w:rPr>
        <w:t>但对超过事故发生地上一年度职工平均工资三倍以上的部分，保险人不负责赔偿。</w:t>
      </w:r>
    </w:p>
    <w:p>
      <w:pPr>
        <w:snapToGrid w:val="0"/>
        <w:spacing w:after="156" w:afterLines="50"/>
        <w:ind w:firstLine="420" w:firstLineChars="200"/>
        <w:rPr>
          <w:rFonts w:ascii="宋体"/>
          <w:snapToGrid w:val="0"/>
          <w:kern w:val="0"/>
          <w:szCs w:val="21"/>
        </w:rPr>
      </w:pPr>
      <w:r>
        <w:rPr>
          <w:rFonts w:hint="eastAsia" w:ascii="宋体" w:hAnsi="宋体"/>
          <w:snapToGrid w:val="0"/>
          <w:kern w:val="0"/>
          <w:szCs w:val="21"/>
        </w:rPr>
        <w:t>受害人无固定收入的，误工费用的赔付标准以不超过事故发生地上一年度职工平均工资为限。</w:t>
      </w:r>
    </w:p>
    <w:p>
      <w:pPr>
        <w:snapToGrid w:val="0"/>
        <w:spacing w:after="156" w:afterLines="50"/>
        <w:ind w:firstLine="422" w:firstLineChars="200"/>
        <w:rPr>
          <w:rFonts w:ascii="宋体"/>
          <w:snapToGrid w:val="0"/>
          <w:kern w:val="0"/>
          <w:szCs w:val="21"/>
        </w:rPr>
      </w:pPr>
      <w:r>
        <w:rPr>
          <w:rFonts w:hint="eastAsia" w:ascii="宋体" w:hAnsi="宋体"/>
          <w:b/>
          <w:bCs/>
          <w:snapToGrid w:val="0"/>
          <w:kern w:val="0"/>
          <w:szCs w:val="21"/>
        </w:rPr>
        <w:t>第三十二条</w:t>
      </w:r>
      <w:r>
        <w:rPr>
          <w:rFonts w:ascii="宋体" w:hAnsi="宋体"/>
          <w:b/>
          <w:bCs/>
          <w:snapToGrid w:val="0"/>
          <w:kern w:val="0"/>
          <w:szCs w:val="21"/>
        </w:rPr>
        <w:t xml:space="preserve">  </w:t>
      </w:r>
      <w:r>
        <w:rPr>
          <w:rFonts w:hint="eastAsia" w:ascii="宋体" w:hAnsi="宋体"/>
          <w:snapToGrid w:val="0"/>
          <w:kern w:val="0"/>
          <w:szCs w:val="21"/>
        </w:rPr>
        <w:t>护理费用的赔付标准不超过事故发生地上一年度职工平均工资的</w:t>
      </w:r>
      <w:r>
        <w:rPr>
          <w:rFonts w:ascii="宋体" w:hAnsi="宋体"/>
          <w:snapToGrid w:val="0"/>
          <w:kern w:val="0"/>
          <w:szCs w:val="21"/>
        </w:rPr>
        <w:t>50%</w:t>
      </w:r>
      <w:r>
        <w:rPr>
          <w:rFonts w:hint="eastAsia" w:ascii="宋体" w:hAnsi="宋体"/>
          <w:snapToGrid w:val="0"/>
          <w:kern w:val="0"/>
          <w:szCs w:val="21"/>
        </w:rPr>
        <w:t>。</w:t>
      </w:r>
    </w:p>
    <w:p>
      <w:pPr>
        <w:adjustRightInd w:val="0"/>
        <w:snapToGrid w:val="0"/>
        <w:spacing w:after="156" w:afterLines="50"/>
        <w:ind w:firstLine="422" w:firstLineChars="200"/>
        <w:rPr>
          <w:rFonts w:ascii="宋体"/>
          <w:szCs w:val="21"/>
        </w:rPr>
      </w:pPr>
      <w:r>
        <w:rPr>
          <w:rFonts w:hint="eastAsia" w:ascii="宋体" w:hAnsi="宋体"/>
          <w:b/>
          <w:bCs/>
          <w:szCs w:val="21"/>
        </w:rPr>
        <w:t>第三十三条</w:t>
      </w:r>
      <w:r>
        <w:rPr>
          <w:rFonts w:ascii="宋体" w:hAnsi="宋体"/>
          <w:szCs w:val="21"/>
        </w:rPr>
        <w:t xml:space="preserve">  </w:t>
      </w:r>
      <w:r>
        <w:rPr>
          <w:rFonts w:hint="eastAsia" w:ascii="宋体" w:hAnsi="宋体"/>
          <w:szCs w:val="21"/>
        </w:rPr>
        <w:t>发生保险事故时，如果被保险人的损失在有相同保障的其他保险项下也能够获得赔偿，则</w:t>
      </w:r>
      <w:bookmarkStart w:id="3" w:name="OLE_LINK3"/>
      <w:bookmarkStart w:id="4" w:name="OLE_LINK4"/>
      <w:r>
        <w:rPr>
          <w:rFonts w:hint="eastAsia" w:ascii="宋体" w:hAnsi="宋体"/>
          <w:szCs w:val="21"/>
        </w:rPr>
        <w:t>本保险人按照本保险合同的赔偿限额与其他保险合同及本保险合同的赔偿限额总和的比例承担赔偿责任。</w:t>
      </w:r>
    </w:p>
    <w:p>
      <w:pPr>
        <w:adjustRightInd w:val="0"/>
        <w:snapToGrid w:val="0"/>
        <w:spacing w:after="156" w:afterLines="50"/>
        <w:ind w:firstLine="422" w:firstLineChars="200"/>
        <w:rPr>
          <w:rFonts w:ascii="宋体"/>
          <w:szCs w:val="21"/>
        </w:rPr>
      </w:pPr>
      <w:r>
        <w:rPr>
          <w:rFonts w:hint="eastAsia" w:ascii="宋体" w:hAnsi="宋体"/>
          <w:b/>
          <w:szCs w:val="21"/>
        </w:rPr>
        <w:t>其他保险人应承担的赔偿金额，本保险人不负责垫付。</w:t>
      </w:r>
      <w:bookmarkEnd w:id="3"/>
      <w:bookmarkEnd w:id="4"/>
      <w:r>
        <w:rPr>
          <w:rFonts w:hint="eastAsia" w:ascii="宋体" w:hAnsi="宋体"/>
          <w:szCs w:val="21"/>
        </w:rPr>
        <w:t>若被保险人未如实告知导致保险人多支付赔偿金的，保险人有权向被保险人追回多支付的部分。</w:t>
      </w:r>
    </w:p>
    <w:p>
      <w:pPr>
        <w:adjustRightInd w:val="0"/>
        <w:snapToGrid w:val="0"/>
        <w:spacing w:after="156" w:afterLines="50"/>
        <w:ind w:firstLine="422" w:firstLineChars="200"/>
        <w:rPr>
          <w:rFonts w:ascii="宋体"/>
          <w:szCs w:val="21"/>
        </w:rPr>
      </w:pPr>
      <w:r>
        <w:rPr>
          <w:rFonts w:hint="eastAsia" w:ascii="宋体" w:hAnsi="宋体"/>
          <w:b/>
          <w:bCs/>
          <w:szCs w:val="21"/>
        </w:rPr>
        <w:t>第三十四条</w:t>
      </w:r>
      <w:r>
        <w:rPr>
          <w:rFonts w:ascii="宋体" w:hAnsi="宋体"/>
          <w:b/>
          <w:bCs/>
          <w:szCs w:val="21"/>
        </w:rPr>
        <w:t xml:space="preserve">  </w:t>
      </w:r>
      <w:r>
        <w:rPr>
          <w:rFonts w:hint="eastAsia" w:ascii="宋体" w:hAnsi="宋体"/>
          <w:szCs w:val="21"/>
        </w:rPr>
        <w:t>发生保险责任范围内的损失，应由有关责任方负责赔偿的，保险人自向被保险人赔偿保险金之日起，在赔偿金额范围内代位行使被保险人对有关责任方请求赔偿的权利，被保险人应当向保险人提供必要的文件和所知道的有关情况。</w:t>
      </w:r>
    </w:p>
    <w:p>
      <w:pPr>
        <w:adjustRightInd w:val="0"/>
        <w:snapToGrid w:val="0"/>
        <w:spacing w:after="156" w:afterLines="50"/>
        <w:ind w:firstLine="420" w:firstLineChars="200"/>
        <w:rPr>
          <w:rFonts w:ascii="宋体"/>
          <w:szCs w:val="21"/>
        </w:rPr>
      </w:pPr>
      <w:r>
        <w:rPr>
          <w:rFonts w:hint="eastAsia" w:ascii="宋体" w:hAnsi="宋体"/>
          <w:szCs w:val="21"/>
        </w:rPr>
        <w:t>被保险人已经从有关责任方取得赔偿的，保险人赔偿保险金时，可以相应扣减被保险人已从有关责任方取得的赔偿金额。</w:t>
      </w:r>
    </w:p>
    <w:p>
      <w:pPr>
        <w:adjustRightInd w:val="0"/>
        <w:snapToGrid w:val="0"/>
        <w:spacing w:after="156" w:afterLines="50"/>
        <w:ind w:firstLine="422" w:firstLineChars="200"/>
        <w:rPr>
          <w:rFonts w:ascii="宋体"/>
          <w:szCs w:val="21"/>
        </w:rPr>
      </w:pPr>
      <w:r>
        <w:rPr>
          <w:rFonts w:hint="eastAsia" w:ascii="宋体" w:hAnsi="宋体"/>
          <w:b/>
          <w:szCs w:val="21"/>
        </w:rPr>
        <w:t>保险事故发生后，在保险人未赔偿保险金之前，被保险人放弃对有关责任方请求赔偿权利的，保险人不承担赔偿责任；</w:t>
      </w:r>
      <w:r>
        <w:rPr>
          <w:rFonts w:hint="eastAsia" w:ascii="宋体" w:hAnsi="宋体"/>
          <w:szCs w:val="21"/>
        </w:rPr>
        <w:t>保险人向被保险人赔偿保险金后，被保险人未经保险人同意放弃对有关责任方请求赔偿权利的，该行为无效；由于被保险人故意或者因重大过失致使保险人不能行使代位请求赔偿的权利的，保险人可以扣减或者要求返还相应的保险金。</w:t>
      </w:r>
    </w:p>
    <w:p>
      <w:pPr>
        <w:adjustRightInd w:val="0"/>
        <w:snapToGrid w:val="0"/>
        <w:spacing w:after="156" w:afterLines="50"/>
        <w:ind w:firstLine="422" w:firstLineChars="200"/>
        <w:rPr>
          <w:rFonts w:ascii="宋体"/>
          <w:snapToGrid w:val="0"/>
          <w:kern w:val="0"/>
          <w:szCs w:val="21"/>
        </w:rPr>
      </w:pPr>
      <w:r>
        <w:rPr>
          <w:rFonts w:hint="eastAsia" w:ascii="宋体" w:hAnsi="宋体"/>
          <w:b/>
          <w:snapToGrid w:val="0"/>
          <w:kern w:val="0"/>
          <w:szCs w:val="21"/>
        </w:rPr>
        <w:t>第三十五条</w:t>
      </w:r>
      <w:r>
        <w:rPr>
          <w:rFonts w:ascii="宋体" w:hAnsi="宋体"/>
          <w:snapToGrid w:val="0"/>
          <w:kern w:val="0"/>
          <w:szCs w:val="21"/>
        </w:rPr>
        <w:t xml:space="preserve">  </w:t>
      </w:r>
      <w:r>
        <w:rPr>
          <w:rFonts w:hint="eastAsia" w:ascii="宋体" w:hAnsi="宋体"/>
          <w:snapToGrid w:val="0"/>
          <w:kern w:val="0"/>
          <w:szCs w:val="21"/>
        </w:rPr>
        <w:t>保险人受理报案、进行现场查勘、核损定价、参与案件诉讼、向被保险人提供建议等行为，均不构成保险人对赔偿责任的承诺。</w:t>
      </w:r>
    </w:p>
    <w:p>
      <w:pPr>
        <w:adjustRightInd w:val="0"/>
        <w:snapToGrid w:val="0"/>
        <w:spacing w:after="156" w:afterLines="50"/>
        <w:ind w:firstLine="422" w:firstLineChars="200"/>
        <w:rPr>
          <w:rFonts w:ascii="宋体"/>
          <w:szCs w:val="21"/>
        </w:rPr>
      </w:pPr>
      <w:r>
        <w:rPr>
          <w:rFonts w:hint="eastAsia" w:ascii="宋体" w:hAnsi="宋体"/>
          <w:b/>
          <w:szCs w:val="21"/>
        </w:rPr>
        <w:t>第三十六条</w:t>
      </w:r>
      <w:r>
        <w:rPr>
          <w:rFonts w:ascii="宋体" w:hAnsi="宋体"/>
          <w:szCs w:val="21"/>
        </w:rPr>
        <w:t xml:space="preserve">  </w:t>
      </w:r>
      <w:r>
        <w:rPr>
          <w:rStyle w:val="91"/>
          <w:rFonts w:hint="eastAsia" w:ascii="宋体" w:hAnsi="宋体"/>
          <w:color w:val="000000"/>
          <w:szCs w:val="21"/>
        </w:rPr>
        <w:t>被保险人向保险人请求赔偿保险金的诉讼时效期间为二年，自其知道或者应当知道保险事故发生之日起计算。</w:t>
      </w:r>
    </w:p>
    <w:p>
      <w:pPr>
        <w:adjustRightInd w:val="0"/>
        <w:snapToGrid w:val="0"/>
        <w:spacing w:after="156" w:afterLines="50"/>
        <w:jc w:val="center"/>
        <w:rPr>
          <w:rFonts w:ascii="宋体"/>
          <w:b/>
          <w:bCs/>
          <w:szCs w:val="21"/>
        </w:rPr>
      </w:pPr>
    </w:p>
    <w:p>
      <w:pPr>
        <w:adjustRightInd w:val="0"/>
        <w:snapToGrid w:val="0"/>
        <w:spacing w:after="156" w:afterLines="50"/>
        <w:jc w:val="center"/>
        <w:rPr>
          <w:rFonts w:ascii="宋体"/>
          <w:b/>
          <w:bCs/>
          <w:szCs w:val="21"/>
        </w:rPr>
      </w:pPr>
      <w:r>
        <w:rPr>
          <w:rFonts w:hint="eastAsia" w:ascii="宋体" w:hAnsi="宋体"/>
          <w:b/>
          <w:bCs/>
          <w:szCs w:val="21"/>
        </w:rPr>
        <w:t>争议处理和法律适用</w:t>
      </w:r>
    </w:p>
    <w:p>
      <w:pPr>
        <w:adjustRightInd w:val="0"/>
        <w:snapToGrid w:val="0"/>
        <w:spacing w:after="156" w:afterLines="50"/>
        <w:ind w:firstLine="422" w:firstLineChars="200"/>
        <w:rPr>
          <w:rFonts w:ascii="宋体"/>
          <w:szCs w:val="21"/>
        </w:rPr>
      </w:pPr>
      <w:r>
        <w:rPr>
          <w:rFonts w:hint="eastAsia" w:ascii="宋体" w:hAnsi="宋体"/>
          <w:b/>
          <w:bCs/>
          <w:szCs w:val="21"/>
        </w:rPr>
        <w:t>第三十七条</w:t>
      </w:r>
      <w:r>
        <w:rPr>
          <w:rFonts w:ascii="宋体" w:hAnsi="宋体"/>
          <w:szCs w:val="21"/>
        </w:rPr>
        <w:t xml:space="preserve">  </w:t>
      </w:r>
      <w:r>
        <w:rPr>
          <w:rFonts w:hint="eastAsia" w:ascii="宋体" w:hAnsi="宋体"/>
          <w:szCs w:val="21"/>
        </w:rPr>
        <w:t>因履行本保险合同发生的争议，由当事人协商解决。协商不成的，提交保险单载明的仲裁机构仲裁；保险单未载明仲裁机构且争议发生后未达成仲裁协议的，依法向中华人民共和国人民法院起诉。</w:t>
      </w:r>
    </w:p>
    <w:p>
      <w:pPr>
        <w:adjustRightInd w:val="0"/>
        <w:snapToGrid w:val="0"/>
        <w:spacing w:after="156" w:afterLines="50"/>
        <w:ind w:firstLine="422" w:firstLineChars="200"/>
        <w:rPr>
          <w:rFonts w:ascii="宋体"/>
          <w:szCs w:val="21"/>
        </w:rPr>
      </w:pPr>
      <w:r>
        <w:rPr>
          <w:rFonts w:hint="eastAsia" w:ascii="宋体" w:hAnsi="宋体"/>
          <w:b/>
          <w:bCs/>
          <w:szCs w:val="21"/>
        </w:rPr>
        <w:t>第三十八条</w:t>
      </w:r>
      <w:r>
        <w:rPr>
          <w:rFonts w:ascii="宋体" w:hAnsi="宋体"/>
          <w:b/>
          <w:bCs/>
          <w:szCs w:val="21"/>
        </w:rPr>
        <w:t xml:space="preserve"> </w:t>
      </w:r>
      <w:r>
        <w:rPr>
          <w:rFonts w:ascii="宋体" w:hAnsi="宋体"/>
          <w:szCs w:val="21"/>
        </w:rPr>
        <w:t xml:space="preserve"> </w:t>
      </w:r>
      <w:r>
        <w:rPr>
          <w:rFonts w:hint="eastAsia" w:ascii="宋体" w:hAnsi="宋体"/>
          <w:szCs w:val="21"/>
        </w:rPr>
        <w:t>本保险合同的争议处理适用中华人民共和国法律（不包括港澳台地区法律）。</w:t>
      </w:r>
    </w:p>
    <w:p>
      <w:pPr>
        <w:adjustRightInd w:val="0"/>
        <w:snapToGrid w:val="0"/>
        <w:spacing w:after="156" w:afterLines="50"/>
        <w:jc w:val="center"/>
        <w:rPr>
          <w:rFonts w:ascii="宋体"/>
          <w:b/>
          <w:bCs/>
          <w:szCs w:val="21"/>
        </w:rPr>
      </w:pPr>
      <w:r>
        <w:rPr>
          <w:rFonts w:hint="eastAsia" w:ascii="宋体" w:hAnsi="宋体"/>
          <w:b/>
          <w:bCs/>
          <w:szCs w:val="21"/>
        </w:rPr>
        <w:t>其他事项</w:t>
      </w:r>
    </w:p>
    <w:p>
      <w:pPr>
        <w:ind w:firstLine="422" w:firstLineChars="200"/>
        <w:rPr>
          <w:szCs w:val="21"/>
        </w:rPr>
      </w:pPr>
      <w:r>
        <w:rPr>
          <w:rFonts w:hint="eastAsia" w:ascii="宋体" w:hAnsi="宋体"/>
          <w:b/>
          <w:szCs w:val="21"/>
        </w:rPr>
        <w:t>第三十九条</w:t>
      </w:r>
      <w:r>
        <w:rPr>
          <w:rFonts w:ascii="宋体" w:hAnsi="宋体"/>
          <w:szCs w:val="21"/>
        </w:rPr>
        <w:t xml:space="preserve">  </w:t>
      </w:r>
      <w:r>
        <w:rPr>
          <w:rFonts w:hint="eastAsia"/>
          <w:szCs w:val="21"/>
        </w:rPr>
        <w:t>投保人和保险人可以协商变更合同内容。</w:t>
      </w:r>
    </w:p>
    <w:p>
      <w:pPr>
        <w:adjustRightInd w:val="0"/>
        <w:snapToGrid w:val="0"/>
        <w:spacing w:after="156" w:afterLines="50"/>
        <w:ind w:firstLine="420" w:firstLineChars="200"/>
        <w:rPr>
          <w:szCs w:val="21"/>
        </w:rPr>
      </w:pPr>
      <w:r>
        <w:rPr>
          <w:rFonts w:hint="eastAsia"/>
          <w:szCs w:val="21"/>
        </w:rPr>
        <w:t>变更保险合同的，应当由保险人在保险单或者其他保险凭证上批注或附贴批单，或者投保人和保险人订立变更的书面协议。</w:t>
      </w:r>
    </w:p>
    <w:p>
      <w:pPr>
        <w:adjustRightInd w:val="0"/>
        <w:snapToGrid w:val="0"/>
        <w:spacing w:after="156" w:afterLines="50"/>
        <w:ind w:firstLine="422" w:firstLineChars="200"/>
        <w:rPr>
          <w:szCs w:val="21"/>
        </w:rPr>
      </w:pPr>
      <w:r>
        <w:rPr>
          <w:rFonts w:hint="eastAsia"/>
          <w:b/>
          <w:szCs w:val="21"/>
        </w:rPr>
        <w:t>第四十条</w:t>
      </w:r>
      <w:r>
        <w:rPr>
          <w:szCs w:val="21"/>
        </w:rPr>
        <w:t xml:space="preserve">  </w:t>
      </w:r>
      <w:r>
        <w:rPr>
          <w:rFonts w:hint="eastAsia"/>
          <w:szCs w:val="21"/>
        </w:rPr>
        <w:t>投保人可随时书面申请解除本保险合同，本保险合同自保险人收到投保人的书面申请之日的二十四时起终止。保险责任开始前，投保人要求解除合同的，保险人扣除3</w:t>
      </w:r>
      <w:r>
        <w:rPr>
          <w:szCs w:val="21"/>
        </w:rPr>
        <w:t>%</w:t>
      </w:r>
      <w:r>
        <w:rPr>
          <w:rFonts w:hint="eastAsia"/>
          <w:szCs w:val="21"/>
        </w:rPr>
        <w:t>手续费后，剩余部分的保险费退还投保人；保险责任开始后，投保人要求解除合同的，对保险责任开始之日起至合同解除之日止期间的保险费，按短期费率计收，剩余部分退还投保人。</w:t>
      </w:r>
    </w:p>
    <w:p>
      <w:pPr>
        <w:adjustRightInd w:val="0"/>
        <w:snapToGrid w:val="0"/>
        <w:spacing w:after="156" w:afterLines="50"/>
        <w:ind w:firstLine="420" w:firstLineChars="200"/>
        <w:rPr>
          <w:szCs w:val="21"/>
        </w:rPr>
      </w:pPr>
      <w:r>
        <w:rPr>
          <w:rFonts w:hint="eastAsia"/>
          <w:szCs w:val="21"/>
        </w:rPr>
        <w:t>保险人亦可解除本保险合同。保险责任开始前，保险人要求解除合同的，</w:t>
      </w:r>
      <w:r>
        <w:rPr>
          <w:rFonts w:hint="eastAsia"/>
          <w:szCs w:val="20"/>
        </w:rPr>
        <w:t>不得向投保人收取手续费并应退还已收取的保险费；保险责任开始后，保险人可</w:t>
      </w:r>
      <w:r>
        <w:rPr>
          <w:rFonts w:hint="eastAsia"/>
          <w:szCs w:val="21"/>
        </w:rPr>
        <w:t>提前十五天通知投保人解除合同，对保险责任开始之日起至合同解除之日止期间的保险费，按日比例计收，剩余部分退还投保人。</w:t>
      </w:r>
    </w:p>
    <w:p>
      <w:pPr>
        <w:adjustRightInd w:val="0"/>
        <w:snapToGrid w:val="0"/>
        <w:spacing w:after="156" w:afterLines="50"/>
        <w:ind w:firstLine="422" w:firstLineChars="200"/>
        <w:rPr>
          <w:rStyle w:val="91"/>
          <w:rFonts w:ascii=".." w:hAnsi=".."/>
          <w:color w:val="000000"/>
        </w:rPr>
      </w:pPr>
      <w:r>
        <w:rPr>
          <w:rFonts w:hint="eastAsia"/>
          <w:b/>
          <w:szCs w:val="21"/>
        </w:rPr>
        <w:t>第四十一条</w:t>
      </w:r>
      <w:r>
        <w:rPr>
          <w:szCs w:val="21"/>
        </w:rPr>
        <w:t xml:space="preserve">  </w:t>
      </w:r>
      <w:r>
        <w:rPr>
          <w:rStyle w:val="91"/>
          <w:rFonts w:hint="eastAsia" w:ascii=".." w:hAnsi=".."/>
          <w:color w:val="000000"/>
        </w:rPr>
        <w:t>发生保险事故且保险人已承担赔偿责任的，自保险人赔偿之日起三十日内，投保人可以解除合同；除合同另有约定外，保险人也可以解除合同，但应当提前十五日通知投保人。</w:t>
      </w:r>
    </w:p>
    <w:p>
      <w:pPr>
        <w:adjustRightInd w:val="0"/>
        <w:snapToGrid w:val="0"/>
        <w:spacing w:after="156" w:afterLines="50"/>
        <w:ind w:firstLine="420" w:firstLineChars="200"/>
        <w:rPr>
          <w:rStyle w:val="91"/>
          <w:rFonts w:ascii=".." w:hAnsi=".."/>
          <w:color w:val="000000"/>
        </w:rPr>
      </w:pPr>
      <w:r>
        <w:rPr>
          <w:rFonts w:hint="eastAsia" w:ascii=".." w:hAnsi=".."/>
          <w:color w:val="000000"/>
        </w:rPr>
        <w:t>保险合同依据前款规定</w:t>
      </w:r>
      <w:r>
        <w:rPr>
          <w:rStyle w:val="91"/>
          <w:rFonts w:hint="eastAsia" w:ascii=".." w:hAnsi=".."/>
          <w:color w:val="000000"/>
        </w:rPr>
        <w:t>解除的，保险人应当将累计赔偿限额扣除累计已赔偿金额后剩余部分的保险费，按照合同约定扣除自保险责任开始之日起至合同解除之日止应收的部分后，退还投保人。</w:t>
      </w:r>
    </w:p>
    <w:p>
      <w:pPr>
        <w:adjustRightInd w:val="0"/>
        <w:snapToGrid w:val="0"/>
        <w:spacing w:after="156" w:afterLines="50"/>
        <w:ind w:firstLine="420" w:firstLineChars="200"/>
        <w:rPr>
          <w:rFonts w:ascii="宋体"/>
          <w:szCs w:val="21"/>
        </w:rPr>
      </w:pPr>
    </w:p>
    <w:p>
      <w:pPr>
        <w:adjustRightInd w:val="0"/>
        <w:snapToGrid w:val="0"/>
        <w:spacing w:after="156" w:afterLines="50"/>
        <w:jc w:val="center"/>
        <w:rPr>
          <w:rFonts w:ascii="宋体"/>
          <w:b/>
          <w:szCs w:val="21"/>
        </w:rPr>
      </w:pPr>
      <w:r>
        <w:rPr>
          <w:rFonts w:hint="eastAsia" w:ascii="宋体" w:hAnsi="宋体"/>
          <w:b/>
          <w:szCs w:val="21"/>
        </w:rPr>
        <w:t>释义</w:t>
      </w:r>
    </w:p>
    <w:p>
      <w:pPr>
        <w:snapToGrid w:val="0"/>
        <w:spacing w:after="156" w:afterLines="50"/>
        <w:ind w:firstLine="420" w:firstLineChars="200"/>
        <w:rPr>
          <w:rFonts w:ascii="宋体"/>
          <w:snapToGrid w:val="0"/>
          <w:kern w:val="0"/>
          <w:szCs w:val="21"/>
        </w:rPr>
      </w:pPr>
      <w:r>
        <w:rPr>
          <w:rFonts w:hint="eastAsia" w:ascii="宋体" w:hAnsi="宋体"/>
          <w:snapToGrid w:val="0"/>
          <w:kern w:val="0"/>
          <w:szCs w:val="21"/>
        </w:rPr>
        <w:t>【传染病】是指《传染病防治法》所规定的各种传染病。</w:t>
      </w:r>
    </w:p>
    <w:p>
      <w:pPr>
        <w:snapToGrid w:val="0"/>
        <w:spacing w:after="156" w:afterLines="50"/>
        <w:ind w:firstLine="420" w:firstLineChars="200"/>
        <w:rPr>
          <w:rFonts w:ascii="宋体"/>
          <w:szCs w:val="21"/>
        </w:rPr>
      </w:pPr>
    </w:p>
    <w:p>
      <w:pPr>
        <w:adjustRightInd w:val="0"/>
        <w:snapToGrid w:val="0"/>
        <w:spacing w:after="156" w:afterLines="50"/>
        <w:jc w:val="center"/>
        <w:rPr>
          <w:rFonts w:ascii="宋体"/>
          <w:b/>
          <w:bCs/>
          <w:szCs w:val="21"/>
        </w:rPr>
      </w:pPr>
      <w:r>
        <w:rPr>
          <w:rFonts w:hint="eastAsia" w:ascii="宋体" w:hAnsi="宋体"/>
          <w:b/>
          <w:bCs/>
          <w:szCs w:val="21"/>
        </w:rPr>
        <w:t>附录：</w:t>
      </w:r>
    </w:p>
    <w:p>
      <w:pPr>
        <w:adjustRightInd w:val="0"/>
        <w:snapToGrid w:val="0"/>
        <w:spacing w:after="156" w:afterLines="50"/>
        <w:jc w:val="center"/>
        <w:rPr>
          <w:rFonts w:ascii="宋体"/>
          <w:b/>
          <w:snapToGrid w:val="0"/>
          <w:kern w:val="0"/>
          <w:szCs w:val="21"/>
        </w:rPr>
      </w:pPr>
      <w:r>
        <w:rPr>
          <w:rFonts w:hint="eastAsia" w:ascii="宋体" w:hAnsi="宋体"/>
          <w:b/>
          <w:snapToGrid w:val="0"/>
          <w:kern w:val="0"/>
          <w:szCs w:val="21"/>
        </w:rPr>
        <w:t>短期费率表</w:t>
      </w:r>
    </w:p>
    <w:tbl>
      <w:tblPr>
        <w:tblStyle w:val="27"/>
        <w:tblW w:w="8768" w:type="dxa"/>
        <w:jc w:val="center"/>
        <w:tblBorders>
          <w:top w:val="single" w:color="auto" w:sz="4" w:space="0"/>
          <w:left w:val="single" w:color="auto" w:sz="4" w:space="0"/>
          <w:bottom w:val="single" w:color="000000" w:sz="4" w:space="0"/>
          <w:right w:val="single" w:color="auto" w:sz="4" w:space="0"/>
          <w:insideH w:val="single" w:color="000000" w:sz="4" w:space="0"/>
          <w:insideV w:val="single" w:color="auto" w:sz="4" w:space="0"/>
        </w:tblBorders>
        <w:tblLayout w:type="fixed"/>
        <w:tblCellMar>
          <w:top w:w="0" w:type="dxa"/>
          <w:left w:w="0" w:type="dxa"/>
          <w:bottom w:w="0" w:type="dxa"/>
          <w:right w:w="0" w:type="dxa"/>
        </w:tblCellMar>
      </w:tblPr>
      <w:tblGrid>
        <w:gridCol w:w="2368"/>
        <w:gridCol w:w="533"/>
        <w:gridCol w:w="533"/>
        <w:gridCol w:w="534"/>
        <w:gridCol w:w="533"/>
        <w:gridCol w:w="533"/>
        <w:gridCol w:w="534"/>
        <w:gridCol w:w="533"/>
        <w:gridCol w:w="533"/>
        <w:gridCol w:w="534"/>
        <w:gridCol w:w="533"/>
        <w:gridCol w:w="533"/>
        <w:gridCol w:w="534"/>
      </w:tblGrid>
      <w:tr>
        <w:tblPrEx>
          <w:tblBorders>
            <w:top w:val="single" w:color="auto" w:sz="4" w:space="0"/>
            <w:left w:val="single" w:color="auto" w:sz="4" w:space="0"/>
            <w:bottom w:val="single" w:color="000000" w:sz="4" w:space="0"/>
            <w:right w:val="single" w:color="auto" w:sz="4" w:space="0"/>
            <w:insideH w:val="single" w:color="000000" w:sz="4" w:space="0"/>
            <w:insideV w:val="single" w:color="auto" w:sz="4" w:space="0"/>
          </w:tblBorders>
          <w:tblCellMar>
            <w:top w:w="0" w:type="dxa"/>
            <w:left w:w="0" w:type="dxa"/>
            <w:bottom w:w="0" w:type="dxa"/>
            <w:right w:w="0" w:type="dxa"/>
          </w:tblCellMar>
        </w:tblPrEx>
        <w:trPr>
          <w:cantSplit/>
          <w:trHeight w:val="435" w:hRule="atLeast"/>
          <w:jc w:val="center"/>
        </w:trPr>
        <w:tc>
          <w:tcPr>
            <w:tcW w:w="2368" w:type="dxa"/>
            <w:tcBorders>
              <w:top w:val="single" w:color="auto" w:sz="4" w:space="0"/>
            </w:tcBorders>
            <w:vAlign w:val="center"/>
          </w:tcPr>
          <w:p>
            <w:pPr>
              <w:snapToGrid w:val="0"/>
              <w:jc w:val="center"/>
              <w:rPr>
                <w:szCs w:val="21"/>
              </w:rPr>
            </w:pPr>
            <w:r>
              <w:rPr>
                <w:rFonts w:hint="eastAsia"/>
                <w:szCs w:val="21"/>
              </w:rPr>
              <w:t>保险期间已经过月数（个月）</w:t>
            </w:r>
          </w:p>
        </w:tc>
        <w:tc>
          <w:tcPr>
            <w:tcW w:w="533" w:type="dxa"/>
            <w:tcBorders>
              <w:top w:val="single" w:color="auto" w:sz="4" w:space="0"/>
            </w:tcBorders>
            <w:vAlign w:val="center"/>
          </w:tcPr>
          <w:p>
            <w:pPr>
              <w:snapToGrid w:val="0"/>
              <w:jc w:val="center"/>
              <w:rPr>
                <w:szCs w:val="21"/>
              </w:rPr>
            </w:pPr>
            <w:r>
              <w:rPr>
                <w:szCs w:val="21"/>
              </w:rPr>
              <w:t>1</w:t>
            </w:r>
          </w:p>
        </w:tc>
        <w:tc>
          <w:tcPr>
            <w:tcW w:w="533" w:type="dxa"/>
            <w:tcBorders>
              <w:top w:val="single" w:color="auto" w:sz="4" w:space="0"/>
            </w:tcBorders>
            <w:vAlign w:val="center"/>
          </w:tcPr>
          <w:p>
            <w:pPr>
              <w:snapToGrid w:val="0"/>
              <w:jc w:val="center"/>
              <w:rPr>
                <w:szCs w:val="21"/>
              </w:rPr>
            </w:pPr>
            <w:r>
              <w:rPr>
                <w:szCs w:val="21"/>
              </w:rPr>
              <w:t>2</w:t>
            </w:r>
          </w:p>
        </w:tc>
        <w:tc>
          <w:tcPr>
            <w:tcW w:w="534" w:type="dxa"/>
            <w:tcBorders>
              <w:top w:val="single" w:color="auto" w:sz="4" w:space="0"/>
            </w:tcBorders>
            <w:vAlign w:val="center"/>
          </w:tcPr>
          <w:p>
            <w:pPr>
              <w:snapToGrid w:val="0"/>
              <w:jc w:val="center"/>
              <w:rPr>
                <w:szCs w:val="21"/>
              </w:rPr>
            </w:pPr>
            <w:r>
              <w:rPr>
                <w:szCs w:val="21"/>
              </w:rPr>
              <w:t>3</w:t>
            </w:r>
          </w:p>
        </w:tc>
        <w:tc>
          <w:tcPr>
            <w:tcW w:w="533" w:type="dxa"/>
            <w:tcBorders>
              <w:top w:val="single" w:color="auto" w:sz="4" w:space="0"/>
            </w:tcBorders>
            <w:vAlign w:val="center"/>
          </w:tcPr>
          <w:p>
            <w:pPr>
              <w:snapToGrid w:val="0"/>
              <w:jc w:val="center"/>
              <w:rPr>
                <w:szCs w:val="21"/>
              </w:rPr>
            </w:pPr>
            <w:r>
              <w:rPr>
                <w:szCs w:val="21"/>
              </w:rPr>
              <w:t>4</w:t>
            </w:r>
          </w:p>
        </w:tc>
        <w:tc>
          <w:tcPr>
            <w:tcW w:w="533" w:type="dxa"/>
            <w:tcBorders>
              <w:top w:val="single" w:color="auto" w:sz="4" w:space="0"/>
            </w:tcBorders>
            <w:vAlign w:val="center"/>
          </w:tcPr>
          <w:p>
            <w:pPr>
              <w:snapToGrid w:val="0"/>
              <w:jc w:val="center"/>
              <w:rPr>
                <w:szCs w:val="21"/>
              </w:rPr>
            </w:pPr>
            <w:r>
              <w:rPr>
                <w:szCs w:val="21"/>
              </w:rPr>
              <w:t>5</w:t>
            </w:r>
          </w:p>
        </w:tc>
        <w:tc>
          <w:tcPr>
            <w:tcW w:w="534" w:type="dxa"/>
            <w:tcBorders>
              <w:top w:val="single" w:color="auto" w:sz="4" w:space="0"/>
            </w:tcBorders>
            <w:vAlign w:val="center"/>
          </w:tcPr>
          <w:p>
            <w:pPr>
              <w:snapToGrid w:val="0"/>
              <w:jc w:val="center"/>
              <w:rPr>
                <w:szCs w:val="21"/>
              </w:rPr>
            </w:pPr>
            <w:r>
              <w:rPr>
                <w:szCs w:val="21"/>
              </w:rPr>
              <w:t>6</w:t>
            </w:r>
          </w:p>
        </w:tc>
        <w:tc>
          <w:tcPr>
            <w:tcW w:w="533" w:type="dxa"/>
            <w:tcBorders>
              <w:top w:val="single" w:color="auto" w:sz="4" w:space="0"/>
            </w:tcBorders>
            <w:vAlign w:val="center"/>
          </w:tcPr>
          <w:p>
            <w:pPr>
              <w:snapToGrid w:val="0"/>
              <w:jc w:val="center"/>
              <w:rPr>
                <w:szCs w:val="21"/>
              </w:rPr>
            </w:pPr>
            <w:r>
              <w:rPr>
                <w:szCs w:val="21"/>
              </w:rPr>
              <w:t>7</w:t>
            </w:r>
          </w:p>
        </w:tc>
        <w:tc>
          <w:tcPr>
            <w:tcW w:w="533" w:type="dxa"/>
            <w:tcBorders>
              <w:top w:val="single" w:color="auto" w:sz="4" w:space="0"/>
            </w:tcBorders>
            <w:vAlign w:val="center"/>
          </w:tcPr>
          <w:p>
            <w:pPr>
              <w:snapToGrid w:val="0"/>
              <w:jc w:val="center"/>
              <w:rPr>
                <w:szCs w:val="21"/>
              </w:rPr>
            </w:pPr>
            <w:r>
              <w:rPr>
                <w:szCs w:val="21"/>
              </w:rPr>
              <w:t>8</w:t>
            </w:r>
          </w:p>
        </w:tc>
        <w:tc>
          <w:tcPr>
            <w:tcW w:w="534" w:type="dxa"/>
            <w:tcBorders>
              <w:top w:val="single" w:color="auto" w:sz="4" w:space="0"/>
            </w:tcBorders>
            <w:vAlign w:val="center"/>
          </w:tcPr>
          <w:p>
            <w:pPr>
              <w:snapToGrid w:val="0"/>
              <w:jc w:val="center"/>
              <w:rPr>
                <w:szCs w:val="21"/>
              </w:rPr>
            </w:pPr>
            <w:r>
              <w:rPr>
                <w:szCs w:val="21"/>
              </w:rPr>
              <w:t>9</w:t>
            </w:r>
          </w:p>
        </w:tc>
        <w:tc>
          <w:tcPr>
            <w:tcW w:w="533" w:type="dxa"/>
            <w:tcBorders>
              <w:top w:val="single" w:color="auto" w:sz="4" w:space="0"/>
            </w:tcBorders>
            <w:vAlign w:val="center"/>
          </w:tcPr>
          <w:p>
            <w:pPr>
              <w:snapToGrid w:val="0"/>
              <w:jc w:val="center"/>
              <w:rPr>
                <w:szCs w:val="21"/>
              </w:rPr>
            </w:pPr>
            <w:r>
              <w:rPr>
                <w:szCs w:val="21"/>
              </w:rPr>
              <w:t>10</w:t>
            </w:r>
          </w:p>
        </w:tc>
        <w:tc>
          <w:tcPr>
            <w:tcW w:w="533" w:type="dxa"/>
            <w:tcBorders>
              <w:top w:val="single" w:color="auto" w:sz="4" w:space="0"/>
            </w:tcBorders>
            <w:vAlign w:val="center"/>
          </w:tcPr>
          <w:p>
            <w:pPr>
              <w:snapToGrid w:val="0"/>
              <w:jc w:val="center"/>
              <w:rPr>
                <w:szCs w:val="21"/>
              </w:rPr>
            </w:pPr>
            <w:r>
              <w:rPr>
                <w:szCs w:val="21"/>
              </w:rPr>
              <w:t>11</w:t>
            </w:r>
          </w:p>
        </w:tc>
        <w:tc>
          <w:tcPr>
            <w:tcW w:w="534" w:type="dxa"/>
            <w:tcBorders>
              <w:top w:val="single" w:color="auto" w:sz="4" w:space="0"/>
            </w:tcBorders>
            <w:vAlign w:val="center"/>
          </w:tcPr>
          <w:p>
            <w:pPr>
              <w:snapToGrid w:val="0"/>
              <w:jc w:val="center"/>
              <w:rPr>
                <w:szCs w:val="21"/>
              </w:rPr>
            </w:pPr>
            <w:r>
              <w:rPr>
                <w:szCs w:val="21"/>
              </w:rPr>
              <w:t>12</w:t>
            </w:r>
          </w:p>
        </w:tc>
      </w:tr>
      <w:tr>
        <w:tblPrEx>
          <w:tblBorders>
            <w:top w:val="single" w:color="auto" w:sz="4" w:space="0"/>
            <w:left w:val="single" w:color="auto" w:sz="4" w:space="0"/>
            <w:bottom w:val="single" w:color="000000" w:sz="4" w:space="0"/>
            <w:right w:val="single" w:color="auto" w:sz="4" w:space="0"/>
            <w:insideH w:val="single" w:color="000000" w:sz="4" w:space="0"/>
            <w:insideV w:val="single" w:color="auto" w:sz="4" w:space="0"/>
          </w:tblBorders>
        </w:tblPrEx>
        <w:trPr>
          <w:cantSplit/>
          <w:trHeight w:val="435" w:hRule="atLeast"/>
          <w:jc w:val="center"/>
        </w:trPr>
        <w:tc>
          <w:tcPr>
            <w:tcW w:w="2368" w:type="dxa"/>
            <w:vAlign w:val="center"/>
          </w:tcPr>
          <w:p>
            <w:pPr>
              <w:snapToGrid w:val="0"/>
              <w:jc w:val="center"/>
              <w:rPr>
                <w:szCs w:val="21"/>
              </w:rPr>
            </w:pPr>
            <w:r>
              <w:rPr>
                <w:rFonts w:hint="eastAsia"/>
                <w:szCs w:val="21"/>
              </w:rPr>
              <w:t>年费率的比例（％）</w:t>
            </w:r>
          </w:p>
        </w:tc>
        <w:tc>
          <w:tcPr>
            <w:tcW w:w="533" w:type="dxa"/>
            <w:vAlign w:val="center"/>
          </w:tcPr>
          <w:p>
            <w:pPr>
              <w:snapToGrid w:val="0"/>
              <w:jc w:val="center"/>
              <w:rPr>
                <w:szCs w:val="21"/>
              </w:rPr>
            </w:pPr>
            <w:r>
              <w:rPr>
                <w:szCs w:val="21"/>
              </w:rPr>
              <w:t>10</w:t>
            </w:r>
          </w:p>
        </w:tc>
        <w:tc>
          <w:tcPr>
            <w:tcW w:w="533" w:type="dxa"/>
            <w:vAlign w:val="center"/>
          </w:tcPr>
          <w:p>
            <w:pPr>
              <w:snapToGrid w:val="0"/>
              <w:jc w:val="center"/>
              <w:rPr>
                <w:szCs w:val="21"/>
              </w:rPr>
            </w:pPr>
            <w:r>
              <w:rPr>
                <w:szCs w:val="21"/>
              </w:rPr>
              <w:t>20</w:t>
            </w:r>
          </w:p>
        </w:tc>
        <w:tc>
          <w:tcPr>
            <w:tcW w:w="534" w:type="dxa"/>
            <w:vAlign w:val="center"/>
          </w:tcPr>
          <w:p>
            <w:pPr>
              <w:snapToGrid w:val="0"/>
              <w:jc w:val="center"/>
              <w:rPr>
                <w:szCs w:val="21"/>
              </w:rPr>
            </w:pPr>
            <w:r>
              <w:rPr>
                <w:szCs w:val="21"/>
              </w:rPr>
              <w:t>30</w:t>
            </w:r>
          </w:p>
        </w:tc>
        <w:tc>
          <w:tcPr>
            <w:tcW w:w="533" w:type="dxa"/>
            <w:vAlign w:val="center"/>
          </w:tcPr>
          <w:p>
            <w:pPr>
              <w:snapToGrid w:val="0"/>
              <w:jc w:val="center"/>
              <w:rPr>
                <w:szCs w:val="21"/>
              </w:rPr>
            </w:pPr>
            <w:r>
              <w:rPr>
                <w:szCs w:val="21"/>
              </w:rPr>
              <w:t>40</w:t>
            </w:r>
          </w:p>
        </w:tc>
        <w:tc>
          <w:tcPr>
            <w:tcW w:w="533" w:type="dxa"/>
            <w:vAlign w:val="center"/>
          </w:tcPr>
          <w:p>
            <w:pPr>
              <w:snapToGrid w:val="0"/>
              <w:jc w:val="center"/>
              <w:rPr>
                <w:szCs w:val="21"/>
              </w:rPr>
            </w:pPr>
            <w:r>
              <w:rPr>
                <w:szCs w:val="21"/>
              </w:rPr>
              <w:t>50</w:t>
            </w:r>
          </w:p>
        </w:tc>
        <w:tc>
          <w:tcPr>
            <w:tcW w:w="534" w:type="dxa"/>
            <w:vAlign w:val="center"/>
          </w:tcPr>
          <w:p>
            <w:pPr>
              <w:snapToGrid w:val="0"/>
              <w:jc w:val="center"/>
              <w:rPr>
                <w:szCs w:val="21"/>
              </w:rPr>
            </w:pPr>
            <w:r>
              <w:rPr>
                <w:szCs w:val="21"/>
              </w:rPr>
              <w:t>60</w:t>
            </w:r>
          </w:p>
        </w:tc>
        <w:tc>
          <w:tcPr>
            <w:tcW w:w="533" w:type="dxa"/>
            <w:vAlign w:val="center"/>
          </w:tcPr>
          <w:p>
            <w:pPr>
              <w:snapToGrid w:val="0"/>
              <w:jc w:val="center"/>
              <w:rPr>
                <w:szCs w:val="21"/>
              </w:rPr>
            </w:pPr>
            <w:r>
              <w:rPr>
                <w:szCs w:val="21"/>
              </w:rPr>
              <w:t>70</w:t>
            </w:r>
          </w:p>
        </w:tc>
        <w:tc>
          <w:tcPr>
            <w:tcW w:w="533" w:type="dxa"/>
            <w:vAlign w:val="center"/>
          </w:tcPr>
          <w:p>
            <w:pPr>
              <w:snapToGrid w:val="0"/>
              <w:jc w:val="center"/>
              <w:rPr>
                <w:szCs w:val="21"/>
              </w:rPr>
            </w:pPr>
            <w:r>
              <w:rPr>
                <w:szCs w:val="21"/>
              </w:rPr>
              <w:t>80</w:t>
            </w:r>
          </w:p>
        </w:tc>
        <w:tc>
          <w:tcPr>
            <w:tcW w:w="534" w:type="dxa"/>
            <w:vAlign w:val="center"/>
          </w:tcPr>
          <w:p>
            <w:pPr>
              <w:snapToGrid w:val="0"/>
              <w:jc w:val="center"/>
              <w:rPr>
                <w:szCs w:val="21"/>
              </w:rPr>
            </w:pPr>
            <w:r>
              <w:rPr>
                <w:szCs w:val="21"/>
              </w:rPr>
              <w:t>85</w:t>
            </w:r>
          </w:p>
        </w:tc>
        <w:tc>
          <w:tcPr>
            <w:tcW w:w="533" w:type="dxa"/>
            <w:vAlign w:val="center"/>
          </w:tcPr>
          <w:p>
            <w:pPr>
              <w:snapToGrid w:val="0"/>
              <w:jc w:val="center"/>
              <w:rPr>
                <w:szCs w:val="21"/>
              </w:rPr>
            </w:pPr>
            <w:r>
              <w:rPr>
                <w:szCs w:val="21"/>
              </w:rPr>
              <w:t>90</w:t>
            </w:r>
          </w:p>
        </w:tc>
        <w:tc>
          <w:tcPr>
            <w:tcW w:w="533" w:type="dxa"/>
            <w:vAlign w:val="center"/>
          </w:tcPr>
          <w:p>
            <w:pPr>
              <w:snapToGrid w:val="0"/>
              <w:jc w:val="center"/>
              <w:rPr>
                <w:szCs w:val="21"/>
              </w:rPr>
            </w:pPr>
            <w:r>
              <w:rPr>
                <w:szCs w:val="21"/>
              </w:rPr>
              <w:t>95</w:t>
            </w:r>
          </w:p>
        </w:tc>
        <w:tc>
          <w:tcPr>
            <w:tcW w:w="534" w:type="dxa"/>
            <w:vAlign w:val="center"/>
          </w:tcPr>
          <w:p>
            <w:pPr>
              <w:snapToGrid w:val="0"/>
              <w:jc w:val="center"/>
              <w:rPr>
                <w:szCs w:val="21"/>
              </w:rPr>
            </w:pPr>
            <w:r>
              <w:rPr>
                <w:szCs w:val="21"/>
              </w:rPr>
              <w:t>100</w:t>
            </w:r>
          </w:p>
        </w:tc>
      </w:tr>
    </w:tbl>
    <w:p>
      <w:pPr>
        <w:adjustRightInd w:val="0"/>
        <w:snapToGrid w:val="0"/>
        <w:spacing w:after="156" w:afterLines="50"/>
        <w:ind w:firstLine="420" w:firstLineChars="200"/>
        <w:rPr>
          <w:rFonts w:ascii="宋体"/>
          <w:snapToGrid w:val="0"/>
          <w:kern w:val="0"/>
          <w:szCs w:val="21"/>
        </w:rPr>
      </w:pPr>
      <w:r>
        <w:rPr>
          <w:rFonts w:hint="eastAsia" w:ascii="宋体" w:hAnsi="宋体"/>
          <w:snapToGrid w:val="0"/>
          <w:kern w:val="0"/>
          <w:szCs w:val="21"/>
        </w:rPr>
        <w:t>（注：保险期间已经过月数不足一月的按一月计算）。</w:t>
      </w:r>
    </w:p>
    <w:p>
      <w:pPr>
        <w:widowControl/>
        <w:jc w:val="left"/>
        <w:rPr>
          <w:rFonts w:ascii="Arial" w:hAnsi="Arial" w:cs="Arial"/>
          <w:b/>
          <w:bCs/>
          <w:szCs w:val="21"/>
        </w:rPr>
      </w:pPr>
    </w:p>
    <w:p>
      <w:pPr>
        <w:widowControl/>
        <w:jc w:val="left"/>
        <w:rPr>
          <w:rFonts w:ascii="Arial" w:hAnsi="Arial" w:cs="Arial"/>
          <w:b/>
          <w:bCs/>
          <w:szCs w:val="21"/>
        </w:rPr>
      </w:pPr>
      <w:r>
        <w:rPr>
          <w:rFonts w:ascii="Arial" w:hAnsi="Arial" w:cs="Arial"/>
          <w:b/>
          <w:bCs/>
          <w:szCs w:val="21"/>
        </w:rPr>
        <w:br w:type="page"/>
      </w:r>
    </w:p>
    <w:p>
      <w:pPr>
        <w:ind w:left="420"/>
        <w:jc w:val="center"/>
        <w:rPr>
          <w:rFonts w:ascii="Arial" w:hAnsi="Arial" w:cs="Arial"/>
          <w:b/>
          <w:bCs/>
          <w:szCs w:val="21"/>
        </w:rPr>
      </w:pPr>
      <w:r>
        <w:rPr>
          <w:rFonts w:ascii="Arial" w:hAnsi="Arial" w:cs="Arial"/>
          <w:b/>
          <w:bCs/>
          <w:szCs w:val="21"/>
        </w:rPr>
        <w:t>公众责任险扩展条款</w:t>
      </w:r>
    </w:p>
    <w:p>
      <w:pPr>
        <w:ind w:left="420"/>
        <w:jc w:val="center"/>
        <w:rPr>
          <w:rFonts w:ascii="Arial" w:hAnsi="Arial" w:cs="Arial"/>
          <w:b/>
          <w:bCs/>
          <w:szCs w:val="21"/>
        </w:rPr>
      </w:pPr>
    </w:p>
    <w:p>
      <w:pPr>
        <w:numPr>
          <w:ilvl w:val="0"/>
          <w:numId w:val="17"/>
        </w:numPr>
        <w:rPr>
          <w:rFonts w:ascii="Arial" w:hAnsi="Arial" w:cs="Arial"/>
          <w:b/>
          <w:szCs w:val="21"/>
        </w:rPr>
      </w:pPr>
      <w:r>
        <w:rPr>
          <w:rFonts w:ascii="Arial" w:hAnsi="Arial" w:cs="Arial"/>
          <w:b/>
          <w:szCs w:val="21"/>
        </w:rPr>
        <w:t>食品、饮料责任条款</w:t>
      </w:r>
    </w:p>
    <w:p>
      <w:pPr>
        <w:ind w:firstLine="420"/>
        <w:rPr>
          <w:rFonts w:ascii="Arial" w:hAnsi="Arial" w:cs="Arial"/>
          <w:szCs w:val="21"/>
        </w:rPr>
      </w:pPr>
      <w:r>
        <w:rPr>
          <w:rFonts w:ascii="Arial" w:hAnsi="Arial" w:cs="Arial"/>
          <w:szCs w:val="21"/>
        </w:rPr>
        <w:t>兹经双方同意,鉴于被保险人已缴付了附加保险费,本保险扩展承保本保险单明细表中列明的地点范围内，因其提供的食品、饮料或掺有异物的食品、饮料造成第三者人身伤亡或财产损失时被保险人应负的赔偿责任。被保险人应克尽职责防止出售或提供任何不洁的或不符合消费标准的食品或饮料。</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提供物品及服务条款</w:t>
      </w:r>
    </w:p>
    <w:p>
      <w:pPr>
        <w:ind w:firstLine="420"/>
        <w:rPr>
          <w:rFonts w:ascii="Arial" w:hAnsi="Arial" w:cs="Arial"/>
          <w:szCs w:val="21"/>
        </w:rPr>
      </w:pPr>
      <w:r>
        <w:rPr>
          <w:rFonts w:ascii="Arial" w:hAnsi="Arial" w:cs="Arial"/>
          <w:szCs w:val="21"/>
        </w:rPr>
        <w:t>兹经双方同意,鉴于被保险人已缴付了附加保险费,本保险扩展承保被保险人提供物品及服务,包括作为其正常经营过程中的运输服务,造成第三者人身伤亡或财产损失时被保险人应负的赔偿责任。</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锅炉爆炸责任条款</w:t>
      </w:r>
    </w:p>
    <w:p>
      <w:pPr>
        <w:ind w:firstLine="420"/>
        <w:rPr>
          <w:rFonts w:ascii="Arial" w:hAnsi="Arial" w:cs="Arial"/>
          <w:szCs w:val="21"/>
        </w:rPr>
      </w:pPr>
      <w:r>
        <w:rPr>
          <w:rFonts w:ascii="Arial" w:hAnsi="Arial" w:cs="Arial"/>
          <w:szCs w:val="21"/>
        </w:rPr>
        <w:t>兹经双方同意,鉴于被保险人已缴付了附加保险费,本保险扩展承保本保险单明细表中列明的地点范围内，由于锅炉本身内部压力产生爆炸，造成第三者人身伤亡或财产损失时被保险人应负的赔偿责任。</w:t>
      </w:r>
    </w:p>
    <w:p>
      <w:pPr>
        <w:ind w:firstLine="420"/>
        <w:rPr>
          <w:rFonts w:ascii="Arial" w:hAnsi="Arial" w:cs="Arial"/>
          <w:szCs w:val="21"/>
        </w:rPr>
      </w:pPr>
      <w:r>
        <w:rPr>
          <w:rFonts w:ascii="Arial" w:hAnsi="Arial" w:cs="Arial"/>
          <w:szCs w:val="21"/>
        </w:rPr>
        <w:t>被保险人应持有有关政府部门颁发的锅炉合格证书，并保证对锅炉由合格的技术人员定期进行检查和维修。</w:t>
      </w:r>
    </w:p>
    <w:p>
      <w:pPr>
        <w:ind w:left="420"/>
        <w:rPr>
          <w:rFonts w:ascii="Arial" w:hAnsi="Arial" w:cs="Arial"/>
          <w:szCs w:val="21"/>
        </w:rPr>
      </w:pPr>
      <w:r>
        <w:rPr>
          <w:rFonts w:ascii="Arial" w:hAnsi="Arial" w:cs="Arial"/>
          <w:szCs w:val="21"/>
        </w:rPr>
        <w:t>本保险单所载其他条件不变。</w:t>
      </w:r>
    </w:p>
    <w:p>
      <w:pPr>
        <w:rPr>
          <w:rFonts w:ascii="Arial" w:hAnsi="Arial" w:cs="Arial"/>
          <w:szCs w:val="21"/>
        </w:rPr>
      </w:pPr>
    </w:p>
    <w:p>
      <w:pPr>
        <w:numPr>
          <w:ilvl w:val="0"/>
          <w:numId w:val="17"/>
        </w:numPr>
        <w:rPr>
          <w:rFonts w:ascii="Arial" w:hAnsi="Arial" w:cs="Arial"/>
          <w:b/>
          <w:szCs w:val="21"/>
        </w:rPr>
      </w:pPr>
      <w:r>
        <w:rPr>
          <w:rFonts w:ascii="Arial" w:hAnsi="Arial" w:cs="Arial"/>
          <w:b/>
          <w:szCs w:val="21"/>
        </w:rPr>
        <w:t>广告及装饰装置责任条款</w:t>
      </w:r>
    </w:p>
    <w:p>
      <w:pPr>
        <w:ind w:firstLine="420"/>
        <w:rPr>
          <w:rFonts w:ascii="Arial" w:hAnsi="Arial" w:cs="Arial"/>
          <w:szCs w:val="21"/>
        </w:rPr>
      </w:pPr>
      <w:r>
        <w:rPr>
          <w:rFonts w:ascii="Arial" w:hAnsi="Arial" w:cs="Arial"/>
          <w:szCs w:val="21"/>
        </w:rPr>
        <w:t>兹经双方同意,鉴于被保险人已缴付了附加保险费,本保险扩展承保被保险人因在本保险单明细表中列明的经营场所内或其他列明场所布置的广告、霓虹灯、装饰物发生意外事故造成第三者人身伤亡或财产损失时应负的赔偿责任。</w:t>
      </w:r>
    </w:p>
    <w:p>
      <w:pPr>
        <w:ind w:left="420"/>
        <w:rPr>
          <w:rFonts w:ascii="Arial" w:hAnsi="Arial" w:cs="Arial"/>
          <w:szCs w:val="21"/>
        </w:rPr>
      </w:pPr>
      <w:r>
        <w:rPr>
          <w:rFonts w:ascii="Arial" w:hAnsi="Arial" w:cs="Arial"/>
          <w:szCs w:val="21"/>
        </w:rPr>
        <w:t>被保险人应保证指派合格人员对上述装置定期进行检查和维护。</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车辆装卸责任条款</w:t>
      </w:r>
    </w:p>
    <w:p>
      <w:pPr>
        <w:ind w:firstLine="420"/>
        <w:rPr>
          <w:rFonts w:ascii="Arial" w:hAnsi="Arial" w:cs="Arial"/>
          <w:szCs w:val="21"/>
        </w:rPr>
      </w:pPr>
      <w:r>
        <w:rPr>
          <w:rFonts w:ascii="Arial" w:hAnsi="Arial" w:cs="Arial"/>
          <w:szCs w:val="21"/>
        </w:rPr>
        <w:t>兹经双方同意,鉴于被保险人已缴付了附加保险费,本保险扩展承保被保险人因其拥有的车辆在营业场所内进行与经营有关的装卸过程中发生意外事故造成第三者人身伤亡或财产损失时应负的赔偿责任。</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建筑物改变条款</w:t>
      </w:r>
    </w:p>
    <w:p>
      <w:pPr>
        <w:ind w:firstLine="420"/>
        <w:rPr>
          <w:rFonts w:ascii="Arial" w:hAnsi="Arial" w:cs="Arial"/>
          <w:szCs w:val="21"/>
        </w:rPr>
      </w:pPr>
      <w:r>
        <w:rPr>
          <w:rFonts w:ascii="Arial" w:hAnsi="Arial" w:cs="Arial"/>
          <w:szCs w:val="21"/>
        </w:rPr>
        <w:t>兹经双方同意,鉴于被保险人已缴付了附加保险费,本保险扩展承保被保险人因改变、维修或装修建筑造成第三者人身伤亡或财产损失时应负的赔偿责任。</w:t>
      </w:r>
    </w:p>
    <w:p>
      <w:pPr>
        <w:ind w:left="420"/>
        <w:rPr>
          <w:rFonts w:ascii="Arial" w:hAnsi="Arial" w:cs="Arial"/>
          <w:szCs w:val="21"/>
        </w:rPr>
      </w:pPr>
      <w:r>
        <w:rPr>
          <w:rFonts w:ascii="Arial" w:hAnsi="Arial" w:cs="Arial"/>
          <w:szCs w:val="21"/>
        </w:rPr>
        <w:t>被保险人应采取一切措施以防止在维修或装修过程中发生意外。</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火灾、爆炸、烟熏及水损条款</w:t>
      </w:r>
    </w:p>
    <w:p>
      <w:pPr>
        <w:ind w:firstLine="420"/>
        <w:rPr>
          <w:rFonts w:ascii="Arial" w:hAnsi="Arial" w:cs="Arial"/>
          <w:szCs w:val="21"/>
        </w:rPr>
      </w:pPr>
      <w:r>
        <w:rPr>
          <w:rFonts w:ascii="Arial" w:hAnsi="Arial" w:cs="Arial"/>
          <w:szCs w:val="21"/>
        </w:rPr>
        <w:t xml:space="preserve">兹经双方同意并约定，本附加险扩展承保在被保险人营业场所内发生火灾、爆炸、烟熏、水损而造成第三者的财产损失（包括由其保管和占用的业主的装置、家具）或人员伤亡时，被保险人依法应承担的赔偿责任。 </w:t>
      </w:r>
    </w:p>
    <w:p>
      <w:pPr>
        <w:ind w:firstLine="420"/>
        <w:rPr>
          <w:rFonts w:ascii="Arial" w:hAnsi="Arial" w:cs="Arial"/>
          <w:szCs w:val="21"/>
        </w:rPr>
      </w:pPr>
      <w:r>
        <w:rPr>
          <w:rFonts w:ascii="Arial" w:hAnsi="Arial" w:cs="Arial"/>
          <w:szCs w:val="21"/>
        </w:rPr>
        <w:t>主险条款与本附加险条款相抵触之处，以本附加险条款为准；本附加险条款未约定事项，以主险条款为准。</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意外及突然渗漏、污染条款（每次事故赔偿限额：RMB500,000.00）</w:t>
      </w:r>
    </w:p>
    <w:p>
      <w:pPr>
        <w:ind w:left="420"/>
        <w:rPr>
          <w:rFonts w:ascii="Arial" w:hAnsi="Arial" w:cs="Arial"/>
          <w:szCs w:val="21"/>
        </w:rPr>
      </w:pPr>
      <w:r>
        <w:rPr>
          <w:rFonts w:ascii="Arial" w:hAnsi="Arial" w:cs="Arial"/>
          <w:szCs w:val="21"/>
        </w:rPr>
        <w:t>本保险不负责承保下述责任：</w:t>
      </w:r>
    </w:p>
    <w:p>
      <w:pPr>
        <w:ind w:left="420"/>
        <w:rPr>
          <w:rFonts w:ascii="Arial" w:hAnsi="Arial" w:cs="Arial"/>
          <w:szCs w:val="21"/>
        </w:rPr>
      </w:pPr>
      <w:r>
        <w:rPr>
          <w:rFonts w:ascii="Arial" w:hAnsi="Arial" w:cs="Arial"/>
          <w:szCs w:val="21"/>
        </w:rPr>
        <w:t>（一）直接或间接由渗漏及污染导致的人身侵害、人身伤亡、财产损失或丧失使用，但本段规定不适用于因保险期限内突然的、非故意的和不可预料的意外事件导致的渗漏及污染而引起人身侵害、人身伤亡、有形财产损毁或损毁财产丧失使用的责任。</w:t>
      </w:r>
    </w:p>
    <w:p>
      <w:pPr>
        <w:ind w:left="420"/>
        <w:rPr>
          <w:rFonts w:ascii="Arial" w:hAnsi="Arial" w:cs="Arial"/>
          <w:szCs w:val="21"/>
        </w:rPr>
      </w:pPr>
      <w:r>
        <w:rPr>
          <w:rFonts w:ascii="Arial" w:hAnsi="Arial" w:cs="Arial"/>
          <w:szCs w:val="21"/>
        </w:rPr>
        <w:t>（二）消除、制止或清理渗漏及污染物的费用，除非渗漏及污染是因保险期限内突然的、非故意的和不可预料的意外事件所致。</w:t>
      </w:r>
    </w:p>
    <w:p>
      <w:pPr>
        <w:ind w:left="420"/>
        <w:rPr>
          <w:rFonts w:ascii="Arial" w:hAnsi="Arial" w:cs="Arial"/>
          <w:szCs w:val="21"/>
        </w:rPr>
      </w:pPr>
      <w:r>
        <w:rPr>
          <w:rFonts w:ascii="Arial" w:hAnsi="Arial" w:cs="Arial"/>
          <w:szCs w:val="21"/>
        </w:rPr>
        <w:t>（三）罚金、罚款、惩罚性或惩戒性赔偿金。</w:t>
      </w:r>
    </w:p>
    <w:p>
      <w:pPr>
        <w:ind w:left="420"/>
        <w:rPr>
          <w:rFonts w:ascii="Arial" w:hAnsi="Arial" w:cs="Arial"/>
          <w:szCs w:val="21"/>
        </w:rPr>
      </w:pPr>
      <w:r>
        <w:rPr>
          <w:rFonts w:ascii="Arial" w:hAnsi="Arial" w:cs="Arial"/>
          <w:szCs w:val="21"/>
        </w:rPr>
        <w:t>对于未附加本条款则不负责的责任，本保险不扩展承保。</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租用汽车责任条款</w:t>
      </w:r>
    </w:p>
    <w:p>
      <w:pPr>
        <w:ind w:firstLine="420"/>
        <w:rPr>
          <w:rFonts w:ascii="Arial" w:hAnsi="Arial" w:cs="Arial"/>
          <w:szCs w:val="21"/>
        </w:rPr>
      </w:pPr>
      <w:r>
        <w:rPr>
          <w:rFonts w:ascii="Arial" w:hAnsi="Arial" w:cs="Arial"/>
          <w:szCs w:val="21"/>
        </w:rPr>
        <w:t>兹经双方同意,鉴于被保险人已缴付了附加保险费,本保险扩展承保被保险人因营业使用非被保险人所有或提供的汽车造成第三者（含乘客）人身伤亡或财产损失时应负的赔偿责任。</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恐怖活动条款（赔偿限额: RMB100,000.00）</w:t>
      </w:r>
    </w:p>
    <w:p>
      <w:pPr>
        <w:ind w:firstLine="420"/>
        <w:rPr>
          <w:rFonts w:ascii="Arial" w:hAnsi="Arial" w:cs="Arial"/>
          <w:szCs w:val="21"/>
        </w:rPr>
      </w:pPr>
      <w:r>
        <w:rPr>
          <w:rFonts w:ascii="Arial" w:hAnsi="Arial" w:cs="Arial"/>
          <w:szCs w:val="21"/>
        </w:rPr>
        <w:t>兹经双方同意,鉴于被保险人已缴付了附加保险费,本保险扩展承保本保险单明细表中列明的经营场所出现任何恐怖分子或组织进行恐怖活动造成第三者人身伤亡或财产损失时被保险人应负的赔偿责任。每次事故最高赔偿限额RMB100,000.00。</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急救费用条款</w:t>
      </w:r>
    </w:p>
    <w:p>
      <w:pPr>
        <w:ind w:firstLine="420"/>
        <w:rPr>
          <w:rFonts w:ascii="Arial" w:hAnsi="Arial" w:cs="Arial"/>
          <w:szCs w:val="21"/>
        </w:rPr>
      </w:pPr>
      <w:r>
        <w:rPr>
          <w:rFonts w:ascii="Arial" w:hAnsi="Arial" w:cs="Arial"/>
          <w:szCs w:val="21"/>
        </w:rPr>
        <w:t>兹经双方同意,鉴于被保险人已缴付了附加保险费,本保险扩展承保本保险单明细表中列明的营业场所内发生意外事故造成第三者人身伤亡时应支付的合理急救费用。</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交叉责任条款</w:t>
      </w:r>
    </w:p>
    <w:p>
      <w:pPr>
        <w:ind w:firstLine="420"/>
        <w:rPr>
          <w:rFonts w:ascii="Arial" w:hAnsi="Arial" w:cs="Arial"/>
          <w:szCs w:val="21"/>
        </w:rPr>
      </w:pPr>
      <w:r>
        <w:rPr>
          <w:rFonts w:ascii="Arial" w:hAnsi="Arial" w:cs="Arial"/>
          <w:szCs w:val="21"/>
        </w:rPr>
        <w:t>兹经双方同意,鉴于被保险人已缴付了附加保险费,本保险保障将适用于保险单明细表列明的每一个被保险人,如同本公司对每一个被保险人签发独立的保险单。</w:t>
      </w:r>
    </w:p>
    <w:p>
      <w:pPr>
        <w:ind w:firstLine="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出租人责任条款</w:t>
      </w:r>
    </w:p>
    <w:p>
      <w:pPr>
        <w:ind w:firstLine="420"/>
        <w:rPr>
          <w:rFonts w:ascii="Arial" w:hAnsi="Arial" w:cs="Arial"/>
          <w:szCs w:val="21"/>
        </w:rPr>
      </w:pPr>
      <w:r>
        <w:rPr>
          <w:rFonts w:ascii="Arial" w:hAnsi="Arial" w:cs="Arial"/>
          <w:szCs w:val="21"/>
        </w:rPr>
        <w:t>兹经双方同意,鉴于被保险人已缴付了附加保险费,本保险扩展承保被保险人因出租的房屋建筑发生火灾造成第三者人身伤亡或财产损失时应负的赔偿责任。</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承租人责任条款</w:t>
      </w:r>
    </w:p>
    <w:p>
      <w:pPr>
        <w:ind w:firstLine="420"/>
        <w:rPr>
          <w:rFonts w:ascii="Arial" w:hAnsi="Arial" w:cs="Arial"/>
          <w:szCs w:val="21"/>
        </w:rPr>
      </w:pPr>
      <w:r>
        <w:rPr>
          <w:rFonts w:ascii="Arial" w:hAnsi="Arial" w:cs="Arial"/>
          <w:szCs w:val="21"/>
        </w:rPr>
        <w:t>兹经双方同意，本保险扩展负责被保险人因对特别列明的场所的租用应负的赔偿责任。赔偿限额适用于本条款。</w:t>
      </w:r>
    </w:p>
    <w:p>
      <w:pPr>
        <w:ind w:left="420"/>
        <w:rPr>
          <w:rFonts w:ascii="Arial" w:hAnsi="Arial" w:cs="Arial"/>
          <w:szCs w:val="21"/>
        </w:rPr>
      </w:pPr>
      <w:r>
        <w:rPr>
          <w:rFonts w:ascii="Arial" w:hAnsi="Arial" w:cs="Arial"/>
          <w:szCs w:val="21"/>
        </w:rPr>
        <w:t>除在此修改的以外，本保险单其他条款、除外责任及条件不变。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董事、管理人员及雇员个人责任条款</w:t>
      </w:r>
    </w:p>
    <w:p>
      <w:pPr>
        <w:ind w:firstLine="420"/>
        <w:rPr>
          <w:rFonts w:ascii="Arial" w:hAnsi="Arial" w:cs="Arial"/>
          <w:szCs w:val="21"/>
        </w:rPr>
      </w:pPr>
      <w:r>
        <w:rPr>
          <w:rFonts w:ascii="Arial" w:hAnsi="Arial" w:cs="Arial"/>
          <w:szCs w:val="21"/>
        </w:rPr>
        <w:t>兹经双方同意，鉴于被保险人已缴付了附加保险费，本保险扩展承保被保险人的董事、管理人员及雇员于保险期限内外出进行与经营业务有关活动或业务旅行包括因公出国（全球范围）时因意外事故造成第三者人身伤亡或财产损失应负的赔偿责任。</w:t>
      </w:r>
    </w:p>
    <w:p>
      <w:pPr>
        <w:ind w:left="420"/>
        <w:rPr>
          <w:rFonts w:ascii="Arial" w:hAnsi="Arial" w:cs="Arial"/>
          <w:szCs w:val="21"/>
        </w:rPr>
      </w:pPr>
      <w:r>
        <w:rPr>
          <w:rFonts w:ascii="Arial" w:hAnsi="Arial" w:cs="Arial"/>
          <w:szCs w:val="21"/>
        </w:rPr>
        <w:t>本条款项下承担的赔偿责任不超过以下列明的限额：</w:t>
      </w:r>
    </w:p>
    <w:p>
      <w:pPr>
        <w:ind w:left="420"/>
        <w:rPr>
          <w:rFonts w:ascii="Arial" w:hAnsi="Arial" w:cs="Arial"/>
          <w:szCs w:val="21"/>
        </w:rPr>
      </w:pPr>
      <w:r>
        <w:rPr>
          <w:rFonts w:ascii="Arial" w:hAnsi="Arial" w:cs="Arial"/>
          <w:szCs w:val="21"/>
        </w:rPr>
        <w:t>每次事故赔偿限额：人民币200,000.00。</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电梯和升降机责任条款</w:t>
      </w:r>
    </w:p>
    <w:p>
      <w:pPr>
        <w:ind w:firstLine="420"/>
        <w:rPr>
          <w:rFonts w:ascii="Arial" w:hAnsi="Arial" w:cs="Arial"/>
          <w:szCs w:val="21"/>
        </w:rPr>
      </w:pPr>
      <w:r>
        <w:rPr>
          <w:rFonts w:ascii="Arial" w:hAnsi="Arial" w:cs="Arial"/>
          <w:szCs w:val="21"/>
        </w:rPr>
        <w:t>兹经双方同意，鉴于被保险人已缴付附加保险费，本保险扩展承保本保险单明细表中列明地点范围内的电梯、升降机在正常使用过程中发生意外事故造成第三者人身伤亡或财产损失时被保险人应负的赔偿责任。</w:t>
      </w:r>
    </w:p>
    <w:p>
      <w:pPr>
        <w:ind w:firstLine="420"/>
        <w:rPr>
          <w:rFonts w:ascii="Arial" w:hAnsi="Arial" w:cs="Arial"/>
          <w:szCs w:val="21"/>
        </w:rPr>
      </w:pPr>
      <w:r>
        <w:rPr>
          <w:rFonts w:ascii="Arial" w:hAnsi="Arial" w:cs="Arial"/>
          <w:szCs w:val="21"/>
        </w:rPr>
        <w:t>被保险人应持有有关当局颁发的电梯、升降机合格证书，并保证对电梯、升降机由合格的技术人员定期进行检查和维修。</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罢工、暴乱、民众骚动及恶意破坏条款</w:t>
      </w:r>
    </w:p>
    <w:p>
      <w:pPr>
        <w:ind w:firstLine="420"/>
        <w:rPr>
          <w:rFonts w:ascii="Arial" w:hAnsi="Arial" w:cs="Arial"/>
          <w:szCs w:val="21"/>
        </w:rPr>
      </w:pPr>
      <w:r>
        <w:rPr>
          <w:rFonts w:ascii="Arial" w:hAnsi="Arial" w:cs="Arial"/>
          <w:szCs w:val="21"/>
        </w:rPr>
        <w:t>兹经双方同意,鉴于被保险人已缴付了附加保险费,本保险扩展承保本保险单明细表中列明的地点范围内,直接由于罢工、暴乱、民众骚动及恶意破坏造成第三者人身伤亡或财产损失时被保险人应负的赔偿责任。</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社交及娱乐场所责任条款</w:t>
      </w:r>
    </w:p>
    <w:p>
      <w:pPr>
        <w:ind w:firstLine="420"/>
        <w:rPr>
          <w:rFonts w:ascii="Arial" w:hAnsi="Arial" w:cs="Arial"/>
          <w:szCs w:val="21"/>
        </w:rPr>
      </w:pPr>
      <w:r>
        <w:rPr>
          <w:rFonts w:ascii="Arial" w:hAnsi="Arial" w:cs="Arial"/>
          <w:szCs w:val="21"/>
        </w:rPr>
        <w:t>兹经双方同意，鉴于投保人已支付了附加保险费，本保险扩展承保被保险人举办任何社交活动或在娱乐场所内活动所致的第三者人身伤亡、财产损失时依法应由被保险人承担的经济赔偿责任。</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卫生设施缺陷责任</w:t>
      </w:r>
    </w:p>
    <w:p>
      <w:pPr>
        <w:ind w:firstLine="420"/>
        <w:rPr>
          <w:rFonts w:ascii="Arial" w:hAnsi="Arial" w:cs="Arial"/>
          <w:szCs w:val="21"/>
        </w:rPr>
      </w:pPr>
      <w:r>
        <w:rPr>
          <w:rFonts w:ascii="Arial" w:hAnsi="Arial" w:cs="Arial"/>
          <w:szCs w:val="21"/>
        </w:rPr>
        <w:t>兹经双方同意并约定，本保险扩展承保本保险单明细表中列明地点范围内因卫生设备缺陷造成第三者人身伤亡或财产损失时被保险人依法应负的赔偿责任。</w:t>
      </w:r>
    </w:p>
    <w:p>
      <w:pPr>
        <w:ind w:left="420"/>
        <w:rPr>
          <w:rFonts w:ascii="Arial" w:hAnsi="Arial" w:cs="Arial"/>
          <w:szCs w:val="21"/>
        </w:rPr>
      </w:pPr>
      <w:r>
        <w:rPr>
          <w:rFonts w:ascii="Arial" w:hAnsi="Arial" w:cs="Arial"/>
          <w:szCs w:val="21"/>
        </w:rPr>
        <w:t>本保险单所载其它条件不变。</w:t>
      </w:r>
    </w:p>
    <w:p>
      <w:pPr>
        <w:rPr>
          <w:rFonts w:ascii="Arial" w:hAnsi="Arial" w:cs="Arial"/>
          <w:szCs w:val="21"/>
        </w:rPr>
      </w:pPr>
    </w:p>
    <w:p>
      <w:pPr>
        <w:numPr>
          <w:ilvl w:val="0"/>
          <w:numId w:val="17"/>
        </w:numPr>
        <w:rPr>
          <w:rFonts w:ascii="Arial" w:hAnsi="Arial" w:cs="Arial"/>
          <w:b/>
          <w:szCs w:val="21"/>
        </w:rPr>
      </w:pPr>
      <w:r>
        <w:rPr>
          <w:rFonts w:ascii="Arial" w:hAnsi="Arial" w:cs="Arial"/>
          <w:b/>
          <w:szCs w:val="21"/>
        </w:rPr>
        <w:t>自有车辆责任条款（每次事故起赔点RMB20,000.00，每次事故赔偿限额: RMB100,000.00）</w:t>
      </w:r>
    </w:p>
    <w:p>
      <w:pPr>
        <w:ind w:firstLine="420"/>
        <w:rPr>
          <w:rFonts w:ascii="Arial" w:hAnsi="Arial" w:cs="Arial"/>
          <w:szCs w:val="21"/>
        </w:rPr>
      </w:pPr>
      <w:r>
        <w:rPr>
          <w:rFonts w:ascii="Arial" w:hAnsi="Arial" w:cs="Arial"/>
          <w:szCs w:val="21"/>
        </w:rPr>
        <w:t>兹经双方同意，本保险扩展承保被保险人因营业使用其所有或提供的车辆引起的第三者责任（包括乘客风险）索赔，或发生于场所内指定区域停车场内的第三者责任索赔。双方进一步同意，本扩展条款仅作为超额保险，承担被保险人所能获得的，任何其它有效保险之上超出部分的赔偿责任。</w:t>
      </w:r>
    </w:p>
    <w:p>
      <w:pPr>
        <w:ind w:left="420"/>
        <w:rPr>
          <w:rFonts w:ascii="Arial" w:hAnsi="Arial" w:cs="Arial"/>
          <w:szCs w:val="21"/>
        </w:rPr>
      </w:pPr>
      <w:r>
        <w:rPr>
          <w:rFonts w:ascii="Arial" w:hAnsi="Arial" w:cs="Arial"/>
          <w:szCs w:val="21"/>
        </w:rPr>
        <w:t>本保单所载其他条件不变。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预付赔款条款</w:t>
      </w:r>
    </w:p>
    <w:p>
      <w:pPr>
        <w:ind w:firstLine="420"/>
        <w:rPr>
          <w:rFonts w:ascii="Arial" w:hAnsi="Arial" w:cs="Arial"/>
          <w:szCs w:val="21"/>
        </w:rPr>
      </w:pPr>
      <w:r>
        <w:rPr>
          <w:rFonts w:ascii="Arial" w:hAnsi="Arial" w:cs="Arial"/>
          <w:szCs w:val="21"/>
        </w:rPr>
        <w:t>兹经双方同意，保险标的物因保险事故所造成的损毁或灭失，当部分损失已经确定，应被保险人要求，保险人应将已确定部分的赔款提前支付给被保险人。</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对业主赔偿条款</w:t>
      </w:r>
    </w:p>
    <w:p>
      <w:pPr>
        <w:ind w:firstLine="420"/>
        <w:rPr>
          <w:rFonts w:ascii="Arial" w:hAnsi="Arial" w:cs="Arial"/>
          <w:szCs w:val="21"/>
        </w:rPr>
      </w:pPr>
      <w:r>
        <w:rPr>
          <w:rFonts w:ascii="Arial" w:hAnsi="Arial" w:cs="Arial"/>
          <w:szCs w:val="21"/>
        </w:rPr>
        <w:t>若有任何向被保险人的客户（以下称为“业主”）提出的，因被保险人或者被保险人的雇员在以业主的名义从事与保单列明的被保险人业务相关的工作过程中，由于过失造成第三者人身意外伤害或财产意外损失的索赔，本公司将为业主承担损害赔偿金及经本公司事先书面同意的相关费用。双方同意，本公司拥有对抗符合上述条件的一切索赔的单独行动权和控制权，并且本公司不承担因业主以及为其服务的人员的过失引起的责任。并且规定如下：</w:t>
      </w:r>
    </w:p>
    <w:p>
      <w:pPr>
        <w:ind w:left="420"/>
        <w:rPr>
          <w:rFonts w:ascii="Arial" w:hAnsi="Arial" w:cs="Arial"/>
          <w:szCs w:val="21"/>
        </w:rPr>
      </w:pPr>
      <w:r>
        <w:rPr>
          <w:rFonts w:ascii="Arial" w:hAnsi="Arial" w:cs="Arial"/>
          <w:szCs w:val="21"/>
        </w:rPr>
        <w:t>1. 业主没有其他的保险单可以获得赔偿；</w:t>
      </w:r>
    </w:p>
    <w:p>
      <w:pPr>
        <w:ind w:left="420"/>
        <w:rPr>
          <w:rFonts w:ascii="Arial" w:hAnsi="Arial" w:cs="Arial"/>
          <w:szCs w:val="21"/>
        </w:rPr>
      </w:pPr>
      <w:r>
        <w:rPr>
          <w:rFonts w:ascii="Arial" w:hAnsi="Arial" w:cs="Arial"/>
          <w:szCs w:val="21"/>
        </w:rPr>
        <w:t>2. 业主应当最大限度地遵守和履行保单规定的义务和限制条件。</w:t>
      </w:r>
    </w:p>
    <w:p>
      <w:pPr>
        <w:ind w:firstLine="420"/>
        <w:rPr>
          <w:rFonts w:ascii="Arial" w:hAnsi="Arial" w:cs="Arial"/>
          <w:szCs w:val="21"/>
        </w:rPr>
      </w:pPr>
      <w:r>
        <w:rPr>
          <w:rFonts w:ascii="Arial" w:hAnsi="Arial" w:cs="Arial"/>
          <w:szCs w:val="21"/>
        </w:rPr>
        <w:t>本公司在本保单下承担的赔偿金额和经本公司书面同意支付的各相关费用，无论是为被保险人还是为业主支付的，均不得超过保单明细表规定的赔偿限额。</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附加被保险人条款</w:t>
      </w:r>
    </w:p>
    <w:p>
      <w:pPr>
        <w:ind w:firstLine="420"/>
        <w:rPr>
          <w:rFonts w:ascii="Arial" w:hAnsi="Arial" w:cs="Arial"/>
          <w:szCs w:val="21"/>
        </w:rPr>
      </w:pPr>
      <w:r>
        <w:rPr>
          <w:rFonts w:ascii="Arial" w:hAnsi="Arial" w:cs="Arial"/>
          <w:szCs w:val="21"/>
        </w:rPr>
        <w:t xml:space="preserve">兹经双方同意，本保单增加被保险人指定的物业管理公司及为被保险人提供餐饮等服务的公司为本保险单项下的被保险人，但仅限于其在提供物业管理服务及餐饮服务等过程中引起的相关责任。 </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指定公估人条款（根宁翰保险公估（中国）有限公司 /平量行保险公估（上海）有限公司，及保险合同双方认可的其他有合法执业资格的机构）</w:t>
      </w:r>
    </w:p>
    <w:p>
      <w:pPr>
        <w:ind w:firstLine="420"/>
        <w:rPr>
          <w:rFonts w:ascii="Arial" w:hAnsi="Arial" w:cs="Arial"/>
          <w:szCs w:val="21"/>
        </w:rPr>
      </w:pPr>
      <w:r>
        <w:rPr>
          <w:rFonts w:ascii="Arial" w:hAnsi="Arial" w:cs="Arial"/>
          <w:szCs w:val="21"/>
        </w:rPr>
        <w:t>经双方同意，当发生保险责任范围内的损失，可以指定双方认可的以下机构作为公估人，公估费用由保险人承担。</w:t>
      </w:r>
    </w:p>
    <w:p>
      <w:pPr>
        <w:ind w:firstLine="420"/>
        <w:rPr>
          <w:rFonts w:ascii="Arial" w:hAnsi="Arial" w:cs="Arial"/>
          <w:szCs w:val="21"/>
        </w:rPr>
      </w:pPr>
      <w:r>
        <w:rPr>
          <w:rFonts w:ascii="Arial" w:hAnsi="Arial" w:cs="Arial"/>
          <w:szCs w:val="21"/>
        </w:rPr>
        <w:t>1）根宁翰保险公估（中国）有限公司</w:t>
      </w:r>
    </w:p>
    <w:p>
      <w:pPr>
        <w:ind w:firstLine="420"/>
        <w:rPr>
          <w:rFonts w:ascii="Arial" w:hAnsi="Arial" w:cs="Arial"/>
          <w:szCs w:val="21"/>
        </w:rPr>
      </w:pPr>
      <w:r>
        <w:rPr>
          <w:rFonts w:ascii="Arial" w:hAnsi="Arial" w:cs="Arial"/>
          <w:szCs w:val="21"/>
        </w:rPr>
        <w:t>2）平量行保险公估（上海）有限公司</w:t>
      </w:r>
    </w:p>
    <w:p>
      <w:pPr>
        <w:ind w:firstLine="420"/>
        <w:rPr>
          <w:rFonts w:ascii="Arial" w:hAnsi="Arial" w:cs="Arial"/>
          <w:szCs w:val="21"/>
        </w:rPr>
      </w:pPr>
      <w:r>
        <w:rPr>
          <w:rFonts w:ascii="Arial" w:hAnsi="Arial" w:cs="Arial"/>
          <w:szCs w:val="21"/>
        </w:rPr>
        <w:t>以及保险合同双方认可的其他有合法执业资格的机构。</w:t>
      </w:r>
    </w:p>
    <w:p>
      <w:pPr>
        <w:ind w:firstLine="420"/>
        <w:rPr>
          <w:rFonts w:ascii="Arial" w:hAnsi="Arial" w:cs="Arial"/>
          <w:szCs w:val="21"/>
        </w:rPr>
      </w:pPr>
      <w:r>
        <w:rPr>
          <w:rFonts w:ascii="Arial" w:hAnsi="Arial" w:cs="Arial"/>
          <w:szCs w:val="21"/>
        </w:rPr>
        <w:t>本附加条款与主条款内容相悖之处，以本附加条款为准；未尽之处，以主条款为准。</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被保险人保管、控制的财产条款</w:t>
      </w:r>
    </w:p>
    <w:p>
      <w:pPr>
        <w:ind w:firstLine="420"/>
        <w:rPr>
          <w:rFonts w:ascii="Arial" w:hAnsi="Arial" w:cs="Arial"/>
          <w:szCs w:val="21"/>
        </w:rPr>
      </w:pPr>
      <w:r>
        <w:rPr>
          <w:rFonts w:ascii="Arial" w:hAnsi="Arial" w:cs="Arial"/>
          <w:szCs w:val="21"/>
        </w:rPr>
        <w:t>兹经双方同意，本保险负责赔偿被保险人因在其照管和控制之下的第三方之财产发生损失而应由被保险人承担的赔偿责任。</w:t>
      </w:r>
    </w:p>
    <w:p>
      <w:pPr>
        <w:ind w:left="420"/>
        <w:rPr>
          <w:rFonts w:ascii="Arial" w:hAnsi="Arial" w:cs="Arial"/>
          <w:szCs w:val="21"/>
        </w:rPr>
      </w:pPr>
      <w:r>
        <w:rPr>
          <w:rFonts w:ascii="Arial" w:hAnsi="Arial" w:cs="Arial"/>
          <w:szCs w:val="21"/>
        </w:rPr>
        <w:t>本保单所载其他条件不变。</w:t>
      </w:r>
    </w:p>
    <w:p>
      <w:pPr>
        <w:rPr>
          <w:rFonts w:ascii="Arial" w:hAnsi="Arial" w:cs="Arial"/>
          <w:szCs w:val="21"/>
        </w:rPr>
      </w:pPr>
    </w:p>
    <w:p>
      <w:pPr>
        <w:numPr>
          <w:ilvl w:val="0"/>
          <w:numId w:val="17"/>
        </w:numPr>
        <w:rPr>
          <w:rFonts w:ascii="Arial" w:hAnsi="Arial" w:cs="Arial"/>
          <w:b/>
          <w:szCs w:val="21"/>
        </w:rPr>
      </w:pPr>
      <w:r>
        <w:rPr>
          <w:rFonts w:ascii="Arial" w:hAnsi="Arial" w:cs="Arial"/>
          <w:b/>
          <w:szCs w:val="21"/>
        </w:rPr>
        <w:t>损失通知条款</w:t>
      </w:r>
    </w:p>
    <w:p>
      <w:pPr>
        <w:ind w:firstLine="420"/>
        <w:rPr>
          <w:rFonts w:ascii="Arial" w:hAnsi="Arial" w:cs="Arial"/>
          <w:szCs w:val="21"/>
        </w:rPr>
      </w:pPr>
      <w:r>
        <w:rPr>
          <w:rFonts w:ascii="Arial" w:hAnsi="Arial" w:cs="Arial"/>
          <w:szCs w:val="21"/>
        </w:rPr>
        <w:t xml:space="preserve">兹经双方同意，本保险项下的赔偿责任不因被保险人非故意地延迟向本公司通知引起本保单下的索赔的情况或者事件而被拒负。 </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独立承包商条款（每一合同赔偿限额: RMB</w:t>
      </w:r>
      <w:r>
        <w:rPr>
          <w:rFonts w:hint="eastAsia" w:ascii="Arial" w:hAnsi="Arial" w:cs="Arial"/>
          <w:b/>
          <w:szCs w:val="21"/>
        </w:rPr>
        <w:t>10</w:t>
      </w:r>
      <w:r>
        <w:rPr>
          <w:rFonts w:ascii="Arial" w:hAnsi="Arial" w:cs="Arial"/>
          <w:b/>
          <w:szCs w:val="21"/>
        </w:rPr>
        <w:t>,000,000.00）</w:t>
      </w:r>
    </w:p>
    <w:p>
      <w:pPr>
        <w:ind w:firstLine="420"/>
        <w:rPr>
          <w:rFonts w:ascii="Arial" w:hAnsi="Arial" w:cs="Arial"/>
          <w:szCs w:val="21"/>
        </w:rPr>
      </w:pPr>
      <w:r>
        <w:rPr>
          <w:rFonts w:ascii="Arial" w:hAnsi="Arial" w:cs="Arial"/>
          <w:szCs w:val="21"/>
        </w:rPr>
        <w:t>兹经双方同意并约定,本保险扩展承保因被保险人拥有、占用或管理的任何营业场所的改建或增建造成第三者人身伤害或财产损失时被保险人依法应负的赔偿责任，但这种修缮、整修和改建的合同价值不得超过RMB</w:t>
      </w:r>
      <w:r>
        <w:rPr>
          <w:rFonts w:hint="eastAsia" w:ascii="Arial" w:hAnsi="Arial" w:cs="Arial"/>
          <w:szCs w:val="21"/>
        </w:rPr>
        <w:t>1</w:t>
      </w:r>
      <w:r>
        <w:rPr>
          <w:rFonts w:ascii="Arial" w:hAnsi="Arial" w:cs="Arial"/>
          <w:szCs w:val="21"/>
        </w:rPr>
        <w:t>,000,000.00。</w:t>
      </w:r>
    </w:p>
    <w:p>
      <w:pPr>
        <w:ind w:firstLine="420"/>
        <w:rPr>
          <w:rFonts w:ascii="Arial" w:hAnsi="Arial" w:cs="Arial"/>
          <w:szCs w:val="21"/>
        </w:rPr>
      </w:pPr>
      <w:r>
        <w:rPr>
          <w:rFonts w:ascii="Arial" w:hAnsi="Arial" w:cs="Arial"/>
          <w:szCs w:val="21"/>
        </w:rPr>
        <w:t>本保险单对被保险人所持有的任何有效的第三者责任保险或任何建筑工程一切险中的第三者责任保险项下能获得赔偿的索赔不负责赔偿。</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营业场所外工作条款</w:t>
      </w:r>
    </w:p>
    <w:p>
      <w:pPr>
        <w:ind w:firstLine="420"/>
        <w:rPr>
          <w:rFonts w:ascii="Arial" w:hAnsi="Arial" w:cs="Arial"/>
          <w:szCs w:val="21"/>
        </w:rPr>
      </w:pPr>
      <w:r>
        <w:rPr>
          <w:rFonts w:ascii="Arial" w:hAnsi="Arial" w:cs="Arial"/>
          <w:szCs w:val="21"/>
        </w:rPr>
        <w:t>本保险单扩展承保，在地域范围内，被保险人或其他人在营业场所外开展被保险人的业务，引发意外事故导致的法律赔偿责任。</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错误和疏漏条款</w:t>
      </w:r>
    </w:p>
    <w:p>
      <w:pPr>
        <w:ind w:firstLine="420"/>
        <w:rPr>
          <w:rFonts w:ascii="Arial" w:hAnsi="Arial" w:cs="Arial"/>
          <w:szCs w:val="21"/>
        </w:rPr>
      </w:pPr>
      <w:r>
        <w:rPr>
          <w:rFonts w:ascii="Arial" w:hAnsi="Arial" w:cs="Arial"/>
          <w:szCs w:val="21"/>
        </w:rPr>
        <w:t>兹经双方同意,本保险项下的赔偿责任不因被保险人非故意的延迟﹑错误或遗漏向本公司申报有关所占用的场地﹑保险财产价值的变更或其它有关信息而被拒负，一旦被保险人明白其疏忽或遗漏应在合理的时间内尽快向本公司申报，并根据保险公司要求支付自风险增加之日起的适当的附加保险费。</w:t>
      </w:r>
    </w:p>
    <w:p>
      <w:pPr>
        <w:ind w:left="420"/>
        <w:rPr>
          <w:rFonts w:ascii="Arial" w:hAnsi="Arial" w:cs="Arial"/>
          <w:szCs w:val="21"/>
        </w:rPr>
      </w:pPr>
      <w:r>
        <w:rPr>
          <w:rFonts w:ascii="Arial" w:hAnsi="Arial" w:cs="Arial"/>
          <w:szCs w:val="21"/>
        </w:rPr>
        <w:t>本保险单所载其它条件不变。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起重机械及不需注册的车辆责任条款</w:t>
      </w:r>
    </w:p>
    <w:p>
      <w:pPr>
        <w:ind w:firstLine="420"/>
        <w:rPr>
          <w:rFonts w:ascii="Arial" w:hAnsi="Arial" w:cs="Arial"/>
          <w:szCs w:val="21"/>
        </w:rPr>
      </w:pPr>
      <w:r>
        <w:rPr>
          <w:rFonts w:ascii="Arial" w:hAnsi="Arial" w:cs="Arial"/>
          <w:szCs w:val="21"/>
        </w:rPr>
        <w:t>兹经合同双方同意，鉴于被保险人已支付了附加保险费，本保险扩展承保实际上或法律上由被保险人控制的，或被保险人或其代表在进行工作中使用的任何吊车、起重机、动力起吊机械或不需注册的车辆或其附件，直接或间接引致第三者人身伤亡或财产损坏时，被保险人依法应负的赔偿责任。</w:t>
      </w:r>
    </w:p>
    <w:p>
      <w:pPr>
        <w:ind w:left="420"/>
        <w:rPr>
          <w:rFonts w:ascii="Arial" w:hAnsi="Arial" w:cs="Arial"/>
          <w:szCs w:val="21"/>
        </w:rPr>
      </w:pPr>
      <w:r>
        <w:rPr>
          <w:rFonts w:ascii="Arial" w:hAnsi="Arial" w:cs="Arial"/>
          <w:szCs w:val="21"/>
        </w:rPr>
        <w:t>但是，下列有关上述车辆或其附件的赔偿责任，保险人不予负责：</w:t>
      </w:r>
    </w:p>
    <w:p>
      <w:pPr>
        <w:ind w:left="420"/>
        <w:rPr>
          <w:rFonts w:ascii="Arial" w:hAnsi="Arial" w:cs="Arial"/>
          <w:szCs w:val="21"/>
        </w:rPr>
      </w:pPr>
      <w:r>
        <w:rPr>
          <w:rFonts w:ascii="Arial" w:hAnsi="Arial" w:cs="Arial"/>
          <w:szCs w:val="21"/>
        </w:rPr>
        <w:t>（一） 机动车辆相关法规要求对其使用进行保险；</w:t>
      </w:r>
    </w:p>
    <w:p>
      <w:pPr>
        <w:ind w:left="420"/>
        <w:rPr>
          <w:rFonts w:ascii="Arial" w:hAnsi="Arial" w:cs="Arial"/>
          <w:szCs w:val="21"/>
        </w:rPr>
      </w:pPr>
      <w:r>
        <w:rPr>
          <w:rFonts w:ascii="Arial" w:hAnsi="Arial" w:cs="Arial"/>
          <w:szCs w:val="21"/>
        </w:rPr>
        <w:t>（二） 另外存在承保同样责任的保险，且其适用的赔偿限额包含本条款的限额。</w:t>
      </w:r>
    </w:p>
    <w:p>
      <w:pPr>
        <w:ind w:left="420"/>
        <w:rPr>
          <w:rFonts w:ascii="Arial" w:hAnsi="Arial" w:cs="Arial"/>
          <w:szCs w:val="21"/>
        </w:rPr>
      </w:pPr>
      <w:r>
        <w:rPr>
          <w:rFonts w:ascii="Arial" w:hAnsi="Arial" w:cs="Arial"/>
          <w:szCs w:val="21"/>
        </w:rPr>
        <w:t>本保险单所载条件不变。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震动、移动或减弱支撑扩展条款</w:t>
      </w:r>
    </w:p>
    <w:p>
      <w:pPr>
        <w:ind w:firstLine="420"/>
        <w:rPr>
          <w:rFonts w:ascii="Arial" w:hAnsi="Arial" w:cs="Arial"/>
          <w:szCs w:val="21"/>
        </w:rPr>
      </w:pPr>
      <w:r>
        <w:rPr>
          <w:rFonts w:ascii="Arial" w:hAnsi="Arial" w:cs="Arial"/>
          <w:szCs w:val="21"/>
        </w:rPr>
        <w:t>本附加险合同扩展承保由于建筑物震动、移动或减弱支撑而造成的第三者财产损失和人身伤亡，对依法应由被保险人承担的经济赔偿责任，保险人负责赔偿。</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放弃代位追偿权条款</w:t>
      </w:r>
    </w:p>
    <w:p>
      <w:pPr>
        <w:ind w:firstLine="420"/>
        <w:rPr>
          <w:rFonts w:ascii="Arial" w:hAnsi="Arial" w:cs="Arial"/>
          <w:szCs w:val="21"/>
        </w:rPr>
      </w:pPr>
      <w:r>
        <w:rPr>
          <w:rFonts w:ascii="Arial" w:hAnsi="Arial" w:cs="Arial"/>
          <w:szCs w:val="21"/>
        </w:rPr>
        <w:t xml:space="preserve">兹经双方同意，若本保险单项下负责的损失涉及其他责任方时，不论本公司是否已赔偿被保险人，被保险人应立即采取一切必要的措施行使或保留向该责任方索赔的权利。在保险公司支付赔款后，被保险人应将向该责任方追偿的权利转让给本公司，移交一切必要的单证，并协助本公司向责任方追偿。 </w:t>
      </w:r>
    </w:p>
    <w:p>
      <w:pPr>
        <w:ind w:firstLine="420"/>
        <w:rPr>
          <w:rFonts w:ascii="Arial" w:hAnsi="Arial" w:cs="Arial"/>
          <w:szCs w:val="21"/>
        </w:rPr>
      </w:pPr>
      <w:r>
        <w:rPr>
          <w:rFonts w:ascii="Arial" w:hAnsi="Arial" w:cs="Arial"/>
          <w:szCs w:val="21"/>
        </w:rPr>
        <w:t xml:space="preserve">保险公司在此同意放弃向被保险人的分支机构、控股公司、雇员、股东、董事及系统内的相关机构、个人以及被保险人在损失发生前同意放弃追偿权的有关业务方、团体、官员或个人进行追偿的权利。 </w:t>
      </w:r>
    </w:p>
    <w:p>
      <w:pPr>
        <w:ind w:left="420"/>
        <w:rPr>
          <w:rFonts w:ascii="Arial" w:hAnsi="Arial" w:cs="Arial"/>
          <w:szCs w:val="21"/>
        </w:rPr>
      </w:pPr>
      <w:r>
        <w:rPr>
          <w:rFonts w:ascii="Arial" w:hAnsi="Arial" w:cs="Arial"/>
          <w:szCs w:val="21"/>
        </w:rPr>
        <w:t>本保险单所载其他条件不变。</w:t>
      </w:r>
    </w:p>
    <w:p>
      <w:pPr>
        <w:ind w:left="420"/>
        <w:rPr>
          <w:rFonts w:ascii="Arial" w:hAnsi="Arial" w:cs="Arial"/>
          <w:szCs w:val="21"/>
        </w:rPr>
      </w:pPr>
    </w:p>
    <w:p>
      <w:pPr>
        <w:numPr>
          <w:ilvl w:val="0"/>
          <w:numId w:val="17"/>
        </w:numPr>
        <w:rPr>
          <w:rFonts w:ascii="Arial" w:hAnsi="Arial" w:cs="Arial"/>
          <w:b/>
          <w:szCs w:val="21"/>
        </w:rPr>
      </w:pPr>
      <w:r>
        <w:rPr>
          <w:rFonts w:ascii="Arial" w:hAnsi="Arial" w:cs="Arial"/>
          <w:b/>
          <w:szCs w:val="21"/>
        </w:rPr>
        <w:t>展览会条款</w:t>
      </w:r>
    </w:p>
    <w:p>
      <w:pPr>
        <w:ind w:firstLine="420"/>
        <w:rPr>
          <w:rFonts w:ascii="Arial" w:hAnsi="Arial" w:cs="Arial"/>
          <w:szCs w:val="21"/>
        </w:rPr>
      </w:pPr>
      <w:r>
        <w:rPr>
          <w:rFonts w:ascii="Arial" w:hAnsi="Arial" w:cs="Arial"/>
          <w:szCs w:val="21"/>
        </w:rPr>
        <w:t>兹经双方同意，本保单扩展承担在由被保险人发起和举办或参加的展览会和促销活动中，因发生意外事故而导致的对第三者人身伤亡及财产损失赔偿责任，但本保单仅承保在中国境内开展的上述活动。</w:t>
      </w:r>
    </w:p>
    <w:p>
      <w:pPr>
        <w:ind w:left="420"/>
        <w:rPr>
          <w:rFonts w:ascii="Arial" w:hAnsi="Arial" w:cs="Arial"/>
          <w:szCs w:val="21"/>
        </w:rPr>
      </w:pPr>
      <w:r>
        <w:rPr>
          <w:rFonts w:ascii="Arial" w:hAnsi="Arial" w:cs="Arial"/>
          <w:szCs w:val="21"/>
        </w:rPr>
        <w:t>本保单所载其他条件不变。</w:t>
      </w:r>
    </w:p>
    <w:p>
      <w:pPr>
        <w:ind w:left="420"/>
        <w:rPr>
          <w:rFonts w:ascii="Arial" w:hAnsi="Arial" w:cs="Arial"/>
          <w:szCs w:val="21"/>
        </w:rPr>
      </w:pPr>
    </w:p>
    <w:p>
      <w:pPr>
        <w:numPr>
          <w:ilvl w:val="0"/>
          <w:numId w:val="17"/>
        </w:numPr>
        <w:snapToGrid w:val="0"/>
        <w:spacing w:after="156" w:afterLines="50"/>
        <w:rPr>
          <w:rFonts w:ascii="Arial" w:hAnsi="Arial" w:cs="Arial"/>
          <w:b/>
          <w:szCs w:val="21"/>
        </w:rPr>
      </w:pPr>
      <w:r>
        <w:rPr>
          <w:rFonts w:ascii="Arial" w:hAnsi="Arial" w:cs="Arial"/>
          <w:b/>
          <w:szCs w:val="21"/>
        </w:rPr>
        <w:t>对承包商和分包商的临时责任条款</w:t>
      </w:r>
    </w:p>
    <w:p>
      <w:pPr>
        <w:snapToGrid w:val="0"/>
        <w:spacing w:after="156" w:afterLines="50"/>
        <w:ind w:firstLine="420" w:firstLineChars="200"/>
        <w:rPr>
          <w:rFonts w:ascii="Arial" w:hAnsi="Arial" w:cs="Arial"/>
          <w:szCs w:val="21"/>
        </w:rPr>
      </w:pPr>
      <w:r>
        <w:rPr>
          <w:rFonts w:ascii="Arial" w:hAnsi="Arial" w:cs="Arial"/>
          <w:szCs w:val="21"/>
        </w:rPr>
        <w:t>兹经双方同意，本保险单扩展赔偿被保险人由于其负有责任的雇员、承包人或分包人的行为相关的法律责任。但：</w:t>
      </w:r>
    </w:p>
    <w:p>
      <w:pPr>
        <w:snapToGrid w:val="0"/>
        <w:spacing w:after="156" w:afterLines="50"/>
        <w:ind w:firstLine="420" w:firstLineChars="200"/>
        <w:rPr>
          <w:rFonts w:ascii="Arial" w:hAnsi="Arial" w:cs="Arial"/>
          <w:szCs w:val="21"/>
        </w:rPr>
      </w:pPr>
      <w:r>
        <w:rPr>
          <w:rFonts w:ascii="Arial" w:hAnsi="Arial" w:cs="Arial"/>
          <w:szCs w:val="21"/>
        </w:rPr>
        <w:t>该责任的发生是意外的，并没有其他承包商或分包商的其他保险承保或赔偿；</w:t>
      </w:r>
    </w:p>
    <w:p>
      <w:pPr>
        <w:snapToGrid w:val="0"/>
        <w:spacing w:after="156" w:afterLines="50"/>
        <w:ind w:firstLine="420" w:firstLineChars="200"/>
        <w:rPr>
          <w:rFonts w:ascii="Arial" w:hAnsi="Arial" w:cs="Arial"/>
          <w:szCs w:val="21"/>
        </w:rPr>
      </w:pPr>
      <w:r>
        <w:rPr>
          <w:rFonts w:ascii="Arial" w:hAnsi="Arial" w:cs="Arial"/>
          <w:szCs w:val="21"/>
        </w:rPr>
        <w:t>如果索赔有承包商或分包商的更确切的保险承保，那么本条款不负责赔偿该项索赔，除非赔偿该项索赔超过上述确切保险承保的赔偿限额差额部分。</w:t>
      </w:r>
    </w:p>
    <w:p>
      <w:pPr>
        <w:snapToGrid w:val="0"/>
        <w:spacing w:after="156" w:afterLines="50"/>
        <w:ind w:firstLine="415" w:firstLineChars="198"/>
        <w:rPr>
          <w:rFonts w:ascii="Arial" w:hAnsi="Arial" w:cs="Arial"/>
          <w:szCs w:val="21"/>
        </w:rPr>
      </w:pPr>
    </w:p>
    <w:p>
      <w:pPr>
        <w:snapToGrid w:val="0"/>
        <w:spacing w:after="156" w:afterLines="50"/>
        <w:rPr>
          <w:rFonts w:ascii="Arial" w:hAnsi="Arial" w:cs="Arial"/>
          <w:b/>
          <w:szCs w:val="21"/>
        </w:rPr>
      </w:pPr>
      <w:r>
        <w:rPr>
          <w:rFonts w:ascii="Arial" w:hAnsi="Arial" w:cs="Arial"/>
          <w:b/>
          <w:szCs w:val="21"/>
        </w:rPr>
        <w:t>3</w:t>
      </w:r>
      <w:r>
        <w:rPr>
          <w:rFonts w:hint="eastAsia" w:ascii="Arial" w:hAnsi="Arial" w:cs="Arial"/>
          <w:b/>
          <w:szCs w:val="21"/>
        </w:rPr>
        <w:t>5</w:t>
      </w:r>
      <w:r>
        <w:rPr>
          <w:rFonts w:ascii="Arial" w:hAnsi="Arial" w:cs="Arial"/>
          <w:b/>
          <w:szCs w:val="21"/>
        </w:rPr>
        <w:t>）被保险人址内汽车停放责任条款（每次及累计赔偿限额：RMB200,000.00)</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在本保单列明的场所内,自寄存车辆进入停车场（库）开始至离开停车场（库）为止,由于发生火灾\爆炸\等意外事故或因被保险人疏忽或过失造成寄存车辆的损失或第三者人身伤害,依法应由被保险人承担的民事赔偿责任,保险人负责赔偿。</w:t>
      </w:r>
    </w:p>
    <w:p>
      <w:pPr>
        <w:snapToGrid w:val="0"/>
        <w:spacing w:after="156" w:afterLines="50"/>
        <w:ind w:firstLine="420" w:firstLineChars="200"/>
        <w:rPr>
          <w:rFonts w:ascii="Arial" w:hAnsi="Arial" w:cs="Arial"/>
          <w:color w:val="000000"/>
          <w:szCs w:val="21"/>
        </w:rPr>
      </w:pPr>
      <w:r>
        <w:rPr>
          <w:rFonts w:ascii="Arial" w:hAnsi="Arial" w:cs="Arial"/>
          <w:color w:val="000000"/>
          <w:szCs w:val="21"/>
        </w:rPr>
        <w:t>发生事故后,被保险人为防止或减少停车场内寄存车辆的损失或第三者人身伤害所支付的合理\必要的施救费用或医疗费用以及事先经被保险人书面同意的诉讼\律师费用,保险人也负责赔偿。</w:t>
      </w:r>
    </w:p>
    <w:p>
      <w:pPr>
        <w:snapToGrid w:val="0"/>
        <w:spacing w:after="156" w:afterLines="50"/>
        <w:ind w:firstLine="420" w:firstLineChars="200"/>
        <w:rPr>
          <w:rFonts w:ascii="Arial" w:hAnsi="Arial" w:cs="Arial"/>
          <w:szCs w:val="21"/>
        </w:rPr>
      </w:pPr>
    </w:p>
    <w:p>
      <w:pPr>
        <w:snapToGrid w:val="0"/>
        <w:spacing w:after="156" w:afterLines="50"/>
        <w:rPr>
          <w:rFonts w:ascii="Arial" w:hAnsi="Arial" w:cs="Arial"/>
          <w:b/>
          <w:szCs w:val="21"/>
        </w:rPr>
      </w:pPr>
      <w:r>
        <w:rPr>
          <w:rFonts w:ascii="Arial" w:hAnsi="Arial" w:cs="Arial"/>
          <w:b/>
          <w:szCs w:val="21"/>
        </w:rPr>
        <w:t>3</w:t>
      </w:r>
      <w:r>
        <w:rPr>
          <w:rFonts w:hint="eastAsia" w:ascii="Arial" w:hAnsi="Arial" w:cs="Arial"/>
          <w:b/>
          <w:szCs w:val="21"/>
        </w:rPr>
        <w:t>6</w:t>
      </w:r>
      <w:r>
        <w:rPr>
          <w:rFonts w:ascii="Arial" w:hAnsi="Arial" w:cs="Arial"/>
          <w:b/>
          <w:szCs w:val="21"/>
        </w:rPr>
        <w:t>）个人伤害责任条款</w:t>
      </w:r>
    </w:p>
    <w:p>
      <w:pPr>
        <w:tabs>
          <w:tab w:val="left" w:pos="1200"/>
          <w:tab w:val="left" w:pos="1800"/>
        </w:tabs>
        <w:snapToGrid w:val="0"/>
        <w:spacing w:after="156" w:afterLines="50"/>
        <w:ind w:firstLine="315" w:firstLineChars="150"/>
        <w:rPr>
          <w:rFonts w:ascii="Arial" w:hAnsi="Arial" w:cs="Arial"/>
          <w:szCs w:val="21"/>
        </w:rPr>
      </w:pPr>
      <w:r>
        <w:rPr>
          <w:rFonts w:ascii="Arial" w:hAnsi="Arial" w:cs="Arial"/>
          <w:szCs w:val="21"/>
        </w:rPr>
        <w:t>兹经双方同意, 鉴于被保险人已缴付了附加保险费, 本保险扩展承保本保险单明细表中列明的地点范围内，由于下列情况造成第三者人身侵害时应负的赔偿责任：</w:t>
      </w:r>
    </w:p>
    <w:p>
      <w:pPr>
        <w:tabs>
          <w:tab w:val="left" w:pos="1200"/>
          <w:tab w:val="left" w:pos="1800"/>
        </w:tabs>
        <w:snapToGrid w:val="0"/>
        <w:spacing w:after="156" w:afterLines="50"/>
        <w:ind w:firstLine="315" w:firstLineChars="150"/>
        <w:rPr>
          <w:rFonts w:ascii="Arial" w:hAnsi="Arial" w:cs="Arial"/>
          <w:szCs w:val="21"/>
        </w:rPr>
      </w:pPr>
      <w:r>
        <w:rPr>
          <w:rFonts w:ascii="Arial" w:hAnsi="Arial" w:cs="Arial"/>
          <w:szCs w:val="21"/>
        </w:rPr>
        <w:t>1）错误逮捕、拘留、监禁或诬告；</w:t>
      </w:r>
    </w:p>
    <w:p>
      <w:pPr>
        <w:tabs>
          <w:tab w:val="left" w:pos="1200"/>
          <w:tab w:val="left" w:pos="1800"/>
        </w:tabs>
        <w:snapToGrid w:val="0"/>
        <w:spacing w:after="156" w:afterLines="50"/>
        <w:ind w:firstLine="315" w:firstLineChars="150"/>
        <w:rPr>
          <w:rFonts w:ascii="Arial" w:hAnsi="Arial" w:cs="Arial"/>
          <w:szCs w:val="21"/>
        </w:rPr>
      </w:pPr>
      <w:r>
        <w:rPr>
          <w:rFonts w:ascii="Arial" w:hAnsi="Arial" w:cs="Arial"/>
          <w:szCs w:val="21"/>
        </w:rPr>
        <w:t>2）侮辱、诽谤或侵犯私人权力；</w:t>
      </w:r>
    </w:p>
    <w:p>
      <w:pPr>
        <w:tabs>
          <w:tab w:val="left" w:pos="1200"/>
          <w:tab w:val="left" w:pos="1800"/>
        </w:tabs>
        <w:snapToGrid w:val="0"/>
        <w:spacing w:after="156" w:afterLines="50"/>
        <w:ind w:firstLine="315" w:firstLineChars="150"/>
        <w:rPr>
          <w:rFonts w:ascii="Arial" w:hAnsi="Arial" w:cs="Arial"/>
          <w:szCs w:val="21"/>
        </w:rPr>
      </w:pPr>
      <w:r>
        <w:rPr>
          <w:rFonts w:ascii="Arial" w:hAnsi="Arial" w:cs="Arial"/>
          <w:szCs w:val="21"/>
        </w:rPr>
        <w:t>3）非法侵入、驱逐或其他侵犯私人权力行为；</w:t>
      </w:r>
    </w:p>
    <w:p>
      <w:pPr>
        <w:tabs>
          <w:tab w:val="left" w:pos="1200"/>
          <w:tab w:val="left" w:pos="1800"/>
        </w:tabs>
        <w:snapToGrid w:val="0"/>
        <w:spacing w:after="156" w:afterLines="50"/>
        <w:ind w:firstLine="315" w:firstLineChars="150"/>
        <w:rPr>
          <w:rFonts w:ascii="Arial" w:hAnsi="Arial" w:cs="Arial"/>
          <w:szCs w:val="21"/>
        </w:rPr>
      </w:pPr>
      <w:r>
        <w:rPr>
          <w:rFonts w:ascii="Arial" w:hAnsi="Arial" w:cs="Arial"/>
          <w:szCs w:val="21"/>
        </w:rPr>
        <w:t>4）遵守中华人民共和国法律或法规将是本公司承担任何责任的先决条件。</w:t>
      </w:r>
    </w:p>
    <w:p>
      <w:pPr>
        <w:snapToGrid w:val="0"/>
        <w:spacing w:after="156" w:afterLines="50"/>
        <w:rPr>
          <w:rFonts w:ascii="Arial" w:hAnsi="Arial" w:cs="Arial"/>
          <w:szCs w:val="21"/>
        </w:rPr>
      </w:pPr>
    </w:p>
    <w:p>
      <w:pPr>
        <w:snapToGrid w:val="0"/>
        <w:spacing w:after="156" w:afterLines="50"/>
        <w:rPr>
          <w:rFonts w:ascii="Arial" w:hAnsi="Arial" w:cs="Arial"/>
          <w:b/>
          <w:szCs w:val="21"/>
        </w:rPr>
      </w:pPr>
      <w:r>
        <w:rPr>
          <w:rFonts w:ascii="Arial" w:hAnsi="Arial" w:cs="Arial"/>
          <w:b/>
          <w:szCs w:val="21"/>
        </w:rPr>
        <w:t>3</w:t>
      </w:r>
      <w:r>
        <w:rPr>
          <w:rFonts w:hint="eastAsia" w:ascii="Arial" w:hAnsi="Arial" w:cs="Arial"/>
          <w:b/>
          <w:szCs w:val="21"/>
        </w:rPr>
        <w:t>7</w:t>
      </w:r>
      <w:r>
        <w:rPr>
          <w:rFonts w:ascii="Arial" w:hAnsi="Arial" w:cs="Arial"/>
          <w:b/>
          <w:szCs w:val="21"/>
        </w:rPr>
        <w:t>）酒精饮料责任条款</w:t>
      </w:r>
    </w:p>
    <w:p>
      <w:pPr>
        <w:widowControl/>
        <w:numPr>
          <w:ilvl w:val="12"/>
          <w:numId w:val="0"/>
        </w:numPr>
        <w:ind w:right="-240" w:firstLine="420"/>
        <w:jc w:val="left"/>
        <w:rPr>
          <w:rFonts w:ascii="Arial" w:hAnsi="Arial" w:cs="Arial"/>
          <w:szCs w:val="21"/>
        </w:rPr>
      </w:pPr>
      <w:r>
        <w:rPr>
          <w:rFonts w:ascii="Arial" w:hAnsi="Arial" w:cs="Arial"/>
          <w:szCs w:val="21"/>
        </w:rPr>
        <w:t>兹经双方同意，本保险扩展承保被保险人在明细表中列明的场所因其销售或提供酒精饮料，其顾客造成第三者人身伤亡或财产损失时，被保险人应负的赔偿责任。</w:t>
      </w:r>
    </w:p>
    <w:p>
      <w:pPr>
        <w:widowControl/>
        <w:numPr>
          <w:ilvl w:val="12"/>
          <w:numId w:val="0"/>
        </w:numPr>
        <w:ind w:right="-240" w:firstLine="420"/>
        <w:jc w:val="left"/>
        <w:rPr>
          <w:rFonts w:ascii="Arial" w:hAnsi="Arial" w:cs="Arial"/>
          <w:szCs w:val="21"/>
        </w:rPr>
      </w:pPr>
      <w:r>
        <w:rPr>
          <w:rFonts w:ascii="Arial" w:hAnsi="Arial" w:cs="Arial"/>
          <w:szCs w:val="21"/>
        </w:rPr>
        <w:t>被保险人应克尽职守，防止此类事故发生。</w:t>
      </w:r>
    </w:p>
    <w:p>
      <w:pPr>
        <w:widowControl/>
        <w:numPr>
          <w:ilvl w:val="12"/>
          <w:numId w:val="0"/>
        </w:numPr>
        <w:ind w:right="-240" w:firstLine="420"/>
        <w:jc w:val="left"/>
        <w:rPr>
          <w:rFonts w:ascii="Arial" w:hAnsi="Arial" w:cs="Arial"/>
          <w:szCs w:val="21"/>
        </w:rPr>
      </w:pPr>
      <w:r>
        <w:rPr>
          <w:rFonts w:ascii="Arial" w:hAnsi="Arial" w:cs="Arial"/>
          <w:szCs w:val="21"/>
        </w:rPr>
        <w:t>本保单所载其他条件不变。</w:t>
      </w:r>
    </w:p>
    <w:p>
      <w:pPr>
        <w:widowControl/>
        <w:numPr>
          <w:ilvl w:val="12"/>
          <w:numId w:val="0"/>
        </w:numPr>
        <w:ind w:right="-240"/>
        <w:jc w:val="left"/>
        <w:rPr>
          <w:rFonts w:ascii="Arial" w:hAnsi="Arial" w:cs="Arial"/>
          <w:szCs w:val="21"/>
        </w:rPr>
      </w:pPr>
    </w:p>
    <w:p>
      <w:pPr>
        <w:widowControl/>
        <w:numPr>
          <w:ilvl w:val="12"/>
          <w:numId w:val="0"/>
        </w:numPr>
        <w:ind w:right="-240"/>
        <w:jc w:val="left"/>
        <w:rPr>
          <w:rFonts w:ascii="Arial" w:hAnsi="Arial" w:cs="Arial"/>
          <w:szCs w:val="21"/>
        </w:rPr>
      </w:pPr>
      <w:r>
        <w:rPr>
          <w:rFonts w:ascii="Arial" w:hAnsi="Arial" w:cs="Arial"/>
          <w:b/>
          <w:szCs w:val="21"/>
        </w:rPr>
        <w:t>3</w:t>
      </w:r>
      <w:r>
        <w:rPr>
          <w:rFonts w:hint="eastAsia" w:ascii="Arial" w:hAnsi="Arial" w:cs="Arial"/>
          <w:b/>
          <w:szCs w:val="21"/>
        </w:rPr>
        <w:t>8</w:t>
      </w:r>
      <w:r>
        <w:rPr>
          <w:rFonts w:ascii="Arial" w:hAnsi="Arial" w:cs="Arial"/>
          <w:b/>
          <w:szCs w:val="21"/>
        </w:rPr>
        <w:t>）自然灾害扩展条款</w:t>
      </w:r>
    </w:p>
    <w:p>
      <w:pPr>
        <w:widowControl/>
        <w:numPr>
          <w:ilvl w:val="12"/>
          <w:numId w:val="0"/>
        </w:numPr>
        <w:ind w:right="-240"/>
        <w:jc w:val="left"/>
        <w:rPr>
          <w:rFonts w:ascii="Arial" w:hAnsi="Arial" w:cs="Arial"/>
          <w:szCs w:val="21"/>
        </w:rPr>
      </w:pPr>
    </w:p>
    <w:p>
      <w:pPr>
        <w:widowControl/>
        <w:numPr>
          <w:ilvl w:val="12"/>
          <w:numId w:val="0"/>
        </w:numPr>
        <w:ind w:right="-240" w:firstLine="420" w:firstLineChars="200"/>
        <w:jc w:val="left"/>
        <w:rPr>
          <w:rFonts w:ascii="Arial" w:hAnsi="Arial" w:cs="Arial"/>
          <w:szCs w:val="21"/>
        </w:rPr>
      </w:pPr>
      <w:r>
        <w:rPr>
          <w:rFonts w:ascii="Arial" w:hAnsi="Arial" w:cs="Arial"/>
          <w:szCs w:val="21"/>
        </w:rPr>
        <w:t>兹经双方同意并约定，尽管有相反约定，本保险扩展承保自然灾害造成第三者的人身伤害和财产损失，依法应由被保险人承担的经济赔偿责任。</w:t>
      </w:r>
    </w:p>
    <w:p>
      <w:pPr>
        <w:widowControl/>
        <w:numPr>
          <w:ilvl w:val="12"/>
          <w:numId w:val="0"/>
        </w:numPr>
        <w:ind w:right="-240" w:firstLine="420" w:firstLineChars="200"/>
        <w:jc w:val="left"/>
        <w:rPr>
          <w:rFonts w:ascii="Arial" w:hAnsi="Arial" w:cs="Arial"/>
          <w:szCs w:val="21"/>
        </w:rPr>
      </w:pPr>
      <w:r>
        <w:rPr>
          <w:rFonts w:ascii="Arial" w:hAnsi="Arial" w:cs="Arial"/>
          <w:szCs w:val="21"/>
        </w:rPr>
        <w:t>本保险所载其他条件不变。</w:t>
      </w:r>
    </w:p>
    <w:p>
      <w:pPr>
        <w:widowControl/>
        <w:numPr>
          <w:ilvl w:val="12"/>
          <w:numId w:val="0"/>
        </w:numPr>
        <w:ind w:right="-240"/>
        <w:jc w:val="left"/>
        <w:rPr>
          <w:rFonts w:ascii="Arial" w:hAnsi="Arial" w:cs="Arial"/>
          <w:szCs w:val="21"/>
        </w:rPr>
      </w:pPr>
    </w:p>
    <w:p>
      <w:pPr>
        <w:widowControl/>
        <w:numPr>
          <w:ilvl w:val="12"/>
          <w:numId w:val="0"/>
        </w:numPr>
        <w:ind w:right="-240"/>
        <w:jc w:val="left"/>
        <w:rPr>
          <w:rFonts w:ascii="Arial" w:hAnsi="Arial" w:cs="Arial"/>
          <w:b/>
          <w:szCs w:val="21"/>
        </w:rPr>
      </w:pPr>
      <w:r>
        <w:rPr>
          <w:rFonts w:hint="eastAsia" w:ascii="Arial" w:hAnsi="Arial" w:cs="Arial"/>
          <w:b/>
          <w:szCs w:val="21"/>
        </w:rPr>
        <w:t>39</w:t>
      </w:r>
      <w:r>
        <w:rPr>
          <w:rFonts w:ascii="Arial" w:hAnsi="Arial" w:cs="Arial"/>
          <w:b/>
          <w:szCs w:val="21"/>
        </w:rPr>
        <w:t>）不受控制条款</w:t>
      </w:r>
    </w:p>
    <w:p>
      <w:pPr>
        <w:widowControl/>
        <w:numPr>
          <w:ilvl w:val="12"/>
          <w:numId w:val="0"/>
        </w:numPr>
        <w:ind w:right="-240" w:firstLine="420" w:firstLineChars="200"/>
        <w:jc w:val="left"/>
        <w:rPr>
          <w:rFonts w:ascii="Arial" w:hAnsi="Arial" w:cs="Arial"/>
          <w:szCs w:val="21"/>
        </w:rPr>
      </w:pPr>
      <w:r>
        <w:rPr>
          <w:rFonts w:ascii="Arial" w:hAnsi="Arial" w:cs="Arial"/>
          <w:szCs w:val="21"/>
        </w:rPr>
        <w:t>兹经双方同意，被保险人在占用或使用营业场所时，由于不知情或远非其所能控制的事件发生造成的遗漏申报或任何行为，不会影响本保险单的有效性，一旦被保险人知道应立即通知本公司并按要求支付适当的附加保险费。</w:t>
      </w:r>
    </w:p>
    <w:p>
      <w:pPr>
        <w:widowControl/>
        <w:numPr>
          <w:ilvl w:val="12"/>
          <w:numId w:val="0"/>
        </w:numPr>
        <w:ind w:right="-240"/>
        <w:jc w:val="left"/>
        <w:rPr>
          <w:rFonts w:ascii="Arial" w:hAnsi="Arial" w:cs="Arial"/>
          <w:szCs w:val="21"/>
        </w:rPr>
      </w:pPr>
    </w:p>
    <w:p>
      <w:pPr>
        <w:widowControl/>
        <w:numPr>
          <w:ilvl w:val="12"/>
          <w:numId w:val="0"/>
        </w:numPr>
        <w:ind w:right="-240"/>
        <w:jc w:val="left"/>
        <w:rPr>
          <w:rFonts w:ascii="Arial" w:hAnsi="Arial" w:cs="Arial"/>
          <w:b/>
          <w:szCs w:val="21"/>
        </w:rPr>
      </w:pPr>
      <w:r>
        <w:rPr>
          <w:rFonts w:ascii="Arial" w:hAnsi="Arial" w:cs="Arial"/>
          <w:b/>
          <w:szCs w:val="21"/>
        </w:rPr>
        <w:t>4</w:t>
      </w:r>
      <w:r>
        <w:rPr>
          <w:rFonts w:hint="eastAsia" w:ascii="Arial" w:hAnsi="Arial" w:cs="Arial"/>
          <w:b/>
          <w:szCs w:val="21"/>
        </w:rPr>
        <w:t>0</w:t>
      </w:r>
      <w:r>
        <w:rPr>
          <w:rFonts w:ascii="Arial" w:hAnsi="Arial" w:cs="Arial"/>
          <w:b/>
          <w:szCs w:val="21"/>
        </w:rPr>
        <w:t>）急救责任条款</w:t>
      </w:r>
    </w:p>
    <w:p>
      <w:pPr>
        <w:widowControl/>
        <w:numPr>
          <w:ilvl w:val="12"/>
          <w:numId w:val="0"/>
        </w:numPr>
        <w:ind w:right="-240"/>
        <w:jc w:val="left"/>
        <w:rPr>
          <w:rFonts w:ascii="Arial" w:hAnsi="Arial" w:cs="Arial"/>
          <w:b/>
          <w:szCs w:val="21"/>
        </w:rPr>
      </w:pPr>
    </w:p>
    <w:p>
      <w:pPr>
        <w:widowControl/>
        <w:numPr>
          <w:ilvl w:val="12"/>
          <w:numId w:val="0"/>
        </w:numPr>
        <w:ind w:right="-240" w:firstLine="420" w:firstLineChars="200"/>
        <w:jc w:val="left"/>
        <w:rPr>
          <w:rFonts w:ascii="Arial" w:hAnsi="Arial" w:cs="Arial"/>
          <w:szCs w:val="21"/>
        </w:rPr>
      </w:pPr>
      <w:r>
        <w:rPr>
          <w:rFonts w:ascii="Arial" w:hAnsi="Arial" w:cs="Arial"/>
          <w:szCs w:val="21"/>
        </w:rPr>
        <w:t>兹经双方同意，鉴于投保人已支付了附加保险费，本保险扩展承保，在列明地点范围内，由于实施急救或采取了类似措施，造成第三者意外的人身伤害时，被保险人依法应承担的经济赔偿责任。</w:t>
      </w:r>
    </w:p>
    <w:p>
      <w:pPr>
        <w:widowControl/>
        <w:numPr>
          <w:ilvl w:val="12"/>
          <w:numId w:val="0"/>
        </w:numPr>
        <w:ind w:right="-240" w:firstLine="420" w:firstLineChars="200"/>
        <w:jc w:val="left"/>
        <w:rPr>
          <w:rFonts w:ascii="Arial" w:hAnsi="Arial" w:cs="Arial"/>
          <w:szCs w:val="21"/>
        </w:rPr>
      </w:pPr>
      <w:r>
        <w:rPr>
          <w:rFonts w:ascii="Arial" w:hAnsi="Arial" w:cs="Arial"/>
          <w:szCs w:val="21"/>
        </w:rPr>
        <w:t>保险人承担赔偿责任以下列条件为前提：</w:t>
      </w:r>
    </w:p>
    <w:p>
      <w:pPr>
        <w:widowControl/>
        <w:numPr>
          <w:ilvl w:val="12"/>
          <w:numId w:val="0"/>
        </w:numPr>
        <w:ind w:right="-240" w:firstLine="420" w:firstLineChars="200"/>
        <w:jc w:val="left"/>
        <w:rPr>
          <w:rFonts w:ascii="Arial" w:hAnsi="Arial" w:cs="Arial"/>
          <w:szCs w:val="21"/>
        </w:rPr>
      </w:pPr>
      <w:r>
        <w:rPr>
          <w:rFonts w:ascii="Arial" w:hAnsi="Arial" w:cs="Arial"/>
          <w:szCs w:val="21"/>
        </w:rPr>
        <w:t>(一) 上述人员不能从其他来源获得赔偿；</w:t>
      </w:r>
    </w:p>
    <w:p>
      <w:pPr>
        <w:widowControl/>
        <w:numPr>
          <w:ilvl w:val="12"/>
          <w:numId w:val="0"/>
        </w:numPr>
        <w:ind w:right="-240" w:firstLine="420" w:firstLineChars="200"/>
        <w:jc w:val="left"/>
        <w:rPr>
          <w:rFonts w:ascii="Arial" w:hAnsi="Arial" w:cs="Arial"/>
          <w:szCs w:val="21"/>
        </w:rPr>
      </w:pPr>
      <w:r>
        <w:rPr>
          <w:rFonts w:ascii="Arial" w:hAnsi="Arial" w:cs="Arial"/>
          <w:szCs w:val="21"/>
        </w:rPr>
        <w:t>(二) 上述人员应如被保险人一样地遵守及履行所应适用的本保险单条款、除外责任及条件。</w:t>
      </w:r>
    </w:p>
    <w:p>
      <w:pPr>
        <w:numPr>
          <w:numId w:val="0"/>
        </w:numPr>
        <w:rPr>
          <w:rFonts w:hint="default"/>
          <w:lang w:val="en-US" w:eastAsia="zh-CN"/>
        </w:rPr>
      </w:pPr>
    </w:p>
    <w:sectPr>
      <w:headerReference r:id="rId5" w:type="default"/>
      <w:footerReference r:id="rId6" w:type="default"/>
      <w:pgSz w:w="11906" w:h="16838"/>
      <w:pgMar w:top="1440" w:right="1134" w:bottom="1440" w:left="1134" w:header="851" w:footer="992" w:gutter="0"/>
      <w:cols w:space="425"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陈燕" w:date="2022-07-15T18:16:00Z" w:initials="陈燕">
    <w:p w14:paraId="6DF11649">
      <w:pPr>
        <w:pStyle w:val="12"/>
      </w:pPr>
      <w:r>
        <w:rPr>
          <w:rFonts w:hint="eastAsia"/>
          <w:lang w:eastAsia="zh-CN"/>
        </w:rPr>
        <w:t>修改同上</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6DF11649"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8ABE531C-945A-49F9-A8C5-FF2FEF9923D2}"/>
  </w:font>
  <w:font w:name="Arial">
    <w:panose1 w:val="020B0604020202020204"/>
    <w:charset w:val="01"/>
    <w:family w:val="swiss"/>
    <w:pitch w:val="default"/>
    <w:sig w:usb0="E0002EFF" w:usb1="C000785B" w:usb2="00000009" w:usb3="00000000" w:csb0="400001FF" w:csb1="FFFF0000"/>
    <w:embedRegular r:id="rId2" w:fontKey="{DA56DF0B-7A83-4627-B128-F638600B31B3}"/>
  </w:font>
  <w:font w:name="黑体">
    <w:panose1 w:val="02010609060101010101"/>
    <w:charset w:val="86"/>
    <w:family w:val="auto"/>
    <w:pitch w:val="default"/>
    <w:sig w:usb0="800002BF" w:usb1="38CF7CFA" w:usb2="00000016" w:usb3="00000000" w:csb0="00040001" w:csb1="00000000"/>
    <w:embedRegular r:id="rId3" w:fontKey="{256DA63B-D781-451D-B086-CEAB5FB65D6D}"/>
  </w:font>
  <w:font w:name="Courier New">
    <w:panose1 w:val="02070309020205020404"/>
    <w:charset w:val="01"/>
    <w:family w:val="modern"/>
    <w:pitch w:val="default"/>
    <w:sig w:usb0="E0002EFF" w:usb1="C0007843" w:usb2="00000009" w:usb3="00000000" w:csb0="400001FF" w:csb1="FFFF0000"/>
    <w:embedRegular r:id="rId4" w:fontKey="{09C1C4D3-4B7D-4C71-B9AF-08C671C744D1}"/>
  </w:font>
  <w:font w:name="Symbol">
    <w:panose1 w:val="05050102010706020507"/>
    <w:charset w:val="02"/>
    <w:family w:val="roman"/>
    <w:pitch w:val="default"/>
    <w:sig w:usb0="00000000" w:usb1="00000000" w:usb2="00000000" w:usb3="00000000" w:csb0="80000000" w:csb1="00000000"/>
    <w:embedRegular r:id="rId5" w:fontKey="{0E7FD2E2-5626-4721-9666-8484E0790837}"/>
  </w:font>
  <w:font w:name="Calibri">
    <w:panose1 w:val="020F0502020204030204"/>
    <w:charset w:val="00"/>
    <w:family w:val="swiss"/>
    <w:pitch w:val="default"/>
    <w:sig w:usb0="E4002EFF" w:usb1="C000247B" w:usb2="00000009" w:usb3="00000000" w:csb0="200001FF" w:csb1="00000000"/>
    <w:embedRegular r:id="rId6" w:fontKey="{2B413F57-6FC8-433B-A755-D8A7282C98BD}"/>
  </w:font>
  <w:font w:name="Arial">
    <w:panose1 w:val="020B0604020202020204"/>
    <w:charset w:val="00"/>
    <w:family w:val="swiss"/>
    <w:pitch w:val="default"/>
    <w:sig w:usb0="E0002EFF" w:usb1="C000785B" w:usb2="00000009" w:usb3="00000000" w:csb0="400001FF" w:csb1="FFFF0000"/>
    <w:embedRegular r:id="rId7" w:fontKey="{6E704A3B-08F0-4450-8D1C-56CFE56169BA}"/>
  </w:font>
  <w:font w:name="PMingLiU">
    <w:altName w:val="PMingLiU-ExtB"/>
    <w:panose1 w:val="02020500000000000000"/>
    <w:charset w:val="88"/>
    <w:family w:val="roman"/>
    <w:pitch w:val="default"/>
    <w:sig w:usb0="00000000" w:usb1="00000000" w:usb2="00000016" w:usb3="00000000" w:csb0="00100001" w:csb1="00000000"/>
  </w:font>
  <w:font w:name="Courier New">
    <w:panose1 w:val="02070309020205020404"/>
    <w:charset w:val="00"/>
    <w:family w:val="modern"/>
    <w:pitch w:val="default"/>
    <w:sig w:usb0="E0002EFF" w:usb1="C0007843" w:usb2="00000009" w:usb3="00000000" w:csb0="400001FF" w:csb1="FFFF0000"/>
    <w:embedRegular r:id="rId8" w:fontKey="{16D8271A-C35B-42BA-918C-0D66DF5772DE}"/>
  </w:font>
  <w:font w:name="Arial Unicode MS">
    <w:altName w:val="宋体"/>
    <w:panose1 w:val="020B0604020202020204"/>
    <w:charset w:val="86"/>
    <w:family w:val="swiss"/>
    <w:pitch w:val="default"/>
    <w:sig w:usb0="00000000" w:usb1="00000000" w:usb2="0000003F" w:usb3="00000000" w:csb0="003F01FF" w:csb1="00000000"/>
  </w:font>
  <w:font w:name="Cambria">
    <w:panose1 w:val="02040503050406030204"/>
    <w:charset w:val="00"/>
    <w:family w:val="roman"/>
    <w:pitch w:val="default"/>
    <w:sig w:usb0="E00006FF" w:usb1="420024FF" w:usb2="02000000" w:usb3="00000000" w:csb0="2000019F" w:csb1="00000000"/>
    <w:embedRegular r:id="rId9" w:fontKey="{2D0B567C-A69E-4BF7-9C61-99F4FDA01FCA}"/>
  </w:font>
  <w:font w:name="仿宋_GB2312">
    <w:panose1 w:val="02010609030101010101"/>
    <w:charset w:val="86"/>
    <w:family w:val="modern"/>
    <w:pitch w:val="default"/>
    <w:sig w:usb0="00000001" w:usb1="080E0000" w:usb2="00000000" w:usb3="00000000" w:csb0="00040000" w:csb1="00000000"/>
    <w:embedRegular r:id="rId10" w:fontKey="{423621E7-AA52-406E-AADD-56A840F4D94F}"/>
  </w:font>
  <w:font w:name="Impact">
    <w:panose1 w:val="020B0806030902050204"/>
    <w:charset w:val="00"/>
    <w:family w:val="swiss"/>
    <w:pitch w:val="default"/>
    <w:sig w:usb0="00000287" w:usb1="00000000" w:usb2="00000000" w:usb3="00000000" w:csb0="2000009F" w:csb1="DFD70000"/>
    <w:embedRegular r:id="rId11" w:fontKey="{75A2F3A1-1714-477F-813E-B0C83734DA2E}"/>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Arial"/>
    <w:panose1 w:val="00000000000000000000"/>
    <w:charset w:val="00"/>
    <w:family w:val="swiss"/>
    <w:pitch w:val="default"/>
    <w:sig w:usb0="00000000" w:usb1="00000000" w:usb2="00000000" w:usb3="00000000" w:csb0="0000000F" w:csb1="00000000"/>
    <w:embedRegular r:id="rId12" w:fontKey="{05C6654D-DD2A-4B9E-AB6C-6C73B3C91453}"/>
  </w:font>
  <w:font w:name="Tahoma">
    <w:panose1 w:val="020B0604030504040204"/>
    <w:charset w:val="00"/>
    <w:family w:val="swiss"/>
    <w:pitch w:val="default"/>
    <w:sig w:usb0="E1002EFF" w:usb1="C000605B" w:usb2="00000029" w:usb3="00000000" w:csb0="200101FF" w:csb1="20280000"/>
    <w:embedRegular r:id="rId13" w:fontKey="{746FE0BF-F538-4E88-B5F0-CF03539D7FF6}"/>
  </w:font>
  <w:font w:name="等线">
    <w:panose1 w:val="02010600030101010101"/>
    <w:charset w:val="86"/>
    <w:family w:val="auto"/>
    <w:pitch w:val="default"/>
    <w:sig w:usb0="A00002BF" w:usb1="38CF7CFA" w:usb2="00000016" w:usb3="00000000" w:csb0="0004000F" w:csb1="00000000"/>
    <w:embedRegular r:id="rId14" w:fontKey="{9E0CD870-F0B3-4798-80FF-04D425471906}"/>
  </w:font>
  <w:font w:name="Segoe UI">
    <w:panose1 w:val="020B0502040204020203"/>
    <w:charset w:val="00"/>
    <w:family w:val="swiss"/>
    <w:pitch w:val="default"/>
    <w:sig w:usb0="E4002EFF" w:usb1="C000E47F" w:usb2="00000009" w:usb3="00000000" w:csb0="200001FF" w:csb1="00000000"/>
    <w:embedRegular r:id="rId15" w:fontKey="{0D454267-BD9E-4B58-8877-EBF3BD643A4D}"/>
  </w:font>
  <w:font w:name="方正小标宋_GBK">
    <w:panose1 w:val="02000000000000000000"/>
    <w:charset w:val="86"/>
    <w:family w:val="script"/>
    <w:pitch w:val="default"/>
    <w:sig w:usb0="A00002BF" w:usb1="38CF7CFA" w:usb2="00082016" w:usb3="00000000" w:csb0="00040001" w:csb1="00000000"/>
    <w:embedRegular r:id="rId16" w:fontKey="{D3A4BDCC-1DAF-4AF1-9791-76F1F8C45ED1}"/>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
    <w:altName w:val="Times New Roman"/>
    <w:panose1 w:val="00000000000000000000"/>
    <w:charset w:val="00"/>
    <w:family w:val="roma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7"/>
      </w:rPr>
    </w:pPr>
    <w:r>
      <w:rPr>
        <w:rStyle w:val="37"/>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7"/>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7"/>
      </w:rPr>
    </w:pPr>
  </w:p>
  <w:p>
    <w:pPr>
      <w:pStyle w:val="19"/>
      <w:jc w:val="both"/>
      <w:rPr>
        <w:rStyle w:val="37"/>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C6CC8DB"/>
    <w:multiLevelType w:val="singleLevel"/>
    <w:tmpl w:val="EC6CC8DB"/>
    <w:lvl w:ilvl="0" w:tentative="0">
      <w:start w:val="5"/>
      <w:numFmt w:val="chineseCounting"/>
      <w:suff w:val="space"/>
      <w:lvlText w:val="第%1章"/>
      <w:lvlJc w:val="left"/>
      <w:rPr>
        <w:rFonts w:hint="eastAsia"/>
      </w:rPr>
    </w:lvl>
  </w:abstractNum>
  <w:abstractNum w:abstractNumId="1">
    <w:nsid w:val="012478A1"/>
    <w:multiLevelType w:val="multilevel"/>
    <w:tmpl w:val="012478A1"/>
    <w:lvl w:ilvl="0" w:tentative="0">
      <w:start w:val="1"/>
      <w:numFmt w:val="decimal"/>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05C17C65"/>
    <w:multiLevelType w:val="multilevel"/>
    <w:tmpl w:val="05C17C65"/>
    <w:lvl w:ilvl="0" w:tentative="0">
      <w:start w:val="1"/>
      <w:numFmt w:val="decimal"/>
      <w:lvlText w:val="%1)"/>
      <w:lvlJc w:val="left"/>
      <w:pPr>
        <w:tabs>
          <w:tab w:val="left" w:pos="420"/>
        </w:tabs>
        <w:ind w:left="420" w:hanging="420"/>
      </w:pPr>
    </w:lvl>
    <w:lvl w:ilvl="1" w:tentative="0">
      <w:start w:val="1"/>
      <w:numFmt w:val="japaneseCounting"/>
      <w:lvlText w:val="第%2期"/>
      <w:lvlJc w:val="left"/>
      <w:pPr>
        <w:tabs>
          <w:tab w:val="left" w:pos="1155"/>
        </w:tabs>
        <w:ind w:left="1155" w:hanging="735"/>
      </w:pPr>
      <w:rPr>
        <w:rFonts w:hint="default"/>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3">
    <w:nsid w:val="14E536EA"/>
    <w:multiLevelType w:val="multilevel"/>
    <w:tmpl w:val="14E536EA"/>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28B72965"/>
    <w:multiLevelType w:val="multilevel"/>
    <w:tmpl w:val="28B72965"/>
    <w:lvl w:ilvl="0" w:tentative="0">
      <w:start w:val="1"/>
      <w:numFmt w:val="decimal"/>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2E331554"/>
    <w:multiLevelType w:val="multilevel"/>
    <w:tmpl w:val="2E331554"/>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7">
    <w:nsid w:val="349D2BE8"/>
    <w:multiLevelType w:val="multilevel"/>
    <w:tmpl w:val="349D2BE8"/>
    <w:lvl w:ilvl="0" w:tentative="0">
      <w:start w:val="1"/>
      <w:numFmt w:val="decimal"/>
      <w:lvlText w:val="%1)"/>
      <w:lvlJc w:val="left"/>
      <w:pPr>
        <w:tabs>
          <w:tab w:val="left" w:pos="420"/>
        </w:tabs>
        <w:ind w:left="420" w:hanging="420"/>
      </w:pPr>
      <w:rPr>
        <w:rFonts w:hint="eastAsia"/>
        <w:color w:val="auto"/>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380A07D0"/>
    <w:multiLevelType w:val="multilevel"/>
    <w:tmpl w:val="380A07D0"/>
    <w:lvl w:ilvl="0" w:tentative="0">
      <w:start w:val="1"/>
      <w:numFmt w:val="decimal"/>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3D1C4F62"/>
    <w:multiLevelType w:val="singleLevel"/>
    <w:tmpl w:val="3D1C4F62"/>
    <w:lvl w:ilvl="0" w:tentative="0">
      <w:start w:val="5"/>
      <w:numFmt w:val="chineseCounting"/>
      <w:suff w:val="nothing"/>
      <w:lvlText w:val="%1、"/>
      <w:lvlJc w:val="left"/>
      <w:pPr>
        <w:textAlignment w:val="baseline"/>
      </w:pPr>
    </w:lvl>
  </w:abstractNum>
  <w:abstractNum w:abstractNumId="10">
    <w:nsid w:val="3FC061FE"/>
    <w:multiLevelType w:val="multilevel"/>
    <w:tmpl w:val="3FC061FE"/>
    <w:lvl w:ilvl="0" w:tentative="0">
      <w:start w:val="1"/>
      <w:numFmt w:val="decimal"/>
      <w:lvlText w:val="%1)"/>
      <w:lvlJc w:val="left"/>
      <w:pPr>
        <w:ind w:left="1120" w:hanging="360"/>
      </w:pPr>
      <w:rPr>
        <w:rFonts w:hint="eastAsia"/>
      </w:rPr>
    </w:lvl>
    <w:lvl w:ilvl="1" w:tentative="0">
      <w:start w:val="1"/>
      <w:numFmt w:val="lowerLetter"/>
      <w:lvlText w:val="%2."/>
      <w:lvlJc w:val="left"/>
      <w:pPr>
        <w:ind w:left="1840" w:hanging="360"/>
      </w:pPr>
    </w:lvl>
    <w:lvl w:ilvl="2" w:tentative="0">
      <w:start w:val="1"/>
      <w:numFmt w:val="lowerRoman"/>
      <w:lvlText w:val="%3."/>
      <w:lvlJc w:val="right"/>
      <w:pPr>
        <w:ind w:left="2560" w:hanging="180"/>
      </w:pPr>
    </w:lvl>
    <w:lvl w:ilvl="3" w:tentative="0">
      <w:start w:val="1"/>
      <w:numFmt w:val="decimal"/>
      <w:lvlText w:val="%4."/>
      <w:lvlJc w:val="left"/>
      <w:pPr>
        <w:ind w:left="3280" w:hanging="360"/>
      </w:pPr>
    </w:lvl>
    <w:lvl w:ilvl="4" w:tentative="0">
      <w:start w:val="1"/>
      <w:numFmt w:val="lowerLetter"/>
      <w:lvlText w:val="%5."/>
      <w:lvlJc w:val="left"/>
      <w:pPr>
        <w:ind w:left="4000" w:hanging="360"/>
      </w:pPr>
    </w:lvl>
    <w:lvl w:ilvl="5" w:tentative="0">
      <w:start w:val="1"/>
      <w:numFmt w:val="lowerRoman"/>
      <w:lvlText w:val="%6."/>
      <w:lvlJc w:val="right"/>
      <w:pPr>
        <w:ind w:left="4720" w:hanging="180"/>
      </w:pPr>
    </w:lvl>
    <w:lvl w:ilvl="6" w:tentative="0">
      <w:start w:val="1"/>
      <w:numFmt w:val="decimal"/>
      <w:lvlText w:val="%7."/>
      <w:lvlJc w:val="left"/>
      <w:pPr>
        <w:ind w:left="5440" w:hanging="360"/>
      </w:pPr>
    </w:lvl>
    <w:lvl w:ilvl="7" w:tentative="0">
      <w:start w:val="1"/>
      <w:numFmt w:val="lowerLetter"/>
      <w:lvlText w:val="%8."/>
      <w:lvlJc w:val="left"/>
      <w:pPr>
        <w:ind w:left="6160" w:hanging="360"/>
      </w:pPr>
    </w:lvl>
    <w:lvl w:ilvl="8" w:tentative="0">
      <w:start w:val="1"/>
      <w:numFmt w:val="lowerRoman"/>
      <w:lvlText w:val="%9."/>
      <w:lvlJc w:val="right"/>
      <w:pPr>
        <w:ind w:left="6880" w:hanging="180"/>
      </w:pPr>
    </w:lvl>
  </w:abstractNum>
  <w:abstractNum w:abstractNumId="11">
    <w:nsid w:val="4B72228E"/>
    <w:multiLevelType w:val="multilevel"/>
    <w:tmpl w:val="4B72228E"/>
    <w:lvl w:ilvl="0" w:tentative="0">
      <w:start w:val="1"/>
      <w:numFmt w:val="decimal"/>
      <w:lvlText w:val="%1)"/>
      <w:lvlJc w:val="left"/>
      <w:pPr>
        <w:tabs>
          <w:tab w:val="left" w:pos="840"/>
        </w:tabs>
        <w:ind w:left="84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55D771A4"/>
    <w:multiLevelType w:val="multilevel"/>
    <w:tmpl w:val="55D771A4"/>
    <w:lvl w:ilvl="0" w:tentative="0">
      <w:start w:val="1"/>
      <w:numFmt w:val="lowerLetter"/>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60D35715"/>
    <w:multiLevelType w:val="multilevel"/>
    <w:tmpl w:val="60D35715"/>
    <w:lvl w:ilvl="0" w:tentative="0">
      <w:start w:val="1"/>
      <w:numFmt w:val="decimal"/>
      <w:lvlText w:val="%1)"/>
      <w:lvlJc w:val="left"/>
      <w:pPr>
        <w:ind w:left="1120" w:hanging="360"/>
      </w:pPr>
      <w:rPr>
        <w:rFonts w:hint="eastAsia"/>
      </w:rPr>
    </w:lvl>
    <w:lvl w:ilvl="1" w:tentative="0">
      <w:start w:val="1"/>
      <w:numFmt w:val="lowerLetter"/>
      <w:lvlText w:val="%2."/>
      <w:lvlJc w:val="left"/>
      <w:pPr>
        <w:ind w:left="1840" w:hanging="360"/>
      </w:pPr>
    </w:lvl>
    <w:lvl w:ilvl="2" w:tentative="0">
      <w:start w:val="1"/>
      <w:numFmt w:val="lowerRoman"/>
      <w:lvlText w:val="%3."/>
      <w:lvlJc w:val="right"/>
      <w:pPr>
        <w:ind w:left="2560" w:hanging="180"/>
      </w:pPr>
    </w:lvl>
    <w:lvl w:ilvl="3" w:tentative="0">
      <w:start w:val="1"/>
      <w:numFmt w:val="decimal"/>
      <w:lvlText w:val="%4."/>
      <w:lvlJc w:val="left"/>
      <w:pPr>
        <w:ind w:left="3280" w:hanging="360"/>
      </w:pPr>
    </w:lvl>
    <w:lvl w:ilvl="4" w:tentative="0">
      <w:start w:val="1"/>
      <w:numFmt w:val="lowerLetter"/>
      <w:lvlText w:val="%5."/>
      <w:lvlJc w:val="left"/>
      <w:pPr>
        <w:ind w:left="4000" w:hanging="360"/>
      </w:pPr>
    </w:lvl>
    <w:lvl w:ilvl="5" w:tentative="0">
      <w:start w:val="1"/>
      <w:numFmt w:val="lowerRoman"/>
      <w:lvlText w:val="%6."/>
      <w:lvlJc w:val="right"/>
      <w:pPr>
        <w:ind w:left="4720" w:hanging="180"/>
      </w:pPr>
    </w:lvl>
    <w:lvl w:ilvl="6" w:tentative="0">
      <w:start w:val="1"/>
      <w:numFmt w:val="decimal"/>
      <w:lvlText w:val="%7."/>
      <w:lvlJc w:val="left"/>
      <w:pPr>
        <w:ind w:left="5440" w:hanging="360"/>
      </w:pPr>
    </w:lvl>
    <w:lvl w:ilvl="7" w:tentative="0">
      <w:start w:val="1"/>
      <w:numFmt w:val="lowerLetter"/>
      <w:lvlText w:val="%8."/>
      <w:lvlJc w:val="left"/>
      <w:pPr>
        <w:ind w:left="6160" w:hanging="360"/>
      </w:pPr>
    </w:lvl>
    <w:lvl w:ilvl="8" w:tentative="0">
      <w:start w:val="1"/>
      <w:numFmt w:val="lowerRoman"/>
      <w:lvlText w:val="%9."/>
      <w:lvlJc w:val="right"/>
      <w:pPr>
        <w:ind w:left="6880" w:hanging="180"/>
      </w:pPr>
    </w:lvl>
  </w:abstractNum>
  <w:abstractNum w:abstractNumId="14">
    <w:nsid w:val="6D8600BF"/>
    <w:multiLevelType w:val="multilevel"/>
    <w:tmpl w:val="6D8600BF"/>
    <w:lvl w:ilvl="0" w:tentative="0">
      <w:start w:val="1"/>
      <w:numFmt w:val="decimal"/>
      <w:lvlText w:val="%1)"/>
      <w:lvlJc w:val="left"/>
      <w:pPr>
        <w:tabs>
          <w:tab w:val="left" w:pos="420"/>
        </w:tabs>
        <w:ind w:left="420" w:hanging="420"/>
      </w:pPr>
    </w:lvl>
    <w:lvl w:ilvl="1" w:tentative="0">
      <w:start w:val="1"/>
      <w:numFmt w:val="decimal"/>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5">
    <w:nsid w:val="6ED65B57"/>
    <w:multiLevelType w:val="multilevel"/>
    <w:tmpl w:val="6ED65B57"/>
    <w:lvl w:ilvl="0" w:tentative="0">
      <w:start w:val="1"/>
      <w:numFmt w:val="decimal"/>
      <w:lvlText w:val="%1)"/>
      <w:lvlJc w:val="left"/>
      <w:pPr>
        <w:tabs>
          <w:tab w:val="left" w:pos="420"/>
        </w:tabs>
        <w:ind w:left="420" w:hanging="420"/>
      </w:pPr>
      <w:rPr>
        <w:rFonts w:hint="eastAsia"/>
        <w:color w:val="auto"/>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6">
    <w:nsid w:val="7E3171BE"/>
    <w:multiLevelType w:val="multilevel"/>
    <w:tmpl w:val="7E3171BE"/>
    <w:lvl w:ilvl="0" w:tentative="0">
      <w:start w:val="1"/>
      <w:numFmt w:val="decimal"/>
      <w:lvlText w:val="%1)"/>
      <w:lvlJc w:val="left"/>
      <w:pPr>
        <w:tabs>
          <w:tab w:val="left" w:pos="420"/>
        </w:tabs>
        <w:ind w:left="420" w:hanging="420"/>
      </w:p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6"/>
  </w:num>
  <w:num w:numId="2">
    <w:abstractNumId w:val="9"/>
  </w:num>
  <w:num w:numId="3">
    <w:abstractNumId w:val="0"/>
  </w:num>
  <w:num w:numId="4">
    <w:abstractNumId w:val="16"/>
  </w:num>
  <w:num w:numId="5">
    <w:abstractNumId w:val="12"/>
  </w:num>
  <w:num w:numId="6">
    <w:abstractNumId w:val="1"/>
  </w:num>
  <w:num w:numId="7">
    <w:abstractNumId w:val="2"/>
  </w:num>
  <w:num w:numId="8">
    <w:abstractNumId w:val="13"/>
  </w:num>
  <w:num w:numId="9">
    <w:abstractNumId w:val="3"/>
  </w:num>
  <w:num w:numId="10">
    <w:abstractNumId w:val="5"/>
  </w:num>
  <w:num w:numId="11">
    <w:abstractNumId w:val="14"/>
  </w:num>
  <w:num w:numId="12">
    <w:abstractNumId w:val="11"/>
  </w:num>
  <w:num w:numId="13">
    <w:abstractNumId w:val="10"/>
  </w:num>
  <w:num w:numId="14">
    <w:abstractNumId w:val="4"/>
  </w:num>
  <w:num w:numId="15">
    <w:abstractNumId w:val="8"/>
  </w:num>
  <w:num w:numId="16">
    <w:abstractNumId w:val="15"/>
  </w:num>
  <w:num w:numId="17">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陈燕">
    <w15:presenceInfo w15:providerId="AD" w15:userId="S-1-5-21-414585793-2065722092-2382966481-164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7"/>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RiMGQ3YmM1MDk4YTQ1ZTY0NWNlMDRkZTJhZmY4ZDAifQ=="/>
  </w:docVars>
  <w:rsids>
    <w:rsidRoot w:val="003C4DD8"/>
    <w:rsid w:val="000A0C04"/>
    <w:rsid w:val="001904BD"/>
    <w:rsid w:val="00207887"/>
    <w:rsid w:val="002453F6"/>
    <w:rsid w:val="002962DE"/>
    <w:rsid w:val="002B1508"/>
    <w:rsid w:val="00346906"/>
    <w:rsid w:val="003A4350"/>
    <w:rsid w:val="003C4DD8"/>
    <w:rsid w:val="004228D1"/>
    <w:rsid w:val="00526718"/>
    <w:rsid w:val="00536FA3"/>
    <w:rsid w:val="00580050"/>
    <w:rsid w:val="007615F3"/>
    <w:rsid w:val="007C37C5"/>
    <w:rsid w:val="007E067E"/>
    <w:rsid w:val="008B6E24"/>
    <w:rsid w:val="008F0448"/>
    <w:rsid w:val="0090137C"/>
    <w:rsid w:val="009731C3"/>
    <w:rsid w:val="00A232F5"/>
    <w:rsid w:val="00B67640"/>
    <w:rsid w:val="00B81ECE"/>
    <w:rsid w:val="00B9103D"/>
    <w:rsid w:val="00C43242"/>
    <w:rsid w:val="00CB4810"/>
    <w:rsid w:val="00D065CC"/>
    <w:rsid w:val="00D1745E"/>
    <w:rsid w:val="00D63A53"/>
    <w:rsid w:val="00D65564"/>
    <w:rsid w:val="00D678E5"/>
    <w:rsid w:val="00DC1EAB"/>
    <w:rsid w:val="00E160B5"/>
    <w:rsid w:val="00E17F1B"/>
    <w:rsid w:val="00E220F6"/>
    <w:rsid w:val="00E960E9"/>
    <w:rsid w:val="00F86E1A"/>
    <w:rsid w:val="00F97597"/>
    <w:rsid w:val="00FF1BF7"/>
    <w:rsid w:val="00FF244A"/>
    <w:rsid w:val="00FF7926"/>
    <w:rsid w:val="156E30E2"/>
    <w:rsid w:val="1F2B6CDE"/>
    <w:rsid w:val="47172652"/>
    <w:rsid w:val="4A510301"/>
    <w:rsid w:val="582668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1"/>
    <w:link w:val="48"/>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3">
    <w:name w:val="heading 2"/>
    <w:basedOn w:val="1"/>
    <w:next w:val="4"/>
    <w:link w:val="49"/>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4"/>
    <w:link w:val="50"/>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4"/>
    <w:link w:val="51"/>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4"/>
    <w:link w:val="52"/>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3"/>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uiPriority w:val="99"/>
    <w:tblPr>
      <w:tblCellMar>
        <w:top w:w="0" w:type="dxa"/>
        <w:left w:w="108" w:type="dxa"/>
        <w:bottom w:w="0" w:type="dxa"/>
        <w:right w:w="108" w:type="dxa"/>
      </w:tblCellMar>
    </w:tblPr>
  </w:style>
  <w:style w:type="paragraph" w:styleId="4">
    <w:name w:val="Body Text"/>
    <w:basedOn w:val="1"/>
    <w:link w:val="54"/>
    <w:qFormat/>
    <w:uiPriority w:val="0"/>
    <w:pPr>
      <w:spacing w:line="532" w:lineRule="auto"/>
      <w:ind w:left="840" w:right="-120"/>
      <w:jc w:val="left"/>
      <w:textAlignment w:val="auto"/>
    </w:pPr>
    <w:rPr>
      <w:kern w:val="0"/>
      <w:sz w:val="20"/>
      <w:szCs w:val="20"/>
      <w:lang w:eastAsia="en-US"/>
    </w:rPr>
  </w:style>
  <w:style w:type="paragraph" w:styleId="9">
    <w:name w:val="Normal Indent"/>
    <w:basedOn w:val="1"/>
    <w:uiPriority w:val="0"/>
    <w:pPr>
      <w:ind w:left="1440" w:right="-240"/>
      <w:jc w:val="left"/>
      <w:textAlignment w:val="auto"/>
    </w:pPr>
    <w:rPr>
      <w:kern w:val="0"/>
      <w:sz w:val="20"/>
      <w:szCs w:val="20"/>
      <w:lang w:eastAsia="en-US"/>
    </w:rPr>
  </w:style>
  <w:style w:type="paragraph" w:styleId="10">
    <w:name w:val="Document Map"/>
    <w:basedOn w:val="1"/>
    <w:link w:val="96"/>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2"/>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1"/>
    <w:qFormat/>
    <w:uiPriority w:val="0"/>
    <w:pPr>
      <w:spacing w:after="120"/>
      <w:ind w:left="420" w:leftChars="200"/>
      <w:jc w:val="left"/>
      <w:textAlignment w:val="auto"/>
    </w:pPr>
    <w:rPr>
      <w:kern w:val="0"/>
      <w:sz w:val="20"/>
      <w:szCs w:val="20"/>
      <w:lang w:eastAsia="en-US"/>
    </w:rPr>
  </w:style>
  <w:style w:type="paragraph" w:styleId="14">
    <w:name w:val="Plain Text"/>
    <w:basedOn w:val="1"/>
    <w:link w:val="79"/>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80"/>
    <w:qFormat/>
    <w:uiPriority w:val="0"/>
    <w:pPr>
      <w:widowControl w:val="0"/>
      <w:spacing w:after="120" w:line="480" w:lineRule="auto"/>
      <w:ind w:left="420" w:leftChars="200"/>
      <w:textAlignment w:val="auto"/>
    </w:pPr>
  </w:style>
  <w:style w:type="paragraph" w:styleId="17">
    <w:name w:val="Balloon Text"/>
    <w:basedOn w:val="1"/>
    <w:link w:val="70"/>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1"/>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1"/>
    <w:qFormat/>
    <w:uiPriority w:val="0"/>
    <w:pPr>
      <w:widowControl w:val="0"/>
      <w:spacing w:after="120"/>
      <w:ind w:left="420" w:leftChars="200"/>
      <w:textAlignment w:val="auto"/>
    </w:pPr>
    <w:rPr>
      <w:sz w:val="16"/>
      <w:szCs w:val="16"/>
    </w:rPr>
  </w:style>
  <w:style w:type="paragraph" w:styleId="22">
    <w:name w:val="Body Text 2"/>
    <w:basedOn w:val="1"/>
    <w:link w:val="86"/>
    <w:qFormat/>
    <w:uiPriority w:val="0"/>
    <w:pPr>
      <w:widowControl w:val="0"/>
      <w:adjustRightInd w:val="0"/>
      <w:spacing w:after="120" w:line="480" w:lineRule="auto"/>
    </w:pPr>
    <w:rPr>
      <w:kern w:val="0"/>
      <w:szCs w:val="20"/>
    </w:rPr>
  </w:style>
  <w:style w:type="paragraph" w:styleId="23">
    <w:name w:val="Message Header"/>
    <w:basedOn w:val="4"/>
    <w:link w:val="55"/>
    <w:qFormat/>
    <w:uiPriority w:val="0"/>
    <w:pPr>
      <w:keepLines/>
      <w:tabs>
        <w:tab w:val="left" w:pos="1560"/>
        <w:tab w:val="left" w:pos="4920"/>
        <w:tab w:val="left" w:pos="5640"/>
      </w:tabs>
      <w:ind w:left="1560" w:hanging="720"/>
    </w:pPr>
  </w:style>
  <w:style w:type="paragraph" w:styleId="24">
    <w:name w:val="HTML Preformatted"/>
    <w:basedOn w:val="1"/>
    <w:link w:val="78"/>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9"/>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character" w:styleId="34">
    <w:name w:val="annotation reference"/>
    <w:basedOn w:val="29"/>
    <w:qFormat/>
    <w:uiPriority w:val="99"/>
    <w:rPr>
      <w:rFonts w:cs="Times New Roman"/>
      <w:sz w:val="21"/>
      <w:szCs w:val="21"/>
    </w:rPr>
  </w:style>
  <w:style w:type="paragraph" w:customStyle="1" w:styleId="35">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6">
    <w:name w:val="Heading3"/>
    <w:basedOn w:val="1"/>
    <w:next w:val="1"/>
    <w:qFormat/>
    <w:uiPriority w:val="0"/>
    <w:pPr>
      <w:ind w:left="620" w:hanging="421"/>
    </w:pPr>
    <w:rPr>
      <w:rFonts w:ascii="宋体" w:hAnsi="宋体" w:cs="宋体"/>
      <w:szCs w:val="21"/>
      <w:lang w:val="zh-CN" w:bidi="zh-CN"/>
    </w:rPr>
  </w:style>
  <w:style w:type="character" w:customStyle="1" w:styleId="37">
    <w:name w:val="NormalCharacter"/>
    <w:semiHidden/>
    <w:qFormat/>
    <w:uiPriority w:val="0"/>
  </w:style>
  <w:style w:type="table" w:customStyle="1" w:styleId="38">
    <w:name w:val="TableNormal"/>
    <w:semiHidden/>
    <w:qFormat/>
    <w:uiPriority w:val="0"/>
    <w:tblPr>
      <w:tblCellMar>
        <w:top w:w="0" w:type="dxa"/>
        <w:left w:w="0" w:type="dxa"/>
        <w:bottom w:w="0" w:type="dxa"/>
        <w:right w:w="0" w:type="dxa"/>
      </w:tblCellMar>
    </w:tblPr>
  </w:style>
  <w:style w:type="paragraph" w:customStyle="1" w:styleId="39">
    <w:name w:val="ListBullet3"/>
    <w:basedOn w:val="1"/>
    <w:qFormat/>
    <w:uiPriority w:val="0"/>
    <w:pPr>
      <w:tabs>
        <w:tab w:val="left" w:pos="1200"/>
      </w:tabs>
      <w:ind w:left="1200" w:hanging="360"/>
    </w:pPr>
  </w:style>
  <w:style w:type="paragraph" w:customStyle="1" w:styleId="40">
    <w:name w:val="BodyText"/>
    <w:basedOn w:val="1"/>
    <w:uiPriority w:val="0"/>
    <w:rPr>
      <w:rFonts w:eastAsia="仿宋_GB2312"/>
      <w:color w:val="FF3300"/>
      <w:sz w:val="40"/>
      <w:szCs w:val="40"/>
      <w:lang w:val="zh-CN"/>
    </w:rPr>
  </w:style>
  <w:style w:type="table" w:customStyle="1" w:styleId="41">
    <w:name w:val="TableGrid"/>
    <w:basedOn w:val="38"/>
    <w:qFormat/>
    <w:uiPriority w:val="0"/>
  </w:style>
  <w:style w:type="paragraph" w:customStyle="1" w:styleId="42">
    <w:name w:val="179"/>
    <w:basedOn w:val="1"/>
    <w:qFormat/>
    <w:uiPriority w:val="0"/>
    <w:pPr>
      <w:ind w:firstLine="420" w:firstLineChars="200"/>
    </w:pPr>
  </w:style>
  <w:style w:type="character" w:customStyle="1" w:styleId="43">
    <w:name w:val="UserStyle_0"/>
    <w:link w:val="44"/>
    <w:qFormat/>
    <w:uiPriority w:val="0"/>
    <w:rPr>
      <w:rFonts w:ascii="宋体" w:hAnsi="宋体"/>
      <w:szCs w:val="24"/>
    </w:rPr>
  </w:style>
  <w:style w:type="paragraph" w:customStyle="1" w:styleId="44">
    <w:name w:val="UserStyle_1"/>
    <w:basedOn w:val="1"/>
    <w:link w:val="43"/>
    <w:qFormat/>
    <w:uiPriority w:val="0"/>
    <w:pPr>
      <w:ind w:left="400" w:leftChars="400" w:right="400" w:rightChars="400"/>
      <w:jc w:val="left"/>
    </w:pPr>
    <w:rPr>
      <w:rFonts w:ascii="宋体" w:hAnsi="宋体"/>
      <w:kern w:val="0"/>
      <w:sz w:val="20"/>
    </w:rPr>
  </w:style>
  <w:style w:type="paragraph" w:customStyle="1" w:styleId="45">
    <w:name w:val="UserStyle_2"/>
    <w:basedOn w:val="1"/>
    <w:qFormat/>
    <w:uiPriority w:val="0"/>
    <w:pPr>
      <w:ind w:left="720"/>
      <w:contextualSpacing/>
    </w:pPr>
  </w:style>
  <w:style w:type="paragraph" w:customStyle="1" w:styleId="46">
    <w:name w:val="UserStyle_3"/>
    <w:basedOn w:val="1"/>
    <w:qFormat/>
    <w:uiPriority w:val="0"/>
    <w:rPr>
      <w:rFonts w:ascii="宋体" w:hAnsi="宋体"/>
      <w:lang w:val="zh-CN" w:bidi="zh-CN"/>
    </w:rPr>
  </w:style>
  <w:style w:type="paragraph" w:styleId="47">
    <w:name w:val="List Paragraph"/>
    <w:basedOn w:val="1"/>
    <w:qFormat/>
    <w:uiPriority w:val="34"/>
    <w:pPr>
      <w:widowControl w:val="0"/>
      <w:ind w:left="720"/>
      <w:textAlignment w:val="auto"/>
    </w:pPr>
  </w:style>
  <w:style w:type="character" w:customStyle="1" w:styleId="48">
    <w:name w:val="标题 1 Char"/>
    <w:basedOn w:val="29"/>
    <w:link w:val="2"/>
    <w:qFormat/>
    <w:uiPriority w:val="0"/>
    <w:rPr>
      <w:rFonts w:ascii="Arial" w:hAnsi="Arial"/>
      <w:b/>
      <w:spacing w:val="-10"/>
      <w:kern w:val="28"/>
      <w:lang w:eastAsia="en-US"/>
    </w:rPr>
  </w:style>
  <w:style w:type="character" w:customStyle="1" w:styleId="49">
    <w:name w:val="标题 2 Char"/>
    <w:basedOn w:val="29"/>
    <w:link w:val="3"/>
    <w:qFormat/>
    <w:uiPriority w:val="0"/>
    <w:rPr>
      <w:rFonts w:ascii="Arial" w:hAnsi="Arial"/>
      <w:b/>
      <w:spacing w:val="-10"/>
      <w:kern w:val="28"/>
      <w:sz w:val="18"/>
      <w:lang w:eastAsia="en-US"/>
    </w:rPr>
  </w:style>
  <w:style w:type="character" w:customStyle="1" w:styleId="50">
    <w:name w:val="标题 3 Char"/>
    <w:basedOn w:val="29"/>
    <w:link w:val="5"/>
    <w:qFormat/>
    <w:uiPriority w:val="0"/>
    <w:rPr>
      <w:rFonts w:ascii="Arial" w:hAnsi="Arial"/>
      <w:spacing w:val="-5"/>
      <w:kern w:val="28"/>
      <w:sz w:val="18"/>
      <w:lang w:eastAsia="en-US"/>
    </w:rPr>
  </w:style>
  <w:style w:type="character" w:customStyle="1" w:styleId="51">
    <w:name w:val="标题 4 Char"/>
    <w:basedOn w:val="29"/>
    <w:link w:val="6"/>
    <w:qFormat/>
    <w:uiPriority w:val="0"/>
    <w:rPr>
      <w:i/>
      <w:spacing w:val="-2"/>
      <w:kern w:val="28"/>
      <w:lang w:eastAsia="en-US"/>
    </w:rPr>
  </w:style>
  <w:style w:type="character" w:customStyle="1" w:styleId="52">
    <w:name w:val="标题 5 Char"/>
    <w:basedOn w:val="29"/>
    <w:link w:val="7"/>
    <w:qFormat/>
    <w:uiPriority w:val="0"/>
    <w:rPr>
      <w:b/>
      <w:i/>
      <w:spacing w:val="-2"/>
      <w:kern w:val="28"/>
      <w:lang w:eastAsia="en-US"/>
    </w:rPr>
  </w:style>
  <w:style w:type="character" w:customStyle="1" w:styleId="53">
    <w:name w:val="标题 7 Char"/>
    <w:basedOn w:val="29"/>
    <w:link w:val="8"/>
    <w:qFormat/>
    <w:uiPriority w:val="0"/>
    <w:rPr>
      <w:b/>
      <w:bCs/>
      <w:sz w:val="24"/>
      <w:szCs w:val="24"/>
      <w:lang w:eastAsia="en-US"/>
    </w:rPr>
  </w:style>
  <w:style w:type="character" w:customStyle="1" w:styleId="54">
    <w:name w:val="正文文本 Char"/>
    <w:basedOn w:val="29"/>
    <w:link w:val="4"/>
    <w:qFormat/>
    <w:uiPriority w:val="0"/>
    <w:rPr>
      <w:lang w:eastAsia="en-US"/>
    </w:rPr>
  </w:style>
  <w:style w:type="character" w:customStyle="1" w:styleId="55">
    <w:name w:val="信息标题 Char"/>
    <w:basedOn w:val="29"/>
    <w:link w:val="23"/>
    <w:qFormat/>
    <w:uiPriority w:val="0"/>
    <w:rPr>
      <w:lang w:eastAsia="en-US"/>
    </w:rPr>
  </w:style>
  <w:style w:type="paragraph" w:customStyle="1" w:styleId="56">
    <w:name w:val="Checkboxes"/>
    <w:basedOn w:val="1"/>
    <w:qFormat/>
    <w:uiPriority w:val="0"/>
    <w:pPr>
      <w:spacing w:before="360" w:after="360"/>
      <w:jc w:val="left"/>
      <w:textAlignment w:val="auto"/>
    </w:pPr>
    <w:rPr>
      <w:kern w:val="0"/>
      <w:sz w:val="20"/>
      <w:szCs w:val="20"/>
      <w:lang w:eastAsia="en-US"/>
    </w:rPr>
  </w:style>
  <w:style w:type="paragraph" w:customStyle="1" w:styleId="57">
    <w:name w:val="Fax Header"/>
    <w:basedOn w:val="1"/>
    <w:uiPriority w:val="0"/>
    <w:pPr>
      <w:spacing w:before="240" w:after="60"/>
      <w:jc w:val="left"/>
      <w:textAlignment w:val="auto"/>
    </w:pPr>
    <w:rPr>
      <w:kern w:val="0"/>
      <w:sz w:val="20"/>
      <w:szCs w:val="20"/>
      <w:lang w:eastAsia="en-US"/>
    </w:rPr>
  </w:style>
  <w:style w:type="paragraph" w:customStyle="1" w:styleId="58">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9">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60">
    <w:name w:val="Logo"/>
    <w:basedOn w:val="1"/>
    <w:qFormat/>
    <w:uiPriority w:val="0"/>
    <w:pPr>
      <w:jc w:val="left"/>
      <w:textAlignment w:val="auto"/>
    </w:pPr>
    <w:rPr>
      <w:kern w:val="0"/>
      <w:sz w:val="20"/>
      <w:szCs w:val="20"/>
      <w:lang w:eastAsia="en-US"/>
    </w:rPr>
  </w:style>
  <w:style w:type="paragraph" w:customStyle="1" w:styleId="61">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2">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3">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4">
    <w:name w:val="Heading Base"/>
    <w:basedOn w:val="1"/>
    <w:next w:val="4"/>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5">
    <w:name w:val="Message Header First"/>
    <w:basedOn w:val="23"/>
    <w:next w:val="23"/>
    <w:qFormat/>
    <w:uiPriority w:val="0"/>
  </w:style>
  <w:style w:type="paragraph" w:customStyle="1" w:styleId="66">
    <w:name w:val="Message Header Last"/>
    <w:basedOn w:val="23"/>
    <w:next w:val="4"/>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7">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8">
    <w:name w:val="Message Header Label"/>
    <w:qFormat/>
    <w:uiPriority w:val="0"/>
    <w:rPr>
      <w:rFonts w:hint="default" w:ascii="Arial" w:hAnsi="Arial" w:cs="Arial"/>
      <w:b/>
      <w:spacing w:val="-4"/>
      <w:sz w:val="18"/>
    </w:rPr>
  </w:style>
  <w:style w:type="character" w:customStyle="1" w:styleId="69">
    <w:name w:val="Checkbox"/>
    <w:qFormat/>
    <w:uiPriority w:val="0"/>
    <w:rPr>
      <w:spacing w:val="0"/>
      <w:sz w:val="22"/>
    </w:rPr>
  </w:style>
  <w:style w:type="character" w:customStyle="1" w:styleId="70">
    <w:name w:val="批注框文本 Char"/>
    <w:basedOn w:val="29"/>
    <w:link w:val="17"/>
    <w:semiHidden/>
    <w:qFormat/>
    <w:uiPriority w:val="0"/>
    <w:rPr>
      <w:sz w:val="16"/>
      <w:szCs w:val="16"/>
      <w:lang w:eastAsia="en-US"/>
    </w:rPr>
  </w:style>
  <w:style w:type="character" w:customStyle="1" w:styleId="71">
    <w:name w:val="正文文本缩进 Char"/>
    <w:basedOn w:val="29"/>
    <w:link w:val="13"/>
    <w:qFormat/>
    <w:uiPriority w:val="0"/>
    <w:rPr>
      <w:lang w:eastAsia="en-US"/>
    </w:rPr>
  </w:style>
  <w:style w:type="character" w:customStyle="1" w:styleId="72">
    <w:name w:val="批注文字 Char"/>
    <w:basedOn w:val="29"/>
    <w:link w:val="12"/>
    <w:semiHidden/>
    <w:qFormat/>
    <w:uiPriority w:val="0"/>
    <w:rPr>
      <w:rFonts w:eastAsia="PMingLiU"/>
      <w:kern w:val="2"/>
      <w:sz w:val="24"/>
      <w:lang w:eastAsia="zh-TW"/>
    </w:rPr>
  </w:style>
  <w:style w:type="paragraph" w:customStyle="1" w:styleId="73">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4">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5">
    <w:name w:val="sbody1"/>
    <w:qFormat/>
    <w:uiPriority w:val="0"/>
    <w:rPr>
      <w:sz w:val="24"/>
      <w:szCs w:val="24"/>
    </w:rPr>
  </w:style>
  <w:style w:type="paragraph" w:customStyle="1" w:styleId="76">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7">
    <w:name w:val="Default Text"/>
    <w:basedOn w:val="1"/>
    <w:qFormat/>
    <w:uiPriority w:val="0"/>
    <w:pPr>
      <w:jc w:val="left"/>
      <w:textAlignment w:val="auto"/>
    </w:pPr>
    <w:rPr>
      <w:rFonts w:ascii="宋体"/>
      <w:b/>
      <w:snapToGrid w:val="0"/>
      <w:kern w:val="0"/>
      <w:sz w:val="24"/>
      <w:szCs w:val="20"/>
      <w:lang w:val="en-GB"/>
    </w:rPr>
  </w:style>
  <w:style w:type="character" w:customStyle="1" w:styleId="78">
    <w:name w:val="HTML 预设格式 Char"/>
    <w:basedOn w:val="29"/>
    <w:link w:val="24"/>
    <w:qFormat/>
    <w:uiPriority w:val="0"/>
    <w:rPr>
      <w:rFonts w:ascii="Arial Unicode MS" w:hAnsi="Arial Unicode MS" w:eastAsia="Arial Unicode MS" w:cs="Arial Unicode MS"/>
      <w:lang w:eastAsia="en-US"/>
    </w:rPr>
  </w:style>
  <w:style w:type="character" w:customStyle="1" w:styleId="79">
    <w:name w:val="纯文本 Char"/>
    <w:basedOn w:val="29"/>
    <w:link w:val="14"/>
    <w:qFormat/>
    <w:uiPriority w:val="0"/>
    <w:rPr>
      <w:rFonts w:ascii="宋体" w:hAnsi="Courier New" w:cs="Courier New"/>
      <w:kern w:val="2"/>
      <w:sz w:val="21"/>
      <w:szCs w:val="21"/>
    </w:rPr>
  </w:style>
  <w:style w:type="character" w:customStyle="1" w:styleId="80">
    <w:name w:val="正文文本缩进 2 Char"/>
    <w:basedOn w:val="29"/>
    <w:link w:val="16"/>
    <w:qFormat/>
    <w:uiPriority w:val="0"/>
    <w:rPr>
      <w:kern w:val="2"/>
      <w:sz w:val="21"/>
      <w:szCs w:val="24"/>
    </w:rPr>
  </w:style>
  <w:style w:type="character" w:customStyle="1" w:styleId="81">
    <w:name w:val="正文文本缩进 3 Char"/>
    <w:basedOn w:val="29"/>
    <w:link w:val="21"/>
    <w:qFormat/>
    <w:uiPriority w:val="0"/>
    <w:rPr>
      <w:kern w:val="2"/>
      <w:sz w:val="16"/>
      <w:szCs w:val="16"/>
    </w:rPr>
  </w:style>
  <w:style w:type="paragraph" w:customStyle="1" w:styleId="82">
    <w:name w:val="Particulars Slip"/>
    <w:basedOn w:val="1"/>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3">
    <w:name w:val="标题6"/>
    <w:qFormat/>
    <w:uiPriority w:val="0"/>
    <w:rPr>
      <w:rFonts w:eastAsia="黑体"/>
      <w:b/>
      <w:sz w:val="28"/>
    </w:rPr>
  </w:style>
  <w:style w:type="paragraph" w:customStyle="1" w:styleId="84">
    <w:name w:val="Plain Text1"/>
    <w:basedOn w:val="1"/>
    <w:qFormat/>
    <w:uiPriority w:val="0"/>
    <w:pPr>
      <w:widowControl w:val="0"/>
      <w:adjustRightInd w:val="0"/>
    </w:pPr>
    <w:rPr>
      <w:rFonts w:ascii="宋体" w:hAnsi="Courier New"/>
      <w:szCs w:val="20"/>
    </w:rPr>
  </w:style>
  <w:style w:type="paragraph" w:customStyle="1" w:styleId="85">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6">
    <w:name w:val="正文文本 2 Char"/>
    <w:basedOn w:val="29"/>
    <w:link w:val="22"/>
    <w:qFormat/>
    <w:uiPriority w:val="0"/>
    <w:rPr>
      <w:sz w:val="21"/>
    </w:rPr>
  </w:style>
  <w:style w:type="paragraph" w:customStyle="1" w:styleId="87">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8">
    <w:name w:val="条款标题1"/>
    <w:basedOn w:val="1"/>
    <w:qFormat/>
    <w:uiPriority w:val="0"/>
    <w:pPr>
      <w:widowControl w:val="0"/>
      <w:jc w:val="center"/>
      <w:textAlignment w:val="auto"/>
    </w:pPr>
    <w:rPr>
      <w:b/>
      <w:spacing w:val="10"/>
      <w:szCs w:val="20"/>
    </w:rPr>
  </w:style>
  <w:style w:type="paragraph" w:customStyle="1" w:styleId="89">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90">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1">
    <w:name w:val="apple-style-span"/>
    <w:basedOn w:val="29"/>
    <w:qFormat/>
    <w:uiPriority w:val="0"/>
  </w:style>
  <w:style w:type="character" w:customStyle="1" w:styleId="92">
    <w:name w:val="apple-converted-space"/>
    <w:basedOn w:val="29"/>
    <w:qFormat/>
    <w:uiPriority w:val="0"/>
  </w:style>
  <w:style w:type="paragraph" w:customStyle="1" w:styleId="93">
    <w:name w:val="Char Char Char"/>
    <w:basedOn w:val="1"/>
    <w:qFormat/>
    <w:uiPriority w:val="0"/>
    <w:pPr>
      <w:widowControl w:val="0"/>
      <w:textAlignment w:val="auto"/>
    </w:pPr>
    <w:rPr>
      <w:rFonts w:ascii="Tahoma" w:hAnsi="Tahoma" w:cs="Tahoma"/>
      <w:sz w:val="24"/>
    </w:rPr>
  </w:style>
  <w:style w:type="paragraph" w:customStyle="1" w:styleId="94">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5">
    <w:name w:val="Char"/>
    <w:basedOn w:val="10"/>
    <w:qFormat/>
    <w:uiPriority w:val="0"/>
    <w:pPr>
      <w:adjustRightInd w:val="0"/>
      <w:snapToGrid w:val="0"/>
      <w:spacing w:line="360" w:lineRule="auto"/>
    </w:pPr>
    <w:rPr>
      <w:rFonts w:ascii="Tahoma" w:hAnsi="Tahoma"/>
      <w:sz w:val="24"/>
    </w:rPr>
  </w:style>
  <w:style w:type="character" w:customStyle="1" w:styleId="96">
    <w:name w:val="文档结构图 Char"/>
    <w:basedOn w:val="29"/>
    <w:link w:val="10"/>
    <w:semiHidden/>
    <w:qFormat/>
    <w:uiPriority w:val="0"/>
    <w:rPr>
      <w:kern w:val="2"/>
      <w:sz w:val="21"/>
      <w:szCs w:val="24"/>
      <w:shd w:val="clear" w:color="auto" w:fill="000080"/>
    </w:rPr>
  </w:style>
  <w:style w:type="paragraph" w:customStyle="1" w:styleId="97">
    <w:name w:val="条款正文"/>
    <w:basedOn w:val="1"/>
    <w:qFormat/>
    <w:uiPriority w:val="0"/>
    <w:pPr>
      <w:widowControl w:val="0"/>
      <w:adjustRightInd w:val="0"/>
      <w:snapToGrid w:val="0"/>
      <w:ind w:left="840" w:leftChars="400" w:firstLine="420" w:firstLineChars="200"/>
      <w:textAlignment w:val="auto"/>
    </w:pPr>
  </w:style>
  <w:style w:type="paragraph" w:customStyle="1" w:styleId="98">
    <w:name w:val="条款标题"/>
    <w:basedOn w:val="97"/>
    <w:qFormat/>
    <w:uiPriority w:val="0"/>
    <w:pPr>
      <w:tabs>
        <w:tab w:val="left" w:pos="840"/>
      </w:tabs>
      <w:ind w:left="0" w:leftChars="0" w:firstLine="0" w:firstLineChars="0"/>
    </w:pPr>
    <w:rPr>
      <w:b/>
    </w:rPr>
  </w:style>
  <w:style w:type="character" w:customStyle="1" w:styleId="99">
    <w:name w:val="标题 Char"/>
    <w:basedOn w:val="29"/>
    <w:link w:val="26"/>
    <w:qFormat/>
    <w:uiPriority w:val="0"/>
    <w:rPr>
      <w:rFonts w:ascii="Cambria" w:hAnsi="Cambria"/>
      <w:b/>
      <w:bCs/>
      <w:kern w:val="2"/>
      <w:sz w:val="32"/>
      <w:szCs w:val="32"/>
    </w:rPr>
  </w:style>
  <w:style w:type="character" w:customStyle="1" w:styleId="100">
    <w:name w:val="tf"/>
    <w:basedOn w:val="29"/>
    <w:qFormat/>
    <w:uiPriority w:val="0"/>
  </w:style>
  <w:style w:type="character" w:customStyle="1" w:styleId="101">
    <w:name w:val="页眉 Char"/>
    <w:basedOn w:val="29"/>
    <w:link w:val="19"/>
    <w:qFormat/>
    <w:uiPriority w:val="99"/>
    <w:rPr>
      <w:kern w:val="2"/>
      <w:sz w:val="18"/>
      <w:szCs w:val="18"/>
    </w:rPr>
  </w:style>
  <w:style w:type="paragraph" w:customStyle="1" w:styleId="102">
    <w:name w:val="Char Char Char Char"/>
    <w:basedOn w:val="10"/>
    <w:qFormat/>
    <w:uiPriority w:val="0"/>
    <w:pPr>
      <w:adjustRightInd w:val="0"/>
      <w:snapToGrid w:val="0"/>
      <w:spacing w:line="360" w:lineRule="auto"/>
    </w:pPr>
    <w:rPr>
      <w:rFonts w:ascii="Tahoma" w:hAnsi="Tahoma" w:cs="Tahoma"/>
      <w:sz w:val="24"/>
    </w:rPr>
  </w:style>
  <w:style w:type="paragraph" w:styleId="103">
    <w:name w:val="No Spacing"/>
    <w:link w:val="104"/>
    <w:qFormat/>
    <w:uiPriority w:val="1"/>
    <w:rPr>
      <w:rFonts w:asciiTheme="minorHAnsi" w:hAnsiTheme="minorHAnsi" w:eastAsiaTheme="minorEastAsia" w:cstheme="minorBidi"/>
      <w:sz w:val="22"/>
      <w:szCs w:val="22"/>
      <w:lang w:val="en-US" w:eastAsia="ja-JP" w:bidi="ar-SA"/>
    </w:rPr>
  </w:style>
  <w:style w:type="character" w:customStyle="1" w:styleId="104">
    <w:name w:val="无间隔 Char"/>
    <w:basedOn w:val="29"/>
    <w:link w:val="103"/>
    <w:qFormat/>
    <w:uiPriority w:val="1"/>
    <w:rPr>
      <w:rFonts w:asciiTheme="minorHAnsi" w:hAnsiTheme="minorHAnsi" w:eastAsiaTheme="minorEastAsia" w:cstheme="minorBidi"/>
      <w:sz w:val="22"/>
      <w:szCs w:val="22"/>
      <w:lang w:eastAsia="ja-JP"/>
    </w:rPr>
  </w:style>
  <w:style w:type="paragraph" w:customStyle="1" w:styleId="105">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microsoft.com/office/2011/relationships/commentsExtended" Target="commentsExtended.xml"/><Relationship Id="rId3" Type="http://schemas.openxmlformats.org/officeDocument/2006/relationships/comments" Target="comments.xml"/><Relationship Id="rId2" Type="http://schemas.openxmlformats.org/officeDocument/2006/relationships/settings" Target="settings.xml"/><Relationship Id="rId12" Type="http://schemas.microsoft.com/office/2011/relationships/people" Target="people.xml"/><Relationship Id="rId11" Type="http://schemas.openxmlformats.org/officeDocument/2006/relationships/fontTable" Target="fontTable.xml"/><Relationship Id="rId10" Type="http://schemas.openxmlformats.org/officeDocument/2006/relationships/numbering" Target="numbering.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8</Pages>
  <Words>1258</Words>
  <Characters>1572</Characters>
  <Lines>424</Lines>
  <Paragraphs>119</Paragraphs>
  <TotalTime>0</TotalTime>
  <ScaleCrop>false</ScaleCrop>
  <LinksUpToDate>false</LinksUpToDate>
  <CharactersWithSpaces>2468</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2022-07-05T08:09:00Z</dcterms:created>
  <dc:creator>jamesqi</dc:creator>
  <cp:lastModifiedBy>嘟嘟，肥嘟嘟。</cp:lastModifiedBy>
  <dcterms:modified xsi:type="dcterms:W3CDTF">2023-06-28T08:47:50Z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D1DE63B5FCB2447A9282EC0AC9B8108D_13</vt:lpwstr>
  </property>
  <property fmtid="{D5CDD505-2E9C-101B-9397-08002B2CF9AE}" pid="4" name="KSOSaveFontToCloudKey">
    <vt:lpwstr>440324230_embed</vt:lpwstr>
  </property>
</Properties>
</file>