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30" w:rsidRDefault="005A594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中粮屯河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北海糖业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4680"/>
      </w:tblGrid>
      <w:tr w:rsidR="00275F30">
        <w:trPr>
          <w:trHeight w:val="389"/>
        </w:trPr>
        <w:tc>
          <w:tcPr>
            <w:tcW w:w="5063" w:type="dxa"/>
            <w:vAlign w:val="center"/>
          </w:tcPr>
          <w:p w:rsidR="00275F30" w:rsidRDefault="005A5941">
            <w:pPr>
              <w:ind w:rightChars="-179" w:right="-376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eastAsia="黑体" w:hint="eastAsia"/>
                <w:sz w:val="24"/>
              </w:rPr>
              <w:t>致</w:t>
            </w:r>
            <w:r>
              <w:rPr>
                <w:rFonts w:eastAsia="黑体" w:hint="eastAsia"/>
                <w:sz w:val="24"/>
              </w:rPr>
              <w:t>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黄磊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</w:tr>
      <w:tr w:rsidR="00275F30">
        <w:trPr>
          <w:trHeight w:val="409"/>
        </w:trPr>
        <w:tc>
          <w:tcPr>
            <w:tcW w:w="5063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eastAsia="黑体" w:hint="eastAsia"/>
                <w:sz w:val="24"/>
              </w:rPr>
              <w:t xml:space="preserve"> 18877918255</w:t>
            </w:r>
          </w:p>
        </w:tc>
      </w:tr>
      <w:tr w:rsidR="00275F30">
        <w:trPr>
          <w:trHeight w:val="389"/>
        </w:trPr>
        <w:tc>
          <w:tcPr>
            <w:tcW w:w="5063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eastAsia="黑体" w:hint="eastAsia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eastAsia="黑体" w:hint="eastAsia"/>
                <w:sz w:val="24"/>
              </w:rPr>
              <w:t xml:space="preserve"> 0779-8602582</w:t>
            </w:r>
          </w:p>
        </w:tc>
      </w:tr>
      <w:tr w:rsidR="00275F30">
        <w:trPr>
          <w:trHeight w:val="389"/>
        </w:trPr>
        <w:tc>
          <w:tcPr>
            <w:tcW w:w="5063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询价函</w:t>
            </w:r>
          </w:p>
        </w:tc>
        <w:tc>
          <w:tcPr>
            <w:tcW w:w="4680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eastAsia="黑体" w:hint="eastAsia"/>
                <w:sz w:val="24"/>
              </w:rPr>
              <w:t xml:space="preserve"> 2</w:t>
            </w:r>
          </w:p>
        </w:tc>
      </w:tr>
      <w:tr w:rsidR="00275F30">
        <w:trPr>
          <w:trHeight w:val="409"/>
        </w:trPr>
        <w:tc>
          <w:tcPr>
            <w:tcW w:w="5063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eastAsia="黑体" w:hint="eastAsia"/>
                <w:sz w:val="24"/>
              </w:rPr>
              <w:t xml:space="preserve"> 202</w:t>
            </w:r>
            <w:r>
              <w:rPr>
                <w:rFonts w:eastAsia="黑体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年</w:t>
            </w:r>
            <w:r w:rsidR="000D54D5">
              <w:rPr>
                <w:rFonts w:eastAsia="黑体"/>
                <w:sz w:val="24"/>
              </w:rPr>
              <w:t>6</w:t>
            </w:r>
            <w:r>
              <w:rPr>
                <w:rFonts w:eastAsia="黑体" w:hint="eastAsia"/>
                <w:sz w:val="24"/>
              </w:rPr>
              <w:t>月</w:t>
            </w:r>
            <w:r w:rsidR="000D54D5">
              <w:rPr>
                <w:rFonts w:eastAsia="黑体"/>
                <w:sz w:val="24"/>
              </w:rPr>
              <w:t>26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275F30">
        <w:trPr>
          <w:trHeight w:val="409"/>
        </w:trPr>
        <w:tc>
          <w:tcPr>
            <w:tcW w:w="5063" w:type="dxa"/>
            <w:vAlign w:val="center"/>
          </w:tcPr>
          <w:p w:rsidR="00275F30" w:rsidRDefault="005A5941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 w:rsidR="00275F30" w:rsidRDefault="00275F30">
            <w:pPr>
              <w:rPr>
                <w:rFonts w:eastAsia="黑体"/>
                <w:sz w:val="24"/>
              </w:rPr>
            </w:pPr>
          </w:p>
        </w:tc>
      </w:tr>
    </w:tbl>
    <w:p w:rsidR="00275F30" w:rsidRDefault="005A5941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询</w:t>
      </w:r>
      <w:r>
        <w:rPr>
          <w:rFonts w:ascii="黑体" w:eastAsia="黑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价</w:t>
      </w:r>
      <w:r>
        <w:rPr>
          <w:rFonts w:ascii="黑体" w:eastAsia="黑体" w:hint="eastAsia"/>
          <w:sz w:val="44"/>
          <w:szCs w:val="44"/>
        </w:rPr>
        <w:t xml:space="preserve">  </w:t>
      </w:r>
      <w:r>
        <w:rPr>
          <w:rFonts w:ascii="黑体" w:eastAsia="黑体" w:hint="eastAsia"/>
          <w:sz w:val="44"/>
          <w:szCs w:val="44"/>
        </w:rPr>
        <w:t>函</w:t>
      </w:r>
    </w:p>
    <w:p w:rsidR="00275F30" w:rsidRDefault="005A5941">
      <w:pPr>
        <w:pStyle w:val="a3"/>
        <w:ind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各供应商：</w:t>
      </w:r>
    </w:p>
    <w:p w:rsidR="00275F30" w:rsidRDefault="005A5941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我公司有如下表物资，请各供应商根据项目要求进行报价。</w:t>
      </w:r>
    </w:p>
    <w:p w:rsidR="00275F30" w:rsidRDefault="005A5941">
      <w:pPr>
        <w:spacing w:line="400" w:lineRule="exact"/>
        <w:ind w:firstLine="600"/>
        <w:rPr>
          <w:sz w:val="28"/>
          <w:szCs w:val="2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一、项目</w:t>
      </w:r>
    </w:p>
    <w:p w:rsidR="00275F30" w:rsidRDefault="00275F30">
      <w:pPr>
        <w:pStyle w:val="a3"/>
        <w:spacing w:line="100" w:lineRule="exact"/>
        <w:ind w:firstLine="600"/>
        <w:rPr>
          <w:sz w:val="30"/>
        </w:rPr>
      </w:pPr>
    </w:p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912"/>
        <w:gridCol w:w="780"/>
        <w:gridCol w:w="765"/>
        <w:gridCol w:w="1080"/>
        <w:gridCol w:w="870"/>
        <w:gridCol w:w="1170"/>
        <w:gridCol w:w="2326"/>
      </w:tblGrid>
      <w:tr w:rsidR="00275F30">
        <w:trPr>
          <w:cantSplit/>
          <w:trHeight w:val="673"/>
          <w:jc w:val="center"/>
        </w:trPr>
        <w:tc>
          <w:tcPr>
            <w:tcW w:w="705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序号</w:t>
            </w:r>
          </w:p>
        </w:tc>
        <w:tc>
          <w:tcPr>
            <w:tcW w:w="2912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物资名称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规格型号</w:t>
            </w:r>
          </w:p>
        </w:tc>
        <w:tc>
          <w:tcPr>
            <w:tcW w:w="780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数量</w:t>
            </w:r>
          </w:p>
        </w:tc>
        <w:tc>
          <w:tcPr>
            <w:tcW w:w="765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</w:t>
            </w:r>
          </w:p>
        </w:tc>
        <w:tc>
          <w:tcPr>
            <w:tcW w:w="1080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增值税专用发票税率</w:t>
            </w:r>
          </w:p>
        </w:tc>
        <w:tc>
          <w:tcPr>
            <w:tcW w:w="870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含税单价</w:t>
            </w:r>
          </w:p>
        </w:tc>
        <w:tc>
          <w:tcPr>
            <w:tcW w:w="1170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含税金额（元）</w:t>
            </w:r>
          </w:p>
        </w:tc>
        <w:tc>
          <w:tcPr>
            <w:tcW w:w="2326" w:type="dxa"/>
            <w:vAlign w:val="center"/>
          </w:tcPr>
          <w:p w:rsidR="00275F30" w:rsidRDefault="005A5941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备注</w:t>
            </w: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高压旋转水炮水枪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广角款水炮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套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雾化喷淋头</w:t>
            </w:r>
            <w:r>
              <w:rPr>
                <w:rFonts w:ascii="Arial" w:hAnsi="Arial" w:cs="Arial"/>
                <w:sz w:val="20"/>
                <w:szCs w:val="20"/>
              </w:rPr>
              <w:t>DN20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给水管</w:t>
            </w:r>
            <w:r>
              <w:rPr>
                <w:rFonts w:ascii="Arial" w:hAnsi="Arial" w:cs="Arial"/>
                <w:sz w:val="20"/>
                <w:szCs w:val="20"/>
              </w:rPr>
              <w:t>32*3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弯头</w:t>
            </w:r>
            <w:r>
              <w:rPr>
                <w:rFonts w:ascii="Arial" w:hAnsi="Arial" w:cs="Arial"/>
                <w:sz w:val="20"/>
                <w:szCs w:val="20"/>
              </w:rPr>
              <w:t>DN32 (90</w:t>
            </w:r>
            <w:r>
              <w:rPr>
                <w:rFonts w:ascii="Arial" w:hAnsi="Arial" w:cs="Arial"/>
                <w:sz w:val="20"/>
                <w:szCs w:val="20"/>
              </w:rPr>
              <w:t>度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弯头</w:t>
            </w:r>
            <w:r>
              <w:rPr>
                <w:rFonts w:ascii="Arial" w:hAnsi="Arial" w:cs="Arial"/>
                <w:sz w:val="20"/>
                <w:szCs w:val="20"/>
              </w:rPr>
              <w:t>DN32 (45</w:t>
            </w:r>
            <w:r>
              <w:rPr>
                <w:rFonts w:ascii="Arial" w:hAnsi="Arial" w:cs="Arial"/>
                <w:sz w:val="20"/>
                <w:szCs w:val="20"/>
              </w:rPr>
              <w:t>度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三通</w:t>
            </w:r>
            <w:r>
              <w:rPr>
                <w:rFonts w:ascii="Arial" w:hAnsi="Arial" w:cs="Arial"/>
                <w:sz w:val="20"/>
                <w:szCs w:val="20"/>
              </w:rPr>
              <w:t>DN32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内丝三通</w:t>
            </w:r>
            <w:r>
              <w:rPr>
                <w:rFonts w:ascii="Arial" w:hAnsi="Arial" w:cs="Arial"/>
                <w:sz w:val="20"/>
                <w:szCs w:val="20"/>
              </w:rPr>
              <w:t>DN32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管封头</w:t>
            </w:r>
            <w:r>
              <w:rPr>
                <w:rFonts w:ascii="Arial" w:hAnsi="Arial" w:cs="Arial"/>
                <w:sz w:val="20"/>
                <w:szCs w:val="20"/>
              </w:rPr>
              <w:t>DN32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  <w:r>
              <w:rPr>
                <w:rFonts w:ascii="Arial" w:hAnsi="Arial" w:cs="Arial"/>
                <w:sz w:val="20"/>
                <w:szCs w:val="20"/>
              </w:rPr>
              <w:t>球阀</w:t>
            </w:r>
            <w:r>
              <w:rPr>
                <w:rFonts w:ascii="Arial" w:hAnsi="Arial" w:cs="Arial"/>
                <w:sz w:val="20"/>
                <w:szCs w:val="20"/>
              </w:rPr>
              <w:t>DN32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DE2" w:rsidTr="00E577AF">
        <w:trPr>
          <w:cantSplit/>
          <w:trHeight w:val="422"/>
          <w:jc w:val="center"/>
        </w:trPr>
        <w:tc>
          <w:tcPr>
            <w:tcW w:w="705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12" w:type="dxa"/>
            <w:vAlign w:val="center"/>
          </w:tcPr>
          <w:p w:rsidR="00744DE2" w:rsidRDefault="00744DE2" w:rsidP="007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尼龙防尘网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长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宽</w:t>
            </w:r>
            <w:r>
              <w:rPr>
                <w:rFonts w:ascii="Arial" w:hAnsi="Arial" w:cs="Arial"/>
                <w:sz w:val="20"/>
                <w:szCs w:val="20"/>
              </w:rPr>
              <w:t>-8m*9m)</w:t>
            </w:r>
          </w:p>
        </w:tc>
        <w:tc>
          <w:tcPr>
            <w:tcW w:w="780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744DE2" w:rsidRDefault="00744DE2" w:rsidP="0074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</w:t>
            </w:r>
          </w:p>
        </w:tc>
        <w:tc>
          <w:tcPr>
            <w:tcW w:w="108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44DE2" w:rsidRDefault="00744DE2" w:rsidP="00744DE2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744DE2" w:rsidRPr="00744DE2" w:rsidRDefault="00744DE2" w:rsidP="00744DE2">
            <w:pPr>
              <w:widowControl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针</w:t>
            </w:r>
            <w:bookmarkStart w:id="0" w:name="_GoBack"/>
            <w:bookmarkEnd w:id="0"/>
          </w:p>
        </w:tc>
      </w:tr>
      <w:tr w:rsidR="00275F30">
        <w:trPr>
          <w:cantSplit/>
          <w:trHeight w:val="317"/>
          <w:jc w:val="center"/>
        </w:trPr>
        <w:tc>
          <w:tcPr>
            <w:tcW w:w="705" w:type="dxa"/>
            <w:vAlign w:val="center"/>
          </w:tcPr>
          <w:p w:rsidR="00275F30" w:rsidRDefault="005A5941">
            <w:pPr>
              <w:pStyle w:val="2"/>
              <w:spacing w:line="5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912" w:type="dxa"/>
            <w:vAlign w:val="center"/>
          </w:tcPr>
          <w:p w:rsidR="00275F30" w:rsidRDefault="00275F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275F30" w:rsidRDefault="00275F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275F30" w:rsidRDefault="00275F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75F30" w:rsidRDefault="00275F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vAlign w:val="center"/>
          </w:tcPr>
          <w:p w:rsidR="00275F30" w:rsidRDefault="00275F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75F30" w:rsidRDefault="00275F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326" w:type="dxa"/>
            <w:vAlign w:val="center"/>
          </w:tcPr>
          <w:p w:rsidR="00275F30" w:rsidRDefault="00275F30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275F30">
        <w:trPr>
          <w:cantSplit/>
          <w:trHeight w:val="434"/>
          <w:jc w:val="center"/>
        </w:trPr>
        <w:tc>
          <w:tcPr>
            <w:tcW w:w="10608" w:type="dxa"/>
            <w:gridSpan w:val="8"/>
            <w:vAlign w:val="center"/>
          </w:tcPr>
          <w:p w:rsidR="00275F30" w:rsidRDefault="005A5941"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  <w:r>
              <w:rPr>
                <w:rFonts w:eastAsia="仿宋_GB2312" w:hint="eastAsia"/>
                <w:b/>
                <w:bCs/>
                <w:sz w:val="24"/>
              </w:rPr>
              <w:t>人民币金额（大写）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4"/>
              </w:rPr>
              <w:t>元整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                 </w:t>
            </w:r>
            <w:r>
              <w:rPr>
                <w:rFonts w:ascii="Arial" w:eastAsia="仿宋_GB2312" w:hAnsi="Arial" w:cs="Arial"/>
                <w:b/>
                <w:bCs/>
                <w:sz w:val="24"/>
              </w:rPr>
              <w:t>¥</w:t>
            </w:r>
            <w:r>
              <w:rPr>
                <w:rFonts w:ascii="Arial" w:eastAsia="仿宋_GB2312" w:hAnsi="Arial" w:cs="Arial" w:hint="eastAsia"/>
                <w:b/>
                <w:bCs/>
                <w:sz w:val="24"/>
              </w:rPr>
              <w:t xml:space="preserve"> 00.00</w:t>
            </w:r>
          </w:p>
        </w:tc>
      </w:tr>
    </w:tbl>
    <w:p w:rsidR="00275F30" w:rsidRDefault="005A5941">
      <w:pPr>
        <w:spacing w:line="56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:rsidR="00275F30" w:rsidRDefault="005A5941">
      <w:pPr>
        <w:pStyle w:val="a3"/>
        <w:ind w:firstLine="560"/>
        <w:rPr>
          <w:sz w:val="28"/>
          <w:szCs w:val="22"/>
        </w:rPr>
      </w:pPr>
      <w:r>
        <w:rPr>
          <w:rFonts w:hint="eastAsia"/>
          <w:sz w:val="28"/>
          <w:szCs w:val="22"/>
        </w:rPr>
        <w:t>符合国标，行标</w:t>
      </w:r>
    </w:p>
    <w:p w:rsidR="00275F30" w:rsidRDefault="005A5941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交货期限：</w:t>
      </w:r>
    </w:p>
    <w:p w:rsidR="00275F30" w:rsidRDefault="005A5941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一、供方自备运输工具送交需方工厂，以需方接收的戳记日期为准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.</w:t>
      </w:r>
    </w:p>
    <w:p w:rsidR="00275F30" w:rsidRDefault="005A5941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二、任何一方要求提前或延期交货，必须事先与对方达成协议，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lastRenderedPageBreak/>
        <w:t>并按协议执行。</w:t>
      </w:r>
    </w:p>
    <w:p w:rsidR="00275F30" w:rsidRDefault="005A5941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 w:themeColor="text1"/>
          <w:sz w:val="32"/>
          <w:szCs w:val="32"/>
        </w:rPr>
        <w:t>四、评审方法</w:t>
      </w:r>
    </w:p>
    <w:p w:rsidR="00275F30" w:rsidRDefault="005A5941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本次采购工作，在满足采购方需求的前提下坚持“同质比价、同价比质、同质同价比服务”。整体低价授标</w:t>
      </w:r>
    </w:p>
    <w:p w:rsidR="00275F30" w:rsidRDefault="005A5941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五、付款方式：</w:t>
      </w:r>
    </w:p>
    <w:p w:rsidR="00275F30" w:rsidRDefault="005A5941">
      <w:pPr>
        <w:spacing w:line="56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需方使用部门领用后，按期开具入库单，供方依据入库单提供增值税专用发票挂帐后，需方按资金支付计划支付货款。</w:t>
      </w:r>
    </w:p>
    <w:p w:rsidR="00275F30" w:rsidRDefault="005A5941">
      <w:pPr>
        <w:snapToGrid w:val="0"/>
        <w:spacing w:line="560" w:lineRule="exact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六、质保期：一年</w:t>
      </w:r>
    </w:p>
    <w:p w:rsidR="00275F30" w:rsidRDefault="005A594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:rsidR="00275F30" w:rsidRDefault="005A5941">
      <w:pPr>
        <w:spacing w:line="560" w:lineRule="exact"/>
        <w:ind w:firstLineChars="200" w:firstLine="640"/>
        <w:rPr>
          <w:sz w:val="28"/>
          <w:szCs w:val="2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 w:rsidR="00275F30" w:rsidRDefault="005A5941">
      <w:pPr>
        <w:pStyle w:val="a3"/>
        <w:ind w:firstLineChars="2100" w:firstLine="5880"/>
        <w:rPr>
          <w:sz w:val="28"/>
          <w:szCs w:val="22"/>
        </w:rPr>
      </w:pPr>
      <w:r>
        <w:rPr>
          <w:rFonts w:hint="eastAsia"/>
          <w:sz w:val="28"/>
          <w:szCs w:val="22"/>
        </w:rPr>
        <w:t>中粮屯河北海糖业有限公司</w:t>
      </w:r>
      <w:r>
        <w:rPr>
          <w:rFonts w:hint="eastAsia"/>
          <w:sz w:val="28"/>
          <w:szCs w:val="22"/>
        </w:rPr>
        <w:t xml:space="preserve"> </w:t>
      </w:r>
    </w:p>
    <w:p w:rsidR="00275F30" w:rsidRDefault="005A5941">
      <w:pPr>
        <w:pStyle w:val="a3"/>
        <w:ind w:firstLineChars="2500" w:firstLine="7000"/>
        <w:rPr>
          <w:sz w:val="28"/>
          <w:szCs w:val="22"/>
        </w:rPr>
      </w:pPr>
      <w:r>
        <w:rPr>
          <w:rFonts w:hint="eastAsia"/>
          <w:sz w:val="28"/>
          <w:szCs w:val="22"/>
        </w:rPr>
        <w:t>202</w:t>
      </w:r>
      <w:r>
        <w:rPr>
          <w:sz w:val="28"/>
          <w:szCs w:val="22"/>
        </w:rPr>
        <w:t>3</w:t>
      </w:r>
      <w:r>
        <w:rPr>
          <w:rFonts w:hint="eastAsia"/>
          <w:sz w:val="28"/>
          <w:szCs w:val="22"/>
        </w:rPr>
        <w:t>年</w:t>
      </w:r>
      <w:r w:rsidR="000D54D5">
        <w:rPr>
          <w:sz w:val="28"/>
          <w:szCs w:val="22"/>
        </w:rPr>
        <w:t>6</w:t>
      </w:r>
      <w:r>
        <w:rPr>
          <w:rFonts w:hint="eastAsia"/>
          <w:sz w:val="28"/>
          <w:szCs w:val="22"/>
        </w:rPr>
        <w:t>月</w:t>
      </w:r>
      <w:r w:rsidR="000D54D5">
        <w:rPr>
          <w:sz w:val="28"/>
          <w:szCs w:val="22"/>
        </w:rPr>
        <w:t>26</w:t>
      </w:r>
      <w:r>
        <w:rPr>
          <w:rFonts w:hint="eastAsia"/>
          <w:sz w:val="28"/>
          <w:szCs w:val="22"/>
        </w:rPr>
        <w:t>日</w:t>
      </w:r>
    </w:p>
    <w:sectPr w:rsidR="00275F30">
      <w:footerReference w:type="default" r:id="rId8"/>
      <w:pgSz w:w="11906" w:h="16838"/>
      <w:pgMar w:top="651" w:right="1304" w:bottom="1134" w:left="1304" w:header="6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41" w:rsidRDefault="005A5941">
      <w:r>
        <w:separator/>
      </w:r>
    </w:p>
  </w:endnote>
  <w:endnote w:type="continuationSeparator" w:id="0">
    <w:p w:rsidR="005A5941" w:rsidRDefault="005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30" w:rsidRDefault="005A5941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744DE2">
      <w:rPr>
        <w:rFonts w:eastAsia="仿宋_GB2312"/>
        <w:noProof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744DE2">
      <w:rPr>
        <w:rFonts w:eastAsia="仿宋_GB2312"/>
        <w:noProof/>
        <w:kern w:val="0"/>
        <w:sz w:val="24"/>
        <w:szCs w:val="21"/>
      </w:rPr>
      <w:t>2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41" w:rsidRDefault="005A5941">
      <w:r>
        <w:separator/>
      </w:r>
    </w:p>
  </w:footnote>
  <w:footnote w:type="continuationSeparator" w:id="0">
    <w:p w:rsidR="005A5941" w:rsidRDefault="005A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D63"/>
    <w:multiLevelType w:val="singleLevel"/>
    <w:tmpl w:val="1C8B2D6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691D31"/>
    <w:rsid w:val="00014C2B"/>
    <w:rsid w:val="00045C25"/>
    <w:rsid w:val="00051C2E"/>
    <w:rsid w:val="00053C81"/>
    <w:rsid w:val="000866AE"/>
    <w:rsid w:val="00091DC0"/>
    <w:rsid w:val="000A077E"/>
    <w:rsid w:val="000B69D3"/>
    <w:rsid w:val="000D54D5"/>
    <w:rsid w:val="000E00F3"/>
    <w:rsid w:val="000E3EDE"/>
    <w:rsid w:val="000F0400"/>
    <w:rsid w:val="000F53E2"/>
    <w:rsid w:val="001167C3"/>
    <w:rsid w:val="00124C96"/>
    <w:rsid w:val="00135176"/>
    <w:rsid w:val="00140FA4"/>
    <w:rsid w:val="001517CE"/>
    <w:rsid w:val="001551B6"/>
    <w:rsid w:val="001756DB"/>
    <w:rsid w:val="001B25EC"/>
    <w:rsid w:val="001B3C59"/>
    <w:rsid w:val="001C5104"/>
    <w:rsid w:val="001D0625"/>
    <w:rsid w:val="001D1D08"/>
    <w:rsid w:val="001D5DF4"/>
    <w:rsid w:val="001D5DFF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75F30"/>
    <w:rsid w:val="00291E50"/>
    <w:rsid w:val="002A00A5"/>
    <w:rsid w:val="002C03D1"/>
    <w:rsid w:val="002D56EE"/>
    <w:rsid w:val="002F56F5"/>
    <w:rsid w:val="00315FC7"/>
    <w:rsid w:val="003278E1"/>
    <w:rsid w:val="003318E6"/>
    <w:rsid w:val="003327ED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C42F0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5941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34148"/>
    <w:rsid w:val="00741EE5"/>
    <w:rsid w:val="00744DE2"/>
    <w:rsid w:val="00751802"/>
    <w:rsid w:val="007718E1"/>
    <w:rsid w:val="00772D35"/>
    <w:rsid w:val="00773801"/>
    <w:rsid w:val="00787DB5"/>
    <w:rsid w:val="00792D21"/>
    <w:rsid w:val="007951DA"/>
    <w:rsid w:val="007A05D5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778CF"/>
    <w:rsid w:val="0089037B"/>
    <w:rsid w:val="00890FFB"/>
    <w:rsid w:val="008A1F1C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14A30"/>
    <w:rsid w:val="00923A49"/>
    <w:rsid w:val="00927FAF"/>
    <w:rsid w:val="00945508"/>
    <w:rsid w:val="00961756"/>
    <w:rsid w:val="00970FD5"/>
    <w:rsid w:val="00986D99"/>
    <w:rsid w:val="009908C8"/>
    <w:rsid w:val="009924FE"/>
    <w:rsid w:val="009B2D3A"/>
    <w:rsid w:val="009B32B6"/>
    <w:rsid w:val="009B33BB"/>
    <w:rsid w:val="009B4A08"/>
    <w:rsid w:val="009B6313"/>
    <w:rsid w:val="009B68A1"/>
    <w:rsid w:val="009C22C6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4F20"/>
    <w:rsid w:val="00A47F06"/>
    <w:rsid w:val="00A609FA"/>
    <w:rsid w:val="00A67243"/>
    <w:rsid w:val="00A716C1"/>
    <w:rsid w:val="00A746E5"/>
    <w:rsid w:val="00A83A0D"/>
    <w:rsid w:val="00A8471E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4373C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62B21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E531E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9326A5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2B242C6"/>
    <w:rsid w:val="1559747F"/>
    <w:rsid w:val="16A77CE4"/>
    <w:rsid w:val="16ED13A7"/>
    <w:rsid w:val="1EED2EC8"/>
    <w:rsid w:val="204015EE"/>
    <w:rsid w:val="20467C53"/>
    <w:rsid w:val="21205883"/>
    <w:rsid w:val="23AC511A"/>
    <w:rsid w:val="24B56FD4"/>
    <w:rsid w:val="24C81F56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15E58D8"/>
    <w:rsid w:val="32F15F4B"/>
    <w:rsid w:val="34BF28AC"/>
    <w:rsid w:val="377B5690"/>
    <w:rsid w:val="392E7378"/>
    <w:rsid w:val="397D12C3"/>
    <w:rsid w:val="3E7759B2"/>
    <w:rsid w:val="4097268C"/>
    <w:rsid w:val="42D75D8F"/>
    <w:rsid w:val="42F84DA8"/>
    <w:rsid w:val="43372712"/>
    <w:rsid w:val="43707CEE"/>
    <w:rsid w:val="455B1F27"/>
    <w:rsid w:val="462C2D9B"/>
    <w:rsid w:val="471B0B20"/>
    <w:rsid w:val="4CA67E01"/>
    <w:rsid w:val="4ED13F97"/>
    <w:rsid w:val="74DD7829"/>
    <w:rsid w:val="75A35E18"/>
    <w:rsid w:val="7BEE0952"/>
    <w:rsid w:val="7D1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D4E61"/>
  <w15:docId w15:val="{96BC1CA9-5502-4488-931A-7C3F1D21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COFCO\liyun2</cp:lastModifiedBy>
  <cp:revision>11</cp:revision>
  <cp:lastPrinted>2021-03-01T06:39:00Z</cp:lastPrinted>
  <dcterms:created xsi:type="dcterms:W3CDTF">2018-12-31T09:49:00Z</dcterms:created>
  <dcterms:modified xsi:type="dcterms:W3CDTF">2023-06-26T02:18:00Z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55C2897116CC420397E3B03B6041858E</vt:lpwstr>
  </property>
</Properties>
</file>