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25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8" w:colLast="8"/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耐高温塑料王拍φ96*8mm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耐高温塑料王拍φ122*8mm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耐高温塑料王拍φ165*12mm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耐高温塑料王拍φ175*12mm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耐高温塑料王拍φ215*12mm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耐高温塑料王拍φ220*12mm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耐高温塑料王拍φ235*12mm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耐高温塑料王拍φ250*12mm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耐高温塑料王拍φ290*186*12mm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耐高温塑料王拍φ284*178*12mm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耐高温塑料王拍φ290*28*12mm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耐高温塑料王拍φ290*190*12mm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聚四氟乙烯垫片φ89*φ142*3mm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聚四氟乙烯垫片φ108*φ162*3mm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聚四氟乙烯垫片φ159*φ218*3mm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聚四氟乙烯垫片φ57*φ107*3mm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汽凝水阀、出入汁阀用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塑料王板980*155*20mm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滤泥带刮泥用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尼龙王轴套φ49*φ35*85mm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2#无布机汁槽搅拌轴套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尼龙王轴套φ49*φ35*98mm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2#无布机汁槽搅拌轴套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耐热橡胶拍φ760*φ600*14mm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浓缩罐汁汽直路阀等用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default" w:ascii="仿宋_GB2312" w:eastAsia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  <w:lang w:val="en-US" w:eastAsia="zh-CN"/>
        </w:rPr>
        <w:t>提供符合</w:t>
      </w:r>
      <w:r>
        <w:rPr>
          <w:rFonts w:hint="eastAsia" w:ascii="仿宋_GB2312" w:eastAsia="仿宋_GB2312"/>
          <w:color w:val="FF0000"/>
          <w:kern w:val="0"/>
          <w:sz w:val="32"/>
          <w:szCs w:val="32"/>
          <w:lang w:eastAsia="zh-CN"/>
        </w:rPr>
        <w:t>GB 4806.7—2016《食品安全国家标准 食品接触用塑料材料及制品》；GB 4806.1—2016 《食品安全国家标准 食品接触材料及制品通用安全要求》</w:t>
      </w:r>
      <w:r>
        <w:rPr>
          <w:rFonts w:hint="eastAsia" w:ascii="仿宋_GB2312" w:eastAsia="仿宋_GB2312"/>
          <w:color w:val="FF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FF0000"/>
          <w:kern w:val="0"/>
          <w:sz w:val="32"/>
          <w:szCs w:val="32"/>
          <w:lang w:val="en-US" w:eastAsia="zh-CN"/>
        </w:rPr>
        <w:t>第三方检验报告。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FF0000"/>
          <w:sz w:val="32"/>
          <w:szCs w:val="32"/>
          <w:lang w:val="en-US" w:eastAsia="zh-CN"/>
        </w:rPr>
        <w:t>总价</w:t>
      </w:r>
      <w:r>
        <w:rPr>
          <w:rFonts w:hint="eastAsia" w:ascii="仿宋_GB2312" w:hAnsi="黑体" w:eastAsia="仿宋_GB2312" w:cs="黑体"/>
          <w:color w:val="FF0000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2023年6月25日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2023-06-25T08:08:49Z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