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eastAsia="仿宋_GB2312"/>
          <w:sz w:val="32"/>
          <w:szCs w:val="32"/>
        </w:rPr>
      </w:pPr>
      <w:r>
        <w:rPr>
          <w:rFonts w:eastAsia="仿宋_GB2312"/>
          <w:sz w:val="32"/>
          <w:szCs w:val="32"/>
        </w:rPr>
        <w:t>中粮屯河北海糖业有限公司</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294"/>
        <w:gridCol w:w="5449"/>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pPr>
              <w:spacing w:line="500" w:lineRule="exact"/>
              <w:rPr>
                <w:rFonts w:eastAsia="仿宋_GB2312"/>
                <w:color w:val="000000"/>
                <w:sz w:val="32"/>
                <w:szCs w:val="32"/>
              </w:rPr>
            </w:pPr>
            <w:r>
              <w:rPr>
                <w:rFonts w:eastAsia="仿宋_GB2312"/>
                <w:sz w:val="32"/>
                <w:szCs w:val="32"/>
              </w:rPr>
              <w:t>致To:各供应商</w:t>
            </w:r>
          </w:p>
        </w:tc>
        <w:tc>
          <w:tcPr>
            <w:tcW w:w="5449" w:type="dxa"/>
            <w:vAlign w:val="center"/>
          </w:tcPr>
          <w:p>
            <w:pPr>
              <w:spacing w:line="500" w:lineRule="exact"/>
              <w:rPr>
                <w:rFonts w:eastAsia="仿宋_GB2312"/>
                <w:sz w:val="32"/>
                <w:szCs w:val="32"/>
              </w:rPr>
            </w:pPr>
            <w:r>
              <w:rPr>
                <w:rFonts w:eastAsia="仿宋_GB2312"/>
                <w:sz w:val="32"/>
                <w:szCs w:val="32"/>
              </w:rPr>
              <w:t>发件人From: 蔡卓仁</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4294" w:type="dxa"/>
            <w:vAlign w:val="center"/>
          </w:tcPr>
          <w:p>
            <w:pPr>
              <w:spacing w:line="500" w:lineRule="exact"/>
              <w:rPr>
                <w:rFonts w:eastAsia="仿宋_GB2312"/>
                <w:sz w:val="32"/>
                <w:szCs w:val="32"/>
              </w:rPr>
            </w:pPr>
            <w:r>
              <w:rPr>
                <w:rFonts w:eastAsia="仿宋_GB2312"/>
                <w:sz w:val="32"/>
                <w:szCs w:val="32"/>
              </w:rPr>
              <w:t xml:space="preserve">传真Fax: </w:t>
            </w:r>
          </w:p>
        </w:tc>
        <w:tc>
          <w:tcPr>
            <w:tcW w:w="5449" w:type="dxa"/>
            <w:vAlign w:val="center"/>
          </w:tcPr>
          <w:p>
            <w:pPr>
              <w:spacing w:line="500" w:lineRule="exact"/>
              <w:rPr>
                <w:rFonts w:eastAsia="仿宋_GB2312"/>
                <w:sz w:val="32"/>
                <w:szCs w:val="32"/>
              </w:rPr>
            </w:pPr>
            <w:r>
              <w:rPr>
                <w:rFonts w:eastAsia="仿宋_GB2312"/>
                <w:sz w:val="32"/>
                <w:szCs w:val="32"/>
              </w:rPr>
              <w:t>电话Tel: 18077971625</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pPr>
              <w:spacing w:line="500" w:lineRule="exact"/>
              <w:rPr>
                <w:rFonts w:eastAsia="仿宋_GB2312"/>
                <w:sz w:val="32"/>
                <w:szCs w:val="32"/>
              </w:rPr>
            </w:pPr>
            <w:r>
              <w:rPr>
                <w:rFonts w:eastAsia="仿宋_GB2312"/>
                <w:sz w:val="32"/>
                <w:szCs w:val="32"/>
              </w:rPr>
              <w:t xml:space="preserve">呈Attn: </w:t>
            </w:r>
          </w:p>
        </w:tc>
        <w:tc>
          <w:tcPr>
            <w:tcW w:w="5449" w:type="dxa"/>
            <w:vAlign w:val="center"/>
          </w:tcPr>
          <w:p>
            <w:pPr>
              <w:spacing w:line="500" w:lineRule="exact"/>
              <w:rPr>
                <w:rFonts w:eastAsia="仿宋_GB2312"/>
                <w:sz w:val="32"/>
                <w:szCs w:val="32"/>
              </w:rPr>
            </w:pPr>
            <w:r>
              <w:rPr>
                <w:rFonts w:eastAsia="仿宋_GB2312"/>
                <w:sz w:val="32"/>
                <w:szCs w:val="32"/>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pPr>
              <w:spacing w:line="500" w:lineRule="exact"/>
              <w:rPr>
                <w:rFonts w:eastAsia="仿宋_GB2312"/>
                <w:sz w:val="32"/>
                <w:szCs w:val="32"/>
              </w:rPr>
            </w:pPr>
            <w:r>
              <w:rPr>
                <w:rFonts w:eastAsia="仿宋_GB2312"/>
                <w:sz w:val="32"/>
                <w:szCs w:val="32"/>
              </w:rPr>
              <w:t>主题Titel: 询比采购函</w:t>
            </w:r>
          </w:p>
        </w:tc>
        <w:tc>
          <w:tcPr>
            <w:tcW w:w="5449" w:type="dxa"/>
            <w:vAlign w:val="center"/>
          </w:tcPr>
          <w:p>
            <w:pPr>
              <w:spacing w:line="500" w:lineRule="exact"/>
              <w:rPr>
                <w:rFonts w:eastAsia="仿宋_GB2312"/>
                <w:sz w:val="32"/>
                <w:szCs w:val="32"/>
              </w:rPr>
            </w:pPr>
            <w:r>
              <w:rPr>
                <w:rFonts w:eastAsia="仿宋_GB2312"/>
                <w:sz w:val="32"/>
                <w:szCs w:val="32"/>
              </w:rPr>
              <w:t>页数Page: 5</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26" w:hRule="atLeast"/>
        </w:trPr>
        <w:tc>
          <w:tcPr>
            <w:tcW w:w="4294" w:type="dxa"/>
            <w:vAlign w:val="center"/>
          </w:tcPr>
          <w:p>
            <w:pPr>
              <w:spacing w:line="500" w:lineRule="exact"/>
              <w:rPr>
                <w:rFonts w:eastAsia="仿宋_GB2312"/>
                <w:sz w:val="32"/>
                <w:szCs w:val="32"/>
              </w:rPr>
            </w:pPr>
            <w:r>
              <w:rPr>
                <w:rFonts w:eastAsia="仿宋_GB2312"/>
                <w:sz w:val="32"/>
                <w:szCs w:val="32"/>
              </w:rPr>
              <w:t>编号Number:</w:t>
            </w:r>
          </w:p>
        </w:tc>
        <w:tc>
          <w:tcPr>
            <w:tcW w:w="5449" w:type="dxa"/>
            <w:vAlign w:val="center"/>
          </w:tcPr>
          <w:p>
            <w:pPr>
              <w:spacing w:line="500" w:lineRule="exact"/>
              <w:rPr>
                <w:rFonts w:eastAsia="仿宋_GB2312"/>
                <w:sz w:val="32"/>
                <w:szCs w:val="32"/>
              </w:rPr>
            </w:pPr>
            <w:r>
              <w:rPr>
                <w:rFonts w:eastAsia="仿宋_GB2312"/>
                <w:sz w:val="32"/>
                <w:szCs w:val="32"/>
              </w:rPr>
              <w:t>日期Date: 2023年7月18日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4294" w:type="dxa"/>
            <w:vAlign w:val="center"/>
          </w:tcPr>
          <w:p>
            <w:pPr>
              <w:spacing w:line="500" w:lineRule="exact"/>
              <w:ind w:right="-632" w:rightChars="-301"/>
              <w:jc w:val="left"/>
              <w:rPr>
                <w:rFonts w:eastAsia="仿宋_GB2312"/>
                <w:sz w:val="32"/>
                <w:szCs w:val="32"/>
              </w:rPr>
            </w:pPr>
            <w:r>
              <w:rPr>
                <w:rFonts w:eastAsia="仿宋_GB2312"/>
                <w:sz w:val="28"/>
                <w:szCs w:val="32"/>
              </w:rPr>
              <w:t>内容Special Instruction(ifany):</w:t>
            </w:r>
          </w:p>
        </w:tc>
        <w:tc>
          <w:tcPr>
            <w:tcW w:w="5449" w:type="dxa"/>
            <w:vAlign w:val="center"/>
          </w:tcPr>
          <w:p>
            <w:pPr>
              <w:spacing w:line="500" w:lineRule="exact"/>
              <w:ind w:firstLine="640" w:firstLineChars="200"/>
              <w:rPr>
                <w:rFonts w:eastAsia="仿宋_GB2312"/>
                <w:sz w:val="32"/>
                <w:szCs w:val="32"/>
              </w:rPr>
            </w:pPr>
          </w:p>
        </w:tc>
      </w:tr>
    </w:tbl>
    <w:p>
      <w:pPr>
        <w:spacing w:line="500" w:lineRule="exact"/>
        <w:rPr>
          <w:rFonts w:eastAsia="方正小标宋_GBK"/>
          <w:sz w:val="44"/>
          <w:szCs w:val="44"/>
        </w:rPr>
      </w:pPr>
    </w:p>
    <w:p>
      <w:pPr>
        <w:spacing w:line="500" w:lineRule="exact"/>
        <w:ind w:firstLine="880" w:firstLineChars="200"/>
        <w:jc w:val="center"/>
        <w:rPr>
          <w:rFonts w:eastAsia="方正小标宋_GBK"/>
          <w:sz w:val="44"/>
          <w:szCs w:val="44"/>
        </w:rPr>
      </w:pPr>
      <w:r>
        <w:rPr>
          <w:rFonts w:eastAsia="方正小标宋_GBK"/>
          <w:sz w:val="44"/>
          <w:szCs w:val="44"/>
        </w:rPr>
        <w:t>询  比 采 购  函</w:t>
      </w:r>
    </w:p>
    <w:p>
      <w:pPr>
        <w:spacing w:line="500" w:lineRule="exact"/>
        <w:ind w:firstLine="880" w:firstLineChars="200"/>
        <w:jc w:val="center"/>
        <w:rPr>
          <w:rFonts w:eastAsia="方正小标宋_GBK"/>
          <w:sz w:val="44"/>
          <w:szCs w:val="44"/>
        </w:rPr>
      </w:pPr>
    </w:p>
    <w:p>
      <w:pPr>
        <w:pStyle w:val="3"/>
        <w:ind w:firstLine="0" w:firstLineChars="0"/>
        <w:rPr>
          <w:szCs w:val="32"/>
        </w:rPr>
      </w:pPr>
      <w:r>
        <w:rPr>
          <w:szCs w:val="32"/>
        </w:rPr>
        <w:t>各供应商：</w:t>
      </w:r>
    </w:p>
    <w:p>
      <w:pPr>
        <w:pStyle w:val="3"/>
        <w:rPr>
          <w:szCs w:val="32"/>
        </w:rPr>
      </w:pPr>
      <w:r>
        <w:rPr>
          <w:szCs w:val="32"/>
        </w:rPr>
        <w:t>我司计划对2023年北海糖业泡沫板更换安全整改工程项目进行询比采购，请各供应商根据项目工程量清单、技术要求等要求进行报价，具体要求如下：</w:t>
      </w:r>
    </w:p>
    <w:p>
      <w:pPr>
        <w:spacing w:line="50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一、供应商资格要求</w:t>
      </w:r>
    </w:p>
    <w:p>
      <w:pPr>
        <w:spacing w:line="500" w:lineRule="exact"/>
        <w:ind w:firstLine="640" w:firstLineChars="200"/>
        <w:rPr>
          <w:rFonts w:eastAsia="仿宋_GB2312"/>
          <w:kern w:val="0"/>
          <w:sz w:val="32"/>
          <w:szCs w:val="32"/>
        </w:rPr>
      </w:pPr>
      <w:r>
        <w:rPr>
          <w:rFonts w:eastAsia="仿宋_GB2312"/>
          <w:sz w:val="32"/>
          <w:szCs w:val="32"/>
        </w:rPr>
        <w:t>1.资质要求：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具有建筑工程施工总承包叁级或者建筑装修装饰工程专业承包贰级及以上资质，注册资金200万元及以上，具有安全生产许可证</w:t>
      </w:r>
      <w:r>
        <w:rPr>
          <w:rFonts w:eastAsia="仿宋_GB2312"/>
          <w:color w:val="FF0000"/>
          <w:sz w:val="32"/>
          <w:szCs w:val="32"/>
        </w:rPr>
        <w:t>。</w:t>
      </w:r>
    </w:p>
    <w:p>
      <w:pPr>
        <w:pStyle w:val="3"/>
        <w:ind w:firstLineChars="0"/>
        <w:rPr>
          <w:szCs w:val="32"/>
        </w:rPr>
      </w:pPr>
      <w:r>
        <w:rPr>
          <w:szCs w:val="32"/>
        </w:rPr>
        <w:t>2.在信用中国网查无严重不良信息记录；在中国政府采购网查无严重违法失信行为。</w:t>
      </w:r>
    </w:p>
    <w:p>
      <w:pPr>
        <w:pStyle w:val="3"/>
        <w:rPr>
          <w:szCs w:val="32"/>
        </w:rPr>
      </w:pPr>
      <w:r>
        <w:rPr>
          <w:szCs w:val="32"/>
        </w:rPr>
        <w:t>3.不接受联合体投标,如发现存在企业关联关系,对存在关联关系的供应商给予废标处理。</w:t>
      </w:r>
    </w:p>
    <w:p>
      <w:pPr>
        <w:pStyle w:val="3"/>
        <w:rPr>
          <w:szCs w:val="32"/>
        </w:rPr>
      </w:pPr>
      <w:r>
        <w:rPr>
          <w:szCs w:val="32"/>
        </w:rPr>
        <w:t>4. 供应商须登录中粮糖业电子采购平台（</w:t>
      </w:r>
      <w:r>
        <w:fldChar w:fldCharType="begin"/>
      </w:r>
      <w:r>
        <w:instrText xml:space="preserve"> HYPERLINK "http://eps.tunhe.com" </w:instrText>
      </w:r>
      <w:r>
        <w:fldChar w:fldCharType="separate"/>
      </w:r>
      <w:r>
        <w:rPr>
          <w:rStyle w:val="13"/>
          <w:szCs w:val="32"/>
        </w:rPr>
        <w:t>http://eps.tunhe.com</w:t>
      </w:r>
      <w:r>
        <w:rPr>
          <w:rStyle w:val="13"/>
          <w:szCs w:val="32"/>
        </w:rPr>
        <w:fldChar w:fldCharType="end"/>
      </w:r>
      <w:r>
        <w:rPr>
          <w:rStyle w:val="13"/>
          <w:szCs w:val="32"/>
        </w:rPr>
        <w:t>/</w:t>
      </w:r>
      <w:r>
        <w:rPr>
          <w:szCs w:val="32"/>
        </w:rPr>
        <w:t xml:space="preserve">）进行投标和开标活动，务必在开标前完成注册并获得投标资格，通过审核的供应商才能够在系统内进行查看公告等业务操作。 </w:t>
      </w:r>
    </w:p>
    <w:p>
      <w:pPr>
        <w:spacing w:line="50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二、施工要求</w:t>
      </w:r>
      <w:r>
        <w:rPr>
          <w:rFonts w:eastAsia="仿宋_GB2312"/>
          <w:sz w:val="32"/>
          <w:szCs w:val="32"/>
        </w:rPr>
        <w:t xml:space="preserve"> </w:t>
      </w:r>
    </w:p>
    <w:p>
      <w:pPr>
        <w:adjustRightInd w:val="0"/>
        <w:snapToGrid w:val="0"/>
        <w:spacing w:line="500" w:lineRule="exact"/>
        <w:ind w:firstLine="640" w:firstLineChars="200"/>
        <w:rPr>
          <w:rFonts w:eastAsia="仿宋_GB2312"/>
          <w:sz w:val="32"/>
          <w:szCs w:val="32"/>
        </w:rPr>
      </w:pPr>
      <w:r>
        <w:rPr>
          <w:rFonts w:eastAsia="仿宋_GB2312"/>
          <w:sz w:val="32"/>
          <w:szCs w:val="32"/>
        </w:rPr>
        <w:t>1.必须严格按照发包方要求和现行的《建筑工程施工质量验收规范》(建筑工程施工质量验收统一标准GB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500" w:lineRule="exact"/>
        <w:ind w:firstLine="640" w:firstLineChars="200"/>
        <w:rPr>
          <w:rFonts w:eastAsia="仿宋_GB2312"/>
          <w:sz w:val="32"/>
          <w:szCs w:val="32"/>
        </w:rPr>
      </w:pPr>
      <w:r>
        <w:rPr>
          <w:rFonts w:eastAsia="仿宋_GB2312"/>
          <w:sz w:val="32"/>
          <w:szCs w:val="32"/>
        </w:rPr>
        <w:t>2.承包方施工过程中，如果有不合理布置的部分，必须先通知发包方到现场确认处理后方能继续施工。</w:t>
      </w:r>
    </w:p>
    <w:p>
      <w:pPr>
        <w:spacing w:line="500" w:lineRule="exact"/>
        <w:ind w:firstLine="640" w:firstLineChars="200"/>
        <w:rPr>
          <w:rFonts w:eastAsia="仿宋_GB2312"/>
          <w:sz w:val="32"/>
          <w:szCs w:val="32"/>
        </w:rPr>
      </w:pPr>
      <w:r>
        <w:rPr>
          <w:rFonts w:eastAsia="仿宋_GB2312"/>
          <w:sz w:val="32"/>
          <w:szCs w:val="32"/>
        </w:rPr>
        <w:t>3承包方进入现场所有作业人员必须提供社保缴费证明或购买工伤保险、意外伤害险或购买赔付额度不低于工亡100万元和5万元医疗的雇主责任险，并自负一切安全问题。</w:t>
      </w:r>
    </w:p>
    <w:p>
      <w:pPr>
        <w:spacing w:line="500" w:lineRule="exact"/>
        <w:ind w:firstLine="640" w:firstLineChars="200"/>
        <w:rPr>
          <w:rFonts w:eastAsia="仿宋_GB2312"/>
          <w:kern w:val="0"/>
          <w:sz w:val="32"/>
          <w:szCs w:val="32"/>
        </w:rPr>
      </w:pPr>
      <w:r>
        <w:rPr>
          <w:rFonts w:eastAsia="仿宋_GB2312"/>
          <w:sz w:val="32"/>
          <w:szCs w:val="32"/>
        </w:rPr>
        <w:t>4.</w:t>
      </w:r>
      <w:r>
        <w:rPr>
          <w:rFonts w:eastAsia="仿宋_GB2312"/>
          <w:kern w:val="0"/>
          <w:sz w:val="32"/>
          <w:szCs w:val="32"/>
        </w:rPr>
        <w:t>承包方需提供作业人员二甲以上医院一年内健康体检报告复印件，方可开展作业。</w:t>
      </w:r>
    </w:p>
    <w:p>
      <w:pPr>
        <w:spacing w:line="500" w:lineRule="exact"/>
        <w:ind w:firstLine="640" w:firstLineChars="200"/>
        <w:rPr>
          <w:rFonts w:eastAsia="仿宋_GB2312"/>
          <w:kern w:val="0"/>
          <w:sz w:val="32"/>
          <w:szCs w:val="32"/>
        </w:rPr>
      </w:pPr>
      <w:r>
        <w:rPr>
          <w:rFonts w:eastAsia="仿宋_GB2312"/>
          <w:kern w:val="0"/>
          <w:sz w:val="32"/>
          <w:szCs w:val="32"/>
        </w:rPr>
        <w:t>5.承包方违反发包方各项安全管理规定的（如违反发包方危险作业要求、使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承包方负责，扣款直接从合同款中扣除。</w:t>
      </w:r>
    </w:p>
    <w:p>
      <w:pPr>
        <w:spacing w:line="500" w:lineRule="exact"/>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三、验收标准</w:t>
      </w:r>
    </w:p>
    <w:p>
      <w:pPr>
        <w:spacing w:line="500" w:lineRule="exact"/>
        <w:ind w:firstLine="640" w:firstLineChars="200"/>
        <w:textAlignment w:val="baseline"/>
        <w:rPr>
          <w:rFonts w:eastAsia="仿宋_GB2312"/>
          <w:sz w:val="32"/>
          <w:szCs w:val="32"/>
        </w:rPr>
      </w:pPr>
      <w:r>
        <w:rPr>
          <w:rFonts w:eastAsia="仿宋_GB2312"/>
          <w:sz w:val="32"/>
          <w:szCs w:val="32"/>
        </w:rPr>
        <w:t>1.在施工现场，承包方对每道工序应严格按发包方要求和施工规范的要求进行质量控制。工程完工，发包方接到承包方验收申请后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pPr>
        <w:spacing w:line="500" w:lineRule="exact"/>
        <w:ind w:firstLine="640" w:firstLineChars="200"/>
        <w:rPr>
          <w:rFonts w:eastAsia="仿宋_GB2312"/>
          <w:sz w:val="32"/>
          <w:szCs w:val="32"/>
        </w:rPr>
      </w:pPr>
      <w:r>
        <w:rPr>
          <w:rFonts w:eastAsia="仿宋_GB2312"/>
          <w:sz w:val="32"/>
          <w:szCs w:val="32"/>
        </w:rPr>
        <w:t>2.隐蔽工程验收由承包方提前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pPr>
        <w:pStyle w:val="2"/>
        <w:spacing w:line="500" w:lineRule="exact"/>
        <w:jc w:val="left"/>
        <w:rPr>
          <w:b/>
          <w:bCs/>
          <w:sz w:val="32"/>
          <w:szCs w:val="32"/>
        </w:rPr>
      </w:pPr>
      <w:r>
        <w:rPr>
          <w:rFonts w:eastAsia="仿宋_GB2312"/>
          <w:b/>
          <w:color w:val="000000" w:themeColor="text1"/>
          <w:kern w:val="0"/>
          <w:sz w:val="32"/>
          <w:szCs w:val="32"/>
          <w14:textFill>
            <w14:solidFill>
              <w14:schemeClr w14:val="tx1"/>
            </w14:solidFill>
          </w14:textFill>
        </w:rPr>
        <w:t>四、</w:t>
      </w:r>
      <w:r>
        <w:rPr>
          <w:b/>
          <w:bCs/>
          <w:sz w:val="32"/>
          <w:szCs w:val="32"/>
        </w:rPr>
        <w:t xml:space="preserve">合同金额及工期  </w:t>
      </w:r>
    </w:p>
    <w:p>
      <w:pPr>
        <w:spacing w:line="500" w:lineRule="exact"/>
        <w:ind w:firstLine="640" w:firstLineChars="200"/>
        <w:rPr>
          <w:rFonts w:eastAsia="仿宋_GB2312"/>
          <w:sz w:val="32"/>
          <w:szCs w:val="32"/>
        </w:rPr>
      </w:pPr>
      <w:r>
        <w:rPr>
          <w:rFonts w:eastAsia="仿宋_GB2312"/>
          <w:sz w:val="32"/>
          <w:szCs w:val="32"/>
        </w:rPr>
        <w:t>1.本合同采用固定总价合同，结算时不作调整。</w:t>
      </w:r>
    </w:p>
    <w:p>
      <w:pPr>
        <w:spacing w:line="500" w:lineRule="exact"/>
        <w:ind w:firstLine="640" w:firstLineChars="200"/>
        <w:rPr>
          <w:rFonts w:eastAsia="仿宋_GB2312"/>
          <w:sz w:val="32"/>
          <w:szCs w:val="32"/>
        </w:rPr>
      </w:pPr>
      <w:r>
        <w:rPr>
          <w:rFonts w:eastAsia="仿宋_GB2312"/>
          <w:sz w:val="32"/>
          <w:szCs w:val="32"/>
        </w:rPr>
        <w:t>2.工期：20天。</w:t>
      </w:r>
    </w:p>
    <w:p>
      <w:pPr>
        <w:spacing w:line="500" w:lineRule="exact"/>
        <w:jc w:val="left"/>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五、报价及评审方法</w:t>
      </w:r>
    </w:p>
    <w:p>
      <w:pPr>
        <w:spacing w:line="500" w:lineRule="exact"/>
        <w:ind w:firstLine="627" w:firstLineChars="19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1.本次采购工作，在满足采购方需求的前提下坚持“同质比价、同价比质、同质同价比服务”。</w:t>
      </w:r>
    </w:p>
    <w:p>
      <w:pPr>
        <w:spacing w:line="500" w:lineRule="exact"/>
        <w:ind w:firstLine="640" w:firstLineChars="200"/>
        <w:rPr>
          <w:rFonts w:eastAsia="仿宋_GB2312"/>
          <w:sz w:val="32"/>
          <w:szCs w:val="32"/>
        </w:rPr>
      </w:pPr>
      <w:r>
        <w:rPr>
          <w:rFonts w:eastAsia="仿宋_GB2312"/>
          <w:sz w:val="32"/>
          <w:szCs w:val="32"/>
        </w:rPr>
        <w:t>2.承包方应根据施工期间材料、机械设备可能由于市场价格上涨（或下跌）因素自行考虑由此引起的风险并计入报价中，承包商方应对自己的报价承担风险，结算时不再作调整。</w:t>
      </w:r>
    </w:p>
    <w:p>
      <w:pPr>
        <w:pStyle w:val="2"/>
        <w:spacing w:line="500" w:lineRule="exact"/>
        <w:jc w:val="left"/>
        <w:rPr>
          <w:b/>
          <w:sz w:val="32"/>
          <w:szCs w:val="32"/>
        </w:rPr>
      </w:pPr>
      <w:r>
        <w:rPr>
          <w:b/>
          <w:bCs/>
          <w:sz w:val="32"/>
          <w:szCs w:val="32"/>
        </w:rPr>
        <w:t>六、付款方式</w:t>
      </w:r>
    </w:p>
    <w:p>
      <w:pPr>
        <w:adjustRightInd w:val="0"/>
        <w:snapToGrid w:val="0"/>
        <w:spacing w:line="500" w:lineRule="exact"/>
        <w:ind w:firstLine="640" w:firstLineChars="200"/>
        <w:rPr>
          <w:rFonts w:hint="eastAsia" w:eastAsia="仿宋_GB2312"/>
          <w:sz w:val="32"/>
          <w:szCs w:val="32"/>
        </w:rPr>
      </w:pPr>
      <w:r>
        <w:rPr>
          <w:rFonts w:hint="eastAsia" w:eastAsia="仿宋_GB2312"/>
          <w:sz w:val="32"/>
          <w:szCs w:val="32"/>
        </w:rPr>
        <w:t>1.项目完工后，经组织相关人员验收合格后30个工作日内，凭承包方提供的有效等额增值税（税率</w:t>
      </w:r>
      <w:r>
        <w:rPr>
          <w:rFonts w:hint="eastAsia" w:eastAsia="仿宋_GB2312"/>
          <w:sz w:val="32"/>
          <w:szCs w:val="32"/>
          <w:u w:val="single"/>
        </w:rPr>
        <w:t xml:space="preserve">   </w:t>
      </w:r>
      <w:r>
        <w:rPr>
          <w:rFonts w:hint="eastAsia" w:eastAsia="仿宋_GB2312"/>
          <w:sz w:val="32"/>
          <w:szCs w:val="32"/>
        </w:rPr>
        <w:t>%）专用发票支付工程款至合同金额的70%；</w:t>
      </w:r>
    </w:p>
    <w:p>
      <w:pPr>
        <w:adjustRightInd w:val="0"/>
        <w:snapToGrid w:val="0"/>
        <w:spacing w:line="500" w:lineRule="exact"/>
        <w:ind w:firstLine="640" w:firstLineChars="200"/>
        <w:rPr>
          <w:rFonts w:hint="eastAsia" w:eastAsia="仿宋_GB2312"/>
          <w:sz w:val="32"/>
          <w:szCs w:val="32"/>
        </w:rPr>
      </w:pPr>
      <w:r>
        <w:rPr>
          <w:rFonts w:hint="eastAsia" w:eastAsia="仿宋_GB2312"/>
          <w:sz w:val="32"/>
          <w:szCs w:val="32"/>
        </w:rPr>
        <w:t>2.待业内部竣工结算审核后，凭承包方补足结算总额有效全额增值税（税率</w:t>
      </w:r>
      <w:r>
        <w:rPr>
          <w:rFonts w:eastAsia="仿宋_GB2312"/>
          <w:sz w:val="32"/>
          <w:szCs w:val="32"/>
          <w:u w:val="single"/>
        </w:rPr>
        <w:t xml:space="preserve">  </w:t>
      </w:r>
      <w:r>
        <w:rPr>
          <w:rFonts w:hint="eastAsia" w:eastAsia="仿宋_GB2312"/>
          <w:sz w:val="32"/>
          <w:szCs w:val="32"/>
        </w:rPr>
        <w:t>%）专用发票支付工程款至结算总额的90%；</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3.剩余10%款项作为质保金，质保期1年内，无质量问题，于质保期满20个工作日内一次无息付清。</w:t>
      </w:r>
      <w:r>
        <w:rPr>
          <w:rFonts w:eastAsia="仿宋_GB2312"/>
          <w:sz w:val="32"/>
          <w:szCs w:val="32"/>
        </w:rPr>
        <w:t xml:space="preserve">                                    </w:t>
      </w:r>
    </w:p>
    <w:p>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pPr>
        <w:spacing w:line="500" w:lineRule="exact"/>
        <w:ind w:firstLine="640" w:firstLineChars="200"/>
        <w:rPr>
          <w:rFonts w:eastAsia="仿宋_GB2312"/>
          <w:sz w:val="32"/>
          <w:szCs w:val="32"/>
        </w:rPr>
      </w:pPr>
      <w:r>
        <w:rPr>
          <w:rFonts w:eastAsia="仿宋_GB2312"/>
          <w:sz w:val="32"/>
          <w:szCs w:val="32"/>
        </w:rPr>
        <w:t>1.履约保证金为合同金额的5%，承包方必须于收到中标通知书后至签订合同前足额缴纳。项目结束并验收合格后，发包方于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pPr>
        <w:spacing w:line="500" w:lineRule="exact"/>
        <w:ind w:firstLine="640" w:firstLineChars="200"/>
        <w:rPr>
          <w:rFonts w:eastAsia="仿宋_GB2312"/>
          <w:sz w:val="32"/>
          <w:szCs w:val="32"/>
        </w:rPr>
      </w:pPr>
      <w:r>
        <w:rPr>
          <w:rFonts w:eastAsia="仿宋_GB2312"/>
          <w:sz w:val="32"/>
          <w:szCs w:val="32"/>
        </w:rPr>
        <w:t>2.合同生效的前提条件是承包方向发包方缴纳足额履约保证金。</w:t>
      </w:r>
    </w:p>
    <w:p>
      <w:pPr>
        <w:spacing w:line="500" w:lineRule="exact"/>
        <w:rPr>
          <w:rFonts w:eastAsia="仿宋_GB2312"/>
          <w:b/>
          <w:bCs/>
          <w:sz w:val="32"/>
          <w:szCs w:val="32"/>
        </w:rPr>
      </w:pPr>
      <w:r>
        <w:rPr>
          <w:rFonts w:eastAsia="仿宋_GB2312"/>
          <w:b/>
          <w:bCs/>
          <w:sz w:val="32"/>
          <w:szCs w:val="32"/>
        </w:rPr>
        <w:t>八、系统报价说明</w:t>
      </w:r>
    </w:p>
    <w:p>
      <w:pPr>
        <w:spacing w:line="500" w:lineRule="exact"/>
        <w:ind w:firstLine="640" w:firstLineChars="200"/>
        <w:rPr>
          <w:rFonts w:eastAsia="仿宋_GB2312"/>
          <w:bCs/>
          <w:sz w:val="32"/>
          <w:szCs w:val="32"/>
        </w:rPr>
      </w:pPr>
      <w:r>
        <w:rPr>
          <w:rFonts w:eastAsia="仿宋_GB2312"/>
          <w:bCs/>
          <w:sz w:val="32"/>
          <w:szCs w:val="32"/>
        </w:rPr>
        <w:t>1.本次报价截至时间2023年</w:t>
      </w:r>
      <w:r>
        <w:rPr>
          <w:rFonts w:eastAsia="仿宋_GB2312"/>
          <w:bCs/>
          <w:color w:val="FF0000"/>
          <w:sz w:val="32"/>
          <w:szCs w:val="32"/>
        </w:rPr>
        <w:t xml:space="preserve"> 7 月 </w:t>
      </w:r>
      <w:r>
        <w:rPr>
          <w:rFonts w:hint="eastAsia" w:eastAsia="仿宋_GB2312"/>
          <w:bCs/>
          <w:color w:val="FF0000"/>
          <w:sz w:val="32"/>
          <w:szCs w:val="32"/>
          <w:lang w:val="en-US" w:eastAsia="zh-CN"/>
        </w:rPr>
        <w:t>26</w:t>
      </w:r>
      <w:bookmarkStart w:id="0" w:name="_GoBack"/>
      <w:bookmarkEnd w:id="0"/>
      <w:r>
        <w:rPr>
          <w:rFonts w:eastAsia="仿宋_GB2312"/>
          <w:bCs/>
          <w:color w:val="FF0000"/>
          <w:sz w:val="32"/>
          <w:szCs w:val="32"/>
        </w:rPr>
        <w:t xml:space="preserve"> 日</w:t>
      </w:r>
      <w:r>
        <w:rPr>
          <w:rFonts w:eastAsia="仿宋_GB2312"/>
          <w:bCs/>
          <w:sz w:val="32"/>
          <w:szCs w:val="32"/>
        </w:rPr>
        <w:t>。</w:t>
      </w:r>
    </w:p>
    <w:p>
      <w:pPr>
        <w:spacing w:line="500" w:lineRule="exact"/>
        <w:ind w:firstLine="640" w:firstLineChars="200"/>
        <w:rPr>
          <w:rFonts w:eastAsia="仿宋_GB2312"/>
          <w:bCs/>
          <w:color w:val="FF0000"/>
          <w:sz w:val="32"/>
          <w:szCs w:val="32"/>
        </w:rPr>
      </w:pPr>
      <w:r>
        <w:rPr>
          <w:rFonts w:eastAsia="仿宋_GB2312"/>
          <w:bCs/>
          <w:color w:val="FF0000"/>
          <w:sz w:val="32"/>
          <w:szCs w:val="32"/>
        </w:rPr>
        <w:t>2.系统报价需上传盖章后的报价清单及廉洁承诺书作为附件。</w:t>
      </w:r>
    </w:p>
    <w:p>
      <w:pPr>
        <w:spacing w:line="500" w:lineRule="exact"/>
        <w:ind w:firstLine="640" w:firstLineChars="200"/>
        <w:rPr>
          <w:rFonts w:eastAsia="仿宋_GB2312"/>
          <w:bCs/>
          <w:sz w:val="32"/>
          <w:szCs w:val="32"/>
        </w:rPr>
      </w:pPr>
      <w:r>
        <w:rPr>
          <w:rFonts w:eastAsia="仿宋_GB2312"/>
          <w:color w:val="000000"/>
          <w:sz w:val="32"/>
          <w:szCs w:val="32"/>
        </w:rPr>
        <w:t>3.本询比采购项目要求二次报价。</w:t>
      </w:r>
    </w:p>
    <w:p>
      <w:pPr>
        <w:spacing w:line="500" w:lineRule="exact"/>
        <w:ind w:firstLine="640" w:firstLineChars="200"/>
        <w:rPr>
          <w:rFonts w:eastAsia="仿宋_GB2312"/>
          <w:color w:val="000000"/>
          <w:sz w:val="32"/>
          <w:szCs w:val="32"/>
        </w:rPr>
      </w:pPr>
      <w:r>
        <w:rPr>
          <w:rFonts w:eastAsia="仿宋_GB2312"/>
          <w:color w:val="000000"/>
          <w:sz w:val="32"/>
          <w:szCs w:val="32"/>
        </w:rPr>
        <w:t>4.不详之处请联系</w:t>
      </w:r>
      <w:r>
        <w:rPr>
          <w:rFonts w:eastAsia="仿宋_GB2312"/>
          <w:bCs/>
          <w:sz w:val="32"/>
          <w:szCs w:val="32"/>
        </w:rPr>
        <w:t>北海糖业蔡卓仁，联系电话：18077971625</w:t>
      </w:r>
      <w:r>
        <w:rPr>
          <w:rFonts w:eastAsia="仿宋_GB2312"/>
          <w:color w:val="000000"/>
          <w:sz w:val="32"/>
          <w:szCs w:val="32"/>
        </w:rPr>
        <w:t>，望予以最优惠报价为盼。</w:t>
      </w:r>
    </w:p>
    <w:p>
      <w:pPr>
        <w:spacing w:line="500" w:lineRule="exact"/>
        <w:ind w:firstLine="480" w:firstLineChars="150"/>
        <w:rPr>
          <w:rFonts w:eastAsia="仿宋_GB2312"/>
          <w:color w:val="000000"/>
          <w:sz w:val="32"/>
          <w:szCs w:val="32"/>
        </w:rPr>
      </w:pPr>
      <w:r>
        <w:rPr>
          <w:rFonts w:eastAsia="仿宋_GB2312"/>
          <w:color w:val="000000"/>
          <w:sz w:val="32"/>
          <w:szCs w:val="32"/>
        </w:rPr>
        <w:t>顺祝商琪！</w:t>
      </w:r>
    </w:p>
    <w:p>
      <w:pPr>
        <w:pStyle w:val="3"/>
        <w:ind w:firstLine="4800" w:firstLineChars="1500"/>
        <w:rPr>
          <w:szCs w:val="32"/>
        </w:rPr>
      </w:pPr>
      <w:r>
        <w:rPr>
          <w:szCs w:val="32"/>
        </w:rPr>
        <w:t xml:space="preserve">中粮屯河北海糖业有限公司 </w:t>
      </w:r>
    </w:p>
    <w:p>
      <w:pPr>
        <w:pStyle w:val="3"/>
        <w:ind w:firstLine="5760" w:firstLineChars="1800"/>
        <w:rPr>
          <w:szCs w:val="32"/>
        </w:rPr>
      </w:pPr>
      <w:r>
        <w:rPr>
          <w:szCs w:val="32"/>
        </w:rPr>
        <w:t>2023年7月18日</w:t>
      </w:r>
    </w:p>
    <w:p>
      <w:pPr>
        <w:pStyle w:val="3"/>
        <w:spacing w:line="560" w:lineRule="exact"/>
        <w:ind w:firstLine="5760" w:firstLineChars="1800"/>
        <w:rPr>
          <w:szCs w:val="32"/>
        </w:rPr>
      </w:pPr>
    </w:p>
    <w:p>
      <w:pPr>
        <w:pStyle w:val="3"/>
        <w:spacing w:line="560" w:lineRule="exact"/>
        <w:ind w:firstLine="0" w:firstLineChars="0"/>
        <w:rPr>
          <w:rFonts w:hint="eastAsia"/>
          <w:szCs w:val="32"/>
        </w:rPr>
      </w:pPr>
    </w:p>
    <w:tbl>
      <w:tblPr>
        <w:tblStyle w:val="10"/>
        <w:tblW w:w="10661" w:type="dxa"/>
        <w:jc w:val="center"/>
        <w:tblLayout w:type="autofit"/>
        <w:tblCellMar>
          <w:top w:w="0" w:type="dxa"/>
          <w:left w:w="108" w:type="dxa"/>
          <w:bottom w:w="0" w:type="dxa"/>
          <w:right w:w="108" w:type="dxa"/>
        </w:tblCellMar>
      </w:tblPr>
      <w:tblGrid>
        <w:gridCol w:w="780"/>
        <w:gridCol w:w="5423"/>
        <w:gridCol w:w="653"/>
        <w:gridCol w:w="1044"/>
        <w:gridCol w:w="1354"/>
        <w:gridCol w:w="1407"/>
      </w:tblGrid>
      <w:tr>
        <w:tblPrEx>
          <w:tblCellMar>
            <w:top w:w="0" w:type="dxa"/>
            <w:left w:w="108" w:type="dxa"/>
            <w:bottom w:w="0" w:type="dxa"/>
            <w:right w:w="108" w:type="dxa"/>
          </w:tblCellMar>
        </w:tblPrEx>
        <w:trPr>
          <w:trHeight w:val="375" w:hRule="atLeast"/>
          <w:jc w:val="center"/>
        </w:trPr>
        <w:tc>
          <w:tcPr>
            <w:tcW w:w="10661" w:type="dxa"/>
            <w:gridSpan w:val="6"/>
            <w:tcBorders>
              <w:top w:val="nil"/>
              <w:left w:val="nil"/>
              <w:bottom w:val="nil"/>
              <w:right w:val="nil"/>
            </w:tcBorders>
            <w:shd w:val="clear" w:color="auto" w:fill="auto"/>
            <w:noWrap/>
            <w:vAlign w:val="center"/>
          </w:tcPr>
          <w:p>
            <w:pPr>
              <w:widowControl/>
              <w:jc w:val="center"/>
              <w:rPr>
                <w:rFonts w:eastAsia="仿宋_GB2312"/>
                <w:b/>
                <w:bCs/>
                <w:color w:val="000000"/>
                <w:kern w:val="0"/>
                <w:sz w:val="32"/>
                <w:szCs w:val="32"/>
              </w:rPr>
            </w:pPr>
            <w:r>
              <w:rPr>
                <w:rFonts w:eastAsia="仿宋_GB2312"/>
                <w:b/>
                <w:bCs/>
                <w:color w:val="000000"/>
                <w:kern w:val="0"/>
                <w:sz w:val="32"/>
                <w:szCs w:val="32"/>
              </w:rPr>
              <w:t>报  价  清  单</w:t>
            </w:r>
          </w:p>
        </w:tc>
      </w:tr>
      <w:tr>
        <w:tblPrEx>
          <w:tblCellMar>
            <w:top w:w="0" w:type="dxa"/>
            <w:left w:w="108" w:type="dxa"/>
            <w:bottom w:w="0" w:type="dxa"/>
            <w:right w:w="108" w:type="dxa"/>
          </w:tblCellMar>
        </w:tblPrEx>
        <w:trPr>
          <w:trHeight w:val="525" w:hRule="atLeast"/>
          <w:jc w:val="center"/>
        </w:trPr>
        <w:tc>
          <w:tcPr>
            <w:tcW w:w="10661" w:type="dxa"/>
            <w:gridSpan w:val="6"/>
            <w:tcBorders>
              <w:top w:val="nil"/>
              <w:left w:val="nil"/>
              <w:bottom w:val="single" w:color="auto" w:sz="4" w:space="0"/>
              <w:right w:val="nil"/>
            </w:tcBorders>
            <w:shd w:val="clear" w:color="auto" w:fill="auto"/>
            <w:vAlign w:val="bottom"/>
          </w:tcPr>
          <w:p>
            <w:pPr>
              <w:widowControl/>
              <w:jc w:val="center"/>
              <w:rPr>
                <w:rFonts w:eastAsia="仿宋_GB2312"/>
                <w:b/>
                <w:bCs/>
                <w:color w:val="000000"/>
                <w:kern w:val="0"/>
                <w:sz w:val="24"/>
              </w:rPr>
            </w:pPr>
            <w:r>
              <w:rPr>
                <w:rFonts w:eastAsia="仿宋_GB2312"/>
                <w:b/>
                <w:bCs/>
                <w:color w:val="000000"/>
                <w:kern w:val="0"/>
                <w:sz w:val="24"/>
              </w:rPr>
              <w:t>工程名称:</w:t>
            </w:r>
            <w:r>
              <w:t xml:space="preserve"> </w:t>
            </w:r>
            <w:r>
              <w:rPr>
                <w:rFonts w:eastAsia="仿宋_GB2312"/>
                <w:b/>
                <w:bCs/>
                <w:color w:val="000000"/>
                <w:kern w:val="0"/>
                <w:sz w:val="24"/>
              </w:rPr>
              <w:t xml:space="preserve">2023年北海糖业泡沫板更换安全整改工程                    2023 年 7月18日                                                                                                                                </w:t>
            </w:r>
          </w:p>
        </w:tc>
      </w:tr>
      <w:tr>
        <w:tblPrEx>
          <w:tblCellMar>
            <w:top w:w="0" w:type="dxa"/>
            <w:left w:w="108" w:type="dxa"/>
            <w:bottom w:w="0" w:type="dxa"/>
            <w:right w:w="108" w:type="dxa"/>
          </w:tblCellMar>
        </w:tblPrEx>
        <w:trPr>
          <w:trHeight w:val="345"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color w:val="000000"/>
                <w:kern w:val="0"/>
                <w:sz w:val="24"/>
              </w:rPr>
            </w:pPr>
            <w:r>
              <w:rPr>
                <w:rFonts w:eastAsia="仿宋_GB2312"/>
                <w:b/>
                <w:bCs/>
                <w:color w:val="000000"/>
                <w:kern w:val="0"/>
                <w:sz w:val="24"/>
              </w:rPr>
              <w:t>定额编号</w:t>
            </w:r>
          </w:p>
        </w:tc>
        <w:tc>
          <w:tcPr>
            <w:tcW w:w="542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color w:val="000000"/>
                <w:kern w:val="0"/>
                <w:sz w:val="24"/>
              </w:rPr>
            </w:pPr>
            <w:r>
              <w:rPr>
                <w:rFonts w:eastAsia="仿宋_GB2312"/>
                <w:b/>
                <w:bCs/>
                <w:color w:val="000000"/>
                <w:kern w:val="0"/>
                <w:sz w:val="24"/>
              </w:rPr>
              <w:t>定 额 名 称</w:t>
            </w:r>
          </w:p>
        </w:tc>
        <w:tc>
          <w:tcPr>
            <w:tcW w:w="65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color w:val="000000"/>
                <w:kern w:val="0"/>
                <w:sz w:val="24"/>
              </w:rPr>
            </w:pPr>
            <w:r>
              <w:rPr>
                <w:rFonts w:eastAsia="仿宋_GB2312"/>
                <w:b/>
                <w:bCs/>
                <w:color w:val="000000"/>
                <w:kern w:val="0"/>
                <w:sz w:val="24"/>
              </w:rPr>
              <w:t>单位</w:t>
            </w:r>
          </w:p>
        </w:tc>
        <w:tc>
          <w:tcPr>
            <w:tcW w:w="10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color w:val="000000"/>
                <w:kern w:val="0"/>
                <w:sz w:val="24"/>
              </w:rPr>
            </w:pPr>
            <w:r>
              <w:rPr>
                <w:rFonts w:eastAsia="仿宋_GB2312"/>
                <w:b/>
                <w:bCs/>
                <w:color w:val="000000"/>
                <w:kern w:val="0"/>
                <w:sz w:val="24"/>
              </w:rPr>
              <w:t>工程量</w:t>
            </w:r>
          </w:p>
        </w:tc>
        <w:tc>
          <w:tcPr>
            <w:tcW w:w="13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b/>
                <w:bCs/>
                <w:color w:val="000000"/>
                <w:kern w:val="0"/>
                <w:sz w:val="24"/>
              </w:rPr>
            </w:pPr>
            <w:r>
              <w:rPr>
                <w:rFonts w:eastAsia="仿宋_GB2312"/>
                <w:b/>
                <w:bCs/>
                <w:color w:val="000000"/>
                <w:kern w:val="0"/>
                <w:sz w:val="24"/>
              </w:rPr>
              <w:t>综合单价(元)</w:t>
            </w:r>
          </w:p>
        </w:tc>
        <w:tc>
          <w:tcPr>
            <w:tcW w:w="14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color w:val="000000"/>
                <w:kern w:val="0"/>
                <w:sz w:val="24"/>
              </w:rPr>
            </w:pPr>
            <w:r>
              <w:rPr>
                <w:rFonts w:eastAsia="仿宋_GB2312"/>
                <w:b/>
                <w:bCs/>
                <w:color w:val="000000"/>
                <w:kern w:val="0"/>
                <w:sz w:val="24"/>
              </w:rPr>
              <w:t>合价(元)</w:t>
            </w:r>
          </w:p>
        </w:tc>
      </w:tr>
      <w:tr>
        <w:tblPrEx>
          <w:tblCellMar>
            <w:top w:w="0" w:type="dxa"/>
            <w:left w:w="108" w:type="dxa"/>
            <w:bottom w:w="0" w:type="dxa"/>
            <w:right w:w="108" w:type="dxa"/>
          </w:tblCellMar>
        </w:tblPrEx>
        <w:trPr>
          <w:trHeight w:val="390" w:hRule="atLeast"/>
          <w:jc w:val="center"/>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0"/>
                <w:szCs w:val="20"/>
              </w:rPr>
            </w:pPr>
          </w:p>
        </w:tc>
        <w:tc>
          <w:tcPr>
            <w:tcW w:w="542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0"/>
                <w:szCs w:val="20"/>
              </w:rPr>
            </w:pPr>
          </w:p>
        </w:tc>
        <w:tc>
          <w:tcPr>
            <w:tcW w:w="65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0"/>
                <w:szCs w:val="20"/>
              </w:rPr>
            </w:pPr>
          </w:p>
        </w:tc>
        <w:tc>
          <w:tcPr>
            <w:tcW w:w="1354"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trHeight w:val="60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color w:val="080000"/>
                <w:kern w:val="0"/>
                <w:sz w:val="24"/>
              </w:rPr>
            </w:pPr>
            <w:r>
              <w:rPr>
                <w:rFonts w:eastAsia="仿宋_GB2312"/>
                <w:b/>
                <w:sz w:val="24"/>
              </w:rPr>
              <w:t>一</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b/>
                <w:bCs/>
                <w:color w:val="000000"/>
                <w:kern w:val="0"/>
                <w:sz w:val="24"/>
              </w:rPr>
            </w:pPr>
            <w:r>
              <w:rPr>
                <w:rFonts w:eastAsia="仿宋_GB2312"/>
                <w:b/>
                <w:sz w:val="24"/>
              </w:rPr>
              <w:t>制炼车间</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b/>
                <w:bCs/>
                <w:kern w:val="0"/>
                <w:sz w:val="20"/>
                <w:szCs w:val="20"/>
              </w:rPr>
            </w:pPr>
            <w:r>
              <w:rPr>
                <w:rFonts w:eastAsia="仿宋_GB2312"/>
                <w:b/>
                <w:bCs/>
                <w:kern w:val="0"/>
                <w:sz w:val="20"/>
                <w:szCs w:val="20"/>
              </w:rPr>
              <w:t>　</w:t>
            </w:r>
          </w:p>
        </w:tc>
      </w:tr>
      <w:tr>
        <w:tblPrEx>
          <w:tblCellMar>
            <w:top w:w="0" w:type="dxa"/>
            <w:left w:w="108" w:type="dxa"/>
            <w:bottom w:w="0" w:type="dxa"/>
            <w:right w:w="108" w:type="dxa"/>
          </w:tblCellMar>
        </w:tblPrEx>
        <w:trPr>
          <w:trHeight w:val="736"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sz w:val="24"/>
              </w:rPr>
              <w:t>1</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sz w:val="24"/>
              </w:rPr>
            </w:pPr>
            <w:r>
              <w:rPr>
                <w:rFonts w:eastAsia="仿宋_GB2312"/>
                <w:sz w:val="24"/>
              </w:rPr>
              <w:t>脱泥房拆除墙体及屋面泡沫板，高度约 5 米（含搭拆脚手架或者载人吊车）</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hint="eastAsia" w:ascii="Batang" w:hAnsi="Batang" w:eastAsia="Batang" w:cs="Batang"/>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195</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988"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sz w:val="24"/>
              </w:rPr>
              <w:t>2</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eastAsia="仿宋_GB2312"/>
                <w:color w:val="000000"/>
                <w:kern w:val="0"/>
                <w:sz w:val="24"/>
              </w:rPr>
              <w:t>脱泥房墙体及屋面重新制作安装岩棉夹芯板（</w:t>
            </w:r>
            <w:r>
              <w:rPr>
                <w:color w:val="000000"/>
                <w:kern w:val="0"/>
                <w:sz w:val="24"/>
              </w:rPr>
              <w:t xml:space="preserve">A </w:t>
            </w:r>
            <w:r>
              <w:rPr>
                <w:rFonts w:eastAsia="仿宋_GB2312"/>
                <w:color w:val="000000"/>
                <w:kern w:val="0"/>
                <w:sz w:val="24"/>
              </w:rPr>
              <w:t>级防火材料）</w:t>
            </w:r>
            <w:r>
              <w:rPr>
                <w:color w:val="000000"/>
                <w:kern w:val="0"/>
                <w:sz w:val="24"/>
              </w:rPr>
              <w:t xml:space="preserve">100mm </w:t>
            </w:r>
            <w:r>
              <w:rPr>
                <w:rFonts w:eastAsia="仿宋_GB2312"/>
                <w:color w:val="000000"/>
                <w:kern w:val="0"/>
                <w:sz w:val="24"/>
              </w:rPr>
              <w:t>厚，墙角做封边处理（含搭拆脚手 架或者载人吊车）</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hint="eastAsia" w:ascii="Batang" w:hAnsi="Batang" w:eastAsia="Batang" w:cs="Batang"/>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195</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746"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sz w:val="24"/>
              </w:rPr>
              <w:t>3</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eastAsia="仿宋_GB2312"/>
                <w:color w:val="000000"/>
                <w:kern w:val="0"/>
                <w:sz w:val="24"/>
              </w:rPr>
              <w:t xml:space="preserve">装包间一楼过道处墙体泡沫板及铝合金窗户拆除，高度约 </w:t>
            </w:r>
            <w:r>
              <w:rPr>
                <w:color w:val="000000"/>
                <w:kern w:val="0"/>
                <w:sz w:val="24"/>
              </w:rPr>
              <w:t xml:space="preserve">5 </w:t>
            </w:r>
            <w:r>
              <w:rPr>
                <w:rFonts w:eastAsia="仿宋_GB2312"/>
                <w:color w:val="000000"/>
                <w:kern w:val="0"/>
                <w:sz w:val="24"/>
              </w:rPr>
              <w:t>米（含搭拆脚手架）</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Batang"/>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28</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111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sz w:val="24"/>
              </w:rPr>
              <w:t>4</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eastAsia="仿宋_GB2312"/>
                <w:color w:val="000000"/>
                <w:kern w:val="0"/>
                <w:sz w:val="24"/>
              </w:rPr>
              <w:t>装包间一楼过道处旁配电室，墙体重新制作安装岩棉夹心板（</w:t>
            </w:r>
            <w:r>
              <w:rPr>
                <w:color w:val="000000"/>
                <w:kern w:val="0"/>
                <w:sz w:val="24"/>
              </w:rPr>
              <w:t xml:space="preserve">A </w:t>
            </w:r>
            <w:r>
              <w:rPr>
                <w:rFonts w:eastAsia="仿宋_GB2312"/>
                <w:color w:val="000000"/>
                <w:kern w:val="0"/>
                <w:sz w:val="24"/>
              </w:rPr>
              <w:t>级防火材料）</w:t>
            </w:r>
            <w:r>
              <w:rPr>
                <w:color w:val="000000"/>
                <w:kern w:val="0"/>
                <w:sz w:val="24"/>
              </w:rPr>
              <w:t>50mm</w:t>
            </w:r>
            <w:r>
              <w:rPr>
                <w:rFonts w:eastAsia="仿宋_GB2312"/>
                <w:color w:val="000000"/>
                <w:kern w:val="0"/>
                <w:sz w:val="24"/>
              </w:rPr>
              <w:t>厚，（含安装门</w:t>
            </w:r>
            <w:r>
              <w:rPr>
                <w:color w:val="000000"/>
                <w:kern w:val="0"/>
                <w:sz w:val="24"/>
              </w:rPr>
              <w:t xml:space="preserve">1.2*2m </w:t>
            </w:r>
            <w:r>
              <w:rPr>
                <w:rFonts w:eastAsia="仿宋_GB2312"/>
                <w:color w:val="000000"/>
                <w:kern w:val="0"/>
                <w:sz w:val="24"/>
              </w:rPr>
              <w:t xml:space="preserve">高 </w:t>
            </w:r>
            <w:r>
              <w:rPr>
                <w:color w:val="000000"/>
                <w:kern w:val="0"/>
                <w:sz w:val="24"/>
              </w:rPr>
              <w:t xml:space="preserve">2 </w:t>
            </w:r>
            <w:r>
              <w:rPr>
                <w:rFonts w:eastAsia="仿宋_GB2312"/>
                <w:color w:val="000000"/>
                <w:kern w:val="0"/>
                <w:sz w:val="24"/>
              </w:rPr>
              <w:t>扇，檩条框架安装、搭拆脚手架）</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Batang"/>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28</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74"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b/>
                <w:bCs/>
                <w:color w:val="080000"/>
                <w:kern w:val="0"/>
                <w:sz w:val="24"/>
              </w:rPr>
              <w:t>二</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b/>
                <w:bCs/>
                <w:color w:val="000000"/>
                <w:kern w:val="0"/>
                <w:sz w:val="24"/>
              </w:rPr>
              <w:t>品控部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kern w:val="0"/>
                <w:sz w:val="24"/>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645"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b/>
                <w:bCs/>
                <w:kern w:val="0"/>
                <w:sz w:val="24"/>
              </w:rPr>
              <w:t>1</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sz w:val="24"/>
              </w:rPr>
              <w:t>拆除墙体及吊顶泡沫板（含搭拆脚手架）</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Batang"/>
                <w:color w:val="000000"/>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 xml:space="preserve">87.60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86"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b/>
                <w:bCs/>
                <w:kern w:val="0"/>
                <w:sz w:val="24"/>
              </w:rPr>
              <w:t>2</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sz w:val="24"/>
              </w:rPr>
              <w:t>墙体及吊顶重新制作安装50mm厚玻镁双面不锈钢板0.4mm，玻镁夹心，A级防火，空隙密封（含角铝、圆角、阳角等其他配件材料）</w:t>
            </w:r>
            <w:r>
              <w:rPr>
                <w:rFonts w:eastAsia="仿宋_GB2312"/>
                <w:color w:val="000000"/>
                <w:sz w:val="24"/>
              </w:rPr>
              <w:br w:type="textWrapping"/>
            </w:r>
            <w:r>
              <w:rPr>
                <w:rFonts w:eastAsia="仿宋_GB2312"/>
                <w:color w:val="000000"/>
                <w:sz w:val="24"/>
              </w:rPr>
              <w:t>1.固定防火玻璃窗0.9*1.2m高1个</w:t>
            </w:r>
            <w:r>
              <w:rPr>
                <w:rFonts w:eastAsia="仿宋_GB2312"/>
                <w:color w:val="000000"/>
                <w:sz w:val="24"/>
              </w:rPr>
              <w:br w:type="textWrapping"/>
            </w:r>
            <w:r>
              <w:rPr>
                <w:rFonts w:eastAsia="仿宋_GB2312"/>
                <w:color w:val="000000"/>
                <w:sz w:val="24"/>
              </w:rPr>
              <w:t>2.净化密封门0.9*2m高3扇</w:t>
            </w:r>
            <w:r>
              <w:rPr>
                <w:rFonts w:eastAsia="仿宋_GB2312"/>
                <w:color w:val="000000"/>
                <w:sz w:val="24"/>
              </w:rPr>
              <w:br w:type="textWrapping"/>
            </w:r>
            <w:r>
              <w:rPr>
                <w:rFonts w:eastAsia="仿宋_GB2312"/>
                <w:color w:val="000000"/>
                <w:sz w:val="24"/>
              </w:rPr>
              <w:t>3.搭拆脚手架</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Batang"/>
                <w:color w:val="000000"/>
                <w:sz w:val="24"/>
              </w:rPr>
              <w:t>㎡</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 xml:space="preserve">87.60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856"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4"/>
              </w:rPr>
            </w:pPr>
            <w:r>
              <w:rPr>
                <w:rFonts w:eastAsia="仿宋_GB2312"/>
                <w:b/>
                <w:bCs/>
                <w:kern w:val="0"/>
                <w:sz w:val="24"/>
              </w:rPr>
              <w:t>3</w:t>
            </w:r>
          </w:p>
        </w:tc>
        <w:tc>
          <w:tcPr>
            <w:tcW w:w="542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sz w:val="24"/>
              </w:rPr>
              <w:t>恢复拆除安装过程中损坏的地坪、电灯、线槽、空调等配套设施</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仿宋_GB2312"/>
                <w:color w:val="000000"/>
                <w:sz w:val="24"/>
              </w:rPr>
              <w:t>项</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r>
              <w:rPr>
                <w:rFonts w:eastAsia="仿宋_GB2312"/>
                <w:sz w:val="24"/>
              </w:rPr>
              <w:t xml:space="preserve">1.00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21"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b/>
                <w:bCs/>
                <w:kern w:val="0"/>
                <w:sz w:val="28"/>
                <w:szCs w:val="28"/>
              </w:rPr>
            </w:pPr>
          </w:p>
        </w:tc>
        <w:tc>
          <w:tcPr>
            <w:tcW w:w="542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color w:val="000000"/>
                <w:kern w:val="0"/>
                <w:sz w:val="28"/>
                <w:szCs w:val="28"/>
              </w:rPr>
            </w:pPr>
            <w:r>
              <w:rPr>
                <w:rFonts w:eastAsia="仿宋_GB2312"/>
                <w:b/>
                <w:color w:val="000000"/>
                <w:kern w:val="0"/>
                <w:sz w:val="28"/>
                <w:szCs w:val="28"/>
              </w:rPr>
              <w:t>总  合  计（含税）</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b/>
                <w:color w:val="000000"/>
                <w:kern w:val="0"/>
                <w:sz w:val="28"/>
                <w:szCs w:val="28"/>
              </w:rPr>
            </w:pPr>
            <w:r>
              <w:rPr>
                <w:rFonts w:eastAsia="仿宋_GB2312"/>
                <w:b/>
                <w:color w:val="000000"/>
                <w:kern w:val="0"/>
                <w:sz w:val="28"/>
                <w:szCs w:val="28"/>
              </w:rPr>
              <w:t>元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b/>
                <w:kern w:val="0"/>
                <w:sz w:val="28"/>
                <w:szCs w:val="28"/>
              </w:rPr>
            </w:pPr>
            <w:r>
              <w:rPr>
                <w:rFonts w:eastAsia="仿宋_GB2312"/>
                <w:b/>
                <w:kern w:val="0"/>
                <w:sz w:val="28"/>
                <w:szCs w:val="28"/>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b/>
                <w:kern w:val="0"/>
                <w:sz w:val="24"/>
              </w:rPr>
            </w:pPr>
            <w:r>
              <w:rPr>
                <w:rFonts w:eastAsia="仿宋_GB2312"/>
                <w:b/>
                <w:kern w:val="0"/>
                <w:sz w:val="24"/>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b/>
                <w:kern w:val="0"/>
                <w:sz w:val="24"/>
              </w:rPr>
            </w:pPr>
            <w:r>
              <w:rPr>
                <w:rFonts w:eastAsia="仿宋_GB2312"/>
                <w:b/>
                <w:kern w:val="0"/>
                <w:sz w:val="24"/>
              </w:rPr>
              <w:t>　</w:t>
            </w:r>
          </w:p>
        </w:tc>
      </w:tr>
      <w:tr>
        <w:tblPrEx>
          <w:tblCellMar>
            <w:top w:w="0" w:type="dxa"/>
            <w:left w:w="108" w:type="dxa"/>
            <w:bottom w:w="0" w:type="dxa"/>
            <w:right w:w="108" w:type="dxa"/>
          </w:tblCellMar>
        </w:tblPrEx>
        <w:trPr>
          <w:trHeight w:val="1593" w:hRule="atLeast"/>
          <w:jc w:val="center"/>
        </w:trPr>
        <w:tc>
          <w:tcPr>
            <w:tcW w:w="106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left"/>
              <w:rPr>
                <w:rFonts w:eastAsia="仿宋_GB2312"/>
                <w:b/>
                <w:kern w:val="0"/>
                <w:sz w:val="24"/>
              </w:rPr>
            </w:pPr>
            <w:r>
              <w:rPr>
                <w:rFonts w:eastAsia="仿宋_GB2312"/>
                <w:b/>
                <w:kern w:val="0"/>
                <w:sz w:val="24"/>
              </w:rPr>
              <w:t>备注：1、本工程参考采购方提供的工程量以固定综合总价方式报价。</w:t>
            </w:r>
          </w:p>
          <w:p>
            <w:pPr>
              <w:autoSpaceDE w:val="0"/>
              <w:autoSpaceDN w:val="0"/>
              <w:adjustRightInd w:val="0"/>
              <w:jc w:val="left"/>
              <w:rPr>
                <w:rFonts w:eastAsia="仿宋_GB2312"/>
                <w:b/>
                <w:kern w:val="0"/>
                <w:sz w:val="32"/>
                <w:szCs w:val="32"/>
              </w:rPr>
            </w:pPr>
            <w:r>
              <w:rPr>
                <w:rFonts w:eastAsia="仿宋_GB2312"/>
                <w:b/>
                <w:kern w:val="0"/>
                <w:sz w:val="24"/>
              </w:rPr>
              <w:t xml:space="preserve">     2、本工程施工单位应根据施工期间材料、机械设备可能由于市场价格上涨（或下跌）因素自行考虑由此引起的风险并计入报价中，施工单位应对自己的报价承担风险。</w:t>
            </w:r>
          </w:p>
        </w:tc>
      </w:tr>
    </w:tbl>
    <w:p>
      <w:pPr>
        <w:autoSpaceDE w:val="0"/>
        <w:autoSpaceDN w:val="0"/>
        <w:adjustRightInd w:val="0"/>
        <w:ind w:right="640" w:firstLine="5280" w:firstLineChars="1650"/>
        <w:rPr>
          <w:rFonts w:eastAsia="仿宋_GB2312"/>
          <w:kern w:val="0"/>
          <w:sz w:val="32"/>
          <w:szCs w:val="32"/>
        </w:rPr>
      </w:pPr>
      <w:r>
        <w:rPr>
          <w:rFonts w:eastAsia="仿宋_GB2312"/>
          <w:kern w:val="0"/>
          <w:sz w:val="32"/>
          <w:szCs w:val="32"/>
        </w:rPr>
        <w:t>报价单位（公章）：</w:t>
      </w:r>
    </w:p>
    <w:p>
      <w:pPr>
        <w:autoSpaceDE w:val="0"/>
        <w:autoSpaceDN w:val="0"/>
        <w:adjustRightInd w:val="0"/>
        <w:rPr>
          <w:rFonts w:eastAsia="方正小标宋_GBK"/>
          <w:kern w:val="0"/>
          <w:sz w:val="36"/>
          <w:szCs w:val="36"/>
        </w:rPr>
      </w:pPr>
    </w:p>
    <w:p>
      <w:pPr>
        <w:autoSpaceDE w:val="0"/>
        <w:autoSpaceDN w:val="0"/>
        <w:adjustRightInd w:val="0"/>
        <w:rPr>
          <w:rFonts w:eastAsia="方正小标宋_GBK"/>
          <w:kern w:val="0"/>
          <w:sz w:val="36"/>
          <w:szCs w:val="36"/>
        </w:rPr>
      </w:pPr>
    </w:p>
    <w:p>
      <w:pPr>
        <w:autoSpaceDE w:val="0"/>
        <w:autoSpaceDN w:val="0"/>
        <w:adjustRightInd w:val="0"/>
        <w:jc w:val="center"/>
        <w:rPr>
          <w:rFonts w:eastAsia="方正小标宋_GBK"/>
          <w:kern w:val="0"/>
          <w:sz w:val="36"/>
          <w:szCs w:val="36"/>
        </w:rPr>
      </w:pPr>
      <w:r>
        <w:rPr>
          <w:rFonts w:eastAsia="方正小标宋_GBK"/>
          <w:kern w:val="0"/>
          <w:sz w:val="36"/>
          <w:szCs w:val="36"/>
        </w:rPr>
        <w:t>廉洁承诺书</w:t>
      </w:r>
    </w:p>
    <w:p>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中粮屯河北海糖业有限公司：</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1.自觉遵守国家法律法规及中粮糖业公司有关廉政建设制度。</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2.不使用不正当手段妨碍、排挤其它投标单位或串通投标。</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3.按照招标文件规定的方式进行投标，不隐瞒本单位投标资质的真实情况，投标资质符合规定；保证不会以其他人名义投标或者以其他方式弄虚作假，骗取中标。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4.不将主体、关键性工作进行分包（包括贴牌生产、转包等）。</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6.不向贵公司涉及招标的部门及个人支付好处费、介绍费；购置或提供通讯工具、交通工具、电脑等。</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7.一旦发现相关人员在招标过程中有索要财物等不廉洁行为，坚决予以抵制，并及时向贵公司纪检监察部举报。</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8.我方自愿将本承诺书作为投标文件及合同的附件，具有同等的法律效力。</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10.本承诺书自签署之日起生效。</w:t>
      </w:r>
    </w:p>
    <w:p>
      <w:pPr>
        <w:autoSpaceDE w:val="0"/>
        <w:autoSpaceDN w:val="0"/>
        <w:adjustRightInd w:val="0"/>
        <w:spacing w:line="200" w:lineRule="exact"/>
        <w:jc w:val="left"/>
        <w:rPr>
          <w:rFonts w:eastAsia="仿宋_GB2312"/>
          <w:kern w:val="0"/>
          <w:sz w:val="30"/>
          <w:szCs w:val="30"/>
        </w:rPr>
      </w:pP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投标单位（公章）：</w:t>
      </w:r>
    </w:p>
    <w:p>
      <w:pPr>
        <w:autoSpaceDE w:val="0"/>
        <w:autoSpaceDN w:val="0"/>
        <w:adjustRightInd w:val="0"/>
        <w:spacing w:line="400" w:lineRule="exact"/>
        <w:ind w:firstLine="600" w:firstLineChars="200"/>
        <w:jc w:val="left"/>
        <w:rPr>
          <w:rFonts w:eastAsia="仿宋_GB2312"/>
          <w:kern w:val="0"/>
          <w:sz w:val="30"/>
          <w:szCs w:val="30"/>
        </w:rPr>
      </w:pPr>
      <w:r>
        <w:rPr>
          <w:rFonts w:eastAsia="仿宋_GB2312"/>
          <w:kern w:val="0"/>
          <w:sz w:val="30"/>
          <w:szCs w:val="30"/>
        </w:rPr>
        <w:t>法定代表人或授权代理人（签名）：</w:t>
      </w:r>
    </w:p>
    <w:p>
      <w:pPr>
        <w:autoSpaceDE w:val="0"/>
        <w:autoSpaceDN w:val="0"/>
        <w:adjustRightInd w:val="0"/>
        <w:spacing w:line="200" w:lineRule="exact"/>
        <w:ind w:firstLine="600" w:firstLineChars="200"/>
        <w:jc w:val="left"/>
        <w:rPr>
          <w:rFonts w:eastAsia="仿宋_GB2312"/>
          <w:kern w:val="0"/>
          <w:sz w:val="30"/>
          <w:szCs w:val="30"/>
        </w:rPr>
      </w:pPr>
    </w:p>
    <w:p>
      <w:pPr>
        <w:spacing w:line="400" w:lineRule="exact"/>
        <w:ind w:firstLine="630"/>
        <w:rPr>
          <w:rFonts w:eastAsia="仿宋_GB2312"/>
          <w:sz w:val="30"/>
          <w:szCs w:val="30"/>
          <w:lang w:val="zh-CN"/>
        </w:rPr>
      </w:pPr>
      <w:r>
        <w:rPr>
          <w:rFonts w:eastAsia="仿宋_GB2312"/>
          <w:sz w:val="30"/>
          <w:szCs w:val="30"/>
          <w:lang w:val="zh-CN" w:eastAsia="zh-CN"/>
        </w:rPr>
        <w:t>日期：   年  月  日</w:t>
      </w:r>
    </w:p>
    <w:p>
      <w:pPr>
        <w:spacing w:line="400" w:lineRule="exact"/>
        <w:ind w:firstLine="600" w:firstLineChars="200"/>
        <w:rPr>
          <w:rFonts w:eastAsia="仿宋_GB2312"/>
          <w:sz w:val="30"/>
          <w:szCs w:val="30"/>
          <w:lang w:val="zh-CN" w:eastAsia="zh-CN"/>
        </w:rPr>
      </w:pPr>
      <w:r>
        <w:rPr>
          <w:rFonts w:eastAsia="仿宋_GB2312"/>
          <w:sz w:val="30"/>
          <w:szCs w:val="30"/>
          <w:lang w:val="zh-CN" w:eastAsia="zh-CN"/>
        </w:rPr>
        <w:t>监督联络方式：</w:t>
      </w:r>
    </w:p>
    <w:p>
      <w:pPr>
        <w:spacing w:line="400" w:lineRule="exact"/>
        <w:ind w:firstLine="600" w:firstLineChars="200"/>
        <w:rPr>
          <w:rFonts w:eastAsia="仿宋_GB2312"/>
          <w:sz w:val="30"/>
          <w:szCs w:val="30"/>
        </w:rPr>
      </w:pPr>
      <w:r>
        <w:rPr>
          <w:rFonts w:eastAsia="仿宋_GB2312"/>
          <w:sz w:val="30"/>
          <w:szCs w:val="30"/>
        </w:rPr>
        <w:t>中粮糖业纪委联系方式：办公电话  010-85017235</w:t>
      </w:r>
    </w:p>
    <w:p>
      <w:pPr>
        <w:pStyle w:val="3"/>
        <w:spacing w:line="560" w:lineRule="exact"/>
        <w:ind w:firstLine="0" w:firstLineChars="0"/>
        <w:rPr>
          <w:sz w:val="30"/>
          <w:szCs w:val="30"/>
        </w:rPr>
      </w:pPr>
      <w:r>
        <w:rPr>
          <w:sz w:val="30"/>
          <w:szCs w:val="30"/>
        </w:rPr>
        <w:t xml:space="preserve">通信地址：北京市朝阳区朝阳门南大街8号中粮福临门大厦9层905房间，中粮糖业纪委办公室收，邮编100020。   </w:t>
      </w:r>
    </w:p>
    <w:sectPr>
      <w:footerReference r:id="rId3" w:type="default"/>
      <w:pgSz w:w="11906" w:h="16838"/>
      <w:pgMar w:top="851" w:right="851" w:bottom="851" w:left="851" w:header="65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Batang">
    <w:altName w:val="Times New Roman"/>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 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5</w:t>
    </w:r>
    <w:r>
      <w:rPr>
        <w:rFonts w:eastAsia="仿宋_GB2312"/>
        <w:kern w:val="0"/>
        <w:sz w:val="24"/>
        <w:szCs w:val="21"/>
      </w:rPr>
      <w:fldChar w:fldCharType="end"/>
    </w:r>
    <w:r>
      <w:rPr>
        <w:rFonts w:hint="eastAsia" w:eastAsia="仿宋_GB2312"/>
        <w:kern w:val="0"/>
        <w:sz w:val="24"/>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405B"/>
    <w:rsid w:val="00045C25"/>
    <w:rsid w:val="0004781D"/>
    <w:rsid w:val="00050B4E"/>
    <w:rsid w:val="00051C2E"/>
    <w:rsid w:val="00053C81"/>
    <w:rsid w:val="00077D45"/>
    <w:rsid w:val="000866AE"/>
    <w:rsid w:val="00094760"/>
    <w:rsid w:val="00094D6B"/>
    <w:rsid w:val="000B0EA8"/>
    <w:rsid w:val="000B4255"/>
    <w:rsid w:val="000B69D3"/>
    <w:rsid w:val="000D111A"/>
    <w:rsid w:val="000D32AF"/>
    <w:rsid w:val="000D4646"/>
    <w:rsid w:val="000E00F3"/>
    <w:rsid w:val="000E3EDE"/>
    <w:rsid w:val="000E4B3F"/>
    <w:rsid w:val="000F53E2"/>
    <w:rsid w:val="000F5D54"/>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472C"/>
    <w:rsid w:val="002055F0"/>
    <w:rsid w:val="0021244F"/>
    <w:rsid w:val="002159B5"/>
    <w:rsid w:val="00217687"/>
    <w:rsid w:val="00223E46"/>
    <w:rsid w:val="00224D87"/>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DB5"/>
    <w:rsid w:val="0079197E"/>
    <w:rsid w:val="00792D21"/>
    <w:rsid w:val="00794A79"/>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155327C"/>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45"/>
    <w:semiHidden/>
    <w:unhideWhenUsed/>
    <w:uiPriority w:val="0"/>
    <w:pPr>
      <w:spacing w:after="120"/>
    </w:pPr>
  </w:style>
  <w:style w:type="paragraph" w:styleId="3">
    <w:name w:val="Body Text Indent"/>
    <w:basedOn w:val="1"/>
    <w:qFormat/>
    <w:uiPriority w:val="0"/>
    <w:pPr>
      <w:spacing w:line="500" w:lineRule="exact"/>
      <w:ind w:firstLine="640" w:firstLineChars="200"/>
    </w:pPr>
    <w:rPr>
      <w:rFonts w:eastAsia="仿宋_GB2312"/>
      <w:sz w:val="32"/>
    </w:rPr>
  </w:style>
  <w:style w:type="paragraph" w:styleId="4">
    <w:name w:val="Plain Text"/>
    <w:basedOn w:val="1"/>
    <w:link w:val="46"/>
    <w:uiPriority w:val="0"/>
    <w:rPr>
      <w:rFonts w:ascii="宋体" w:hAnsi="Courier New"/>
      <w:szCs w:val="20"/>
    </w:rPr>
  </w:style>
  <w:style w:type="paragraph" w:styleId="5">
    <w:name w:val="Date"/>
    <w:basedOn w:val="1"/>
    <w:next w:val="1"/>
    <w:link w:val="47"/>
    <w:qFormat/>
    <w:uiPriority w:val="0"/>
    <w:pPr>
      <w:ind w:left="100" w:leftChars="2500"/>
    </w:pPr>
  </w:style>
  <w:style w:type="paragraph" w:styleId="6">
    <w:name w:val="Body Text Indent 2"/>
    <w:basedOn w:val="1"/>
    <w:qFormat/>
    <w:uiPriority w:val="0"/>
    <w:pPr>
      <w:spacing w:line="460" w:lineRule="exact"/>
      <w:ind w:firstLine="600" w:firstLineChars="200"/>
    </w:pPr>
    <w:rPr>
      <w:rFonts w:eastAsia="仿宋_GB2312"/>
      <w:sz w:val="3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character" w:styleId="12">
    <w:name w:val="FollowedHyperlink"/>
    <w:basedOn w:val="11"/>
    <w:qFormat/>
    <w:uiPriority w:val="99"/>
    <w:rPr>
      <w:color w:val="800080"/>
      <w:u w:val="single"/>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font5"/>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16">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0">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2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
    <w:name w:val="font12"/>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3">
    <w:name w:val="font13"/>
    <w:basedOn w:val="1"/>
    <w:qFormat/>
    <w:uiPriority w:val="0"/>
    <w:pPr>
      <w:widowControl/>
      <w:spacing w:before="100" w:beforeAutospacing="1" w:after="100" w:afterAutospacing="1"/>
      <w:jc w:val="left"/>
    </w:pPr>
    <w:rPr>
      <w:kern w:val="0"/>
      <w:sz w:val="20"/>
      <w:szCs w:val="20"/>
    </w:rPr>
  </w:style>
  <w:style w:type="paragraph" w:customStyle="1" w:styleId="24">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
    <w:name w:val="font15"/>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2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7">
    <w:name w:val="xl66"/>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3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39">
    <w:name w:val="xl7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0"/>
      <w:szCs w:val="20"/>
    </w:rPr>
  </w:style>
  <w:style w:type="paragraph" w:customStyle="1" w:styleId="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character" w:customStyle="1" w:styleId="45">
    <w:name w:val="正文文本 Char"/>
    <w:basedOn w:val="11"/>
    <w:link w:val="2"/>
    <w:semiHidden/>
    <w:uiPriority w:val="0"/>
    <w:rPr>
      <w:kern w:val="2"/>
      <w:sz w:val="21"/>
      <w:szCs w:val="24"/>
    </w:rPr>
  </w:style>
  <w:style w:type="character" w:customStyle="1" w:styleId="46">
    <w:name w:val="纯文本 Char"/>
    <w:basedOn w:val="11"/>
    <w:link w:val="4"/>
    <w:uiPriority w:val="0"/>
    <w:rPr>
      <w:rFonts w:ascii="宋体" w:hAnsi="Courier New"/>
      <w:kern w:val="2"/>
      <w:sz w:val="21"/>
    </w:rPr>
  </w:style>
  <w:style w:type="character" w:customStyle="1" w:styleId="47">
    <w:name w:val="日期 Char"/>
    <w:basedOn w:val="11"/>
    <w:link w:val="5"/>
    <w:qFormat/>
    <w:uiPriority w:val="0"/>
    <w:rPr>
      <w:kern w:val="2"/>
      <w:sz w:val="21"/>
      <w:szCs w:val="24"/>
    </w:rPr>
  </w:style>
  <w:style w:type="character" w:customStyle="1" w:styleId="48">
    <w:name w:val="页眉 Char"/>
    <w:basedOn w:val="11"/>
    <w:link w:val="9"/>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2780</Words>
  <Characters>3044</Characters>
  <Lines>25</Lines>
  <Paragraphs>7</Paragraphs>
  <TotalTime>627</TotalTime>
  <ScaleCrop>false</ScaleCrop>
  <LinksUpToDate>false</LinksUpToDate>
  <CharactersWithSpaces>3315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2018-12-31T09:49:00Z</dcterms:created>
  <dc:creator>03</dc:creator>
  <cp:lastModifiedBy>天天好心情</cp:lastModifiedBy>
  <cp:lastPrinted>2021-03-01T06:39:00Z</cp:lastPrinted>
  <dcterms:modified xsi:type="dcterms:W3CDTF">2023-07-19T14:37:19Z</dcterms:modified>
  <dc:title>中粮屯河  北海糖业</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8F0EDF626F714B98A4E85567519C5484</vt:lpwstr>
  </property>
</Properties>
</file>