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w:t>
      </w:r>
      <w:r>
        <w:rPr>
          <w:rStyle w:val="36"/>
          <w:rFonts w:ascii="黑体" w:eastAsia="黑体"/>
          <w:bCs/>
          <w:sz w:val="44"/>
          <w:szCs w:val="44"/>
        </w:rPr>
        <w:t>20230726粤北糖厂检修材料（加工件）</w:t>
      </w:r>
      <w:r>
        <w:rPr>
          <w:rStyle w:val="36"/>
          <w:rFonts w:hint="eastAsia" w:ascii="黑体" w:eastAsia="黑体"/>
          <w:bCs/>
          <w:sz w:val="44"/>
          <w:szCs w:val="44"/>
        </w:rPr>
        <w:t>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加工件</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27</w:t>
      </w:r>
      <w:r>
        <w:rPr>
          <w:rStyle w:val="36"/>
          <w:rFonts w:ascii="宋体" w:hAnsi="宋体" w:cs="宋体"/>
          <w:bCs/>
          <w:sz w:val="32"/>
          <w:szCs w:val="32"/>
          <w:u w:val="single"/>
        </w:rPr>
        <w:t xml:space="preserve"> </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8</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31</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ind w:firstLine="2160" w:firstLineChars="600"/>
        <w:jc w:val="center"/>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jc w:val="center"/>
        <w:rPr>
          <w:rStyle w:val="36"/>
          <w:rFonts w:ascii="宋体" w:hAnsi="宋体"/>
          <w:b/>
          <w:bCs/>
          <w:sz w:val="36"/>
          <w:szCs w:val="28"/>
        </w:rPr>
      </w:pPr>
    </w:p>
    <w:p>
      <w:pPr>
        <w:pStyle w:val="3"/>
        <w:rPr>
          <w:rFonts w:hint="eastAsia" w:ascii="黑体" w:hAnsi="宋体" w:eastAsia="黑体"/>
          <w:b w:val="0"/>
          <w:bCs w:val="0"/>
          <w:color w:val="auto"/>
          <w:sz w:val="30"/>
          <w:szCs w:val="30"/>
          <w:lang w:val="en-US" w:eastAsia="zh-CN"/>
        </w:rPr>
      </w:pPr>
      <w:r>
        <w:rPr>
          <w:rFonts w:hint="eastAsia" w:ascii="黑体" w:hAnsi="宋体" w:eastAsia="黑体"/>
          <w:b w:val="0"/>
          <w:bCs w:val="0"/>
          <w:color w:val="auto"/>
          <w:sz w:val="30"/>
          <w:szCs w:val="30"/>
        </w:rPr>
        <w:t xml:space="preserve">合同编号  </w:t>
      </w:r>
      <w:r>
        <w:rPr>
          <w:rFonts w:hint="eastAsia" w:ascii="黑体" w:hAnsi="宋体" w:eastAsia="黑体"/>
          <w:b w:val="0"/>
          <w:bCs w:val="0"/>
          <w:color w:val="auto"/>
          <w:sz w:val="30"/>
          <w:szCs w:val="30"/>
          <w:lang w:val="en-US" w:eastAsia="zh-CN"/>
        </w:rPr>
        <w:t xml:space="preserve"> </w:t>
      </w:r>
      <w:bookmarkStart w:id="0" w:name="_GoBack"/>
      <w:bookmarkEnd w:id="0"/>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黑体" w:hAnsi="宋体" w:eastAsia="黑体"/>
          <w:b w:val="0"/>
          <w:bCs w:val="0"/>
          <w:color w:val="auto"/>
          <w:sz w:val="48"/>
          <w:szCs w:val="48"/>
        </w:rPr>
      </w:pPr>
      <w:r>
        <w:rPr>
          <w:rFonts w:hint="eastAsia" w:ascii="黑体" w:hAnsi="宋体" w:eastAsia="黑体"/>
          <w:b w:val="0"/>
          <w:bCs w:val="0"/>
          <w:color w:val="auto"/>
          <w:sz w:val="48"/>
          <w:szCs w:val="48"/>
        </w:rPr>
        <w:t>采购合同</w:t>
      </w:r>
    </w:p>
    <w:p>
      <w:pPr>
        <w:pStyle w:val="3"/>
        <w:jc w:val="center"/>
        <w:rPr>
          <w:rFonts w:hint="eastAsia" w:ascii="宋体" w:hAnsi="宋体" w:eastAsia="宋体"/>
          <w:bCs w:val="0"/>
          <w:color w:val="auto"/>
          <w:sz w:val="36"/>
          <w:szCs w:val="36"/>
          <w:lang w:val="en-US"/>
        </w:rPr>
      </w:pPr>
      <w:r>
        <w:rPr>
          <w:rFonts w:hint="eastAsia" w:ascii="宋体" w:hAnsi="宋体" w:eastAsia="宋体"/>
          <w:bCs w:val="0"/>
          <w:color w:val="auto"/>
          <w:sz w:val="36"/>
          <w:szCs w:val="36"/>
          <w:lang w:val="en-US"/>
        </w:rPr>
        <w:t>（</w:t>
      </w:r>
      <w:r>
        <w:rPr>
          <w:rFonts w:hint="eastAsia" w:ascii="宋体" w:hAnsi="宋体"/>
          <w:bCs w:val="0"/>
          <w:color w:val="auto"/>
          <w:sz w:val="36"/>
          <w:szCs w:val="36"/>
          <w:lang w:val="en-US" w:eastAsia="zh-CN"/>
        </w:rPr>
        <w:t xml:space="preserve">    </w:t>
      </w:r>
      <w:r>
        <w:rPr>
          <w:rFonts w:hint="eastAsia" w:ascii="宋体" w:hAnsi="宋体" w:eastAsia="宋体"/>
          <w:bCs w:val="0"/>
          <w:color w:val="auto"/>
          <w:sz w:val="36"/>
          <w:szCs w:val="36"/>
          <w:lang w:val="en-US" w:eastAsia="zh-CN"/>
        </w:rPr>
        <w:t>等</w:t>
      </w:r>
      <w:r>
        <w:rPr>
          <w:rFonts w:hint="eastAsia" w:ascii="宋体" w:hAnsi="宋体" w:eastAsia="宋体"/>
          <w:bCs w:val="0"/>
          <w:color w:val="auto"/>
          <w:sz w:val="36"/>
          <w:szCs w:val="36"/>
          <w:lang w:val="en-US"/>
        </w:rPr>
        <w:t>合同）</w:t>
      </w: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jc w:val="center"/>
        <w:rPr>
          <w:rFonts w:ascii="宋体" w:hAnsi="宋体" w:eastAsia="宋体"/>
          <w:bCs w:val="0"/>
          <w:color w:val="auto"/>
          <w:sz w:val="48"/>
          <w:szCs w:val="48"/>
        </w:rPr>
      </w:pPr>
    </w:p>
    <w:p>
      <w:pPr>
        <w:pStyle w:val="3"/>
        <w:spacing w:line="460" w:lineRule="exact"/>
        <w:ind w:left="5250" w:leftChars="2500" w:firstLine="352" w:firstLineChars="147"/>
        <w:rPr>
          <w:rFonts w:ascii="宋体" w:hAnsi="宋体" w:eastAsia="宋体"/>
          <w:bCs w:val="0"/>
          <w:color w:val="auto"/>
          <w:sz w:val="24"/>
          <w:szCs w:val="24"/>
        </w:rPr>
      </w:pPr>
    </w:p>
    <w:p>
      <w:pPr>
        <w:pStyle w:val="3"/>
        <w:spacing w:line="460" w:lineRule="exact"/>
        <w:ind w:left="5250" w:leftChars="2500" w:firstLine="352" w:firstLineChars="147"/>
        <w:rPr>
          <w:rFonts w:ascii="宋体" w:hAnsi="宋体" w:eastAsia="宋体"/>
          <w:bCs w:val="0"/>
          <w:color w:val="auto"/>
          <w:sz w:val="24"/>
          <w:szCs w:val="24"/>
          <w:lang w:val="en-US"/>
        </w:rPr>
      </w:pPr>
      <w:r>
        <w:rPr>
          <w:rFonts w:hint="eastAsia" w:ascii="宋体" w:hAnsi="宋体" w:eastAsia="宋体"/>
          <w:bCs w:val="0"/>
          <w:color w:val="auto"/>
          <w:sz w:val="24"/>
          <w:szCs w:val="24"/>
        </w:rPr>
        <w:t>合同编号：</w:t>
      </w:r>
      <w:r>
        <w:rPr>
          <w:rFonts w:hint="eastAsia" w:ascii="宋体" w:hAnsi="宋体" w:eastAsia="宋体"/>
          <w:bCs w:val="0"/>
          <w:color w:val="auto"/>
          <w:sz w:val="24"/>
          <w:szCs w:val="24"/>
          <w:lang w:val="en-US"/>
        </w:rPr>
        <w:t xml:space="preserve"> </w:t>
      </w:r>
    </w:p>
    <w:p>
      <w:pPr>
        <w:pStyle w:val="3"/>
        <w:spacing w:line="460" w:lineRule="exact"/>
        <w:ind w:left="5250" w:leftChars="2500" w:firstLine="352" w:firstLineChars="147"/>
        <w:rPr>
          <w:rFonts w:ascii="宋体" w:hAnsi="宋体" w:eastAsia="宋体"/>
          <w:bCs w:val="0"/>
          <w:color w:val="auto"/>
          <w:sz w:val="24"/>
          <w:szCs w:val="24"/>
        </w:rPr>
      </w:pPr>
      <w:r>
        <w:rPr>
          <w:rFonts w:hint="eastAsia" w:ascii="宋体" w:hAnsi="宋体" w:eastAsia="宋体"/>
          <w:bCs w:val="0"/>
          <w:color w:val="auto"/>
          <w:sz w:val="24"/>
          <w:szCs w:val="24"/>
        </w:rPr>
        <w:t>签订日期：</w:t>
      </w:r>
      <w:r>
        <w:rPr>
          <w:rFonts w:hint="eastAsia" w:ascii="宋体" w:hAnsi="宋体"/>
          <w:bCs w:val="0"/>
          <w:color w:val="auto"/>
          <w:sz w:val="24"/>
          <w:szCs w:val="24"/>
          <w:lang w:val="en-US" w:eastAsia="zh-CN"/>
        </w:rPr>
        <w:t xml:space="preserve">   </w:t>
      </w:r>
      <w:r>
        <w:rPr>
          <w:rFonts w:hint="eastAsia" w:ascii="宋体" w:hAnsi="宋体" w:eastAsia="宋体"/>
          <w:bCs w:val="0"/>
          <w:color w:val="auto"/>
          <w:sz w:val="24"/>
          <w:szCs w:val="24"/>
        </w:rPr>
        <w:t>年</w:t>
      </w:r>
      <w:r>
        <w:rPr>
          <w:rFonts w:hint="eastAsia" w:ascii="宋体" w:hAnsi="宋体" w:eastAsia="宋体"/>
          <w:bCs w:val="0"/>
          <w:color w:val="auto"/>
          <w:sz w:val="24"/>
          <w:szCs w:val="24"/>
          <w:lang w:val="en-US" w:eastAsia="zh-CN"/>
        </w:rPr>
        <w:t xml:space="preserve">  </w:t>
      </w:r>
      <w:r>
        <w:rPr>
          <w:rFonts w:hint="eastAsia" w:ascii="宋体" w:hAnsi="宋体" w:eastAsia="宋体"/>
          <w:bCs w:val="0"/>
          <w:color w:val="auto"/>
          <w:sz w:val="24"/>
          <w:szCs w:val="24"/>
        </w:rPr>
        <w:t>月</w:t>
      </w:r>
      <w:r>
        <w:rPr>
          <w:rFonts w:hint="eastAsia" w:ascii="宋体" w:hAnsi="宋体" w:eastAsia="宋体"/>
          <w:bCs w:val="0"/>
          <w:color w:val="auto"/>
          <w:sz w:val="24"/>
          <w:szCs w:val="24"/>
          <w:lang w:val="en-US" w:eastAsia="zh-CN"/>
        </w:rPr>
        <w:t xml:space="preserve">   </w:t>
      </w:r>
      <w:r>
        <w:rPr>
          <w:rFonts w:hint="eastAsia" w:ascii="宋体" w:hAnsi="宋体" w:eastAsia="宋体"/>
          <w:bCs w:val="0"/>
          <w:color w:val="auto"/>
          <w:sz w:val="24"/>
          <w:szCs w:val="24"/>
        </w:rPr>
        <w:t>日</w:t>
      </w:r>
    </w:p>
    <w:p>
      <w:pPr>
        <w:pStyle w:val="3"/>
        <w:spacing w:line="460" w:lineRule="exact"/>
        <w:ind w:left="5250" w:leftChars="2500" w:firstLine="352" w:firstLineChars="147"/>
        <w:rPr>
          <w:rFonts w:hint="eastAsia" w:ascii="宋体" w:hAnsi="宋体" w:eastAsia="宋体"/>
          <w:bCs w:val="0"/>
          <w:color w:val="auto"/>
          <w:sz w:val="24"/>
          <w:szCs w:val="24"/>
          <w:lang w:val="en-US" w:eastAsia="zh-CN"/>
        </w:rPr>
      </w:pPr>
      <w:r>
        <w:rPr>
          <w:rFonts w:hint="eastAsia" w:ascii="宋体" w:hAnsi="宋体" w:eastAsia="宋体"/>
          <w:bCs w:val="0"/>
          <w:color w:val="auto"/>
          <w:sz w:val="24"/>
          <w:szCs w:val="24"/>
        </w:rPr>
        <w:t>签订地点:</w:t>
      </w:r>
      <w:r>
        <w:rPr>
          <w:rFonts w:hint="eastAsia" w:ascii="宋体" w:hAnsi="宋体" w:eastAsia="宋体"/>
          <w:bCs w:val="0"/>
          <w:color w:val="auto"/>
          <w:sz w:val="24"/>
          <w:szCs w:val="24"/>
          <w:lang w:val="en-US"/>
        </w:rPr>
        <w:t xml:space="preserve"> </w:t>
      </w:r>
      <w:r>
        <w:rPr>
          <w:rFonts w:hint="eastAsia" w:ascii="宋体" w:hAnsi="宋体" w:eastAsia="宋体"/>
          <w:bCs w:val="0"/>
          <w:color w:val="auto"/>
          <w:sz w:val="24"/>
          <w:szCs w:val="24"/>
          <w:lang w:val="en-US" w:eastAsia="zh-CN"/>
        </w:rPr>
        <w:t>英德市</w:t>
      </w:r>
    </w:p>
    <w:p>
      <w:pPr>
        <w:pStyle w:val="3"/>
        <w:spacing w:line="460" w:lineRule="exact"/>
        <w:ind w:left="5062" w:hanging="5042" w:hangingChars="1801"/>
        <w:rPr>
          <w:rFonts w:ascii="宋体" w:hAnsi="宋体" w:eastAsia="宋体"/>
          <w:bCs w:val="0"/>
          <w:color w:val="auto"/>
          <w:sz w:val="28"/>
          <w:szCs w:val="28"/>
        </w:rPr>
      </w:pPr>
      <w:r>
        <w:rPr>
          <w:rFonts w:hint="eastAsia" w:ascii="宋体" w:hAnsi="宋体" w:eastAsia="宋体"/>
          <w:bCs w:val="0"/>
          <w:color w:val="auto"/>
          <w:sz w:val="28"/>
          <w:szCs w:val="28"/>
        </w:rPr>
        <w:t>购买方:</w:t>
      </w:r>
      <w:r>
        <w:rPr>
          <w:rFonts w:hint="eastAsia" w:ascii="宋体" w:hAnsi="宋体" w:eastAsia="宋体"/>
          <w:bCs w:val="0"/>
          <w:color w:val="auto"/>
          <w:sz w:val="28"/>
          <w:szCs w:val="28"/>
          <w:lang w:val="en-US"/>
        </w:rPr>
        <w:t xml:space="preserve"> 英德市粤北</w:t>
      </w:r>
      <w:r>
        <w:rPr>
          <w:rFonts w:ascii="宋体" w:hAnsi="宋体" w:eastAsia="宋体"/>
          <w:bCs w:val="0"/>
          <w:color w:val="auto"/>
          <w:sz w:val="28"/>
          <w:szCs w:val="28"/>
          <w:lang w:val="en-US"/>
        </w:rPr>
        <w:t>糖业有限公司</w:t>
      </w:r>
    </w:p>
    <w:p>
      <w:pPr>
        <w:pStyle w:val="3"/>
        <w:rPr>
          <w:rFonts w:ascii="宋体" w:hAnsi="宋体" w:eastAsia="宋体"/>
          <w:bCs w:val="0"/>
          <w:color w:val="auto"/>
          <w:sz w:val="28"/>
          <w:szCs w:val="28"/>
          <w:lang w:val="en-US"/>
        </w:rPr>
      </w:pPr>
      <w:r>
        <w:rPr>
          <w:rFonts w:hint="eastAsia" w:ascii="宋体" w:hAnsi="宋体" w:eastAsia="宋体"/>
          <w:bCs w:val="0"/>
          <w:color w:val="auto"/>
          <w:sz w:val="28"/>
          <w:szCs w:val="28"/>
        </w:rPr>
        <w:t>销</w:t>
      </w:r>
      <w:r>
        <w:rPr>
          <w:rFonts w:hint="eastAsia" w:ascii="宋体" w:hAnsi="宋体" w:eastAsia="宋体"/>
          <w:bCs w:val="0"/>
          <w:color w:val="auto"/>
          <w:sz w:val="28"/>
          <w:szCs w:val="28"/>
          <w:lang w:val="en-US"/>
        </w:rPr>
        <w:t xml:space="preserve">售方: </w:t>
      </w:r>
      <w:r>
        <w:rPr>
          <w:rFonts w:ascii="宋体" w:hAnsi="宋体" w:eastAsia="宋体"/>
          <w:bCs w:val="0"/>
          <w:color w:val="auto"/>
          <w:sz w:val="28"/>
          <w:szCs w:val="28"/>
          <w:lang w:val="en-US"/>
        </w:rPr>
        <w:t>廉江市湛川糖业机械厂</w:t>
      </w:r>
    </w:p>
    <w:p>
      <w:pPr>
        <w:pStyle w:val="3"/>
        <w:numPr>
          <w:ilvl w:val="0"/>
          <w:numId w:val="4"/>
        </w:numPr>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订购物资数量及规格</w:t>
      </w:r>
    </w:p>
    <w:p>
      <w:pPr>
        <w:pStyle w:val="3"/>
        <w:spacing w:line="500" w:lineRule="exact"/>
        <w:ind w:firstLine="560" w:firstLineChars="200"/>
        <w:jc w:val="left"/>
        <w:rPr>
          <w:rFonts w:ascii="宋体" w:hAnsi="宋体" w:eastAsia="宋体"/>
          <w:b w:val="0"/>
          <w:color w:val="auto"/>
          <w:sz w:val="28"/>
          <w:szCs w:val="28"/>
        </w:rPr>
      </w:pPr>
      <w:r>
        <w:rPr>
          <w:rFonts w:hint="eastAsia" w:ascii="宋体" w:hAnsi="宋体" w:eastAsia="宋体"/>
          <w:b w:val="0"/>
          <w:bCs w:val="0"/>
          <w:color w:val="auto"/>
          <w:sz w:val="28"/>
          <w:szCs w:val="28"/>
        </w:rPr>
        <w:t>见附表。附表是本合同不可分割的组成部分，与合同正文具有同等法律效力。</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第二条  订购物资质量要求</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一、所订购的物资(以下简称货物)质量技术指标符合相</w:t>
      </w:r>
      <w:r>
        <w:rPr>
          <w:rFonts w:ascii="宋体" w:hAnsi="宋体" w:eastAsia="宋体"/>
          <w:b w:val="0"/>
          <w:bCs w:val="0"/>
          <w:color w:val="auto"/>
          <w:sz w:val="28"/>
          <w:szCs w:val="28"/>
        </w:rPr>
        <w:t>关标准</w:t>
      </w:r>
      <w:r>
        <w:rPr>
          <w:rFonts w:hint="eastAsia" w:ascii="宋体" w:hAnsi="宋体" w:eastAsia="宋体"/>
          <w:b w:val="0"/>
          <w:bCs w:val="0"/>
          <w:color w:val="auto"/>
          <w:sz w:val="28"/>
          <w:szCs w:val="28"/>
        </w:rPr>
        <w:t>(包括</w:t>
      </w:r>
      <w:r>
        <w:rPr>
          <w:rFonts w:ascii="宋体" w:hAnsi="宋体" w:eastAsia="宋体"/>
          <w:b w:val="0"/>
          <w:bCs w:val="0"/>
          <w:color w:val="auto"/>
          <w:sz w:val="28"/>
          <w:szCs w:val="28"/>
        </w:rPr>
        <w:t>国家标准、行业标准</w:t>
      </w:r>
      <w:r>
        <w:rPr>
          <w:rFonts w:hint="eastAsia" w:ascii="宋体" w:hAnsi="宋体" w:eastAsia="宋体"/>
          <w:b w:val="0"/>
          <w:bCs w:val="0"/>
          <w:color w:val="auto"/>
          <w:sz w:val="28"/>
          <w:szCs w:val="28"/>
        </w:rPr>
        <w:t>及</w:t>
      </w:r>
      <w:r>
        <w:rPr>
          <w:rFonts w:ascii="宋体" w:hAnsi="宋体" w:eastAsia="宋体"/>
          <w:b w:val="0"/>
          <w:bCs w:val="0"/>
          <w:color w:val="auto"/>
          <w:sz w:val="28"/>
          <w:szCs w:val="28"/>
        </w:rPr>
        <w:t>企业标准</w:t>
      </w:r>
      <w:r>
        <w:rPr>
          <w:rFonts w:hint="eastAsia" w:ascii="宋体" w:hAnsi="宋体" w:eastAsia="宋体"/>
          <w:b w:val="0"/>
          <w:bCs w:val="0"/>
          <w:color w:val="auto"/>
          <w:sz w:val="28"/>
          <w:szCs w:val="28"/>
        </w:rPr>
        <w:t>)</w:t>
      </w:r>
      <w:r>
        <w:rPr>
          <w:rFonts w:ascii="宋体" w:hAnsi="宋体" w:eastAsia="宋体"/>
          <w:b w:val="0"/>
          <w:bCs w:val="0"/>
          <w:color w:val="auto"/>
          <w:sz w:val="28"/>
          <w:szCs w:val="28"/>
        </w:rPr>
        <w:t>，</w:t>
      </w:r>
      <w:r>
        <w:rPr>
          <w:rFonts w:hint="eastAsia" w:ascii="宋体" w:hAnsi="宋体" w:eastAsia="宋体"/>
          <w:b w:val="0"/>
          <w:bCs w:val="0"/>
          <w:color w:val="auto"/>
          <w:sz w:val="28"/>
          <w:szCs w:val="28"/>
        </w:rPr>
        <w:t>相应国标与</w:t>
      </w:r>
      <w:r>
        <w:rPr>
          <w:rFonts w:ascii="宋体" w:hAnsi="宋体" w:eastAsia="宋体"/>
          <w:b w:val="0"/>
          <w:bCs w:val="0"/>
          <w:color w:val="auto"/>
          <w:sz w:val="28"/>
          <w:szCs w:val="28"/>
        </w:rPr>
        <w:t>相关</w:t>
      </w:r>
      <w:r>
        <w:rPr>
          <w:rFonts w:hint="eastAsia" w:ascii="宋体" w:hAnsi="宋体" w:eastAsia="宋体"/>
          <w:b w:val="0"/>
          <w:bCs w:val="0"/>
          <w:color w:val="auto"/>
          <w:sz w:val="28"/>
          <w:szCs w:val="28"/>
        </w:rPr>
        <w:t>标准供方应提供作为本合同附件之一；</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二、供方提供厂检合格证（需</w:t>
      </w:r>
      <w:r>
        <w:rPr>
          <w:rFonts w:ascii="宋体" w:hAnsi="宋体" w:eastAsia="宋体"/>
          <w:b w:val="0"/>
          <w:bCs w:val="0"/>
          <w:color w:val="auto"/>
          <w:sz w:val="28"/>
          <w:szCs w:val="28"/>
        </w:rPr>
        <w:t>提</w:t>
      </w:r>
      <w:r>
        <w:rPr>
          <w:rFonts w:hint="eastAsia" w:ascii="宋体" w:hAnsi="宋体" w:eastAsia="宋体"/>
          <w:b w:val="0"/>
          <w:bCs w:val="0"/>
          <w:color w:val="auto"/>
          <w:sz w:val="28"/>
          <w:szCs w:val="28"/>
        </w:rPr>
        <w:t>供第三方检测证书的</w:t>
      </w:r>
      <w:r>
        <w:rPr>
          <w:rFonts w:ascii="宋体" w:hAnsi="宋体" w:eastAsia="宋体"/>
          <w:b w:val="0"/>
          <w:bCs w:val="0"/>
          <w:color w:val="auto"/>
          <w:sz w:val="28"/>
          <w:szCs w:val="28"/>
        </w:rPr>
        <w:t>，第三方检</w:t>
      </w:r>
      <w:r>
        <w:rPr>
          <w:rFonts w:hint="eastAsia" w:ascii="宋体" w:hAnsi="宋体" w:eastAsia="宋体"/>
          <w:b w:val="0"/>
          <w:bCs w:val="0"/>
          <w:color w:val="auto"/>
          <w:sz w:val="28"/>
          <w:szCs w:val="28"/>
        </w:rPr>
        <w:t>测</w:t>
      </w:r>
      <w:r>
        <w:rPr>
          <w:rFonts w:ascii="宋体" w:hAnsi="宋体" w:eastAsia="宋体"/>
          <w:b w:val="0"/>
          <w:bCs w:val="0"/>
          <w:color w:val="auto"/>
          <w:sz w:val="28"/>
          <w:szCs w:val="28"/>
        </w:rPr>
        <w:t>证书</w:t>
      </w:r>
      <w:r>
        <w:rPr>
          <w:rFonts w:hint="eastAsia" w:ascii="宋体" w:hAnsi="宋体" w:eastAsia="宋体"/>
          <w:b w:val="0"/>
          <w:bCs w:val="0"/>
          <w:color w:val="auto"/>
          <w:sz w:val="28"/>
          <w:szCs w:val="28"/>
        </w:rPr>
        <w:t xml:space="preserve">作为该物资的质量证明。） </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第三条  技术资料提供办法</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 xml:space="preserve">一、供方给需方提供订购物资的产品目录、样品图集、生产厂及产品介绍、使用说明书等有关资料作为选择该类物资的参考； </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二、需方对采购物资提出的本合同条款内未约定的相关质量要求视为本条的补充内容，与本合同具有同等法律效力。</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第四条  交货验收</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一、需方指定使用方工厂交货，按照合同以及相应国标、行业</w:t>
      </w:r>
      <w:r>
        <w:rPr>
          <w:rFonts w:ascii="宋体" w:hAnsi="宋体" w:eastAsia="宋体"/>
          <w:b w:val="0"/>
          <w:bCs w:val="0"/>
          <w:color w:val="auto"/>
          <w:sz w:val="28"/>
          <w:szCs w:val="28"/>
        </w:rPr>
        <w:t>标准</w:t>
      </w:r>
      <w:r>
        <w:rPr>
          <w:rFonts w:hint="eastAsia" w:ascii="宋体" w:hAnsi="宋体" w:eastAsia="宋体"/>
          <w:b w:val="0"/>
          <w:bCs w:val="0"/>
          <w:color w:val="auto"/>
          <w:sz w:val="28"/>
          <w:szCs w:val="28"/>
        </w:rPr>
        <w:t>及企业标准的质量要求、图纸或样品作为验收标准；</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二、货到时供方必须向需方提交技术资料和有关质量证明，对入库检验时难以发现的质量缺陷，在使用中出现质量问题（</w:t>
      </w:r>
      <w:r>
        <w:rPr>
          <w:rFonts w:hint="eastAsia" w:ascii="宋体" w:hAnsi="宋体" w:eastAsia="宋体"/>
          <w:b w:val="0"/>
          <w:bCs w:val="0"/>
          <w:color w:val="auto"/>
          <w:sz w:val="28"/>
          <w:szCs w:val="28"/>
          <w:lang w:val="en-US"/>
        </w:rPr>
        <w:t>需</w:t>
      </w:r>
      <w:r>
        <w:rPr>
          <w:rFonts w:hint="eastAsia" w:ascii="宋体" w:hAnsi="宋体" w:eastAsia="宋体"/>
          <w:b w:val="0"/>
          <w:bCs w:val="0"/>
          <w:color w:val="auto"/>
          <w:sz w:val="28"/>
          <w:szCs w:val="28"/>
        </w:rPr>
        <w:t>方使用、保管不当等原因而造成质量问题除外），由供方负责修复或退换，由此给需方造成的损失由供方承担。</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第五条  交货时间和地点</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一、交货日期计算：供方自备运输工具送交</w:t>
      </w:r>
      <w:r>
        <w:rPr>
          <w:rFonts w:hint="eastAsia" w:ascii="宋体" w:hAnsi="宋体" w:eastAsia="宋体"/>
          <w:b w:val="0"/>
          <w:bCs w:val="0"/>
          <w:color w:val="auto"/>
          <w:sz w:val="28"/>
          <w:szCs w:val="28"/>
          <w:lang w:val="en-US"/>
        </w:rPr>
        <w:t>需</w:t>
      </w:r>
      <w:r>
        <w:rPr>
          <w:rFonts w:hint="eastAsia" w:ascii="宋体" w:hAnsi="宋体" w:eastAsia="宋体"/>
          <w:b w:val="0"/>
          <w:bCs w:val="0"/>
          <w:color w:val="auto"/>
          <w:sz w:val="28"/>
          <w:szCs w:val="28"/>
        </w:rPr>
        <w:t>方工厂，以需方接收的戳记日期为准；具体交货时间及地点见附表；</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二、任何一方要求提前或延期交货，必须事先与对方达成协议，并按协议执行。</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第六条  结算方式及期限</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一、货到后需方按相关标准检验合格后出具接收证明，办理暂存手续。</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 xml:space="preserve">二、需方使用部门领用后，按期开具入库单，供方依据入库单提供增值税专用发票挂帐后，需方按资金支付计划支付货款。 </w:t>
      </w:r>
    </w:p>
    <w:p>
      <w:pPr>
        <w:pStyle w:val="3"/>
        <w:spacing w:line="500" w:lineRule="exact"/>
        <w:jc w:val="left"/>
        <w:rPr>
          <w:rFonts w:ascii="宋体" w:hAnsi="宋体" w:eastAsia="宋体"/>
          <w:b w:val="0"/>
          <w:bCs w:val="0"/>
          <w:color w:val="auto"/>
          <w:sz w:val="28"/>
          <w:szCs w:val="28"/>
          <w:lang w:val="en-US"/>
        </w:rPr>
      </w:pPr>
      <w:r>
        <w:rPr>
          <w:rFonts w:hint="eastAsia" w:ascii="宋体" w:hAnsi="宋体" w:eastAsia="宋体"/>
          <w:b w:val="0"/>
          <w:bCs w:val="0"/>
          <w:color w:val="auto"/>
          <w:sz w:val="28"/>
          <w:szCs w:val="28"/>
          <w:lang w:val="en-US"/>
        </w:rPr>
        <w:t>三、电汇方式</w:t>
      </w:r>
      <w:r>
        <w:rPr>
          <w:rFonts w:hint="eastAsia" w:ascii="宋体" w:hAnsi="宋体" w:eastAsia="宋体"/>
          <w:b w:val="0"/>
          <w:bCs w:val="0"/>
          <w:color w:val="auto"/>
          <w:sz w:val="28"/>
          <w:szCs w:val="28"/>
        </w:rPr>
        <w:t>支付已挂帐货款。</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第七条  其他约定</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三、需方通知供方发送的货物，在本生产期领用后给予办理入库手续，在本生产期未使用的货物，下一生产期设备检修完毕后无论使用与否均应办理入库手续（</w:t>
      </w:r>
      <w:r>
        <w:rPr>
          <w:rFonts w:ascii="宋体" w:hAnsi="宋体" w:eastAsia="宋体"/>
          <w:b w:val="0"/>
          <w:bCs w:val="0"/>
          <w:color w:val="auto"/>
          <w:sz w:val="28"/>
          <w:szCs w:val="28"/>
        </w:rPr>
        <w:t>与</w:t>
      </w:r>
      <w:r>
        <w:rPr>
          <w:rFonts w:hint="eastAsia" w:ascii="宋体" w:hAnsi="宋体" w:eastAsia="宋体"/>
          <w:b w:val="0"/>
          <w:bCs w:val="0"/>
          <w:color w:val="auto"/>
          <w:sz w:val="28"/>
          <w:szCs w:val="28"/>
        </w:rPr>
        <w:t>供方</w:t>
      </w:r>
      <w:r>
        <w:rPr>
          <w:rFonts w:ascii="宋体" w:hAnsi="宋体" w:eastAsia="宋体"/>
          <w:b w:val="0"/>
          <w:bCs w:val="0"/>
          <w:color w:val="auto"/>
          <w:sz w:val="28"/>
          <w:szCs w:val="28"/>
        </w:rPr>
        <w:t>达成</w:t>
      </w:r>
      <w:r>
        <w:rPr>
          <w:rFonts w:hint="eastAsia" w:ascii="宋体" w:hAnsi="宋体" w:eastAsia="宋体"/>
          <w:b w:val="0"/>
          <w:bCs w:val="0"/>
          <w:color w:val="auto"/>
          <w:sz w:val="28"/>
          <w:szCs w:val="28"/>
        </w:rPr>
        <w:t>调</w:t>
      </w:r>
      <w:r>
        <w:rPr>
          <w:rFonts w:ascii="宋体" w:hAnsi="宋体" w:eastAsia="宋体"/>
          <w:b w:val="0"/>
          <w:bCs w:val="0"/>
          <w:color w:val="auto"/>
          <w:sz w:val="28"/>
          <w:szCs w:val="28"/>
        </w:rPr>
        <w:t>换货</w:t>
      </w:r>
      <w:r>
        <w:rPr>
          <w:rFonts w:hint="eastAsia" w:ascii="宋体" w:hAnsi="宋体" w:eastAsia="宋体"/>
          <w:b w:val="0"/>
          <w:bCs w:val="0"/>
          <w:color w:val="auto"/>
          <w:sz w:val="28"/>
          <w:szCs w:val="28"/>
        </w:rPr>
        <w:t>意</w:t>
      </w:r>
      <w:r>
        <w:rPr>
          <w:rFonts w:ascii="宋体" w:hAnsi="宋体" w:eastAsia="宋体"/>
          <w:b w:val="0"/>
          <w:bCs w:val="0"/>
          <w:color w:val="auto"/>
          <w:sz w:val="28"/>
          <w:szCs w:val="28"/>
        </w:rPr>
        <w:t>向的除外）</w:t>
      </w:r>
      <w:r>
        <w:rPr>
          <w:rFonts w:hint="eastAsia" w:ascii="宋体" w:hAnsi="宋体" w:eastAsia="宋体"/>
          <w:b w:val="0"/>
          <w:bCs w:val="0"/>
          <w:color w:val="auto"/>
          <w:sz w:val="28"/>
          <w:szCs w:val="28"/>
        </w:rPr>
        <w:t>。</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lang w:val="en-US"/>
        </w:rPr>
        <w:t>四、</w:t>
      </w:r>
      <w:r>
        <w:rPr>
          <w:rFonts w:hint="eastAsia" w:ascii="宋体" w:hAnsi="宋体" w:eastAsia="宋体"/>
          <w:b w:val="0"/>
          <w:bCs w:val="0"/>
          <w:color w:val="auto"/>
          <w:sz w:val="28"/>
          <w:szCs w:val="28"/>
        </w:rPr>
        <w:t>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jc w:val="left"/>
        <w:rPr>
          <w:rFonts w:ascii="宋体" w:hAnsi="宋体" w:eastAsia="宋体"/>
          <w:b w:val="0"/>
          <w:bCs w:val="0"/>
          <w:color w:val="auto"/>
          <w:sz w:val="28"/>
          <w:szCs w:val="28"/>
          <w:lang w:val="en-US"/>
        </w:rPr>
      </w:pPr>
      <w:r>
        <w:rPr>
          <w:rFonts w:hint="eastAsia" w:ascii="宋体" w:hAnsi="宋体" w:eastAsia="宋体"/>
          <w:b w:val="0"/>
          <w:bCs w:val="0"/>
          <w:color w:val="auto"/>
          <w:sz w:val="28"/>
          <w:szCs w:val="28"/>
          <w:lang w:val="en-US"/>
        </w:rPr>
        <w:t>五、</w:t>
      </w:r>
      <w:r>
        <w:rPr>
          <w:rFonts w:hint="eastAsia" w:ascii="宋体" w:hAnsi="宋体" w:eastAsia="宋体"/>
          <w:b w:val="0"/>
          <w:bCs w:val="0"/>
          <w:color w:val="auto"/>
          <w:sz w:val="28"/>
          <w:szCs w:val="28"/>
        </w:rPr>
        <w:t>合同有效期为签订合同</w:t>
      </w:r>
      <w:r>
        <w:rPr>
          <w:rFonts w:hint="eastAsia" w:ascii="宋体" w:hAnsi="宋体" w:eastAsia="宋体"/>
          <w:b w:val="0"/>
          <w:bCs w:val="0"/>
          <w:color w:val="auto"/>
          <w:sz w:val="28"/>
          <w:szCs w:val="28"/>
          <w:lang w:val="en-US"/>
        </w:rPr>
        <w:t>之日起</w:t>
      </w:r>
      <w:r>
        <w:rPr>
          <w:rFonts w:hint="eastAsia" w:ascii="宋体" w:hAnsi="宋体" w:eastAsia="宋体"/>
          <w:b w:val="0"/>
          <w:bCs w:val="0"/>
          <w:color w:val="auto"/>
          <w:sz w:val="28"/>
          <w:szCs w:val="28"/>
        </w:rPr>
        <w:t>一年。</w:t>
      </w:r>
    </w:p>
    <w:p>
      <w:pPr>
        <w:pStyle w:val="3"/>
        <w:tabs>
          <w:tab w:val="left" w:pos="3720"/>
        </w:tabs>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第八条  供方的违约责任</w:t>
      </w:r>
      <w:r>
        <w:rPr>
          <w:rFonts w:hint="eastAsia" w:ascii="宋体" w:hAnsi="宋体" w:eastAsia="宋体"/>
          <w:bCs w:val="0"/>
          <w:color w:val="auto"/>
          <w:sz w:val="28"/>
          <w:szCs w:val="28"/>
        </w:rPr>
        <w:tab/>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一、未按合同规定的质量标准交付货物，供方负责调换或退货，并承担由于退、换货给需方造成的损失；调换后仍不符合合同规定的，需方有权拒收货物,并解除合同，供方</w:t>
      </w:r>
      <w:r>
        <w:rPr>
          <w:rFonts w:ascii="宋体" w:hAnsi="宋体" w:eastAsia="宋体"/>
          <w:b w:val="0"/>
          <w:bCs w:val="0"/>
          <w:color w:val="auto"/>
          <w:sz w:val="28"/>
          <w:szCs w:val="28"/>
        </w:rPr>
        <w:t>应按照不符合</w:t>
      </w:r>
      <w:r>
        <w:rPr>
          <w:rFonts w:hint="eastAsia" w:ascii="宋体" w:hAnsi="宋体" w:eastAsia="宋体"/>
          <w:b w:val="0"/>
          <w:bCs w:val="0"/>
          <w:color w:val="auto"/>
          <w:sz w:val="28"/>
          <w:szCs w:val="28"/>
        </w:rPr>
        <w:t>合同约定</w:t>
      </w:r>
      <w:r>
        <w:rPr>
          <w:rFonts w:ascii="宋体" w:hAnsi="宋体" w:eastAsia="宋体"/>
          <w:b w:val="0"/>
          <w:bCs w:val="0"/>
          <w:color w:val="auto"/>
          <w:sz w:val="28"/>
          <w:szCs w:val="28"/>
        </w:rPr>
        <w:t>标准货物对应价格的</w:t>
      </w:r>
      <w:r>
        <w:rPr>
          <w:rFonts w:hint="eastAsia" w:ascii="宋体" w:hAnsi="宋体" w:eastAsia="宋体"/>
          <w:b w:val="0"/>
          <w:bCs w:val="0"/>
          <w:color w:val="auto"/>
          <w:sz w:val="28"/>
          <w:szCs w:val="28"/>
        </w:rPr>
        <w:t>30</w:t>
      </w:r>
      <w:r>
        <w:rPr>
          <w:rFonts w:ascii="宋体" w:hAnsi="宋体" w:eastAsia="宋体"/>
          <w:b w:val="0"/>
          <w:bCs w:val="0"/>
          <w:color w:val="auto"/>
          <w:sz w:val="28"/>
          <w:szCs w:val="28"/>
        </w:rPr>
        <w:t>%向</w:t>
      </w:r>
      <w:r>
        <w:rPr>
          <w:rFonts w:hint="eastAsia" w:ascii="宋体" w:hAnsi="宋体" w:eastAsia="宋体"/>
          <w:b w:val="0"/>
          <w:bCs w:val="0"/>
          <w:color w:val="auto"/>
          <w:sz w:val="28"/>
          <w:szCs w:val="28"/>
        </w:rPr>
        <w:t>需方</w:t>
      </w:r>
      <w:r>
        <w:rPr>
          <w:rFonts w:ascii="宋体" w:hAnsi="宋体" w:eastAsia="宋体"/>
          <w:b w:val="0"/>
          <w:bCs w:val="0"/>
          <w:color w:val="auto"/>
          <w:sz w:val="28"/>
          <w:szCs w:val="28"/>
        </w:rPr>
        <w:t>支付瑕疵履行违约金，并</w:t>
      </w:r>
      <w:r>
        <w:rPr>
          <w:rFonts w:hint="eastAsia" w:ascii="宋体" w:hAnsi="宋体" w:eastAsia="宋体"/>
          <w:b w:val="0"/>
          <w:bCs w:val="0"/>
          <w:color w:val="auto"/>
          <w:sz w:val="28"/>
          <w:szCs w:val="28"/>
        </w:rPr>
        <w:t>赔偿由此</w:t>
      </w:r>
      <w:r>
        <w:rPr>
          <w:rFonts w:ascii="宋体" w:hAnsi="宋体" w:eastAsia="宋体"/>
          <w:b w:val="0"/>
          <w:bCs w:val="0"/>
          <w:color w:val="auto"/>
          <w:sz w:val="28"/>
          <w:szCs w:val="28"/>
        </w:rPr>
        <w:t>给</w:t>
      </w:r>
      <w:r>
        <w:rPr>
          <w:rFonts w:hint="eastAsia" w:ascii="宋体" w:hAnsi="宋体" w:eastAsia="宋体"/>
          <w:b w:val="0"/>
          <w:bCs w:val="0"/>
          <w:color w:val="auto"/>
          <w:sz w:val="28"/>
          <w:szCs w:val="28"/>
        </w:rPr>
        <w:t>需方造成的实际损失。需方有权直接从供方的货款中扣减损失及</w:t>
      </w:r>
      <w:r>
        <w:rPr>
          <w:rFonts w:ascii="宋体" w:hAnsi="宋体" w:eastAsia="宋体"/>
          <w:b w:val="0"/>
          <w:bCs w:val="0"/>
          <w:color w:val="auto"/>
          <w:sz w:val="28"/>
          <w:szCs w:val="28"/>
        </w:rPr>
        <w:t>违约金</w:t>
      </w:r>
      <w:r>
        <w:rPr>
          <w:rFonts w:hint="eastAsia" w:ascii="宋体" w:hAnsi="宋体" w:eastAsia="宋体"/>
          <w:b w:val="0"/>
          <w:bCs w:val="0"/>
          <w:color w:val="auto"/>
          <w:sz w:val="28"/>
          <w:szCs w:val="28"/>
        </w:rPr>
        <w:t>。</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二、供方逾期</w:t>
      </w:r>
      <w:r>
        <w:rPr>
          <w:rFonts w:ascii="宋体" w:hAnsi="宋体" w:eastAsia="宋体"/>
          <w:b w:val="0"/>
          <w:bCs w:val="0"/>
          <w:color w:val="auto"/>
          <w:sz w:val="28"/>
          <w:szCs w:val="28"/>
        </w:rPr>
        <w:t>交付货物的，</w:t>
      </w:r>
      <w:r>
        <w:rPr>
          <w:rFonts w:hint="eastAsia" w:ascii="宋体" w:hAnsi="宋体" w:eastAsia="宋体"/>
          <w:b w:val="0"/>
          <w:bCs w:val="0"/>
          <w:color w:val="auto"/>
          <w:sz w:val="28"/>
          <w:szCs w:val="28"/>
        </w:rPr>
        <w:t>每</w:t>
      </w:r>
      <w:r>
        <w:rPr>
          <w:rFonts w:ascii="宋体" w:hAnsi="宋体" w:eastAsia="宋体"/>
          <w:b w:val="0"/>
          <w:bCs w:val="0"/>
          <w:color w:val="auto"/>
          <w:sz w:val="28"/>
          <w:szCs w:val="28"/>
        </w:rPr>
        <w:t>逾期一日，须按照逾期交付货物价格的</w:t>
      </w:r>
      <w:r>
        <w:rPr>
          <w:rFonts w:hint="eastAsia" w:ascii="宋体" w:hAnsi="宋体" w:eastAsia="宋体"/>
          <w:b w:val="0"/>
          <w:bCs w:val="0"/>
          <w:color w:val="auto"/>
          <w:sz w:val="28"/>
          <w:szCs w:val="28"/>
        </w:rPr>
        <w:t>1</w:t>
      </w:r>
      <w:r>
        <w:rPr>
          <w:rFonts w:ascii="宋体" w:hAnsi="宋体" w:eastAsia="宋体"/>
          <w:b w:val="0"/>
          <w:bCs w:val="0"/>
          <w:color w:val="auto"/>
          <w:sz w:val="28"/>
          <w:szCs w:val="28"/>
        </w:rPr>
        <w:t>%</w:t>
      </w:r>
      <w:r>
        <w:rPr>
          <w:rFonts w:hint="eastAsia" w:ascii="宋体" w:hAnsi="宋体" w:eastAsia="宋体"/>
          <w:b w:val="0"/>
          <w:bCs w:val="0"/>
          <w:color w:val="auto"/>
          <w:sz w:val="28"/>
          <w:szCs w:val="28"/>
        </w:rPr>
        <w:t>向需方</w:t>
      </w:r>
      <w:r>
        <w:rPr>
          <w:rFonts w:ascii="宋体" w:hAnsi="宋体" w:eastAsia="宋体"/>
          <w:b w:val="0"/>
          <w:bCs w:val="0"/>
          <w:color w:val="auto"/>
          <w:sz w:val="28"/>
          <w:szCs w:val="28"/>
        </w:rPr>
        <w:t>支付迟延履行违约金一笔</w:t>
      </w:r>
      <w:r>
        <w:rPr>
          <w:rFonts w:hint="eastAsia" w:ascii="宋体" w:hAnsi="宋体" w:eastAsia="宋体"/>
          <w:b w:val="0"/>
          <w:bCs w:val="0"/>
          <w:color w:val="auto"/>
          <w:sz w:val="28"/>
          <w:szCs w:val="28"/>
        </w:rPr>
        <w:t>，供方迟延</w:t>
      </w:r>
      <w:r>
        <w:rPr>
          <w:rFonts w:ascii="宋体" w:hAnsi="宋体" w:eastAsia="宋体"/>
          <w:b w:val="0"/>
          <w:bCs w:val="0"/>
          <w:color w:val="auto"/>
          <w:sz w:val="28"/>
          <w:szCs w:val="28"/>
        </w:rPr>
        <w:t>交货达</w:t>
      </w:r>
      <w:r>
        <w:rPr>
          <w:rFonts w:hint="eastAsia" w:ascii="宋体" w:hAnsi="宋体" w:eastAsia="宋体"/>
          <w:b w:val="0"/>
          <w:bCs w:val="0"/>
          <w:color w:val="auto"/>
          <w:sz w:val="28"/>
          <w:szCs w:val="28"/>
        </w:rPr>
        <w:t>15日</w:t>
      </w:r>
      <w:r>
        <w:rPr>
          <w:rFonts w:ascii="宋体" w:hAnsi="宋体" w:eastAsia="宋体"/>
          <w:b w:val="0"/>
          <w:bCs w:val="0"/>
          <w:color w:val="auto"/>
          <w:sz w:val="28"/>
          <w:szCs w:val="28"/>
        </w:rPr>
        <w:t>的，</w:t>
      </w:r>
      <w:r>
        <w:rPr>
          <w:rFonts w:hint="eastAsia" w:ascii="宋体" w:hAnsi="宋体" w:eastAsia="宋体"/>
          <w:b w:val="0"/>
          <w:bCs w:val="0"/>
          <w:color w:val="auto"/>
          <w:sz w:val="28"/>
          <w:szCs w:val="28"/>
        </w:rPr>
        <w:t>需方有权单方</w:t>
      </w:r>
      <w:r>
        <w:rPr>
          <w:rFonts w:ascii="宋体" w:hAnsi="宋体" w:eastAsia="宋体"/>
          <w:b w:val="0"/>
          <w:bCs w:val="0"/>
          <w:color w:val="auto"/>
          <w:sz w:val="28"/>
          <w:szCs w:val="28"/>
        </w:rPr>
        <w:t>解除本协议，并追究</w:t>
      </w:r>
      <w:r>
        <w:rPr>
          <w:rFonts w:hint="eastAsia" w:ascii="宋体" w:hAnsi="宋体" w:eastAsia="宋体"/>
          <w:b w:val="0"/>
          <w:bCs w:val="0"/>
          <w:color w:val="auto"/>
          <w:sz w:val="28"/>
          <w:szCs w:val="28"/>
        </w:rPr>
        <w:t>供方</w:t>
      </w:r>
      <w:r>
        <w:rPr>
          <w:rFonts w:ascii="宋体" w:hAnsi="宋体" w:eastAsia="宋体"/>
          <w:b w:val="0"/>
          <w:bCs w:val="0"/>
          <w:color w:val="auto"/>
          <w:sz w:val="28"/>
          <w:szCs w:val="28"/>
        </w:rPr>
        <w:t>的违约责任。</w:t>
      </w:r>
      <w:r>
        <w:rPr>
          <w:rFonts w:hint="eastAsia" w:ascii="宋体" w:hAnsi="宋体" w:eastAsia="宋体"/>
          <w:b w:val="0"/>
          <w:bCs w:val="0"/>
          <w:color w:val="auto"/>
          <w:sz w:val="28"/>
          <w:szCs w:val="28"/>
        </w:rPr>
        <w:t>逾期交付的货物，供方应在需方书面允许的期限内照数补齐；供方少交、迟交的部分货物，需方有权拒收，由此产生的费用及损失由供方承担。</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三、不能交付货物，应当偿付不能交付货物部分价款总值的</w:t>
      </w:r>
      <w:r>
        <w:rPr>
          <w:rFonts w:ascii="宋体" w:hAnsi="宋体" w:eastAsia="宋体"/>
          <w:b w:val="0"/>
          <w:bCs w:val="0"/>
          <w:color w:val="auto"/>
          <w:sz w:val="28"/>
          <w:szCs w:val="28"/>
        </w:rPr>
        <w:t>10</w:t>
      </w:r>
      <w:r>
        <w:rPr>
          <w:rFonts w:hint="eastAsia" w:ascii="宋体" w:hAnsi="宋体" w:eastAsia="宋体"/>
          <w:b w:val="0"/>
          <w:bCs w:val="0"/>
          <w:color w:val="auto"/>
          <w:sz w:val="28"/>
          <w:szCs w:val="28"/>
        </w:rPr>
        <w:t>%违约金，违约金需方可从供方货款中扣除。</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四、实行代运或送货的供方，错发到达地点或接收单位(人)，除按合同规定负责运到指定地点或接收单位(人)外，并承担因此多付的运杂费和逾期交付货物的责任。</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第九条  需方的违约责任</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 xml:space="preserve">一、需方在合同履行过程中变更订作货物的数量、规格、质量或设计等，应当在货物发出前通知供方； </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二、需方无故拒绝接收供方按合同规定期限提供的货物，需方应当赔偿供方因此造成的损失；</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三、需方变更交付货物地点或接收单位的，应在货物发出前通知供方，因变更交货地而增加的运费或货物已发出而增加的二次倒运费由需方承担；</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四、需方未按合同规定的条款付款，造成的后期供货延迟，供方不承担由此造成的损失，责任由需方承担。</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第十条  不可抗力</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第十一条  纠纷的处理</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因本合同引发的争议，双方可协商解决。协商不成应向需方所在地人民法院提起诉讼，诉讼费、律师代理费等相关费用由责任方承担。</w:t>
      </w:r>
    </w:p>
    <w:p>
      <w:pPr>
        <w:pStyle w:val="3"/>
        <w:spacing w:line="500" w:lineRule="exact"/>
        <w:jc w:val="left"/>
        <w:rPr>
          <w:rFonts w:hint="eastAsia" w:ascii="宋体" w:hAnsi="宋体" w:eastAsia="宋体"/>
          <w:color w:val="auto"/>
          <w:sz w:val="28"/>
          <w:szCs w:val="28"/>
          <w:lang w:eastAsia="zh-CN"/>
        </w:rPr>
      </w:pPr>
      <w:r>
        <w:rPr>
          <w:rFonts w:hint="eastAsia" w:ascii="宋体" w:hAnsi="宋体" w:eastAsia="宋体"/>
          <w:color w:val="auto"/>
          <w:sz w:val="28"/>
          <w:szCs w:val="28"/>
          <w:lang w:val="en-US"/>
        </w:rPr>
        <w:t xml:space="preserve">第十二条 </w:t>
      </w:r>
      <w:r>
        <w:rPr>
          <w:rFonts w:hint="eastAsia" w:ascii="宋体" w:hAnsi="宋体" w:eastAsia="宋体"/>
          <w:color w:val="auto"/>
          <w:sz w:val="28"/>
          <w:szCs w:val="28"/>
        </w:rPr>
        <w:t>廉洁条款</w:t>
      </w:r>
    </w:p>
    <w:p>
      <w:pPr>
        <w:pStyle w:val="3"/>
        <w:spacing w:line="500" w:lineRule="exact"/>
        <w:jc w:val="left"/>
        <w:rPr>
          <w:rFonts w:hint="eastAsia" w:ascii="宋体" w:hAnsi="宋体" w:eastAsia="宋体"/>
          <w:b w:val="0"/>
          <w:bCs w:val="0"/>
          <w:color w:val="auto"/>
          <w:sz w:val="28"/>
          <w:szCs w:val="28"/>
          <w:lang w:eastAsia="zh-CN"/>
        </w:rPr>
      </w:pPr>
      <w:r>
        <w:rPr>
          <w:rFonts w:hint="eastAsia" w:ascii="宋体" w:hAnsi="宋体" w:eastAsia="宋体"/>
          <w:b w:val="0"/>
          <w:bCs w:val="0"/>
          <w:color w:val="auto"/>
          <w:sz w:val="28"/>
          <w:szCs w:val="28"/>
        </w:rPr>
        <w:t>1.供需双方及其员工不得向对方及其员工实施商业贿赂行为，包括但不限于给予回扣、礼品、馈赠、娱乐、招待等行为。</w:t>
      </w:r>
    </w:p>
    <w:p>
      <w:pPr>
        <w:pStyle w:val="3"/>
        <w:spacing w:line="500" w:lineRule="exact"/>
        <w:jc w:val="left"/>
        <w:rPr>
          <w:rFonts w:hint="eastAsia" w:ascii="宋体" w:hAnsi="宋体" w:eastAsia="宋体"/>
          <w:b w:val="0"/>
          <w:bCs w:val="0"/>
          <w:color w:val="auto"/>
          <w:sz w:val="28"/>
          <w:szCs w:val="28"/>
          <w:lang w:eastAsia="zh-CN"/>
        </w:rPr>
      </w:pPr>
      <w:r>
        <w:rPr>
          <w:rFonts w:hint="eastAsia" w:ascii="宋体" w:hAnsi="宋体" w:eastAsia="宋体"/>
          <w:b w:val="0"/>
          <w:bCs w:val="0"/>
          <w:color w:val="auto"/>
          <w:sz w:val="28"/>
          <w:szCs w:val="28"/>
        </w:rPr>
        <w:t>2.供需双方及其员工不得向对方及其员工索要财物。</w:t>
      </w:r>
    </w:p>
    <w:p>
      <w:pPr>
        <w:pStyle w:val="3"/>
        <w:spacing w:line="500" w:lineRule="exact"/>
        <w:jc w:val="left"/>
        <w:rPr>
          <w:rFonts w:hint="eastAsia" w:ascii="宋体" w:hAnsi="宋体" w:eastAsia="宋体"/>
          <w:b w:val="0"/>
          <w:bCs w:val="0"/>
          <w:color w:val="auto"/>
          <w:sz w:val="28"/>
          <w:szCs w:val="28"/>
          <w:lang w:eastAsia="zh-CN"/>
        </w:rPr>
      </w:pPr>
      <w:r>
        <w:rPr>
          <w:rFonts w:hint="eastAsia" w:ascii="宋体" w:hAnsi="宋体" w:eastAsia="宋体"/>
          <w:b w:val="0"/>
          <w:bCs w:val="0"/>
          <w:color w:val="auto"/>
          <w:sz w:val="28"/>
          <w:szCs w:val="28"/>
        </w:rPr>
        <w:t>3.需方发现供方或供方员工向需方或需方员工实施前两款行为的，需方有权单方解除本合同，同时供方应向需方支付合同总金额10%的违约金。</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4. 供方发现需方或需方员工向供方或供方员工实施前两款行为的，应通过</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通信地址：北京市朝阳区朝阳门南大街 8 号中粮福临门大厦 9 层 905 房间，中粮糖业纪委办公室收，邮编 100020。或拨打举报电话：010-85017235。 如供方不予举报的，需方发现后有权单方解除本合同。</w:t>
      </w:r>
    </w:p>
    <w:p>
      <w:pPr>
        <w:pStyle w:val="3"/>
        <w:spacing w:line="500" w:lineRule="exact"/>
        <w:jc w:val="left"/>
        <w:rPr>
          <w:rFonts w:ascii="宋体" w:hAnsi="宋体" w:eastAsia="宋体"/>
          <w:bCs w:val="0"/>
          <w:color w:val="auto"/>
          <w:sz w:val="28"/>
          <w:szCs w:val="28"/>
        </w:rPr>
      </w:pPr>
      <w:r>
        <w:rPr>
          <w:rFonts w:hint="eastAsia" w:ascii="宋体" w:hAnsi="宋体" w:eastAsia="宋体"/>
          <w:bCs w:val="0"/>
          <w:color w:val="auto"/>
          <w:sz w:val="28"/>
          <w:szCs w:val="28"/>
        </w:rPr>
        <w:t>第十</w:t>
      </w:r>
      <w:r>
        <w:rPr>
          <w:rFonts w:hint="eastAsia" w:ascii="宋体" w:hAnsi="宋体" w:eastAsia="宋体"/>
          <w:bCs w:val="0"/>
          <w:color w:val="auto"/>
          <w:sz w:val="28"/>
          <w:szCs w:val="28"/>
          <w:lang w:val="en-US"/>
        </w:rPr>
        <w:t>三</w:t>
      </w:r>
      <w:r>
        <w:rPr>
          <w:rFonts w:hint="eastAsia" w:ascii="宋体" w:hAnsi="宋体" w:eastAsia="宋体"/>
          <w:bCs w:val="0"/>
          <w:color w:val="auto"/>
          <w:sz w:val="28"/>
          <w:szCs w:val="28"/>
        </w:rPr>
        <w:t>条 其它</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本合同自双</w:t>
      </w:r>
      <w:r>
        <w:rPr>
          <w:rFonts w:ascii="宋体" w:hAnsi="宋体" w:eastAsia="宋体"/>
          <w:b w:val="0"/>
          <w:bCs w:val="0"/>
          <w:color w:val="auto"/>
          <w:sz w:val="28"/>
          <w:szCs w:val="28"/>
        </w:rPr>
        <w:t>方签字盖章</w:t>
      </w:r>
      <w:r>
        <w:rPr>
          <w:rFonts w:hint="eastAsia" w:ascii="宋体" w:hAnsi="宋体" w:eastAsia="宋体"/>
          <w:b w:val="0"/>
          <w:bCs w:val="0"/>
          <w:color w:val="auto"/>
          <w:sz w:val="28"/>
          <w:szCs w:val="28"/>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jc w:val="left"/>
        <w:rPr>
          <w:rFonts w:ascii="宋体" w:hAnsi="宋体" w:eastAsia="宋体"/>
          <w:b w:val="0"/>
          <w:bCs w:val="0"/>
          <w:color w:val="auto"/>
          <w:sz w:val="28"/>
          <w:szCs w:val="28"/>
        </w:rPr>
      </w:pPr>
      <w:r>
        <w:rPr>
          <w:rFonts w:hint="eastAsia" w:ascii="宋体" w:hAnsi="宋体" w:eastAsia="宋体"/>
          <w:b w:val="0"/>
          <w:bCs w:val="0"/>
          <w:color w:val="auto"/>
          <w:sz w:val="28"/>
          <w:szCs w:val="28"/>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widowControl/>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开户行：中国农业银行股份有限公司英德浛洸支行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hint="eastAsia" w:ascii="宋体" w:hAnsi="宋体"/>
                <w:sz w:val="22"/>
                <w:szCs w:val="22"/>
              </w:rPr>
            </w:pPr>
            <w:r>
              <w:rPr>
                <w:rFonts w:hint="eastAsia" w:ascii="宋体" w:hAnsi="宋体"/>
                <w:sz w:val="22"/>
                <w:szCs w:val="22"/>
              </w:rPr>
              <w:t>单位名称(章)：</w:t>
            </w:r>
          </w:p>
          <w:p>
            <w:pPr>
              <w:spacing w:line="360" w:lineRule="auto"/>
              <w:rPr>
                <w:rFonts w:hint="eastAsia" w:ascii="宋体" w:hAnsi="宋体"/>
                <w:sz w:val="22"/>
                <w:szCs w:val="22"/>
              </w:rPr>
            </w:pPr>
            <w:r>
              <w:rPr>
                <w:rFonts w:hint="eastAsia" w:ascii="宋体" w:hAnsi="宋体"/>
                <w:sz w:val="22"/>
                <w:szCs w:val="22"/>
              </w:rPr>
              <w:t>单位地址：</w:t>
            </w:r>
          </w:p>
          <w:p>
            <w:pPr>
              <w:spacing w:line="360" w:lineRule="auto"/>
              <w:rPr>
                <w:rFonts w:hint="eastAsia" w:ascii="宋体" w:hAnsi="宋体"/>
                <w:sz w:val="22"/>
                <w:szCs w:val="22"/>
              </w:rPr>
            </w:pPr>
            <w:r>
              <w:rPr>
                <w:rFonts w:hint="eastAsia" w:ascii="宋体" w:hAnsi="宋体"/>
                <w:sz w:val="22"/>
                <w:szCs w:val="22"/>
              </w:rPr>
              <w:t>法定代表人：</w:t>
            </w:r>
          </w:p>
          <w:p>
            <w:pPr>
              <w:spacing w:line="360" w:lineRule="auto"/>
              <w:rPr>
                <w:rFonts w:hint="eastAsia" w:ascii="宋体" w:hAnsi="宋体"/>
                <w:sz w:val="22"/>
                <w:szCs w:val="22"/>
              </w:rPr>
            </w:pPr>
          </w:p>
          <w:p>
            <w:pPr>
              <w:spacing w:line="360" w:lineRule="auto"/>
              <w:rPr>
                <w:rFonts w:hint="eastAsia" w:ascii="宋体" w:hAnsi="宋体"/>
                <w:sz w:val="22"/>
                <w:szCs w:val="22"/>
              </w:rPr>
            </w:pPr>
            <w:r>
              <w:rPr>
                <w:rFonts w:hint="eastAsia" w:ascii="宋体" w:hAnsi="宋体"/>
                <w:sz w:val="22"/>
                <w:szCs w:val="22"/>
              </w:rPr>
              <w:t>委托代表人：</w:t>
            </w:r>
          </w:p>
          <w:p>
            <w:pPr>
              <w:spacing w:line="360" w:lineRule="auto"/>
              <w:rPr>
                <w:rFonts w:hint="eastAsia" w:ascii="宋体" w:hAnsi="宋体"/>
                <w:sz w:val="22"/>
                <w:szCs w:val="22"/>
              </w:rPr>
            </w:pPr>
          </w:p>
          <w:p>
            <w:pPr>
              <w:spacing w:line="360" w:lineRule="auto"/>
              <w:rPr>
                <w:rFonts w:hint="eastAsia" w:ascii="宋体" w:hAnsi="宋体"/>
                <w:sz w:val="22"/>
                <w:szCs w:val="22"/>
              </w:rPr>
            </w:pPr>
            <w:r>
              <w:rPr>
                <w:rFonts w:hint="eastAsia" w:ascii="宋体" w:hAnsi="宋体"/>
                <w:sz w:val="22"/>
                <w:szCs w:val="22"/>
              </w:rPr>
              <w:t>开户行：</w:t>
            </w:r>
          </w:p>
          <w:p>
            <w:pPr>
              <w:spacing w:line="360" w:lineRule="auto"/>
              <w:rPr>
                <w:rFonts w:hint="eastAsia" w:ascii="宋体" w:hAnsi="宋体"/>
                <w:sz w:val="22"/>
                <w:szCs w:val="22"/>
              </w:rPr>
            </w:pPr>
            <w:r>
              <w:rPr>
                <w:rFonts w:hint="eastAsia" w:ascii="宋体" w:hAnsi="宋体"/>
                <w:sz w:val="22"/>
                <w:szCs w:val="22"/>
              </w:rPr>
              <w:t>帐号：</w:t>
            </w:r>
          </w:p>
          <w:p>
            <w:pPr>
              <w:spacing w:line="360" w:lineRule="auto"/>
              <w:rPr>
                <w:rFonts w:hint="eastAsia"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Pr>
        <w:rPr>
          <w:rFonts w:ascii="宋体" w:hAnsi="宋体"/>
          <w:b/>
          <w:bCs/>
          <w:sz w:val="28"/>
          <w:szCs w:val="28"/>
        </w:rPr>
      </w:pPr>
    </w:p>
    <w:p>
      <w:pPr>
        <w:rPr>
          <w:rFonts w:ascii="宋体" w:hAnsi="宋体"/>
          <w:b/>
          <w:bCs/>
          <w:sz w:val="28"/>
          <w:szCs w:val="28"/>
        </w:rPr>
      </w:pPr>
    </w:p>
    <w:p>
      <w:pPr>
        <w:rPr>
          <w:rFonts w:ascii="宋体" w:hAnsi="宋体"/>
          <w:b/>
          <w:bCs/>
          <w:sz w:val="28"/>
          <w:szCs w:val="28"/>
        </w:rPr>
      </w:pPr>
    </w:p>
    <w:p/>
    <w:p/>
    <w:p/>
    <w:p/>
    <w:tbl>
      <w:tblPr>
        <w:tblStyle w:val="27"/>
        <w:tblW w:w="11254" w:type="dxa"/>
        <w:jc w:val="center"/>
        <w:tblLayout w:type="fixed"/>
        <w:tblCellMar>
          <w:top w:w="0" w:type="dxa"/>
          <w:left w:w="108" w:type="dxa"/>
          <w:bottom w:w="0" w:type="dxa"/>
          <w:right w:w="108" w:type="dxa"/>
        </w:tblCellMar>
      </w:tblPr>
      <w:tblGrid>
        <w:gridCol w:w="625"/>
        <w:gridCol w:w="990"/>
        <w:gridCol w:w="1395"/>
        <w:gridCol w:w="678"/>
        <w:gridCol w:w="741"/>
        <w:gridCol w:w="983"/>
        <w:gridCol w:w="1000"/>
        <w:gridCol w:w="166"/>
        <w:gridCol w:w="1006"/>
        <w:gridCol w:w="1004"/>
        <w:gridCol w:w="491"/>
        <w:gridCol w:w="649"/>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5"/>
            <w:tcBorders>
              <w:top w:val="single" w:color="auto" w:sz="4" w:space="0"/>
              <w:left w:val="single" w:color="auto" w:sz="4" w:space="0"/>
              <w:bottom w:val="single" w:color="auto" w:sz="4" w:space="0"/>
              <w:right w:val="single" w:color="000000" w:sz="4" w:space="0"/>
            </w:tcBorders>
            <w:vAlign w:val="center"/>
          </w:tcPr>
          <w:p>
            <w:pPr>
              <w:widowControl/>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52" w:hRule="atLeast"/>
          <w:jc w:val="center"/>
        </w:trPr>
        <w:tc>
          <w:tcPr>
            <w:tcW w:w="10887" w:type="dxa"/>
            <w:gridSpan w:val="15"/>
            <w:tcBorders>
              <w:top w:val="single" w:color="auto" w:sz="4" w:space="0"/>
              <w:left w:val="single" w:color="auto" w:sz="4" w:space="0"/>
              <w:bottom w:val="single" w:color="auto" w:sz="4" w:space="0"/>
              <w:right w:val="single" w:color="000000" w:sz="4" w:space="0"/>
            </w:tcBorders>
            <w:vAlign w:val="center"/>
          </w:tcPr>
          <w:p>
            <w:pPr>
              <w:widowControl/>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5"/>
            <w:tcBorders>
              <w:top w:val="single" w:color="auto" w:sz="4" w:space="0"/>
              <w:left w:val="single" w:color="auto" w:sz="4" w:space="0"/>
              <w:bottom w:val="single" w:color="auto" w:sz="4" w:space="0"/>
              <w:right w:val="single" w:color="000000" w:sz="4" w:space="0"/>
            </w:tcBorders>
            <w:vAlign w:val="center"/>
          </w:tcPr>
          <w:p>
            <w:pPr>
              <w:widowControl/>
              <w:jc w:val="center"/>
              <w:rPr>
                <w:rFonts w:ascii="宋体" w:hAnsi="宋体" w:cs="宋体"/>
                <w:b/>
                <w:bCs/>
                <w:kern w:val="0"/>
                <w:sz w:val="20"/>
                <w:szCs w:val="20"/>
              </w:rPr>
            </w:pPr>
            <w:r>
              <w:rPr>
                <w:rFonts w:hint="eastAsia" w:ascii="宋体" w:hAnsi="宋体" w:cs="宋体"/>
                <w:b/>
                <w:bCs/>
                <w:kern w:val="0"/>
                <w:sz w:val="20"/>
                <w:szCs w:val="20"/>
              </w:rPr>
              <w:t xml:space="preserve">                                                                         合同编号：</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i w:val="0"/>
                <w:iCs w:val="0"/>
                <w:color w:val="000000"/>
                <w:kern w:val="0"/>
                <w:sz w:val="22"/>
                <w:szCs w:val="22"/>
                <w:u w:val="none"/>
                <w:lang w:val="en-US" w:eastAsia="zh-CN" w:bidi="ar"/>
              </w:rPr>
              <w:t>序号</w:t>
            </w:r>
          </w:p>
        </w:tc>
        <w:tc>
          <w:tcPr>
            <w:tcW w:w="238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default" w:ascii="宋体" w:hAnsi="宋体" w:eastAsia="宋体" w:cs="宋体"/>
                <w:b/>
                <w:bCs/>
                <w:kern w:val="0"/>
                <w:sz w:val="20"/>
                <w:szCs w:val="20"/>
                <w:lang w:val="en-US" w:eastAsia="zh-CN"/>
              </w:rPr>
            </w:pPr>
            <w:r>
              <w:rPr>
                <w:rFonts w:hint="eastAsia" w:ascii="宋体" w:hAnsi="宋体" w:eastAsia="宋体" w:cs="宋体"/>
                <w:b/>
                <w:bCs/>
                <w:i w:val="0"/>
                <w:iCs w:val="0"/>
                <w:color w:val="000000"/>
                <w:kern w:val="0"/>
                <w:sz w:val="20"/>
                <w:szCs w:val="20"/>
                <w:u w:val="none"/>
                <w:lang w:val="en-US" w:eastAsia="zh-CN" w:bidi="ar"/>
              </w:rPr>
              <w:t>物料描述</w:t>
            </w:r>
          </w:p>
        </w:tc>
        <w:tc>
          <w:tcPr>
            <w:tcW w:w="678"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2"/>
                <w:szCs w:val="22"/>
                <w:u w:val="none"/>
                <w:lang w:val="en-US" w:eastAsia="zh-CN" w:bidi="ar"/>
              </w:rPr>
              <w:t>数量</w:t>
            </w:r>
          </w:p>
        </w:tc>
        <w:tc>
          <w:tcPr>
            <w:tcW w:w="741"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单位</w:t>
            </w:r>
          </w:p>
        </w:tc>
        <w:tc>
          <w:tcPr>
            <w:tcW w:w="983"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含税单价</w:t>
            </w:r>
          </w:p>
        </w:tc>
        <w:tc>
          <w:tcPr>
            <w:tcW w:w="1000"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税率</w:t>
            </w:r>
          </w:p>
        </w:tc>
        <w:tc>
          <w:tcPr>
            <w:tcW w:w="1172"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含税金额</w:t>
            </w:r>
          </w:p>
        </w:tc>
        <w:tc>
          <w:tcPr>
            <w:tcW w:w="149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不含税金额</w:t>
            </w:r>
          </w:p>
        </w:tc>
        <w:tc>
          <w:tcPr>
            <w:tcW w:w="1099"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交货时间</w:t>
            </w:r>
          </w:p>
        </w:tc>
        <w:tc>
          <w:tcPr>
            <w:tcW w:w="709"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ascii="宋体" w:hAnsi="宋体" w:cs="宋体"/>
                <w:b/>
                <w:bCs/>
                <w:kern w:val="0"/>
                <w:sz w:val="20"/>
                <w:szCs w:val="20"/>
              </w:rPr>
            </w:pPr>
            <w:r>
              <w:rPr>
                <w:rFonts w:hint="eastAsia" w:ascii="宋体" w:hAnsi="宋体" w:eastAsia="宋体" w:cs="宋体"/>
                <w:b/>
                <w:bCs/>
                <w:i w:val="0"/>
                <w:iCs w:val="0"/>
                <w:color w:val="000000"/>
                <w:kern w:val="0"/>
                <w:sz w:val="20"/>
                <w:szCs w:val="20"/>
                <w:u w:val="none"/>
                <w:lang w:val="en-US" w:eastAsia="zh-CN" w:bidi="ar"/>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eastAsia="仿宋_GB2312"/>
                <w:szCs w:val="21"/>
              </w:rPr>
            </w:pPr>
            <w:r>
              <w:rPr>
                <w:rFonts w:hint="eastAsia" w:ascii="宋体" w:hAnsi="宋体" w:eastAsia="宋体" w:cs="宋体"/>
                <w:i w:val="0"/>
                <w:iCs w:val="0"/>
                <w:color w:val="000000"/>
                <w:kern w:val="0"/>
                <w:sz w:val="22"/>
                <w:szCs w:val="22"/>
                <w:u w:val="none"/>
                <w:lang w:val="en-US" w:eastAsia="zh-CN" w:bidi="ar"/>
              </w:rPr>
              <w:t>1</w:t>
            </w:r>
          </w:p>
        </w:tc>
        <w:tc>
          <w:tcPr>
            <w:tcW w:w="2385" w:type="dxa"/>
            <w:gridSpan w:val="2"/>
            <w:tcBorders>
              <w:top w:val="nil"/>
              <w:left w:val="nil"/>
              <w:bottom w:val="single" w:color="000000" w:sz="4" w:space="0"/>
              <w:right w:val="single" w:color="000000" w:sz="4" w:space="0"/>
            </w:tcBorders>
            <w:vAlign w:val="center"/>
          </w:tcPr>
          <w:p>
            <w:pPr>
              <w:keepNext w:val="0"/>
              <w:keepLines w:val="0"/>
              <w:widowControl/>
              <w:suppressLineNumbers w:val="0"/>
              <w:jc w:val="left"/>
              <w:textAlignment w:val="center"/>
              <w:rPr>
                <w:rFonts w:hint="eastAsia" w:eastAsia="仿宋_GB2312"/>
                <w:szCs w:val="21"/>
              </w:rPr>
            </w:pPr>
          </w:p>
        </w:tc>
        <w:tc>
          <w:tcPr>
            <w:tcW w:w="678" w:type="dxa"/>
            <w:tcBorders>
              <w:top w:val="nil"/>
              <w:left w:val="nil"/>
              <w:bottom w:val="single" w:color="000000" w:sz="4" w:space="0"/>
              <w:right w:val="single" w:color="000000" w:sz="4" w:space="0"/>
            </w:tcBorders>
            <w:vAlign w:val="center"/>
          </w:tcPr>
          <w:p>
            <w:pPr>
              <w:keepNext w:val="0"/>
              <w:keepLines w:val="0"/>
              <w:widowControl/>
              <w:suppressLineNumbers w:val="0"/>
              <w:jc w:val="center"/>
              <w:textAlignment w:val="center"/>
              <w:rPr>
                <w:rFonts w:hint="eastAsia" w:eastAsia="仿宋_GB2312"/>
                <w:szCs w:val="21"/>
                <w:lang w:val="en-US" w:eastAsia="zh-CN"/>
              </w:rPr>
            </w:pPr>
          </w:p>
        </w:tc>
        <w:tc>
          <w:tcPr>
            <w:tcW w:w="741" w:type="dxa"/>
            <w:tcBorders>
              <w:top w:val="nil"/>
              <w:left w:val="nil"/>
              <w:bottom w:val="single" w:color="000000" w:sz="4" w:space="0"/>
              <w:right w:val="single" w:color="000000" w:sz="4" w:space="0"/>
            </w:tcBorders>
            <w:vAlign w:val="center"/>
          </w:tcPr>
          <w:p>
            <w:pPr>
              <w:keepNext w:val="0"/>
              <w:keepLines w:val="0"/>
              <w:widowControl/>
              <w:suppressLineNumbers w:val="0"/>
              <w:jc w:val="center"/>
              <w:textAlignment w:val="center"/>
              <w:rPr>
                <w:rFonts w:hint="eastAsia" w:eastAsia="仿宋_GB2312"/>
                <w:szCs w:val="21"/>
              </w:rPr>
            </w:pPr>
          </w:p>
        </w:tc>
        <w:tc>
          <w:tcPr>
            <w:tcW w:w="983" w:type="dxa"/>
            <w:tcBorders>
              <w:top w:val="nil"/>
              <w:left w:val="nil"/>
              <w:bottom w:val="single" w:color="000000" w:sz="4" w:space="0"/>
              <w:right w:val="single" w:color="000000" w:sz="4" w:space="0"/>
            </w:tcBorders>
            <w:vAlign w:val="center"/>
          </w:tcPr>
          <w:p>
            <w:pPr>
              <w:keepNext w:val="0"/>
              <w:keepLines w:val="0"/>
              <w:widowControl/>
              <w:suppressLineNumbers w:val="0"/>
              <w:jc w:val="center"/>
              <w:textAlignment w:val="center"/>
              <w:rPr>
                <w:rFonts w:hint="eastAsia" w:eastAsia="仿宋_GB2312"/>
                <w:szCs w:val="21"/>
              </w:rPr>
            </w:pPr>
          </w:p>
        </w:tc>
        <w:tc>
          <w:tcPr>
            <w:tcW w:w="1000"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default" w:eastAsia="仿宋_GB2312"/>
                <w:szCs w:val="21"/>
                <w:lang w:val="en-US" w:eastAsia="zh-CN"/>
              </w:rPr>
            </w:pPr>
          </w:p>
        </w:tc>
        <w:tc>
          <w:tcPr>
            <w:tcW w:w="1172" w:type="dxa"/>
            <w:gridSpan w:val="2"/>
            <w:tcBorders>
              <w:top w:val="nil"/>
              <w:left w:val="nil"/>
              <w:bottom w:val="single" w:color="000000" w:sz="4" w:space="0"/>
              <w:right w:val="single" w:color="000000" w:sz="4" w:space="0"/>
            </w:tcBorders>
            <w:vAlign w:val="center"/>
          </w:tcPr>
          <w:p>
            <w:pPr>
              <w:keepNext w:val="0"/>
              <w:keepLines w:val="0"/>
              <w:widowControl/>
              <w:suppressLineNumbers w:val="0"/>
              <w:jc w:val="center"/>
              <w:textAlignment w:val="center"/>
              <w:rPr>
                <w:rFonts w:hint="default" w:eastAsia="仿宋_GB2312"/>
                <w:szCs w:val="21"/>
                <w:lang w:val="en-US" w:eastAsia="zh-CN"/>
              </w:rPr>
            </w:pPr>
          </w:p>
        </w:tc>
        <w:tc>
          <w:tcPr>
            <w:tcW w:w="149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99" w:type="dxa"/>
            <w:gridSpan w:val="2"/>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default" w:eastAsia="仿宋_GB2312"/>
                <w:szCs w:val="21"/>
                <w:lang w:val="en-US" w:eastAsia="zh-CN"/>
              </w:rPr>
            </w:pPr>
          </w:p>
        </w:tc>
        <w:tc>
          <w:tcPr>
            <w:tcW w:w="709" w:type="dxa"/>
            <w:gridSpan w:val="2"/>
            <w:tcBorders>
              <w:top w:val="single" w:color="auto" w:sz="4" w:space="0"/>
              <w:left w:val="nil"/>
              <w:bottom w:val="single" w:color="auto" w:sz="4" w:space="0"/>
              <w:right w:val="single" w:color="000000" w:sz="4" w:space="0"/>
            </w:tcBorders>
            <w:vAlign w:val="center"/>
          </w:tcPr>
          <w:p>
            <w:pPr>
              <w:keepNext w:val="0"/>
              <w:keepLines w:val="0"/>
              <w:widowControl/>
              <w:suppressLineNumbers w:val="0"/>
              <w:jc w:val="center"/>
              <w:textAlignment w:val="center"/>
              <w:rPr>
                <w:rFonts w:hint="eastAsia" w:eastAsia="仿宋_GB2312"/>
                <w:szCs w:val="21"/>
                <w:lang w:val="en-US" w:eastAsia="zh-CN"/>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b/>
                <w:color w:val="000000"/>
                <w:sz w:val="18"/>
                <w:szCs w:val="18"/>
              </w:rPr>
            </w:pPr>
            <w:r>
              <w:rPr>
                <w:rFonts w:hint="eastAsia" w:ascii="宋体" w:hAnsi="宋体" w:eastAsia="宋体" w:cs="宋体"/>
                <w:i w:val="0"/>
                <w:iCs w:val="0"/>
                <w:color w:val="000000"/>
                <w:kern w:val="0"/>
                <w:sz w:val="22"/>
                <w:szCs w:val="22"/>
                <w:u w:val="none"/>
                <w:lang w:val="en-US" w:eastAsia="zh-CN" w:bidi="ar"/>
              </w:rPr>
              <w:t>2</w:t>
            </w:r>
          </w:p>
        </w:tc>
        <w:tc>
          <w:tcPr>
            <w:tcW w:w="2385" w:type="dxa"/>
            <w:gridSpan w:val="2"/>
            <w:tcBorders>
              <w:top w:val="nil"/>
              <w:left w:val="nil"/>
              <w:bottom w:val="single" w:color="auto" w:sz="4" w:space="0"/>
              <w:right w:val="single" w:color="auto" w:sz="4" w:space="0"/>
            </w:tcBorders>
            <w:vAlign w:val="center"/>
          </w:tcPr>
          <w:p>
            <w:pPr>
              <w:keepNext w:val="0"/>
              <w:keepLines w:val="0"/>
              <w:widowControl/>
              <w:suppressLineNumbers w:val="0"/>
              <w:jc w:val="left"/>
              <w:textAlignment w:val="center"/>
              <w:rPr>
                <w:rFonts w:hint="default" w:eastAsia="仿宋_GB2312"/>
                <w:szCs w:val="21"/>
                <w:lang w:val="en-US"/>
              </w:rPr>
            </w:pPr>
          </w:p>
        </w:tc>
        <w:tc>
          <w:tcPr>
            <w:tcW w:w="678"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741"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983"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00"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172"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lang w:val="en-US" w:eastAsia="zh-CN"/>
              </w:rPr>
            </w:pPr>
          </w:p>
        </w:tc>
        <w:tc>
          <w:tcPr>
            <w:tcW w:w="149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99"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b/>
                <w:color w:val="000000"/>
                <w:sz w:val="18"/>
                <w:szCs w:val="18"/>
              </w:rPr>
            </w:pPr>
            <w:r>
              <w:rPr>
                <w:rFonts w:hint="eastAsia" w:ascii="宋体" w:hAnsi="宋体" w:eastAsia="宋体" w:cs="宋体"/>
                <w:i w:val="0"/>
                <w:iCs w:val="0"/>
                <w:color w:val="000000"/>
                <w:kern w:val="0"/>
                <w:sz w:val="22"/>
                <w:szCs w:val="22"/>
                <w:u w:val="none"/>
                <w:lang w:val="en-US" w:eastAsia="zh-CN" w:bidi="ar"/>
              </w:rPr>
              <w:t>3</w:t>
            </w:r>
          </w:p>
        </w:tc>
        <w:tc>
          <w:tcPr>
            <w:tcW w:w="2385" w:type="dxa"/>
            <w:gridSpan w:val="2"/>
            <w:tcBorders>
              <w:top w:val="nil"/>
              <w:left w:val="nil"/>
              <w:bottom w:val="single" w:color="auto" w:sz="4" w:space="0"/>
              <w:right w:val="single" w:color="auto" w:sz="4" w:space="0"/>
            </w:tcBorders>
            <w:vAlign w:val="center"/>
          </w:tcPr>
          <w:p>
            <w:pPr>
              <w:keepNext w:val="0"/>
              <w:keepLines w:val="0"/>
              <w:widowControl/>
              <w:suppressLineNumbers w:val="0"/>
              <w:jc w:val="left"/>
              <w:textAlignment w:val="center"/>
              <w:rPr>
                <w:rFonts w:hint="default" w:eastAsia="仿宋_GB2312"/>
                <w:szCs w:val="21"/>
                <w:lang w:val="en-US"/>
              </w:rPr>
            </w:pPr>
          </w:p>
        </w:tc>
        <w:tc>
          <w:tcPr>
            <w:tcW w:w="678"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741"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983"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00" w:type="dxa"/>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172"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lang w:val="en-US" w:eastAsia="zh-CN"/>
              </w:rPr>
            </w:pPr>
          </w:p>
        </w:tc>
        <w:tc>
          <w:tcPr>
            <w:tcW w:w="149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99"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1615" w:type="dxa"/>
            <w:gridSpan w:val="2"/>
            <w:tcBorders>
              <w:top w:val="nil"/>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r>
              <w:rPr>
                <w:rFonts w:hint="eastAsia" w:ascii="宋体" w:hAnsi="宋体" w:eastAsia="宋体" w:cs="宋体"/>
                <w:i w:val="0"/>
                <w:iCs w:val="0"/>
                <w:color w:val="000000"/>
                <w:kern w:val="0"/>
                <w:sz w:val="22"/>
                <w:szCs w:val="22"/>
                <w:u w:val="none"/>
                <w:lang w:val="en-US" w:eastAsia="zh-CN" w:bidi="ar"/>
              </w:rPr>
              <w:t>合计</w:t>
            </w:r>
          </w:p>
        </w:tc>
        <w:tc>
          <w:tcPr>
            <w:tcW w:w="1395" w:type="dxa"/>
            <w:tcBorders>
              <w:top w:val="nil"/>
              <w:left w:val="nil"/>
              <w:bottom w:val="single" w:color="auto" w:sz="4" w:space="0"/>
              <w:right w:val="single" w:color="auto" w:sz="4" w:space="0"/>
            </w:tcBorders>
            <w:vAlign w:val="center"/>
          </w:tcPr>
          <w:p>
            <w:pPr>
              <w:jc w:val="center"/>
              <w:rPr>
                <w:rFonts w:hint="eastAsia" w:eastAsia="仿宋_GB2312"/>
                <w:szCs w:val="21"/>
              </w:rPr>
            </w:pPr>
          </w:p>
        </w:tc>
        <w:tc>
          <w:tcPr>
            <w:tcW w:w="678" w:type="dxa"/>
            <w:tcBorders>
              <w:top w:val="nil"/>
              <w:left w:val="nil"/>
              <w:bottom w:val="single" w:color="auto" w:sz="4" w:space="0"/>
              <w:right w:val="single" w:color="auto" w:sz="4" w:space="0"/>
            </w:tcBorders>
            <w:vAlign w:val="center"/>
          </w:tcPr>
          <w:p>
            <w:pPr>
              <w:jc w:val="center"/>
              <w:rPr>
                <w:rFonts w:hint="eastAsia" w:eastAsia="仿宋_GB2312"/>
                <w:szCs w:val="21"/>
              </w:rPr>
            </w:pPr>
          </w:p>
        </w:tc>
        <w:tc>
          <w:tcPr>
            <w:tcW w:w="741" w:type="dxa"/>
            <w:tcBorders>
              <w:top w:val="nil"/>
              <w:left w:val="nil"/>
              <w:bottom w:val="single" w:color="auto" w:sz="4" w:space="0"/>
              <w:right w:val="single" w:color="auto" w:sz="4" w:space="0"/>
            </w:tcBorders>
            <w:vAlign w:val="center"/>
          </w:tcPr>
          <w:p>
            <w:pPr>
              <w:jc w:val="center"/>
              <w:rPr>
                <w:rFonts w:hint="eastAsia" w:eastAsia="仿宋_GB2312"/>
                <w:szCs w:val="21"/>
              </w:rPr>
            </w:pPr>
          </w:p>
        </w:tc>
        <w:tc>
          <w:tcPr>
            <w:tcW w:w="983" w:type="dxa"/>
            <w:tcBorders>
              <w:top w:val="nil"/>
              <w:left w:val="nil"/>
              <w:bottom w:val="single" w:color="auto" w:sz="4" w:space="0"/>
              <w:right w:val="single" w:color="auto" w:sz="4" w:space="0"/>
            </w:tcBorders>
            <w:vAlign w:val="center"/>
          </w:tcPr>
          <w:p>
            <w:pPr>
              <w:jc w:val="center"/>
              <w:rPr>
                <w:rFonts w:hint="eastAsia" w:eastAsia="仿宋_GB2312"/>
                <w:szCs w:val="21"/>
              </w:rPr>
            </w:pPr>
          </w:p>
        </w:tc>
        <w:tc>
          <w:tcPr>
            <w:tcW w:w="1000" w:type="dxa"/>
            <w:tcBorders>
              <w:top w:val="nil"/>
              <w:left w:val="nil"/>
              <w:bottom w:val="single" w:color="auto" w:sz="4" w:space="0"/>
              <w:right w:val="single" w:color="auto" w:sz="4" w:space="0"/>
            </w:tcBorders>
            <w:vAlign w:val="center"/>
          </w:tcPr>
          <w:p>
            <w:pPr>
              <w:jc w:val="center"/>
              <w:rPr>
                <w:rFonts w:hint="eastAsia" w:eastAsia="仿宋_GB2312"/>
                <w:szCs w:val="21"/>
              </w:rPr>
            </w:pPr>
          </w:p>
        </w:tc>
        <w:tc>
          <w:tcPr>
            <w:tcW w:w="1172"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8000"/>
                <w:kern w:val="2"/>
                <w:sz w:val="18"/>
                <w:szCs w:val="18"/>
                <w:u w:val="none"/>
                <w:lang w:val="en-US" w:eastAsia="zh-CN" w:bidi="ar-SA"/>
              </w:rPr>
            </w:pPr>
          </w:p>
        </w:tc>
        <w:tc>
          <w:tcPr>
            <w:tcW w:w="1495" w:type="dxa"/>
            <w:gridSpan w:val="2"/>
            <w:tcBorders>
              <w:top w:val="nil"/>
              <w:left w:val="nil"/>
              <w:bottom w:val="single" w:color="auto" w:sz="4" w:space="0"/>
              <w:right w:val="single" w:color="auto" w:sz="4" w:space="0"/>
            </w:tcBorders>
            <w:vAlign w:val="center"/>
          </w:tcPr>
          <w:p>
            <w:pPr>
              <w:keepNext w:val="0"/>
              <w:keepLines w:val="0"/>
              <w:widowControl/>
              <w:suppressLineNumbers w:val="0"/>
              <w:jc w:val="center"/>
              <w:textAlignment w:val="center"/>
              <w:rPr>
                <w:rFonts w:hint="eastAsia" w:eastAsia="仿宋_GB2312"/>
                <w:szCs w:val="21"/>
              </w:rPr>
            </w:pPr>
          </w:p>
        </w:tc>
        <w:tc>
          <w:tcPr>
            <w:tcW w:w="1099" w:type="dxa"/>
            <w:gridSpan w:val="2"/>
            <w:tcBorders>
              <w:top w:val="single" w:color="auto" w:sz="4" w:space="0"/>
              <w:left w:val="single" w:color="auto" w:sz="4" w:space="0"/>
              <w:bottom w:val="single" w:color="auto" w:sz="4" w:space="0"/>
              <w:right w:val="single" w:color="auto" w:sz="4" w:space="0"/>
            </w:tcBorders>
            <w:vAlign w:val="center"/>
          </w:tcPr>
          <w:p>
            <w:pPr>
              <w:jc w:val="center"/>
              <w:rPr>
                <w:rFonts w:hint="eastAsia"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jc w:val="center"/>
              <w:rPr>
                <w:rFonts w:hint="eastAsia"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1615" w:type="dxa"/>
            <w:gridSpan w:val="2"/>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9272" w:type="dxa"/>
            <w:gridSpan w:val="13"/>
            <w:tcBorders>
              <w:top w:val="single" w:color="auto" w:sz="4" w:space="0"/>
              <w:left w:val="nil"/>
              <w:bottom w:val="single" w:color="auto" w:sz="4" w:space="0"/>
              <w:right w:val="single" w:color="000000" w:sz="4" w:space="0"/>
            </w:tcBorders>
            <w:vAlign w:val="center"/>
          </w:tcPr>
          <w:p>
            <w:pPr>
              <w:keepNext w:val="0"/>
              <w:keepLines w:val="0"/>
              <w:widowControl/>
              <w:suppressLineNumbers w:val="0"/>
              <w:jc w:val="left"/>
              <w:textAlignment w:val="center"/>
              <w:rPr>
                <w:rFonts w:hint="default"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gridAfter w:val="3"/>
          <w:wAfter w:w="367" w:type="dxa"/>
          <w:trHeight w:val="449" w:hRule="atLeast"/>
          <w:jc w:val="center"/>
        </w:trPr>
        <w:tc>
          <w:tcPr>
            <w:tcW w:w="1615" w:type="dxa"/>
            <w:gridSpan w:val="2"/>
            <w:tcBorders>
              <w:top w:val="single" w:color="auto" w:sz="4" w:space="0"/>
              <w:left w:val="single" w:color="auto" w:sz="4" w:space="0"/>
              <w:bottom w:val="single" w:color="auto" w:sz="4" w:space="0"/>
              <w:right w:val="single" w:color="000000" w:sz="4" w:space="0"/>
            </w:tcBorders>
            <w:vAlign w:val="center"/>
          </w:tcPr>
          <w:p>
            <w:pPr>
              <w:widowControl/>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9272" w:type="dxa"/>
            <w:gridSpan w:val="13"/>
            <w:tcBorders>
              <w:top w:val="single" w:color="auto" w:sz="4" w:space="0"/>
              <w:left w:val="nil"/>
              <w:bottom w:val="single" w:color="auto" w:sz="4" w:space="0"/>
              <w:right w:val="single" w:color="000000" w:sz="4" w:space="0"/>
            </w:tcBorders>
            <w:vAlign w:val="center"/>
          </w:tcPr>
          <w:p>
            <w:pPr>
              <w:keepNext w:val="0"/>
              <w:keepLines w:val="0"/>
              <w:widowControl/>
              <w:suppressLineNumbers w:val="0"/>
              <w:jc w:val="left"/>
              <w:textAlignment w:val="center"/>
              <w:rPr>
                <w:rFonts w:hint="default" w:ascii="宋体" w:hAnsi="宋体" w:eastAsia="宋体" w:cs="宋体"/>
                <w:i w:val="0"/>
                <w:iCs w:val="0"/>
                <w:color w:val="000000"/>
                <w:kern w:val="2"/>
                <w:sz w:val="22"/>
                <w:szCs w:val="22"/>
                <w:u w:val="none"/>
                <w:lang w:val="en-US" w:eastAsia="zh-CN" w:bidi="ar-SA"/>
              </w:rPr>
            </w:pPr>
          </w:p>
        </w:tc>
      </w:tr>
      <w:tr>
        <w:tblPrEx>
          <w:tblCellMar>
            <w:top w:w="0" w:type="dxa"/>
            <w:left w:w="108" w:type="dxa"/>
            <w:bottom w:w="0" w:type="dxa"/>
            <w:right w:w="108" w:type="dxa"/>
          </w:tblCellMar>
        </w:tblPrEx>
        <w:trPr>
          <w:gridAfter w:val="3"/>
          <w:wAfter w:w="367" w:type="dxa"/>
          <w:trHeight w:val="704" w:hRule="atLeast"/>
          <w:jc w:val="center"/>
        </w:trPr>
        <w:tc>
          <w:tcPr>
            <w:tcW w:w="1615" w:type="dxa"/>
            <w:gridSpan w:val="2"/>
            <w:tcBorders>
              <w:top w:val="single" w:color="auto" w:sz="4" w:space="0"/>
              <w:left w:val="single" w:color="auto" w:sz="4" w:space="0"/>
              <w:bottom w:val="single" w:color="auto" w:sz="4" w:space="0"/>
              <w:right w:val="single" w:color="000000" w:sz="4" w:space="0"/>
            </w:tcBorders>
            <w:vAlign w:val="center"/>
          </w:tcPr>
          <w:p>
            <w:pPr>
              <w:widowControl/>
              <w:jc w:val="center"/>
              <w:rPr>
                <w:rFonts w:ascii="宋体" w:hAnsi="宋体" w:cs="宋体"/>
                <w:b/>
                <w:bCs/>
                <w:kern w:val="0"/>
                <w:sz w:val="20"/>
                <w:szCs w:val="20"/>
              </w:rPr>
            </w:pPr>
            <w:r>
              <w:rPr>
                <w:rFonts w:hint="eastAsia" w:ascii="宋体" w:hAnsi="宋体" w:cs="宋体"/>
                <w:b/>
                <w:bCs/>
                <w:kern w:val="0"/>
                <w:sz w:val="20"/>
                <w:szCs w:val="20"/>
              </w:rPr>
              <w:t>备注</w:t>
            </w:r>
          </w:p>
        </w:tc>
        <w:tc>
          <w:tcPr>
            <w:tcW w:w="9272" w:type="dxa"/>
            <w:gridSpan w:val="13"/>
            <w:tcBorders>
              <w:top w:val="single" w:color="auto" w:sz="4" w:space="0"/>
              <w:left w:val="nil"/>
              <w:bottom w:val="single" w:color="auto" w:sz="4" w:space="0"/>
              <w:right w:val="single" w:color="000000" w:sz="4" w:space="0"/>
            </w:tcBorders>
            <w:vAlign w:val="center"/>
          </w:tcPr>
          <w:p>
            <w:pPr>
              <w:widowControl/>
              <w:numPr>
                <w:ilvl w:val="0"/>
                <w:numId w:val="0"/>
              </w:numPr>
              <w:jc w:val="left"/>
              <w:rPr>
                <w:rFonts w:ascii="宋体" w:hAnsi="宋体" w:cs="宋体"/>
                <w:b/>
                <w:bCs/>
                <w:kern w:val="0"/>
                <w:sz w:val="20"/>
                <w:szCs w:val="20"/>
              </w:rPr>
            </w:pPr>
            <w:r>
              <w:rPr>
                <w:rFonts w:hint="eastAsia" w:ascii="宋体" w:hAnsi="宋体" w:cs="宋体"/>
                <w:b/>
                <w:bCs/>
                <w:kern w:val="0"/>
                <w:sz w:val="20"/>
                <w:szCs w:val="20"/>
                <w:lang w:val="en-US" w:eastAsia="zh-CN"/>
              </w:rPr>
              <w:t>1、</w:t>
            </w: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widowControl/>
              <w:numPr>
                <w:ilvl w:val="0"/>
                <w:numId w:val="0"/>
              </w:numPr>
              <w:jc w:val="left"/>
              <w:rPr>
                <w:rFonts w:ascii="宋体" w:hAnsi="宋体" w:cs="宋体"/>
                <w:b/>
                <w:bCs/>
                <w:kern w:val="0"/>
                <w:sz w:val="20"/>
                <w:szCs w:val="20"/>
              </w:rPr>
            </w:pPr>
            <w:r>
              <w:rPr>
                <w:rFonts w:hint="eastAsia" w:ascii="宋体" w:hAnsi="宋体" w:cs="宋体"/>
                <w:b/>
                <w:bCs/>
                <w:kern w:val="0"/>
                <w:sz w:val="20"/>
                <w:szCs w:val="20"/>
              </w:rPr>
              <w:t>2、购买方订购销售方物资到厂验收合格后，检修期结束后或榨季期结束后有剩余未使用的物资需退还给销售方，所退物资必须全新未使用过，发货物流点由销售方指定，产生的运费需购买方承担。</w:t>
            </w:r>
          </w:p>
          <w:p>
            <w:pPr>
              <w:widowControl/>
              <w:numPr>
                <w:ilvl w:val="0"/>
                <w:numId w:val="0"/>
              </w:numPr>
              <w:jc w:val="left"/>
              <w:rPr>
                <w:rFonts w:ascii="宋体" w:hAnsi="宋体" w:cs="宋体"/>
                <w:b/>
                <w:bCs/>
                <w:kern w:val="0"/>
                <w:sz w:val="20"/>
                <w:szCs w:val="20"/>
              </w:rPr>
            </w:pPr>
            <w:r>
              <w:rPr>
                <w:rFonts w:hint="eastAsia" w:ascii="宋体" w:hAnsi="宋体" w:cs="宋体"/>
                <w:b/>
                <w:bCs/>
                <w:kern w:val="0"/>
                <w:sz w:val="20"/>
                <w:szCs w:val="20"/>
              </w:rPr>
              <w:t>3、购买方所订购的物资属非国标产品及按购买方要求加工的产品不能退货。</w:t>
            </w:r>
          </w:p>
          <w:p>
            <w:pPr>
              <w:widowControl/>
              <w:numPr>
                <w:ilvl w:val="0"/>
                <w:numId w:val="0"/>
              </w:numPr>
              <w:jc w:val="left"/>
              <w:rPr>
                <w:rFonts w:ascii="宋体" w:hAnsi="宋体" w:cs="宋体"/>
                <w:b/>
                <w:bCs/>
                <w:kern w:val="0"/>
                <w:sz w:val="20"/>
                <w:szCs w:val="20"/>
              </w:rPr>
            </w:pPr>
            <w:r>
              <w:rPr>
                <w:rFonts w:hint="eastAsia" w:ascii="宋体" w:hAnsi="宋体" w:cs="宋体"/>
                <w:b/>
                <w:bCs/>
                <w:kern w:val="0"/>
                <w:sz w:val="20"/>
                <w:szCs w:val="20"/>
              </w:rPr>
              <w:t>4、购买方所订购物资有保质期的，剩余保质期在1个月内的不能退货。</w:t>
            </w:r>
          </w:p>
          <w:p>
            <w:pPr>
              <w:widowControl/>
              <w:numPr>
                <w:ilvl w:val="0"/>
                <w:numId w:val="0"/>
              </w:numPr>
              <w:jc w:val="left"/>
              <w:rPr>
                <w:rFonts w:ascii="宋体" w:hAnsi="宋体" w:cs="宋体"/>
                <w:b/>
                <w:bCs/>
                <w:kern w:val="0"/>
                <w:sz w:val="20"/>
                <w:szCs w:val="20"/>
              </w:rPr>
            </w:pPr>
            <w:r>
              <w:rPr>
                <w:rFonts w:hint="eastAsia" w:ascii="宋体" w:hAnsi="宋体" w:cs="宋体"/>
                <w:b/>
                <w:bCs/>
                <w:kern w:val="0"/>
                <w:sz w:val="20"/>
                <w:szCs w:val="20"/>
              </w:rPr>
              <w:t>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widowControl/>
              <w:jc w:val="center"/>
              <w:rPr>
                <w:rFonts w:ascii="宋体" w:hAnsi="宋体" w:cs="宋体"/>
                <w:kern w:val="0"/>
                <w:sz w:val="20"/>
                <w:szCs w:val="20"/>
              </w:rPr>
            </w:pPr>
            <w:r>
              <w:rPr>
                <w:rFonts w:hint="eastAsia" w:ascii="宋体" w:hAnsi="宋体" w:cs="宋体"/>
                <w:kern w:val="0"/>
                <w:sz w:val="20"/>
                <w:szCs w:val="20"/>
              </w:rPr>
              <w:t>注</w:t>
            </w:r>
          </w:p>
        </w:tc>
        <w:tc>
          <w:tcPr>
            <w:tcW w:w="3804" w:type="dxa"/>
            <w:gridSpan w:val="4"/>
            <w:tcBorders>
              <w:top w:val="nil"/>
              <w:left w:val="nil"/>
              <w:bottom w:val="nil"/>
              <w:right w:val="nil"/>
            </w:tcBorders>
            <w:vAlign w:val="center"/>
          </w:tcPr>
          <w:p>
            <w:pPr>
              <w:widowControl/>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2149" w:type="dxa"/>
            <w:gridSpan w:val="3"/>
            <w:tcBorders>
              <w:top w:val="nil"/>
              <w:left w:val="nil"/>
              <w:bottom w:val="nil"/>
              <w:right w:val="nil"/>
            </w:tcBorders>
            <w:vAlign w:val="center"/>
          </w:tcPr>
          <w:p>
            <w:pPr>
              <w:widowControl/>
              <w:jc w:val="left"/>
              <w:rPr>
                <w:rFonts w:ascii="宋体" w:hAnsi="宋体" w:cs="宋体"/>
                <w:kern w:val="0"/>
                <w:sz w:val="20"/>
                <w:szCs w:val="20"/>
              </w:rPr>
            </w:pPr>
          </w:p>
        </w:tc>
        <w:tc>
          <w:tcPr>
            <w:tcW w:w="1006" w:type="dxa"/>
            <w:tcBorders>
              <w:top w:val="nil"/>
              <w:left w:val="nil"/>
              <w:bottom w:val="nil"/>
              <w:right w:val="nil"/>
            </w:tcBorders>
            <w:vAlign w:val="center"/>
          </w:tcPr>
          <w:p>
            <w:pPr>
              <w:widowControl/>
              <w:jc w:val="left"/>
              <w:rPr>
                <w:rFonts w:ascii="宋体" w:hAnsi="宋体" w:cs="宋体"/>
                <w:kern w:val="0"/>
                <w:sz w:val="20"/>
                <w:szCs w:val="20"/>
              </w:rPr>
            </w:pPr>
          </w:p>
        </w:tc>
        <w:tc>
          <w:tcPr>
            <w:tcW w:w="1004" w:type="dxa"/>
            <w:tcBorders>
              <w:top w:val="nil"/>
              <w:left w:val="nil"/>
              <w:bottom w:val="nil"/>
              <w:right w:val="nil"/>
            </w:tcBorders>
            <w:vAlign w:val="center"/>
          </w:tcPr>
          <w:p>
            <w:pPr>
              <w:widowControl/>
              <w:jc w:val="left"/>
              <w:rPr>
                <w:rFonts w:ascii="宋体" w:hAnsi="宋体" w:cs="宋体"/>
                <w:kern w:val="0"/>
                <w:sz w:val="20"/>
                <w:szCs w:val="20"/>
              </w:rPr>
            </w:pPr>
          </w:p>
        </w:tc>
        <w:tc>
          <w:tcPr>
            <w:tcW w:w="491" w:type="dxa"/>
            <w:tcBorders>
              <w:top w:val="nil"/>
              <w:left w:val="nil"/>
              <w:bottom w:val="nil"/>
              <w:right w:val="nil"/>
            </w:tcBorders>
            <w:vAlign w:val="center"/>
          </w:tcPr>
          <w:p>
            <w:pPr>
              <w:widowControl/>
              <w:jc w:val="left"/>
              <w:rPr>
                <w:rFonts w:ascii="宋体" w:hAnsi="宋体" w:cs="宋体"/>
                <w:kern w:val="0"/>
                <w:sz w:val="20"/>
                <w:szCs w:val="20"/>
              </w:rPr>
            </w:pPr>
          </w:p>
        </w:tc>
        <w:tc>
          <w:tcPr>
            <w:tcW w:w="1099" w:type="dxa"/>
            <w:gridSpan w:val="2"/>
            <w:tcBorders>
              <w:top w:val="nil"/>
              <w:left w:val="nil"/>
              <w:bottom w:val="nil"/>
              <w:right w:val="nil"/>
            </w:tcBorders>
            <w:vAlign w:val="center"/>
          </w:tcPr>
          <w:p>
            <w:pPr>
              <w:widowControl/>
              <w:jc w:val="left"/>
              <w:rPr>
                <w:rFonts w:ascii="宋体" w:hAnsi="宋体" w:cs="宋体"/>
                <w:kern w:val="0"/>
                <w:sz w:val="20"/>
                <w:szCs w:val="20"/>
              </w:rPr>
            </w:pPr>
          </w:p>
        </w:tc>
        <w:tc>
          <w:tcPr>
            <w:tcW w:w="840" w:type="dxa"/>
            <w:gridSpan w:val="4"/>
            <w:tcBorders>
              <w:top w:val="nil"/>
              <w:left w:val="nil"/>
              <w:bottom w:val="nil"/>
              <w:right w:val="nil"/>
            </w:tcBorders>
            <w:vAlign w:val="center"/>
          </w:tcPr>
          <w:p>
            <w:pPr>
              <w:widowControl/>
              <w:jc w:val="left"/>
              <w:rPr>
                <w:rFonts w:ascii="宋体" w:hAnsi="宋体" w:cs="宋体"/>
                <w:kern w:val="0"/>
                <w:sz w:val="20"/>
                <w:szCs w:val="20"/>
              </w:rPr>
            </w:pPr>
          </w:p>
        </w:tc>
        <w:tc>
          <w:tcPr>
            <w:tcW w:w="236" w:type="dxa"/>
            <w:tcBorders>
              <w:top w:val="nil"/>
              <w:left w:val="nil"/>
              <w:bottom w:val="nil"/>
              <w:right w:val="nil"/>
            </w:tcBorders>
            <w:vAlign w:val="center"/>
          </w:tcPr>
          <w:p>
            <w:pPr>
              <w:widowControl/>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widowControl/>
              <w:jc w:val="center"/>
              <w:rPr>
                <w:rFonts w:ascii="宋体" w:hAnsi="宋体" w:cs="宋体"/>
                <w:kern w:val="0"/>
                <w:sz w:val="20"/>
                <w:szCs w:val="20"/>
              </w:rPr>
            </w:pPr>
          </w:p>
        </w:tc>
        <w:tc>
          <w:tcPr>
            <w:tcW w:w="4787" w:type="dxa"/>
            <w:gridSpan w:val="5"/>
            <w:tcBorders>
              <w:top w:val="nil"/>
              <w:left w:val="nil"/>
              <w:bottom w:val="nil"/>
              <w:right w:val="nil"/>
            </w:tcBorders>
            <w:vAlign w:val="center"/>
          </w:tcPr>
          <w:p>
            <w:pPr>
              <w:widowControl/>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1000" w:type="dxa"/>
            <w:tcBorders>
              <w:top w:val="nil"/>
              <w:left w:val="nil"/>
              <w:bottom w:val="nil"/>
              <w:right w:val="nil"/>
            </w:tcBorders>
            <w:vAlign w:val="center"/>
          </w:tcPr>
          <w:p>
            <w:pPr>
              <w:widowControl/>
              <w:jc w:val="left"/>
              <w:rPr>
                <w:rFonts w:ascii="宋体" w:hAnsi="宋体" w:cs="宋体"/>
                <w:kern w:val="0"/>
                <w:sz w:val="20"/>
                <w:szCs w:val="20"/>
              </w:rPr>
            </w:pPr>
          </w:p>
        </w:tc>
        <w:tc>
          <w:tcPr>
            <w:tcW w:w="1172" w:type="dxa"/>
            <w:gridSpan w:val="2"/>
            <w:tcBorders>
              <w:top w:val="nil"/>
              <w:left w:val="nil"/>
              <w:bottom w:val="nil"/>
              <w:right w:val="nil"/>
            </w:tcBorders>
            <w:vAlign w:val="center"/>
          </w:tcPr>
          <w:p>
            <w:pPr>
              <w:widowControl/>
              <w:jc w:val="left"/>
              <w:rPr>
                <w:rFonts w:ascii="宋体" w:hAnsi="宋体" w:cs="宋体"/>
                <w:kern w:val="0"/>
                <w:sz w:val="20"/>
                <w:szCs w:val="20"/>
              </w:rPr>
            </w:pPr>
          </w:p>
        </w:tc>
        <w:tc>
          <w:tcPr>
            <w:tcW w:w="1495" w:type="dxa"/>
            <w:gridSpan w:val="2"/>
            <w:tcBorders>
              <w:top w:val="nil"/>
              <w:left w:val="nil"/>
              <w:bottom w:val="nil"/>
              <w:right w:val="nil"/>
            </w:tcBorders>
            <w:vAlign w:val="center"/>
          </w:tcPr>
          <w:p>
            <w:pPr>
              <w:widowControl/>
              <w:jc w:val="left"/>
              <w:rPr>
                <w:rFonts w:ascii="宋体" w:hAnsi="宋体" w:cs="宋体"/>
                <w:kern w:val="0"/>
                <w:sz w:val="20"/>
                <w:szCs w:val="20"/>
              </w:rPr>
            </w:pPr>
          </w:p>
        </w:tc>
        <w:tc>
          <w:tcPr>
            <w:tcW w:w="649" w:type="dxa"/>
            <w:tcBorders>
              <w:top w:val="nil"/>
              <w:left w:val="nil"/>
              <w:bottom w:val="nil"/>
              <w:right w:val="nil"/>
            </w:tcBorders>
            <w:vAlign w:val="center"/>
          </w:tcPr>
          <w:p>
            <w:pPr>
              <w:widowControl/>
              <w:jc w:val="left"/>
              <w:rPr>
                <w:rFonts w:ascii="宋体" w:hAnsi="宋体" w:cs="宋体"/>
                <w:kern w:val="0"/>
                <w:sz w:val="20"/>
                <w:szCs w:val="20"/>
              </w:rPr>
            </w:pPr>
          </w:p>
        </w:tc>
        <w:tc>
          <w:tcPr>
            <w:tcW w:w="1005" w:type="dxa"/>
            <w:gridSpan w:val="2"/>
            <w:tcBorders>
              <w:top w:val="nil"/>
              <w:left w:val="nil"/>
              <w:bottom w:val="nil"/>
              <w:right w:val="nil"/>
            </w:tcBorders>
            <w:vAlign w:val="center"/>
          </w:tcPr>
          <w:p>
            <w:pPr>
              <w:widowControl/>
              <w:jc w:val="left"/>
              <w:rPr>
                <w:rFonts w:ascii="宋体" w:hAnsi="宋体" w:cs="宋体"/>
                <w:kern w:val="0"/>
                <w:sz w:val="20"/>
                <w:szCs w:val="20"/>
              </w:rPr>
            </w:pPr>
          </w:p>
        </w:tc>
        <w:tc>
          <w:tcPr>
            <w:tcW w:w="236" w:type="dxa"/>
            <w:gridSpan w:val="2"/>
            <w:tcBorders>
              <w:top w:val="nil"/>
              <w:left w:val="nil"/>
              <w:bottom w:val="nil"/>
              <w:right w:val="nil"/>
            </w:tcBorders>
            <w:vAlign w:val="center"/>
          </w:tcPr>
          <w:p>
            <w:pPr>
              <w:widowControl/>
              <w:jc w:val="left"/>
              <w:rPr>
                <w:rFonts w:ascii="宋体" w:hAnsi="宋体" w:cs="宋体"/>
                <w:kern w:val="0"/>
                <w:sz w:val="20"/>
                <w:szCs w:val="20"/>
              </w:rPr>
            </w:pPr>
          </w:p>
        </w:tc>
      </w:tr>
    </w:tbl>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0C6DEA5-4AEB-4BB9-ACC3-B08D5F87D46B}"/>
  </w:font>
  <w:font w:name="Arial">
    <w:panose1 w:val="020B0604020202020204"/>
    <w:charset w:val="01"/>
    <w:family w:val="swiss"/>
    <w:pitch w:val="default"/>
    <w:sig w:usb0="E0002EFF" w:usb1="C000785B" w:usb2="00000009" w:usb3="00000000" w:csb0="400001FF" w:csb1="FFFF0000"/>
    <w:embedRegular r:id="rId2" w:fontKey="{4FD29949-F2C8-4B47-8EAF-BBA75FA580BD}"/>
  </w:font>
  <w:font w:name="黑体">
    <w:panose1 w:val="02010609060101010101"/>
    <w:charset w:val="86"/>
    <w:family w:val="auto"/>
    <w:pitch w:val="default"/>
    <w:sig w:usb0="800002BF" w:usb1="38CF7CFA" w:usb2="00000016" w:usb3="00000000" w:csb0="00040001" w:csb1="00000000"/>
    <w:embedRegular r:id="rId3" w:fontKey="{FB57BECA-47F0-4C25-B507-0EFDCFDCF28D}"/>
  </w:font>
  <w:font w:name="Courier New">
    <w:panose1 w:val="02070309020205020404"/>
    <w:charset w:val="01"/>
    <w:family w:val="modern"/>
    <w:pitch w:val="default"/>
    <w:sig w:usb0="E0002EFF" w:usb1="C0007843" w:usb2="00000009" w:usb3="00000000" w:csb0="400001FF" w:csb1="FFFF0000"/>
    <w:embedRegular r:id="rId4" w:fontKey="{03E0E777-6EA0-4262-B531-867CF7D750D1}"/>
  </w:font>
  <w:font w:name="Symbol">
    <w:panose1 w:val="05050102010706020507"/>
    <w:charset w:val="02"/>
    <w:family w:val="roman"/>
    <w:pitch w:val="default"/>
    <w:sig w:usb0="00000000" w:usb1="00000000" w:usb2="00000000" w:usb3="00000000" w:csb0="80000000" w:csb1="00000000"/>
    <w:embedRegular r:id="rId5" w:fontKey="{85BD20F0-6904-405F-85F8-92869159627D}"/>
  </w:font>
  <w:font w:name="Calibri">
    <w:panose1 w:val="020F0502020204030204"/>
    <w:charset w:val="00"/>
    <w:family w:val="swiss"/>
    <w:pitch w:val="default"/>
    <w:sig w:usb0="E0002EFF" w:usb1="C000247B" w:usb2="00000009" w:usb3="00000000" w:csb0="200001FF" w:csb1="00000000"/>
    <w:embedRegular r:id="rId6" w:fontKey="{69EC74E8-75E2-481A-82F8-C397855E746A}"/>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368D9AC9-475F-4BF2-A977-5D74B44C93EF}"/>
  </w:font>
  <w:font w:name="仿宋_GB2312">
    <w:panose1 w:val="02010609030101010101"/>
    <w:charset w:val="86"/>
    <w:family w:val="modern"/>
    <w:pitch w:val="default"/>
    <w:sig w:usb0="00000001" w:usb1="080E0000" w:usb2="00000000" w:usb3="00000000" w:csb0="00040000" w:csb1="00000000"/>
    <w:embedRegular r:id="rId8" w:fontKey="{25613BAC-6635-4927-8BDE-66D5FB60D029}"/>
  </w:font>
  <w:font w:name="Impact">
    <w:panose1 w:val="020B0806030902050204"/>
    <w:charset w:val="00"/>
    <w:family w:val="swiss"/>
    <w:pitch w:val="default"/>
    <w:sig w:usb0="00000287" w:usb1="00000000" w:usb2="00000000" w:usb3="00000000" w:csb0="2000009F" w:csb1="DFD70000"/>
    <w:embedRegular r:id="rId9" w:fontKey="{AA9F4983-EAD5-4E67-9AE7-8FB36DFDD5F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9F1CCF7A-CFEE-4B9D-987D-94D8D657F858}"/>
  </w:font>
  <w:font w:name="Tahoma">
    <w:panose1 w:val="020B0604030504040204"/>
    <w:charset w:val="00"/>
    <w:family w:val="swiss"/>
    <w:pitch w:val="default"/>
    <w:sig w:usb0="E1002EFF" w:usb1="C000605B" w:usb2="00000029" w:usb3="00000000" w:csb0="200101FF" w:csb1="20280000"/>
    <w:embedRegular r:id="rId11" w:fontKey="{BDD224A4-3662-4938-A0A1-8ED4BD139A7D}"/>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1B23578A-D942-4002-B535-438EB38FD897}"/>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CE561625-4DAC-416E-8453-A824955832A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26B8A"/>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626AF7"/>
    <w:rsid w:val="0EFE27D2"/>
    <w:rsid w:val="0F0E1745"/>
    <w:rsid w:val="139C5245"/>
    <w:rsid w:val="14BB0341"/>
    <w:rsid w:val="150B6D5B"/>
    <w:rsid w:val="171C6A37"/>
    <w:rsid w:val="1F761D7B"/>
    <w:rsid w:val="20EE459D"/>
    <w:rsid w:val="20F50B18"/>
    <w:rsid w:val="228B0E90"/>
    <w:rsid w:val="238B5DAE"/>
    <w:rsid w:val="265A7C43"/>
    <w:rsid w:val="283D6C7D"/>
    <w:rsid w:val="29FF3202"/>
    <w:rsid w:val="34675474"/>
    <w:rsid w:val="35270D10"/>
    <w:rsid w:val="38871EFC"/>
    <w:rsid w:val="3A43109D"/>
    <w:rsid w:val="3B655EEA"/>
    <w:rsid w:val="3F0F6678"/>
    <w:rsid w:val="422B736D"/>
    <w:rsid w:val="43B65050"/>
    <w:rsid w:val="43DD095B"/>
    <w:rsid w:val="457A4585"/>
    <w:rsid w:val="46364ADA"/>
    <w:rsid w:val="46CC2A0C"/>
    <w:rsid w:val="46DE1025"/>
    <w:rsid w:val="47172652"/>
    <w:rsid w:val="489A0822"/>
    <w:rsid w:val="495A2754"/>
    <w:rsid w:val="49C66B17"/>
    <w:rsid w:val="4BF8187C"/>
    <w:rsid w:val="50D63C71"/>
    <w:rsid w:val="51D163A4"/>
    <w:rsid w:val="53457CE7"/>
    <w:rsid w:val="535E7E92"/>
    <w:rsid w:val="56F972DA"/>
    <w:rsid w:val="5826683B"/>
    <w:rsid w:val="5A81078E"/>
    <w:rsid w:val="5AAE5D76"/>
    <w:rsid w:val="5B3045CE"/>
    <w:rsid w:val="5B906D1E"/>
    <w:rsid w:val="5CCA7473"/>
    <w:rsid w:val="5DB544EF"/>
    <w:rsid w:val="633D659B"/>
    <w:rsid w:val="689B6413"/>
    <w:rsid w:val="68A51FBD"/>
    <w:rsid w:val="695938E5"/>
    <w:rsid w:val="6A701B49"/>
    <w:rsid w:val="6B281FC8"/>
    <w:rsid w:val="6B540008"/>
    <w:rsid w:val="6D294A12"/>
    <w:rsid w:val="6DB94BEC"/>
    <w:rsid w:val="6E6464D0"/>
    <w:rsid w:val="6F0E00D7"/>
    <w:rsid w:val="6F9A214D"/>
    <w:rsid w:val="71DF5363"/>
    <w:rsid w:val="795A1EBB"/>
    <w:rsid w:val="7BD02935"/>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3475</Words>
  <Characters>3683</Characters>
  <Lines>30</Lines>
  <Paragraphs>8</Paragraphs>
  <TotalTime>0</TotalTime>
  <ScaleCrop>false</ScaleCrop>
  <LinksUpToDate>false</LinksUpToDate>
  <CharactersWithSpaces>3909</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2023-07-26T02:34:18Z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CC103272AAC447D69555DDD1D31FA639_13</vt:lpwstr>
  </property>
  <property fmtid="{D5CDD505-2E9C-101B-9397-08002B2CF9AE}" pid="4" name="KSOSaveFontToCloudKey">
    <vt:lpwstr>440324230_embed</vt:lpwstr>
  </property>
</Properties>
</file>