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rPr>
      </w:pPr>
      <w:r>
        <w:rPr>
          <w:rFonts w:hint="default" w:ascii="Times New Roman" w:hAnsi="Times New Roman" w:eastAsia="黑体" w:cs="Times New Roman"/>
          <w:sz w:val="32"/>
        </w:rPr>
        <w:t>中粮屯河</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北海糖业</w:t>
      </w:r>
    </w:p>
    <w:tbl>
      <w:tblPr>
        <w:tblStyle w:val="10"/>
        <w:tblW w:w="9743" w:type="dxa"/>
        <w:tblInd w:w="108" w:type="dxa"/>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063"/>
        <w:gridCol w:w="4680"/>
      </w:tblGrid>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389" w:hRule="atLeast"/>
        </w:trPr>
        <w:tc>
          <w:tcPr>
            <w:tcW w:w="5063" w:type="dxa"/>
            <w:vAlign w:val="center"/>
          </w:tcPr>
          <w:p>
            <w:pPr>
              <w:ind w:right="-376" w:rightChars="-179"/>
              <w:rPr>
                <w:rFonts w:hint="default" w:ascii="Times New Roman" w:hAnsi="Times New Roman" w:eastAsia="黑体" w:cs="Times New Roman"/>
                <w:color w:val="000000"/>
                <w:sz w:val="24"/>
                <w:lang w:eastAsia="zh-CN"/>
              </w:rPr>
            </w:pPr>
            <w:r>
              <w:rPr>
                <w:rFonts w:hint="default" w:ascii="Times New Roman" w:hAnsi="Times New Roman" w:eastAsia="黑体" w:cs="Times New Roman"/>
                <w:sz w:val="24"/>
              </w:rPr>
              <w:t>致To:</w:t>
            </w:r>
          </w:p>
        </w:tc>
        <w:tc>
          <w:tcPr>
            <w:tcW w:w="4680"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 xml:space="preserve">发件人From: </w:t>
            </w:r>
            <w:r>
              <w:rPr>
                <w:rFonts w:hint="default" w:ascii="Times New Roman" w:hAnsi="Times New Roman" w:eastAsia="黑体" w:cs="Times New Roman"/>
                <w:sz w:val="24"/>
                <w:lang w:eastAsia="zh-CN"/>
              </w:rPr>
              <w:t>甘富文</w:t>
            </w:r>
            <w:r>
              <w:rPr>
                <w:rFonts w:hint="default" w:ascii="Times New Roman" w:hAnsi="Times New Roman" w:eastAsia="黑体" w:cs="Times New Roman"/>
                <w:sz w:val="24"/>
              </w:rPr>
              <w:t xml:space="preserve"> </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09" w:hRule="atLeast"/>
        </w:trPr>
        <w:tc>
          <w:tcPr>
            <w:tcW w:w="5063"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 xml:space="preserve">传真Fax: </w:t>
            </w:r>
          </w:p>
        </w:tc>
        <w:tc>
          <w:tcPr>
            <w:tcW w:w="4680" w:type="dxa"/>
            <w:vAlign w:val="center"/>
          </w:tcPr>
          <w:p>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电话Tel: </w:t>
            </w:r>
            <w:r>
              <w:rPr>
                <w:rFonts w:hint="default" w:ascii="Times New Roman" w:hAnsi="Times New Roman" w:eastAsia="黑体" w:cs="Times New Roman"/>
                <w:sz w:val="24"/>
                <w:lang w:val="en-US" w:eastAsia="zh-CN"/>
              </w:rPr>
              <w:t>18276722628</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389" w:hRule="atLeast"/>
        </w:trPr>
        <w:tc>
          <w:tcPr>
            <w:tcW w:w="5063" w:type="dxa"/>
            <w:vAlign w:val="center"/>
          </w:tcPr>
          <w:p>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呈Attn: </w:t>
            </w:r>
          </w:p>
        </w:tc>
        <w:tc>
          <w:tcPr>
            <w:tcW w:w="4680" w:type="dxa"/>
            <w:vAlign w:val="center"/>
          </w:tcPr>
          <w:p>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传真Fax: 0779-860</w:t>
            </w:r>
            <w:r>
              <w:rPr>
                <w:rFonts w:hint="default" w:ascii="Times New Roman" w:hAnsi="Times New Roman" w:eastAsia="黑体" w:cs="Times New Roman"/>
                <w:sz w:val="24"/>
                <w:lang w:val="en-US" w:eastAsia="zh-CN"/>
              </w:rPr>
              <w:t>7920</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389" w:hRule="atLeast"/>
        </w:trPr>
        <w:tc>
          <w:tcPr>
            <w:tcW w:w="5063" w:type="dxa"/>
            <w:vAlign w:val="center"/>
          </w:tcPr>
          <w:p>
            <w:pPr>
              <w:rPr>
                <w:rFonts w:hint="default" w:ascii="Times New Roman" w:hAnsi="Times New Roman" w:eastAsia="黑体" w:cs="Times New Roman"/>
                <w:sz w:val="24"/>
                <w:lang w:eastAsia="zh-CN"/>
              </w:rPr>
            </w:pPr>
            <w:r>
              <w:rPr>
                <w:rFonts w:hint="default" w:ascii="Times New Roman" w:hAnsi="Times New Roman" w:eastAsia="黑体" w:cs="Times New Roman"/>
                <w:sz w:val="24"/>
              </w:rPr>
              <w:t xml:space="preserve">主题Titel: </w:t>
            </w:r>
            <w:r>
              <w:rPr>
                <w:rFonts w:hint="default" w:ascii="Times New Roman" w:hAnsi="Times New Roman" w:eastAsia="黑体" w:cs="Times New Roman"/>
                <w:sz w:val="24"/>
                <w:lang w:eastAsia="zh-CN"/>
              </w:rPr>
              <w:t>询价</w:t>
            </w:r>
            <w:r>
              <w:rPr>
                <w:rFonts w:hint="default" w:ascii="Times New Roman" w:hAnsi="Times New Roman" w:eastAsia="黑体" w:cs="Times New Roman"/>
                <w:sz w:val="24"/>
                <w:lang w:val="en-US" w:eastAsia="zh-CN"/>
              </w:rPr>
              <w:t>文件</w:t>
            </w:r>
          </w:p>
        </w:tc>
        <w:tc>
          <w:tcPr>
            <w:tcW w:w="4680"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页数Page:</w:t>
            </w:r>
            <w:r>
              <w:rPr>
                <w:rFonts w:hint="default" w:ascii="Times New Roman" w:hAnsi="Times New Roman" w:eastAsia="黑体" w:cs="Times New Roman"/>
                <w:sz w:val="24"/>
                <w:lang w:val="en-US" w:eastAsia="zh-CN"/>
              </w:rPr>
              <w:t xml:space="preserve"> </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09" w:hRule="atLeast"/>
        </w:trPr>
        <w:tc>
          <w:tcPr>
            <w:tcW w:w="5063"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编号Number:</w:t>
            </w:r>
          </w:p>
        </w:tc>
        <w:tc>
          <w:tcPr>
            <w:tcW w:w="4680"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 xml:space="preserve">日期Date: </w:t>
            </w:r>
            <w:r>
              <w:rPr>
                <w:rFonts w:hint="default" w:ascii="Times New Roman" w:hAnsi="Times New Roman" w:eastAsia="黑体" w:cs="Times New Roman"/>
                <w:sz w:val="24"/>
                <w:lang w:eastAsia="zh-CN"/>
              </w:rPr>
              <w:t>20</w:t>
            </w:r>
            <w:r>
              <w:rPr>
                <w:rFonts w:hint="default" w:ascii="Times New Roman" w:hAnsi="Times New Roman" w:eastAsia="黑体" w:cs="Times New Roman"/>
                <w:sz w:val="24"/>
                <w:lang w:val="en-US" w:eastAsia="zh-CN"/>
              </w:rPr>
              <w:t>2</w:t>
            </w:r>
            <w:r>
              <w:rPr>
                <w:rFonts w:hint="eastAsia" w:eastAsia="黑体" w:cs="Times New Roman"/>
                <w:sz w:val="24"/>
                <w:lang w:val="en-US" w:eastAsia="zh-CN"/>
              </w:rPr>
              <w:t>3</w:t>
            </w:r>
            <w:r>
              <w:rPr>
                <w:rFonts w:hint="default" w:ascii="Times New Roman" w:hAnsi="Times New Roman" w:eastAsia="黑体" w:cs="Times New Roman"/>
                <w:sz w:val="24"/>
                <w:lang w:eastAsia="zh-CN"/>
              </w:rPr>
              <w:t>年</w:t>
            </w:r>
            <w:r>
              <w:rPr>
                <w:rFonts w:hint="eastAsia" w:eastAsia="黑体" w:cs="Times New Roman"/>
                <w:sz w:val="24"/>
                <w:lang w:val="en-US" w:eastAsia="zh-CN"/>
              </w:rPr>
              <w:t>8</w:t>
            </w:r>
            <w:r>
              <w:rPr>
                <w:rFonts w:hint="default" w:ascii="Times New Roman" w:hAnsi="Times New Roman" w:eastAsia="黑体" w:cs="Times New Roman"/>
                <w:sz w:val="24"/>
                <w:lang w:eastAsia="zh-CN"/>
              </w:rPr>
              <w:t>月</w:t>
            </w:r>
            <w:r>
              <w:rPr>
                <w:rFonts w:hint="eastAsia" w:eastAsia="黑体" w:cs="Times New Roman"/>
                <w:sz w:val="24"/>
                <w:lang w:val="en-US" w:eastAsia="zh-CN"/>
              </w:rPr>
              <w:t>2</w:t>
            </w:r>
            <w:r>
              <w:rPr>
                <w:rFonts w:hint="default" w:ascii="Times New Roman" w:hAnsi="Times New Roman" w:eastAsia="黑体" w:cs="Times New Roman"/>
                <w:sz w:val="24"/>
                <w:lang w:eastAsia="zh-CN"/>
              </w:rPr>
              <w:t>日</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09" w:hRule="atLeast"/>
        </w:trPr>
        <w:tc>
          <w:tcPr>
            <w:tcW w:w="5063"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内容Special Instruction(ifany):</w:t>
            </w:r>
          </w:p>
        </w:tc>
        <w:tc>
          <w:tcPr>
            <w:tcW w:w="4680" w:type="dxa"/>
            <w:vAlign w:val="center"/>
          </w:tcPr>
          <w:p>
            <w:pPr>
              <w:rPr>
                <w:rFonts w:hint="default" w:ascii="Times New Roman" w:hAnsi="Times New Roman" w:eastAsia="黑体" w:cs="Times New Roman"/>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询价</w:t>
      </w:r>
      <w:r>
        <w:rPr>
          <w:rFonts w:hint="default" w:ascii="Times New Roman" w:hAnsi="Times New Roman" w:eastAsia="方正小标宋简体" w:cs="Times New Roman"/>
          <w:sz w:val="44"/>
          <w:szCs w:val="44"/>
          <w:lang w:val="en-US" w:eastAsia="zh-CN"/>
        </w:rPr>
        <w:t>文件</w:t>
      </w:r>
    </w:p>
    <w:p>
      <w:pPr>
        <w:spacing w:line="560" w:lineRule="exact"/>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各供应商：</w:t>
      </w:r>
    </w:p>
    <w:p>
      <w:pPr>
        <w:spacing w:line="560" w:lineRule="exact"/>
        <w:ind w:firstLine="602"/>
        <w:jc w:val="left"/>
        <w:rPr>
          <w:rFonts w:hint="default" w:ascii="Times New Roman" w:hAnsi="Times New Roman" w:eastAsia="仿宋" w:cs="Times New Roman"/>
          <w:sz w:val="32"/>
          <w:szCs w:val="32"/>
        </w:rPr>
      </w:pPr>
      <w:r>
        <w:rPr>
          <w:rFonts w:hint="default" w:ascii="Times New Roman" w:hAnsi="Times New Roman" w:eastAsia="仿宋_GB2312" w:cs="Times New Roman"/>
          <w:color w:val="auto"/>
          <w:kern w:val="0"/>
          <w:sz w:val="32"/>
          <w:szCs w:val="32"/>
          <w:lang w:eastAsia="zh-CN"/>
        </w:rPr>
        <w:t>我公司将对202308中粮屯河北海糖业工厂引风机配件等物资询价项目进行询比采购，请各供应商根据项目要求进行报名报价。具体要求如下：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一、供应商须知</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1.应具备独立签订合同能力，为中华人民共和国境内注册的企业法人或其他组织或自然人。</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2.在信用中国网站查没有被列入严重失信名单和经营异常的情况；在中国政府采购网站查无严重违法失信行为。</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3.投标人财务况良好，没有处于财产被没收、接管、破产或其他关、停、并 、转状态。</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4.供应商须登录中粮糖业电子采购平台进行</w:t>
      </w:r>
      <w:r>
        <w:rPr>
          <w:rFonts w:hint="default" w:ascii="Times New Roman" w:hAnsi="Times New Roman" w:eastAsia="仿宋_GB2312" w:cs="Times New Roman"/>
          <w:color w:val="auto"/>
          <w:kern w:val="0"/>
          <w:sz w:val="32"/>
          <w:szCs w:val="32"/>
          <w:lang w:val="en-US" w:eastAsia="zh-CN"/>
        </w:rPr>
        <w:t>项目招标</w:t>
      </w:r>
      <w:r>
        <w:rPr>
          <w:rFonts w:hint="default" w:ascii="Times New Roman" w:hAnsi="Times New Roman" w:eastAsia="仿宋_GB2312" w:cs="Times New Roman"/>
          <w:color w:val="auto"/>
          <w:kern w:val="0"/>
          <w:sz w:val="32"/>
          <w:szCs w:val="32"/>
          <w:lang w:eastAsia="zh-CN"/>
        </w:rPr>
        <w:t>活动。未注册的供应商务必在项目开标前完成注册并获得投标资格，通过审核的供应商才能够在系统内进行查看公告、</w:t>
      </w:r>
      <w:r>
        <w:rPr>
          <w:rFonts w:hint="default" w:ascii="Times New Roman" w:hAnsi="Times New Roman" w:eastAsia="仿宋_GB2312" w:cs="Times New Roman"/>
          <w:color w:val="auto"/>
          <w:kern w:val="0"/>
          <w:sz w:val="32"/>
          <w:szCs w:val="32"/>
          <w:lang w:val="en-US" w:eastAsia="zh-CN"/>
        </w:rPr>
        <w:t>报名、报价</w:t>
      </w:r>
      <w:r>
        <w:rPr>
          <w:rFonts w:hint="default" w:ascii="Times New Roman" w:hAnsi="Times New Roman" w:eastAsia="仿宋_GB2312" w:cs="Times New Roman"/>
          <w:color w:val="auto"/>
          <w:kern w:val="0"/>
          <w:sz w:val="32"/>
          <w:szCs w:val="32"/>
          <w:lang w:eastAsia="zh-CN"/>
        </w:rPr>
        <w:t>等业务操作。采购平台注册网址：https://eps.tunhe.com/Supplier/ForeSupplier/QwRegStepStart。请</w:t>
      </w:r>
      <w:r>
        <w:rPr>
          <w:rFonts w:hint="default" w:ascii="Times New Roman" w:hAnsi="Times New Roman" w:eastAsia="仿宋_GB2312" w:cs="Times New Roman"/>
          <w:color w:val="auto"/>
          <w:kern w:val="0"/>
          <w:sz w:val="32"/>
          <w:szCs w:val="32"/>
          <w:lang w:val="en-US" w:eastAsia="zh-CN"/>
        </w:rPr>
        <w:t>有影响</w:t>
      </w:r>
      <w:r>
        <w:rPr>
          <w:rFonts w:hint="default" w:ascii="Times New Roman" w:hAnsi="Times New Roman" w:eastAsia="仿宋_GB2312" w:cs="Times New Roman"/>
          <w:color w:val="auto"/>
          <w:kern w:val="0"/>
          <w:sz w:val="32"/>
          <w:szCs w:val="32"/>
          <w:lang w:eastAsia="zh-CN"/>
        </w:rPr>
        <w:t>报名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供应商主动与项目人员联系，确认平台注册审核结果。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二、标的：</w:t>
      </w:r>
    </w:p>
    <w:tbl>
      <w:tblPr>
        <w:tblStyle w:val="10"/>
        <w:tblW w:w="10608" w:type="dxa"/>
        <w:jc w:val="center"/>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7"/>
        <w:gridCol w:w="2340"/>
        <w:gridCol w:w="675"/>
        <w:gridCol w:w="810"/>
        <w:gridCol w:w="1110"/>
        <w:gridCol w:w="855"/>
        <w:gridCol w:w="1200"/>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jc w:val="center"/>
        </w:trPr>
        <w:tc>
          <w:tcPr>
            <w:tcW w:w="705" w:type="dxa"/>
            <w:vAlign w:val="center"/>
          </w:tcPr>
          <w:p>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序号</w:t>
            </w:r>
          </w:p>
        </w:tc>
        <w:tc>
          <w:tcPr>
            <w:tcW w:w="1547"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物料编码</w:t>
            </w:r>
          </w:p>
        </w:tc>
        <w:tc>
          <w:tcPr>
            <w:tcW w:w="2340" w:type="dxa"/>
            <w:vAlign w:val="center"/>
          </w:tcPr>
          <w:p>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物资名称</w:t>
            </w:r>
          </w:p>
        </w:tc>
        <w:tc>
          <w:tcPr>
            <w:tcW w:w="675"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单位</w:t>
            </w:r>
          </w:p>
        </w:tc>
        <w:tc>
          <w:tcPr>
            <w:tcW w:w="810"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数量</w:t>
            </w:r>
          </w:p>
        </w:tc>
        <w:tc>
          <w:tcPr>
            <w:tcW w:w="1110"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增值税专用发票税率</w:t>
            </w:r>
          </w:p>
        </w:tc>
        <w:tc>
          <w:tcPr>
            <w:tcW w:w="855" w:type="dxa"/>
            <w:vAlign w:val="center"/>
          </w:tcPr>
          <w:p>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lang w:eastAsia="zh-CN"/>
              </w:rPr>
              <w:t>含税</w:t>
            </w:r>
            <w:r>
              <w:rPr>
                <w:rFonts w:hint="default" w:ascii="Times New Roman" w:hAnsi="Times New Roman" w:eastAsia="仿宋_GB2312" w:cs="Times New Roman"/>
                <w:sz w:val="24"/>
                <w:szCs w:val="32"/>
              </w:rPr>
              <w:t>单价</w:t>
            </w:r>
          </w:p>
        </w:tc>
        <w:tc>
          <w:tcPr>
            <w:tcW w:w="1200"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含税</w:t>
            </w:r>
            <w:r>
              <w:rPr>
                <w:rFonts w:hint="default" w:ascii="Times New Roman" w:hAnsi="Times New Roman" w:eastAsia="仿宋_GB2312" w:cs="Times New Roman"/>
                <w:sz w:val="24"/>
                <w:szCs w:val="32"/>
              </w:rPr>
              <w:t>金额</w:t>
            </w:r>
            <w:r>
              <w:rPr>
                <w:rFonts w:hint="default" w:ascii="Times New Roman" w:hAnsi="Times New Roman" w:eastAsia="仿宋_GB2312" w:cs="Times New Roman"/>
                <w:sz w:val="24"/>
                <w:szCs w:val="32"/>
                <w:lang w:eastAsia="zh-CN"/>
              </w:rPr>
              <w:t>（元）</w:t>
            </w:r>
          </w:p>
        </w:tc>
        <w:tc>
          <w:tcPr>
            <w:tcW w:w="1366" w:type="dxa"/>
            <w:vAlign w:val="center"/>
          </w:tcPr>
          <w:p>
            <w:pPr>
              <w:jc w:val="center"/>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705"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color w:val="000000"/>
                <w:kern w:val="0"/>
                <w:sz w:val="20"/>
                <w:szCs w:val="20"/>
                <w:u w:val="none"/>
                <w:lang w:val="en-US" w:eastAsia="zh-CN" w:bidi="ar"/>
              </w:rPr>
              <w:t>1</w:t>
            </w:r>
          </w:p>
        </w:tc>
        <w:tc>
          <w:tcPr>
            <w:tcW w:w="1547" w:type="dxa"/>
            <w:vAlign w:val="top"/>
          </w:tcPr>
          <w:p>
            <w:pPr>
              <w:keepNext w:val="0"/>
              <w:keepLines w:val="0"/>
              <w:widowControl/>
              <w:suppressLineNumbers w:val="0"/>
              <w:jc w:val="left"/>
              <w:textAlignment w:val="top"/>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Z6800070618</w:t>
            </w:r>
          </w:p>
        </w:tc>
        <w:tc>
          <w:tcPr>
            <w:tcW w:w="2340" w:type="dxa"/>
            <w:vAlign w:val="top"/>
          </w:tcPr>
          <w:p>
            <w:pPr>
              <w:keepNext w:val="0"/>
              <w:keepLines w:val="0"/>
              <w:widowControl/>
              <w:suppressLineNumbers w:val="0"/>
              <w:jc w:val="left"/>
              <w:textAlignment w:val="top"/>
              <w:rPr>
                <w:rFonts w:hint="default" w:ascii="Times New Roman" w:hAnsi="Times New Roman" w:eastAsia="宋体" w:cs="Times New Roman"/>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鼓风机 G7-41 No.9D 联轴器</w:t>
            </w:r>
          </w:p>
        </w:tc>
        <w:tc>
          <w:tcPr>
            <w:tcW w:w="675" w:type="dxa"/>
            <w:vAlign w:val="top"/>
          </w:tcPr>
          <w:p>
            <w:pPr>
              <w:keepNext w:val="0"/>
              <w:keepLines w:val="0"/>
              <w:widowControl/>
              <w:suppressLineNumbers w:val="0"/>
              <w:jc w:val="center"/>
              <w:textAlignment w:val="top"/>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SET</w:t>
            </w:r>
          </w:p>
        </w:tc>
        <w:tc>
          <w:tcPr>
            <w:tcW w:w="8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color w:val="000000"/>
                <w:kern w:val="0"/>
                <w:sz w:val="20"/>
                <w:szCs w:val="20"/>
                <w:u w:val="none"/>
                <w:lang w:val="en-US" w:eastAsia="zh-CN" w:bidi="ar"/>
              </w:rPr>
              <w:t>1</w:t>
            </w:r>
          </w:p>
        </w:tc>
        <w:tc>
          <w:tcPr>
            <w:tcW w:w="1110" w:type="dxa"/>
            <w:vAlign w:val="center"/>
          </w:tcPr>
          <w:p>
            <w:pPr>
              <w:jc w:val="right"/>
              <w:rPr>
                <w:rFonts w:hint="default" w:ascii="Times New Roman" w:hAnsi="Times New Roman" w:eastAsia="仿宋_GB2312" w:cs="Times New Roman"/>
                <w:kern w:val="2"/>
                <w:sz w:val="24"/>
                <w:szCs w:val="24"/>
                <w:lang w:val="en-US" w:eastAsia="zh-CN" w:bidi="ar-SA"/>
              </w:rPr>
            </w:pPr>
          </w:p>
        </w:tc>
        <w:tc>
          <w:tcPr>
            <w:tcW w:w="855" w:type="dxa"/>
            <w:vAlign w:val="center"/>
          </w:tcPr>
          <w:p>
            <w:pPr>
              <w:jc w:val="right"/>
              <w:rPr>
                <w:rFonts w:hint="default" w:ascii="Times New Roman" w:hAnsi="Times New Roman" w:eastAsia="仿宋_GB2312" w:cs="Times New Roman"/>
                <w:kern w:val="2"/>
                <w:sz w:val="24"/>
                <w:szCs w:val="24"/>
                <w:lang w:val="en-US" w:eastAsia="zh-CN" w:bidi="ar-SA"/>
              </w:rPr>
            </w:pPr>
          </w:p>
        </w:tc>
        <w:tc>
          <w:tcPr>
            <w:tcW w:w="1200" w:type="dxa"/>
            <w:vAlign w:val="center"/>
          </w:tcPr>
          <w:p>
            <w:pPr>
              <w:jc w:val="right"/>
              <w:rPr>
                <w:rFonts w:hint="default" w:ascii="Times New Roman" w:hAnsi="Times New Roman" w:eastAsia="仿宋_GB2312" w:cs="Times New Roman"/>
                <w:kern w:val="2"/>
                <w:sz w:val="24"/>
                <w:szCs w:val="24"/>
                <w:lang w:val="en-US" w:eastAsia="zh-CN" w:bidi="ar-SA"/>
              </w:rPr>
            </w:pPr>
          </w:p>
        </w:tc>
        <w:tc>
          <w:tcPr>
            <w:tcW w:w="1366" w:type="dxa"/>
            <w:vAlign w:val="top"/>
          </w:tcPr>
          <w:p>
            <w:pPr>
              <w:keepNext w:val="0"/>
              <w:keepLines w:val="0"/>
              <w:widowControl/>
              <w:suppressLineNumbers w:val="0"/>
              <w:jc w:val="left"/>
              <w:textAlignment w:val="top"/>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弹性套柱销联轴器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705"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color w:val="000000"/>
                <w:kern w:val="0"/>
                <w:sz w:val="20"/>
                <w:szCs w:val="20"/>
                <w:u w:val="none"/>
                <w:lang w:val="en-US" w:eastAsia="zh-CN" w:bidi="ar"/>
              </w:rPr>
              <w:t>2</w:t>
            </w:r>
          </w:p>
        </w:tc>
        <w:tc>
          <w:tcPr>
            <w:tcW w:w="1547" w:type="dxa"/>
            <w:vAlign w:val="center"/>
          </w:tcPr>
          <w:p>
            <w:pPr>
              <w:keepNext w:val="0"/>
              <w:keepLines w:val="0"/>
              <w:widowControl/>
              <w:suppressLineNumbers w:val="0"/>
              <w:jc w:val="left"/>
              <w:textAlignment w:val="center"/>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Z6800070626</w:t>
            </w:r>
          </w:p>
        </w:tc>
        <w:tc>
          <w:tcPr>
            <w:tcW w:w="2340" w:type="dxa"/>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引风机 Y4-73 No.8D 壳体 右135° 不锈钢304</w:t>
            </w:r>
          </w:p>
        </w:tc>
        <w:tc>
          <w:tcPr>
            <w:tcW w:w="675"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EA</w:t>
            </w:r>
          </w:p>
        </w:tc>
        <w:tc>
          <w:tcPr>
            <w:tcW w:w="8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color w:val="000000"/>
                <w:kern w:val="0"/>
                <w:sz w:val="20"/>
                <w:szCs w:val="20"/>
                <w:u w:val="none"/>
                <w:lang w:val="en-US" w:eastAsia="zh-CN" w:bidi="ar"/>
              </w:rPr>
              <w:t>1</w:t>
            </w:r>
          </w:p>
        </w:tc>
        <w:tc>
          <w:tcPr>
            <w:tcW w:w="1110" w:type="dxa"/>
            <w:vAlign w:val="center"/>
          </w:tcPr>
          <w:p>
            <w:pPr>
              <w:jc w:val="right"/>
              <w:rPr>
                <w:rFonts w:hint="default" w:ascii="Times New Roman" w:hAnsi="Times New Roman" w:eastAsia="仿宋_GB2312" w:cs="Times New Roman"/>
                <w:kern w:val="2"/>
                <w:sz w:val="24"/>
                <w:szCs w:val="24"/>
                <w:lang w:val="en-US" w:eastAsia="zh-CN" w:bidi="ar-SA"/>
              </w:rPr>
            </w:pPr>
          </w:p>
        </w:tc>
        <w:tc>
          <w:tcPr>
            <w:tcW w:w="855" w:type="dxa"/>
            <w:vAlign w:val="center"/>
          </w:tcPr>
          <w:p>
            <w:pPr>
              <w:jc w:val="right"/>
              <w:rPr>
                <w:rFonts w:hint="default" w:ascii="Times New Roman" w:hAnsi="Times New Roman" w:eastAsia="仿宋_GB2312" w:cs="Times New Roman"/>
                <w:kern w:val="2"/>
                <w:sz w:val="24"/>
                <w:szCs w:val="24"/>
                <w:lang w:val="en-US" w:eastAsia="zh-CN" w:bidi="ar-SA"/>
              </w:rPr>
            </w:pPr>
          </w:p>
        </w:tc>
        <w:tc>
          <w:tcPr>
            <w:tcW w:w="1200" w:type="dxa"/>
            <w:vAlign w:val="center"/>
          </w:tcPr>
          <w:p>
            <w:pPr>
              <w:jc w:val="right"/>
              <w:rPr>
                <w:rFonts w:hint="default" w:ascii="Times New Roman" w:hAnsi="Times New Roman" w:eastAsia="仿宋_GB2312" w:cs="Times New Roman"/>
                <w:kern w:val="2"/>
                <w:sz w:val="24"/>
                <w:szCs w:val="24"/>
                <w:lang w:val="en-US" w:eastAsia="zh-CN" w:bidi="ar-SA"/>
              </w:rPr>
            </w:pPr>
          </w:p>
        </w:tc>
        <w:tc>
          <w:tcPr>
            <w:tcW w:w="1366" w:type="dxa"/>
            <w:vAlign w:val="center"/>
          </w:tcPr>
          <w:p>
            <w:pP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705"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color w:val="000000"/>
                <w:kern w:val="0"/>
                <w:sz w:val="20"/>
                <w:szCs w:val="20"/>
                <w:u w:val="none"/>
                <w:lang w:val="en-US" w:eastAsia="zh-CN" w:bidi="ar"/>
              </w:rPr>
              <w:t>3</w:t>
            </w:r>
          </w:p>
        </w:tc>
        <w:tc>
          <w:tcPr>
            <w:tcW w:w="1547" w:type="dxa"/>
            <w:vAlign w:val="top"/>
          </w:tcPr>
          <w:p>
            <w:pPr>
              <w:keepNext w:val="0"/>
              <w:keepLines w:val="0"/>
              <w:widowControl/>
              <w:suppressLineNumbers w:val="0"/>
              <w:jc w:val="left"/>
              <w:textAlignment w:val="top"/>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Z6800055922</w:t>
            </w:r>
          </w:p>
        </w:tc>
        <w:tc>
          <w:tcPr>
            <w:tcW w:w="2340" w:type="dxa"/>
            <w:vAlign w:val="top"/>
          </w:tcPr>
          <w:p>
            <w:pPr>
              <w:keepNext w:val="0"/>
              <w:keepLines w:val="0"/>
              <w:widowControl/>
              <w:suppressLineNumbers w:val="0"/>
              <w:jc w:val="left"/>
              <w:textAlignment w:val="top"/>
              <w:rPr>
                <w:rFonts w:hint="default" w:ascii="Times New Roman" w:hAnsi="Times New Roman" w:eastAsia="宋体" w:cs="Times New Roman"/>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引风机 Y6-51-NO.20D 左旋0度 导风口</w:t>
            </w:r>
          </w:p>
        </w:tc>
        <w:tc>
          <w:tcPr>
            <w:tcW w:w="675"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EA</w:t>
            </w:r>
          </w:p>
        </w:tc>
        <w:tc>
          <w:tcPr>
            <w:tcW w:w="8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color w:val="000000"/>
                <w:kern w:val="0"/>
                <w:sz w:val="20"/>
                <w:szCs w:val="20"/>
                <w:u w:val="none"/>
                <w:lang w:val="en-US" w:eastAsia="zh-CN" w:bidi="ar"/>
              </w:rPr>
              <w:t>1</w:t>
            </w:r>
          </w:p>
        </w:tc>
        <w:tc>
          <w:tcPr>
            <w:tcW w:w="1110" w:type="dxa"/>
            <w:vAlign w:val="center"/>
          </w:tcPr>
          <w:p>
            <w:pPr>
              <w:jc w:val="right"/>
              <w:rPr>
                <w:rFonts w:hint="default" w:ascii="Times New Roman" w:hAnsi="Times New Roman" w:eastAsia="仿宋_GB2312" w:cs="Times New Roman"/>
                <w:kern w:val="2"/>
                <w:sz w:val="24"/>
                <w:szCs w:val="24"/>
                <w:lang w:val="en-US" w:eastAsia="zh-CN" w:bidi="ar-SA"/>
              </w:rPr>
            </w:pPr>
          </w:p>
        </w:tc>
        <w:tc>
          <w:tcPr>
            <w:tcW w:w="855" w:type="dxa"/>
            <w:vAlign w:val="center"/>
          </w:tcPr>
          <w:p>
            <w:pPr>
              <w:jc w:val="right"/>
              <w:rPr>
                <w:rFonts w:hint="default" w:ascii="Times New Roman" w:hAnsi="Times New Roman" w:eastAsia="仿宋_GB2312" w:cs="Times New Roman"/>
                <w:kern w:val="2"/>
                <w:sz w:val="24"/>
                <w:szCs w:val="24"/>
                <w:lang w:val="en-US" w:eastAsia="zh-CN" w:bidi="ar-SA"/>
              </w:rPr>
            </w:pPr>
          </w:p>
        </w:tc>
        <w:tc>
          <w:tcPr>
            <w:tcW w:w="1200" w:type="dxa"/>
            <w:vAlign w:val="center"/>
          </w:tcPr>
          <w:p>
            <w:pPr>
              <w:jc w:val="right"/>
              <w:rPr>
                <w:rFonts w:hint="default" w:ascii="Times New Roman" w:hAnsi="Times New Roman" w:eastAsia="仿宋_GB2312" w:cs="Times New Roman"/>
                <w:kern w:val="2"/>
                <w:sz w:val="24"/>
                <w:szCs w:val="24"/>
                <w:lang w:val="en-US" w:eastAsia="zh-CN" w:bidi="ar-SA"/>
              </w:rPr>
            </w:pPr>
          </w:p>
        </w:tc>
        <w:tc>
          <w:tcPr>
            <w:tcW w:w="1366" w:type="dxa"/>
            <w:vAlign w:val="top"/>
          </w:tcPr>
          <w:p>
            <w:pPr>
              <w:keepNext w:val="0"/>
              <w:keepLines w:val="0"/>
              <w:widowControl/>
              <w:suppressLineNumbers w:val="0"/>
              <w:jc w:val="left"/>
              <w:textAlignment w:val="top"/>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嵌4mm不锈钢304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705" w:type="dxa"/>
            <w:vAlign w:val="center"/>
          </w:tcPr>
          <w:p>
            <w:pPr>
              <w:pStyle w:val="7"/>
              <w:spacing w:line="500" w:lineRule="exact"/>
              <w:ind w:firstLine="0" w:firstLineChars="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合计</w:t>
            </w:r>
          </w:p>
        </w:tc>
        <w:tc>
          <w:tcPr>
            <w:tcW w:w="3887" w:type="dxa"/>
            <w:gridSpan w:val="2"/>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675"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81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111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855"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120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1366"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10608" w:type="dxa"/>
            <w:gridSpan w:val="9"/>
            <w:vAlign w:val="center"/>
          </w:tcPr>
          <w:p>
            <w:pPr>
              <w:keepNext w:val="0"/>
              <w:keepLines w:val="0"/>
              <w:widowControl/>
              <w:suppressLineNumbers w:val="0"/>
              <w:jc w:val="both"/>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sz w:val="24"/>
              </w:rPr>
              <w:t>合计</w:t>
            </w:r>
            <w:r>
              <w:rPr>
                <w:rFonts w:hint="default" w:ascii="Times New Roman" w:hAnsi="Times New Roman" w:eastAsia="仿宋_GB2312" w:cs="Times New Roman"/>
                <w:b/>
                <w:bCs/>
                <w:sz w:val="24"/>
                <w:lang w:eastAsia="zh-CN"/>
              </w:rPr>
              <w:t>人民币</w:t>
            </w:r>
            <w:r>
              <w:rPr>
                <w:rFonts w:hint="eastAsia" w:eastAsia="仿宋_GB2312" w:cs="Times New Roman"/>
                <w:b/>
                <w:bCs/>
                <w:sz w:val="24"/>
                <w:lang w:val="en-US" w:eastAsia="zh-CN"/>
              </w:rPr>
              <w:t>不含税</w:t>
            </w:r>
            <w:r>
              <w:rPr>
                <w:rFonts w:hint="default" w:ascii="Times New Roman" w:hAnsi="Times New Roman" w:eastAsia="仿宋_GB2312" w:cs="Times New Roman"/>
                <w:b/>
                <w:bCs/>
                <w:sz w:val="24"/>
                <w:lang w:eastAsia="zh-CN"/>
              </w:rPr>
              <w:t>金额（大写）</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lang w:eastAsia="zh-CN"/>
              </w:rPr>
              <w:t>元整</w:t>
            </w:r>
            <w:r>
              <w:rPr>
                <w:rFonts w:hint="default" w:ascii="Times New Roman" w:hAnsi="Times New Roman" w:eastAsia="仿宋_GB2312" w:cs="Times New Roman"/>
                <w:b/>
                <w:bCs/>
                <w:sz w:val="24"/>
                <w:lang w:val="en-US" w:eastAsia="zh-CN"/>
              </w:rPr>
              <w:t xml:space="preserve">                                   </w:t>
            </w:r>
            <w:r>
              <w:rPr>
                <w:rFonts w:hint="eastAsia" w:eastAsia="仿宋_GB2312" w:cs="Times New Roman"/>
                <w:b/>
                <w:bCs/>
                <w:sz w:val="24"/>
                <w:lang w:val="en-US" w:eastAsia="zh-CN"/>
              </w:rPr>
              <w:t xml:space="preserve"> </w:t>
            </w:r>
            <w:r>
              <w:rPr>
                <w:rFonts w:hint="default" w:ascii="Times New Roman" w:hAnsi="Times New Roman" w:eastAsia="仿宋_GB2312" w:cs="Times New Roman"/>
                <w:b/>
                <w:bCs/>
                <w:sz w:val="24"/>
                <w:szCs w:val="24"/>
                <w:lang w:val="en-US" w:eastAsia="zh-CN"/>
              </w:rPr>
              <w:t>¥ 00.00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0608" w:type="dxa"/>
            <w:gridSpan w:val="9"/>
            <w:vAlign w:val="center"/>
          </w:tcPr>
          <w:p>
            <w:pPr>
              <w:jc w:val="left"/>
              <w:rPr>
                <w:rFonts w:hint="default" w:ascii="Times New Roman" w:hAnsi="Times New Roman" w:eastAsia="仿宋_GB2312" w:cs="Times New Roman"/>
                <w:b/>
                <w:bCs/>
                <w:sz w:val="24"/>
                <w:lang w:val="en-US"/>
              </w:rPr>
            </w:pPr>
            <w:r>
              <w:rPr>
                <w:rFonts w:hint="default" w:ascii="Times New Roman" w:hAnsi="Times New Roman" w:eastAsia="仿宋_GB2312" w:cs="Times New Roman"/>
                <w:b/>
                <w:bCs/>
                <w:sz w:val="24"/>
              </w:rPr>
              <w:t>合计</w:t>
            </w:r>
            <w:r>
              <w:rPr>
                <w:rFonts w:hint="default" w:ascii="Times New Roman" w:hAnsi="Times New Roman" w:eastAsia="仿宋_GB2312" w:cs="Times New Roman"/>
                <w:b/>
                <w:bCs/>
                <w:sz w:val="24"/>
                <w:lang w:eastAsia="zh-CN"/>
              </w:rPr>
              <w:t>人民币金额（大写）</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lang w:eastAsia="zh-CN"/>
              </w:rPr>
              <w:t>元整</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szCs w:val="24"/>
                <w:lang w:val="en-US" w:eastAsia="zh-CN"/>
              </w:rPr>
              <w:t>¥ 00.00</w:t>
            </w:r>
          </w:p>
        </w:tc>
      </w:tr>
    </w:tbl>
    <w:p>
      <w:pPr>
        <w:numPr>
          <w:ilvl w:val="0"/>
          <w:numId w:val="1"/>
        </w:num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黑体" w:cs="Times New Roman"/>
          <w:sz w:val="32"/>
          <w:szCs w:val="32"/>
        </w:rPr>
        <w:t>报价要求：</w:t>
      </w:r>
      <w:r>
        <w:rPr>
          <w:rFonts w:hint="default" w:ascii="Times New Roman" w:hAnsi="Times New Roman" w:eastAsia="仿宋_GB2312" w:cs="Times New Roman"/>
          <w:color w:val="auto"/>
          <w:kern w:val="0"/>
          <w:sz w:val="32"/>
          <w:szCs w:val="32"/>
          <w:lang w:eastAsia="zh-CN"/>
        </w:rPr>
        <w:t>符合国标、行标，且符合车间设备使用。</w:t>
      </w:r>
    </w:p>
    <w:p>
      <w:pPr>
        <w:pStyle w:val="2"/>
        <w:widowControl w:val="0"/>
        <w:numPr>
          <w:numId w:val="0"/>
        </w:numPr>
        <w:jc w:val="both"/>
        <w:rPr>
          <w:rFonts w:hint="default" w:eastAsia="宋体"/>
          <w:lang w:val="en-US" w:eastAsia="zh-CN"/>
        </w:rPr>
      </w:pPr>
      <w:r>
        <w:drawing>
          <wp:inline distT="0" distB="0" distL="114300" distR="114300">
            <wp:extent cx="5902325" cy="2999105"/>
            <wp:effectExtent l="0" t="0" r="317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902325" cy="2999105"/>
                    </a:xfrm>
                    <a:prstGeom prst="rect">
                      <a:avLst/>
                    </a:prstGeom>
                    <a:noFill/>
                    <a:ln>
                      <a:noFill/>
                    </a:ln>
                  </pic:spPr>
                </pic:pic>
              </a:graphicData>
            </a:graphic>
          </wp:inline>
        </w:drawing>
      </w:r>
      <w:r>
        <w:rPr>
          <w:rFonts w:hint="eastAsia"/>
          <w:lang w:val="en-US" w:eastAsia="zh-CN"/>
        </w:rPr>
        <w:t>联轴器可按图纸报价加工。</w:t>
      </w:r>
      <w:bookmarkStart w:id="0" w:name="_GoBack"/>
      <w:bookmarkEnd w:id="0"/>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黑体" w:cs="Times New Roman"/>
          <w:sz w:val="32"/>
          <w:szCs w:val="32"/>
        </w:rPr>
        <w:t>四、交货地址：</w:t>
      </w:r>
      <w:r>
        <w:rPr>
          <w:rFonts w:hint="default" w:ascii="Times New Roman" w:hAnsi="Times New Roman" w:eastAsia="仿宋_GB2312" w:cs="Times New Roman"/>
          <w:color w:val="auto"/>
          <w:kern w:val="0"/>
          <w:sz w:val="32"/>
          <w:szCs w:val="32"/>
          <w:lang w:eastAsia="zh-CN"/>
        </w:rPr>
        <w:t>北海市铁山港区南康镇富康路166号中粮屯河北海糖业有限公司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、交货时间：</w:t>
      </w:r>
      <w:r>
        <w:rPr>
          <w:rFonts w:hint="default" w:ascii="Times New Roman" w:hAnsi="Times New Roman" w:eastAsia="仿宋_GB2312" w:cs="Times New Roman"/>
          <w:color w:val="auto"/>
          <w:kern w:val="0"/>
          <w:sz w:val="32"/>
          <w:szCs w:val="32"/>
          <w:lang w:eastAsia="zh-CN"/>
        </w:rPr>
        <w:t>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、评审办法</w:t>
      </w:r>
      <w:r>
        <w:rPr>
          <w:rFonts w:hint="default" w:ascii="Times New Roman" w:hAnsi="Times New Roman" w:eastAsia="仿宋" w:cs="Times New Roman"/>
          <w:sz w:val="32"/>
          <w:szCs w:val="32"/>
        </w:rPr>
        <w:t>：</w:t>
      </w:r>
    </w:p>
    <w:p>
      <w:pPr>
        <w:spacing w:line="560" w:lineRule="exact"/>
        <w:ind w:firstLine="602"/>
        <w:jc w:val="left"/>
        <w:rPr>
          <w:rFonts w:hint="default" w:ascii="Times New Roman" w:hAnsi="Times New Roman" w:eastAsia="仿宋" w:cs="Times New Roman"/>
          <w:sz w:val="32"/>
          <w:szCs w:val="32"/>
        </w:rPr>
      </w:pPr>
      <w:r>
        <w:rPr>
          <w:rFonts w:hint="default" w:ascii="Times New Roman" w:hAnsi="Times New Roman" w:eastAsia="仿宋_GB2312" w:cs="Times New Roman"/>
          <w:color w:val="auto"/>
          <w:kern w:val="0"/>
          <w:sz w:val="32"/>
          <w:szCs w:val="32"/>
          <w:lang w:eastAsia="zh-CN"/>
        </w:rPr>
        <w:t>本次采购工作，在满足采购方需求的前提下坚持“同质比价、同价比质、同质同价比服务”。低价授标。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color w:val="auto"/>
          <w:kern w:val="0"/>
          <w:sz w:val="32"/>
          <w:szCs w:val="32"/>
          <w:lang w:eastAsia="zh-CN"/>
        </w:rPr>
        <w:t>需方使用部门领用后，按期开具入库单，供方依据入库单提供增值税专用发票挂帐后，需方按资金支付计划支付货款。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、合同草案</w:t>
      </w:r>
      <w:r>
        <w:rPr>
          <w:rFonts w:hint="default" w:ascii="Times New Roman" w:hAnsi="Times New Roman" w:eastAsia="仿宋" w:cs="Times New Roman"/>
          <w:sz w:val="32"/>
          <w:szCs w:val="32"/>
        </w:rPr>
        <w:t>（</w:t>
      </w:r>
      <w:r>
        <w:rPr>
          <w:rFonts w:hint="default" w:ascii="Times New Roman" w:hAnsi="Times New Roman" w:eastAsia="仿宋_GB2312" w:cs="Times New Roman"/>
          <w:color w:val="auto"/>
          <w:kern w:val="0"/>
          <w:sz w:val="32"/>
          <w:szCs w:val="32"/>
          <w:lang w:eastAsia="zh-CN"/>
        </w:rPr>
        <w:t>中标金额≥10000元签订合同</w:t>
      </w: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10000元</w:t>
      </w:r>
      <w:r>
        <w:rPr>
          <w:rFonts w:hint="eastAsia" w:eastAsia="仿宋_GB2312" w:cs="Times New Roman"/>
          <w:color w:val="auto"/>
          <w:kern w:val="0"/>
          <w:sz w:val="32"/>
          <w:szCs w:val="32"/>
          <w:lang w:val="en-US" w:eastAsia="zh-CN"/>
        </w:rPr>
        <w:t>以采购平台发布中标明细作为订货清单</w:t>
      </w:r>
      <w:r>
        <w:rPr>
          <w:rFonts w:hint="default" w:ascii="Times New Roman" w:hAnsi="Times New Roman" w:eastAsia="仿宋" w:cs="Times New Roman"/>
          <w:sz w:val="32"/>
          <w:szCs w:val="32"/>
        </w:rPr>
        <w:t>）：</w:t>
      </w:r>
    </w:p>
    <w:p>
      <w:pPr>
        <w:pStyle w:val="5"/>
        <w:rPr>
          <w:rFonts w:hint="default" w:ascii="Times New Roman" w:hAnsi="Times New Roman" w:eastAsia="黑体" w:cs="Times New Roman"/>
          <w:b w:val="0"/>
          <w:bCs w:val="0"/>
          <w:color w:val="auto"/>
          <w:sz w:val="30"/>
          <w:szCs w:val="30"/>
        </w:rPr>
      </w:pPr>
    </w:p>
    <w:p>
      <w:pPr>
        <w:pStyle w:val="5"/>
        <w:rPr>
          <w:rFonts w:hint="default" w:ascii="Times New Roman" w:hAnsi="Times New Roman" w:eastAsia="宋体" w:cs="Times New Roman"/>
          <w:bCs w:val="0"/>
          <w:color w:val="auto"/>
          <w:sz w:val="48"/>
          <w:szCs w:val="48"/>
        </w:rPr>
      </w:pPr>
      <w:r>
        <w:rPr>
          <w:rFonts w:hint="default" w:ascii="Times New Roman" w:hAnsi="Times New Roman" w:eastAsia="黑体" w:cs="Times New Roman"/>
          <w:b w:val="0"/>
          <w:bCs w:val="0"/>
          <w:color w:val="auto"/>
          <w:sz w:val="30"/>
          <w:szCs w:val="30"/>
        </w:rPr>
        <w:t xml:space="preserve">合同编号 </w:t>
      </w:r>
      <w:r>
        <w:rPr>
          <w:rFonts w:hint="default" w:ascii="Times New Roman" w:hAnsi="Times New Roman" w:eastAsia="黑体" w:cs="Times New Roman"/>
          <w:b w:val="0"/>
          <w:bCs w:val="0"/>
          <w:color w:val="auto"/>
          <w:sz w:val="30"/>
          <w:szCs w:val="30"/>
          <w:lang w:eastAsia="zh-CN"/>
        </w:rPr>
        <w:t xml:space="preserve"> </w:t>
      </w: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黑体" w:cs="Times New Roman"/>
          <w:b w:val="0"/>
          <w:bCs w:val="0"/>
          <w:color w:val="auto"/>
          <w:sz w:val="48"/>
          <w:szCs w:val="48"/>
        </w:rPr>
      </w:pPr>
      <w:r>
        <w:rPr>
          <w:rFonts w:hint="default" w:ascii="Times New Roman" w:hAnsi="Times New Roman" w:eastAsia="黑体" w:cs="Times New Roman"/>
          <w:b w:val="0"/>
          <w:bCs w:val="0"/>
          <w:color w:val="auto"/>
          <w:sz w:val="48"/>
          <w:szCs w:val="48"/>
          <w:lang w:eastAsia="zh-CN"/>
        </w:rPr>
        <w:t>甘蔗</w:t>
      </w:r>
      <w:r>
        <w:rPr>
          <w:rFonts w:hint="default" w:ascii="Times New Roman" w:hAnsi="Times New Roman" w:eastAsia="黑体" w:cs="Times New Roman"/>
          <w:b w:val="0"/>
          <w:bCs w:val="0"/>
          <w:color w:val="auto"/>
          <w:sz w:val="48"/>
          <w:szCs w:val="48"/>
        </w:rPr>
        <w:t>糖部通用标准件采购合同</w:t>
      </w:r>
    </w:p>
    <w:p>
      <w:pPr>
        <w:pStyle w:val="5"/>
        <w:jc w:val="center"/>
        <w:rPr>
          <w:rFonts w:hint="default" w:ascii="Times New Roman" w:hAnsi="Times New Roman" w:eastAsia="宋体" w:cs="Times New Roman"/>
          <w:bCs w:val="0"/>
          <w:color w:val="auto"/>
          <w:sz w:val="36"/>
          <w:szCs w:val="36"/>
          <w:lang w:eastAsia="zh-CN"/>
        </w:rPr>
      </w:pPr>
      <w:r>
        <w:rPr>
          <w:rFonts w:hint="default" w:ascii="Times New Roman" w:hAnsi="Times New Roman" w:eastAsia="宋体" w:cs="Times New Roman"/>
          <w:bCs w:val="0"/>
          <w:color w:val="auto"/>
          <w:sz w:val="36"/>
          <w:szCs w:val="36"/>
          <w:lang w:eastAsia="zh-CN"/>
        </w:rPr>
        <w:t>（</w:t>
      </w:r>
      <w:r>
        <w:rPr>
          <w:rFonts w:hint="eastAsia" w:eastAsia="宋体" w:cs="Times New Roman"/>
          <w:bCs w:val="0"/>
          <w:color w:val="auto"/>
          <w:sz w:val="36"/>
          <w:szCs w:val="36"/>
          <w:lang w:val="en-US" w:eastAsia="zh-CN"/>
        </w:rPr>
        <w:t>**</w:t>
      </w:r>
      <w:r>
        <w:rPr>
          <w:rFonts w:hint="default" w:ascii="Times New Roman" w:hAnsi="Times New Roman" w:eastAsia="宋体" w:cs="Times New Roman"/>
          <w:bCs w:val="0"/>
          <w:color w:val="auto"/>
          <w:sz w:val="36"/>
          <w:szCs w:val="36"/>
          <w:lang w:val="en-US" w:eastAsia="zh-CN"/>
        </w:rPr>
        <w:t>物资合同</w:t>
      </w:r>
      <w:r>
        <w:rPr>
          <w:rFonts w:hint="default" w:ascii="Times New Roman" w:hAnsi="Times New Roman" w:eastAsia="宋体" w:cs="Times New Roman"/>
          <w:bCs w:val="0"/>
          <w:color w:val="auto"/>
          <w:sz w:val="36"/>
          <w:szCs w:val="36"/>
          <w:lang w:eastAsia="zh-CN"/>
        </w:rPr>
        <w:t>）</w:t>
      </w: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jc w:val="center"/>
        <w:rPr>
          <w:rFonts w:hint="default" w:ascii="Times New Roman" w:hAnsi="Times New Roman" w:eastAsia="宋体" w:cs="Times New Roman"/>
          <w:bCs w:val="0"/>
          <w:color w:val="auto"/>
          <w:sz w:val="48"/>
          <w:szCs w:val="48"/>
        </w:rPr>
      </w:pPr>
    </w:p>
    <w:p>
      <w:pPr>
        <w:pStyle w:val="5"/>
        <w:spacing w:line="460" w:lineRule="exact"/>
        <w:ind w:left="5250" w:leftChars="2500" w:firstLine="354" w:firstLineChars="147"/>
        <w:rPr>
          <w:rFonts w:hint="default" w:ascii="Times New Roman" w:hAnsi="Times New Roman" w:eastAsia="宋体" w:cs="Times New Roman"/>
          <w:bCs w:val="0"/>
          <w:color w:val="auto"/>
          <w:sz w:val="24"/>
          <w:szCs w:val="24"/>
          <w:lang w:val="en-US" w:eastAsia="zh-CN"/>
        </w:rPr>
      </w:pPr>
      <w:r>
        <w:rPr>
          <w:rFonts w:hint="default" w:ascii="Times New Roman" w:hAnsi="Times New Roman" w:eastAsia="宋体" w:cs="Times New Roman"/>
          <w:bCs w:val="0"/>
          <w:color w:val="auto"/>
          <w:sz w:val="24"/>
          <w:szCs w:val="24"/>
        </w:rPr>
        <w:t>合同编号：</w:t>
      </w:r>
      <w:r>
        <w:rPr>
          <w:rFonts w:hint="default" w:ascii="Times New Roman" w:hAnsi="Times New Roman" w:eastAsia="宋体" w:cs="Times New Roman"/>
          <w:bCs w:val="0"/>
          <w:color w:val="auto"/>
          <w:sz w:val="24"/>
          <w:szCs w:val="24"/>
          <w:lang w:val="en-US" w:eastAsia="zh-CN"/>
        </w:rPr>
        <w:t>**</w:t>
      </w:r>
    </w:p>
    <w:p>
      <w:pPr>
        <w:pStyle w:val="5"/>
        <w:spacing w:line="460" w:lineRule="exact"/>
        <w:ind w:left="5250" w:leftChars="2500" w:firstLine="354" w:firstLineChars="147"/>
        <w:rPr>
          <w:rFonts w:hint="default" w:ascii="Times New Roman" w:hAnsi="Times New Roman" w:eastAsia="宋体" w:cs="Times New Roman"/>
          <w:bCs w:val="0"/>
          <w:color w:val="auto"/>
          <w:sz w:val="24"/>
          <w:szCs w:val="24"/>
        </w:rPr>
      </w:pPr>
      <w:r>
        <w:rPr>
          <w:rFonts w:hint="default" w:ascii="Times New Roman" w:hAnsi="Times New Roman" w:eastAsia="宋体" w:cs="Times New Roman"/>
          <w:bCs w:val="0"/>
          <w:color w:val="auto"/>
          <w:sz w:val="24"/>
          <w:szCs w:val="24"/>
        </w:rPr>
        <w:t>签订日期：</w:t>
      </w:r>
      <w:r>
        <w:rPr>
          <w:rFonts w:hint="default" w:ascii="Times New Roman" w:hAnsi="Times New Roman" w:eastAsia="宋体" w:cs="Times New Roman"/>
          <w:bCs w:val="0"/>
          <w:color w:val="auto"/>
          <w:sz w:val="24"/>
          <w:szCs w:val="24"/>
          <w:lang w:val="en-US" w:eastAsia="zh-CN"/>
        </w:rPr>
        <w:t xml:space="preserve">      </w:t>
      </w:r>
      <w:r>
        <w:rPr>
          <w:rFonts w:hint="default" w:ascii="Times New Roman" w:hAnsi="Times New Roman" w:eastAsia="宋体" w:cs="Times New Roman"/>
          <w:bCs w:val="0"/>
          <w:color w:val="auto"/>
          <w:sz w:val="24"/>
          <w:szCs w:val="24"/>
        </w:rPr>
        <w:t>年</w:t>
      </w:r>
      <w:r>
        <w:rPr>
          <w:rFonts w:hint="default" w:ascii="Times New Roman" w:hAnsi="Times New Roman" w:eastAsia="宋体" w:cs="Times New Roman"/>
          <w:bCs w:val="0"/>
          <w:color w:val="auto"/>
          <w:sz w:val="24"/>
          <w:szCs w:val="24"/>
          <w:lang w:val="en-US" w:eastAsia="zh-CN"/>
        </w:rPr>
        <w:t xml:space="preserve">   </w:t>
      </w:r>
      <w:r>
        <w:rPr>
          <w:rFonts w:hint="default" w:ascii="Times New Roman" w:hAnsi="Times New Roman" w:eastAsia="宋体" w:cs="Times New Roman"/>
          <w:bCs w:val="0"/>
          <w:color w:val="auto"/>
          <w:sz w:val="24"/>
          <w:szCs w:val="24"/>
        </w:rPr>
        <w:t>月</w:t>
      </w:r>
      <w:r>
        <w:rPr>
          <w:rFonts w:hint="default" w:ascii="Times New Roman" w:hAnsi="Times New Roman" w:eastAsia="宋体" w:cs="Times New Roman"/>
          <w:bCs w:val="0"/>
          <w:color w:val="auto"/>
          <w:sz w:val="24"/>
          <w:szCs w:val="24"/>
          <w:lang w:val="en-US" w:eastAsia="zh-CN"/>
        </w:rPr>
        <w:t xml:space="preserve">  </w:t>
      </w:r>
      <w:r>
        <w:rPr>
          <w:rFonts w:hint="default" w:ascii="Times New Roman" w:hAnsi="Times New Roman" w:eastAsia="宋体" w:cs="Times New Roman"/>
          <w:bCs w:val="0"/>
          <w:color w:val="auto"/>
          <w:sz w:val="24"/>
          <w:szCs w:val="24"/>
        </w:rPr>
        <w:t>日</w:t>
      </w:r>
    </w:p>
    <w:p>
      <w:pPr>
        <w:pStyle w:val="5"/>
        <w:spacing w:line="460" w:lineRule="exact"/>
        <w:ind w:left="5250" w:leftChars="2500" w:firstLine="354" w:firstLineChars="147"/>
        <w:rPr>
          <w:rFonts w:hint="default" w:ascii="Times New Roman" w:hAnsi="Times New Roman" w:eastAsia="宋体" w:cs="Times New Roman"/>
          <w:bCs w:val="0"/>
          <w:color w:val="auto"/>
          <w:sz w:val="24"/>
          <w:szCs w:val="24"/>
          <w:lang w:val="en-US" w:eastAsia="zh-CN"/>
        </w:rPr>
      </w:pPr>
      <w:r>
        <w:rPr>
          <w:rFonts w:hint="default" w:ascii="Times New Roman" w:hAnsi="Times New Roman" w:eastAsia="宋体" w:cs="Times New Roman"/>
          <w:bCs w:val="0"/>
          <w:color w:val="auto"/>
          <w:sz w:val="24"/>
          <w:szCs w:val="24"/>
        </w:rPr>
        <w:t>签订地点:</w:t>
      </w:r>
      <w:r>
        <w:rPr>
          <w:rFonts w:hint="default" w:ascii="Times New Roman" w:hAnsi="Times New Roman" w:eastAsia="宋体" w:cs="Times New Roman"/>
          <w:bCs w:val="0"/>
          <w:color w:val="auto"/>
          <w:sz w:val="24"/>
          <w:szCs w:val="24"/>
          <w:lang w:val="en-US" w:eastAsia="zh-CN"/>
        </w:rPr>
        <w:t xml:space="preserve"> 北海</w:t>
      </w:r>
    </w:p>
    <w:p>
      <w:pPr>
        <w:pStyle w:val="5"/>
        <w:spacing w:line="460" w:lineRule="exact"/>
        <w:ind w:left="5062" w:hanging="5062" w:hangingChars="1801"/>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购买方:</w:t>
      </w:r>
      <w:r>
        <w:rPr>
          <w:rFonts w:hint="default" w:ascii="Times New Roman" w:hAnsi="Times New Roman" w:eastAsia="宋体" w:cs="Times New Roman"/>
          <w:bCs w:val="0"/>
          <w:color w:val="auto"/>
          <w:sz w:val="28"/>
          <w:szCs w:val="28"/>
          <w:lang w:val="en-US" w:eastAsia="zh-CN"/>
        </w:rPr>
        <w:t xml:space="preserve"> </w:t>
      </w:r>
      <w:r>
        <w:rPr>
          <w:rFonts w:hint="default" w:ascii="Times New Roman" w:hAnsi="Times New Roman" w:eastAsia="宋体" w:cs="Times New Roman"/>
          <w:bCs w:val="0"/>
          <w:color w:val="auto"/>
          <w:sz w:val="28"/>
          <w:szCs w:val="28"/>
          <w:lang w:val="en-US"/>
        </w:rPr>
        <w:t>中粮屯河北海糖业有限公司</w:t>
      </w:r>
    </w:p>
    <w:p>
      <w:pPr>
        <w:pStyle w:val="5"/>
        <w:rPr>
          <w:rFonts w:hint="default" w:ascii="Times New Roman" w:hAnsi="Times New Roman" w:eastAsia="宋体" w:cs="Times New Roman"/>
          <w:bCs w:val="0"/>
          <w:color w:val="auto"/>
          <w:sz w:val="28"/>
          <w:szCs w:val="28"/>
          <w:lang w:val="en-US" w:eastAsia="zh-CN"/>
        </w:rPr>
      </w:pPr>
      <w:r>
        <w:rPr>
          <w:rFonts w:hint="default" w:ascii="Times New Roman" w:hAnsi="Times New Roman" w:eastAsia="宋体" w:cs="Times New Roman"/>
          <w:bCs w:val="0"/>
          <w:color w:val="auto"/>
          <w:sz w:val="28"/>
          <w:szCs w:val="28"/>
        </w:rPr>
        <w:t>销售方:</w:t>
      </w:r>
      <w:r>
        <w:rPr>
          <w:rFonts w:hint="default" w:ascii="Times New Roman" w:hAnsi="Times New Roman" w:eastAsia="宋体" w:cs="Times New Roman"/>
          <w:bCs w:val="0"/>
          <w:color w:val="auto"/>
          <w:sz w:val="28"/>
          <w:szCs w:val="28"/>
          <w:lang w:val="en-US"/>
        </w:rPr>
        <w:t xml:space="preserve"> </w:t>
      </w:r>
      <w:r>
        <w:rPr>
          <w:rFonts w:hint="default" w:ascii="Times New Roman" w:hAnsi="Times New Roman" w:eastAsia="宋体" w:cs="Times New Roman"/>
          <w:bCs w:val="0"/>
          <w:color w:val="auto"/>
          <w:sz w:val="28"/>
          <w:szCs w:val="28"/>
          <w:lang w:val="en-US" w:eastAsia="zh-CN"/>
        </w:rPr>
        <w:t>**</w:t>
      </w:r>
    </w:p>
    <w:p>
      <w:pPr>
        <w:pStyle w:val="5"/>
        <w:rPr>
          <w:rFonts w:hint="default" w:ascii="Times New Roman" w:hAnsi="Times New Roman" w:eastAsia="宋体" w:cs="Times New Roman"/>
          <w:bCs w:val="0"/>
          <w:color w:val="auto"/>
          <w:sz w:val="21"/>
          <w:szCs w:val="21"/>
        </w:rPr>
      </w:pPr>
    </w:p>
    <w:p>
      <w:pPr>
        <w:pStyle w:val="5"/>
        <w:numPr>
          <w:ilvl w:val="0"/>
          <w:numId w:val="2"/>
        </w:numPr>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订购物资数量及规格</w:t>
      </w:r>
    </w:p>
    <w:p>
      <w:pPr>
        <w:pStyle w:val="5"/>
        <w:spacing w:line="500" w:lineRule="exact"/>
        <w:ind w:firstLine="560" w:firstLineChars="200"/>
        <w:jc w:val="left"/>
        <w:rPr>
          <w:rFonts w:hint="default" w:ascii="Times New Roman" w:hAnsi="Times New Roman" w:eastAsia="宋体" w:cs="Times New Roman"/>
          <w:b w:val="0"/>
          <w:color w:val="auto"/>
          <w:sz w:val="28"/>
          <w:szCs w:val="28"/>
        </w:rPr>
      </w:pPr>
      <w:r>
        <w:rPr>
          <w:rFonts w:hint="default" w:ascii="Times New Roman" w:hAnsi="Times New Roman" w:eastAsia="宋体" w:cs="Times New Roman"/>
          <w:b w:val="0"/>
          <w:bCs w:val="0"/>
          <w:color w:val="auto"/>
          <w:sz w:val="28"/>
          <w:szCs w:val="28"/>
        </w:rPr>
        <w:t>见附表。附表是本合同不可分割的组成部分，与合同正文具有同等法律效力。</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第二条  订购物资质量要求</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一、所订购的物资(以下简称货物)质量技术指标符合相关标准(包括国家标准、行业标准及企业标准)，相应国标与相关标准供方应提供作为本合同附件之一；</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二、供方提供厂检合格证（需提供第三方检测证书的，第三方检测证书作为该物资的质量证明。） </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第三条  技术资料提供办法</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一、供方给需方提供订购物资的产品目录、样品图集、生产厂及产品介绍、使用说明书等有关资料作为选择该类物资的参考； </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二、需方对采购物资提出的本合同条款内未约定的相关质量要求视为本条的补充内容，与本合同具有同等法律效力。</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第四条  交货验收</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一、需方指定使用方工厂交货，按照合同以及相应国标、行业标准及企业标准的质量要求、图纸或样品作为验收标准；</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二、货到时供方必须向需方提交技术资料和有关质量证明，对入库检验时难以发现的质量缺陷，在使用中出现质量问题（</w:t>
      </w:r>
      <w:r>
        <w:rPr>
          <w:rFonts w:hint="default" w:ascii="Times New Roman" w:hAnsi="Times New Roman" w:eastAsia="宋体" w:cs="Times New Roman"/>
          <w:b w:val="0"/>
          <w:bCs w:val="0"/>
          <w:color w:val="auto"/>
          <w:sz w:val="28"/>
          <w:szCs w:val="28"/>
          <w:lang w:val="en-US"/>
        </w:rPr>
        <w:t>需</w:t>
      </w:r>
      <w:r>
        <w:rPr>
          <w:rFonts w:hint="default" w:ascii="Times New Roman" w:hAnsi="Times New Roman" w:eastAsia="宋体" w:cs="Times New Roman"/>
          <w:b w:val="0"/>
          <w:bCs w:val="0"/>
          <w:color w:val="auto"/>
          <w:sz w:val="28"/>
          <w:szCs w:val="28"/>
        </w:rPr>
        <w:t>方使用、保管不当等原因而造成质量问题除外），由供方负责修复或退换，由此给需方造成的损失由供方承担。</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第五条  交货时间和地点</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一、交货日期计算：供方自备运输工具送交</w:t>
      </w:r>
      <w:r>
        <w:rPr>
          <w:rFonts w:hint="default" w:ascii="Times New Roman" w:hAnsi="Times New Roman" w:eastAsia="宋体" w:cs="Times New Roman"/>
          <w:b w:val="0"/>
          <w:bCs w:val="0"/>
          <w:color w:val="auto"/>
          <w:sz w:val="28"/>
          <w:szCs w:val="28"/>
          <w:lang w:val="en-US"/>
        </w:rPr>
        <w:t>需</w:t>
      </w:r>
      <w:r>
        <w:rPr>
          <w:rFonts w:hint="default" w:ascii="Times New Roman" w:hAnsi="Times New Roman" w:eastAsia="宋体" w:cs="Times New Roman"/>
          <w:b w:val="0"/>
          <w:bCs w:val="0"/>
          <w:color w:val="auto"/>
          <w:sz w:val="28"/>
          <w:szCs w:val="28"/>
        </w:rPr>
        <w:t>方工厂，以需方接收的戳记日期为准；具体交货时间及地点见附表；</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二、任何一方要求提前或延期交货，必须事先与对方达成协议，并按协议执行。</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第六条  结算方式及期限</w:t>
      </w:r>
    </w:p>
    <w:p>
      <w:pPr>
        <w:pStyle w:val="5"/>
        <w:spacing w:line="500" w:lineRule="exact"/>
        <w:jc w:val="left"/>
        <w:rPr>
          <w:rFonts w:hint="default" w:ascii="Times New Roman" w:hAnsi="Times New Roman" w:eastAsia="宋体" w:cs="Times New Roman"/>
          <w:b w:val="0"/>
          <w:bCs w:val="0"/>
          <w:color w:val="auto"/>
          <w:sz w:val="28"/>
          <w:szCs w:val="28"/>
          <w:lang w:eastAsia="zh-CN"/>
        </w:rPr>
      </w:pPr>
      <w:r>
        <w:rPr>
          <w:rFonts w:hint="default" w:ascii="Times New Roman" w:hAnsi="Times New Roman" w:eastAsia="宋体" w:cs="Times New Roman"/>
          <w:b w:val="0"/>
          <w:bCs w:val="0"/>
          <w:color w:val="auto"/>
          <w:sz w:val="28"/>
          <w:szCs w:val="28"/>
        </w:rPr>
        <w:t>一、货到后需方按相关标准检验合格后出具接收证明，办理暂存手续</w:t>
      </w:r>
      <w:r>
        <w:rPr>
          <w:rFonts w:hint="default" w:ascii="Times New Roman" w:hAnsi="Times New Roman" w:eastAsia="宋体" w:cs="Times New Roman"/>
          <w:b w:val="0"/>
          <w:bCs w:val="0"/>
          <w:color w:val="auto"/>
          <w:sz w:val="28"/>
          <w:szCs w:val="28"/>
          <w:lang w:eastAsia="zh-CN"/>
        </w:rPr>
        <w:t>。</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二、需方使用部门领用后，按期开具入库单，供方依据入库单提供增值税专用发票挂帐后，需方按资金支付计划支付货款。 </w:t>
      </w:r>
    </w:p>
    <w:p>
      <w:pPr>
        <w:pStyle w:val="5"/>
        <w:spacing w:line="500" w:lineRule="exact"/>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三、电汇方式</w:t>
      </w:r>
      <w:r>
        <w:rPr>
          <w:rFonts w:hint="default" w:ascii="Times New Roman" w:hAnsi="Times New Roman" w:eastAsia="宋体" w:cs="Times New Roman"/>
          <w:b w:val="0"/>
          <w:bCs w:val="0"/>
          <w:color w:val="auto"/>
          <w:sz w:val="28"/>
          <w:szCs w:val="28"/>
        </w:rPr>
        <w:t>支付已挂帐货款</w:t>
      </w:r>
      <w:r>
        <w:rPr>
          <w:rFonts w:hint="default" w:ascii="Times New Roman" w:hAnsi="Times New Roman" w:eastAsia="宋体" w:cs="Times New Roman"/>
          <w:b w:val="0"/>
          <w:bCs w:val="0"/>
          <w:color w:val="auto"/>
          <w:sz w:val="28"/>
          <w:szCs w:val="28"/>
          <w:lang w:eastAsia="zh-CN"/>
        </w:rPr>
        <w:t>。</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第七条  其他约定</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一、供方未按需方要求多送的货物，需方在有存放空间的条件下可作暂存。需方暂存期间（无偿保管），除需方保管有重大过失造成的损失外，需方不承担任何货物毁损灭失责任。</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二、需方检验出以及在使用过程中出现的不合格品，供方应按需方的要求及时给予处理；在需方通知后长期拖延不予办理的，需方有权加收场地占用费或对不合格物资作出处理；需方不承担由此给供方造成的损失。</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三、需方通知供方发送的货物，在本生产期领用后给予办理入库手续，在本生产期未使用的货物，下一生产期设备检修完毕后无论使用与否均应办理入库手续（与供方达成调换货意向的除外）。</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lang w:val="en-US" w:eastAsia="zh-CN"/>
        </w:rPr>
        <w:t>四、</w:t>
      </w:r>
      <w:r>
        <w:rPr>
          <w:rFonts w:hint="default" w:ascii="Times New Roman" w:hAnsi="Times New Roman" w:eastAsia="宋体" w:cs="Times New Roman"/>
          <w:b w:val="0"/>
          <w:bCs w:val="0"/>
          <w:color w:val="auto"/>
          <w:sz w:val="28"/>
          <w:szCs w:val="28"/>
        </w:rPr>
        <w:t>本合同为开口合同，合同附件为本合同不可或缺的重要要件。在本合同期内发生多次采购所生成的合同附件均为本合同的一部分。在合同有效期内，购买方通过询比价方式确定向销售方订购本合同附表约定外的物资，按本合同约定的服务条款执行，具体物资名称、单价、品牌等按购买方的订单执行。</w:t>
      </w:r>
    </w:p>
    <w:p>
      <w:pPr>
        <w:pStyle w:val="5"/>
        <w:spacing w:line="500" w:lineRule="exact"/>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五、</w:t>
      </w:r>
      <w:r>
        <w:rPr>
          <w:rFonts w:hint="default" w:ascii="Times New Roman" w:hAnsi="Times New Roman" w:eastAsia="宋体" w:cs="Times New Roman"/>
          <w:b w:val="0"/>
          <w:bCs w:val="0"/>
          <w:color w:val="auto"/>
          <w:sz w:val="28"/>
          <w:szCs w:val="28"/>
        </w:rPr>
        <w:t>合同有效期为签订合同</w:t>
      </w:r>
      <w:r>
        <w:rPr>
          <w:rFonts w:hint="default" w:ascii="Times New Roman" w:hAnsi="Times New Roman" w:eastAsia="宋体" w:cs="Times New Roman"/>
          <w:b w:val="0"/>
          <w:bCs w:val="0"/>
          <w:color w:val="auto"/>
          <w:sz w:val="28"/>
          <w:szCs w:val="28"/>
          <w:lang w:val="en-US" w:eastAsia="zh-CN"/>
        </w:rPr>
        <w:t>之日起</w:t>
      </w:r>
      <w:r>
        <w:rPr>
          <w:rFonts w:hint="default" w:ascii="Times New Roman" w:hAnsi="Times New Roman" w:eastAsia="宋体" w:cs="Times New Roman"/>
          <w:b w:val="0"/>
          <w:bCs w:val="0"/>
          <w:color w:val="auto"/>
          <w:sz w:val="28"/>
          <w:szCs w:val="28"/>
        </w:rPr>
        <w:t>一年。</w:t>
      </w:r>
    </w:p>
    <w:p>
      <w:pPr>
        <w:pStyle w:val="5"/>
        <w:tabs>
          <w:tab w:val="left" w:pos="3720"/>
        </w:tabs>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第八条  供方的违约责任</w:t>
      </w:r>
      <w:r>
        <w:rPr>
          <w:rFonts w:hint="default" w:ascii="Times New Roman" w:hAnsi="Times New Roman" w:eastAsia="宋体" w:cs="Times New Roman"/>
          <w:bCs w:val="0"/>
          <w:color w:val="auto"/>
          <w:sz w:val="28"/>
          <w:szCs w:val="28"/>
        </w:rPr>
        <w:tab/>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一、未按合同规定的质量标准交付货物，供方负责调换或退货，并承担由于退、换货给需方造成的损失；调换后仍不符合合同规定的，需方有权拒收货物,并解除合同，供方应按照不符合合同约定标准货物对应价格的30%向需方支付瑕疵履行违约金，并赔偿由此给需方造成的实际损失。需方有权直接从供方的货款中扣减损失及违约金。</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二、供方逾期交付货物的，每逾期一日，须按照逾期交付货物价格的1%向需方支付迟延履行违约金一笔，供方迟延交货达15日的，需方有权单方解除本协议，并追究供方的违约责任。逾期交付的货物，供方应在需方书面允许的期限内照数补齐；供方少交、迟交的部分货物，需方有权拒收，由此产生的费用及损失由供方承担。</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三、不能交付货物，应当偿付不能交付货物部分价款总值的10%违约金，违约金需方可从供方货款中扣除。</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四、实行代运或送货的供方，错发到达地点或接收单位(人)，除按合同规定负责运到指定地点或接收单位(人)外，并承担因此多付的运杂费和逾期交付货物的责任。</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第九条  需方的违约责任</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一、需方在合同履行过程中变更订作货物的数量、规格、质量或设计等，应当在货物发出前通知供方； </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二、需方无故拒绝接收供方按合同规定期限提供的货物，需方应当赔偿供方因此造成的损失；</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三、需方变更交付货物地点或接收单位的，应在货物发出前通知供方，因变更交货地而增加的运费或货物已发出而增加的二次倒运费由需方承担；</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四、需方未按合同规定的条款付款，造成的后期供货延迟，供方不承担由此造成的损失，责任由需方承担。</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第十条  不可抗力</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在合同规定的履行期限内，由于不可抗力致使采购物资或原材料毁损、灭失的，供方在取得合法证明后，可免予承担违约责任；在合同规定的履行期限内，由于不可抗力致使生产不能按计划完成，需方可免予承担因此而造成的违约责任。</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第十一条  纠纷的处理</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因本合同引发的争议，双方可协商解决。协商不成应向需方所在地人民法院提起诉讼，诉讼费、律师代理费等相关费用由责任方承担。</w:t>
      </w:r>
    </w:p>
    <w:p>
      <w:pPr>
        <w:pStyle w:val="5"/>
        <w:spacing w:line="500" w:lineRule="exact"/>
        <w:jc w:val="left"/>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color w:val="auto"/>
          <w:sz w:val="28"/>
          <w:szCs w:val="28"/>
          <w:lang w:val="en-US"/>
        </w:rPr>
        <w:t xml:space="preserve">第十二条 </w:t>
      </w:r>
      <w:r>
        <w:rPr>
          <w:rFonts w:hint="default" w:ascii="Times New Roman" w:hAnsi="Times New Roman" w:eastAsia="宋体" w:cs="Times New Roman"/>
          <w:color w:val="auto"/>
          <w:sz w:val="28"/>
          <w:szCs w:val="28"/>
        </w:rPr>
        <w:t>廉洁条款</w:t>
      </w:r>
      <w:r>
        <w:rPr>
          <w:rFonts w:hint="default" w:ascii="Times New Roman" w:hAnsi="Times New Roman" w:eastAsia="宋体" w:cs="Times New Roman"/>
          <w:color w:val="auto"/>
          <w:sz w:val="28"/>
          <w:szCs w:val="28"/>
        </w:rPr>
        <w:br w:type="textWrapping"/>
      </w:r>
      <w:r>
        <w:rPr>
          <w:rFonts w:hint="default" w:ascii="Times New Roman" w:hAnsi="Times New Roman" w:eastAsia="宋体" w:cs="Times New Roman"/>
          <w:b w:val="0"/>
          <w:bCs w:val="0"/>
          <w:color w:val="auto"/>
          <w:sz w:val="28"/>
          <w:szCs w:val="28"/>
        </w:rPr>
        <w:t>1.供需双方及其员工不得向对方及其员工实施商业贿赂行为，包括但不限于给予回扣、礼品、馈赠、娱乐、招待等行为。</w:t>
      </w:r>
      <w:r>
        <w:rPr>
          <w:rFonts w:hint="default" w:ascii="Times New Roman" w:hAnsi="Times New Roman" w:eastAsia="宋体" w:cs="Times New Roman"/>
          <w:b w:val="0"/>
          <w:bCs w:val="0"/>
          <w:color w:val="auto"/>
          <w:sz w:val="28"/>
          <w:szCs w:val="28"/>
        </w:rPr>
        <w:br w:type="textWrapping"/>
      </w:r>
      <w:r>
        <w:rPr>
          <w:rFonts w:hint="default" w:ascii="Times New Roman" w:hAnsi="Times New Roman" w:eastAsia="宋体" w:cs="Times New Roman"/>
          <w:b w:val="0"/>
          <w:bCs w:val="0"/>
          <w:color w:val="auto"/>
          <w:sz w:val="28"/>
          <w:szCs w:val="28"/>
        </w:rPr>
        <w:t>2.供需双方及其员工不得向对方及其员工索要财物。</w:t>
      </w:r>
      <w:r>
        <w:rPr>
          <w:rFonts w:hint="default" w:ascii="Times New Roman" w:hAnsi="Times New Roman" w:eastAsia="宋体" w:cs="Times New Roman"/>
          <w:b w:val="0"/>
          <w:bCs w:val="0"/>
          <w:color w:val="auto"/>
          <w:sz w:val="28"/>
          <w:szCs w:val="28"/>
        </w:rPr>
        <w:br w:type="textWrapping"/>
      </w:r>
      <w:r>
        <w:rPr>
          <w:rFonts w:hint="default" w:ascii="Times New Roman" w:hAnsi="Times New Roman" w:eastAsia="宋体" w:cs="Times New Roman"/>
          <w:b w:val="0"/>
          <w:bCs w:val="0"/>
          <w:color w:val="auto"/>
          <w:sz w:val="28"/>
          <w:szCs w:val="28"/>
        </w:rPr>
        <w:t>3.需方发现供方或供方员工向需方或需方员工实施前两款行为的，需方有权单方解除本合同，同时供方应向需方支付合同总金额10%的违约金。</w:t>
      </w:r>
      <w:r>
        <w:rPr>
          <w:rFonts w:hint="default" w:ascii="Times New Roman" w:hAnsi="Times New Roman" w:eastAsia="宋体" w:cs="Times New Roman"/>
          <w:b w:val="0"/>
          <w:bCs w:val="0"/>
          <w:color w:val="auto"/>
          <w:sz w:val="28"/>
          <w:szCs w:val="28"/>
        </w:rPr>
        <w:br w:type="textWrapping"/>
      </w:r>
      <w:r>
        <w:rPr>
          <w:rFonts w:hint="default" w:ascii="Times New Roman" w:hAnsi="Times New Roman" w:eastAsia="宋体" w:cs="Times New Roman"/>
          <w:b w:val="0"/>
          <w:bCs w:val="0"/>
          <w:color w:val="auto"/>
          <w:sz w:val="28"/>
          <w:szCs w:val="28"/>
        </w:rPr>
        <w:t>4.供方发现需方或需方员工向供方或供方员工实施前两款行为的，应通过邮箱：thjjb@cofco.com；电话：010-85017235向需方予以举报，如供方不予举报的，需方发现后有权单方解除本合同。</w:t>
      </w:r>
    </w:p>
    <w:p>
      <w:pPr>
        <w:pStyle w:val="5"/>
        <w:spacing w:line="500" w:lineRule="exact"/>
        <w:jc w:val="left"/>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第十</w:t>
      </w:r>
      <w:r>
        <w:rPr>
          <w:rFonts w:hint="default" w:ascii="Times New Roman" w:hAnsi="Times New Roman" w:eastAsia="宋体" w:cs="Times New Roman"/>
          <w:bCs w:val="0"/>
          <w:color w:val="auto"/>
          <w:sz w:val="28"/>
          <w:szCs w:val="28"/>
          <w:lang w:val="en-US"/>
        </w:rPr>
        <w:t>三</w:t>
      </w:r>
      <w:r>
        <w:rPr>
          <w:rFonts w:hint="default" w:ascii="Times New Roman" w:hAnsi="Times New Roman" w:eastAsia="宋体" w:cs="Times New Roman"/>
          <w:bCs w:val="0"/>
          <w:color w:val="auto"/>
          <w:sz w:val="28"/>
          <w:szCs w:val="28"/>
        </w:rPr>
        <w:t>条 其它</w:t>
      </w:r>
    </w:p>
    <w:p>
      <w:pPr>
        <w:pStyle w:val="5"/>
        <w:spacing w:line="500" w:lineRule="exact"/>
        <w:jc w:val="left"/>
        <w:rPr>
          <w:rFonts w:hint="default" w:ascii="Times New Roman" w:hAnsi="Times New Roman" w:eastAsia="宋体" w:cs="Times New Roman"/>
          <w:b w:val="0"/>
          <w:bCs w:val="0"/>
          <w:color w:val="auto"/>
          <w:sz w:val="28"/>
          <w:szCs w:val="28"/>
          <w:lang w:eastAsia="zh-CN"/>
        </w:rPr>
      </w:pPr>
      <w:r>
        <w:rPr>
          <w:rFonts w:hint="default" w:ascii="Times New Roman" w:hAnsi="Times New Roman" w:eastAsia="宋体" w:cs="Times New Roman"/>
          <w:b w:val="0"/>
          <w:bCs w:val="0"/>
          <w:color w:val="auto"/>
          <w:sz w:val="28"/>
          <w:szCs w:val="28"/>
        </w:rPr>
        <w:t>本合同自双方签字盖章之日起生效，合同所有条款履行完毕即失效，本合同执行期间，双方不得随意变更和解除合同，合同如有未尽事宜，由双方共同协商作出补充规定，补充规定与本合同具有同等法律效力</w:t>
      </w:r>
      <w:r>
        <w:rPr>
          <w:rFonts w:hint="default" w:ascii="Times New Roman" w:hAnsi="Times New Roman" w:eastAsia="宋体" w:cs="Times New Roman"/>
          <w:b w:val="0"/>
          <w:bCs w:val="0"/>
          <w:color w:val="auto"/>
          <w:sz w:val="28"/>
          <w:szCs w:val="28"/>
          <w:lang w:eastAsia="zh-CN"/>
        </w:rPr>
        <w:t>。</w:t>
      </w:r>
    </w:p>
    <w:p>
      <w:pPr>
        <w:pStyle w:val="5"/>
        <w:spacing w:line="500" w:lineRule="exact"/>
        <w:jc w:val="left"/>
        <w:rPr>
          <w:rFonts w:hint="default" w:ascii="Times New Roman" w:hAnsi="Times New Roman" w:eastAsia="宋体" w:cs="Times New Roman"/>
          <w:b w:val="0"/>
          <w:bCs w:val="0"/>
          <w:color w:val="auto"/>
          <w:sz w:val="28"/>
          <w:szCs w:val="28"/>
          <w:lang w:eastAsia="zh-CN"/>
        </w:rPr>
      </w:pPr>
      <w:r>
        <w:rPr>
          <w:rFonts w:hint="default" w:ascii="Times New Roman" w:hAnsi="Times New Roman" w:eastAsia="宋体" w:cs="Times New Roman"/>
          <w:b w:val="0"/>
          <w:bCs w:val="0"/>
          <w:color w:val="auto"/>
          <w:sz w:val="28"/>
          <w:szCs w:val="28"/>
        </w:rPr>
        <w:t>本合同一式贰份，购买方壹份，销售方壹份</w:t>
      </w:r>
      <w:r>
        <w:rPr>
          <w:rFonts w:hint="default" w:ascii="Times New Roman" w:hAnsi="Times New Roman" w:eastAsia="宋体" w:cs="Times New Roman"/>
          <w:b w:val="0"/>
          <w:bCs w:val="0"/>
          <w:color w:val="auto"/>
          <w:sz w:val="28"/>
          <w:szCs w:val="28"/>
          <w:lang w:eastAsia="zh-CN"/>
        </w:rPr>
        <w:t>。</w:t>
      </w:r>
    </w:p>
    <w:tbl>
      <w:tblPr>
        <w:tblStyle w:val="10"/>
        <w:tblpPr w:leftFromText="180" w:rightFromText="180" w:vertAnchor="text" w:horzAnchor="margin" w:tblpY="337"/>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5"/>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7" w:hRule="atLeast"/>
        </w:trPr>
        <w:tc>
          <w:tcPr>
            <w:tcW w:w="4935" w:type="dxa"/>
            <w:noWrap w:val="0"/>
            <w:vAlign w:val="top"/>
          </w:tcPr>
          <w:p>
            <w:pPr>
              <w:spacing w:line="360" w:lineRule="auto"/>
              <w:jc w:val="center"/>
              <w:rPr>
                <w:rFonts w:hint="default" w:ascii="Times New Roman" w:hAnsi="Times New Roman" w:eastAsia="宋体" w:cs="Times New Roman"/>
                <w:b/>
                <w:bCs w:val="0"/>
                <w:color w:val="auto"/>
                <w:kern w:val="2"/>
                <w:sz w:val="24"/>
                <w:szCs w:val="24"/>
                <w:lang w:val="zh-CN" w:eastAsia="zh-CN" w:bidi="ar-SA"/>
              </w:rPr>
            </w:pPr>
            <w:r>
              <w:rPr>
                <w:rFonts w:hint="default" w:ascii="Times New Roman" w:hAnsi="Times New Roman" w:cs="Times New Roman"/>
                <w:b/>
                <w:bCs w:val="0"/>
                <w:color w:val="auto"/>
                <w:kern w:val="2"/>
                <w:sz w:val="24"/>
                <w:szCs w:val="24"/>
                <w:lang w:val="zh-CN" w:eastAsia="zh-CN" w:bidi="ar-SA"/>
              </w:rPr>
              <w:t>需</w:t>
            </w:r>
            <w:r>
              <w:rPr>
                <w:rFonts w:hint="default" w:ascii="Times New Roman" w:hAnsi="Times New Roman" w:cs="Times New Roman"/>
                <w:b/>
                <w:bCs w:val="0"/>
                <w:color w:val="auto"/>
                <w:kern w:val="2"/>
                <w:sz w:val="24"/>
                <w:szCs w:val="24"/>
                <w:lang w:val="en-US" w:eastAsia="zh-CN" w:bidi="ar-SA"/>
              </w:rPr>
              <w:t xml:space="preserve"> </w:t>
            </w:r>
            <w:r>
              <w:rPr>
                <w:rFonts w:hint="default" w:ascii="Times New Roman" w:hAnsi="Times New Roman" w:eastAsia="宋体" w:cs="Times New Roman"/>
                <w:b/>
                <w:bCs w:val="0"/>
                <w:color w:val="auto"/>
                <w:kern w:val="2"/>
                <w:sz w:val="24"/>
                <w:szCs w:val="24"/>
                <w:lang w:val="zh-CN" w:eastAsia="zh-CN" w:bidi="ar-SA"/>
              </w:rPr>
              <w:t>方</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单位名称(章)：中粮屯河北海糖业有限公司  </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单位地址：北海市铁山港区南康镇富康路166号</w:t>
            </w:r>
          </w:p>
          <w:p>
            <w:pPr>
              <w:spacing w:line="360" w:lineRule="auto"/>
              <w:rPr>
                <w:rFonts w:hint="default" w:ascii="Times New Roman" w:hAnsi="Times New Roman" w:cs="Times New Roman"/>
                <w:sz w:val="22"/>
                <w:szCs w:val="22"/>
              </w:rPr>
            </w:pP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法定代表人：</w:t>
            </w:r>
          </w:p>
          <w:p>
            <w:pPr>
              <w:widowControl/>
              <w:spacing w:line="360" w:lineRule="auto"/>
              <w:jc w:val="left"/>
              <w:rPr>
                <w:rFonts w:hint="default" w:ascii="Times New Roman" w:hAnsi="Times New Roman" w:cs="Times New Roman"/>
                <w:sz w:val="22"/>
                <w:szCs w:val="22"/>
              </w:rPr>
            </w:pPr>
          </w:p>
          <w:p>
            <w:pPr>
              <w:tabs>
                <w:tab w:val="center" w:pos="4182"/>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委托代表人：   </w:t>
            </w:r>
          </w:p>
          <w:p>
            <w:pPr>
              <w:widowControl/>
              <w:spacing w:line="360" w:lineRule="auto"/>
              <w:jc w:val="left"/>
              <w:rPr>
                <w:rFonts w:hint="default" w:ascii="Times New Roman" w:hAnsi="Times New Roman" w:cs="Times New Roman"/>
                <w:sz w:val="22"/>
                <w:szCs w:val="22"/>
              </w:rPr>
            </w:pP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开户行：中国农业银行铁山港支行营业部</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帐号：20-713101040008348</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税号：91450500557245507M</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电话：0779-8606000</w:t>
            </w:r>
          </w:p>
        </w:tc>
        <w:tc>
          <w:tcPr>
            <w:tcW w:w="5145" w:type="dxa"/>
            <w:noWrap w:val="0"/>
            <w:vAlign w:val="top"/>
          </w:tcPr>
          <w:p>
            <w:pPr>
              <w:spacing w:line="360" w:lineRule="auto"/>
              <w:jc w:val="center"/>
              <w:rPr>
                <w:rFonts w:hint="default" w:ascii="Times New Roman" w:hAnsi="Times New Roman" w:eastAsia="宋体" w:cs="Times New Roman"/>
                <w:b/>
                <w:bCs w:val="0"/>
                <w:color w:val="auto"/>
                <w:kern w:val="2"/>
                <w:sz w:val="24"/>
                <w:szCs w:val="24"/>
                <w:lang w:val="zh-CN" w:eastAsia="zh-CN" w:bidi="ar-SA"/>
              </w:rPr>
            </w:pPr>
            <w:r>
              <w:rPr>
                <w:rFonts w:hint="default" w:ascii="Times New Roman" w:hAnsi="Times New Roman" w:cs="Times New Roman"/>
                <w:b/>
                <w:bCs w:val="0"/>
                <w:color w:val="auto"/>
                <w:kern w:val="2"/>
                <w:sz w:val="24"/>
                <w:szCs w:val="24"/>
                <w:lang w:val="zh-CN" w:eastAsia="zh-CN" w:bidi="ar-SA"/>
              </w:rPr>
              <w:t>供</w:t>
            </w:r>
            <w:r>
              <w:rPr>
                <w:rFonts w:hint="default" w:ascii="Times New Roman" w:hAnsi="Times New Roman" w:cs="Times New Roman"/>
                <w:b/>
                <w:bCs w:val="0"/>
                <w:color w:val="auto"/>
                <w:kern w:val="2"/>
                <w:sz w:val="24"/>
                <w:szCs w:val="24"/>
                <w:lang w:val="en-US" w:eastAsia="zh-CN" w:bidi="ar-SA"/>
              </w:rPr>
              <w:t xml:space="preserve"> </w:t>
            </w:r>
            <w:r>
              <w:rPr>
                <w:rFonts w:hint="default" w:ascii="Times New Roman" w:hAnsi="Times New Roman" w:eastAsia="宋体" w:cs="Times New Roman"/>
                <w:b/>
                <w:bCs w:val="0"/>
                <w:color w:val="auto"/>
                <w:kern w:val="2"/>
                <w:sz w:val="24"/>
                <w:szCs w:val="24"/>
                <w:lang w:val="zh-CN" w:eastAsia="zh-CN" w:bidi="ar-SA"/>
              </w:rPr>
              <w:t>方</w:t>
            </w:r>
          </w:p>
          <w:p>
            <w:pPr>
              <w:spacing w:line="360" w:lineRule="auto"/>
              <w:rPr>
                <w:rFonts w:hint="default" w:ascii="Times New Roman" w:hAnsi="Times New Roman" w:cs="Times New Roman"/>
                <w:sz w:val="22"/>
                <w:szCs w:val="22"/>
                <w:lang w:val="en-US" w:eastAsia="zh-CN"/>
              </w:rPr>
            </w:pPr>
            <w:r>
              <w:rPr>
                <w:rFonts w:hint="default" w:ascii="Times New Roman" w:hAnsi="Times New Roman" w:cs="Times New Roman"/>
                <w:sz w:val="22"/>
                <w:szCs w:val="22"/>
              </w:rPr>
              <w:t>单位名称(章)：</w:t>
            </w:r>
            <w:r>
              <w:rPr>
                <w:rFonts w:hint="default" w:ascii="Times New Roman" w:hAnsi="Times New Roman" w:cs="Times New Roman"/>
                <w:sz w:val="22"/>
                <w:szCs w:val="22"/>
                <w:lang w:val="en-US" w:eastAsia="zh-CN"/>
              </w:rPr>
              <w:t xml:space="preserve"> </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单位地址：</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法定代表人：</w:t>
            </w:r>
          </w:p>
          <w:p>
            <w:pPr>
              <w:spacing w:line="360" w:lineRule="auto"/>
              <w:rPr>
                <w:rFonts w:hint="default" w:ascii="Times New Roman" w:hAnsi="Times New Roman" w:cs="Times New Roman"/>
                <w:sz w:val="22"/>
                <w:szCs w:val="22"/>
              </w:rPr>
            </w:pP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委托代表人：</w:t>
            </w:r>
          </w:p>
          <w:p>
            <w:pPr>
              <w:spacing w:line="360" w:lineRule="auto"/>
              <w:rPr>
                <w:rFonts w:hint="default" w:ascii="Times New Roman" w:hAnsi="Times New Roman" w:cs="Times New Roman"/>
                <w:sz w:val="22"/>
                <w:szCs w:val="22"/>
              </w:rPr>
            </w:pPr>
          </w:p>
          <w:p>
            <w:pPr>
              <w:spacing w:line="360" w:lineRule="auto"/>
              <w:rPr>
                <w:rFonts w:hint="default" w:ascii="Times New Roman" w:hAnsi="Times New Roman" w:cs="Times New Roman"/>
                <w:sz w:val="22"/>
                <w:szCs w:val="22"/>
                <w:lang w:val="en-US" w:eastAsia="zh-CN"/>
              </w:rPr>
            </w:pPr>
            <w:r>
              <w:rPr>
                <w:rFonts w:hint="default" w:ascii="Times New Roman" w:hAnsi="Times New Roman" w:cs="Times New Roman"/>
                <w:sz w:val="22"/>
                <w:szCs w:val="22"/>
              </w:rPr>
              <w:t>开户行：</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帐号：</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税号：</w:t>
            </w:r>
          </w:p>
          <w:p>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电话：</w:t>
            </w:r>
          </w:p>
        </w:tc>
      </w:tr>
    </w:tbl>
    <w:p>
      <w:pPr>
        <w:rPr>
          <w:rFonts w:hint="default" w:ascii="Times New Roman" w:hAnsi="Times New Roman" w:cs="Times New Roman"/>
          <w:b/>
          <w:bCs/>
          <w:sz w:val="28"/>
          <w:szCs w:val="28"/>
        </w:rPr>
      </w:pPr>
    </w:p>
    <w:p>
      <w:pPr>
        <w:rPr>
          <w:rFonts w:hint="default" w:ascii="Times New Roman" w:hAnsi="Times New Roman" w:cs="Times New Roman"/>
        </w:rPr>
      </w:pPr>
      <w:r>
        <w:rPr>
          <w:rFonts w:hint="default" w:ascii="Times New Roman" w:hAnsi="Times New Roman" w:cs="Times New Roman"/>
        </w:rPr>
        <w:br w:type="page"/>
      </w:r>
    </w:p>
    <w:tbl>
      <w:tblPr>
        <w:tblStyle w:val="10"/>
        <w:tblW w:w="10887" w:type="dxa"/>
        <w:jc w:val="center"/>
        <w:tblInd w:w="0" w:type="dxa"/>
        <w:tblLayout w:type="fixed"/>
        <w:tblCellMar>
          <w:top w:w="0" w:type="dxa"/>
          <w:left w:w="108" w:type="dxa"/>
          <w:bottom w:w="0" w:type="dxa"/>
          <w:right w:w="108" w:type="dxa"/>
        </w:tblCellMar>
      </w:tblPr>
      <w:tblGrid>
        <w:gridCol w:w="486"/>
        <w:gridCol w:w="1538"/>
        <w:gridCol w:w="2533"/>
        <w:gridCol w:w="675"/>
        <w:gridCol w:w="690"/>
        <w:gridCol w:w="600"/>
        <w:gridCol w:w="202"/>
        <w:gridCol w:w="650"/>
        <w:gridCol w:w="843"/>
        <w:gridCol w:w="806"/>
        <w:gridCol w:w="244"/>
        <w:gridCol w:w="765"/>
        <w:gridCol w:w="855"/>
      </w:tblGrid>
      <w:tr>
        <w:tblPrEx>
          <w:tblLayout w:type="fixed"/>
          <w:tblCellMar>
            <w:top w:w="0" w:type="dxa"/>
            <w:left w:w="108" w:type="dxa"/>
            <w:bottom w:w="0" w:type="dxa"/>
            <w:right w:w="108" w:type="dxa"/>
          </w:tblCellMar>
        </w:tblPrEx>
        <w:trPr>
          <w:trHeight w:val="435" w:hRule="atLeast"/>
          <w:jc w:val="center"/>
        </w:trPr>
        <w:tc>
          <w:tcPr>
            <w:tcW w:w="10887" w:type="dxa"/>
            <w:gridSpan w:val="1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bCs/>
                <w:kern w:val="0"/>
                <w:sz w:val="24"/>
              </w:rPr>
            </w:pPr>
            <w:r>
              <w:rPr>
                <w:rFonts w:hint="default" w:ascii="Times New Roman" w:hAnsi="Times New Roman" w:cs="Times New Roman"/>
                <w:b/>
                <w:bCs/>
                <w:kern w:val="0"/>
                <w:sz w:val="24"/>
              </w:rPr>
              <w:t>通用标准件合同附表</w:t>
            </w:r>
          </w:p>
        </w:tc>
      </w:tr>
      <w:tr>
        <w:tblPrEx>
          <w:tblLayout w:type="fixed"/>
          <w:tblCellMar>
            <w:top w:w="0" w:type="dxa"/>
            <w:left w:w="108" w:type="dxa"/>
            <w:bottom w:w="0" w:type="dxa"/>
            <w:right w:w="108" w:type="dxa"/>
          </w:tblCellMar>
        </w:tblPrEx>
        <w:trPr>
          <w:trHeight w:val="435" w:hRule="atLeast"/>
          <w:jc w:val="center"/>
        </w:trPr>
        <w:tc>
          <w:tcPr>
            <w:tcW w:w="10887" w:type="dxa"/>
            <w:gridSpan w:val="1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Times New Roman" w:hAnsi="Times New Roman" w:eastAsia="宋体" w:cs="Times New Roman"/>
                <w:b/>
                <w:bCs/>
                <w:kern w:val="0"/>
                <w:sz w:val="20"/>
                <w:szCs w:val="20"/>
                <w:lang w:val="en-US" w:eastAsia="zh-CN"/>
              </w:rPr>
            </w:pPr>
            <w:r>
              <w:rPr>
                <w:rFonts w:hint="default" w:ascii="Times New Roman" w:hAnsi="Times New Roman" w:cs="Times New Roman"/>
                <w:b/>
                <w:bCs/>
                <w:kern w:val="0"/>
                <w:sz w:val="20"/>
                <w:szCs w:val="20"/>
              </w:rPr>
              <w:t>供方名称：</w:t>
            </w:r>
            <w:r>
              <w:rPr>
                <w:rFonts w:hint="default" w:ascii="Times New Roman" w:hAnsi="Times New Roman" w:cs="Times New Roman"/>
                <w:b/>
                <w:bCs/>
                <w:kern w:val="0"/>
                <w:sz w:val="20"/>
                <w:szCs w:val="20"/>
                <w:lang w:val="en-US" w:eastAsia="zh-CN"/>
              </w:rPr>
              <w:t>**</w:t>
            </w:r>
          </w:p>
        </w:tc>
      </w:tr>
      <w:tr>
        <w:tblPrEx>
          <w:tblLayout w:type="fixed"/>
          <w:tblCellMar>
            <w:top w:w="0" w:type="dxa"/>
            <w:left w:w="108" w:type="dxa"/>
            <w:bottom w:w="0" w:type="dxa"/>
            <w:right w:w="108" w:type="dxa"/>
          </w:tblCellMar>
        </w:tblPrEx>
        <w:trPr>
          <w:trHeight w:val="420" w:hRule="atLeast"/>
          <w:jc w:val="center"/>
        </w:trPr>
        <w:tc>
          <w:tcPr>
            <w:tcW w:w="10887" w:type="dxa"/>
            <w:gridSpan w:val="1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宋体" w:cs="Times New Roman"/>
                <w:b/>
                <w:bCs/>
                <w:kern w:val="0"/>
                <w:sz w:val="20"/>
                <w:szCs w:val="20"/>
                <w:lang w:val="en-US" w:eastAsia="zh-CN"/>
              </w:rPr>
            </w:pPr>
            <w:r>
              <w:rPr>
                <w:rFonts w:hint="default" w:ascii="Times New Roman" w:hAnsi="Times New Roman" w:cs="Times New Roman"/>
                <w:b/>
                <w:bCs/>
                <w:kern w:val="0"/>
                <w:sz w:val="20"/>
                <w:szCs w:val="20"/>
              </w:rPr>
              <w:t xml:space="preserve">                                     </w:t>
            </w:r>
            <w:r>
              <w:rPr>
                <w:rFonts w:hint="default" w:ascii="Times New Roman" w:hAnsi="Times New Roman" w:cs="Times New Roman"/>
                <w:b/>
                <w:bCs/>
                <w:kern w:val="0"/>
                <w:sz w:val="20"/>
                <w:szCs w:val="20"/>
                <w:lang w:val="en-US" w:eastAsia="zh-CN"/>
              </w:rPr>
              <w:t xml:space="preserve">                   </w:t>
            </w:r>
            <w:r>
              <w:rPr>
                <w:rFonts w:hint="default" w:ascii="Times New Roman" w:hAnsi="Times New Roman" w:cs="Times New Roman"/>
                <w:b/>
                <w:bCs/>
                <w:kern w:val="0"/>
                <w:sz w:val="20"/>
                <w:szCs w:val="20"/>
              </w:rPr>
              <w:t xml:space="preserve">  </w:t>
            </w:r>
            <w:r>
              <w:rPr>
                <w:rFonts w:hint="default" w:ascii="Times New Roman" w:hAnsi="Times New Roman" w:cs="Times New Roman"/>
                <w:b/>
                <w:bCs/>
                <w:kern w:val="0"/>
                <w:sz w:val="20"/>
                <w:szCs w:val="20"/>
                <w:lang w:val="en-US" w:eastAsia="zh-CN"/>
              </w:rPr>
              <w:t xml:space="preserve">                  </w:t>
            </w:r>
            <w:r>
              <w:rPr>
                <w:rFonts w:hint="default" w:ascii="Times New Roman" w:hAnsi="Times New Roman" w:cs="Times New Roman"/>
                <w:b/>
                <w:bCs/>
                <w:kern w:val="0"/>
                <w:sz w:val="20"/>
                <w:szCs w:val="20"/>
              </w:rPr>
              <w:t>合同编号：</w:t>
            </w:r>
            <w:r>
              <w:rPr>
                <w:rFonts w:hint="default" w:ascii="Times New Roman" w:hAnsi="Times New Roman" w:cs="Times New Roman"/>
                <w:b/>
                <w:bCs/>
                <w:kern w:val="0"/>
                <w:sz w:val="20"/>
                <w:szCs w:val="20"/>
                <w:lang w:val="en-US" w:eastAsia="zh-CN"/>
              </w:rPr>
              <w:t>**</w:t>
            </w:r>
          </w:p>
        </w:tc>
      </w:tr>
      <w:tr>
        <w:tblPrEx>
          <w:tblLayout w:type="fixed"/>
          <w:tblCellMar>
            <w:top w:w="0" w:type="dxa"/>
            <w:left w:w="108" w:type="dxa"/>
            <w:bottom w:w="0" w:type="dxa"/>
            <w:right w:w="108" w:type="dxa"/>
          </w:tblCellMar>
        </w:tblPrEx>
        <w:trPr>
          <w:trHeight w:val="510" w:hRule="atLeast"/>
          <w:jc w:val="center"/>
        </w:trPr>
        <w:tc>
          <w:tcPr>
            <w:tcW w:w="48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序号</w:t>
            </w:r>
          </w:p>
        </w:tc>
        <w:tc>
          <w:tcPr>
            <w:tcW w:w="153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SAP物料号</w:t>
            </w:r>
          </w:p>
        </w:tc>
        <w:tc>
          <w:tcPr>
            <w:tcW w:w="253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物料描述</w:t>
            </w:r>
          </w:p>
        </w:tc>
        <w:tc>
          <w:tcPr>
            <w:tcW w:w="67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bCs/>
                <w:kern w:val="0"/>
                <w:sz w:val="20"/>
                <w:szCs w:val="20"/>
                <w:lang w:eastAsia="zh-CN"/>
              </w:rPr>
            </w:pPr>
            <w:r>
              <w:rPr>
                <w:rFonts w:hint="default" w:ascii="Times New Roman" w:hAnsi="Times New Roman" w:cs="Times New Roman"/>
                <w:b/>
                <w:bCs/>
                <w:kern w:val="0"/>
                <w:sz w:val="20"/>
                <w:szCs w:val="20"/>
                <w:lang w:eastAsia="zh-CN"/>
              </w:rPr>
              <w:t>数量</w:t>
            </w:r>
          </w:p>
        </w:tc>
        <w:tc>
          <w:tcPr>
            <w:tcW w:w="69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bCs/>
                <w:kern w:val="0"/>
                <w:sz w:val="20"/>
                <w:szCs w:val="20"/>
                <w:lang w:eastAsia="zh-CN"/>
              </w:rPr>
            </w:pPr>
            <w:r>
              <w:rPr>
                <w:rFonts w:hint="default" w:ascii="Times New Roman" w:hAnsi="Times New Roman" w:cs="Times New Roman"/>
                <w:b/>
                <w:bCs/>
                <w:kern w:val="0"/>
                <w:sz w:val="20"/>
                <w:szCs w:val="20"/>
                <w:lang w:eastAsia="zh-CN"/>
              </w:rPr>
              <w:t>单位</w:t>
            </w:r>
          </w:p>
        </w:tc>
        <w:tc>
          <w:tcPr>
            <w:tcW w:w="802"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含税单价</w:t>
            </w:r>
          </w:p>
        </w:tc>
        <w:tc>
          <w:tcPr>
            <w:tcW w:w="6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税率</w:t>
            </w:r>
          </w:p>
        </w:tc>
        <w:tc>
          <w:tcPr>
            <w:tcW w:w="84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含税金额</w:t>
            </w:r>
          </w:p>
        </w:tc>
        <w:tc>
          <w:tcPr>
            <w:tcW w:w="1050"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不含税金额</w:t>
            </w:r>
          </w:p>
        </w:tc>
        <w:tc>
          <w:tcPr>
            <w:tcW w:w="76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18"/>
                <w:szCs w:val="18"/>
              </w:rPr>
              <w:t>交货时间</w:t>
            </w:r>
          </w:p>
        </w:tc>
        <w:tc>
          <w:tcPr>
            <w:tcW w:w="85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备注</w:t>
            </w:r>
          </w:p>
        </w:tc>
      </w:tr>
      <w:tr>
        <w:tblPrEx>
          <w:tblLayout w:type="fixed"/>
          <w:tblCellMar>
            <w:top w:w="0" w:type="dxa"/>
            <w:left w:w="108" w:type="dxa"/>
            <w:bottom w:w="0" w:type="dxa"/>
            <w:right w:w="108" w:type="dxa"/>
          </w:tblCellMar>
        </w:tblPrEx>
        <w:trPr>
          <w:trHeight w:val="301" w:hRule="atLeast"/>
          <w:jc w:val="center"/>
        </w:trPr>
        <w:tc>
          <w:tcPr>
            <w:tcW w:w="486"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c>
          <w:tcPr>
            <w:tcW w:w="1538"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2533"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75"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90"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02" w:type="dxa"/>
            <w:gridSpan w:val="2"/>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50"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43"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1050" w:type="dxa"/>
            <w:gridSpan w:val="2"/>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76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55"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p>
        </w:tc>
      </w:tr>
      <w:tr>
        <w:tblPrEx>
          <w:tblLayout w:type="fixed"/>
          <w:tblCellMar>
            <w:top w:w="0" w:type="dxa"/>
            <w:left w:w="108" w:type="dxa"/>
            <w:bottom w:w="0" w:type="dxa"/>
            <w:right w:w="108" w:type="dxa"/>
          </w:tblCellMar>
        </w:tblPrEx>
        <w:trPr>
          <w:trHeight w:val="301" w:hRule="atLeast"/>
          <w:jc w:val="center"/>
        </w:trPr>
        <w:tc>
          <w:tcPr>
            <w:tcW w:w="486"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w:t>
            </w:r>
          </w:p>
        </w:tc>
        <w:tc>
          <w:tcPr>
            <w:tcW w:w="1538"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2533"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75"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90"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02" w:type="dxa"/>
            <w:gridSpan w:val="2"/>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50"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43"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1050" w:type="dxa"/>
            <w:gridSpan w:val="2"/>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76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55"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p>
        </w:tc>
      </w:tr>
      <w:tr>
        <w:tblPrEx>
          <w:tblLayout w:type="fixed"/>
          <w:tblCellMar>
            <w:top w:w="0" w:type="dxa"/>
            <w:left w:w="108" w:type="dxa"/>
            <w:bottom w:w="0" w:type="dxa"/>
            <w:right w:w="108" w:type="dxa"/>
          </w:tblCellMar>
        </w:tblPrEx>
        <w:trPr>
          <w:trHeight w:val="301" w:hRule="atLeast"/>
          <w:jc w:val="center"/>
        </w:trPr>
        <w:tc>
          <w:tcPr>
            <w:tcW w:w="486"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w:t>
            </w:r>
          </w:p>
        </w:tc>
        <w:tc>
          <w:tcPr>
            <w:tcW w:w="1538"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2533"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75"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90"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02" w:type="dxa"/>
            <w:gridSpan w:val="2"/>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50"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43"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1050" w:type="dxa"/>
            <w:gridSpan w:val="2"/>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76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55"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p>
        </w:tc>
      </w:tr>
      <w:tr>
        <w:tblPrEx>
          <w:tblLayout w:type="fixed"/>
          <w:tblCellMar>
            <w:top w:w="0" w:type="dxa"/>
            <w:left w:w="108" w:type="dxa"/>
            <w:bottom w:w="0" w:type="dxa"/>
            <w:right w:w="108" w:type="dxa"/>
          </w:tblCellMar>
        </w:tblPrEx>
        <w:trPr>
          <w:trHeight w:val="301" w:hRule="atLeast"/>
          <w:jc w:val="center"/>
        </w:trPr>
        <w:tc>
          <w:tcPr>
            <w:tcW w:w="486"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4</w:t>
            </w:r>
          </w:p>
        </w:tc>
        <w:tc>
          <w:tcPr>
            <w:tcW w:w="1538"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2533"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75"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90"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02" w:type="dxa"/>
            <w:gridSpan w:val="2"/>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50"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43" w:type="dxa"/>
            <w:tcBorders>
              <w:top w:val="nil"/>
              <w:left w:val="nil"/>
              <w:bottom w:val="single" w:color="000000" w:sz="4" w:space="0"/>
              <w:right w:val="single" w:color="000000"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1050" w:type="dxa"/>
            <w:gridSpan w:val="2"/>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76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55"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p>
        </w:tc>
      </w:tr>
      <w:tr>
        <w:tblPrEx>
          <w:tblLayout w:type="fixed"/>
          <w:tblCellMar>
            <w:top w:w="0" w:type="dxa"/>
            <w:left w:w="108" w:type="dxa"/>
            <w:bottom w:w="0" w:type="dxa"/>
            <w:right w:w="108" w:type="dxa"/>
          </w:tblCellMar>
        </w:tblPrEx>
        <w:trPr>
          <w:trHeight w:val="330" w:hRule="atLeast"/>
          <w:jc w:val="center"/>
        </w:trPr>
        <w:tc>
          <w:tcPr>
            <w:tcW w:w="486"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合计</w:t>
            </w:r>
          </w:p>
        </w:tc>
        <w:tc>
          <w:tcPr>
            <w:tcW w:w="1538"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2533"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75"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90"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02" w:type="dxa"/>
            <w:gridSpan w:val="2"/>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650"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43"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1050" w:type="dxa"/>
            <w:gridSpan w:val="2"/>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c>
          <w:tcPr>
            <w:tcW w:w="855"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2"/>
                <w:sz w:val="21"/>
                <w:szCs w:val="21"/>
                <w:lang w:val="en-US" w:eastAsia="zh-CN" w:bidi="ar-SA"/>
              </w:rPr>
            </w:pPr>
          </w:p>
        </w:tc>
      </w:tr>
      <w:tr>
        <w:tblPrEx>
          <w:tblLayout w:type="fixed"/>
          <w:tblCellMar>
            <w:top w:w="0" w:type="dxa"/>
            <w:left w:w="108" w:type="dxa"/>
            <w:bottom w:w="0" w:type="dxa"/>
            <w:right w:w="108" w:type="dxa"/>
          </w:tblCellMar>
        </w:tblPrEx>
        <w:trPr>
          <w:trHeight w:val="465" w:hRule="atLeast"/>
          <w:jc w:val="center"/>
        </w:trPr>
        <w:tc>
          <w:tcPr>
            <w:tcW w:w="202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含税合同金额大写</w:t>
            </w:r>
          </w:p>
        </w:tc>
        <w:tc>
          <w:tcPr>
            <w:tcW w:w="8863" w:type="dxa"/>
            <w:gridSpan w:val="11"/>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cs="Times New Roman"/>
                <w:b/>
                <w:bCs/>
                <w:kern w:val="0"/>
                <w:sz w:val="20"/>
                <w:szCs w:val="20"/>
              </w:rPr>
            </w:pPr>
          </w:p>
        </w:tc>
      </w:tr>
      <w:tr>
        <w:tblPrEx>
          <w:tblLayout w:type="fixed"/>
          <w:tblCellMar>
            <w:top w:w="0" w:type="dxa"/>
            <w:left w:w="108" w:type="dxa"/>
            <w:bottom w:w="0" w:type="dxa"/>
            <w:right w:w="108" w:type="dxa"/>
          </w:tblCellMar>
        </w:tblPrEx>
        <w:trPr>
          <w:trHeight w:val="465" w:hRule="atLeast"/>
          <w:jc w:val="center"/>
        </w:trPr>
        <w:tc>
          <w:tcPr>
            <w:tcW w:w="2024"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不含税合同金额大写</w:t>
            </w:r>
          </w:p>
        </w:tc>
        <w:tc>
          <w:tcPr>
            <w:tcW w:w="8863" w:type="dxa"/>
            <w:gridSpan w:val="11"/>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cs="Times New Roman"/>
                <w:b/>
                <w:bCs/>
                <w:kern w:val="0"/>
                <w:sz w:val="20"/>
                <w:szCs w:val="20"/>
              </w:rPr>
            </w:pPr>
          </w:p>
        </w:tc>
      </w:tr>
      <w:tr>
        <w:tblPrEx>
          <w:tblLayout w:type="fixed"/>
          <w:tblCellMar>
            <w:top w:w="0" w:type="dxa"/>
            <w:left w:w="108" w:type="dxa"/>
            <w:bottom w:w="0" w:type="dxa"/>
            <w:right w:w="108" w:type="dxa"/>
          </w:tblCellMar>
        </w:tblPrEx>
        <w:trPr>
          <w:trHeight w:val="2190" w:hRule="atLeast"/>
          <w:jc w:val="center"/>
        </w:trPr>
        <w:tc>
          <w:tcPr>
            <w:tcW w:w="2024"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备注</w:t>
            </w:r>
          </w:p>
        </w:tc>
        <w:tc>
          <w:tcPr>
            <w:tcW w:w="8863" w:type="dxa"/>
            <w:gridSpan w:val="11"/>
            <w:tcBorders>
              <w:top w:val="single" w:color="auto" w:sz="4" w:space="0"/>
              <w:left w:val="nil"/>
              <w:bottom w:val="single" w:color="auto" w:sz="4" w:space="0"/>
              <w:right w:val="single" w:color="000000" w:sz="4" w:space="0"/>
            </w:tcBorders>
            <w:noWrap w:val="0"/>
            <w:vAlign w:val="center"/>
          </w:tcPr>
          <w:p>
            <w:pPr>
              <w:widowControl/>
              <w:numPr>
                <w:ilvl w:val="0"/>
                <w:numId w:val="3"/>
              </w:numPr>
              <w:ind w:firstLine="405"/>
              <w:jc w:val="left"/>
              <w:rPr>
                <w:rFonts w:hint="default" w:ascii="Times New Roman" w:hAnsi="Times New Roman" w:eastAsia="宋体" w:cs="Times New Roman"/>
                <w:b/>
                <w:bCs/>
                <w:kern w:val="0"/>
                <w:sz w:val="20"/>
                <w:szCs w:val="20"/>
                <w:lang w:val="en-US" w:eastAsia="zh-CN"/>
              </w:rPr>
            </w:pPr>
            <w:r>
              <w:rPr>
                <w:rFonts w:hint="default" w:ascii="Times New Roman" w:hAnsi="Times New Roman" w:cs="Times New Roman"/>
                <w:b/>
                <w:bCs/>
                <w:kern w:val="0"/>
                <w:sz w:val="20"/>
                <w:szCs w:val="20"/>
              </w:rPr>
              <w:t>供货期限内，按购买方实际的需求量供货，并以实际验收入库物资数量乘以以上对应物资单价结算，交货时间和数量以购买方通知时间为准。</w:t>
            </w:r>
            <w:r>
              <w:rPr>
                <w:rFonts w:hint="default" w:ascii="Times New Roman" w:hAnsi="Times New Roman" w:cs="Times New Roman"/>
                <w:b/>
                <w:bCs/>
                <w:kern w:val="0"/>
                <w:sz w:val="20"/>
                <w:szCs w:val="20"/>
              </w:rPr>
              <w:br w:type="textWrapping"/>
            </w:r>
            <w:r>
              <w:rPr>
                <w:rFonts w:hint="default" w:ascii="Times New Roman" w:hAnsi="Times New Roman" w:cs="Times New Roman"/>
                <w:b/>
                <w:bCs/>
                <w:kern w:val="0"/>
                <w:sz w:val="20"/>
                <w:szCs w:val="20"/>
              </w:rPr>
              <w:t xml:space="preserve">    2、购买方订购销售方物资到厂验收合格后，检修期结束后或榨季期结束后有剩余未使用的物资需退还给销售方，所退物资必须全新未使用过，发货物流点由销售方指定，产生的运费需购买方承担。</w:t>
            </w:r>
            <w:r>
              <w:rPr>
                <w:rFonts w:hint="default" w:ascii="Times New Roman" w:hAnsi="Times New Roman" w:cs="Times New Roman"/>
                <w:b/>
                <w:bCs/>
                <w:kern w:val="0"/>
                <w:sz w:val="20"/>
                <w:szCs w:val="20"/>
              </w:rPr>
              <w:br w:type="textWrapping"/>
            </w:r>
            <w:r>
              <w:rPr>
                <w:rFonts w:hint="default" w:ascii="Times New Roman" w:hAnsi="Times New Roman" w:cs="Times New Roman"/>
                <w:b/>
                <w:bCs/>
                <w:kern w:val="0"/>
                <w:sz w:val="20"/>
                <w:szCs w:val="20"/>
              </w:rPr>
              <w:t xml:space="preserve">    3、购买方所订购的物资属非国标产品及按购买方要求加工的产品不能退货。</w:t>
            </w:r>
            <w:r>
              <w:rPr>
                <w:rFonts w:hint="default" w:ascii="Times New Roman" w:hAnsi="Times New Roman" w:cs="Times New Roman"/>
                <w:b/>
                <w:bCs/>
                <w:kern w:val="0"/>
                <w:sz w:val="20"/>
                <w:szCs w:val="20"/>
              </w:rPr>
              <w:br w:type="textWrapping"/>
            </w:r>
            <w:r>
              <w:rPr>
                <w:rFonts w:hint="default" w:ascii="Times New Roman" w:hAnsi="Times New Roman" w:cs="Times New Roman"/>
                <w:b/>
                <w:bCs/>
                <w:kern w:val="0"/>
                <w:sz w:val="20"/>
                <w:szCs w:val="20"/>
              </w:rPr>
              <w:t xml:space="preserve">    4、购买方所订购物资有保质期的，剩余保质期在1个月内的不能退货。</w:t>
            </w:r>
            <w:r>
              <w:rPr>
                <w:rFonts w:hint="default" w:ascii="Times New Roman" w:hAnsi="Times New Roman" w:cs="Times New Roman"/>
                <w:b/>
                <w:bCs/>
                <w:kern w:val="0"/>
                <w:sz w:val="20"/>
                <w:szCs w:val="20"/>
              </w:rPr>
              <w:br w:type="textWrapping"/>
            </w:r>
            <w:r>
              <w:rPr>
                <w:rFonts w:hint="default" w:ascii="Times New Roman" w:hAnsi="Times New Roman" w:cs="Times New Roman"/>
                <w:b/>
                <w:bCs/>
                <w:kern w:val="0"/>
                <w:sz w:val="20"/>
                <w:szCs w:val="20"/>
              </w:rPr>
              <w:t xml:space="preserve">    5、销售方发给购买方的物资若有保质期，原则上保质期必须在12个月以上，具体以物资的实际保质期时间长短为准。</w:t>
            </w:r>
          </w:p>
        </w:tc>
      </w:tr>
      <w:tr>
        <w:tblPrEx>
          <w:tblLayout w:type="fixed"/>
          <w:tblCellMar>
            <w:top w:w="0" w:type="dxa"/>
            <w:left w:w="108" w:type="dxa"/>
            <w:bottom w:w="0" w:type="dxa"/>
            <w:right w:w="108" w:type="dxa"/>
          </w:tblCellMar>
        </w:tblPrEx>
        <w:trPr>
          <w:trHeight w:val="315" w:hRule="atLeast"/>
          <w:jc w:val="center"/>
        </w:trPr>
        <w:tc>
          <w:tcPr>
            <w:tcW w:w="486" w:type="dxa"/>
            <w:tcBorders>
              <w:top w:val="nil"/>
              <w:left w:val="nil"/>
              <w:bottom w:val="nil"/>
              <w:right w:val="nil"/>
            </w:tcBorders>
            <w:noWrap w:val="0"/>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注</w:t>
            </w:r>
          </w:p>
        </w:tc>
        <w:tc>
          <w:tcPr>
            <w:tcW w:w="4746" w:type="dxa"/>
            <w:gridSpan w:val="3"/>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1、结算量根据采购方实际需求量结算</w:t>
            </w:r>
          </w:p>
        </w:tc>
        <w:tc>
          <w:tcPr>
            <w:tcW w:w="690" w:type="dxa"/>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600" w:type="dxa"/>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852" w:type="dxa"/>
            <w:gridSpan w:val="2"/>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843" w:type="dxa"/>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806" w:type="dxa"/>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1009" w:type="dxa"/>
            <w:gridSpan w:val="2"/>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855" w:type="dxa"/>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r>
      <w:tr>
        <w:tblPrEx>
          <w:tblLayout w:type="fixed"/>
          <w:tblCellMar>
            <w:top w:w="0" w:type="dxa"/>
            <w:left w:w="108" w:type="dxa"/>
            <w:bottom w:w="0" w:type="dxa"/>
            <w:right w:w="108" w:type="dxa"/>
          </w:tblCellMar>
        </w:tblPrEx>
        <w:trPr>
          <w:trHeight w:val="375" w:hRule="atLeast"/>
          <w:jc w:val="center"/>
        </w:trPr>
        <w:tc>
          <w:tcPr>
            <w:tcW w:w="486" w:type="dxa"/>
            <w:tcBorders>
              <w:top w:val="nil"/>
              <w:left w:val="nil"/>
              <w:bottom w:val="nil"/>
              <w:right w:val="nil"/>
            </w:tcBorders>
            <w:noWrap w:val="0"/>
            <w:vAlign w:val="center"/>
          </w:tcPr>
          <w:p>
            <w:pPr>
              <w:widowControl/>
              <w:jc w:val="center"/>
              <w:rPr>
                <w:rFonts w:hint="default" w:ascii="Times New Roman" w:hAnsi="Times New Roman" w:cs="Times New Roman"/>
                <w:kern w:val="0"/>
                <w:sz w:val="20"/>
                <w:szCs w:val="20"/>
              </w:rPr>
            </w:pPr>
          </w:p>
        </w:tc>
        <w:tc>
          <w:tcPr>
            <w:tcW w:w="6238" w:type="dxa"/>
            <w:gridSpan w:val="6"/>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2、合同期内超过合同量的供货，按合同同等价结算</w:t>
            </w:r>
          </w:p>
        </w:tc>
        <w:tc>
          <w:tcPr>
            <w:tcW w:w="650" w:type="dxa"/>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843" w:type="dxa"/>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1050" w:type="dxa"/>
            <w:gridSpan w:val="2"/>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765" w:type="dxa"/>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c>
          <w:tcPr>
            <w:tcW w:w="855" w:type="dxa"/>
            <w:tcBorders>
              <w:top w:val="nil"/>
              <w:left w:val="nil"/>
              <w:bottom w:val="nil"/>
              <w:right w:val="nil"/>
            </w:tcBorders>
            <w:noWrap w:val="0"/>
            <w:vAlign w:val="center"/>
          </w:tcPr>
          <w:p>
            <w:pPr>
              <w:widowControl/>
              <w:jc w:val="left"/>
              <w:rPr>
                <w:rFonts w:hint="default" w:ascii="Times New Roman" w:hAnsi="Times New Roman" w:cs="Times New Roman"/>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、廉洁承诺书：</w:t>
      </w:r>
    </w:p>
    <w:p>
      <w:pPr>
        <w:pStyle w:val="4"/>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仿宋" w:cs="Times New Roman"/>
          <w:b/>
          <w:bCs/>
          <w:snapToGrid w:val="0"/>
          <w:sz w:val="32"/>
          <w:szCs w:val="32"/>
          <w:lang w:eastAsia="zh-CN"/>
        </w:rPr>
      </w:pPr>
      <w:r>
        <w:rPr>
          <w:rFonts w:hint="default" w:ascii="Times New Roman" w:hAnsi="Times New Roman" w:eastAsia="仿宋" w:cs="Times New Roman"/>
          <w:bCs/>
          <w:snapToGrid w:val="0"/>
          <w:sz w:val="36"/>
          <w:szCs w:val="36"/>
          <w:lang w:eastAsia="zh-CN"/>
        </w:rPr>
        <w:t>廉洁承诺书</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 w:cs="Times New Roman"/>
          <w:lang w:eastAsia="zh-CN"/>
        </w:rPr>
      </w:pPr>
    </w:p>
    <w:p>
      <w:pPr>
        <w:keepNext w:val="0"/>
        <w:keepLines w:val="0"/>
        <w:pageBreakBefore w:val="0"/>
        <w:widowControl w:val="0"/>
        <w:kinsoku/>
        <w:wordWrap/>
        <w:overflowPunct/>
        <w:topLinePunct w:val="0"/>
        <w:autoSpaceDE/>
        <w:autoSpaceDN/>
        <w:bidi w:val="0"/>
        <w:adjustRightInd w:val="0"/>
        <w:snapToGrid/>
        <w:spacing w:before="240" w:line="560" w:lineRule="exact"/>
        <w:textAlignment w:val="auto"/>
        <w:rPr>
          <w:rFonts w:hint="default" w:ascii="Times New Roman" w:hAnsi="Times New Roman" w:eastAsia="仿宋" w:cs="Times New Roman"/>
          <w:sz w:val="30"/>
          <w:szCs w:val="30"/>
          <w:lang w:eastAsia="zh-CN"/>
        </w:rPr>
      </w:pPr>
      <w:r>
        <w:rPr>
          <w:rFonts w:hint="default" w:ascii="Times New Roman" w:hAnsi="Times New Roman" w:eastAsia="仿宋_GB2312" w:cs="Times New Roman"/>
          <w:color w:val="auto"/>
          <w:kern w:val="0"/>
          <w:sz w:val="32"/>
          <w:szCs w:val="32"/>
          <w:lang w:eastAsia="zh-CN"/>
        </w:rPr>
        <w:t>中粮屯河北海糖业有限公司：</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为积极配合贵公司进行的项目招标工作，有效遏制不公平竞争和违规违纪问题的发生，确保招标工作的公平、公正、公开，我们特向贵公司承诺如下事项：</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1.自觉遵守国家法律法规及中粮糖业公司有关廉政建设制度。</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2.不使用不正当手段妨碍、排挤其它投标单位或串通投标。</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3.按照招标文件规定的方式进行投标，不隐瞒本单位投标资质的真实情况，投标资质符合规定；保证不会以其他人名义投标或者以其他方式弄虚作假，骗取中标。</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4.不将主体、关键性工作进行分包（包括贴牌生产、转包等）。</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6.不向贵公司涉及招标的部门及个人支付好处费、介绍费；购置或提供通讯工具、交通工具、电脑等。</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7.一旦发现相关人员在招标过程中有索要财物等不廉洁行为，坚决予以抵制，并及时向贵公司纪检监察部举报。</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8.我方自愿将本承诺书作为投标文件及合同的附件，具有同等的法律效力。</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9.若违反上述承诺或违反有关法律法规及贵公司有关规定，我方自愿永久放弃参与贵公司的所有业务往来，并承担贵公司制度规定的一切法律责任。</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10.本承诺书自签署之日起生效。</w:t>
      </w:r>
    </w:p>
    <w:p>
      <w:pPr>
        <w:spacing w:line="560" w:lineRule="exact"/>
        <w:ind w:firstLine="602"/>
        <w:jc w:val="left"/>
        <w:rPr>
          <w:rFonts w:hint="default" w:ascii="Times New Roman" w:hAnsi="Times New Roman" w:eastAsia="仿宋_GB2312" w:cs="Times New Roman"/>
          <w:color w:val="auto"/>
          <w:kern w:val="0"/>
          <w:sz w:val="32"/>
          <w:szCs w:val="32"/>
          <w:lang w:eastAsia="zh-CN"/>
        </w:rPr>
      </w:pP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投标单位（公章）：</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法定代表人或授权代理人（签名）：</w:t>
      </w:r>
    </w:p>
    <w:p>
      <w:pPr>
        <w:spacing w:line="560" w:lineRule="exact"/>
        <w:ind w:firstLine="602"/>
        <w:jc w:val="left"/>
        <w:rPr>
          <w:rFonts w:hint="default" w:ascii="Times New Roman" w:hAnsi="Times New Roman" w:eastAsia="仿宋_GB2312" w:cs="Times New Roman"/>
          <w:color w:val="auto"/>
          <w:kern w:val="0"/>
          <w:sz w:val="32"/>
          <w:szCs w:val="32"/>
          <w:lang w:eastAsia="zh-CN"/>
        </w:rPr>
      </w:pPr>
    </w:p>
    <w:p>
      <w:pPr>
        <w:spacing w:line="560" w:lineRule="exact"/>
        <w:ind w:firstLine="602"/>
        <w:jc w:val="left"/>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日期：   年  月  日</w:t>
      </w:r>
    </w:p>
    <w:p>
      <w:pPr>
        <w:spacing w:line="560" w:lineRule="exact"/>
        <w:ind w:firstLine="602"/>
        <w:jc w:val="left"/>
        <w:rPr>
          <w:rFonts w:hint="default" w:ascii="Times New Roman" w:hAnsi="Times New Roman" w:eastAsia="仿宋_GB2312" w:cs="Times New Roman"/>
          <w:color w:val="auto"/>
          <w:kern w:val="0"/>
          <w:sz w:val="32"/>
          <w:szCs w:val="32"/>
          <w:lang w:val="zh-CN" w:eastAsia="zh-CN"/>
        </w:rPr>
      </w:pPr>
      <w:r>
        <w:rPr>
          <w:rFonts w:hint="eastAsia" w:ascii="黑体" w:hAnsi="黑体" w:eastAsia="黑体" w:cs="黑体"/>
          <w:b w:val="0"/>
          <w:bCs w:val="0"/>
          <w:color w:val="auto"/>
          <w:kern w:val="0"/>
          <w:sz w:val="32"/>
          <w:szCs w:val="32"/>
          <w:lang w:val="en-US" w:eastAsia="zh-CN"/>
        </w:rPr>
        <w:t>十、</w:t>
      </w:r>
      <w:r>
        <w:rPr>
          <w:rFonts w:hint="eastAsia" w:ascii="黑体" w:hAnsi="黑体" w:eastAsia="黑体" w:cs="黑体"/>
          <w:b w:val="0"/>
          <w:bCs w:val="0"/>
          <w:color w:val="auto"/>
          <w:kern w:val="0"/>
          <w:sz w:val="32"/>
          <w:szCs w:val="32"/>
          <w:lang w:val="zh-CN" w:eastAsia="zh-CN"/>
        </w:rPr>
        <w:t>监督联络方式</w:t>
      </w:r>
      <w:r>
        <w:rPr>
          <w:rFonts w:hint="default" w:ascii="Times New Roman" w:hAnsi="Times New Roman" w:eastAsia="仿宋_GB2312" w:cs="Times New Roman"/>
          <w:color w:val="auto"/>
          <w:kern w:val="0"/>
          <w:sz w:val="32"/>
          <w:szCs w:val="32"/>
          <w:lang w:val="zh-CN" w:eastAsia="zh-CN"/>
        </w:rPr>
        <w:t>：</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中粮糖业纪委联系方式：办公电话  010-85017235</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通信地址：北京市朝阳区朝阳门南大街8号中粮福临门大厦9层905房间，中粮糖业纪委办公室收，邮编100020。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望予以最优惠报价为盼。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顺祝商琪！ </w:t>
      </w:r>
    </w:p>
    <w:p>
      <w:pPr>
        <w:pStyle w:val="2"/>
        <w:rPr>
          <w:rFonts w:hint="default" w:ascii="Times New Roman" w:hAnsi="Times New Roman" w:eastAsia="仿宋" w:cs="Times New Roman"/>
          <w:sz w:val="32"/>
          <w:szCs w:val="32"/>
        </w:rPr>
      </w:pPr>
    </w:p>
    <w:p>
      <w:pPr>
        <w:pStyle w:val="3"/>
        <w:rPr>
          <w:rFonts w:hint="default" w:ascii="Times New Roman" w:hAnsi="Times New Roman" w:eastAsia="仿宋" w:cs="Times New Roman"/>
          <w:sz w:val="32"/>
          <w:szCs w:val="32"/>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中粮屯河北海糖业有限公司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w:t>
      </w:r>
      <w:r>
        <w:rPr>
          <w:rFonts w:hint="eastAsia" w:eastAsia="仿宋" w:cs="Times New Roman"/>
          <w:sz w:val="32"/>
          <w:szCs w:val="32"/>
          <w:lang w:val="en-US" w:eastAsia="zh-CN"/>
        </w:rPr>
        <w:t>8</w:t>
      </w:r>
      <w:r>
        <w:rPr>
          <w:rFonts w:hint="default" w:ascii="Times New Roman" w:hAnsi="Times New Roman" w:eastAsia="仿宋" w:cs="Times New Roman"/>
          <w:sz w:val="32"/>
          <w:szCs w:val="32"/>
        </w:rPr>
        <w:t>月</w:t>
      </w:r>
      <w:r>
        <w:rPr>
          <w:rFonts w:hint="eastAsia" w:eastAsia="仿宋" w:cs="Times New Roman"/>
          <w:sz w:val="32"/>
          <w:szCs w:val="32"/>
          <w:lang w:val="en-US" w:eastAsia="zh-CN"/>
        </w:rPr>
        <w:t>2</w:t>
      </w:r>
      <w:r>
        <w:rPr>
          <w:rFonts w:hint="default" w:ascii="Times New Roman" w:hAnsi="Times New Roman" w:eastAsia="仿宋" w:cs="Times New Roman"/>
          <w:sz w:val="32"/>
          <w:szCs w:val="32"/>
        </w:rPr>
        <w:t>日</w:t>
      </w:r>
    </w:p>
    <w:sectPr>
      <w:footerReference r:id="rId3" w:type="default"/>
      <w:pgSz w:w="11906" w:h="16838"/>
      <w:pgMar w:top="651" w:right="1304" w:bottom="1134" w:left="1304"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eastAsia="仿宋_GB2312"/>
        <w:sz w:val="24"/>
      </w:rPr>
    </w:pPr>
    <w:r>
      <w:rPr>
        <w:rFonts w:hint="eastAsia" w:eastAsia="仿宋_GB2312"/>
        <w:kern w:val="0"/>
        <w:sz w:val="24"/>
        <w:szCs w:val="21"/>
      </w:rPr>
      <w:t xml:space="preserve">第 </w:t>
    </w:r>
    <w:r>
      <w:rPr>
        <w:rFonts w:eastAsia="仿宋_GB2312"/>
        <w:kern w:val="0"/>
        <w:sz w:val="24"/>
        <w:szCs w:val="21"/>
      </w:rPr>
      <w:fldChar w:fldCharType="begin"/>
    </w:r>
    <w:r>
      <w:rPr>
        <w:rFonts w:eastAsia="仿宋_GB2312"/>
        <w:kern w:val="0"/>
        <w:sz w:val="24"/>
        <w:szCs w:val="21"/>
      </w:rPr>
      <w:instrText xml:space="preserve"> PAGE </w:instrText>
    </w:r>
    <w:r>
      <w:rPr>
        <w:rFonts w:eastAsia="仿宋_GB2312"/>
        <w:kern w:val="0"/>
        <w:sz w:val="24"/>
        <w:szCs w:val="21"/>
      </w:rPr>
      <w:fldChar w:fldCharType="separate"/>
    </w:r>
    <w:r>
      <w:rPr>
        <w:rFonts w:eastAsia="仿宋_GB2312"/>
        <w:kern w:val="0"/>
        <w:sz w:val="24"/>
        <w:szCs w:val="21"/>
      </w:rPr>
      <w:t>1</w:t>
    </w:r>
    <w:r>
      <w:rPr>
        <w:rFonts w:eastAsia="仿宋_GB2312"/>
        <w:kern w:val="0"/>
        <w:sz w:val="24"/>
        <w:szCs w:val="21"/>
      </w:rPr>
      <w:fldChar w:fldCharType="end"/>
    </w:r>
    <w:r>
      <w:rPr>
        <w:rFonts w:hint="eastAsia" w:eastAsia="仿宋_GB2312"/>
        <w:kern w:val="0"/>
        <w:sz w:val="24"/>
        <w:szCs w:val="21"/>
      </w:rPr>
      <w:t xml:space="preserve"> 页</w:t>
    </w:r>
    <w:r>
      <w:rPr>
        <w:rFonts w:hint="eastAsia" w:eastAsia="仿宋_GB2312"/>
        <w:kern w:val="0"/>
        <w:sz w:val="24"/>
        <w:szCs w:val="21"/>
        <w:lang w:eastAsia="zh-CN"/>
      </w:rPr>
      <w:t>，</w:t>
    </w:r>
    <w:r>
      <w:rPr>
        <w:rFonts w:hint="eastAsia" w:eastAsia="仿宋_GB2312"/>
        <w:kern w:val="0"/>
        <w:sz w:val="24"/>
        <w:szCs w:val="21"/>
      </w:rPr>
      <w:t xml:space="preserve">共 </w:t>
    </w:r>
    <w:r>
      <w:rPr>
        <w:rFonts w:eastAsia="仿宋_GB2312"/>
        <w:kern w:val="0"/>
        <w:sz w:val="24"/>
        <w:szCs w:val="21"/>
      </w:rPr>
      <w:fldChar w:fldCharType="begin"/>
    </w:r>
    <w:r>
      <w:rPr>
        <w:rFonts w:eastAsia="仿宋_GB2312"/>
        <w:kern w:val="0"/>
        <w:sz w:val="24"/>
        <w:szCs w:val="21"/>
      </w:rPr>
      <w:instrText xml:space="preserve"> NUMPAGES </w:instrText>
    </w:r>
    <w:r>
      <w:rPr>
        <w:rFonts w:eastAsia="仿宋_GB2312"/>
        <w:kern w:val="0"/>
        <w:sz w:val="24"/>
        <w:szCs w:val="21"/>
      </w:rPr>
      <w:fldChar w:fldCharType="separate"/>
    </w:r>
    <w:r>
      <w:rPr>
        <w:rFonts w:eastAsia="仿宋_GB2312"/>
        <w:kern w:val="0"/>
        <w:sz w:val="24"/>
        <w:szCs w:val="21"/>
      </w:rPr>
      <w:t>1</w:t>
    </w:r>
    <w:r>
      <w:rPr>
        <w:rFonts w:eastAsia="仿宋_GB2312"/>
        <w:kern w:val="0"/>
        <w:sz w:val="24"/>
        <w:szCs w:val="21"/>
      </w:rPr>
      <w:fldChar w:fldCharType="end"/>
    </w:r>
    <w:r>
      <w:rPr>
        <w:rFonts w:hint="eastAsia" w:eastAsia="仿宋_GB2312"/>
        <w:kern w:val="0"/>
        <w:sz w:val="24"/>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F082D"/>
    <w:multiLevelType w:val="multilevel"/>
    <w:tmpl w:val="2E1F082D"/>
    <w:lvl w:ilvl="0" w:tentative="0">
      <w:start w:val="1"/>
      <w:numFmt w:val="japaneseCounting"/>
      <w:lvlText w:val="第%1条"/>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DA9E84"/>
    <w:multiLevelType w:val="singleLevel"/>
    <w:tmpl w:val="58DA9E84"/>
    <w:lvl w:ilvl="0" w:tentative="0">
      <w:start w:val="1"/>
      <w:numFmt w:val="decimal"/>
      <w:suff w:val="nothing"/>
      <w:lvlText w:val="%1、"/>
      <w:lvlJc w:val="left"/>
    </w:lvl>
  </w:abstractNum>
  <w:abstractNum w:abstractNumId="2">
    <w:nsid w:val="7D56C30F"/>
    <w:multiLevelType w:val="singleLevel"/>
    <w:tmpl w:val="7D56C30F"/>
    <w:lvl w:ilvl="0" w:tentative="0">
      <w:start w:val="3"/>
      <w:numFmt w:val="chineseCounting"/>
      <w:suff w:val="nothing"/>
      <w:lvlText w:val="%1、"/>
      <w:lvlJc w:val="left"/>
      <w:rPr>
        <w:rFonts w:hint="eastAsia" w:ascii="黑体" w:hAnsi="黑体" w:eastAsia="黑体" w:cs="黑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47E27"/>
    <w:rsid w:val="07CC22E2"/>
    <w:rsid w:val="1E231741"/>
    <w:rsid w:val="3DDB7984"/>
    <w:rsid w:val="40C2755B"/>
    <w:rsid w:val="55DB05F7"/>
    <w:rsid w:val="72C90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outlineLvl w:val="1"/>
    </w:pPr>
    <w:rPr>
      <w:sz w:val="40"/>
      <w:szCs w:val="40"/>
    </w:rPr>
  </w:style>
  <w:style w:type="paragraph" w:styleId="3">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rPr>
  </w:style>
  <w:style w:type="paragraph" w:styleId="5">
    <w:name w:val="Body Text"/>
    <w:basedOn w:val="1"/>
    <w:qFormat/>
    <w:uiPriority w:val="0"/>
    <w:pPr>
      <w:autoSpaceDE w:val="0"/>
      <w:autoSpaceDN w:val="0"/>
      <w:adjustRightInd w:val="0"/>
    </w:pPr>
    <w:rPr>
      <w:rFonts w:eastAsia="仿宋_GB2312"/>
      <w:b/>
      <w:bCs/>
      <w:color w:val="FF3300"/>
      <w:sz w:val="40"/>
      <w:szCs w:val="40"/>
      <w:lang w:val="zh-CN"/>
    </w:rPr>
  </w:style>
  <w:style w:type="paragraph" w:styleId="6">
    <w:name w:val="Body Text Indent"/>
    <w:basedOn w:val="1"/>
    <w:qFormat/>
    <w:uiPriority w:val="0"/>
    <w:pPr>
      <w:spacing w:line="500" w:lineRule="exact"/>
      <w:ind w:firstLine="640" w:firstLineChars="200"/>
    </w:pPr>
    <w:rPr>
      <w:rFonts w:eastAsia="仿宋_GB2312"/>
      <w:sz w:val="32"/>
    </w:rPr>
  </w:style>
  <w:style w:type="paragraph" w:styleId="7">
    <w:name w:val="Body Text Indent 2"/>
    <w:basedOn w:val="1"/>
    <w:qFormat/>
    <w:uiPriority w:val="0"/>
    <w:pPr>
      <w:spacing w:line="460" w:lineRule="exact"/>
      <w:ind w:firstLine="600" w:firstLineChars="200"/>
    </w:pPr>
    <w:rPr>
      <w:rFonts w:eastAsia="仿宋_GB2312"/>
      <w:sz w:val="3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2023-07-30T15:51:00Z</dcterms:created>
  <dc:creator>Administrator</dc:creator>
  <cp:lastModifiedBy>WPS_1678683748</cp:lastModifiedBy>
  <dcterms:modified xsi:type="dcterms:W3CDTF">2023-08-01T16:30:28Z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