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rPr>
      </w:pPr>
      <w:r>
        <w:rPr>
          <w:rFonts w:hint="default" w:ascii="Times New Roman" w:hAnsi="Times New Roman" w:eastAsia="黑体" w:cs="Times New Roman"/>
          <w:sz w:val="32"/>
        </w:rPr>
        <w:t>中粮屯河</w:t>
      </w:r>
      <w:r>
        <w:rPr>
          <w:rFonts w:hint="default" w:ascii="Times New Roman" w:hAnsi="Times New Roman" w:eastAsia="黑体" w:cs="Times New Roman"/>
          <w:sz w:val="32"/>
          <w:lang w:val="en-US" w:eastAsia="zh-CN"/>
        </w:rPr>
        <w:t xml:space="preserve"> </w:t>
      </w:r>
      <w:r>
        <w:rPr>
          <w:rFonts w:hint="default" w:ascii="Times New Roman" w:hAnsi="Times New Roman" w:eastAsia="黑体" w:cs="Times New Roman"/>
          <w:sz w:val="32"/>
        </w:rPr>
        <w:t>北海糖业</w:t>
      </w:r>
    </w:p>
    <w:tbl>
      <w:tblPr>
        <w:tblStyle w:val="10"/>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传真Fax: 0779-860</w:t>
            </w:r>
            <w:r>
              <w:rPr>
                <w:rFonts w:hint="default" w:ascii="Times New Roman" w:hAnsi="Times New Roman" w:eastAsia="黑体" w:cs="Times New Roman"/>
                <w:sz w:val="24"/>
                <w:lang w:val="en-US" w:eastAsia="zh-CN"/>
              </w:rPr>
              <w:t>7920</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r>
              <w:rPr>
                <w:rFonts w:hint="eastAsia"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3</w:t>
            </w:r>
            <w:r>
              <w:rPr>
                <w:rFonts w:hint="default" w:ascii="Times New Roman" w:hAnsi="Times New Roman" w:eastAsia="黑体" w:cs="Times New Roman"/>
                <w:sz w:val="24"/>
                <w:lang w:eastAsia="zh-CN"/>
              </w:rPr>
              <w:t>年</w:t>
            </w:r>
            <w:r>
              <w:rPr>
                <w:rFonts w:hint="eastAsia" w:eastAsia="黑体" w:cs="Times New Roman"/>
                <w:sz w:val="24"/>
                <w:lang w:val="en-US" w:eastAsia="zh-CN"/>
              </w:rPr>
              <w:t>8</w:t>
            </w:r>
            <w:r>
              <w:rPr>
                <w:rFonts w:hint="default" w:ascii="Times New Roman" w:hAnsi="Times New Roman" w:eastAsia="黑体" w:cs="Times New Roman"/>
                <w:sz w:val="24"/>
                <w:lang w:eastAsia="zh-CN"/>
              </w:rPr>
              <w:t>月</w:t>
            </w:r>
            <w:r>
              <w:rPr>
                <w:rFonts w:hint="eastAsia" w:eastAsia="黑体" w:cs="Times New Roman"/>
                <w:sz w:val="24"/>
                <w:lang w:val="en-US" w:eastAsia="zh-CN"/>
              </w:rPr>
              <w:t>22</w:t>
            </w:r>
            <w:bookmarkStart w:id="0" w:name="_GoBack"/>
            <w:bookmarkEnd w:id="0"/>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我公司将对202308中粮屯河北海糖业工厂自动装包机配件等物资询价项目进行询比采购，请各供应商根据项目要求进行报名报价。具体要求如下：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spacing w:line="560" w:lineRule="exact"/>
        <w:ind w:firstLine="602"/>
        <w:jc w:val="left"/>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kern w:val="0"/>
          <w:sz w:val="24"/>
          <w:szCs w:val="24"/>
          <w:lang w:eastAsia="zh-CN"/>
        </w:rPr>
        <w:t>https://eps.tunhe.com/Supplier/ForeSupplier/QwRegStepStart</w:t>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0"/>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Z6800069934</w:t>
            </w:r>
          </w:p>
        </w:tc>
        <w:tc>
          <w:tcPr>
            <w:tcW w:w="2340" w:type="dxa"/>
            <w:vAlign w:val="bottom"/>
          </w:tcPr>
          <w:p>
            <w:pPr>
              <w:keepNext w:val="0"/>
              <w:keepLines w:val="0"/>
              <w:widowControl/>
              <w:suppressLineNumbers w:val="0"/>
              <w:jc w:val="left"/>
              <w:textAlignment w:val="bottom"/>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自动装包机 PZBX-800 升降撑袋杆 IGF800-04-14-10</w:t>
            </w:r>
          </w:p>
        </w:tc>
        <w:tc>
          <w:tcPr>
            <w:tcW w:w="675" w:type="dxa"/>
            <w:vAlign w:val="bottom"/>
          </w:tcPr>
          <w:p>
            <w:pPr>
              <w:keepNext w:val="0"/>
              <w:keepLines w:val="0"/>
              <w:widowControl/>
              <w:suppressLineNumbers w:val="0"/>
              <w:jc w:val="right"/>
              <w:textAlignment w:val="bottom"/>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2</w:t>
            </w:r>
          </w:p>
        </w:tc>
        <w:tc>
          <w:tcPr>
            <w:tcW w:w="810"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547"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Z6800069938</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自动装包机 PZBX-800 升降撑袋支架 IGF800-04-14-01-00</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810" w:type="dxa"/>
            <w:vAlign w:val="bottom"/>
          </w:tcPr>
          <w:p>
            <w:pPr>
              <w:keepNext w:val="0"/>
              <w:keepLines w:val="0"/>
              <w:widowControl/>
              <w:suppressLineNumbers w:val="0"/>
              <w:jc w:val="left"/>
              <w:textAlignment w:val="bottom"/>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w:t>
            </w:r>
          </w:p>
        </w:tc>
        <w:tc>
          <w:tcPr>
            <w:tcW w:w="1547"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Z6800069937</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自动装包机 PZBX-800 导向轴 IGF800-02-03-08-01</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810" w:type="dxa"/>
            <w:vAlign w:val="bottom"/>
          </w:tcPr>
          <w:p>
            <w:pPr>
              <w:keepNext w:val="0"/>
              <w:keepLines w:val="0"/>
              <w:widowControl/>
              <w:suppressLineNumbers w:val="0"/>
              <w:jc w:val="left"/>
              <w:textAlignment w:val="bottom"/>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4</w:t>
            </w:r>
          </w:p>
        </w:tc>
        <w:tc>
          <w:tcPr>
            <w:tcW w:w="1547"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Z6800066101</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自动装包机 PZBX-800 拉杆组件 IGF800-04-13-00</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810" w:type="dxa"/>
            <w:vAlign w:val="bottom"/>
          </w:tcPr>
          <w:p>
            <w:pPr>
              <w:keepNext w:val="0"/>
              <w:keepLines w:val="0"/>
              <w:widowControl/>
              <w:suppressLineNumbers w:val="0"/>
              <w:jc w:val="left"/>
              <w:textAlignment w:val="bottom"/>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5</w:t>
            </w:r>
          </w:p>
        </w:tc>
        <w:tc>
          <w:tcPr>
            <w:tcW w:w="1547"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Z6800066343</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电子开关 光电开关 PLOIR2M-BS18-VP6X2E</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810" w:type="dxa"/>
            <w:vAlign w:val="bottom"/>
          </w:tcPr>
          <w:p>
            <w:pPr>
              <w:keepNext w:val="0"/>
              <w:keepLines w:val="0"/>
              <w:widowControl/>
              <w:suppressLineNumbers w:val="0"/>
              <w:jc w:val="left"/>
              <w:textAlignment w:val="bottom"/>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6</w:t>
            </w:r>
          </w:p>
        </w:tc>
        <w:tc>
          <w:tcPr>
            <w:tcW w:w="1547"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Z6800032207</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码垛机器人抓手 PYM-200</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810" w:type="dxa"/>
            <w:vAlign w:val="bottom"/>
          </w:tcPr>
          <w:p>
            <w:pPr>
              <w:keepNext w:val="0"/>
              <w:keepLines w:val="0"/>
              <w:widowControl/>
              <w:suppressLineNumbers w:val="0"/>
              <w:jc w:val="left"/>
              <w:textAlignment w:val="bottom"/>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7</w:t>
            </w:r>
          </w:p>
        </w:tc>
        <w:tc>
          <w:tcPr>
            <w:tcW w:w="1547"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Z6800066967</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气缸 PB804 63*60S</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810" w:type="dxa"/>
            <w:vAlign w:val="bottom"/>
          </w:tcPr>
          <w:p>
            <w:pPr>
              <w:keepNext w:val="0"/>
              <w:keepLines w:val="0"/>
              <w:widowControl/>
              <w:suppressLineNumbers w:val="0"/>
              <w:jc w:val="left"/>
              <w:textAlignment w:val="bottom"/>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8</w:t>
            </w:r>
          </w:p>
        </w:tc>
        <w:tc>
          <w:tcPr>
            <w:tcW w:w="1547"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Z6800066952</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气缸 PB804 50*40SB</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810" w:type="dxa"/>
            <w:vAlign w:val="bottom"/>
          </w:tcPr>
          <w:p>
            <w:pPr>
              <w:keepNext w:val="0"/>
              <w:keepLines w:val="0"/>
              <w:widowControl/>
              <w:suppressLineNumbers w:val="0"/>
              <w:jc w:val="left"/>
              <w:textAlignment w:val="bottom"/>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w:t>
            </w:r>
          </w:p>
        </w:tc>
        <w:tc>
          <w:tcPr>
            <w:tcW w:w="1547"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Z6800066964</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气缸 PB804 25*25SCA</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810" w:type="dxa"/>
            <w:vAlign w:val="bottom"/>
          </w:tcPr>
          <w:p>
            <w:pPr>
              <w:keepNext w:val="0"/>
              <w:keepLines w:val="0"/>
              <w:widowControl/>
              <w:suppressLineNumbers w:val="0"/>
              <w:jc w:val="left"/>
              <w:textAlignment w:val="bottom"/>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10</w:t>
            </w:r>
          </w:p>
        </w:tc>
        <w:tc>
          <w:tcPr>
            <w:tcW w:w="1547"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Z6800066966</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气缸 PB806 32*125S</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810" w:type="dxa"/>
            <w:vAlign w:val="bottom"/>
          </w:tcPr>
          <w:p>
            <w:pPr>
              <w:keepNext w:val="0"/>
              <w:keepLines w:val="0"/>
              <w:widowControl/>
              <w:suppressLineNumbers w:val="0"/>
              <w:jc w:val="left"/>
              <w:textAlignment w:val="bottom"/>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11</w:t>
            </w:r>
          </w:p>
        </w:tc>
        <w:tc>
          <w:tcPr>
            <w:tcW w:w="1547"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Z6800066957</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气缸 PB803 25*30SCA</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810" w:type="dxa"/>
            <w:vAlign w:val="bottom"/>
          </w:tcPr>
          <w:p>
            <w:pPr>
              <w:keepNext w:val="0"/>
              <w:keepLines w:val="0"/>
              <w:widowControl/>
              <w:suppressLineNumbers w:val="0"/>
              <w:jc w:val="left"/>
              <w:textAlignment w:val="bottom"/>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12</w:t>
            </w:r>
          </w:p>
        </w:tc>
        <w:tc>
          <w:tcPr>
            <w:tcW w:w="1547"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Z6800066959</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气缸 PB803 25*80SCA</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810" w:type="dxa"/>
            <w:vAlign w:val="bottom"/>
          </w:tcPr>
          <w:p>
            <w:pPr>
              <w:keepNext w:val="0"/>
              <w:keepLines w:val="0"/>
              <w:widowControl/>
              <w:suppressLineNumbers w:val="0"/>
              <w:jc w:val="left"/>
              <w:textAlignment w:val="bottom"/>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13</w:t>
            </w:r>
          </w:p>
        </w:tc>
        <w:tc>
          <w:tcPr>
            <w:tcW w:w="1547"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Z6800066955</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气缸 PB802 25*50SCA</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810" w:type="dxa"/>
            <w:vAlign w:val="bottom"/>
          </w:tcPr>
          <w:p>
            <w:pPr>
              <w:keepNext w:val="0"/>
              <w:keepLines w:val="0"/>
              <w:widowControl/>
              <w:suppressLineNumbers w:val="0"/>
              <w:jc w:val="left"/>
              <w:textAlignment w:val="bottom"/>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14</w:t>
            </w:r>
          </w:p>
        </w:tc>
        <w:tc>
          <w:tcPr>
            <w:tcW w:w="1547"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Z6800066958</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气缸 PB803 25*160SCA</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810" w:type="dxa"/>
            <w:vAlign w:val="bottom"/>
          </w:tcPr>
          <w:p>
            <w:pPr>
              <w:keepNext w:val="0"/>
              <w:keepLines w:val="0"/>
              <w:widowControl/>
              <w:suppressLineNumbers w:val="0"/>
              <w:jc w:val="left"/>
              <w:textAlignment w:val="bottom"/>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15</w:t>
            </w:r>
          </w:p>
        </w:tc>
        <w:tc>
          <w:tcPr>
            <w:tcW w:w="1547"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Z6800066965</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气缸 PB801 50*250S</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810" w:type="dxa"/>
            <w:vAlign w:val="bottom"/>
          </w:tcPr>
          <w:p>
            <w:pPr>
              <w:keepNext w:val="0"/>
              <w:keepLines w:val="0"/>
              <w:widowControl/>
              <w:suppressLineNumbers w:val="0"/>
              <w:jc w:val="left"/>
              <w:textAlignment w:val="bottom"/>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16</w:t>
            </w:r>
          </w:p>
        </w:tc>
        <w:tc>
          <w:tcPr>
            <w:tcW w:w="1547"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Z6800066963</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气缸 PB802 32*400S</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810" w:type="dxa"/>
            <w:vAlign w:val="bottom"/>
          </w:tcPr>
          <w:p>
            <w:pPr>
              <w:keepNext w:val="0"/>
              <w:keepLines w:val="0"/>
              <w:widowControl/>
              <w:suppressLineNumbers w:val="0"/>
              <w:jc w:val="left"/>
              <w:textAlignment w:val="bottom"/>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17</w:t>
            </w:r>
          </w:p>
        </w:tc>
        <w:tc>
          <w:tcPr>
            <w:tcW w:w="1547"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Z6800070401</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气缸 PB803 50*30</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810" w:type="dxa"/>
            <w:vAlign w:val="bottom"/>
          </w:tcPr>
          <w:p>
            <w:pPr>
              <w:keepNext w:val="0"/>
              <w:keepLines w:val="0"/>
              <w:widowControl/>
              <w:suppressLineNumbers w:val="0"/>
              <w:jc w:val="left"/>
              <w:textAlignment w:val="bottom"/>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18</w:t>
            </w:r>
          </w:p>
        </w:tc>
        <w:tc>
          <w:tcPr>
            <w:tcW w:w="1547"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Z6800069551</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分离机 PLL-1400 筛网 0.06*68° 厚0.38mm 不锈钢316L</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810" w:type="dxa"/>
            <w:vAlign w:val="bottom"/>
          </w:tcPr>
          <w:p>
            <w:pPr>
              <w:keepNext w:val="0"/>
              <w:keepLines w:val="0"/>
              <w:widowControl/>
              <w:suppressLineNumbers w:val="0"/>
              <w:jc w:val="left"/>
              <w:textAlignment w:val="bottom"/>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SET</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19</w:t>
            </w:r>
          </w:p>
        </w:tc>
        <w:tc>
          <w:tcPr>
            <w:tcW w:w="1547"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Z6800070622</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分离机 PLX-1500 视镜 356*108*5</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810" w:type="dxa"/>
            <w:vAlign w:val="bottom"/>
          </w:tcPr>
          <w:p>
            <w:pPr>
              <w:keepNext w:val="0"/>
              <w:keepLines w:val="0"/>
              <w:widowControl/>
              <w:suppressLineNumbers w:val="0"/>
              <w:jc w:val="left"/>
              <w:textAlignment w:val="bottom"/>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w:t>
            </w:r>
          </w:p>
        </w:tc>
        <w:tc>
          <w:tcPr>
            <w:tcW w:w="1547"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Z6800045844</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分蜜机 PLX-1500 探料拉簧 L32.8</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810" w:type="dxa"/>
            <w:vAlign w:val="bottom"/>
          </w:tcPr>
          <w:p>
            <w:pPr>
              <w:keepNext w:val="0"/>
              <w:keepLines w:val="0"/>
              <w:widowControl/>
              <w:suppressLineNumbers w:val="0"/>
              <w:jc w:val="left"/>
              <w:textAlignment w:val="bottom"/>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21</w:t>
            </w:r>
          </w:p>
        </w:tc>
        <w:tc>
          <w:tcPr>
            <w:tcW w:w="1547"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Z6800045846</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分蜜机 PLX-1500 下阀板橡胶垫 230*370*6</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810" w:type="dxa"/>
            <w:vAlign w:val="bottom"/>
          </w:tcPr>
          <w:p>
            <w:pPr>
              <w:keepNext w:val="0"/>
              <w:keepLines w:val="0"/>
              <w:widowControl/>
              <w:suppressLineNumbers w:val="0"/>
              <w:jc w:val="left"/>
              <w:textAlignment w:val="bottom"/>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22</w:t>
            </w:r>
          </w:p>
        </w:tc>
        <w:tc>
          <w:tcPr>
            <w:tcW w:w="1547"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Z6800070019</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分蜜机 PLX-1500 卸料气缸密封组件</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810" w:type="dxa"/>
            <w:vAlign w:val="bottom"/>
          </w:tcPr>
          <w:p>
            <w:pPr>
              <w:keepNext w:val="0"/>
              <w:keepLines w:val="0"/>
              <w:widowControl/>
              <w:suppressLineNumbers w:val="0"/>
              <w:jc w:val="left"/>
              <w:textAlignment w:val="bottom"/>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SET</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23</w:t>
            </w:r>
          </w:p>
        </w:tc>
        <w:tc>
          <w:tcPr>
            <w:tcW w:w="1547"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Z6800043974</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气缸 KCDG1BN32-25A</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810" w:type="dxa"/>
            <w:vAlign w:val="bottom"/>
          </w:tcPr>
          <w:p>
            <w:pPr>
              <w:keepNext w:val="0"/>
              <w:keepLines w:val="0"/>
              <w:widowControl/>
              <w:suppressLineNumbers w:val="0"/>
              <w:jc w:val="left"/>
              <w:textAlignment w:val="bottom"/>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7"/>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spacing w:line="560" w:lineRule="exact"/>
        <w:ind w:firstLine="602"/>
        <w:jc w:val="left"/>
        <w:rPr>
          <w:rFonts w:hint="default"/>
          <w:lang w:val="en-US"/>
        </w:rPr>
      </w:pPr>
      <w:r>
        <w:rPr>
          <w:rFonts w:hint="default" w:ascii="Times New Roman" w:hAnsi="Times New Roman" w:eastAsia="黑体" w:cs="Times New Roman"/>
          <w:sz w:val="32"/>
          <w:szCs w:val="32"/>
        </w:rPr>
        <w:t>三、报价要求：</w:t>
      </w:r>
      <w:r>
        <w:rPr>
          <w:rFonts w:hint="eastAsia" w:eastAsia="仿宋_GB2312" w:cs="Times New Roman"/>
          <w:color w:val="auto"/>
          <w:kern w:val="0"/>
          <w:sz w:val="32"/>
          <w:szCs w:val="32"/>
          <w:lang w:val="en-US" w:eastAsia="zh-CN"/>
        </w:rPr>
        <w:t>产品符合国标，符合企标，但企标要高于国标</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北海市铁山港区南康镇富康路166号中粮屯河北海糖业有限公司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本次采购工作，在满足采购方需求的前提下坚持“同质比价、同价比质、同质同价比服务”。低价授标。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r>
        <w:rPr>
          <w:rFonts w:hint="default" w:ascii="Times New Roman" w:hAnsi="Times New Roman" w:eastAsia="仿宋_GB2312" w:cs="Times New Roman"/>
          <w:color w:val="auto"/>
          <w:kern w:val="0"/>
          <w:sz w:val="32"/>
          <w:szCs w:val="32"/>
          <w:lang w:eastAsia="zh-CN"/>
        </w:rPr>
        <w:t>需方使用部门领用后，按期开具入库单，供方依据入库单提供增值税专用发票挂帐后，需方按资金计划支付货款。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中标金额≥10000元签订合同</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中标金额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5"/>
        <w:jc w:val="center"/>
        <w:rPr>
          <w:rFonts w:hint="default" w:ascii="Times New Roman" w:hAnsi="Times New Roman" w:eastAsia="宋体" w:cs="Times New Roman"/>
          <w:bCs w:val="0"/>
          <w:color w:val="auto"/>
          <w:sz w:val="48"/>
          <w:szCs w:val="48"/>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5"/>
        <w:spacing w:line="460" w:lineRule="exact"/>
        <w:ind w:left="5062" w:hanging="5062" w:hangingChars="1801"/>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default" w:ascii="Times New Roman" w:hAnsi="Times New Roman" w:eastAsia="宋体" w:cs="Times New Roman"/>
          <w:bCs w:val="0"/>
          <w:color w:val="auto"/>
          <w:sz w:val="28"/>
          <w:szCs w:val="28"/>
          <w:lang w:val="en-US"/>
        </w:rPr>
        <w:t>中粮屯河北海糖业有限公司</w:t>
      </w:r>
    </w:p>
    <w:p>
      <w:pPr>
        <w:pStyle w:val="5"/>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5"/>
        <w:rPr>
          <w:rFonts w:hint="default" w:ascii="Times New Roman" w:hAnsi="Times New Roman" w:eastAsia="宋体" w:cs="Times New Roman"/>
          <w:bCs w:val="0"/>
          <w:color w:val="auto"/>
          <w:sz w:val="21"/>
          <w:szCs w:val="21"/>
        </w:rPr>
      </w:pPr>
    </w:p>
    <w:p>
      <w:pPr>
        <w:pStyle w:val="5"/>
        <w:numPr>
          <w:ilvl w:val="0"/>
          <w:numId w:val="1"/>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5"/>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5"/>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0"/>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单位名称(章)：中粮屯河北海糖业有限公司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开户行：中国农业银行铁山港支行营业部</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rPr>
          <w:rFonts w:hint="default" w:ascii="Times New Roman" w:hAnsi="Times New Roman" w:cs="Times New Roman"/>
          <w:b/>
          <w:bCs/>
          <w:sz w:val="28"/>
          <w:szCs w:val="28"/>
        </w:rPr>
      </w:pPr>
    </w:p>
    <w:p>
      <w:pPr>
        <w:rPr>
          <w:rFonts w:hint="default" w:ascii="Times New Roman" w:hAnsi="Times New Roman" w:cs="Times New Roman"/>
        </w:rPr>
      </w:pPr>
      <w:r>
        <w:rPr>
          <w:rFonts w:hint="default" w:ascii="Times New Roman" w:hAnsi="Times New Roman" w:cs="Times New Roman"/>
        </w:rPr>
        <w:br w:type="page"/>
      </w:r>
    </w:p>
    <w:tbl>
      <w:tblPr>
        <w:tblStyle w:val="10"/>
        <w:tblW w:w="10887" w:type="dxa"/>
        <w:jc w:val="center"/>
        <w:tblInd w:w="0" w:type="dxa"/>
        <w:tblLayout w:type="fixed"/>
        <w:tblCellMar>
          <w:top w:w="0" w:type="dxa"/>
          <w:left w:w="108" w:type="dxa"/>
          <w:bottom w:w="0" w:type="dxa"/>
          <w:right w:w="108" w:type="dxa"/>
        </w:tblCellMar>
      </w:tblPr>
      <w:tblGrid>
        <w:gridCol w:w="486"/>
        <w:gridCol w:w="1538"/>
        <w:gridCol w:w="2533"/>
        <w:gridCol w:w="675"/>
        <w:gridCol w:w="690"/>
        <w:gridCol w:w="600"/>
        <w:gridCol w:w="202"/>
        <w:gridCol w:w="650"/>
        <w:gridCol w:w="843"/>
        <w:gridCol w:w="806"/>
        <w:gridCol w:w="244"/>
        <w:gridCol w:w="765"/>
        <w:gridCol w:w="855"/>
      </w:tblGrid>
      <w:tr>
        <w:tblPrEx>
          <w:tblLayout w:type="fixed"/>
          <w:tblCellMar>
            <w:top w:w="0" w:type="dxa"/>
            <w:left w:w="108" w:type="dxa"/>
            <w:bottom w:w="0" w:type="dxa"/>
            <w:right w:w="108" w:type="dxa"/>
          </w:tblCellMar>
        </w:tblPrEx>
        <w:trPr>
          <w:trHeight w:val="435" w:hRule="atLeast"/>
          <w:jc w:val="center"/>
        </w:trPr>
        <w:tc>
          <w:tcPr>
            <w:tcW w:w="10887" w:type="dxa"/>
            <w:gridSpan w:val="1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通用标准件合同附表</w:t>
            </w:r>
          </w:p>
        </w:tc>
      </w:tr>
      <w:tr>
        <w:tblPrEx>
          <w:tblLayout w:type="fixed"/>
          <w:tblCellMar>
            <w:top w:w="0" w:type="dxa"/>
            <w:left w:w="108" w:type="dxa"/>
            <w:bottom w:w="0" w:type="dxa"/>
            <w:right w:w="108" w:type="dxa"/>
          </w:tblCellMar>
        </w:tblPrEx>
        <w:trPr>
          <w:trHeight w:val="435" w:hRule="atLeast"/>
          <w:jc w:val="center"/>
        </w:trPr>
        <w:tc>
          <w:tcPr>
            <w:tcW w:w="10887" w:type="dxa"/>
            <w:gridSpan w:val="13"/>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default" w:ascii="Times New Roman" w:hAnsi="Times New Roman" w:eastAsia="宋体" w:cs="Times New Roman"/>
                <w:b/>
                <w:bCs/>
                <w:kern w:val="0"/>
                <w:sz w:val="20"/>
                <w:szCs w:val="20"/>
                <w:lang w:val="en-US" w:eastAsia="zh-CN"/>
              </w:rPr>
            </w:pPr>
            <w:r>
              <w:rPr>
                <w:rFonts w:hint="default" w:ascii="Times New Roman" w:hAnsi="Times New Roman" w:cs="Times New Roman"/>
                <w:b/>
                <w:bCs/>
                <w:kern w:val="0"/>
                <w:sz w:val="20"/>
                <w:szCs w:val="20"/>
              </w:rPr>
              <w:t>供方名称：</w:t>
            </w:r>
            <w:r>
              <w:rPr>
                <w:rFonts w:hint="default" w:ascii="Times New Roman" w:hAnsi="Times New Roman" w:cs="Times New Roman"/>
                <w:b/>
                <w:bCs/>
                <w:kern w:val="0"/>
                <w:sz w:val="20"/>
                <w:szCs w:val="20"/>
                <w:lang w:val="en-US" w:eastAsia="zh-CN"/>
              </w:rPr>
              <w:t>**</w:t>
            </w:r>
          </w:p>
        </w:tc>
      </w:tr>
      <w:tr>
        <w:tblPrEx>
          <w:tblLayout w:type="fixed"/>
          <w:tblCellMar>
            <w:top w:w="0" w:type="dxa"/>
            <w:left w:w="108" w:type="dxa"/>
            <w:bottom w:w="0" w:type="dxa"/>
            <w:right w:w="108" w:type="dxa"/>
          </w:tblCellMar>
        </w:tblPrEx>
        <w:trPr>
          <w:trHeight w:val="420" w:hRule="atLeast"/>
          <w:jc w:val="center"/>
        </w:trPr>
        <w:tc>
          <w:tcPr>
            <w:tcW w:w="10887" w:type="dxa"/>
            <w:gridSpan w:val="1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b/>
                <w:bCs/>
                <w:kern w:val="0"/>
                <w:sz w:val="20"/>
                <w:szCs w:val="20"/>
                <w:lang w:val="en-US" w:eastAsia="zh-CN"/>
              </w:rPr>
            </w:pPr>
            <w:r>
              <w:rPr>
                <w:rFonts w:hint="default" w:ascii="Times New Roman" w:hAnsi="Times New Roman" w:cs="Times New Roman"/>
                <w:b/>
                <w:bCs/>
                <w:kern w:val="0"/>
                <w:sz w:val="20"/>
                <w:szCs w:val="20"/>
              </w:rPr>
              <w:t xml:space="preserve">                                     </w:t>
            </w:r>
            <w:r>
              <w:rPr>
                <w:rFonts w:hint="default" w:ascii="Times New Roman" w:hAnsi="Times New Roman" w:cs="Times New Roman"/>
                <w:b/>
                <w:bCs/>
                <w:kern w:val="0"/>
                <w:sz w:val="20"/>
                <w:szCs w:val="20"/>
                <w:lang w:val="en-US" w:eastAsia="zh-CN"/>
              </w:rPr>
              <w:t xml:space="preserve">                   </w:t>
            </w:r>
            <w:r>
              <w:rPr>
                <w:rFonts w:hint="default" w:ascii="Times New Roman" w:hAnsi="Times New Roman" w:cs="Times New Roman"/>
                <w:b/>
                <w:bCs/>
                <w:kern w:val="0"/>
                <w:sz w:val="20"/>
                <w:szCs w:val="20"/>
              </w:rPr>
              <w:t xml:space="preserve">  </w:t>
            </w:r>
            <w:r>
              <w:rPr>
                <w:rFonts w:hint="default" w:ascii="Times New Roman" w:hAnsi="Times New Roman" w:cs="Times New Roman"/>
                <w:b/>
                <w:bCs/>
                <w:kern w:val="0"/>
                <w:sz w:val="20"/>
                <w:szCs w:val="20"/>
                <w:lang w:val="en-US" w:eastAsia="zh-CN"/>
              </w:rPr>
              <w:t xml:space="preserve">                  </w:t>
            </w:r>
            <w:r>
              <w:rPr>
                <w:rFonts w:hint="default" w:ascii="Times New Roman" w:hAnsi="Times New Roman" w:cs="Times New Roman"/>
                <w:b/>
                <w:bCs/>
                <w:kern w:val="0"/>
                <w:sz w:val="20"/>
                <w:szCs w:val="20"/>
              </w:rPr>
              <w:t>合同编号：</w:t>
            </w:r>
            <w:r>
              <w:rPr>
                <w:rFonts w:hint="default" w:ascii="Times New Roman" w:hAnsi="Times New Roman" w:cs="Times New Roman"/>
                <w:b/>
                <w:bCs/>
                <w:kern w:val="0"/>
                <w:sz w:val="20"/>
                <w:szCs w:val="20"/>
                <w:lang w:val="en-US" w:eastAsia="zh-CN"/>
              </w:rPr>
              <w:t>**</w:t>
            </w:r>
          </w:p>
        </w:tc>
      </w:tr>
      <w:tr>
        <w:tblPrEx>
          <w:tblLayout w:type="fixed"/>
          <w:tblCellMar>
            <w:top w:w="0" w:type="dxa"/>
            <w:left w:w="108" w:type="dxa"/>
            <w:bottom w:w="0" w:type="dxa"/>
            <w:right w:w="108" w:type="dxa"/>
          </w:tblCellMar>
        </w:tblPrEx>
        <w:trPr>
          <w:trHeight w:val="510" w:hRule="atLeast"/>
          <w:jc w:val="center"/>
        </w:trPr>
        <w:tc>
          <w:tcPr>
            <w:tcW w:w="48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序号</w:t>
            </w:r>
          </w:p>
        </w:tc>
        <w:tc>
          <w:tcPr>
            <w:tcW w:w="153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SAP物料号</w:t>
            </w:r>
          </w:p>
        </w:tc>
        <w:tc>
          <w:tcPr>
            <w:tcW w:w="253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物料描述</w:t>
            </w:r>
          </w:p>
        </w:tc>
        <w:tc>
          <w:tcPr>
            <w:tcW w:w="6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lang w:eastAsia="zh-CN"/>
              </w:rPr>
            </w:pPr>
            <w:r>
              <w:rPr>
                <w:rFonts w:hint="default" w:ascii="Times New Roman" w:hAnsi="Times New Roman" w:cs="Times New Roman"/>
                <w:b/>
                <w:bCs/>
                <w:kern w:val="0"/>
                <w:sz w:val="20"/>
                <w:szCs w:val="20"/>
                <w:lang w:eastAsia="zh-CN"/>
              </w:rPr>
              <w:t>数量</w:t>
            </w:r>
          </w:p>
        </w:tc>
        <w:tc>
          <w:tcPr>
            <w:tcW w:w="69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lang w:eastAsia="zh-CN"/>
              </w:rPr>
            </w:pPr>
            <w:r>
              <w:rPr>
                <w:rFonts w:hint="default" w:ascii="Times New Roman" w:hAnsi="Times New Roman" w:cs="Times New Roman"/>
                <w:b/>
                <w:bCs/>
                <w:kern w:val="0"/>
                <w:sz w:val="20"/>
                <w:szCs w:val="20"/>
                <w:lang w:eastAsia="zh-CN"/>
              </w:rPr>
              <w:t>单位</w:t>
            </w:r>
          </w:p>
        </w:tc>
        <w:tc>
          <w:tcPr>
            <w:tcW w:w="80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含税单价</w:t>
            </w:r>
          </w:p>
        </w:tc>
        <w:tc>
          <w:tcPr>
            <w:tcW w:w="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税率</w:t>
            </w:r>
          </w:p>
        </w:tc>
        <w:tc>
          <w:tcPr>
            <w:tcW w:w="84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含税金额</w:t>
            </w:r>
          </w:p>
        </w:tc>
        <w:tc>
          <w:tcPr>
            <w:tcW w:w="105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不含税金额</w:t>
            </w:r>
          </w:p>
        </w:tc>
        <w:tc>
          <w:tcPr>
            <w:tcW w:w="76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18"/>
                <w:szCs w:val="18"/>
              </w:rPr>
              <w:t>交货时间</w:t>
            </w:r>
          </w:p>
        </w:tc>
        <w:tc>
          <w:tcPr>
            <w:tcW w:w="85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备注</w:t>
            </w:r>
          </w:p>
        </w:tc>
      </w:tr>
      <w:tr>
        <w:tblPrEx>
          <w:tblLayout w:type="fixed"/>
          <w:tblCellMar>
            <w:top w:w="0" w:type="dxa"/>
            <w:left w:w="108" w:type="dxa"/>
            <w:bottom w:w="0" w:type="dxa"/>
            <w:right w:w="108" w:type="dxa"/>
          </w:tblCellMar>
        </w:tblPrEx>
        <w:trPr>
          <w:trHeight w:val="301" w:hRule="atLeast"/>
          <w:jc w:val="center"/>
        </w:trPr>
        <w:tc>
          <w:tcPr>
            <w:tcW w:w="486"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1</w:t>
            </w:r>
          </w:p>
        </w:tc>
        <w:tc>
          <w:tcPr>
            <w:tcW w:w="1538"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253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75"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90"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02" w:type="dxa"/>
            <w:gridSpan w:val="2"/>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50"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4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1050" w:type="dxa"/>
            <w:gridSpan w:val="2"/>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76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55"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p>
        </w:tc>
      </w:tr>
      <w:tr>
        <w:tblPrEx>
          <w:tblLayout w:type="fixed"/>
          <w:tblCellMar>
            <w:top w:w="0" w:type="dxa"/>
            <w:left w:w="108" w:type="dxa"/>
            <w:bottom w:w="0" w:type="dxa"/>
            <w:right w:w="108" w:type="dxa"/>
          </w:tblCellMar>
        </w:tblPrEx>
        <w:trPr>
          <w:trHeight w:val="301" w:hRule="atLeast"/>
          <w:jc w:val="center"/>
        </w:trPr>
        <w:tc>
          <w:tcPr>
            <w:tcW w:w="486"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2</w:t>
            </w:r>
          </w:p>
        </w:tc>
        <w:tc>
          <w:tcPr>
            <w:tcW w:w="1538"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253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75"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90"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02" w:type="dxa"/>
            <w:gridSpan w:val="2"/>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50"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4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1050" w:type="dxa"/>
            <w:gridSpan w:val="2"/>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76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55"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p>
        </w:tc>
      </w:tr>
      <w:tr>
        <w:tblPrEx>
          <w:tblLayout w:type="fixed"/>
          <w:tblCellMar>
            <w:top w:w="0" w:type="dxa"/>
            <w:left w:w="108" w:type="dxa"/>
            <w:bottom w:w="0" w:type="dxa"/>
            <w:right w:w="108" w:type="dxa"/>
          </w:tblCellMar>
        </w:tblPrEx>
        <w:trPr>
          <w:trHeight w:val="301" w:hRule="atLeast"/>
          <w:jc w:val="center"/>
        </w:trPr>
        <w:tc>
          <w:tcPr>
            <w:tcW w:w="486"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3</w:t>
            </w:r>
          </w:p>
        </w:tc>
        <w:tc>
          <w:tcPr>
            <w:tcW w:w="1538"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253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75"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90"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02" w:type="dxa"/>
            <w:gridSpan w:val="2"/>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50"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4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1050" w:type="dxa"/>
            <w:gridSpan w:val="2"/>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76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55"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p>
        </w:tc>
      </w:tr>
      <w:tr>
        <w:tblPrEx>
          <w:tblLayout w:type="fixed"/>
          <w:tblCellMar>
            <w:top w:w="0" w:type="dxa"/>
            <w:left w:w="108" w:type="dxa"/>
            <w:bottom w:w="0" w:type="dxa"/>
            <w:right w:w="108" w:type="dxa"/>
          </w:tblCellMar>
        </w:tblPrEx>
        <w:trPr>
          <w:trHeight w:val="301" w:hRule="atLeast"/>
          <w:jc w:val="center"/>
        </w:trPr>
        <w:tc>
          <w:tcPr>
            <w:tcW w:w="486"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4</w:t>
            </w:r>
          </w:p>
        </w:tc>
        <w:tc>
          <w:tcPr>
            <w:tcW w:w="1538"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253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75"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90"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02" w:type="dxa"/>
            <w:gridSpan w:val="2"/>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50"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4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1050" w:type="dxa"/>
            <w:gridSpan w:val="2"/>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76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55"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p>
        </w:tc>
      </w:tr>
      <w:tr>
        <w:tblPrEx>
          <w:tblLayout w:type="fixed"/>
          <w:tblCellMar>
            <w:top w:w="0" w:type="dxa"/>
            <w:left w:w="108" w:type="dxa"/>
            <w:bottom w:w="0" w:type="dxa"/>
            <w:right w:w="108" w:type="dxa"/>
          </w:tblCellMar>
        </w:tblPrEx>
        <w:trPr>
          <w:trHeight w:val="330" w:hRule="atLeast"/>
          <w:jc w:val="center"/>
        </w:trPr>
        <w:tc>
          <w:tcPr>
            <w:tcW w:w="48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合计</w:t>
            </w:r>
          </w:p>
        </w:tc>
        <w:tc>
          <w:tcPr>
            <w:tcW w:w="1538"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2533"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75"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90"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02" w:type="dxa"/>
            <w:gridSpan w:val="2"/>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50"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43"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1050" w:type="dxa"/>
            <w:gridSpan w:val="2"/>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5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r>
      <w:tr>
        <w:tblPrEx>
          <w:tblLayout w:type="fixed"/>
          <w:tblCellMar>
            <w:top w:w="0" w:type="dxa"/>
            <w:left w:w="108" w:type="dxa"/>
            <w:bottom w:w="0" w:type="dxa"/>
            <w:right w:w="108" w:type="dxa"/>
          </w:tblCellMar>
        </w:tblPrEx>
        <w:trPr>
          <w:trHeight w:val="465" w:hRule="atLeast"/>
          <w:jc w:val="center"/>
        </w:trPr>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含税合同金额大写</w:t>
            </w:r>
          </w:p>
        </w:tc>
        <w:tc>
          <w:tcPr>
            <w:tcW w:w="8863" w:type="dxa"/>
            <w:gridSpan w:val="11"/>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b/>
                <w:bCs/>
                <w:kern w:val="0"/>
                <w:sz w:val="20"/>
                <w:szCs w:val="20"/>
              </w:rPr>
            </w:pPr>
          </w:p>
        </w:tc>
      </w:tr>
      <w:tr>
        <w:tblPrEx>
          <w:tblLayout w:type="fixed"/>
          <w:tblCellMar>
            <w:top w:w="0" w:type="dxa"/>
            <w:left w:w="108" w:type="dxa"/>
            <w:bottom w:w="0" w:type="dxa"/>
            <w:right w:w="108" w:type="dxa"/>
          </w:tblCellMar>
        </w:tblPrEx>
        <w:trPr>
          <w:trHeight w:val="465" w:hRule="atLeast"/>
          <w:jc w:val="center"/>
        </w:trPr>
        <w:tc>
          <w:tcPr>
            <w:tcW w:w="2024"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不含税合同金额大写</w:t>
            </w:r>
          </w:p>
        </w:tc>
        <w:tc>
          <w:tcPr>
            <w:tcW w:w="8863" w:type="dxa"/>
            <w:gridSpan w:val="11"/>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b/>
                <w:bCs/>
                <w:kern w:val="0"/>
                <w:sz w:val="20"/>
                <w:szCs w:val="20"/>
              </w:rPr>
            </w:pPr>
          </w:p>
        </w:tc>
      </w:tr>
      <w:tr>
        <w:tblPrEx>
          <w:tblLayout w:type="fixed"/>
          <w:tblCellMar>
            <w:top w:w="0" w:type="dxa"/>
            <w:left w:w="108" w:type="dxa"/>
            <w:bottom w:w="0" w:type="dxa"/>
            <w:right w:w="108" w:type="dxa"/>
          </w:tblCellMar>
        </w:tblPrEx>
        <w:trPr>
          <w:trHeight w:val="2190" w:hRule="atLeast"/>
          <w:jc w:val="center"/>
        </w:trPr>
        <w:tc>
          <w:tcPr>
            <w:tcW w:w="2024"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备注</w:t>
            </w:r>
          </w:p>
        </w:tc>
        <w:tc>
          <w:tcPr>
            <w:tcW w:w="8863" w:type="dxa"/>
            <w:gridSpan w:val="11"/>
            <w:tcBorders>
              <w:top w:val="single" w:color="auto" w:sz="4" w:space="0"/>
              <w:left w:val="nil"/>
              <w:bottom w:val="single" w:color="auto" w:sz="4" w:space="0"/>
              <w:right w:val="single" w:color="000000" w:sz="4" w:space="0"/>
            </w:tcBorders>
            <w:noWrap w:val="0"/>
            <w:vAlign w:val="center"/>
          </w:tcPr>
          <w:p>
            <w:pPr>
              <w:widowControl/>
              <w:numPr>
                <w:ilvl w:val="0"/>
                <w:numId w:val="2"/>
              </w:numPr>
              <w:ind w:firstLine="405"/>
              <w:jc w:val="left"/>
              <w:rPr>
                <w:rFonts w:hint="default" w:ascii="Times New Roman" w:hAnsi="Times New Roman" w:eastAsia="宋体" w:cs="Times New Roman"/>
                <w:b/>
                <w:bCs/>
                <w:kern w:val="0"/>
                <w:sz w:val="20"/>
                <w:szCs w:val="20"/>
                <w:lang w:val="en-US" w:eastAsia="zh-CN"/>
              </w:rPr>
            </w:pPr>
            <w:r>
              <w:rPr>
                <w:rFonts w:hint="default" w:ascii="Times New Roman" w:hAnsi="Times New Roman" w:cs="Times New Roman"/>
                <w:b/>
                <w:bCs/>
                <w:kern w:val="0"/>
                <w:sz w:val="20"/>
                <w:szCs w:val="20"/>
              </w:rPr>
              <w:t>供货期限内，按购买方实际的需求量供货，并以实际验收入库物资数量乘以以上对应物资单价结算，交货时间和数量以购买方通知时间为准。</w:t>
            </w:r>
            <w:r>
              <w:rPr>
                <w:rFonts w:hint="default" w:ascii="Times New Roman" w:hAnsi="Times New Roman" w:cs="Times New Roman"/>
                <w:b/>
                <w:bCs/>
                <w:kern w:val="0"/>
                <w:sz w:val="20"/>
                <w:szCs w:val="20"/>
              </w:rPr>
              <w:br w:type="textWrapping"/>
            </w:r>
            <w:r>
              <w:rPr>
                <w:rFonts w:hint="default" w:ascii="Times New Roman" w:hAnsi="Times New Roman" w:cs="Times New Roman"/>
                <w:b/>
                <w:bCs/>
                <w:kern w:val="0"/>
                <w:sz w:val="20"/>
                <w:szCs w:val="20"/>
              </w:rPr>
              <w:t xml:space="preserve">    2、购买方订购销售方物资到厂验收合格后，检修期结束后或榨季期结束后有剩余未使用的物资需退还给销售方，所退物资必须全新未使用过，发货物流点由销售方指定，产生的运费需购买方承担。</w:t>
            </w:r>
            <w:r>
              <w:rPr>
                <w:rFonts w:hint="default" w:ascii="Times New Roman" w:hAnsi="Times New Roman" w:cs="Times New Roman"/>
                <w:b/>
                <w:bCs/>
                <w:kern w:val="0"/>
                <w:sz w:val="20"/>
                <w:szCs w:val="20"/>
              </w:rPr>
              <w:br w:type="textWrapping"/>
            </w:r>
            <w:r>
              <w:rPr>
                <w:rFonts w:hint="default" w:ascii="Times New Roman" w:hAnsi="Times New Roman" w:cs="Times New Roman"/>
                <w:b/>
                <w:bCs/>
                <w:kern w:val="0"/>
                <w:sz w:val="20"/>
                <w:szCs w:val="20"/>
              </w:rPr>
              <w:t xml:space="preserve">    3、购买方所订购的物资属非国标产品及按购买方要求加工的产品不能退货。</w:t>
            </w:r>
            <w:r>
              <w:rPr>
                <w:rFonts w:hint="default" w:ascii="Times New Roman" w:hAnsi="Times New Roman" w:cs="Times New Roman"/>
                <w:b/>
                <w:bCs/>
                <w:kern w:val="0"/>
                <w:sz w:val="20"/>
                <w:szCs w:val="20"/>
              </w:rPr>
              <w:br w:type="textWrapping"/>
            </w:r>
            <w:r>
              <w:rPr>
                <w:rFonts w:hint="default" w:ascii="Times New Roman" w:hAnsi="Times New Roman" w:cs="Times New Roman"/>
                <w:b/>
                <w:bCs/>
                <w:kern w:val="0"/>
                <w:sz w:val="20"/>
                <w:szCs w:val="20"/>
              </w:rPr>
              <w:t xml:space="preserve">    4、购买方所订购物资有保质期的，剩余保质期在1个月内的不能退货。</w:t>
            </w:r>
            <w:r>
              <w:rPr>
                <w:rFonts w:hint="default" w:ascii="Times New Roman" w:hAnsi="Times New Roman" w:cs="Times New Roman"/>
                <w:b/>
                <w:bCs/>
                <w:kern w:val="0"/>
                <w:sz w:val="20"/>
                <w:szCs w:val="20"/>
              </w:rPr>
              <w:br w:type="textWrapping"/>
            </w:r>
            <w:r>
              <w:rPr>
                <w:rFonts w:hint="default" w:ascii="Times New Roman" w:hAnsi="Times New Roman" w:cs="Times New Roman"/>
                <w:b/>
                <w:bCs/>
                <w:kern w:val="0"/>
                <w:sz w:val="20"/>
                <w:szCs w:val="20"/>
              </w:rPr>
              <w:t xml:space="preserve">    5、销售方发给购买方的物资若有保质期，原则上保质期必须在12个月以上，具体以物资的实际保质期时间长短为准。</w:t>
            </w:r>
          </w:p>
        </w:tc>
      </w:tr>
      <w:tr>
        <w:tblPrEx>
          <w:tblLayout w:type="fixed"/>
          <w:tblCellMar>
            <w:top w:w="0" w:type="dxa"/>
            <w:left w:w="108" w:type="dxa"/>
            <w:bottom w:w="0" w:type="dxa"/>
            <w:right w:w="108" w:type="dxa"/>
          </w:tblCellMar>
        </w:tblPrEx>
        <w:trPr>
          <w:trHeight w:val="315" w:hRule="atLeast"/>
          <w:jc w:val="center"/>
        </w:trPr>
        <w:tc>
          <w:tcPr>
            <w:tcW w:w="486" w:type="dxa"/>
            <w:tcBorders>
              <w:top w:val="nil"/>
              <w:left w:val="nil"/>
              <w:bottom w:val="nil"/>
              <w:right w:val="nil"/>
            </w:tcBorders>
            <w:noWrap w:val="0"/>
            <w:vAlign w:val="center"/>
          </w:tcPr>
          <w:p>
            <w:pPr>
              <w:widowControl/>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注</w:t>
            </w:r>
          </w:p>
        </w:tc>
        <w:tc>
          <w:tcPr>
            <w:tcW w:w="4746" w:type="dxa"/>
            <w:gridSpan w:val="3"/>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1、结算量根据采购方实际需求量结算</w:t>
            </w:r>
          </w:p>
        </w:tc>
        <w:tc>
          <w:tcPr>
            <w:tcW w:w="690"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600"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852" w:type="dxa"/>
            <w:gridSpan w:val="2"/>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843"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806"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1009" w:type="dxa"/>
            <w:gridSpan w:val="2"/>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855"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486" w:type="dxa"/>
            <w:tcBorders>
              <w:top w:val="nil"/>
              <w:left w:val="nil"/>
              <w:bottom w:val="nil"/>
              <w:right w:val="nil"/>
            </w:tcBorders>
            <w:noWrap w:val="0"/>
            <w:vAlign w:val="center"/>
          </w:tcPr>
          <w:p>
            <w:pPr>
              <w:widowControl/>
              <w:jc w:val="center"/>
              <w:rPr>
                <w:rFonts w:hint="default" w:ascii="Times New Roman" w:hAnsi="Times New Roman" w:cs="Times New Roman"/>
                <w:kern w:val="0"/>
                <w:sz w:val="20"/>
                <w:szCs w:val="20"/>
              </w:rPr>
            </w:pPr>
          </w:p>
        </w:tc>
        <w:tc>
          <w:tcPr>
            <w:tcW w:w="6238" w:type="dxa"/>
            <w:gridSpan w:val="6"/>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2、合同期内超过合同量的供货，按合同同等价结算</w:t>
            </w:r>
          </w:p>
        </w:tc>
        <w:tc>
          <w:tcPr>
            <w:tcW w:w="650"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843"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1050" w:type="dxa"/>
            <w:gridSpan w:val="2"/>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765"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855"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中粮屯河北海糖业有限公司：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w:t>
      </w:r>
      <w:r>
        <w:rPr>
          <w:rFonts w:hint="eastAsia" w:ascii="Times New Roman" w:hAnsi="Times New Roman" w:eastAsia="仿宋" w:cs="Times New Roman"/>
          <w:sz w:val="32"/>
          <w:szCs w:val="32"/>
          <w:lang w:val="en-US" w:eastAsia="zh-CN"/>
        </w:rPr>
        <w:t>报价必须填写品牌货期。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中粮屯河北海糖业有限公司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3</w:t>
      </w:r>
      <w:r>
        <w:rPr>
          <w:rFonts w:hint="default" w:ascii="Times New Roman" w:hAnsi="Times New Roman" w:eastAsia="仿宋" w:cs="Times New Roman"/>
          <w:sz w:val="32"/>
          <w:szCs w:val="32"/>
        </w:rPr>
        <w:t>年</w:t>
      </w:r>
      <w:r>
        <w:rPr>
          <w:rFonts w:hint="eastAsia" w:eastAsia="仿宋" w:cs="Times New Roman"/>
          <w:sz w:val="32"/>
          <w:szCs w:val="32"/>
          <w:lang w:val="en-US" w:eastAsia="zh-CN"/>
        </w:rPr>
        <w:t>8</w:t>
      </w:r>
      <w:r>
        <w:rPr>
          <w:rFonts w:hint="default" w:ascii="Times New Roman" w:hAnsi="Times New Roman" w:eastAsia="仿宋" w:cs="Times New Roman"/>
          <w:sz w:val="32"/>
          <w:szCs w:val="32"/>
        </w:rPr>
        <w:t>月</w:t>
      </w:r>
      <w:r>
        <w:rPr>
          <w:rFonts w:hint="eastAsia" w:eastAsia="仿宋" w:cs="Times New Roman"/>
          <w:sz w:val="32"/>
          <w:szCs w:val="32"/>
          <w:lang w:val="en-US" w:eastAsia="zh-CN"/>
        </w:rPr>
        <w:t>22</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DA9E84"/>
    <w:multiLevelType w:val="singleLevel"/>
    <w:tmpl w:val="58DA9E8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5CE05D4"/>
    <w:rsid w:val="09E24C3F"/>
    <w:rsid w:val="16760CB0"/>
    <w:rsid w:val="1699719C"/>
    <w:rsid w:val="224B26BD"/>
    <w:rsid w:val="28D46E1C"/>
    <w:rsid w:val="2DA03510"/>
    <w:rsid w:val="2EF92788"/>
    <w:rsid w:val="30054781"/>
    <w:rsid w:val="3583388D"/>
    <w:rsid w:val="35B77E4C"/>
    <w:rsid w:val="3A4E546B"/>
    <w:rsid w:val="3CDB4C00"/>
    <w:rsid w:val="46FC0E56"/>
    <w:rsid w:val="4A05591A"/>
    <w:rsid w:val="4FA84265"/>
    <w:rsid w:val="55DB05F7"/>
    <w:rsid w:val="56590DEF"/>
    <w:rsid w:val="621809DE"/>
    <w:rsid w:val="63802CF2"/>
    <w:rsid w:val="64471C00"/>
    <w:rsid w:val="66533321"/>
    <w:rsid w:val="668875E9"/>
    <w:rsid w:val="72C90324"/>
    <w:rsid w:val="7B4D1F27"/>
    <w:rsid w:val="7B84415E"/>
    <w:rsid w:val="7C195D8E"/>
    <w:rsid w:val="7C5B6713"/>
    <w:rsid w:val="7CF6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Body Text Indent 2"/>
    <w:basedOn w:val="1"/>
    <w:qFormat/>
    <w:uiPriority w:val="0"/>
    <w:pPr>
      <w:spacing w:line="460" w:lineRule="exact"/>
      <w:ind w:firstLine="600" w:firstLineChars="200"/>
    </w:pPr>
    <w:rPr>
      <w:rFonts w:eastAsia="仿宋_GB2312"/>
      <w:sz w:val="3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2">
    <w:name w:val="font01"/>
    <w:basedOn w:val="11"/>
    <w:qFormat/>
    <w:uiPriority w:val="0"/>
    <w:rPr>
      <w:rFonts w:hint="default" w:ascii="Arial" w:hAnsi="Arial" w:cs="Arial"/>
      <w:color w:val="000000"/>
      <w:sz w:val="20"/>
      <w:szCs w:val="20"/>
      <w:u w:val="none"/>
    </w:rPr>
  </w:style>
  <w:style w:type="character" w:customStyle="1" w:styleId="13">
    <w:name w:val="font1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2023-08-22T00:39:18Z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