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中粮糖业辽宁有限公司</w:t>
      </w:r>
    </w:p>
    <w:p>
      <w:pPr>
        <w:pStyle w:val="4"/>
        <w:jc w:val="center"/>
        <w:rPr>
          <w:rFonts w:cs="仿宋_GB2312" w:asciiTheme="minorEastAsia" w:hAnsiTheme="minorEastAsia" w:eastAsiaTheme="minorEastAsia"/>
          <w:sz w:val="144"/>
          <w:szCs w:val="144"/>
        </w:rPr>
      </w:pPr>
    </w:p>
    <w:p>
      <w:pPr>
        <w:pStyle w:val="4"/>
        <w:jc w:val="center"/>
        <w:rPr>
          <w:rFonts w:cs="仿宋_GB2312" w:asciiTheme="minorEastAsia" w:hAnsiTheme="minorEastAsia" w:eastAsiaTheme="minorEastAsia"/>
          <w:sz w:val="72"/>
          <w:szCs w:val="72"/>
        </w:rPr>
      </w:pPr>
      <w:r>
        <w:rPr>
          <w:rFonts w:hint="eastAsia" w:cs="仿宋_GB2312" w:asciiTheme="minorEastAsia" w:hAnsiTheme="minorEastAsia" w:eastAsiaTheme="minorEastAsia"/>
          <w:sz w:val="72"/>
          <w:szCs w:val="72"/>
        </w:rPr>
        <w:t>询比文件</w:t>
      </w:r>
    </w:p>
    <w:p>
      <w:pPr>
        <w:spacing w:line="540" w:lineRule="exact"/>
        <w:ind w:firstLine="1280" w:firstLineChars="400"/>
        <w:rPr>
          <w:rFonts w:cs="仿宋_GB2312" w:asciiTheme="minorEastAsia" w:hAnsiTheme="minorEastAsia" w:eastAsiaTheme="minorEastAsia"/>
          <w:sz w:val="32"/>
          <w:szCs w:val="32"/>
        </w:rPr>
      </w:pPr>
    </w:p>
    <w:p>
      <w:pPr>
        <w:spacing w:line="540" w:lineRule="exact"/>
        <w:ind w:firstLine="1280" w:firstLineChars="400"/>
        <w:rPr>
          <w:rFonts w:cs="仿宋_GB2312" w:asciiTheme="minorEastAsia" w:hAnsiTheme="minorEastAsia" w:eastAsiaTheme="minorEastAsia"/>
          <w:sz w:val="32"/>
          <w:szCs w:val="32"/>
        </w:rPr>
      </w:pPr>
    </w:p>
    <w:p>
      <w:pPr>
        <w:pStyle w:val="4"/>
        <w:ind w:firstLine="2072" w:firstLineChars="645"/>
        <w:rPr>
          <w:rFonts w:cs="仿宋_GB2312" w:asciiTheme="minorEastAsia" w:hAnsiTheme="minorEastAsia" w:eastAsiaTheme="minorEastAsia"/>
          <w:b/>
        </w:rPr>
      </w:pPr>
    </w:p>
    <w:p>
      <w:pPr>
        <w:pStyle w:val="4"/>
        <w:ind w:firstLine="2072" w:firstLineChars="645"/>
        <w:rPr>
          <w:rFonts w:cs="仿宋_GB2312" w:asciiTheme="minorEastAsia" w:hAnsiTheme="minorEastAsia" w:eastAsiaTheme="minorEastAsia"/>
          <w:b/>
        </w:rPr>
      </w:pPr>
      <w:r>
        <w:rPr>
          <w:rFonts w:hint="eastAsia" w:cs="仿宋_GB2312" w:asciiTheme="minorEastAsia" w:hAnsiTheme="minorEastAsia" w:eastAsiaTheme="minorEastAsia"/>
          <w:b/>
        </w:rPr>
        <w:t xml:space="preserve"> </w:t>
      </w:r>
    </w:p>
    <w:p>
      <w:pPr>
        <w:pStyle w:val="4"/>
        <w:ind w:left="2743" w:leftChars="524" w:hanging="1590" w:hangingChars="495"/>
        <w:rPr>
          <w:rFonts w:cs="仿宋_GB2312" w:asciiTheme="minorEastAsia" w:hAnsiTheme="minorEastAsia" w:eastAsiaTheme="minorEastAsia"/>
          <w:b/>
          <w:lang w:val="en-US"/>
        </w:rPr>
      </w:pPr>
      <w:r>
        <w:rPr>
          <w:rFonts w:hint="eastAsia" w:cs="仿宋_GB2312" w:asciiTheme="minorEastAsia" w:hAnsiTheme="minorEastAsia" w:eastAsiaTheme="minorEastAsia"/>
          <w:b/>
        </w:rPr>
        <w:t>项目名称：2023-2024</w:t>
      </w:r>
      <w:r>
        <w:rPr>
          <w:rFonts w:hint="eastAsia"/>
          <w:b/>
        </w:rPr>
        <w:t>年度计量</w:t>
      </w:r>
      <w:r>
        <w:rPr>
          <w:rFonts w:hint="eastAsia"/>
          <w:b/>
          <w:lang w:val="en-US" w:eastAsia="zh-CN"/>
        </w:rPr>
        <w:t>器具校验</w:t>
      </w:r>
      <w:r>
        <w:rPr>
          <w:rFonts w:hint="eastAsia"/>
          <w:b/>
        </w:rPr>
        <w:t>采购</w:t>
      </w:r>
    </w:p>
    <w:p>
      <w:pPr>
        <w:pStyle w:val="4"/>
        <w:ind w:left="2341" w:leftChars="524" w:hanging="1188" w:hangingChars="495"/>
        <w:rPr>
          <w:rFonts w:asciiTheme="minorEastAsia" w:hAnsiTheme="minorEastAsia" w:eastAsiaTheme="minorEastAsia"/>
          <w:sz w:val="24"/>
        </w:rPr>
      </w:pPr>
    </w:p>
    <w:p>
      <w:pPr>
        <w:pStyle w:val="4"/>
        <w:ind w:left="2743" w:leftChars="524" w:hanging="1590" w:hangingChars="495"/>
        <w:rPr>
          <w:rFonts w:cs="仿宋_GB2312" w:asciiTheme="minorEastAsia" w:hAnsiTheme="minorEastAsia" w:eastAsiaTheme="minorEastAsia"/>
          <w:b/>
        </w:rPr>
      </w:pPr>
      <w:r>
        <w:rPr>
          <w:rFonts w:hint="eastAsia" w:cs="仿宋_GB2312" w:asciiTheme="minorEastAsia" w:hAnsiTheme="minorEastAsia" w:eastAsiaTheme="minorEastAsia"/>
          <w:b/>
        </w:rPr>
        <w:t>发包单位：中粮糖业辽宁有限公司</w:t>
      </w:r>
    </w:p>
    <w:p>
      <w:pPr>
        <w:tabs>
          <w:tab w:val="left" w:pos="632"/>
        </w:tabs>
        <w:rPr>
          <w:rFonts w:asciiTheme="minorEastAsia" w:hAnsiTheme="minorEastAsia" w:eastAsiaTheme="minorEastAsia"/>
          <w:b/>
          <w:bCs/>
          <w:color w:val="000000"/>
          <w:sz w:val="36"/>
          <w:szCs w:val="36"/>
        </w:rPr>
      </w:pPr>
    </w:p>
    <w:p>
      <w:pPr>
        <w:tabs>
          <w:tab w:val="left" w:pos="632"/>
        </w:tabs>
        <w:jc w:val="center"/>
        <w:rPr>
          <w:rFonts w:asciiTheme="minorEastAsia" w:hAnsiTheme="minorEastAsia" w:eastAsiaTheme="minorEastAsia"/>
          <w:b/>
          <w:bCs/>
          <w:color w:val="000000"/>
          <w:sz w:val="36"/>
          <w:szCs w:val="36"/>
        </w:rPr>
      </w:pPr>
    </w:p>
    <w:p>
      <w:pPr>
        <w:tabs>
          <w:tab w:val="left" w:pos="632"/>
        </w:tabs>
        <w:jc w:val="center"/>
        <w:rPr>
          <w:rFonts w:asciiTheme="minorEastAsia" w:hAnsiTheme="minorEastAsia" w:eastAsiaTheme="minorEastAsia"/>
          <w:b/>
          <w:bCs/>
          <w:color w:val="000000"/>
          <w:sz w:val="18"/>
          <w:szCs w:val="18"/>
        </w:rPr>
      </w:pPr>
    </w:p>
    <w:p>
      <w:pPr>
        <w:tabs>
          <w:tab w:val="left" w:pos="632"/>
        </w:tabs>
        <w:jc w:val="center"/>
        <w:rPr>
          <w:rFonts w:asciiTheme="minorEastAsia" w:hAnsiTheme="minorEastAsia" w:eastAsiaTheme="minorEastAsia"/>
          <w:b/>
          <w:bCs/>
          <w:color w:val="000000"/>
          <w:sz w:val="18"/>
          <w:szCs w:val="18"/>
        </w:rPr>
      </w:pPr>
    </w:p>
    <w:p>
      <w:pPr>
        <w:tabs>
          <w:tab w:val="left" w:pos="632"/>
        </w:tabs>
        <w:jc w:val="center"/>
        <w:rPr>
          <w:rFonts w:asciiTheme="minorEastAsia" w:hAnsiTheme="minorEastAsia" w:eastAsiaTheme="minorEastAsia"/>
          <w:b/>
          <w:bCs/>
          <w:color w:val="000000"/>
          <w:sz w:val="18"/>
          <w:szCs w:val="18"/>
        </w:rPr>
      </w:pPr>
    </w:p>
    <w:p>
      <w:pPr>
        <w:tabs>
          <w:tab w:val="left" w:pos="632"/>
        </w:tabs>
        <w:jc w:val="center"/>
        <w:rPr>
          <w:rFonts w:asciiTheme="minorEastAsia" w:hAnsiTheme="minorEastAsia" w:eastAsiaTheme="minorEastAsia"/>
          <w:b/>
          <w:bCs/>
          <w:color w:val="000000"/>
          <w:sz w:val="18"/>
          <w:szCs w:val="18"/>
        </w:rPr>
      </w:pPr>
    </w:p>
    <w:p>
      <w:pPr>
        <w:spacing w:line="540" w:lineRule="exact"/>
        <w:ind w:firstLine="3040" w:firstLineChars="95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202</w:t>
      </w:r>
      <w:r>
        <w:rPr>
          <w:rFonts w:hint="eastAsia" w:cs="仿宋_GB2312" w:asciiTheme="minorEastAsia" w:hAnsiTheme="minorEastAsia" w:eastAsiaTheme="minorEastAsia"/>
          <w:sz w:val="32"/>
          <w:szCs w:val="32"/>
          <w:lang w:val="en-US" w:eastAsia="zh-CN"/>
        </w:rPr>
        <w:t>3</w:t>
      </w:r>
      <w:r>
        <w:rPr>
          <w:rFonts w:hint="eastAsia" w:cs="仿宋_GB2312" w:asciiTheme="minorEastAsia" w:hAnsiTheme="minorEastAsia" w:eastAsiaTheme="minorEastAsia"/>
          <w:sz w:val="32"/>
          <w:szCs w:val="32"/>
        </w:rPr>
        <w:t>年</w:t>
      </w:r>
      <w:r>
        <w:rPr>
          <w:rFonts w:hint="eastAsia" w:cs="仿宋_GB2312" w:asciiTheme="minorEastAsia" w:hAnsiTheme="minorEastAsia" w:eastAsiaTheme="minorEastAsia"/>
          <w:sz w:val="32"/>
          <w:szCs w:val="32"/>
          <w:lang w:val="en-US" w:eastAsia="zh-CN"/>
        </w:rPr>
        <w:t>7</w:t>
      </w:r>
      <w:r>
        <w:rPr>
          <w:rFonts w:hint="eastAsia" w:cs="仿宋_GB2312" w:asciiTheme="minorEastAsia" w:hAnsiTheme="minorEastAsia" w:eastAsiaTheme="minorEastAsia"/>
          <w:sz w:val="32"/>
          <w:szCs w:val="32"/>
        </w:rPr>
        <w:t>月</w:t>
      </w:r>
    </w:p>
    <w:p>
      <w:pPr>
        <w:spacing w:line="360" w:lineRule="auto"/>
        <w:jc w:val="both"/>
        <w:rPr>
          <w:rFonts w:cs="仿宋_GB2312" w:asciiTheme="minorEastAsia" w:hAnsiTheme="minorEastAsia" w:eastAsiaTheme="minorEastAsia"/>
          <w:b/>
          <w:bCs/>
          <w:color w:val="000000" w:themeColor="text1"/>
          <w:sz w:val="28"/>
          <w:szCs w:val="28"/>
          <w14:textFill>
            <w14:solidFill>
              <w14:schemeClr w14:val="tx1"/>
            </w14:solidFill>
          </w14:textFill>
        </w:rPr>
      </w:pPr>
    </w:p>
    <w:p>
      <w:pPr>
        <w:spacing w:line="360" w:lineRule="auto"/>
        <w:jc w:val="both"/>
        <w:rPr>
          <w:rFonts w:cs="仿宋_GB2312" w:asciiTheme="minorEastAsia" w:hAnsiTheme="minorEastAsia" w:eastAsiaTheme="minorEastAsia"/>
          <w:b/>
          <w:bCs/>
          <w:color w:val="000000" w:themeColor="text1"/>
          <w:sz w:val="28"/>
          <w:szCs w:val="28"/>
          <w14:textFill>
            <w14:solidFill>
              <w14:schemeClr w14:val="tx1"/>
            </w14:solidFill>
          </w14:textFill>
        </w:rPr>
      </w:pPr>
    </w:p>
    <w:p>
      <w:pPr>
        <w:jc w:val="center"/>
        <w:rPr>
          <w:rFonts w:ascii="微软雅黑" w:hAnsi="微软雅黑" w:cs="微软雅黑"/>
          <w:b/>
          <w:sz w:val="44"/>
          <w:szCs w:val="44"/>
        </w:rPr>
      </w:pPr>
      <w:r>
        <w:rPr>
          <w:rFonts w:hint="eastAsia" w:ascii="微软雅黑" w:hAnsi="微软雅黑" w:cs="微软雅黑"/>
          <w:b/>
          <w:sz w:val="44"/>
          <w:szCs w:val="44"/>
        </w:rPr>
        <w:t>询比邀请书</w:t>
      </w:r>
    </w:p>
    <w:p>
      <w:pPr>
        <w:spacing w:line="520" w:lineRule="exact"/>
        <w:rPr>
          <w:rFonts w:ascii="微软雅黑" w:hAnsi="微软雅黑" w:cs="微软雅黑"/>
          <w:b/>
          <w:sz w:val="24"/>
        </w:rPr>
      </w:pPr>
      <w:r>
        <w:rPr>
          <w:rFonts w:hint="eastAsia" w:ascii="微软雅黑" w:hAnsi="微软雅黑" w:cs="微软雅黑"/>
          <w:b/>
          <w:sz w:val="24"/>
        </w:rPr>
        <w:t>XXXXXXX公司：</w:t>
      </w:r>
    </w:p>
    <w:p>
      <w:pPr>
        <w:autoSpaceDE w:val="0"/>
        <w:autoSpaceDN w:val="0"/>
        <w:spacing w:before="156" w:beforeLines="50" w:after="156" w:afterLines="50" w:line="520" w:lineRule="exact"/>
        <w:ind w:firstLine="480" w:firstLineChars="200"/>
        <w:rPr>
          <w:rFonts w:ascii="微软雅黑" w:hAnsi="微软雅黑" w:cs="微软雅黑"/>
          <w:sz w:val="24"/>
        </w:rPr>
      </w:pPr>
      <w:r>
        <w:rPr>
          <w:rFonts w:hint="eastAsia" w:ascii="微软雅黑" w:hAnsi="微软雅黑" w:cs="微软雅黑"/>
          <w:sz w:val="24"/>
        </w:rPr>
        <w:t>中粮糖业辽宁有限公司计划于202</w:t>
      </w:r>
      <w:r>
        <w:rPr>
          <w:rFonts w:hint="eastAsia" w:ascii="微软雅黑" w:hAnsi="微软雅黑" w:cs="微软雅黑"/>
          <w:sz w:val="24"/>
          <w:lang w:val="en-US" w:eastAsia="zh-CN"/>
        </w:rPr>
        <w:t>3</w:t>
      </w:r>
      <w:r>
        <w:rPr>
          <w:rFonts w:hint="eastAsia" w:ascii="微软雅黑" w:hAnsi="微软雅黑" w:cs="微软雅黑"/>
          <w:sz w:val="24"/>
        </w:rPr>
        <w:t>年</w:t>
      </w:r>
      <w:r>
        <w:rPr>
          <w:rFonts w:hint="eastAsia" w:ascii="微软雅黑" w:hAnsi="微软雅黑" w:cs="微软雅黑"/>
          <w:sz w:val="24"/>
          <w:lang w:val="en-US" w:eastAsia="zh-CN"/>
        </w:rPr>
        <w:t>7</w:t>
      </w:r>
      <w:r>
        <w:rPr>
          <w:rFonts w:hint="eastAsia" w:ascii="微软雅黑" w:hAnsi="微软雅黑" w:cs="微软雅黑"/>
          <w:sz w:val="24"/>
        </w:rPr>
        <w:t>月</w:t>
      </w:r>
      <w:r>
        <w:rPr>
          <w:rFonts w:hint="eastAsia" w:ascii="微软雅黑" w:hAnsi="微软雅黑" w:cs="微软雅黑"/>
          <w:sz w:val="24"/>
          <w:lang w:val="en-US" w:eastAsia="zh-CN"/>
        </w:rPr>
        <w:t>20</w:t>
      </w:r>
      <w:bookmarkStart w:id="1" w:name="_GoBack"/>
      <w:bookmarkEnd w:id="1"/>
      <w:r>
        <w:rPr>
          <w:rFonts w:hint="eastAsia" w:ascii="微软雅黑" w:hAnsi="微软雅黑" w:cs="微软雅黑"/>
          <w:sz w:val="24"/>
        </w:rPr>
        <w:t>日</w:t>
      </w:r>
      <w:r>
        <w:rPr>
          <w:rFonts w:ascii="微软雅黑" w:hAnsi="微软雅黑" w:cs="微软雅黑"/>
          <w:sz w:val="24"/>
        </w:rPr>
        <w:t>-202</w:t>
      </w:r>
      <w:r>
        <w:rPr>
          <w:rFonts w:hint="eastAsia" w:ascii="微软雅黑" w:hAnsi="微软雅黑" w:cs="微软雅黑"/>
          <w:sz w:val="24"/>
          <w:lang w:val="en-US" w:eastAsia="zh-CN"/>
        </w:rPr>
        <w:t>3</w:t>
      </w:r>
      <w:r>
        <w:rPr>
          <w:rFonts w:hint="eastAsia" w:ascii="微软雅黑" w:hAnsi="微软雅黑" w:cs="微软雅黑"/>
          <w:sz w:val="24"/>
        </w:rPr>
        <w:t>年</w:t>
      </w:r>
      <w:r>
        <w:rPr>
          <w:rFonts w:hint="eastAsia" w:ascii="微软雅黑" w:hAnsi="微软雅黑" w:cs="微软雅黑"/>
          <w:sz w:val="24"/>
          <w:lang w:val="en-US" w:eastAsia="zh-CN"/>
        </w:rPr>
        <w:t>8</w:t>
      </w:r>
      <w:r>
        <w:rPr>
          <w:rFonts w:hint="eastAsia" w:ascii="微软雅黑" w:hAnsi="微软雅黑" w:cs="微软雅黑"/>
          <w:sz w:val="24"/>
        </w:rPr>
        <w:t>月</w:t>
      </w:r>
      <w:r>
        <w:rPr>
          <w:rFonts w:hint="eastAsia" w:ascii="微软雅黑" w:hAnsi="微软雅黑" w:cs="微软雅黑"/>
          <w:sz w:val="24"/>
          <w:lang w:val="en-US" w:eastAsia="zh-CN"/>
        </w:rPr>
        <w:t>5</w:t>
      </w:r>
      <w:r>
        <w:rPr>
          <w:rFonts w:hint="eastAsia" w:ascii="微软雅黑" w:hAnsi="微软雅黑" w:cs="微软雅黑"/>
          <w:sz w:val="24"/>
        </w:rPr>
        <w:t>日组织</w:t>
      </w:r>
      <w:r>
        <w:rPr>
          <w:rFonts w:hint="eastAsia" w:ascii="微软雅黑" w:hAnsi="微软雅黑" w:cs="微软雅黑"/>
          <w:sz w:val="24"/>
          <w:lang w:val="en-US" w:eastAsia="zh-CN"/>
        </w:rPr>
        <w:t>2023-2024</w:t>
      </w:r>
      <w:r>
        <w:rPr>
          <w:rFonts w:hint="eastAsia"/>
          <w:sz w:val="24"/>
          <w:szCs w:val="32"/>
        </w:rPr>
        <w:t>年度计量</w:t>
      </w:r>
      <w:r>
        <w:rPr>
          <w:rFonts w:hint="eastAsia"/>
          <w:sz w:val="24"/>
          <w:szCs w:val="32"/>
          <w:lang w:val="en-US" w:eastAsia="zh-CN"/>
        </w:rPr>
        <w:t>器具校验</w:t>
      </w:r>
      <w:r>
        <w:rPr>
          <w:rFonts w:hint="eastAsia"/>
          <w:sz w:val="24"/>
          <w:szCs w:val="32"/>
        </w:rPr>
        <w:t>采购</w:t>
      </w:r>
      <w:r>
        <w:rPr>
          <w:rFonts w:hint="eastAsia" w:ascii="微软雅黑" w:hAnsi="微软雅黑" w:cs="微软雅黑"/>
          <w:sz w:val="24"/>
        </w:rPr>
        <w:t>询比采购，</w:t>
      </w:r>
      <w:r>
        <w:rPr>
          <w:rFonts w:hint="eastAsia" w:ascii="微软雅黑" w:hAnsi="微软雅黑" w:cs="微软雅黑"/>
          <w:color w:val="000000" w:themeColor="text1"/>
          <w:sz w:val="24"/>
          <w:highlight w:val="none"/>
          <w14:textFill>
            <w14:solidFill>
              <w14:schemeClr w14:val="tx1"/>
            </w14:solidFill>
          </w14:textFill>
        </w:rPr>
        <w:t>符合招标规定的公司可到中粮屯河糖业股份有限公司EPS电子采购系统按照要求及时完成注册、报名、投标工作</w:t>
      </w:r>
      <w:r>
        <w:rPr>
          <w:rFonts w:hint="eastAsia" w:ascii="微软雅黑" w:hAnsi="微软雅黑" w:cs="微软雅黑"/>
          <w:color w:val="000000" w:themeColor="text1"/>
          <w:sz w:val="24"/>
          <w:highlight w:val="none"/>
          <w:lang w:eastAsia="zh-CN"/>
          <w14:textFill>
            <w14:solidFill>
              <w14:schemeClr w14:val="tx1"/>
            </w14:solidFill>
          </w14:textFill>
        </w:rPr>
        <w:t>，</w:t>
      </w:r>
      <w:r>
        <w:rPr>
          <w:rFonts w:hint="eastAsia" w:ascii="微软雅黑" w:hAnsi="微软雅黑" w:cs="微软雅黑"/>
          <w:sz w:val="24"/>
        </w:rPr>
        <w:t>请贵公司按照询比文件要求编制投标文件，并在规定时间内完成投标工作。</w:t>
      </w:r>
    </w:p>
    <w:p>
      <w:pPr>
        <w:autoSpaceDE w:val="0"/>
        <w:autoSpaceDN w:val="0"/>
        <w:spacing w:before="156" w:beforeLines="50" w:after="156" w:afterLines="50" w:line="520" w:lineRule="exact"/>
        <w:ind w:firstLine="480" w:firstLineChars="200"/>
        <w:rPr>
          <w:rFonts w:ascii="微软雅黑" w:hAnsi="微软雅黑" w:cs="微软雅黑"/>
          <w:sz w:val="24"/>
        </w:rPr>
      </w:pPr>
      <w:r>
        <w:rPr>
          <w:rFonts w:hint="eastAsia" w:ascii="微软雅黑" w:hAnsi="微软雅黑" w:cs="微软雅黑"/>
          <w:sz w:val="24"/>
        </w:rPr>
        <w:t>联系人：</w:t>
      </w:r>
      <w:r>
        <w:rPr>
          <w:rFonts w:hint="eastAsia" w:ascii="微软雅黑" w:hAnsi="微软雅黑" w:cs="微软雅黑"/>
          <w:sz w:val="24"/>
          <w:lang w:val="en-US" w:eastAsia="zh-CN"/>
        </w:rPr>
        <w:t>滕飞</w:t>
      </w:r>
      <w:r>
        <w:rPr>
          <w:rFonts w:hint="eastAsia" w:ascii="微软雅黑" w:hAnsi="微软雅黑" w:cs="微软雅黑"/>
          <w:sz w:val="24"/>
        </w:rPr>
        <w:t xml:space="preserve"> 电话：</w:t>
      </w:r>
      <w:r>
        <w:rPr>
          <w:rFonts w:hint="eastAsia" w:ascii="微软雅黑" w:hAnsi="微软雅黑" w:cs="微软雅黑"/>
          <w:sz w:val="24"/>
          <w:lang w:val="en-US" w:eastAsia="zh-CN"/>
        </w:rPr>
        <w:t>19818655588</w:t>
      </w:r>
      <w:r>
        <w:rPr>
          <w:rFonts w:hint="eastAsia" w:ascii="微软雅黑" w:hAnsi="微软雅黑" w:cs="微软雅黑"/>
          <w:sz w:val="24"/>
        </w:rPr>
        <w:t xml:space="preserve"> 0417-6573088</w:t>
      </w:r>
    </w:p>
    <w:p>
      <w:pPr>
        <w:spacing w:line="360" w:lineRule="auto"/>
        <w:rPr>
          <w:rFonts w:hint="default" w:ascii="微软雅黑" w:hAnsi="微软雅黑" w:eastAsia="微软雅黑" w:cs="微软雅黑"/>
          <w:sz w:val="24"/>
          <w:lang w:val="en-US" w:eastAsia="zh-CN"/>
        </w:rPr>
      </w:pPr>
      <w:r>
        <w:rPr>
          <w:rFonts w:hint="eastAsia" w:ascii="微软雅黑" w:hAnsi="微软雅黑" w:cs="微软雅黑"/>
          <w:sz w:val="24"/>
        </w:rPr>
        <w:t xml:space="preserve">                 邮箱：</w:t>
      </w:r>
      <w:r>
        <w:rPr>
          <w:rFonts w:hint="eastAsia" w:ascii="微软雅黑" w:hAnsi="微软雅黑" w:cs="微软雅黑"/>
          <w:sz w:val="24"/>
          <w:lang w:val="en-US" w:eastAsia="zh-CN"/>
        </w:rPr>
        <w:fldChar w:fldCharType="begin"/>
      </w:r>
      <w:r>
        <w:rPr>
          <w:rFonts w:hint="eastAsia" w:ascii="微软雅黑" w:hAnsi="微软雅黑" w:cs="微软雅黑"/>
          <w:sz w:val="24"/>
          <w:lang w:val="en-US" w:eastAsia="zh-CN"/>
        </w:rPr>
        <w:instrText xml:space="preserve"> HYPERLINK "mailto:stefanieteng@126.com" </w:instrText>
      </w:r>
      <w:r>
        <w:rPr>
          <w:rFonts w:hint="eastAsia" w:ascii="微软雅黑" w:hAnsi="微软雅黑" w:cs="微软雅黑"/>
          <w:sz w:val="24"/>
          <w:lang w:val="en-US" w:eastAsia="zh-CN"/>
        </w:rPr>
        <w:fldChar w:fldCharType="separate"/>
      </w:r>
      <w:r>
        <w:rPr>
          <w:rStyle w:val="11"/>
          <w:rFonts w:hint="eastAsia" w:ascii="微软雅黑" w:hAnsi="微软雅黑" w:cs="微软雅黑"/>
          <w:sz w:val="24"/>
          <w:lang w:val="en-US" w:eastAsia="zh-CN"/>
        </w:rPr>
        <w:t>stefanieteng@126.com</w:t>
      </w:r>
      <w:r>
        <w:rPr>
          <w:rFonts w:hint="eastAsia" w:ascii="微软雅黑" w:hAnsi="微软雅黑" w:cs="微软雅黑"/>
          <w:sz w:val="24"/>
          <w:lang w:val="en-US" w:eastAsia="zh-CN"/>
        </w:rPr>
        <w:fldChar w:fldCharType="end"/>
      </w:r>
      <w:r>
        <w:rPr>
          <w:rFonts w:hint="eastAsia" w:ascii="微软雅黑" w:hAnsi="微软雅黑" w:cs="微软雅黑"/>
          <w:sz w:val="24"/>
          <w:lang w:val="en-US" w:eastAsia="zh-CN"/>
        </w:rPr>
        <w:t xml:space="preserve"> </w:t>
      </w:r>
    </w:p>
    <w:p>
      <w:pPr>
        <w:spacing w:line="360" w:lineRule="auto"/>
        <w:ind w:firstLine="480" w:firstLineChars="200"/>
        <w:rPr>
          <w:rFonts w:ascii="微软雅黑" w:hAnsi="微软雅黑" w:cs="微软雅黑"/>
          <w:sz w:val="24"/>
        </w:rPr>
      </w:pPr>
      <w:r>
        <w:rPr>
          <w:rFonts w:hint="eastAsia" w:ascii="微软雅黑" w:hAnsi="微软雅黑" w:cs="微软雅黑"/>
          <w:sz w:val="24"/>
        </w:rPr>
        <w:t>投标须知：所有投标供应商仔细阅读询比文件，完全符合要求后参与投标，一旦参与投标，表示供应商对发包方的所有的要求都满足。</w:t>
      </w:r>
    </w:p>
    <w:p>
      <w:pPr>
        <w:autoSpaceDE w:val="0"/>
        <w:autoSpaceDN w:val="0"/>
        <w:spacing w:before="156" w:beforeLines="50" w:after="156" w:afterLines="50" w:line="520" w:lineRule="exact"/>
        <w:ind w:firstLine="480" w:firstLineChars="200"/>
        <w:rPr>
          <w:rFonts w:ascii="微软雅黑" w:hAnsi="微软雅黑" w:cs="微软雅黑"/>
          <w:sz w:val="24"/>
        </w:rPr>
      </w:pPr>
    </w:p>
    <w:p>
      <w:pPr>
        <w:autoSpaceDE w:val="0"/>
        <w:autoSpaceDN w:val="0"/>
        <w:spacing w:before="156" w:beforeLines="50" w:after="156" w:afterLines="50" w:line="520" w:lineRule="exact"/>
        <w:ind w:firstLine="480" w:firstLineChars="200"/>
        <w:rPr>
          <w:rFonts w:ascii="微软雅黑" w:hAnsi="微软雅黑" w:cs="微软雅黑"/>
          <w:sz w:val="24"/>
        </w:rPr>
      </w:pPr>
    </w:p>
    <w:p>
      <w:pPr>
        <w:autoSpaceDE w:val="0"/>
        <w:autoSpaceDN w:val="0"/>
        <w:spacing w:before="156" w:beforeLines="50" w:after="156" w:afterLines="50" w:line="520" w:lineRule="exact"/>
        <w:ind w:firstLine="480" w:firstLineChars="200"/>
        <w:rPr>
          <w:rFonts w:ascii="微软雅黑" w:hAnsi="微软雅黑" w:cs="微软雅黑"/>
          <w:sz w:val="24"/>
        </w:rPr>
      </w:pPr>
    </w:p>
    <w:p>
      <w:pPr>
        <w:autoSpaceDE w:val="0"/>
        <w:autoSpaceDN w:val="0"/>
        <w:spacing w:before="156" w:beforeLines="50" w:after="156" w:afterLines="50" w:line="520" w:lineRule="exact"/>
        <w:ind w:firstLine="480" w:firstLineChars="200"/>
        <w:rPr>
          <w:rFonts w:ascii="微软雅黑" w:hAnsi="微软雅黑" w:cs="微软雅黑"/>
          <w:sz w:val="24"/>
        </w:rPr>
      </w:pPr>
    </w:p>
    <w:p>
      <w:pPr>
        <w:autoSpaceDE w:val="0"/>
        <w:autoSpaceDN w:val="0"/>
        <w:spacing w:before="156" w:beforeLines="50" w:after="156" w:afterLines="50" w:line="520" w:lineRule="exact"/>
        <w:ind w:firstLine="480" w:firstLineChars="200"/>
        <w:rPr>
          <w:rFonts w:ascii="微软雅黑" w:hAnsi="微软雅黑" w:cs="微软雅黑"/>
          <w:sz w:val="24"/>
        </w:rPr>
      </w:pPr>
    </w:p>
    <w:p>
      <w:pPr>
        <w:autoSpaceDE w:val="0"/>
        <w:autoSpaceDN w:val="0"/>
        <w:spacing w:before="156" w:beforeLines="50" w:after="156" w:afterLines="50" w:line="520" w:lineRule="exact"/>
        <w:ind w:firstLine="480" w:firstLineChars="200"/>
        <w:rPr>
          <w:rFonts w:ascii="微软雅黑" w:hAnsi="微软雅黑" w:cs="微软雅黑"/>
          <w:sz w:val="24"/>
        </w:rPr>
      </w:pPr>
    </w:p>
    <w:p>
      <w:pPr>
        <w:autoSpaceDE w:val="0"/>
        <w:autoSpaceDN w:val="0"/>
        <w:spacing w:before="156" w:beforeLines="50" w:after="156" w:afterLines="50" w:line="520" w:lineRule="exact"/>
        <w:ind w:firstLine="480" w:firstLineChars="200"/>
        <w:rPr>
          <w:rFonts w:ascii="微软雅黑" w:hAnsi="微软雅黑" w:cs="微软雅黑"/>
          <w:sz w:val="24"/>
        </w:rPr>
      </w:pPr>
    </w:p>
    <w:p>
      <w:pPr>
        <w:autoSpaceDE w:val="0"/>
        <w:autoSpaceDN w:val="0"/>
        <w:spacing w:before="156" w:beforeLines="50" w:after="156" w:afterLines="50" w:line="520" w:lineRule="exact"/>
        <w:ind w:firstLine="480" w:firstLineChars="200"/>
        <w:rPr>
          <w:rFonts w:ascii="微软雅黑" w:hAnsi="微软雅黑" w:cs="微软雅黑"/>
          <w:sz w:val="24"/>
        </w:rPr>
      </w:pPr>
    </w:p>
    <w:p>
      <w:pPr>
        <w:autoSpaceDE w:val="0"/>
        <w:autoSpaceDN w:val="0"/>
        <w:spacing w:before="156" w:beforeLines="50" w:after="156" w:afterLines="50" w:line="520" w:lineRule="exact"/>
        <w:ind w:firstLine="480" w:firstLineChars="200"/>
        <w:rPr>
          <w:rFonts w:ascii="微软雅黑" w:hAnsi="微软雅黑" w:cs="微软雅黑"/>
          <w:sz w:val="24"/>
        </w:rPr>
      </w:pPr>
    </w:p>
    <w:p>
      <w:pPr>
        <w:autoSpaceDE w:val="0"/>
        <w:autoSpaceDN w:val="0"/>
        <w:spacing w:before="156" w:beforeLines="50" w:after="156" w:afterLines="50" w:line="520" w:lineRule="exact"/>
        <w:rPr>
          <w:rFonts w:ascii="微软雅黑" w:hAnsi="微软雅黑" w:cs="微软雅黑"/>
          <w:sz w:val="24"/>
        </w:rPr>
      </w:pPr>
    </w:p>
    <w:p>
      <w:pPr>
        <w:autoSpaceDE w:val="0"/>
        <w:autoSpaceDN w:val="0"/>
        <w:spacing w:before="156" w:beforeLines="50" w:after="156" w:afterLines="50" w:line="520" w:lineRule="exact"/>
        <w:ind w:firstLine="480" w:firstLineChars="200"/>
        <w:rPr>
          <w:rFonts w:ascii="微软雅黑" w:hAnsi="微软雅黑" w:cs="微软雅黑"/>
          <w:sz w:val="24"/>
        </w:rPr>
      </w:pPr>
    </w:p>
    <w:p>
      <w:pPr>
        <w:spacing w:line="360" w:lineRule="auto"/>
        <w:ind w:firstLine="562" w:firstLineChars="20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color w:val="000000" w:themeColor="text1"/>
          <w:sz w:val="28"/>
          <w:szCs w:val="28"/>
          <w14:textFill>
            <w14:solidFill>
              <w14:schemeClr w14:val="tx1"/>
            </w14:solidFill>
          </w14:textFill>
        </w:rPr>
        <w:t xml:space="preserve">第一部分  </w:t>
      </w:r>
      <w:r>
        <w:rPr>
          <w:rFonts w:hint="eastAsia" w:asciiTheme="minorEastAsia" w:hAnsiTheme="minorEastAsia" w:eastAsiaTheme="minorEastAsia"/>
          <w:b/>
          <w:bCs/>
          <w:sz w:val="28"/>
          <w:szCs w:val="28"/>
        </w:rPr>
        <w:t>采购项目需求</w:t>
      </w:r>
    </w:p>
    <w:p>
      <w:pPr>
        <w:ind w:firstLine="560" w:firstLineChars="200"/>
        <w:rPr>
          <w:rFonts w:ascii="宋体" w:hAnsi="宋体" w:eastAsia="宋体"/>
          <w:sz w:val="28"/>
          <w:szCs w:val="28"/>
        </w:rPr>
      </w:pPr>
      <w:r>
        <w:rPr>
          <w:rFonts w:hint="eastAsia" w:ascii="宋体" w:hAnsi="宋体" w:eastAsia="宋体"/>
          <w:sz w:val="28"/>
          <w:szCs w:val="28"/>
        </w:rPr>
        <w:t>一、物资名称及规格型号、数量：</w:t>
      </w:r>
    </w:p>
    <w:tbl>
      <w:tblPr>
        <w:tblStyle w:val="8"/>
        <w:tblW w:w="90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22"/>
        <w:gridCol w:w="3420"/>
        <w:gridCol w:w="2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测量范围</w:t>
            </w:r>
          </w:p>
        </w:tc>
        <w:tc>
          <w:tcPr>
            <w:tcW w:w="2121" w:type="dxa"/>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真空表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（-0.1~0）MPa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丙烷表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(0~0.16) Mpa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(0~0.25) MPa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丙烷压力表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(0~0.3) MPa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(0~0.6) MPa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(0~1) MPa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(0~1.4) MPa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(0~1.6) MPa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(0~10) MPa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(0~16) MPa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（0~2.5）MPa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(0~25) MPa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(0~3) MPa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(0~30) MPa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(0~4) MPa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(0~40) MPa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(0~6) MPa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微差压表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Style w:val="22"/>
                <w:lang w:val="en-US" w:eastAsia="zh-CN" w:bidi="ar"/>
              </w:rPr>
              <w:t>（</w:t>
            </w:r>
            <w:r>
              <w:rPr>
                <w:rStyle w:val="23"/>
                <w:rFonts w:eastAsia="等线"/>
                <w:lang w:val="en-US" w:eastAsia="zh-CN" w:bidi="ar"/>
              </w:rPr>
              <w:t>0~300</w:t>
            </w:r>
            <w:r>
              <w:rPr>
                <w:rStyle w:val="22"/>
                <w:lang w:val="en-US" w:eastAsia="zh-CN" w:bidi="ar"/>
              </w:rPr>
              <w:t>）</w:t>
            </w:r>
            <w:r>
              <w:rPr>
                <w:rStyle w:val="23"/>
                <w:rFonts w:eastAsia="等线"/>
                <w:lang w:val="en-US" w:eastAsia="zh-CN" w:bidi="ar"/>
              </w:rPr>
              <w:t>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微差压表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(0~500) 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微差压表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（0~60）Pa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微差压表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2"/>
                <w:szCs w:val="22"/>
                <w:u w:val="none"/>
              </w:rPr>
            </w:pPr>
            <w:r>
              <w:rPr>
                <w:rStyle w:val="22"/>
                <w:lang w:val="en-US" w:eastAsia="zh-CN" w:bidi="ar"/>
              </w:rPr>
              <w:t>（</w:t>
            </w:r>
            <w:r>
              <w:rPr>
                <w:rStyle w:val="23"/>
                <w:rFonts w:eastAsia="等线"/>
                <w:lang w:val="en-US" w:eastAsia="zh-CN" w:bidi="ar"/>
              </w:rPr>
              <w:t>0~750</w:t>
            </w:r>
            <w:r>
              <w:rPr>
                <w:rStyle w:val="22"/>
                <w:lang w:val="en-US" w:eastAsia="zh-CN" w:bidi="ar"/>
              </w:rPr>
              <w:t>）</w:t>
            </w:r>
            <w:r>
              <w:rPr>
                <w:rStyle w:val="23"/>
                <w:rFonts w:eastAsia="等线"/>
                <w:lang w:val="en-US" w:eastAsia="zh-CN" w:bidi="ar"/>
              </w:rPr>
              <w:t>Pa</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数字温湿度计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温0.1℃，湿0.1%</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复合式气体检测仪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氧气(0-30.0%)VOL</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硫化氢(0-100)PPM</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一氧化碳(0-1000)PPM</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可燃气（0-100%）LEL</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固定式气体检测报警仪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一氧化碳(0-2000)PPM</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一氧化碳(0-1000)PPM</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二氧化碳(0-1000)PPM</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HCL</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氢气</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NH3</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H2S</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CH4</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硫化氢检测仪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SO2(0-100)PPM</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可燃气体检测仪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可燃气（0-100%）LEL</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报警器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一氧化碳(0-1000)PPM</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报警器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二氧化碳(0-1000)PPM</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硫化氢</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氧气</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气体报警仪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臭氧</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r>
    </w:tbl>
    <w:p>
      <w:pPr>
        <w:ind w:firstLine="560" w:firstLineChars="200"/>
        <w:rPr>
          <w:rFonts w:ascii="宋体" w:hAnsi="宋体" w:eastAsia="宋体"/>
          <w:kern w:val="2"/>
          <w:sz w:val="28"/>
          <w:szCs w:val="28"/>
        </w:rPr>
      </w:pP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二、定价方式：询比</w:t>
      </w:r>
      <w:r>
        <w:rPr>
          <w:rFonts w:hint="eastAsia" w:asciiTheme="minorEastAsia" w:hAnsiTheme="minorEastAsia" w:eastAsiaTheme="minorEastAsia"/>
          <w:sz w:val="28"/>
          <w:szCs w:val="28"/>
          <w:lang w:val="en-US" w:eastAsia="zh-CN"/>
        </w:rPr>
        <w:t>采购</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三、定标方式：总价最低价中标</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四、资质要求：</w:t>
      </w:r>
    </w:p>
    <w:p>
      <w:pPr>
        <w:ind w:firstLine="560" w:firstLineChars="200"/>
        <w:rPr>
          <w:rFonts w:ascii="宋体" w:hAnsi="宋体" w:eastAsia="宋体"/>
          <w:sz w:val="28"/>
          <w:szCs w:val="28"/>
        </w:rPr>
      </w:pPr>
      <w:r>
        <w:rPr>
          <w:rFonts w:hint="eastAsia" w:ascii="宋体" w:hAnsi="宋体" w:eastAsia="宋体"/>
          <w:sz w:val="28"/>
          <w:szCs w:val="28"/>
        </w:rPr>
        <w:t>1、保密协议</w:t>
      </w:r>
    </w:p>
    <w:p>
      <w:pPr>
        <w:ind w:firstLine="560" w:firstLineChars="200"/>
        <w:rPr>
          <w:rFonts w:ascii="宋体" w:hAnsi="宋体" w:eastAsia="宋体"/>
          <w:sz w:val="28"/>
          <w:szCs w:val="28"/>
        </w:rPr>
      </w:pPr>
      <w:r>
        <w:rPr>
          <w:rFonts w:hint="eastAsia" w:ascii="宋体" w:hAnsi="宋体" w:eastAsia="宋体"/>
          <w:sz w:val="28"/>
          <w:szCs w:val="28"/>
        </w:rPr>
        <w:t>2、营业执照</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三证合一</w:t>
      </w:r>
      <w:r>
        <w:rPr>
          <w:rFonts w:hint="eastAsia" w:ascii="宋体" w:hAnsi="宋体" w:eastAsia="宋体"/>
          <w:sz w:val="28"/>
          <w:szCs w:val="28"/>
          <w:highlight w:val="none"/>
          <w:lang w:eastAsia="zh-CN"/>
        </w:rPr>
        <w:t>）</w:t>
      </w:r>
      <w:r>
        <w:rPr>
          <w:rFonts w:hint="eastAsia" w:ascii="宋体" w:hAnsi="宋体" w:eastAsia="宋体"/>
          <w:sz w:val="28"/>
          <w:szCs w:val="28"/>
          <w:highlight w:val="none"/>
        </w:rPr>
        <w:t>；</w:t>
      </w:r>
    </w:p>
    <w:p>
      <w:pPr>
        <w:spacing w:line="360" w:lineRule="auto"/>
        <w:ind w:firstLine="560" w:firstLineChars="200"/>
        <w:rPr>
          <w:rFonts w:ascii="宋体" w:hAnsi="宋体" w:eastAsia="宋体"/>
          <w:sz w:val="28"/>
          <w:szCs w:val="28"/>
        </w:rPr>
      </w:pPr>
      <w:r>
        <w:rPr>
          <w:rFonts w:hint="eastAsia" w:ascii="宋体" w:hAnsi="宋体" w:eastAsia="宋体"/>
          <w:sz w:val="28"/>
          <w:szCs w:val="28"/>
        </w:rPr>
        <w:t>3、行业规定相关资质要求（如涉及）</w:t>
      </w:r>
    </w:p>
    <w:p>
      <w:pPr>
        <w:adjustRightInd/>
        <w:snapToGrid/>
        <w:spacing w:after="0"/>
        <w:rPr>
          <w:rFonts w:ascii="宋体" w:hAnsi="宋体" w:eastAsia="宋体"/>
          <w:sz w:val="28"/>
          <w:szCs w:val="28"/>
        </w:rPr>
      </w:pPr>
      <w:r>
        <w:rPr>
          <w:rFonts w:hint="eastAsia" w:ascii="宋体" w:hAnsi="宋体" w:eastAsia="宋体"/>
          <w:sz w:val="28"/>
          <w:szCs w:val="28"/>
        </w:rPr>
        <w:t xml:space="preserve">    4、质量承诺书、廉洁承诺书、授权委托书（EPS系统上传）</w:t>
      </w:r>
      <w:r>
        <w:rPr>
          <w:rFonts w:ascii="宋体" w:hAnsi="宋体" w:eastAsia="宋体"/>
          <w:sz w:val="28"/>
          <w:szCs w:val="28"/>
        </w:rPr>
        <w:br w:type="page"/>
      </w:r>
    </w:p>
    <w:p>
      <w:pPr>
        <w:spacing w:line="360" w:lineRule="auto"/>
        <w:ind w:firstLine="562" w:firstLineChars="200"/>
        <w:jc w:val="center"/>
        <w:rPr>
          <w:rFonts w:cs="仿宋_GB2312" w:asciiTheme="minorEastAsia" w:hAnsiTheme="minorEastAsia" w:eastAsiaTheme="minorEastAsia"/>
          <w:b/>
          <w:bCs/>
          <w:color w:val="000000" w:themeColor="text1"/>
          <w:sz w:val="28"/>
          <w:szCs w:val="28"/>
          <w14:textFill>
            <w14:solidFill>
              <w14:schemeClr w14:val="tx1"/>
            </w14:solidFill>
          </w14:textFill>
        </w:rPr>
      </w:pPr>
      <w:r>
        <w:rPr>
          <w:rFonts w:hint="eastAsia" w:cs="仿宋_GB2312" w:asciiTheme="minorEastAsia" w:hAnsiTheme="minorEastAsia" w:eastAsiaTheme="minorEastAsia"/>
          <w:b/>
          <w:bCs/>
          <w:color w:val="000000" w:themeColor="text1"/>
          <w:sz w:val="28"/>
          <w:szCs w:val="28"/>
          <w14:textFill>
            <w14:solidFill>
              <w14:schemeClr w14:val="tx1"/>
            </w14:solidFill>
          </w14:textFill>
        </w:rPr>
        <w:t>第二部分 合同主要条款</w:t>
      </w:r>
    </w:p>
    <w:p>
      <w:pPr>
        <w:jc w:val="center"/>
        <w:rPr>
          <w:rFonts w:ascii="宋体" w:hAnsi="宋体" w:eastAsia="宋体" w:cs="黑体"/>
          <w:b/>
          <w:sz w:val="48"/>
          <w:szCs w:val="48"/>
        </w:rPr>
      </w:pPr>
      <w:r>
        <w:rPr>
          <w:rFonts w:hint="eastAsia" w:ascii="宋体" w:hAnsi="宋体" w:cs="黑体"/>
          <w:b/>
          <w:sz w:val="48"/>
          <w:szCs w:val="48"/>
        </w:rPr>
        <w:t>计量器具</w:t>
      </w:r>
      <w:r>
        <w:rPr>
          <w:rFonts w:hint="eastAsia" w:ascii="宋体" w:hAnsi="宋体" w:cs="黑体"/>
          <w:b/>
          <w:sz w:val="48"/>
          <w:szCs w:val="48"/>
          <w:lang w:val="en-US" w:eastAsia="zh-CN"/>
        </w:rPr>
        <w:t>校验</w:t>
      </w:r>
      <w:r>
        <w:rPr>
          <w:rFonts w:hint="eastAsia" w:ascii="宋体" w:hAnsi="宋体" w:cs="黑体"/>
          <w:b/>
          <w:sz w:val="48"/>
          <w:szCs w:val="48"/>
        </w:rPr>
        <w:t>服务合同</w:t>
      </w:r>
    </w:p>
    <w:p>
      <w:pPr>
        <w:ind w:right="105"/>
        <w:jc w:val="right"/>
        <w:rPr>
          <w:rFonts w:hint="eastAsia" w:ascii="黑体" w:hAnsi="宋体" w:eastAsia="黑体" w:cs="Calibri"/>
          <w:b/>
          <w:sz w:val="21"/>
          <w:szCs w:val="21"/>
        </w:rPr>
      </w:pPr>
      <w:r>
        <w:rPr>
          <w:rFonts w:hint="eastAsia" w:ascii="黑体" w:hAnsi="宋体" w:eastAsia="黑体"/>
          <w:b/>
        </w:rPr>
        <w:t xml:space="preserve"> </w:t>
      </w:r>
    </w:p>
    <w:p>
      <w:pPr>
        <w:wordWrap w:val="0"/>
        <w:ind w:right="105"/>
        <w:jc w:val="center"/>
        <w:rPr>
          <w:rFonts w:hint="eastAsia" w:ascii="黑体" w:hAnsi="宋体" w:eastAsia="黑体"/>
          <w:b/>
          <w:highlight w:val="yellow"/>
        </w:rPr>
      </w:pPr>
      <w:r>
        <w:rPr>
          <w:rFonts w:hint="eastAsia" w:ascii="黑体" w:hAnsi="宋体" w:eastAsia="黑体"/>
          <w:b/>
        </w:rPr>
        <w:t xml:space="preserve">                                    </w:t>
      </w:r>
      <w:r>
        <w:rPr>
          <w:rFonts w:hint="eastAsia" w:ascii="黑体" w:hAnsi="宋体" w:eastAsia="黑体"/>
          <w:b/>
          <w:highlight w:val="yellow"/>
        </w:rPr>
        <w:t xml:space="preserve">  </w:t>
      </w:r>
      <w:r>
        <w:rPr>
          <w:rFonts w:hint="eastAsia" w:ascii="黑体" w:hAnsi="黑体" w:eastAsia="黑体"/>
          <w:b/>
          <w:highlight w:val="yellow"/>
        </w:rPr>
        <w:t>合同编号：</w:t>
      </w:r>
    </w:p>
    <w:p>
      <w:pPr>
        <w:spacing w:line="540" w:lineRule="exact"/>
        <w:ind w:firstLine="420" w:firstLineChars="200"/>
        <w:rPr>
          <w:rFonts w:hint="eastAsia" w:ascii="宋体" w:hAnsi="宋体" w:eastAsia="宋体"/>
          <w:bCs/>
          <w:sz w:val="21"/>
          <w:szCs w:val="21"/>
        </w:rPr>
      </w:pPr>
      <w:r>
        <w:rPr>
          <w:rFonts w:hint="eastAsia" w:ascii="宋体" w:hAnsi="宋体"/>
          <w:bCs/>
          <w:sz w:val="21"/>
          <w:szCs w:val="21"/>
        </w:rPr>
        <w:t>项目名称：</w:t>
      </w:r>
      <w:r>
        <w:rPr>
          <w:rFonts w:hint="eastAsia" w:ascii="宋体" w:hAnsi="宋体" w:eastAsia="宋体"/>
          <w:bCs/>
          <w:sz w:val="21"/>
          <w:szCs w:val="21"/>
        </w:rPr>
        <w:t xml:space="preserve"> </w:t>
      </w:r>
    </w:p>
    <w:p>
      <w:pPr>
        <w:spacing w:line="540" w:lineRule="exact"/>
        <w:ind w:firstLine="420" w:firstLineChars="200"/>
        <w:rPr>
          <w:rFonts w:hint="eastAsia" w:ascii="宋体" w:hAnsi="宋体"/>
          <w:bCs/>
          <w:sz w:val="21"/>
          <w:szCs w:val="21"/>
        </w:rPr>
      </w:pPr>
      <w:r>
        <w:rPr>
          <w:rFonts w:hint="eastAsia" w:ascii="宋体" w:hAnsi="宋体"/>
          <w:bCs/>
          <w:sz w:val="21"/>
          <w:szCs w:val="21"/>
        </w:rPr>
        <w:t>委托方（甲方）：中粮糖业辽宁有限公司</w:t>
      </w:r>
    </w:p>
    <w:p>
      <w:pPr>
        <w:spacing w:line="540" w:lineRule="exact"/>
        <w:ind w:firstLine="420" w:firstLineChars="200"/>
        <w:rPr>
          <w:rFonts w:hint="eastAsia" w:ascii="宋体" w:hAnsi="宋体"/>
          <w:bCs/>
          <w:sz w:val="21"/>
          <w:szCs w:val="21"/>
        </w:rPr>
      </w:pPr>
      <w:r>
        <w:rPr>
          <w:rFonts w:hint="eastAsia" w:ascii="宋体" w:hAnsi="宋体"/>
          <w:bCs/>
          <w:sz w:val="21"/>
          <w:szCs w:val="21"/>
        </w:rPr>
        <w:t xml:space="preserve">受托方（乙方）： </w:t>
      </w:r>
    </w:p>
    <w:p>
      <w:pPr>
        <w:spacing w:line="540" w:lineRule="exact"/>
        <w:ind w:firstLine="420" w:firstLineChars="200"/>
        <w:rPr>
          <w:rFonts w:hint="eastAsia" w:ascii="宋体" w:hAnsi="宋体"/>
          <w:bCs/>
          <w:sz w:val="21"/>
          <w:szCs w:val="21"/>
        </w:rPr>
      </w:pPr>
      <w:r>
        <w:rPr>
          <w:rFonts w:hint="eastAsia" w:ascii="宋体" w:hAnsi="宋体"/>
          <w:bCs/>
          <w:sz w:val="21"/>
          <w:szCs w:val="21"/>
        </w:rPr>
        <w:t>签订日期：年    月    日</w:t>
      </w:r>
    </w:p>
    <w:p>
      <w:pPr>
        <w:spacing w:line="540" w:lineRule="exact"/>
        <w:ind w:firstLine="420" w:firstLineChars="200"/>
        <w:rPr>
          <w:rFonts w:hint="eastAsia" w:ascii="宋体" w:hAnsi="宋体"/>
          <w:bCs/>
          <w:sz w:val="21"/>
          <w:szCs w:val="21"/>
        </w:rPr>
      </w:pPr>
      <w:r>
        <w:rPr>
          <w:rFonts w:hint="eastAsia" w:ascii="宋体" w:hAnsi="宋体"/>
          <w:bCs/>
          <w:sz w:val="21"/>
          <w:szCs w:val="21"/>
        </w:rPr>
        <w:t>签订地点：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339"/>
        <w:gridCol w:w="426"/>
        <w:gridCol w:w="569"/>
        <w:gridCol w:w="232"/>
        <w:gridCol w:w="1336"/>
        <w:gridCol w:w="339"/>
        <w:gridCol w:w="1227"/>
        <w:gridCol w:w="1339"/>
        <w:gridCol w:w="335"/>
        <w:gridCol w:w="669"/>
        <w:gridCol w:w="259"/>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jc w:val="center"/>
        </w:trPr>
        <w:tc>
          <w:tcPr>
            <w:tcW w:w="5132" w:type="dxa"/>
            <w:gridSpan w:val="6"/>
            <w:vAlign w:val="center"/>
          </w:tcPr>
          <w:p>
            <w:pPr>
              <w:spacing w:line="340" w:lineRule="exact"/>
              <w:jc w:val="center"/>
              <w:rPr>
                <w:szCs w:val="21"/>
              </w:rPr>
            </w:pPr>
            <w:r>
              <w:rPr>
                <w:rFonts w:hint="eastAsia"/>
                <w:szCs w:val="21"/>
              </w:rPr>
              <w:t>乙</w:t>
            </w:r>
            <w:r>
              <w:rPr>
                <w:rFonts w:hint="eastAsia"/>
                <w:szCs w:val="21"/>
                <w:lang w:val="en-US" w:eastAsia="zh-CN"/>
              </w:rPr>
              <w:t xml:space="preserve">        </w:t>
            </w:r>
            <w:r>
              <w:rPr>
                <w:rFonts w:hint="eastAsia"/>
                <w:szCs w:val="21"/>
              </w:rPr>
              <w:t>方</w:t>
            </w:r>
          </w:p>
        </w:tc>
        <w:tc>
          <w:tcPr>
            <w:tcW w:w="339" w:type="dxa"/>
            <w:vMerge w:val="restart"/>
            <w:tcBorders>
              <w:top w:val="nil"/>
            </w:tcBorders>
            <w:vAlign w:val="center"/>
          </w:tcPr>
          <w:p>
            <w:pPr>
              <w:spacing w:line="340" w:lineRule="exact"/>
              <w:jc w:val="center"/>
              <w:rPr>
                <w:szCs w:val="21"/>
                <w:u w:val="single"/>
              </w:rPr>
            </w:pPr>
          </w:p>
        </w:tc>
        <w:tc>
          <w:tcPr>
            <w:tcW w:w="5077" w:type="dxa"/>
            <w:gridSpan w:val="6"/>
            <w:vAlign w:val="center"/>
          </w:tcPr>
          <w:p>
            <w:pPr>
              <w:spacing w:line="340" w:lineRule="exact"/>
              <w:jc w:val="center"/>
              <w:rPr>
                <w:szCs w:val="21"/>
              </w:rPr>
            </w:pPr>
            <w:r>
              <w:rPr>
                <w:rFonts w:hint="eastAsia"/>
                <w:szCs w:val="21"/>
                <w:lang w:val="en-US" w:eastAsia="zh-CN"/>
              </w:rPr>
              <w:t>甲</w:t>
            </w:r>
            <w:r>
              <w:rPr>
                <w:szCs w:val="21"/>
              </w:rPr>
              <w:t xml:space="preserve">      </w:t>
            </w:r>
            <w:r>
              <w:rPr>
                <w:rFonts w:hint="eastAsia"/>
                <w:szCs w:val="21"/>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1230" w:type="dxa"/>
          </w:tcPr>
          <w:p>
            <w:pPr>
              <w:spacing w:line="340" w:lineRule="exact"/>
              <w:ind w:left="-57" w:right="-57"/>
              <w:jc w:val="center"/>
              <w:rPr>
                <w:szCs w:val="21"/>
              </w:rPr>
            </w:pPr>
            <w:r>
              <w:rPr>
                <w:rFonts w:hint="eastAsia"/>
                <w:szCs w:val="21"/>
              </w:rPr>
              <w:t>单位名称</w:t>
            </w:r>
          </w:p>
        </w:tc>
        <w:tc>
          <w:tcPr>
            <w:tcW w:w="3901" w:type="dxa"/>
            <w:gridSpan w:val="5"/>
          </w:tcPr>
          <w:p>
            <w:pPr>
              <w:spacing w:line="340" w:lineRule="exact"/>
              <w:ind w:left="-57" w:right="-57"/>
              <w:rPr>
                <w:szCs w:val="21"/>
              </w:rPr>
            </w:pPr>
          </w:p>
        </w:tc>
        <w:tc>
          <w:tcPr>
            <w:tcW w:w="339" w:type="dxa"/>
            <w:vMerge w:val="continue"/>
          </w:tcPr>
          <w:p>
            <w:pPr>
              <w:spacing w:line="340" w:lineRule="exact"/>
              <w:ind w:left="-57" w:right="-57"/>
              <w:rPr>
                <w:szCs w:val="21"/>
              </w:rPr>
            </w:pPr>
          </w:p>
        </w:tc>
        <w:tc>
          <w:tcPr>
            <w:tcW w:w="1227" w:type="dxa"/>
          </w:tcPr>
          <w:p>
            <w:pPr>
              <w:spacing w:line="340" w:lineRule="exact"/>
              <w:ind w:left="-57" w:right="-57"/>
              <w:jc w:val="center"/>
              <w:rPr>
                <w:szCs w:val="21"/>
              </w:rPr>
            </w:pPr>
            <w:r>
              <w:rPr>
                <w:rFonts w:hint="eastAsia"/>
                <w:szCs w:val="21"/>
              </w:rPr>
              <w:t>单位名称</w:t>
            </w:r>
          </w:p>
        </w:tc>
        <w:tc>
          <w:tcPr>
            <w:tcW w:w="3850" w:type="dxa"/>
            <w:gridSpan w:val="5"/>
          </w:tcPr>
          <w:p>
            <w:pPr>
              <w:spacing w:line="340" w:lineRule="exact"/>
              <w:rPr>
                <w:rFonts w:ascii="宋体" w:cs="宋体"/>
                <w:szCs w:val="21"/>
              </w:rPr>
            </w:pPr>
            <w:r>
              <w:rPr>
                <w:rFonts w:hint="eastAsia" w:ascii="宋体" w:hAnsi="宋体" w:cs="宋体"/>
                <w:szCs w:val="21"/>
              </w:rPr>
              <w:t>中粮糖业辽宁有限公司</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230" w:type="dxa"/>
            <w:vAlign w:val="center"/>
          </w:tcPr>
          <w:p>
            <w:pPr>
              <w:spacing w:line="340" w:lineRule="exact"/>
              <w:ind w:left="-57" w:right="-57"/>
              <w:jc w:val="center"/>
              <w:rPr>
                <w:szCs w:val="21"/>
              </w:rPr>
            </w:pPr>
            <w:r>
              <w:rPr>
                <w:rFonts w:hint="eastAsia"/>
                <w:szCs w:val="21"/>
              </w:rPr>
              <w:t>单位地址</w:t>
            </w:r>
          </w:p>
        </w:tc>
        <w:tc>
          <w:tcPr>
            <w:tcW w:w="1765" w:type="dxa"/>
            <w:gridSpan w:val="2"/>
            <w:vAlign w:val="center"/>
          </w:tcPr>
          <w:p>
            <w:pPr>
              <w:spacing w:line="340" w:lineRule="exact"/>
              <w:ind w:left="-57" w:right="-57"/>
              <w:jc w:val="center"/>
              <w:rPr>
                <w:szCs w:val="21"/>
              </w:rPr>
            </w:pPr>
          </w:p>
        </w:tc>
        <w:tc>
          <w:tcPr>
            <w:tcW w:w="569" w:type="dxa"/>
            <w:vAlign w:val="center"/>
          </w:tcPr>
          <w:p>
            <w:pPr>
              <w:spacing w:line="340" w:lineRule="exact"/>
              <w:ind w:left="-57" w:right="-57"/>
              <w:jc w:val="center"/>
              <w:rPr>
                <w:szCs w:val="21"/>
              </w:rPr>
            </w:pPr>
            <w:r>
              <w:rPr>
                <w:rFonts w:hint="eastAsia"/>
                <w:szCs w:val="21"/>
              </w:rPr>
              <w:t>邮编</w:t>
            </w:r>
          </w:p>
        </w:tc>
        <w:tc>
          <w:tcPr>
            <w:tcW w:w="1567" w:type="dxa"/>
            <w:gridSpan w:val="2"/>
            <w:vAlign w:val="center"/>
          </w:tcPr>
          <w:p>
            <w:pPr>
              <w:spacing w:line="340" w:lineRule="exact"/>
              <w:ind w:left="-57" w:right="-57"/>
              <w:jc w:val="center"/>
              <w:rPr>
                <w:szCs w:val="21"/>
              </w:rPr>
            </w:pPr>
          </w:p>
        </w:tc>
        <w:tc>
          <w:tcPr>
            <w:tcW w:w="339" w:type="dxa"/>
            <w:vMerge w:val="continue"/>
            <w:vAlign w:val="center"/>
          </w:tcPr>
          <w:p>
            <w:pPr>
              <w:spacing w:line="340" w:lineRule="exact"/>
              <w:ind w:left="-57" w:right="-57"/>
              <w:jc w:val="center"/>
              <w:rPr>
                <w:szCs w:val="21"/>
              </w:rPr>
            </w:pPr>
          </w:p>
        </w:tc>
        <w:tc>
          <w:tcPr>
            <w:tcW w:w="1227" w:type="dxa"/>
            <w:vAlign w:val="center"/>
          </w:tcPr>
          <w:p>
            <w:pPr>
              <w:spacing w:line="340" w:lineRule="exact"/>
              <w:ind w:left="-57" w:right="-57"/>
              <w:jc w:val="center"/>
              <w:rPr>
                <w:szCs w:val="21"/>
              </w:rPr>
            </w:pPr>
            <w:r>
              <w:rPr>
                <w:rFonts w:hint="eastAsia"/>
                <w:szCs w:val="21"/>
              </w:rPr>
              <w:t>单位地址</w:t>
            </w:r>
          </w:p>
        </w:tc>
        <w:tc>
          <w:tcPr>
            <w:tcW w:w="1674" w:type="dxa"/>
            <w:gridSpan w:val="2"/>
            <w:vAlign w:val="center"/>
          </w:tcPr>
          <w:p>
            <w:pPr>
              <w:spacing w:line="340" w:lineRule="exact"/>
              <w:ind w:left="-57" w:right="-57"/>
              <w:jc w:val="center"/>
              <w:rPr>
                <w:szCs w:val="21"/>
              </w:rPr>
            </w:pPr>
            <w:r>
              <w:rPr>
                <w:rFonts w:hint="eastAsia"/>
                <w:szCs w:val="21"/>
              </w:rPr>
              <w:t>辽宁营口仙人岛经济开发区</w:t>
            </w:r>
          </w:p>
        </w:tc>
        <w:tc>
          <w:tcPr>
            <w:tcW w:w="669" w:type="dxa"/>
            <w:vAlign w:val="center"/>
          </w:tcPr>
          <w:p>
            <w:pPr>
              <w:spacing w:line="340" w:lineRule="exact"/>
              <w:ind w:left="-57" w:right="-57"/>
              <w:jc w:val="center"/>
              <w:rPr>
                <w:szCs w:val="21"/>
              </w:rPr>
            </w:pPr>
            <w:r>
              <w:rPr>
                <w:rFonts w:hint="eastAsia"/>
                <w:szCs w:val="21"/>
              </w:rPr>
              <w:t>邮编</w:t>
            </w:r>
          </w:p>
        </w:tc>
        <w:tc>
          <w:tcPr>
            <w:tcW w:w="1507" w:type="dxa"/>
            <w:gridSpan w:val="2"/>
            <w:vAlign w:val="center"/>
          </w:tcPr>
          <w:p>
            <w:pPr>
              <w:spacing w:line="340" w:lineRule="exact"/>
              <w:ind w:left="-57" w:right="-57"/>
              <w:rPr>
                <w:szCs w:val="21"/>
              </w:rPr>
            </w:pPr>
            <w:r>
              <w:rPr>
                <w:szCs w:val="21"/>
              </w:rPr>
              <w:t>115009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1230" w:type="dxa"/>
            <w:vAlign w:val="center"/>
          </w:tcPr>
          <w:p>
            <w:pPr>
              <w:spacing w:line="340" w:lineRule="exact"/>
              <w:ind w:left="-57" w:right="-57"/>
              <w:jc w:val="center"/>
              <w:rPr>
                <w:szCs w:val="21"/>
              </w:rPr>
            </w:pPr>
            <w:r>
              <w:rPr>
                <w:rFonts w:hint="eastAsia"/>
                <w:szCs w:val="21"/>
              </w:rPr>
              <w:t>电话</w:t>
            </w:r>
          </w:p>
        </w:tc>
        <w:tc>
          <w:tcPr>
            <w:tcW w:w="1765" w:type="dxa"/>
            <w:gridSpan w:val="2"/>
            <w:vAlign w:val="center"/>
          </w:tcPr>
          <w:p>
            <w:pPr>
              <w:spacing w:line="340" w:lineRule="exact"/>
              <w:ind w:left="-57" w:right="-57"/>
              <w:jc w:val="center"/>
              <w:rPr>
                <w:szCs w:val="21"/>
              </w:rPr>
            </w:pPr>
          </w:p>
        </w:tc>
        <w:tc>
          <w:tcPr>
            <w:tcW w:w="569" w:type="dxa"/>
            <w:vAlign w:val="center"/>
          </w:tcPr>
          <w:p>
            <w:pPr>
              <w:spacing w:line="340" w:lineRule="exact"/>
              <w:ind w:left="-57" w:right="-57"/>
              <w:jc w:val="center"/>
              <w:rPr>
                <w:szCs w:val="21"/>
              </w:rPr>
            </w:pPr>
            <w:r>
              <w:rPr>
                <w:rFonts w:hint="eastAsia"/>
                <w:szCs w:val="21"/>
              </w:rPr>
              <w:t>传真</w:t>
            </w:r>
          </w:p>
        </w:tc>
        <w:tc>
          <w:tcPr>
            <w:tcW w:w="1567" w:type="dxa"/>
            <w:gridSpan w:val="2"/>
            <w:vAlign w:val="center"/>
          </w:tcPr>
          <w:p>
            <w:pPr>
              <w:spacing w:line="340" w:lineRule="exact"/>
              <w:ind w:left="-57" w:right="-57"/>
              <w:jc w:val="center"/>
              <w:rPr>
                <w:szCs w:val="21"/>
              </w:rPr>
            </w:pPr>
          </w:p>
        </w:tc>
        <w:tc>
          <w:tcPr>
            <w:tcW w:w="339" w:type="dxa"/>
            <w:vMerge w:val="continue"/>
            <w:vAlign w:val="center"/>
          </w:tcPr>
          <w:p>
            <w:pPr>
              <w:spacing w:line="340" w:lineRule="exact"/>
              <w:ind w:left="-57" w:right="-57"/>
              <w:jc w:val="center"/>
              <w:rPr>
                <w:szCs w:val="21"/>
              </w:rPr>
            </w:pPr>
          </w:p>
        </w:tc>
        <w:tc>
          <w:tcPr>
            <w:tcW w:w="1227" w:type="dxa"/>
            <w:vAlign w:val="center"/>
          </w:tcPr>
          <w:p>
            <w:pPr>
              <w:spacing w:line="340" w:lineRule="exact"/>
              <w:ind w:left="-57" w:right="-57"/>
              <w:jc w:val="center"/>
              <w:rPr>
                <w:szCs w:val="21"/>
              </w:rPr>
            </w:pPr>
            <w:r>
              <w:rPr>
                <w:rFonts w:hint="eastAsia"/>
                <w:szCs w:val="21"/>
              </w:rPr>
              <w:t>电</w:t>
            </w:r>
            <w:r>
              <w:rPr>
                <w:szCs w:val="21"/>
              </w:rPr>
              <w:t xml:space="preserve">   </w:t>
            </w:r>
            <w:r>
              <w:rPr>
                <w:rFonts w:hint="eastAsia"/>
                <w:szCs w:val="21"/>
              </w:rPr>
              <w:t>话</w:t>
            </w:r>
          </w:p>
        </w:tc>
        <w:tc>
          <w:tcPr>
            <w:tcW w:w="1674" w:type="dxa"/>
            <w:gridSpan w:val="2"/>
            <w:vAlign w:val="center"/>
          </w:tcPr>
          <w:p>
            <w:pPr>
              <w:spacing w:line="340" w:lineRule="exact"/>
              <w:ind w:right="-57"/>
              <w:rPr>
                <w:szCs w:val="21"/>
              </w:rPr>
            </w:pPr>
            <w:r>
              <w:rPr>
                <w:szCs w:val="21"/>
              </w:rPr>
              <w:t>0417</w:t>
            </w:r>
            <w:r>
              <w:rPr>
                <w:rFonts w:hint="eastAsia"/>
                <w:szCs w:val="21"/>
              </w:rPr>
              <w:t>－</w:t>
            </w:r>
            <w:r>
              <w:rPr>
                <w:szCs w:val="21"/>
              </w:rPr>
              <w:t>65</w:t>
            </w:r>
            <w:r>
              <w:rPr>
                <w:rFonts w:hint="eastAsia"/>
                <w:szCs w:val="21"/>
              </w:rPr>
              <w:t>73088</w:t>
            </w:r>
          </w:p>
        </w:tc>
        <w:tc>
          <w:tcPr>
            <w:tcW w:w="669" w:type="dxa"/>
            <w:vAlign w:val="center"/>
          </w:tcPr>
          <w:p>
            <w:pPr>
              <w:spacing w:line="340" w:lineRule="exact"/>
              <w:ind w:left="-57" w:right="-57"/>
              <w:jc w:val="center"/>
              <w:rPr>
                <w:szCs w:val="21"/>
              </w:rPr>
            </w:pPr>
            <w:r>
              <w:rPr>
                <w:rFonts w:hint="eastAsia"/>
                <w:szCs w:val="21"/>
              </w:rPr>
              <w:t>传真</w:t>
            </w:r>
          </w:p>
        </w:tc>
        <w:tc>
          <w:tcPr>
            <w:tcW w:w="1507" w:type="dxa"/>
            <w:gridSpan w:val="2"/>
            <w:vAlign w:val="center"/>
          </w:tcPr>
          <w:p>
            <w:pPr>
              <w:spacing w:line="340" w:lineRule="exact"/>
              <w:ind w:left="-57" w:right="-57"/>
              <w:jc w:val="center"/>
              <w:rPr>
                <w:szCs w:val="21"/>
              </w:rPr>
            </w:pPr>
            <w:r>
              <w:rPr>
                <w:szCs w:val="21"/>
              </w:rPr>
              <w:t>0417-65</w:t>
            </w:r>
            <w:r>
              <w:rPr>
                <w:rFonts w:hint="eastAsia"/>
                <w:szCs w:val="21"/>
              </w:rPr>
              <w:t>73088</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230" w:type="dxa"/>
            <w:vAlign w:val="center"/>
          </w:tcPr>
          <w:p>
            <w:pPr>
              <w:spacing w:line="340" w:lineRule="exact"/>
              <w:ind w:left="-57" w:right="-57"/>
              <w:jc w:val="center"/>
              <w:rPr>
                <w:szCs w:val="21"/>
              </w:rPr>
            </w:pPr>
            <w:r>
              <w:rPr>
                <w:rFonts w:hint="eastAsia"/>
                <w:szCs w:val="21"/>
              </w:rPr>
              <w:t>开户银行</w:t>
            </w:r>
          </w:p>
        </w:tc>
        <w:tc>
          <w:tcPr>
            <w:tcW w:w="3901" w:type="dxa"/>
            <w:gridSpan w:val="5"/>
            <w:vAlign w:val="center"/>
          </w:tcPr>
          <w:p>
            <w:pPr>
              <w:spacing w:line="340" w:lineRule="exact"/>
              <w:ind w:left="-57" w:right="-57"/>
              <w:rPr>
                <w:szCs w:val="21"/>
              </w:rPr>
            </w:pPr>
          </w:p>
        </w:tc>
        <w:tc>
          <w:tcPr>
            <w:tcW w:w="339" w:type="dxa"/>
            <w:vMerge w:val="continue"/>
            <w:vAlign w:val="center"/>
          </w:tcPr>
          <w:p>
            <w:pPr>
              <w:spacing w:line="340" w:lineRule="exact"/>
              <w:ind w:left="-57" w:right="-57"/>
              <w:jc w:val="center"/>
              <w:rPr>
                <w:szCs w:val="21"/>
              </w:rPr>
            </w:pPr>
          </w:p>
        </w:tc>
        <w:tc>
          <w:tcPr>
            <w:tcW w:w="1227" w:type="dxa"/>
            <w:vAlign w:val="center"/>
          </w:tcPr>
          <w:p>
            <w:pPr>
              <w:spacing w:line="340" w:lineRule="exact"/>
              <w:ind w:left="-57" w:right="-57"/>
              <w:jc w:val="center"/>
              <w:rPr>
                <w:szCs w:val="21"/>
              </w:rPr>
            </w:pPr>
            <w:r>
              <w:rPr>
                <w:rFonts w:hint="eastAsia"/>
                <w:szCs w:val="21"/>
              </w:rPr>
              <w:t>开户银行</w:t>
            </w:r>
          </w:p>
        </w:tc>
        <w:tc>
          <w:tcPr>
            <w:tcW w:w="3850" w:type="dxa"/>
            <w:gridSpan w:val="5"/>
            <w:vAlign w:val="center"/>
          </w:tcPr>
          <w:p>
            <w:pPr>
              <w:spacing w:line="340" w:lineRule="exact"/>
              <w:ind w:left="-57" w:right="-57"/>
              <w:rPr>
                <w:szCs w:val="21"/>
              </w:rPr>
            </w:pPr>
            <w:r>
              <w:rPr>
                <w:rFonts w:hint="eastAsia"/>
                <w:szCs w:val="21"/>
              </w:rPr>
              <w:t>中国工商银行营口经济技术开发区支行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230" w:type="dxa"/>
            <w:vAlign w:val="center"/>
          </w:tcPr>
          <w:p>
            <w:pPr>
              <w:spacing w:line="340" w:lineRule="exact"/>
              <w:ind w:left="-57" w:right="-57"/>
              <w:jc w:val="center"/>
              <w:rPr>
                <w:szCs w:val="21"/>
              </w:rPr>
            </w:pPr>
            <w:r>
              <w:rPr>
                <w:rFonts w:hint="eastAsia"/>
                <w:szCs w:val="21"/>
              </w:rPr>
              <w:t>帐</w:t>
            </w:r>
            <w:r>
              <w:rPr>
                <w:szCs w:val="21"/>
              </w:rPr>
              <w:t xml:space="preserve">    </w:t>
            </w:r>
            <w:r>
              <w:rPr>
                <w:rFonts w:hint="eastAsia"/>
                <w:szCs w:val="21"/>
              </w:rPr>
              <w:t>号</w:t>
            </w:r>
          </w:p>
        </w:tc>
        <w:tc>
          <w:tcPr>
            <w:tcW w:w="3901" w:type="dxa"/>
            <w:gridSpan w:val="5"/>
            <w:vAlign w:val="center"/>
          </w:tcPr>
          <w:p>
            <w:pPr>
              <w:spacing w:line="340" w:lineRule="exact"/>
              <w:ind w:left="-57" w:right="-57"/>
              <w:rPr>
                <w:szCs w:val="21"/>
              </w:rPr>
            </w:pPr>
          </w:p>
        </w:tc>
        <w:tc>
          <w:tcPr>
            <w:tcW w:w="339" w:type="dxa"/>
            <w:vMerge w:val="continue"/>
            <w:vAlign w:val="center"/>
          </w:tcPr>
          <w:p>
            <w:pPr>
              <w:spacing w:line="340" w:lineRule="exact"/>
              <w:ind w:left="-57" w:right="-57"/>
              <w:jc w:val="center"/>
              <w:rPr>
                <w:szCs w:val="21"/>
              </w:rPr>
            </w:pPr>
          </w:p>
        </w:tc>
        <w:tc>
          <w:tcPr>
            <w:tcW w:w="1227" w:type="dxa"/>
            <w:vAlign w:val="center"/>
          </w:tcPr>
          <w:p>
            <w:pPr>
              <w:spacing w:line="340" w:lineRule="exact"/>
              <w:ind w:left="-57" w:right="-57"/>
              <w:jc w:val="center"/>
              <w:rPr>
                <w:szCs w:val="21"/>
              </w:rPr>
            </w:pPr>
            <w:r>
              <w:rPr>
                <w:rFonts w:hint="eastAsia"/>
                <w:szCs w:val="21"/>
              </w:rPr>
              <w:t>帐</w:t>
            </w:r>
            <w:r>
              <w:rPr>
                <w:szCs w:val="21"/>
              </w:rPr>
              <w:t xml:space="preserve">    </w:t>
            </w:r>
            <w:r>
              <w:rPr>
                <w:rFonts w:hint="eastAsia"/>
                <w:szCs w:val="21"/>
              </w:rPr>
              <w:t>号</w:t>
            </w:r>
          </w:p>
        </w:tc>
        <w:tc>
          <w:tcPr>
            <w:tcW w:w="3850" w:type="dxa"/>
            <w:gridSpan w:val="5"/>
            <w:vAlign w:val="center"/>
          </w:tcPr>
          <w:p>
            <w:pPr>
              <w:spacing w:line="340" w:lineRule="exact"/>
              <w:ind w:left="-57" w:right="-57"/>
              <w:rPr>
                <w:szCs w:val="21"/>
              </w:rPr>
            </w:pPr>
            <w:r>
              <w:rPr>
                <w:rFonts w:hint="eastAsia"/>
                <w:szCs w:val="21"/>
              </w:rPr>
              <w:t>0709001819223086193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1230" w:type="dxa"/>
            <w:vAlign w:val="center"/>
          </w:tcPr>
          <w:p>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901" w:type="dxa"/>
            <w:gridSpan w:val="5"/>
            <w:vAlign w:val="center"/>
          </w:tcPr>
          <w:p>
            <w:pPr>
              <w:spacing w:line="340" w:lineRule="exact"/>
              <w:ind w:left="-57" w:right="-57"/>
              <w:rPr>
                <w:szCs w:val="21"/>
              </w:rPr>
            </w:pPr>
          </w:p>
        </w:tc>
        <w:tc>
          <w:tcPr>
            <w:tcW w:w="339" w:type="dxa"/>
            <w:vMerge w:val="continue"/>
            <w:vAlign w:val="center"/>
          </w:tcPr>
          <w:p>
            <w:pPr>
              <w:spacing w:line="340" w:lineRule="exact"/>
              <w:ind w:left="-57" w:right="-57"/>
              <w:jc w:val="center"/>
              <w:rPr>
                <w:szCs w:val="21"/>
              </w:rPr>
            </w:pPr>
          </w:p>
        </w:tc>
        <w:tc>
          <w:tcPr>
            <w:tcW w:w="1227" w:type="dxa"/>
            <w:vAlign w:val="center"/>
          </w:tcPr>
          <w:p>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850" w:type="dxa"/>
            <w:gridSpan w:val="5"/>
            <w:vAlign w:val="center"/>
          </w:tcPr>
          <w:p>
            <w:pPr>
              <w:spacing w:line="340" w:lineRule="exact"/>
              <w:ind w:left="-57" w:right="-57"/>
              <w:rPr>
                <w:szCs w:val="21"/>
              </w:rPr>
            </w:pPr>
            <w:r>
              <w:rPr>
                <w:rFonts w:hint="eastAsia"/>
                <w:szCs w:val="21"/>
              </w:rPr>
              <w:t>91</w:t>
            </w:r>
            <w:r>
              <w:rPr>
                <w:szCs w:val="21"/>
              </w:rPr>
              <w:t>210881558152425</w:t>
            </w:r>
            <w:r>
              <w:rPr>
                <w:rFonts w:hint="eastAsia"/>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230" w:type="dxa"/>
            <w:vAlign w:val="center"/>
          </w:tcPr>
          <w:p>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pPr>
              <w:spacing w:line="340" w:lineRule="exact"/>
              <w:ind w:left="-57" w:right="-57"/>
              <w:jc w:val="center"/>
              <w:rPr>
                <w:szCs w:val="21"/>
              </w:rPr>
            </w:pPr>
          </w:p>
        </w:tc>
        <w:tc>
          <w:tcPr>
            <w:tcW w:w="1227" w:type="dxa"/>
            <w:gridSpan w:val="3"/>
            <w:vAlign w:val="center"/>
          </w:tcPr>
          <w:p>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335" w:type="dxa"/>
            <w:vAlign w:val="center"/>
          </w:tcPr>
          <w:p>
            <w:pPr>
              <w:spacing w:line="340" w:lineRule="exact"/>
              <w:ind w:left="-57" w:right="-57"/>
              <w:jc w:val="center"/>
              <w:rPr>
                <w:rFonts w:ascii="宋体"/>
                <w:color w:val="000000"/>
                <w:szCs w:val="21"/>
                <w:lang w:val="en-GB"/>
              </w:rPr>
            </w:pPr>
          </w:p>
        </w:tc>
        <w:tc>
          <w:tcPr>
            <w:tcW w:w="339" w:type="dxa"/>
            <w:vMerge w:val="continue"/>
            <w:vAlign w:val="center"/>
          </w:tcPr>
          <w:p>
            <w:pPr>
              <w:spacing w:line="340" w:lineRule="exact"/>
              <w:ind w:left="-57" w:right="-57"/>
              <w:jc w:val="center"/>
              <w:rPr>
                <w:szCs w:val="21"/>
              </w:rPr>
            </w:pPr>
          </w:p>
        </w:tc>
        <w:tc>
          <w:tcPr>
            <w:tcW w:w="1227" w:type="dxa"/>
            <w:vAlign w:val="center"/>
          </w:tcPr>
          <w:p>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pPr>
              <w:spacing w:line="340" w:lineRule="exact"/>
              <w:ind w:left="-57" w:right="-57"/>
              <w:jc w:val="center"/>
              <w:rPr>
                <w:szCs w:val="21"/>
              </w:rPr>
            </w:pPr>
          </w:p>
        </w:tc>
        <w:tc>
          <w:tcPr>
            <w:tcW w:w="1263" w:type="dxa"/>
            <w:gridSpan w:val="3"/>
            <w:vAlign w:val="center"/>
          </w:tcPr>
          <w:p>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247" w:type="dxa"/>
            <w:vAlign w:val="center"/>
          </w:tcPr>
          <w:p>
            <w:pPr>
              <w:spacing w:line="340" w:lineRule="exact"/>
              <w:ind w:left="-57" w:right="-57"/>
              <w:jc w:val="center"/>
              <w:rPr>
                <w:szCs w:val="21"/>
              </w:rPr>
            </w:pPr>
          </w:p>
        </w:tc>
      </w:tr>
    </w:tbl>
    <w:p>
      <w:pPr>
        <w:rPr>
          <w:sz w:val="40"/>
          <w:szCs w:val="28"/>
        </w:rPr>
      </w:pPr>
    </w:p>
    <w:p>
      <w:pPr>
        <w:spacing w:line="540" w:lineRule="exact"/>
        <w:ind w:firstLine="420" w:firstLineChars="200"/>
        <w:rPr>
          <w:rFonts w:hint="eastAsia" w:ascii="宋体" w:hAnsi="宋体"/>
          <w:bCs/>
          <w:sz w:val="21"/>
          <w:szCs w:val="21"/>
        </w:rPr>
      </w:pPr>
      <w:r>
        <w:rPr>
          <w:rFonts w:hint="eastAsia" w:ascii="宋体" w:hAnsi="宋体"/>
          <w:bCs/>
          <w:sz w:val="21"/>
          <w:szCs w:val="21"/>
        </w:rPr>
        <w:t xml:space="preserve"> </w:t>
      </w:r>
    </w:p>
    <w:p>
      <w:pPr>
        <w:rPr>
          <w:rFonts w:hint="eastAsia" w:ascii="宋体" w:hAnsi="宋体" w:cs="Calibri"/>
          <w:kern w:val="2"/>
        </w:rPr>
      </w:pPr>
      <w:r>
        <w:rPr>
          <w:rFonts w:hint="eastAsia" w:ascii="宋体" w:hAnsi="宋体"/>
        </w:rPr>
        <w:t xml:space="preserve"> </w:t>
      </w:r>
    </w:p>
    <w:p>
      <w:pPr>
        <w:ind w:firstLine="424" w:firstLineChars="193"/>
        <w:rPr>
          <w:rFonts w:hint="eastAsia" w:ascii="黑体" w:hAnsi="宋体" w:cs="黑体"/>
          <w:bCs/>
          <w:sz w:val="28"/>
          <w:szCs w:val="28"/>
        </w:rPr>
        <w:sectPr>
          <w:pgSz w:w="11906" w:h="16838"/>
          <w:pgMar w:top="1440" w:right="1080" w:bottom="1440" w:left="1080" w:header="340" w:footer="992" w:gutter="0"/>
          <w:cols w:space="720" w:num="1"/>
          <w:docGrid w:type="lines" w:linePitch="312" w:charSpace="0"/>
        </w:sectPr>
      </w:pPr>
      <w:r>
        <w:rPr>
          <w:rFonts w:hint="eastAsia" w:ascii="宋体" w:hAnsi="宋体"/>
        </w:rPr>
        <w:t>本协议由</w:t>
      </w:r>
      <w:r>
        <w:rPr>
          <w:rFonts w:hint="eastAsia" w:ascii="宋体" w:hAnsi="宋体"/>
          <w:u w:val="single"/>
        </w:rPr>
        <w:t xml:space="preserve"> </w:t>
      </w:r>
      <w:r>
        <w:rPr>
          <w:rFonts w:hint="eastAsia" w:ascii="宋体" w:hAnsi="宋体"/>
          <w:bCs/>
          <w:u w:val="single"/>
        </w:rPr>
        <w:t>中粮糖业辽宁有限公司</w:t>
      </w:r>
      <w:r>
        <w:rPr>
          <w:rFonts w:hint="eastAsia" w:ascii="宋体" w:hAnsi="宋体"/>
          <w:u w:val="single"/>
        </w:rPr>
        <w:t xml:space="preserve"> </w:t>
      </w:r>
      <w:r>
        <w:rPr>
          <w:rFonts w:hint="eastAsia" w:ascii="宋体" w:hAnsi="宋体"/>
        </w:rPr>
        <w:t>(以下简称“甲方”)与</w:t>
      </w:r>
      <w:r>
        <w:rPr>
          <w:rFonts w:hint="eastAsia" w:ascii="宋体" w:hAnsi="宋体"/>
          <w:u w:val="single"/>
          <w:lang w:val="en-US" w:eastAsia="zh-CN"/>
        </w:rPr>
        <w:t>****</w:t>
      </w:r>
      <w:r>
        <w:rPr>
          <w:rFonts w:hint="eastAsia" w:ascii="宋体" w:hAnsi="宋体"/>
        </w:rPr>
        <w:t>(以下简称“乙方”)在平等自愿的基础上，依据《中华人民共和国民法典》有关规定就计量仪器校准与服务事宜，经友好协商后订立，以共同恪守。</w:t>
      </w:r>
    </w:p>
    <w:p>
      <w:pPr>
        <w:rPr>
          <w:rFonts w:hint="eastAsia" w:ascii="宋体" w:hAnsi="宋体"/>
          <w:bCs/>
        </w:rPr>
      </w:pPr>
    </w:p>
    <w:p>
      <w:pPr>
        <w:widowControl w:val="0"/>
        <w:numPr>
          <w:ilvl w:val="0"/>
          <w:numId w:val="1"/>
        </w:numPr>
        <w:adjustRightInd/>
        <w:snapToGrid/>
        <w:spacing w:after="0"/>
        <w:jc w:val="both"/>
        <w:rPr>
          <w:rFonts w:hint="eastAsia" w:ascii="宋体" w:hAnsi="宋体"/>
          <w:b/>
        </w:rPr>
      </w:pPr>
      <w:r>
        <w:rPr>
          <w:rFonts w:hint="eastAsia" w:ascii="宋体" w:hAnsi="宋体"/>
          <w:b/>
        </w:rPr>
        <w:t xml:space="preserve"> 技术服务内容：</w:t>
      </w:r>
    </w:p>
    <w:p>
      <w:pPr>
        <w:widowControl w:val="0"/>
        <w:numPr>
          <w:ilvl w:val="0"/>
          <w:numId w:val="2"/>
        </w:numPr>
        <w:adjustRightInd/>
        <w:snapToGrid/>
        <w:spacing w:after="0"/>
        <w:ind w:firstLine="880" w:firstLineChars="400"/>
        <w:jc w:val="both"/>
        <w:rPr>
          <w:rFonts w:hint="eastAsia" w:ascii="宋体" w:hAnsi="宋体"/>
          <w:bCs/>
        </w:rPr>
      </w:pPr>
      <w:r>
        <w:rPr>
          <w:rFonts w:hint="eastAsia" w:ascii="宋体" w:hAnsi="宋体"/>
          <w:bCs/>
        </w:rPr>
        <w:t>技术服务的目标：乙方对甲方委托的仪器进行计量校准。</w:t>
      </w:r>
    </w:p>
    <w:p>
      <w:pPr>
        <w:widowControl w:val="0"/>
        <w:numPr>
          <w:ilvl w:val="0"/>
          <w:numId w:val="2"/>
        </w:numPr>
        <w:adjustRightInd/>
        <w:snapToGrid/>
        <w:spacing w:after="0"/>
        <w:ind w:firstLine="880" w:firstLineChars="400"/>
        <w:jc w:val="both"/>
        <w:rPr>
          <w:rFonts w:hint="eastAsia" w:ascii="宋体" w:hAnsi="宋体"/>
          <w:bCs/>
        </w:rPr>
      </w:pPr>
      <w:r>
        <w:rPr>
          <w:rFonts w:hint="eastAsia" w:ascii="宋体" w:hAnsi="宋体"/>
          <w:bCs/>
        </w:rPr>
        <w:t>技术服务的内容：乙方根据国家相关规程，业内标准对甲方委托的仪器进行计量校准，并根据结论出具校准报告。</w:t>
      </w:r>
    </w:p>
    <w:p>
      <w:pPr>
        <w:widowControl w:val="0"/>
        <w:numPr>
          <w:ilvl w:val="0"/>
          <w:numId w:val="2"/>
        </w:numPr>
        <w:adjustRightInd/>
        <w:snapToGrid/>
        <w:spacing w:after="0"/>
        <w:ind w:firstLine="880" w:firstLineChars="400"/>
        <w:jc w:val="both"/>
        <w:rPr>
          <w:rFonts w:hint="eastAsia" w:ascii="宋体" w:hAnsi="宋体"/>
          <w:bCs/>
        </w:rPr>
      </w:pPr>
      <w:r>
        <w:rPr>
          <w:rFonts w:hint="eastAsia" w:ascii="宋体" w:hAnsi="宋体"/>
          <w:bCs/>
        </w:rPr>
        <w:t>技术服务的形式：</w:t>
      </w:r>
    </w:p>
    <w:p>
      <w:pPr>
        <w:ind w:left="630" w:firstLine="220" w:firstLineChars="100"/>
        <w:rPr>
          <w:rFonts w:hint="eastAsia" w:ascii="宋体" w:hAnsi="宋体"/>
          <w:bCs/>
        </w:rPr>
      </w:pPr>
      <w:r>
        <w:drawing>
          <wp:inline distT="0" distB="0" distL="0" distR="0">
            <wp:extent cx="161925" cy="1428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1925" cy="142875"/>
                    </a:xfrm>
                    <a:prstGeom prst="rect">
                      <a:avLst/>
                    </a:prstGeom>
                    <a:noFill/>
                    <a:ln>
                      <a:noFill/>
                    </a:ln>
                  </pic:spPr>
                </pic:pic>
              </a:graphicData>
            </a:graphic>
          </wp:inline>
        </w:drawing>
      </w:r>
      <w:r>
        <w:rPr>
          <w:rFonts w:hint="eastAsia" w:ascii="宋体" w:hAnsi="宋体"/>
          <w:bCs/>
        </w:rPr>
        <w:t>乙方上门到甲方工作场所进行现场校准；</w:t>
      </w:r>
    </w:p>
    <w:p>
      <w:pPr>
        <w:ind w:left="630" w:firstLine="220" w:firstLineChars="100"/>
        <w:rPr>
          <w:rFonts w:hint="eastAsia" w:ascii="宋体" w:hAnsi="宋体"/>
          <w:bCs/>
        </w:rPr>
      </w:pPr>
      <w:r>
        <w:drawing>
          <wp:inline distT="0" distB="0" distL="0" distR="0">
            <wp:extent cx="161925" cy="1428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1925" cy="142875"/>
                    </a:xfrm>
                    <a:prstGeom prst="rect">
                      <a:avLst/>
                    </a:prstGeom>
                    <a:noFill/>
                    <a:ln>
                      <a:noFill/>
                    </a:ln>
                  </pic:spPr>
                </pic:pic>
              </a:graphicData>
            </a:graphic>
          </wp:inline>
        </w:drawing>
      </w:r>
      <w:r>
        <w:rPr>
          <w:rFonts w:hint="eastAsia" w:ascii="宋体" w:hAnsi="宋体"/>
          <w:bCs/>
        </w:rPr>
        <w:t>甲方将仪器仪表送检（快递）至乙方实验室进行校准；</w:t>
      </w:r>
    </w:p>
    <w:p>
      <w:pPr>
        <w:ind w:left="630" w:firstLine="220" w:firstLineChars="100"/>
        <w:rPr>
          <w:rFonts w:hint="eastAsia" w:ascii="宋体" w:hAnsi="宋体"/>
          <w:bCs/>
        </w:rPr>
      </w:pPr>
      <w:r>
        <w:drawing>
          <wp:inline distT="0" distB="0" distL="0" distR="0">
            <wp:extent cx="161925" cy="1428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1925" cy="142875"/>
                    </a:xfrm>
                    <a:prstGeom prst="rect">
                      <a:avLst/>
                    </a:prstGeom>
                    <a:noFill/>
                    <a:ln>
                      <a:noFill/>
                    </a:ln>
                  </pic:spPr>
                </pic:pic>
              </a:graphicData>
            </a:graphic>
          </wp:inline>
        </w:drawing>
      </w:r>
      <w:r>
        <w:rPr>
          <w:rFonts w:hint="eastAsia" w:ascii="宋体" w:hAnsi="宋体"/>
          <w:bCs/>
        </w:rPr>
        <w:t>甲方同意将超出乙方能力范围的仪器仪表分包到有能力的实验室进行校准；</w:t>
      </w:r>
    </w:p>
    <w:p>
      <w:pPr>
        <w:ind w:firstLine="880" w:firstLineChars="400"/>
        <w:rPr>
          <w:rFonts w:hint="eastAsia" w:ascii="宋体" w:hAnsi="宋体"/>
          <w:bCs/>
        </w:rPr>
      </w:pPr>
      <w:r>
        <w:rPr>
          <w:rFonts w:hint="eastAsia" w:ascii="宋体" w:hAnsi="宋体"/>
          <w:bCs/>
        </w:rPr>
        <w:t>4.委托校准的具体仪器仪表见附件：</w:t>
      </w:r>
      <w:r>
        <w:rPr>
          <w:rFonts w:hint="eastAsia" w:ascii="宋体" w:hAnsi="宋体"/>
          <w:bCs/>
          <w:highlight w:val="yellow"/>
        </w:rPr>
        <w:t>《校准报价单》</w:t>
      </w:r>
      <w:r>
        <w:rPr>
          <w:rFonts w:hint="eastAsia" w:ascii="宋体" w:hAnsi="宋体"/>
          <w:bCs/>
        </w:rPr>
        <w:t>。</w:t>
      </w:r>
    </w:p>
    <w:p>
      <w:pPr>
        <w:widowControl w:val="0"/>
        <w:numPr>
          <w:ilvl w:val="0"/>
          <w:numId w:val="1"/>
        </w:numPr>
        <w:adjustRightInd/>
        <w:snapToGrid/>
        <w:spacing w:after="0"/>
        <w:jc w:val="both"/>
        <w:rPr>
          <w:rFonts w:hint="eastAsia" w:ascii="宋体" w:hAnsi="宋体"/>
          <w:b/>
        </w:rPr>
      </w:pPr>
      <w:r>
        <w:rPr>
          <w:rFonts w:hint="eastAsia" w:ascii="宋体" w:hAnsi="宋体"/>
          <w:b/>
        </w:rPr>
        <w:t xml:space="preserve"> 乙方应按下列要求完成技术服务工作：</w:t>
      </w:r>
    </w:p>
    <w:p>
      <w:pPr>
        <w:widowControl w:val="0"/>
        <w:numPr>
          <w:ilvl w:val="0"/>
          <w:numId w:val="3"/>
        </w:numPr>
        <w:adjustRightInd/>
        <w:snapToGrid/>
        <w:spacing w:after="0"/>
        <w:ind w:firstLine="880" w:firstLineChars="400"/>
        <w:jc w:val="both"/>
        <w:rPr>
          <w:rFonts w:hint="eastAsia" w:ascii="宋体" w:hAnsi="宋体"/>
          <w:bCs/>
        </w:rPr>
      </w:pPr>
      <w:r>
        <w:rPr>
          <w:rFonts w:hint="eastAsia" w:ascii="宋体" w:hAnsi="宋体"/>
          <w:bCs/>
        </w:rPr>
        <w:t>技术服务地点：</w:t>
      </w:r>
      <w:r>
        <w:drawing>
          <wp:inline distT="0" distB="0" distL="0" distR="0">
            <wp:extent cx="161925" cy="1333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noFill/>
                    <a:ln>
                      <a:noFill/>
                    </a:ln>
                  </pic:spPr>
                </pic:pic>
              </a:graphicData>
            </a:graphic>
          </wp:inline>
        </w:drawing>
      </w:r>
      <w:r>
        <w:rPr>
          <w:rFonts w:hint="eastAsia" w:ascii="宋体" w:hAnsi="宋体"/>
          <w:bCs/>
        </w:rPr>
        <w:t>乙方实验室；</w:t>
      </w:r>
      <w:r>
        <w:drawing>
          <wp:inline distT="0" distB="0" distL="0" distR="0">
            <wp:extent cx="161925" cy="1333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noFill/>
                    <a:ln>
                      <a:noFill/>
                    </a:ln>
                  </pic:spPr>
                </pic:pic>
              </a:graphicData>
            </a:graphic>
          </wp:inline>
        </w:drawing>
      </w:r>
      <w:r>
        <w:rPr>
          <w:rFonts w:hint="eastAsia" w:ascii="宋体" w:hAnsi="宋体"/>
          <w:bCs/>
        </w:rPr>
        <w:t>甲方工作场所；</w:t>
      </w:r>
      <w:r>
        <w:drawing>
          <wp:inline distT="0" distB="0" distL="0" distR="0">
            <wp:extent cx="161925" cy="1333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noFill/>
                    <a:ln>
                      <a:noFill/>
                    </a:ln>
                  </pic:spPr>
                </pic:pic>
              </a:graphicData>
            </a:graphic>
          </wp:inline>
        </w:drawing>
      </w:r>
      <w:r>
        <w:rPr>
          <w:rFonts w:hint="eastAsia" w:ascii="宋体" w:hAnsi="宋体"/>
          <w:bCs/>
        </w:rPr>
        <w:t>乙方分包合格实验室。</w:t>
      </w:r>
    </w:p>
    <w:p>
      <w:pPr>
        <w:widowControl w:val="0"/>
        <w:numPr>
          <w:ilvl w:val="0"/>
          <w:numId w:val="3"/>
        </w:numPr>
        <w:adjustRightInd/>
        <w:snapToGrid/>
        <w:spacing w:after="0"/>
        <w:ind w:firstLine="880" w:firstLineChars="400"/>
        <w:jc w:val="both"/>
        <w:rPr>
          <w:rFonts w:hint="eastAsia" w:ascii="宋体" w:hAnsi="宋体"/>
          <w:bCs/>
        </w:rPr>
      </w:pPr>
      <w:r>
        <w:rPr>
          <w:rFonts w:hint="eastAsia" w:ascii="宋体" w:hAnsi="宋体"/>
          <w:bCs/>
        </w:rPr>
        <w:t xml:space="preserve">技术服务期限：年 月 日 </w:t>
      </w:r>
      <w:r>
        <w:rPr>
          <w:rFonts w:ascii="宋体" w:hAnsi="宋体"/>
          <w:bCs/>
        </w:rPr>
        <w:t xml:space="preserve"> </w:t>
      </w:r>
      <w:r>
        <w:rPr>
          <w:rFonts w:hint="eastAsia" w:ascii="宋体" w:hAnsi="宋体"/>
          <w:bCs/>
        </w:rPr>
        <w:t>至 年 月</w:t>
      </w:r>
      <w:r>
        <w:rPr>
          <w:rFonts w:ascii="宋体" w:hAnsi="宋体"/>
          <w:bCs/>
        </w:rPr>
        <w:t xml:space="preserve">   </w:t>
      </w:r>
      <w:r>
        <w:rPr>
          <w:rFonts w:hint="eastAsia" w:ascii="宋体" w:hAnsi="宋体"/>
          <w:bCs/>
        </w:rPr>
        <w:t>日</w:t>
      </w:r>
    </w:p>
    <w:p>
      <w:pPr>
        <w:widowControl w:val="0"/>
        <w:numPr>
          <w:ilvl w:val="0"/>
          <w:numId w:val="3"/>
        </w:numPr>
        <w:adjustRightInd/>
        <w:snapToGrid/>
        <w:spacing w:after="0"/>
        <w:ind w:firstLine="880" w:firstLineChars="400"/>
        <w:jc w:val="both"/>
        <w:rPr>
          <w:rFonts w:hint="eastAsia" w:ascii="宋体" w:hAnsi="宋体"/>
          <w:bCs/>
        </w:rPr>
      </w:pPr>
      <w:r>
        <w:rPr>
          <w:rFonts w:hint="eastAsia" w:ascii="宋体" w:hAnsi="宋体"/>
          <w:bCs/>
        </w:rPr>
        <w:t>技术服务进度：</w:t>
      </w:r>
    </w:p>
    <w:p>
      <w:pPr>
        <w:ind w:firstLine="880" w:firstLineChars="400"/>
        <w:rPr>
          <w:rFonts w:hint="eastAsia" w:ascii="宋体" w:hAnsi="宋体"/>
          <w:bCs/>
        </w:rPr>
      </w:pPr>
      <w:r>
        <w:drawing>
          <wp:inline distT="0" distB="0" distL="0" distR="0">
            <wp:extent cx="161925" cy="1333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noFill/>
                    <a:ln>
                      <a:noFill/>
                    </a:ln>
                  </pic:spPr>
                </pic:pic>
              </a:graphicData>
            </a:graphic>
          </wp:inline>
        </w:drawing>
      </w:r>
      <w:r>
        <w:rPr>
          <w:rFonts w:hint="eastAsia" w:ascii="宋体" w:hAnsi="宋体"/>
          <w:bCs/>
        </w:rPr>
        <w:t>上门服务。甲方提供仪器清单后，乙方应3-5个工作日之内确定下厂校准时间，并预先通知甲方做好准备工作，校准完成后，乙方应在5-7 个工作日内出具校准报告（不含快递，物流时间）；</w:t>
      </w:r>
    </w:p>
    <w:p>
      <w:pPr>
        <w:ind w:firstLine="880" w:firstLineChars="400"/>
        <w:rPr>
          <w:rFonts w:hint="eastAsia" w:ascii="宋体" w:hAnsi="宋体"/>
          <w:bCs/>
        </w:rPr>
      </w:pPr>
      <w:r>
        <w:drawing>
          <wp:inline distT="0" distB="0" distL="0" distR="0">
            <wp:extent cx="161925" cy="1428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1925" cy="142875"/>
                    </a:xfrm>
                    <a:prstGeom prst="rect">
                      <a:avLst/>
                    </a:prstGeom>
                    <a:noFill/>
                    <a:ln>
                      <a:noFill/>
                    </a:ln>
                  </pic:spPr>
                </pic:pic>
              </a:graphicData>
            </a:graphic>
          </wp:inline>
        </w:drawing>
      </w:r>
      <w:r>
        <w:rPr>
          <w:rFonts w:hint="eastAsia" w:ascii="宋体" w:hAnsi="宋体"/>
          <w:bCs/>
        </w:rPr>
        <w:t>送检服务。送检服务包括甲方将仪器仪表送到乙方实验室（快递，物流均可）。送检仪器校准周期为乙方收到仪器仪表之次日起4-5个工作日内完成校准并出具校准报告（标准件及特殊要求仪器除外）；</w:t>
      </w:r>
    </w:p>
    <w:p>
      <w:pPr>
        <w:ind w:firstLine="880" w:firstLineChars="400"/>
        <w:rPr>
          <w:rFonts w:hint="eastAsia" w:ascii="宋体" w:hAnsi="宋体"/>
          <w:bCs/>
        </w:rPr>
      </w:pPr>
      <w:r>
        <w:drawing>
          <wp:inline distT="0" distB="0" distL="0" distR="0">
            <wp:extent cx="161925" cy="142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1925" cy="142875"/>
                    </a:xfrm>
                    <a:prstGeom prst="rect">
                      <a:avLst/>
                    </a:prstGeom>
                    <a:noFill/>
                    <a:ln>
                      <a:noFill/>
                    </a:ln>
                  </pic:spPr>
                </pic:pic>
              </a:graphicData>
            </a:graphic>
          </wp:inline>
        </w:drawing>
      </w:r>
      <w:r>
        <w:rPr>
          <w:rFonts w:hint="eastAsia" w:ascii="宋体" w:hAnsi="宋体"/>
          <w:bCs/>
        </w:rPr>
        <w:t>外包服务。外包服务自乙方收到仪器仪表之次日起15个工作日内完成校准并出具校准报告（特殊仪器除外）。</w:t>
      </w:r>
    </w:p>
    <w:p>
      <w:pPr>
        <w:widowControl w:val="0"/>
        <w:numPr>
          <w:ilvl w:val="0"/>
          <w:numId w:val="3"/>
        </w:numPr>
        <w:adjustRightInd/>
        <w:snapToGrid/>
        <w:spacing w:after="0"/>
        <w:ind w:firstLine="880" w:firstLineChars="400"/>
        <w:jc w:val="both"/>
        <w:rPr>
          <w:rFonts w:hint="eastAsia" w:ascii="宋体" w:hAnsi="宋体"/>
          <w:bCs/>
        </w:rPr>
      </w:pPr>
      <w:r>
        <w:rPr>
          <w:rFonts w:hint="eastAsia" w:ascii="宋体" w:hAnsi="宋体"/>
          <w:bCs/>
        </w:rPr>
        <w:t>技术服务质量要求：符合国家检定规程、校准规范或ISO 17025等标准的要求。</w:t>
      </w:r>
    </w:p>
    <w:p>
      <w:pPr>
        <w:widowControl w:val="0"/>
        <w:numPr>
          <w:ilvl w:val="0"/>
          <w:numId w:val="1"/>
        </w:numPr>
        <w:adjustRightInd/>
        <w:snapToGrid/>
        <w:spacing w:after="0"/>
        <w:jc w:val="both"/>
        <w:rPr>
          <w:rFonts w:hint="eastAsia" w:ascii="宋体" w:hAnsi="宋体"/>
          <w:b/>
        </w:rPr>
      </w:pPr>
      <w:r>
        <w:rPr>
          <w:rFonts w:hint="eastAsia" w:ascii="宋体" w:hAnsi="宋体"/>
          <w:b/>
        </w:rPr>
        <w:t>为保证乙方有效进行技术服务工作，甲方应向乙方提供下列工作条件及协助事项：</w:t>
      </w:r>
    </w:p>
    <w:p>
      <w:pPr>
        <w:widowControl w:val="0"/>
        <w:numPr>
          <w:ilvl w:val="0"/>
          <w:numId w:val="4"/>
        </w:numPr>
        <w:adjustRightInd/>
        <w:snapToGrid/>
        <w:spacing w:after="0"/>
        <w:jc w:val="both"/>
        <w:rPr>
          <w:rFonts w:hint="eastAsia" w:ascii="宋体" w:hAnsi="宋体"/>
          <w:bCs/>
        </w:rPr>
      </w:pPr>
      <w:r>
        <w:rPr>
          <w:rFonts w:hint="eastAsia" w:ascii="宋体" w:hAnsi="宋体"/>
          <w:bCs/>
        </w:rPr>
        <w:t>提供技术资料：提供与校准工作有关的技术说明书；</w:t>
      </w:r>
    </w:p>
    <w:p>
      <w:pPr>
        <w:widowControl w:val="0"/>
        <w:numPr>
          <w:ilvl w:val="0"/>
          <w:numId w:val="4"/>
        </w:numPr>
        <w:adjustRightInd/>
        <w:snapToGrid/>
        <w:spacing w:after="0"/>
        <w:jc w:val="both"/>
        <w:rPr>
          <w:rFonts w:hint="eastAsia" w:ascii="宋体" w:hAnsi="宋体"/>
          <w:bCs/>
        </w:rPr>
      </w:pPr>
      <w:r>
        <w:rPr>
          <w:rFonts w:hint="eastAsia" w:ascii="宋体" w:hAnsi="宋体"/>
          <w:bCs/>
        </w:rPr>
        <w:t>提供工作条件：下厂现场服务时，提供满足现场校准的合格场地，辅助设施等。</w:t>
      </w:r>
    </w:p>
    <w:p>
      <w:pPr>
        <w:widowControl w:val="0"/>
        <w:numPr>
          <w:ilvl w:val="0"/>
          <w:numId w:val="4"/>
        </w:numPr>
        <w:adjustRightInd/>
        <w:snapToGrid/>
        <w:spacing w:after="0"/>
        <w:ind w:left="0" w:firstLine="891" w:firstLineChars="405"/>
        <w:jc w:val="both"/>
        <w:rPr>
          <w:rFonts w:hint="eastAsia" w:ascii="宋体" w:hAnsi="宋体"/>
          <w:bCs/>
        </w:rPr>
      </w:pPr>
      <w:r>
        <w:rPr>
          <w:rFonts w:hint="eastAsia" w:ascii="宋体" w:hAnsi="宋体"/>
          <w:bCs/>
        </w:rPr>
        <w:t>安排专人协助：安排具体负责人同乙方进行业务联系，沟通及确认，主要包括校准工作的联系，仪器仪表的收发，仪器仪表状态的确认，证书/报告的签收及结账等工作，现场校准时，安排专人协助，配合乙方的现场校准工作。</w:t>
      </w:r>
    </w:p>
    <w:p>
      <w:pPr>
        <w:widowControl w:val="0"/>
        <w:numPr>
          <w:ilvl w:val="0"/>
          <w:numId w:val="4"/>
        </w:numPr>
        <w:adjustRightInd/>
        <w:snapToGrid/>
        <w:spacing w:after="0"/>
        <w:ind w:left="0" w:firstLine="891" w:firstLineChars="405"/>
        <w:jc w:val="both"/>
        <w:rPr>
          <w:rFonts w:hint="eastAsia" w:ascii="宋体" w:hAnsi="宋体"/>
          <w:bCs/>
        </w:rPr>
      </w:pPr>
      <w:r>
        <w:rPr>
          <w:rFonts w:hint="eastAsia" w:ascii="宋体" w:hAnsi="宋体"/>
          <w:bCs/>
        </w:rPr>
        <w:t>加急服务：甲方应提前3个工作日以书面形式向乙方预约及确认，并支付加急服务费用（一般情况下，24小时之内完工加收30%）；如需乙方现场校准或送取仪器，</w:t>
      </w:r>
      <w:r>
        <w:rPr>
          <w:rFonts w:hint="eastAsia" w:ascii="宋体" w:hAnsi="宋体"/>
        </w:rPr>
        <w:t>送取仪器应每次仪器仪表数量超出</w:t>
      </w:r>
      <w:r>
        <w:rPr>
          <w:rFonts w:hint="eastAsia"/>
        </w:rPr>
        <w:t>20</w:t>
      </w:r>
      <w:r>
        <w:rPr>
          <w:rFonts w:hint="eastAsia" w:ascii="宋体" w:hAnsi="宋体"/>
        </w:rPr>
        <w:t>台</w:t>
      </w:r>
      <w:r>
        <w:rPr>
          <w:rFonts w:hint="eastAsia"/>
        </w:rPr>
        <w:t>/</w:t>
      </w:r>
      <w:r>
        <w:rPr>
          <w:rFonts w:hint="eastAsia" w:ascii="宋体" w:hAnsi="宋体"/>
        </w:rPr>
        <w:t>件，</w:t>
      </w:r>
      <w:r>
        <w:rPr>
          <w:rFonts w:hint="eastAsia" w:ascii="宋体" w:hAnsi="宋体"/>
          <w:bCs/>
        </w:rPr>
        <w:t>应提前3个工作日通知乙方</w:t>
      </w:r>
      <w:r>
        <w:rPr>
          <w:rFonts w:hint="eastAsia" w:ascii="宋体" w:hAnsi="宋体"/>
        </w:rPr>
        <w:t>，</w:t>
      </w:r>
      <w:r>
        <w:rPr>
          <w:rFonts w:hint="eastAsia" w:ascii="宋体" w:hAnsi="宋体"/>
          <w:bCs/>
        </w:rPr>
        <w:t>以便乙方安排行程；</w:t>
      </w:r>
    </w:p>
    <w:p>
      <w:pPr>
        <w:widowControl w:val="0"/>
        <w:numPr>
          <w:ilvl w:val="0"/>
          <w:numId w:val="1"/>
        </w:numPr>
        <w:adjustRightInd/>
        <w:snapToGrid/>
        <w:spacing w:after="0"/>
        <w:jc w:val="both"/>
        <w:rPr>
          <w:rFonts w:hint="eastAsia" w:ascii="宋体" w:hAnsi="宋体"/>
          <w:b/>
        </w:rPr>
      </w:pPr>
      <w:r>
        <w:rPr>
          <w:rFonts w:hint="eastAsia" w:ascii="宋体" w:hAnsi="宋体"/>
          <w:b/>
        </w:rPr>
        <w:t>服务费用支付方式：</w:t>
      </w:r>
    </w:p>
    <w:p>
      <w:pPr>
        <w:widowControl w:val="0"/>
        <w:numPr>
          <w:ilvl w:val="0"/>
          <w:numId w:val="5"/>
        </w:numPr>
        <w:adjustRightInd/>
        <w:snapToGrid/>
        <w:spacing w:after="0"/>
        <w:ind w:left="0" w:firstLine="851"/>
        <w:rPr>
          <w:rFonts w:hint="eastAsia" w:ascii="宋体" w:hAnsi="宋体"/>
          <w:bCs/>
          <w:highlight w:val="yellow"/>
        </w:rPr>
      </w:pPr>
      <w:r>
        <w:rPr>
          <w:rFonts w:hint="eastAsia" w:ascii="宋体" w:hAnsi="宋体"/>
          <w:bCs/>
          <w:highlight w:val="yellow"/>
        </w:rPr>
        <w:t>校准费用：以本合同附件《校准报价单》的价目为基准结算；如每次实际完成的仪器数量、种类与《校准报价单》有差异，以每次实际完工金额结算；超出《校准报价单》约定的仪器仪表的价格标准，双方另行协商并书面确认。</w:t>
      </w:r>
    </w:p>
    <w:p>
      <w:pPr>
        <w:rPr>
          <w:rFonts w:hint="eastAsia" w:ascii="Calibri" w:hAnsi="Calibri"/>
          <w:kern w:val="2"/>
          <w:highlight w:val="yellow"/>
        </w:rPr>
      </w:pPr>
      <w:r>
        <w:rPr>
          <w:rFonts w:hint="eastAsia" w:ascii="宋体" w:hAnsi="宋体"/>
          <w:bCs/>
          <w:highlight w:val="yellow"/>
        </w:rPr>
        <w:t xml:space="preserve">        2.支付方式：</w:t>
      </w:r>
      <w:r>
        <w:rPr>
          <w:rFonts w:hint="eastAsia" w:ascii="宋体" w:hAnsi="宋体"/>
          <w:bCs/>
          <w:highlight w:val="yellow"/>
          <w:lang w:val="en-US" w:eastAsia="zh-CN"/>
        </w:rPr>
        <w:t>设备</w:t>
      </w:r>
      <w:r>
        <w:rPr>
          <w:rFonts w:hint="eastAsia" w:ascii="宋体" w:hAnsi="宋体"/>
          <w:bCs/>
          <w:highlight w:val="yellow"/>
        </w:rPr>
        <w:t>校准</w:t>
      </w:r>
      <w:r>
        <w:rPr>
          <w:rFonts w:hint="eastAsia" w:ascii="宋体" w:hAnsi="宋体"/>
          <w:bCs/>
          <w:highlight w:val="yellow"/>
          <w:lang w:val="en-US" w:eastAsia="zh-CN"/>
        </w:rPr>
        <w:t>后并出具</w:t>
      </w:r>
      <w:r>
        <w:rPr>
          <w:rFonts w:hint="eastAsia" w:ascii="宋体" w:hAnsi="宋体"/>
          <w:highlight w:val="yellow"/>
          <w:lang w:val="en-US" w:eastAsia="zh-CN"/>
        </w:rPr>
        <w:t>校准</w:t>
      </w:r>
      <w:r>
        <w:rPr>
          <w:rFonts w:hint="eastAsia" w:ascii="宋体" w:hAnsi="宋体"/>
          <w:highlight w:val="yellow"/>
        </w:rPr>
        <w:t>证书</w:t>
      </w:r>
      <w:r>
        <w:rPr>
          <w:rFonts w:hint="eastAsia" w:ascii="宋体" w:hAnsi="宋体"/>
          <w:highlight w:val="yellow"/>
          <w:lang w:eastAsia="zh-CN"/>
        </w:rPr>
        <w:t>，</w:t>
      </w:r>
      <w:r>
        <w:rPr>
          <w:rFonts w:hint="eastAsia" w:ascii="宋体" w:hAnsi="宋体"/>
          <w:highlight w:val="yellow"/>
          <w:lang w:val="en-US" w:eastAsia="zh-CN"/>
        </w:rPr>
        <w:t>经甲方</w:t>
      </w:r>
      <w:r>
        <w:rPr>
          <w:rFonts w:hint="eastAsia" w:ascii="宋体" w:hAnsi="宋体"/>
          <w:bCs/>
          <w:highlight w:val="yellow"/>
          <w:lang w:val="en-US" w:eastAsia="zh-CN"/>
        </w:rPr>
        <w:t>验收合格</w:t>
      </w:r>
      <w:r>
        <w:rPr>
          <w:rFonts w:hint="eastAsia" w:ascii="宋体" w:hAnsi="Times New Roman"/>
          <w:highlight w:val="yellow"/>
          <w:lang w:val="en-US" w:eastAsia="zh-CN"/>
        </w:rPr>
        <w:t>次月</w:t>
      </w:r>
      <w:r>
        <w:rPr>
          <w:rFonts w:hint="eastAsia" w:ascii="宋体" w:hAnsi="宋体"/>
          <w:highlight w:val="yellow"/>
        </w:rPr>
        <w:t>付款。</w:t>
      </w:r>
    </w:p>
    <w:p>
      <w:pPr>
        <w:ind w:firstLine="880" w:firstLineChars="400"/>
        <w:rPr>
          <w:rFonts w:hint="eastAsia"/>
        </w:rPr>
      </w:pPr>
      <w:r>
        <w:rPr>
          <w:rFonts w:hint="eastAsia" w:ascii="宋体" w:hAnsi="宋体"/>
        </w:rPr>
        <w:t>具体如下：</w:t>
      </w:r>
    </w:p>
    <w:p>
      <w:pPr>
        <w:rPr>
          <w:rFonts w:hint="eastAsia"/>
        </w:rPr>
      </w:pPr>
      <w:r>
        <w:rPr>
          <w:rFonts w:hint="eastAsia"/>
        </w:rPr>
        <w:t xml:space="preserve">        </w:t>
      </w:r>
      <w:r>
        <w:rPr>
          <w:rFonts w:hint="eastAsia" w:ascii="宋体" w:hAnsi="宋体"/>
          <w:highlight w:val="yellow"/>
        </w:rPr>
        <w:t>乙方应在每次校准完工</w:t>
      </w:r>
      <w:r>
        <w:rPr>
          <w:rFonts w:hint="eastAsia" w:ascii="宋体" w:hAnsi="宋体"/>
          <w:highlight w:val="yellow"/>
          <w:lang w:val="en-US" w:eastAsia="zh-CN"/>
        </w:rPr>
        <w:t>出具</w:t>
      </w:r>
      <w:r>
        <w:rPr>
          <w:rFonts w:hint="eastAsia" w:ascii="宋体" w:hAnsi="宋体"/>
          <w:highlight w:val="yellow"/>
        </w:rPr>
        <w:t>校准证书之后，出具实际完工单给甲方确认完工仪器</w:t>
      </w:r>
      <w:r>
        <w:rPr>
          <w:rFonts w:hint="eastAsia" w:ascii="宋体" w:hAnsi="宋体"/>
          <w:highlight w:val="yellow"/>
          <w:lang w:val="en-US" w:eastAsia="zh-CN"/>
        </w:rPr>
        <w:t>仪表</w:t>
      </w:r>
      <w:r>
        <w:rPr>
          <w:rFonts w:hint="eastAsia" w:ascii="宋体" w:hAnsi="宋体"/>
          <w:highlight w:val="yellow"/>
        </w:rPr>
        <w:t>数量、种类及金额，</w:t>
      </w:r>
      <w:r>
        <w:rPr>
          <w:rFonts w:hint="eastAsia" w:ascii="宋体" w:hAnsi="宋体"/>
          <w:highlight w:val="yellow"/>
          <w:lang w:val="en-US" w:eastAsia="zh-CN"/>
        </w:rPr>
        <w:t>甲乙双方确认工作量</w:t>
      </w:r>
      <w:r>
        <w:rPr>
          <w:rFonts w:hint="eastAsia" w:ascii="宋体" w:hAnsi="宋体"/>
          <w:highlight w:val="yellow"/>
        </w:rPr>
        <w:t>后</w:t>
      </w:r>
      <w:r>
        <w:rPr>
          <w:rFonts w:hint="eastAsia" w:ascii="宋体" w:hAnsi="宋体"/>
          <w:highlight w:val="yellow"/>
          <w:lang w:eastAsia="zh-CN"/>
        </w:rPr>
        <w:t>，</w:t>
      </w:r>
      <w:r>
        <w:rPr>
          <w:rFonts w:hint="eastAsia" w:ascii="宋体" w:hAnsi="宋体"/>
          <w:highlight w:val="yellow"/>
        </w:rPr>
        <w:t>乙方</w:t>
      </w:r>
      <w:r>
        <w:rPr>
          <w:rFonts w:hint="eastAsia" w:ascii="宋体" w:hAnsi="宋体"/>
          <w:highlight w:val="yellow"/>
          <w:lang w:val="en-US" w:eastAsia="zh-CN"/>
        </w:rPr>
        <w:t>开具</w:t>
      </w:r>
      <w:r>
        <w:rPr>
          <w:rFonts w:hint="eastAsia"/>
          <w:highlight w:val="yellow"/>
        </w:rPr>
        <w:t>6%</w:t>
      </w:r>
      <w:r>
        <w:rPr>
          <w:rFonts w:hint="eastAsia" w:ascii="宋体" w:hAnsi="宋体"/>
          <w:highlight w:val="yellow"/>
        </w:rPr>
        <w:t>的增值税专用发票</w:t>
      </w:r>
      <w:r>
        <w:rPr>
          <w:rFonts w:hint="eastAsia" w:ascii="宋体" w:hAnsi="宋体"/>
          <w:highlight w:val="yellow"/>
          <w:lang w:val="en-US" w:eastAsia="zh-CN"/>
        </w:rPr>
        <w:t>到甲方公司，甲方次月</w:t>
      </w:r>
      <w:r>
        <w:rPr>
          <w:rFonts w:hint="eastAsia" w:ascii="宋体" w:hAnsi="宋体"/>
          <w:highlight w:val="yellow"/>
        </w:rPr>
        <w:t>付款至乙方</w:t>
      </w:r>
      <w:r>
        <w:rPr>
          <w:rFonts w:hint="eastAsia" w:ascii="宋体" w:hAnsi="宋体"/>
          <w:bCs/>
          <w:highlight w:val="yellow"/>
        </w:rPr>
        <w:t>账户</w:t>
      </w:r>
      <w:r>
        <w:rPr>
          <w:rFonts w:hint="eastAsia" w:ascii="宋体" w:hAnsi="宋体"/>
          <w:highlight w:val="yellow"/>
        </w:rPr>
        <w:t>。</w:t>
      </w:r>
    </w:p>
    <w:p>
      <w:pPr>
        <w:ind w:left="840"/>
        <w:rPr>
          <w:rFonts w:hint="eastAsia" w:ascii="宋体" w:hAnsi="宋体"/>
        </w:rPr>
      </w:pPr>
      <w:r>
        <w:rPr>
          <w:rFonts w:hint="eastAsia"/>
        </w:rPr>
        <w:t>3.</w:t>
      </w:r>
      <w:r>
        <w:rPr>
          <w:rFonts w:hint="eastAsia" w:ascii="宋体" w:hAnsi="宋体"/>
        </w:rPr>
        <w:t>乙方账号信息：</w:t>
      </w:r>
    </w:p>
    <w:p>
      <w:pPr>
        <w:ind w:left="880" w:leftChars="400" w:firstLine="220" w:firstLineChars="100"/>
        <w:rPr>
          <w:rFonts w:hint="eastAsia" w:ascii="宋体" w:hAnsi="宋体"/>
          <w:b/>
        </w:rPr>
      </w:pPr>
      <w:r>
        <w:rPr>
          <w:rFonts w:hint="eastAsia" w:ascii="宋体" w:hAnsi="宋体"/>
          <w:b/>
        </w:rPr>
        <w:t xml:space="preserve">开户名称： </w:t>
      </w:r>
    </w:p>
    <w:p>
      <w:pPr>
        <w:rPr>
          <w:rFonts w:ascii="宋体" w:hAnsi="宋体" w:cs="宋体"/>
          <w:b/>
        </w:rPr>
        <w:sectPr>
          <w:pgSz w:w="11906" w:h="16838"/>
          <w:pgMar w:top="1440" w:right="1080" w:bottom="1440" w:left="1080" w:header="340" w:footer="992" w:gutter="0"/>
          <w:cols w:space="720" w:num="1"/>
          <w:docGrid w:type="lines" w:linePitch="312" w:charSpace="0"/>
        </w:sectPr>
      </w:pPr>
    </w:p>
    <w:p>
      <w:pPr>
        <w:ind w:firstLine="1101" w:firstLineChars="500"/>
        <w:rPr>
          <w:rFonts w:hint="eastAsia" w:ascii="宋体" w:hAnsi="宋体"/>
          <w:b/>
        </w:rPr>
      </w:pPr>
      <w:r>
        <w:rPr>
          <w:rFonts w:hint="eastAsia" w:ascii="宋体" w:hAnsi="宋体"/>
          <w:b/>
        </w:rPr>
        <w:t xml:space="preserve">开 户 行： </w:t>
      </w:r>
    </w:p>
    <w:p>
      <w:pPr>
        <w:ind w:firstLine="1101" w:firstLineChars="500"/>
        <w:rPr>
          <w:rFonts w:hint="eastAsia" w:ascii="宋体" w:hAnsi="宋体"/>
          <w:sz w:val="21"/>
          <w:szCs w:val="21"/>
        </w:rPr>
      </w:pPr>
      <w:r>
        <w:rPr>
          <w:rFonts w:hint="eastAsia" w:ascii="宋体" w:hAnsi="宋体"/>
          <w:b/>
        </w:rPr>
        <w:t>帐    号：</w:t>
      </w:r>
    </w:p>
    <w:p>
      <w:pPr>
        <w:widowControl w:val="0"/>
        <w:numPr>
          <w:ilvl w:val="0"/>
          <w:numId w:val="1"/>
        </w:numPr>
        <w:adjustRightInd/>
        <w:snapToGrid/>
        <w:spacing w:after="0"/>
        <w:jc w:val="both"/>
        <w:rPr>
          <w:rFonts w:hint="eastAsia" w:ascii="宋体" w:hAnsi="宋体"/>
          <w:b/>
        </w:rPr>
      </w:pPr>
      <w:r>
        <w:rPr>
          <w:rFonts w:hint="eastAsia" w:ascii="宋体" w:hAnsi="宋体"/>
          <w:b/>
        </w:rPr>
        <w:t>双方确定履行本合同应遵守的保密义务：</w:t>
      </w:r>
    </w:p>
    <w:p>
      <w:pPr>
        <w:widowControl w:val="0"/>
        <w:numPr>
          <w:ilvl w:val="0"/>
          <w:numId w:val="6"/>
        </w:numPr>
        <w:adjustRightInd/>
        <w:snapToGrid/>
        <w:spacing w:after="0"/>
        <w:rPr>
          <w:rFonts w:hint="eastAsia" w:ascii="宋体" w:hAnsi="宋体"/>
          <w:bCs/>
        </w:rPr>
      </w:pPr>
      <w:r>
        <w:rPr>
          <w:rFonts w:hint="eastAsia" w:ascii="宋体" w:hAnsi="宋体"/>
          <w:bCs/>
        </w:rPr>
        <w:t>乙方应为甲方所提供的技术情报和资料及非正式出版物等承担保密义务；</w:t>
      </w:r>
    </w:p>
    <w:p>
      <w:pPr>
        <w:widowControl w:val="0"/>
        <w:numPr>
          <w:ilvl w:val="0"/>
          <w:numId w:val="6"/>
        </w:numPr>
        <w:adjustRightInd/>
        <w:snapToGrid/>
        <w:spacing w:after="0"/>
        <w:rPr>
          <w:rFonts w:hint="eastAsia" w:ascii="宋体" w:hAnsi="宋体"/>
          <w:bCs/>
        </w:rPr>
      </w:pPr>
      <w:r>
        <w:rPr>
          <w:rFonts w:hint="eastAsia" w:ascii="宋体" w:hAnsi="宋体"/>
          <w:bCs/>
        </w:rPr>
        <w:t>乙方应为甲方所提供的仪器仪表及环境情况、产品技术、生产工艺等承担保密义务。</w:t>
      </w:r>
    </w:p>
    <w:p>
      <w:pPr>
        <w:widowControl w:val="0"/>
        <w:numPr>
          <w:ilvl w:val="0"/>
          <w:numId w:val="6"/>
        </w:numPr>
        <w:adjustRightInd/>
        <w:snapToGrid/>
        <w:spacing w:after="0"/>
        <w:ind w:left="0" w:firstLine="880" w:firstLineChars="400"/>
        <w:rPr>
          <w:rFonts w:hint="eastAsia" w:ascii="宋体" w:hAnsi="宋体"/>
          <w:bCs/>
        </w:rPr>
      </w:pPr>
      <w:r>
        <w:rPr>
          <w:rFonts w:hint="eastAsia" w:ascii="宋体" w:hAnsi="宋体"/>
          <w:bCs/>
        </w:rPr>
        <w:t>未经对方书面许可，任何一方不得向第三方泄露的如下内容：合作范围、内容、费用、方式；双方权利、责任；争议处理方式；</w:t>
      </w:r>
    </w:p>
    <w:p>
      <w:pPr>
        <w:widowControl w:val="0"/>
        <w:numPr>
          <w:ilvl w:val="0"/>
          <w:numId w:val="6"/>
        </w:numPr>
        <w:adjustRightInd/>
        <w:snapToGrid/>
        <w:spacing w:after="0"/>
        <w:rPr>
          <w:rFonts w:hint="eastAsia" w:ascii="宋体" w:hAnsi="宋体"/>
          <w:bCs/>
        </w:rPr>
      </w:pPr>
      <w:r>
        <w:rPr>
          <w:rFonts w:hint="eastAsia" w:ascii="宋体" w:hAnsi="宋体"/>
          <w:bCs/>
        </w:rPr>
        <w:t>一旦一方泄露，则泄露方需承担相应的经济及法律责任；</w:t>
      </w:r>
    </w:p>
    <w:p>
      <w:pPr>
        <w:widowControl w:val="0"/>
        <w:numPr>
          <w:ilvl w:val="0"/>
          <w:numId w:val="1"/>
        </w:numPr>
        <w:adjustRightInd/>
        <w:snapToGrid/>
        <w:spacing w:after="0"/>
        <w:rPr>
          <w:rFonts w:hint="eastAsia" w:ascii="宋体" w:hAnsi="宋体"/>
          <w:b/>
        </w:rPr>
      </w:pPr>
      <w:r>
        <w:rPr>
          <w:rFonts w:hint="eastAsia" w:ascii="宋体" w:hAnsi="宋体"/>
          <w:b/>
        </w:rPr>
        <w:t>免责声明：</w:t>
      </w:r>
    </w:p>
    <w:p>
      <w:pPr>
        <w:rPr>
          <w:rFonts w:hint="eastAsia" w:ascii="宋体" w:hAnsi="宋体"/>
          <w:bCs/>
        </w:rPr>
      </w:pPr>
      <w:r>
        <w:rPr>
          <w:rFonts w:hint="eastAsia" w:ascii="宋体" w:hAnsi="宋体"/>
          <w:b/>
        </w:rPr>
        <w:t xml:space="preserve">        </w:t>
      </w:r>
      <w:r>
        <w:rPr>
          <w:rFonts w:hint="eastAsia" w:ascii="宋体" w:hAnsi="宋体"/>
          <w:bCs/>
        </w:rPr>
        <w:t>双方确定，因不可预见或不可抗力，直接影响本合同的履行或者致使不能按照约定条件履行的，遇不可抗力一方应及时通知对方，并应在三十个工作日之内提供事故详情及不可抗力的有效证明文件；按照不可抗力对协议的影响程度，由双方协商决定是否解除本合同，或者部分免除不可抗力一方责任，或延期履行本合同。</w:t>
      </w:r>
    </w:p>
    <w:p>
      <w:pPr>
        <w:widowControl w:val="0"/>
        <w:numPr>
          <w:ilvl w:val="0"/>
          <w:numId w:val="1"/>
        </w:numPr>
        <w:adjustRightInd/>
        <w:snapToGrid/>
        <w:spacing w:after="0"/>
        <w:rPr>
          <w:rFonts w:hint="eastAsia" w:ascii="宋体" w:hAnsi="宋体"/>
          <w:b/>
        </w:rPr>
      </w:pPr>
      <w:r>
        <w:rPr>
          <w:rFonts w:hint="eastAsia" w:ascii="宋体" w:hAnsi="宋体"/>
          <w:b/>
        </w:rPr>
        <w:t>争议的处理：</w:t>
      </w:r>
    </w:p>
    <w:p>
      <w:pPr>
        <w:widowControl w:val="0"/>
        <w:numPr>
          <w:ilvl w:val="0"/>
          <w:numId w:val="7"/>
        </w:numPr>
        <w:adjustRightInd/>
        <w:snapToGrid/>
        <w:spacing w:after="0"/>
        <w:ind w:left="0" w:firstLine="882" w:firstLineChars="401"/>
        <w:rPr>
          <w:rFonts w:hint="eastAsia" w:ascii="宋体" w:hAnsi="宋体"/>
          <w:bCs/>
        </w:rPr>
      </w:pPr>
      <w:r>
        <w:rPr>
          <w:rFonts w:hint="eastAsia" w:ascii="宋体" w:hAnsi="宋体"/>
          <w:bCs/>
        </w:rPr>
        <w:t>双方就本合同的效力、解释或履行发生争议时，应努力通过友好协商解决；如协商不成，任何一方均应将争议提交乙方住所地诉讼解决；</w:t>
      </w:r>
    </w:p>
    <w:p>
      <w:pPr>
        <w:widowControl w:val="0"/>
        <w:numPr>
          <w:ilvl w:val="0"/>
          <w:numId w:val="7"/>
        </w:numPr>
        <w:adjustRightInd/>
        <w:snapToGrid/>
        <w:spacing w:after="0"/>
        <w:ind w:left="0" w:firstLine="882" w:firstLineChars="401"/>
        <w:rPr>
          <w:rFonts w:hint="eastAsia" w:ascii="宋体" w:hAnsi="宋体"/>
          <w:bCs/>
        </w:rPr>
      </w:pPr>
      <w:r>
        <w:rPr>
          <w:rFonts w:hint="eastAsia" w:ascii="宋体" w:hAnsi="宋体"/>
          <w:bCs/>
        </w:rPr>
        <w:t>任何一方违反本合同条款（免责条款除外），守约方可提前15天书面提出终止本合同，书面解除合同通知送达违约方即发生合同终止效力，同时可要求违约方赔偿因此而引起的相应的直接经济损失；</w:t>
      </w:r>
    </w:p>
    <w:p>
      <w:pPr>
        <w:widowControl w:val="0"/>
        <w:numPr>
          <w:ilvl w:val="0"/>
          <w:numId w:val="7"/>
        </w:numPr>
        <w:adjustRightInd/>
        <w:snapToGrid/>
        <w:spacing w:after="0"/>
        <w:ind w:left="0" w:firstLine="882" w:firstLineChars="401"/>
        <w:rPr>
          <w:rFonts w:hint="eastAsia" w:ascii="宋体" w:hAnsi="宋体"/>
          <w:bCs/>
        </w:rPr>
      </w:pPr>
      <w:r>
        <w:rPr>
          <w:rFonts w:hint="eastAsia" w:ascii="宋体" w:hAnsi="宋体"/>
          <w:bCs/>
        </w:rPr>
        <w:t>经甲方证明，因乙方校准过程中操作失误而导致仪器仪表损坏的，应由乙方负责进行维修或全额赔偿；</w:t>
      </w:r>
    </w:p>
    <w:p>
      <w:pPr>
        <w:widowControl w:val="0"/>
        <w:numPr>
          <w:ilvl w:val="0"/>
          <w:numId w:val="7"/>
        </w:numPr>
        <w:adjustRightInd/>
        <w:snapToGrid/>
        <w:spacing w:after="0"/>
        <w:ind w:left="0" w:firstLine="882" w:firstLineChars="401"/>
        <w:rPr>
          <w:rFonts w:hint="eastAsia" w:ascii="宋体" w:hAnsi="宋体"/>
          <w:bCs/>
          <w:highlight w:val="yellow"/>
        </w:rPr>
      </w:pPr>
      <w:r>
        <w:rPr>
          <w:rFonts w:hint="eastAsia" w:ascii="宋体" w:hAnsi="宋体"/>
          <w:bCs/>
          <w:highlight w:val="yellow"/>
        </w:rPr>
        <w:t>通过快递，货运等物流方式收、取仪器时，若仪器仪表发生损坏，乙方不承担责任；乙方检测完毕通过快递、货运等物流方式送至甲方时，甲方应与派件员当面开箱检验无问题再签收，如有仪器表面无法判断的需24小时内及时查验，发现任何问题应于签收后24小时内及时反馈给乙方及派件员，乙方负责与快递或物流公司申请理赔，甲方有义务配合。如甲方超过24小时反馈，乙方不承担任何责任。</w:t>
      </w:r>
    </w:p>
    <w:p>
      <w:pPr>
        <w:widowControl w:val="0"/>
        <w:numPr>
          <w:ilvl w:val="0"/>
          <w:numId w:val="1"/>
        </w:numPr>
        <w:adjustRightInd/>
        <w:snapToGrid/>
        <w:spacing w:after="0"/>
        <w:rPr>
          <w:rFonts w:hint="eastAsia" w:ascii="宋体" w:hAnsi="宋体"/>
          <w:b/>
        </w:rPr>
      </w:pPr>
      <w:r>
        <w:rPr>
          <w:rFonts w:hint="eastAsia" w:ascii="宋体" w:hAnsi="宋体"/>
          <w:b/>
        </w:rPr>
        <w:t>合同生效及其它：</w:t>
      </w:r>
    </w:p>
    <w:p>
      <w:pPr>
        <w:widowControl w:val="0"/>
        <w:numPr>
          <w:ilvl w:val="0"/>
          <w:numId w:val="8"/>
        </w:numPr>
        <w:adjustRightInd/>
        <w:snapToGrid/>
        <w:spacing w:after="0"/>
        <w:ind w:left="0" w:firstLine="880" w:firstLineChars="400"/>
        <w:rPr>
          <w:rFonts w:hint="eastAsia" w:ascii="宋体" w:hAnsi="宋体"/>
          <w:bCs/>
          <w:highlight w:val="yellow"/>
        </w:rPr>
      </w:pPr>
      <w:r>
        <w:rPr>
          <w:rFonts w:hint="eastAsia" w:ascii="宋体" w:hAnsi="宋体"/>
          <w:bCs/>
          <w:highlight w:val="yellow"/>
        </w:rPr>
        <w:t>本合同一经双方单位盖章后即生效，甲乙双方应严格遵守；</w:t>
      </w:r>
    </w:p>
    <w:p>
      <w:pPr>
        <w:widowControl w:val="0"/>
        <w:numPr>
          <w:ilvl w:val="0"/>
          <w:numId w:val="8"/>
        </w:numPr>
        <w:adjustRightInd/>
        <w:snapToGrid/>
        <w:spacing w:after="0"/>
        <w:ind w:left="0" w:firstLine="880" w:firstLineChars="400"/>
        <w:rPr>
          <w:rFonts w:hint="eastAsia" w:ascii="宋体" w:hAnsi="宋体"/>
          <w:bCs/>
        </w:rPr>
      </w:pPr>
      <w:r>
        <w:rPr>
          <w:rFonts w:hint="eastAsia" w:ascii="宋体" w:hAnsi="宋体"/>
          <w:bCs/>
        </w:rPr>
        <w:t>在合同履行过程中，《校准报价单》和双方确定的其它规定、实施记录及有关备忘录均视为本合同附件，具有同等法律效应；如附件条款与本合同条款冲突，以本合同条款为履行条款，附件相应条款视为无效；</w:t>
      </w:r>
    </w:p>
    <w:p>
      <w:pPr>
        <w:widowControl w:val="0"/>
        <w:numPr>
          <w:ilvl w:val="0"/>
          <w:numId w:val="8"/>
        </w:numPr>
        <w:adjustRightInd/>
        <w:snapToGrid/>
        <w:spacing w:after="0"/>
        <w:ind w:left="0" w:firstLine="880" w:firstLineChars="400"/>
        <w:rPr>
          <w:rFonts w:hint="eastAsia" w:ascii="宋体" w:hAnsi="宋体"/>
          <w:bCs/>
        </w:rPr>
      </w:pPr>
      <w:r>
        <w:rPr>
          <w:rFonts w:hint="eastAsia" w:ascii="宋体" w:hAnsi="宋体"/>
          <w:bCs/>
        </w:rPr>
        <w:t>合同履行过程中，双方如存在未尽事宜，可对以《补充协议》形式修改合同，《补充协议》视为本合同的一部分，具有同等法律效应；</w:t>
      </w:r>
    </w:p>
    <w:p>
      <w:pPr>
        <w:widowControl w:val="0"/>
        <w:numPr>
          <w:ilvl w:val="0"/>
          <w:numId w:val="8"/>
        </w:numPr>
        <w:adjustRightInd/>
        <w:snapToGrid/>
        <w:spacing w:after="0"/>
        <w:ind w:left="0" w:firstLine="880" w:firstLineChars="400"/>
        <w:rPr>
          <w:rFonts w:hint="eastAsia" w:ascii="宋体" w:hAnsi="宋体"/>
          <w:bCs/>
        </w:rPr>
      </w:pPr>
      <w:r>
        <w:rPr>
          <w:rFonts w:hint="eastAsia" w:ascii="宋体" w:hAnsi="宋体"/>
          <w:bCs/>
        </w:rPr>
        <w:t>本合同壹式伍份，甲方持贰份，乙方持叁份，具同等法律效应；</w:t>
      </w:r>
    </w:p>
    <w:p>
      <w:pPr>
        <w:widowControl w:val="0"/>
        <w:numPr>
          <w:ilvl w:val="0"/>
          <w:numId w:val="8"/>
        </w:numPr>
        <w:adjustRightInd/>
        <w:snapToGrid/>
        <w:spacing w:after="0"/>
        <w:ind w:left="0" w:firstLine="880" w:firstLineChars="400"/>
        <w:rPr>
          <w:rFonts w:hint="eastAsia" w:ascii="宋体" w:hAnsi="宋体"/>
          <w:bCs/>
        </w:rPr>
      </w:pPr>
      <w:r>
        <w:rPr>
          <w:rFonts w:hint="eastAsia" w:ascii="宋体" w:hAnsi="宋体"/>
          <w:bCs/>
        </w:rPr>
        <w:t>经双方盖章确认后的合同及合同附件的传真、扫描件亦视为有效合同；</w:t>
      </w:r>
    </w:p>
    <w:p>
      <w:pPr>
        <w:widowControl w:val="0"/>
        <w:numPr>
          <w:ilvl w:val="0"/>
          <w:numId w:val="0"/>
        </w:numPr>
        <w:adjustRightInd/>
        <w:snapToGrid/>
        <w:spacing w:after="0"/>
        <w:ind w:leftChars="400"/>
        <w:rPr>
          <w:rFonts w:hint="eastAsia" w:ascii="宋体" w:hAnsi="宋体"/>
          <w:bCs/>
        </w:rPr>
      </w:pPr>
    </w:p>
    <w:p>
      <w:pPr>
        <w:rPr>
          <w:rFonts w:hint="eastAsia" w:ascii="宋体" w:hAnsi="宋体"/>
          <w:bCs/>
        </w:rPr>
      </w:pPr>
      <w:r>
        <w:rPr>
          <w:rFonts w:hint="eastAsia" w:ascii="宋体" w:hAnsi="宋体"/>
          <w:bCs/>
        </w:rPr>
        <w:t>甲方（盖章)：                                     乙方（盖章)：</w:t>
      </w:r>
    </w:p>
    <w:p>
      <w:pPr>
        <w:rPr>
          <w:rFonts w:hint="eastAsia" w:ascii="宋体" w:hAnsi="宋体"/>
          <w:bCs/>
        </w:rPr>
      </w:pPr>
      <w:r>
        <w:rPr>
          <w:rFonts w:hint="eastAsia" w:ascii="宋体" w:hAnsi="宋体"/>
          <w:bCs/>
        </w:rPr>
        <w:t xml:space="preserve"> </w:t>
      </w:r>
    </w:p>
    <w:p>
      <w:pPr>
        <w:rPr>
          <w:rFonts w:hint="eastAsia" w:ascii="宋体" w:hAnsi="宋体"/>
          <w:bCs/>
        </w:rPr>
      </w:pPr>
      <w:r>
        <w:rPr>
          <w:rFonts w:hint="eastAsia" w:ascii="宋体" w:hAnsi="宋体"/>
          <w:bCs/>
        </w:rPr>
        <w:t xml:space="preserve"> </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hAnsi="Times New Roman" w:eastAsia="仿宋_GB2312" w:cs="Times New Roman"/>
          <w:sz w:val="24"/>
        </w:rPr>
      </w:pPr>
      <w:r>
        <w:rPr>
          <w:rFonts w:hint="eastAsia" w:ascii="仿宋_GB2312" w:eastAsia="仿宋_GB2312"/>
          <w:sz w:val="24"/>
        </w:rPr>
        <w:t xml:space="preserve"> </w:t>
      </w:r>
    </w:p>
    <w:p>
      <w:pPr>
        <w:jc w:val="center"/>
        <w:rPr>
          <w:rFonts w:ascii="仿宋_GB2312" w:eastAsia="仿宋_GB2312"/>
          <w:sz w:val="24"/>
        </w:rPr>
      </w:pPr>
      <w:r>
        <w:rPr>
          <w:rFonts w:hint="eastAsia" w:ascii="仿宋_GB2312" w:eastAsia="仿宋_GB2312"/>
          <w:sz w:val="24"/>
        </w:rPr>
        <w:t xml:space="preserve"> </w:t>
      </w:r>
    </w:p>
    <w:p>
      <w:pPr>
        <w:jc w:val="center"/>
        <w:rPr>
          <w:rFonts w:ascii="仿宋_GB2312" w:eastAsia="仿宋_GB2312"/>
          <w:sz w:val="24"/>
        </w:rPr>
      </w:pPr>
    </w:p>
    <w:p>
      <w:pPr>
        <w:spacing w:line="360" w:lineRule="auto"/>
        <w:ind w:firstLine="562" w:firstLineChars="200"/>
        <w:jc w:val="center"/>
        <w:rPr>
          <w:rFonts w:hint="eastAsia" w:cs="仿宋_GB2312" w:asciiTheme="minorEastAsia" w:hAnsiTheme="minorEastAsia" w:eastAsiaTheme="minorEastAsia"/>
          <w:b/>
          <w:bCs/>
          <w:color w:val="000000" w:themeColor="text1"/>
          <w:sz w:val="28"/>
          <w:szCs w:val="28"/>
          <w14:textFill>
            <w14:solidFill>
              <w14:schemeClr w14:val="tx1"/>
            </w14:solidFill>
          </w14:textFill>
        </w:rPr>
      </w:pPr>
    </w:p>
    <w:p>
      <w:pPr>
        <w:spacing w:line="360" w:lineRule="auto"/>
        <w:ind w:firstLine="562" w:firstLineChars="200"/>
        <w:jc w:val="center"/>
        <w:rPr>
          <w:rFonts w:cs="仿宋_GB2312" w:asciiTheme="minorEastAsia" w:hAnsiTheme="minorEastAsia" w:eastAsiaTheme="minorEastAsia"/>
          <w:b/>
          <w:bCs/>
          <w:color w:val="000000" w:themeColor="text1"/>
          <w:sz w:val="28"/>
          <w:szCs w:val="28"/>
          <w14:textFill>
            <w14:solidFill>
              <w14:schemeClr w14:val="tx1"/>
            </w14:solidFill>
          </w14:textFill>
        </w:rPr>
      </w:pPr>
      <w:r>
        <w:rPr>
          <w:rFonts w:hint="eastAsia" w:cs="仿宋_GB2312" w:asciiTheme="minorEastAsia" w:hAnsiTheme="minorEastAsia" w:eastAsiaTheme="minorEastAsia"/>
          <w:b/>
          <w:bCs/>
          <w:color w:val="000000" w:themeColor="text1"/>
          <w:sz w:val="28"/>
          <w:szCs w:val="28"/>
          <w14:textFill>
            <w14:solidFill>
              <w14:schemeClr w14:val="tx1"/>
            </w14:solidFill>
          </w14:textFill>
        </w:rPr>
        <w:t>第三部分 中粮糖业采购监督联系方式</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一、中粮糖业纪检监督联系方式</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地址：北京市朝阳区朝阳门南大街8号9层904室监察部/ 新疆乌鲁木齐市黄河路2号招商大厦20楼监察部</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电话：010-85017235/ 0991-6173321</w:t>
      </w:r>
    </w:p>
    <w:p>
      <w:pPr>
        <w:spacing w:line="360" w:lineRule="auto"/>
        <w:ind w:firstLine="440" w:firstLineChars="200"/>
        <w:rPr>
          <w:rFonts w:asciiTheme="minorEastAsia" w:hAnsiTheme="minorEastAsia" w:eastAsiaTheme="minorEastAsia"/>
          <w:sz w:val="28"/>
          <w:szCs w:val="28"/>
        </w:rPr>
      </w:pPr>
      <w:r>
        <w:fldChar w:fldCharType="begin"/>
      </w:r>
      <w:r>
        <w:instrText xml:space="preserve"> HYPERLINK "mailto:thjjb@cofco.com" \h </w:instrText>
      </w:r>
      <w:r>
        <w:fldChar w:fldCharType="separate"/>
      </w:r>
      <w:r>
        <w:rPr>
          <w:rFonts w:hint="eastAsia" w:asciiTheme="minorEastAsia" w:hAnsiTheme="minorEastAsia" w:eastAsiaTheme="minorEastAsia"/>
          <w:sz w:val="28"/>
          <w:szCs w:val="28"/>
        </w:rPr>
        <w:t>电子邮箱:thjjb@cofco.com</w:t>
      </w:r>
      <w:r>
        <w:rPr>
          <w:rFonts w:hint="eastAsia" w:asciiTheme="minorEastAsia" w:hAnsiTheme="minorEastAsia" w:eastAsiaTheme="minorEastAsia"/>
          <w:sz w:val="28"/>
          <w:szCs w:val="28"/>
        </w:rPr>
        <w:fldChar w:fldCharType="end"/>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二、采购项目监督人员联系方式</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姓名：于鑫淼</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联系电话：0417-6562810</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电子邮箱：yuxinmiao@cofco.com</w:t>
      </w:r>
    </w:p>
    <w:p>
      <w:pPr>
        <w:spacing w:line="360" w:lineRule="auto"/>
        <w:ind w:firstLine="560" w:firstLineChars="200"/>
        <w:rPr>
          <w:rFonts w:asciiTheme="minorEastAsia" w:hAnsiTheme="minorEastAsia" w:eastAsiaTheme="minorEastAsia"/>
          <w:sz w:val="28"/>
          <w:szCs w:val="28"/>
        </w:rPr>
      </w:pPr>
    </w:p>
    <w:p>
      <w:pPr>
        <w:spacing w:line="360" w:lineRule="auto"/>
        <w:ind w:firstLine="560" w:firstLineChars="200"/>
        <w:rPr>
          <w:rFonts w:asciiTheme="minorEastAsia" w:hAnsiTheme="minorEastAsia" w:eastAsiaTheme="minorEastAsia"/>
          <w:sz w:val="28"/>
          <w:szCs w:val="28"/>
        </w:rPr>
      </w:pPr>
    </w:p>
    <w:p>
      <w:pPr>
        <w:spacing w:line="360" w:lineRule="auto"/>
        <w:ind w:firstLine="560" w:firstLineChars="200"/>
        <w:rPr>
          <w:rFonts w:asciiTheme="minorEastAsia" w:hAnsiTheme="minorEastAsia" w:eastAsiaTheme="minorEastAsia"/>
          <w:sz w:val="28"/>
          <w:szCs w:val="28"/>
        </w:rPr>
      </w:pPr>
    </w:p>
    <w:p>
      <w:pPr>
        <w:spacing w:line="360" w:lineRule="auto"/>
        <w:ind w:firstLine="560" w:firstLineChars="200"/>
        <w:rPr>
          <w:rFonts w:asciiTheme="minorEastAsia" w:hAnsiTheme="minorEastAsia" w:eastAsiaTheme="minorEastAsia"/>
          <w:sz w:val="28"/>
          <w:szCs w:val="28"/>
        </w:rPr>
      </w:pPr>
    </w:p>
    <w:p>
      <w:pPr>
        <w:spacing w:line="360" w:lineRule="auto"/>
        <w:ind w:firstLine="560" w:firstLineChars="200"/>
        <w:rPr>
          <w:rFonts w:asciiTheme="minorEastAsia" w:hAnsiTheme="minorEastAsia" w:eastAsiaTheme="minorEastAsia"/>
          <w:sz w:val="28"/>
          <w:szCs w:val="28"/>
        </w:rPr>
      </w:pPr>
    </w:p>
    <w:p>
      <w:pPr>
        <w:spacing w:line="360" w:lineRule="auto"/>
        <w:ind w:firstLine="560" w:firstLineChars="200"/>
        <w:rPr>
          <w:rFonts w:asciiTheme="minorEastAsia" w:hAnsiTheme="minorEastAsia" w:eastAsiaTheme="minorEastAsia"/>
          <w:sz w:val="28"/>
          <w:szCs w:val="28"/>
        </w:rPr>
      </w:pPr>
    </w:p>
    <w:p>
      <w:pPr>
        <w:spacing w:line="360" w:lineRule="auto"/>
        <w:ind w:firstLine="560" w:firstLineChars="200"/>
        <w:rPr>
          <w:rFonts w:asciiTheme="minorEastAsia" w:hAnsiTheme="minorEastAsia" w:eastAsiaTheme="minorEastAsia"/>
          <w:sz w:val="28"/>
          <w:szCs w:val="28"/>
        </w:rPr>
      </w:pPr>
    </w:p>
    <w:p>
      <w:pPr>
        <w:spacing w:line="360" w:lineRule="auto"/>
        <w:ind w:firstLine="560" w:firstLineChars="200"/>
        <w:rPr>
          <w:rFonts w:asciiTheme="minorEastAsia" w:hAnsiTheme="minorEastAsia" w:eastAsiaTheme="minorEastAsia"/>
          <w:sz w:val="28"/>
          <w:szCs w:val="28"/>
        </w:rPr>
      </w:pPr>
    </w:p>
    <w:p>
      <w:pPr>
        <w:jc w:val="center"/>
        <w:rPr>
          <w:rFonts w:hint="eastAsia" w:asciiTheme="minorEastAsia" w:hAnsiTheme="minorEastAsia" w:eastAsiaTheme="minorEastAsia"/>
          <w:b/>
          <w:sz w:val="36"/>
          <w:szCs w:val="36"/>
        </w:rPr>
      </w:pPr>
    </w:p>
    <w:p>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第四部分</w:t>
      </w:r>
      <w:r>
        <w:rPr>
          <w:rFonts w:hint="eastAsia" w:cs="仿宋_GB2312" w:asciiTheme="minorEastAsia" w:hAnsiTheme="minorEastAsia" w:eastAsiaTheme="minorEastAsia"/>
          <w:b/>
          <w:bCs/>
          <w:color w:val="000000" w:themeColor="text1"/>
          <w:sz w:val="28"/>
          <w:szCs w:val="28"/>
          <w14:textFill>
            <w14:solidFill>
              <w14:schemeClr w14:val="tx1"/>
            </w14:solidFill>
          </w14:textFill>
        </w:rPr>
        <w:t xml:space="preserve"> </w:t>
      </w:r>
      <w:r>
        <w:rPr>
          <w:rFonts w:hint="eastAsia" w:asciiTheme="minorEastAsia" w:hAnsiTheme="minorEastAsia" w:eastAsiaTheme="minorEastAsia"/>
          <w:b/>
          <w:sz w:val="36"/>
          <w:szCs w:val="36"/>
        </w:rPr>
        <w:t>投标格式</w:t>
      </w:r>
    </w:p>
    <w:p>
      <w:pPr>
        <w:pStyle w:val="4"/>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中粮糖业辽宁有限公司</w:t>
      </w:r>
    </w:p>
    <w:p>
      <w:pPr>
        <w:pStyle w:val="4"/>
        <w:jc w:val="center"/>
        <w:rPr>
          <w:rFonts w:cs="仿宋_GB2312" w:asciiTheme="minorEastAsia" w:hAnsiTheme="minorEastAsia" w:eastAsiaTheme="minorEastAsia"/>
          <w:sz w:val="144"/>
          <w:szCs w:val="144"/>
        </w:rPr>
      </w:pPr>
    </w:p>
    <w:p>
      <w:pPr>
        <w:pStyle w:val="4"/>
        <w:jc w:val="center"/>
        <w:rPr>
          <w:rFonts w:cs="仿宋_GB2312" w:asciiTheme="minorEastAsia" w:hAnsiTheme="minorEastAsia" w:eastAsiaTheme="minorEastAsia"/>
          <w:sz w:val="72"/>
          <w:szCs w:val="72"/>
        </w:rPr>
      </w:pPr>
      <w:r>
        <w:rPr>
          <w:rFonts w:hint="eastAsia" w:cs="仿宋_GB2312" w:asciiTheme="minorEastAsia" w:hAnsiTheme="minorEastAsia" w:eastAsiaTheme="minorEastAsia"/>
          <w:sz w:val="72"/>
          <w:szCs w:val="72"/>
          <w:lang w:val="en-US"/>
        </w:rPr>
        <w:t>投标</w:t>
      </w:r>
      <w:r>
        <w:rPr>
          <w:rFonts w:hint="eastAsia" w:cs="仿宋_GB2312" w:asciiTheme="minorEastAsia" w:hAnsiTheme="minorEastAsia" w:eastAsiaTheme="minorEastAsia"/>
          <w:sz w:val="72"/>
          <w:szCs w:val="72"/>
        </w:rPr>
        <w:t>文件</w:t>
      </w:r>
    </w:p>
    <w:p>
      <w:pPr>
        <w:spacing w:line="540" w:lineRule="exact"/>
        <w:ind w:firstLine="1280" w:firstLineChars="400"/>
        <w:rPr>
          <w:rFonts w:cs="仿宋_GB2312" w:asciiTheme="minorEastAsia" w:hAnsiTheme="minorEastAsia" w:eastAsiaTheme="minorEastAsia"/>
          <w:sz w:val="32"/>
          <w:szCs w:val="32"/>
        </w:rPr>
      </w:pPr>
    </w:p>
    <w:p>
      <w:pPr>
        <w:spacing w:line="540" w:lineRule="exact"/>
        <w:ind w:firstLine="1280" w:firstLineChars="400"/>
        <w:rPr>
          <w:rFonts w:cs="仿宋_GB2312" w:asciiTheme="minorEastAsia" w:hAnsiTheme="minorEastAsia" w:eastAsiaTheme="minorEastAsia"/>
          <w:sz w:val="32"/>
          <w:szCs w:val="32"/>
        </w:rPr>
      </w:pPr>
    </w:p>
    <w:p>
      <w:pPr>
        <w:pStyle w:val="4"/>
        <w:ind w:firstLine="2072" w:firstLineChars="645"/>
        <w:rPr>
          <w:rFonts w:cs="仿宋_GB2312" w:asciiTheme="minorEastAsia" w:hAnsiTheme="minorEastAsia" w:eastAsiaTheme="minorEastAsia"/>
          <w:b/>
        </w:rPr>
      </w:pPr>
    </w:p>
    <w:p>
      <w:pPr>
        <w:pStyle w:val="4"/>
        <w:ind w:firstLine="2072" w:firstLineChars="645"/>
        <w:rPr>
          <w:rFonts w:cs="仿宋_GB2312" w:asciiTheme="minorEastAsia" w:hAnsiTheme="minorEastAsia" w:eastAsiaTheme="minorEastAsia"/>
          <w:b/>
        </w:rPr>
      </w:pPr>
      <w:r>
        <w:rPr>
          <w:rFonts w:hint="eastAsia" w:cs="仿宋_GB2312" w:asciiTheme="minorEastAsia" w:hAnsiTheme="minorEastAsia" w:eastAsiaTheme="minorEastAsia"/>
          <w:b/>
        </w:rPr>
        <w:t xml:space="preserve"> </w:t>
      </w:r>
    </w:p>
    <w:p>
      <w:pPr>
        <w:pStyle w:val="4"/>
        <w:ind w:left="2743" w:leftChars="524" w:hanging="1590" w:hangingChars="495"/>
        <w:rPr>
          <w:rFonts w:hint="eastAsia" w:cs="仿宋_GB2312" w:asciiTheme="minorEastAsia" w:hAnsiTheme="minorEastAsia" w:eastAsiaTheme="minorEastAsia"/>
          <w:b/>
          <w:lang w:val="en-US" w:eastAsia="zh-CN"/>
        </w:rPr>
      </w:pPr>
      <w:r>
        <w:rPr>
          <w:rFonts w:hint="eastAsia" w:cs="仿宋_GB2312" w:asciiTheme="minorEastAsia" w:hAnsiTheme="minorEastAsia" w:eastAsiaTheme="minorEastAsia"/>
          <w:b/>
        </w:rPr>
        <w:t>项目名称：</w:t>
      </w:r>
      <w:r>
        <w:rPr>
          <w:rFonts w:hint="eastAsia" w:cs="仿宋_GB2312" w:asciiTheme="minorEastAsia" w:hAnsiTheme="minorEastAsia" w:eastAsiaTheme="minorEastAsia"/>
          <w:b/>
          <w:lang w:val="en-US" w:eastAsia="zh-CN"/>
        </w:rPr>
        <w:t>2023-2024年度计量器具校验采购</w:t>
      </w:r>
    </w:p>
    <w:p>
      <w:pPr>
        <w:pStyle w:val="4"/>
        <w:ind w:left="2341" w:leftChars="524" w:hanging="1188" w:hangingChars="495"/>
        <w:rPr>
          <w:rFonts w:asciiTheme="minorEastAsia" w:hAnsiTheme="minorEastAsia" w:eastAsiaTheme="minorEastAsia"/>
          <w:sz w:val="24"/>
        </w:rPr>
      </w:pPr>
    </w:p>
    <w:p>
      <w:pPr>
        <w:pStyle w:val="4"/>
        <w:ind w:left="2743" w:leftChars="524" w:hanging="1590" w:hangingChars="495"/>
        <w:rPr>
          <w:rFonts w:cs="仿宋_GB2312" w:asciiTheme="minorEastAsia" w:hAnsiTheme="minorEastAsia" w:eastAsiaTheme="minorEastAsia"/>
          <w:b/>
          <w:u w:val="single"/>
        </w:rPr>
      </w:pPr>
      <w:r>
        <w:rPr>
          <w:rFonts w:hint="eastAsia" w:cs="仿宋_GB2312" w:asciiTheme="minorEastAsia" w:hAnsiTheme="minorEastAsia" w:eastAsiaTheme="minorEastAsia"/>
          <w:b/>
        </w:rPr>
        <w:t>投标单位：</w:t>
      </w:r>
      <w:r>
        <w:rPr>
          <w:rFonts w:hint="eastAsia" w:cs="仿宋_GB2312" w:asciiTheme="minorEastAsia" w:hAnsiTheme="minorEastAsia" w:eastAsiaTheme="minorEastAsia"/>
          <w:b/>
          <w:u w:val="single"/>
        </w:rPr>
        <w:t xml:space="preserve">                       </w:t>
      </w:r>
    </w:p>
    <w:p>
      <w:pPr>
        <w:tabs>
          <w:tab w:val="left" w:pos="632"/>
        </w:tabs>
        <w:rPr>
          <w:rFonts w:asciiTheme="minorEastAsia" w:hAnsiTheme="minorEastAsia" w:eastAsiaTheme="minorEastAsia"/>
          <w:b/>
          <w:bCs/>
          <w:color w:val="000000"/>
          <w:sz w:val="36"/>
          <w:szCs w:val="36"/>
        </w:rPr>
      </w:pPr>
    </w:p>
    <w:p>
      <w:pPr>
        <w:tabs>
          <w:tab w:val="left" w:pos="632"/>
        </w:tabs>
        <w:jc w:val="center"/>
        <w:rPr>
          <w:rFonts w:asciiTheme="minorEastAsia" w:hAnsiTheme="minorEastAsia" w:eastAsiaTheme="minorEastAsia"/>
          <w:b/>
          <w:bCs/>
          <w:color w:val="000000"/>
          <w:sz w:val="36"/>
          <w:szCs w:val="36"/>
        </w:rPr>
      </w:pPr>
    </w:p>
    <w:p>
      <w:pPr>
        <w:tabs>
          <w:tab w:val="left" w:pos="632"/>
        </w:tabs>
        <w:jc w:val="center"/>
        <w:rPr>
          <w:rFonts w:asciiTheme="minorEastAsia" w:hAnsiTheme="minorEastAsia" w:eastAsiaTheme="minorEastAsia"/>
          <w:b/>
          <w:bCs/>
          <w:color w:val="000000"/>
          <w:sz w:val="18"/>
          <w:szCs w:val="18"/>
        </w:rPr>
      </w:pPr>
    </w:p>
    <w:p>
      <w:pPr>
        <w:tabs>
          <w:tab w:val="left" w:pos="632"/>
        </w:tabs>
        <w:jc w:val="center"/>
        <w:rPr>
          <w:rFonts w:asciiTheme="minorEastAsia" w:hAnsiTheme="minorEastAsia" w:eastAsiaTheme="minorEastAsia"/>
          <w:b/>
          <w:bCs/>
          <w:color w:val="000000"/>
          <w:sz w:val="18"/>
          <w:szCs w:val="18"/>
        </w:rPr>
      </w:pPr>
    </w:p>
    <w:p>
      <w:pPr>
        <w:tabs>
          <w:tab w:val="left" w:pos="632"/>
        </w:tabs>
        <w:jc w:val="center"/>
        <w:rPr>
          <w:rFonts w:asciiTheme="minorEastAsia" w:hAnsiTheme="minorEastAsia" w:eastAsiaTheme="minorEastAsia"/>
          <w:b/>
          <w:bCs/>
          <w:color w:val="000000"/>
          <w:sz w:val="18"/>
          <w:szCs w:val="18"/>
        </w:rPr>
      </w:pPr>
    </w:p>
    <w:p>
      <w:pPr>
        <w:tabs>
          <w:tab w:val="left" w:pos="632"/>
        </w:tabs>
        <w:jc w:val="center"/>
        <w:rPr>
          <w:rFonts w:asciiTheme="minorEastAsia" w:hAnsiTheme="minorEastAsia" w:eastAsiaTheme="minorEastAsia"/>
          <w:b/>
          <w:bCs/>
          <w:color w:val="000000"/>
          <w:sz w:val="18"/>
          <w:szCs w:val="18"/>
        </w:rPr>
      </w:pPr>
    </w:p>
    <w:p>
      <w:pPr>
        <w:spacing w:line="540" w:lineRule="exact"/>
        <w:ind w:firstLine="3040" w:firstLineChars="95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202</w:t>
      </w:r>
      <w:r>
        <w:rPr>
          <w:rFonts w:hint="eastAsia" w:cs="仿宋_GB2312" w:asciiTheme="minorEastAsia" w:hAnsiTheme="minorEastAsia" w:eastAsiaTheme="minorEastAsia"/>
          <w:sz w:val="32"/>
          <w:szCs w:val="32"/>
          <w:lang w:val="en-US" w:eastAsia="zh-CN"/>
        </w:rPr>
        <w:t>3</w:t>
      </w:r>
      <w:r>
        <w:rPr>
          <w:rFonts w:hint="eastAsia" w:cs="仿宋_GB2312" w:asciiTheme="minorEastAsia" w:hAnsiTheme="minorEastAsia" w:eastAsiaTheme="minorEastAsia"/>
          <w:sz w:val="32"/>
          <w:szCs w:val="32"/>
        </w:rPr>
        <w:t>年</w:t>
      </w:r>
      <w:r>
        <w:rPr>
          <w:rFonts w:hint="eastAsia" w:cs="仿宋_GB2312" w:asciiTheme="minorEastAsia" w:hAnsiTheme="minorEastAsia" w:eastAsiaTheme="minorEastAsia"/>
          <w:sz w:val="32"/>
          <w:szCs w:val="32"/>
          <w:lang w:val="en-US" w:eastAsia="zh-CN"/>
        </w:rPr>
        <w:t>7</w:t>
      </w:r>
      <w:r>
        <w:rPr>
          <w:rFonts w:hint="eastAsia" w:cs="仿宋_GB2312" w:asciiTheme="minorEastAsia" w:hAnsiTheme="minorEastAsia" w:eastAsiaTheme="minorEastAsia"/>
          <w:sz w:val="32"/>
          <w:szCs w:val="32"/>
        </w:rPr>
        <w:t>月</w:t>
      </w:r>
    </w:p>
    <w:p>
      <w:pPr>
        <w:rPr>
          <w:rFonts w:asciiTheme="minorEastAsia" w:hAnsiTheme="minorEastAsia" w:eastAsiaTheme="minorEastAsia"/>
          <w:b/>
          <w:sz w:val="36"/>
          <w:szCs w:val="36"/>
        </w:rPr>
      </w:pPr>
    </w:p>
    <w:p>
      <w:pPr>
        <w:rPr>
          <w:rFonts w:asciiTheme="minorEastAsia" w:hAnsiTheme="minorEastAsia" w:eastAsiaTheme="minorEastAsia"/>
          <w:b/>
          <w:sz w:val="36"/>
          <w:szCs w:val="36"/>
        </w:rPr>
      </w:pPr>
    </w:p>
    <w:p>
      <w:pPr>
        <w:jc w:val="center"/>
        <w:rPr>
          <w:b/>
          <w:bCs/>
          <w:sz w:val="30"/>
          <w:szCs w:val="30"/>
        </w:rPr>
      </w:pPr>
      <w:bookmarkStart w:id="0" w:name="_Toc18531_WPSOffice_Level1"/>
      <w:r>
        <w:rPr>
          <w:rFonts w:hint="eastAsia"/>
          <w:b/>
          <w:bCs/>
          <w:sz w:val="30"/>
          <w:szCs w:val="30"/>
        </w:rPr>
        <w:t>一、保密协议</w:t>
      </w:r>
      <w:r>
        <w:rPr>
          <w:rFonts w:hint="eastAsia"/>
          <w:b/>
          <w:bCs/>
          <w:sz w:val="30"/>
          <w:szCs w:val="30"/>
          <w:highlight w:val="red"/>
        </w:rPr>
        <w:t>（必填）</w:t>
      </w:r>
    </w:p>
    <w:p>
      <w:pPr>
        <w:rPr>
          <w:b/>
          <w:bCs/>
        </w:rPr>
      </w:pPr>
      <w:r>
        <w:rPr>
          <w:rFonts w:hint="eastAsia"/>
          <w:b/>
          <w:bCs/>
        </w:rPr>
        <w:t>甲方：中粮糖业辽宁有限公司</w:t>
      </w:r>
    </w:p>
    <w:p>
      <w:pPr>
        <w:rPr>
          <w:u w:val="single"/>
        </w:rPr>
      </w:pPr>
      <w:r>
        <w:rPr>
          <w:rFonts w:hint="eastAsia"/>
          <w:b/>
          <w:bCs/>
        </w:rPr>
        <w:t>乙方：</w:t>
      </w:r>
      <w:r>
        <w:rPr>
          <w:rFonts w:hint="eastAsia"/>
          <w:b/>
          <w:bCs/>
          <w:u w:val="single"/>
        </w:rPr>
        <w:t xml:space="preserve">                     </w:t>
      </w:r>
      <w:r>
        <w:rPr>
          <w:rFonts w:hint="eastAsia"/>
          <w:u w:val="single"/>
        </w:rPr>
        <w:t xml:space="preserve">        </w:t>
      </w:r>
      <w:r>
        <w:rPr>
          <w:rFonts w:hint="eastAsia"/>
        </w:rPr>
        <w:t xml:space="preserve"> 身份证号：</w:t>
      </w:r>
      <w:r>
        <w:rPr>
          <w:rFonts w:hint="eastAsia"/>
          <w:u w:val="single"/>
        </w:rPr>
        <w:t xml:space="preserve">                 </w:t>
      </w:r>
    </w:p>
    <w:p>
      <w:pPr>
        <w:rPr>
          <w:u w:val="single"/>
        </w:rPr>
      </w:pPr>
      <w:r>
        <w:rPr>
          <w:rFonts w:hint="eastAsia"/>
          <w:b/>
          <w:bCs/>
        </w:rPr>
        <w:t>保密项目</w:t>
      </w:r>
      <w:r>
        <w:rPr>
          <w:rFonts w:hint="eastAsia"/>
        </w:rPr>
        <w:t>：</w:t>
      </w:r>
      <w:r>
        <w:rPr>
          <w:rFonts w:hint="eastAsia" w:cs="仿宋_GB2312" w:asciiTheme="minorEastAsia" w:hAnsiTheme="minorEastAsia" w:eastAsiaTheme="minorEastAsia"/>
          <w:b/>
        </w:rPr>
        <w:t>2023-2024</w:t>
      </w:r>
      <w:r>
        <w:rPr>
          <w:rFonts w:hint="eastAsia"/>
          <w:b/>
        </w:rPr>
        <w:t>年度计量</w:t>
      </w:r>
      <w:r>
        <w:rPr>
          <w:rFonts w:hint="eastAsia"/>
          <w:b/>
          <w:lang w:val="en-US" w:eastAsia="zh-CN"/>
        </w:rPr>
        <w:t>器具校验</w:t>
      </w:r>
      <w:r>
        <w:rPr>
          <w:rFonts w:hint="eastAsia"/>
          <w:b/>
        </w:rPr>
        <w:t>采购</w:t>
      </w:r>
    </w:p>
    <w:p>
      <w:pPr>
        <w:ind w:firstLine="440" w:firstLineChars="200"/>
      </w:pPr>
      <w:r>
        <w:rPr>
          <w:rFonts w:hint="eastAsia"/>
        </w:rPr>
        <w:t>乙方因参加与甲方关于中粮糖业辽宁公司2023-2024年度计量器具校验采购的有关竞标工作，已经知悉甲方关于该项目的商业秘密。为明确乙方的保密义务，甲、乙双方本着平等自愿、公平诚信的原则，依据《中华人名共和国劳动法》、《中华人民共和国反不正当竞争法》订立本保密协议。</w:t>
      </w:r>
    </w:p>
    <w:p>
      <w:pPr>
        <w:widowControl w:val="0"/>
        <w:numPr>
          <w:ilvl w:val="0"/>
          <w:numId w:val="9"/>
        </w:numPr>
        <w:adjustRightInd/>
        <w:snapToGrid/>
        <w:spacing w:after="0"/>
        <w:jc w:val="both"/>
        <w:rPr>
          <w:b/>
          <w:bCs/>
        </w:rPr>
      </w:pPr>
      <w:r>
        <w:rPr>
          <w:rFonts w:hint="eastAsia"/>
          <w:b/>
          <w:bCs/>
        </w:rPr>
        <w:t>保密内容及范围</w:t>
      </w:r>
    </w:p>
    <w:p>
      <w:pPr>
        <w:widowControl w:val="0"/>
        <w:numPr>
          <w:ilvl w:val="0"/>
          <w:numId w:val="10"/>
        </w:numPr>
        <w:adjustRightInd/>
        <w:snapToGrid/>
        <w:spacing w:after="0"/>
        <w:jc w:val="both"/>
      </w:pPr>
      <w:r>
        <w:rPr>
          <w:rFonts w:hint="eastAsia"/>
        </w:rPr>
        <w:t>标的信息：包括标的内容、工作要求、招标文件等甲方所提供材料。</w:t>
      </w:r>
    </w:p>
    <w:p>
      <w:pPr>
        <w:widowControl w:val="0"/>
        <w:numPr>
          <w:ilvl w:val="0"/>
          <w:numId w:val="10"/>
        </w:numPr>
        <w:adjustRightInd/>
        <w:snapToGrid/>
        <w:spacing w:after="0"/>
        <w:jc w:val="both"/>
      </w:pPr>
      <w:r>
        <w:rPr>
          <w:rFonts w:hint="eastAsia"/>
        </w:rPr>
        <w:t>经营信息：包括客户名称、地址及联系方式，需求信息、定价政策、项目组人员构成、费用预算等资料。</w:t>
      </w:r>
    </w:p>
    <w:p>
      <w:pPr>
        <w:widowControl w:val="0"/>
        <w:numPr>
          <w:ilvl w:val="0"/>
          <w:numId w:val="10"/>
        </w:numPr>
        <w:adjustRightInd/>
        <w:snapToGrid/>
        <w:spacing w:after="0"/>
        <w:jc w:val="both"/>
      </w:pPr>
      <w:r>
        <w:rPr>
          <w:rFonts w:hint="eastAsia"/>
        </w:rPr>
        <w:t>其他事项：甲方依照法律法规（如通过与项目对方当事人缔约）和有关协议（如技术合同等）的约定要求乙方承担保密义务的其他事项。</w:t>
      </w:r>
    </w:p>
    <w:p>
      <w:pPr>
        <w:widowControl w:val="0"/>
        <w:numPr>
          <w:ilvl w:val="0"/>
          <w:numId w:val="9"/>
        </w:numPr>
        <w:adjustRightInd/>
        <w:snapToGrid/>
        <w:spacing w:after="0"/>
        <w:jc w:val="both"/>
        <w:rPr>
          <w:b/>
          <w:bCs/>
        </w:rPr>
      </w:pPr>
      <w:r>
        <w:rPr>
          <w:rFonts w:hint="eastAsia"/>
          <w:b/>
          <w:bCs/>
        </w:rPr>
        <w:t>乙方的保密义务</w:t>
      </w:r>
    </w:p>
    <w:p>
      <w:pPr>
        <w:widowControl w:val="0"/>
        <w:numPr>
          <w:ilvl w:val="0"/>
          <w:numId w:val="11"/>
        </w:numPr>
        <w:adjustRightInd/>
        <w:snapToGrid/>
        <w:spacing w:after="0"/>
        <w:jc w:val="both"/>
      </w:pPr>
      <w:r>
        <w:rPr>
          <w:rFonts w:hint="eastAsia"/>
        </w:rPr>
        <w:t>主动采取加密措施对上述所列及之商业秘密进行保护，防止不承担同等保密义务的任何第三者知悉及使用；</w:t>
      </w:r>
    </w:p>
    <w:p>
      <w:pPr>
        <w:widowControl w:val="0"/>
        <w:numPr>
          <w:ilvl w:val="0"/>
          <w:numId w:val="11"/>
        </w:numPr>
        <w:adjustRightInd/>
        <w:snapToGrid/>
        <w:spacing w:after="0"/>
        <w:jc w:val="both"/>
      </w:pPr>
      <w:r>
        <w:rPr>
          <w:rFonts w:hint="eastAsia"/>
        </w:rPr>
        <w:t>不得刺探或以其他不正当手段（包括复制、拍照等）获取与本职工作或本身业务无关的甲方关于该项目的商业秘密。</w:t>
      </w:r>
    </w:p>
    <w:p>
      <w:pPr>
        <w:widowControl w:val="0"/>
        <w:numPr>
          <w:ilvl w:val="0"/>
          <w:numId w:val="11"/>
        </w:numPr>
        <w:adjustRightInd/>
        <w:snapToGrid/>
        <w:spacing w:after="0"/>
        <w:jc w:val="both"/>
      </w:pPr>
      <w:r>
        <w:rPr>
          <w:rFonts w:hint="eastAsia"/>
        </w:rPr>
        <w:t>不得向不承担同等保密义务的任何第三人披露甲方关于该项目的商业秘密；</w:t>
      </w:r>
    </w:p>
    <w:p>
      <w:pPr>
        <w:widowControl w:val="0"/>
        <w:numPr>
          <w:ilvl w:val="0"/>
          <w:numId w:val="11"/>
        </w:numPr>
        <w:adjustRightInd/>
        <w:snapToGrid/>
        <w:spacing w:after="0"/>
        <w:jc w:val="both"/>
      </w:pPr>
      <w:r>
        <w:rPr>
          <w:rFonts w:hint="eastAsia"/>
        </w:rPr>
        <w:t>不得允许（包括出借、赠与、出租、转让等行为）或协助不承担同等保密义务的任何第三方使用甲方关于该项目的商业秘密；</w:t>
      </w:r>
    </w:p>
    <w:p>
      <w:pPr>
        <w:widowControl w:val="0"/>
        <w:numPr>
          <w:ilvl w:val="0"/>
          <w:numId w:val="11"/>
        </w:numPr>
        <w:adjustRightInd/>
        <w:snapToGrid/>
        <w:spacing w:after="0"/>
        <w:jc w:val="both"/>
      </w:pPr>
      <w:r>
        <w:rPr>
          <w:rFonts w:hint="eastAsia"/>
        </w:rPr>
        <w:t>不论因何种原因终止参与甲方关于该项目工作后，都不得利用该项目之商业秘密为其他与甲方有竞争关系的企业服务；</w:t>
      </w:r>
    </w:p>
    <w:p>
      <w:pPr>
        <w:widowControl w:val="0"/>
        <w:numPr>
          <w:ilvl w:val="0"/>
          <w:numId w:val="11"/>
        </w:numPr>
        <w:adjustRightInd/>
        <w:snapToGrid/>
        <w:spacing w:after="0"/>
        <w:jc w:val="both"/>
      </w:pPr>
      <w:r>
        <w:rPr>
          <w:rFonts w:hint="eastAsia"/>
        </w:rPr>
        <w:t>该项目的商业秘密所有权最终全部归属甲方，乙方不得利用自身对项目不同程度的了解申请对该项目的商业秘密所有权，在本协议签订前乙方已依法具有某些所有权者除外；</w:t>
      </w:r>
    </w:p>
    <w:p>
      <w:pPr>
        <w:widowControl w:val="0"/>
        <w:numPr>
          <w:ilvl w:val="0"/>
          <w:numId w:val="11"/>
        </w:numPr>
        <w:adjustRightInd/>
        <w:snapToGrid/>
        <w:spacing w:after="0"/>
        <w:jc w:val="both"/>
      </w:pPr>
      <w:r>
        <w:rPr>
          <w:rFonts w:hint="eastAsia"/>
        </w:rPr>
        <w:t>如发现甲方有关该项目的商业秘密被泄露或自己过失泄露秘密，应当采取有效措施防止泄密进一步扩大，并及时向甲方公司报告。</w:t>
      </w:r>
    </w:p>
    <w:p>
      <w:pPr>
        <w:widowControl w:val="0"/>
        <w:numPr>
          <w:ilvl w:val="0"/>
          <w:numId w:val="9"/>
        </w:numPr>
        <w:adjustRightInd/>
        <w:snapToGrid/>
        <w:spacing w:after="0"/>
        <w:jc w:val="both"/>
        <w:rPr>
          <w:b/>
          <w:bCs/>
        </w:rPr>
      </w:pPr>
      <w:r>
        <w:rPr>
          <w:rFonts w:hint="eastAsia"/>
          <w:b/>
          <w:bCs/>
        </w:rPr>
        <w:t>保密期限</w:t>
      </w:r>
    </w:p>
    <w:p>
      <w:pPr>
        <w:ind w:firstLine="440" w:firstLineChars="200"/>
      </w:pPr>
      <w:r>
        <w:rPr>
          <w:rFonts w:hint="eastAsia"/>
        </w:rPr>
        <w:t>甲、乙双方确认，乙方的保密义务自本协议签订时开始，到甲方关于该项目的商业秘密公开时。</w:t>
      </w:r>
    </w:p>
    <w:p>
      <w:pPr>
        <w:widowControl w:val="0"/>
        <w:numPr>
          <w:ilvl w:val="0"/>
          <w:numId w:val="9"/>
        </w:numPr>
        <w:adjustRightInd/>
        <w:snapToGrid/>
        <w:spacing w:after="0"/>
        <w:jc w:val="both"/>
        <w:rPr>
          <w:b/>
          <w:bCs/>
        </w:rPr>
      </w:pPr>
      <w:r>
        <w:rPr>
          <w:rFonts w:hint="eastAsia"/>
          <w:b/>
          <w:bCs/>
        </w:rPr>
        <w:t>违约责任</w:t>
      </w:r>
    </w:p>
    <w:p>
      <w:pPr>
        <w:ind w:firstLine="440" w:firstLineChars="200"/>
      </w:pPr>
      <w:r>
        <w:rPr>
          <w:rFonts w:hint="eastAsia"/>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pPr>
        <w:widowControl w:val="0"/>
        <w:numPr>
          <w:ilvl w:val="0"/>
          <w:numId w:val="9"/>
        </w:numPr>
        <w:adjustRightInd/>
        <w:snapToGrid/>
        <w:spacing w:after="0"/>
        <w:jc w:val="both"/>
        <w:rPr>
          <w:b/>
          <w:bCs/>
        </w:rPr>
      </w:pPr>
      <w:r>
        <w:rPr>
          <w:rFonts w:hint="eastAsia"/>
          <w:b/>
          <w:bCs/>
        </w:rPr>
        <w:t>纠纷解决</w:t>
      </w:r>
    </w:p>
    <w:p>
      <w:pPr>
        <w:spacing w:line="320" w:lineRule="exact"/>
        <w:ind w:firstLine="440" w:firstLineChars="200"/>
        <w:rPr>
          <w:szCs w:val="21"/>
        </w:rPr>
      </w:pPr>
      <w:r>
        <w:rPr>
          <w:rFonts w:hint="eastAsia"/>
          <w:szCs w:val="21"/>
        </w:rPr>
        <w:t>合同履行期间出现纠纷，双方应协商解决；若协商不妥，任何一方可直接向合同签订地人民法院提起诉讼。律师费等相关费用由违约方承担。</w:t>
      </w:r>
    </w:p>
    <w:p>
      <w:pPr>
        <w:spacing w:line="320" w:lineRule="exact"/>
        <w:ind w:firstLine="440" w:firstLineChars="200"/>
        <w:rPr>
          <w:szCs w:val="21"/>
        </w:rPr>
      </w:pPr>
    </w:p>
    <w:p>
      <w:pPr>
        <w:spacing w:line="320" w:lineRule="exact"/>
        <w:ind w:firstLine="440" w:firstLineChars="200"/>
        <w:rPr>
          <w:szCs w:val="21"/>
        </w:rPr>
      </w:pPr>
    </w:p>
    <w:p>
      <w:pPr>
        <w:spacing w:line="320" w:lineRule="exact"/>
        <w:rPr>
          <w:szCs w:val="21"/>
        </w:rPr>
      </w:pPr>
    </w:p>
    <w:p>
      <w:r>
        <w:rPr>
          <w:rFonts w:hint="eastAsia"/>
        </w:rPr>
        <w:t>签字：                                                    （章）</w:t>
      </w:r>
    </w:p>
    <w:bookmarkEnd w:id="0"/>
    <w:p>
      <w:pPr>
        <w:jc w:val="center"/>
        <w:rPr>
          <w:rFonts w:asciiTheme="minorEastAsia" w:hAnsiTheme="minorEastAsia" w:eastAsiaTheme="minorEastAsia"/>
          <w:b/>
          <w:sz w:val="36"/>
          <w:szCs w:val="36"/>
        </w:rPr>
      </w:pPr>
    </w:p>
    <w:p>
      <w:pPr>
        <w:jc w:val="center"/>
        <w:rPr>
          <w:rFonts w:asciiTheme="minorEastAsia" w:hAnsiTheme="minorEastAsia" w:eastAsiaTheme="minorEastAsia"/>
          <w:b/>
          <w:sz w:val="36"/>
          <w:szCs w:val="36"/>
        </w:rPr>
      </w:pPr>
    </w:p>
    <w:p>
      <w:pPr>
        <w:jc w:val="center"/>
        <w:rPr>
          <w:rFonts w:asciiTheme="minorEastAsia" w:hAnsiTheme="minorEastAsia" w:eastAsiaTheme="minorEastAsia"/>
          <w:b/>
          <w:sz w:val="36"/>
          <w:szCs w:val="36"/>
        </w:rPr>
      </w:pPr>
    </w:p>
    <w:p>
      <w:pPr>
        <w:jc w:val="center"/>
        <w:rPr>
          <w:rFonts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二、营业执照</w:t>
      </w:r>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三、行业规定证书（如涉及）</w:t>
      </w:r>
    </w:p>
    <w:p>
      <w:pPr>
        <w:spacing w:line="360" w:lineRule="auto"/>
        <w:ind w:firstLine="643" w:firstLineChars="200"/>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四、报价单</w:t>
      </w:r>
    </w:p>
    <w:p>
      <w:pPr>
        <w:numPr>
          <w:ilvl w:val="0"/>
          <w:numId w:val="12"/>
        </w:numPr>
        <w:spacing w:line="52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根据你公司2023-2024年度计量器具校验采购询比文件，遵照《中华人民共和国招标投标法》等有关规定，经研究上述询比文件的投标须知、合同条款、服务标准及其他有关文件后，我方报价如下</w:t>
      </w:r>
    </w:p>
    <w:tbl>
      <w:tblPr>
        <w:tblStyle w:val="8"/>
        <w:tblW w:w="10637"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
        <w:gridCol w:w="651"/>
        <w:gridCol w:w="1177"/>
        <w:gridCol w:w="4819"/>
        <w:gridCol w:w="709"/>
        <w:gridCol w:w="709"/>
        <w:gridCol w:w="850"/>
        <w:gridCol w:w="824"/>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898"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828" w:type="dxa"/>
            <w:gridSpan w:val="2"/>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4819"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规格型号</w:t>
            </w:r>
          </w:p>
        </w:tc>
        <w:tc>
          <w:tcPr>
            <w:tcW w:w="709"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709"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850"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价格</w:t>
            </w:r>
          </w:p>
        </w:tc>
        <w:tc>
          <w:tcPr>
            <w:tcW w:w="824"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1965" w:hRule="exact"/>
          <w:jc w:val="center"/>
        </w:trPr>
        <w:tc>
          <w:tcPr>
            <w:tcW w:w="898"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828" w:type="dxa"/>
            <w:gridSpan w:val="2"/>
            <w:vAlign w:val="center"/>
          </w:tcPr>
          <w:p>
            <w:pPr>
              <w:rPr>
                <w:rFonts w:ascii="微软雅黑" w:hAnsi="微软雅黑" w:cs="宋体"/>
                <w:color w:val="000000"/>
                <w:sz w:val="20"/>
                <w:szCs w:val="32"/>
              </w:rPr>
            </w:pPr>
            <w:r>
              <w:rPr>
                <w:rFonts w:hint="eastAsia" w:cs="仿宋_GB2312" w:asciiTheme="minorEastAsia" w:hAnsiTheme="minorEastAsia" w:eastAsiaTheme="minorEastAsia"/>
                <w:b/>
              </w:rPr>
              <w:t>2023-2024年度计量器具校验采购</w:t>
            </w:r>
          </w:p>
        </w:tc>
        <w:tc>
          <w:tcPr>
            <w:tcW w:w="4819" w:type="dxa"/>
            <w:vAlign w:val="center"/>
          </w:tcPr>
          <w:p>
            <w:pPr>
              <w:widowControl w:val="0"/>
              <w:adjustRightInd/>
              <w:snapToGrid/>
              <w:spacing w:after="0"/>
              <w:ind w:firstLine="964" w:firstLineChars="300"/>
              <w:jc w:val="both"/>
              <w:rPr>
                <w:sz w:val="24"/>
              </w:rPr>
            </w:pPr>
            <w:r>
              <w:rPr>
                <w:rFonts w:hint="eastAsia" w:asciiTheme="minorEastAsia" w:hAnsiTheme="minorEastAsia" w:eastAsiaTheme="minorEastAsia" w:cstheme="minorEastAsia"/>
                <w:b/>
                <w:sz w:val="32"/>
                <w:szCs w:val="18"/>
                <w:lang w:val="en-US" w:eastAsia="zh-CN"/>
              </w:rPr>
              <w:t>详见“校准报价单”</w:t>
            </w:r>
          </w:p>
        </w:tc>
        <w:tc>
          <w:tcPr>
            <w:tcW w:w="709" w:type="dxa"/>
            <w:vAlign w:val="center"/>
          </w:tcPr>
          <w:p>
            <w:pPr>
              <w:jc w:val="center"/>
              <w:rPr>
                <w:rFonts w:ascii="微软雅黑" w:hAnsi="微软雅黑" w:cs="宋体"/>
                <w:color w:val="000000"/>
                <w:sz w:val="20"/>
                <w:szCs w:val="32"/>
              </w:rPr>
            </w:pPr>
          </w:p>
        </w:tc>
        <w:tc>
          <w:tcPr>
            <w:tcW w:w="709" w:type="dxa"/>
            <w:vAlign w:val="center"/>
          </w:tcPr>
          <w:p>
            <w:pPr>
              <w:jc w:val="center"/>
              <w:rPr>
                <w:rFonts w:ascii="微软雅黑" w:hAnsi="微软雅黑" w:cs="宋体"/>
                <w:color w:val="000000"/>
                <w:sz w:val="20"/>
                <w:szCs w:val="32"/>
              </w:rPr>
            </w:pPr>
          </w:p>
        </w:tc>
        <w:tc>
          <w:tcPr>
            <w:tcW w:w="850" w:type="dxa"/>
            <w:vAlign w:val="center"/>
          </w:tcPr>
          <w:p>
            <w:pPr>
              <w:widowControl w:val="0"/>
              <w:adjustRightInd/>
              <w:snapToGrid/>
              <w:spacing w:after="0"/>
              <w:jc w:val="both"/>
              <w:rPr>
                <w:rFonts w:ascii="微软雅黑" w:hAnsi="微软雅黑" w:cs="宋体"/>
                <w:color w:val="000000"/>
                <w:sz w:val="20"/>
                <w:szCs w:val="32"/>
              </w:rPr>
            </w:pPr>
          </w:p>
        </w:tc>
        <w:tc>
          <w:tcPr>
            <w:tcW w:w="824"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10637" w:type="dxa"/>
            <w:gridSpan w:val="8"/>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含税总价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34" w:hRule="exact"/>
          <w:jc w:val="center"/>
        </w:trPr>
        <w:tc>
          <w:tcPr>
            <w:tcW w:w="1549" w:type="dxa"/>
            <w:gridSpan w:val="2"/>
            <w:vAlign w:val="center"/>
          </w:tcPr>
          <w:p>
            <w:pPr>
              <w:tabs>
                <w:tab w:val="left" w:pos="5760"/>
              </w:tabs>
              <w:spacing w:line="300" w:lineRule="auto"/>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付款方式</w:t>
            </w:r>
          </w:p>
        </w:tc>
        <w:tc>
          <w:tcPr>
            <w:tcW w:w="9088" w:type="dxa"/>
            <w:gridSpan w:val="6"/>
            <w:vAlign w:val="center"/>
          </w:tcPr>
          <w:p>
            <w:pPr>
              <w:tabs>
                <w:tab w:val="left" w:pos="5760"/>
              </w:tabs>
              <w:spacing w:line="300" w:lineRule="auto"/>
              <w:ind w:firstLine="4860" w:firstLineChars="2700"/>
              <w:rPr>
                <w:rFonts w:asciiTheme="minorEastAsia" w:hAnsiTheme="minorEastAsia" w:eastAsiaTheme="minorEastAsia" w:cstheme="minorEastAsia"/>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549" w:type="dxa"/>
            <w:gridSpan w:val="2"/>
            <w:vAlign w:val="center"/>
          </w:tcPr>
          <w:p>
            <w:pPr>
              <w:tabs>
                <w:tab w:val="left" w:pos="5760"/>
              </w:tabs>
              <w:spacing w:line="300" w:lineRule="auto"/>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税率</w:t>
            </w:r>
          </w:p>
        </w:tc>
        <w:tc>
          <w:tcPr>
            <w:tcW w:w="9088" w:type="dxa"/>
            <w:gridSpan w:val="6"/>
            <w:vAlign w:val="center"/>
          </w:tcPr>
          <w:p>
            <w:pPr>
              <w:tabs>
                <w:tab w:val="left" w:pos="5760"/>
              </w:tabs>
              <w:spacing w:line="300" w:lineRule="auto"/>
              <w:ind w:firstLine="4860" w:firstLineChars="2700"/>
              <w:rPr>
                <w:rFonts w:asciiTheme="minorEastAsia" w:hAnsiTheme="minorEastAsia" w:eastAsiaTheme="minorEastAsia" w:cstheme="minorEastAsia"/>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23" w:hRule="exact"/>
          <w:jc w:val="center"/>
        </w:trPr>
        <w:tc>
          <w:tcPr>
            <w:tcW w:w="1549" w:type="dxa"/>
            <w:gridSpan w:val="2"/>
            <w:vAlign w:val="center"/>
          </w:tcPr>
          <w:p>
            <w:pPr>
              <w:tabs>
                <w:tab w:val="left" w:pos="5760"/>
              </w:tabs>
              <w:spacing w:line="300" w:lineRule="auto"/>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工期</w:t>
            </w:r>
          </w:p>
        </w:tc>
        <w:tc>
          <w:tcPr>
            <w:tcW w:w="9088" w:type="dxa"/>
            <w:gridSpan w:val="6"/>
            <w:vAlign w:val="center"/>
          </w:tcPr>
          <w:p>
            <w:pPr>
              <w:tabs>
                <w:tab w:val="left" w:pos="5760"/>
              </w:tabs>
              <w:spacing w:line="300" w:lineRule="auto"/>
              <w:ind w:firstLine="4860" w:firstLineChars="2700"/>
              <w:rPr>
                <w:rFonts w:asciiTheme="minorEastAsia" w:hAnsiTheme="minorEastAsia" w:eastAsiaTheme="minorEastAsia" w:cstheme="minorEastAsia"/>
                <w:color w:val="000000"/>
                <w:sz w:val="18"/>
                <w:szCs w:val="18"/>
              </w:rPr>
            </w:pPr>
          </w:p>
        </w:tc>
      </w:tr>
    </w:tbl>
    <w:p>
      <w:pPr>
        <w:spacing w:line="52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2、我方已详细审核并认同全部招标文件，包括修改文件（如有时）及有关附件。</w:t>
      </w:r>
    </w:p>
    <w:p>
      <w:pPr>
        <w:spacing w:line="52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3、一旦我方中标，我方保证按招标文件及合同规定完成跟踪审计任务。</w:t>
      </w:r>
    </w:p>
    <w:p>
      <w:pPr>
        <w:spacing w:line="52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4、我方同意所提交的投标文件在招标文件中规定的投标有效期内有效，在此期间内如果中标，我方将受此约束。</w:t>
      </w:r>
    </w:p>
    <w:p>
      <w:pPr>
        <w:spacing w:line="52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5、除非另外达成协议并生效，你方的中标通知书和本投标文件将成为约束双方的合同文件的组成部分。</w:t>
      </w:r>
    </w:p>
    <w:p>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 标 人：                               （盖章）</w:t>
      </w:r>
    </w:p>
    <w:p>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单位地址：                                                  </w:t>
      </w:r>
    </w:p>
    <w:p>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法定代表人或其委托代理人：               （签字或盖章）</w:t>
      </w:r>
    </w:p>
    <w:p>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邮政编码：              电话：            传真：             </w:t>
      </w:r>
    </w:p>
    <w:p>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开户银行名称：                    开户银行帐号：             </w:t>
      </w:r>
    </w:p>
    <w:p>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开户银行地址：                    开户银行电话：              </w:t>
      </w:r>
    </w:p>
    <w:p>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日期：      年     月     日</w:t>
      </w:r>
    </w:p>
    <w:p>
      <w:pPr>
        <w:spacing w:line="520" w:lineRule="exact"/>
        <w:jc w:val="center"/>
        <w:rPr>
          <w:rFonts w:hint="eastAsia" w:asciiTheme="minorEastAsia" w:hAnsiTheme="minorEastAsia" w:eastAsiaTheme="minorEastAsia" w:cstheme="minorEastAsia"/>
          <w:b/>
          <w:sz w:val="32"/>
          <w:szCs w:val="18"/>
          <w:lang w:eastAsia="zh-CN"/>
        </w:rPr>
      </w:pPr>
      <w:r>
        <w:rPr>
          <w:rFonts w:hint="eastAsia" w:asciiTheme="minorEastAsia" w:hAnsiTheme="minorEastAsia" w:eastAsiaTheme="minorEastAsia" w:cstheme="minorEastAsia"/>
          <w:b/>
          <w:sz w:val="32"/>
          <w:szCs w:val="18"/>
        </w:rPr>
        <w:t>五、工作量清单明细价格</w:t>
      </w:r>
      <w:r>
        <w:rPr>
          <w:rFonts w:hint="eastAsia" w:asciiTheme="minorEastAsia" w:hAnsiTheme="minorEastAsia" w:eastAsiaTheme="minorEastAsia" w:cstheme="minorEastAsia"/>
          <w:b/>
          <w:sz w:val="32"/>
          <w:szCs w:val="18"/>
          <w:lang w:eastAsia="zh-CN"/>
        </w:rPr>
        <w:t>（</w:t>
      </w:r>
      <w:r>
        <w:rPr>
          <w:rFonts w:hint="eastAsia" w:asciiTheme="minorEastAsia" w:hAnsiTheme="minorEastAsia" w:eastAsiaTheme="minorEastAsia" w:cstheme="minorEastAsia"/>
          <w:b/>
          <w:sz w:val="32"/>
          <w:szCs w:val="18"/>
          <w:lang w:val="en-US" w:eastAsia="zh-CN"/>
        </w:rPr>
        <w:t>校准报价单</w:t>
      </w:r>
      <w:r>
        <w:rPr>
          <w:rFonts w:hint="eastAsia" w:asciiTheme="minorEastAsia" w:hAnsiTheme="minorEastAsia" w:eastAsiaTheme="minorEastAsia" w:cstheme="minorEastAsia"/>
          <w:b/>
          <w:sz w:val="32"/>
          <w:szCs w:val="18"/>
          <w:lang w:eastAsia="zh-CN"/>
        </w:rPr>
        <w:t>）</w:t>
      </w:r>
    </w:p>
    <w:p>
      <w:pPr>
        <w:ind w:firstLine="640" w:firstLineChars="200"/>
        <w:rPr>
          <w:rFonts w:asciiTheme="minorEastAsia" w:hAnsiTheme="minorEastAsia" w:eastAsiaTheme="minorEastAsia" w:cstheme="minorEastAsia"/>
          <w:sz w:val="32"/>
          <w:szCs w:val="18"/>
        </w:rPr>
      </w:pPr>
    </w:p>
    <w:tbl>
      <w:tblPr>
        <w:tblStyle w:val="8"/>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28"/>
        <w:gridCol w:w="3523"/>
        <w:gridCol w:w="1029"/>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92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2023年校验设备清单（见下表），选择低价中标，单价*数量=总价，总价最低中标，此次签订框架合同，合同期限1年，1年内服务约4次到厂服务，每次服务完进行结算,有CNAS资质。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测量范围</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真空表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（-0.1~0）MPa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丙烷表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(0~0.16)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(0~0.25)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丙烷压力表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(0~0.3)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(0~0.6)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(0~1)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(0~1.4)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(0~1.6)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(0~10)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(0~16)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（0~2.5）MPa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(0~25)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(0~3)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(0~30)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(0~4)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(0~40)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(0~6) 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微差压表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Style w:val="24"/>
                <w:lang w:val="en-US" w:eastAsia="zh-CN" w:bidi="ar"/>
              </w:rPr>
              <w:t>（</w:t>
            </w:r>
            <w:r>
              <w:rPr>
                <w:rStyle w:val="25"/>
                <w:rFonts w:eastAsia="等线"/>
                <w:lang w:val="en-US" w:eastAsia="zh-CN" w:bidi="ar"/>
              </w:rPr>
              <w:t>0~300</w:t>
            </w:r>
            <w:r>
              <w:rPr>
                <w:rStyle w:val="24"/>
                <w:lang w:val="en-US" w:eastAsia="zh-CN" w:bidi="ar"/>
              </w:rPr>
              <w:t>）</w:t>
            </w:r>
            <w:r>
              <w:rPr>
                <w:rStyle w:val="25"/>
                <w:rFonts w:eastAsia="等线"/>
                <w:lang w:val="en-US" w:eastAsia="zh-CN" w:bidi="ar"/>
              </w:rPr>
              <w:t>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微差压表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(0~500) 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微差压表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（0~60）Pa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微差压表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2"/>
                <w:szCs w:val="22"/>
                <w:u w:val="none"/>
              </w:rPr>
            </w:pPr>
            <w:r>
              <w:rPr>
                <w:rStyle w:val="24"/>
                <w:lang w:val="en-US" w:eastAsia="zh-CN" w:bidi="ar"/>
              </w:rPr>
              <w:t>（</w:t>
            </w:r>
            <w:r>
              <w:rPr>
                <w:rStyle w:val="25"/>
                <w:rFonts w:eastAsia="等线"/>
                <w:lang w:val="en-US" w:eastAsia="zh-CN" w:bidi="ar"/>
              </w:rPr>
              <w:t>0~750</w:t>
            </w:r>
            <w:r>
              <w:rPr>
                <w:rStyle w:val="24"/>
                <w:lang w:val="en-US" w:eastAsia="zh-CN" w:bidi="ar"/>
              </w:rPr>
              <w:t>）</w:t>
            </w:r>
            <w:r>
              <w:rPr>
                <w:rStyle w:val="25"/>
                <w:rFonts w:eastAsia="等线"/>
                <w:lang w:val="en-US" w:eastAsia="zh-CN" w:bidi="ar"/>
              </w:rPr>
              <w:t>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数字温湿度计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温0.1℃，湿0.1%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复合式气体检测仪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氧气(0-30.0%)VOL</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硫化氢(0-100)PPM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一氧化碳(0-1000)PPM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可燃气（0-100%）LEL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固定式气体检测报警仪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一氧化碳(0-2000)PPM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一氧化碳(0-1000)PPM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二氧化碳(0-1000)PPM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HCL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氢气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NH3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H2S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CH4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硫化氢检测仪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SO2(0-100)PPM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可燃气体检测仪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可燃气（0-100%）LEL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报警器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一氧化碳(0-1000)PPM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报警器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二氧化碳(0-1000)PPM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硫化氢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在线式气体检测仪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气体报警仪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臭氧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等线" w:hAnsi="等线" w:eastAsia="等线" w:cs="等线"/>
                <w:i w:val="0"/>
                <w:iCs w:val="0"/>
                <w:color w:val="000000"/>
                <w:sz w:val="28"/>
                <w:szCs w:val="28"/>
                <w:u w:val="none"/>
              </w:rPr>
            </w:pPr>
          </w:p>
        </w:tc>
      </w:tr>
    </w:tbl>
    <w:p>
      <w:pPr>
        <w:ind w:firstLine="640" w:firstLineChars="200"/>
        <w:rPr>
          <w:rFonts w:hint="eastAsia" w:asciiTheme="minorEastAsia" w:hAnsiTheme="minorEastAsia" w:eastAsiaTheme="minorEastAsia" w:cstheme="minorEastAsia"/>
          <w:sz w:val="32"/>
          <w:szCs w:val="18"/>
        </w:rPr>
        <w:sectPr>
          <w:pgSz w:w="11906" w:h="16838"/>
          <w:pgMar w:top="1440" w:right="1800" w:bottom="1440" w:left="1800" w:header="851" w:footer="992" w:gutter="0"/>
          <w:cols w:space="425" w:num="1"/>
          <w:docGrid w:type="lines" w:linePitch="312" w:charSpace="0"/>
        </w:sectPr>
      </w:pPr>
    </w:p>
    <w:p>
      <w:pPr>
        <w:rPr>
          <w:rFonts w:asciiTheme="minorEastAsia" w:hAnsiTheme="minorEastAsia" w:eastAsiaTheme="minorEastAsia" w:cstheme="minorEastAsia"/>
          <w:sz w:val="32"/>
          <w:szCs w:val="18"/>
        </w:rPr>
      </w:pPr>
    </w:p>
    <w:p>
      <w:pPr>
        <w:rPr>
          <w:rFonts w:asciiTheme="minorEastAsia" w:hAnsiTheme="minorEastAsia" w:eastAsiaTheme="minorEastAsia" w:cstheme="minorEastAsia"/>
          <w:sz w:val="32"/>
          <w:szCs w:val="18"/>
        </w:rPr>
        <w:sectPr>
          <w:pgSz w:w="16838" w:h="11906" w:orient="landscape"/>
          <w:pgMar w:top="1800" w:right="1440" w:bottom="1800" w:left="1440" w:header="851" w:footer="992" w:gutter="0"/>
          <w:cols w:space="425" w:num="1"/>
          <w:docGrid w:type="lines" w:linePitch="312" w:charSpace="0"/>
        </w:sectPr>
      </w:pPr>
    </w:p>
    <w:p>
      <w:pPr>
        <w:spacing w:line="520" w:lineRule="exact"/>
        <w:rPr>
          <w:rFonts w:asciiTheme="minorEastAsia" w:hAnsiTheme="minorEastAsia" w:eastAsiaTheme="minorEastAsia" w:cstheme="minorEastAsia"/>
          <w:b/>
          <w:sz w:val="32"/>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abstractNum w:abstractNumId="1">
    <w:nsid w:val="01AD732A"/>
    <w:multiLevelType w:val="multilevel"/>
    <w:tmpl w:val="01AD732A"/>
    <w:lvl w:ilvl="0" w:tentative="0">
      <w:start w:val="1"/>
      <w:numFmt w:val="decimal"/>
      <w:lvlText w:val="%1."/>
      <w:lvlJc w:val="left"/>
      <w:pPr>
        <w:tabs>
          <w:tab w:val="left" w:pos="312"/>
        </w:tabs>
        <w:ind w:left="842"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9B93A35"/>
    <w:multiLevelType w:val="multilevel"/>
    <w:tmpl w:val="09B93A35"/>
    <w:lvl w:ilvl="0" w:tentative="0">
      <w:start w:val="1"/>
      <w:numFmt w:val="decimal"/>
      <w:lvlText w:val="%1."/>
      <w:lvlJc w:val="left"/>
      <w:pPr>
        <w:ind w:left="1200" w:hanging="360"/>
      </w:pPr>
      <w:rPr>
        <w:rFonts w:hint="default" w:ascii="Times New Roman" w:hAnsi="Times New Roman" w:cs="Times New Roman"/>
      </w:rPr>
    </w:lvl>
    <w:lvl w:ilvl="1" w:tentative="0">
      <w:start w:val="1"/>
      <w:numFmt w:val="lowerLetter"/>
      <w:lvlText w:val="%2)"/>
      <w:lvlJc w:val="left"/>
      <w:pPr>
        <w:ind w:left="1680" w:hanging="420"/>
      </w:pPr>
      <w:rPr>
        <w:rFonts w:hint="default" w:ascii="Times New Roman" w:hAnsi="Times New Roman" w:cs="Times New Roman"/>
      </w:rPr>
    </w:lvl>
    <w:lvl w:ilvl="2" w:tentative="0">
      <w:start w:val="1"/>
      <w:numFmt w:val="lowerRoman"/>
      <w:lvlText w:val="%3."/>
      <w:lvlJc w:val="right"/>
      <w:pPr>
        <w:ind w:left="2100" w:hanging="420"/>
      </w:pPr>
      <w:rPr>
        <w:rFonts w:hint="default" w:ascii="Times New Roman" w:hAnsi="Times New Roman" w:cs="Times New Roman"/>
      </w:rPr>
    </w:lvl>
    <w:lvl w:ilvl="3" w:tentative="0">
      <w:start w:val="1"/>
      <w:numFmt w:val="decimal"/>
      <w:lvlText w:val="%4."/>
      <w:lvlJc w:val="left"/>
      <w:pPr>
        <w:ind w:left="2520" w:hanging="420"/>
      </w:pPr>
      <w:rPr>
        <w:rFonts w:hint="default" w:ascii="Times New Roman" w:hAnsi="Times New Roman" w:cs="Times New Roman"/>
      </w:rPr>
    </w:lvl>
    <w:lvl w:ilvl="4" w:tentative="0">
      <w:start w:val="1"/>
      <w:numFmt w:val="lowerLetter"/>
      <w:lvlText w:val="%5)"/>
      <w:lvlJc w:val="left"/>
      <w:pPr>
        <w:ind w:left="2940" w:hanging="420"/>
      </w:pPr>
      <w:rPr>
        <w:rFonts w:hint="default" w:ascii="Times New Roman" w:hAnsi="Times New Roman" w:cs="Times New Roman"/>
      </w:rPr>
    </w:lvl>
    <w:lvl w:ilvl="5" w:tentative="0">
      <w:start w:val="1"/>
      <w:numFmt w:val="lowerRoman"/>
      <w:lvlText w:val="%6."/>
      <w:lvlJc w:val="right"/>
      <w:pPr>
        <w:ind w:left="3360" w:hanging="420"/>
      </w:pPr>
      <w:rPr>
        <w:rFonts w:hint="default" w:ascii="Times New Roman" w:hAnsi="Times New Roman" w:cs="Times New Roman"/>
      </w:rPr>
    </w:lvl>
    <w:lvl w:ilvl="6" w:tentative="0">
      <w:start w:val="1"/>
      <w:numFmt w:val="decimal"/>
      <w:lvlText w:val="%7."/>
      <w:lvlJc w:val="left"/>
      <w:pPr>
        <w:ind w:left="3780" w:hanging="420"/>
      </w:pPr>
      <w:rPr>
        <w:rFonts w:hint="default" w:ascii="Times New Roman" w:hAnsi="Times New Roman" w:cs="Times New Roman"/>
      </w:rPr>
    </w:lvl>
    <w:lvl w:ilvl="7" w:tentative="0">
      <w:start w:val="1"/>
      <w:numFmt w:val="lowerLetter"/>
      <w:lvlText w:val="%8)"/>
      <w:lvlJc w:val="left"/>
      <w:pPr>
        <w:ind w:left="4200" w:hanging="420"/>
      </w:pPr>
      <w:rPr>
        <w:rFonts w:hint="default" w:ascii="Times New Roman" w:hAnsi="Times New Roman" w:cs="Times New Roman"/>
      </w:rPr>
    </w:lvl>
    <w:lvl w:ilvl="8" w:tentative="0">
      <w:start w:val="1"/>
      <w:numFmt w:val="lowerRoman"/>
      <w:lvlText w:val="%9."/>
      <w:lvlJc w:val="right"/>
      <w:pPr>
        <w:ind w:left="4620" w:hanging="420"/>
      </w:pPr>
      <w:rPr>
        <w:rFonts w:hint="default" w:ascii="Times New Roman" w:hAnsi="Times New Roman" w:cs="Times New Roman"/>
      </w:rPr>
    </w:lvl>
  </w:abstractNum>
  <w:abstractNum w:abstractNumId="3">
    <w:nsid w:val="0E91017A"/>
    <w:multiLevelType w:val="multilevel"/>
    <w:tmpl w:val="0E91017A"/>
    <w:lvl w:ilvl="0" w:tentative="0">
      <w:start w:val="1"/>
      <w:numFmt w:val="decimal"/>
      <w:lvlText w:val="%1."/>
      <w:lvlJc w:val="left"/>
      <w:pPr>
        <w:tabs>
          <w:tab w:val="left" w:pos="312"/>
        </w:tabs>
        <w:ind w:left="84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F427165"/>
    <w:multiLevelType w:val="singleLevel"/>
    <w:tmpl w:val="1F427165"/>
    <w:lvl w:ilvl="0" w:tentative="0">
      <w:start w:val="1"/>
      <w:numFmt w:val="decimal"/>
      <w:suff w:val="nothing"/>
      <w:lvlText w:val="%1、"/>
      <w:lvlJc w:val="left"/>
    </w:lvl>
  </w:abstractNum>
  <w:abstractNum w:abstractNumId="5">
    <w:nsid w:val="2D95753E"/>
    <w:multiLevelType w:val="multilevel"/>
    <w:tmpl w:val="2D95753E"/>
    <w:lvl w:ilvl="0" w:tentative="0">
      <w:start w:val="1"/>
      <w:numFmt w:val="chineseCounting"/>
      <w:suff w:val="space"/>
      <w:lvlText w:val="第%1条"/>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5D90C9B"/>
    <w:multiLevelType w:val="multilevel"/>
    <w:tmpl w:val="35D90C9B"/>
    <w:lvl w:ilvl="0" w:tentative="0">
      <w:start w:val="1"/>
      <w:numFmt w:val="decimal"/>
      <w:lvlText w:val="%1."/>
      <w:lvlJc w:val="left"/>
      <w:pPr>
        <w:tabs>
          <w:tab w:val="left" w:pos="312"/>
        </w:tabs>
        <w:ind w:left="843"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60B7856"/>
    <w:multiLevelType w:val="multilevel"/>
    <w:tmpl w:val="360B785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844EC08"/>
    <w:multiLevelType w:val="singleLevel"/>
    <w:tmpl w:val="3844EC08"/>
    <w:lvl w:ilvl="0" w:tentative="0">
      <w:start w:val="1"/>
      <w:numFmt w:val="decimal"/>
      <w:suff w:val="nothing"/>
      <w:lvlText w:val="%1、"/>
      <w:lvlJc w:val="left"/>
    </w:lvl>
  </w:abstractNum>
  <w:abstractNum w:abstractNumId="9">
    <w:nsid w:val="51FC7150"/>
    <w:multiLevelType w:val="multilevel"/>
    <w:tmpl w:val="51FC7150"/>
    <w:lvl w:ilvl="0" w:tentative="0">
      <w:start w:val="1"/>
      <w:numFmt w:val="decimal"/>
      <w:lvlText w:val="%1."/>
      <w:lvlJc w:val="left"/>
      <w:pPr>
        <w:tabs>
          <w:tab w:val="left" w:pos="312"/>
        </w:tabs>
        <w:ind w:left="84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77B4971"/>
    <w:multiLevelType w:val="singleLevel"/>
    <w:tmpl w:val="577B4971"/>
    <w:lvl w:ilvl="0" w:tentative="0">
      <w:start w:val="1"/>
      <w:numFmt w:val="chineseCounting"/>
      <w:suff w:val="nothing"/>
      <w:lvlText w:val="%1、"/>
      <w:lvlJc w:val="left"/>
      <w:rPr>
        <w:rFonts w:hint="eastAsia"/>
      </w:rPr>
    </w:lvl>
  </w:abstractNum>
  <w:abstractNum w:abstractNumId="11">
    <w:nsid w:val="692204D7"/>
    <w:multiLevelType w:val="multilevel"/>
    <w:tmpl w:val="692204D7"/>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MGQ0MzJlNDhkZDFhZTNiMjUzYWIyYTIyNDU0ODgifQ=="/>
  </w:docVars>
  <w:rsids>
    <w:rsidRoot w:val="00AB0CB3"/>
    <w:rsid w:val="000B2FEA"/>
    <w:rsid w:val="0010796F"/>
    <w:rsid w:val="00174FFA"/>
    <w:rsid w:val="00181AC1"/>
    <w:rsid w:val="0019313F"/>
    <w:rsid w:val="00217D17"/>
    <w:rsid w:val="00263D5A"/>
    <w:rsid w:val="00264902"/>
    <w:rsid w:val="003022F0"/>
    <w:rsid w:val="003C21C7"/>
    <w:rsid w:val="003D6A97"/>
    <w:rsid w:val="003E2AEB"/>
    <w:rsid w:val="00402C07"/>
    <w:rsid w:val="00416146"/>
    <w:rsid w:val="00464099"/>
    <w:rsid w:val="0047784B"/>
    <w:rsid w:val="004D23EF"/>
    <w:rsid w:val="004F6B32"/>
    <w:rsid w:val="005149B4"/>
    <w:rsid w:val="00526969"/>
    <w:rsid w:val="005A5202"/>
    <w:rsid w:val="005B0093"/>
    <w:rsid w:val="005F7955"/>
    <w:rsid w:val="006A711E"/>
    <w:rsid w:val="006E06B8"/>
    <w:rsid w:val="006E2DE1"/>
    <w:rsid w:val="00791B34"/>
    <w:rsid w:val="007A216E"/>
    <w:rsid w:val="007F2630"/>
    <w:rsid w:val="00805D31"/>
    <w:rsid w:val="008B45EC"/>
    <w:rsid w:val="009400EF"/>
    <w:rsid w:val="00965929"/>
    <w:rsid w:val="0097049B"/>
    <w:rsid w:val="009C7062"/>
    <w:rsid w:val="00A172E9"/>
    <w:rsid w:val="00A37967"/>
    <w:rsid w:val="00AB0CB3"/>
    <w:rsid w:val="00AE005E"/>
    <w:rsid w:val="00AE1D54"/>
    <w:rsid w:val="00AE4068"/>
    <w:rsid w:val="00B125D1"/>
    <w:rsid w:val="00B15D20"/>
    <w:rsid w:val="00B2407D"/>
    <w:rsid w:val="00B80A1A"/>
    <w:rsid w:val="00B942F4"/>
    <w:rsid w:val="00BA4726"/>
    <w:rsid w:val="00BF0C95"/>
    <w:rsid w:val="00BF67BC"/>
    <w:rsid w:val="00C10251"/>
    <w:rsid w:val="00C63879"/>
    <w:rsid w:val="00C94A84"/>
    <w:rsid w:val="00CD4A27"/>
    <w:rsid w:val="00D82FEF"/>
    <w:rsid w:val="00DA0791"/>
    <w:rsid w:val="00DD1007"/>
    <w:rsid w:val="00DE7D65"/>
    <w:rsid w:val="00E7023A"/>
    <w:rsid w:val="00EA2C6A"/>
    <w:rsid w:val="00F25CF4"/>
    <w:rsid w:val="00F7751B"/>
    <w:rsid w:val="00F92AA4"/>
    <w:rsid w:val="00FC1E8D"/>
    <w:rsid w:val="027C5214"/>
    <w:rsid w:val="02DD1A2B"/>
    <w:rsid w:val="033D3925"/>
    <w:rsid w:val="0458172E"/>
    <w:rsid w:val="04E23328"/>
    <w:rsid w:val="04F179B1"/>
    <w:rsid w:val="04F3643B"/>
    <w:rsid w:val="052D6C99"/>
    <w:rsid w:val="055C55DA"/>
    <w:rsid w:val="068F3058"/>
    <w:rsid w:val="07322345"/>
    <w:rsid w:val="0756444E"/>
    <w:rsid w:val="08191757"/>
    <w:rsid w:val="084367D4"/>
    <w:rsid w:val="090E0B90"/>
    <w:rsid w:val="09566309"/>
    <w:rsid w:val="099378A0"/>
    <w:rsid w:val="0B224DC6"/>
    <w:rsid w:val="0B4105EA"/>
    <w:rsid w:val="0BC81A19"/>
    <w:rsid w:val="0BF8418D"/>
    <w:rsid w:val="0C1110C3"/>
    <w:rsid w:val="0DBA7538"/>
    <w:rsid w:val="0E7F275A"/>
    <w:rsid w:val="0F694D72"/>
    <w:rsid w:val="1019791D"/>
    <w:rsid w:val="112F264C"/>
    <w:rsid w:val="1360648C"/>
    <w:rsid w:val="13E34684"/>
    <w:rsid w:val="15B41308"/>
    <w:rsid w:val="168C5692"/>
    <w:rsid w:val="17A616E0"/>
    <w:rsid w:val="18552337"/>
    <w:rsid w:val="19A03A86"/>
    <w:rsid w:val="1A140A23"/>
    <w:rsid w:val="1B045B35"/>
    <w:rsid w:val="1B4B5B61"/>
    <w:rsid w:val="1B9E5DA3"/>
    <w:rsid w:val="1C9F2536"/>
    <w:rsid w:val="1E1E4F79"/>
    <w:rsid w:val="1F8B74F9"/>
    <w:rsid w:val="20A857F0"/>
    <w:rsid w:val="21FF7EF0"/>
    <w:rsid w:val="22EF13A3"/>
    <w:rsid w:val="23952182"/>
    <w:rsid w:val="239634D6"/>
    <w:rsid w:val="23D762F6"/>
    <w:rsid w:val="242B219E"/>
    <w:rsid w:val="254F2CC9"/>
    <w:rsid w:val="267E6EFD"/>
    <w:rsid w:val="270C7231"/>
    <w:rsid w:val="27976DBE"/>
    <w:rsid w:val="27A17BFB"/>
    <w:rsid w:val="28A55630"/>
    <w:rsid w:val="2AAE265D"/>
    <w:rsid w:val="2B966A97"/>
    <w:rsid w:val="2BA44FCF"/>
    <w:rsid w:val="2C2E0A7D"/>
    <w:rsid w:val="2E187486"/>
    <w:rsid w:val="318B24CE"/>
    <w:rsid w:val="34763909"/>
    <w:rsid w:val="34EB1C02"/>
    <w:rsid w:val="358E5851"/>
    <w:rsid w:val="36202A1D"/>
    <w:rsid w:val="376B778E"/>
    <w:rsid w:val="37C91FA2"/>
    <w:rsid w:val="38F33028"/>
    <w:rsid w:val="39D728C6"/>
    <w:rsid w:val="3D1A4FF2"/>
    <w:rsid w:val="3D7804FA"/>
    <w:rsid w:val="3E7F33BB"/>
    <w:rsid w:val="407056B1"/>
    <w:rsid w:val="40B27A77"/>
    <w:rsid w:val="40CE4185"/>
    <w:rsid w:val="40E27159"/>
    <w:rsid w:val="4153125A"/>
    <w:rsid w:val="437B4E32"/>
    <w:rsid w:val="44460156"/>
    <w:rsid w:val="44665179"/>
    <w:rsid w:val="44FF57DD"/>
    <w:rsid w:val="45232040"/>
    <w:rsid w:val="452847AC"/>
    <w:rsid w:val="45561C6E"/>
    <w:rsid w:val="459E5C28"/>
    <w:rsid w:val="45B834E0"/>
    <w:rsid w:val="46BA1317"/>
    <w:rsid w:val="47BB1907"/>
    <w:rsid w:val="48D545A8"/>
    <w:rsid w:val="4A3B288C"/>
    <w:rsid w:val="4ADC4BAC"/>
    <w:rsid w:val="4B0322FB"/>
    <w:rsid w:val="4DC87A9C"/>
    <w:rsid w:val="4E2429C7"/>
    <w:rsid w:val="4F927998"/>
    <w:rsid w:val="501A73E7"/>
    <w:rsid w:val="50C11E4D"/>
    <w:rsid w:val="512E4EF8"/>
    <w:rsid w:val="512F2A1E"/>
    <w:rsid w:val="513D7D7B"/>
    <w:rsid w:val="52AB05B6"/>
    <w:rsid w:val="52D25D57"/>
    <w:rsid w:val="52FA1B87"/>
    <w:rsid w:val="533007F2"/>
    <w:rsid w:val="539232B3"/>
    <w:rsid w:val="53EF5901"/>
    <w:rsid w:val="54373AC2"/>
    <w:rsid w:val="54C6369A"/>
    <w:rsid w:val="56262642"/>
    <w:rsid w:val="56BE0ACC"/>
    <w:rsid w:val="56F95FA8"/>
    <w:rsid w:val="570D2ECE"/>
    <w:rsid w:val="5AA601F5"/>
    <w:rsid w:val="5AAE2C06"/>
    <w:rsid w:val="5B527893"/>
    <w:rsid w:val="5D8F4012"/>
    <w:rsid w:val="5DCD57A9"/>
    <w:rsid w:val="5F3833E6"/>
    <w:rsid w:val="5F8F3873"/>
    <w:rsid w:val="605468DB"/>
    <w:rsid w:val="60AE7E03"/>
    <w:rsid w:val="61434724"/>
    <w:rsid w:val="61D41C4B"/>
    <w:rsid w:val="61D8168D"/>
    <w:rsid w:val="62C70A69"/>
    <w:rsid w:val="63C67A48"/>
    <w:rsid w:val="64F943AD"/>
    <w:rsid w:val="65317495"/>
    <w:rsid w:val="65D81863"/>
    <w:rsid w:val="666F593F"/>
    <w:rsid w:val="66DF7510"/>
    <w:rsid w:val="674768BC"/>
    <w:rsid w:val="674F0B1C"/>
    <w:rsid w:val="68191C04"/>
    <w:rsid w:val="68F630E6"/>
    <w:rsid w:val="6A3B19C7"/>
    <w:rsid w:val="6A6E60ED"/>
    <w:rsid w:val="6BC06F45"/>
    <w:rsid w:val="6CF830D5"/>
    <w:rsid w:val="6D1B7156"/>
    <w:rsid w:val="6D6C5562"/>
    <w:rsid w:val="6FDB5DF3"/>
    <w:rsid w:val="711F06C1"/>
    <w:rsid w:val="726A1637"/>
    <w:rsid w:val="728E516B"/>
    <w:rsid w:val="72A97A6B"/>
    <w:rsid w:val="7363682B"/>
    <w:rsid w:val="74C34C32"/>
    <w:rsid w:val="761777BD"/>
    <w:rsid w:val="76D67C26"/>
    <w:rsid w:val="777731D8"/>
    <w:rsid w:val="78146346"/>
    <w:rsid w:val="788F4A91"/>
    <w:rsid w:val="79B46599"/>
    <w:rsid w:val="7AC322BE"/>
    <w:rsid w:val="7B971768"/>
    <w:rsid w:val="7C504DAC"/>
    <w:rsid w:val="7C8A0F70"/>
    <w:rsid w:val="7CFE5FEE"/>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0"/>
    <w:qFormat/>
    <w:uiPriority w:val="1"/>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bCs/>
      <w:kern w:val="2"/>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1"/>
    <w:rPr>
      <w:rFonts w:ascii="宋体" w:hAnsi="宋体" w:eastAsia="宋体" w:cs="宋体"/>
      <w:sz w:val="32"/>
      <w:szCs w:val="32"/>
      <w:lang w:val="zh-CN" w:bidi="zh-CN"/>
    </w:rPr>
  </w:style>
  <w:style w:type="paragraph" w:styleId="5">
    <w:name w:val="Balloon Text"/>
    <w:basedOn w:val="1"/>
    <w:link w:val="21"/>
    <w:qFormat/>
    <w:uiPriority w:val="0"/>
    <w:pPr>
      <w:spacing w:after="0"/>
    </w:pPr>
    <w:rPr>
      <w:sz w:val="18"/>
      <w:szCs w:val="18"/>
    </w:rPr>
  </w:style>
  <w:style w:type="paragraph" w:styleId="6">
    <w:name w:val="footer"/>
    <w:basedOn w:val="1"/>
    <w:link w:val="15"/>
    <w:qFormat/>
    <w:uiPriority w:val="0"/>
    <w:pPr>
      <w:tabs>
        <w:tab w:val="center" w:pos="4153"/>
        <w:tab w:val="right" w:pos="8306"/>
      </w:tabs>
    </w:pPr>
    <w:rPr>
      <w:sz w:val="18"/>
      <w:szCs w:val="18"/>
    </w:rPr>
  </w:style>
  <w:style w:type="paragraph" w:styleId="7">
    <w:name w:val="header"/>
    <w:basedOn w:val="1"/>
    <w:link w:val="14"/>
    <w:qFormat/>
    <w:uiPriority w:val="0"/>
    <w:pPr>
      <w:pBdr>
        <w:bottom w:val="single" w:color="auto" w:sz="6" w:space="1"/>
      </w:pBdr>
      <w:tabs>
        <w:tab w:val="center" w:pos="4153"/>
        <w:tab w:val="right" w:pos="8306"/>
      </w:tabs>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color w:val="0000FF"/>
      <w:u w:val="single"/>
    </w:rPr>
  </w:style>
  <w:style w:type="paragraph" w:styleId="12">
    <w:name w:val="List Paragraph"/>
    <w:basedOn w:val="1"/>
    <w:qFormat/>
    <w:uiPriority w:val="1"/>
    <w:pPr>
      <w:spacing w:before="2"/>
      <w:ind w:left="640" w:right="632" w:firstLine="638"/>
    </w:pPr>
    <w:rPr>
      <w:rFonts w:ascii="宋体" w:hAnsi="宋体" w:eastAsia="宋体" w:cs="宋体"/>
      <w:lang w:val="zh-CN" w:bidi="zh-CN"/>
    </w:rPr>
  </w:style>
  <w:style w:type="character" w:customStyle="1" w:styleId="13">
    <w:name w:val="正文文本 字符"/>
    <w:basedOn w:val="10"/>
    <w:link w:val="4"/>
    <w:qFormat/>
    <w:uiPriority w:val="1"/>
    <w:rPr>
      <w:rFonts w:ascii="宋体" w:hAnsi="宋体" w:cs="宋体"/>
      <w:sz w:val="32"/>
      <w:szCs w:val="32"/>
      <w:lang w:val="zh-CN" w:bidi="zh-CN"/>
    </w:rPr>
  </w:style>
  <w:style w:type="character" w:customStyle="1" w:styleId="14">
    <w:name w:val="页眉 字符"/>
    <w:basedOn w:val="10"/>
    <w:link w:val="7"/>
    <w:qFormat/>
    <w:uiPriority w:val="0"/>
    <w:rPr>
      <w:rFonts w:ascii="Tahoma" w:hAnsi="Tahoma" w:eastAsia="微软雅黑" w:cstheme="minorBidi"/>
      <w:sz w:val="18"/>
      <w:szCs w:val="18"/>
    </w:rPr>
  </w:style>
  <w:style w:type="character" w:customStyle="1" w:styleId="15">
    <w:name w:val="页脚 字符"/>
    <w:basedOn w:val="10"/>
    <w:link w:val="6"/>
    <w:qFormat/>
    <w:uiPriority w:val="0"/>
    <w:rPr>
      <w:rFonts w:ascii="Tahoma" w:hAnsi="Tahoma" w:eastAsia="微软雅黑" w:cstheme="minorBidi"/>
      <w:sz w:val="18"/>
      <w:szCs w:val="18"/>
    </w:rPr>
  </w:style>
  <w:style w:type="paragraph" w:customStyle="1" w:styleId="16">
    <w:name w:val="列出段落1"/>
    <w:basedOn w:val="1"/>
    <w:qFormat/>
    <w:uiPriority w:val="0"/>
    <w:pPr>
      <w:widowControl w:val="0"/>
      <w:snapToGrid/>
      <w:spacing w:after="0" w:line="312" w:lineRule="atLeast"/>
      <w:ind w:firstLine="420" w:firstLineChars="200"/>
      <w:jc w:val="both"/>
      <w:textAlignment w:val="baseline"/>
    </w:pPr>
    <w:rPr>
      <w:rFonts w:ascii="Times New Roman" w:hAnsi="Times New Roman" w:eastAsia="宋体" w:cs="Times New Roman"/>
      <w:sz w:val="21"/>
      <w:szCs w:val="20"/>
    </w:rPr>
  </w:style>
  <w:style w:type="paragraph" w:customStyle="1" w:styleId="17">
    <w:name w:val="List Paragraph1"/>
    <w:basedOn w:val="1"/>
    <w:qFormat/>
    <w:uiPriority w:val="99"/>
    <w:pPr>
      <w:widowControl w:val="0"/>
      <w:snapToGrid/>
      <w:spacing w:after="0" w:line="312" w:lineRule="atLeast"/>
      <w:ind w:firstLine="420" w:firstLineChars="200"/>
      <w:jc w:val="both"/>
      <w:textAlignment w:val="baseline"/>
    </w:pPr>
    <w:rPr>
      <w:rFonts w:ascii="Times New Roman" w:hAnsi="Times New Roman" w:eastAsia="宋体" w:cs="Times New Roman"/>
      <w:sz w:val="21"/>
      <w:szCs w:val="20"/>
    </w:rPr>
  </w:style>
  <w:style w:type="paragraph" w:customStyle="1" w:styleId="18">
    <w:name w:val="列出段落2"/>
    <w:basedOn w:val="1"/>
    <w:qFormat/>
    <w:uiPriority w:val="99"/>
    <w:pPr>
      <w:widowControl w:val="0"/>
      <w:snapToGrid/>
      <w:spacing w:after="0" w:line="312" w:lineRule="atLeast"/>
      <w:ind w:firstLine="420" w:firstLineChars="200"/>
      <w:jc w:val="both"/>
      <w:textAlignment w:val="baseline"/>
    </w:pPr>
    <w:rPr>
      <w:rFonts w:ascii="Times New Roman" w:hAnsi="Times New Roman" w:eastAsia="宋体" w:cs="Times New Roman"/>
      <w:sz w:val="21"/>
      <w:szCs w:val="20"/>
    </w:rPr>
  </w:style>
  <w:style w:type="paragraph" w:customStyle="1" w:styleId="19">
    <w:name w:val="样式1"/>
    <w:basedOn w:val="1"/>
    <w:qFormat/>
    <w:uiPriority w:val="99"/>
    <w:pPr>
      <w:widowControl w:val="0"/>
      <w:snapToGrid/>
      <w:spacing w:after="0" w:line="420" w:lineRule="auto"/>
      <w:jc w:val="center"/>
      <w:textAlignment w:val="baseline"/>
    </w:pPr>
    <w:rPr>
      <w:rFonts w:ascii="宋体" w:hAnsi="Times New Roman" w:eastAsia="宋体" w:cs="Times New Roman"/>
      <w:sz w:val="24"/>
      <w:szCs w:val="20"/>
    </w:rPr>
  </w:style>
  <w:style w:type="character" w:customStyle="1" w:styleId="20">
    <w:name w:val="标题 1 字符"/>
    <w:basedOn w:val="10"/>
    <w:link w:val="2"/>
    <w:qFormat/>
    <w:uiPriority w:val="1"/>
    <w:rPr>
      <w:rFonts w:ascii="Tahoma" w:hAnsi="Tahoma" w:eastAsia="微软雅黑" w:cstheme="minorBidi"/>
      <w:b/>
      <w:bCs/>
      <w:kern w:val="44"/>
      <w:sz w:val="44"/>
      <w:szCs w:val="44"/>
    </w:rPr>
  </w:style>
  <w:style w:type="character" w:customStyle="1" w:styleId="21">
    <w:name w:val="批注框文本 字符"/>
    <w:basedOn w:val="10"/>
    <w:link w:val="5"/>
    <w:qFormat/>
    <w:uiPriority w:val="0"/>
    <w:rPr>
      <w:rFonts w:ascii="Tahoma" w:hAnsi="Tahoma" w:eastAsia="微软雅黑" w:cstheme="minorBidi"/>
      <w:sz w:val="18"/>
      <w:szCs w:val="18"/>
    </w:rPr>
  </w:style>
  <w:style w:type="character" w:customStyle="1" w:styleId="22">
    <w:name w:val="font51"/>
    <w:basedOn w:val="10"/>
    <w:qFormat/>
    <w:uiPriority w:val="0"/>
    <w:rPr>
      <w:rFonts w:hint="eastAsia" w:ascii="宋体" w:hAnsi="宋体" w:eastAsia="宋体" w:cs="宋体"/>
      <w:color w:val="000000"/>
      <w:sz w:val="22"/>
      <w:szCs w:val="22"/>
      <w:u w:val="none"/>
    </w:rPr>
  </w:style>
  <w:style w:type="character" w:customStyle="1" w:styleId="23">
    <w:name w:val="font01"/>
    <w:basedOn w:val="10"/>
    <w:qFormat/>
    <w:uiPriority w:val="0"/>
    <w:rPr>
      <w:rFonts w:ascii="Calibri" w:hAnsi="Calibri" w:cs="Calibri"/>
      <w:color w:val="000000"/>
      <w:sz w:val="22"/>
      <w:szCs w:val="22"/>
      <w:u w:val="none"/>
    </w:rPr>
  </w:style>
  <w:style w:type="character" w:customStyle="1" w:styleId="24">
    <w:name w:val="font61"/>
    <w:basedOn w:val="10"/>
    <w:qFormat/>
    <w:uiPriority w:val="0"/>
    <w:rPr>
      <w:rFonts w:hint="eastAsia" w:ascii="宋体" w:hAnsi="宋体" w:eastAsia="宋体" w:cs="宋体"/>
      <w:color w:val="000000"/>
      <w:sz w:val="22"/>
      <w:szCs w:val="22"/>
      <w:u w:val="none"/>
    </w:rPr>
  </w:style>
  <w:style w:type="character" w:customStyle="1" w:styleId="25">
    <w:name w:val="font31"/>
    <w:basedOn w:val="10"/>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4944</Words>
  <Characters>5776</Characters>
  <Lines>50</Lines>
  <Paragraphs>14</Paragraphs>
  <TotalTime>0</TotalTime>
  <ScaleCrop>false</ScaleCrop>
  <LinksUpToDate>false</LinksUpToDate>
  <CharactersWithSpaces>6381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2020-06-15T06:13:00Z</dcterms:created>
  <dc:creator>Administrator</dc:creator>
  <cp:lastModifiedBy>怎样的滕</cp:lastModifiedBy>
  <dcterms:modified xsi:type="dcterms:W3CDTF">2023-07-20T05:54:57Z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2341F5806094438597953A2C6803C0B8_13</vt:lpwstr>
  </property>
</Properties>
</file>