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202</w:t>
      </w:r>
      <w:r>
        <w:rPr>
          <w:rFonts w:hint="eastAsia" w:ascii="黑体" w:hAnsi="黑体" w:eastAsia="黑体"/>
          <w:sz w:val="36"/>
          <w:szCs w:val="36"/>
          <w:lang w:val="en-US" w:eastAsia="zh-CN"/>
        </w:rPr>
        <w:t>3</w:t>
      </w:r>
      <w:r>
        <w:rPr>
          <w:rFonts w:hint="eastAsia" w:ascii="黑体" w:hAnsi="黑体" w:eastAsia="黑体"/>
          <w:sz w:val="36"/>
          <w:szCs w:val="36"/>
        </w:rPr>
        <w:t>年甜菜二次倒运承包商采购方案的请示</w:t>
      </w:r>
    </w:p>
    <w:p>
      <w:pPr>
        <w:widowControl/>
        <w:spacing w:line="500" w:lineRule="exact"/>
        <w:jc w:val="left"/>
        <w:rPr>
          <w:rFonts w:ascii="仿宋" w:hAnsi="仿宋" w:eastAsia="仿宋" w:cs="宋体"/>
          <w:b/>
          <w:color w:val="000000"/>
          <w:kern w:val="0"/>
          <w:sz w:val="32"/>
          <w:szCs w:val="32"/>
        </w:rPr>
      </w:pPr>
    </w:p>
    <w:p>
      <w:pPr>
        <w:widowControl/>
        <w:spacing w:line="52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公司领导：</w:t>
      </w:r>
    </w:p>
    <w:p>
      <w:pPr>
        <w:widowControl/>
        <w:spacing w:line="520" w:lineRule="exact"/>
        <w:ind w:firstLine="688" w:firstLineChars="246"/>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我公司甜菜收购工作即将开始，因收购的甜菜不能全部一次入窖，有约</w:t>
      </w:r>
      <w:r>
        <w:rPr>
          <w:rFonts w:hint="eastAsia" w:ascii="仿宋" w:hAnsi="仿宋" w:eastAsia="仿宋" w:cs="宋体"/>
          <w:color w:val="000000"/>
          <w:kern w:val="0"/>
          <w:sz w:val="28"/>
          <w:szCs w:val="28"/>
          <w:lang w:val="en-US" w:eastAsia="zh-CN"/>
        </w:rPr>
        <w:t>21</w:t>
      </w:r>
      <w:r>
        <w:rPr>
          <w:rFonts w:hint="eastAsia" w:ascii="仿宋" w:hAnsi="仿宋" w:eastAsia="仿宋" w:cs="宋体"/>
          <w:color w:val="000000"/>
          <w:kern w:val="0"/>
          <w:sz w:val="28"/>
          <w:szCs w:val="28"/>
        </w:rPr>
        <w:t xml:space="preserve">万吨甜菜需落地保藏，并在收购结束后需将现场落地甜菜二次倒运入窖加工，现特申请将二次倒运工作对外承包，需对承包商通过EPS系统招标。 </w:t>
      </w:r>
    </w:p>
    <w:p>
      <w:pPr>
        <w:widowControl/>
        <w:spacing w:line="52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1、采购方式：询比价</w:t>
      </w:r>
    </w:p>
    <w:p>
      <w:pPr>
        <w:widowControl/>
        <w:spacing w:line="52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2、定价方式：最低价中标</w:t>
      </w:r>
    </w:p>
    <w:p>
      <w:pPr>
        <w:widowControl/>
        <w:spacing w:line="52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3、项目组人员：</w:t>
      </w:r>
    </w:p>
    <w:p>
      <w:pPr>
        <w:widowControl/>
        <w:spacing w:line="52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监督人财务部张翠云，根据采购管理制度履行监督职责；</w:t>
      </w:r>
    </w:p>
    <w:p>
      <w:pPr>
        <w:widowControl/>
        <w:spacing w:line="52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使用单位：白永红、经理班子樊海军、张建新负责项目方案及谈判环节报价文件初步审核。</w:t>
      </w:r>
    </w:p>
    <w:p>
      <w:pPr>
        <w:spacing w:line="520" w:lineRule="exact"/>
        <w:rPr>
          <w:rFonts w:ascii="仿宋_GB2312" w:hAnsi="华文仿宋" w:eastAsia="仿宋_GB2312" w:cs="Times New Roman"/>
          <w:sz w:val="28"/>
          <w:szCs w:val="28"/>
        </w:rPr>
      </w:pPr>
      <w:r>
        <w:rPr>
          <w:rFonts w:hint="eastAsia" w:ascii="仿宋" w:hAnsi="仿宋" w:eastAsia="仿宋" w:cs="宋体"/>
          <w:color w:val="000000"/>
          <w:kern w:val="0"/>
          <w:sz w:val="28"/>
          <w:szCs w:val="28"/>
        </w:rPr>
        <w:t>4、二次倒运时间：</w:t>
      </w:r>
      <w:r>
        <w:rPr>
          <w:rFonts w:hint="eastAsia" w:ascii="仿宋_GB2312" w:hAnsi="华文仿宋" w:eastAsia="仿宋_GB2312" w:cs="Times New Roman"/>
          <w:sz w:val="28"/>
          <w:szCs w:val="28"/>
        </w:rPr>
        <w:t>202</w:t>
      </w:r>
      <w:r>
        <w:rPr>
          <w:rFonts w:hint="eastAsia" w:ascii="仿宋_GB2312" w:hAnsi="华文仿宋" w:eastAsia="仿宋_GB2312" w:cs="Times New Roman"/>
          <w:sz w:val="28"/>
          <w:szCs w:val="28"/>
          <w:lang w:val="en-US" w:eastAsia="zh-CN"/>
        </w:rPr>
        <w:t>3</w:t>
      </w:r>
      <w:r>
        <w:rPr>
          <w:rFonts w:hint="eastAsia" w:ascii="仿宋_GB2312" w:hAnsi="华文仿宋" w:eastAsia="仿宋_GB2312" w:cs="Times New Roman"/>
          <w:sz w:val="28"/>
          <w:szCs w:val="28"/>
        </w:rPr>
        <w:t>年</w:t>
      </w:r>
      <w:r>
        <w:rPr>
          <w:rFonts w:hint="eastAsia" w:ascii="仿宋_GB2312" w:hAnsi="华文仿宋" w:eastAsia="仿宋_GB2312" w:cs="Times New Roman"/>
          <w:sz w:val="28"/>
          <w:szCs w:val="28"/>
          <w:lang w:val="en-US" w:eastAsia="zh-CN"/>
        </w:rPr>
        <w:t>10</w:t>
      </w:r>
      <w:r>
        <w:rPr>
          <w:rFonts w:hint="eastAsia" w:ascii="仿宋_GB2312" w:hAnsi="华文仿宋" w:eastAsia="仿宋_GB2312" w:cs="Times New Roman"/>
          <w:sz w:val="28"/>
          <w:szCs w:val="28"/>
        </w:rPr>
        <w:t>月</w:t>
      </w:r>
      <w:r>
        <w:rPr>
          <w:rFonts w:hint="eastAsia" w:ascii="仿宋_GB2312" w:hAnsi="华文仿宋" w:eastAsia="仿宋_GB2312" w:cs="Times New Roman"/>
          <w:sz w:val="28"/>
          <w:szCs w:val="28"/>
          <w:lang w:val="en-US" w:eastAsia="zh-CN"/>
        </w:rPr>
        <w:t>1</w:t>
      </w:r>
      <w:r>
        <w:rPr>
          <w:rFonts w:hint="eastAsia" w:ascii="仿宋_GB2312" w:hAnsi="华文仿宋" w:eastAsia="仿宋_GB2312" w:cs="Times New Roman"/>
          <w:sz w:val="28"/>
          <w:szCs w:val="28"/>
        </w:rPr>
        <w:t>日—202</w:t>
      </w:r>
      <w:r>
        <w:rPr>
          <w:rFonts w:hint="eastAsia" w:ascii="仿宋_GB2312" w:hAnsi="华文仿宋" w:eastAsia="仿宋_GB2312" w:cs="Times New Roman"/>
          <w:sz w:val="28"/>
          <w:szCs w:val="28"/>
          <w:lang w:val="en-US" w:eastAsia="zh-CN"/>
        </w:rPr>
        <w:t>3</w:t>
      </w:r>
      <w:r>
        <w:rPr>
          <w:rFonts w:hint="eastAsia" w:ascii="仿宋_GB2312" w:hAnsi="华文仿宋" w:eastAsia="仿宋_GB2312" w:cs="Times New Roman"/>
          <w:sz w:val="28"/>
          <w:szCs w:val="28"/>
        </w:rPr>
        <w:t>/202</w:t>
      </w:r>
      <w:r>
        <w:rPr>
          <w:rFonts w:hint="eastAsia" w:ascii="仿宋_GB2312" w:hAnsi="华文仿宋" w:eastAsia="仿宋_GB2312" w:cs="Times New Roman"/>
          <w:sz w:val="28"/>
          <w:szCs w:val="28"/>
          <w:lang w:val="en-US" w:eastAsia="zh-CN"/>
        </w:rPr>
        <w:t>4</w:t>
      </w:r>
      <w:r>
        <w:rPr>
          <w:rFonts w:hint="eastAsia" w:ascii="仿宋_GB2312" w:hAnsi="华文仿宋" w:eastAsia="仿宋_GB2312" w:cs="Times New Roman"/>
          <w:sz w:val="28"/>
          <w:szCs w:val="28"/>
        </w:rPr>
        <w:t>榨期结束</w:t>
      </w:r>
    </w:p>
    <w:p>
      <w:pPr>
        <w:widowControl/>
        <w:spacing w:line="52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5、本项目资质要求：</w:t>
      </w:r>
    </w:p>
    <w:p>
      <w:pPr>
        <w:widowControl/>
        <w:spacing w:line="520" w:lineRule="exact"/>
        <w:jc w:val="left"/>
        <w:rPr>
          <w:rFonts w:ascii="仿宋" w:hAnsi="仿宋" w:eastAsia="仿宋" w:cs="宋体"/>
          <w:color w:val="000000"/>
          <w:kern w:val="0"/>
          <w:sz w:val="28"/>
          <w:szCs w:val="28"/>
        </w:rPr>
      </w:pPr>
      <w:r>
        <w:rPr>
          <w:rFonts w:ascii="仿宋" w:hAnsi="仿宋" w:eastAsia="仿宋" w:cs="宋体"/>
          <w:color w:val="000000"/>
          <w:kern w:val="0"/>
          <w:sz w:val="28"/>
          <w:szCs w:val="28"/>
        </w:rPr>
        <w:t>1)投标人应遵守《中华人民共和国招标投标法》及其它有关的中国法律和法规；</w:t>
      </w:r>
    </w:p>
    <w:p>
      <w:pPr>
        <w:widowControl/>
        <w:spacing w:line="52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)在中国境内注册的独立法人，具有独立法人资格，具有有效的营业执照；</w:t>
      </w:r>
    </w:p>
    <w:p>
      <w:pPr>
        <w:widowControl/>
        <w:spacing w:line="52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)没有处于被责令停业，投标资格被取消，财产被接管、冻结，破产状态；</w:t>
      </w:r>
    </w:p>
    <w:p>
      <w:pPr>
        <w:widowControl/>
        <w:spacing w:line="52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）上传系统要求的廉洁承诺书及质量承诺书及其他资质文件且在有效期内。</w:t>
      </w:r>
    </w:p>
    <w:p>
      <w:pPr>
        <w:spacing w:line="520" w:lineRule="exact"/>
        <w:rPr>
          <w:sz w:val="28"/>
          <w:szCs w:val="28"/>
        </w:rPr>
      </w:pPr>
    </w:p>
    <w:p>
      <w:pPr>
        <w:spacing w:line="520" w:lineRule="exact"/>
        <w:rPr>
          <w:rFonts w:ascii="仿宋" w:hAnsi="仿宋" w:eastAsia="仿宋"/>
          <w:sz w:val="28"/>
          <w:szCs w:val="28"/>
        </w:rPr>
      </w:pPr>
      <w:r>
        <w:rPr>
          <w:rFonts w:hint="eastAsia" w:ascii="仿宋" w:hAnsi="仿宋" w:eastAsia="仿宋"/>
          <w:sz w:val="28"/>
          <w:szCs w:val="28"/>
        </w:rPr>
        <w:t xml:space="preserve">妥否,请批示！ </w:t>
      </w:r>
    </w:p>
    <w:p>
      <w:pPr>
        <w:spacing w:line="520" w:lineRule="exact"/>
        <w:jc w:val="center"/>
        <w:rPr>
          <w:rFonts w:ascii="仿宋" w:hAnsi="仿宋" w:eastAsia="仿宋"/>
          <w:sz w:val="28"/>
          <w:szCs w:val="28"/>
        </w:rPr>
      </w:pPr>
    </w:p>
    <w:p>
      <w:pPr>
        <w:spacing w:line="520" w:lineRule="exact"/>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额敏糖业</w:t>
      </w:r>
    </w:p>
    <w:p>
      <w:pPr>
        <w:spacing w:line="520" w:lineRule="exact"/>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原料车间</w:t>
      </w:r>
    </w:p>
    <w:p>
      <w:pPr>
        <w:spacing w:line="520" w:lineRule="exact"/>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20</w:t>
      </w:r>
      <w:bookmarkStart w:id="0" w:name="_GoBack"/>
      <w:bookmarkEnd w:id="0"/>
      <w:r>
        <w:rPr>
          <w:rFonts w:hint="eastAsia" w:ascii="仿宋" w:hAnsi="仿宋" w:eastAsia="仿宋"/>
          <w:sz w:val="28"/>
          <w:szCs w:val="28"/>
        </w:rPr>
        <w:t>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5</w:t>
      </w:r>
      <w:r>
        <w:rPr>
          <w:rFonts w:hint="eastAsia" w:ascii="仿宋" w:hAnsi="仿宋" w:eastAsia="仿宋"/>
          <w:sz w:val="28"/>
          <w:szCs w:val="28"/>
        </w:rPr>
        <w:t>日</w:t>
      </w:r>
    </w:p>
    <w:p>
      <w:pPr>
        <w:rPr>
          <w:rFonts w:ascii="仿宋" w:hAnsi="仿宋" w:eastAsia="仿宋"/>
          <w:sz w:val="28"/>
          <w:szCs w:val="28"/>
        </w:rPr>
      </w:pPr>
      <w:r>
        <w:rPr>
          <w:rFonts w:hint="eastAsia" w:ascii="仿宋" w:hAnsi="仿宋" w:eastAsia="仿宋"/>
          <w:sz w:val="28"/>
          <w:szCs w:val="28"/>
        </w:rPr>
        <w:t>附件1：调研表（202</w:t>
      </w:r>
      <w:r>
        <w:rPr>
          <w:rFonts w:hint="eastAsia" w:ascii="仿宋" w:hAnsi="仿宋" w:eastAsia="仿宋"/>
          <w:sz w:val="28"/>
          <w:szCs w:val="28"/>
          <w:lang w:val="en-US" w:eastAsia="zh-CN"/>
        </w:rPr>
        <w:t>3</w:t>
      </w:r>
      <w:r>
        <w:rPr>
          <w:rFonts w:hint="eastAsia" w:ascii="仿宋" w:hAnsi="仿宋" w:eastAsia="仿宋"/>
          <w:sz w:val="28"/>
          <w:szCs w:val="28"/>
        </w:rPr>
        <w:t>年二次倒运所需车辆）</w:t>
      </w:r>
    </w:p>
    <w:tbl>
      <w:tblPr>
        <w:tblStyle w:val="8"/>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268"/>
        <w:gridCol w:w="709"/>
        <w:gridCol w:w="992"/>
        <w:gridCol w:w="2423"/>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67" w:type="dxa"/>
            <w:shd w:val="clear" w:color="auto" w:fill="auto"/>
            <w:noWrap/>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序号</w:t>
            </w:r>
          </w:p>
        </w:tc>
        <w:tc>
          <w:tcPr>
            <w:tcW w:w="2268" w:type="dxa"/>
            <w:shd w:val="clear" w:color="auto" w:fill="auto"/>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单位名称</w:t>
            </w:r>
          </w:p>
        </w:tc>
        <w:tc>
          <w:tcPr>
            <w:tcW w:w="709" w:type="dxa"/>
            <w:shd w:val="clear" w:color="auto" w:fill="auto"/>
            <w:noWrap/>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铲车</w:t>
            </w:r>
          </w:p>
        </w:tc>
        <w:tc>
          <w:tcPr>
            <w:tcW w:w="992" w:type="dxa"/>
            <w:shd w:val="clear" w:color="auto" w:fill="auto"/>
            <w:noWrap/>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翻斗车</w:t>
            </w:r>
          </w:p>
        </w:tc>
        <w:tc>
          <w:tcPr>
            <w:tcW w:w="2423" w:type="dxa"/>
            <w:shd w:val="clear" w:color="auto" w:fill="auto"/>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倒运单价</w:t>
            </w:r>
          </w:p>
        </w:tc>
        <w:tc>
          <w:tcPr>
            <w:tcW w:w="2539" w:type="dxa"/>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67" w:type="dxa"/>
            <w:shd w:val="clear" w:color="auto" w:fill="auto"/>
            <w:noWrap/>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1</w:t>
            </w:r>
          </w:p>
        </w:tc>
        <w:tc>
          <w:tcPr>
            <w:tcW w:w="2268" w:type="dxa"/>
            <w:shd w:val="clear" w:color="auto" w:fill="auto"/>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新疆金丝路汇通商贸有限公司</w:t>
            </w:r>
          </w:p>
        </w:tc>
        <w:tc>
          <w:tcPr>
            <w:tcW w:w="709" w:type="dxa"/>
            <w:shd w:val="clear" w:color="auto" w:fill="auto"/>
            <w:noWrap/>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3</w:t>
            </w:r>
          </w:p>
        </w:tc>
        <w:tc>
          <w:tcPr>
            <w:tcW w:w="992" w:type="dxa"/>
            <w:shd w:val="clear" w:color="auto" w:fill="auto"/>
            <w:noWrap/>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lang w:val="en-US" w:eastAsia="zh-CN"/>
              </w:rPr>
              <w:t>5</w:t>
            </w:r>
            <w:r>
              <w:rPr>
                <w:rFonts w:hint="eastAsia" w:ascii="等线" w:hAnsi="宋体" w:eastAsia="等线" w:cs="宋体"/>
                <w:kern w:val="0"/>
                <w:sz w:val="18"/>
                <w:szCs w:val="18"/>
              </w:rPr>
              <w:t>-8</w:t>
            </w:r>
          </w:p>
        </w:tc>
        <w:tc>
          <w:tcPr>
            <w:tcW w:w="2423" w:type="dxa"/>
            <w:shd w:val="clear" w:color="auto" w:fill="auto"/>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lang w:val="en-US" w:eastAsia="zh-CN"/>
              </w:rPr>
              <w:t>4.95</w:t>
            </w:r>
            <w:r>
              <w:rPr>
                <w:rFonts w:hint="eastAsia" w:ascii="等线" w:hAnsi="宋体" w:eastAsia="等线" w:cs="宋体"/>
                <w:kern w:val="0"/>
                <w:sz w:val="18"/>
                <w:szCs w:val="18"/>
              </w:rPr>
              <w:t>元/吨</w:t>
            </w:r>
          </w:p>
        </w:tc>
        <w:tc>
          <w:tcPr>
            <w:tcW w:w="2539" w:type="dxa"/>
          </w:tcPr>
          <w:p>
            <w:pPr>
              <w:widowControl/>
              <w:jc w:val="left"/>
              <w:rPr>
                <w:rFonts w:ascii="等线" w:hAnsi="宋体" w:eastAsia="等线" w:cs="宋体"/>
                <w:kern w:val="0"/>
                <w:sz w:val="18"/>
                <w:szCs w:val="18"/>
              </w:rPr>
            </w:pPr>
            <w:r>
              <w:rPr>
                <w:rFonts w:hint="eastAsia" w:ascii="等线" w:hAnsi="宋体" w:eastAsia="等线" w:cs="宋体"/>
                <w:kern w:val="0"/>
                <w:sz w:val="18"/>
                <w:szCs w:val="18"/>
              </w:rPr>
              <w:t>铲车及驾驶员证照齐全，购买保险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67" w:type="dxa"/>
            <w:shd w:val="clear" w:color="auto" w:fill="auto"/>
            <w:noWrap/>
            <w:vAlign w:val="center"/>
          </w:tcPr>
          <w:p>
            <w:pPr>
              <w:widowControl/>
              <w:jc w:val="center"/>
              <w:rPr>
                <w:rFonts w:hint="eastAsia" w:ascii="等线" w:hAnsi="宋体" w:eastAsia="等线" w:cs="宋体"/>
                <w:kern w:val="0"/>
                <w:sz w:val="18"/>
                <w:szCs w:val="18"/>
              </w:rPr>
            </w:pPr>
            <w:r>
              <w:rPr>
                <w:rFonts w:hint="eastAsia" w:ascii="等线" w:hAnsi="宋体" w:eastAsia="等线" w:cs="宋体"/>
                <w:kern w:val="0"/>
                <w:sz w:val="18"/>
                <w:szCs w:val="18"/>
              </w:rPr>
              <w:t>2</w:t>
            </w:r>
          </w:p>
        </w:tc>
        <w:tc>
          <w:tcPr>
            <w:tcW w:w="2268" w:type="dxa"/>
            <w:shd w:val="clear" w:color="auto" w:fill="auto"/>
            <w:vAlign w:val="center"/>
          </w:tcPr>
          <w:p>
            <w:pPr>
              <w:widowControl/>
              <w:jc w:val="left"/>
              <w:rPr>
                <w:rFonts w:hint="default" w:ascii="仿宋_GB2312" w:hAnsi="等线" w:eastAsia="仿宋_GB2312" w:cs="宋体"/>
                <w:color w:val="000000"/>
                <w:kern w:val="0"/>
                <w:szCs w:val="21"/>
                <w:lang w:val="en-US" w:eastAsia="zh-CN"/>
              </w:rPr>
            </w:pPr>
            <w:r>
              <w:rPr>
                <w:rFonts w:hint="eastAsia" w:ascii="仿宋_GB2312" w:hAnsi="等线" w:eastAsia="仿宋_GB2312" w:cs="宋体"/>
                <w:color w:val="000000"/>
                <w:kern w:val="0"/>
                <w:szCs w:val="21"/>
                <w:lang w:val="en-US" w:eastAsia="zh-CN"/>
              </w:rPr>
              <w:t>新疆鸿峰供应链管理有限公司</w:t>
            </w:r>
          </w:p>
        </w:tc>
        <w:tc>
          <w:tcPr>
            <w:tcW w:w="709" w:type="dxa"/>
            <w:shd w:val="clear" w:color="auto" w:fill="auto"/>
            <w:noWrap/>
            <w:vAlign w:val="center"/>
          </w:tcPr>
          <w:p>
            <w:pPr>
              <w:widowControl/>
              <w:jc w:val="center"/>
              <w:rPr>
                <w:rFonts w:hint="eastAsia" w:ascii="等线" w:hAnsi="宋体" w:eastAsia="等线" w:cs="宋体"/>
                <w:kern w:val="0"/>
                <w:sz w:val="18"/>
                <w:szCs w:val="18"/>
              </w:rPr>
            </w:pPr>
            <w:r>
              <w:rPr>
                <w:rFonts w:hint="eastAsia" w:ascii="等线" w:hAnsi="宋体" w:eastAsia="等线" w:cs="宋体"/>
                <w:kern w:val="0"/>
                <w:sz w:val="18"/>
                <w:szCs w:val="18"/>
              </w:rPr>
              <w:t>3</w:t>
            </w:r>
          </w:p>
        </w:tc>
        <w:tc>
          <w:tcPr>
            <w:tcW w:w="992" w:type="dxa"/>
            <w:shd w:val="clear" w:color="auto" w:fill="auto"/>
            <w:noWrap/>
            <w:vAlign w:val="center"/>
          </w:tcPr>
          <w:p>
            <w:pPr>
              <w:widowControl/>
              <w:jc w:val="center"/>
              <w:rPr>
                <w:rFonts w:hint="eastAsia" w:ascii="等线" w:hAnsi="宋体" w:eastAsia="等线" w:cs="宋体"/>
                <w:kern w:val="0"/>
                <w:sz w:val="18"/>
                <w:szCs w:val="18"/>
              </w:rPr>
            </w:pPr>
            <w:r>
              <w:rPr>
                <w:rFonts w:hint="eastAsia" w:ascii="等线" w:hAnsi="宋体" w:eastAsia="等线" w:cs="宋体"/>
                <w:kern w:val="0"/>
                <w:sz w:val="18"/>
                <w:szCs w:val="18"/>
                <w:lang w:val="en-US" w:eastAsia="zh-CN"/>
              </w:rPr>
              <w:t>5</w:t>
            </w:r>
            <w:r>
              <w:rPr>
                <w:rFonts w:hint="eastAsia" w:ascii="等线" w:hAnsi="宋体" w:eastAsia="等线" w:cs="宋体"/>
                <w:kern w:val="0"/>
                <w:sz w:val="18"/>
                <w:szCs w:val="18"/>
              </w:rPr>
              <w:t>-8</w:t>
            </w:r>
          </w:p>
        </w:tc>
        <w:tc>
          <w:tcPr>
            <w:tcW w:w="2423" w:type="dxa"/>
            <w:shd w:val="clear" w:color="auto" w:fill="auto"/>
            <w:vAlign w:val="center"/>
          </w:tcPr>
          <w:p>
            <w:pPr>
              <w:widowControl/>
              <w:jc w:val="center"/>
              <w:rPr>
                <w:rFonts w:hint="eastAsia" w:ascii="等线" w:hAnsi="宋体" w:eastAsia="等线" w:cs="宋体"/>
                <w:kern w:val="0"/>
                <w:sz w:val="18"/>
                <w:szCs w:val="18"/>
              </w:rPr>
            </w:pPr>
            <w:r>
              <w:rPr>
                <w:rFonts w:hint="eastAsia" w:ascii="等线" w:hAnsi="宋体" w:eastAsia="等线" w:cs="宋体"/>
                <w:kern w:val="0"/>
                <w:sz w:val="18"/>
                <w:szCs w:val="18"/>
                <w:lang w:val="en-US" w:eastAsia="zh-CN"/>
              </w:rPr>
              <w:t>4.98</w:t>
            </w:r>
            <w:r>
              <w:rPr>
                <w:rFonts w:hint="eastAsia" w:ascii="等线" w:hAnsi="宋体" w:eastAsia="等线" w:cs="宋体"/>
                <w:kern w:val="0"/>
                <w:sz w:val="18"/>
                <w:szCs w:val="18"/>
              </w:rPr>
              <w:t>元/吨</w:t>
            </w:r>
          </w:p>
        </w:tc>
        <w:tc>
          <w:tcPr>
            <w:tcW w:w="2539" w:type="dxa"/>
          </w:tcPr>
          <w:p>
            <w:r>
              <w:rPr>
                <w:rFonts w:hint="eastAsia" w:ascii="等线" w:hAnsi="宋体" w:eastAsia="等线" w:cs="宋体"/>
                <w:kern w:val="0"/>
                <w:sz w:val="18"/>
                <w:szCs w:val="18"/>
              </w:rPr>
              <w:t>倒运车辆及驾驶员证照齐全，购买保险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67" w:type="dxa"/>
            <w:shd w:val="clear" w:color="auto" w:fill="auto"/>
            <w:noWrap/>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3</w:t>
            </w:r>
          </w:p>
        </w:tc>
        <w:tc>
          <w:tcPr>
            <w:tcW w:w="2268" w:type="dxa"/>
            <w:shd w:val="clear" w:color="auto" w:fill="auto"/>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新疆新耀商贸有限公司</w:t>
            </w:r>
          </w:p>
        </w:tc>
        <w:tc>
          <w:tcPr>
            <w:tcW w:w="709" w:type="dxa"/>
            <w:shd w:val="clear" w:color="auto" w:fill="auto"/>
            <w:noWrap/>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3</w:t>
            </w:r>
          </w:p>
        </w:tc>
        <w:tc>
          <w:tcPr>
            <w:tcW w:w="992" w:type="dxa"/>
            <w:shd w:val="clear" w:color="auto" w:fill="auto"/>
            <w:noWrap/>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lang w:val="en-US" w:eastAsia="zh-CN"/>
              </w:rPr>
              <w:t>5</w:t>
            </w:r>
            <w:r>
              <w:rPr>
                <w:rFonts w:hint="eastAsia" w:ascii="等线" w:hAnsi="宋体" w:eastAsia="等线" w:cs="宋体"/>
                <w:kern w:val="0"/>
                <w:sz w:val="18"/>
                <w:szCs w:val="18"/>
              </w:rPr>
              <w:t>-8</w:t>
            </w:r>
          </w:p>
        </w:tc>
        <w:tc>
          <w:tcPr>
            <w:tcW w:w="2423" w:type="dxa"/>
            <w:shd w:val="clear" w:color="auto" w:fill="auto"/>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5</w:t>
            </w:r>
            <w:r>
              <w:rPr>
                <w:rFonts w:hint="eastAsia" w:ascii="等线" w:hAnsi="宋体" w:eastAsia="等线" w:cs="宋体"/>
                <w:kern w:val="0"/>
                <w:sz w:val="18"/>
                <w:szCs w:val="18"/>
                <w:lang w:val="en-US" w:eastAsia="zh-CN"/>
              </w:rPr>
              <w:t>.00</w:t>
            </w:r>
            <w:r>
              <w:rPr>
                <w:rFonts w:hint="eastAsia" w:ascii="等线" w:hAnsi="宋体" w:eastAsia="等线" w:cs="宋体"/>
                <w:kern w:val="0"/>
                <w:sz w:val="18"/>
                <w:szCs w:val="18"/>
              </w:rPr>
              <w:t>元/吨</w:t>
            </w:r>
          </w:p>
        </w:tc>
        <w:tc>
          <w:tcPr>
            <w:tcW w:w="2539" w:type="dxa"/>
          </w:tcPr>
          <w:p>
            <w:r>
              <w:rPr>
                <w:rFonts w:hint="eastAsia" w:ascii="等线" w:hAnsi="宋体" w:eastAsia="等线" w:cs="宋体"/>
                <w:kern w:val="0"/>
                <w:sz w:val="18"/>
                <w:szCs w:val="18"/>
              </w:rPr>
              <w:t>倒运车辆及驾驶员证照齐全，购买保险</w:t>
            </w:r>
          </w:p>
        </w:tc>
      </w:tr>
    </w:tbl>
    <w:p>
      <w:pPr>
        <w:ind w:firstLine="2520" w:firstLineChars="1200"/>
      </w:pPr>
      <w:r>
        <w:rPr>
          <w:rFonts w:hint="eastAsia"/>
        </w:rPr>
        <w:t>调研人： 王恩泉           时间：202</w:t>
      </w:r>
      <w:r>
        <w:rPr>
          <w:rFonts w:hint="eastAsia"/>
          <w:lang w:val="en-US" w:eastAsia="zh-CN"/>
        </w:rPr>
        <w:t>3</w:t>
      </w:r>
      <w:r>
        <w:rPr>
          <w:rFonts w:hint="eastAsia"/>
        </w:rPr>
        <w:t>年8月26日</w:t>
      </w:r>
    </w:p>
    <w:p>
      <w:r>
        <w:rPr>
          <w:rFonts w:hint="eastAsia"/>
        </w:rPr>
        <w:t>附件2：</w:t>
      </w:r>
    </w:p>
    <w:tbl>
      <w:tblPr>
        <w:tblStyle w:val="8"/>
        <w:tblW w:w="48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987"/>
        <w:gridCol w:w="1188"/>
        <w:gridCol w:w="1192"/>
        <w:gridCol w:w="1190"/>
        <w:gridCol w:w="1057"/>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00" w:type="pct"/>
            <w:gridSpan w:val="7"/>
            <w:shd w:val="clear" w:color="auto" w:fill="auto"/>
            <w:noWrap/>
            <w:vAlign w:val="center"/>
          </w:tcPr>
          <w:p>
            <w:pPr>
              <w:widowControl/>
              <w:jc w:val="center"/>
              <w:rPr>
                <w:rFonts w:ascii="仿宋_GB2312" w:hAnsi="等线" w:eastAsia="仿宋_GB2312" w:cs="宋体"/>
                <w:bCs/>
                <w:color w:val="000000"/>
                <w:kern w:val="0"/>
                <w:szCs w:val="21"/>
              </w:rPr>
            </w:pPr>
            <w:r>
              <w:rPr>
                <w:rFonts w:hint="eastAsia" w:ascii="仿宋_GB2312" w:hAnsi="等线" w:eastAsia="仿宋_GB2312" w:cs="宋体"/>
                <w:bCs/>
                <w:color w:val="000000"/>
                <w:kern w:val="0"/>
                <w:szCs w:val="21"/>
              </w:rPr>
              <w:t>供应商资质审核推荐表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11" w:type="pct"/>
            <w:shd w:val="clear" w:color="auto" w:fill="auto"/>
            <w:noWrap/>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序号</w:t>
            </w:r>
          </w:p>
        </w:tc>
        <w:tc>
          <w:tcPr>
            <w:tcW w:w="1664" w:type="pct"/>
            <w:vMerge w:val="restart"/>
            <w:shd w:val="clear" w:color="auto" w:fill="auto"/>
            <w:noWrap/>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供应商名称</w:t>
            </w:r>
          </w:p>
          <w:p>
            <w:pPr>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c>
          <w:tcPr>
            <w:tcW w:w="662" w:type="pct"/>
            <w:shd w:val="clear" w:color="auto" w:fill="auto"/>
            <w:noWrap/>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系统要求资质是否齐全</w:t>
            </w:r>
          </w:p>
        </w:tc>
        <w:tc>
          <w:tcPr>
            <w:tcW w:w="664" w:type="pct"/>
            <w:shd w:val="clear" w:color="auto" w:fill="auto"/>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资质文件是否在有效期内</w:t>
            </w:r>
          </w:p>
        </w:tc>
        <w:tc>
          <w:tcPr>
            <w:tcW w:w="663" w:type="pct"/>
            <w:shd w:val="clear" w:color="auto" w:fill="auto"/>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经营范围是否包含本项目涉及内容</w:t>
            </w:r>
          </w:p>
        </w:tc>
        <w:tc>
          <w:tcPr>
            <w:tcW w:w="589" w:type="pct"/>
            <w:shd w:val="clear" w:color="auto" w:fill="auto"/>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特殊资质是否符合本项目要求</w:t>
            </w:r>
          </w:p>
        </w:tc>
        <w:tc>
          <w:tcPr>
            <w:tcW w:w="447" w:type="pct"/>
            <w:shd w:val="clear" w:color="auto" w:fill="auto"/>
            <w:noWrap/>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项目资质要求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1" w:type="pct"/>
            <w:shd w:val="clear" w:color="auto" w:fill="auto"/>
            <w:noWrap/>
            <w:vAlign w:val="bottom"/>
          </w:tcPr>
          <w:p>
            <w:pPr>
              <w:widowControl/>
              <w:jc w:val="right"/>
              <w:rPr>
                <w:rFonts w:ascii="仿宋_GB2312" w:hAnsi="等线" w:eastAsia="仿宋_GB2312" w:cs="宋体"/>
                <w:color w:val="000000"/>
                <w:kern w:val="0"/>
                <w:szCs w:val="21"/>
              </w:rPr>
            </w:pPr>
          </w:p>
        </w:tc>
        <w:tc>
          <w:tcPr>
            <w:tcW w:w="1664" w:type="pct"/>
            <w:vMerge w:val="continue"/>
            <w:shd w:val="clear" w:color="auto" w:fill="auto"/>
            <w:noWrap/>
            <w:vAlign w:val="bottom"/>
          </w:tcPr>
          <w:p>
            <w:pPr>
              <w:widowControl/>
              <w:jc w:val="left"/>
              <w:rPr>
                <w:rFonts w:ascii="仿宋_GB2312" w:hAnsi="等线" w:eastAsia="仿宋_GB2312" w:cs="宋体"/>
                <w:color w:val="000000"/>
                <w:kern w:val="0"/>
                <w:szCs w:val="21"/>
              </w:rPr>
            </w:pPr>
          </w:p>
        </w:tc>
        <w:tc>
          <w:tcPr>
            <w:tcW w:w="662" w:type="pct"/>
            <w:shd w:val="clear" w:color="auto" w:fill="auto"/>
            <w:noWrap/>
            <w:vAlign w:val="bottom"/>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是/否</w:t>
            </w:r>
          </w:p>
        </w:tc>
        <w:tc>
          <w:tcPr>
            <w:tcW w:w="664" w:type="pct"/>
            <w:shd w:val="clear" w:color="auto" w:fill="auto"/>
            <w:noWrap/>
            <w:vAlign w:val="bottom"/>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是/否</w:t>
            </w:r>
          </w:p>
        </w:tc>
        <w:tc>
          <w:tcPr>
            <w:tcW w:w="663" w:type="pct"/>
            <w:shd w:val="clear" w:color="auto" w:fill="auto"/>
            <w:noWrap/>
            <w:vAlign w:val="bottom"/>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是/否</w:t>
            </w:r>
          </w:p>
        </w:tc>
        <w:tc>
          <w:tcPr>
            <w:tcW w:w="589" w:type="pct"/>
            <w:shd w:val="clear" w:color="auto" w:fill="auto"/>
            <w:noWrap/>
            <w:vAlign w:val="bottom"/>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是/否</w:t>
            </w:r>
          </w:p>
        </w:tc>
        <w:tc>
          <w:tcPr>
            <w:tcW w:w="447" w:type="pct"/>
            <w:vMerge w:val="restart"/>
            <w:shd w:val="clear" w:color="auto" w:fill="auto"/>
            <w:vAlign w:val="center"/>
          </w:tcPr>
          <w:p>
            <w:pPr>
              <w:widowControl/>
              <w:jc w:val="left"/>
              <w:rPr>
                <w:rFonts w:ascii="仿宋_GB2312" w:hAnsi="等线"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11" w:type="pct"/>
            <w:shd w:val="clear" w:color="auto" w:fill="auto"/>
            <w:noWrap/>
            <w:vAlign w:val="bottom"/>
          </w:tcPr>
          <w:p>
            <w:pPr>
              <w:widowControl/>
              <w:ind w:right="210"/>
              <w:jc w:val="righ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1664" w:type="pct"/>
            <w:shd w:val="clear" w:color="auto" w:fill="auto"/>
            <w:noWrap/>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新疆金丝路汇通商贸有限公司</w:t>
            </w:r>
          </w:p>
        </w:tc>
        <w:tc>
          <w:tcPr>
            <w:tcW w:w="662" w:type="pct"/>
            <w:shd w:val="clear" w:color="auto" w:fill="auto"/>
            <w:noWrap/>
            <w:vAlign w:val="bottom"/>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是</w:t>
            </w:r>
          </w:p>
        </w:tc>
        <w:tc>
          <w:tcPr>
            <w:tcW w:w="664" w:type="pct"/>
            <w:shd w:val="clear" w:color="auto" w:fill="auto"/>
            <w:noWrap/>
            <w:vAlign w:val="bottom"/>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是</w:t>
            </w:r>
          </w:p>
        </w:tc>
        <w:tc>
          <w:tcPr>
            <w:tcW w:w="663" w:type="pct"/>
            <w:shd w:val="clear" w:color="auto" w:fill="auto"/>
            <w:noWrap/>
            <w:vAlign w:val="bottom"/>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是</w:t>
            </w:r>
          </w:p>
        </w:tc>
        <w:tc>
          <w:tcPr>
            <w:tcW w:w="589" w:type="pct"/>
            <w:shd w:val="clear" w:color="auto" w:fill="auto"/>
            <w:noWrap/>
            <w:vAlign w:val="bottom"/>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是</w:t>
            </w:r>
          </w:p>
        </w:tc>
        <w:tc>
          <w:tcPr>
            <w:tcW w:w="447" w:type="pct"/>
            <w:vMerge w:val="continue"/>
            <w:vAlign w:val="center"/>
          </w:tcPr>
          <w:p>
            <w:pPr>
              <w:widowControl/>
              <w:jc w:val="left"/>
              <w:rPr>
                <w:rFonts w:ascii="仿宋_GB2312" w:hAnsi="等线"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1" w:type="pct"/>
            <w:shd w:val="clear" w:color="auto" w:fill="auto"/>
            <w:noWrap/>
            <w:vAlign w:val="bottom"/>
          </w:tcPr>
          <w:p>
            <w:pPr>
              <w:widowControl/>
              <w:ind w:right="210"/>
              <w:jc w:val="righ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2</w:t>
            </w:r>
          </w:p>
        </w:tc>
        <w:tc>
          <w:tcPr>
            <w:tcW w:w="1664" w:type="pct"/>
            <w:shd w:val="clear" w:color="auto" w:fill="auto"/>
            <w:noWrap/>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lang w:val="en-US" w:eastAsia="zh-CN"/>
              </w:rPr>
              <w:t>新疆鸿峰供应链管理有限公司</w:t>
            </w:r>
          </w:p>
        </w:tc>
        <w:tc>
          <w:tcPr>
            <w:tcW w:w="662" w:type="pct"/>
            <w:shd w:val="clear" w:color="auto" w:fill="auto"/>
            <w:noWrap/>
            <w:vAlign w:val="bottom"/>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是</w:t>
            </w:r>
          </w:p>
        </w:tc>
        <w:tc>
          <w:tcPr>
            <w:tcW w:w="664" w:type="pct"/>
            <w:shd w:val="clear" w:color="auto" w:fill="auto"/>
            <w:noWrap/>
            <w:vAlign w:val="bottom"/>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是</w:t>
            </w:r>
          </w:p>
        </w:tc>
        <w:tc>
          <w:tcPr>
            <w:tcW w:w="663" w:type="pct"/>
            <w:shd w:val="clear" w:color="auto" w:fill="auto"/>
            <w:noWrap/>
            <w:vAlign w:val="bottom"/>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是</w:t>
            </w:r>
          </w:p>
        </w:tc>
        <w:tc>
          <w:tcPr>
            <w:tcW w:w="589" w:type="pct"/>
            <w:shd w:val="clear" w:color="auto" w:fill="auto"/>
            <w:noWrap/>
            <w:vAlign w:val="bottom"/>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是</w:t>
            </w:r>
          </w:p>
        </w:tc>
        <w:tc>
          <w:tcPr>
            <w:tcW w:w="447" w:type="pct"/>
            <w:vMerge w:val="continue"/>
            <w:vAlign w:val="center"/>
          </w:tcPr>
          <w:p>
            <w:pPr>
              <w:widowControl/>
              <w:jc w:val="left"/>
              <w:rPr>
                <w:rFonts w:ascii="仿宋_GB2312" w:hAnsi="等线"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1" w:type="pct"/>
            <w:shd w:val="clear" w:color="auto" w:fill="auto"/>
            <w:noWrap/>
            <w:vAlign w:val="bottom"/>
          </w:tcPr>
          <w:p>
            <w:pPr>
              <w:widowControl/>
              <w:ind w:right="315"/>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3</w:t>
            </w:r>
          </w:p>
        </w:tc>
        <w:tc>
          <w:tcPr>
            <w:tcW w:w="1664" w:type="pct"/>
            <w:shd w:val="clear" w:color="auto" w:fill="auto"/>
            <w:noWrap/>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新疆新耀商贸有限公司</w:t>
            </w:r>
          </w:p>
        </w:tc>
        <w:tc>
          <w:tcPr>
            <w:tcW w:w="662" w:type="pct"/>
            <w:shd w:val="clear" w:color="auto" w:fill="auto"/>
            <w:noWrap/>
            <w:vAlign w:val="bottom"/>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是</w:t>
            </w:r>
          </w:p>
        </w:tc>
        <w:tc>
          <w:tcPr>
            <w:tcW w:w="664" w:type="pct"/>
            <w:shd w:val="clear" w:color="auto" w:fill="auto"/>
            <w:noWrap/>
            <w:vAlign w:val="bottom"/>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是</w:t>
            </w:r>
          </w:p>
        </w:tc>
        <w:tc>
          <w:tcPr>
            <w:tcW w:w="663" w:type="pct"/>
            <w:shd w:val="clear" w:color="auto" w:fill="auto"/>
            <w:noWrap/>
            <w:vAlign w:val="bottom"/>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是</w:t>
            </w:r>
          </w:p>
        </w:tc>
        <w:tc>
          <w:tcPr>
            <w:tcW w:w="589" w:type="pct"/>
            <w:shd w:val="clear" w:color="auto" w:fill="auto"/>
            <w:noWrap/>
            <w:vAlign w:val="bottom"/>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是</w:t>
            </w:r>
          </w:p>
        </w:tc>
        <w:tc>
          <w:tcPr>
            <w:tcW w:w="447" w:type="pct"/>
            <w:vMerge w:val="continue"/>
            <w:vAlign w:val="center"/>
          </w:tcPr>
          <w:p>
            <w:pPr>
              <w:widowControl/>
              <w:jc w:val="left"/>
              <w:rPr>
                <w:rFonts w:ascii="仿宋_GB2312" w:hAnsi="等线"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311" w:type="pct"/>
            <w:shd w:val="clear" w:color="auto" w:fill="auto"/>
            <w:noWrap/>
            <w:vAlign w:val="bottom"/>
          </w:tcPr>
          <w:p>
            <w:pPr>
              <w:widowControl/>
              <w:jc w:val="left"/>
              <w:rPr>
                <w:rFonts w:ascii="仿宋_GB2312" w:hAnsi="Times New Roman" w:eastAsia="仿宋_GB2312" w:cs="Times New Roman"/>
                <w:kern w:val="0"/>
                <w:szCs w:val="21"/>
              </w:rPr>
            </w:pPr>
          </w:p>
        </w:tc>
        <w:tc>
          <w:tcPr>
            <w:tcW w:w="4689" w:type="pct"/>
            <w:gridSpan w:val="6"/>
            <w:shd w:val="clear" w:color="auto" w:fill="auto"/>
            <w:noWrap/>
            <w:vAlign w:val="bottom"/>
          </w:tcPr>
          <w:p>
            <w:pPr>
              <w:widowControl/>
              <w:jc w:val="left"/>
              <w:rPr>
                <w:rFonts w:ascii="仿宋_GB2312" w:hAnsi="Times New Roman" w:eastAsia="仿宋_GB2312" w:cs="Times New Roman"/>
                <w:kern w:val="0"/>
                <w:szCs w:val="21"/>
              </w:rPr>
            </w:pPr>
            <w:r>
              <w:rPr>
                <w:rFonts w:hint="eastAsia" w:ascii="仿宋_GB2312" w:hAnsi="等线" w:eastAsia="仿宋_GB2312" w:cs="宋体"/>
                <w:color w:val="000000"/>
                <w:kern w:val="0"/>
                <w:szCs w:val="21"/>
              </w:rPr>
              <w:t>审核人:白永红、王恩泉</w:t>
            </w:r>
          </w:p>
        </w:tc>
      </w:tr>
    </w:tbl>
    <w:p>
      <w:r>
        <w:rPr>
          <w:rFonts w:hint="eastAsia"/>
        </w:rPr>
        <w:t>附件3：</w:t>
      </w:r>
    </w:p>
    <w:p>
      <w:pPr>
        <w:snapToGrid w:val="0"/>
        <w:spacing w:line="520" w:lineRule="exact"/>
        <w:jc w:val="left"/>
        <w:rPr>
          <w:rFonts w:ascii="仿宋" w:hAnsi="仿宋" w:eastAsia="仿宋"/>
          <w:sz w:val="28"/>
          <w:szCs w:val="28"/>
        </w:rPr>
      </w:pPr>
      <w:r>
        <w:rPr>
          <w:rFonts w:hint="eastAsia" w:ascii="仿宋" w:hAnsi="仿宋" w:eastAsia="仿宋"/>
          <w:sz w:val="28"/>
          <w:szCs w:val="28"/>
        </w:rPr>
        <w:t>3、项目概况与招标范围</w:t>
      </w:r>
    </w:p>
    <w:p>
      <w:pPr>
        <w:spacing w:line="520" w:lineRule="exact"/>
        <w:rPr>
          <w:rFonts w:ascii="仿宋" w:hAnsi="仿宋" w:eastAsia="仿宋"/>
          <w:sz w:val="28"/>
          <w:szCs w:val="28"/>
        </w:rPr>
      </w:pPr>
      <w:r>
        <w:rPr>
          <w:rFonts w:hint="eastAsia" w:ascii="仿宋" w:hAnsi="仿宋" w:eastAsia="仿宋"/>
          <w:sz w:val="28"/>
          <w:szCs w:val="28"/>
        </w:rPr>
        <w:t>3.1项目名称：甜菜二次倒运承包商采购方案</w:t>
      </w:r>
    </w:p>
    <w:p>
      <w:pPr>
        <w:spacing w:line="520" w:lineRule="exact"/>
        <w:rPr>
          <w:rFonts w:ascii="仿宋" w:hAnsi="仿宋" w:eastAsia="仿宋"/>
          <w:sz w:val="28"/>
          <w:szCs w:val="28"/>
        </w:rPr>
      </w:pPr>
      <w:r>
        <w:rPr>
          <w:rFonts w:hint="eastAsia" w:ascii="仿宋" w:hAnsi="仿宋" w:eastAsia="仿宋"/>
          <w:sz w:val="28"/>
          <w:szCs w:val="28"/>
        </w:rPr>
        <w:t xml:space="preserve">3.2采购清单及技术要求 </w:t>
      </w:r>
    </w:p>
    <w:tbl>
      <w:tblPr>
        <w:tblStyle w:val="8"/>
        <w:tblW w:w="0" w:type="auto"/>
        <w:tblInd w:w="0" w:type="dxa"/>
        <w:tblLayout w:type="fixed"/>
        <w:tblCellMar>
          <w:top w:w="0" w:type="dxa"/>
          <w:left w:w="108" w:type="dxa"/>
          <w:bottom w:w="0" w:type="dxa"/>
          <w:right w:w="108" w:type="dxa"/>
        </w:tblCellMar>
      </w:tblPr>
      <w:tblGrid>
        <w:gridCol w:w="450"/>
        <w:gridCol w:w="790"/>
        <w:gridCol w:w="1938"/>
        <w:gridCol w:w="546"/>
        <w:gridCol w:w="639"/>
        <w:gridCol w:w="2807"/>
        <w:gridCol w:w="885"/>
      </w:tblGrid>
      <w:tr>
        <w:tblPrEx>
          <w:tblCellMar>
            <w:top w:w="0" w:type="dxa"/>
            <w:left w:w="108" w:type="dxa"/>
            <w:bottom w:w="0" w:type="dxa"/>
            <w:right w:w="108" w:type="dxa"/>
          </w:tblCellMar>
        </w:tblPrEx>
        <w:trPr>
          <w:trHeight w:val="486" w:hRule="atLeast"/>
        </w:trPr>
        <w:tc>
          <w:tcPr>
            <w:tcW w:w="7170" w:type="dxa"/>
            <w:gridSpan w:val="6"/>
            <w:tcBorders>
              <w:top w:val="nil"/>
              <w:left w:val="nil"/>
              <w:bottom w:val="single" w:color="auto" w:sz="4" w:space="0"/>
              <w:right w:val="nil"/>
            </w:tcBorders>
            <w:shd w:val="clear" w:color="auto" w:fill="auto"/>
            <w:noWrap/>
            <w:vAlign w:val="center"/>
          </w:tcPr>
          <w:p>
            <w:pPr>
              <w:widowControl/>
              <w:jc w:val="center"/>
              <w:rPr>
                <w:rFonts w:ascii="仿宋_GB2312" w:hAnsi="宋体" w:eastAsia="仿宋_GB2312" w:cs="宋体"/>
                <w:b/>
                <w:bCs/>
                <w:kern w:val="0"/>
                <w:sz w:val="18"/>
                <w:szCs w:val="18"/>
              </w:rPr>
            </w:pP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设备清单</w:t>
            </w:r>
          </w:p>
        </w:tc>
        <w:tc>
          <w:tcPr>
            <w:tcW w:w="885" w:type="dxa"/>
            <w:tcBorders>
              <w:top w:val="nil"/>
              <w:left w:val="nil"/>
              <w:bottom w:val="single" w:color="auto" w:sz="4" w:space="0"/>
              <w:right w:val="nil"/>
            </w:tcBorders>
          </w:tcPr>
          <w:p>
            <w:pPr>
              <w:widowControl/>
              <w:jc w:val="center"/>
              <w:rPr>
                <w:rFonts w:ascii="仿宋_GB2312" w:hAnsi="宋体" w:eastAsia="仿宋_GB2312" w:cs="宋体"/>
                <w:b/>
                <w:bCs/>
                <w:kern w:val="0"/>
                <w:sz w:val="18"/>
                <w:szCs w:val="18"/>
              </w:rPr>
            </w:pPr>
          </w:p>
        </w:tc>
      </w:tr>
      <w:tr>
        <w:tblPrEx>
          <w:tblCellMar>
            <w:top w:w="0" w:type="dxa"/>
            <w:left w:w="108" w:type="dxa"/>
            <w:bottom w:w="0" w:type="dxa"/>
            <w:right w:w="108" w:type="dxa"/>
          </w:tblCellMar>
        </w:tblPrEx>
        <w:trPr>
          <w:trHeight w:val="392" w:hRule="atLeast"/>
        </w:trPr>
        <w:tc>
          <w:tcPr>
            <w:tcW w:w="4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序号</w:t>
            </w:r>
          </w:p>
        </w:tc>
        <w:tc>
          <w:tcPr>
            <w:tcW w:w="790" w:type="dxa"/>
            <w:tcBorders>
              <w:top w:val="nil"/>
              <w:left w:val="nil"/>
              <w:bottom w:val="single" w:color="auto" w:sz="4" w:space="0"/>
              <w:right w:val="single" w:color="auto" w:sz="4" w:space="0"/>
            </w:tcBorders>
            <w:shd w:val="clear" w:color="auto" w:fill="auto"/>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名称</w:t>
            </w:r>
          </w:p>
        </w:tc>
        <w:tc>
          <w:tcPr>
            <w:tcW w:w="193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型号</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单位</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数量</w:t>
            </w:r>
          </w:p>
        </w:tc>
        <w:tc>
          <w:tcPr>
            <w:tcW w:w="2807" w:type="dxa"/>
            <w:tcBorders>
              <w:top w:val="nil"/>
              <w:left w:val="nil"/>
              <w:bottom w:val="single" w:color="auto" w:sz="4" w:space="0"/>
              <w:right w:val="single" w:color="auto" w:sz="4" w:space="0"/>
            </w:tcBorders>
            <w:shd w:val="clear" w:color="auto" w:fill="auto"/>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设备要求</w:t>
            </w:r>
          </w:p>
        </w:tc>
        <w:tc>
          <w:tcPr>
            <w:tcW w:w="885" w:type="dxa"/>
            <w:tcBorders>
              <w:top w:val="nil"/>
              <w:left w:val="nil"/>
              <w:bottom w:val="single" w:color="auto" w:sz="4" w:space="0"/>
              <w:right w:val="single" w:color="auto" w:sz="4" w:space="0"/>
            </w:tcBorders>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备注</w:t>
            </w:r>
          </w:p>
        </w:tc>
      </w:tr>
      <w:tr>
        <w:tblPrEx>
          <w:tblCellMar>
            <w:top w:w="0" w:type="dxa"/>
            <w:left w:w="108" w:type="dxa"/>
            <w:bottom w:w="0" w:type="dxa"/>
            <w:right w:w="108" w:type="dxa"/>
          </w:tblCellMar>
        </w:tblPrEx>
        <w:trPr>
          <w:trHeight w:val="585" w:hRule="atLeast"/>
        </w:trPr>
        <w:tc>
          <w:tcPr>
            <w:tcW w:w="4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1</w:t>
            </w:r>
          </w:p>
        </w:tc>
        <w:tc>
          <w:tcPr>
            <w:tcW w:w="790"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kern w:val="0"/>
                <w:sz w:val="18"/>
                <w:szCs w:val="18"/>
              </w:rPr>
            </w:pPr>
            <w:r>
              <w:rPr>
                <w:rFonts w:hint="eastAsia" w:ascii="等线" w:hAnsi="宋体" w:eastAsia="等线" w:cs="宋体"/>
                <w:kern w:val="0"/>
                <w:sz w:val="18"/>
                <w:szCs w:val="18"/>
              </w:rPr>
              <w:t>铲车</w:t>
            </w:r>
          </w:p>
        </w:tc>
        <w:tc>
          <w:tcPr>
            <w:tcW w:w="193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kern w:val="0"/>
                <w:sz w:val="18"/>
                <w:szCs w:val="18"/>
              </w:rPr>
            </w:pPr>
            <w:r>
              <w:rPr>
                <w:rFonts w:hint="eastAsia" w:ascii="等线" w:hAnsi="宋体" w:eastAsia="等线" w:cs="宋体"/>
                <w:kern w:val="0"/>
                <w:sz w:val="18"/>
                <w:szCs w:val="18"/>
              </w:rPr>
              <w:t>福田雷沃PL955F</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台</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lang w:val="en-US" w:eastAsia="zh-CN"/>
              </w:rPr>
              <w:t>2-</w:t>
            </w:r>
            <w:r>
              <w:rPr>
                <w:rFonts w:hint="eastAsia" w:ascii="等线" w:hAnsi="宋体" w:eastAsia="等线" w:cs="宋体"/>
                <w:kern w:val="0"/>
                <w:sz w:val="18"/>
                <w:szCs w:val="18"/>
              </w:rPr>
              <w:t>3</w:t>
            </w:r>
          </w:p>
        </w:tc>
        <w:tc>
          <w:tcPr>
            <w:tcW w:w="2807"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kern w:val="0"/>
                <w:sz w:val="18"/>
                <w:szCs w:val="18"/>
              </w:rPr>
            </w:pPr>
            <w:r>
              <w:rPr>
                <w:rFonts w:hint="eastAsia" w:ascii="等线" w:hAnsi="宋体" w:eastAsia="等线" w:cs="宋体"/>
                <w:kern w:val="0"/>
                <w:sz w:val="18"/>
                <w:szCs w:val="18"/>
              </w:rPr>
              <w:t>对倒运过程中存在易损坏零配件充分考虑，并准备到位，及时更换，不影响运行。</w:t>
            </w:r>
          </w:p>
        </w:tc>
        <w:tc>
          <w:tcPr>
            <w:tcW w:w="885" w:type="dxa"/>
            <w:tcBorders>
              <w:top w:val="nil"/>
              <w:left w:val="nil"/>
              <w:bottom w:val="single" w:color="auto" w:sz="4" w:space="0"/>
              <w:right w:val="single" w:color="auto" w:sz="4" w:space="0"/>
            </w:tcBorders>
          </w:tcPr>
          <w:p>
            <w:pPr>
              <w:widowControl/>
              <w:jc w:val="left"/>
              <w:rPr>
                <w:rFonts w:ascii="等线" w:hAnsi="宋体" w:eastAsia="等线" w:cs="宋体"/>
                <w:kern w:val="0"/>
                <w:sz w:val="18"/>
                <w:szCs w:val="18"/>
              </w:rPr>
            </w:pPr>
          </w:p>
        </w:tc>
      </w:tr>
      <w:tr>
        <w:tblPrEx>
          <w:tblCellMar>
            <w:top w:w="0" w:type="dxa"/>
            <w:left w:w="108" w:type="dxa"/>
            <w:bottom w:w="0" w:type="dxa"/>
            <w:right w:w="108" w:type="dxa"/>
          </w:tblCellMar>
        </w:tblPrEx>
        <w:trPr>
          <w:trHeight w:val="453" w:hRule="atLeast"/>
        </w:trPr>
        <w:tc>
          <w:tcPr>
            <w:tcW w:w="4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2</w:t>
            </w:r>
          </w:p>
        </w:tc>
        <w:tc>
          <w:tcPr>
            <w:tcW w:w="790"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kern w:val="0"/>
                <w:sz w:val="18"/>
                <w:szCs w:val="18"/>
              </w:rPr>
            </w:pPr>
            <w:r>
              <w:rPr>
                <w:rFonts w:hint="eastAsia" w:ascii="等线" w:hAnsi="宋体" w:eastAsia="等线" w:cs="宋体"/>
                <w:kern w:val="0"/>
                <w:sz w:val="18"/>
                <w:szCs w:val="18"/>
              </w:rPr>
              <w:t>车辆</w:t>
            </w:r>
          </w:p>
        </w:tc>
        <w:tc>
          <w:tcPr>
            <w:tcW w:w="193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kern w:val="0"/>
                <w:sz w:val="18"/>
                <w:szCs w:val="18"/>
              </w:rPr>
            </w:pPr>
            <w:r>
              <w:rPr>
                <w:rFonts w:hint="eastAsia" w:ascii="等线" w:hAnsi="宋体" w:eastAsia="等线" w:cs="宋体"/>
                <w:kern w:val="0"/>
                <w:sz w:val="18"/>
                <w:szCs w:val="18"/>
              </w:rPr>
              <w:t>翻斗车</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rPr>
              <w:t>辆</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18"/>
                <w:szCs w:val="18"/>
              </w:rPr>
            </w:pPr>
            <w:r>
              <w:rPr>
                <w:rFonts w:hint="eastAsia" w:ascii="等线" w:hAnsi="宋体" w:eastAsia="等线" w:cs="宋体"/>
                <w:kern w:val="0"/>
                <w:sz w:val="18"/>
                <w:szCs w:val="18"/>
                <w:lang w:val="en-US" w:eastAsia="zh-CN"/>
              </w:rPr>
              <w:t>5</w:t>
            </w:r>
            <w:r>
              <w:rPr>
                <w:rFonts w:hint="eastAsia" w:ascii="等线" w:hAnsi="宋体" w:eastAsia="等线" w:cs="宋体"/>
                <w:kern w:val="0"/>
                <w:sz w:val="18"/>
                <w:szCs w:val="18"/>
              </w:rPr>
              <w:t>-8</w:t>
            </w:r>
          </w:p>
        </w:tc>
        <w:tc>
          <w:tcPr>
            <w:tcW w:w="2807"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kern w:val="0"/>
                <w:sz w:val="18"/>
                <w:szCs w:val="18"/>
              </w:rPr>
            </w:pPr>
            <w:r>
              <w:rPr>
                <w:rFonts w:hint="eastAsia" w:ascii="等线" w:hAnsi="宋体" w:eastAsia="等线" w:cs="宋体"/>
                <w:kern w:val="0"/>
                <w:sz w:val="18"/>
                <w:szCs w:val="18"/>
              </w:rPr>
              <w:t>对倒运过程中存在易损坏零配件充分考虑，并准备到位，及时更换，不影响运行。</w:t>
            </w:r>
          </w:p>
        </w:tc>
        <w:tc>
          <w:tcPr>
            <w:tcW w:w="885" w:type="dxa"/>
            <w:tcBorders>
              <w:top w:val="nil"/>
              <w:left w:val="nil"/>
              <w:bottom w:val="single" w:color="auto" w:sz="4" w:space="0"/>
              <w:right w:val="single" w:color="auto" w:sz="4" w:space="0"/>
            </w:tcBorders>
          </w:tcPr>
          <w:p>
            <w:pPr>
              <w:widowControl/>
              <w:jc w:val="left"/>
              <w:rPr>
                <w:rFonts w:ascii="等线" w:hAnsi="宋体" w:eastAsia="等线" w:cs="宋体"/>
                <w:kern w:val="0"/>
                <w:sz w:val="18"/>
                <w:szCs w:val="18"/>
              </w:rPr>
            </w:pPr>
          </w:p>
        </w:tc>
      </w:tr>
    </w:tbl>
    <w:p>
      <w:pPr>
        <w:spacing w:line="360" w:lineRule="auto"/>
        <w:rPr>
          <w:rFonts w:ascii="华文仿宋" w:hAnsi="华文仿宋" w:eastAsia="华文仿宋"/>
          <w:sz w:val="28"/>
          <w:szCs w:val="28"/>
        </w:rPr>
      </w:pPr>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0YjNhYTUyYWQ2NTNlYzMxNzNiMTJkZmQwN2RhMmMifQ=="/>
  </w:docVars>
  <w:rsids>
    <w:rsidRoot w:val="00A32BEA"/>
    <w:rsid w:val="000033E2"/>
    <w:rsid w:val="00004891"/>
    <w:rsid w:val="000159F0"/>
    <w:rsid w:val="00025295"/>
    <w:rsid w:val="000503E3"/>
    <w:rsid w:val="00061349"/>
    <w:rsid w:val="00063CD0"/>
    <w:rsid w:val="00072FC9"/>
    <w:rsid w:val="0008167D"/>
    <w:rsid w:val="000B6209"/>
    <w:rsid w:val="000F1DC1"/>
    <w:rsid w:val="0010002D"/>
    <w:rsid w:val="00110209"/>
    <w:rsid w:val="00110D85"/>
    <w:rsid w:val="001123C9"/>
    <w:rsid w:val="00113F86"/>
    <w:rsid w:val="001309BB"/>
    <w:rsid w:val="00142416"/>
    <w:rsid w:val="00143068"/>
    <w:rsid w:val="00160ADE"/>
    <w:rsid w:val="0016144C"/>
    <w:rsid w:val="001630C6"/>
    <w:rsid w:val="00165CC2"/>
    <w:rsid w:val="00166AB4"/>
    <w:rsid w:val="0016774A"/>
    <w:rsid w:val="00167AB3"/>
    <w:rsid w:val="001702B9"/>
    <w:rsid w:val="00195287"/>
    <w:rsid w:val="001A77F2"/>
    <w:rsid w:val="001B6A9B"/>
    <w:rsid w:val="001C1A7F"/>
    <w:rsid w:val="001C3F5D"/>
    <w:rsid w:val="001C6107"/>
    <w:rsid w:val="001F7FE6"/>
    <w:rsid w:val="0020169F"/>
    <w:rsid w:val="00202314"/>
    <w:rsid w:val="0020414D"/>
    <w:rsid w:val="00237FA9"/>
    <w:rsid w:val="002403DB"/>
    <w:rsid w:val="0024234A"/>
    <w:rsid w:val="002930AA"/>
    <w:rsid w:val="002A1D24"/>
    <w:rsid w:val="002B0EE3"/>
    <w:rsid w:val="002D5D9E"/>
    <w:rsid w:val="002D71ED"/>
    <w:rsid w:val="002F0E00"/>
    <w:rsid w:val="00300548"/>
    <w:rsid w:val="003007AD"/>
    <w:rsid w:val="00303EBD"/>
    <w:rsid w:val="003069E1"/>
    <w:rsid w:val="00316149"/>
    <w:rsid w:val="003301FC"/>
    <w:rsid w:val="00345B7E"/>
    <w:rsid w:val="0034748A"/>
    <w:rsid w:val="00347B4A"/>
    <w:rsid w:val="003544DB"/>
    <w:rsid w:val="00354630"/>
    <w:rsid w:val="00367FFE"/>
    <w:rsid w:val="00372F46"/>
    <w:rsid w:val="00380E44"/>
    <w:rsid w:val="0038664D"/>
    <w:rsid w:val="003904EF"/>
    <w:rsid w:val="003A46F3"/>
    <w:rsid w:val="003B0CDE"/>
    <w:rsid w:val="003B1541"/>
    <w:rsid w:val="003C54B3"/>
    <w:rsid w:val="003E0B2D"/>
    <w:rsid w:val="003F118B"/>
    <w:rsid w:val="003F1615"/>
    <w:rsid w:val="00417B4B"/>
    <w:rsid w:val="00423B3D"/>
    <w:rsid w:val="004305C4"/>
    <w:rsid w:val="0043310E"/>
    <w:rsid w:val="00437F65"/>
    <w:rsid w:val="004529B1"/>
    <w:rsid w:val="004555B5"/>
    <w:rsid w:val="0045735B"/>
    <w:rsid w:val="00457AAC"/>
    <w:rsid w:val="0046033D"/>
    <w:rsid w:val="00461D0D"/>
    <w:rsid w:val="00473133"/>
    <w:rsid w:val="00473E0F"/>
    <w:rsid w:val="0048010F"/>
    <w:rsid w:val="004859F0"/>
    <w:rsid w:val="00496C7A"/>
    <w:rsid w:val="004A1613"/>
    <w:rsid w:val="004C2611"/>
    <w:rsid w:val="004E01B1"/>
    <w:rsid w:val="004E0A82"/>
    <w:rsid w:val="004E73B5"/>
    <w:rsid w:val="005122C1"/>
    <w:rsid w:val="005239E8"/>
    <w:rsid w:val="00540135"/>
    <w:rsid w:val="00541523"/>
    <w:rsid w:val="00545697"/>
    <w:rsid w:val="00547B4B"/>
    <w:rsid w:val="005718E6"/>
    <w:rsid w:val="005765C3"/>
    <w:rsid w:val="00581399"/>
    <w:rsid w:val="00584B5F"/>
    <w:rsid w:val="00584CC3"/>
    <w:rsid w:val="005A1468"/>
    <w:rsid w:val="005A69A1"/>
    <w:rsid w:val="005B10F8"/>
    <w:rsid w:val="005C288A"/>
    <w:rsid w:val="005C3846"/>
    <w:rsid w:val="005D414C"/>
    <w:rsid w:val="005D79CA"/>
    <w:rsid w:val="005F4D2B"/>
    <w:rsid w:val="005F58CA"/>
    <w:rsid w:val="00603486"/>
    <w:rsid w:val="00614A10"/>
    <w:rsid w:val="00623672"/>
    <w:rsid w:val="00623AA6"/>
    <w:rsid w:val="00631258"/>
    <w:rsid w:val="00634990"/>
    <w:rsid w:val="0064027B"/>
    <w:rsid w:val="006456B7"/>
    <w:rsid w:val="006513CF"/>
    <w:rsid w:val="00656A69"/>
    <w:rsid w:val="00665F05"/>
    <w:rsid w:val="00675244"/>
    <w:rsid w:val="00682902"/>
    <w:rsid w:val="00684267"/>
    <w:rsid w:val="00694492"/>
    <w:rsid w:val="006A4DF2"/>
    <w:rsid w:val="006A642C"/>
    <w:rsid w:val="006B3B3D"/>
    <w:rsid w:val="006B4323"/>
    <w:rsid w:val="006C30D7"/>
    <w:rsid w:val="006C5EB0"/>
    <w:rsid w:val="006C77DF"/>
    <w:rsid w:val="006E55FB"/>
    <w:rsid w:val="006E595B"/>
    <w:rsid w:val="006F021C"/>
    <w:rsid w:val="006F3863"/>
    <w:rsid w:val="00707F5A"/>
    <w:rsid w:val="00752937"/>
    <w:rsid w:val="007651E2"/>
    <w:rsid w:val="00786278"/>
    <w:rsid w:val="00786B03"/>
    <w:rsid w:val="007A0188"/>
    <w:rsid w:val="007A1FC7"/>
    <w:rsid w:val="007A4796"/>
    <w:rsid w:val="007C730F"/>
    <w:rsid w:val="007E0D16"/>
    <w:rsid w:val="007F2C30"/>
    <w:rsid w:val="00814C5E"/>
    <w:rsid w:val="00835C01"/>
    <w:rsid w:val="00842CC4"/>
    <w:rsid w:val="00842DB3"/>
    <w:rsid w:val="0085010B"/>
    <w:rsid w:val="008706E1"/>
    <w:rsid w:val="00873581"/>
    <w:rsid w:val="00877B5D"/>
    <w:rsid w:val="008800EF"/>
    <w:rsid w:val="00895BFD"/>
    <w:rsid w:val="008A1593"/>
    <w:rsid w:val="008A657F"/>
    <w:rsid w:val="008C5E9B"/>
    <w:rsid w:val="008D07F1"/>
    <w:rsid w:val="008D2A07"/>
    <w:rsid w:val="008E097E"/>
    <w:rsid w:val="008F604F"/>
    <w:rsid w:val="00910065"/>
    <w:rsid w:val="009136F4"/>
    <w:rsid w:val="009464A0"/>
    <w:rsid w:val="009464F9"/>
    <w:rsid w:val="0094763E"/>
    <w:rsid w:val="00953EB1"/>
    <w:rsid w:val="00962E19"/>
    <w:rsid w:val="00973AE5"/>
    <w:rsid w:val="00990BB9"/>
    <w:rsid w:val="009C0272"/>
    <w:rsid w:val="009C2AC7"/>
    <w:rsid w:val="009D248A"/>
    <w:rsid w:val="009F0EB0"/>
    <w:rsid w:val="009F7D9E"/>
    <w:rsid w:val="00A132F7"/>
    <w:rsid w:val="00A311C2"/>
    <w:rsid w:val="00A32BEA"/>
    <w:rsid w:val="00A454E8"/>
    <w:rsid w:val="00A46045"/>
    <w:rsid w:val="00A642E7"/>
    <w:rsid w:val="00A65D97"/>
    <w:rsid w:val="00A743A2"/>
    <w:rsid w:val="00AD1F8A"/>
    <w:rsid w:val="00AE2900"/>
    <w:rsid w:val="00B046BB"/>
    <w:rsid w:val="00B162E2"/>
    <w:rsid w:val="00B44F52"/>
    <w:rsid w:val="00B51FE0"/>
    <w:rsid w:val="00B562A7"/>
    <w:rsid w:val="00B7038E"/>
    <w:rsid w:val="00B74A1C"/>
    <w:rsid w:val="00B867CE"/>
    <w:rsid w:val="00B91DA5"/>
    <w:rsid w:val="00B95140"/>
    <w:rsid w:val="00BA218F"/>
    <w:rsid w:val="00BA28F5"/>
    <w:rsid w:val="00BE141C"/>
    <w:rsid w:val="00BF0C6E"/>
    <w:rsid w:val="00BF7601"/>
    <w:rsid w:val="00C15A77"/>
    <w:rsid w:val="00C20331"/>
    <w:rsid w:val="00C260E1"/>
    <w:rsid w:val="00C579C2"/>
    <w:rsid w:val="00C737C4"/>
    <w:rsid w:val="00C8797C"/>
    <w:rsid w:val="00CB0693"/>
    <w:rsid w:val="00CE400C"/>
    <w:rsid w:val="00CF0B49"/>
    <w:rsid w:val="00D0702F"/>
    <w:rsid w:val="00D24A4E"/>
    <w:rsid w:val="00D331AA"/>
    <w:rsid w:val="00D43C55"/>
    <w:rsid w:val="00D544CA"/>
    <w:rsid w:val="00D55F0E"/>
    <w:rsid w:val="00D6779F"/>
    <w:rsid w:val="00D97CAF"/>
    <w:rsid w:val="00DD1C81"/>
    <w:rsid w:val="00DD2677"/>
    <w:rsid w:val="00DE42F6"/>
    <w:rsid w:val="00DF1127"/>
    <w:rsid w:val="00E31522"/>
    <w:rsid w:val="00E35D07"/>
    <w:rsid w:val="00E51976"/>
    <w:rsid w:val="00E622BC"/>
    <w:rsid w:val="00E64C94"/>
    <w:rsid w:val="00E7070F"/>
    <w:rsid w:val="00E753F6"/>
    <w:rsid w:val="00E76D68"/>
    <w:rsid w:val="00E77E31"/>
    <w:rsid w:val="00E85D1D"/>
    <w:rsid w:val="00E86AE4"/>
    <w:rsid w:val="00EB39B2"/>
    <w:rsid w:val="00EC03D7"/>
    <w:rsid w:val="00EC0805"/>
    <w:rsid w:val="00EF4626"/>
    <w:rsid w:val="00F11625"/>
    <w:rsid w:val="00F173F0"/>
    <w:rsid w:val="00F17EE5"/>
    <w:rsid w:val="00F2034B"/>
    <w:rsid w:val="00F26C7B"/>
    <w:rsid w:val="00F27583"/>
    <w:rsid w:val="00F34331"/>
    <w:rsid w:val="00F37BB9"/>
    <w:rsid w:val="00F50AFC"/>
    <w:rsid w:val="00FC0202"/>
    <w:rsid w:val="00FC129A"/>
    <w:rsid w:val="00FC4240"/>
    <w:rsid w:val="00FE59F9"/>
    <w:rsid w:val="1585667E"/>
    <w:rsid w:val="1B0F0EC3"/>
    <w:rsid w:val="248B41A2"/>
    <w:rsid w:val="24ED25E6"/>
    <w:rsid w:val="2A473576"/>
    <w:rsid w:val="30063B76"/>
    <w:rsid w:val="3C9161F9"/>
    <w:rsid w:val="40A35A86"/>
    <w:rsid w:val="449E3C6B"/>
    <w:rsid w:val="5C9C4363"/>
    <w:rsid w:val="70467DB0"/>
    <w:rsid w:val="75F556A5"/>
    <w:rsid w:val="777059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43"/>
    <w:uiPriority w:val="0"/>
    <w:rPr>
      <w:rFonts w:hint="eastAsia" w:ascii="宋体" w:hAnsi="Courier New" w:eastAsia="宋体" w:cs="Times New Roman"/>
      <w:szCs w:val="20"/>
    </w:rPr>
  </w:style>
  <w:style w:type="paragraph" w:styleId="4">
    <w:name w:val="Balloon Text"/>
    <w:basedOn w:val="1"/>
    <w:link w:val="44"/>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pPr>
    <w:rPr>
      <w:rFonts w:ascii="Calibri" w:hAnsi="Calibri" w:eastAsia="宋体" w:cs="宋体"/>
      <w:szCs w:val="24"/>
    </w:rPr>
  </w:style>
  <w:style w:type="character" w:styleId="10">
    <w:name w:val="Hyperlink"/>
    <w:basedOn w:val="9"/>
    <w:semiHidden/>
    <w:unhideWhenUsed/>
    <w:qFormat/>
    <w:uiPriority w:val="99"/>
    <w:rPr>
      <w:color w:val="0000FF"/>
      <w:u w:val="single"/>
    </w:rPr>
  </w:style>
  <w:style w:type="character" w:customStyle="1" w:styleId="11">
    <w:name w:val="标题 2 Char"/>
    <w:basedOn w:val="9"/>
    <w:link w:val="2"/>
    <w:semiHidden/>
    <w:qFormat/>
    <w:uiPriority w:val="9"/>
    <w:rPr>
      <w:rFonts w:asciiTheme="majorHAnsi" w:hAnsiTheme="majorHAnsi" w:eastAsiaTheme="majorEastAsia" w:cstheme="majorBidi"/>
      <w:b/>
      <w:bCs/>
      <w:sz w:val="32"/>
      <w:szCs w:val="32"/>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styleId="14">
    <w:name w:val="List Paragraph"/>
    <w:basedOn w:val="1"/>
    <w:link w:val="15"/>
    <w:qFormat/>
    <w:uiPriority w:val="0"/>
    <w:pPr>
      <w:ind w:firstLine="420" w:firstLineChars="200"/>
    </w:pPr>
  </w:style>
  <w:style w:type="character" w:customStyle="1" w:styleId="15">
    <w:name w:val="列出段落 Char"/>
    <w:link w:val="14"/>
    <w:qFormat/>
    <w:uiPriority w:val="0"/>
  </w:style>
  <w:style w:type="paragraph" w:customStyle="1" w:styleId="16">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9">
    <w:name w:val="font6"/>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20">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
    <w:name w:val="font8"/>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4">
    <w:name w:val="xl69"/>
    <w:basedOn w:val="1"/>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7">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xl7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6">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8">
    <w:name w:val="xl8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9">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0">
    <w:name w:val="xl85"/>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41">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43">
    <w:name w:val="纯文本 Char"/>
    <w:basedOn w:val="9"/>
    <w:link w:val="3"/>
    <w:uiPriority w:val="0"/>
    <w:rPr>
      <w:rFonts w:ascii="宋体" w:hAnsi="Courier New" w:eastAsia="宋体" w:cs="Times New Roman"/>
      <w:szCs w:val="20"/>
    </w:rPr>
  </w:style>
  <w:style w:type="character" w:customStyle="1" w:styleId="4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2B596-32FA-4599-A094-ABD389F7FF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862</Words>
  <Characters>917</Characters>
  <Lines>7</Lines>
  <Paragraphs>2</Paragraphs>
  <TotalTime>2</TotalTime>
  <ScaleCrop>false</ScaleCrop>
  <LinksUpToDate>false</LinksUpToDate>
  <CharactersWithSpaces>945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2021-08-18T09:41:00Z</dcterms:created>
  <dc:creator>Windows 用户</dc:creator>
  <cp:lastModifiedBy>Cassie</cp:lastModifiedBy>
  <dcterms:modified xsi:type="dcterms:W3CDTF">2023-09-14T09:39:53Z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8A4C65BFF01A4E539399492A107A582D</vt:lpwstr>
  </property>
</Properties>
</file>