
<file path=[Content_Types].xml><?xml version="1.0" encoding="utf-8"?>
<Types xmlns="http://schemas.openxmlformats.org/package/2006/content-types">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694"/>
        </w:tabs>
        <w:spacing w:line="360" w:lineRule="auto"/>
        <w:rPr>
          <w:rFonts w:asciiTheme="minorEastAsia" w:hAnsiTheme="minorEastAsia" w:eastAsiaTheme="minorEastAsia"/>
          <w:color w:val="auto"/>
          <w:sz w:val="56"/>
          <w:szCs w:val="56"/>
          <w:highlight w:val="none"/>
        </w:rPr>
      </w:pPr>
    </w:p>
    <w:p>
      <w:pPr>
        <w:spacing w:line="360" w:lineRule="auto"/>
        <w:rPr>
          <w:rFonts w:asciiTheme="minorEastAsia" w:hAnsiTheme="minorEastAsia" w:eastAsiaTheme="minorEastAsia"/>
          <w:color w:val="auto"/>
          <w:sz w:val="56"/>
          <w:szCs w:val="56"/>
          <w:highlight w:val="none"/>
        </w:rPr>
      </w:pPr>
    </w:p>
    <w:p>
      <w:pPr>
        <w:spacing w:line="360" w:lineRule="auto"/>
        <w:jc w:val="center"/>
        <w:rPr>
          <w:rFonts w:ascii="微软雅黑" w:hAnsi="微软雅黑" w:eastAsia="微软雅黑" w:cs="微软雅黑"/>
          <w:b/>
          <w:color w:val="auto"/>
          <w:sz w:val="56"/>
          <w:szCs w:val="56"/>
          <w:highlight w:val="none"/>
        </w:rPr>
      </w:pPr>
      <w:r>
        <w:rPr>
          <w:rFonts w:hint="eastAsia" w:ascii="微软雅黑" w:hAnsi="微软雅黑" w:eastAsia="微软雅黑" w:cs="微软雅黑"/>
          <w:b/>
          <w:color w:val="auto"/>
          <w:sz w:val="56"/>
          <w:szCs w:val="56"/>
          <w:highlight w:val="none"/>
        </w:rPr>
        <w:t>中粮糖业（漳州）有限公司</w:t>
      </w:r>
    </w:p>
    <w:p>
      <w:pPr>
        <w:jc w:val="center"/>
        <w:rPr>
          <w:rFonts w:ascii="微软雅黑" w:hAnsi="微软雅黑" w:eastAsia="微软雅黑" w:cs="微软雅黑"/>
          <w:b/>
          <w:color w:val="auto"/>
          <w:sz w:val="56"/>
          <w:szCs w:val="56"/>
          <w:highlight w:val="none"/>
        </w:rPr>
      </w:pPr>
      <w:r>
        <w:rPr>
          <w:rFonts w:hint="eastAsia" w:ascii="微软雅黑" w:hAnsi="微软雅黑" w:eastAsia="微软雅黑" w:cs="微软雅黑"/>
          <w:b/>
          <w:color w:val="auto"/>
          <w:sz w:val="56"/>
          <w:szCs w:val="56"/>
          <w:highlight w:val="none"/>
          <w:lang w:eastAsia="zh-CN"/>
        </w:rPr>
        <w:t>大门及其门禁管理系统</w:t>
      </w:r>
      <w:r>
        <w:rPr>
          <w:rFonts w:hint="eastAsia" w:ascii="微软雅黑" w:hAnsi="微软雅黑" w:eastAsia="微软雅黑" w:cs="微软雅黑"/>
          <w:b/>
          <w:color w:val="auto"/>
          <w:sz w:val="56"/>
          <w:szCs w:val="56"/>
          <w:highlight w:val="none"/>
        </w:rPr>
        <w:t>谈判</w:t>
      </w:r>
      <w:r>
        <w:rPr>
          <w:rFonts w:hint="eastAsia" w:ascii="微软雅黑" w:hAnsi="微软雅黑" w:eastAsia="微软雅黑" w:cs="微软雅黑"/>
          <w:b/>
          <w:color w:val="auto"/>
          <w:sz w:val="56"/>
          <w:szCs w:val="56"/>
          <w:highlight w:val="none"/>
          <w:lang w:val="en-US" w:eastAsia="zh-CN"/>
        </w:rPr>
        <w:t>采购</w:t>
      </w:r>
      <w:r>
        <w:rPr>
          <w:rFonts w:hint="eastAsia" w:ascii="微软雅黑" w:hAnsi="微软雅黑" w:eastAsia="微软雅黑" w:cs="微软雅黑"/>
          <w:b/>
          <w:color w:val="auto"/>
          <w:sz w:val="56"/>
          <w:szCs w:val="56"/>
          <w:highlight w:val="none"/>
        </w:rPr>
        <w:t>文件</w:t>
      </w:r>
    </w:p>
    <w:p>
      <w:pPr>
        <w:jc w:val="center"/>
        <w:rPr>
          <w:rFonts w:ascii="微软雅黑" w:hAnsi="微软雅黑" w:eastAsia="微软雅黑" w:cs="微软雅黑"/>
          <w:b/>
          <w:color w:val="auto"/>
          <w:sz w:val="52"/>
          <w:szCs w:val="52"/>
          <w:highlight w:val="none"/>
        </w:rPr>
      </w:pPr>
    </w:p>
    <w:p>
      <w:pPr>
        <w:jc w:val="center"/>
        <w:rPr>
          <w:rFonts w:cs="微软雅黑" w:asciiTheme="minorEastAsia" w:hAnsiTheme="minorEastAsia" w:eastAsiaTheme="minorEastAsia"/>
          <w:b/>
          <w:color w:val="auto"/>
          <w:sz w:val="52"/>
          <w:szCs w:val="52"/>
          <w:highlight w:val="none"/>
        </w:rPr>
      </w:pPr>
    </w:p>
    <w:p>
      <w:pPr>
        <w:spacing w:line="360" w:lineRule="auto"/>
        <w:rPr>
          <w:rFonts w:asciiTheme="minorEastAsia" w:hAnsiTheme="minorEastAsia" w:eastAsiaTheme="minorEastAsia"/>
          <w:color w:val="auto"/>
          <w:sz w:val="52"/>
          <w:szCs w:val="52"/>
          <w:highlight w:val="none"/>
        </w:rPr>
      </w:pPr>
    </w:p>
    <w:p>
      <w:pPr>
        <w:spacing w:line="360" w:lineRule="auto"/>
        <w:rPr>
          <w:rFonts w:asciiTheme="minorEastAsia" w:hAnsiTheme="minorEastAsia" w:eastAsiaTheme="minorEastAsia"/>
          <w:color w:val="auto"/>
          <w:sz w:val="52"/>
          <w:szCs w:val="52"/>
          <w:highlight w:val="none"/>
        </w:rPr>
      </w:pPr>
    </w:p>
    <w:p>
      <w:pPr>
        <w:spacing w:line="360" w:lineRule="auto"/>
        <w:rPr>
          <w:rFonts w:asciiTheme="minorEastAsia" w:hAnsiTheme="minorEastAsia" w:eastAsiaTheme="minorEastAsia"/>
          <w:color w:val="auto"/>
          <w:sz w:val="52"/>
          <w:szCs w:val="52"/>
          <w:highlight w:val="none"/>
        </w:rPr>
      </w:pPr>
    </w:p>
    <w:p>
      <w:pPr>
        <w:spacing w:line="360" w:lineRule="auto"/>
        <w:rPr>
          <w:rFonts w:asciiTheme="minorEastAsia" w:hAnsiTheme="minorEastAsia" w:eastAsiaTheme="minorEastAsia"/>
          <w:color w:val="auto"/>
          <w:sz w:val="52"/>
          <w:szCs w:val="52"/>
          <w:highlight w:val="none"/>
        </w:rPr>
      </w:pPr>
    </w:p>
    <w:p>
      <w:pPr>
        <w:jc w:val="center"/>
        <w:rPr>
          <w:rFonts w:cs="微软雅黑" w:asciiTheme="minorEastAsia" w:hAnsiTheme="minorEastAsia" w:eastAsiaTheme="minorEastAsia"/>
          <w:b/>
          <w:color w:val="auto"/>
          <w:sz w:val="52"/>
          <w:szCs w:val="52"/>
          <w:highlight w:val="none"/>
        </w:rPr>
      </w:pPr>
    </w:p>
    <w:p>
      <w:pPr>
        <w:rPr>
          <w:rFonts w:cs="微软雅黑" w:asciiTheme="minorEastAsia" w:hAnsiTheme="minorEastAsia" w:eastAsiaTheme="minorEastAsia"/>
          <w:color w:val="auto"/>
          <w:sz w:val="28"/>
          <w:highlight w:val="none"/>
        </w:rPr>
      </w:pPr>
    </w:p>
    <w:p>
      <w:pPr>
        <w:rPr>
          <w:rFonts w:cs="微软雅黑" w:asciiTheme="minorEastAsia" w:hAnsiTheme="minorEastAsia" w:eastAsiaTheme="minorEastAsia"/>
          <w:color w:val="auto"/>
          <w:sz w:val="28"/>
          <w:highlight w:val="none"/>
        </w:rPr>
      </w:pPr>
    </w:p>
    <w:p>
      <w:pPr>
        <w:spacing w:line="360" w:lineRule="auto"/>
        <w:jc w:val="center"/>
        <w:textAlignment w:val="top"/>
        <w:rPr>
          <w:rFonts w:ascii="微软雅黑" w:hAnsi="微软雅黑" w:eastAsia="微软雅黑" w:cs="微软雅黑"/>
          <w:b/>
          <w:color w:val="auto"/>
          <w:sz w:val="40"/>
          <w:szCs w:val="40"/>
          <w:highlight w:val="none"/>
        </w:rPr>
      </w:pPr>
      <w:r>
        <w:rPr>
          <w:rFonts w:hint="eastAsia" w:ascii="微软雅黑" w:hAnsi="微软雅黑" w:eastAsia="微软雅黑" w:cs="微软雅黑"/>
          <w:b/>
          <w:color w:val="auto"/>
          <w:sz w:val="40"/>
          <w:szCs w:val="40"/>
          <w:highlight w:val="none"/>
        </w:rPr>
        <w:t>中粮糖业（漳州）有限公司</w:t>
      </w:r>
    </w:p>
    <w:p>
      <w:pPr>
        <w:pStyle w:val="12"/>
        <w:jc w:val="center"/>
        <w:rPr>
          <w:rFonts w:asciiTheme="minorEastAsia" w:hAnsiTheme="minorEastAsia" w:eastAsiaTheme="minorEastAsia"/>
          <w:color w:val="auto"/>
          <w:highlight w:val="none"/>
        </w:rPr>
      </w:pPr>
      <w:r>
        <w:rPr>
          <w:rFonts w:ascii="微软雅黑" w:hAnsi="微软雅黑" w:eastAsia="微软雅黑" w:cs="微软雅黑"/>
          <w:b/>
          <w:color w:val="auto"/>
          <w:spacing w:val="40"/>
          <w:sz w:val="40"/>
          <w:szCs w:val="40"/>
          <w:highlight w:val="none"/>
        </w:rPr>
        <w:t>2023年</w:t>
      </w:r>
      <w:r>
        <w:rPr>
          <w:rFonts w:hint="eastAsia" w:ascii="微软雅黑" w:hAnsi="微软雅黑" w:eastAsia="微软雅黑" w:cs="微软雅黑"/>
          <w:b/>
          <w:color w:val="auto"/>
          <w:spacing w:val="40"/>
          <w:sz w:val="40"/>
          <w:szCs w:val="40"/>
          <w:highlight w:val="none"/>
          <w:lang w:val="en-US" w:eastAsia="zh-CN"/>
        </w:rPr>
        <w:t>10</w:t>
      </w:r>
      <w:r>
        <w:rPr>
          <w:rFonts w:ascii="微软雅黑" w:hAnsi="微软雅黑" w:eastAsia="微软雅黑" w:cs="微软雅黑"/>
          <w:b/>
          <w:color w:val="auto"/>
          <w:spacing w:val="40"/>
          <w:sz w:val="40"/>
          <w:szCs w:val="40"/>
          <w:highlight w:val="none"/>
        </w:rPr>
        <w:t>月</w:t>
      </w:r>
    </w:p>
    <w:p>
      <w:pPr>
        <w:rPr>
          <w:rFonts w:asciiTheme="minorEastAsia" w:hAnsiTheme="minorEastAsia" w:eastAsiaTheme="minorEastAsia"/>
          <w:color w:val="auto"/>
          <w:sz w:val="52"/>
          <w:szCs w:val="52"/>
          <w:highlight w:val="none"/>
        </w:rPr>
        <w:sectPr>
          <w:footerReference r:id="rId5" w:type="first"/>
          <w:footerReference r:id="rId3" w:type="default"/>
          <w:footerReference r:id="rId4" w:type="even"/>
          <w:pgSz w:w="11906" w:h="16838"/>
          <w:pgMar w:top="1440" w:right="1080" w:bottom="1440" w:left="1080" w:header="850" w:footer="992" w:gutter="0"/>
          <w:cols w:space="720" w:num="1"/>
          <w:docGrid w:linePitch="326" w:charSpace="0"/>
        </w:sectPr>
      </w:pPr>
    </w:p>
    <w:p>
      <w:pPr>
        <w:spacing w:line="360" w:lineRule="auto"/>
        <w:jc w:val="center"/>
        <w:rPr>
          <w:rFonts w:asciiTheme="minorEastAsia" w:hAnsiTheme="minorEastAsia" w:eastAsiaTheme="minorEastAsia"/>
          <w:color w:val="auto"/>
          <w:sz w:val="44"/>
          <w:szCs w:val="44"/>
          <w:highlight w:val="none"/>
        </w:rPr>
      </w:pPr>
      <w:r>
        <w:rPr>
          <w:rFonts w:hint="eastAsia" w:asciiTheme="minorEastAsia" w:hAnsiTheme="minorEastAsia" w:eastAsiaTheme="minorEastAsia"/>
          <w:color w:val="auto"/>
          <w:sz w:val="44"/>
          <w:szCs w:val="44"/>
          <w:highlight w:val="none"/>
        </w:rPr>
        <w:t>目</w:t>
      </w:r>
      <w:r>
        <w:rPr>
          <w:rFonts w:asciiTheme="minorEastAsia" w:hAnsiTheme="minorEastAsia" w:eastAsiaTheme="minorEastAsia"/>
          <w:color w:val="auto"/>
          <w:sz w:val="44"/>
          <w:szCs w:val="44"/>
          <w:highlight w:val="none"/>
        </w:rPr>
        <w:t xml:space="preserve"> </w:t>
      </w:r>
      <w:r>
        <w:rPr>
          <w:rFonts w:hint="eastAsia" w:asciiTheme="minorEastAsia" w:hAnsiTheme="minorEastAsia" w:eastAsiaTheme="minorEastAsia"/>
          <w:color w:val="auto"/>
          <w:sz w:val="44"/>
          <w:szCs w:val="44"/>
          <w:highlight w:val="none"/>
        </w:rPr>
        <w:t>录</w:t>
      </w:r>
    </w:p>
    <w:p>
      <w:pPr>
        <w:spacing w:line="360" w:lineRule="auto"/>
        <w:jc w:val="center"/>
        <w:rPr>
          <w:rFonts w:asciiTheme="minorEastAsia" w:hAnsiTheme="minorEastAsia" w:eastAsiaTheme="minorEastAsia"/>
          <w:color w:val="auto"/>
          <w:sz w:val="30"/>
          <w:szCs w:val="30"/>
          <w:highlight w:val="none"/>
        </w:rPr>
      </w:pPr>
    </w:p>
    <w:p>
      <w:pPr>
        <w:spacing w:line="720" w:lineRule="auto"/>
        <w:ind w:firstLine="3059" w:firstLineChars="956"/>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第一部分</w:t>
      </w:r>
      <w:r>
        <w:rPr>
          <w:rFonts w:asciiTheme="minorEastAsia" w:hAnsiTheme="minorEastAsia" w:eastAsiaTheme="minorEastAsia"/>
          <w:color w:val="auto"/>
          <w:sz w:val="32"/>
          <w:szCs w:val="32"/>
          <w:highlight w:val="none"/>
        </w:rPr>
        <w:t xml:space="preserve">  </w:t>
      </w:r>
      <w:r>
        <w:rPr>
          <w:rFonts w:hint="eastAsia" w:asciiTheme="minorEastAsia" w:hAnsiTheme="minorEastAsia" w:eastAsiaTheme="minorEastAsia"/>
          <w:color w:val="auto"/>
          <w:sz w:val="32"/>
          <w:szCs w:val="32"/>
          <w:highlight w:val="none"/>
        </w:rPr>
        <w:t>项目公告</w:t>
      </w:r>
    </w:p>
    <w:p>
      <w:pPr>
        <w:spacing w:line="720" w:lineRule="auto"/>
        <w:ind w:firstLine="3059" w:firstLineChars="956"/>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第二部分</w:t>
      </w:r>
      <w:r>
        <w:rPr>
          <w:rFonts w:asciiTheme="minorEastAsia" w:hAnsiTheme="minorEastAsia" w:eastAsiaTheme="minorEastAsia"/>
          <w:color w:val="auto"/>
          <w:sz w:val="32"/>
          <w:szCs w:val="32"/>
          <w:highlight w:val="none"/>
        </w:rPr>
        <w:t xml:space="preserve">  </w:t>
      </w:r>
      <w:r>
        <w:rPr>
          <w:rFonts w:hint="eastAsia" w:asciiTheme="minorEastAsia" w:hAnsiTheme="minorEastAsia" w:eastAsiaTheme="minorEastAsia"/>
          <w:color w:val="auto"/>
          <w:sz w:val="32"/>
          <w:szCs w:val="32"/>
          <w:highlight w:val="none"/>
        </w:rPr>
        <w:t>谈判须知</w:t>
      </w:r>
    </w:p>
    <w:p>
      <w:pPr>
        <w:spacing w:line="720" w:lineRule="auto"/>
        <w:ind w:firstLine="3059" w:firstLineChars="956"/>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第三部分</w:t>
      </w:r>
      <w:r>
        <w:rPr>
          <w:rFonts w:asciiTheme="minorEastAsia" w:hAnsiTheme="minorEastAsia" w:eastAsiaTheme="minorEastAsia"/>
          <w:color w:val="auto"/>
          <w:sz w:val="32"/>
          <w:szCs w:val="32"/>
          <w:highlight w:val="none"/>
        </w:rPr>
        <w:t xml:space="preserve">  </w:t>
      </w:r>
      <w:r>
        <w:rPr>
          <w:rFonts w:hint="eastAsia" w:asciiTheme="minorEastAsia" w:hAnsiTheme="minorEastAsia" w:eastAsiaTheme="minorEastAsia"/>
          <w:color w:val="auto"/>
          <w:sz w:val="32"/>
          <w:szCs w:val="32"/>
          <w:highlight w:val="none"/>
        </w:rPr>
        <w:t>项目内容和要求</w:t>
      </w:r>
    </w:p>
    <w:p>
      <w:pPr>
        <w:spacing w:line="720" w:lineRule="auto"/>
        <w:ind w:firstLine="3059" w:firstLineChars="956"/>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第四部分</w:t>
      </w:r>
      <w:r>
        <w:rPr>
          <w:rFonts w:asciiTheme="minorEastAsia" w:hAnsiTheme="minorEastAsia" w:eastAsiaTheme="minorEastAsia"/>
          <w:color w:val="auto"/>
          <w:sz w:val="32"/>
          <w:szCs w:val="32"/>
          <w:highlight w:val="none"/>
        </w:rPr>
        <w:t xml:space="preserve">  </w:t>
      </w:r>
      <w:r>
        <w:rPr>
          <w:rFonts w:hint="eastAsia" w:asciiTheme="minorEastAsia" w:hAnsiTheme="minorEastAsia" w:eastAsiaTheme="minorEastAsia"/>
          <w:color w:val="auto"/>
          <w:sz w:val="32"/>
          <w:szCs w:val="32"/>
          <w:highlight w:val="none"/>
        </w:rPr>
        <w:t>合同样本</w:t>
      </w:r>
    </w:p>
    <w:p>
      <w:pPr>
        <w:spacing w:line="720" w:lineRule="auto"/>
        <w:ind w:firstLine="3059" w:firstLineChars="956"/>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第五部分</w:t>
      </w:r>
      <w:r>
        <w:rPr>
          <w:rFonts w:asciiTheme="minorEastAsia" w:hAnsiTheme="minorEastAsia" w:eastAsiaTheme="minorEastAsia"/>
          <w:color w:val="auto"/>
          <w:sz w:val="32"/>
          <w:szCs w:val="32"/>
          <w:highlight w:val="none"/>
        </w:rPr>
        <w:t xml:space="preserve">  </w:t>
      </w:r>
      <w:r>
        <w:rPr>
          <w:rFonts w:hint="eastAsia" w:asciiTheme="minorEastAsia" w:hAnsiTheme="minorEastAsia" w:eastAsiaTheme="minorEastAsia"/>
          <w:color w:val="auto"/>
          <w:sz w:val="32"/>
          <w:szCs w:val="32"/>
          <w:highlight w:val="none"/>
        </w:rPr>
        <w:t>响应文件格式</w:t>
      </w:r>
    </w:p>
    <w:p>
      <w:pPr>
        <w:spacing w:line="720" w:lineRule="auto"/>
        <w:ind w:firstLine="3059" w:firstLineChars="956"/>
        <w:rPr>
          <w:rFonts w:asciiTheme="minorEastAsia" w:hAnsiTheme="minorEastAsia" w:eastAsiaTheme="minorEastAsia"/>
          <w:color w:val="auto"/>
          <w:sz w:val="32"/>
          <w:szCs w:val="32"/>
          <w:highlight w:val="none"/>
        </w:rPr>
      </w:pPr>
      <w:r>
        <w:rPr>
          <w:rFonts w:hint="eastAsia" w:asciiTheme="minorEastAsia" w:hAnsiTheme="minorEastAsia" w:eastAsiaTheme="minorEastAsia"/>
          <w:color w:val="auto"/>
          <w:sz w:val="32"/>
          <w:szCs w:val="32"/>
          <w:highlight w:val="none"/>
        </w:rPr>
        <w:t>第六部分</w:t>
      </w:r>
      <w:r>
        <w:rPr>
          <w:rFonts w:asciiTheme="minorEastAsia" w:hAnsiTheme="minorEastAsia" w:eastAsiaTheme="minorEastAsia"/>
          <w:color w:val="auto"/>
          <w:sz w:val="32"/>
          <w:szCs w:val="32"/>
          <w:highlight w:val="none"/>
        </w:rPr>
        <w:t xml:space="preserve">  </w:t>
      </w:r>
      <w:r>
        <w:rPr>
          <w:rFonts w:hint="eastAsia" w:asciiTheme="minorEastAsia" w:hAnsiTheme="minorEastAsia" w:eastAsiaTheme="minorEastAsia"/>
          <w:color w:val="auto"/>
          <w:sz w:val="32"/>
          <w:szCs w:val="32"/>
          <w:highlight w:val="none"/>
        </w:rPr>
        <w:t>评分标准</w:t>
      </w:r>
    </w:p>
    <w:p>
      <w:pPr>
        <w:spacing w:line="360" w:lineRule="auto"/>
        <w:ind w:firstLine="640" w:firstLineChars="200"/>
        <w:rPr>
          <w:rFonts w:asciiTheme="minorEastAsia" w:hAnsiTheme="minorEastAsia" w:eastAsiaTheme="minorEastAsia"/>
          <w:color w:val="auto"/>
          <w:sz w:val="32"/>
          <w:szCs w:val="32"/>
          <w:highlight w:val="none"/>
        </w:rPr>
      </w:pPr>
    </w:p>
    <w:p>
      <w:pPr>
        <w:spacing w:line="360" w:lineRule="auto"/>
        <w:ind w:firstLine="640" w:firstLineChars="200"/>
        <w:rPr>
          <w:rFonts w:asciiTheme="minorEastAsia" w:hAnsiTheme="minorEastAsia" w:eastAsiaTheme="minorEastAsia"/>
          <w:color w:val="auto"/>
          <w:sz w:val="32"/>
          <w:szCs w:val="32"/>
          <w:highlight w:val="none"/>
        </w:rPr>
      </w:pPr>
    </w:p>
    <w:p>
      <w:pPr>
        <w:spacing w:line="360" w:lineRule="auto"/>
        <w:ind w:firstLine="600" w:firstLineChars="200"/>
        <w:rPr>
          <w:rFonts w:asciiTheme="minorEastAsia" w:hAnsiTheme="minorEastAsia" w:eastAsiaTheme="minorEastAsia"/>
          <w:color w:val="auto"/>
          <w:sz w:val="30"/>
          <w:szCs w:val="30"/>
          <w:highlight w:val="none"/>
        </w:rPr>
      </w:pPr>
    </w:p>
    <w:p>
      <w:pPr>
        <w:spacing w:line="360" w:lineRule="auto"/>
        <w:ind w:firstLine="600" w:firstLineChars="200"/>
        <w:rPr>
          <w:rFonts w:asciiTheme="minorEastAsia" w:hAnsiTheme="minorEastAsia" w:eastAsiaTheme="minorEastAsia"/>
          <w:color w:val="auto"/>
          <w:sz w:val="30"/>
          <w:szCs w:val="30"/>
          <w:highlight w:val="none"/>
        </w:rPr>
      </w:pPr>
    </w:p>
    <w:p>
      <w:pPr>
        <w:spacing w:line="360" w:lineRule="auto"/>
        <w:ind w:firstLine="600" w:firstLineChars="200"/>
        <w:rPr>
          <w:rFonts w:asciiTheme="minorEastAsia" w:hAnsiTheme="minorEastAsia" w:eastAsiaTheme="minorEastAsia"/>
          <w:color w:val="auto"/>
          <w:sz w:val="30"/>
          <w:szCs w:val="30"/>
          <w:highlight w:val="none"/>
        </w:rPr>
      </w:pPr>
    </w:p>
    <w:p>
      <w:pPr>
        <w:spacing w:line="360" w:lineRule="auto"/>
        <w:ind w:firstLine="600" w:firstLineChars="200"/>
        <w:rPr>
          <w:rFonts w:asciiTheme="minorEastAsia" w:hAnsiTheme="minorEastAsia" w:eastAsiaTheme="minorEastAsia"/>
          <w:color w:val="auto"/>
          <w:sz w:val="30"/>
          <w:szCs w:val="30"/>
          <w:highlight w:val="none"/>
        </w:rPr>
      </w:pPr>
    </w:p>
    <w:p>
      <w:pPr>
        <w:pStyle w:val="2"/>
        <w:spacing w:line="240" w:lineRule="auto"/>
        <w:rPr>
          <w:rFonts w:asciiTheme="minorEastAsia" w:hAnsiTheme="minorEastAsia" w:eastAsiaTheme="minorEastAsia"/>
          <w:color w:val="auto"/>
          <w:sz w:val="36"/>
          <w:szCs w:val="36"/>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jc w:val="center"/>
        <w:outlineLvl w:val="0"/>
        <w:rPr>
          <w:rFonts w:asciiTheme="minorEastAsia" w:hAnsiTheme="minorEastAsia" w:eastAsiaTheme="minorEastAsia"/>
          <w:b/>
          <w:color w:val="auto"/>
          <w:sz w:val="44"/>
          <w:szCs w:val="44"/>
          <w:highlight w:val="none"/>
        </w:rPr>
      </w:pPr>
      <w:r>
        <w:rPr>
          <w:rFonts w:hint="eastAsia" w:asciiTheme="minorEastAsia" w:hAnsiTheme="minorEastAsia" w:eastAsiaTheme="minorEastAsia"/>
          <w:b/>
          <w:color w:val="auto"/>
          <w:sz w:val="44"/>
          <w:szCs w:val="44"/>
          <w:highlight w:val="none"/>
        </w:rPr>
        <w:t>第一部分</w:t>
      </w:r>
      <w:r>
        <w:rPr>
          <w:rFonts w:asciiTheme="minorEastAsia" w:hAnsiTheme="minorEastAsia" w:eastAsiaTheme="minorEastAsia"/>
          <w:b/>
          <w:color w:val="auto"/>
          <w:sz w:val="44"/>
          <w:szCs w:val="44"/>
          <w:highlight w:val="none"/>
        </w:rPr>
        <w:t xml:space="preserve"> </w:t>
      </w:r>
      <w:r>
        <w:rPr>
          <w:rFonts w:hint="eastAsia" w:asciiTheme="minorEastAsia" w:hAnsiTheme="minorEastAsia" w:eastAsiaTheme="minorEastAsia"/>
          <w:b/>
          <w:color w:val="auto"/>
          <w:sz w:val="44"/>
          <w:szCs w:val="44"/>
          <w:highlight w:val="none"/>
        </w:rPr>
        <w:t>项目公告</w:t>
      </w:r>
    </w:p>
    <w:p>
      <w:pPr>
        <w:rPr>
          <w:color w:val="auto"/>
          <w:highlight w:val="none"/>
        </w:rPr>
      </w:pPr>
    </w:p>
    <w:p>
      <w:pPr>
        <w:spacing w:line="520" w:lineRule="exact"/>
        <w:ind w:firstLine="482" w:firstLineChars="200"/>
        <w:rPr>
          <w:rFonts w:cs="MS Gothic" w:asciiTheme="minorEastAsia" w:hAnsiTheme="minorEastAsia" w:eastAsiaTheme="minorEastAsia"/>
          <w:b/>
          <w:bCs/>
          <w:color w:val="auto"/>
          <w:sz w:val="24"/>
          <w:highlight w:val="none"/>
        </w:rPr>
      </w:pPr>
      <w:r>
        <w:rPr>
          <w:rFonts w:hint="eastAsia" w:cs="MS Gothic" w:asciiTheme="minorEastAsia" w:hAnsiTheme="minorEastAsia" w:eastAsiaTheme="minorEastAsia"/>
          <w:b/>
          <w:bCs/>
          <w:color w:val="auto"/>
          <w:sz w:val="24"/>
          <w:highlight w:val="none"/>
        </w:rPr>
        <w:t>一、项目概况</w:t>
      </w:r>
    </w:p>
    <w:p>
      <w:pPr>
        <w:spacing w:line="520" w:lineRule="exact"/>
        <w:ind w:firstLine="480" w:firstLineChars="200"/>
        <w:rPr>
          <w:rFonts w:cs="MS Gothic" w:asciiTheme="minorEastAsia" w:hAnsiTheme="minorEastAsia" w:eastAsiaTheme="minorEastAsia"/>
          <w:color w:val="auto"/>
          <w:sz w:val="24"/>
          <w:highlight w:val="none"/>
        </w:rPr>
      </w:pPr>
      <w:r>
        <w:rPr>
          <w:rFonts w:hint="eastAsia" w:cs="MS Gothic" w:asciiTheme="minorEastAsia" w:hAnsiTheme="minorEastAsia" w:eastAsiaTheme="minorEastAsia"/>
          <w:color w:val="auto"/>
          <w:sz w:val="24"/>
          <w:highlight w:val="none"/>
        </w:rPr>
        <w:t>本采购项目为中粮糖业（漳州）有限公司</w:t>
      </w:r>
      <w:r>
        <w:rPr>
          <w:rFonts w:cs="MS Gothic" w:asciiTheme="minorEastAsia" w:hAnsiTheme="minorEastAsia" w:eastAsiaTheme="minorEastAsia"/>
          <w:color w:val="auto"/>
          <w:sz w:val="24"/>
          <w:highlight w:val="none"/>
        </w:rPr>
        <w:t>35万吨/年精炼糖及15万吨/年糖类食品原材料加工项目</w:t>
      </w:r>
      <w:r>
        <w:rPr>
          <w:rFonts w:hint="eastAsia" w:cs="MS Gothic" w:asciiTheme="minorEastAsia" w:hAnsiTheme="minorEastAsia" w:eastAsiaTheme="minorEastAsia"/>
          <w:color w:val="auto"/>
          <w:sz w:val="24"/>
          <w:highlight w:val="none"/>
          <w:lang w:eastAsia="zh-CN"/>
        </w:rPr>
        <w:t>大门及其门禁管理系统</w:t>
      </w:r>
      <w:r>
        <w:rPr>
          <w:rFonts w:cs="MS Gothic" w:asciiTheme="minorEastAsia" w:hAnsiTheme="minorEastAsia" w:eastAsiaTheme="minorEastAsia"/>
          <w:color w:val="auto"/>
          <w:sz w:val="24"/>
          <w:highlight w:val="none"/>
        </w:rPr>
        <w:t>采购项目，</w:t>
      </w:r>
      <w:r>
        <w:rPr>
          <w:rFonts w:hint="eastAsia" w:cs="MS Gothic" w:asciiTheme="minorEastAsia" w:hAnsiTheme="minorEastAsia" w:eastAsiaTheme="minorEastAsia"/>
          <w:color w:val="auto"/>
          <w:sz w:val="24"/>
          <w:highlight w:val="none"/>
        </w:rPr>
        <w:t>采购人为中粮糖业（漳州）有限公司</w:t>
      </w:r>
      <w:r>
        <w:rPr>
          <w:rFonts w:hint="eastAsia" w:cs="Arial" w:asciiTheme="minorEastAsia" w:hAnsiTheme="minorEastAsia" w:eastAsiaTheme="minorEastAsia"/>
          <w:color w:val="auto"/>
          <w:sz w:val="24"/>
          <w:highlight w:val="none"/>
        </w:rPr>
        <w:t>（简称漳州糖业）</w:t>
      </w:r>
      <w:r>
        <w:rPr>
          <w:rFonts w:hint="eastAsia" w:cs="MS Gothic" w:asciiTheme="minorEastAsia" w:hAnsiTheme="minorEastAsia" w:eastAsiaTheme="minorEastAsia"/>
          <w:color w:val="auto"/>
          <w:sz w:val="24"/>
          <w:highlight w:val="none"/>
        </w:rPr>
        <w:t>；项目资金来源为自筹。该项目已具备谈判采购条件。</w:t>
      </w:r>
    </w:p>
    <w:p>
      <w:pPr>
        <w:spacing w:line="520" w:lineRule="exact"/>
        <w:ind w:firstLine="482" w:firstLineChars="200"/>
        <w:rPr>
          <w:rFonts w:cs="宋体" w:asciiTheme="minorEastAsia" w:hAnsiTheme="minorEastAsia" w:eastAsiaTheme="minorEastAsia"/>
          <w:color w:val="auto"/>
          <w:kern w:val="0"/>
          <w:sz w:val="24"/>
          <w:highlight w:val="none"/>
          <w:lang w:bidi="ar"/>
        </w:rPr>
      </w:pPr>
      <w:r>
        <w:rPr>
          <w:rFonts w:hint="eastAsia" w:cs="MS Gothic" w:asciiTheme="minorEastAsia" w:hAnsiTheme="minorEastAsia" w:eastAsiaTheme="minorEastAsia"/>
          <w:b/>
          <w:bCs/>
          <w:color w:val="auto"/>
          <w:sz w:val="24"/>
          <w:highlight w:val="none"/>
        </w:rPr>
        <w:t>二、项目名称：</w:t>
      </w:r>
      <w:r>
        <w:rPr>
          <w:rFonts w:hint="eastAsia" w:cs="MS Gothic" w:asciiTheme="minorEastAsia" w:hAnsiTheme="minorEastAsia" w:eastAsiaTheme="minorEastAsia"/>
          <w:color w:val="auto"/>
          <w:sz w:val="24"/>
          <w:highlight w:val="none"/>
        </w:rPr>
        <w:t>中粮糖业（漳州）有限公司</w:t>
      </w:r>
      <w:r>
        <w:rPr>
          <w:rFonts w:cs="MS Gothic" w:asciiTheme="minorEastAsia" w:hAnsiTheme="minorEastAsia" w:eastAsiaTheme="minorEastAsia"/>
          <w:color w:val="auto"/>
          <w:sz w:val="24"/>
          <w:highlight w:val="none"/>
        </w:rPr>
        <w:t>35万吨/年精炼糖及15万吨/年糖类食品原材料加工项目</w:t>
      </w:r>
      <w:r>
        <w:rPr>
          <w:rFonts w:hint="eastAsia" w:cs="MS Gothic" w:asciiTheme="minorEastAsia" w:hAnsiTheme="minorEastAsia" w:eastAsiaTheme="minorEastAsia"/>
          <w:color w:val="auto"/>
          <w:sz w:val="24"/>
          <w:highlight w:val="none"/>
          <w:lang w:eastAsia="zh-CN"/>
        </w:rPr>
        <w:t>大门及其门禁管理系统</w:t>
      </w:r>
      <w:r>
        <w:rPr>
          <w:rFonts w:cs="MS Gothic" w:asciiTheme="minorEastAsia" w:hAnsiTheme="minorEastAsia" w:eastAsiaTheme="minorEastAsia"/>
          <w:color w:val="auto"/>
          <w:sz w:val="24"/>
          <w:highlight w:val="none"/>
        </w:rPr>
        <w:t>采购</w:t>
      </w:r>
    </w:p>
    <w:p>
      <w:pPr>
        <w:spacing w:line="520" w:lineRule="exact"/>
        <w:ind w:firstLine="482" w:firstLineChars="200"/>
        <w:rPr>
          <w:rFonts w:cs="MS Gothic" w:asciiTheme="minorEastAsia" w:hAnsiTheme="minorEastAsia" w:eastAsiaTheme="minorEastAsia"/>
          <w:b/>
          <w:bCs/>
          <w:color w:val="auto"/>
          <w:sz w:val="24"/>
          <w:highlight w:val="none"/>
        </w:rPr>
      </w:pPr>
      <w:r>
        <w:rPr>
          <w:rFonts w:cs="MS Gothic" w:asciiTheme="minorEastAsia" w:hAnsiTheme="minorEastAsia" w:eastAsiaTheme="minorEastAsia"/>
          <w:b/>
          <w:bCs/>
          <w:color w:val="auto"/>
          <w:sz w:val="24"/>
          <w:highlight w:val="none"/>
        </w:rPr>
        <w:t>三</w:t>
      </w:r>
      <w:r>
        <w:rPr>
          <w:rFonts w:hint="eastAsia" w:cs="MS Gothic" w:asciiTheme="minorEastAsia" w:hAnsiTheme="minorEastAsia" w:eastAsiaTheme="minorEastAsia"/>
          <w:b/>
          <w:bCs/>
          <w:color w:val="auto"/>
          <w:sz w:val="24"/>
          <w:highlight w:val="none"/>
        </w:rPr>
        <w:t>、采购内容</w:t>
      </w:r>
    </w:p>
    <w:p>
      <w:pPr>
        <w:spacing w:line="520" w:lineRule="exact"/>
        <w:ind w:firstLine="482" w:firstLineChars="200"/>
        <w:rPr>
          <w:rFonts w:cs="Arial" w:asciiTheme="minorEastAsia" w:hAnsiTheme="minorEastAsia" w:eastAsiaTheme="minorEastAsia"/>
          <w:color w:val="auto"/>
          <w:sz w:val="24"/>
          <w:highlight w:val="none"/>
        </w:rPr>
      </w:pPr>
      <w:r>
        <w:rPr>
          <w:rFonts w:cs="Arial" w:asciiTheme="minorEastAsia" w:hAnsiTheme="minorEastAsia" w:eastAsiaTheme="minorEastAsia"/>
          <w:b/>
          <w:color w:val="auto"/>
          <w:sz w:val="24"/>
          <w:highlight w:val="none"/>
        </w:rPr>
        <w:t>1．采购方：</w:t>
      </w:r>
      <w:r>
        <w:rPr>
          <w:rFonts w:hint="eastAsia" w:cs="MS Gothic" w:asciiTheme="minorEastAsia" w:hAnsiTheme="minorEastAsia" w:eastAsiaTheme="minorEastAsia"/>
          <w:color w:val="auto"/>
          <w:sz w:val="24"/>
          <w:highlight w:val="none"/>
        </w:rPr>
        <w:t>中粮糖业（漳州）有限公司（简称漳州糖业）；</w:t>
      </w:r>
    </w:p>
    <w:p>
      <w:pPr>
        <w:spacing w:line="520" w:lineRule="exact"/>
        <w:ind w:firstLine="482" w:firstLineChars="200"/>
        <w:rPr>
          <w:rFonts w:cs="Arial" w:asciiTheme="minorEastAsia" w:hAnsiTheme="minorEastAsia" w:eastAsiaTheme="minorEastAsia"/>
          <w:color w:val="auto"/>
          <w:sz w:val="24"/>
          <w:highlight w:val="none"/>
        </w:rPr>
      </w:pPr>
      <w:r>
        <w:rPr>
          <w:rFonts w:cs="Arial" w:asciiTheme="minorEastAsia" w:hAnsiTheme="minorEastAsia" w:eastAsiaTheme="minorEastAsia"/>
          <w:b/>
          <w:color w:val="auto"/>
          <w:sz w:val="24"/>
          <w:highlight w:val="none"/>
        </w:rPr>
        <w:t>2</w:t>
      </w:r>
      <w:r>
        <w:rPr>
          <w:rFonts w:hint="eastAsia" w:cs="Arial" w:asciiTheme="minorEastAsia" w:hAnsiTheme="minorEastAsia" w:eastAsiaTheme="minorEastAsia"/>
          <w:b/>
          <w:color w:val="auto"/>
          <w:sz w:val="24"/>
          <w:highlight w:val="none"/>
        </w:rPr>
        <w:t>．采购项目内容：</w:t>
      </w:r>
      <w:r>
        <w:rPr>
          <w:rFonts w:hint="eastAsia" w:cs="MS Gothic" w:asciiTheme="minorEastAsia" w:hAnsiTheme="minorEastAsia" w:eastAsiaTheme="minorEastAsia"/>
          <w:color w:val="auto"/>
          <w:sz w:val="24"/>
          <w:highlight w:val="none"/>
          <w:lang w:eastAsia="zh-CN"/>
        </w:rPr>
        <w:t>大门及其门禁管理系统</w:t>
      </w:r>
      <w:r>
        <w:rPr>
          <w:rFonts w:hint="eastAsia" w:cs="MS Gothic" w:asciiTheme="minorEastAsia" w:hAnsiTheme="minorEastAsia" w:eastAsiaTheme="minorEastAsia"/>
          <w:color w:val="auto"/>
          <w:sz w:val="24"/>
          <w:highlight w:val="none"/>
        </w:rPr>
        <w:t>系统设备，包括但不限于对开空降道闸、翼闸、电动铝合金小门、电动悬浮门、单杆道闸、人脸识别系统、车牌识别系统、电脑主机、电源线、网线等设备供货、安装、调试、装卸、运输、检验和验收及及相关防疫政策影响所需采取的必要措施等，涉及对采购人大门门洞改造由供应商负责，改造方案需经采购人同意，采用的标准规范及技术要求详见第二章项目采购需求。</w:t>
      </w:r>
    </w:p>
    <w:p>
      <w:pPr>
        <w:spacing w:line="520" w:lineRule="exact"/>
        <w:ind w:firstLine="482" w:firstLineChars="200"/>
        <w:rPr>
          <w:rFonts w:asciiTheme="minorEastAsia" w:hAnsiTheme="minorEastAsia" w:eastAsiaTheme="minorEastAsia"/>
          <w:color w:val="auto"/>
          <w:sz w:val="24"/>
          <w:highlight w:val="none"/>
        </w:rPr>
      </w:pPr>
      <w:r>
        <w:rPr>
          <w:rFonts w:cs="Arial" w:asciiTheme="minorEastAsia" w:hAnsiTheme="minorEastAsia" w:eastAsiaTheme="minorEastAsia"/>
          <w:b/>
          <w:color w:val="auto"/>
          <w:sz w:val="24"/>
          <w:highlight w:val="none"/>
        </w:rPr>
        <w:t>3.采购项目预算金额（人民币）：</w:t>
      </w:r>
      <w:r>
        <w:rPr>
          <w:rFonts w:hint="eastAsia" w:cs="MS Gothic" w:asciiTheme="minorEastAsia" w:hAnsiTheme="minorEastAsia" w:eastAsiaTheme="minorEastAsia"/>
          <w:color w:val="auto"/>
          <w:sz w:val="24"/>
          <w:highlight w:val="none"/>
          <w:lang w:val="en-US" w:eastAsia="zh-CN"/>
        </w:rPr>
        <w:t>42</w:t>
      </w:r>
      <w:r>
        <w:rPr>
          <w:rFonts w:hint="eastAsia" w:cs="MS Gothic" w:asciiTheme="minorEastAsia" w:hAnsiTheme="minorEastAsia" w:eastAsiaTheme="minorEastAsia"/>
          <w:color w:val="auto"/>
          <w:sz w:val="24"/>
          <w:highlight w:val="none"/>
        </w:rPr>
        <w:t>万元；</w:t>
      </w:r>
    </w:p>
    <w:p>
      <w:pPr>
        <w:spacing w:before="120" w:line="360" w:lineRule="auto"/>
        <w:ind w:firstLine="482" w:firstLineChars="200"/>
        <w:rPr>
          <w:rFonts w:cs="Arial" w:asciiTheme="minorEastAsia" w:hAnsiTheme="minorEastAsia" w:eastAsiaTheme="minorEastAsia"/>
          <w:b/>
          <w:color w:val="auto"/>
          <w:sz w:val="24"/>
          <w:highlight w:val="none"/>
        </w:rPr>
      </w:pPr>
      <w:r>
        <w:rPr>
          <w:rFonts w:cs="Arial" w:asciiTheme="minorEastAsia" w:hAnsiTheme="minorEastAsia" w:eastAsiaTheme="minorEastAsia"/>
          <w:b/>
          <w:color w:val="auto"/>
          <w:sz w:val="24"/>
          <w:highlight w:val="none"/>
        </w:rPr>
        <w:t>4.</w:t>
      </w:r>
      <w:r>
        <w:rPr>
          <w:rFonts w:cs="Arial" w:asciiTheme="minorEastAsia" w:hAnsiTheme="minorEastAsia" w:eastAsiaTheme="minorEastAsia"/>
          <w:b/>
          <w:color w:val="auto"/>
          <w:sz w:val="24"/>
          <w:highlight w:val="none"/>
        </w:rPr>
        <w:t xml:space="preserve"> </w:t>
      </w:r>
      <w:r>
        <w:rPr>
          <w:rFonts w:hint="eastAsia" w:cs="Arial" w:asciiTheme="minorEastAsia" w:hAnsiTheme="minorEastAsia" w:eastAsiaTheme="minorEastAsia"/>
          <w:b/>
          <w:color w:val="auto"/>
          <w:sz w:val="24"/>
          <w:highlight w:val="none"/>
        </w:rPr>
        <w:t>交货时间：</w:t>
      </w:r>
      <w:r>
        <w:rPr>
          <w:rFonts w:hint="eastAsia" w:cs="宋体" w:asciiTheme="minorEastAsia" w:hAnsiTheme="minorEastAsia" w:eastAsiaTheme="minorEastAsia"/>
          <w:color w:val="auto"/>
          <w:sz w:val="24"/>
          <w:highlight w:val="none"/>
        </w:rPr>
        <w:t>合同生效接到甲方通知后</w:t>
      </w:r>
      <w:r>
        <w:rPr>
          <w:rFonts w:cs="宋体" w:asciiTheme="minorEastAsia" w:hAnsiTheme="minorEastAsia" w:eastAsiaTheme="minorEastAsia"/>
          <w:color w:val="auto"/>
          <w:sz w:val="24"/>
          <w:highlight w:val="none"/>
        </w:rPr>
        <w:t>50日历天可具备发货条件，接到甲方发货通知后（甲方可在乙方具备发货条件后任意一天均可以）30个日历天内到达甲方指定场地。</w:t>
      </w:r>
    </w:p>
    <w:p>
      <w:pPr>
        <w:spacing w:line="520" w:lineRule="exact"/>
        <w:ind w:firstLine="482" w:firstLineChars="200"/>
        <w:rPr>
          <w:rFonts w:cs="Arial" w:asciiTheme="minorEastAsia" w:hAnsiTheme="minorEastAsia" w:eastAsiaTheme="minorEastAsia"/>
          <w:color w:val="auto"/>
          <w:sz w:val="24"/>
          <w:highlight w:val="none"/>
        </w:rPr>
      </w:pPr>
      <w:r>
        <w:rPr>
          <w:rFonts w:cs="Arial" w:asciiTheme="minorEastAsia" w:hAnsiTheme="minorEastAsia" w:eastAsiaTheme="minorEastAsia"/>
          <w:b/>
          <w:color w:val="auto"/>
          <w:sz w:val="24"/>
          <w:highlight w:val="none"/>
        </w:rPr>
        <w:t xml:space="preserve">5. </w:t>
      </w:r>
      <w:r>
        <w:rPr>
          <w:rFonts w:hint="eastAsia" w:cs="Arial" w:asciiTheme="minorEastAsia" w:hAnsiTheme="minorEastAsia" w:eastAsiaTheme="minorEastAsia"/>
          <w:b/>
          <w:color w:val="auto"/>
          <w:sz w:val="24"/>
          <w:highlight w:val="none"/>
        </w:rPr>
        <w:t>实施</w:t>
      </w:r>
      <w:r>
        <w:rPr>
          <w:rFonts w:cs="Arial" w:asciiTheme="minorEastAsia" w:hAnsiTheme="minorEastAsia" w:eastAsiaTheme="minorEastAsia"/>
          <w:b/>
          <w:color w:val="auto"/>
          <w:sz w:val="24"/>
          <w:highlight w:val="none"/>
        </w:rPr>
        <w:t>地点</w:t>
      </w:r>
      <w:r>
        <w:rPr>
          <w:rFonts w:hint="eastAsia" w:cs="Arial" w:asciiTheme="minorEastAsia" w:hAnsiTheme="minorEastAsia" w:eastAsiaTheme="minorEastAsia"/>
          <w:b/>
          <w:color w:val="auto"/>
          <w:sz w:val="24"/>
          <w:highlight w:val="none"/>
        </w:rPr>
        <w:t>：</w:t>
      </w:r>
      <w:r>
        <w:rPr>
          <w:rFonts w:hint="eastAsia" w:cs="Arial" w:asciiTheme="minorEastAsia" w:hAnsiTheme="minorEastAsia" w:eastAsiaTheme="minorEastAsia"/>
          <w:color w:val="auto"/>
          <w:sz w:val="24"/>
          <w:highlight w:val="none"/>
        </w:rPr>
        <w:t>福建省漳州开发区四区兴港南路南段道路西侧场地中粮糖业（漳州）有限公司；</w:t>
      </w:r>
    </w:p>
    <w:p>
      <w:pPr>
        <w:spacing w:line="520" w:lineRule="exact"/>
        <w:ind w:firstLine="482" w:firstLineChars="200"/>
        <w:rPr>
          <w:rFonts w:cs="MS Gothic" w:asciiTheme="minorEastAsia" w:hAnsiTheme="minorEastAsia" w:eastAsiaTheme="minorEastAsia"/>
          <w:color w:val="auto"/>
          <w:sz w:val="24"/>
          <w:highlight w:val="none"/>
        </w:rPr>
      </w:pPr>
      <w:r>
        <w:rPr>
          <w:rFonts w:cs="Arial" w:asciiTheme="minorEastAsia" w:hAnsiTheme="minorEastAsia" w:eastAsiaTheme="minorEastAsia"/>
          <w:b/>
          <w:color w:val="auto"/>
          <w:sz w:val="24"/>
          <w:highlight w:val="none"/>
        </w:rPr>
        <w:t xml:space="preserve">6. </w:t>
      </w:r>
      <w:r>
        <w:rPr>
          <w:rFonts w:hint="eastAsia" w:cs="Arial" w:asciiTheme="minorEastAsia" w:hAnsiTheme="minorEastAsia" w:eastAsiaTheme="minorEastAsia"/>
          <w:b/>
          <w:color w:val="auto"/>
          <w:sz w:val="24"/>
          <w:highlight w:val="none"/>
        </w:rPr>
        <w:t>项目性质：</w:t>
      </w:r>
      <w:r>
        <w:rPr>
          <w:rFonts w:hint="eastAsia" w:cs="MS Gothic" w:asciiTheme="minorEastAsia" w:hAnsiTheme="minorEastAsia" w:eastAsiaTheme="minorEastAsia"/>
          <w:color w:val="auto"/>
          <w:sz w:val="24"/>
          <w:highlight w:val="none"/>
        </w:rPr>
        <w:t>全部或者部分使用国有资金投资或者国家融资的项目。</w:t>
      </w:r>
    </w:p>
    <w:p>
      <w:pPr>
        <w:spacing w:line="520" w:lineRule="exact"/>
        <w:ind w:firstLine="482" w:firstLineChars="200"/>
        <w:rPr>
          <w:rFonts w:cs="MS Gothic" w:asciiTheme="minorEastAsia" w:hAnsiTheme="minorEastAsia" w:eastAsiaTheme="minorEastAsia"/>
          <w:b/>
          <w:bCs/>
          <w:color w:val="auto"/>
          <w:sz w:val="24"/>
          <w:highlight w:val="none"/>
        </w:rPr>
      </w:pPr>
      <w:r>
        <w:rPr>
          <w:rFonts w:hint="eastAsia" w:cs="MS Gothic" w:asciiTheme="minorEastAsia" w:hAnsiTheme="minorEastAsia" w:eastAsiaTheme="minorEastAsia"/>
          <w:b/>
          <w:bCs/>
          <w:color w:val="auto"/>
          <w:sz w:val="24"/>
          <w:highlight w:val="none"/>
        </w:rPr>
        <w:t>四、供应商资格：</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1.供应商是在中华人民共和国境内注册的独立法人或其他组织；</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2.供应商须具有与本采购项目相应生产、供货及安装能力。2020年1月1日起至今至少提供1项</w:t>
      </w:r>
      <w:r>
        <w:rPr>
          <w:rFonts w:hint="eastAsia" w:asciiTheme="minorEastAsia" w:hAnsiTheme="minorEastAsia" w:eastAsiaTheme="minorEastAsia"/>
          <w:color w:val="auto"/>
          <w:sz w:val="24"/>
          <w:highlight w:val="none"/>
          <w:lang w:eastAsia="zh-CN"/>
        </w:rPr>
        <w:t>大门及其门禁管理系统</w:t>
      </w:r>
      <w:r>
        <w:rPr>
          <w:rFonts w:hint="eastAsia" w:asciiTheme="minorEastAsia" w:hAnsiTheme="minorEastAsia" w:eastAsiaTheme="minorEastAsia"/>
          <w:color w:val="auto"/>
          <w:sz w:val="24"/>
          <w:highlight w:val="none"/>
        </w:rPr>
        <w:t>供货业绩；</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3.供应商不得存在：进入清算程序，或被宣告破产，或其他丧失履约能力的情形；</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供应商及其法定代表人、主要负责人或实际控制人参加本次采购活动前3年内（从2021年1月1日起至今；成立时间不足3年的，从成立之日起至今），在经营活动中没有因违法经营受到责令停产停业、吊销许可证或者执照、被列入严重违法失信企业名单，无利用不正当竞争手段骗取中标和重大经济刑事案件。未被列入“信用中国”网站www.creditchina.gov.cn）失信被执行人名单、重大税收违法案件当事人名单；中国政府采购网（www.ccgp.gov.cn）政府采购严重违法失信行为记录名单；</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.供应商未被行政管理部门依法暂停参加响应资格或者被列入中粮集团（或采购人或采购人所在专业化平台公司）供应商“黑名单”；</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6</w:t>
      </w:r>
      <w:r>
        <w:rPr>
          <w:rFonts w:hint="eastAsia" w:asciiTheme="minorEastAsia" w:hAnsiTheme="minorEastAsia" w:eastAsiaTheme="minorEastAsia"/>
          <w:color w:val="auto"/>
          <w:sz w:val="24"/>
          <w:highlight w:val="none"/>
        </w:rPr>
        <w:t>.供应商需确保所提供的设备不会导致侵权纠纷；</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7</w:t>
      </w:r>
      <w:r>
        <w:rPr>
          <w:rFonts w:hint="eastAsia" w:asciiTheme="minorEastAsia" w:hAnsiTheme="minorEastAsia" w:eastAsiaTheme="minorEastAsia"/>
          <w:color w:val="auto"/>
          <w:sz w:val="24"/>
          <w:highlight w:val="none"/>
        </w:rPr>
        <w:t>.在劳动保护、节能减排与生态环境保护方面符合国家规定要求；</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8</w:t>
      </w:r>
      <w:r>
        <w:rPr>
          <w:rFonts w:hint="eastAsia" w:asciiTheme="minorEastAsia" w:hAnsiTheme="minorEastAsia" w:eastAsiaTheme="minorEastAsia"/>
          <w:color w:val="auto"/>
          <w:sz w:val="24"/>
          <w:highlight w:val="none"/>
        </w:rPr>
        <w:t>.法律、行政法规规定的其他条件必须符合的条件；</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9</w:t>
      </w:r>
      <w:r>
        <w:rPr>
          <w:rFonts w:hint="eastAsia" w:asciiTheme="minorEastAsia" w:hAnsiTheme="minorEastAsia" w:eastAsiaTheme="minorEastAsia"/>
          <w:color w:val="auto"/>
          <w:sz w:val="24"/>
          <w:highlight w:val="none"/>
        </w:rPr>
        <w:t>.本次采购不接受联合体响应，不接受分包与转包；</w:t>
      </w:r>
    </w:p>
    <w:p>
      <w:pPr>
        <w:widowControl/>
        <w:snapToGrid w:val="0"/>
        <w:spacing w:line="520" w:lineRule="exact"/>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10.</w:t>
      </w:r>
      <w:r>
        <w:rPr>
          <w:rFonts w:hint="eastAsia" w:asciiTheme="minorEastAsia" w:hAnsiTheme="minorEastAsia" w:eastAsiaTheme="minorEastAsia"/>
          <w:color w:val="auto"/>
          <w:sz w:val="24"/>
          <w:highlight w:val="none"/>
        </w:rPr>
        <w:t>供应商必须通过中粮糖业（漳州）工厂供应商准入评估并在中粮糖业采购平台（</w:t>
      </w:r>
      <w:r>
        <w:rPr>
          <w:rFonts w:hint="eastAsia" w:asciiTheme="minorEastAsia" w:hAnsiTheme="minorEastAsia" w:eastAsiaTheme="minorEastAsia"/>
          <w:color w:val="auto"/>
          <w:sz w:val="24"/>
          <w:highlight w:val="none"/>
          <w:lang w:val="zh-CN"/>
        </w:rPr>
        <w:t>网址</w:t>
      </w:r>
      <w:r>
        <w:rPr>
          <w:rFonts w:hint="eastAsia" w:asciiTheme="minorEastAsia" w:hAnsiTheme="minorEastAsia" w:eastAsiaTheme="minorEastAsia"/>
          <w:color w:val="auto"/>
          <w:sz w:val="24"/>
          <w:highlight w:val="none"/>
        </w:rPr>
        <w:t>：</w:t>
      </w:r>
      <w:r>
        <w:rPr>
          <w:color w:val="auto"/>
          <w:highlight w:val="none"/>
        </w:rPr>
        <w:fldChar w:fldCharType="begin"/>
      </w:r>
      <w:r>
        <w:rPr>
          <w:color w:val="auto"/>
          <w:highlight w:val="none"/>
        </w:rPr>
        <w:instrText xml:space="preserve"> HYPERLINK "http://eps.cofcotunhe.com" </w:instrText>
      </w:r>
      <w:r>
        <w:rPr>
          <w:color w:val="auto"/>
          <w:highlight w:val="none"/>
        </w:rPr>
        <w:fldChar w:fldCharType="separate"/>
      </w:r>
      <w:r>
        <w:rPr>
          <w:rFonts w:asciiTheme="minorEastAsia" w:hAnsiTheme="minorEastAsia" w:eastAsiaTheme="minorEastAsia"/>
          <w:color w:val="auto"/>
          <w:sz w:val="24"/>
          <w:highlight w:val="none"/>
        </w:rPr>
        <w:t>http://eps.cofcotunhe.com</w:t>
      </w:r>
      <w:r>
        <w:rPr>
          <w:rFonts w:asciiTheme="minorEastAsia" w:hAnsiTheme="minorEastAsia" w:eastAsiaTheme="minorEastAsia"/>
          <w:color w:val="auto"/>
          <w:sz w:val="24"/>
          <w:highlight w:val="none"/>
        </w:rPr>
        <w:fldChar w:fldCharType="end"/>
      </w:r>
      <w:r>
        <w:rPr>
          <w:rFonts w:hint="eastAsia" w:asciiTheme="minorEastAsia" w:hAnsiTheme="minorEastAsia" w:eastAsiaTheme="minorEastAsia"/>
          <w:color w:val="auto"/>
          <w:sz w:val="24"/>
          <w:highlight w:val="none"/>
        </w:rPr>
        <w:t xml:space="preserve">）注册，未注册通过的潜在供应商均无资格参加本次响应； </w:t>
      </w:r>
    </w:p>
    <w:p>
      <w:pPr>
        <w:widowControl/>
        <w:snapToGrid w:val="0"/>
        <w:spacing w:line="520" w:lineRule="exact"/>
        <w:ind w:firstLine="480" w:firstLineChars="200"/>
        <w:rPr>
          <w:rFonts w:cs="Arial" w:asciiTheme="minorEastAsia" w:hAnsiTheme="minorEastAsia" w:eastAsiaTheme="minorEastAsia"/>
          <w:color w:val="auto"/>
          <w:sz w:val="24"/>
          <w:highlight w:val="none"/>
        </w:rPr>
      </w:pPr>
      <w:r>
        <w:rPr>
          <w:rFonts w:cs="宋体" w:asciiTheme="minorEastAsia" w:hAnsiTheme="minorEastAsia" w:eastAsiaTheme="minorEastAsia"/>
          <w:color w:val="auto"/>
          <w:kern w:val="0"/>
          <w:sz w:val="24"/>
          <w:highlight w:val="none"/>
        </w:rPr>
        <w:t>11.</w:t>
      </w:r>
      <w:r>
        <w:rPr>
          <w:rFonts w:cs="Arial"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其他说明：</w:t>
      </w:r>
      <w:r>
        <w:rPr>
          <w:rFonts w:hint="eastAsia" w:asciiTheme="minorEastAsia" w:hAnsiTheme="minorEastAsia" w:eastAsiaTheme="minorEastAsia"/>
          <w:color w:val="auto"/>
          <w:sz w:val="24"/>
          <w:highlight w:val="none"/>
        </w:rPr>
        <w:t>a.与采购人存在利害关系可能影响采购公正性的法人、其他组织或者个人，不得参加响应。b.单位负责人为同一人或者存在控股、管理关系的不同单位，不得参加同一标段响应或者未划分标段的同一项目响应。违反前两款规定的，相关响应均无效。</w:t>
      </w:r>
    </w:p>
    <w:p>
      <w:pPr>
        <w:spacing w:line="520" w:lineRule="exact"/>
        <w:ind w:firstLine="482" w:firstLineChars="200"/>
        <w:rPr>
          <w:rFonts w:cs="MS Gothic" w:asciiTheme="minorEastAsia" w:hAnsiTheme="minorEastAsia" w:eastAsiaTheme="minorEastAsia"/>
          <w:b/>
          <w:bCs/>
          <w:color w:val="auto"/>
          <w:sz w:val="24"/>
          <w:highlight w:val="none"/>
        </w:rPr>
      </w:pPr>
      <w:r>
        <w:rPr>
          <w:rFonts w:hint="eastAsia" w:cs="MS Gothic" w:asciiTheme="minorEastAsia" w:hAnsiTheme="minorEastAsia" w:eastAsiaTheme="minorEastAsia"/>
          <w:b/>
          <w:bCs/>
          <w:color w:val="auto"/>
          <w:sz w:val="24"/>
          <w:highlight w:val="none"/>
        </w:rPr>
        <w:t>五、报名及采购文件的获取方式：</w:t>
      </w:r>
    </w:p>
    <w:p>
      <w:pPr>
        <w:spacing w:line="520" w:lineRule="exact"/>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本次采购采取</w:t>
      </w:r>
      <w:r>
        <w:rPr>
          <w:rFonts w:hint="eastAsia" w:cs="Arial" w:asciiTheme="minorEastAsia" w:hAnsiTheme="minorEastAsia" w:eastAsiaTheme="minorEastAsia"/>
          <w:color w:val="auto"/>
          <w:sz w:val="24"/>
          <w:highlight w:val="none"/>
          <w:lang w:val="en-US" w:eastAsia="zh-CN"/>
        </w:rPr>
        <w:t>谈判采购</w:t>
      </w:r>
      <w:r>
        <w:rPr>
          <w:rFonts w:hint="eastAsia" w:cs="Arial" w:asciiTheme="minorEastAsia" w:hAnsiTheme="minorEastAsia" w:eastAsiaTheme="minorEastAsia"/>
          <w:color w:val="auto"/>
          <w:sz w:val="24"/>
          <w:highlight w:val="none"/>
        </w:rPr>
        <w:t>方式，供应商需在</w:t>
      </w:r>
      <w:r>
        <w:rPr>
          <w:rFonts w:cs="Arial" w:asciiTheme="minorEastAsia" w:hAnsiTheme="minorEastAsia" w:eastAsiaTheme="minorEastAsia"/>
          <w:color w:val="auto"/>
          <w:sz w:val="24"/>
          <w:highlight w:val="none"/>
        </w:rPr>
        <w:t>2023年</w:t>
      </w:r>
      <w:r>
        <w:rPr>
          <w:rFonts w:hint="eastAsia" w:cs="Arial" w:asciiTheme="minorEastAsia" w:hAnsiTheme="minorEastAsia" w:eastAsiaTheme="minorEastAsia"/>
          <w:color w:val="auto"/>
          <w:sz w:val="24"/>
          <w:highlight w:val="none"/>
          <w:lang w:val="en-US" w:eastAsia="zh-CN"/>
        </w:rPr>
        <w:t>10</w:t>
      </w:r>
      <w:r>
        <w:rPr>
          <w:rFonts w:hint="eastAsia" w:cs="Arial" w:asciiTheme="minorEastAsia" w:hAnsiTheme="minorEastAsia" w:eastAsiaTheme="minorEastAsia"/>
          <w:color w:val="auto"/>
          <w:sz w:val="24"/>
          <w:highlight w:val="none"/>
        </w:rPr>
        <w:t>月</w:t>
      </w:r>
      <w:r>
        <w:rPr>
          <w:rFonts w:hint="eastAsia" w:cs="Arial" w:asciiTheme="minorEastAsia" w:hAnsiTheme="minorEastAsia" w:eastAsiaTheme="minorEastAsia"/>
          <w:color w:val="auto"/>
          <w:sz w:val="24"/>
          <w:highlight w:val="none"/>
          <w:lang w:val="en-US" w:eastAsia="zh-CN"/>
        </w:rPr>
        <w:t>10</w:t>
      </w:r>
      <w:r>
        <w:rPr>
          <w:rFonts w:hint="eastAsia" w:cs="Arial" w:asciiTheme="minorEastAsia" w:hAnsiTheme="minorEastAsia" w:eastAsiaTheme="minorEastAsia"/>
          <w:color w:val="auto"/>
          <w:sz w:val="24"/>
          <w:highlight w:val="none"/>
        </w:rPr>
        <w:t>日</w:t>
      </w:r>
      <w:r>
        <w:rPr>
          <w:rFonts w:hint="eastAsia" w:cs="Arial" w:asciiTheme="minorEastAsia" w:hAnsiTheme="minorEastAsia" w:eastAsiaTheme="minorEastAsia"/>
          <w:color w:val="auto"/>
          <w:sz w:val="24"/>
          <w:highlight w:val="none"/>
        </w:rPr>
        <w:t>前在中粮糖业</w:t>
      </w:r>
      <w:r>
        <w:rPr>
          <w:rFonts w:cs="Arial" w:asciiTheme="minorEastAsia" w:hAnsiTheme="minorEastAsia" w:eastAsiaTheme="minorEastAsia"/>
          <w:color w:val="auto"/>
          <w:sz w:val="24"/>
          <w:highlight w:val="none"/>
        </w:rPr>
        <w:t>EPS采购平台完成注册；采购人组织资格审查通过后在EPS采购平台获取采购文件</w:t>
      </w:r>
      <w:r>
        <w:rPr>
          <w:rFonts w:hint="eastAsia" w:cs="Arial" w:asciiTheme="minorEastAsia" w:hAnsiTheme="minorEastAsia" w:eastAsiaTheme="minorEastAsia"/>
          <w:color w:val="auto"/>
          <w:sz w:val="24"/>
          <w:highlight w:val="none"/>
        </w:rPr>
        <w:t>；</w:t>
      </w:r>
      <w:r>
        <w:rPr>
          <w:rFonts w:cs="Arial" w:asciiTheme="minorEastAsia" w:hAnsiTheme="minorEastAsia" w:eastAsiaTheme="minorEastAsia"/>
          <w:color w:val="auto"/>
          <w:sz w:val="24"/>
          <w:highlight w:val="none"/>
        </w:rPr>
        <w:t>2023年</w:t>
      </w:r>
      <w:r>
        <w:rPr>
          <w:rFonts w:hint="eastAsia" w:cs="Arial" w:asciiTheme="minorEastAsia" w:hAnsiTheme="minorEastAsia" w:eastAsiaTheme="minorEastAsia"/>
          <w:color w:val="auto"/>
          <w:sz w:val="24"/>
          <w:highlight w:val="none"/>
          <w:lang w:val="en-US" w:eastAsia="zh-CN"/>
        </w:rPr>
        <w:t>10</w:t>
      </w:r>
      <w:r>
        <w:rPr>
          <w:rFonts w:hint="eastAsia" w:cs="Arial" w:asciiTheme="minorEastAsia" w:hAnsiTheme="minorEastAsia" w:eastAsiaTheme="minorEastAsia"/>
          <w:color w:val="auto"/>
          <w:sz w:val="24"/>
          <w:highlight w:val="none"/>
        </w:rPr>
        <w:t>月</w:t>
      </w:r>
      <w:r>
        <w:rPr>
          <w:rFonts w:hint="eastAsia" w:cs="Arial" w:asciiTheme="minorEastAsia" w:hAnsiTheme="minorEastAsia" w:eastAsiaTheme="minorEastAsia"/>
          <w:color w:val="auto"/>
          <w:sz w:val="24"/>
          <w:highlight w:val="none"/>
          <w:lang w:val="en-US" w:eastAsia="zh-CN"/>
        </w:rPr>
        <w:t>18</w:t>
      </w:r>
      <w:r>
        <w:rPr>
          <w:rFonts w:hint="eastAsia" w:cs="Arial" w:asciiTheme="minorEastAsia" w:hAnsiTheme="minorEastAsia" w:eastAsiaTheme="minorEastAsia"/>
          <w:color w:val="auto"/>
          <w:sz w:val="24"/>
          <w:highlight w:val="none"/>
        </w:rPr>
        <w:t>日</w:t>
      </w:r>
      <w:r>
        <w:rPr>
          <w:rFonts w:hint="eastAsia" w:cs="Arial" w:asciiTheme="minorEastAsia" w:hAnsiTheme="minorEastAsia" w:eastAsiaTheme="minorEastAsia"/>
          <w:color w:val="auto"/>
          <w:sz w:val="24"/>
          <w:highlight w:val="none"/>
          <w:lang w:val="en-US" w:eastAsia="zh-CN"/>
        </w:rPr>
        <w:t>10点45分</w:t>
      </w:r>
      <w:r>
        <w:rPr>
          <w:rFonts w:hint="eastAsia" w:cs="Arial" w:asciiTheme="minorEastAsia" w:hAnsiTheme="minorEastAsia" w:eastAsiaTheme="minorEastAsia"/>
          <w:color w:val="auto"/>
          <w:sz w:val="24"/>
          <w:highlight w:val="none"/>
        </w:rPr>
        <w:t>前在中粮糖业</w:t>
      </w:r>
      <w:r>
        <w:rPr>
          <w:rFonts w:cs="Arial" w:asciiTheme="minorEastAsia" w:hAnsiTheme="minorEastAsia" w:eastAsiaTheme="minorEastAsia"/>
          <w:color w:val="auto"/>
          <w:sz w:val="24"/>
          <w:highlight w:val="none"/>
        </w:rPr>
        <w:t>EPS采购平台上按采购文件说明条款提供相关资料并提交第一轮报价，此时间之后不</w:t>
      </w:r>
      <w:r>
        <w:rPr>
          <w:rFonts w:hint="eastAsia" w:cs="Arial" w:asciiTheme="minorEastAsia" w:hAnsiTheme="minorEastAsia" w:eastAsiaTheme="minorEastAsia"/>
          <w:color w:val="auto"/>
          <w:sz w:val="24"/>
          <w:highlight w:val="none"/>
        </w:rPr>
        <w:t>再接受响应。计划进行二轮报价。</w:t>
      </w:r>
    </w:p>
    <w:p>
      <w:pPr>
        <w:spacing w:line="520" w:lineRule="exact"/>
        <w:ind w:firstLine="482" w:firstLineChars="200"/>
        <w:rPr>
          <w:rFonts w:cs="Arial" w:asciiTheme="minorEastAsia" w:hAnsiTheme="minorEastAsia" w:eastAsiaTheme="minorEastAsia"/>
          <w:color w:val="auto"/>
          <w:sz w:val="24"/>
          <w:highlight w:val="none"/>
        </w:rPr>
      </w:pPr>
      <w:r>
        <w:rPr>
          <w:rFonts w:hint="eastAsia" w:cs="MS Gothic" w:asciiTheme="minorEastAsia" w:hAnsiTheme="minorEastAsia" w:eastAsiaTheme="minorEastAsia"/>
          <w:b/>
          <w:bCs/>
          <w:color w:val="auto"/>
          <w:sz w:val="24"/>
          <w:highlight w:val="none"/>
        </w:rPr>
        <w:t>六、响应说明：</w:t>
      </w:r>
      <w:r>
        <w:rPr>
          <w:rFonts w:hint="eastAsia" w:cs="Arial" w:asciiTheme="minorEastAsia" w:hAnsiTheme="minorEastAsia" w:eastAsiaTheme="minorEastAsia"/>
          <w:color w:val="auto"/>
          <w:sz w:val="24"/>
          <w:highlight w:val="none"/>
        </w:rPr>
        <w:t>供应商报名成功并实际参加响应活动即视为接受采购方提出的采购文件规则并承担违规法律责任；供应商不需到达开标现场，采取电话答疑，具体答疑安排另行通知；成交供应商放弃成交造成采购方损失的由放弃成交供应商承担全部赔偿。</w:t>
      </w:r>
    </w:p>
    <w:p>
      <w:pPr>
        <w:spacing w:line="520" w:lineRule="exact"/>
        <w:ind w:firstLine="482" w:firstLineChars="200"/>
        <w:rPr>
          <w:rFonts w:cs="Arial" w:asciiTheme="minorEastAsia" w:hAnsiTheme="minorEastAsia" w:eastAsiaTheme="minorEastAsia"/>
          <w:color w:val="auto"/>
          <w:sz w:val="24"/>
          <w:highlight w:val="none"/>
        </w:rPr>
      </w:pPr>
      <w:r>
        <w:rPr>
          <w:rFonts w:hint="eastAsia" w:cs="MS Gothic" w:asciiTheme="minorEastAsia" w:hAnsiTheme="minorEastAsia" w:eastAsiaTheme="minorEastAsia"/>
          <w:b/>
          <w:bCs/>
          <w:color w:val="auto"/>
          <w:sz w:val="24"/>
          <w:highlight w:val="none"/>
        </w:rPr>
        <w:t>七、发布媒体：</w:t>
      </w:r>
      <w:r>
        <w:rPr>
          <w:rFonts w:hint="eastAsia" w:cs="仿宋_GB2312" w:asciiTheme="minorEastAsia" w:hAnsiTheme="minorEastAsia" w:eastAsiaTheme="minorEastAsia"/>
          <w:bCs/>
          <w:color w:val="auto"/>
          <w:kern w:val="0"/>
          <w:sz w:val="24"/>
          <w:highlight w:val="none"/>
        </w:rPr>
        <w:t>本次采购公告在中粮糖业控股股份有限公司电子采购平台</w:t>
      </w: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val="zh-CN"/>
        </w:rPr>
        <w:t>网址</w:t>
      </w:r>
      <w:r>
        <w:rPr>
          <w:rFonts w:hint="eastAsia" w:asciiTheme="minorEastAsia" w:hAnsiTheme="minorEastAsia" w:eastAsiaTheme="minorEastAsia"/>
          <w:color w:val="auto"/>
          <w:kern w:val="0"/>
          <w:sz w:val="24"/>
          <w:highlight w:val="none"/>
        </w:rPr>
        <w:t>：</w:t>
      </w:r>
      <w:r>
        <w:rPr>
          <w:color w:val="auto"/>
          <w:highlight w:val="none"/>
        </w:rPr>
        <w:fldChar w:fldCharType="begin"/>
      </w:r>
      <w:r>
        <w:rPr>
          <w:color w:val="auto"/>
          <w:highlight w:val="none"/>
        </w:rPr>
        <w:instrText xml:space="preserve"> HYPERLINK "http://eps.cofcotunhe.com" </w:instrText>
      </w:r>
      <w:r>
        <w:rPr>
          <w:color w:val="auto"/>
          <w:highlight w:val="none"/>
        </w:rPr>
        <w:fldChar w:fldCharType="separate"/>
      </w:r>
      <w:r>
        <w:rPr>
          <w:rStyle w:val="26"/>
          <w:rFonts w:cs="宋体" w:asciiTheme="minorEastAsia" w:hAnsiTheme="minorEastAsia" w:eastAsiaTheme="minorEastAsia"/>
          <w:color w:val="auto"/>
          <w:sz w:val="24"/>
          <w:highlight w:val="none"/>
        </w:rPr>
        <w:t>http://eps.cofcotunhe.com</w:t>
      </w:r>
      <w:r>
        <w:rPr>
          <w:rStyle w:val="26"/>
          <w:rFonts w:cs="宋体" w:asciiTheme="minorEastAsia" w:hAnsiTheme="minorEastAsia" w:eastAsiaTheme="minorEastAsia"/>
          <w:color w:val="auto"/>
          <w:sz w:val="24"/>
          <w:highlight w:val="none"/>
        </w:rPr>
        <w:fldChar w:fldCharType="end"/>
      </w:r>
      <w:r>
        <w:rPr>
          <w:rFonts w:hint="eastAsia" w:cs="宋体" w:asciiTheme="minorEastAsia" w:hAnsiTheme="minorEastAsia" w:eastAsiaTheme="minorEastAsia"/>
          <w:color w:val="auto"/>
          <w:sz w:val="24"/>
          <w:highlight w:val="none"/>
        </w:rPr>
        <w:t>）</w:t>
      </w:r>
      <w:r>
        <w:rPr>
          <w:rFonts w:hint="eastAsia" w:cs="仿宋_GB2312" w:asciiTheme="minorEastAsia" w:hAnsiTheme="minorEastAsia" w:eastAsiaTheme="minorEastAsia"/>
          <w:bCs/>
          <w:color w:val="auto"/>
          <w:kern w:val="0"/>
          <w:sz w:val="24"/>
          <w:highlight w:val="none"/>
        </w:rPr>
        <w:t>上发布。</w:t>
      </w:r>
    </w:p>
    <w:p>
      <w:pPr>
        <w:pStyle w:val="11"/>
        <w:spacing w:line="520" w:lineRule="exact"/>
        <w:ind w:firstLine="482" w:firstLineChars="200"/>
        <w:rPr>
          <w:rFonts w:cs="MS Gothic" w:asciiTheme="minorEastAsia" w:hAnsiTheme="minorEastAsia" w:eastAsiaTheme="minorEastAsia"/>
          <w:b/>
          <w:bCs/>
          <w:color w:val="auto"/>
          <w:sz w:val="24"/>
          <w:szCs w:val="24"/>
          <w:highlight w:val="none"/>
        </w:rPr>
      </w:pPr>
      <w:r>
        <w:rPr>
          <w:rFonts w:hint="eastAsia" w:cs="MS Gothic" w:asciiTheme="minorEastAsia" w:hAnsiTheme="minorEastAsia" w:eastAsiaTheme="minorEastAsia"/>
          <w:b/>
          <w:bCs/>
          <w:color w:val="auto"/>
          <w:sz w:val="24"/>
          <w:szCs w:val="24"/>
          <w:highlight w:val="none"/>
        </w:rPr>
        <w:t>八、采购人联系方式：</w:t>
      </w:r>
    </w:p>
    <w:p>
      <w:pPr>
        <w:pStyle w:val="11"/>
        <w:spacing w:line="520" w:lineRule="exact"/>
        <w:ind w:firstLine="480" w:firstLineChars="200"/>
        <w:rPr>
          <w:rFonts w:cs="仿宋_GB2312" w:asciiTheme="minorEastAsia" w:hAnsiTheme="minorEastAsia" w:eastAsiaTheme="minorEastAsia"/>
          <w:bCs/>
          <w:color w:val="auto"/>
          <w:kern w:val="0"/>
          <w:sz w:val="24"/>
          <w:szCs w:val="24"/>
          <w:highlight w:val="none"/>
        </w:rPr>
      </w:pPr>
      <w:r>
        <w:rPr>
          <w:rFonts w:hint="eastAsia" w:cs="仿宋_GB2312" w:asciiTheme="minorEastAsia" w:hAnsiTheme="minorEastAsia" w:eastAsiaTheme="minorEastAsia"/>
          <w:bCs/>
          <w:color w:val="auto"/>
          <w:kern w:val="0"/>
          <w:sz w:val="24"/>
          <w:szCs w:val="24"/>
          <w:highlight w:val="none"/>
        </w:rPr>
        <w:t>联系人：齐宁</w:t>
      </w:r>
    </w:p>
    <w:p>
      <w:pPr>
        <w:pStyle w:val="11"/>
        <w:spacing w:line="520" w:lineRule="exact"/>
        <w:ind w:firstLine="480" w:firstLineChars="200"/>
        <w:rPr>
          <w:rFonts w:cs="仿宋_GB2312" w:asciiTheme="minorEastAsia" w:hAnsiTheme="minorEastAsia" w:eastAsiaTheme="minorEastAsia"/>
          <w:bCs/>
          <w:color w:val="auto"/>
          <w:kern w:val="0"/>
          <w:sz w:val="24"/>
          <w:szCs w:val="24"/>
          <w:highlight w:val="none"/>
        </w:rPr>
      </w:pPr>
      <w:r>
        <w:rPr>
          <w:rFonts w:hint="eastAsia" w:cs="仿宋_GB2312" w:asciiTheme="minorEastAsia" w:hAnsiTheme="minorEastAsia" w:eastAsiaTheme="minorEastAsia"/>
          <w:bCs/>
          <w:color w:val="auto"/>
          <w:kern w:val="0"/>
          <w:sz w:val="24"/>
          <w:szCs w:val="24"/>
          <w:highlight w:val="none"/>
        </w:rPr>
        <w:t>电话：</w:t>
      </w:r>
      <w:r>
        <w:rPr>
          <w:rFonts w:cs="仿宋_GB2312" w:asciiTheme="minorEastAsia" w:hAnsiTheme="minorEastAsia" w:eastAsiaTheme="minorEastAsia"/>
          <w:bCs/>
          <w:color w:val="auto"/>
          <w:kern w:val="0"/>
          <w:sz w:val="24"/>
          <w:szCs w:val="24"/>
          <w:highlight w:val="none"/>
        </w:rPr>
        <w:t>18341342420</w:t>
      </w:r>
    </w:p>
    <w:p>
      <w:pPr>
        <w:pStyle w:val="11"/>
        <w:spacing w:line="520" w:lineRule="exact"/>
        <w:ind w:firstLine="482" w:firstLineChars="200"/>
        <w:rPr>
          <w:rFonts w:cs="MS Gothic" w:asciiTheme="minorEastAsia" w:hAnsiTheme="minorEastAsia" w:eastAsiaTheme="minorEastAsia"/>
          <w:b/>
          <w:bCs/>
          <w:color w:val="auto"/>
          <w:sz w:val="24"/>
          <w:szCs w:val="24"/>
          <w:highlight w:val="none"/>
        </w:rPr>
      </w:pPr>
      <w:r>
        <w:rPr>
          <w:rFonts w:hint="eastAsia" w:cs="MS Gothic" w:asciiTheme="minorEastAsia" w:hAnsiTheme="minorEastAsia" w:eastAsiaTheme="minorEastAsia"/>
          <w:b/>
          <w:bCs/>
          <w:color w:val="auto"/>
          <w:sz w:val="24"/>
          <w:szCs w:val="24"/>
          <w:highlight w:val="none"/>
        </w:rPr>
        <w:t>九、监督部门及电话：</w:t>
      </w:r>
    </w:p>
    <w:p>
      <w:pPr>
        <w:spacing w:line="520" w:lineRule="exact"/>
        <w:ind w:firstLine="480" w:firstLineChars="200"/>
        <w:rPr>
          <w:rFonts w:cs="仿宋_GB2312" w:asciiTheme="minorEastAsia" w:hAnsiTheme="minorEastAsia" w:eastAsiaTheme="minorEastAsia"/>
          <w:bCs/>
          <w:color w:val="auto"/>
          <w:kern w:val="0"/>
          <w:sz w:val="24"/>
          <w:highlight w:val="none"/>
        </w:rPr>
      </w:pPr>
      <w:r>
        <w:rPr>
          <w:rFonts w:hint="eastAsia" w:cs="仿宋_GB2312" w:asciiTheme="minorEastAsia" w:hAnsiTheme="minorEastAsia" w:eastAsiaTheme="minorEastAsia"/>
          <w:bCs/>
          <w:color w:val="auto"/>
          <w:kern w:val="0"/>
          <w:sz w:val="24"/>
          <w:highlight w:val="none"/>
        </w:rPr>
        <w:t>中粮糖业纪检监督联系方式</w:t>
      </w:r>
    </w:p>
    <w:p>
      <w:pPr>
        <w:spacing w:line="520" w:lineRule="exact"/>
        <w:ind w:firstLine="480" w:firstLineChars="200"/>
        <w:rPr>
          <w:rFonts w:cs="仿宋_GB2312" w:asciiTheme="minorEastAsia" w:hAnsiTheme="minorEastAsia" w:eastAsiaTheme="minorEastAsia"/>
          <w:bCs/>
          <w:color w:val="auto"/>
          <w:kern w:val="0"/>
          <w:sz w:val="24"/>
          <w:highlight w:val="none"/>
        </w:rPr>
      </w:pPr>
      <w:r>
        <w:rPr>
          <w:rFonts w:hint="eastAsia" w:cs="仿宋_GB2312" w:asciiTheme="minorEastAsia" w:hAnsiTheme="minorEastAsia" w:eastAsiaTheme="minorEastAsia"/>
          <w:bCs/>
          <w:color w:val="auto"/>
          <w:kern w:val="0"/>
          <w:sz w:val="24"/>
          <w:highlight w:val="none"/>
        </w:rPr>
        <w:t>地址：北京朝阳区朝阳门南大街</w:t>
      </w:r>
      <w:r>
        <w:rPr>
          <w:rFonts w:cs="仿宋_GB2312" w:asciiTheme="minorEastAsia" w:hAnsiTheme="minorEastAsia" w:eastAsiaTheme="minorEastAsia"/>
          <w:bCs/>
          <w:color w:val="auto"/>
          <w:kern w:val="0"/>
          <w:sz w:val="24"/>
          <w:highlight w:val="none"/>
        </w:rPr>
        <w:t>8号中粮福临门大厦9层905房间中粮糖业纪委办公室</w:t>
      </w:r>
    </w:p>
    <w:p>
      <w:pPr>
        <w:spacing w:line="520" w:lineRule="exact"/>
        <w:ind w:firstLine="480" w:firstLineChars="200"/>
        <w:rPr>
          <w:rFonts w:cs="仿宋_GB2312" w:asciiTheme="minorEastAsia" w:hAnsiTheme="minorEastAsia" w:eastAsiaTheme="minorEastAsia"/>
          <w:bCs/>
          <w:color w:val="auto"/>
          <w:kern w:val="0"/>
          <w:sz w:val="24"/>
          <w:highlight w:val="none"/>
        </w:rPr>
      </w:pPr>
      <w:r>
        <w:rPr>
          <w:rFonts w:hint="eastAsia" w:cs="仿宋_GB2312" w:asciiTheme="minorEastAsia" w:hAnsiTheme="minorEastAsia" w:eastAsiaTheme="minorEastAsia"/>
          <w:bCs/>
          <w:color w:val="auto"/>
          <w:kern w:val="0"/>
          <w:sz w:val="24"/>
          <w:highlight w:val="none"/>
        </w:rPr>
        <w:t>邮编：</w:t>
      </w:r>
      <w:r>
        <w:rPr>
          <w:rFonts w:cs="仿宋_GB2312" w:asciiTheme="minorEastAsia" w:hAnsiTheme="minorEastAsia" w:eastAsiaTheme="minorEastAsia"/>
          <w:bCs/>
          <w:color w:val="auto"/>
          <w:kern w:val="0"/>
          <w:sz w:val="24"/>
          <w:highlight w:val="none"/>
        </w:rPr>
        <w:t>100020</w:t>
      </w:r>
    </w:p>
    <w:p>
      <w:pPr>
        <w:spacing w:line="520" w:lineRule="exact"/>
        <w:ind w:firstLine="480" w:firstLineChars="200"/>
        <w:rPr>
          <w:rFonts w:cs="仿宋_GB2312" w:asciiTheme="minorEastAsia" w:hAnsiTheme="minorEastAsia" w:eastAsiaTheme="minorEastAsia"/>
          <w:bCs/>
          <w:color w:val="auto"/>
          <w:kern w:val="0"/>
          <w:sz w:val="24"/>
          <w:highlight w:val="none"/>
        </w:rPr>
      </w:pPr>
      <w:r>
        <w:rPr>
          <w:rFonts w:hint="eastAsia" w:cs="仿宋_GB2312" w:asciiTheme="minorEastAsia" w:hAnsiTheme="minorEastAsia" w:eastAsiaTheme="minorEastAsia"/>
          <w:bCs/>
          <w:color w:val="auto"/>
          <w:kern w:val="0"/>
          <w:sz w:val="24"/>
          <w:highlight w:val="none"/>
        </w:rPr>
        <w:t>联系电话：</w:t>
      </w:r>
      <w:r>
        <w:rPr>
          <w:rFonts w:cs="仿宋_GB2312" w:asciiTheme="minorEastAsia" w:hAnsiTheme="minorEastAsia" w:eastAsiaTheme="minorEastAsia"/>
          <w:bCs/>
          <w:color w:val="auto"/>
          <w:kern w:val="0"/>
          <w:sz w:val="24"/>
          <w:highlight w:val="none"/>
        </w:rPr>
        <w:t>010-85017235</w:t>
      </w:r>
    </w:p>
    <w:p>
      <w:pPr>
        <w:rPr>
          <w:rFonts w:asciiTheme="minorEastAsia" w:hAnsiTheme="minorEastAsia" w:eastAsiaTheme="minorEastAsia"/>
          <w:color w:val="auto"/>
          <w:highlight w:val="none"/>
        </w:rPr>
      </w:pPr>
      <w:r>
        <w:rPr>
          <w:rFonts w:cs="仿宋_GB2312" w:asciiTheme="minorEastAsia" w:hAnsiTheme="minorEastAsia" w:eastAsiaTheme="minorEastAsia"/>
          <w:bCs/>
          <w:color w:val="auto"/>
          <w:kern w:val="0"/>
          <w:sz w:val="24"/>
          <w:highlight w:val="none"/>
        </w:rPr>
        <w:br w:type="page"/>
      </w:r>
    </w:p>
    <w:p>
      <w:pPr>
        <w:jc w:val="center"/>
        <w:outlineLvl w:val="0"/>
        <w:rPr>
          <w:rFonts w:asciiTheme="minorEastAsia" w:hAnsiTheme="minorEastAsia" w:eastAsiaTheme="minorEastAsia"/>
          <w:b/>
          <w:color w:val="auto"/>
          <w:sz w:val="44"/>
          <w:szCs w:val="44"/>
          <w:highlight w:val="none"/>
        </w:rPr>
      </w:pPr>
      <w:r>
        <w:rPr>
          <w:rFonts w:hint="eastAsia" w:asciiTheme="minorEastAsia" w:hAnsiTheme="minorEastAsia" w:eastAsiaTheme="minorEastAsia"/>
          <w:b/>
          <w:color w:val="auto"/>
          <w:sz w:val="44"/>
          <w:szCs w:val="44"/>
          <w:highlight w:val="none"/>
        </w:rPr>
        <w:t>第二部分</w:t>
      </w:r>
      <w:r>
        <w:rPr>
          <w:rFonts w:asciiTheme="minorEastAsia" w:hAnsiTheme="minorEastAsia" w:eastAsiaTheme="minorEastAsia"/>
          <w:b/>
          <w:color w:val="auto"/>
          <w:sz w:val="44"/>
          <w:szCs w:val="44"/>
          <w:highlight w:val="none"/>
        </w:rPr>
        <w:t xml:space="preserve"> </w:t>
      </w:r>
      <w:r>
        <w:rPr>
          <w:rFonts w:hint="eastAsia" w:asciiTheme="minorEastAsia" w:hAnsiTheme="minorEastAsia" w:eastAsiaTheme="minorEastAsia"/>
          <w:b/>
          <w:color w:val="auto"/>
          <w:sz w:val="44"/>
          <w:szCs w:val="44"/>
          <w:highlight w:val="none"/>
        </w:rPr>
        <w:t>谈判须知</w:t>
      </w:r>
    </w:p>
    <w:p>
      <w:pPr>
        <w:jc w:val="cente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sz w:val="28"/>
          <w:szCs w:val="28"/>
          <w:highlight w:val="none"/>
        </w:rPr>
        <w:t>前附表</w:t>
      </w:r>
    </w:p>
    <w:tbl>
      <w:tblPr>
        <w:tblStyle w:val="22"/>
        <w:tblW w:w="5183"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772"/>
        <w:gridCol w:w="7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序号</w:t>
            </w:r>
          </w:p>
        </w:tc>
        <w:tc>
          <w:tcPr>
            <w:tcW w:w="858" w:type="pct"/>
            <w:vAlign w:val="center"/>
          </w:tcPr>
          <w:p>
            <w:pPr>
              <w:spacing w:line="276"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w:t>
            </w:r>
          </w:p>
        </w:tc>
        <w:tc>
          <w:tcPr>
            <w:tcW w:w="3785" w:type="pct"/>
            <w:vAlign w:val="center"/>
          </w:tcPr>
          <w:p>
            <w:pPr>
              <w:spacing w:line="276"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项目内容</w:t>
            </w:r>
          </w:p>
        </w:tc>
        <w:tc>
          <w:tcPr>
            <w:tcW w:w="3785" w:type="pct"/>
            <w:vAlign w:val="center"/>
          </w:tcPr>
          <w:p>
            <w:pPr>
              <w:spacing w:line="276"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lang w:val="zh-CN"/>
              </w:rPr>
              <w:t>中粮</w:t>
            </w:r>
            <w:r>
              <w:rPr>
                <w:rFonts w:hint="eastAsia" w:asciiTheme="minorEastAsia" w:hAnsiTheme="minorEastAsia" w:eastAsiaTheme="minorEastAsia"/>
                <w:color w:val="auto"/>
                <w:sz w:val="24"/>
                <w:highlight w:val="none"/>
              </w:rPr>
              <w:t>糖业（漳州）有限公司</w:t>
            </w:r>
            <w:r>
              <w:rPr>
                <w:rFonts w:hint="eastAsia" w:asciiTheme="minorEastAsia" w:hAnsiTheme="minorEastAsia" w:eastAsiaTheme="minorEastAsia"/>
                <w:color w:val="auto"/>
                <w:sz w:val="24"/>
                <w:highlight w:val="none"/>
                <w:lang w:eastAsia="zh-CN"/>
              </w:rPr>
              <w:t>大门及其门禁管理系统</w:t>
            </w:r>
            <w:r>
              <w:rPr>
                <w:rFonts w:hint="eastAsia" w:asciiTheme="minorEastAsia" w:hAnsiTheme="minorEastAsia" w:eastAsiaTheme="minorEastAsia"/>
                <w:color w:val="auto"/>
                <w:sz w:val="24"/>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采购地点</w:t>
            </w:r>
          </w:p>
        </w:tc>
        <w:tc>
          <w:tcPr>
            <w:tcW w:w="3785" w:type="pct"/>
          </w:tcPr>
          <w:p>
            <w:pPr>
              <w:pStyle w:val="17"/>
              <w:spacing w:before="60" w:beforeAutospacing="0" w:after="60" w:afterAutospacing="0" w:line="276" w:lineRule="auto"/>
              <w:jc w:val="both"/>
              <w:rPr>
                <w:rFonts w:asciiTheme="minorEastAsia" w:hAnsiTheme="minorEastAsia" w:eastAsiaTheme="minorEastAsia"/>
                <w:color w:val="auto"/>
                <w:highlight w:val="none"/>
              </w:rPr>
            </w:pPr>
            <w:r>
              <w:rPr>
                <w:rFonts w:hint="eastAsia" w:asciiTheme="minorEastAsia" w:hAnsiTheme="minorEastAsia" w:eastAsiaTheme="minorEastAsia"/>
                <w:color w:val="auto"/>
                <w:kern w:val="2"/>
                <w:highlight w:val="none"/>
              </w:rPr>
              <w:t>漳州招商局经济技术开发区四区兴港南路南段道路西侧场地中粮糖业（漳州）有限公司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主要内容及</w:t>
            </w:r>
            <w:r>
              <w:rPr>
                <w:rFonts w:asciiTheme="minorEastAsia" w:hAnsiTheme="minorEastAsia" w:eastAsiaTheme="minorEastAsia"/>
                <w:color w:val="auto"/>
                <w:sz w:val="24"/>
                <w:highlight w:val="none"/>
              </w:rPr>
              <w:t>谈判要求</w:t>
            </w:r>
          </w:p>
        </w:tc>
        <w:tc>
          <w:tcPr>
            <w:tcW w:w="3785" w:type="pct"/>
            <w:vAlign w:val="center"/>
          </w:tcPr>
          <w:p>
            <w:pPr>
              <w:numPr>
                <w:ilvl w:val="0"/>
                <w:numId w:val="1"/>
              </w:numPr>
              <w:spacing w:line="276"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主要内容：</w:t>
            </w:r>
          </w:p>
          <w:p>
            <w:pPr>
              <w:numPr>
                <w:ilvl w:val="0"/>
                <w:numId w:val="2"/>
              </w:numPr>
              <w:spacing w:line="276" w:lineRule="auto"/>
              <w:jc w:val="left"/>
              <w:rPr>
                <w:rFonts w:cs="宋体" w:asciiTheme="minorEastAsia" w:hAnsiTheme="minorEastAsia" w:eastAsiaTheme="minorEastAsia"/>
                <w:color w:val="auto"/>
                <w:kern w:val="0"/>
                <w:sz w:val="24"/>
                <w:highlight w:val="none"/>
              </w:rPr>
            </w:pPr>
            <w:r>
              <w:rPr>
                <w:rFonts w:hint="eastAsia" w:asciiTheme="minorEastAsia" w:hAnsiTheme="minorEastAsia" w:eastAsiaTheme="minorEastAsia"/>
                <w:color w:val="auto"/>
                <w:sz w:val="24"/>
                <w:highlight w:val="none"/>
                <w:lang w:eastAsia="zh-CN"/>
              </w:rPr>
              <w:t>大门及其门禁管理系统</w:t>
            </w:r>
            <w:r>
              <w:rPr>
                <w:rFonts w:hint="eastAsia" w:cs="宋体" w:asciiTheme="minorEastAsia" w:hAnsiTheme="minorEastAsia" w:eastAsiaTheme="minorEastAsia"/>
                <w:color w:val="auto"/>
                <w:kern w:val="0"/>
                <w:sz w:val="24"/>
                <w:highlight w:val="none"/>
              </w:rPr>
              <w:t>技术文件</w:t>
            </w:r>
          </w:p>
          <w:p>
            <w:pPr>
              <w:numPr>
                <w:ilvl w:val="0"/>
                <w:numId w:val="2"/>
              </w:numPr>
              <w:spacing w:line="276"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货期</w:t>
            </w:r>
          </w:p>
          <w:p>
            <w:pPr>
              <w:numPr>
                <w:ilvl w:val="0"/>
                <w:numId w:val="2"/>
              </w:numPr>
              <w:spacing w:line="276"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付款方式</w:t>
            </w:r>
          </w:p>
          <w:p>
            <w:pPr>
              <w:numPr>
                <w:ilvl w:val="0"/>
                <w:numId w:val="2"/>
              </w:numPr>
              <w:spacing w:line="276" w:lineRule="auto"/>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产品标准等</w:t>
            </w:r>
          </w:p>
          <w:p>
            <w:pPr>
              <w:spacing w:line="276"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二</w:t>
            </w:r>
            <w:r>
              <w:rPr>
                <w:rFonts w:cs="宋体" w:asciiTheme="minorEastAsia" w:hAnsiTheme="minorEastAsia" w:eastAsiaTheme="minorEastAsia"/>
                <w:color w:val="auto"/>
                <w:kern w:val="0"/>
                <w:sz w:val="24"/>
                <w:highlight w:val="none"/>
              </w:rPr>
              <w:t>、</w:t>
            </w:r>
            <w:r>
              <w:rPr>
                <w:rFonts w:hint="eastAsia" w:cs="宋体" w:asciiTheme="minorEastAsia" w:hAnsiTheme="minorEastAsia" w:eastAsiaTheme="minorEastAsia"/>
                <w:color w:val="auto"/>
                <w:kern w:val="0"/>
                <w:sz w:val="24"/>
                <w:highlight w:val="none"/>
              </w:rPr>
              <w:t>谈判人出现下列情形之一的，谈判小组可取消其谈判资格：</w:t>
            </w:r>
            <w:r>
              <w:rPr>
                <w:rFonts w:cs="宋体" w:asciiTheme="minorEastAsia" w:hAnsiTheme="minorEastAsia" w:eastAsiaTheme="minorEastAsia"/>
                <w:color w:val="auto"/>
                <w:kern w:val="0"/>
                <w:sz w:val="24"/>
                <w:highlight w:val="none"/>
              </w:rPr>
              <w:t xml:space="preserve"> </w:t>
            </w:r>
          </w:p>
          <w:p>
            <w:pPr>
              <w:spacing w:line="276" w:lineRule="auto"/>
              <w:rPr>
                <w:rFonts w:cs="宋体" w:asciiTheme="minorEastAsia" w:hAnsiTheme="minorEastAsia" w:eastAsiaTheme="minorEastAsia"/>
                <w:color w:val="auto"/>
                <w:kern w:val="0"/>
                <w:sz w:val="24"/>
                <w:highlight w:val="none"/>
              </w:rPr>
            </w:pPr>
            <w:r>
              <w:rPr>
                <w:rFonts w:cs="宋体" w:asciiTheme="minorEastAsia" w:hAnsiTheme="minorEastAsia" w:eastAsiaTheme="minorEastAsia"/>
                <w:color w:val="auto"/>
                <w:kern w:val="0"/>
                <w:sz w:val="24"/>
                <w:highlight w:val="none"/>
              </w:rPr>
              <w:t>(1)未按谈判文件或谈判小组规定时间派授权代表参加谈判的；</w:t>
            </w:r>
          </w:p>
          <w:p>
            <w:pPr>
              <w:spacing w:line="276" w:lineRule="auto"/>
              <w:rPr>
                <w:rFonts w:cs="宋体" w:asciiTheme="minorEastAsia" w:hAnsiTheme="minorEastAsia" w:eastAsiaTheme="minorEastAsia"/>
                <w:color w:val="auto"/>
                <w:kern w:val="0"/>
                <w:sz w:val="24"/>
                <w:highlight w:val="none"/>
              </w:rPr>
            </w:pPr>
            <w:r>
              <w:rPr>
                <w:rFonts w:cs="宋体" w:asciiTheme="minorEastAsia" w:hAnsiTheme="minorEastAsia" w:eastAsiaTheme="minorEastAsia"/>
                <w:color w:val="auto"/>
                <w:kern w:val="0"/>
                <w:sz w:val="24"/>
                <w:highlight w:val="none"/>
              </w:rPr>
              <w:t>(2)未按谈判文件要求和规定提交有关材料的；</w:t>
            </w:r>
          </w:p>
          <w:p>
            <w:pPr>
              <w:spacing w:line="276" w:lineRule="auto"/>
              <w:rPr>
                <w:rFonts w:cs="宋体" w:asciiTheme="minorEastAsia" w:hAnsiTheme="minorEastAsia" w:eastAsiaTheme="minorEastAsia"/>
                <w:color w:val="auto"/>
                <w:kern w:val="0"/>
                <w:sz w:val="24"/>
                <w:highlight w:val="none"/>
              </w:rPr>
            </w:pPr>
            <w:r>
              <w:rPr>
                <w:rFonts w:cs="宋体" w:asciiTheme="minorEastAsia" w:hAnsiTheme="minorEastAsia" w:eastAsiaTheme="minorEastAsia"/>
                <w:color w:val="auto"/>
                <w:kern w:val="0"/>
                <w:sz w:val="24"/>
                <w:highlight w:val="none"/>
              </w:rPr>
              <w:t>(3)有违反相关法律、法规行为的。</w:t>
            </w:r>
          </w:p>
          <w:p>
            <w:pPr>
              <w:spacing w:line="276"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三、谈判人出现下列情形之一的，谈判小组在评审中将拒绝推荐：</w:t>
            </w:r>
          </w:p>
          <w:p>
            <w:pPr>
              <w:spacing w:line="276" w:lineRule="auto"/>
              <w:rPr>
                <w:rFonts w:cs="宋体" w:asciiTheme="minorEastAsia" w:hAnsiTheme="minorEastAsia" w:eastAsiaTheme="minorEastAsia"/>
                <w:color w:val="auto"/>
                <w:kern w:val="0"/>
                <w:sz w:val="24"/>
                <w:highlight w:val="none"/>
              </w:rPr>
            </w:pPr>
            <w:r>
              <w:rPr>
                <w:rFonts w:cs="宋体" w:asciiTheme="minorEastAsia" w:hAnsiTheme="minorEastAsia" w:eastAsiaTheme="minorEastAsia"/>
                <w:color w:val="auto"/>
                <w:kern w:val="0"/>
                <w:sz w:val="24"/>
                <w:highlight w:val="none"/>
              </w:rPr>
              <w:t xml:space="preserve">(1) </w:t>
            </w:r>
            <w:r>
              <w:rPr>
                <w:rFonts w:hint="eastAsia" w:cs="宋体" w:asciiTheme="minorEastAsia" w:hAnsiTheme="minorEastAsia" w:eastAsiaTheme="minorEastAsia"/>
                <w:color w:val="auto"/>
                <w:kern w:val="0"/>
                <w:sz w:val="24"/>
                <w:highlight w:val="none"/>
              </w:rPr>
              <w:t>谈判人不符合谈判文件要求的；</w:t>
            </w:r>
          </w:p>
          <w:p>
            <w:pPr>
              <w:spacing w:line="276" w:lineRule="auto"/>
              <w:rPr>
                <w:rFonts w:cs="宋体" w:asciiTheme="minorEastAsia" w:hAnsiTheme="minorEastAsia" w:eastAsiaTheme="minorEastAsia"/>
                <w:color w:val="auto"/>
                <w:kern w:val="0"/>
                <w:sz w:val="24"/>
                <w:highlight w:val="none"/>
              </w:rPr>
            </w:pPr>
            <w:r>
              <w:rPr>
                <w:rFonts w:cs="宋体" w:asciiTheme="minorEastAsia" w:hAnsiTheme="minorEastAsia" w:eastAsiaTheme="minorEastAsia"/>
                <w:color w:val="auto"/>
                <w:kern w:val="0"/>
                <w:sz w:val="24"/>
                <w:highlight w:val="none"/>
              </w:rPr>
              <w:t xml:space="preserve">(2) </w:t>
            </w:r>
            <w:r>
              <w:rPr>
                <w:rFonts w:hint="eastAsia" w:cs="宋体" w:asciiTheme="minorEastAsia" w:hAnsiTheme="minorEastAsia" w:eastAsiaTheme="minorEastAsia"/>
                <w:color w:val="auto"/>
                <w:kern w:val="0"/>
                <w:sz w:val="24"/>
                <w:highlight w:val="none"/>
              </w:rPr>
              <w:t>资格证明文件不全或不满足谈判文件规定的谈判人资质要求的；</w:t>
            </w:r>
          </w:p>
          <w:p>
            <w:pPr>
              <w:spacing w:line="276" w:lineRule="auto"/>
              <w:rPr>
                <w:rFonts w:cs="宋体" w:asciiTheme="minorEastAsia" w:hAnsiTheme="minorEastAsia" w:eastAsiaTheme="minorEastAsia"/>
                <w:color w:val="auto"/>
                <w:kern w:val="0"/>
                <w:sz w:val="24"/>
                <w:highlight w:val="none"/>
              </w:rPr>
            </w:pPr>
            <w:r>
              <w:rPr>
                <w:rFonts w:cs="宋体" w:asciiTheme="minorEastAsia" w:hAnsiTheme="minorEastAsia" w:eastAsiaTheme="minorEastAsia"/>
                <w:color w:val="auto"/>
                <w:kern w:val="0"/>
                <w:sz w:val="24"/>
                <w:highlight w:val="none"/>
              </w:rPr>
              <w:t xml:space="preserve">(3) </w:t>
            </w:r>
            <w:r>
              <w:rPr>
                <w:rFonts w:hint="eastAsia" w:cs="宋体" w:asciiTheme="minorEastAsia" w:hAnsiTheme="minorEastAsia" w:eastAsiaTheme="minorEastAsia"/>
                <w:color w:val="auto"/>
                <w:kern w:val="0"/>
                <w:sz w:val="24"/>
                <w:highlight w:val="none"/>
              </w:rPr>
              <w:t>超出经营范围响应的；</w:t>
            </w:r>
            <w:r>
              <w:rPr>
                <w:rFonts w:cs="宋体" w:asciiTheme="minorEastAsia" w:hAnsiTheme="minorEastAsia" w:eastAsiaTheme="minorEastAsia"/>
                <w:color w:val="auto"/>
                <w:kern w:val="0"/>
                <w:sz w:val="24"/>
                <w:highlight w:val="none"/>
              </w:rPr>
              <w:t xml:space="preserve"> </w:t>
            </w:r>
          </w:p>
          <w:p>
            <w:pPr>
              <w:spacing w:line="276" w:lineRule="auto"/>
              <w:rPr>
                <w:rFonts w:cs="宋体" w:asciiTheme="minorEastAsia" w:hAnsiTheme="minorEastAsia" w:eastAsiaTheme="minorEastAsia"/>
                <w:color w:val="auto"/>
                <w:kern w:val="0"/>
                <w:sz w:val="24"/>
                <w:highlight w:val="none"/>
              </w:rPr>
            </w:pPr>
            <w:r>
              <w:rPr>
                <w:rFonts w:cs="宋体" w:asciiTheme="minorEastAsia" w:hAnsiTheme="minorEastAsia" w:eastAsiaTheme="minorEastAsia"/>
                <w:color w:val="auto"/>
                <w:kern w:val="0"/>
                <w:sz w:val="24"/>
                <w:highlight w:val="none"/>
              </w:rPr>
              <w:t xml:space="preserve">(4) </w:t>
            </w:r>
            <w:r>
              <w:rPr>
                <w:rFonts w:hint="eastAsia" w:cs="宋体" w:asciiTheme="minorEastAsia" w:hAnsiTheme="minorEastAsia" w:eastAsiaTheme="minorEastAsia"/>
                <w:color w:val="auto"/>
                <w:kern w:val="0"/>
                <w:sz w:val="24"/>
                <w:highlight w:val="none"/>
              </w:rPr>
              <w:t>不符合谈判文件中规定的其他实质性要求。</w:t>
            </w:r>
          </w:p>
          <w:p>
            <w:pPr>
              <w:spacing w:line="276" w:lineRule="auto"/>
              <w:rPr>
                <w:rFonts w:cs="宋体" w:asciiTheme="minorEastAsia" w:hAnsiTheme="minorEastAsia" w:eastAsiaTheme="minorEastAsia"/>
                <w:color w:val="auto"/>
                <w:kern w:val="0"/>
                <w:sz w:val="24"/>
                <w:highlight w:val="none"/>
              </w:rPr>
            </w:pPr>
            <w:r>
              <w:rPr>
                <w:rFonts w:cs="宋体" w:asciiTheme="minorEastAsia" w:hAnsiTheme="minorEastAsia" w:eastAsiaTheme="minorEastAsia"/>
                <w:color w:val="auto"/>
                <w:kern w:val="0"/>
                <w:sz w:val="24"/>
                <w:highlight w:val="none"/>
              </w:rPr>
              <w:t xml:space="preserve">(5) </w:t>
            </w:r>
            <w:r>
              <w:rPr>
                <w:rFonts w:hint="eastAsia" w:cs="宋体" w:asciiTheme="minorEastAsia" w:hAnsiTheme="minorEastAsia" w:eastAsiaTheme="minorEastAsia"/>
                <w:color w:val="auto"/>
                <w:kern w:val="0"/>
                <w:sz w:val="24"/>
                <w:highlight w:val="none"/>
              </w:rPr>
              <w:t>在谈判过程中，谈判小组若发现参与谈判的供应商以他人的名义参加谈判、串通、以行贿手段谋取成交或者以其他弄虚作假方式参加谈判的，该参与谈判的供应商的报价文件将作无效谈判文件处理。</w:t>
            </w:r>
          </w:p>
          <w:p>
            <w:pPr>
              <w:spacing w:line="276" w:lineRule="auto"/>
              <w:ind w:firstLine="480" w:firstLineChars="200"/>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在谈判过程中，供应商可以根据谈判情况进行多轮报价，并对报价文件的内容，在符合谈判文件要求的前提下和规定的时间内进行修改，最终报价必须以书面形式确认。</w:t>
            </w:r>
          </w:p>
          <w:p>
            <w:pPr>
              <w:spacing w:line="276" w:lineRule="auto"/>
              <w:ind w:firstLine="480" w:firstLineChars="200"/>
              <w:rPr>
                <w:rFonts w:asciiTheme="minorEastAsia" w:hAnsiTheme="minorEastAsia" w:eastAsiaTheme="minorEastAsia"/>
                <w:color w:val="auto"/>
                <w:sz w:val="24"/>
                <w:highlight w:val="none"/>
              </w:rPr>
            </w:pPr>
            <w:r>
              <w:rPr>
                <w:rFonts w:hint="eastAsia" w:cs="宋体" w:asciiTheme="minorEastAsia" w:hAnsiTheme="minorEastAsia" w:eastAsiaTheme="minorEastAsia"/>
                <w:color w:val="auto"/>
                <w:kern w:val="0"/>
                <w:sz w:val="24"/>
                <w:highlight w:val="none"/>
              </w:rPr>
              <w:t>确定成交人：谈判结束后，谈判小组要求所有参加谈判的供应商进行最后报价。谈判小组根据符合采购需求、质量和服务相等且报价综合评分最高的原则确定成交人。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响应保证金</w:t>
            </w:r>
          </w:p>
        </w:tc>
        <w:tc>
          <w:tcPr>
            <w:tcW w:w="3785" w:type="pct"/>
            <w:vAlign w:val="center"/>
          </w:tcPr>
          <w:p>
            <w:pPr>
              <w:spacing w:line="276"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响应保证金：</w:t>
            </w:r>
            <w:r>
              <w:rPr>
                <w:rFonts w:hint="eastAsia" w:asciiTheme="minorEastAsia" w:hAnsiTheme="minorEastAsia" w:eastAsiaTheme="minorEastAsia"/>
                <w:color w:val="auto"/>
                <w:sz w:val="24"/>
                <w:highlight w:val="none"/>
              </w:rPr>
              <w:t>人民</w:t>
            </w:r>
            <w:r>
              <w:rPr>
                <w:rFonts w:hint="eastAsia" w:asciiTheme="minorEastAsia" w:hAnsiTheme="minorEastAsia" w:eastAsiaTheme="minorEastAsia"/>
                <w:color w:val="auto"/>
                <w:sz w:val="24"/>
                <w:highlight w:val="none"/>
                <w:lang w:val="en-US" w:eastAsia="zh-CN"/>
              </w:rPr>
              <w:t>0</w:t>
            </w:r>
            <w:r>
              <w:rPr>
                <w:rFonts w:asciiTheme="minorEastAsia" w:hAnsiTheme="minorEastAsia" w:eastAsiaTheme="minorEastAsia"/>
                <w:color w:val="auto"/>
                <w:sz w:val="24"/>
                <w:highlight w:val="none"/>
              </w:rPr>
              <w:t>元整</w:t>
            </w:r>
            <w:r>
              <w:rPr>
                <w:rFonts w:hint="eastAsia" w:asciiTheme="minorEastAsia" w:hAnsiTheme="minorEastAsia" w:eastAsiaTheme="minorEastAsia"/>
                <w:color w:val="auto"/>
                <w:sz w:val="24"/>
                <w:highlight w:val="none"/>
              </w:rPr>
              <w:t>。</w:t>
            </w:r>
          </w:p>
          <w:p>
            <w:pPr>
              <w:spacing w:line="276"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交款账户名称：中粮糖业（漳州）有限公司</w:t>
            </w:r>
          </w:p>
          <w:p>
            <w:pPr>
              <w:spacing w:line="276"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账号：</w:t>
            </w:r>
            <w:r>
              <w:rPr>
                <w:rFonts w:asciiTheme="minorEastAsia" w:hAnsiTheme="minorEastAsia" w:eastAsiaTheme="minorEastAsia"/>
                <w:color w:val="auto"/>
                <w:sz w:val="24"/>
                <w:highlight w:val="none"/>
              </w:rPr>
              <w:t>596900886610101</w:t>
            </w:r>
          </w:p>
          <w:p>
            <w:pPr>
              <w:spacing w:line="276"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开户行：招商银行股份有限公司漳州开发区</w:t>
            </w:r>
          </w:p>
          <w:p>
            <w:pPr>
              <w:spacing w:line="276"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交款方式：电汇（交款时注明“漳州糖业</w:t>
            </w:r>
            <w:r>
              <w:rPr>
                <w:rFonts w:hint="eastAsia" w:asciiTheme="minorEastAsia" w:hAnsiTheme="minorEastAsia" w:eastAsiaTheme="minorEastAsia"/>
                <w:color w:val="auto"/>
                <w:sz w:val="24"/>
                <w:highlight w:val="none"/>
                <w:lang w:eastAsia="zh-CN"/>
              </w:rPr>
              <w:t>大门及其门禁管理系统</w:t>
            </w:r>
            <w:r>
              <w:rPr>
                <w:rFonts w:hint="eastAsia" w:asciiTheme="minorEastAsia" w:hAnsiTheme="minorEastAsia" w:eastAsiaTheme="minorEastAsia"/>
                <w:color w:val="auto"/>
                <w:sz w:val="24"/>
                <w:highlight w:val="none"/>
              </w:rPr>
              <w:t>响应保证金”字样）</w:t>
            </w:r>
          </w:p>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缴款期限：缴纳响应保证金后开通响应权限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w:t>
            </w:r>
          </w:p>
        </w:tc>
        <w:tc>
          <w:tcPr>
            <w:tcW w:w="1703" w:type="dxa"/>
            <w:vAlign w:val="center"/>
          </w:tcPr>
          <w:p>
            <w:pPr>
              <w:spacing w:line="276"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响应保证金退还</w:t>
            </w:r>
          </w:p>
        </w:tc>
        <w:tc>
          <w:tcPr>
            <w:tcW w:w="7511" w:type="dxa"/>
            <w:vAlign w:val="center"/>
          </w:tcPr>
          <w:p>
            <w:pPr>
              <w:spacing w:line="276"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成交单位在合同签订之日自动转为合同履约保证金；未成交单位在中标结果确定后退还。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6</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供应商资格</w:t>
            </w:r>
          </w:p>
        </w:tc>
        <w:tc>
          <w:tcPr>
            <w:tcW w:w="3785" w:type="pct"/>
            <w:vAlign w:val="center"/>
          </w:tcPr>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1.供应商是在中华人民共和国境内注册的独立法人或其他组织；</w:t>
            </w:r>
          </w:p>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2.供应商须具有与本采购项目相应生产、供货及安装能力。2020年1月1日起至今至少提供1项</w:t>
            </w:r>
            <w:r>
              <w:rPr>
                <w:rFonts w:hint="eastAsia" w:asciiTheme="minorEastAsia" w:hAnsiTheme="minorEastAsia" w:eastAsiaTheme="minorEastAsia"/>
                <w:color w:val="auto"/>
                <w:sz w:val="24"/>
                <w:highlight w:val="none"/>
                <w:lang w:eastAsia="zh-CN"/>
              </w:rPr>
              <w:t>大门及其门禁管理系统</w:t>
            </w:r>
            <w:r>
              <w:rPr>
                <w:rFonts w:asciiTheme="minorEastAsia" w:hAnsiTheme="minorEastAsia" w:eastAsiaTheme="minorEastAsia"/>
                <w:color w:val="auto"/>
                <w:sz w:val="24"/>
                <w:highlight w:val="none"/>
              </w:rPr>
              <w:t>供货业绩；</w:t>
            </w:r>
          </w:p>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3.供应商不得存在：进入清算程序，或被宣告破产，或其他丧失履约能力的情形；</w:t>
            </w:r>
          </w:p>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供应商及其法定代表人、主要负责人或实际控制人参加本次采购活动前3年内（从2021年1月1日起至今；成立时间不足3年的，从成立之日起至今），在经营活动中没有因违法经营受到责令停产停业、吊销许可证或者执照、被列入严重违法失信企业名单，无利用不正当竞争手段骗取中标和重大经济刑事案件。未被列入“信用中国”网站www.creditchina.gov.cn）失信被执行人名单、重大税收违法案件当事人名单；中国政府采购网（www.ccgp.gov.cn）政府采购严重违法失信行为记录名单；</w:t>
            </w:r>
          </w:p>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5.供应商未被行政管理部门依法暂停参加响应资格或者被列入中粮集团（或采购人或采购人所在专业化平台公司）供应商“黑名单”；</w:t>
            </w:r>
          </w:p>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6.供应商需确保所提供的设备不会导致侵权纠纷；</w:t>
            </w:r>
          </w:p>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7.在劳动保护、节能减排与生态环境保护方面符合国家规定要求；</w:t>
            </w:r>
          </w:p>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8.法律、行政法规规定的其他条件必须符合的条件；</w:t>
            </w:r>
          </w:p>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9.本次采购不接受联合体响应，不接受分包与转包；</w:t>
            </w:r>
          </w:p>
          <w:p>
            <w:pPr>
              <w:adjustRightInd w:val="0"/>
              <w:snapToGrid w:val="0"/>
              <w:spacing w:line="276" w:lineRule="auto"/>
              <w:textAlignment w:val="top"/>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10.供应商必须通过中粮糖业（漳州）工厂供应商准入评估并在中粮糖业采购平台（网址：http://eps.cofcotunhe.com）注册，未注册通过的潜在供应商均无资格参加本次</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 xml:space="preserve"> </w:t>
            </w:r>
          </w:p>
          <w:p>
            <w:pPr>
              <w:pStyle w:val="11"/>
              <w:spacing w:line="276"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highlight w:val="none"/>
              </w:rPr>
              <w:t xml:space="preserve">11. </w:t>
            </w:r>
            <w:r>
              <w:rPr>
                <w:rFonts w:hint="eastAsia" w:asciiTheme="minorEastAsia" w:hAnsiTheme="minorEastAsia" w:eastAsiaTheme="minorEastAsia"/>
                <w:color w:val="auto"/>
                <w:sz w:val="24"/>
                <w:highlight w:val="none"/>
              </w:rPr>
              <w:t>其他说明：</w:t>
            </w:r>
            <w:r>
              <w:rPr>
                <w:rFonts w:asciiTheme="minorEastAsia" w:hAnsiTheme="minorEastAsia" w:eastAsiaTheme="minorEastAsia"/>
                <w:color w:val="auto"/>
                <w:sz w:val="24"/>
                <w:highlight w:val="none"/>
              </w:rPr>
              <w:t>a.与采购人存在利害关系可能影响</w:t>
            </w:r>
            <w:r>
              <w:rPr>
                <w:rFonts w:hint="eastAsia" w:asciiTheme="minorEastAsia" w:hAnsiTheme="minorEastAsia" w:eastAsiaTheme="minorEastAsia"/>
                <w:color w:val="auto"/>
                <w:sz w:val="24"/>
                <w:highlight w:val="none"/>
              </w:rPr>
              <w:t>采购公正性的法人、其他组织或者个人，不得参加响应。</w:t>
            </w:r>
            <w:r>
              <w:rPr>
                <w:rFonts w:asciiTheme="minorEastAsia" w:hAnsiTheme="minorEastAsia" w:eastAsiaTheme="minorEastAsia"/>
                <w:color w:val="auto"/>
                <w:sz w:val="24"/>
                <w:highlight w:val="none"/>
              </w:rPr>
              <w:t>b.单位负责人为同一人或者存在控股、管理关系的不同单位，不得参加同一标段</w:t>
            </w:r>
            <w:r>
              <w:rPr>
                <w:rFonts w:hint="eastAsia" w:asciiTheme="minorEastAsia" w:hAnsiTheme="minorEastAsia" w:eastAsiaTheme="minorEastAsia"/>
                <w:color w:val="auto"/>
                <w:sz w:val="24"/>
                <w:highlight w:val="none"/>
              </w:rPr>
              <w:t>响应或者未划分标段的同一采购项目响应。违反前两款规定的，相关响应均无效。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7</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交货期</w:t>
            </w:r>
          </w:p>
        </w:tc>
        <w:tc>
          <w:tcPr>
            <w:tcW w:w="3785" w:type="pct"/>
            <w:vAlign w:val="center"/>
          </w:tcPr>
          <w:p>
            <w:pPr>
              <w:spacing w:line="276" w:lineRule="auto"/>
              <w:jc w:val="left"/>
              <w:rPr>
                <w:rFonts w:hint="eastAsia" w:asciiTheme="minorEastAsia" w:hAnsiTheme="minorEastAsia" w:eastAsiaTheme="minorEastAsia"/>
                <w:color w:val="auto"/>
                <w:sz w:val="24"/>
                <w:highlight w:val="none"/>
                <w:lang w:eastAsia="zh-CN"/>
              </w:rPr>
            </w:pPr>
            <w:r>
              <w:rPr>
                <w:rFonts w:hint="eastAsia" w:cs="宋体" w:asciiTheme="minorEastAsia" w:hAnsiTheme="minorEastAsia" w:eastAsiaTheme="minorEastAsia"/>
                <w:color w:val="auto"/>
                <w:sz w:val="24"/>
                <w:highlight w:val="none"/>
              </w:rPr>
              <w:t>合同生效接到甲方通知后</w:t>
            </w:r>
            <w:r>
              <w:rPr>
                <w:rFonts w:cs="宋体" w:asciiTheme="minorEastAsia" w:hAnsiTheme="minorEastAsia" w:eastAsiaTheme="minorEastAsia"/>
                <w:color w:val="auto"/>
                <w:sz w:val="24"/>
                <w:highlight w:val="none"/>
              </w:rPr>
              <w:t>50日历天可具备发货条件，接到甲方发货通知后（甲方可在乙方具备发货条件后任意一天均可以）30个日历天内到达甲方指定场地</w:t>
            </w:r>
            <w:r>
              <w:rPr>
                <w:rFonts w:hint="eastAsia" w:cs="宋体" w:asciiTheme="minorEastAsia" w:hAnsiTheme="minorEastAsia" w:eastAsiaTheme="minorEastAsia"/>
                <w:color w:val="auto"/>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8</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合同价款支付</w:t>
            </w:r>
          </w:p>
        </w:tc>
        <w:tc>
          <w:tcPr>
            <w:tcW w:w="3785" w:type="pct"/>
            <w:vAlign w:val="center"/>
          </w:tcPr>
          <w:p>
            <w:pPr>
              <w:adjustRightInd w:val="0"/>
              <w:snapToGrid w:val="0"/>
              <w:spacing w:line="276" w:lineRule="auto"/>
              <w:textAlignment w:val="top"/>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详见第四章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合同样本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9</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响应报价方式</w:t>
            </w:r>
          </w:p>
        </w:tc>
        <w:tc>
          <w:tcPr>
            <w:tcW w:w="3785"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详见报价文件格式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10</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评审方法</w:t>
            </w:r>
          </w:p>
        </w:tc>
        <w:tc>
          <w:tcPr>
            <w:tcW w:w="3785"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采用综合评估法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11</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报价有效期</w:t>
            </w:r>
          </w:p>
        </w:tc>
        <w:tc>
          <w:tcPr>
            <w:tcW w:w="3785"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报价有效期：自报价截止时间起</w:t>
            </w:r>
            <w:r>
              <w:rPr>
                <w:rFonts w:asciiTheme="minorEastAsia" w:hAnsiTheme="minorEastAsia" w:eastAsiaTheme="minorEastAsia"/>
                <w:color w:val="auto"/>
                <w:sz w:val="24"/>
                <w:highlight w:val="none"/>
              </w:rPr>
              <w:t>90天（日历天）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12</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报价文价份数</w:t>
            </w:r>
          </w:p>
        </w:tc>
        <w:tc>
          <w:tcPr>
            <w:tcW w:w="3785"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一份电子标书。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13</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报价文件递交地点及截止时间</w:t>
            </w:r>
          </w:p>
        </w:tc>
        <w:tc>
          <w:tcPr>
            <w:tcW w:w="3785" w:type="pct"/>
            <w:vAlign w:val="center"/>
          </w:tcPr>
          <w:p>
            <w:pPr>
              <w:spacing w:line="276" w:lineRule="auto"/>
              <w:jc w:val="left"/>
              <w:rPr>
                <w:rFonts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sz w:val="24"/>
                <w:highlight w:val="none"/>
              </w:rPr>
              <w:t>报价文件递交截止时间：</w:t>
            </w:r>
            <w:r>
              <w:rPr>
                <w:rFonts w:asciiTheme="minorEastAsia" w:hAnsiTheme="minorEastAsia" w:eastAsiaTheme="minorEastAsia"/>
                <w:color w:val="auto"/>
                <w:kern w:val="0"/>
                <w:sz w:val="24"/>
                <w:highlight w:val="none"/>
                <w:lang w:val="zh-CN"/>
              </w:rPr>
              <w:t>20</w:t>
            </w:r>
            <w:r>
              <w:rPr>
                <w:rFonts w:hint="eastAsia" w:asciiTheme="minorEastAsia" w:hAnsiTheme="minorEastAsia" w:eastAsiaTheme="minorEastAsia"/>
                <w:color w:val="auto"/>
                <w:kern w:val="0"/>
                <w:sz w:val="24"/>
                <w:highlight w:val="none"/>
                <w:lang w:val="en-US" w:eastAsia="zh-CN"/>
              </w:rPr>
              <w:t>23</w:t>
            </w:r>
            <w:r>
              <w:rPr>
                <w:rFonts w:hint="eastAsia" w:asciiTheme="minorEastAsia" w:hAnsiTheme="minorEastAsia" w:eastAsiaTheme="minorEastAsia"/>
                <w:color w:val="auto"/>
                <w:kern w:val="0"/>
                <w:sz w:val="24"/>
                <w:highlight w:val="none"/>
                <w:lang w:val="zh-CN"/>
              </w:rPr>
              <w:t>年</w:t>
            </w:r>
            <w:r>
              <w:rPr>
                <w:rFonts w:hint="eastAsia" w:asciiTheme="minorEastAsia" w:hAnsiTheme="minorEastAsia" w:eastAsiaTheme="minorEastAsia"/>
                <w:color w:val="auto"/>
                <w:kern w:val="0"/>
                <w:sz w:val="24"/>
                <w:highlight w:val="none"/>
                <w:lang w:val="en-US" w:eastAsia="zh-CN"/>
              </w:rPr>
              <w:t>10</w:t>
            </w:r>
            <w:r>
              <w:rPr>
                <w:rFonts w:hint="eastAsia" w:asciiTheme="minorEastAsia" w:hAnsiTheme="minorEastAsia" w:eastAsiaTheme="minorEastAsia"/>
                <w:color w:val="auto"/>
                <w:kern w:val="0"/>
                <w:sz w:val="24"/>
                <w:highlight w:val="none"/>
                <w:lang w:val="zh-CN"/>
              </w:rPr>
              <w:t>月</w:t>
            </w:r>
            <w:r>
              <w:rPr>
                <w:rFonts w:asciiTheme="minorEastAsia" w:hAnsiTheme="minorEastAsia" w:eastAsiaTheme="minorEastAsia"/>
                <w:color w:val="auto"/>
                <w:kern w:val="0"/>
                <w:sz w:val="24"/>
                <w:highlight w:val="none"/>
              </w:rPr>
              <w:t xml:space="preserve"> </w:t>
            </w:r>
            <w:r>
              <w:rPr>
                <w:rFonts w:hint="eastAsia" w:asciiTheme="minorEastAsia" w:hAnsiTheme="minorEastAsia" w:eastAsiaTheme="minorEastAsia"/>
                <w:color w:val="auto"/>
                <w:kern w:val="0"/>
                <w:sz w:val="24"/>
                <w:highlight w:val="none"/>
                <w:lang w:val="en-US" w:eastAsia="zh-CN"/>
              </w:rPr>
              <w:t>18</w:t>
            </w:r>
            <w:r>
              <w:rPr>
                <w:rFonts w:hint="eastAsia" w:asciiTheme="minorEastAsia" w:hAnsiTheme="minorEastAsia" w:eastAsiaTheme="minorEastAsia"/>
                <w:color w:val="auto"/>
                <w:kern w:val="0"/>
                <w:sz w:val="24"/>
                <w:highlight w:val="none"/>
                <w:lang w:val="zh-CN"/>
              </w:rPr>
              <w:t>日</w:t>
            </w:r>
            <w:r>
              <w:rPr>
                <w:rFonts w:asciiTheme="minorEastAsia" w:hAnsiTheme="minorEastAsia" w:eastAsiaTheme="minorEastAsia"/>
                <w:color w:val="auto"/>
                <w:kern w:val="0"/>
                <w:sz w:val="24"/>
                <w:highlight w:val="none"/>
              </w:rPr>
              <w:t>10点</w:t>
            </w:r>
            <w:r>
              <w:rPr>
                <w:rFonts w:hint="eastAsia" w:asciiTheme="minorEastAsia" w:hAnsiTheme="minorEastAsia" w:eastAsiaTheme="minorEastAsia"/>
                <w:color w:val="auto"/>
                <w:kern w:val="0"/>
                <w:sz w:val="24"/>
                <w:highlight w:val="none"/>
                <w:lang w:val="en-US" w:eastAsia="zh-CN"/>
              </w:rPr>
              <w:t>45</w:t>
            </w:r>
            <w:r>
              <w:rPr>
                <w:rFonts w:hint="eastAsia" w:asciiTheme="minorEastAsia" w:hAnsiTheme="minorEastAsia" w:eastAsiaTheme="minorEastAsia"/>
                <w:color w:val="auto"/>
                <w:kern w:val="0"/>
                <w:sz w:val="24"/>
                <w:highlight w:val="none"/>
              </w:rPr>
              <w:t>分</w:t>
            </w:r>
          </w:p>
          <w:p>
            <w:pPr>
              <w:autoSpaceDE w:val="0"/>
              <w:autoSpaceDN w:val="0"/>
              <w:adjustRightInd w:val="0"/>
              <w:spacing w:before="120" w:beforeLines="50" w:after="120" w:afterLines="50" w:line="276" w:lineRule="auto"/>
              <w:jc w:val="left"/>
              <w:rPr>
                <w:rFonts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sz w:val="24"/>
                <w:highlight w:val="none"/>
              </w:rPr>
              <w:t>报价文件递交至：中粮糖业（漳州）有限公司</w:t>
            </w:r>
            <w:r>
              <w:rPr>
                <w:rFonts w:asciiTheme="minorEastAsia" w:hAnsiTheme="minorEastAsia" w:eastAsiaTheme="minorEastAsia"/>
                <w:color w:val="auto"/>
                <w:sz w:val="24"/>
                <w:highlight w:val="none"/>
              </w:rPr>
              <w:t>EPS电子采购系统。（http://eps.tunhe.com）</w:t>
            </w:r>
            <w:r>
              <w:rPr>
                <w:rFonts w:asciiTheme="minorEastAsia" w:hAnsiTheme="minorEastAsia" w:eastAsiaTheme="minorEastAsia"/>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14</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谈判日期</w:t>
            </w:r>
          </w:p>
        </w:tc>
        <w:tc>
          <w:tcPr>
            <w:tcW w:w="3785" w:type="pct"/>
            <w:vAlign w:val="center"/>
          </w:tcPr>
          <w:p>
            <w:pPr>
              <w:spacing w:line="276" w:lineRule="auto"/>
              <w:jc w:val="left"/>
              <w:rPr>
                <w:rFonts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lang w:eastAsia="zh-CN"/>
              </w:rPr>
              <w:t>以招标人通知为准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6" w:type="pct"/>
            <w:vAlign w:val="center"/>
          </w:tcPr>
          <w:p>
            <w:pPr>
              <w:spacing w:line="276" w:lineRule="auto"/>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15</w:t>
            </w:r>
          </w:p>
        </w:tc>
        <w:tc>
          <w:tcPr>
            <w:tcW w:w="858" w:type="pct"/>
            <w:vAlign w:val="center"/>
          </w:tcPr>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招标单位联系人</w:t>
            </w:r>
          </w:p>
        </w:tc>
        <w:tc>
          <w:tcPr>
            <w:tcW w:w="3785" w:type="pct"/>
            <w:vAlign w:val="center"/>
          </w:tcPr>
          <w:p>
            <w:pPr>
              <w:spacing w:line="276"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r>
              <w:rPr>
                <w:rFonts w:hint="eastAsia" w:asciiTheme="minorEastAsia" w:hAnsiTheme="minorEastAsia" w:eastAsiaTheme="minorEastAsia"/>
                <w:color w:val="auto"/>
                <w:sz w:val="24"/>
                <w:highlight w:val="none"/>
              </w:rPr>
              <w:t>中粮糖业（漳州）有限公司</w:t>
            </w:r>
          </w:p>
          <w:p>
            <w:pPr>
              <w:spacing w:line="276"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联系人：齐宁</w:t>
            </w:r>
            <w:r>
              <w:rPr>
                <w:rFonts w:asciiTheme="minorEastAsia" w:hAnsiTheme="minorEastAsia" w:eastAsiaTheme="minorEastAsia"/>
                <w:color w:val="auto"/>
                <w:sz w:val="24"/>
                <w:highlight w:val="none"/>
              </w:rPr>
              <w:t xml:space="preserve">         电话: 18341342420               </w:t>
            </w:r>
          </w:p>
        </w:tc>
      </w:tr>
    </w:tbl>
    <w:p>
      <w:pPr>
        <w:spacing w:line="520" w:lineRule="exact"/>
        <w:rPr>
          <w:rFonts w:asciiTheme="minorEastAsia" w:hAnsiTheme="minorEastAsia" w:eastAsiaTheme="minorEastAsia"/>
          <w:b/>
          <w:color w:val="auto"/>
          <w:sz w:val="28"/>
          <w:szCs w:val="28"/>
          <w:highlight w:val="none"/>
        </w:rPr>
      </w:pPr>
    </w:p>
    <w:p>
      <w:pPr>
        <w:spacing w:line="520" w:lineRule="exact"/>
        <w:ind w:firstLine="3795" w:firstLineChars="1350"/>
        <w:rPr>
          <w:rFonts w:asciiTheme="minorEastAsia" w:hAnsiTheme="minorEastAsia" w:eastAsiaTheme="minorEastAsia"/>
          <w:b/>
          <w:color w:val="auto"/>
          <w:sz w:val="28"/>
          <w:szCs w:val="28"/>
          <w:highlight w:val="none"/>
        </w:rPr>
      </w:pPr>
      <w:r>
        <w:rPr>
          <w:rFonts w:asciiTheme="minorEastAsia" w:hAnsiTheme="minorEastAsia" w:eastAsiaTheme="minorEastAsia"/>
          <w:b/>
          <w:color w:val="auto"/>
          <w:sz w:val="28"/>
          <w:szCs w:val="28"/>
          <w:highlight w:val="none"/>
        </w:rPr>
        <w:br w:type="page"/>
      </w:r>
    </w:p>
    <w:p>
      <w:pPr>
        <w:spacing w:line="520" w:lineRule="exact"/>
        <w:ind w:firstLine="3795" w:firstLineChars="1350"/>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一、总</w:t>
      </w:r>
      <w:r>
        <w:rPr>
          <w:rFonts w:asciiTheme="minorEastAsia" w:hAnsiTheme="minorEastAsia" w:eastAsiaTheme="minorEastAsia"/>
          <w:b/>
          <w:color w:val="auto"/>
          <w:sz w:val="28"/>
          <w:szCs w:val="28"/>
          <w:highlight w:val="none"/>
        </w:rPr>
        <w:t xml:space="preserve"> </w:t>
      </w:r>
      <w:r>
        <w:rPr>
          <w:rFonts w:hint="eastAsia" w:asciiTheme="minorEastAsia" w:hAnsiTheme="minorEastAsia" w:eastAsiaTheme="minorEastAsia"/>
          <w:b/>
          <w:color w:val="auto"/>
          <w:sz w:val="28"/>
          <w:szCs w:val="28"/>
          <w:highlight w:val="none"/>
        </w:rPr>
        <w:t>则</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1、适用范围：</w:t>
      </w:r>
    </w:p>
    <w:p>
      <w:pPr>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本谈判文件仅适用于</w:t>
      </w:r>
      <w:r>
        <w:rPr>
          <w:rFonts w:hint="eastAsia" w:asciiTheme="minorEastAsia" w:hAnsiTheme="minorEastAsia" w:eastAsiaTheme="minorEastAsia"/>
          <w:color w:val="auto"/>
          <w:sz w:val="24"/>
          <w:highlight w:val="none"/>
          <w:lang w:val="zh-CN"/>
        </w:rPr>
        <w:t>中粮</w:t>
      </w:r>
      <w:r>
        <w:rPr>
          <w:rFonts w:hint="eastAsia" w:asciiTheme="minorEastAsia" w:hAnsiTheme="minorEastAsia" w:eastAsiaTheme="minorEastAsia"/>
          <w:color w:val="auto"/>
          <w:sz w:val="24"/>
          <w:highlight w:val="none"/>
        </w:rPr>
        <w:t>糖业（漳州）有限公司</w:t>
      </w:r>
      <w:r>
        <w:rPr>
          <w:rFonts w:hint="eastAsia" w:asciiTheme="minorEastAsia" w:hAnsiTheme="minorEastAsia" w:eastAsiaTheme="minorEastAsia"/>
          <w:color w:val="auto"/>
          <w:sz w:val="24"/>
          <w:highlight w:val="none"/>
          <w:lang w:eastAsia="zh-CN"/>
        </w:rPr>
        <w:t>大门及其门禁管理系统</w:t>
      </w:r>
      <w:r>
        <w:rPr>
          <w:rFonts w:hint="eastAsia" w:asciiTheme="minorEastAsia" w:hAnsiTheme="minorEastAsia" w:eastAsiaTheme="minorEastAsia"/>
          <w:color w:val="auto"/>
          <w:sz w:val="24"/>
          <w:highlight w:val="none"/>
        </w:rPr>
        <w:t>项</w:t>
      </w:r>
      <w:r>
        <w:rPr>
          <w:rFonts w:hint="eastAsia" w:asciiTheme="minorEastAsia" w:hAnsiTheme="minorEastAsia" w:eastAsiaTheme="minorEastAsia"/>
          <w:color w:val="auto"/>
          <w:sz w:val="24"/>
          <w:highlight w:val="none"/>
        </w:rPr>
        <w:t>目。</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2、定义</w:t>
      </w:r>
    </w:p>
    <w:p>
      <w:pPr>
        <w:spacing w:line="360" w:lineRule="auto"/>
        <w:rPr>
          <w:rFonts w:cs="宋体"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2.1</w:t>
      </w:r>
      <w:r>
        <w:rPr>
          <w:rFonts w:hint="eastAsia" w:asciiTheme="minorEastAsia" w:hAnsiTheme="minorEastAsia" w:eastAsiaTheme="minorEastAsia"/>
          <w:color w:val="auto"/>
          <w:sz w:val="24"/>
          <w:highlight w:val="none"/>
        </w:rPr>
        <w:t>采购人：</w:t>
      </w:r>
      <w:r>
        <w:rPr>
          <w:rFonts w:hint="eastAsia" w:cs="宋体" w:asciiTheme="minorEastAsia" w:hAnsiTheme="minorEastAsia" w:eastAsiaTheme="minorEastAsia"/>
          <w:color w:val="auto"/>
          <w:sz w:val="24"/>
          <w:highlight w:val="none"/>
        </w:rPr>
        <w:t>中粮糖业（漳州）有限公司</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2.2谈判文件：</w:t>
      </w:r>
      <w:r>
        <w:rPr>
          <w:rFonts w:hint="eastAsia" w:cs="宋体" w:asciiTheme="minorEastAsia" w:hAnsiTheme="minorEastAsia" w:eastAsiaTheme="minorEastAsia"/>
          <w:color w:val="auto"/>
          <w:sz w:val="24"/>
          <w:highlight w:val="none"/>
        </w:rPr>
        <w:t>中粮糖业（漳州）有限公司</w:t>
      </w:r>
      <w:r>
        <w:rPr>
          <w:rFonts w:hint="eastAsia" w:asciiTheme="minorEastAsia" w:hAnsiTheme="minorEastAsia" w:eastAsiaTheme="minorEastAsia"/>
          <w:color w:val="auto"/>
          <w:sz w:val="24"/>
          <w:highlight w:val="none"/>
        </w:rPr>
        <w:t>向拟参加谈判的供应商所提供的文件。</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2.3报价文件：参加谈判的</w:t>
      </w:r>
      <w:r>
        <w:rPr>
          <w:rFonts w:hint="eastAsia" w:asciiTheme="minorEastAsia" w:hAnsiTheme="minorEastAsia" w:eastAsiaTheme="minorEastAsia"/>
          <w:color w:val="auto"/>
          <w:sz w:val="24"/>
          <w:highlight w:val="none"/>
        </w:rPr>
        <w:t>供应商向</w:t>
      </w:r>
      <w:r>
        <w:rPr>
          <w:rFonts w:hint="eastAsia" w:cs="宋体" w:asciiTheme="minorEastAsia" w:hAnsiTheme="minorEastAsia" w:eastAsiaTheme="minorEastAsia"/>
          <w:color w:val="auto"/>
          <w:sz w:val="24"/>
          <w:highlight w:val="none"/>
        </w:rPr>
        <w:t>采购人</w:t>
      </w:r>
      <w:r>
        <w:rPr>
          <w:rFonts w:hint="eastAsia" w:asciiTheme="minorEastAsia" w:hAnsiTheme="minorEastAsia" w:eastAsiaTheme="minorEastAsia"/>
          <w:color w:val="auto"/>
          <w:sz w:val="24"/>
          <w:highlight w:val="none"/>
        </w:rPr>
        <w:t>递交的为响应本项目谈判文件内容而编制的文件。</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2.4成交</w:t>
      </w:r>
      <w:r>
        <w:rPr>
          <w:rFonts w:hint="eastAsia" w:asciiTheme="minorEastAsia" w:hAnsiTheme="minorEastAsia" w:eastAsiaTheme="minorEastAsia"/>
          <w:color w:val="auto"/>
          <w:sz w:val="24"/>
          <w:highlight w:val="none"/>
        </w:rPr>
        <w:t>供应商：接到并接受中标（成交）通知书，最终被授予合同的供应商。</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3、谈判费用</w:t>
      </w:r>
    </w:p>
    <w:p>
      <w:pPr>
        <w:spacing w:line="360" w:lineRule="auto"/>
        <w:ind w:firstLine="360" w:firstLineChars="1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无论谈判结果如何，参加谈判的供应商应自行承担与参加谈判有关的全部费用，采购人在任何情况下均无义务和责任承担上述费用。</w:t>
      </w:r>
    </w:p>
    <w:p>
      <w:pPr>
        <w:spacing w:line="360" w:lineRule="auto"/>
        <w:ind w:firstLine="3253" w:firstLineChars="135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二、谈判文件</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4、谈判文件用以阐明所需货物及服务、谈判程序、谈判内容、合同草案的条款以及评定成交的标准等事项。谈判文件由下述部分组成：</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第一部分   项目公告</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第二部分   谈判须知</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第三部分   项目内容及要求</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第四部分   合同样本</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第五部分</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响应文件格式</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第六部分</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评分标准</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5、谈判文件的澄清</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参加谈判的</w:t>
      </w:r>
      <w:r>
        <w:rPr>
          <w:rFonts w:hint="eastAsia" w:asciiTheme="minorEastAsia" w:hAnsiTheme="minorEastAsia" w:eastAsiaTheme="minorEastAsia"/>
          <w:color w:val="auto"/>
          <w:sz w:val="24"/>
          <w:highlight w:val="none"/>
        </w:rPr>
        <w:t>供应商对谈判文件如有需要澄清的问题，应在开始谈判截止时间前通知采购人。采购人将视情况予以答复，并在其认为必要时，将该书面答复发给已获得谈判文件的所有供应商。</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6、谈判文件的修改与补充</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采购人有权修改或补充已发售的谈判文件，并将谈判文件的修改或补充内容书面通知所有获得谈判文件的供应商，修改或补充内容将构成谈判文件的一部分，对谈判人有约束力。</w:t>
      </w:r>
    </w:p>
    <w:p>
      <w:pPr>
        <w:spacing w:line="360" w:lineRule="auto"/>
        <w:ind w:firstLine="3253" w:firstLineChars="135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三、报价文件的编写</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7、</w:t>
      </w:r>
      <w:r>
        <w:rPr>
          <w:rFonts w:hint="eastAsia" w:asciiTheme="minorEastAsia" w:hAnsiTheme="minorEastAsia" w:eastAsiaTheme="minorEastAsia"/>
          <w:color w:val="auto"/>
          <w:sz w:val="24"/>
          <w:highlight w:val="none"/>
        </w:rPr>
        <w:t>报价文件由资质审查、商务文件、技术文件组成。（具体按响应格式仔细填写）</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8、编写要求：参加谈判的</w:t>
      </w:r>
      <w:r>
        <w:rPr>
          <w:rFonts w:hint="eastAsia" w:asciiTheme="minorEastAsia" w:hAnsiTheme="minorEastAsia" w:eastAsiaTheme="minorEastAsia"/>
          <w:color w:val="auto"/>
          <w:sz w:val="24"/>
          <w:highlight w:val="none"/>
        </w:rPr>
        <w:t>供应商应参考谈判文件中提供的格式编写报价文件。</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9、谈判报价</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9.1</w:t>
      </w:r>
      <w:r>
        <w:rPr>
          <w:rFonts w:hint="eastAsia" w:asciiTheme="minorEastAsia" w:hAnsiTheme="minorEastAsia" w:eastAsiaTheme="minorEastAsia"/>
          <w:color w:val="auto"/>
          <w:sz w:val="24"/>
          <w:highlight w:val="none"/>
        </w:rPr>
        <w:t>报价应是完成</w:t>
      </w:r>
      <w:r>
        <w:rPr>
          <w:rFonts w:hint="eastAsia" w:asciiTheme="minorEastAsia" w:hAnsiTheme="minorEastAsia" w:eastAsiaTheme="minorEastAsia"/>
          <w:color w:val="auto"/>
          <w:sz w:val="24"/>
          <w:highlight w:val="none"/>
          <w:lang w:val="zh-CN"/>
        </w:rPr>
        <w:t>中粮</w:t>
      </w:r>
      <w:r>
        <w:rPr>
          <w:rFonts w:hint="eastAsia" w:asciiTheme="minorEastAsia" w:hAnsiTheme="minorEastAsia" w:eastAsiaTheme="minorEastAsia"/>
          <w:color w:val="auto"/>
          <w:sz w:val="24"/>
          <w:highlight w:val="none"/>
        </w:rPr>
        <w:t>糖业（漳州）有限公司</w:t>
      </w:r>
      <w:r>
        <w:rPr>
          <w:rFonts w:hint="eastAsia" w:asciiTheme="minorEastAsia" w:hAnsiTheme="minorEastAsia" w:eastAsiaTheme="minorEastAsia"/>
          <w:color w:val="auto"/>
          <w:sz w:val="24"/>
          <w:highlight w:val="none"/>
          <w:lang w:eastAsia="zh-CN"/>
        </w:rPr>
        <w:t>大门及其门禁管理系统</w:t>
      </w:r>
      <w:r>
        <w:rPr>
          <w:rFonts w:hint="eastAsia" w:asciiTheme="minorEastAsia" w:hAnsiTheme="minorEastAsia" w:eastAsiaTheme="minorEastAsia"/>
          <w:color w:val="auto"/>
          <w:sz w:val="24"/>
          <w:highlight w:val="none"/>
        </w:rPr>
        <w:t>项目所必须的一切费用，包括按照要求及相关规范进行资料收集整编、规划等全部工作所需费用、人工薪酬、企业利润、管理费、税金及风险费用等。</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10、报价文件的签署及规定 </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10.1报价文件应按规定加盖单位公章和由谈判人法定代表人或授权代表签字或盖章（法定代表人或授权代表印章），否则，将被视为无效报价文件。</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10.2除谈判人对错处作必要修改外，报价文件中不许有加行、涂抹或改写，修改处须加盖谈判人公章或法定代表人（或授权委托人）签字或盖章（法定代表人或授权委托人印章）。</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11、报价文件应以中文编制，计量单位以国家规定标准为准。</w:t>
      </w:r>
    </w:p>
    <w:p>
      <w:pPr>
        <w:spacing w:line="360" w:lineRule="auto"/>
        <w:ind w:firstLine="3253" w:firstLineChars="135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四、报价文件的递交</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12、密封和标记</w:t>
      </w:r>
    </w:p>
    <w:p>
      <w:pPr>
        <w:spacing w:line="360" w:lineRule="auto"/>
        <w:ind w:firstLine="432" w:firstLineChars="1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供应商应参考本竞争性谈判文件所规定的格式、内容等编制报价文件，并提交全部资格证明文件，否则响应无效。</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报价文件应由供应商法定代表人或经其正式授权的代理人在“竞争性谈判文件”要求的地方签字或盖章（法定代表人或经其正式授权的代理人印章），并在报价文件正面标明项目名称及编号、供应商名称。</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13、报价文件的报送时间</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参加谈判的</w:t>
      </w:r>
      <w:r>
        <w:rPr>
          <w:rFonts w:hint="eastAsia" w:asciiTheme="minorEastAsia" w:hAnsiTheme="minorEastAsia" w:eastAsiaTheme="minorEastAsia"/>
          <w:color w:val="auto"/>
          <w:sz w:val="24"/>
          <w:highlight w:val="none"/>
        </w:rPr>
        <w:t>供应商应按竞争性谈判文件第一章项目公告中规定时间将报价文件上传至本采购项目指定的网站。报价文件有效期为</w:t>
      </w:r>
      <w:r>
        <w:rPr>
          <w:rFonts w:asciiTheme="minorEastAsia" w:hAnsiTheme="minorEastAsia" w:eastAsiaTheme="minorEastAsia"/>
          <w:color w:val="auto"/>
          <w:sz w:val="24"/>
          <w:highlight w:val="none"/>
        </w:rPr>
        <w:t>90日，报价文件递交截止时间后上传的报价文件，</w:t>
      </w:r>
      <w:r>
        <w:rPr>
          <w:rFonts w:hint="eastAsia" w:asciiTheme="minorEastAsia" w:hAnsiTheme="minorEastAsia" w:eastAsiaTheme="minorEastAsia"/>
          <w:color w:val="auto"/>
          <w:sz w:val="24"/>
          <w:highlight w:val="none"/>
        </w:rPr>
        <w:t>采购人将予以拒绝。</w:t>
      </w:r>
    </w:p>
    <w:p>
      <w:pPr>
        <w:spacing w:line="360" w:lineRule="auto"/>
        <w:ind w:firstLine="3253" w:firstLineChars="135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五、谈判方法和程序</w:t>
      </w:r>
      <w:bookmarkStart w:id="0" w:name="_Toc171937671"/>
      <w:bookmarkStart w:id="1" w:name="_Toc132000220"/>
      <w:bookmarkStart w:id="2" w:name="_Toc132265226"/>
      <w:bookmarkStart w:id="3" w:name="_Toc132111875"/>
      <w:bookmarkStart w:id="4" w:name="_Toc132523441"/>
      <w:bookmarkStart w:id="5" w:name="_Toc132523712"/>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14、竞争性谈判</w:t>
      </w:r>
      <w:bookmarkEnd w:id="0"/>
      <w:bookmarkEnd w:id="1"/>
      <w:bookmarkEnd w:id="2"/>
      <w:bookmarkEnd w:id="3"/>
      <w:bookmarkEnd w:id="4"/>
      <w:bookmarkEnd w:id="5"/>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采购人在项目公告规定的时间地点且有供应商代表在线的情况下分别进行谈判。参加谈判的供应商代表应在系统内签名报到证明其出席，如未按时签到，将被视为供应商自动放弃报价权利。</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本次竞争性谈判采取线上与电话会议相结合，供应商根据中粮糖业</w:t>
      </w:r>
      <w:r>
        <w:rPr>
          <w:rFonts w:asciiTheme="minorEastAsia" w:hAnsiTheme="minorEastAsia" w:eastAsiaTheme="minorEastAsia"/>
          <w:color w:val="auto"/>
          <w:sz w:val="24"/>
          <w:highlight w:val="none"/>
        </w:rPr>
        <w:t>EPS</w:t>
      </w:r>
      <w:r>
        <w:rPr>
          <w:rFonts w:hint="eastAsia" w:asciiTheme="minorEastAsia" w:hAnsiTheme="minorEastAsia" w:eastAsiaTheme="minorEastAsia"/>
          <w:color w:val="auto"/>
          <w:sz w:val="24"/>
          <w:highlight w:val="none"/>
        </w:rPr>
        <w:t>系统采购方式，确保电话及网络畅通，随时接受谈判小组的询问，并予以解答问题。</w:t>
      </w:r>
    </w:p>
    <w:p>
      <w:pPr>
        <w:spacing w:line="360" w:lineRule="auto"/>
        <w:rPr>
          <w:rFonts w:asciiTheme="minorEastAsia" w:hAnsiTheme="minorEastAsia" w:eastAsiaTheme="minorEastAsia"/>
          <w:color w:val="auto"/>
          <w:sz w:val="24"/>
          <w:highlight w:val="none"/>
        </w:rPr>
      </w:pPr>
      <w:bookmarkStart w:id="6" w:name="_Toc171937672"/>
      <w:bookmarkStart w:id="7" w:name="_Toc132265227"/>
      <w:bookmarkStart w:id="8" w:name="_Toc132000221"/>
      <w:bookmarkStart w:id="9" w:name="_Toc132523442"/>
      <w:bookmarkStart w:id="10" w:name="_Toc132111876"/>
      <w:bookmarkStart w:id="11" w:name="_Toc132523713"/>
      <w:r>
        <w:rPr>
          <w:rFonts w:asciiTheme="minorEastAsia" w:hAnsiTheme="minorEastAsia" w:eastAsiaTheme="minorEastAsia"/>
          <w:color w:val="auto"/>
          <w:sz w:val="24"/>
          <w:highlight w:val="none"/>
        </w:rPr>
        <w:t>15、谈判小组</w:t>
      </w:r>
      <w:bookmarkEnd w:id="6"/>
      <w:bookmarkEnd w:id="7"/>
      <w:bookmarkEnd w:id="8"/>
      <w:bookmarkEnd w:id="9"/>
      <w:bookmarkEnd w:id="10"/>
      <w:bookmarkEnd w:id="11"/>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采购人根据本项目的特点组建谈判小组，其成员由采购人的商务和技术人员组成。</w:t>
      </w:r>
    </w:p>
    <w:p>
      <w:pPr>
        <w:spacing w:line="360" w:lineRule="auto"/>
        <w:rPr>
          <w:rFonts w:asciiTheme="minorEastAsia" w:hAnsiTheme="minorEastAsia" w:eastAsiaTheme="minorEastAsia"/>
          <w:color w:val="auto"/>
          <w:sz w:val="24"/>
          <w:highlight w:val="none"/>
        </w:rPr>
      </w:pPr>
      <w:bookmarkStart w:id="12" w:name="_Toc132523443"/>
      <w:bookmarkStart w:id="13" w:name="_Toc132265228"/>
      <w:bookmarkStart w:id="14" w:name="_Toc132523714"/>
      <w:bookmarkStart w:id="15" w:name="_Toc171937673"/>
      <w:r>
        <w:rPr>
          <w:rFonts w:asciiTheme="minorEastAsia" w:hAnsiTheme="minorEastAsia" w:eastAsiaTheme="minorEastAsia"/>
          <w:color w:val="auto"/>
          <w:sz w:val="24"/>
          <w:highlight w:val="none"/>
        </w:rPr>
        <w:t>16、谈判程序</w:t>
      </w:r>
      <w:bookmarkEnd w:id="12"/>
      <w:bookmarkEnd w:id="13"/>
      <w:bookmarkEnd w:id="14"/>
      <w:bookmarkEnd w:id="15"/>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供应商及谈判小组成员在线签到，</w:t>
      </w:r>
      <w:r>
        <w:rPr>
          <w:rFonts w:hint="eastAsia" w:asciiTheme="minorEastAsia" w:hAnsiTheme="minorEastAsia" w:eastAsiaTheme="minorEastAsia"/>
          <w:color w:val="auto"/>
          <w:sz w:val="24"/>
          <w:highlight w:val="none"/>
        </w:rPr>
        <w:t>主持人宣布：竞争性谈判会议开始。</w:t>
      </w:r>
    </w:p>
    <w:p>
      <w:pPr>
        <w:spacing w:line="360" w:lineRule="auto"/>
        <w:ind w:firstLine="432" w:firstLineChars="1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介绍谈判项目情况并宣读参加单位名单。</w:t>
      </w:r>
    </w:p>
    <w:p>
      <w:pPr>
        <w:spacing w:line="360" w:lineRule="auto"/>
        <w:ind w:firstLine="432" w:firstLineChars="1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宣读谈判小组成员名单。</w:t>
      </w:r>
    </w:p>
    <w:p>
      <w:pPr>
        <w:spacing w:line="360" w:lineRule="auto"/>
        <w:ind w:firstLine="432" w:firstLineChars="1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宣读谈判纪律和注意事项。</w:t>
      </w:r>
    </w:p>
    <w:p>
      <w:pPr>
        <w:spacing w:line="360" w:lineRule="auto"/>
        <w:ind w:firstLine="432" w:firstLineChars="1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采购人就有关问题作相应说明。</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按供应商在中粮糖业</w:t>
      </w:r>
      <w:r>
        <w:rPr>
          <w:rFonts w:asciiTheme="minorEastAsia" w:hAnsiTheme="minorEastAsia" w:eastAsiaTheme="minorEastAsia"/>
          <w:color w:val="auto"/>
          <w:sz w:val="24"/>
          <w:highlight w:val="none"/>
        </w:rPr>
        <w:t>EPS系统内递交标书顺序，由</w:t>
      </w:r>
      <w:r>
        <w:rPr>
          <w:rFonts w:hint="eastAsia" w:asciiTheme="minorEastAsia" w:hAnsiTheme="minorEastAsia" w:eastAsiaTheme="minorEastAsia"/>
          <w:color w:val="auto"/>
          <w:sz w:val="24"/>
          <w:highlight w:val="none"/>
        </w:rPr>
        <w:t>供应商对进行第一轮报价。</w:t>
      </w:r>
    </w:p>
    <w:p>
      <w:pPr>
        <w:spacing w:line="360" w:lineRule="auto"/>
        <w:ind w:firstLine="432" w:firstLineChars="1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小组审阅报价文件，并分别与各供应商谈判。响应报价实行多轮报价，本项目不事先确定谈判、报价轮次，谈判小组根谈判情况确定，并在最后一轮报价前告知供应商（注：一般不超过3轮，不排除一轮定价的可能性，请诚意报价）。供应商在规定时间内作最终说明与承诺和最后一次报价。</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17、谈判及确定成交的原则</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本项目的谈判活动将遵循“公开、公平、公正、择优”的原则，对所有参加供应商的评定，以相同的程序和方法严格按照谈判文件的要求和条件进行。</w:t>
      </w:r>
    </w:p>
    <w:p>
      <w:pPr>
        <w:spacing w:line="360" w:lineRule="auto"/>
        <w:ind w:firstLine="480" w:firstLineChars="200"/>
        <w:rPr>
          <w:rFonts w:asciiTheme="minorEastAsia" w:hAnsiTheme="minorEastAsia" w:eastAsiaTheme="minorEastAsia"/>
          <w:color w:val="auto"/>
          <w:sz w:val="24"/>
          <w:highlight w:val="none"/>
        </w:rPr>
      </w:pPr>
      <w:bookmarkStart w:id="16" w:name="_Toc131265005"/>
      <w:bookmarkStart w:id="17" w:name="_Toc171937674"/>
      <w:r>
        <w:rPr>
          <w:rFonts w:hint="eastAsia" w:asciiTheme="minorEastAsia" w:hAnsiTheme="minorEastAsia" w:eastAsiaTheme="minorEastAsia"/>
          <w:color w:val="auto"/>
          <w:sz w:val="24"/>
          <w:highlight w:val="none"/>
        </w:rPr>
        <w:t>谈判小组将对供应商资质是否满足竞争性谈判文件的要求、报价文件是否完整、报价文件是否有效签署，是否满足了谈判文件要求的相关条件，是否提供了谈判文件要求的材料件等方面进行评审。</w:t>
      </w:r>
    </w:p>
    <w:bookmarkEnd w:id="16"/>
    <w:bookmarkEnd w:id="17"/>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★注意事项：</w:t>
      </w:r>
      <w:r>
        <w:rPr>
          <w:rFonts w:asciiTheme="minorEastAsia" w:hAnsiTheme="minorEastAsia" w:eastAsiaTheme="minorEastAsia"/>
          <w:color w:val="auto"/>
          <w:sz w:val="24"/>
          <w:highlight w:val="none"/>
        </w:rPr>
        <w:t xml:space="preserve">  </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17.1谈判人出现下列情形之一的，谈判小组可取消其谈判资格： </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(1)未按谈判文件或谈判小组规定时间派授权代表参加谈判的； </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(2)未按谈判文件要求和规定提交有关材料的；</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(3)有违反相关法律、法规行为的。</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17.2谈判人出现下列情形之一的，谈判小组在评审中将拒绝推荐：</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(1) </w:t>
      </w:r>
      <w:r>
        <w:rPr>
          <w:rFonts w:hint="eastAsia" w:asciiTheme="minorEastAsia" w:hAnsiTheme="minorEastAsia" w:eastAsiaTheme="minorEastAsia"/>
          <w:color w:val="auto"/>
          <w:sz w:val="24"/>
          <w:highlight w:val="none"/>
        </w:rPr>
        <w:t>谈判人不符合谈判文件要求的；</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(2) </w:t>
      </w:r>
      <w:r>
        <w:rPr>
          <w:rFonts w:hint="eastAsia" w:asciiTheme="minorEastAsia" w:hAnsiTheme="minorEastAsia" w:eastAsiaTheme="minorEastAsia"/>
          <w:color w:val="auto"/>
          <w:sz w:val="24"/>
          <w:highlight w:val="none"/>
        </w:rPr>
        <w:t>资格证明文件不全或不满足谈判文件规定的谈判人资质要求的；</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(3) </w:t>
      </w:r>
      <w:r>
        <w:rPr>
          <w:rFonts w:hint="eastAsia" w:asciiTheme="minorEastAsia" w:hAnsiTheme="minorEastAsia" w:eastAsiaTheme="minorEastAsia"/>
          <w:color w:val="auto"/>
          <w:sz w:val="24"/>
          <w:highlight w:val="none"/>
        </w:rPr>
        <w:t>超出经营范围响应的；</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(4) </w:t>
      </w:r>
      <w:r>
        <w:rPr>
          <w:rFonts w:hint="eastAsia" w:asciiTheme="minorEastAsia" w:hAnsiTheme="minorEastAsia" w:eastAsiaTheme="minorEastAsia"/>
          <w:color w:val="auto"/>
          <w:sz w:val="24"/>
          <w:highlight w:val="none"/>
        </w:rPr>
        <w:t>不符合谈判文件中规定的其他实质性要求。</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(5) </w:t>
      </w:r>
      <w:r>
        <w:rPr>
          <w:rFonts w:hint="eastAsia" w:asciiTheme="minorEastAsia" w:hAnsiTheme="minorEastAsia" w:eastAsiaTheme="minorEastAsia"/>
          <w:color w:val="auto"/>
          <w:sz w:val="24"/>
          <w:highlight w:val="none"/>
        </w:rPr>
        <w:t>在谈判过程中，谈判小组若发现参与谈判的供应商以他人的名义参加谈判、串通、以行贿手段谋取成交或者以其他弄虚作假方式参加谈判的，该参与谈判的供应商的报价文件将作无效谈判文件处理。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在谈判过程中，供应商可以根据谈判情况进行二次报价，即最终报价，并对报价文件的内容，在符合谈判文件要求的前提下和规定的时间内进行修改，最终报价必须以书面形式确认。</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确定成交人。谈判结束后，谈判小组要求所有参加谈判的供应商进行最后报价。谈判小组根据符合采购需求、质量和服务相等且报价综合评分最高的原则确定成交人。</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小组可以要求供应商对报价文件进行澄清，若拒绝对竞争性谈判报价文件进行澄清，则对需要澄清的内容谈判小组可做出不利于供应商的推定。供应商提供的资料应真实可靠，谈判小组经核实发现供应商提供虚假材料，将取消供应商的竞争性谈判资格。</w:t>
      </w:r>
    </w:p>
    <w:p>
      <w:pPr>
        <w:numPr>
          <w:ilvl w:val="0"/>
          <w:numId w:val="3"/>
        </w:num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谈判内容</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谈判小组将按供应商在中粮糖业</w:t>
      </w:r>
      <w:r>
        <w:rPr>
          <w:rFonts w:asciiTheme="minorEastAsia" w:hAnsiTheme="minorEastAsia" w:eastAsiaTheme="minorEastAsia"/>
          <w:color w:val="auto"/>
          <w:sz w:val="24"/>
          <w:highlight w:val="none"/>
        </w:rPr>
        <w:t>EPS系统内递交标书顺序，从以下几个方面与单一谈判人分别进行谈判：</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1）商务谈判：</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①</w:t>
      </w:r>
      <w:r>
        <w:rPr>
          <w:rFonts w:hint="eastAsia" w:asciiTheme="minorEastAsia" w:hAnsiTheme="minorEastAsia" w:eastAsiaTheme="minorEastAsia"/>
          <w:color w:val="auto"/>
          <w:sz w:val="24"/>
          <w:highlight w:val="none"/>
        </w:rPr>
        <w:t>供应商基本情况；</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②付款方式及时间是否同意响应；</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③</w:t>
      </w:r>
      <w:r>
        <w:rPr>
          <w:rFonts w:hint="eastAsia" w:asciiTheme="minorEastAsia" w:hAnsiTheme="minorEastAsia" w:eastAsiaTheme="minorEastAsia"/>
          <w:color w:val="auto"/>
          <w:sz w:val="24"/>
          <w:highlight w:val="none"/>
        </w:rPr>
        <w:t>交货期是否响应；</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④服务承诺的具体内容、响应时间是否满足，是否有优惠措施。</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2）技术谈判：</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交货期、质量等保证措施等。</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3）价格谈判</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对所报价格进行具体谈判。</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①谈判小组将根据谈判进展情况与谈判人进行谈判；</w:t>
      </w:r>
      <w:r>
        <w:rPr>
          <w:rFonts w:asciiTheme="minorEastAsia" w:hAnsiTheme="minorEastAsia" w:eastAsiaTheme="minorEastAsia"/>
          <w:color w:val="auto"/>
          <w:sz w:val="24"/>
          <w:highlight w:val="none"/>
        </w:rPr>
        <w:t xml:space="preserve"> </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②谈判小组可根据谈判情况要求谈判人在规定时间内进一步提供其他证明材料；</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③谈判小组要求所有谈判人在规定时间内在中粮糖业</w:t>
      </w:r>
      <w:r>
        <w:rPr>
          <w:rFonts w:asciiTheme="minorEastAsia" w:hAnsiTheme="minorEastAsia" w:eastAsiaTheme="minorEastAsia"/>
          <w:color w:val="auto"/>
          <w:sz w:val="24"/>
          <w:highlight w:val="none"/>
        </w:rPr>
        <w:t>EPS系统</w:t>
      </w:r>
      <w:r>
        <w:rPr>
          <w:rFonts w:hint="eastAsia" w:asciiTheme="minorEastAsia" w:hAnsiTheme="minorEastAsia" w:eastAsiaTheme="minorEastAsia"/>
          <w:color w:val="auto"/>
          <w:sz w:val="24"/>
          <w:highlight w:val="none"/>
        </w:rPr>
        <w:t>内进行最后报价；</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④谈判小组通过对各谈判人的谈判情况进行综合分析、评审后，按顺序推荐出</w:t>
      </w:r>
      <w:r>
        <w:rPr>
          <w:rFonts w:asciiTheme="minorEastAsia" w:hAnsiTheme="minorEastAsia" w:eastAsiaTheme="minorEastAsia"/>
          <w:color w:val="auto"/>
          <w:sz w:val="24"/>
          <w:highlight w:val="none"/>
        </w:rPr>
        <w:t>3名成交候选</w:t>
      </w:r>
      <w:r>
        <w:rPr>
          <w:rFonts w:hint="eastAsia" w:asciiTheme="minorEastAsia" w:hAnsiTheme="minorEastAsia" w:eastAsiaTheme="minorEastAsia"/>
          <w:color w:val="auto"/>
          <w:sz w:val="24"/>
          <w:highlight w:val="none"/>
        </w:rPr>
        <w:t>供应商；</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⑤采购人根据“符合采购需求、质量和服务相等且报价综合评分最高”的原则，在成交候选供应商中依据谈判小组推荐的顺序确定成交供应商，并将成交结果通知所有未成交的供应商。</w:t>
      </w:r>
    </w:p>
    <w:p>
      <w:pPr>
        <w:spacing w:line="360" w:lineRule="auto"/>
        <w:rPr>
          <w:rFonts w:asciiTheme="minorEastAsia" w:hAnsiTheme="minorEastAsia" w:eastAsiaTheme="minorEastAsia"/>
          <w:color w:val="auto"/>
          <w:sz w:val="24"/>
          <w:highlight w:val="none"/>
        </w:rPr>
      </w:pPr>
      <w:bookmarkStart w:id="18" w:name="_Toc132265230"/>
      <w:bookmarkStart w:id="19" w:name="_Toc132000224"/>
      <w:bookmarkStart w:id="20" w:name="_Toc132523445"/>
      <w:bookmarkStart w:id="21" w:name="_Toc171937676"/>
      <w:bookmarkStart w:id="22" w:name="_Toc132523716"/>
      <w:bookmarkStart w:id="23" w:name="_Toc132111879"/>
      <w:r>
        <w:rPr>
          <w:rFonts w:asciiTheme="minorEastAsia" w:hAnsiTheme="minorEastAsia" w:eastAsiaTheme="minorEastAsia"/>
          <w:color w:val="auto"/>
          <w:sz w:val="24"/>
          <w:highlight w:val="none"/>
        </w:rPr>
        <w:t>19、谈判过程保密及其他注意事项</w:t>
      </w:r>
      <w:bookmarkEnd w:id="18"/>
      <w:bookmarkEnd w:id="19"/>
      <w:bookmarkEnd w:id="20"/>
      <w:bookmarkEnd w:id="21"/>
      <w:bookmarkEnd w:id="22"/>
      <w:bookmarkEnd w:id="23"/>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为加强本次竞争性谈判活动的管理和监督，保证谈判严肃有序地进行，特提出以下注意事项，谈判小组、供应商及有关工作人员应共同遵守。</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谈判过程是评审工作的重要环节，谈判工作严格按规定的程序，在谈判小组内部独立进行，谈判的内容谈判双方均不得向第三者透露。</w:t>
      </w:r>
    </w:p>
    <w:p>
      <w:pPr>
        <w:pStyle w:val="11"/>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供应商应遵守有关法律、法规，不得采取不正当的竞争手段，否则，其后果由报价人自负。</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在谈判期间，参加谈判的供应商不得向谈判小组成员或有关工作人员询问正在进行的谈判情况，不得进行旨在影响评审结果的活动，否则，其报价无效并追究法律责任。</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谈判过程中，谈判小组成员不得与供应商私下交换意见。谈判小组内部讨论的情况和意见必须保密。任何人不得以任何形式透露给谈判或与供应商有关的单位或个人。</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在谈判工作结束后，所有接触谈判的人员不得也不应将谈判情况扩散出相关人员之外。</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谈判小组不向供应商解释未成交原因，不退还报价文件。</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谈判小组成员与参与谈判的单位有利害关系的，必须回避；参与谈判的单位认为谈判小组成员与参加谈判的其它单位有利害关系的，可以申请其回避。</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供应商对本次采购活动如有异议，可在项目结束后三个工作日内向中粮糖业股份有限公司纪委办公室提出书面质疑材料。</w:t>
      </w:r>
    </w:p>
    <w:p>
      <w:pPr>
        <w:pStyle w:val="11"/>
        <w:spacing w:line="360" w:lineRule="auto"/>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20、其他</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谈判结果汇总完成后，除下列情形外，任何人不得修改谈判结果：</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（一）分值汇总计算错误的；</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（二）资格性检查认定错误的；</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（三）分项评分超出评分标准范围的；</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（四）谈判小组成员对客观评审因素评分不一致的；</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（五）经谈判小组认定评分畸高、畸低的。</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谈判小组专家评分上传前，经复核发现存在以上情形之一的，谈判小组应当当场修改评审结果，并在竞争性谈判会议纪要中记载；竞争性谈判会议纪要签署后，采购人发现存在以上情形之一的，应当组织原谈判小组进行重新评审。</w:t>
      </w:r>
    </w:p>
    <w:p>
      <w:pPr>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21、</w:t>
      </w:r>
      <w:r>
        <w:rPr>
          <w:rFonts w:hint="eastAsia" w:asciiTheme="minorEastAsia" w:hAnsiTheme="minorEastAsia" w:eastAsiaTheme="minorEastAsia"/>
          <w:color w:val="auto"/>
          <w:sz w:val="24"/>
          <w:highlight w:val="none"/>
        </w:rPr>
        <w:t>成交候选人推荐和确定成交人的原则</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（一）谈判小组将根据得分由高到低排列次序依次推荐</w:t>
      </w:r>
      <w:r>
        <w:rPr>
          <w:rFonts w:asciiTheme="minorEastAsia" w:hAnsiTheme="minorEastAsia" w:eastAsiaTheme="minorEastAsia"/>
          <w:color w:val="auto"/>
          <w:sz w:val="24"/>
          <w:highlight w:val="none"/>
        </w:rPr>
        <w:t>3名</w:t>
      </w:r>
      <w:r>
        <w:rPr>
          <w:rFonts w:hint="eastAsia" w:asciiTheme="minorEastAsia" w:hAnsiTheme="minorEastAsia" w:eastAsiaTheme="minorEastAsia"/>
          <w:color w:val="auto"/>
          <w:sz w:val="24"/>
          <w:highlight w:val="none"/>
        </w:rPr>
        <w:t>成交候选人（得分相同时，以响应报价由低到高顺序排列；得分相同且响应报价相同的，按技术指标优劣顺序排列）。</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（二）采购人应当确定谈判小组推荐排名第一的成交候选人为成交人。</w:t>
      </w:r>
      <w:r>
        <w:rPr>
          <w:rFonts w:hint="eastAsia" w:asciiTheme="minorEastAsia" w:hAnsiTheme="minorEastAsia" w:eastAsiaTheme="minorEastAsia"/>
          <w:color w:val="auto"/>
          <w:sz w:val="24"/>
          <w:highlight w:val="none"/>
        </w:rPr>
        <w:t>排名第一的成交候选供应商放弃成交、因不可抗力提出不能履行合同，采购人可以确定排名第二的成交候选供应商为成交供应商。排名第二的成交候选供应商因前述的同样原因不能签订合同的，采购人可以确定排名第三的成交候选供应商为成交供应商。所有成交候选供应商因前述的同样原因不能签订合同的，采购人将重新组织采购。采购人也可以直接决定重新采购。</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（三）成交候选人的经营、财务状况发生较大变化或者存在违法行为，采购人认为可能影响其履约能力的，应当在发出成交通知书前由原谈判小组按照竞争性谈判文件规定的标准和方法审查确认。</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（四）采购活动违反招标投标法和招投标法实施条例的规定，对成交结果造成实质性影响，且不能采取补救措施予以纠正的，谈判、响应、成交无效，应当依法重新采购或者评审。</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（五）在成交通知书发出前，采购人应当对成交人信用进行查询，并按照信用信息使用规则处理。</w:t>
      </w:r>
    </w:p>
    <w:p>
      <w:pPr>
        <w:pStyle w:val="11"/>
        <w:spacing w:line="360" w:lineRule="auto"/>
        <w:rPr>
          <w:rFonts w:asciiTheme="minorEastAsia" w:hAnsiTheme="minorEastAsia" w:eastAsiaTheme="minorEastAsia"/>
          <w:color w:val="auto"/>
          <w:sz w:val="24"/>
          <w:szCs w:val="24"/>
          <w:highlight w:val="none"/>
        </w:rPr>
      </w:pPr>
    </w:p>
    <w:p>
      <w:pPr>
        <w:spacing w:line="360" w:lineRule="auto"/>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六、授予合同</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21、确定成交</w:t>
      </w:r>
      <w:r>
        <w:rPr>
          <w:rFonts w:hint="eastAsia" w:asciiTheme="minorEastAsia" w:hAnsiTheme="minorEastAsia" w:eastAsiaTheme="minorEastAsia"/>
          <w:color w:val="auto"/>
          <w:sz w:val="24"/>
          <w:highlight w:val="none"/>
        </w:rPr>
        <w:t>供应商后，采购人签发《成交通知书》并通知供应商，成交供应商应按《成交通知书》规定的时间、地点与采购人签订合同。采购人同时以邮件或电话形式通知未中标供应商。</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22、如成交</w:t>
      </w:r>
      <w:r>
        <w:rPr>
          <w:rFonts w:hint="eastAsia" w:asciiTheme="minorEastAsia" w:hAnsiTheme="minorEastAsia" w:eastAsiaTheme="minorEastAsia"/>
          <w:color w:val="auto"/>
          <w:sz w:val="24"/>
          <w:highlight w:val="none"/>
        </w:rPr>
        <w:t>供应商违约，采购人可在候选成交供应商中依据推荐顺序重新选定成交供应商。</w:t>
      </w:r>
    </w:p>
    <w:p>
      <w:pPr>
        <w:spacing w:line="360" w:lineRule="auto"/>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七、竞争性谈判活动的保密及注意事项</w:t>
      </w:r>
    </w:p>
    <w:p>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为加强本次竞争性谈判活动的管理和监督，保证谈判严肃有序地进行，特提出以下注意事项，谈判小组、供应商及有关工作人员应共同遵守。</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1、谈判工作严格按规定的程序，在谈判小组内部独立进行，谈判的内容谈判双方均不得向第三者透露。</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2、在谈判期间，参加谈判的</w:t>
      </w:r>
      <w:r>
        <w:rPr>
          <w:rFonts w:hint="eastAsia" w:asciiTheme="minorEastAsia" w:hAnsiTheme="minorEastAsia" w:eastAsiaTheme="minorEastAsia"/>
          <w:color w:val="auto"/>
          <w:sz w:val="24"/>
          <w:highlight w:val="none"/>
        </w:rPr>
        <w:t>供应商不得向谈判小组成员或有关工作人员询问正在进行的谈判情况，不得进行旨在影响评审结果的活动。</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3、在谈判过程中，谈判小组成员不应与</w:t>
      </w:r>
      <w:r>
        <w:rPr>
          <w:rFonts w:hint="eastAsia" w:asciiTheme="minorEastAsia" w:hAnsiTheme="minorEastAsia" w:eastAsiaTheme="minorEastAsia"/>
          <w:color w:val="auto"/>
          <w:sz w:val="24"/>
          <w:highlight w:val="none"/>
        </w:rPr>
        <w:t>供应商私下交换意见。</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4、在谈判工作结束后，所有接触谈判的人员不得也不应将谈判情况扩散出相关人员之外。</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5、谈判小组不向</w:t>
      </w:r>
      <w:r>
        <w:rPr>
          <w:rFonts w:hint="eastAsia" w:asciiTheme="minorEastAsia" w:hAnsiTheme="minorEastAsia" w:eastAsiaTheme="minorEastAsia"/>
          <w:color w:val="auto"/>
          <w:sz w:val="24"/>
          <w:highlight w:val="none"/>
        </w:rPr>
        <w:t>供应商解释未成交原因，不退还报价文件。</w:t>
      </w:r>
    </w:p>
    <w:p>
      <w:pP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6、</w:t>
      </w:r>
      <w:r>
        <w:rPr>
          <w:rFonts w:hint="eastAsia" w:asciiTheme="minorEastAsia" w:hAnsiTheme="minorEastAsia" w:eastAsiaTheme="minorEastAsia"/>
          <w:color w:val="auto"/>
          <w:sz w:val="24"/>
          <w:highlight w:val="none"/>
        </w:rPr>
        <w:t>供应商对本次采购活动如有异议，可在项目结束后三个工作日内向中粮糖业股份有限公司</w:t>
      </w:r>
      <w:r>
        <w:rPr>
          <w:rFonts w:hint="eastAsia" w:asciiTheme="minorEastAsia" w:hAnsiTheme="minorEastAsia" w:eastAsiaTheme="minorEastAsia"/>
          <w:color w:val="auto"/>
          <w:sz w:val="24"/>
          <w:highlight w:val="none"/>
        </w:rPr>
        <w:t>纪委办公室提出书面质疑材料。</w:t>
      </w:r>
    </w:p>
    <w:p>
      <w:pPr>
        <w:spacing w:line="520" w:lineRule="exact"/>
        <w:rPr>
          <w:rFonts w:asciiTheme="minorEastAsia" w:hAnsiTheme="minorEastAsia" w:eastAsiaTheme="minorEastAsia"/>
          <w:color w:val="auto"/>
          <w:sz w:val="28"/>
          <w:szCs w:val="28"/>
          <w:highlight w:val="none"/>
        </w:rPr>
      </w:pPr>
    </w:p>
    <w:p>
      <w:pPr>
        <w:pStyle w:val="11"/>
        <w:rPr>
          <w:rFonts w:asciiTheme="minorEastAsia" w:hAnsiTheme="minorEastAsia" w:eastAsiaTheme="minorEastAsia"/>
          <w:color w:val="auto"/>
          <w:highlight w:val="none"/>
        </w:rPr>
      </w:pPr>
    </w:p>
    <w:p>
      <w:pPr>
        <w:rPr>
          <w:rFonts w:asciiTheme="minorEastAsia" w:hAnsiTheme="minorEastAsia" w:eastAsiaTheme="minorEastAsia"/>
          <w:b/>
          <w:color w:val="auto"/>
          <w:sz w:val="44"/>
          <w:szCs w:val="44"/>
          <w:highlight w:val="none"/>
        </w:rPr>
      </w:pPr>
      <w:r>
        <w:rPr>
          <w:rFonts w:asciiTheme="minorEastAsia" w:hAnsiTheme="minorEastAsia" w:eastAsiaTheme="minorEastAsia"/>
          <w:b/>
          <w:color w:val="auto"/>
          <w:sz w:val="44"/>
          <w:szCs w:val="44"/>
          <w:highlight w:val="none"/>
        </w:rPr>
        <w:br w:type="page"/>
      </w:r>
    </w:p>
    <w:p>
      <w:pPr>
        <w:jc w:val="center"/>
        <w:outlineLvl w:val="0"/>
        <w:rPr>
          <w:rFonts w:asciiTheme="minorEastAsia" w:hAnsiTheme="minorEastAsia" w:eastAsiaTheme="minorEastAsia"/>
          <w:b/>
          <w:color w:val="auto"/>
          <w:sz w:val="44"/>
          <w:szCs w:val="44"/>
          <w:highlight w:val="none"/>
        </w:rPr>
      </w:pPr>
      <w:r>
        <w:rPr>
          <w:rFonts w:hint="eastAsia" w:asciiTheme="minorEastAsia" w:hAnsiTheme="minorEastAsia" w:eastAsiaTheme="minorEastAsia"/>
          <w:b/>
          <w:color w:val="auto"/>
          <w:sz w:val="44"/>
          <w:szCs w:val="44"/>
          <w:highlight w:val="none"/>
        </w:rPr>
        <w:t>第三部分 项目内容和要求</w:t>
      </w:r>
    </w:p>
    <w:p>
      <w:pPr>
        <w:pStyle w:val="11"/>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（打★号项不得负偏离）</w:t>
      </w:r>
    </w:p>
    <w:p>
      <w:pPr>
        <w:numPr>
          <w:ilvl w:val="0"/>
          <w:numId w:val="4"/>
        </w:numPr>
        <w:spacing w:line="360" w:lineRule="auto"/>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采购范围</w:t>
      </w:r>
    </w:p>
    <w:tbl>
      <w:tblPr>
        <w:tblStyle w:val="22"/>
        <w:tblpPr w:leftFromText="180" w:rightFromText="180" w:vertAnchor="text" w:horzAnchor="page" w:tblpX="1510" w:tblpY="232"/>
        <w:tblOverlap w:val="never"/>
        <w:tblW w:w="9062" w:type="dxa"/>
        <w:tblInd w:w="0" w:type="dxa"/>
        <w:tblLayout w:type="fixed"/>
        <w:tblCellMar>
          <w:top w:w="0" w:type="dxa"/>
          <w:left w:w="108" w:type="dxa"/>
          <w:bottom w:w="0" w:type="dxa"/>
          <w:right w:w="108" w:type="dxa"/>
        </w:tblCellMar>
      </w:tblPr>
      <w:tblGrid>
        <w:gridCol w:w="777"/>
        <w:gridCol w:w="2195"/>
        <w:gridCol w:w="3127"/>
        <w:gridCol w:w="945"/>
        <w:gridCol w:w="802"/>
        <w:gridCol w:w="1216"/>
      </w:tblGrid>
      <w:tr>
        <w:tblPrEx>
          <w:tblCellMar>
            <w:top w:w="0" w:type="dxa"/>
            <w:left w:w="108" w:type="dxa"/>
            <w:bottom w:w="0" w:type="dxa"/>
            <w:right w:w="108" w:type="dxa"/>
          </w:tblCellMar>
        </w:tblPrEx>
        <w:trPr>
          <w:trHeight w:val="510" w:hRule="atLeast"/>
          <w:tblHeader/>
        </w:trPr>
        <w:tc>
          <w:tcPr>
            <w:tcW w:w="777" w:type="dxa"/>
            <w:tcBorders>
              <w:top w:val="single" w:color="auto" w:sz="4" w:space="0"/>
              <w:left w:val="single" w:color="auto" w:sz="4" w:space="0"/>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序号</w:t>
            </w:r>
          </w:p>
        </w:tc>
        <w:tc>
          <w:tcPr>
            <w:tcW w:w="2195" w:type="dxa"/>
            <w:tcBorders>
              <w:top w:val="single" w:color="auto" w:sz="4" w:space="0"/>
              <w:left w:val="nil"/>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设备名称</w:t>
            </w:r>
          </w:p>
        </w:tc>
        <w:tc>
          <w:tcPr>
            <w:tcW w:w="3127" w:type="dxa"/>
            <w:tcBorders>
              <w:top w:val="single" w:color="auto" w:sz="4" w:space="0"/>
              <w:left w:val="nil"/>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规格型号</w:t>
            </w:r>
          </w:p>
        </w:tc>
        <w:tc>
          <w:tcPr>
            <w:tcW w:w="945" w:type="dxa"/>
            <w:tcBorders>
              <w:top w:val="single" w:color="auto" w:sz="4" w:space="0"/>
              <w:left w:val="nil"/>
              <w:bottom w:val="nil"/>
              <w:right w:val="single" w:color="auto" w:sz="4" w:space="0"/>
            </w:tcBorders>
            <w:vAlign w:val="center"/>
          </w:tcPr>
          <w:p>
            <w:pPr>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单位</w:t>
            </w:r>
          </w:p>
        </w:tc>
        <w:tc>
          <w:tcPr>
            <w:tcW w:w="802" w:type="dxa"/>
            <w:tcBorders>
              <w:top w:val="single" w:color="auto" w:sz="4" w:space="0"/>
              <w:left w:val="nil"/>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数量</w:t>
            </w:r>
          </w:p>
        </w:tc>
        <w:tc>
          <w:tcPr>
            <w:tcW w:w="1216" w:type="dxa"/>
            <w:tcBorders>
              <w:top w:val="single" w:color="auto" w:sz="4" w:space="0"/>
              <w:left w:val="nil"/>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备注</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空降道闸入口</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对开总通过净宽</w:t>
            </w:r>
            <w:r>
              <w:rPr>
                <w:rFonts w:cs="宋体" w:asciiTheme="minorEastAsia" w:hAnsiTheme="minorEastAsia" w:eastAsiaTheme="minorEastAsia"/>
                <w:color w:val="auto"/>
                <w:sz w:val="24"/>
                <w:highlight w:val="none"/>
              </w:rPr>
              <w:t>7米</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216" w:type="dxa"/>
            <w:tcBorders>
              <w:top w:val="single" w:color="auto" w:sz="8" w:space="0"/>
              <w:left w:val="nil"/>
              <w:bottom w:val="single" w:color="auto" w:sz="8" w:space="0"/>
              <w:right w:val="single" w:color="auto" w:sz="4" w:space="0"/>
            </w:tcBorders>
            <w:vAlign w:val="center"/>
          </w:tcPr>
          <w:p>
            <w:pPr>
              <w:widowControl/>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详见图纸</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空降道闸出口</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对开总通过净宽</w:t>
            </w:r>
            <w:r>
              <w:rPr>
                <w:rFonts w:cs="宋体" w:asciiTheme="minorEastAsia" w:hAnsiTheme="minorEastAsia" w:eastAsiaTheme="minorEastAsia"/>
                <w:color w:val="auto"/>
                <w:sz w:val="24"/>
                <w:highlight w:val="none"/>
              </w:rPr>
              <w:t>5.8米</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216" w:type="dxa"/>
            <w:tcBorders>
              <w:top w:val="single" w:color="auto" w:sz="8" w:space="0"/>
              <w:left w:val="nil"/>
              <w:bottom w:val="single" w:color="auto" w:sz="8" w:space="0"/>
              <w:right w:val="single" w:color="auto" w:sz="4" w:space="0"/>
            </w:tcBorders>
            <w:vAlign w:val="center"/>
          </w:tcPr>
          <w:p>
            <w:pPr>
              <w:widowControl/>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详见图纸</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w:t>
            </w:r>
          </w:p>
        </w:tc>
        <w:tc>
          <w:tcPr>
            <w:tcW w:w="2195" w:type="dxa"/>
            <w:tcBorders>
              <w:top w:val="single" w:color="auto" w:sz="8" w:space="0"/>
              <w:left w:val="nil"/>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人行速通翼闸室外款</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单机芯（双向通行）</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216" w:type="dxa"/>
            <w:tcBorders>
              <w:top w:val="single" w:color="auto" w:sz="8" w:space="0"/>
              <w:left w:val="nil"/>
              <w:right w:val="single" w:color="auto" w:sz="4" w:space="0"/>
            </w:tcBorders>
            <w:vAlign w:val="center"/>
          </w:tcPr>
          <w:p>
            <w:pPr>
              <w:widowControl/>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宽度根据现场设计</w:t>
            </w:r>
          </w:p>
        </w:tc>
      </w:tr>
      <w:tr>
        <w:tblPrEx>
          <w:tblCellMar>
            <w:top w:w="0" w:type="dxa"/>
            <w:left w:w="108" w:type="dxa"/>
            <w:bottom w:w="0" w:type="dxa"/>
            <w:right w:w="108" w:type="dxa"/>
          </w:tblCellMar>
        </w:tblPrEx>
        <w:trPr>
          <w:trHeight w:val="512"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电动铝合金小门</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约</w:t>
            </w:r>
            <w:r>
              <w:rPr>
                <w:rFonts w:cs="宋体" w:asciiTheme="minorEastAsia" w:hAnsiTheme="minorEastAsia" w:eastAsiaTheme="minorEastAsia"/>
                <w:color w:val="auto"/>
                <w:sz w:val="24"/>
                <w:highlight w:val="none"/>
              </w:rPr>
              <w:t>1.2米宽，高度与速通翼闸同高</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216" w:type="dxa"/>
            <w:tcBorders>
              <w:top w:val="single" w:color="auto" w:sz="8" w:space="0"/>
              <w:left w:val="nil"/>
              <w:bottom w:val="single" w:color="auto" w:sz="8" w:space="0"/>
              <w:right w:val="single" w:color="auto" w:sz="4" w:space="0"/>
            </w:tcBorders>
            <w:vAlign w:val="center"/>
          </w:tcPr>
          <w:p>
            <w:pPr>
              <w:widowControl/>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宽度根据现场设计</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5</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电动悬浮门</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门宽</w:t>
            </w:r>
            <w:r>
              <w:rPr>
                <w:rFonts w:cs="宋体" w:asciiTheme="minorEastAsia" w:hAnsiTheme="minorEastAsia" w:eastAsiaTheme="minorEastAsia"/>
                <w:color w:val="auto"/>
                <w:sz w:val="24"/>
                <w:highlight w:val="none"/>
              </w:rPr>
              <w:t>13.9米</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216" w:type="dxa"/>
            <w:tcBorders>
              <w:top w:val="single" w:color="auto" w:sz="8" w:space="0"/>
              <w:left w:val="nil"/>
              <w:bottom w:val="single" w:color="auto" w:sz="8" w:space="0"/>
              <w:right w:val="single" w:color="auto" w:sz="4" w:space="0"/>
            </w:tcBorders>
            <w:vAlign w:val="center"/>
          </w:tcPr>
          <w:p>
            <w:pPr>
              <w:widowControl/>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详见图纸</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6</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单杆道闸</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hint="default" w:cs="宋体" w:asciiTheme="minorEastAsia" w:hAnsiTheme="minorEastAsia" w:eastAsiaTheme="minorEastAsia"/>
                <w:color w:val="auto"/>
                <w:sz w:val="24"/>
                <w:highlight w:val="none"/>
                <w:lang w:val="en-US" w:eastAsia="zh-CN"/>
              </w:rPr>
            </w:pPr>
            <w:r>
              <w:rPr>
                <w:rFonts w:cs="宋体" w:asciiTheme="minorEastAsia" w:hAnsiTheme="minorEastAsia" w:eastAsiaTheme="minorEastAsia"/>
                <w:color w:val="auto"/>
                <w:sz w:val="24"/>
                <w:highlight w:val="none"/>
              </w:rPr>
              <w:t>6米杆（含机箱），起落杆时间6S</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hint="eastAsia" w:cs="宋体" w:asciiTheme="minorEastAsia" w:hAnsiTheme="minorEastAsia" w:eastAsiaTheme="minorEastAsia"/>
                <w:color w:val="auto"/>
                <w:sz w:val="24"/>
                <w:highlight w:val="none"/>
                <w:lang w:eastAsia="zh-CN"/>
              </w:rPr>
            </w:pPr>
            <w:r>
              <w:rPr>
                <w:rFonts w:hint="eastAsia" w:cs="宋体" w:asciiTheme="minorEastAsia" w:hAnsiTheme="minorEastAsia" w:eastAsiaTheme="minorEastAsia"/>
                <w:color w:val="auto"/>
                <w:sz w:val="24"/>
                <w:highlight w:val="none"/>
                <w:lang w:val="en-US" w:eastAsia="zh-CN"/>
              </w:rPr>
              <w:t>4</w:t>
            </w:r>
          </w:p>
        </w:tc>
        <w:tc>
          <w:tcPr>
            <w:tcW w:w="1216" w:type="dxa"/>
            <w:tcBorders>
              <w:top w:val="single" w:color="auto" w:sz="8" w:space="0"/>
              <w:left w:val="nil"/>
              <w:bottom w:val="single" w:color="auto" w:sz="8" w:space="0"/>
              <w:right w:val="single" w:color="auto" w:sz="4" w:space="0"/>
            </w:tcBorders>
            <w:vAlign w:val="center"/>
          </w:tcPr>
          <w:p>
            <w:pPr>
              <w:widowControl/>
              <w:rPr>
                <w:rFonts w:hint="default" w:cs="宋体" w:asciiTheme="minorEastAsia" w:hAnsiTheme="minorEastAsia" w:eastAsiaTheme="minorEastAsia"/>
                <w:color w:val="auto"/>
                <w:sz w:val="24"/>
                <w:highlight w:val="none"/>
                <w:lang w:val="en-US" w:eastAsia="zh-CN"/>
              </w:rPr>
            </w:pPr>
            <w:r>
              <w:rPr>
                <w:rFonts w:hint="eastAsia" w:cs="宋体" w:asciiTheme="minorEastAsia" w:hAnsiTheme="minorEastAsia" w:eastAsiaTheme="minorEastAsia"/>
                <w:color w:val="auto"/>
                <w:sz w:val="24"/>
                <w:highlight w:val="none"/>
              </w:rPr>
              <w:t>详见图纸</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lang w:val="en-US" w:eastAsia="zh-CN"/>
              </w:rPr>
              <w:t>提供4根6m可替换的备用杆</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7</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电动铝合金小门（净宽</w:t>
            </w:r>
            <w:r>
              <w:rPr>
                <w:rFonts w:cs="宋体" w:asciiTheme="minorEastAsia" w:hAnsiTheme="minorEastAsia" w:eastAsiaTheme="minorEastAsia"/>
                <w:color w:val="auto"/>
                <w:sz w:val="24"/>
                <w:highlight w:val="none"/>
              </w:rPr>
              <w:t>1.8米）</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0.9米宽*1.6米高+0.9米铝合金栅栏*1.6米高</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216" w:type="dxa"/>
            <w:tcBorders>
              <w:top w:val="single" w:color="auto" w:sz="8" w:space="0"/>
              <w:left w:val="nil"/>
              <w:bottom w:val="single" w:color="auto" w:sz="8" w:space="0"/>
              <w:right w:val="single" w:color="auto" w:sz="4" w:space="0"/>
            </w:tcBorders>
            <w:vAlign w:val="center"/>
          </w:tcPr>
          <w:p>
            <w:pPr>
              <w:widowControl/>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详见图纸</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8</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铝合金栅栏</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与人行道闸同高，长度</w:t>
            </w:r>
            <w:r>
              <w:rPr>
                <w:rFonts w:cs="宋体" w:asciiTheme="minorEastAsia" w:hAnsiTheme="minorEastAsia" w:eastAsiaTheme="minorEastAsia"/>
                <w:color w:val="auto"/>
                <w:sz w:val="24"/>
                <w:highlight w:val="none"/>
              </w:rPr>
              <w:t>5.5米</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216" w:type="dxa"/>
            <w:tcBorders>
              <w:top w:val="single" w:color="auto" w:sz="8" w:space="0"/>
              <w:left w:val="nil"/>
              <w:bottom w:val="single" w:color="auto" w:sz="8" w:space="0"/>
              <w:right w:val="single" w:color="auto" w:sz="4" w:space="0"/>
            </w:tcBorders>
            <w:vAlign w:val="center"/>
          </w:tcPr>
          <w:p>
            <w:pPr>
              <w:widowControl/>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详见图纸</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9</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人行通道摆闸室外款</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单机芯（通道宽度</w:t>
            </w:r>
            <w:r>
              <w:rPr>
                <w:rFonts w:cs="宋体" w:asciiTheme="minorEastAsia" w:hAnsiTheme="minorEastAsia" w:eastAsiaTheme="minorEastAsia"/>
                <w:color w:val="auto"/>
                <w:sz w:val="24"/>
                <w:highlight w:val="none"/>
              </w:rPr>
              <w:t>1.5m）</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216" w:type="dxa"/>
            <w:tcBorders>
              <w:top w:val="single" w:color="auto" w:sz="8" w:space="0"/>
              <w:left w:val="nil"/>
              <w:bottom w:val="single" w:color="auto" w:sz="8" w:space="0"/>
              <w:right w:val="single" w:color="auto" w:sz="4" w:space="0"/>
            </w:tcBorders>
            <w:vAlign w:val="center"/>
          </w:tcPr>
          <w:p>
            <w:pPr>
              <w:widowControl/>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人脸识别</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10</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单杆道闸</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hint="default" w:cs="宋体" w:asciiTheme="minorEastAsia" w:hAnsiTheme="minorEastAsia" w:eastAsiaTheme="minorEastAsia"/>
                <w:color w:val="auto"/>
                <w:sz w:val="24"/>
                <w:highlight w:val="none"/>
                <w:lang w:val="en-US" w:eastAsia="zh-CN"/>
              </w:rPr>
            </w:pPr>
            <w:r>
              <w:rPr>
                <w:rFonts w:cs="宋体" w:asciiTheme="minorEastAsia" w:hAnsiTheme="minorEastAsia" w:eastAsiaTheme="minorEastAsia"/>
                <w:color w:val="auto"/>
                <w:sz w:val="24"/>
                <w:highlight w:val="none"/>
              </w:rPr>
              <w:t>3米杆（含机箱），起落杆时间6S</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hint="eastAsia" w:cs="宋体" w:asciiTheme="minorEastAsia" w:hAnsiTheme="minorEastAsia" w:eastAsiaTheme="minorEastAsia"/>
                <w:color w:val="auto"/>
                <w:sz w:val="24"/>
                <w:highlight w:val="none"/>
                <w:lang w:eastAsia="zh-CN"/>
              </w:rPr>
            </w:pPr>
            <w:r>
              <w:rPr>
                <w:rFonts w:hint="eastAsia" w:cs="宋体" w:asciiTheme="minorEastAsia" w:hAnsiTheme="minorEastAsia" w:eastAsiaTheme="minorEastAsia"/>
                <w:color w:val="auto"/>
                <w:sz w:val="24"/>
                <w:highlight w:val="none"/>
                <w:lang w:val="en-US" w:eastAsia="zh-CN"/>
              </w:rPr>
              <w:t>2</w:t>
            </w:r>
          </w:p>
        </w:tc>
        <w:tc>
          <w:tcPr>
            <w:tcW w:w="1216" w:type="dxa"/>
            <w:tcBorders>
              <w:top w:val="single" w:color="auto" w:sz="8" w:space="0"/>
              <w:left w:val="nil"/>
              <w:bottom w:val="single" w:color="auto" w:sz="8" w:space="0"/>
              <w:right w:val="single" w:color="auto" w:sz="4" w:space="0"/>
            </w:tcBorders>
            <w:vAlign w:val="center"/>
          </w:tcPr>
          <w:p>
            <w:pPr>
              <w:widowControl/>
              <w:rPr>
                <w:rFonts w:hint="default" w:cs="宋体" w:asciiTheme="minorEastAsia" w:hAnsiTheme="minorEastAsia" w:eastAsiaTheme="minorEastAsia"/>
                <w:color w:val="auto"/>
                <w:sz w:val="24"/>
                <w:highlight w:val="none"/>
                <w:lang w:val="en-US" w:eastAsia="zh-CN"/>
              </w:rPr>
            </w:pPr>
            <w:r>
              <w:rPr>
                <w:rFonts w:hint="eastAsia" w:cs="宋体" w:asciiTheme="minorEastAsia" w:hAnsiTheme="minorEastAsia" w:eastAsiaTheme="minorEastAsia"/>
                <w:color w:val="auto"/>
                <w:sz w:val="24"/>
                <w:highlight w:val="none"/>
              </w:rPr>
              <w:t>详见图纸</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lang w:val="en-US" w:eastAsia="zh-CN"/>
              </w:rPr>
              <w:t>提供2根3m可替换的备用杆</w:t>
            </w:r>
          </w:p>
        </w:tc>
      </w:tr>
      <w:tr>
        <w:tblPrEx>
          <w:tblCellMar>
            <w:top w:w="0" w:type="dxa"/>
            <w:left w:w="108" w:type="dxa"/>
            <w:bottom w:w="0" w:type="dxa"/>
            <w:right w:w="108" w:type="dxa"/>
          </w:tblCellMar>
        </w:tblPrEx>
        <w:trPr>
          <w:trHeight w:val="510" w:hRule="atLeast"/>
        </w:trPr>
        <w:tc>
          <w:tcPr>
            <w:tcW w:w="77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11</w:t>
            </w:r>
          </w:p>
        </w:tc>
        <w:tc>
          <w:tcPr>
            <w:tcW w:w="219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电脑整机</w:t>
            </w:r>
          </w:p>
        </w:tc>
        <w:tc>
          <w:tcPr>
            <w:tcW w:w="312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I5 13代CPU</w:t>
            </w:r>
          </w:p>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16G内存+1T硬盘、23寸显示器</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80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w:t>
            </w:r>
          </w:p>
        </w:tc>
        <w:tc>
          <w:tcPr>
            <w:tcW w:w="1216" w:type="dxa"/>
            <w:tcBorders>
              <w:top w:val="single" w:color="auto" w:sz="8" w:space="0"/>
              <w:left w:val="nil"/>
              <w:bottom w:val="single" w:color="auto" w:sz="8" w:space="0"/>
              <w:right w:val="single" w:color="auto" w:sz="4" w:space="0"/>
            </w:tcBorders>
            <w:vAlign w:val="center"/>
          </w:tcPr>
          <w:p>
            <w:pPr>
              <w:widowControl/>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品牌：国产一线品牌</w:t>
            </w:r>
          </w:p>
        </w:tc>
      </w:tr>
    </w:tbl>
    <w:p>
      <w:pPr>
        <w:pStyle w:val="11"/>
        <w:rPr>
          <w:rFonts w:cs="宋体" w:asciiTheme="minorEastAsia" w:hAnsiTheme="minorEastAsia" w:eastAsiaTheme="minorEastAsia"/>
          <w:b/>
          <w:color w:val="auto"/>
          <w:sz w:val="24"/>
          <w:szCs w:val="24"/>
          <w:highlight w:val="none"/>
        </w:rPr>
      </w:pPr>
    </w:p>
    <w:p>
      <w:pPr>
        <w:pStyle w:val="11"/>
        <w:ind w:firstLine="241" w:firstLineChars="100"/>
        <w:rPr>
          <w:rFonts w:cs="宋体" w:asciiTheme="minorEastAsia" w:hAnsiTheme="minorEastAsia" w:eastAsiaTheme="minorEastAsia"/>
          <w:b/>
          <w:color w:val="auto"/>
          <w:sz w:val="24"/>
          <w:szCs w:val="24"/>
          <w:highlight w:val="none"/>
        </w:rPr>
      </w:pPr>
      <w:r>
        <w:rPr>
          <w:rFonts w:hint="eastAsia" w:cs="宋体" w:asciiTheme="minorEastAsia" w:hAnsiTheme="minorEastAsia" w:eastAsiaTheme="minorEastAsia"/>
          <w:b/>
          <w:color w:val="auto"/>
          <w:sz w:val="24"/>
          <w:szCs w:val="24"/>
          <w:highlight w:val="none"/>
        </w:rPr>
        <w:t>供货范围：</w:t>
      </w:r>
    </w:p>
    <w:tbl>
      <w:tblPr>
        <w:tblStyle w:val="22"/>
        <w:tblpPr w:leftFromText="180" w:rightFromText="180" w:vertAnchor="text" w:horzAnchor="page" w:tblpX="1510" w:tblpY="232"/>
        <w:tblOverlap w:val="never"/>
        <w:tblW w:w="9062" w:type="dxa"/>
        <w:tblInd w:w="0" w:type="dxa"/>
        <w:tblLayout w:type="fixed"/>
        <w:tblCellMar>
          <w:top w:w="0" w:type="dxa"/>
          <w:left w:w="108" w:type="dxa"/>
          <w:bottom w:w="0" w:type="dxa"/>
          <w:right w:w="108" w:type="dxa"/>
        </w:tblCellMar>
      </w:tblPr>
      <w:tblGrid>
        <w:gridCol w:w="791"/>
        <w:gridCol w:w="2215"/>
        <w:gridCol w:w="3095"/>
        <w:gridCol w:w="944"/>
        <w:gridCol w:w="957"/>
        <w:gridCol w:w="1060"/>
      </w:tblGrid>
      <w:tr>
        <w:tblPrEx>
          <w:tblCellMar>
            <w:top w:w="0" w:type="dxa"/>
            <w:left w:w="108" w:type="dxa"/>
            <w:bottom w:w="0" w:type="dxa"/>
            <w:right w:w="108" w:type="dxa"/>
          </w:tblCellMar>
        </w:tblPrEx>
        <w:trPr>
          <w:trHeight w:val="510" w:hRule="atLeast"/>
          <w:tblHeader/>
        </w:trPr>
        <w:tc>
          <w:tcPr>
            <w:tcW w:w="790" w:type="dxa"/>
            <w:tcBorders>
              <w:top w:val="single" w:color="auto" w:sz="4" w:space="0"/>
              <w:left w:val="single" w:color="auto" w:sz="4" w:space="0"/>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序号</w:t>
            </w:r>
          </w:p>
        </w:tc>
        <w:tc>
          <w:tcPr>
            <w:tcW w:w="2212" w:type="dxa"/>
            <w:tcBorders>
              <w:top w:val="single" w:color="auto" w:sz="4" w:space="0"/>
              <w:left w:val="nil"/>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设备名称</w:t>
            </w:r>
          </w:p>
        </w:tc>
        <w:tc>
          <w:tcPr>
            <w:tcW w:w="3097" w:type="dxa"/>
            <w:tcBorders>
              <w:top w:val="single" w:color="auto" w:sz="4" w:space="0"/>
              <w:left w:val="nil"/>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规格型号</w:t>
            </w:r>
          </w:p>
        </w:tc>
        <w:tc>
          <w:tcPr>
            <w:tcW w:w="945" w:type="dxa"/>
            <w:tcBorders>
              <w:top w:val="single" w:color="auto" w:sz="4" w:space="0"/>
              <w:left w:val="nil"/>
              <w:bottom w:val="nil"/>
              <w:right w:val="single" w:color="auto" w:sz="4" w:space="0"/>
            </w:tcBorders>
            <w:vAlign w:val="center"/>
          </w:tcPr>
          <w:p>
            <w:pPr>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单位</w:t>
            </w:r>
          </w:p>
        </w:tc>
        <w:tc>
          <w:tcPr>
            <w:tcW w:w="958" w:type="dxa"/>
            <w:tcBorders>
              <w:top w:val="single" w:color="auto" w:sz="4" w:space="0"/>
              <w:left w:val="nil"/>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数量</w:t>
            </w:r>
          </w:p>
        </w:tc>
        <w:tc>
          <w:tcPr>
            <w:tcW w:w="1060" w:type="dxa"/>
            <w:tcBorders>
              <w:top w:val="single" w:color="auto" w:sz="4" w:space="0"/>
              <w:left w:val="nil"/>
              <w:bottom w:val="nil"/>
              <w:right w:val="single" w:color="auto" w:sz="4" w:space="0"/>
            </w:tcBorders>
            <w:vAlign w:val="center"/>
          </w:tcPr>
          <w:p>
            <w:pPr>
              <w:widowControl/>
              <w:jc w:val="center"/>
              <w:rPr>
                <w:rFonts w:cs="宋体" w:asciiTheme="minorEastAsia" w:hAnsiTheme="minorEastAsia" w:eastAsiaTheme="minorEastAsia"/>
                <w:b/>
                <w:bCs/>
                <w:color w:val="auto"/>
                <w:kern w:val="0"/>
                <w:sz w:val="24"/>
                <w:highlight w:val="none"/>
              </w:rPr>
            </w:pPr>
            <w:r>
              <w:rPr>
                <w:rFonts w:hint="eastAsia" w:cs="宋体" w:asciiTheme="minorEastAsia" w:hAnsiTheme="minorEastAsia" w:eastAsiaTheme="minorEastAsia"/>
                <w:b/>
                <w:bCs/>
                <w:color w:val="auto"/>
                <w:kern w:val="0"/>
                <w:sz w:val="24"/>
                <w:highlight w:val="none"/>
              </w:rPr>
              <w:t>备注</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8272" w:type="dxa"/>
            <w:gridSpan w:val="5"/>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空降道闸入口</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1.1</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车牌识别主机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主抓拍</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1.2</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车牌识别辅机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辅助抓拍</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8272" w:type="dxa"/>
            <w:gridSpan w:val="5"/>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空降道闸出口</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2.1</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车牌识别主机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主抓拍</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2.2</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车牌识别辅机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辅助抓拍</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w:t>
            </w:r>
          </w:p>
        </w:tc>
        <w:tc>
          <w:tcPr>
            <w:tcW w:w="8272" w:type="dxa"/>
            <w:gridSpan w:val="5"/>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人行速通翼闸室外款</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3.1</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单机芯</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双向同行</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3.3</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人脸识别机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含触摸屏设置</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防雨</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w:t>
            </w:r>
          </w:p>
        </w:tc>
        <w:tc>
          <w:tcPr>
            <w:tcW w:w="8272" w:type="dxa"/>
            <w:gridSpan w:val="5"/>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电动铝合金小门</w:t>
            </w:r>
            <w:r>
              <w:rPr>
                <w:rFonts w:cs="宋体" w:asciiTheme="minorEastAsia" w:hAnsiTheme="minorEastAsia" w:eastAsiaTheme="minorEastAsia"/>
                <w:color w:val="auto"/>
                <w:sz w:val="24"/>
                <w:highlight w:val="none"/>
              </w:rPr>
              <w:t>-约1.2米宽，高度与速通翼闸同高</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4.1</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人脸识别机</w:t>
            </w:r>
          </w:p>
        </w:tc>
        <w:tc>
          <w:tcPr>
            <w:tcW w:w="309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含触摸屏设置</w:t>
            </w:r>
          </w:p>
        </w:tc>
        <w:tc>
          <w:tcPr>
            <w:tcW w:w="945"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防雨</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5</w:t>
            </w:r>
          </w:p>
        </w:tc>
        <w:tc>
          <w:tcPr>
            <w:tcW w:w="2217" w:type="dxa"/>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电动悬浮门</w:t>
            </w:r>
          </w:p>
        </w:tc>
        <w:tc>
          <w:tcPr>
            <w:tcW w:w="3097" w:type="dxa"/>
            <w:tcBorders>
              <w:top w:val="single" w:color="auto" w:sz="8" w:space="0"/>
              <w:left w:val="single" w:color="auto" w:sz="4" w:space="0"/>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门洞尺寸：</w:t>
            </w:r>
            <w:r>
              <w:rPr>
                <w:rFonts w:cs="宋体" w:asciiTheme="minorEastAsia" w:hAnsiTheme="minorEastAsia" w:eastAsiaTheme="minorEastAsia"/>
                <w:color w:val="auto"/>
                <w:sz w:val="24"/>
                <w:highlight w:val="none"/>
              </w:rPr>
              <w:t>12.8m*0.55m*1.55m</w:t>
            </w:r>
          </w:p>
        </w:tc>
        <w:tc>
          <w:tcPr>
            <w:tcW w:w="940" w:type="dxa"/>
            <w:tcBorders>
              <w:top w:val="single" w:color="auto" w:sz="8" w:space="0"/>
              <w:left w:val="single" w:color="auto" w:sz="4" w:space="0"/>
              <w:bottom w:val="single" w:color="auto" w:sz="8" w:space="0"/>
              <w:right w:val="single" w:color="auto" w:sz="4" w:space="0"/>
            </w:tcBorders>
            <w:vAlign w:val="center"/>
          </w:tcPr>
          <w:p>
            <w:pPr>
              <w:widowControl/>
              <w:ind w:firstLine="240" w:firstLineChars="1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957"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061" w:type="dxa"/>
            <w:tcBorders>
              <w:top w:val="single" w:color="auto" w:sz="8" w:space="0"/>
              <w:left w:val="single" w:color="auto" w:sz="4" w:space="0"/>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6</w:t>
            </w:r>
          </w:p>
        </w:tc>
        <w:tc>
          <w:tcPr>
            <w:tcW w:w="7211" w:type="dxa"/>
            <w:gridSpan w:val="4"/>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单杆道闸</w:t>
            </w:r>
          </w:p>
        </w:tc>
        <w:tc>
          <w:tcPr>
            <w:tcW w:w="1061" w:type="dxa"/>
            <w:tcBorders>
              <w:top w:val="single" w:color="auto" w:sz="8" w:space="0"/>
              <w:left w:val="single" w:color="auto" w:sz="4" w:space="0"/>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6.1</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车牌识别主机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主抓拍</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6.2</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车牌识别辅机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辅抓拍</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7</w:t>
            </w:r>
          </w:p>
        </w:tc>
        <w:tc>
          <w:tcPr>
            <w:tcW w:w="2212" w:type="dxa"/>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电动铝合金小门</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0.9米宽*1.6米高+0.9米铝合金栅栏*1.6米高</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7.1</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人脸识别机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含触摸屏设置</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8</w:t>
            </w:r>
          </w:p>
        </w:tc>
        <w:tc>
          <w:tcPr>
            <w:tcW w:w="2212" w:type="dxa"/>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单杆道闸</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3.5米杆（含机箱），起落杆时间6S</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8.1</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车牌识别主机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主抓拍</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9</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人行通道摆闸室外款</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单机芯（双向通行）</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防雨</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9.1</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人脸识别机</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含触摸屏设置</w:t>
            </w: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台</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防雨</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10</w:t>
            </w:r>
          </w:p>
        </w:tc>
        <w:tc>
          <w:tcPr>
            <w:tcW w:w="8272" w:type="dxa"/>
            <w:gridSpan w:val="5"/>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电脑整机</w:t>
            </w:r>
            <w:r>
              <w:rPr>
                <w:rFonts w:cs="宋体" w:asciiTheme="minorEastAsia" w:hAnsiTheme="minorEastAsia" w:eastAsiaTheme="minorEastAsia"/>
                <w:color w:val="auto"/>
                <w:sz w:val="24"/>
                <w:highlight w:val="none"/>
              </w:rPr>
              <w:t xml:space="preserve"> </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11</w:t>
            </w:r>
          </w:p>
        </w:tc>
        <w:tc>
          <w:tcPr>
            <w:tcW w:w="8272" w:type="dxa"/>
            <w:gridSpan w:val="5"/>
            <w:tcBorders>
              <w:top w:val="single" w:color="auto" w:sz="8" w:space="0"/>
              <w:left w:val="nil"/>
              <w:bottom w:val="single" w:color="auto" w:sz="8" w:space="0"/>
              <w:right w:val="single" w:color="auto" w:sz="4" w:space="0"/>
            </w:tcBorders>
            <w:vAlign w:val="center"/>
          </w:tcPr>
          <w:p>
            <w:pPr>
              <w:widowControl/>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辅材</w:t>
            </w: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11.1</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电源线</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11.2</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网线</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11.3</w:t>
            </w:r>
          </w:p>
        </w:tc>
        <w:tc>
          <w:tcPr>
            <w:tcW w:w="2212"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线管</w:t>
            </w:r>
          </w:p>
        </w:tc>
        <w:tc>
          <w:tcPr>
            <w:tcW w:w="3097"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c>
          <w:tcPr>
            <w:tcW w:w="945"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套</w:t>
            </w:r>
          </w:p>
        </w:tc>
        <w:tc>
          <w:tcPr>
            <w:tcW w:w="958"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060" w:type="dxa"/>
            <w:tcBorders>
              <w:top w:val="single" w:color="auto" w:sz="8" w:space="0"/>
              <w:left w:val="nil"/>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p>
        </w:tc>
      </w:tr>
      <w:tr>
        <w:tblPrEx>
          <w:tblCellMar>
            <w:top w:w="0" w:type="dxa"/>
            <w:left w:w="108" w:type="dxa"/>
            <w:bottom w:w="0" w:type="dxa"/>
            <w:right w:w="108" w:type="dxa"/>
          </w:tblCellMar>
        </w:tblPrEx>
        <w:trPr>
          <w:trHeight w:val="510" w:hRule="atLeast"/>
        </w:trPr>
        <w:tc>
          <w:tcPr>
            <w:tcW w:w="790" w:type="dxa"/>
            <w:tcBorders>
              <w:top w:val="single" w:color="auto" w:sz="8" w:space="0"/>
              <w:left w:val="single" w:color="auto" w:sz="4" w:space="0"/>
              <w:bottom w:val="single" w:color="auto" w:sz="8" w:space="0"/>
              <w:right w:val="single" w:color="auto" w:sz="4" w:space="0"/>
            </w:tcBorders>
            <w:vAlign w:val="center"/>
          </w:tcPr>
          <w:p>
            <w:pPr>
              <w:widowControl/>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12</w:t>
            </w:r>
          </w:p>
        </w:tc>
        <w:tc>
          <w:tcPr>
            <w:tcW w:w="8272" w:type="dxa"/>
            <w:gridSpan w:val="5"/>
            <w:tcBorders>
              <w:top w:val="single" w:color="auto" w:sz="8" w:space="0"/>
              <w:left w:val="nil"/>
              <w:bottom w:val="single" w:color="auto" w:sz="8" w:space="0"/>
              <w:right w:val="single" w:color="auto" w:sz="4" w:space="0"/>
            </w:tcBorders>
            <w:vAlign w:val="center"/>
          </w:tcPr>
          <w:p>
            <w:pPr>
              <w:tabs>
                <w:tab w:val="left" w:pos="426"/>
                <w:tab w:val="left" w:pos="454"/>
              </w:tabs>
              <w:spacing w:line="360" w:lineRule="auto"/>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1.以上尺寸依据现场测量+图纸尺寸，实际尺寸以现场测量为准。</w:t>
            </w:r>
          </w:p>
          <w:p>
            <w:pPr>
              <w:tabs>
                <w:tab w:val="left" w:pos="426"/>
                <w:tab w:val="left" w:pos="454"/>
              </w:tabs>
              <w:spacing w:line="360" w:lineRule="auto"/>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2.价格包含安装、调试、运输等费用（交钥匙工程）.</w:t>
            </w:r>
          </w:p>
          <w:p>
            <w:pPr>
              <w:tabs>
                <w:tab w:val="left" w:pos="426"/>
                <w:tab w:val="left" w:pos="454"/>
              </w:tabs>
              <w:spacing w:line="360" w:lineRule="auto"/>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w:t>
            </w:r>
            <w:r>
              <w:rPr>
                <w:rFonts w:hint="eastAsia" w:cs="Arial" w:asciiTheme="minorEastAsia" w:hAnsiTheme="minorEastAsia" w:eastAsiaTheme="minorEastAsia"/>
                <w:color w:val="auto"/>
                <w:sz w:val="24"/>
                <w:highlight w:val="none"/>
              </w:rPr>
              <w:t>全部供货及施工周期</w:t>
            </w:r>
            <w:r>
              <w:rPr>
                <w:rFonts w:cs="Arial" w:asciiTheme="minorEastAsia" w:hAnsiTheme="minorEastAsia" w:eastAsiaTheme="minorEastAsia"/>
                <w:color w:val="auto"/>
                <w:sz w:val="24"/>
                <w:highlight w:val="none"/>
              </w:rPr>
              <w:t>20-30天。</w:t>
            </w:r>
          </w:p>
          <w:p>
            <w:pPr>
              <w:tabs>
                <w:tab w:val="left" w:pos="426"/>
                <w:tab w:val="left" w:pos="454"/>
              </w:tabs>
              <w:spacing w:line="360" w:lineRule="auto"/>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4.报价含增值税13%发票费用。</w:t>
            </w:r>
          </w:p>
          <w:p>
            <w:pPr>
              <w:tabs>
                <w:tab w:val="left" w:pos="426"/>
                <w:tab w:val="left" w:pos="454"/>
              </w:tabs>
              <w:spacing w:line="360" w:lineRule="auto"/>
              <w:rPr>
                <w:rFonts w:cs="宋体"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5.质保期12个月（质保期从运行之日起算12个月，或从安装调试竣工之日起算质保期18个月，以先到日期为准）</w:t>
            </w:r>
          </w:p>
        </w:tc>
      </w:tr>
    </w:tbl>
    <w:p>
      <w:pPr>
        <w:widowControl/>
        <w:jc w:val="left"/>
        <w:rPr>
          <w:rFonts w:cs="宋体" w:asciiTheme="minorEastAsia" w:hAnsiTheme="minorEastAsia" w:eastAsiaTheme="minorEastAsia"/>
          <w:color w:val="auto"/>
          <w:sz w:val="24"/>
          <w:highlight w:val="none"/>
        </w:rPr>
      </w:pPr>
    </w:p>
    <w:p>
      <w:pPr>
        <w:spacing w:line="360" w:lineRule="auto"/>
        <w:rPr>
          <w:rFonts w:cs="宋体" w:asciiTheme="minorEastAsia" w:hAnsiTheme="minorEastAsia" w:eastAsiaTheme="minorEastAsia"/>
          <w:b/>
          <w:color w:val="auto"/>
          <w:sz w:val="24"/>
          <w:highlight w:val="none"/>
        </w:rPr>
      </w:pPr>
      <w:r>
        <w:rPr>
          <w:rFonts w:cs="宋体" w:asciiTheme="minorEastAsia" w:hAnsiTheme="minorEastAsia" w:eastAsiaTheme="minorEastAsia"/>
          <w:b/>
          <w:color w:val="auto"/>
          <w:sz w:val="24"/>
          <w:highlight w:val="none"/>
        </w:rPr>
        <w:t>2</w:t>
      </w:r>
      <w:r>
        <w:rPr>
          <w:rFonts w:hint="eastAsia" w:cs="宋体" w:asciiTheme="minorEastAsia" w:hAnsiTheme="minorEastAsia" w:eastAsiaTheme="minorEastAsia"/>
          <w:b/>
          <w:color w:val="auto"/>
          <w:sz w:val="24"/>
          <w:highlight w:val="none"/>
        </w:rPr>
        <w:t>、一般性要求</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2.1本套</w:t>
      </w:r>
      <w:r>
        <w:rPr>
          <w:rFonts w:hint="eastAsia" w:cs="Arial" w:asciiTheme="minorEastAsia" w:hAnsiTheme="minorEastAsia" w:eastAsiaTheme="minorEastAsia"/>
          <w:color w:val="auto"/>
          <w:sz w:val="24"/>
          <w:highlight w:val="none"/>
          <w:lang w:eastAsia="zh-CN"/>
        </w:rPr>
        <w:t>大门及其门禁管理系统</w:t>
      </w:r>
      <w:r>
        <w:rPr>
          <w:rFonts w:cs="Arial" w:asciiTheme="minorEastAsia" w:hAnsiTheme="minorEastAsia" w:eastAsiaTheme="minorEastAsia"/>
          <w:color w:val="auto"/>
          <w:sz w:val="24"/>
          <w:highlight w:val="none"/>
        </w:rPr>
        <w:t>系统主要功能:</w:t>
      </w:r>
      <w:bookmarkStart w:id="24" w:name="_Toc10398"/>
      <w:bookmarkStart w:id="25" w:name="_Toc487797228"/>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人流门右侧两套对开空降道闸；左侧两套对开空降道闸+人脸识别进出翼闸+摩托车进出电动铝合金小门并排安装，车牌识别系统和人脸识别系统对接客户OA系统，人脸识别系统具备考勤功能、访客预约功能，车牌识别系统具备车辆进出权限控制功能，过期自动取消进出权限。</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1#、2#物流门要求电动悬浮门与单杆道闸组合使用，平时悬浮门全开，由道闸控制车流，夜晚悬浮门关闭，道闸具备车牌识别及记忆功能，具备车辆进出权限控制功能，过期自动取消进出权限。具备与地磅一卡通及网络通信功能。物流门左侧人流门采用电动铝合金小门人脸识别控制进出。</w:t>
      </w:r>
      <w:bookmarkStart w:id="71" w:name="_GoBack"/>
      <w:bookmarkEnd w:id="71"/>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3）人流门与物流门具备人员及车辆进出公司数据导出功能，并能实现远程查看。</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4）人流门与1#物流门外侧安装LED显示屏，能够显示车辆进出情况。</w:t>
      </w:r>
    </w:p>
    <w:p>
      <w:pPr>
        <w:tabs>
          <w:tab w:val="left" w:pos="426"/>
          <w:tab w:val="left" w:pos="454"/>
        </w:tabs>
        <w:spacing w:line="360" w:lineRule="auto"/>
        <w:ind w:firstLine="425"/>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5）</w:t>
      </w:r>
      <w:r>
        <w:rPr>
          <w:rFonts w:hint="eastAsia" w:cs="MS Gothic" w:asciiTheme="minorEastAsia" w:hAnsiTheme="minorEastAsia" w:eastAsiaTheme="minorEastAsia"/>
          <w:color w:val="auto"/>
          <w:sz w:val="24"/>
          <w:highlight w:val="none"/>
        </w:rPr>
        <w:t>涉及对采购人大门门洞改造由供应商负责，改造方案需经采购人同意</w:t>
      </w:r>
      <w:r>
        <w:rPr>
          <w:rFonts w:hint="eastAsia" w:cs="MS Gothic" w:asciiTheme="minorEastAsia" w:hAnsiTheme="minorEastAsia" w:eastAsiaTheme="minorEastAsia"/>
          <w:color w:val="auto"/>
          <w:sz w:val="24"/>
          <w:highlight w:val="none"/>
          <w:lang w:eastAsia="zh-CN"/>
        </w:rPr>
        <w:t>。</w:t>
      </w:r>
    </w:p>
    <w:p>
      <w:pPr>
        <w:spacing w:line="360" w:lineRule="auto"/>
        <w:ind w:firstLine="480" w:firstLineChars="200"/>
        <w:rPr>
          <w:rFonts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2.2技术要求</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1)空降道闸说明</w:t>
      </w:r>
    </w:p>
    <w:tbl>
      <w:tblPr>
        <w:tblStyle w:val="23"/>
        <w:tblpPr w:leftFromText="180" w:rightFromText="180" w:vertAnchor="text" w:horzAnchor="page" w:tblpX="1730" w:tblpY="42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18"/>
        <w:gridCol w:w="1406"/>
        <w:gridCol w:w="4723"/>
        <w:gridCol w:w="2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1" w:hRule="atLeast"/>
        </w:trPr>
        <w:tc>
          <w:tcPr>
            <w:tcW w:w="1161" w:type="dxa"/>
            <w:tcBorders>
              <w:righ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序号</w:t>
            </w:r>
          </w:p>
        </w:tc>
        <w:tc>
          <w:tcPr>
            <w:tcW w:w="1500" w:type="dxa"/>
            <w:tcBorders>
              <w:lef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名称</w:t>
            </w:r>
          </w:p>
        </w:tc>
        <w:tc>
          <w:tcPr>
            <w:tcW w:w="5218"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型号</w:t>
            </w:r>
          </w:p>
        </w:tc>
        <w:tc>
          <w:tcPr>
            <w:tcW w:w="3043"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1161" w:type="dxa"/>
            <w:tcBorders>
              <w:righ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w:t>
            </w:r>
          </w:p>
        </w:tc>
        <w:tc>
          <w:tcPr>
            <w:tcW w:w="1500" w:type="dxa"/>
            <w:tcBorders>
              <w:left w:val="single" w:color="auto" w:sz="4" w:space="0"/>
            </w:tcBorders>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电机</w:t>
            </w:r>
          </w:p>
        </w:tc>
        <w:tc>
          <w:tcPr>
            <w:tcW w:w="5218"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直流无刷电机</w:t>
            </w:r>
          </w:p>
        </w:tc>
        <w:tc>
          <w:tcPr>
            <w:tcW w:w="3043"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161" w:type="dxa"/>
            <w:tcBorders>
              <w:righ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w:t>
            </w:r>
          </w:p>
        </w:tc>
        <w:tc>
          <w:tcPr>
            <w:tcW w:w="1500" w:type="dxa"/>
            <w:tcBorders>
              <w:left w:val="single" w:color="auto" w:sz="4" w:space="0"/>
            </w:tcBorders>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减速器</w:t>
            </w:r>
          </w:p>
        </w:tc>
        <w:tc>
          <w:tcPr>
            <w:tcW w:w="5218"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105减速器</w:t>
            </w:r>
          </w:p>
        </w:tc>
        <w:tc>
          <w:tcPr>
            <w:tcW w:w="3043"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161" w:type="dxa"/>
            <w:tcBorders>
              <w:righ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w:t>
            </w:r>
          </w:p>
        </w:tc>
        <w:tc>
          <w:tcPr>
            <w:tcW w:w="1500" w:type="dxa"/>
            <w:tcBorders>
              <w:left w:val="single" w:color="auto" w:sz="4" w:space="0"/>
            </w:tcBorders>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控制系统</w:t>
            </w:r>
          </w:p>
        </w:tc>
        <w:tc>
          <w:tcPr>
            <w:tcW w:w="5218"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空降门无刷控制板</w:t>
            </w:r>
          </w:p>
        </w:tc>
        <w:tc>
          <w:tcPr>
            <w:tcW w:w="3043"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161" w:type="dxa"/>
            <w:tcBorders>
              <w:righ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4</w:t>
            </w:r>
          </w:p>
        </w:tc>
        <w:tc>
          <w:tcPr>
            <w:tcW w:w="1500" w:type="dxa"/>
            <w:tcBorders>
              <w:left w:val="single" w:color="auto" w:sz="4" w:space="0"/>
            </w:tcBorders>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按键盒</w:t>
            </w:r>
          </w:p>
        </w:tc>
        <w:tc>
          <w:tcPr>
            <w:tcW w:w="5218"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无线按键盒</w:t>
            </w:r>
          </w:p>
        </w:tc>
        <w:tc>
          <w:tcPr>
            <w:tcW w:w="3043"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161" w:type="dxa"/>
            <w:tcBorders>
              <w:righ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5</w:t>
            </w:r>
          </w:p>
        </w:tc>
        <w:tc>
          <w:tcPr>
            <w:tcW w:w="1500" w:type="dxa"/>
            <w:tcBorders>
              <w:left w:val="single" w:color="auto" w:sz="4" w:space="0"/>
            </w:tcBorders>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开关电源</w:t>
            </w:r>
          </w:p>
        </w:tc>
        <w:tc>
          <w:tcPr>
            <w:tcW w:w="5218"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DC48V/12.5A</w:t>
            </w:r>
          </w:p>
        </w:tc>
        <w:tc>
          <w:tcPr>
            <w:tcW w:w="3043"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仅供参考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161" w:type="dxa"/>
            <w:tcBorders>
              <w:righ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6</w:t>
            </w:r>
          </w:p>
        </w:tc>
        <w:tc>
          <w:tcPr>
            <w:tcW w:w="1500" w:type="dxa"/>
            <w:tcBorders>
              <w:left w:val="single" w:color="auto" w:sz="4" w:space="0"/>
            </w:tcBorders>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开门时间</w:t>
            </w:r>
          </w:p>
        </w:tc>
        <w:tc>
          <w:tcPr>
            <w:tcW w:w="5218"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6～9秒可调</w:t>
            </w:r>
          </w:p>
        </w:tc>
        <w:tc>
          <w:tcPr>
            <w:tcW w:w="3043"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161" w:type="dxa"/>
            <w:tcBorders>
              <w:righ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w:t>
            </w:r>
          </w:p>
        </w:tc>
        <w:tc>
          <w:tcPr>
            <w:tcW w:w="1500" w:type="dxa"/>
            <w:tcBorders>
              <w:left w:val="single" w:color="auto" w:sz="4" w:space="0"/>
            </w:tcBorders>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停电手动</w:t>
            </w:r>
          </w:p>
        </w:tc>
        <w:tc>
          <w:tcPr>
            <w:tcW w:w="5218"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机箱内部手摇</w:t>
            </w:r>
          </w:p>
        </w:tc>
        <w:tc>
          <w:tcPr>
            <w:tcW w:w="3043"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1161" w:type="dxa"/>
            <w:tcBorders>
              <w:right w:val="single" w:color="auto" w:sz="4" w:space="0"/>
            </w:tcBorders>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8</w:t>
            </w:r>
          </w:p>
        </w:tc>
        <w:tc>
          <w:tcPr>
            <w:tcW w:w="1500" w:type="dxa"/>
            <w:tcBorders>
              <w:left w:val="single" w:color="auto" w:sz="4" w:space="0"/>
            </w:tcBorders>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限位开关</w:t>
            </w:r>
          </w:p>
        </w:tc>
        <w:tc>
          <w:tcPr>
            <w:tcW w:w="5218"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智能自检</w:t>
            </w:r>
          </w:p>
        </w:tc>
        <w:tc>
          <w:tcPr>
            <w:tcW w:w="3043"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p>
        </w:tc>
      </w:tr>
    </w:tbl>
    <w:p>
      <w:pPr>
        <w:tabs>
          <w:tab w:val="left" w:pos="426"/>
          <w:tab w:val="left" w:pos="454"/>
        </w:tabs>
        <w:spacing w:line="360" w:lineRule="auto"/>
        <w:ind w:firstLine="480" w:firstLineChars="200"/>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机芯特点</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1.1) </w:t>
      </w:r>
      <w:r>
        <w:rPr>
          <w:rFonts w:hint="eastAsia" w:cs="Arial" w:asciiTheme="minorEastAsia" w:hAnsiTheme="minorEastAsia" w:eastAsiaTheme="minorEastAsia"/>
          <w:color w:val="auto"/>
          <w:sz w:val="24"/>
          <w:highlight w:val="none"/>
        </w:rPr>
        <w:t>最快</w:t>
      </w:r>
      <w:r>
        <w:rPr>
          <w:rFonts w:cs="Arial" w:asciiTheme="minorEastAsia" w:hAnsiTheme="minorEastAsia" w:eastAsiaTheme="minorEastAsia"/>
          <w:color w:val="auto"/>
          <w:sz w:val="24"/>
          <w:highlight w:val="none"/>
        </w:rPr>
        <w:t>6秒起落杆，快速通行。</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1.2) </w:t>
      </w:r>
      <w:r>
        <w:rPr>
          <w:rFonts w:hint="eastAsia" w:cs="Arial" w:asciiTheme="minorEastAsia" w:hAnsiTheme="minorEastAsia" w:eastAsiaTheme="minorEastAsia"/>
          <w:color w:val="auto"/>
          <w:sz w:val="24"/>
          <w:highlight w:val="none"/>
        </w:rPr>
        <w:t>智能自学习</w:t>
      </w:r>
      <w:r>
        <w:rPr>
          <w:rFonts w:cs="Arial" w:asciiTheme="minorEastAsia" w:hAnsiTheme="minorEastAsia" w:eastAsiaTheme="minorEastAsia"/>
          <w:color w:val="auto"/>
          <w:sz w:val="24"/>
          <w:highlight w:val="none"/>
        </w:rPr>
        <w:t>+开关精准限位。</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1.3) </w:t>
      </w:r>
      <w:r>
        <w:rPr>
          <w:rFonts w:hint="eastAsia" w:cs="Arial" w:asciiTheme="minorEastAsia" w:hAnsiTheme="minorEastAsia" w:eastAsiaTheme="minorEastAsia"/>
          <w:color w:val="auto"/>
          <w:sz w:val="24"/>
          <w:highlight w:val="none"/>
        </w:rPr>
        <w:t>智能控制系统，启停平缓，不抖动，运行流畅。</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1.4) </w:t>
      </w:r>
      <w:r>
        <w:rPr>
          <w:rFonts w:hint="eastAsia" w:cs="Arial" w:asciiTheme="minorEastAsia" w:hAnsiTheme="minorEastAsia" w:eastAsiaTheme="minorEastAsia"/>
          <w:color w:val="auto"/>
          <w:sz w:val="24"/>
          <w:highlight w:val="none"/>
        </w:rPr>
        <w:t>直流无刷电机，高转速、大扭矩、低噪音、发热量小、寿命长。</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1.5) </w:t>
      </w:r>
      <w:r>
        <w:rPr>
          <w:rFonts w:hint="eastAsia" w:cs="Arial" w:asciiTheme="minorEastAsia" w:hAnsiTheme="minorEastAsia" w:eastAsiaTheme="minorEastAsia"/>
          <w:color w:val="auto"/>
          <w:sz w:val="24"/>
          <w:highlight w:val="none"/>
        </w:rPr>
        <w:t>大型蜗轮蜗杆自锁减速器。</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1.6) </w:t>
      </w:r>
      <w:r>
        <w:rPr>
          <w:rFonts w:hint="eastAsia" w:cs="Arial" w:asciiTheme="minorEastAsia" w:hAnsiTheme="minorEastAsia" w:eastAsiaTheme="minorEastAsia"/>
          <w:color w:val="auto"/>
          <w:sz w:val="24"/>
          <w:highlight w:val="none"/>
        </w:rPr>
        <w:t>配备摇把，停电后可手摇开门。</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1.7) </w:t>
      </w:r>
      <w:r>
        <w:rPr>
          <w:rFonts w:hint="eastAsia" w:cs="Arial" w:asciiTheme="minorEastAsia" w:hAnsiTheme="minorEastAsia" w:eastAsiaTheme="minorEastAsia"/>
          <w:color w:val="auto"/>
          <w:sz w:val="24"/>
          <w:highlight w:val="none"/>
        </w:rPr>
        <w:t>多种控制方式：包含控制板按键、遥控器、外部线控、</w:t>
      </w:r>
      <w:r>
        <w:rPr>
          <w:rFonts w:hint="eastAsia" w:cs="Arial" w:asciiTheme="minorEastAsia" w:hAnsiTheme="minorEastAsia" w:eastAsiaTheme="minorEastAsia"/>
          <w:color w:val="auto"/>
          <w:sz w:val="24"/>
          <w:highlight w:val="none"/>
          <w:lang w:val="en-US" w:eastAsia="zh-CN"/>
        </w:rPr>
        <w:t>Web通讯接口（提供通讯协议）</w:t>
      </w:r>
      <w:r>
        <w:rPr>
          <w:rFonts w:cs="Arial" w:asciiTheme="minorEastAsia" w:hAnsiTheme="minorEastAsia" w:eastAsiaTheme="minorEastAsia"/>
          <w:color w:val="auto"/>
          <w:sz w:val="24"/>
          <w:highlight w:val="none"/>
        </w:rPr>
        <w:t>等控制方式，实现起、落杆功能。</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1.8) </w:t>
      </w:r>
      <w:r>
        <w:rPr>
          <w:rFonts w:hint="eastAsia" w:cs="Arial" w:asciiTheme="minorEastAsia" w:hAnsiTheme="minorEastAsia" w:eastAsiaTheme="minorEastAsia"/>
          <w:color w:val="auto"/>
          <w:sz w:val="24"/>
          <w:highlight w:val="none"/>
        </w:rPr>
        <w:t>多种应用模式：具备普通、车队、计数等多种应用模式供用户选择。</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1.9) </w:t>
      </w:r>
      <w:r>
        <w:rPr>
          <w:rFonts w:hint="eastAsia" w:cs="Arial" w:asciiTheme="minorEastAsia" w:hAnsiTheme="minorEastAsia" w:eastAsiaTheme="minorEastAsia"/>
          <w:color w:val="auto"/>
          <w:sz w:val="24"/>
          <w:highlight w:val="none"/>
        </w:rPr>
        <w:t>多种车辆防护功能：包含地感、压力波等防砸功能。</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1.10) ARM32位</w:t>
      </w:r>
      <w:r>
        <w:rPr>
          <w:rFonts w:hint="eastAsia" w:cs="Arial" w:asciiTheme="minorEastAsia" w:hAnsiTheme="minorEastAsia" w:eastAsiaTheme="minorEastAsia"/>
          <w:color w:val="auto"/>
          <w:sz w:val="24"/>
          <w:highlight w:val="none"/>
        </w:rPr>
        <w:t>及以上内核处理器，有电机堵转、断杆、弹簧拉力变弱、超时停止等异常智能感知能力。</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1.11) </w:t>
      </w:r>
      <w:r>
        <w:rPr>
          <w:rFonts w:hint="eastAsia" w:cs="Arial" w:asciiTheme="minorEastAsia" w:hAnsiTheme="minorEastAsia" w:eastAsiaTheme="minorEastAsia"/>
          <w:color w:val="auto"/>
          <w:sz w:val="24"/>
          <w:highlight w:val="none"/>
        </w:rPr>
        <w:t>具有消防联动功能：在紧急情况下可确保通行顺畅。</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1.12) </w:t>
      </w:r>
      <w:r>
        <w:rPr>
          <w:rFonts w:hint="eastAsia" w:cs="Arial" w:asciiTheme="minorEastAsia" w:hAnsiTheme="minorEastAsia" w:eastAsiaTheme="minorEastAsia"/>
          <w:color w:val="auto"/>
          <w:sz w:val="24"/>
          <w:highlight w:val="none"/>
        </w:rPr>
        <w:t>开机后经控制板按键或遥控器启动自检，自学习起落位置。</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1.13) </w:t>
      </w:r>
      <w:r>
        <w:rPr>
          <w:rFonts w:hint="eastAsia" w:cs="Arial" w:asciiTheme="minorEastAsia" w:hAnsiTheme="minorEastAsia" w:eastAsiaTheme="minorEastAsia"/>
          <w:color w:val="auto"/>
          <w:sz w:val="24"/>
          <w:highlight w:val="none"/>
        </w:rPr>
        <w:t>闸杆水平、垂直位置可通过参数进行微调。</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1.14) </w:t>
      </w:r>
      <w:r>
        <w:rPr>
          <w:rFonts w:hint="eastAsia" w:cs="Arial" w:asciiTheme="minorEastAsia" w:hAnsiTheme="minorEastAsia" w:eastAsiaTheme="minorEastAsia"/>
          <w:color w:val="auto"/>
          <w:sz w:val="24"/>
          <w:highlight w:val="none"/>
        </w:rPr>
        <w:t>功能参数通过控制板按键、数码显示等进行人机交互设置。</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1.15) 预留</w:t>
      </w:r>
      <w:r>
        <w:rPr>
          <w:rFonts w:hint="eastAsia" w:cs="Arial" w:asciiTheme="minorEastAsia" w:hAnsiTheme="minorEastAsia" w:eastAsiaTheme="minorEastAsia"/>
          <w:color w:val="auto"/>
          <w:sz w:val="24"/>
          <w:highlight w:val="none"/>
          <w:lang w:val="en-US" w:eastAsia="zh-CN"/>
        </w:rPr>
        <w:t>Web通讯接口（提供通讯协议）</w:t>
      </w:r>
      <w:r>
        <w:rPr>
          <w:rFonts w:cs="Arial" w:asciiTheme="minorEastAsia" w:hAnsiTheme="minorEastAsia" w:eastAsiaTheme="minorEastAsia"/>
          <w:color w:val="auto"/>
          <w:sz w:val="24"/>
          <w:highlight w:val="none"/>
        </w:rPr>
        <w:t>，系统可以实现远程控制、状态数据采集、异常实时上报功能。</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1.16) </w:t>
      </w:r>
      <w:r>
        <w:rPr>
          <w:rFonts w:hint="eastAsia" w:cs="Arial" w:asciiTheme="minorEastAsia" w:hAnsiTheme="minorEastAsia" w:eastAsiaTheme="minorEastAsia"/>
          <w:color w:val="auto"/>
          <w:sz w:val="24"/>
          <w:highlight w:val="none"/>
        </w:rPr>
        <w:t>多组状态输出端口可进行不同状态输出，指示运行状态。</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1.17) </w:t>
      </w:r>
      <w:r>
        <w:rPr>
          <w:rFonts w:hint="eastAsia" w:cs="Arial" w:asciiTheme="minorEastAsia" w:hAnsiTheme="minorEastAsia" w:eastAsiaTheme="minorEastAsia"/>
          <w:color w:val="auto"/>
          <w:sz w:val="24"/>
          <w:highlight w:val="none"/>
        </w:rPr>
        <w:t>具备再生制动减速，减速过程更加平稳顺滑。</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1.18) </w:t>
      </w:r>
      <w:r>
        <w:rPr>
          <w:rFonts w:hint="eastAsia" w:cs="Arial" w:asciiTheme="minorEastAsia" w:hAnsiTheme="minorEastAsia" w:eastAsiaTheme="minorEastAsia"/>
          <w:color w:val="auto"/>
          <w:sz w:val="24"/>
          <w:highlight w:val="none"/>
        </w:rPr>
        <w:t>车辆通行后延时落杆时间（</w:t>
      </w:r>
      <w:r>
        <w:rPr>
          <w:rFonts w:cs="Arial" w:asciiTheme="minorEastAsia" w:hAnsiTheme="minorEastAsia" w:eastAsiaTheme="minorEastAsia"/>
          <w:color w:val="auto"/>
          <w:sz w:val="24"/>
          <w:highlight w:val="none"/>
        </w:rPr>
        <w:t>0～240S）可调，满足不同应用场景。</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1.19) </w:t>
      </w:r>
      <w:r>
        <w:rPr>
          <w:rFonts w:hint="eastAsia" w:cs="Arial" w:asciiTheme="minorEastAsia" w:hAnsiTheme="minorEastAsia" w:eastAsiaTheme="minorEastAsia"/>
          <w:color w:val="auto"/>
          <w:sz w:val="24"/>
          <w:highlight w:val="none"/>
        </w:rPr>
        <w:t>超时落杆时间（</w:t>
      </w:r>
      <w:r>
        <w:rPr>
          <w:rFonts w:cs="Arial" w:asciiTheme="minorEastAsia" w:hAnsiTheme="minorEastAsia" w:eastAsiaTheme="minorEastAsia"/>
          <w:color w:val="auto"/>
          <w:sz w:val="24"/>
          <w:highlight w:val="none"/>
        </w:rPr>
        <w:t>0～240S）可选，保证阻断通行。</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1.20) </w:t>
      </w:r>
      <w:r>
        <w:rPr>
          <w:rFonts w:hint="eastAsia" w:cs="Arial" w:asciiTheme="minorEastAsia" w:hAnsiTheme="minorEastAsia" w:eastAsiaTheme="minorEastAsia"/>
          <w:color w:val="auto"/>
          <w:sz w:val="24"/>
          <w:highlight w:val="none"/>
        </w:rPr>
        <w:t>遥控器采用加密方式、配对及删除方便、简洁，可配</w:t>
      </w:r>
      <w:r>
        <w:rPr>
          <w:rFonts w:cs="Arial" w:asciiTheme="minorEastAsia" w:hAnsiTheme="minorEastAsia" w:eastAsiaTheme="minorEastAsia"/>
          <w:color w:val="auto"/>
          <w:sz w:val="24"/>
          <w:highlight w:val="none"/>
        </w:rPr>
        <w:t>40个遥控器，以满足多人同时使用。</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1.21) </w:t>
      </w:r>
      <w:r>
        <w:rPr>
          <w:rFonts w:hint="eastAsia" w:cs="Arial" w:asciiTheme="minorEastAsia" w:hAnsiTheme="minorEastAsia" w:eastAsiaTheme="minorEastAsia"/>
          <w:color w:val="auto"/>
          <w:sz w:val="24"/>
          <w:highlight w:val="none"/>
        </w:rPr>
        <w:t>自检三种方式可选：双边自检、单边自检、上电自动启动自检。</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1.22) </w:t>
      </w:r>
      <w:r>
        <w:rPr>
          <w:rFonts w:hint="eastAsia" w:cs="Arial" w:asciiTheme="minorEastAsia" w:hAnsiTheme="minorEastAsia" w:eastAsiaTheme="minorEastAsia"/>
          <w:color w:val="auto"/>
          <w:sz w:val="24"/>
          <w:highlight w:val="none"/>
        </w:rPr>
        <w:t>自检速度可调，通过落杆到位限位开关，实现精准到位。</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1.23) </w:t>
      </w:r>
      <w:r>
        <w:rPr>
          <w:rFonts w:hint="eastAsia" w:cs="Arial" w:asciiTheme="minorEastAsia" w:hAnsiTheme="minorEastAsia" w:eastAsiaTheme="minorEastAsia"/>
          <w:color w:val="auto"/>
          <w:sz w:val="24"/>
          <w:highlight w:val="none"/>
        </w:rPr>
        <w:t>运行速度、到位缓冲区可调，让产品运行效果达到最佳。</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1.24) </w:t>
      </w:r>
      <w:r>
        <w:rPr>
          <w:rFonts w:hint="eastAsia" w:cs="Arial" w:asciiTheme="minorEastAsia" w:hAnsiTheme="minorEastAsia" w:eastAsiaTheme="minorEastAsia"/>
          <w:color w:val="auto"/>
          <w:sz w:val="24"/>
          <w:highlight w:val="none"/>
        </w:rPr>
        <w:t>设置错乱时，控制板可通过恢复出厂设置进行系统初始化，从而保障运行正常。</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1.25) </w:t>
      </w:r>
      <w:r>
        <w:rPr>
          <w:rFonts w:hint="eastAsia" w:cs="Arial" w:asciiTheme="minorEastAsia" w:hAnsiTheme="minorEastAsia" w:eastAsiaTheme="minorEastAsia"/>
          <w:color w:val="auto"/>
          <w:sz w:val="24"/>
          <w:highlight w:val="none"/>
        </w:rPr>
        <w:t>控制板的软件及硬件版本可查看，以便追溯。</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2）铝合金小门（灰色）</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2.1）支持手动开、关、停门的操作。电机运行超时自动保护，保护时间4－20秒可设置。</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2.2）具有10级PWM开关门速度调整功能，满足各种尺寸门的控制要求，开关门速度均可独立设置。到位减速功能，使系统运行更加平稳。速度值可调。</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2.3）开关门遇阻反向功能，防冲撞功能，保护系统不受意外的损坏。</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2.4）支持标准的433MHZ遥控操作，带学习功能。</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2.5）采用直流无刷电机，带有减速、软启动、软停止功能，适用于频繁开启的场地。</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2.6）采用直流安全特低电压工作，可保障行人进出安全。</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2.7）电机采用全齿轮减速机变速，无刹车装置，在外力强行推动门排时，不损坏电机及相关传动机构，内置式驱动电机，智能一体化控制运行，稳定可靠；</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3）速通门翼闸（室外款）</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技术参数：</w:t>
      </w:r>
    </w:p>
    <w:tbl>
      <w:tblPr>
        <w:tblStyle w:val="23"/>
        <w:tblW w:w="9787" w:type="dxa"/>
        <w:tblInd w:w="5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3319"/>
        <w:gridCol w:w="5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2" w:type="dxa"/>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序号</w:t>
            </w:r>
          </w:p>
        </w:tc>
        <w:tc>
          <w:tcPr>
            <w:tcW w:w="3319" w:type="dxa"/>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名称</w:t>
            </w:r>
          </w:p>
        </w:tc>
        <w:tc>
          <w:tcPr>
            <w:tcW w:w="5806" w:type="dxa"/>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w:t>
            </w:r>
          </w:p>
        </w:tc>
        <w:tc>
          <w:tcPr>
            <w:tcW w:w="3319"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材料</w:t>
            </w:r>
          </w:p>
        </w:tc>
        <w:tc>
          <w:tcPr>
            <w:tcW w:w="5806"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周身采用不锈钢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w:t>
            </w:r>
          </w:p>
        </w:tc>
        <w:tc>
          <w:tcPr>
            <w:tcW w:w="3319"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电源电压</w:t>
            </w:r>
          </w:p>
        </w:tc>
        <w:tc>
          <w:tcPr>
            <w:tcW w:w="5806"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2" w:type="dxa"/>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w:t>
            </w:r>
          </w:p>
        </w:tc>
        <w:tc>
          <w:tcPr>
            <w:tcW w:w="3319"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驱动电机</w:t>
            </w:r>
          </w:p>
        </w:tc>
        <w:tc>
          <w:tcPr>
            <w:tcW w:w="5806"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搭配齿轮减速箱的伺服电机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4</w:t>
            </w:r>
          </w:p>
        </w:tc>
        <w:tc>
          <w:tcPr>
            <w:tcW w:w="3319"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驱动方式</w:t>
            </w:r>
          </w:p>
        </w:tc>
        <w:tc>
          <w:tcPr>
            <w:tcW w:w="5806"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数字方式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5</w:t>
            </w:r>
          </w:p>
        </w:tc>
        <w:tc>
          <w:tcPr>
            <w:tcW w:w="3319"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红外数量</w:t>
            </w:r>
          </w:p>
        </w:tc>
        <w:tc>
          <w:tcPr>
            <w:tcW w:w="5806"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4-8对可选，标配4对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6</w:t>
            </w:r>
          </w:p>
        </w:tc>
        <w:tc>
          <w:tcPr>
            <w:tcW w:w="3319"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工作环境</w:t>
            </w:r>
          </w:p>
        </w:tc>
        <w:tc>
          <w:tcPr>
            <w:tcW w:w="5806"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w:t>
            </w:r>
          </w:p>
        </w:tc>
        <w:tc>
          <w:tcPr>
            <w:tcW w:w="3319"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通行速度</w:t>
            </w:r>
          </w:p>
        </w:tc>
        <w:tc>
          <w:tcPr>
            <w:tcW w:w="5806" w:type="dxa"/>
            <w:vAlign w:val="center"/>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40-55人/分钟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8</w:t>
            </w:r>
          </w:p>
        </w:tc>
        <w:tc>
          <w:tcPr>
            <w:tcW w:w="3319" w:type="dxa"/>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平均无故障次数</w:t>
            </w:r>
          </w:p>
        </w:tc>
        <w:tc>
          <w:tcPr>
            <w:tcW w:w="5806" w:type="dxa"/>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600万次以上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9</w:t>
            </w:r>
          </w:p>
        </w:tc>
        <w:tc>
          <w:tcPr>
            <w:tcW w:w="3319" w:type="dxa"/>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相对温度</w:t>
            </w:r>
          </w:p>
        </w:tc>
        <w:tc>
          <w:tcPr>
            <w:tcW w:w="5806" w:type="dxa"/>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5%--90%无结露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tcPr>
          <w:p>
            <w:pPr>
              <w:tabs>
                <w:tab w:val="left" w:pos="426"/>
                <w:tab w:val="left" w:pos="454"/>
              </w:tabs>
              <w:spacing w:line="360" w:lineRule="auto"/>
              <w:jc w:val="center"/>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10</w:t>
            </w:r>
          </w:p>
        </w:tc>
        <w:tc>
          <w:tcPr>
            <w:tcW w:w="3319" w:type="dxa"/>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防水防尘等级</w:t>
            </w:r>
          </w:p>
        </w:tc>
        <w:tc>
          <w:tcPr>
            <w:tcW w:w="5806" w:type="dxa"/>
          </w:tcPr>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达到</w:t>
            </w:r>
            <w:r>
              <w:rPr>
                <w:rFonts w:cs="Arial" w:asciiTheme="minorEastAsia" w:hAnsiTheme="minorEastAsia" w:eastAsiaTheme="minorEastAsia"/>
                <w:color w:val="auto"/>
                <w:sz w:val="24"/>
                <w:highlight w:val="none"/>
              </w:rPr>
              <w:t>IP66</w:t>
            </w:r>
          </w:p>
        </w:tc>
      </w:tr>
    </w:tbl>
    <w:p>
      <w:pPr>
        <w:tabs>
          <w:tab w:val="left" w:pos="426"/>
          <w:tab w:val="left" w:pos="454"/>
        </w:tabs>
        <w:spacing w:line="360" w:lineRule="auto"/>
        <w:ind w:firstLine="425"/>
        <w:rPr>
          <w:rFonts w:cs="Arial" w:asciiTheme="minorEastAsia" w:hAnsiTheme="minorEastAsia" w:eastAsiaTheme="minorEastAsia"/>
          <w:color w:val="auto"/>
          <w:sz w:val="24"/>
          <w:highlight w:val="none"/>
        </w:rPr>
      </w:pP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翼闸产品功能要求</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3.1）采用直流电机：安全性强；可全天侯24小时工作；机芯运行600万次无故障。</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3.2）机芯结构设计精密合理采用电机带动齿轮联动摆臂：1）可保证在高温环境下使用；2）联杆结构设计合理精密可保证快速开闸、关闸时间0.3-0.5秒；3）联杆设计合理，保证闸门运动时平稳、无噪音。</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3.3）采用双重防夹功能设计：1、红外光电探测防夹；2、机芯机械离合防夹。</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3.4）速通闸内部控制板性能稳定，有统一、标准的对外电气接口，可与各种读写设备自由挂接、便于系统集成。</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3.5）速通闸打开速度控制在0.5秒左右，防止尾随，保证人流通行速度。</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3.6）断电后，速通闸自动打开，形成透明通道，符合消防需求。</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3.7）具有刷脸是否有效LED提示灯，具备红外检测非法进入报警功能。</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3.8）采用数对红外感应器，有效监测行人的通行状况，防止行人非法进入通道、保障行人安全顺利通过通道。</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3.9）防反冲，行人从相反方向进入通道，速通闸立刻真人发音报警。</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3.10）具有自动复位功能，即获得过闸权限后，在设定的时间内没有过闸，速通闸自动取消本次权限，恢复到初始状态。防水、防晒、耐寒、耐高温。</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3.11）兼容IC、ID卡等各种智能控制设备。</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3.12）具备自动身份识别系统，实现</w:t>
      </w:r>
      <w:r>
        <w:rPr>
          <w:rFonts w:hint="eastAsia" w:cs="Arial" w:asciiTheme="minorEastAsia" w:hAnsiTheme="minorEastAsia" w:eastAsiaTheme="minorEastAsia"/>
          <w:color w:val="auto"/>
          <w:sz w:val="24"/>
          <w:highlight w:val="none"/>
          <w:lang w:eastAsia="zh-CN"/>
        </w:rPr>
        <w:t>大门及其门禁管理系统</w:t>
      </w:r>
      <w:r>
        <w:rPr>
          <w:rFonts w:cs="Arial" w:asciiTheme="minorEastAsia" w:hAnsiTheme="minorEastAsia" w:eastAsiaTheme="minorEastAsia"/>
          <w:color w:val="auto"/>
          <w:sz w:val="24"/>
          <w:highlight w:val="none"/>
        </w:rPr>
        <w:t>、考勤</w:t>
      </w:r>
      <w:r>
        <w:rPr>
          <w:rFonts w:hint="eastAsia" w:cs="Arial" w:asciiTheme="minorEastAsia" w:hAnsiTheme="minorEastAsia" w:eastAsiaTheme="minorEastAsia"/>
          <w:color w:val="auto"/>
          <w:sz w:val="24"/>
          <w:highlight w:val="none"/>
        </w:rPr>
        <w:t>等功能。可与其他类型通道产品配合使用。</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4）人脸识别机  </w:t>
      </w:r>
    </w:p>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产品参数说明：</w:t>
      </w:r>
    </w:p>
    <w:tbl>
      <w:tblPr>
        <w:tblStyle w:val="22"/>
        <w:tblpPr w:leftFromText="180" w:rightFromText="180" w:vertAnchor="text" w:horzAnchor="margin" w:tblpY="-65"/>
        <w:tblW w:w="10498" w:type="dxa"/>
        <w:tblInd w:w="0" w:type="dxa"/>
        <w:tblLayout w:type="fixed"/>
        <w:tblCellMar>
          <w:top w:w="0" w:type="dxa"/>
          <w:left w:w="0" w:type="dxa"/>
          <w:bottom w:w="0" w:type="dxa"/>
          <w:right w:w="0" w:type="dxa"/>
        </w:tblCellMar>
      </w:tblPr>
      <w:tblGrid>
        <w:gridCol w:w="784"/>
        <w:gridCol w:w="1755"/>
        <w:gridCol w:w="7959"/>
      </w:tblGrid>
      <w:tr>
        <w:tblPrEx>
          <w:tblCellMar>
            <w:top w:w="0" w:type="dxa"/>
            <w:left w:w="0" w:type="dxa"/>
            <w:bottom w:w="0" w:type="dxa"/>
            <w:right w:w="0" w:type="dxa"/>
          </w:tblCellMar>
        </w:tblPrEx>
        <w:trPr>
          <w:trHeight w:val="316" w:hRule="atLeast"/>
        </w:trPr>
        <w:tc>
          <w:tcPr>
            <w:tcW w:w="2539"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产品型号</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闸机款</w:t>
            </w:r>
          </w:p>
        </w:tc>
      </w:tr>
      <w:tr>
        <w:tblPrEx>
          <w:tblCellMar>
            <w:top w:w="0" w:type="dxa"/>
            <w:left w:w="0" w:type="dxa"/>
            <w:bottom w:w="0" w:type="dxa"/>
            <w:right w:w="0" w:type="dxa"/>
          </w:tblCellMar>
        </w:tblPrEx>
        <w:trPr>
          <w:trHeight w:val="588" w:hRule="atLeast"/>
        </w:trPr>
        <w:tc>
          <w:tcPr>
            <w:tcW w:w="784"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基</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本</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参</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数</w:t>
            </w: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安装场景</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闸机安装</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工作温湿度</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-20℃至60℃,&lt;90℃RH</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防护等级</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IP55</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材质</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铝合金</w:t>
            </w:r>
          </w:p>
        </w:tc>
      </w:tr>
      <w:tr>
        <w:tblPrEx>
          <w:tblCellMar>
            <w:top w:w="0" w:type="dxa"/>
            <w:left w:w="0" w:type="dxa"/>
            <w:bottom w:w="0" w:type="dxa"/>
            <w:right w:w="0" w:type="dxa"/>
          </w:tblCellMar>
        </w:tblPrEx>
        <w:trPr>
          <w:trHeight w:val="316" w:hRule="atLeast"/>
        </w:trPr>
        <w:tc>
          <w:tcPr>
            <w:tcW w:w="784"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系</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统</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参</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数</w:t>
            </w: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系统</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嵌入式</w:t>
            </w:r>
            <w:r>
              <w:rPr>
                <w:rFonts w:cs="Arial" w:asciiTheme="minorEastAsia" w:hAnsiTheme="minorEastAsia" w:eastAsiaTheme="minorEastAsia"/>
                <w:color w:val="auto"/>
                <w:sz w:val="24"/>
                <w:highlight w:val="none"/>
              </w:rPr>
              <w:t>Linux</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CPU</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高性能</w:t>
            </w:r>
            <w:r>
              <w:rPr>
                <w:rFonts w:cs="Arial" w:asciiTheme="minorEastAsia" w:hAnsiTheme="minorEastAsia" w:eastAsiaTheme="minorEastAsia"/>
                <w:color w:val="auto"/>
                <w:sz w:val="24"/>
                <w:highlight w:val="none"/>
              </w:rPr>
              <w:t>ARM架构32位2核以上</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存储</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内存</w:t>
            </w:r>
            <w:r>
              <w:rPr>
                <w:rFonts w:cs="Arial" w:asciiTheme="minorEastAsia" w:hAnsiTheme="minorEastAsia" w:eastAsiaTheme="minorEastAsia"/>
                <w:color w:val="auto"/>
                <w:sz w:val="24"/>
                <w:highlight w:val="none"/>
              </w:rPr>
              <w:t>512M以上，数据存储8GB以上</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显示屏</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7英寸170度广视角IPS液晶屏，分辨率1024*600以上</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摄像头</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200W像素以上，支持宽动态</w:t>
            </w:r>
          </w:p>
        </w:tc>
      </w:tr>
      <w:tr>
        <w:tblPrEx>
          <w:tblCellMar>
            <w:top w:w="0" w:type="dxa"/>
            <w:left w:w="0" w:type="dxa"/>
            <w:bottom w:w="0" w:type="dxa"/>
            <w:right w:w="0" w:type="dxa"/>
          </w:tblCellMar>
        </w:tblPrEx>
        <w:trPr>
          <w:trHeight w:val="316" w:hRule="atLeast"/>
        </w:trPr>
        <w:tc>
          <w:tcPr>
            <w:tcW w:w="784"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识</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别</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性</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能</w:t>
            </w: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识别距离</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0.3-4m</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识别时间</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小于</w:t>
            </w:r>
            <w:r>
              <w:rPr>
                <w:rFonts w:cs="Arial" w:asciiTheme="minorEastAsia" w:hAnsiTheme="minorEastAsia" w:eastAsiaTheme="minorEastAsia"/>
                <w:color w:val="auto"/>
                <w:sz w:val="24"/>
                <w:highlight w:val="none"/>
              </w:rPr>
              <w:t>300ms</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人脸库容量</w:t>
            </w:r>
          </w:p>
        </w:tc>
        <w:tc>
          <w:tcPr>
            <w:tcW w:w="795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1：N，N&lt;=50000</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准确率</w:t>
            </w:r>
          </w:p>
        </w:tc>
        <w:tc>
          <w:tcPr>
            <w:tcW w:w="795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99.70%</w:t>
            </w:r>
          </w:p>
        </w:tc>
      </w:tr>
      <w:tr>
        <w:tblPrEx>
          <w:tblCellMar>
            <w:top w:w="0" w:type="dxa"/>
            <w:left w:w="0" w:type="dxa"/>
            <w:bottom w:w="0" w:type="dxa"/>
            <w:right w:w="0" w:type="dxa"/>
          </w:tblCellMar>
        </w:tblPrEx>
        <w:trPr>
          <w:trHeight w:val="316" w:hRule="atLeast"/>
        </w:trPr>
        <w:tc>
          <w:tcPr>
            <w:tcW w:w="784" w:type="dxa"/>
            <w:vMerge w:val="restar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外</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围</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接</w:t>
            </w:r>
          </w:p>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口</w:t>
            </w: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电源接口</w:t>
            </w:r>
          </w:p>
        </w:tc>
        <w:tc>
          <w:tcPr>
            <w:tcW w:w="795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 x DC12V，DC005母头2.1*5.5</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USB接口</w:t>
            </w:r>
          </w:p>
        </w:tc>
        <w:tc>
          <w:tcPr>
            <w:tcW w:w="795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 x USB2.0</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继电器输出</w:t>
            </w:r>
          </w:p>
        </w:tc>
        <w:tc>
          <w:tcPr>
            <w:tcW w:w="7959"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 x </w:t>
            </w:r>
            <w:r>
              <w:rPr>
                <w:rFonts w:hint="eastAsia" w:cs="Arial" w:asciiTheme="minorEastAsia" w:hAnsiTheme="minorEastAsia" w:eastAsiaTheme="minorEastAsia"/>
                <w:color w:val="auto"/>
                <w:sz w:val="24"/>
                <w:highlight w:val="none"/>
              </w:rPr>
              <w:t>开关量输出，</w:t>
            </w:r>
            <w:r>
              <w:rPr>
                <w:rFonts w:cs="Arial" w:asciiTheme="minorEastAsia" w:hAnsiTheme="minorEastAsia" w:eastAsiaTheme="minorEastAsia"/>
                <w:color w:val="auto"/>
                <w:sz w:val="24"/>
                <w:highlight w:val="none"/>
              </w:rPr>
              <w:t xml:space="preserve"> 2PIN 3.8间距端子</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RJ45网线接口</w:t>
            </w:r>
          </w:p>
        </w:tc>
        <w:tc>
          <w:tcPr>
            <w:tcW w:w="795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 x RJ45网口</w:t>
            </w:r>
          </w:p>
        </w:tc>
      </w:tr>
      <w:tr>
        <w:tblPrEx>
          <w:tblCellMar>
            <w:top w:w="0" w:type="dxa"/>
            <w:left w:w="0" w:type="dxa"/>
            <w:bottom w:w="0" w:type="dxa"/>
            <w:right w:w="0" w:type="dxa"/>
          </w:tblCellMar>
        </w:tblPrEx>
        <w:trPr>
          <w:trHeight w:val="316"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韦根输出接口</w:t>
            </w:r>
          </w:p>
        </w:tc>
        <w:tc>
          <w:tcPr>
            <w:tcW w:w="795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 x WG输出</w:t>
            </w:r>
          </w:p>
        </w:tc>
      </w:tr>
      <w:tr>
        <w:tblPrEx>
          <w:tblCellMar>
            <w:top w:w="0" w:type="dxa"/>
            <w:left w:w="0" w:type="dxa"/>
            <w:bottom w:w="0" w:type="dxa"/>
            <w:right w:w="0" w:type="dxa"/>
          </w:tblCellMar>
        </w:tblPrEx>
        <w:trPr>
          <w:trHeight w:val="323" w:hRule="atLeast"/>
        </w:trPr>
        <w:tc>
          <w:tcPr>
            <w:tcW w:w="784" w:type="dxa"/>
            <w:vMerge w:val="continue"/>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IO输入</w:t>
            </w:r>
          </w:p>
        </w:tc>
        <w:tc>
          <w:tcPr>
            <w:tcW w:w="795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tabs>
                <w:tab w:val="left" w:pos="426"/>
                <w:tab w:val="left" w:pos="454"/>
              </w:tabs>
              <w:spacing w:line="360" w:lineRule="auto"/>
              <w:ind w:firstLine="425"/>
              <w:jc w:val="left"/>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1 x </w:t>
            </w:r>
            <w:r>
              <w:rPr>
                <w:rFonts w:hint="eastAsia" w:cs="Arial" w:asciiTheme="minorEastAsia" w:hAnsiTheme="minorEastAsia" w:eastAsiaTheme="minorEastAsia"/>
                <w:color w:val="auto"/>
                <w:sz w:val="24"/>
                <w:highlight w:val="none"/>
              </w:rPr>
              <w:t>门磁检测</w:t>
            </w:r>
          </w:p>
        </w:tc>
      </w:tr>
    </w:tbl>
    <w:p>
      <w:pPr>
        <w:tabs>
          <w:tab w:val="left" w:pos="426"/>
          <w:tab w:val="left" w:pos="454"/>
        </w:tabs>
        <w:spacing w:line="360" w:lineRule="auto"/>
        <w:ind w:firstLine="0" w:firstLineChars="0"/>
        <w:rPr>
          <w:rFonts w:cs="Arial" w:asciiTheme="minorEastAsia" w:hAnsiTheme="minorEastAsia" w:eastAsiaTheme="minorEastAsia"/>
          <w:color w:val="auto"/>
          <w:sz w:val="24"/>
          <w:highlight w:val="none"/>
        </w:rPr>
      </w:pPr>
    </w:p>
    <w:p>
      <w:pPr>
        <w:tabs>
          <w:tab w:val="left" w:pos="426"/>
          <w:tab w:val="left" w:pos="454"/>
        </w:tabs>
        <w:spacing w:line="360" w:lineRule="auto"/>
        <w:ind w:firstLine="480" w:firstLineChars="2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5）车牌识别系统                </w:t>
      </w:r>
    </w:p>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车牌识别说明</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9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ind w:firstLine="240" w:firstLineChars="1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1</w:t>
            </w:r>
          </w:p>
        </w:tc>
        <w:tc>
          <w:tcPr>
            <w:tcW w:w="10699"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jc w:val="left"/>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相机识别进出车辆，合约车及贵宾车自动开关闸机，临时车需门岗确认手动开闸，可增强通行效率及安全保障。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ind w:firstLine="240" w:firstLineChars="1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2</w:t>
            </w:r>
          </w:p>
        </w:tc>
        <w:tc>
          <w:tcPr>
            <w:tcW w:w="10699"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系统设定余位显示，车场满员后限制除贵宾车之外的所有车辆进入，确保一车一位，防止车辆随意停放。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ind w:firstLine="240" w:firstLineChars="1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3</w:t>
            </w:r>
          </w:p>
        </w:tc>
        <w:tc>
          <w:tcPr>
            <w:tcW w:w="10699"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所有进出车辆抓拍照片并存档，并附有完整表格形式记录，用于记录及管理设定（照片显示车牌及时间日期）。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ind w:firstLine="240" w:firstLineChars="1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4</w:t>
            </w:r>
          </w:p>
        </w:tc>
        <w:tc>
          <w:tcPr>
            <w:tcW w:w="10699"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智能相机：星光级传感器，高度灵敏、低噪音，高级别</w:t>
            </w:r>
            <w:r>
              <w:rPr>
                <w:rFonts w:cs="Arial" w:asciiTheme="minorEastAsia" w:hAnsiTheme="minorEastAsia" w:eastAsiaTheme="minorEastAsia"/>
                <w:color w:val="auto"/>
                <w:sz w:val="24"/>
                <w:highlight w:val="none"/>
              </w:rPr>
              <w:t xml:space="preserve">300W以上防伪星光级高清车牌识别摄像机， </w:t>
            </w:r>
            <w:r>
              <w:rPr>
                <w:rFonts w:hint="eastAsia" w:cs="Arial" w:asciiTheme="minorEastAsia" w:hAnsiTheme="minorEastAsia" w:eastAsiaTheme="minorEastAsia"/>
                <w:color w:val="auto"/>
                <w:sz w:val="24"/>
                <w:highlight w:val="none"/>
              </w:rPr>
              <w:t>分辨率</w:t>
            </w:r>
            <w:r>
              <w:rPr>
                <w:rFonts w:cs="Arial" w:asciiTheme="minorEastAsia" w:hAnsiTheme="minorEastAsia" w:eastAsiaTheme="minorEastAsia"/>
                <w:color w:val="auto"/>
                <w:sz w:val="24"/>
                <w:highlight w:val="none"/>
              </w:rPr>
              <w:t>1920*1080（1080P）以上，图像更清晰，识别更精准。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ind w:firstLine="240" w:firstLineChars="1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5</w:t>
            </w:r>
          </w:p>
        </w:tc>
        <w:tc>
          <w:tcPr>
            <w:tcW w:w="10699"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脱机功能：脱机后贵宾车、临时车、月租车正常进出，有语音、显示，可限制使用日期。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ind w:firstLine="240" w:firstLineChars="1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6</w:t>
            </w:r>
          </w:p>
        </w:tc>
        <w:tc>
          <w:tcPr>
            <w:tcW w:w="10699"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可识别常见蓝、黄、黑牌以及军、警、使馆、教练、港澳等车牌，并支持无牌车处理收费。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ind w:firstLine="240" w:firstLineChars="1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w:t>
            </w:r>
          </w:p>
        </w:tc>
        <w:tc>
          <w:tcPr>
            <w:tcW w:w="10699"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无人值守：可与车道机联动使用，形成无人值守系统。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ind w:firstLine="240" w:firstLineChars="1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8</w:t>
            </w:r>
          </w:p>
        </w:tc>
        <w:tc>
          <w:tcPr>
            <w:tcW w:w="10699"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防伪检测，有效屏蔽手机车牌、纸质车牌、杜绝以假乱真现象。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ind w:firstLine="240" w:firstLineChars="1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9</w:t>
            </w:r>
          </w:p>
        </w:tc>
        <w:tc>
          <w:tcPr>
            <w:tcW w:w="10699" w:type="dxa"/>
            <w:tcBorders>
              <w:top w:val="single" w:color="auto" w:sz="4" w:space="0"/>
              <w:left w:val="single" w:color="auto" w:sz="4" w:space="0"/>
              <w:bottom w:val="single" w:color="auto" w:sz="4" w:space="0"/>
              <w:right w:val="single" w:color="auto" w:sz="4" w:space="0"/>
            </w:tcBorders>
            <w:vAlign w:val="center"/>
          </w:tcPr>
          <w:p>
            <w:pPr>
              <w:tabs>
                <w:tab w:val="left" w:pos="426"/>
                <w:tab w:val="left" w:pos="454"/>
              </w:tabs>
              <w:spacing w:line="360" w:lineRule="auto"/>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扩展功能：大数据云平台、支持微信、支付宝、银联多种支付方式，电子优惠券，集团化管理</w:t>
            </w:r>
            <w:r>
              <w:rPr>
                <w:rFonts w:cs="Arial" w:asciiTheme="minorEastAsia" w:hAnsiTheme="minorEastAsia" w:eastAsiaTheme="minorEastAsia"/>
                <w:color w:val="auto"/>
                <w:sz w:val="24"/>
                <w:highlight w:val="none"/>
              </w:rPr>
              <w:t>,支持拓展ETC读头联动使用。</w:t>
            </w:r>
          </w:p>
        </w:tc>
      </w:tr>
    </w:tbl>
    <w:p>
      <w:pPr>
        <w:tabs>
          <w:tab w:val="left" w:pos="426"/>
          <w:tab w:val="left" w:pos="454"/>
        </w:tabs>
        <w:spacing w:line="360" w:lineRule="auto"/>
        <w:rPr>
          <w:rFonts w:cs="Arial" w:asciiTheme="minorEastAsia" w:hAnsiTheme="minorEastAsia" w:eastAsiaTheme="minorEastAsia"/>
          <w:color w:val="auto"/>
          <w:sz w:val="24"/>
          <w:highlight w:val="none"/>
        </w:rPr>
      </w:pPr>
    </w:p>
    <w:p>
      <w:pPr>
        <w:tabs>
          <w:tab w:val="left" w:pos="426"/>
          <w:tab w:val="left" w:pos="454"/>
        </w:tabs>
        <w:spacing w:line="360" w:lineRule="auto"/>
        <w:ind w:firstLine="480" w:firstLineChars="2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6）单杆道闸</w:t>
      </w:r>
    </w:p>
    <w:p>
      <w:pPr>
        <w:tabs>
          <w:tab w:val="left" w:pos="426"/>
          <w:tab w:val="left" w:pos="454"/>
        </w:tabs>
        <w:spacing w:line="360" w:lineRule="auto"/>
        <w:ind w:firstLine="480" w:firstLineChars="200"/>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6.1）</w:t>
      </w:r>
      <w:r>
        <w:rPr>
          <w:rFonts w:hint="eastAsia" w:cs="Arial" w:asciiTheme="minorEastAsia" w:hAnsiTheme="minorEastAsia" w:eastAsiaTheme="minorEastAsia"/>
          <w:color w:val="auto"/>
          <w:sz w:val="24"/>
          <w:highlight w:val="none"/>
          <w:lang w:val="zh-CN"/>
        </w:rPr>
        <w:t>伺服电机驱动，</w:t>
      </w:r>
      <w:r>
        <w:rPr>
          <w:rFonts w:hint="eastAsia" w:cs="Arial" w:asciiTheme="minorEastAsia" w:hAnsiTheme="minorEastAsia" w:eastAsiaTheme="minorEastAsia"/>
          <w:color w:val="auto"/>
          <w:sz w:val="24"/>
          <w:highlight w:val="none"/>
        </w:rPr>
        <w:t>磁编码控制，速度可控，精准定位，</w:t>
      </w:r>
      <w:r>
        <w:rPr>
          <w:rFonts w:hint="eastAsia" w:cs="Arial" w:asciiTheme="minorEastAsia" w:hAnsiTheme="minorEastAsia" w:eastAsiaTheme="minorEastAsia"/>
          <w:color w:val="auto"/>
          <w:sz w:val="24"/>
          <w:highlight w:val="none"/>
          <w:lang w:val="zh-CN"/>
        </w:rPr>
        <w:t>适应性强，运行平稳。</w:t>
      </w:r>
    </w:p>
    <w:p>
      <w:pPr>
        <w:tabs>
          <w:tab w:val="left" w:pos="426"/>
          <w:tab w:val="left" w:pos="454"/>
        </w:tabs>
        <w:spacing w:line="360" w:lineRule="auto"/>
        <w:ind w:firstLine="425"/>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6.2）相对自锁，通过减速机内部结构达到相对自锁，通过电机施力加相对自锁，保证在落杆状态下不能人为抬杆，在停电时，电机不施力，杆可以抬起。</w:t>
      </w:r>
    </w:p>
    <w:p>
      <w:pPr>
        <w:tabs>
          <w:tab w:val="left" w:pos="426"/>
          <w:tab w:val="left" w:pos="454"/>
        </w:tabs>
        <w:spacing w:line="360" w:lineRule="auto"/>
        <w:ind w:firstLine="425"/>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6.3）</w:t>
      </w:r>
      <w:r>
        <w:rPr>
          <w:rFonts w:cs="Arial" w:asciiTheme="minorEastAsia" w:hAnsiTheme="minorEastAsia" w:eastAsiaTheme="minorEastAsia"/>
          <w:color w:val="auto"/>
          <w:sz w:val="24"/>
          <w:highlight w:val="none"/>
          <w:lang w:val="zh-CN"/>
        </w:rPr>
        <w:t xml:space="preserve"> 采用铸铝杆把，可快速拆卸杆头。</w:t>
      </w:r>
    </w:p>
    <w:p>
      <w:pPr>
        <w:tabs>
          <w:tab w:val="left" w:pos="426"/>
          <w:tab w:val="left" w:pos="454"/>
        </w:tabs>
        <w:spacing w:line="360" w:lineRule="auto"/>
        <w:ind w:firstLine="425"/>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 xml:space="preserve">6.4） </w:t>
      </w:r>
      <w:r>
        <w:rPr>
          <w:rFonts w:hint="eastAsia" w:cs="Arial" w:asciiTheme="minorEastAsia" w:hAnsiTheme="minorEastAsia" w:eastAsiaTheme="minorEastAsia"/>
          <w:color w:val="auto"/>
          <w:sz w:val="24"/>
          <w:highlight w:val="none"/>
          <w:lang w:val="zh-CN"/>
        </w:rPr>
        <w:t>机箱表面采用磷化工艺处理，静电喷涂，高温烤漆加汽车面漆，具有防锈、抗紫外线及阳光下暴晒不易变色等特点。</w:t>
      </w:r>
    </w:p>
    <w:p>
      <w:pPr>
        <w:tabs>
          <w:tab w:val="left" w:pos="426"/>
          <w:tab w:val="left" w:pos="454"/>
        </w:tabs>
        <w:spacing w:line="360" w:lineRule="auto"/>
        <w:ind w:firstLine="425"/>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6.5)</w:t>
      </w:r>
      <w:r>
        <w:rPr>
          <w:rFonts w:hint="eastAsia" w:cs="Arial" w:asciiTheme="minorEastAsia" w:hAnsiTheme="minorEastAsia" w:eastAsiaTheme="minorEastAsia"/>
          <w:color w:val="auto"/>
          <w:sz w:val="24"/>
          <w:highlight w:val="none"/>
          <w:lang w:val="zh-CN"/>
        </w:rPr>
        <w:t>起落杆到位系统缓冲减速，运行平稳，不抖杆。</w:t>
      </w:r>
    </w:p>
    <w:p>
      <w:pPr>
        <w:tabs>
          <w:tab w:val="left" w:pos="426"/>
          <w:tab w:val="left" w:pos="454"/>
        </w:tabs>
        <w:spacing w:line="360" w:lineRule="auto"/>
        <w:ind w:firstLine="425"/>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6.6)</w:t>
      </w:r>
      <w:r>
        <w:rPr>
          <w:rFonts w:hint="eastAsia" w:cs="Arial" w:asciiTheme="minorEastAsia" w:hAnsiTheme="minorEastAsia" w:eastAsiaTheme="minorEastAsia"/>
          <w:color w:val="auto"/>
          <w:sz w:val="24"/>
          <w:highlight w:val="none"/>
          <w:lang w:val="zh-CN"/>
        </w:rPr>
        <w:t>停电后系统锁住电机相线，使起落杆位置保持垂直与水平状态。</w:t>
      </w:r>
    </w:p>
    <w:p>
      <w:pPr>
        <w:tabs>
          <w:tab w:val="left" w:pos="426"/>
          <w:tab w:val="left" w:pos="454"/>
        </w:tabs>
        <w:spacing w:line="360" w:lineRule="auto"/>
        <w:ind w:firstLine="425"/>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6.7)ARM32内核处理器，电机堵转、超时运行保护、遇阻反弹、断杆、人为抬杆等异常智能感知。</w:t>
      </w:r>
    </w:p>
    <w:p>
      <w:pPr>
        <w:tabs>
          <w:tab w:val="left" w:pos="426"/>
          <w:tab w:val="left" w:pos="454"/>
        </w:tabs>
        <w:spacing w:line="360" w:lineRule="auto"/>
        <w:ind w:firstLine="425"/>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6.8)</w:t>
      </w:r>
      <w:r>
        <w:rPr>
          <w:rFonts w:hint="eastAsia" w:cs="Arial" w:asciiTheme="minorEastAsia" w:hAnsiTheme="minorEastAsia" w:eastAsiaTheme="minorEastAsia"/>
          <w:color w:val="auto"/>
          <w:sz w:val="24"/>
          <w:highlight w:val="none"/>
          <w:lang w:val="zh-CN"/>
        </w:rPr>
        <w:t>采用智能伺服控制技术确保起落杆准确平稳，</w:t>
      </w:r>
      <w:r>
        <w:rPr>
          <w:rFonts w:cs="Arial" w:asciiTheme="minorEastAsia" w:hAnsiTheme="minorEastAsia" w:eastAsiaTheme="minorEastAsia"/>
          <w:color w:val="auto"/>
          <w:sz w:val="24"/>
          <w:highlight w:val="none"/>
          <w:lang w:val="zh-CN"/>
        </w:rPr>
        <w:t xml:space="preserve"> </w:t>
      </w:r>
      <w:r>
        <w:rPr>
          <w:rFonts w:hint="eastAsia" w:cs="Arial" w:asciiTheme="minorEastAsia" w:hAnsiTheme="minorEastAsia" w:eastAsiaTheme="minorEastAsia"/>
          <w:color w:val="auto"/>
          <w:sz w:val="24"/>
          <w:highlight w:val="none"/>
          <w:lang w:val="zh-CN"/>
        </w:rPr>
        <w:t>预留多项扩充端口功能。</w:t>
      </w:r>
    </w:p>
    <w:p>
      <w:pPr>
        <w:tabs>
          <w:tab w:val="left" w:pos="426"/>
          <w:tab w:val="left" w:pos="454"/>
        </w:tabs>
        <w:spacing w:line="360" w:lineRule="auto"/>
        <w:ind w:firstLine="425"/>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6.9)</w:t>
      </w:r>
      <w:r>
        <w:rPr>
          <w:rFonts w:hint="eastAsia" w:cs="Arial" w:asciiTheme="minorEastAsia" w:hAnsiTheme="minorEastAsia" w:eastAsiaTheme="minorEastAsia"/>
          <w:color w:val="auto"/>
          <w:sz w:val="24"/>
          <w:highlight w:val="none"/>
          <w:lang w:val="zh-CN"/>
        </w:rPr>
        <w:t>实时监测闸杆运行数据，并自行判断碰到障碍物立即起杆功能。</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6.10) </w:t>
      </w:r>
      <w:r>
        <w:rPr>
          <w:rFonts w:hint="eastAsia" w:cs="Arial" w:asciiTheme="minorEastAsia" w:hAnsiTheme="minorEastAsia" w:eastAsiaTheme="minorEastAsia"/>
          <w:color w:val="auto"/>
          <w:sz w:val="24"/>
          <w:highlight w:val="none"/>
        </w:rPr>
        <w:t>多种控制方式：板载按键、遥控器、外部线控、</w:t>
      </w:r>
      <w:r>
        <w:rPr>
          <w:rFonts w:cs="Arial" w:asciiTheme="minorEastAsia" w:hAnsiTheme="minorEastAsia" w:eastAsiaTheme="minorEastAsia"/>
          <w:color w:val="auto"/>
          <w:sz w:val="24"/>
          <w:highlight w:val="none"/>
        </w:rPr>
        <w:t>485等控制方式，实现起、落杆等功能。</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6.11)多种应用模式：具备普通、车队、计数等多种应用模式供用户选择使用。</w:t>
      </w:r>
    </w:p>
    <w:p>
      <w:pPr>
        <w:tabs>
          <w:tab w:val="left" w:pos="426"/>
          <w:tab w:val="left" w:pos="454"/>
        </w:tabs>
        <w:spacing w:line="360" w:lineRule="auto"/>
        <w:ind w:firstLine="425"/>
        <w:rPr>
          <w:rFonts w:cs="Arial" w:asciiTheme="minorEastAsia" w:hAnsiTheme="minorEastAsia" w:eastAsiaTheme="minorEastAsia"/>
          <w:color w:val="auto"/>
          <w:sz w:val="24"/>
          <w:highlight w:val="none"/>
          <w:lang w:val="zh-CN"/>
        </w:rPr>
      </w:pPr>
      <w:r>
        <w:rPr>
          <w:rFonts w:cs="Arial" w:asciiTheme="minorEastAsia" w:hAnsiTheme="minorEastAsia" w:eastAsiaTheme="minorEastAsia"/>
          <w:color w:val="auto"/>
          <w:sz w:val="24"/>
          <w:highlight w:val="none"/>
        </w:rPr>
        <w:t>6.12)无限位开关，开机上电后经板载按键或遥控器启动自检，自学习行程起落到位位置、步数。水平、垂直位置微调可通过参数进行调整。</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6.13)预留</w:t>
      </w:r>
      <w:r>
        <w:rPr>
          <w:rFonts w:hint="eastAsia" w:cs="Arial" w:asciiTheme="minorEastAsia" w:hAnsiTheme="minorEastAsia" w:eastAsiaTheme="minorEastAsia"/>
          <w:color w:val="auto"/>
          <w:sz w:val="24"/>
          <w:highlight w:val="none"/>
          <w:lang w:val="en-US" w:eastAsia="zh-CN"/>
        </w:rPr>
        <w:t>Web通讯接口（提供通讯协议）</w:t>
      </w:r>
      <w:r>
        <w:rPr>
          <w:rFonts w:cs="Arial" w:asciiTheme="minorEastAsia" w:hAnsiTheme="minorEastAsia" w:eastAsiaTheme="minorEastAsia"/>
          <w:color w:val="auto"/>
          <w:sz w:val="24"/>
          <w:highlight w:val="none"/>
        </w:rPr>
        <w:t>，系统可以实现远程控制、状态数据采集、异常实时上报等功能。</w:t>
      </w:r>
    </w:p>
    <w:p>
      <w:pPr>
        <w:tabs>
          <w:tab w:val="left" w:pos="426"/>
          <w:tab w:val="left" w:pos="454"/>
        </w:tabs>
        <w:spacing w:line="360" w:lineRule="auto"/>
        <w:ind w:firstLine="480" w:firstLineChars="200"/>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7)电动悬浮门</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产品样式图片（款式如图）</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drawing>
          <wp:inline distT="0" distB="0" distL="114300" distR="114300">
            <wp:extent cx="6019165" cy="3578225"/>
            <wp:effectExtent l="0" t="0" r="635" b="31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2"/>
                    <a:stretch>
                      <a:fillRect/>
                    </a:stretch>
                  </pic:blipFill>
                  <pic:spPr>
                    <a:xfrm>
                      <a:off x="0" y="0"/>
                      <a:ext cx="6019165" cy="3578225"/>
                    </a:xfrm>
                    <a:prstGeom prst="rect">
                      <a:avLst/>
                    </a:prstGeom>
                    <a:noFill/>
                    <a:ln>
                      <a:noFill/>
                    </a:ln>
                  </pic:spPr>
                </pic:pic>
              </a:graphicData>
            </a:graphic>
          </wp:inline>
        </w:drawing>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hint="eastAsia" w:cs="Arial" w:asciiTheme="minorEastAsia" w:hAnsiTheme="minorEastAsia" w:eastAsiaTheme="minorEastAsia"/>
          <w:color w:val="auto"/>
          <w:sz w:val="24"/>
          <w:highlight w:val="none"/>
        </w:rPr>
        <w:t>电动悬浮门说明</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7.1)主要功能：带有红外防撞、防爬报警、防夹、前后防碰、电子离合、紧急停止、遇阻反弹、语音提示、漏电保护等安全防护功能。</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7.2)采用高强度铝合金材质，交叉拉杆，无焊接拼装结构、无轮无轨、两片联动悬浮运行。</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7.3)产品所用电动机安全应符合GB 12350的要求，电机带有过载、过热保护。齿轮减速，采用无刷控制系统。</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7.4)门体两片联动，运行速度24m/min(可调)。</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7.5)表面处理采用户外粉末静电工艺烤漆。</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7.6)门体为齿轮条转动，首片门排联动为链条传动。</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7.7)高强度铝合金材料作受力构件时，材料壁厚不应小于3.0mm，作装饰构件时，材料壁厚不应小于0.8mm。</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7.8)机箱外壳防护等级按GB4208的规定不应低于IP44。</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7.9)在正常工作环境中，以开、关门一个循环计为一次，产品运行动作不小于：100000次。</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7.10)运行时应无尖锐的摩擦噪声，噪声排放不应大于65dB。</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7.11)控制电路应设有失压保护，当电压降落或电源中断应自动停机。电源再现时，被控产品不应自动运行。</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7.12)配备手动离合功能，当停电时，只需将离合钥匙插入离合孔内轻松旋转180度即可实现手动开关门。</w:t>
      </w:r>
    </w:p>
    <w:p>
      <w:pPr>
        <w:tabs>
          <w:tab w:val="left" w:pos="426"/>
          <w:tab w:val="left" w:pos="454"/>
        </w:tabs>
        <w:spacing w:line="360" w:lineRule="auto"/>
        <w:ind w:firstLine="425"/>
        <w:rPr>
          <w:rFonts w:cs="Arial"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 xml:space="preserve">7.13)产品表面采用先进烤漆工艺，底层环氧树脂粉末喷涂，高温固化, </w:t>
      </w:r>
      <w:r>
        <w:rPr>
          <w:rFonts w:hint="eastAsia" w:cs="Arial" w:asciiTheme="minorEastAsia" w:hAnsiTheme="minorEastAsia" w:eastAsiaTheme="minorEastAsia"/>
          <w:color w:val="auto"/>
          <w:sz w:val="24"/>
          <w:highlight w:val="none"/>
        </w:rPr>
        <w:t>附着力好，表层耐候性优良的户外油漆，不易褪色。</w:t>
      </w:r>
    </w:p>
    <w:p>
      <w:pPr>
        <w:tabs>
          <w:tab w:val="left" w:pos="426"/>
          <w:tab w:val="left" w:pos="454"/>
        </w:tabs>
        <w:spacing w:line="360" w:lineRule="auto"/>
        <w:ind w:firstLine="425"/>
        <w:rPr>
          <w:rFonts w:cs="宋体" w:asciiTheme="minorEastAsia" w:hAnsiTheme="minorEastAsia" w:eastAsiaTheme="minorEastAsia"/>
          <w:color w:val="auto"/>
          <w:sz w:val="24"/>
          <w:highlight w:val="none"/>
        </w:rPr>
      </w:pPr>
      <w:r>
        <w:rPr>
          <w:rFonts w:cs="Arial" w:asciiTheme="minorEastAsia" w:hAnsiTheme="minorEastAsia" w:eastAsiaTheme="minorEastAsia"/>
          <w:color w:val="auto"/>
          <w:sz w:val="24"/>
          <w:highlight w:val="none"/>
        </w:rPr>
        <w:t>7.14)采用高品质铝合金外壳电机，并自带散热风扇，能快速、有效地降低电机温升。并配备热敏保护功能,当电机温度达到135℃以上时会自行断电保护,不会轻易烧坏电机。</w:t>
      </w:r>
    </w:p>
    <w:p>
      <w:pPr>
        <w:spacing w:line="360" w:lineRule="auto"/>
        <w:rPr>
          <w:rFonts w:cs="宋体" w:asciiTheme="minorEastAsia" w:hAnsiTheme="minorEastAsia" w:eastAsiaTheme="minorEastAsia"/>
          <w:b/>
          <w:color w:val="auto"/>
          <w:sz w:val="24"/>
          <w:highlight w:val="none"/>
        </w:rPr>
      </w:pPr>
      <w:r>
        <w:rPr>
          <w:rFonts w:cs="宋体" w:asciiTheme="minorEastAsia" w:hAnsiTheme="minorEastAsia" w:eastAsiaTheme="minorEastAsia"/>
          <w:b/>
          <w:color w:val="auto"/>
          <w:sz w:val="24"/>
          <w:highlight w:val="none"/>
        </w:rPr>
        <w:t>3、包装及发运要求</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3.1供应商将设备运至甲方指定地点。</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3.2包装箱应牢固可靠,适合运输装卸的要求。包装箱应有可靠的防潮措施。</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3.3运输过程中应小心轻放,不允许倒置和碰撞。运输过程的损失由供应商负责。</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3.4设备到货拆箱时，供应商必须陪同现场人员进行拆箱,如供应商授权用户自行拆箱,拆箱后如发现设备及其附件有任何损坏、缺少，供应商应付全责。</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3.5设备随机专用工具及易损件应加以包装并固定在包装箱内。</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3.6运输周期包含在供货周期内，制造方负责运输，并承担运输装卸费用及相关保险费用。</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3.7设备到货清单必须详列每装箱内物品明细。</w:t>
      </w:r>
    </w:p>
    <w:p>
      <w:pPr>
        <w:pStyle w:val="11"/>
        <w:rPr>
          <w:rFonts w:asciiTheme="minorEastAsia" w:hAnsiTheme="minorEastAsia" w:eastAsiaTheme="minorEastAsia"/>
          <w:color w:val="auto"/>
          <w:sz w:val="24"/>
          <w:szCs w:val="24"/>
          <w:highlight w:val="none"/>
        </w:rPr>
      </w:pPr>
    </w:p>
    <w:p>
      <w:pPr>
        <w:numPr>
          <w:ilvl w:val="0"/>
          <w:numId w:val="5"/>
        </w:numPr>
        <w:spacing w:line="360" w:lineRule="auto"/>
        <w:rPr>
          <w:rFonts w:cs="宋体" w:asciiTheme="minorEastAsia" w:hAnsiTheme="minorEastAsia" w:eastAsiaTheme="minorEastAsia"/>
          <w:b/>
          <w:color w:val="auto"/>
          <w:sz w:val="24"/>
          <w:highlight w:val="none"/>
        </w:rPr>
      </w:pPr>
      <w:bookmarkStart w:id="26" w:name="_Toc13389"/>
      <w:bookmarkStart w:id="27" w:name="_Toc654"/>
      <w:r>
        <w:rPr>
          <w:rFonts w:hint="eastAsia" w:cs="宋体" w:asciiTheme="minorEastAsia" w:hAnsiTheme="minorEastAsia" w:eastAsiaTheme="minorEastAsia"/>
          <w:b/>
          <w:color w:val="auto"/>
          <w:sz w:val="24"/>
          <w:highlight w:val="none"/>
        </w:rPr>
        <w:t>售后服务计划及承诺</w:t>
      </w:r>
      <w:bookmarkEnd w:id="26"/>
      <w:bookmarkEnd w:id="27"/>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4.1现场技术服务</w:t>
      </w:r>
    </w:p>
    <w:p>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为了使所供设备安全、正常投入运行，在设备交付及安装调试期间，供应商需安排具备服务资格的下列人员到用户现场进行技术服务。如果服务人员数量不能满足工程需要，供应商需根据实际情况及时追加服务人员的人数，用户无须为追加服务人员的人数支付任何额外费用。</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4.2现场服务计划表</w:t>
      </w:r>
    </w:p>
    <w:tbl>
      <w:tblPr>
        <w:tblStyle w:val="22"/>
        <w:tblW w:w="9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19"/>
        <w:gridCol w:w="1922"/>
        <w:gridCol w:w="3383"/>
        <w:gridCol w:w="1246"/>
        <w:gridCol w:w="17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719" w:type="dxa"/>
            <w:tcBorders>
              <w:top w:val="single" w:color="auto" w:sz="4" w:space="0"/>
              <w:left w:val="single" w:color="auto" w:sz="4" w:space="0"/>
              <w:bottom w:val="single" w:color="auto" w:sz="4" w:space="0"/>
              <w:right w:val="single" w:color="000000" w:sz="6" w:space="0"/>
              <w:tl2br w:val="nil"/>
              <w:tr2bl w:val="nil"/>
            </w:tcBorders>
            <w:vAlign w:val="center"/>
          </w:tcPr>
          <w:p>
            <w:pPr>
              <w:jc w:val="center"/>
              <w:rPr>
                <w:rFonts w:cs="宋体" w:asciiTheme="minorEastAsia" w:hAnsiTheme="minorEastAsia" w:eastAsiaTheme="minorEastAsia"/>
                <w:b/>
                <w:bCs/>
                <w:color w:val="auto"/>
                <w:sz w:val="24"/>
                <w:highlight w:val="none"/>
              </w:rPr>
            </w:pPr>
            <w:r>
              <w:rPr>
                <w:rFonts w:hint="eastAsia" w:cs="宋体" w:asciiTheme="minorEastAsia" w:hAnsiTheme="minorEastAsia" w:eastAsiaTheme="minorEastAsia"/>
                <w:b/>
                <w:bCs/>
                <w:color w:val="auto"/>
                <w:sz w:val="24"/>
                <w:highlight w:val="none"/>
              </w:rPr>
              <w:t>序号</w:t>
            </w:r>
          </w:p>
        </w:tc>
        <w:tc>
          <w:tcPr>
            <w:tcW w:w="1922" w:type="dxa"/>
            <w:tcBorders>
              <w:top w:val="single" w:color="auto" w:sz="4" w:space="0"/>
              <w:left w:val="single" w:color="000000" w:sz="6" w:space="0"/>
              <w:bottom w:val="single" w:color="auto" w:sz="4" w:space="0"/>
              <w:right w:val="single" w:color="000000" w:sz="6" w:space="0"/>
              <w:tl2br w:val="nil"/>
              <w:tr2bl w:val="nil"/>
            </w:tcBorders>
            <w:vAlign w:val="center"/>
          </w:tcPr>
          <w:p>
            <w:pPr>
              <w:pStyle w:val="42"/>
              <w:spacing w:line="240" w:lineRule="auto"/>
              <w:jc w:val="center"/>
              <w:rPr>
                <w:rFonts w:cs="宋体" w:asciiTheme="minorEastAsia" w:hAnsiTheme="minorEastAsia" w:eastAsiaTheme="minorEastAsia"/>
                <w:bCs/>
                <w:color w:val="auto"/>
                <w:szCs w:val="24"/>
                <w:highlight w:val="none"/>
              </w:rPr>
            </w:pPr>
            <w:r>
              <w:rPr>
                <w:rFonts w:cs="宋体" w:asciiTheme="minorEastAsia" w:hAnsiTheme="minorEastAsia" w:eastAsiaTheme="minorEastAsia"/>
                <w:bCs/>
                <w:color w:val="auto"/>
                <w:szCs w:val="24"/>
                <w:highlight w:val="none"/>
              </w:rPr>
              <w:t>技术服务内容</w:t>
            </w:r>
          </w:p>
        </w:tc>
        <w:tc>
          <w:tcPr>
            <w:tcW w:w="3383" w:type="dxa"/>
            <w:tcBorders>
              <w:top w:val="single" w:color="auto" w:sz="4" w:space="0"/>
              <w:left w:val="single" w:color="000000" w:sz="6" w:space="0"/>
              <w:bottom w:val="single" w:color="auto" w:sz="4" w:space="0"/>
              <w:right w:val="single" w:color="000000" w:sz="6" w:space="0"/>
              <w:tl2br w:val="nil"/>
              <w:tr2bl w:val="nil"/>
            </w:tcBorders>
            <w:vAlign w:val="center"/>
          </w:tcPr>
          <w:p>
            <w:pPr>
              <w:jc w:val="center"/>
              <w:rPr>
                <w:rFonts w:cs="宋体" w:asciiTheme="minorEastAsia" w:hAnsiTheme="minorEastAsia" w:eastAsiaTheme="minorEastAsia"/>
                <w:b/>
                <w:bCs/>
                <w:color w:val="auto"/>
                <w:sz w:val="24"/>
                <w:highlight w:val="none"/>
              </w:rPr>
            </w:pPr>
            <w:r>
              <w:rPr>
                <w:rFonts w:hint="eastAsia" w:cs="宋体" w:asciiTheme="minorEastAsia" w:hAnsiTheme="minorEastAsia" w:eastAsiaTheme="minorEastAsia"/>
                <w:b/>
                <w:bCs/>
                <w:color w:val="auto"/>
                <w:sz w:val="24"/>
                <w:highlight w:val="none"/>
              </w:rPr>
              <w:t>派出人员构成</w:t>
            </w:r>
          </w:p>
        </w:tc>
        <w:tc>
          <w:tcPr>
            <w:tcW w:w="1246" w:type="dxa"/>
            <w:tcBorders>
              <w:top w:val="single" w:color="auto" w:sz="4" w:space="0"/>
              <w:left w:val="single" w:color="000000" w:sz="6" w:space="0"/>
              <w:bottom w:val="single" w:color="auto" w:sz="4" w:space="0"/>
              <w:right w:val="single" w:color="000000" w:sz="6" w:space="0"/>
              <w:tl2br w:val="nil"/>
              <w:tr2bl w:val="nil"/>
            </w:tcBorders>
            <w:vAlign w:val="center"/>
          </w:tcPr>
          <w:p>
            <w:pPr>
              <w:jc w:val="center"/>
              <w:rPr>
                <w:rFonts w:cs="宋体" w:asciiTheme="minorEastAsia" w:hAnsiTheme="minorEastAsia" w:eastAsiaTheme="minorEastAsia"/>
                <w:b/>
                <w:bCs/>
                <w:color w:val="auto"/>
                <w:sz w:val="24"/>
                <w:highlight w:val="none"/>
              </w:rPr>
            </w:pPr>
            <w:r>
              <w:rPr>
                <w:rFonts w:hint="eastAsia" w:cs="宋体" w:asciiTheme="minorEastAsia" w:hAnsiTheme="minorEastAsia" w:eastAsiaTheme="minorEastAsia"/>
                <w:b/>
                <w:bCs/>
                <w:color w:val="auto"/>
                <w:sz w:val="24"/>
                <w:highlight w:val="none"/>
              </w:rPr>
              <w:t>计划人数</w:t>
            </w:r>
          </w:p>
        </w:tc>
        <w:tc>
          <w:tcPr>
            <w:tcW w:w="1754" w:type="dxa"/>
            <w:tcBorders>
              <w:top w:val="single" w:color="auto" w:sz="4" w:space="0"/>
              <w:left w:val="single" w:color="000000" w:sz="6" w:space="0"/>
              <w:bottom w:val="single" w:color="auto" w:sz="4" w:space="0"/>
              <w:right w:val="single" w:color="auto" w:sz="4" w:space="0"/>
              <w:tl2br w:val="nil"/>
              <w:tr2bl w:val="nil"/>
            </w:tcBorders>
            <w:vAlign w:val="center"/>
          </w:tcPr>
          <w:p>
            <w:pPr>
              <w:jc w:val="center"/>
              <w:rPr>
                <w:rFonts w:cs="宋体" w:asciiTheme="minorEastAsia" w:hAnsiTheme="minorEastAsia" w:eastAsiaTheme="minorEastAsia"/>
                <w:b/>
                <w:bCs/>
                <w:color w:val="auto"/>
                <w:sz w:val="24"/>
                <w:highlight w:val="none"/>
              </w:rPr>
            </w:pPr>
            <w:r>
              <w:rPr>
                <w:rFonts w:hint="eastAsia" w:cs="宋体" w:asciiTheme="minorEastAsia" w:hAnsiTheme="minorEastAsia" w:eastAsiaTheme="minorEastAsia"/>
                <w:b/>
                <w:bCs/>
                <w:color w:val="auto"/>
                <w:sz w:val="24"/>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719" w:type="dxa"/>
            <w:tcBorders>
              <w:top w:val="nil"/>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w:t>
            </w:r>
          </w:p>
        </w:tc>
        <w:tc>
          <w:tcPr>
            <w:tcW w:w="1922" w:type="dxa"/>
            <w:tcBorders>
              <w:top w:val="nil"/>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包</w:t>
            </w:r>
            <w:r>
              <w:rPr>
                <w:rFonts w:cs="宋体" w:asciiTheme="minorEastAsia" w:hAnsiTheme="minorEastAsia" w:eastAsiaTheme="minorEastAsia"/>
                <w:color w:val="auto"/>
                <w:sz w:val="24"/>
                <w:highlight w:val="none"/>
              </w:rPr>
              <w:t>安装</w:t>
            </w:r>
          </w:p>
        </w:tc>
        <w:tc>
          <w:tcPr>
            <w:tcW w:w="3383" w:type="dxa"/>
            <w:tcBorders>
              <w:top w:val="single" w:color="000000" w:sz="6" w:space="0"/>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服务部</w:t>
            </w:r>
            <w:r>
              <w:rPr>
                <w:rFonts w:cs="宋体" w:asciiTheme="minorEastAsia" w:hAnsiTheme="minorEastAsia" w:eastAsiaTheme="minorEastAsia"/>
                <w:color w:val="auto"/>
                <w:sz w:val="24"/>
                <w:highlight w:val="none"/>
              </w:rPr>
              <w:t>/工程师</w:t>
            </w:r>
          </w:p>
        </w:tc>
        <w:tc>
          <w:tcPr>
            <w:tcW w:w="1246" w:type="dxa"/>
            <w:tcBorders>
              <w:top w:val="single" w:color="000000" w:sz="6" w:space="0"/>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1-2</w:t>
            </w:r>
          </w:p>
        </w:tc>
        <w:tc>
          <w:tcPr>
            <w:tcW w:w="1754" w:type="dxa"/>
            <w:vMerge w:val="restart"/>
            <w:tcBorders>
              <w:top w:val="nil"/>
              <w:left w:val="single" w:color="000000" w:sz="6" w:space="0"/>
              <w:bottom w:val="single" w:color="000000" w:sz="6" w:space="0"/>
              <w:right w:val="single" w:color="000000" w:sz="6" w:space="0"/>
              <w:tl2br w:val="nil"/>
              <w:tr2bl w:val="nil"/>
            </w:tcBorders>
            <w:vAlign w:val="center"/>
          </w:tcPr>
          <w:p>
            <w:pPr>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根据实际情况及时追加服务人员的人数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719" w:type="dxa"/>
            <w:tcBorders>
              <w:top w:val="nil"/>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w:t>
            </w:r>
          </w:p>
        </w:tc>
        <w:tc>
          <w:tcPr>
            <w:tcW w:w="1922" w:type="dxa"/>
            <w:tcBorders>
              <w:top w:val="nil"/>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调试</w:t>
            </w:r>
            <w:r>
              <w:rPr>
                <w:rFonts w:cs="宋体" w:asciiTheme="minorEastAsia" w:hAnsiTheme="minorEastAsia" w:eastAsiaTheme="minorEastAsia"/>
                <w:color w:val="auto"/>
                <w:sz w:val="24"/>
                <w:highlight w:val="none"/>
              </w:rPr>
              <w:t>/培训</w:t>
            </w:r>
          </w:p>
        </w:tc>
        <w:tc>
          <w:tcPr>
            <w:tcW w:w="3383" w:type="dxa"/>
            <w:tcBorders>
              <w:top w:val="single" w:color="000000" w:sz="6" w:space="0"/>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技术部、服务部</w:t>
            </w:r>
            <w:r>
              <w:rPr>
                <w:rFonts w:cs="宋体" w:asciiTheme="minorEastAsia" w:hAnsiTheme="minorEastAsia" w:eastAsiaTheme="minorEastAsia"/>
                <w:color w:val="auto"/>
                <w:sz w:val="24"/>
                <w:highlight w:val="none"/>
              </w:rPr>
              <w:t>/工程师</w:t>
            </w:r>
          </w:p>
        </w:tc>
        <w:tc>
          <w:tcPr>
            <w:tcW w:w="1246" w:type="dxa"/>
            <w:tcBorders>
              <w:top w:val="single" w:color="000000" w:sz="6" w:space="0"/>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1-3</w:t>
            </w:r>
          </w:p>
        </w:tc>
        <w:tc>
          <w:tcPr>
            <w:tcW w:w="1754" w:type="dxa"/>
            <w:vMerge w:val="continue"/>
            <w:tcBorders>
              <w:top w:val="single" w:color="000000" w:sz="6" w:space="0"/>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7" w:hRule="atLeast"/>
          <w:jc w:val="center"/>
        </w:trPr>
        <w:tc>
          <w:tcPr>
            <w:tcW w:w="719" w:type="dxa"/>
            <w:tcBorders>
              <w:top w:val="nil"/>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3</w:t>
            </w:r>
          </w:p>
        </w:tc>
        <w:tc>
          <w:tcPr>
            <w:tcW w:w="1922" w:type="dxa"/>
            <w:tcBorders>
              <w:top w:val="nil"/>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交货验收</w:t>
            </w:r>
          </w:p>
        </w:tc>
        <w:tc>
          <w:tcPr>
            <w:tcW w:w="3383" w:type="dxa"/>
            <w:tcBorders>
              <w:top w:val="single" w:color="000000" w:sz="6" w:space="0"/>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商务部</w:t>
            </w:r>
            <w:r>
              <w:rPr>
                <w:rFonts w:cs="宋体" w:asciiTheme="minorEastAsia" w:hAnsiTheme="minorEastAsia" w:eastAsiaTheme="minorEastAsia"/>
                <w:color w:val="auto"/>
                <w:sz w:val="24"/>
                <w:highlight w:val="none"/>
              </w:rPr>
              <w:t>/销售工程师</w:t>
            </w:r>
          </w:p>
        </w:tc>
        <w:tc>
          <w:tcPr>
            <w:tcW w:w="1246" w:type="dxa"/>
            <w:tcBorders>
              <w:top w:val="single" w:color="000000" w:sz="6" w:space="0"/>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1-2</w:t>
            </w:r>
          </w:p>
        </w:tc>
        <w:tc>
          <w:tcPr>
            <w:tcW w:w="1754" w:type="dxa"/>
            <w:vMerge w:val="continue"/>
            <w:tcBorders>
              <w:top w:val="single" w:color="000000" w:sz="6" w:space="0"/>
              <w:left w:val="single" w:color="000000" w:sz="6" w:space="0"/>
              <w:bottom w:val="single" w:color="000000" w:sz="6" w:space="0"/>
              <w:right w:val="single" w:color="000000" w:sz="6" w:space="0"/>
              <w:tl2br w:val="nil"/>
              <w:tr2bl w:val="nil"/>
            </w:tcBorders>
            <w:vAlign w:val="center"/>
          </w:tcPr>
          <w:p>
            <w:pPr>
              <w:jc w:val="center"/>
              <w:rPr>
                <w:rFonts w:cs="宋体" w:asciiTheme="minorEastAsia" w:hAnsiTheme="minorEastAsia" w:eastAsiaTheme="minorEastAsia"/>
                <w:color w:val="auto"/>
                <w:sz w:val="24"/>
                <w:highlight w:val="none"/>
              </w:rPr>
            </w:pPr>
          </w:p>
        </w:tc>
      </w:tr>
    </w:tbl>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4.3服务人员均具有下列资格及素质</w:t>
      </w:r>
    </w:p>
    <w:p>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1）熟悉</w:t>
      </w:r>
      <w:r>
        <w:rPr>
          <w:rFonts w:hint="eastAsia" w:cs="宋体" w:asciiTheme="minorEastAsia" w:hAnsiTheme="minorEastAsia" w:eastAsiaTheme="minorEastAsia"/>
          <w:color w:val="auto"/>
          <w:sz w:val="24"/>
          <w:highlight w:val="none"/>
          <w:lang w:eastAsia="zh-CN"/>
        </w:rPr>
        <w:t>大门及其门禁管理系统</w:t>
      </w:r>
      <w:r>
        <w:rPr>
          <w:rFonts w:cs="宋体" w:asciiTheme="minorEastAsia" w:hAnsiTheme="minorEastAsia" w:eastAsiaTheme="minorEastAsia"/>
          <w:color w:val="auto"/>
          <w:sz w:val="24"/>
          <w:highlight w:val="none"/>
        </w:rPr>
        <w:t>系统的工作原理，具备多年多次</w:t>
      </w:r>
      <w:r>
        <w:rPr>
          <w:rFonts w:hint="eastAsia" w:cs="宋体" w:asciiTheme="minorEastAsia" w:hAnsiTheme="minorEastAsia" w:eastAsiaTheme="minorEastAsia"/>
          <w:color w:val="auto"/>
          <w:sz w:val="24"/>
          <w:highlight w:val="none"/>
          <w:lang w:eastAsia="zh-CN"/>
        </w:rPr>
        <w:t>大门及其门禁管理系统</w:t>
      </w:r>
      <w:r>
        <w:rPr>
          <w:rFonts w:cs="宋体" w:asciiTheme="minorEastAsia" w:hAnsiTheme="minorEastAsia" w:eastAsiaTheme="minorEastAsia"/>
          <w:color w:val="auto"/>
          <w:sz w:val="24"/>
          <w:highlight w:val="none"/>
        </w:rPr>
        <w:t>系统操作、维护培训和工作经验；</w:t>
      </w:r>
    </w:p>
    <w:p>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2）了解合同设备的设计，熟悉其结构，有相同或相近机组的现场工作经验，能够正确地进行现场指导；</w:t>
      </w:r>
    </w:p>
    <w:p>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3）遵守法纪，遵守现场的各项规章和制度；</w:t>
      </w:r>
    </w:p>
    <w:p>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4）有较强的责任感和事业心，身体健康，能适应现场工作的条件。</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4.4现场服务人员的职责</w:t>
      </w:r>
    </w:p>
    <w:p>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1）现场服务人员的任务主要包括设备的开箱检验、设备质量问题的处理、安装和调试、参加试运行和性能验收试验、对用户操作人员进行使用维护培训；</w:t>
      </w:r>
    </w:p>
    <w:p>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2）在安装和调试前，技术服务人员应向</w:t>
      </w:r>
      <w:r>
        <w:rPr>
          <w:rFonts w:hint="eastAsia" w:cs="宋体" w:asciiTheme="minorEastAsia" w:hAnsiTheme="minorEastAsia" w:eastAsiaTheme="minorEastAsia"/>
          <w:color w:val="auto"/>
          <w:sz w:val="24"/>
          <w:highlight w:val="none"/>
        </w:rPr>
        <w:t>采购人进行技术交底，讲解和示范将要进行的程序和方法；</w:t>
      </w:r>
    </w:p>
    <w:p>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3）现场服务人员应有权全权处理现场出现的一切技术和商务问题，如现场发生质量问题，厂家现场人员要在用户规定的时间内处理解决；</w:t>
      </w:r>
    </w:p>
    <w:p>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4）供应商对其现场服务人员的一切行为负全部责任；</w:t>
      </w:r>
    </w:p>
    <w:p>
      <w:pPr>
        <w:spacing w:line="360" w:lineRule="auto"/>
        <w:ind w:firstLine="480" w:firstLineChars="200"/>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4.5售后服务</w:t>
      </w:r>
    </w:p>
    <w:p>
      <w:pPr>
        <w:tabs>
          <w:tab w:val="left" w:pos="1400"/>
        </w:tabs>
        <w:adjustRightInd w:val="0"/>
        <w:spacing w:line="360" w:lineRule="auto"/>
        <w:textAlignment w:val="baseline"/>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1）自开机调试之日起，主机保固1年，在质保期内如出现质量问题，其维修费用均由供应商承担；</w:t>
      </w:r>
    </w:p>
    <w:p>
      <w:pPr>
        <w:tabs>
          <w:tab w:val="left" w:pos="1400"/>
        </w:tabs>
        <w:adjustRightInd w:val="0"/>
        <w:spacing w:line="360" w:lineRule="auto"/>
        <w:textAlignment w:val="baseline"/>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2）供应商定期一个月电话主动回访，记录</w:t>
      </w:r>
      <w:r>
        <w:rPr>
          <w:rFonts w:hint="eastAsia" w:cs="宋体" w:asciiTheme="minorEastAsia" w:hAnsiTheme="minorEastAsia" w:eastAsiaTheme="minorEastAsia"/>
          <w:color w:val="auto"/>
          <w:sz w:val="24"/>
          <w:highlight w:val="none"/>
          <w:lang w:eastAsia="zh-CN"/>
        </w:rPr>
        <w:t>大门及其门禁管理系统</w:t>
      </w:r>
      <w:r>
        <w:rPr>
          <w:rFonts w:cs="宋体" w:asciiTheme="minorEastAsia" w:hAnsiTheme="minorEastAsia" w:eastAsiaTheme="minorEastAsia"/>
          <w:color w:val="auto"/>
          <w:sz w:val="24"/>
          <w:highlight w:val="none"/>
        </w:rPr>
        <w:t>系统运行参数，提供维护保养建议；</w:t>
      </w:r>
    </w:p>
    <w:p>
      <w:pPr>
        <w:tabs>
          <w:tab w:val="left" w:pos="1400"/>
        </w:tabs>
        <w:adjustRightInd w:val="0"/>
        <w:spacing w:line="360" w:lineRule="auto"/>
        <w:textAlignment w:val="baseline"/>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3）供应商接到服务电话即时回应，24小时内可以到位服务；</w:t>
      </w:r>
    </w:p>
    <w:p>
      <w:pPr>
        <w:spacing w:line="360" w:lineRule="auto"/>
        <w:ind w:right="185" w:rightChars="88"/>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 xml:space="preserve">4）质保期外维修服务只收配件材料费，不收任何人工差旅费；                            </w:t>
      </w:r>
    </w:p>
    <w:p>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r>
        <w:rPr>
          <w:rFonts w:cs="宋体" w:asciiTheme="minorEastAsia" w:hAnsiTheme="minorEastAsia" w:eastAsiaTheme="minorEastAsia"/>
          <w:color w:val="auto"/>
          <w:sz w:val="24"/>
          <w:highlight w:val="none"/>
        </w:rPr>
        <w:t>5）提供终身服务和零配件供应。</w:t>
      </w:r>
      <w:bookmarkEnd w:id="24"/>
      <w:bookmarkEnd w:id="25"/>
    </w:p>
    <w:p>
      <w:pPr>
        <w:pStyle w:val="28"/>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款式：</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人流门</w:t>
      </w:r>
    </w:p>
    <w:p>
      <w:pP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drawing>
          <wp:inline distT="0" distB="0" distL="114300" distR="114300">
            <wp:extent cx="6153150" cy="1695450"/>
            <wp:effectExtent l="0" t="0" r="3810" b="11430"/>
            <wp:docPr id="6" name="图片 6" descr="微信图片_2023081809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818095005"/>
                    <pic:cNvPicPr>
                      <a:picLocks noChangeAspect="1"/>
                    </pic:cNvPicPr>
                  </pic:nvPicPr>
                  <pic:blipFill>
                    <a:blip r:embed="rId13"/>
                    <a:stretch>
                      <a:fillRect/>
                    </a:stretch>
                  </pic:blipFill>
                  <pic:spPr>
                    <a:xfrm>
                      <a:off x="0" y="0"/>
                      <a:ext cx="6153150" cy="1695450"/>
                    </a:xfrm>
                    <a:prstGeom prst="rect">
                      <a:avLst/>
                    </a:prstGeom>
                  </pic:spPr>
                </pic:pic>
              </a:graphicData>
            </a:graphic>
          </wp:inline>
        </w:drawing>
      </w:r>
    </w:p>
    <w:p>
      <w:pPr>
        <w:pStyle w:val="28"/>
        <w:ind w:firstLine="5280" w:firstLineChars="2200"/>
        <w:rPr>
          <w:rFonts w:asciiTheme="minorEastAsia" w:hAnsiTheme="minorEastAsia" w:eastAsiaTheme="minorEastAsia"/>
          <w:color w:val="auto"/>
          <w:sz w:val="24"/>
          <w:szCs w:val="24"/>
          <w:highlight w:val="none"/>
        </w:rPr>
      </w:pPr>
    </w:p>
    <w:p>
      <w:pPr>
        <w:pStyle w:val="28"/>
        <w:ind w:firstLine="4800" w:firstLineChars="20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物流门</w:t>
      </w:r>
    </w:p>
    <w:p>
      <w:pP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drawing>
          <wp:inline distT="0" distB="0" distL="114300" distR="114300">
            <wp:extent cx="6144895" cy="2045335"/>
            <wp:effectExtent l="0" t="0" r="12065" b="12065"/>
            <wp:docPr id="9" name="图片 9" descr="微信图片_2023081809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818094835"/>
                    <pic:cNvPicPr>
                      <a:picLocks noChangeAspect="1"/>
                    </pic:cNvPicPr>
                  </pic:nvPicPr>
                  <pic:blipFill>
                    <a:blip r:embed="rId14"/>
                    <a:stretch>
                      <a:fillRect/>
                    </a:stretch>
                  </pic:blipFill>
                  <pic:spPr>
                    <a:xfrm>
                      <a:off x="0" y="0"/>
                      <a:ext cx="6144895" cy="2045335"/>
                    </a:xfrm>
                    <a:prstGeom prst="rect">
                      <a:avLst/>
                    </a:prstGeom>
                  </pic:spPr>
                </pic:pic>
              </a:graphicData>
            </a:graphic>
          </wp:inline>
        </w:drawing>
      </w:r>
    </w:p>
    <w:p>
      <w:pPr>
        <w:pStyle w:val="28"/>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 xml:space="preserve">                                         </w:t>
      </w:r>
    </w:p>
    <w:p>
      <w:pPr>
        <w:pStyle w:val="28"/>
        <w:ind w:firstLine="4800" w:firstLineChars="20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物流门</w:t>
      </w:r>
    </w:p>
    <w:p>
      <w:pPr>
        <w:pStyle w:val="28"/>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drawing>
          <wp:inline distT="0" distB="0" distL="114300" distR="114300">
            <wp:extent cx="6144895" cy="2045335"/>
            <wp:effectExtent l="0" t="0" r="12065" b="12065"/>
            <wp:docPr id="10" name="图片 10" descr="微信图片_202308180948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818094835_1"/>
                    <pic:cNvPicPr>
                      <a:picLocks noChangeAspect="1"/>
                    </pic:cNvPicPr>
                  </pic:nvPicPr>
                  <pic:blipFill>
                    <a:blip r:embed="rId15"/>
                    <a:stretch>
                      <a:fillRect/>
                    </a:stretch>
                  </pic:blipFill>
                  <pic:spPr>
                    <a:xfrm>
                      <a:off x="0" y="0"/>
                      <a:ext cx="6144895" cy="2045335"/>
                    </a:xfrm>
                    <a:prstGeom prst="rect">
                      <a:avLst/>
                    </a:prstGeom>
                  </pic:spPr>
                </pic:pic>
              </a:graphicData>
            </a:graphic>
          </wp:inline>
        </w:drawing>
      </w:r>
    </w:p>
    <w:p>
      <w:pPr>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pPr>
        <w:jc w:val="center"/>
        <w:outlineLvl w:val="0"/>
        <w:rPr>
          <w:rFonts w:asciiTheme="minorEastAsia" w:hAnsiTheme="minorEastAsia" w:eastAsiaTheme="minorEastAsia"/>
          <w:b/>
          <w:color w:val="auto"/>
          <w:sz w:val="44"/>
          <w:szCs w:val="44"/>
          <w:highlight w:val="none"/>
        </w:rPr>
      </w:pPr>
      <w:r>
        <w:rPr>
          <w:rFonts w:hint="eastAsia" w:asciiTheme="minorEastAsia" w:hAnsiTheme="minorEastAsia" w:eastAsiaTheme="minorEastAsia"/>
          <w:b/>
          <w:color w:val="auto"/>
          <w:sz w:val="44"/>
          <w:szCs w:val="44"/>
          <w:highlight w:val="none"/>
        </w:rPr>
        <w:t>第四部分 合同样本</w:t>
      </w:r>
    </w:p>
    <w:p>
      <w:pPr>
        <w:jc w:val="center"/>
        <w:rPr>
          <w:rFonts w:asciiTheme="minorEastAsia" w:hAnsiTheme="minorEastAsia" w:eastAsiaTheme="minorEastAsia"/>
          <w:b/>
          <w:color w:val="auto"/>
          <w:sz w:val="44"/>
          <w:szCs w:val="44"/>
          <w:highlight w:val="none"/>
        </w:rPr>
      </w:pPr>
    </w:p>
    <w:p>
      <w:pPr>
        <w:jc w:val="center"/>
        <w:rPr>
          <w:rFonts w:asciiTheme="minorEastAsia" w:hAnsiTheme="minorEastAsia" w:eastAsiaTheme="minorEastAsia"/>
          <w:b/>
          <w:color w:val="auto"/>
          <w:sz w:val="44"/>
          <w:szCs w:val="44"/>
          <w:highlight w:val="none"/>
        </w:rPr>
      </w:pPr>
    </w:p>
    <w:p>
      <w:pPr>
        <w:jc w:val="center"/>
        <w:rPr>
          <w:rFonts w:asciiTheme="minorEastAsia" w:hAnsiTheme="minorEastAsia" w:eastAsiaTheme="minorEastAsia"/>
          <w:b/>
          <w:color w:val="auto"/>
          <w:sz w:val="44"/>
          <w:szCs w:val="44"/>
          <w:highlight w:val="none"/>
        </w:rPr>
      </w:pPr>
    </w:p>
    <w:p>
      <w:pPr>
        <w:jc w:val="center"/>
        <w:rPr>
          <w:rFonts w:asciiTheme="minorEastAsia" w:hAnsiTheme="minorEastAsia" w:eastAsiaTheme="minorEastAsia"/>
          <w:bCs/>
          <w:color w:val="auto"/>
          <w:sz w:val="52"/>
          <w:szCs w:val="52"/>
          <w:highlight w:val="none"/>
        </w:rPr>
      </w:pPr>
      <w:r>
        <w:rPr>
          <w:rFonts w:asciiTheme="minorEastAsia" w:hAnsiTheme="minorEastAsia" w:eastAsiaTheme="minorEastAsia"/>
          <w:b/>
          <w:color w:val="auto"/>
          <w:sz w:val="44"/>
          <w:szCs w:val="44"/>
          <w:highlight w:val="none"/>
        </w:rPr>
        <w:t xml:space="preserve"> </w:t>
      </w:r>
      <w:r>
        <w:rPr>
          <w:rFonts w:hint="eastAsia" w:asciiTheme="minorEastAsia" w:hAnsiTheme="minorEastAsia" w:eastAsiaTheme="minorEastAsia"/>
          <w:bCs/>
          <w:color w:val="auto"/>
          <w:sz w:val="52"/>
          <w:szCs w:val="52"/>
          <w:highlight w:val="none"/>
        </w:rPr>
        <w:t>中粮糖业（漳州）有限公司</w:t>
      </w:r>
    </w:p>
    <w:p>
      <w:pPr>
        <w:tabs>
          <w:tab w:val="left" w:pos="851"/>
        </w:tabs>
        <w:ind w:left="992" w:leftChars="12" w:hanging="967" w:hangingChars="186"/>
        <w:jc w:val="center"/>
        <w:rPr>
          <w:rFonts w:asciiTheme="minorEastAsia" w:hAnsiTheme="minorEastAsia" w:eastAsiaTheme="minorEastAsia"/>
          <w:bCs/>
          <w:color w:val="auto"/>
          <w:sz w:val="52"/>
          <w:szCs w:val="52"/>
          <w:highlight w:val="none"/>
        </w:rPr>
      </w:pPr>
      <w:r>
        <w:rPr>
          <w:rFonts w:hint="eastAsia" w:asciiTheme="minorEastAsia" w:hAnsiTheme="minorEastAsia" w:eastAsiaTheme="minorEastAsia"/>
          <w:bCs/>
          <w:color w:val="auto"/>
          <w:sz w:val="52"/>
          <w:szCs w:val="52"/>
          <w:highlight w:val="none"/>
        </w:rPr>
        <w:t>设备采购安装类项目合同模板</w:t>
      </w:r>
    </w:p>
    <w:p>
      <w:pPr>
        <w:pStyle w:val="11"/>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pStyle w:val="28"/>
        <w:rPr>
          <w:rFonts w:asciiTheme="minorEastAsia" w:hAnsiTheme="minorEastAsia" w:eastAsiaTheme="minorEastAsia"/>
          <w:color w:val="auto"/>
          <w:highlight w:val="none"/>
        </w:rPr>
      </w:pPr>
    </w:p>
    <w:p>
      <w:pPr>
        <w:pStyle w:val="28"/>
        <w:rPr>
          <w:rFonts w:asciiTheme="minorEastAsia" w:hAnsiTheme="minorEastAsia" w:eastAsiaTheme="minorEastAsia"/>
          <w:color w:val="auto"/>
          <w:highlight w:val="none"/>
        </w:rPr>
      </w:pPr>
    </w:p>
    <w:p>
      <w:pPr>
        <w:pStyle w:val="28"/>
        <w:rPr>
          <w:rFonts w:asciiTheme="minorEastAsia" w:hAnsiTheme="minorEastAsia" w:eastAsiaTheme="minorEastAsia"/>
          <w:color w:val="auto"/>
          <w:highlight w:val="none"/>
        </w:rPr>
      </w:pPr>
    </w:p>
    <w:p>
      <w:pPr>
        <w:pStyle w:val="28"/>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rPr>
          <w:rFonts w:asciiTheme="minorEastAsia" w:hAnsiTheme="minorEastAsia" w:eastAsiaTheme="minorEastAsia"/>
          <w:color w:val="auto"/>
          <w:highlight w:val="none"/>
        </w:rPr>
      </w:pPr>
    </w:p>
    <w:p>
      <w:pPr>
        <w:spacing w:line="560" w:lineRule="exact"/>
        <w:ind w:firstLine="2100" w:firstLineChars="700"/>
        <w:rPr>
          <w:rFonts w:asciiTheme="minorEastAsia" w:hAnsiTheme="minorEastAsia" w:eastAsiaTheme="minorEastAsia"/>
          <w:color w:val="auto"/>
          <w:sz w:val="30"/>
          <w:szCs w:val="30"/>
          <w:highlight w:val="none"/>
        </w:rPr>
      </w:pPr>
      <w:r>
        <w:rPr>
          <w:rFonts w:hint="eastAsia" w:asciiTheme="minorEastAsia" w:hAnsiTheme="minorEastAsia" w:eastAsiaTheme="minorEastAsia"/>
          <w:color w:val="auto"/>
          <w:sz w:val="30"/>
          <w:szCs w:val="30"/>
          <w:highlight w:val="none"/>
        </w:rPr>
        <w:t>甲方：</w:t>
      </w:r>
    </w:p>
    <w:p>
      <w:pPr>
        <w:spacing w:line="560" w:lineRule="exact"/>
        <w:ind w:firstLine="2100" w:firstLineChars="700"/>
        <w:rPr>
          <w:rFonts w:asciiTheme="minorEastAsia" w:hAnsiTheme="minorEastAsia" w:eastAsiaTheme="minorEastAsia"/>
          <w:color w:val="auto"/>
          <w:sz w:val="30"/>
          <w:szCs w:val="30"/>
          <w:highlight w:val="none"/>
        </w:rPr>
      </w:pPr>
      <w:r>
        <w:rPr>
          <w:rFonts w:hint="eastAsia" w:asciiTheme="minorEastAsia" w:hAnsiTheme="minorEastAsia" w:eastAsiaTheme="minorEastAsia"/>
          <w:color w:val="auto"/>
          <w:sz w:val="30"/>
          <w:szCs w:val="30"/>
          <w:highlight w:val="none"/>
        </w:rPr>
        <w:t>乙方：</w:t>
      </w:r>
    </w:p>
    <w:p>
      <w:pPr>
        <w:spacing w:line="560" w:lineRule="exact"/>
        <w:ind w:firstLine="2100" w:firstLineChars="700"/>
        <w:rPr>
          <w:rFonts w:asciiTheme="minorEastAsia" w:hAnsiTheme="minorEastAsia" w:eastAsiaTheme="minorEastAsia"/>
          <w:color w:val="auto"/>
          <w:sz w:val="30"/>
          <w:szCs w:val="30"/>
          <w:highlight w:val="none"/>
        </w:rPr>
      </w:pPr>
      <w:r>
        <w:rPr>
          <w:rFonts w:hint="eastAsia" w:asciiTheme="minorEastAsia" w:hAnsiTheme="minorEastAsia" w:eastAsiaTheme="minorEastAsia"/>
          <w:color w:val="auto"/>
          <w:sz w:val="30"/>
          <w:szCs w:val="30"/>
          <w:highlight w:val="none"/>
        </w:rPr>
        <w:t>甲方合同编号：</w:t>
      </w:r>
    </w:p>
    <w:p>
      <w:pPr>
        <w:spacing w:line="560" w:lineRule="exact"/>
        <w:ind w:firstLine="2100" w:firstLineChars="700"/>
        <w:rPr>
          <w:rFonts w:asciiTheme="minorEastAsia" w:hAnsiTheme="minorEastAsia" w:eastAsiaTheme="minorEastAsia"/>
          <w:color w:val="auto"/>
          <w:sz w:val="30"/>
          <w:szCs w:val="30"/>
          <w:highlight w:val="none"/>
        </w:rPr>
      </w:pPr>
      <w:r>
        <w:rPr>
          <w:rFonts w:hint="eastAsia" w:asciiTheme="minorEastAsia" w:hAnsiTheme="minorEastAsia" w:eastAsiaTheme="minorEastAsia"/>
          <w:color w:val="auto"/>
          <w:sz w:val="30"/>
          <w:szCs w:val="30"/>
          <w:highlight w:val="none"/>
        </w:rPr>
        <w:t>乙方合同编号：</w:t>
      </w:r>
    </w:p>
    <w:p>
      <w:pPr>
        <w:spacing w:line="560" w:lineRule="exact"/>
        <w:ind w:firstLine="2100" w:firstLineChars="700"/>
        <w:rPr>
          <w:rFonts w:asciiTheme="minorEastAsia" w:hAnsiTheme="minorEastAsia" w:eastAsiaTheme="minorEastAsia"/>
          <w:color w:val="auto"/>
          <w:sz w:val="30"/>
          <w:szCs w:val="30"/>
          <w:highlight w:val="none"/>
        </w:rPr>
      </w:pPr>
      <w:r>
        <w:rPr>
          <w:rFonts w:hint="eastAsia" w:asciiTheme="minorEastAsia" w:hAnsiTheme="minorEastAsia" w:eastAsiaTheme="minorEastAsia"/>
          <w:color w:val="auto"/>
          <w:sz w:val="30"/>
          <w:szCs w:val="30"/>
          <w:highlight w:val="none"/>
        </w:rPr>
        <w:t>合同签订地点：</w:t>
      </w:r>
    </w:p>
    <w:p>
      <w:pPr>
        <w:spacing w:line="560" w:lineRule="exact"/>
        <w:ind w:firstLine="2100" w:firstLineChars="700"/>
        <w:rPr>
          <w:rFonts w:asciiTheme="minorEastAsia" w:hAnsiTheme="minorEastAsia" w:eastAsiaTheme="minorEastAsia"/>
          <w:color w:val="auto"/>
          <w:sz w:val="30"/>
          <w:szCs w:val="30"/>
          <w:highlight w:val="none"/>
        </w:rPr>
      </w:pPr>
      <w:r>
        <w:rPr>
          <w:rFonts w:hint="eastAsia" w:asciiTheme="minorEastAsia" w:hAnsiTheme="minorEastAsia" w:eastAsiaTheme="minorEastAsia"/>
          <w:color w:val="auto"/>
          <w:sz w:val="30"/>
          <w:szCs w:val="30"/>
          <w:highlight w:val="none"/>
        </w:rPr>
        <w:t>合同签订日期：</w:t>
      </w:r>
      <w:r>
        <w:rPr>
          <w:rFonts w:asciiTheme="minorEastAsia" w:hAnsiTheme="minorEastAsia" w:eastAsiaTheme="minorEastAsia"/>
          <w:color w:val="auto"/>
          <w:sz w:val="30"/>
          <w:szCs w:val="30"/>
          <w:highlight w:val="none"/>
        </w:rPr>
        <w:t xml:space="preserve">  </w:t>
      </w:r>
      <w:r>
        <w:rPr>
          <w:rFonts w:hint="eastAsia" w:asciiTheme="minorEastAsia" w:hAnsiTheme="minorEastAsia" w:eastAsiaTheme="minorEastAsia"/>
          <w:color w:val="auto"/>
          <w:sz w:val="30"/>
          <w:szCs w:val="30"/>
          <w:highlight w:val="none"/>
        </w:rPr>
        <w:t>年</w:t>
      </w:r>
      <w:r>
        <w:rPr>
          <w:rFonts w:asciiTheme="minorEastAsia" w:hAnsiTheme="minorEastAsia" w:eastAsiaTheme="minorEastAsia"/>
          <w:color w:val="auto"/>
          <w:sz w:val="30"/>
          <w:szCs w:val="30"/>
          <w:highlight w:val="none"/>
        </w:rPr>
        <w:t xml:space="preserve">   </w:t>
      </w:r>
      <w:r>
        <w:rPr>
          <w:rFonts w:hint="eastAsia" w:asciiTheme="minorEastAsia" w:hAnsiTheme="minorEastAsia" w:eastAsiaTheme="minorEastAsia"/>
          <w:color w:val="auto"/>
          <w:sz w:val="30"/>
          <w:szCs w:val="30"/>
          <w:highlight w:val="none"/>
        </w:rPr>
        <w:t>月</w:t>
      </w:r>
      <w:r>
        <w:rPr>
          <w:rFonts w:asciiTheme="minorEastAsia" w:hAnsiTheme="minorEastAsia" w:eastAsiaTheme="minorEastAsia"/>
          <w:color w:val="auto"/>
          <w:sz w:val="30"/>
          <w:szCs w:val="30"/>
          <w:highlight w:val="none"/>
        </w:rPr>
        <w:t xml:space="preserve">  </w:t>
      </w:r>
      <w:r>
        <w:rPr>
          <w:rFonts w:hint="eastAsia" w:asciiTheme="minorEastAsia" w:hAnsiTheme="minorEastAsia" w:eastAsiaTheme="minorEastAsia"/>
          <w:color w:val="auto"/>
          <w:sz w:val="30"/>
          <w:szCs w:val="30"/>
          <w:highlight w:val="none"/>
        </w:rPr>
        <w:t>日</w:t>
      </w:r>
    </w:p>
    <w:p>
      <w:pPr>
        <w:spacing w:line="360" w:lineRule="auto"/>
        <w:jc w:val="center"/>
        <w:rPr>
          <w:rFonts w:asciiTheme="minorEastAsia" w:hAnsiTheme="minorEastAsia" w:eastAsiaTheme="minorEastAsia"/>
          <w:color w:val="auto"/>
          <w:sz w:val="28"/>
          <w:highlight w:val="none"/>
        </w:rPr>
      </w:pPr>
      <w:r>
        <w:rPr>
          <w:rFonts w:asciiTheme="minorEastAsia" w:hAnsiTheme="minorEastAsia" w:eastAsiaTheme="minorEastAsia"/>
          <w:color w:val="auto"/>
          <w:sz w:val="28"/>
          <w:highlight w:val="none"/>
        </w:rPr>
        <w:br w:type="page"/>
      </w:r>
    </w:p>
    <w:p>
      <w:pPr>
        <w:spacing w:line="360" w:lineRule="auto"/>
        <w:jc w:val="center"/>
        <w:rPr>
          <w:rFonts w:asciiTheme="minorEastAsia" w:hAnsiTheme="minorEastAsia" w:eastAsiaTheme="minorEastAsia"/>
          <w:b/>
          <w:color w:val="auto"/>
          <w:sz w:val="36"/>
          <w:szCs w:val="36"/>
          <w:highlight w:val="none"/>
        </w:rPr>
      </w:pPr>
      <w:r>
        <w:rPr>
          <w:rFonts w:hint="eastAsia" w:asciiTheme="minorEastAsia" w:hAnsiTheme="minorEastAsia" w:eastAsiaTheme="minorEastAsia"/>
          <w:b/>
          <w:color w:val="auto"/>
          <w:sz w:val="36"/>
          <w:szCs w:val="36"/>
          <w:highlight w:val="none"/>
        </w:rPr>
        <w:t>目</w:t>
      </w:r>
      <w:r>
        <w:rPr>
          <w:rFonts w:asciiTheme="minorEastAsia" w:hAnsiTheme="minorEastAsia" w:eastAsiaTheme="minorEastAsia"/>
          <w:b/>
          <w:color w:val="auto"/>
          <w:sz w:val="36"/>
          <w:szCs w:val="36"/>
          <w:highlight w:val="none"/>
        </w:rPr>
        <w:t xml:space="preserve"> </w:t>
      </w:r>
      <w:r>
        <w:rPr>
          <w:rFonts w:hint="eastAsia" w:asciiTheme="minorEastAsia" w:hAnsiTheme="minorEastAsia" w:eastAsiaTheme="minorEastAsia"/>
          <w:b/>
          <w:color w:val="auto"/>
          <w:sz w:val="36"/>
          <w:szCs w:val="36"/>
          <w:highlight w:val="none"/>
        </w:rPr>
        <w:t>录</w:t>
      </w:r>
    </w:p>
    <w:p>
      <w:pPr>
        <w:adjustRightInd w:val="0"/>
        <w:spacing w:line="600" w:lineRule="exact"/>
        <w:ind w:firstLine="560" w:firstLineChars="200"/>
        <w:jc w:val="left"/>
        <w:rPr>
          <w:rFonts w:asciiTheme="minorEastAsia" w:hAnsiTheme="minorEastAsia" w:eastAsiaTheme="minorEastAsia"/>
          <w:color w:val="auto"/>
          <w:kern w:val="0"/>
          <w:sz w:val="28"/>
          <w:szCs w:val="28"/>
          <w:highlight w:val="none"/>
        </w:rPr>
      </w:pPr>
      <w:r>
        <w:rPr>
          <w:rFonts w:asciiTheme="minorEastAsia" w:hAnsiTheme="minorEastAsia" w:eastAsiaTheme="minorEastAsia"/>
          <w:color w:val="auto"/>
          <w:kern w:val="0"/>
          <w:sz w:val="28"/>
          <w:szCs w:val="28"/>
          <w:highlight w:val="none"/>
        </w:rPr>
        <w:t>一、合同</w:t>
      </w:r>
      <w:r>
        <w:rPr>
          <w:rFonts w:hint="eastAsia" w:asciiTheme="minorEastAsia" w:hAnsiTheme="minorEastAsia" w:eastAsiaTheme="minorEastAsia"/>
          <w:color w:val="auto"/>
          <w:kern w:val="0"/>
          <w:sz w:val="28"/>
          <w:szCs w:val="28"/>
          <w:highlight w:val="none"/>
        </w:rPr>
        <w:t>通用</w:t>
      </w:r>
      <w:r>
        <w:rPr>
          <w:rFonts w:asciiTheme="minorEastAsia" w:hAnsiTheme="minorEastAsia" w:eastAsiaTheme="minorEastAsia"/>
          <w:color w:val="auto"/>
          <w:kern w:val="0"/>
          <w:sz w:val="28"/>
          <w:szCs w:val="28"/>
          <w:highlight w:val="none"/>
        </w:rPr>
        <w:t>条款</w:t>
      </w:r>
    </w:p>
    <w:p>
      <w:pPr>
        <w:adjustRightInd w:val="0"/>
        <w:spacing w:line="600" w:lineRule="exact"/>
        <w:ind w:firstLine="560" w:firstLineChars="200"/>
        <w:jc w:val="left"/>
        <w:rPr>
          <w:rFonts w:asciiTheme="minorEastAsia" w:hAnsiTheme="minorEastAsia" w:eastAsiaTheme="minorEastAsia"/>
          <w:color w:val="auto"/>
          <w:kern w:val="0"/>
          <w:sz w:val="28"/>
          <w:szCs w:val="28"/>
          <w:highlight w:val="none"/>
        </w:rPr>
      </w:pPr>
      <w:r>
        <w:rPr>
          <w:rFonts w:asciiTheme="minorEastAsia" w:hAnsiTheme="minorEastAsia" w:eastAsiaTheme="minorEastAsia"/>
          <w:color w:val="auto"/>
          <w:kern w:val="0"/>
          <w:sz w:val="28"/>
          <w:szCs w:val="28"/>
          <w:highlight w:val="none"/>
        </w:rPr>
        <w:t>二、合同</w:t>
      </w:r>
      <w:r>
        <w:rPr>
          <w:rFonts w:hint="eastAsia" w:asciiTheme="minorEastAsia" w:hAnsiTheme="minorEastAsia" w:eastAsiaTheme="minorEastAsia"/>
          <w:color w:val="auto"/>
          <w:kern w:val="0"/>
          <w:sz w:val="28"/>
          <w:szCs w:val="28"/>
          <w:highlight w:val="none"/>
        </w:rPr>
        <w:t>专用条款</w:t>
      </w:r>
    </w:p>
    <w:p>
      <w:pPr>
        <w:adjustRightInd w:val="0"/>
        <w:spacing w:line="600" w:lineRule="exact"/>
        <w:ind w:firstLine="560" w:firstLineChars="200"/>
        <w:jc w:val="left"/>
        <w:rPr>
          <w:rFonts w:asciiTheme="minorEastAsia" w:hAnsiTheme="minorEastAsia" w:eastAsiaTheme="minorEastAsia"/>
          <w:color w:val="auto"/>
          <w:kern w:val="0"/>
          <w:sz w:val="28"/>
          <w:szCs w:val="28"/>
          <w:highlight w:val="none"/>
        </w:rPr>
      </w:pPr>
      <w:r>
        <w:rPr>
          <w:rFonts w:hint="eastAsia" w:asciiTheme="minorEastAsia" w:hAnsiTheme="minorEastAsia" w:eastAsiaTheme="minorEastAsia"/>
          <w:color w:val="auto"/>
          <w:kern w:val="0"/>
          <w:sz w:val="28"/>
          <w:szCs w:val="28"/>
          <w:highlight w:val="none"/>
        </w:rPr>
        <w:t>三、</w:t>
      </w:r>
      <w:r>
        <w:rPr>
          <w:rFonts w:asciiTheme="minorEastAsia" w:hAnsiTheme="minorEastAsia" w:eastAsiaTheme="minorEastAsia"/>
          <w:color w:val="auto"/>
          <w:kern w:val="0"/>
          <w:sz w:val="28"/>
          <w:szCs w:val="28"/>
          <w:highlight w:val="none"/>
        </w:rPr>
        <w:t>合同附件一</w:t>
      </w:r>
      <w:r>
        <w:rPr>
          <w:rFonts w:hint="eastAsia" w:asciiTheme="minorEastAsia" w:hAnsiTheme="minorEastAsia" w:eastAsiaTheme="minorEastAsia"/>
          <w:color w:val="auto"/>
          <w:kern w:val="0"/>
          <w:sz w:val="28"/>
          <w:szCs w:val="28"/>
          <w:highlight w:val="none"/>
        </w:rPr>
        <w:t>：技术协议书</w:t>
      </w:r>
    </w:p>
    <w:p>
      <w:pPr>
        <w:adjustRightInd w:val="0"/>
        <w:spacing w:line="600" w:lineRule="exact"/>
        <w:ind w:firstLine="560" w:firstLineChars="200"/>
        <w:jc w:val="left"/>
        <w:rPr>
          <w:rFonts w:asciiTheme="minorEastAsia" w:hAnsiTheme="minorEastAsia" w:eastAsiaTheme="minorEastAsia"/>
          <w:color w:val="auto"/>
          <w:kern w:val="0"/>
          <w:sz w:val="28"/>
          <w:szCs w:val="28"/>
          <w:highlight w:val="none"/>
        </w:rPr>
      </w:pPr>
      <w:r>
        <w:rPr>
          <w:rFonts w:hint="eastAsia" w:asciiTheme="minorEastAsia" w:hAnsiTheme="minorEastAsia" w:eastAsiaTheme="minorEastAsia"/>
          <w:color w:val="auto"/>
          <w:kern w:val="0"/>
          <w:sz w:val="28"/>
          <w:szCs w:val="28"/>
          <w:highlight w:val="none"/>
        </w:rPr>
        <w:t>四</w:t>
      </w:r>
      <w:r>
        <w:rPr>
          <w:rFonts w:asciiTheme="minorEastAsia" w:hAnsiTheme="minorEastAsia" w:eastAsiaTheme="minorEastAsia"/>
          <w:color w:val="auto"/>
          <w:kern w:val="0"/>
          <w:sz w:val="28"/>
          <w:szCs w:val="28"/>
          <w:highlight w:val="none"/>
        </w:rPr>
        <w:t>、合同附件</w:t>
      </w:r>
      <w:r>
        <w:rPr>
          <w:rFonts w:hint="eastAsia" w:asciiTheme="minorEastAsia" w:hAnsiTheme="minorEastAsia" w:eastAsiaTheme="minorEastAsia"/>
          <w:color w:val="auto"/>
          <w:kern w:val="0"/>
          <w:sz w:val="28"/>
          <w:szCs w:val="28"/>
          <w:highlight w:val="none"/>
        </w:rPr>
        <w:t>二</w:t>
      </w:r>
      <w:r>
        <w:rPr>
          <w:rFonts w:asciiTheme="minorEastAsia" w:hAnsiTheme="minorEastAsia" w:eastAsiaTheme="minorEastAsia"/>
          <w:color w:val="auto"/>
          <w:kern w:val="0"/>
          <w:sz w:val="28"/>
          <w:szCs w:val="28"/>
          <w:highlight w:val="none"/>
        </w:rPr>
        <w:t>：</w:t>
      </w:r>
      <w:r>
        <w:rPr>
          <w:rFonts w:hint="eastAsia" w:asciiTheme="minorEastAsia" w:hAnsiTheme="minorEastAsia" w:eastAsiaTheme="minorEastAsia"/>
          <w:color w:val="auto"/>
          <w:kern w:val="0"/>
          <w:sz w:val="28"/>
          <w:szCs w:val="28"/>
          <w:highlight w:val="none"/>
        </w:rPr>
        <w:t>廉洁承诺</w:t>
      </w:r>
    </w:p>
    <w:p>
      <w:pPr>
        <w:adjustRightInd w:val="0"/>
        <w:spacing w:line="600" w:lineRule="exact"/>
        <w:ind w:firstLine="560" w:firstLineChars="200"/>
        <w:jc w:val="left"/>
        <w:rPr>
          <w:rFonts w:asciiTheme="minorEastAsia" w:hAnsiTheme="minorEastAsia" w:eastAsiaTheme="minorEastAsia"/>
          <w:color w:val="auto"/>
          <w:kern w:val="0"/>
          <w:sz w:val="28"/>
          <w:szCs w:val="28"/>
          <w:highlight w:val="none"/>
        </w:rPr>
      </w:pPr>
      <w:r>
        <w:rPr>
          <w:rFonts w:hint="eastAsia" w:asciiTheme="minorEastAsia" w:hAnsiTheme="minorEastAsia" w:eastAsiaTheme="minorEastAsia"/>
          <w:color w:val="auto"/>
          <w:kern w:val="0"/>
          <w:sz w:val="28"/>
          <w:szCs w:val="28"/>
          <w:highlight w:val="none"/>
        </w:rPr>
        <w:t>五</w:t>
      </w:r>
      <w:r>
        <w:rPr>
          <w:rFonts w:asciiTheme="minorEastAsia" w:hAnsiTheme="minorEastAsia" w:eastAsiaTheme="minorEastAsia"/>
          <w:color w:val="auto"/>
          <w:kern w:val="0"/>
          <w:sz w:val="28"/>
          <w:szCs w:val="28"/>
          <w:highlight w:val="none"/>
        </w:rPr>
        <w:t>、合同附件</w:t>
      </w:r>
      <w:r>
        <w:rPr>
          <w:rFonts w:hint="eastAsia" w:asciiTheme="minorEastAsia" w:hAnsiTheme="minorEastAsia" w:eastAsiaTheme="minorEastAsia"/>
          <w:color w:val="auto"/>
          <w:kern w:val="0"/>
          <w:sz w:val="28"/>
          <w:szCs w:val="28"/>
          <w:highlight w:val="none"/>
        </w:rPr>
        <w:t>三</w:t>
      </w:r>
      <w:r>
        <w:rPr>
          <w:rFonts w:asciiTheme="minorEastAsia" w:hAnsiTheme="minorEastAsia" w:eastAsiaTheme="minorEastAsia"/>
          <w:color w:val="auto"/>
          <w:kern w:val="0"/>
          <w:sz w:val="28"/>
          <w:szCs w:val="28"/>
          <w:highlight w:val="none"/>
        </w:rPr>
        <w:t>：</w:t>
      </w:r>
      <w:r>
        <w:rPr>
          <w:rFonts w:hint="eastAsia" w:asciiTheme="minorEastAsia" w:hAnsiTheme="minorEastAsia" w:eastAsiaTheme="minorEastAsia"/>
          <w:color w:val="auto"/>
          <w:kern w:val="0"/>
          <w:sz w:val="28"/>
          <w:szCs w:val="28"/>
          <w:highlight w:val="none"/>
        </w:rPr>
        <w:t>环保</w:t>
      </w:r>
      <w:r>
        <w:rPr>
          <w:rFonts w:asciiTheme="minorEastAsia" w:hAnsiTheme="minorEastAsia" w:eastAsiaTheme="minorEastAsia"/>
          <w:color w:val="auto"/>
          <w:kern w:val="0"/>
          <w:sz w:val="28"/>
          <w:szCs w:val="28"/>
          <w:highlight w:val="none"/>
        </w:rPr>
        <w:t>协议书</w:t>
      </w:r>
    </w:p>
    <w:p>
      <w:pPr>
        <w:adjustRightInd w:val="0"/>
        <w:spacing w:line="600" w:lineRule="exact"/>
        <w:ind w:firstLine="560" w:firstLineChars="200"/>
        <w:jc w:val="left"/>
        <w:rPr>
          <w:rFonts w:asciiTheme="minorEastAsia" w:hAnsiTheme="minorEastAsia" w:eastAsiaTheme="minorEastAsia"/>
          <w:color w:val="auto"/>
          <w:highlight w:val="none"/>
        </w:rPr>
      </w:pPr>
      <w:r>
        <w:rPr>
          <w:rFonts w:hint="eastAsia" w:asciiTheme="minorEastAsia" w:hAnsiTheme="minorEastAsia" w:eastAsiaTheme="minorEastAsia"/>
          <w:color w:val="auto"/>
          <w:kern w:val="0"/>
          <w:sz w:val="28"/>
          <w:szCs w:val="28"/>
          <w:highlight w:val="none"/>
        </w:rPr>
        <w:t>六</w:t>
      </w:r>
      <w:r>
        <w:rPr>
          <w:rFonts w:asciiTheme="minorEastAsia" w:hAnsiTheme="minorEastAsia" w:eastAsiaTheme="minorEastAsia"/>
          <w:color w:val="auto"/>
          <w:kern w:val="0"/>
          <w:sz w:val="28"/>
          <w:szCs w:val="28"/>
          <w:highlight w:val="none"/>
        </w:rPr>
        <w:t>、合同附件</w:t>
      </w:r>
      <w:r>
        <w:rPr>
          <w:rFonts w:hint="eastAsia" w:asciiTheme="minorEastAsia" w:hAnsiTheme="minorEastAsia" w:eastAsiaTheme="minorEastAsia"/>
          <w:color w:val="auto"/>
          <w:kern w:val="0"/>
          <w:sz w:val="28"/>
          <w:szCs w:val="28"/>
          <w:highlight w:val="none"/>
        </w:rPr>
        <w:t>四</w:t>
      </w:r>
      <w:r>
        <w:rPr>
          <w:rFonts w:asciiTheme="minorEastAsia" w:hAnsiTheme="minorEastAsia" w:eastAsiaTheme="minorEastAsia"/>
          <w:color w:val="auto"/>
          <w:kern w:val="0"/>
          <w:sz w:val="28"/>
          <w:szCs w:val="28"/>
          <w:highlight w:val="none"/>
        </w:rPr>
        <w:t>：</w:t>
      </w:r>
      <w:r>
        <w:rPr>
          <w:rFonts w:hint="eastAsia" w:asciiTheme="minorEastAsia" w:hAnsiTheme="minorEastAsia" w:eastAsiaTheme="minorEastAsia"/>
          <w:color w:val="auto"/>
          <w:kern w:val="0"/>
          <w:sz w:val="28"/>
          <w:szCs w:val="28"/>
          <w:highlight w:val="none"/>
        </w:rPr>
        <w:t>安全管理</w:t>
      </w:r>
      <w:r>
        <w:rPr>
          <w:rFonts w:asciiTheme="minorEastAsia" w:hAnsiTheme="minorEastAsia" w:eastAsiaTheme="minorEastAsia"/>
          <w:color w:val="auto"/>
          <w:kern w:val="0"/>
          <w:sz w:val="28"/>
          <w:szCs w:val="28"/>
          <w:highlight w:val="none"/>
        </w:rPr>
        <w:t>协议书</w:t>
      </w:r>
    </w:p>
    <w:p>
      <w:pPr>
        <w:adjustRightInd w:val="0"/>
        <w:spacing w:line="600" w:lineRule="exact"/>
        <w:ind w:firstLine="560" w:firstLineChars="200"/>
        <w:jc w:val="left"/>
        <w:rPr>
          <w:rFonts w:asciiTheme="minorEastAsia" w:hAnsiTheme="minorEastAsia" w:eastAsiaTheme="minorEastAsia"/>
          <w:color w:val="auto"/>
          <w:kern w:val="0"/>
          <w:sz w:val="28"/>
          <w:szCs w:val="28"/>
          <w:highlight w:val="none"/>
        </w:rPr>
      </w:pPr>
      <w:r>
        <w:rPr>
          <w:rFonts w:hint="eastAsia" w:asciiTheme="minorEastAsia" w:hAnsiTheme="minorEastAsia" w:eastAsiaTheme="minorEastAsia"/>
          <w:color w:val="auto"/>
          <w:kern w:val="0"/>
          <w:sz w:val="28"/>
          <w:szCs w:val="28"/>
          <w:highlight w:val="none"/>
        </w:rPr>
        <w:t>七、合同附件五：承诺函</w:t>
      </w:r>
    </w:p>
    <w:p>
      <w:pPr>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p>
    <w:p>
      <w:pPr>
        <w:pStyle w:val="3"/>
        <w:spacing w:before="0" w:after="0" w:line="360" w:lineRule="auto"/>
        <w:jc w:val="center"/>
        <w:rPr>
          <w:rFonts w:asciiTheme="minorEastAsia" w:hAnsiTheme="minorEastAsia" w:eastAsiaTheme="minorEastAsia" w:cstheme="minorEastAsia"/>
          <w:color w:val="auto"/>
          <w:sz w:val="24"/>
          <w:szCs w:val="24"/>
          <w:highlight w:val="none"/>
        </w:rPr>
      </w:pPr>
      <w:bookmarkStart w:id="28" w:name="_Toc124269231"/>
      <w:bookmarkStart w:id="29" w:name="_Hlk79411396"/>
      <w:r>
        <w:rPr>
          <w:rFonts w:hint="eastAsia" w:asciiTheme="minorEastAsia" w:hAnsiTheme="minorEastAsia" w:eastAsiaTheme="minorEastAsia" w:cstheme="minorEastAsia"/>
          <w:color w:val="auto"/>
          <w:sz w:val="24"/>
          <w:szCs w:val="24"/>
          <w:highlight w:val="none"/>
        </w:rPr>
        <w:t>合同通用条款</w:t>
      </w:r>
      <w:bookmarkEnd w:id="28"/>
    </w:p>
    <w:p>
      <w:pPr>
        <w:pStyle w:val="4"/>
        <w:spacing w:before="0" w:after="0" w:line="360" w:lineRule="auto"/>
        <w:rPr>
          <w:rFonts w:asciiTheme="minorEastAsia" w:hAnsiTheme="minorEastAsia" w:eastAsiaTheme="minorEastAsia" w:cstheme="minorEastAsia"/>
          <w:color w:val="auto"/>
          <w:sz w:val="24"/>
          <w:szCs w:val="24"/>
          <w:highlight w:val="none"/>
        </w:rPr>
      </w:pPr>
      <w:bookmarkStart w:id="30" w:name="_Toc124269232"/>
      <w:r>
        <w:rPr>
          <w:rFonts w:asciiTheme="minorEastAsia" w:hAnsiTheme="minorEastAsia" w:eastAsiaTheme="minorEastAsia" w:cstheme="minorEastAsia"/>
          <w:color w:val="auto"/>
          <w:sz w:val="24"/>
          <w:szCs w:val="24"/>
          <w:highlight w:val="none"/>
        </w:rPr>
        <w:t>1．说明</w:t>
      </w:r>
      <w:bookmarkEnd w:id="30"/>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1.1合同基本条款：</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合同基本条款是指采购人（以下简称甲方）和成交人（以下简称乙方）应共同遵守的基本原则，并作为双方签约的依据。对于合同的其他条款，双方应本着互谅互让的精神，在谈判中协商解决。</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31" w:name="_Toc124269233"/>
      <w:r>
        <w:rPr>
          <w:rFonts w:asciiTheme="minorEastAsia" w:hAnsiTheme="minorEastAsia" w:eastAsiaTheme="minorEastAsia" w:cstheme="minorEastAsia"/>
          <w:color w:val="auto"/>
          <w:sz w:val="24"/>
          <w:szCs w:val="24"/>
          <w:highlight w:val="none"/>
        </w:rPr>
        <w:t>2．条款内容</w:t>
      </w:r>
      <w:bookmarkEnd w:id="31"/>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2.1甲、乙双方应将</w:t>
      </w:r>
      <w:r>
        <w:rPr>
          <w:rFonts w:hint="eastAsia" w:asciiTheme="minorEastAsia" w:hAnsiTheme="minorEastAsia" w:eastAsiaTheme="minorEastAsia" w:cstheme="minorEastAsia"/>
          <w:color w:val="auto"/>
          <w:sz w:val="24"/>
          <w:highlight w:val="none"/>
        </w:rPr>
        <w:t>竞争性谈判文件、响应文件及最终谈判确认的货物或工程、材料名称、规格型号、技术要求、质量标准、数量、交货期、项目地点和售后服务内容等作为本条款的基础。</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2.2乙方按要求向甲方提供使用货物或工程的有关技术资料也作为本条款的附件。</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32" w:name="_Toc176257638"/>
      <w:bookmarkStart w:id="33" w:name="_Toc124269234"/>
      <w:r>
        <w:rPr>
          <w:rFonts w:asciiTheme="minorEastAsia" w:hAnsiTheme="minorEastAsia" w:eastAsiaTheme="minorEastAsia" w:cstheme="minorEastAsia"/>
          <w:color w:val="auto"/>
          <w:sz w:val="24"/>
          <w:szCs w:val="24"/>
          <w:highlight w:val="none"/>
        </w:rPr>
        <w:t>3．价格</w:t>
      </w:r>
      <w:bookmarkEnd w:id="32"/>
      <w:bookmarkEnd w:id="33"/>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3.1分不含税金额和增值税专用发票增值税金额</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3.2该合同价格包含了</w:t>
      </w:r>
      <w:r>
        <w:rPr>
          <w:rFonts w:hint="eastAsia" w:asciiTheme="minorEastAsia" w:hAnsiTheme="minorEastAsia" w:eastAsiaTheme="minorEastAsia" w:cstheme="minorEastAsia"/>
          <w:color w:val="auto"/>
          <w:sz w:val="24"/>
          <w:highlight w:val="none"/>
        </w:rPr>
        <w:t>竞争性谈判文件中要求的所有货物或工程内容、运输、卸车、检测、安装、试运行、验收、服务等所有费用。</w:t>
      </w:r>
    </w:p>
    <w:p>
      <w:pPr>
        <w:spacing w:line="360" w:lineRule="auto"/>
        <w:ind w:firstLine="480" w:firstLineChars="200"/>
        <w:rPr>
          <w:rFonts w:asciiTheme="minorEastAsia" w:hAnsiTheme="minorEastAsia" w:eastAsiaTheme="minorEastAsia" w:cstheme="minorEastAsia"/>
          <w:bCs/>
          <w:color w:val="auto"/>
          <w:sz w:val="24"/>
          <w:highlight w:val="none"/>
        </w:rPr>
      </w:pPr>
      <w:r>
        <w:rPr>
          <w:rFonts w:asciiTheme="minorEastAsia" w:hAnsiTheme="minorEastAsia" w:eastAsiaTheme="minorEastAsia" w:cstheme="minorEastAsia"/>
          <w:bCs/>
          <w:color w:val="auto"/>
          <w:sz w:val="24"/>
          <w:highlight w:val="none"/>
        </w:rPr>
        <w:t>3.3应当认为乙方已彻底查清，并在本合同价格中充分考虑到了以下各项：</w:t>
      </w:r>
    </w:p>
    <w:p>
      <w:pPr>
        <w:spacing w:line="360" w:lineRule="auto"/>
        <w:ind w:firstLine="480" w:firstLineChars="200"/>
        <w:rPr>
          <w:rFonts w:asciiTheme="minorEastAsia" w:hAnsiTheme="minorEastAsia" w:eastAsiaTheme="minorEastAsia" w:cstheme="minorEastAsia"/>
          <w:bCs/>
          <w:color w:val="auto"/>
          <w:sz w:val="24"/>
          <w:highlight w:val="none"/>
        </w:rPr>
      </w:pPr>
      <w:r>
        <w:rPr>
          <w:rFonts w:asciiTheme="minorEastAsia" w:hAnsiTheme="minorEastAsia" w:eastAsiaTheme="minorEastAsia" w:cstheme="minorEastAsia"/>
          <w:bCs/>
          <w:color w:val="auto"/>
          <w:sz w:val="24"/>
          <w:highlight w:val="none"/>
        </w:rPr>
        <w:t>3.3.1影响合同价格的全部条件和情况；</w:t>
      </w:r>
    </w:p>
    <w:p>
      <w:pPr>
        <w:spacing w:line="360" w:lineRule="auto"/>
        <w:ind w:firstLine="480" w:firstLineChars="200"/>
        <w:rPr>
          <w:rFonts w:asciiTheme="minorEastAsia" w:hAnsiTheme="minorEastAsia" w:eastAsiaTheme="minorEastAsia" w:cstheme="minorEastAsia"/>
          <w:bCs/>
          <w:color w:val="auto"/>
          <w:sz w:val="24"/>
          <w:highlight w:val="none"/>
        </w:rPr>
      </w:pPr>
      <w:r>
        <w:rPr>
          <w:rFonts w:asciiTheme="minorEastAsia" w:hAnsiTheme="minorEastAsia" w:eastAsiaTheme="minorEastAsia" w:cstheme="minorEastAsia"/>
          <w:bCs/>
          <w:color w:val="auto"/>
          <w:sz w:val="24"/>
          <w:highlight w:val="none"/>
        </w:rPr>
        <w:t>3.3.2完成合同中所述项目的可能性；</w:t>
      </w:r>
    </w:p>
    <w:p>
      <w:pPr>
        <w:spacing w:line="360" w:lineRule="auto"/>
        <w:ind w:firstLine="480" w:firstLineChars="200"/>
        <w:rPr>
          <w:rFonts w:asciiTheme="minorEastAsia" w:hAnsiTheme="minorEastAsia" w:eastAsiaTheme="minorEastAsia" w:cstheme="minorEastAsia"/>
          <w:bCs/>
          <w:color w:val="auto"/>
          <w:sz w:val="24"/>
          <w:highlight w:val="none"/>
        </w:rPr>
      </w:pPr>
      <w:r>
        <w:rPr>
          <w:rFonts w:asciiTheme="minorEastAsia" w:hAnsiTheme="minorEastAsia" w:eastAsiaTheme="minorEastAsia" w:cstheme="minorEastAsia"/>
          <w:bCs/>
          <w:color w:val="auto"/>
          <w:sz w:val="24"/>
          <w:highlight w:val="none"/>
        </w:rPr>
        <w:t>3.3.3现场的综合情况；</w:t>
      </w:r>
    </w:p>
    <w:p>
      <w:pPr>
        <w:spacing w:line="360" w:lineRule="auto"/>
        <w:ind w:firstLine="480" w:firstLineChars="200"/>
        <w:rPr>
          <w:rFonts w:asciiTheme="minorEastAsia" w:hAnsiTheme="minorEastAsia" w:eastAsiaTheme="minorEastAsia" w:cstheme="minorEastAsia"/>
          <w:bCs/>
          <w:color w:val="auto"/>
          <w:sz w:val="24"/>
          <w:highlight w:val="none"/>
        </w:rPr>
      </w:pPr>
      <w:r>
        <w:rPr>
          <w:rFonts w:asciiTheme="minorEastAsia" w:hAnsiTheme="minorEastAsia" w:eastAsiaTheme="minorEastAsia" w:cstheme="minorEastAsia"/>
          <w:bCs/>
          <w:color w:val="auto"/>
          <w:sz w:val="24"/>
          <w:highlight w:val="none"/>
        </w:rPr>
        <w:t>3.3.4现场总的劳务情况；</w:t>
      </w:r>
    </w:p>
    <w:p>
      <w:pPr>
        <w:spacing w:line="360" w:lineRule="auto"/>
        <w:ind w:firstLine="480" w:firstLineChars="200"/>
        <w:rPr>
          <w:rFonts w:asciiTheme="minorEastAsia" w:hAnsiTheme="minorEastAsia" w:eastAsiaTheme="minorEastAsia" w:cstheme="minorEastAsia"/>
          <w:bCs/>
          <w:color w:val="auto"/>
          <w:sz w:val="24"/>
          <w:highlight w:val="none"/>
        </w:rPr>
      </w:pPr>
      <w:r>
        <w:rPr>
          <w:rFonts w:asciiTheme="minorEastAsia" w:hAnsiTheme="minorEastAsia" w:eastAsiaTheme="minorEastAsia" w:cstheme="minorEastAsia"/>
          <w:bCs/>
          <w:color w:val="auto"/>
          <w:sz w:val="24"/>
          <w:highlight w:val="none"/>
        </w:rPr>
        <w:t>3.3.5甲方不接受乙方以组价不当（包括对工作内容理解的偏差、工料耗量水平的确定、生产要素市场价格的判断、取费决策等）为由而主张的任何损失或索赔。</w:t>
      </w:r>
    </w:p>
    <w:p>
      <w:pPr>
        <w:spacing w:line="360" w:lineRule="auto"/>
        <w:ind w:firstLine="480" w:firstLineChars="200"/>
        <w:rPr>
          <w:rFonts w:asciiTheme="minorEastAsia" w:hAnsiTheme="minorEastAsia" w:eastAsiaTheme="minorEastAsia" w:cstheme="minorEastAsia"/>
          <w:bCs/>
          <w:color w:val="auto"/>
          <w:sz w:val="24"/>
          <w:highlight w:val="none"/>
        </w:rPr>
      </w:pPr>
      <w:r>
        <w:rPr>
          <w:rFonts w:asciiTheme="minorEastAsia" w:hAnsiTheme="minorEastAsia" w:eastAsiaTheme="minorEastAsia" w:cstheme="minorEastAsia"/>
          <w:bCs/>
          <w:color w:val="auto"/>
          <w:sz w:val="24"/>
          <w:highlight w:val="none"/>
        </w:rPr>
        <w:t>3.3.6市场价格波动情况。乙方应充分考虑主要材料价格波动情况，原则上应由乙方来承担风险，材料单价在合同实施期间不因市场价格变化因素而变动。</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34" w:name="_Toc124269235"/>
      <w:r>
        <w:rPr>
          <w:rFonts w:asciiTheme="minorEastAsia" w:hAnsiTheme="minorEastAsia" w:eastAsiaTheme="minorEastAsia" w:cstheme="minorEastAsia"/>
          <w:color w:val="auto"/>
          <w:sz w:val="24"/>
          <w:szCs w:val="24"/>
          <w:highlight w:val="none"/>
        </w:rPr>
        <w:t>4．交货期（或工期）及交货方式</w:t>
      </w:r>
      <w:bookmarkEnd w:id="34"/>
    </w:p>
    <w:p>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asciiTheme="minorEastAsia" w:hAnsiTheme="minorEastAsia" w:eastAsiaTheme="minorEastAsia" w:cstheme="minorEastAsia"/>
          <w:color w:val="auto"/>
          <w:sz w:val="24"/>
          <w:highlight w:val="none"/>
        </w:rPr>
        <w:t>4.1交货期（或工期）：</w:t>
      </w:r>
      <w:r>
        <w:rPr>
          <w:rFonts w:hint="eastAsia" w:cs="宋体" w:asciiTheme="minorEastAsia" w:hAnsiTheme="minorEastAsia" w:eastAsiaTheme="minorEastAsia"/>
          <w:color w:val="auto"/>
          <w:sz w:val="24"/>
          <w:highlight w:val="none"/>
        </w:rPr>
        <w:t>合同生效接到甲方通知后</w:t>
      </w:r>
      <w:r>
        <w:rPr>
          <w:rFonts w:cs="宋体" w:asciiTheme="minorEastAsia" w:hAnsiTheme="minorEastAsia" w:eastAsiaTheme="minorEastAsia"/>
          <w:color w:val="auto"/>
          <w:sz w:val="24"/>
          <w:highlight w:val="none"/>
        </w:rPr>
        <w:t>50日历天可具备发货条件，接到甲方发货通知后（甲方可在乙方具备发货条件后任意一天均可以）30个日历天内到达甲方指定场地</w:t>
      </w:r>
      <w:r>
        <w:rPr>
          <w:rFonts w:hint="eastAsia" w:asciiTheme="minorEastAsia" w:hAnsiTheme="minorEastAsia" w:eastAsiaTheme="minorEastAsia" w:cstheme="minorEastAsia"/>
          <w:color w:val="auto"/>
          <w:sz w:val="24"/>
          <w:highlight w:val="none"/>
          <w:lang w:eastAsia="zh-CN"/>
        </w:rPr>
        <w:t>。</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4.2货物或工程、材料交货方式：甲方工地现场交货</w:t>
      </w:r>
      <w:r>
        <w:rPr>
          <w:rFonts w:hint="eastAsia" w:asciiTheme="minorEastAsia" w:hAnsiTheme="minorEastAsia" w:eastAsiaTheme="minorEastAsia" w:cstheme="minorEastAsia"/>
          <w:color w:val="auto"/>
          <w:sz w:val="24"/>
          <w:highlight w:val="none"/>
        </w:rPr>
        <w:t>、安装、调试验收、使用培训。</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4.3货物或工程、材料交货地点（项目实施地点）：甲方指定的地点。</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35" w:name="_Toc124269236"/>
      <w:bookmarkStart w:id="36" w:name="_Toc176257639"/>
      <w:r>
        <w:rPr>
          <w:rFonts w:asciiTheme="minorEastAsia" w:hAnsiTheme="minorEastAsia" w:eastAsiaTheme="minorEastAsia" w:cstheme="minorEastAsia"/>
          <w:color w:val="auto"/>
          <w:sz w:val="24"/>
          <w:szCs w:val="24"/>
          <w:highlight w:val="none"/>
        </w:rPr>
        <w:t>5．支付</w:t>
      </w:r>
      <w:bookmarkEnd w:id="35"/>
      <w:bookmarkEnd w:id="36"/>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5.1支付方式：甲方凭乙方提供的正式发票以银行转账方式支付相应款项或接受承兑汇票。</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5.2支付进度：应将</w:t>
      </w:r>
      <w:r>
        <w:rPr>
          <w:rFonts w:hint="eastAsia" w:asciiTheme="minorEastAsia" w:hAnsiTheme="minorEastAsia" w:eastAsiaTheme="minorEastAsia" w:cstheme="minorEastAsia"/>
          <w:color w:val="auto"/>
          <w:sz w:val="24"/>
          <w:highlight w:val="none"/>
        </w:rPr>
        <w:t>竞争性谈判文件、响应文件及最终谈判确认等作为本条款的基础。</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37" w:name="_Toc124269237"/>
      <w:r>
        <w:rPr>
          <w:rFonts w:asciiTheme="minorEastAsia" w:hAnsiTheme="minorEastAsia" w:eastAsiaTheme="minorEastAsia" w:cstheme="minorEastAsia"/>
          <w:color w:val="auto"/>
          <w:sz w:val="24"/>
          <w:szCs w:val="24"/>
          <w:highlight w:val="none"/>
        </w:rPr>
        <w:t>6．承包方式</w:t>
      </w:r>
      <w:bookmarkEnd w:id="37"/>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6.1</w:t>
      </w:r>
      <w:bookmarkStart w:id="38" w:name="_Hlk113101218"/>
      <w:r>
        <w:rPr>
          <w:rFonts w:hint="eastAsia" w:asciiTheme="minorEastAsia" w:hAnsiTheme="minorEastAsia" w:eastAsiaTheme="minorEastAsia" w:cstheme="minorEastAsia"/>
          <w:color w:val="auto"/>
          <w:sz w:val="24"/>
          <w:highlight w:val="none"/>
        </w:rPr>
        <w:t>承包方式：提供设备、运输、卸车、安装、调试、伴随服务和培训</w:t>
      </w:r>
      <w:bookmarkEnd w:id="38"/>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 xml:space="preserve">  </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6.2伴随服务</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6.2.1乙方应随合同货物或工程提供下列服务中的所有服务，包括技术要求中规定的附加服务（如果有的话）：</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1）实施或监督所供货物或工程的现场组装施工和试运行；</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2）提供货物或工程组装和维修所需的工具；</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3）为所供货物或工程的重要配件提供详细的技术资料，包括规格说明文件等；</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4）在双方商定的一定期限内对所供货物或工程实施运行或监督或维护或修理，但前提条件是该服务并不能免除乙方在合同保证期内所承担的义务；</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5）在乙方/或甲方项目现场就所供货物的组装、试运行、运行、维护和修理对甲方人员进行培训。</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6.2.2乙方还应提供技术要求中规定的所有服务。为履行要求的伴随服务的报价或双方商定的费用应包括在合同价中。</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6.2.3如果双方事先达成不包含在合同价内的协议，其费用单价不应超过乙方向其他人提供类似服务所收取的现行单价。</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39" w:name="_Toc124269238"/>
      <w:r>
        <w:rPr>
          <w:rFonts w:asciiTheme="minorEastAsia" w:hAnsiTheme="minorEastAsia" w:eastAsiaTheme="minorEastAsia" w:cstheme="minorEastAsia"/>
          <w:color w:val="auto"/>
          <w:sz w:val="24"/>
          <w:szCs w:val="24"/>
          <w:highlight w:val="none"/>
        </w:rPr>
        <w:t>7．货物包装、发运及运输</w:t>
      </w:r>
      <w:bookmarkEnd w:id="39"/>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7.1乙方应在货物发运前对其进行满足于运输距离、防潮、防震、防锈和防破损装卸要求的包装，以保证货物安全运输到达甲方指定地点。</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7.2使用说明书、随配附件和工具以及清单等一并附于货物内。</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7.3乙方负责将货物安全运送到甲方指定地点，不另收任何费用。</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7.4货物在交货前发生的不可预见的风险均由乙方负责。</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7.5乙方在货物发运手续办理完毕后24小时内或货到前48小时通知甲方，以准备接货。</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40" w:name="_Toc124269239"/>
      <w:r>
        <w:rPr>
          <w:rFonts w:asciiTheme="minorEastAsia" w:hAnsiTheme="minorEastAsia" w:eastAsiaTheme="minorEastAsia" w:cstheme="minorEastAsia"/>
          <w:color w:val="auto"/>
          <w:sz w:val="24"/>
          <w:szCs w:val="24"/>
          <w:highlight w:val="none"/>
        </w:rPr>
        <w:t>8．验收</w:t>
      </w:r>
      <w:bookmarkEnd w:id="40"/>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8.1乙方交货前应对产品做出全面检查和对验收文件进行整理列出清单，作为甲方收货验收和使用的技术条件依据，检验的结果证明文件应随货物交甲方。</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8.2甲方对乙方所交货物依照</w:t>
      </w:r>
      <w:r>
        <w:rPr>
          <w:rFonts w:hint="eastAsia" w:asciiTheme="minorEastAsia" w:hAnsiTheme="minorEastAsia" w:eastAsiaTheme="minorEastAsia" w:cstheme="minorEastAsia"/>
          <w:color w:val="auto"/>
          <w:sz w:val="24"/>
          <w:highlight w:val="none"/>
        </w:rPr>
        <w:t>竞争性谈判文件上的技术规格要求和国家（设备制造国）有关标准进行现场验收，性能达到技术要求的，给予签收。验收不合格的不予签收，后果由乙方负责。</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8.3甲方应在货到指定地点安装调试完毕之日起十五个工作日内验收完毕，并作出验收结果报告。验收时乙方必须在现场。</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8.4或其他验收要求见</w:t>
      </w:r>
      <w:r>
        <w:rPr>
          <w:rFonts w:hint="eastAsia" w:asciiTheme="minorEastAsia" w:hAnsiTheme="minorEastAsia" w:eastAsiaTheme="minorEastAsia" w:cstheme="minorEastAsia"/>
          <w:color w:val="auto"/>
          <w:sz w:val="24"/>
          <w:highlight w:val="none"/>
        </w:rPr>
        <w:t>竞争性谈判文件、响应文件及最终谈判内容。</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41" w:name="_Toc124269240"/>
      <w:r>
        <w:rPr>
          <w:rFonts w:asciiTheme="minorEastAsia" w:hAnsiTheme="minorEastAsia" w:eastAsiaTheme="minorEastAsia" w:cstheme="minorEastAsia"/>
          <w:color w:val="auto"/>
          <w:sz w:val="24"/>
          <w:szCs w:val="24"/>
          <w:highlight w:val="none"/>
        </w:rPr>
        <w:t>9．质量保证</w:t>
      </w:r>
      <w:bookmarkEnd w:id="41"/>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9.1乙方应按</w:t>
      </w:r>
      <w:r>
        <w:rPr>
          <w:rFonts w:hint="eastAsia" w:asciiTheme="minorEastAsia" w:hAnsiTheme="minorEastAsia" w:eastAsiaTheme="minorEastAsia" w:cstheme="minorEastAsia"/>
          <w:color w:val="auto"/>
          <w:sz w:val="24"/>
          <w:highlight w:val="none"/>
        </w:rPr>
        <w:t>竞争性谈判文件规定的货物性能、技术要求、质量标准向甲方提供未经使用的全新产品；工程质量符合国家相关验收合格标准。</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9.2乙方提供货物的质量保证按</w:t>
      </w:r>
      <w:r>
        <w:rPr>
          <w:rFonts w:hint="eastAsia" w:asciiTheme="minorEastAsia" w:hAnsiTheme="minorEastAsia" w:eastAsiaTheme="minorEastAsia" w:cstheme="minorEastAsia"/>
          <w:color w:val="auto"/>
          <w:sz w:val="24"/>
          <w:highlight w:val="none"/>
        </w:rPr>
        <w:t>竞争性谈判文件的规定执行。在保证期内因货物本身的质量问题发生故障，乙方应负责免费修理和更换零部件。对达不到技术要求的，根据实际情况，经双方协商，可按以下办法处理：</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1）更换：由乙方承担所发生的全部费用；</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2）贬值处理：由甲乙双方合议定价；</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3）退货处理：乙方应退还甲方支付的货物款，同时应承担该货物的直接费用（运输、保险、检验及银行手续费等）。</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9.3如在使用过程中发生质量问题，乙方在接到甲方通知后按所承诺的时间内到达甲方现场处理，乙方应对货物出现的所有质量及安全问题负责处理解决。</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9.4乙方所提供的的设备相关参数、指标等必须完全符合甲方要求，如有未达到甲方要求的，须无偿改进、调整、更换直至达到甲方标准为止。如此过程中对甲方进度、使用等造成延误及经济损失，乙方须予以赔偿。</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42" w:name="_Toc124269241"/>
      <w:r>
        <w:rPr>
          <w:rFonts w:asciiTheme="minorEastAsia" w:hAnsiTheme="minorEastAsia" w:eastAsiaTheme="minorEastAsia" w:cstheme="minorEastAsia"/>
          <w:color w:val="auto"/>
          <w:sz w:val="24"/>
          <w:szCs w:val="24"/>
          <w:highlight w:val="none"/>
        </w:rPr>
        <w:t>10．违约责任</w:t>
      </w:r>
      <w:bookmarkEnd w:id="42"/>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 xml:space="preserve">10.1 </w:t>
      </w:r>
      <w:r>
        <w:rPr>
          <w:rFonts w:hint="eastAsia" w:asciiTheme="minorEastAsia" w:hAnsiTheme="minorEastAsia" w:eastAsiaTheme="minorEastAsia" w:cstheme="minorEastAsia"/>
          <w:color w:val="auto"/>
          <w:sz w:val="24"/>
          <w:highlight w:val="none"/>
        </w:rPr>
        <w:t>由于乙方原因工程质量未达约定要求，乙方应无条件返工，返工费用和因此而造成的经济损失由乙方承担，由此交货期延误的，乙方还应按本条</w:t>
      </w:r>
      <w:r>
        <w:rPr>
          <w:rFonts w:asciiTheme="minorEastAsia" w:hAnsiTheme="minorEastAsia" w:eastAsiaTheme="minorEastAsia" w:cstheme="minorEastAsia"/>
          <w:color w:val="auto"/>
          <w:sz w:val="24"/>
          <w:highlight w:val="none"/>
        </w:rPr>
        <w:t>10.3承担逾期违约责任。</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 xml:space="preserve">10.2 </w:t>
      </w:r>
      <w:r>
        <w:rPr>
          <w:rFonts w:hint="eastAsia" w:asciiTheme="minorEastAsia" w:hAnsiTheme="minorEastAsia" w:eastAsiaTheme="minorEastAsia" w:cstheme="minorEastAsia"/>
          <w:color w:val="auto"/>
          <w:sz w:val="24"/>
          <w:highlight w:val="none"/>
        </w:rPr>
        <w:t>因乙方施工管理不善导致的人身损害或财产损失等安全问题，造成的经济损失由乙方承担。</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10.3乙方逾期交货的，交货期逾期每延误1天，供应商赔偿</w:t>
      </w:r>
      <w:r>
        <w:rPr>
          <w:rFonts w:hint="eastAsia" w:asciiTheme="minorEastAsia" w:hAnsiTheme="minorEastAsia" w:eastAsiaTheme="minorEastAsia" w:cstheme="minorEastAsia"/>
          <w:color w:val="auto"/>
          <w:sz w:val="24"/>
          <w:highlight w:val="none"/>
        </w:rPr>
        <w:t>采购人</w:t>
      </w:r>
      <w:r>
        <w:rPr>
          <w:rFonts w:asciiTheme="minorEastAsia" w:hAnsiTheme="minorEastAsia" w:eastAsiaTheme="minorEastAsia" w:cstheme="minorEastAsia"/>
          <w:color w:val="auto"/>
          <w:sz w:val="24"/>
          <w:highlight w:val="none"/>
        </w:rPr>
        <w:t>1000元。逾期超过10天的含10天，每天供应商赔偿</w:t>
      </w:r>
      <w:r>
        <w:rPr>
          <w:rFonts w:hint="eastAsia" w:asciiTheme="minorEastAsia" w:hAnsiTheme="minorEastAsia" w:eastAsiaTheme="minorEastAsia" w:cstheme="minorEastAsia"/>
          <w:color w:val="auto"/>
          <w:sz w:val="24"/>
          <w:highlight w:val="none"/>
        </w:rPr>
        <w:t>采购人</w:t>
      </w:r>
      <w:r>
        <w:rPr>
          <w:rFonts w:asciiTheme="minorEastAsia" w:hAnsiTheme="minorEastAsia" w:eastAsiaTheme="minorEastAsia" w:cstheme="minorEastAsia"/>
          <w:color w:val="auto"/>
          <w:sz w:val="24"/>
          <w:highlight w:val="none"/>
        </w:rPr>
        <w:t>5000元。逾期超过15天的含15天，甲方有权单方解除合同，双方据实结算，乙方应按合同总价的20%支付甲方违约金，并赔偿由此造成的甲方所有损失。</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10.4性能要求若在实施过程（含设备调试阶段）中若不能达到，则采购人有权要求供应商</w:t>
      </w:r>
      <w:r>
        <w:rPr>
          <w:rFonts w:hint="eastAsia" w:asciiTheme="minorEastAsia" w:hAnsiTheme="minorEastAsia" w:eastAsiaTheme="minorEastAsia" w:cstheme="minorEastAsia"/>
          <w:color w:val="auto"/>
          <w:sz w:val="24"/>
          <w:highlight w:val="none"/>
        </w:rPr>
        <w:t>进行持续改造直至性能达标，改造产生的所有费用均由供应商承担，且每有一项不满足将对供应商进行</w:t>
      </w:r>
      <w:r>
        <w:rPr>
          <w:rFonts w:asciiTheme="minorEastAsia" w:hAnsiTheme="minorEastAsia" w:eastAsiaTheme="minorEastAsia" w:cstheme="minorEastAsia"/>
          <w:color w:val="auto"/>
          <w:sz w:val="24"/>
          <w:highlight w:val="none"/>
        </w:rPr>
        <w:t>1%合同总额的罚款，且若因改造（含超出合理调试期之外，影响设备正式启用）造成采购人损失的，供应商还需进行损失赔偿，赔偿金额优先从质保金中扣除，超出部分则由供应商另行支付。。</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43" w:name="_Toc124269242"/>
      <w:r>
        <w:rPr>
          <w:rFonts w:asciiTheme="minorEastAsia" w:hAnsiTheme="minorEastAsia" w:eastAsiaTheme="minorEastAsia" w:cstheme="minorEastAsia"/>
          <w:color w:val="auto"/>
          <w:sz w:val="24"/>
          <w:szCs w:val="24"/>
          <w:highlight w:val="none"/>
        </w:rPr>
        <w:t>11．不可抗力事件处理</w:t>
      </w:r>
      <w:bookmarkEnd w:id="43"/>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11.1在合同有效期限内，任何一方因不可抗力事件导致不能履行合同，则合同履行期可延长，其延长期与不可抗力影响期相同。由于不可抗力事件导致合同根本目的不能实现时，一方可解除合同。</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11.2不可抗力事件发生后，应立即通知对方，并寄送有关权威机构出具的证明。</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11.3不可抗力事件延续25天以上，双方应通过友好协商，确定是否继续履行合同。</w:t>
      </w:r>
    </w:p>
    <w:p>
      <w:pPr>
        <w:spacing w:line="360" w:lineRule="auto"/>
        <w:ind w:firstLine="480" w:firstLineChars="200"/>
        <w:rPr>
          <w:rFonts w:asciiTheme="minorEastAsia" w:hAnsiTheme="minorEastAsia" w:eastAsiaTheme="minorEastAsia" w:cstheme="minorEastAsia"/>
          <w:bCs/>
          <w:color w:val="auto"/>
          <w:kern w:val="0"/>
          <w:sz w:val="24"/>
          <w:highlight w:val="none"/>
        </w:rPr>
      </w:pPr>
      <w:r>
        <w:rPr>
          <w:rFonts w:asciiTheme="minorEastAsia" w:hAnsiTheme="minorEastAsia" w:eastAsiaTheme="minorEastAsia" w:cstheme="minorEastAsia"/>
          <w:bCs/>
          <w:color w:val="auto"/>
          <w:kern w:val="0"/>
          <w:sz w:val="24"/>
          <w:highlight w:val="none"/>
        </w:rPr>
        <w:t>12．合同争议的解决</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12.1本合同适用法律为中华人民共和国有关法律。</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12.2凡与本合同有关的一切争议，双方应友好协商解决，协商不能达成一致时，应向甲方所在地人民法院提起诉讼。诉讼费、律师代理费、交通费等相关费用由违约方承担。</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44" w:name="_Toc124269243"/>
      <w:r>
        <w:rPr>
          <w:rFonts w:asciiTheme="minorEastAsia" w:hAnsiTheme="minorEastAsia" w:eastAsiaTheme="minorEastAsia" w:cstheme="minorEastAsia"/>
          <w:color w:val="auto"/>
          <w:sz w:val="24"/>
          <w:szCs w:val="24"/>
          <w:highlight w:val="none"/>
        </w:rPr>
        <w:t>13．知识产权</w:t>
      </w:r>
      <w:bookmarkEnd w:id="44"/>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13.1乙方应保证所提供的货物或其任何一部分均不会侵犯任何第三方的专利权、商标权或著作权。否则，乙方应赔偿甲方因此受到的全部直接损失和间接损失（包括但不限于甲方因此受到的行政处罚、民事赔偿以及支出的律师费和相关诉讼费用）。</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45" w:name="_Toc124269244"/>
      <w:r>
        <w:rPr>
          <w:rFonts w:asciiTheme="minorEastAsia" w:hAnsiTheme="minorEastAsia" w:eastAsiaTheme="minorEastAsia" w:cstheme="minorEastAsia"/>
          <w:color w:val="auto"/>
          <w:sz w:val="24"/>
          <w:szCs w:val="24"/>
          <w:highlight w:val="none"/>
        </w:rPr>
        <w:t>14．合同生效及其它</w:t>
      </w:r>
      <w:bookmarkEnd w:id="45"/>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14.1本合同由双方法定代表人或授权代表签字加盖合同章之日起生效。未经甲方书面同意，乙方不得将本合同项下权利、义务转让给第三人。</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14.2没有另一方的事先同意，合同任何一方不得将合同项下的任何权利和义务转让给第三方。</w:t>
      </w:r>
    </w:p>
    <w:p>
      <w:pPr>
        <w:spacing w:line="360" w:lineRule="auto"/>
        <w:rPr>
          <w:rFonts w:asciiTheme="minorEastAsia" w:hAnsiTheme="minorEastAsia" w:eastAsiaTheme="minorEastAsia" w:cstheme="minorEastAsia"/>
          <w:b/>
          <w:color w:val="auto"/>
          <w:sz w:val="24"/>
          <w:highlight w:val="none"/>
        </w:rPr>
      </w:pPr>
      <w:r>
        <w:rPr>
          <w:rFonts w:asciiTheme="minorEastAsia" w:hAnsiTheme="minorEastAsia" w:eastAsiaTheme="minorEastAsia" w:cstheme="minorEastAsia"/>
          <w:color w:val="auto"/>
          <w:sz w:val="24"/>
          <w:highlight w:val="none"/>
        </w:rPr>
        <w:t>14.3合同履行中，如需修改或补充合同内容（但不能对本合同的内容作实质的改变），由双方协商另签署书面修改或补充协议并作为主合同不可分割的一部分。</w:t>
      </w:r>
      <w:r>
        <w:rPr>
          <w:rFonts w:asciiTheme="minorEastAsia" w:hAnsiTheme="minorEastAsia" w:eastAsiaTheme="minorEastAsia" w:cstheme="minorEastAsia"/>
          <w:b/>
          <w:color w:val="auto"/>
          <w:sz w:val="24"/>
          <w:highlight w:val="none"/>
        </w:rPr>
        <w:br w:type="page"/>
      </w:r>
    </w:p>
    <w:p>
      <w:pPr>
        <w:pStyle w:val="3"/>
        <w:jc w:val="center"/>
        <w:rPr>
          <w:rFonts w:asciiTheme="minorEastAsia" w:hAnsiTheme="minorEastAsia" w:eastAsiaTheme="minorEastAsia" w:cstheme="minorEastAsia"/>
          <w:color w:val="auto"/>
          <w:sz w:val="24"/>
          <w:szCs w:val="24"/>
          <w:highlight w:val="none"/>
        </w:rPr>
      </w:pPr>
      <w:bookmarkStart w:id="46" w:name="_Toc124269245"/>
      <w:r>
        <w:rPr>
          <w:rFonts w:hint="eastAsia" w:asciiTheme="minorEastAsia" w:hAnsiTheme="minorEastAsia" w:eastAsiaTheme="minorEastAsia" w:cstheme="minorEastAsia"/>
          <w:color w:val="auto"/>
          <w:sz w:val="24"/>
          <w:szCs w:val="24"/>
          <w:highlight w:val="none"/>
        </w:rPr>
        <w:t>合同专用条款</w:t>
      </w:r>
      <w:bookmarkEnd w:id="46"/>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中粮糖业（漳州）有限公司</w:t>
      </w:r>
      <w:r>
        <w:rPr>
          <w:rFonts w:hint="eastAsia" w:asciiTheme="minorEastAsia" w:hAnsiTheme="minorEastAsia" w:eastAsiaTheme="minorEastAsia" w:cstheme="minorEastAsia"/>
          <w:color w:val="auto"/>
          <w:sz w:val="24"/>
          <w:highlight w:val="none"/>
        </w:rPr>
        <w:t>（以下简称甲方）与（以下简称乙方）就乙方为</w:t>
      </w:r>
      <w:r>
        <w:rPr>
          <w:rFonts w:hint="eastAsia" w:asciiTheme="minorEastAsia" w:hAnsiTheme="minorEastAsia" w:eastAsiaTheme="minorEastAsia" w:cstheme="minorEastAsia"/>
          <w:color w:val="auto"/>
          <w:sz w:val="24"/>
          <w:highlight w:val="none"/>
          <w:u w:val="single"/>
        </w:rPr>
        <w:t>中粮糖业（漳州）有限公司</w:t>
      </w:r>
      <w:r>
        <w:rPr>
          <w:rFonts w:asciiTheme="minorEastAsia" w:hAnsiTheme="minorEastAsia" w:eastAsiaTheme="minorEastAsia" w:cstheme="minorEastAsia"/>
          <w:color w:val="auto"/>
          <w:sz w:val="24"/>
          <w:highlight w:val="none"/>
          <w:u w:val="single"/>
        </w:rPr>
        <w:t>35万吨/年精炼糖及15万吨/年糖类食品原材料加工项目</w:t>
      </w:r>
      <w:r>
        <w:rPr>
          <w:rFonts w:hint="eastAsia" w:asciiTheme="minorEastAsia" w:hAnsiTheme="minorEastAsia" w:eastAsiaTheme="minorEastAsia" w:cstheme="minorEastAsia"/>
          <w:color w:val="auto"/>
          <w:sz w:val="24"/>
          <w:highlight w:val="none"/>
          <w:u w:val="single"/>
          <w:lang w:eastAsia="zh-CN"/>
        </w:rPr>
        <w:t>大门及其门禁管理系统</w:t>
      </w:r>
      <w:r>
        <w:rPr>
          <w:rFonts w:asciiTheme="minorEastAsia" w:hAnsiTheme="minorEastAsia" w:eastAsiaTheme="minorEastAsia" w:cstheme="minorEastAsia"/>
          <w:color w:val="auto"/>
          <w:sz w:val="24"/>
          <w:highlight w:val="none"/>
          <w:u w:val="single"/>
        </w:rPr>
        <w:t>采购</w:t>
      </w:r>
      <w:r>
        <w:rPr>
          <w:rFonts w:hint="eastAsia" w:asciiTheme="minorEastAsia" w:hAnsiTheme="minorEastAsia" w:eastAsiaTheme="minorEastAsia" w:cstheme="minorEastAsia"/>
          <w:color w:val="auto"/>
          <w:sz w:val="24"/>
          <w:highlight w:val="none"/>
        </w:rPr>
        <w:t>向甲方提供的货物或工程和服务，经甲乙双方协商一致，签订本合同，共同遵守如下条款：</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47" w:name="_Toc124269246"/>
      <w:r>
        <w:rPr>
          <w:rFonts w:hint="eastAsia" w:asciiTheme="minorEastAsia" w:hAnsiTheme="minorEastAsia" w:eastAsiaTheme="minorEastAsia" w:cstheme="minorEastAsia"/>
          <w:color w:val="auto"/>
          <w:sz w:val="24"/>
          <w:szCs w:val="24"/>
          <w:highlight w:val="none"/>
        </w:rPr>
        <w:t>一、合同标的</w:t>
      </w:r>
      <w:bookmarkEnd w:id="47"/>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1．本合同标的（包括设备供货、安装及服务）。</w:t>
      </w:r>
    </w:p>
    <w:tbl>
      <w:tblPr>
        <w:tblStyle w:val="22"/>
        <w:tblW w:w="5000" w:type="pct"/>
        <w:tblInd w:w="0" w:type="dxa"/>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569"/>
        <w:gridCol w:w="4867"/>
        <w:gridCol w:w="913"/>
        <w:gridCol w:w="913"/>
        <w:gridCol w:w="1520"/>
        <w:gridCol w:w="1180"/>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86"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2443"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各分项内容</w:t>
            </w:r>
          </w:p>
        </w:tc>
        <w:tc>
          <w:tcPr>
            <w:tcW w:w="458"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单位</w:t>
            </w:r>
          </w:p>
        </w:tc>
        <w:tc>
          <w:tcPr>
            <w:tcW w:w="458"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763"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tc>
        <w:tc>
          <w:tcPr>
            <w:tcW w:w="591"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86"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w:t>
            </w:r>
          </w:p>
        </w:tc>
        <w:tc>
          <w:tcPr>
            <w:tcW w:w="2443" w:type="pct"/>
            <w:shd w:val="clear" w:color="auto" w:fill="auto"/>
            <w:vAlign w:val="center"/>
          </w:tcPr>
          <w:p>
            <w:pPr>
              <w:spacing w:line="360" w:lineRule="auto"/>
              <w:jc w:val="center"/>
              <w:rPr>
                <w:rFonts w:asciiTheme="minorEastAsia" w:hAnsiTheme="minorEastAsia" w:eastAsiaTheme="minorEastAsia" w:cstheme="minorEastAsia"/>
                <w:color w:val="auto"/>
                <w:kern w:val="0"/>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763"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c>
          <w:tcPr>
            <w:tcW w:w="591"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86"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w:t>
            </w:r>
          </w:p>
        </w:tc>
        <w:tc>
          <w:tcPr>
            <w:tcW w:w="2443" w:type="pct"/>
            <w:shd w:val="clear" w:color="auto" w:fill="auto"/>
            <w:vAlign w:val="center"/>
          </w:tcPr>
          <w:p>
            <w:pPr>
              <w:spacing w:line="360" w:lineRule="auto"/>
              <w:jc w:val="center"/>
              <w:rPr>
                <w:rFonts w:asciiTheme="minorEastAsia" w:hAnsiTheme="minorEastAsia" w:eastAsiaTheme="minorEastAsia" w:cstheme="minorEastAsia"/>
                <w:color w:val="auto"/>
                <w:kern w:val="0"/>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763"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c>
          <w:tcPr>
            <w:tcW w:w="591"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86"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w:t>
            </w:r>
          </w:p>
        </w:tc>
        <w:tc>
          <w:tcPr>
            <w:tcW w:w="2443" w:type="pct"/>
            <w:shd w:val="clear" w:color="auto" w:fill="auto"/>
            <w:vAlign w:val="center"/>
          </w:tcPr>
          <w:p>
            <w:pPr>
              <w:spacing w:line="360" w:lineRule="auto"/>
              <w:jc w:val="center"/>
              <w:rPr>
                <w:rFonts w:asciiTheme="minorEastAsia" w:hAnsiTheme="minorEastAsia" w:eastAsiaTheme="minorEastAsia" w:cstheme="minorEastAsia"/>
                <w:color w:val="auto"/>
                <w:kern w:val="0"/>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763"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c>
          <w:tcPr>
            <w:tcW w:w="591"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PrEx>
        <w:trPr>
          <w:trHeight w:val="397" w:hRule="atLeast"/>
        </w:trPr>
        <w:tc>
          <w:tcPr>
            <w:tcW w:w="286"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w:t>
            </w:r>
          </w:p>
        </w:tc>
        <w:tc>
          <w:tcPr>
            <w:tcW w:w="2443" w:type="pct"/>
            <w:shd w:val="clear" w:color="auto" w:fill="auto"/>
            <w:vAlign w:val="center"/>
          </w:tcPr>
          <w:p>
            <w:pPr>
              <w:spacing w:line="360" w:lineRule="auto"/>
              <w:jc w:val="center"/>
              <w:rPr>
                <w:rFonts w:asciiTheme="minorEastAsia" w:hAnsiTheme="minorEastAsia" w:eastAsiaTheme="minorEastAsia" w:cstheme="minorEastAsia"/>
                <w:color w:val="auto"/>
                <w:kern w:val="0"/>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763"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c>
          <w:tcPr>
            <w:tcW w:w="591"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86"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w:t>
            </w:r>
          </w:p>
        </w:tc>
        <w:tc>
          <w:tcPr>
            <w:tcW w:w="2443" w:type="pct"/>
            <w:shd w:val="clear" w:color="auto" w:fill="auto"/>
            <w:vAlign w:val="center"/>
          </w:tcPr>
          <w:p>
            <w:pPr>
              <w:spacing w:line="360" w:lineRule="auto"/>
              <w:jc w:val="center"/>
              <w:rPr>
                <w:rFonts w:asciiTheme="minorEastAsia" w:hAnsiTheme="minorEastAsia" w:eastAsiaTheme="minorEastAsia" w:cstheme="minorEastAsia"/>
                <w:color w:val="auto"/>
                <w:kern w:val="0"/>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458" w:type="pct"/>
            <w:shd w:val="clear" w:color="auto" w:fill="auto"/>
            <w:vAlign w:val="center"/>
          </w:tcPr>
          <w:p>
            <w:pPr>
              <w:spacing w:line="360" w:lineRule="auto"/>
              <w:jc w:val="center"/>
              <w:rPr>
                <w:rFonts w:asciiTheme="minorEastAsia" w:hAnsiTheme="minorEastAsia" w:eastAsiaTheme="minorEastAsia" w:cstheme="minorEastAsia"/>
                <w:color w:val="auto"/>
                <w:sz w:val="24"/>
                <w:highlight w:val="none"/>
              </w:rPr>
            </w:pPr>
          </w:p>
        </w:tc>
        <w:tc>
          <w:tcPr>
            <w:tcW w:w="763"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c>
          <w:tcPr>
            <w:tcW w:w="591"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86"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c>
          <w:tcPr>
            <w:tcW w:w="3359" w:type="pct"/>
            <w:gridSpan w:val="3"/>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合计</w:t>
            </w:r>
          </w:p>
        </w:tc>
        <w:tc>
          <w:tcPr>
            <w:tcW w:w="763"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c>
          <w:tcPr>
            <w:tcW w:w="591" w:type="pct"/>
            <w:shd w:val="clear" w:color="auto" w:fill="auto"/>
            <w:vAlign w:val="center"/>
          </w:tcPr>
          <w:p>
            <w:pPr>
              <w:adjustRightInd w:val="0"/>
              <w:snapToGrid w:val="0"/>
              <w:spacing w:line="360" w:lineRule="auto"/>
              <w:jc w:val="center"/>
              <w:rPr>
                <w:rFonts w:asciiTheme="minorEastAsia" w:hAnsiTheme="minorEastAsia" w:eastAsiaTheme="minorEastAsia" w:cstheme="minorEastAsia"/>
                <w:color w:val="auto"/>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6"/>
            <w:shd w:val="clear" w:color="auto" w:fill="auto"/>
            <w:vAlign w:val="center"/>
          </w:tcPr>
          <w:p>
            <w:pPr>
              <w:adjustRightInd w:val="0"/>
              <w:snapToGrid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总金额（含税）大写：小写：</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6"/>
            <w:shd w:val="clear" w:color="auto" w:fill="auto"/>
            <w:vAlign w:val="center"/>
          </w:tcPr>
          <w:p>
            <w:pPr>
              <w:adjustRightInd w:val="0"/>
              <w:snapToGrid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不含税金额大写：小写：税额：（</w:t>
            </w:r>
            <w:r>
              <w:rPr>
                <w:rFonts w:asciiTheme="minorEastAsia" w:hAnsiTheme="minorEastAsia" w:eastAsiaTheme="minorEastAsia" w:cstheme="minorEastAsia"/>
                <w:color w:val="auto"/>
                <w:sz w:val="24"/>
                <w:highlight w:val="none"/>
              </w:rPr>
              <w:t xml:space="preserve">  %增值税专用发票）</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6"/>
            <w:shd w:val="clear" w:color="auto" w:fill="auto"/>
            <w:vAlign w:val="center"/>
          </w:tcPr>
          <w:p>
            <w:pPr>
              <w:spacing w:line="360" w:lineRule="auto"/>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1、本合同为总价闭口包干。</w:t>
            </w:r>
            <w:r>
              <w:rPr>
                <w:rFonts w:hint="eastAsia" w:asciiTheme="minorEastAsia" w:hAnsiTheme="minorEastAsia" w:eastAsiaTheme="minorEastAsia" w:cstheme="minorEastAsia"/>
                <w:color w:val="auto"/>
                <w:sz w:val="24"/>
                <w:highlight w:val="none"/>
                <w:u w:val="single"/>
              </w:rPr>
              <w:t>费用已包含备设计、供货、运输、卸车、安装、调试（含调试所需的材料、设备、人工等）和试运行的相关手续、维修维护培训、设计出图、检测、提供产品质量证明书、图纸、</w:t>
            </w:r>
            <w:r>
              <w:rPr>
                <w:rFonts w:hint="eastAsia" w:asciiTheme="minorEastAsia" w:hAnsiTheme="minorEastAsia" w:eastAsiaTheme="minorEastAsia" w:cstheme="minorEastAsia"/>
                <w:color w:val="auto"/>
                <w:sz w:val="24"/>
                <w:highlight w:val="none"/>
                <w:u w:val="single"/>
                <w:lang w:eastAsia="zh-CN"/>
              </w:rPr>
              <w:t>大门及其门禁管理系统</w:t>
            </w:r>
            <w:r>
              <w:rPr>
                <w:rFonts w:hint="eastAsia" w:asciiTheme="minorEastAsia" w:hAnsiTheme="minorEastAsia" w:eastAsiaTheme="minorEastAsia" w:cstheme="minorEastAsia"/>
                <w:color w:val="auto"/>
                <w:sz w:val="24"/>
                <w:highlight w:val="none"/>
                <w:u w:val="single"/>
              </w:rPr>
              <w:t>制造监督检验证书等合法报装资料、验收后资料归档、随机专用工具、质保期内备品备件、现场配合及协调、物料及人工涨价、售后服务以及运行期技术服务等一切费用，增值税价（</w:t>
            </w:r>
            <w:r>
              <w:rPr>
                <w:rFonts w:asciiTheme="minorEastAsia" w:hAnsiTheme="minorEastAsia" w:eastAsiaTheme="minorEastAsia" w:cstheme="minorEastAsia"/>
                <w:color w:val="auto"/>
                <w:sz w:val="24"/>
                <w:highlight w:val="none"/>
                <w:u w:val="single"/>
              </w:rPr>
              <w:t xml:space="preserve">   %增值税专用发票）</w:t>
            </w:r>
            <w:r>
              <w:rPr>
                <w:rFonts w:hint="eastAsia" w:asciiTheme="minorEastAsia" w:hAnsiTheme="minorEastAsia" w:eastAsiaTheme="minorEastAsia" w:cstheme="minorEastAsia"/>
                <w:color w:val="auto"/>
                <w:sz w:val="24"/>
                <w:highlight w:val="none"/>
              </w:rPr>
              <w:t>。</w:t>
            </w:r>
          </w:p>
          <w:p>
            <w:pPr>
              <w:adjustRightInd w:val="0"/>
              <w:snapToGrid w:val="0"/>
              <w:spacing w:line="360" w:lineRule="auto"/>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2、交货（施工）地点：</w:t>
            </w:r>
            <w:r>
              <w:rPr>
                <w:rFonts w:hint="eastAsia" w:asciiTheme="minorEastAsia" w:hAnsiTheme="minorEastAsia" w:eastAsiaTheme="minorEastAsia" w:cstheme="minorEastAsia"/>
                <w:color w:val="auto"/>
                <w:sz w:val="24"/>
                <w:highlight w:val="none"/>
                <w:u w:val="single"/>
              </w:rPr>
              <w:t>漳州招商局经济技术开发区四区兴港南路南段道路西侧场地</w:t>
            </w:r>
            <w:r>
              <w:rPr>
                <w:rFonts w:hint="eastAsia" w:asciiTheme="minorEastAsia" w:hAnsiTheme="minorEastAsia" w:eastAsiaTheme="minorEastAsia" w:cstheme="minorEastAsia"/>
                <w:color w:val="auto"/>
                <w:sz w:val="24"/>
                <w:highlight w:val="none"/>
              </w:rPr>
              <w:t>。</w:t>
            </w:r>
          </w:p>
          <w:p>
            <w:pPr>
              <w:adjustRightInd w:val="0"/>
              <w:snapToGrid w:val="0"/>
              <w:spacing w:line="360" w:lineRule="auto"/>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3、交货（竣工）日期：</w:t>
            </w:r>
            <w:r>
              <w:rPr>
                <w:rFonts w:hint="eastAsia" w:cs="宋体" w:asciiTheme="minorEastAsia" w:hAnsiTheme="minorEastAsia" w:eastAsiaTheme="minorEastAsia"/>
                <w:color w:val="auto"/>
                <w:sz w:val="24"/>
                <w:highlight w:val="none"/>
              </w:rPr>
              <w:t>合同生效接到甲方通知后</w:t>
            </w:r>
            <w:r>
              <w:rPr>
                <w:rFonts w:cs="宋体" w:asciiTheme="minorEastAsia" w:hAnsiTheme="minorEastAsia" w:eastAsiaTheme="minorEastAsia"/>
                <w:color w:val="auto"/>
                <w:sz w:val="24"/>
                <w:highlight w:val="none"/>
              </w:rPr>
              <w:t>50日历天可具备发货条件，接到甲方发货通知后（甲方可在乙方具备发货条件后任意一天均可以）30个日历天内到达甲方指定场地</w:t>
            </w:r>
          </w:p>
        </w:tc>
      </w:tr>
    </w:tbl>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1.1乙方的所有供货及服务必须完全满足技术规格的要求，技术规格详见合同附件一《技术协议》；</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1.2乙方为甲方设计制造并提供系统所需的设备及材料或工程内容。</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1.3乙方向甲方提供所供设备或工程的以下服务：设计、安装、培训、运输（含二次运输、吊卸）、测试验收的服务、质量保证、售后服务等；</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1.4乙方应对本合同项下其承担的全部工作实施有效管理，以确保上作的进度符合合同附件的要求。</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1.5乙方作为设备供应商须配套提供</w:t>
      </w:r>
      <w:r>
        <w:rPr>
          <w:rFonts w:hint="eastAsia" w:asciiTheme="minorEastAsia" w:hAnsiTheme="minorEastAsia" w:eastAsiaTheme="minorEastAsia" w:cstheme="minorEastAsia"/>
          <w:color w:val="auto"/>
          <w:sz w:val="24"/>
          <w:highlight w:val="none"/>
          <w:lang w:eastAsia="zh-CN"/>
        </w:rPr>
        <w:t>大门及其门禁管理系统</w:t>
      </w:r>
      <w:r>
        <w:rPr>
          <w:rFonts w:asciiTheme="minorEastAsia" w:hAnsiTheme="minorEastAsia" w:eastAsiaTheme="minorEastAsia" w:cstheme="minorEastAsia"/>
          <w:color w:val="auto"/>
          <w:sz w:val="24"/>
          <w:highlight w:val="none"/>
        </w:rPr>
        <w:t>设备，设备供应商负责免费提供控制方案给甲方。</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1．6竣工后，乙方应当在验收后30日内将有关技术资料移交使用单位。</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2．货物或工程名称、型号及规格、数量、及交货时间如下所示。</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2.1货物或工程名称、型号及规格：详见合同附件一《技术协议书》</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2.2数量：详见合同附件一《技术协议书》</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2.3完工时间：年月日。</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2.3.1不可抗力或经甲方同意工期顺延的其他情况。</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如施工期间遇到疫情等相关影响导致工期延长，乙方需配合防疫防控措施及现场的管理所产生的费用均应已考虑在报价中，由此延误的费用不再另行计算。</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2.3.2非乙方原因引起的交货期延迟。</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2.4具体的供货范围、技术规格及技术图纸、工程执行计划时间详见合同附件。</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48" w:name="_Toc124269247"/>
      <w:r>
        <w:rPr>
          <w:rFonts w:hint="eastAsia" w:asciiTheme="minorEastAsia" w:hAnsiTheme="minorEastAsia" w:eastAsiaTheme="minorEastAsia" w:cstheme="minorEastAsia"/>
          <w:color w:val="auto"/>
          <w:sz w:val="24"/>
          <w:szCs w:val="24"/>
          <w:highlight w:val="none"/>
        </w:rPr>
        <w:t>二、价格及付款方式</w:t>
      </w:r>
      <w:bookmarkEnd w:id="48"/>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1．合同供货范围：</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乙方应提供完整的</w:t>
      </w:r>
      <w:r>
        <w:rPr>
          <w:rFonts w:hint="eastAsia" w:asciiTheme="minorEastAsia" w:hAnsiTheme="minorEastAsia" w:eastAsiaTheme="minorEastAsia" w:cstheme="minorEastAsia"/>
          <w:color w:val="auto"/>
          <w:sz w:val="24"/>
          <w:highlight w:val="none"/>
          <w:u w:val="single"/>
        </w:rPr>
        <w:t>中粮糖业（漳州）有限公司</w:t>
      </w:r>
      <w:r>
        <w:rPr>
          <w:rFonts w:asciiTheme="minorEastAsia" w:hAnsiTheme="minorEastAsia" w:eastAsiaTheme="minorEastAsia" w:cstheme="minorEastAsia"/>
          <w:color w:val="auto"/>
          <w:sz w:val="24"/>
          <w:highlight w:val="none"/>
          <w:u w:val="single"/>
        </w:rPr>
        <w:t>35万吨/年精炼糖及15万吨/年糖类食品原材料加工项目</w:t>
      </w:r>
      <w:r>
        <w:rPr>
          <w:rFonts w:hint="eastAsia" w:asciiTheme="minorEastAsia" w:hAnsiTheme="minorEastAsia" w:eastAsiaTheme="minorEastAsia" w:cstheme="minorEastAsia"/>
          <w:color w:val="auto"/>
          <w:sz w:val="24"/>
          <w:highlight w:val="none"/>
          <w:u w:val="single"/>
          <w:lang w:eastAsia="zh-CN"/>
        </w:rPr>
        <w:t>大门及其门禁管理系统</w:t>
      </w:r>
      <w:r>
        <w:rPr>
          <w:rFonts w:asciiTheme="minorEastAsia" w:hAnsiTheme="minorEastAsia" w:eastAsiaTheme="minorEastAsia" w:cstheme="minorEastAsia"/>
          <w:color w:val="auto"/>
          <w:sz w:val="24"/>
          <w:highlight w:val="none"/>
          <w:u w:val="single"/>
        </w:rPr>
        <w:t>采购</w:t>
      </w:r>
      <w:r>
        <w:rPr>
          <w:rFonts w:hint="eastAsia" w:asciiTheme="minorEastAsia" w:hAnsiTheme="minorEastAsia" w:eastAsiaTheme="minorEastAsia" w:cstheme="minorEastAsia"/>
          <w:color w:val="auto"/>
          <w:sz w:val="24"/>
          <w:highlight w:val="none"/>
        </w:rPr>
        <w:t>内所有设备及材料，包括完成合同目标所必需的完整的供货和售后等服务，包括但不限于：</w:t>
      </w:r>
      <w:r>
        <w:rPr>
          <w:rFonts w:hint="eastAsia" w:asciiTheme="minorEastAsia" w:hAnsiTheme="minorEastAsia" w:eastAsiaTheme="minorEastAsia" w:cstheme="minorEastAsia"/>
          <w:color w:val="auto"/>
          <w:sz w:val="24"/>
          <w:highlight w:val="none"/>
          <w:u w:val="single"/>
        </w:rPr>
        <w:t>备设计、供货、运输、卸车、安装、调试（含调试所需的材料、设备、人工等）和试运行的相关手续、维修维护培训、设计出图、检测、提供产品质量证明书、图纸、</w:t>
      </w:r>
      <w:r>
        <w:rPr>
          <w:rFonts w:hint="eastAsia" w:asciiTheme="minorEastAsia" w:hAnsiTheme="minorEastAsia" w:eastAsiaTheme="minorEastAsia" w:cstheme="minorEastAsia"/>
          <w:color w:val="auto"/>
          <w:sz w:val="24"/>
          <w:highlight w:val="none"/>
          <w:u w:val="single"/>
          <w:lang w:eastAsia="zh-CN"/>
        </w:rPr>
        <w:t>大门及其门禁管理系统</w:t>
      </w:r>
      <w:r>
        <w:rPr>
          <w:rFonts w:hint="eastAsia" w:asciiTheme="minorEastAsia" w:hAnsiTheme="minorEastAsia" w:eastAsiaTheme="minorEastAsia" w:cstheme="minorEastAsia"/>
          <w:color w:val="auto"/>
          <w:sz w:val="24"/>
          <w:highlight w:val="none"/>
          <w:u w:val="single"/>
        </w:rPr>
        <w:t>制造监督检验证书等合法报装资料、验收后资料归档、随机专用工具、质保期内备品备件、现场配合及协调、物料及人工涨价、售后服务以及运行期技术服务等等，</w:t>
      </w:r>
      <w:r>
        <w:rPr>
          <w:rFonts w:hint="eastAsia" w:asciiTheme="minorEastAsia" w:hAnsiTheme="minorEastAsia" w:eastAsiaTheme="minorEastAsia" w:cstheme="minorEastAsia"/>
          <w:bCs/>
          <w:color w:val="auto"/>
          <w:sz w:val="24"/>
          <w:highlight w:val="none"/>
          <w:u w:val="single"/>
        </w:rPr>
        <w:t>确保达到</w:t>
      </w:r>
      <w:r>
        <w:rPr>
          <w:rFonts w:hint="eastAsia" w:asciiTheme="minorEastAsia" w:hAnsiTheme="minorEastAsia" w:eastAsiaTheme="minorEastAsia" w:cstheme="minorEastAsia"/>
          <w:color w:val="auto"/>
          <w:sz w:val="24"/>
          <w:highlight w:val="none"/>
          <w:u w:val="single"/>
        </w:rPr>
        <w:t>本合同技术协议部分的要求。</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2．随机备件：乙方免费提供满足合同设备质保期内运行所需的备品备件，详见本合同技术协议部分。</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3.合同款项的支付：</w:t>
      </w:r>
    </w:p>
    <w:p>
      <w:pPr>
        <w:spacing w:line="360" w:lineRule="auto"/>
        <w:ind w:firstLine="482" w:firstLineChars="200"/>
        <w:rPr>
          <w:rFonts w:asciiTheme="minorEastAsia" w:hAnsiTheme="minorEastAsia" w:eastAsiaTheme="minorEastAsia" w:cstheme="minorEastAsia"/>
          <w:b/>
          <w:bCs/>
          <w:color w:val="auto"/>
          <w:sz w:val="24"/>
          <w:highlight w:val="none"/>
        </w:rPr>
      </w:pPr>
      <w:r>
        <w:rPr>
          <w:rFonts w:asciiTheme="minorEastAsia" w:hAnsiTheme="minorEastAsia" w:eastAsiaTheme="minorEastAsia" w:cstheme="minorEastAsia"/>
          <w:b/>
          <w:bCs/>
          <w:color w:val="auto"/>
          <w:sz w:val="24"/>
          <w:highlight w:val="none"/>
        </w:rPr>
        <w:t>3.1不需安装设备合同款项的支付：</w:t>
      </w:r>
      <w:r>
        <w:rPr>
          <w:rFonts w:hint="eastAsia" w:asciiTheme="minorEastAsia" w:hAnsiTheme="minorEastAsia" w:eastAsiaTheme="minorEastAsia" w:cstheme="minorEastAsia"/>
          <w:b/>
          <w:bCs/>
          <w:color w:val="auto"/>
          <w:sz w:val="24"/>
          <w:highlight w:val="none"/>
        </w:rPr>
        <w:t>（不适用）</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3.1.1.合同总额：（人民币大写）XXXX（￥XXXX元），开具税率为13%增值税专用发票。</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 xml:space="preserve">3.1.2. </w:t>
      </w:r>
      <w:r>
        <w:rPr>
          <w:rFonts w:hint="eastAsia" w:asciiTheme="minorEastAsia" w:hAnsiTheme="minorEastAsia" w:eastAsiaTheme="minorEastAsia" w:cstheme="minorEastAsia"/>
          <w:color w:val="auto"/>
          <w:sz w:val="24"/>
          <w:highlight w:val="none"/>
        </w:rPr>
        <w:t>项目所有的设备、材料全部进入项目施工现场经甲方验收合格后，乙方开具合同总额的</w:t>
      </w:r>
      <w:r>
        <w:rPr>
          <w:rFonts w:asciiTheme="minorEastAsia" w:hAnsiTheme="minorEastAsia" w:eastAsiaTheme="minorEastAsia" w:cstheme="minorEastAsia"/>
          <w:color w:val="auto"/>
          <w:sz w:val="24"/>
          <w:highlight w:val="none"/>
        </w:rPr>
        <w:t>30%的增值税专用发票给甲方，甲方向乙方支付合同总额的30%，金额：（人民币大写）XXXX（￥XXXX元）。</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3.1.3.设备安装完毕，竣工验收合格（静验收），乙方开具合同总额的30%的增值税专用发票给甲方，甲方向乙方支付合同总额的30%，金额：（人民币大写）XXXX（￥XXXX元）。</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3.1.4.竣工验收合格，设备正常使用一个月后，乙方开具合同总额的40%的增值税专用发票给甲方，甲方向乙方支付合同总额的30%，金额：（人民币大写）XXXX元整（￥XXXX元）。</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3.1.5.剩余10%作为质保金，于质保期满且设备无任何质量问题后，甲方向乙方支付合同总额的10%，金额：（人民币大写）XXXX元整（￥XXXX元）。质保期从生产线运行之日起算12个月（如自报质保期多于12个月，按自报质保期签署），或从安装调试工程竣工之日起算质保期月数+6个月，以先到日期为准。</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3.1.6.履约保证金的交付及退还</w:t>
      </w:r>
    </w:p>
    <w:p>
      <w:pPr>
        <w:spacing w:line="360" w:lineRule="auto"/>
        <w:ind w:firstLine="600" w:firstLineChars="2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履约保证金（现金或保函）为合同总价的</w:t>
      </w:r>
      <w:r>
        <w:rPr>
          <w:rFonts w:asciiTheme="minorEastAsia" w:hAnsiTheme="minorEastAsia" w:eastAsiaTheme="minorEastAsia" w:cstheme="minorEastAsia"/>
          <w:color w:val="auto"/>
          <w:sz w:val="24"/>
          <w:highlight w:val="none"/>
        </w:rPr>
        <w:t>5%，金额：（人民币大写）XXXX元整（￥XXXX元）。乙方必须于合同签订后15日之内向甲方足额缴纳，甲方于项目竣工且验收合格后30个工作日内将全额履约保证金（现金或保函）无息退还给乙方。</w:t>
      </w:r>
    </w:p>
    <w:p>
      <w:pPr>
        <w:spacing w:line="360" w:lineRule="auto"/>
        <w:ind w:firstLine="600" w:firstLineChars="2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履约担保形式：银行履约保函或履约保证金。履约保函要求为见索即付银行保函，保函受益人为采购人，出具银行限中国工商银行、中国农业银行、中国银行、中国建设银行、中国交通银行、招商银行、中信银行、农业发展银行、平安银行之一，所需费用由供应商承担。</w:t>
      </w:r>
    </w:p>
    <w:p>
      <w:pPr>
        <w:spacing w:line="360" w:lineRule="auto"/>
        <w:ind w:firstLine="600" w:firstLineChars="2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履约担保期限：履约保函自开具之日起至验收合格并结算审核完毕后</w:t>
      </w:r>
      <w:r>
        <w:rPr>
          <w:rFonts w:asciiTheme="minorEastAsia" w:hAnsiTheme="minorEastAsia" w:eastAsiaTheme="minorEastAsia" w:cstheme="minorEastAsia"/>
          <w:color w:val="auto"/>
          <w:sz w:val="24"/>
          <w:highlight w:val="none"/>
        </w:rPr>
        <w:t>7天内保持有效；履约保证金或履约保函原件在工程完工验收合格并结算审核完毕7天后，</w:t>
      </w:r>
      <w:r>
        <w:rPr>
          <w:rFonts w:hint="eastAsia" w:asciiTheme="minorEastAsia" w:hAnsiTheme="minorEastAsia" w:eastAsiaTheme="minorEastAsia" w:cstheme="minorEastAsia"/>
          <w:color w:val="auto"/>
          <w:sz w:val="24"/>
          <w:highlight w:val="none"/>
        </w:rPr>
        <w:t>成交人提交书面退还申请、采购人审核确认具备退还条件后无息退还。如成交人提供的保函提前失效，则成交人须在保函失效前完成保函续期。如履约保函到期后成交人未能及时续期以保证保函在合同约定期限内持续有效，采购人将有权暂停支付合同款项直至成交人完成保函续期并满足合同中保函有效期的相关要求为止。</w:t>
      </w:r>
    </w:p>
    <w:p>
      <w:pPr>
        <w:spacing w:line="360" w:lineRule="auto"/>
        <w:ind w:firstLine="602" w:firstLineChars="250"/>
        <w:rPr>
          <w:rFonts w:asciiTheme="minorEastAsia" w:hAnsiTheme="minorEastAsia" w:eastAsiaTheme="minorEastAsia" w:cstheme="minorEastAsia"/>
          <w:b/>
          <w:bCs/>
          <w:color w:val="auto"/>
          <w:sz w:val="24"/>
          <w:highlight w:val="none"/>
        </w:rPr>
      </w:pPr>
      <w:r>
        <w:rPr>
          <w:rFonts w:asciiTheme="minorEastAsia" w:hAnsiTheme="minorEastAsia" w:eastAsiaTheme="minorEastAsia" w:cstheme="minorEastAsia"/>
          <w:b/>
          <w:bCs/>
          <w:color w:val="auto"/>
          <w:sz w:val="24"/>
          <w:highlight w:val="none"/>
        </w:rPr>
        <w:t>3.2需安装与调试设备合同款项的支付：</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3.2.1.合同总额：（人民币大写）XXXX（￥XXXX元），开具税率为13%增值税专用发票，乙方须在付款至80%时开具全额增值税专用发票给甲方。</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3.2.2.合同签署后，甲方支付合同金额的20%作为预付款，金额：（人民币大写）XXXX（￥XXXX元），乙方同时向甲方提供等额预付款保函、付款申请及增值税专用发票；</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预付款保函：要求为见索即付银行保函，保函受益人为采购人，出具银行限限中国工商银行、中国农业银行、中国银行、中国建设银行、中国交通银行、招商银行、中信银行、农业发展银行、平安银行之一，所需费用由供应商承担。</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预付款保函退还及条件：竣工验收合格，在成交人提交书面退还申请、采购人审核确认具备退还条件后无息退还。</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3.2.3设备、材料及人员均到场并经甲方、监理查验合格后，甲方向乙方支付至合同总额的50%，金额：（人民币大写）XXXX（￥XXXX元）。</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3.2.4.设备安装完毕，竣工验收合格（含设备试运转），甲方向乙方支付至合同总额的80%，金额：（人民币大写）XXXX（￥XXXX元）。</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3.2.5.竣工验收合格，设备正常使用一个月，完成定案结算审计，出具工程结算审核定案表，同时完成相关政府管理部门验收备案并取得相关证明文件后，甲方向乙方支付至结算总额的90%，金额：（人民币大写）XXXX元整（￥XXXX元）。</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3.2.5.剩余10%作为质保金，于质保期满且设备无任何质量问题后，甲方向乙方支付合同总额的10%，金额：（人民币大写）XXXX元整（￥XXXX元）。质保期从生产线运行之日起算12个月（如自报质保期多于12个月，按自报质保期签署），或从安装调试工程竣工之日起算质保期月数+6个月，以先到日期为准。</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3.2.6.履约保证金的交付及退还</w:t>
      </w:r>
    </w:p>
    <w:p>
      <w:pPr>
        <w:spacing w:line="360" w:lineRule="auto"/>
        <w:ind w:firstLine="600" w:firstLineChars="2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履约保证金（现金或保函）为合同总价的</w:t>
      </w:r>
      <w:r>
        <w:rPr>
          <w:rFonts w:asciiTheme="minorEastAsia" w:hAnsiTheme="minorEastAsia" w:eastAsiaTheme="minorEastAsia" w:cstheme="minorEastAsia"/>
          <w:color w:val="auto"/>
          <w:sz w:val="24"/>
          <w:highlight w:val="none"/>
        </w:rPr>
        <w:t>5%，金额：（人民币大写）XXXX元整（￥XXXX元）。乙方必须于合同签订后15日之内向甲方足额缴纳，甲方于项目竣工且验收合格后30个工作日内将全额履约保证金（现金或保函）无息退还给乙方。</w:t>
      </w:r>
    </w:p>
    <w:p>
      <w:pPr>
        <w:spacing w:line="360" w:lineRule="auto"/>
        <w:ind w:firstLine="600" w:firstLineChars="2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履约担保形式：银行履约保函或履约保证金。履约保函要求为见索即付银行保函，保函受益人为采购人，出具银行限中国工商银行、中国农业银行、中国银行、中国建设银行、中国交通银行、招商银行、中信银行、农业发展银行、平安银行之一，所需费用由供应商承担。</w:t>
      </w:r>
    </w:p>
    <w:p>
      <w:pPr>
        <w:spacing w:line="360" w:lineRule="auto"/>
        <w:ind w:firstLine="600" w:firstLineChars="2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履约担保期限：履约保函自开具之日起至验收合格并结算审核完毕后</w:t>
      </w:r>
      <w:r>
        <w:rPr>
          <w:rFonts w:asciiTheme="minorEastAsia" w:hAnsiTheme="minorEastAsia" w:eastAsiaTheme="minorEastAsia" w:cstheme="minorEastAsia"/>
          <w:color w:val="auto"/>
          <w:sz w:val="24"/>
          <w:highlight w:val="none"/>
        </w:rPr>
        <w:t>7天内保持有效；履约保证金或履约保函原件在工程完工验收合格并结算审核完毕7天后，</w:t>
      </w:r>
      <w:r>
        <w:rPr>
          <w:rFonts w:hint="eastAsia" w:asciiTheme="minorEastAsia" w:hAnsiTheme="minorEastAsia" w:eastAsiaTheme="minorEastAsia" w:cstheme="minorEastAsia"/>
          <w:color w:val="auto"/>
          <w:sz w:val="24"/>
          <w:highlight w:val="none"/>
        </w:rPr>
        <w:t>成交人提交书面退还申请、采购人审核确认具备退还条件后无息退还。如成交人提供的保函提前失效，则成交人须在保函失效前完成保函续期。如履约保函到期后成交人未能及时续期以保证保函在合同约定期限内持续有效，采购人将有权暂停支付合同款项直至成交人完成保函续期并满足合同中保函有效期的相关要求为止。</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49" w:name="_Toc124269248"/>
      <w:r>
        <w:rPr>
          <w:rFonts w:hint="eastAsia" w:asciiTheme="minorEastAsia" w:hAnsiTheme="minorEastAsia" w:eastAsiaTheme="minorEastAsia" w:cstheme="minorEastAsia"/>
          <w:color w:val="auto"/>
          <w:sz w:val="24"/>
          <w:szCs w:val="24"/>
          <w:highlight w:val="none"/>
        </w:rPr>
        <w:t>三、铭牌及标准</w:t>
      </w:r>
      <w:bookmarkEnd w:id="49"/>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1.铭牌</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铭牌至少应该有下列内容（包括但不限于此）：设备名称、规格型号、制作厂家、主要技术参数、出厂年份、出厂编号等。</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2．标准：本合同所指的货物或工程及服务应符合相关国家行业标准或制造国国家标准。</w:t>
      </w:r>
    </w:p>
    <w:p>
      <w:pPr>
        <w:pStyle w:val="4"/>
        <w:spacing w:before="0" w:after="0" w:line="360" w:lineRule="auto"/>
        <w:rPr>
          <w:rFonts w:asciiTheme="minorEastAsia" w:hAnsiTheme="minorEastAsia" w:eastAsiaTheme="minorEastAsia" w:cstheme="minorEastAsia"/>
          <w:color w:val="auto"/>
          <w:sz w:val="24"/>
          <w:szCs w:val="24"/>
          <w:highlight w:val="none"/>
        </w:rPr>
      </w:pPr>
      <w:bookmarkStart w:id="50" w:name="_Toc124269249"/>
      <w:r>
        <w:rPr>
          <w:rFonts w:hint="eastAsia" w:asciiTheme="minorEastAsia" w:hAnsiTheme="minorEastAsia" w:eastAsiaTheme="minorEastAsia" w:cstheme="minorEastAsia"/>
          <w:color w:val="auto"/>
          <w:sz w:val="24"/>
          <w:szCs w:val="24"/>
          <w:highlight w:val="none"/>
        </w:rPr>
        <w:t>四、性能考核</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1）设备能力达到要求。</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asciiTheme="minorEastAsia" w:hAnsiTheme="minorEastAsia" w:eastAsiaTheme="minorEastAsia" w:cstheme="minorEastAsia"/>
          <w:color w:val="auto"/>
          <w:sz w:val="24"/>
          <w:highlight w:val="none"/>
        </w:rPr>
        <w:t>2）设备故障率低于1%；</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以上要求在实施过程中若不能达到，则甲方有权要求乙方进行持续改造直至性能达标，改造产生的所有费用均由乙方承担，且每有一项不满足将对乙方进行</w:t>
      </w:r>
      <w:r>
        <w:rPr>
          <w:rFonts w:asciiTheme="minorEastAsia" w:hAnsiTheme="minorEastAsia" w:eastAsiaTheme="minorEastAsia" w:cstheme="minorEastAsia"/>
          <w:color w:val="auto"/>
          <w:sz w:val="24"/>
          <w:highlight w:val="none"/>
        </w:rPr>
        <w:t>1%合同总额的罚款，且若因改造造成甲方损失的，乙方还需进行损失赔偿，赔偿金额优先从质保金中扣除，超出部分则由乙方另行支付。</w:t>
      </w:r>
    </w:p>
    <w:p>
      <w:pPr>
        <w:pStyle w:val="4"/>
        <w:spacing w:before="0" w:after="0" w:line="360" w:lineRule="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五、交货</w:t>
      </w:r>
      <w:bookmarkEnd w:id="50"/>
    </w:p>
    <w:p>
      <w:pPr>
        <w:adjustRightInd w:val="0"/>
        <w:snapToGrid w:val="0"/>
        <w:spacing w:line="360" w:lineRule="auto"/>
        <w:ind w:firstLine="720" w:firstLineChars="3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1．交货地点：</w:t>
      </w:r>
      <w:r>
        <w:rPr>
          <w:rFonts w:hint="eastAsia" w:asciiTheme="minorEastAsia" w:hAnsiTheme="minorEastAsia" w:eastAsiaTheme="minorEastAsia" w:cstheme="minorEastAsia"/>
          <w:color w:val="auto"/>
          <w:kern w:val="0"/>
          <w:sz w:val="24"/>
          <w:highlight w:val="none"/>
          <w:u w:val="single"/>
        </w:rPr>
        <w:t>福建省漳州开发区四区兴港南路南段道路西侧场地中粮糖业（漳州）有限公司</w:t>
      </w:r>
      <w:r>
        <w:rPr>
          <w:rFonts w:hint="eastAsia" w:asciiTheme="minorEastAsia" w:hAnsiTheme="minorEastAsia" w:eastAsiaTheme="minorEastAsia" w:cstheme="minorEastAsia"/>
          <w:color w:val="auto"/>
          <w:sz w:val="24"/>
          <w:highlight w:val="none"/>
        </w:rPr>
        <w:t>。</w:t>
      </w:r>
    </w:p>
    <w:p>
      <w:pPr>
        <w:adjustRightInd w:val="0"/>
        <w:snapToGrid w:val="0"/>
        <w:spacing w:line="360" w:lineRule="auto"/>
        <w:ind w:firstLine="6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2．乙方本合同要求的交货时间将货物运至合同交货地点卸货后（连同货物清单）于甲方一起核验后，由乙方负责卸车及保管。</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3.运输费用已含在合同总价款内由乙方承担。因运输过程造成的货物损坏或丢失，均由乙方负责修复或补齐，且交货期不能影响工期。</w:t>
      </w:r>
    </w:p>
    <w:p>
      <w:pPr>
        <w:pStyle w:val="4"/>
        <w:spacing w:before="0" w:after="0" w:line="360" w:lineRule="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六、组成合同的文件</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组成本合同的文件包括：</w:t>
      </w:r>
    </w:p>
    <w:p>
      <w:pPr>
        <w:adjustRightInd w:val="0"/>
        <w:snapToGrid w:val="0"/>
        <w:spacing w:line="360" w:lineRule="auto"/>
        <w:ind w:firstLine="456" w:firstLineChars="19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1．合同通用条款</w:t>
      </w:r>
    </w:p>
    <w:p>
      <w:pPr>
        <w:adjustRightInd w:val="0"/>
        <w:snapToGrid w:val="0"/>
        <w:spacing w:line="360" w:lineRule="auto"/>
        <w:ind w:firstLine="456" w:firstLineChars="19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2．合同专用条款</w:t>
      </w:r>
    </w:p>
    <w:p>
      <w:pPr>
        <w:adjustRightInd w:val="0"/>
        <w:snapToGrid w:val="0"/>
        <w:spacing w:line="360" w:lineRule="auto"/>
        <w:ind w:firstLine="456" w:firstLineChars="19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3．合同附件一：技术协议书</w:t>
      </w:r>
    </w:p>
    <w:p>
      <w:pPr>
        <w:adjustRightInd w:val="0"/>
        <w:snapToGrid w:val="0"/>
        <w:spacing w:line="360" w:lineRule="auto"/>
        <w:ind w:firstLine="456" w:firstLineChars="19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4．合同附件二：廉洁承诺</w:t>
      </w:r>
    </w:p>
    <w:p>
      <w:pPr>
        <w:adjustRightInd w:val="0"/>
        <w:snapToGrid w:val="0"/>
        <w:spacing w:line="360" w:lineRule="auto"/>
        <w:ind w:firstLine="456" w:firstLineChars="19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 xml:space="preserve">5. </w:t>
      </w:r>
      <w:r>
        <w:rPr>
          <w:rFonts w:hint="eastAsia" w:asciiTheme="minorEastAsia" w:hAnsiTheme="minorEastAsia" w:eastAsiaTheme="minorEastAsia" w:cstheme="minorEastAsia"/>
          <w:color w:val="auto"/>
          <w:sz w:val="24"/>
          <w:highlight w:val="none"/>
        </w:rPr>
        <w:t>合同附件三：环保协议书</w:t>
      </w:r>
    </w:p>
    <w:p>
      <w:pPr>
        <w:tabs>
          <w:tab w:val="center" w:pos="5087"/>
        </w:tabs>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 xml:space="preserve">6. </w:t>
      </w:r>
      <w:r>
        <w:rPr>
          <w:rFonts w:hint="eastAsia" w:asciiTheme="minorEastAsia" w:hAnsiTheme="minorEastAsia" w:eastAsiaTheme="minorEastAsia" w:cstheme="minorEastAsia"/>
          <w:color w:val="auto"/>
          <w:sz w:val="24"/>
          <w:highlight w:val="none"/>
        </w:rPr>
        <w:t>合同附件四：安全管理协议书</w:t>
      </w:r>
    </w:p>
    <w:p>
      <w:pPr>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7.合同附件五：承诺函</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七、乙方向甲方承诺按照合同约定进行供货并在质量保修期内承担质量保修责任。</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八、甲方向乙方承诺按照合同约定的期限和方式支付合同价款及其他应当支付的款项。</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九、解决合同纠纷方式：在合同履行期间出现问题，双方本着相互谅解的态度协商解决。若协商不成，任何一方均可向甲方所在地人民法院提起诉讼，由此产生的律师费、交通费等相关费用由违约方承担。</w:t>
      </w:r>
    </w:p>
    <w:p>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stheme="minorEastAsia"/>
          <w:color w:val="auto"/>
          <w:sz w:val="24"/>
          <w:highlight w:val="none"/>
        </w:rPr>
        <w:t>十、廉洁条款：甲乙双方及其员工不得向对方及其员工实施商业贿赂行为，包括但不限于给予回扣、礼品、馈赠、娱乐、招待等行为；甲乙双方及其员工不得向对方及其员工索要财务；甲方发现乙方或乙方员工向甲方或甲方员工实施前两款行为的，甲方有权单方面解除本合同，同时乙方应向甲方支付合同总金额</w:t>
      </w:r>
      <w:r>
        <w:rPr>
          <w:rFonts w:asciiTheme="minorEastAsia" w:hAnsiTheme="minorEastAsia" w:eastAsiaTheme="minorEastAsia" w:cstheme="minorEastAsia"/>
          <w:color w:val="auto"/>
          <w:sz w:val="24"/>
          <w:highlight w:val="none"/>
        </w:rPr>
        <w:t>10%的违约金；乙方发现甲方或甲方员工向乙方或乙方员工实施前两款行为的，应通过①寄信：通讯地址为北京市朝阳区朝阳门南大街8号中粮福临门大厦9层905房间，中粮糖业纪委办公室收，邮编100020；②致电：电话为010-85017235向甲方予以举报，如乙方不予举报的，甲方发现后有权单方解除本合同。</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十一、本合同壹式玖份（贰正柒副），甲方执壹正伍副，乙方执壹正贰副），自法人或其他组织盖章、自然人签字之日生效。</w:t>
      </w:r>
    </w:p>
    <w:p>
      <w:pPr>
        <w:spacing w:line="360" w:lineRule="auto"/>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br w:type="page"/>
      </w:r>
    </w:p>
    <w:tbl>
      <w:tblPr>
        <w:tblStyle w:val="22"/>
        <w:tblpPr w:leftFromText="180" w:rightFromText="180" w:vertAnchor="text" w:horzAnchor="margin" w:tblpY="1394"/>
        <w:tblW w:w="5000" w:type="pct"/>
        <w:tblInd w:w="0" w:type="dxa"/>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4947"/>
        <w:gridCol w:w="5015"/>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483" w:type="pct"/>
            <w:shd w:val="clear" w:color="auto" w:fill="auto"/>
            <w:vAlign w:val="center"/>
          </w:tcPr>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甲方</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单位名称：</w:t>
            </w:r>
            <w:r>
              <w:rPr>
                <w:rFonts w:hint="eastAsia" w:asciiTheme="minorEastAsia" w:hAnsiTheme="minorEastAsia" w:eastAsiaTheme="minorEastAsia" w:cstheme="minorEastAsia"/>
                <w:color w:val="auto"/>
                <w:sz w:val="24"/>
                <w:highlight w:val="none"/>
                <w:u w:val="single"/>
              </w:rPr>
              <w:t>中粮糖业（漳州）有限公司</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单位地址：</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授权代表：</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电话号码：</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传真号码：</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开户行：</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帐号：</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税号：</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邮编：</w:t>
            </w:r>
          </w:p>
          <w:p>
            <w:pPr>
              <w:adjustRightInd w:val="0"/>
              <w:snapToGrid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签订日期：年月日</w:t>
            </w:r>
          </w:p>
        </w:tc>
        <w:tc>
          <w:tcPr>
            <w:tcW w:w="2517" w:type="pct"/>
            <w:shd w:val="clear" w:color="auto" w:fill="auto"/>
            <w:vAlign w:val="center"/>
          </w:tcPr>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单位名称：</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单位地址：</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授权代表：</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电话号码：</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传真号码：</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开户行：</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帐号：</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税号：</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邮编：</w:t>
            </w:r>
          </w:p>
          <w:p>
            <w:pPr>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签订日期：年月日</w:t>
            </w:r>
          </w:p>
        </w:tc>
      </w:tr>
    </w:tbl>
    <w:p>
      <w:pPr>
        <w:widowControl/>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br w:type="page"/>
      </w:r>
    </w:p>
    <w:p>
      <w:pPr>
        <w:pStyle w:val="3"/>
        <w:spacing w:before="0" w:after="0" w:line="360" w:lineRule="auto"/>
        <w:jc w:val="center"/>
        <w:rPr>
          <w:rFonts w:asciiTheme="minorEastAsia" w:hAnsiTheme="minorEastAsia" w:eastAsiaTheme="minorEastAsia" w:cstheme="minorEastAsia"/>
          <w:color w:val="auto"/>
          <w:sz w:val="24"/>
          <w:szCs w:val="24"/>
          <w:highlight w:val="none"/>
        </w:rPr>
      </w:pPr>
      <w:bookmarkStart w:id="51" w:name="_Toc124269250"/>
      <w:r>
        <w:rPr>
          <w:rFonts w:hint="eastAsia" w:asciiTheme="minorEastAsia" w:hAnsiTheme="minorEastAsia" w:eastAsiaTheme="minorEastAsia" w:cstheme="minorEastAsia"/>
          <w:color w:val="auto"/>
          <w:sz w:val="24"/>
          <w:szCs w:val="24"/>
          <w:highlight w:val="none"/>
        </w:rPr>
        <w:t>合同附件</w:t>
      </w:r>
      <w:bookmarkEnd w:id="51"/>
    </w:p>
    <w:p>
      <w:pPr>
        <w:pStyle w:val="4"/>
        <w:spacing w:before="0" w:after="0" w:line="360" w:lineRule="auto"/>
        <w:rPr>
          <w:rFonts w:asciiTheme="minorEastAsia" w:hAnsiTheme="minorEastAsia" w:eastAsiaTheme="minorEastAsia" w:cstheme="minorEastAsia"/>
          <w:color w:val="auto"/>
          <w:sz w:val="24"/>
          <w:szCs w:val="24"/>
          <w:highlight w:val="none"/>
        </w:rPr>
      </w:pPr>
      <w:bookmarkStart w:id="52" w:name="_Toc124269251"/>
      <w:r>
        <w:rPr>
          <w:rFonts w:hint="eastAsia" w:asciiTheme="minorEastAsia" w:hAnsiTheme="minorEastAsia" w:eastAsiaTheme="minorEastAsia" w:cstheme="minorEastAsia"/>
          <w:color w:val="auto"/>
          <w:sz w:val="24"/>
          <w:szCs w:val="24"/>
          <w:highlight w:val="none"/>
        </w:rPr>
        <w:t>附件</w:t>
      </w:r>
      <w:r>
        <w:rPr>
          <w:rFonts w:asciiTheme="minorEastAsia" w:hAnsiTheme="minorEastAsia" w:eastAsiaTheme="minorEastAsia" w:cstheme="minorEastAsia"/>
          <w:color w:val="auto"/>
          <w:sz w:val="24"/>
          <w:szCs w:val="24"/>
          <w:highlight w:val="none"/>
        </w:rPr>
        <w:t xml:space="preserve">1. </w:t>
      </w:r>
      <w:r>
        <w:rPr>
          <w:rFonts w:hint="eastAsia" w:asciiTheme="minorEastAsia" w:hAnsiTheme="minorEastAsia" w:eastAsiaTheme="minorEastAsia" w:cstheme="minorEastAsia"/>
          <w:color w:val="auto"/>
          <w:sz w:val="24"/>
          <w:szCs w:val="24"/>
          <w:highlight w:val="none"/>
        </w:rPr>
        <w:t>技术协议书</w:t>
      </w:r>
      <w:bookmarkEnd w:id="52"/>
    </w:p>
    <w:p>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技术协议书</w:t>
      </w:r>
    </w:p>
    <w:p>
      <w:pPr>
        <w:tabs>
          <w:tab w:val="left" w:pos="8148"/>
        </w:tabs>
        <w:spacing w:line="360" w:lineRule="auto"/>
        <w:jc w:val="left"/>
        <w:rPr>
          <w:rFonts w:asciiTheme="minorEastAsia" w:hAnsiTheme="minorEastAsia" w:eastAsiaTheme="minorEastAsia" w:cstheme="minorEastAsia"/>
          <w:b/>
          <w:bCs/>
          <w:color w:val="auto"/>
          <w:sz w:val="24"/>
          <w:highlight w:val="none"/>
        </w:rPr>
      </w:pP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甲方：</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u w:val="single"/>
        </w:rPr>
        <w:t>中粮糖业（漳州）有限公司</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经双方充分协商，甲方委托乙方承接</w:t>
      </w:r>
      <w:r>
        <w:rPr>
          <w:rFonts w:asciiTheme="minorEastAsia" w:hAnsiTheme="minorEastAsia" w:eastAsiaTheme="minorEastAsia" w:cstheme="minorEastAsia"/>
          <w:color w:val="auto"/>
          <w:sz w:val="24"/>
          <w:highlight w:val="none"/>
          <w:u w:val="single"/>
        </w:rPr>
        <w:t>XXXXX</w:t>
      </w:r>
      <w:r>
        <w:rPr>
          <w:rFonts w:hint="eastAsia" w:asciiTheme="minorEastAsia" w:hAnsiTheme="minorEastAsia" w:eastAsiaTheme="minorEastAsia" w:cstheme="minorEastAsia"/>
          <w:color w:val="auto"/>
          <w:sz w:val="24"/>
          <w:highlight w:val="none"/>
        </w:rPr>
        <w:t>项目</w:t>
      </w:r>
      <w:r>
        <w:rPr>
          <w:rFonts w:asciiTheme="minorEastAsia" w:hAnsiTheme="minorEastAsia" w:eastAsiaTheme="minorEastAsia" w:cstheme="minorEastAsia"/>
          <w:color w:val="auto"/>
          <w:sz w:val="24"/>
          <w:highlight w:val="none"/>
          <w:u w:val="single"/>
        </w:rPr>
        <w:t>XXXXX</w:t>
      </w:r>
      <w:r>
        <w:rPr>
          <w:rFonts w:hint="eastAsia" w:asciiTheme="minorEastAsia" w:hAnsiTheme="minorEastAsia" w:eastAsiaTheme="minorEastAsia" w:cstheme="minorEastAsia"/>
          <w:color w:val="auto"/>
          <w:sz w:val="24"/>
          <w:highlight w:val="none"/>
        </w:rPr>
        <w:t>设备的供货及制作、安装、调试、使用及维修维护培训。为了更好地执行合同的相关条款，特制订本技术要求，以资双方共同遵照。</w:t>
      </w:r>
    </w:p>
    <w:p>
      <w:pPr>
        <w:spacing w:line="360" w:lineRule="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第一条</w:t>
      </w:r>
      <w:r>
        <w:rPr>
          <w:rFonts w:asciiTheme="minorEastAsia" w:hAnsiTheme="minorEastAsia" w:eastAsiaTheme="minorEastAsia" w:cstheme="minorEastAsia"/>
          <w:b/>
          <w:color w:val="auto"/>
          <w:sz w:val="24"/>
          <w:highlight w:val="none"/>
        </w:rPr>
        <w:t xml:space="preserve"> </w:t>
      </w:r>
      <w:r>
        <w:rPr>
          <w:rFonts w:hint="eastAsia" w:asciiTheme="minorEastAsia" w:hAnsiTheme="minorEastAsia" w:eastAsiaTheme="minorEastAsia" w:cstheme="minorEastAsia"/>
          <w:b/>
          <w:color w:val="auto"/>
          <w:sz w:val="24"/>
          <w:highlight w:val="none"/>
        </w:rPr>
        <w:t>主体设备技术参数</w:t>
      </w:r>
    </w:p>
    <w:p>
      <w:pPr>
        <w:spacing w:line="360" w:lineRule="auto"/>
        <w:rPr>
          <w:rFonts w:asciiTheme="minorEastAsia" w:hAnsiTheme="minorEastAsia" w:eastAsiaTheme="minorEastAsia" w:cstheme="minorEastAsia"/>
          <w:b/>
          <w:color w:val="auto"/>
          <w:sz w:val="24"/>
          <w:highlight w:val="none"/>
        </w:rPr>
      </w:pPr>
    </w:p>
    <w:p>
      <w:pPr>
        <w:spacing w:line="360" w:lineRule="auto"/>
        <w:rPr>
          <w:rFonts w:asciiTheme="minorEastAsia" w:hAnsiTheme="minorEastAsia" w:eastAsiaTheme="minorEastAsia" w:cstheme="minorEastAsia"/>
          <w:b/>
          <w:color w:val="auto"/>
          <w:sz w:val="24"/>
          <w:highlight w:val="none"/>
        </w:rPr>
      </w:pPr>
    </w:p>
    <w:p>
      <w:pPr>
        <w:spacing w:line="360" w:lineRule="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第二条</w:t>
      </w:r>
      <w:r>
        <w:rPr>
          <w:rFonts w:asciiTheme="minorEastAsia" w:hAnsiTheme="minorEastAsia" w:eastAsiaTheme="minorEastAsia" w:cstheme="minorEastAsia"/>
          <w:b/>
          <w:color w:val="auto"/>
          <w:sz w:val="24"/>
          <w:highlight w:val="none"/>
        </w:rPr>
        <w:t xml:space="preserve"> </w:t>
      </w:r>
      <w:r>
        <w:rPr>
          <w:rFonts w:hint="eastAsia" w:asciiTheme="minorEastAsia" w:hAnsiTheme="minorEastAsia" w:eastAsiaTheme="minorEastAsia" w:cstheme="minorEastAsia"/>
          <w:b/>
          <w:color w:val="auto"/>
          <w:sz w:val="24"/>
          <w:highlight w:val="none"/>
        </w:rPr>
        <w:t>项目内容设备材料供货、安装范围</w:t>
      </w:r>
    </w:p>
    <w:tbl>
      <w:tblPr>
        <w:tblStyle w:val="22"/>
        <w:tblW w:w="5000" w:type="pct"/>
        <w:tblInd w:w="0" w:type="dxa"/>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528"/>
        <w:gridCol w:w="1504"/>
        <w:gridCol w:w="3606"/>
        <w:gridCol w:w="576"/>
        <w:gridCol w:w="1074"/>
        <w:gridCol w:w="2674"/>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65" w:type="pct"/>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序号</w:t>
            </w:r>
          </w:p>
        </w:tc>
        <w:tc>
          <w:tcPr>
            <w:tcW w:w="755" w:type="pct"/>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项目及材料名称</w:t>
            </w:r>
          </w:p>
        </w:tc>
        <w:tc>
          <w:tcPr>
            <w:tcW w:w="1810" w:type="pct"/>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规格型号</w:t>
            </w:r>
          </w:p>
        </w:tc>
        <w:tc>
          <w:tcPr>
            <w:tcW w:w="289" w:type="pct"/>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单位</w:t>
            </w:r>
          </w:p>
        </w:tc>
        <w:tc>
          <w:tcPr>
            <w:tcW w:w="539" w:type="pct"/>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数量</w:t>
            </w:r>
          </w:p>
        </w:tc>
        <w:tc>
          <w:tcPr>
            <w:tcW w:w="1342" w:type="pct"/>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备注</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6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asciiTheme="minorEastAsia" w:hAnsiTheme="minorEastAsia" w:eastAsiaTheme="minorEastAsia" w:cstheme="minorEastAsia"/>
                <w:color w:val="auto"/>
                <w:kern w:val="0"/>
                <w:sz w:val="24"/>
                <w:highlight w:val="none"/>
              </w:rPr>
              <w:t>1</w:t>
            </w:r>
          </w:p>
        </w:tc>
        <w:tc>
          <w:tcPr>
            <w:tcW w:w="75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810"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28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53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342"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6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asciiTheme="minorEastAsia" w:hAnsiTheme="minorEastAsia" w:eastAsiaTheme="minorEastAsia" w:cstheme="minorEastAsia"/>
                <w:color w:val="auto"/>
                <w:kern w:val="0"/>
                <w:sz w:val="24"/>
                <w:highlight w:val="none"/>
              </w:rPr>
              <w:t>2</w:t>
            </w:r>
          </w:p>
        </w:tc>
        <w:tc>
          <w:tcPr>
            <w:tcW w:w="75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810"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28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53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342"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6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asciiTheme="minorEastAsia" w:hAnsiTheme="minorEastAsia" w:eastAsiaTheme="minorEastAsia" w:cstheme="minorEastAsia"/>
                <w:color w:val="auto"/>
                <w:kern w:val="0"/>
                <w:sz w:val="24"/>
                <w:highlight w:val="none"/>
              </w:rPr>
              <w:t>3</w:t>
            </w:r>
          </w:p>
        </w:tc>
        <w:tc>
          <w:tcPr>
            <w:tcW w:w="75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810"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28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53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342"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6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asciiTheme="minorEastAsia" w:hAnsiTheme="minorEastAsia" w:eastAsiaTheme="minorEastAsia" w:cstheme="minorEastAsia"/>
                <w:color w:val="auto"/>
                <w:kern w:val="0"/>
                <w:sz w:val="24"/>
                <w:highlight w:val="none"/>
              </w:rPr>
              <w:t>4</w:t>
            </w:r>
          </w:p>
        </w:tc>
        <w:tc>
          <w:tcPr>
            <w:tcW w:w="75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810"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28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53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342"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6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asciiTheme="minorEastAsia" w:hAnsiTheme="minorEastAsia" w:eastAsiaTheme="minorEastAsia" w:cstheme="minorEastAsia"/>
                <w:color w:val="auto"/>
                <w:kern w:val="0"/>
                <w:sz w:val="24"/>
                <w:highlight w:val="none"/>
              </w:rPr>
              <w:t>5</w:t>
            </w:r>
          </w:p>
        </w:tc>
        <w:tc>
          <w:tcPr>
            <w:tcW w:w="75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810"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28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53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342"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6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asciiTheme="minorEastAsia" w:hAnsiTheme="minorEastAsia" w:eastAsiaTheme="minorEastAsia" w:cstheme="minorEastAsia"/>
                <w:color w:val="auto"/>
                <w:kern w:val="0"/>
                <w:sz w:val="24"/>
                <w:highlight w:val="none"/>
              </w:rPr>
              <w:t>6</w:t>
            </w:r>
          </w:p>
        </w:tc>
        <w:tc>
          <w:tcPr>
            <w:tcW w:w="75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810"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28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53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342"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26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r>
              <w:rPr>
                <w:rFonts w:asciiTheme="minorEastAsia" w:hAnsiTheme="minorEastAsia" w:eastAsiaTheme="minorEastAsia" w:cstheme="minorEastAsia"/>
                <w:color w:val="auto"/>
                <w:kern w:val="0"/>
                <w:sz w:val="24"/>
                <w:highlight w:val="none"/>
              </w:rPr>
              <w:t>7</w:t>
            </w:r>
          </w:p>
        </w:tc>
        <w:tc>
          <w:tcPr>
            <w:tcW w:w="755"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810"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28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539"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c>
          <w:tcPr>
            <w:tcW w:w="1342" w:type="pct"/>
            <w:shd w:val="clear" w:color="000000" w:fill="FFFFFF"/>
            <w:vAlign w:val="center"/>
          </w:tcPr>
          <w:p>
            <w:pPr>
              <w:widowControl/>
              <w:spacing w:line="360" w:lineRule="auto"/>
              <w:jc w:val="center"/>
              <w:rPr>
                <w:rFonts w:asciiTheme="minorEastAsia" w:hAnsiTheme="minorEastAsia" w:eastAsiaTheme="minorEastAsia" w:cstheme="minorEastAsia"/>
                <w:color w:val="auto"/>
                <w:kern w:val="0"/>
                <w:sz w:val="24"/>
                <w:highlight w:val="none"/>
              </w:rPr>
            </w:pPr>
          </w:p>
        </w:tc>
      </w:tr>
    </w:tbl>
    <w:p>
      <w:pPr>
        <w:spacing w:line="360" w:lineRule="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第三条</w:t>
      </w:r>
      <w:r>
        <w:rPr>
          <w:rFonts w:asciiTheme="minorEastAsia" w:hAnsiTheme="minorEastAsia" w:eastAsiaTheme="minorEastAsia" w:cstheme="minorEastAsia"/>
          <w:b/>
          <w:color w:val="auto"/>
          <w:sz w:val="24"/>
          <w:highlight w:val="none"/>
        </w:rPr>
        <w:t xml:space="preserve"> </w:t>
      </w:r>
      <w:r>
        <w:rPr>
          <w:rFonts w:hint="eastAsia" w:asciiTheme="minorEastAsia" w:hAnsiTheme="minorEastAsia" w:eastAsiaTheme="minorEastAsia" w:cstheme="minorEastAsia"/>
          <w:b/>
          <w:color w:val="auto"/>
          <w:sz w:val="24"/>
          <w:highlight w:val="none"/>
        </w:rPr>
        <w:t>其他要求</w:t>
      </w:r>
    </w:p>
    <w:p>
      <w:pPr>
        <w:spacing w:line="360" w:lineRule="auto"/>
        <w:ind w:firstLine="482" w:firstLineChars="200"/>
        <w:rPr>
          <w:rFonts w:asciiTheme="minorEastAsia" w:hAnsiTheme="minorEastAsia" w:eastAsiaTheme="minorEastAsia" w:cstheme="minorEastAsia"/>
          <w:b/>
          <w:color w:val="auto"/>
          <w:sz w:val="24"/>
          <w:highlight w:val="none"/>
        </w:rPr>
      </w:pPr>
      <w:r>
        <w:rPr>
          <w:rFonts w:asciiTheme="minorEastAsia" w:hAnsiTheme="minorEastAsia" w:eastAsiaTheme="minorEastAsia" w:cstheme="minorEastAsia"/>
          <w:b/>
          <w:color w:val="auto"/>
          <w:sz w:val="24"/>
          <w:highlight w:val="none"/>
        </w:rPr>
        <w:t>1.</w:t>
      </w:r>
    </w:p>
    <w:p>
      <w:pPr>
        <w:spacing w:line="360" w:lineRule="auto"/>
        <w:ind w:firstLine="482" w:firstLineChars="200"/>
        <w:rPr>
          <w:rFonts w:asciiTheme="minorEastAsia" w:hAnsiTheme="minorEastAsia" w:eastAsiaTheme="minorEastAsia" w:cstheme="minorEastAsia"/>
          <w:b/>
          <w:color w:val="auto"/>
          <w:sz w:val="24"/>
          <w:highlight w:val="none"/>
        </w:rPr>
      </w:pPr>
      <w:r>
        <w:rPr>
          <w:rFonts w:asciiTheme="minorEastAsia" w:hAnsiTheme="minorEastAsia" w:eastAsiaTheme="minorEastAsia" w:cstheme="minorEastAsia"/>
          <w:b/>
          <w:color w:val="auto"/>
          <w:sz w:val="24"/>
          <w:highlight w:val="none"/>
        </w:rPr>
        <w:t>2.</w:t>
      </w:r>
    </w:p>
    <w:p>
      <w:pPr>
        <w:spacing w:line="360" w:lineRule="auto"/>
        <w:ind w:firstLine="482" w:firstLineChars="200"/>
        <w:rPr>
          <w:rFonts w:asciiTheme="minorEastAsia" w:hAnsiTheme="minorEastAsia" w:eastAsiaTheme="minorEastAsia" w:cstheme="minorEastAsia"/>
          <w:b/>
          <w:color w:val="auto"/>
          <w:sz w:val="24"/>
          <w:highlight w:val="none"/>
        </w:rPr>
      </w:pPr>
      <w:r>
        <w:rPr>
          <w:rFonts w:asciiTheme="minorEastAsia" w:hAnsiTheme="minorEastAsia" w:eastAsiaTheme="minorEastAsia" w:cstheme="minorEastAsia"/>
          <w:b/>
          <w:color w:val="auto"/>
          <w:sz w:val="24"/>
          <w:highlight w:val="none"/>
        </w:rPr>
        <w:t>3.</w:t>
      </w:r>
    </w:p>
    <w:p>
      <w:pPr>
        <w:spacing w:line="360" w:lineRule="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第四条</w:t>
      </w:r>
      <w:r>
        <w:rPr>
          <w:rFonts w:asciiTheme="minorEastAsia" w:hAnsiTheme="minorEastAsia" w:eastAsiaTheme="minorEastAsia" w:cstheme="minorEastAsia"/>
          <w:b/>
          <w:color w:val="auto"/>
          <w:sz w:val="24"/>
          <w:highlight w:val="none"/>
        </w:rPr>
        <w:t xml:space="preserve"> </w:t>
      </w:r>
      <w:r>
        <w:rPr>
          <w:rFonts w:hint="eastAsia" w:asciiTheme="minorEastAsia" w:hAnsiTheme="minorEastAsia" w:eastAsiaTheme="minorEastAsia" w:cstheme="minorEastAsia"/>
          <w:b/>
          <w:color w:val="auto"/>
          <w:sz w:val="24"/>
          <w:highlight w:val="none"/>
        </w:rPr>
        <w:t>设备验收</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4.1设备验收方法</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4.2发货前：乙方应对设备的质量、规格、性能、数量和重量等进行详细而全面的检验，</w:t>
      </w:r>
      <w:r>
        <w:rPr>
          <w:rFonts w:hint="eastAsia" w:asciiTheme="minorEastAsia" w:hAnsiTheme="minorEastAsia" w:eastAsiaTheme="minorEastAsia" w:cstheme="minorEastAsia"/>
          <w:color w:val="auto"/>
          <w:sz w:val="24"/>
          <w:highlight w:val="none"/>
        </w:rPr>
        <w:t>出具一份证明设备符合规定的证书，该证书将作为申请付款凭据的一部分，但有关质量、规格性能、数量或重量的检验不应视为最终检验。</w:t>
      </w:r>
    </w:p>
    <w:p>
      <w:pPr>
        <w:spacing w:line="360" w:lineRule="auto"/>
        <w:ind w:firstLine="42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4.3到货后验收：设备运抵现场后，甲方将对设备的质量、规格、数量和重量进行检验，并按技术要求进行验收。</w:t>
      </w:r>
    </w:p>
    <w:p>
      <w:pPr>
        <w:spacing w:line="360" w:lineRule="auto"/>
        <w:ind w:firstLine="42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4.4设备竣工验收：管道、设备经乙方安装、设备空载试运行正常即为设备竣工验收合格。</w:t>
      </w:r>
    </w:p>
    <w:p>
      <w:pPr>
        <w:spacing w:line="360" w:lineRule="auto"/>
        <w:ind w:firstLine="42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4.5性能验收：管道、设备正常运行达到本合同技术协议部分所设计的工艺、质量、机械性能及其他使用要求。</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第五条</w:t>
      </w:r>
      <w:r>
        <w:rPr>
          <w:rFonts w:asciiTheme="minorEastAsia" w:hAnsiTheme="minorEastAsia" w:eastAsiaTheme="minorEastAsia" w:cstheme="minorEastAsia"/>
          <w:b/>
          <w:color w:val="auto"/>
          <w:sz w:val="24"/>
          <w:highlight w:val="none"/>
        </w:rPr>
        <w:t xml:space="preserve"> </w:t>
      </w:r>
      <w:r>
        <w:rPr>
          <w:rFonts w:hint="eastAsia" w:asciiTheme="minorEastAsia" w:hAnsiTheme="minorEastAsia" w:eastAsiaTheme="minorEastAsia" w:cstheme="minorEastAsia"/>
          <w:b/>
          <w:color w:val="auto"/>
          <w:sz w:val="24"/>
          <w:highlight w:val="none"/>
        </w:rPr>
        <w:t>乙方的技术服务</w:t>
      </w:r>
    </w:p>
    <w:p>
      <w:pPr>
        <w:tabs>
          <w:tab w:val="left" w:pos="0"/>
        </w:tabs>
        <w:adjustRightInd w:val="0"/>
        <w:snapToGrid w:val="0"/>
        <w:spacing w:line="360" w:lineRule="auto"/>
        <w:ind w:firstLine="420" w:firstLineChars="175"/>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5.1乙方在合同生效后15天内向甲方提供土建设计需要的技术数据。</w:t>
      </w:r>
    </w:p>
    <w:p>
      <w:pPr>
        <w:tabs>
          <w:tab w:val="left" w:pos="0"/>
        </w:tabs>
        <w:adjustRightInd w:val="0"/>
        <w:snapToGrid w:val="0"/>
        <w:spacing w:line="360" w:lineRule="auto"/>
        <w:ind w:firstLine="420" w:firstLineChars="175"/>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5.2乙方向甲方提供如下的技术资料。设备出厂时，必须随机交付技术资料，其内容包括：</w:t>
      </w:r>
    </w:p>
    <w:p>
      <w:pPr>
        <w:tabs>
          <w:tab w:val="left" w:pos="0"/>
        </w:tabs>
        <w:adjustRightInd w:val="0"/>
        <w:snapToGrid w:val="0"/>
        <w:spacing w:line="360" w:lineRule="auto"/>
        <w:ind w:firstLine="420" w:firstLineChars="175"/>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bCs/>
          <w:color w:val="auto"/>
          <w:sz w:val="24"/>
          <w:highlight w:val="none"/>
        </w:rPr>
        <w:t xml:space="preserve">5.2.1 </w:t>
      </w:r>
      <w:r>
        <w:rPr>
          <w:rFonts w:hint="eastAsia" w:asciiTheme="minorEastAsia" w:hAnsiTheme="minorEastAsia" w:eastAsiaTheme="minorEastAsia" w:cstheme="minorEastAsia"/>
          <w:color w:val="auto"/>
          <w:sz w:val="24"/>
          <w:highlight w:val="none"/>
        </w:rPr>
        <w:t>设备供货清单及设备装箱清单（一份）。</w:t>
      </w:r>
    </w:p>
    <w:p>
      <w:pPr>
        <w:tabs>
          <w:tab w:val="left" w:pos="0"/>
          <w:tab w:val="left" w:pos="525"/>
        </w:tabs>
        <w:adjustRightInd w:val="0"/>
        <w:snapToGrid w:val="0"/>
        <w:spacing w:line="360" w:lineRule="auto"/>
        <w:ind w:firstLine="420" w:firstLineChars="175"/>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bCs/>
          <w:color w:val="auto"/>
          <w:sz w:val="24"/>
          <w:highlight w:val="none"/>
        </w:rPr>
        <w:t xml:space="preserve">5.2.2 </w:t>
      </w:r>
      <w:r>
        <w:rPr>
          <w:rFonts w:hint="eastAsia" w:asciiTheme="minorEastAsia" w:hAnsiTheme="minorEastAsia" w:eastAsiaTheme="minorEastAsia" w:cstheme="minorEastAsia"/>
          <w:color w:val="auto"/>
          <w:sz w:val="24"/>
          <w:highlight w:val="none"/>
        </w:rPr>
        <w:t>设备的安装、运行、维护、使用、操作说明书（二份）。</w:t>
      </w:r>
    </w:p>
    <w:p>
      <w:pPr>
        <w:tabs>
          <w:tab w:val="left" w:pos="0"/>
          <w:tab w:val="left" w:pos="525"/>
        </w:tabs>
        <w:adjustRightInd w:val="0"/>
        <w:snapToGrid w:val="0"/>
        <w:spacing w:line="360" w:lineRule="auto"/>
        <w:ind w:firstLine="420" w:firstLineChars="175"/>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 xml:space="preserve">5.2.3 </w:t>
      </w:r>
      <w:r>
        <w:rPr>
          <w:rFonts w:hint="eastAsia" w:asciiTheme="minorEastAsia" w:hAnsiTheme="minorEastAsia" w:eastAsiaTheme="minorEastAsia" w:cstheme="minorEastAsia"/>
          <w:color w:val="auto"/>
          <w:sz w:val="24"/>
          <w:highlight w:val="none"/>
        </w:rPr>
        <w:t>设备总图（含详细明细表）及易损件所在部位的部件图（二份）。</w:t>
      </w:r>
    </w:p>
    <w:p>
      <w:pPr>
        <w:tabs>
          <w:tab w:val="left" w:pos="0"/>
          <w:tab w:val="left" w:pos="525"/>
        </w:tabs>
        <w:adjustRightInd w:val="0"/>
        <w:snapToGrid w:val="0"/>
        <w:spacing w:line="360" w:lineRule="auto"/>
        <w:ind w:firstLine="420" w:firstLineChars="175"/>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 xml:space="preserve">5.2.4 </w:t>
      </w:r>
      <w:r>
        <w:rPr>
          <w:rFonts w:hint="eastAsia" w:asciiTheme="minorEastAsia" w:hAnsiTheme="minorEastAsia" w:eastAsiaTheme="minorEastAsia" w:cstheme="minorEastAsia"/>
          <w:color w:val="auto"/>
          <w:sz w:val="24"/>
          <w:highlight w:val="none"/>
        </w:rPr>
        <w:t>设备易损件清单及图纸（二份）。</w:t>
      </w:r>
    </w:p>
    <w:p>
      <w:pPr>
        <w:tabs>
          <w:tab w:val="left" w:pos="0"/>
          <w:tab w:val="left" w:pos="525"/>
        </w:tabs>
        <w:adjustRightInd w:val="0"/>
        <w:snapToGrid w:val="0"/>
        <w:spacing w:line="360" w:lineRule="auto"/>
        <w:ind w:firstLine="420" w:firstLineChars="175"/>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 xml:space="preserve">5.2.5 </w:t>
      </w:r>
      <w:r>
        <w:rPr>
          <w:rFonts w:hint="eastAsia" w:asciiTheme="minorEastAsia" w:hAnsiTheme="minorEastAsia" w:eastAsiaTheme="minorEastAsia" w:cstheme="minorEastAsia"/>
          <w:color w:val="auto"/>
          <w:sz w:val="24"/>
          <w:highlight w:val="none"/>
        </w:rPr>
        <w:t>需要提供的其他资料（一份）</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第六条</w:t>
      </w:r>
      <w:r>
        <w:rPr>
          <w:rFonts w:asciiTheme="minorEastAsia" w:hAnsiTheme="minorEastAsia" w:eastAsiaTheme="minorEastAsia" w:cstheme="minorEastAsia"/>
          <w:b/>
          <w:color w:val="auto"/>
          <w:sz w:val="24"/>
          <w:highlight w:val="none"/>
        </w:rPr>
        <w:t xml:space="preserve"> </w:t>
      </w:r>
      <w:r>
        <w:rPr>
          <w:rFonts w:hint="eastAsia" w:asciiTheme="minorEastAsia" w:hAnsiTheme="minorEastAsia" w:eastAsiaTheme="minorEastAsia" w:cstheme="minorEastAsia"/>
          <w:b/>
          <w:color w:val="auto"/>
          <w:sz w:val="24"/>
          <w:highlight w:val="none"/>
        </w:rPr>
        <w:t>乙方的免费技术服务</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6.1甲方对乙方提供的设备有疑问的，乙方负责24小时内给予答复及派人处理。</w:t>
      </w:r>
    </w:p>
    <w:p>
      <w:pPr>
        <w:spacing w:line="360" w:lineRule="auto"/>
        <w:ind w:firstLine="480" w:firstLineChars="20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6.2质保期内属制造方面的问题，乙方负责免费维修。</w:t>
      </w:r>
    </w:p>
    <w:p>
      <w:pPr>
        <w:spacing w:line="360" w:lineRule="auto"/>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第七条</w:t>
      </w:r>
      <w:r>
        <w:rPr>
          <w:rFonts w:asciiTheme="minorEastAsia" w:hAnsiTheme="minorEastAsia" w:eastAsiaTheme="minorEastAsia" w:cstheme="minorEastAsia"/>
          <w:b/>
          <w:color w:val="auto"/>
          <w:sz w:val="24"/>
          <w:highlight w:val="none"/>
        </w:rPr>
        <w:t xml:space="preserve"> </w:t>
      </w:r>
      <w:r>
        <w:rPr>
          <w:rFonts w:hint="eastAsia" w:asciiTheme="minorEastAsia" w:hAnsiTheme="minorEastAsia" w:eastAsiaTheme="minorEastAsia" w:cstheme="minorEastAsia"/>
          <w:b/>
          <w:color w:val="auto"/>
          <w:sz w:val="24"/>
          <w:highlight w:val="none"/>
        </w:rPr>
        <w:t>本协议作为《</w:t>
      </w:r>
      <w:r>
        <w:rPr>
          <w:rFonts w:asciiTheme="minorEastAsia" w:hAnsiTheme="minorEastAsia" w:eastAsiaTheme="minorEastAsia" w:cstheme="minorEastAsia"/>
          <w:b/>
          <w:color w:val="auto"/>
          <w:sz w:val="24"/>
          <w:highlight w:val="none"/>
        </w:rPr>
        <w:t>XXXX项目合同》的附件，与购销合同具有同等的法律效力。本协议壹式玖份（贰正柒副），甲方执壹正伍副，乙方执壹正贰副）；本协议自双方签字、盖章之日起生效。</w:t>
      </w:r>
    </w:p>
    <w:p>
      <w:pPr>
        <w:spacing w:line="360" w:lineRule="auto"/>
        <w:rPr>
          <w:rFonts w:asciiTheme="minorEastAsia" w:hAnsiTheme="minorEastAsia" w:eastAsiaTheme="minorEastAsia" w:cstheme="minorEastAsia"/>
          <w:color w:val="auto"/>
          <w:sz w:val="24"/>
          <w:highlight w:val="none"/>
        </w:rPr>
      </w:pP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甲方：</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乙方：</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法定代表人：</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委托代理人：</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签订时间：年月日</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签订时间：年月日</w:t>
      </w:r>
    </w:p>
    <w:p>
      <w:pPr>
        <w:widowControl/>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br w:type="page"/>
      </w:r>
    </w:p>
    <w:p>
      <w:pPr>
        <w:pStyle w:val="4"/>
        <w:rPr>
          <w:rFonts w:asciiTheme="minorEastAsia" w:hAnsiTheme="minorEastAsia" w:eastAsiaTheme="minorEastAsia" w:cstheme="minorEastAsia"/>
          <w:color w:val="auto"/>
          <w:sz w:val="24"/>
          <w:szCs w:val="24"/>
          <w:highlight w:val="none"/>
        </w:rPr>
      </w:pPr>
      <w:bookmarkStart w:id="53" w:name="_Toc124269252"/>
      <w:r>
        <w:rPr>
          <w:rFonts w:hint="eastAsia" w:asciiTheme="minorEastAsia" w:hAnsiTheme="minorEastAsia" w:eastAsiaTheme="minorEastAsia" w:cstheme="minorEastAsia"/>
          <w:color w:val="auto"/>
          <w:sz w:val="24"/>
          <w:szCs w:val="24"/>
          <w:highlight w:val="none"/>
        </w:rPr>
        <w:t>附件</w:t>
      </w:r>
      <w:r>
        <w:rPr>
          <w:rFonts w:asciiTheme="minorEastAsia" w:hAnsiTheme="minorEastAsia" w:eastAsiaTheme="minorEastAsia" w:cstheme="minorEastAsia"/>
          <w:color w:val="auto"/>
          <w:sz w:val="24"/>
          <w:szCs w:val="24"/>
          <w:highlight w:val="none"/>
        </w:rPr>
        <w:t xml:space="preserve">2. </w:t>
      </w:r>
      <w:r>
        <w:rPr>
          <w:rFonts w:hint="eastAsia" w:asciiTheme="minorEastAsia" w:hAnsiTheme="minorEastAsia" w:eastAsiaTheme="minorEastAsia" w:cstheme="minorEastAsia"/>
          <w:color w:val="auto"/>
          <w:sz w:val="24"/>
          <w:szCs w:val="24"/>
          <w:highlight w:val="none"/>
        </w:rPr>
        <w:t>廉洁承诺</w:t>
      </w:r>
      <w:bookmarkEnd w:id="53"/>
    </w:p>
    <w:p>
      <w:pPr>
        <w:spacing w:line="440" w:lineRule="exact"/>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廉洁承诺</w:t>
      </w:r>
    </w:p>
    <w:p>
      <w:pPr>
        <w:spacing w:line="44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highlight w:val="none"/>
          <w:u w:val="single"/>
        </w:rPr>
        <w:t>中粮糖业（漳州）有限公司</w:t>
      </w:r>
      <w:r>
        <w:rPr>
          <w:rFonts w:hint="eastAsia" w:asciiTheme="minorEastAsia" w:hAnsiTheme="minorEastAsia" w:eastAsiaTheme="minorEastAsia" w:cstheme="minorEastAsia"/>
          <w:bCs/>
          <w:color w:val="auto"/>
          <w:sz w:val="24"/>
          <w:highlight w:val="none"/>
          <w:u w:val="single"/>
        </w:rPr>
        <w:t>中粮糖业（漳州）有限公司</w:t>
      </w:r>
      <w:r>
        <w:rPr>
          <w:rFonts w:asciiTheme="minorEastAsia" w:hAnsiTheme="minorEastAsia" w:eastAsiaTheme="minorEastAsia" w:cstheme="minorEastAsia"/>
          <w:bCs/>
          <w:color w:val="auto"/>
          <w:sz w:val="24"/>
          <w:highlight w:val="none"/>
          <w:u w:val="single"/>
        </w:rPr>
        <w:t>35万吨/年精炼糖及15万吨/年糖类食品原材料加工项目</w:t>
      </w:r>
      <w:r>
        <w:rPr>
          <w:rFonts w:hint="eastAsia" w:asciiTheme="minorEastAsia" w:hAnsiTheme="minorEastAsia" w:eastAsiaTheme="minorEastAsia" w:cstheme="minorEastAsia"/>
          <w:bCs/>
          <w:color w:val="auto"/>
          <w:sz w:val="24"/>
          <w:highlight w:val="none"/>
          <w:u w:val="single"/>
          <w:lang w:eastAsia="zh-CN"/>
        </w:rPr>
        <w:t>大门及其门禁管理系统</w:t>
      </w:r>
      <w:r>
        <w:rPr>
          <w:rFonts w:asciiTheme="minorEastAsia" w:hAnsiTheme="minorEastAsia" w:eastAsiaTheme="minorEastAsia" w:cstheme="minorEastAsia"/>
          <w:bCs/>
          <w:color w:val="auto"/>
          <w:sz w:val="24"/>
          <w:highlight w:val="none"/>
          <w:u w:val="single"/>
        </w:rPr>
        <w:t>采购</w:t>
      </w:r>
      <w:r>
        <w:rPr>
          <w:rFonts w:hint="eastAsia" w:asciiTheme="minorEastAsia" w:hAnsiTheme="minorEastAsia" w:eastAsiaTheme="minorEastAsia" w:cstheme="minorEastAsia"/>
          <w:color w:val="auto"/>
          <w:sz w:val="24"/>
          <w:highlight w:val="none"/>
        </w:rPr>
        <w:t>。</w:t>
      </w:r>
    </w:p>
    <w:p>
      <w:pPr>
        <w:spacing w:before="240" w:line="44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中粮糖业（漳州）有限公司</w:t>
      </w:r>
      <w:r>
        <w:rPr>
          <w:rFonts w:hint="eastAsia" w:asciiTheme="minorEastAsia" w:hAnsiTheme="minorEastAsia" w:eastAsiaTheme="minorEastAsia" w:cstheme="minorEastAsia"/>
          <w:color w:val="auto"/>
          <w:sz w:val="24"/>
          <w:highlight w:val="none"/>
        </w:rPr>
        <w:t>：</w:t>
      </w:r>
    </w:p>
    <w:p>
      <w:pPr>
        <w:spacing w:before="240" w:line="440" w:lineRule="exact"/>
        <w:ind w:firstLine="48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为积极配合贵公司进行的项目采购与招投标工作，有效遏制不公平竞争和违规违纪问题的发生，确保采购与招投标工作的公平、公正、公开，我们特向贵公司承诺如下事项：</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1、自觉遵守国家法律法规及中粮糖业有关廉政建设制度。</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2、不使用不正当手段妨碍、排挤其它供应商或串通投标。</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3、按照采购文件规定的方式进行投标，不隐瞒本单位投标资质的真实情况，投标资质符合规定；保证不会以其他人名义投标或者以其他方式弄虚作假，骗取中标。</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4、不将主体、关键性工作进行分包（</w:t>
      </w:r>
      <w:r>
        <w:rPr>
          <w:rFonts w:hint="eastAsia" w:asciiTheme="minorEastAsia" w:hAnsiTheme="minorEastAsia" w:eastAsiaTheme="minorEastAsia" w:cstheme="minorEastAsia"/>
          <w:color w:val="auto"/>
          <w:sz w:val="24"/>
          <w:highlight w:val="none"/>
        </w:rPr>
        <w:t>包括贴牌生产、转包等）。</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不以任何方式向采购人员或者评标成员赠送礼品、礼金及有价证券；不宴请或邀请招标人的任何人参加高档娱乐消费、旅游等活动；不以任何形式报销招标人的任何人以及亲友的各种票据及费用；不进行可能影响招标公平、公正的任何活动。</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6、不向贵公司涉及采购与招投标的部门及个人支付好处费、介绍费；购置或提供通讯工具、交通工具、电脑等。</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 xml:space="preserve">7、经查实对于参与串通行为的供应商，其中标无效，列入供应商黑名单，并对供应商处中标项目金额千分之五以上千分之十以下的罚款如事后查实无法追溯的仅列入供应商黑名单， </w:t>
      </w:r>
      <w:r>
        <w:rPr>
          <w:rFonts w:hint="eastAsia" w:asciiTheme="minorEastAsia" w:hAnsiTheme="minorEastAsia" w:eastAsiaTheme="minorEastAsia" w:cstheme="minorEastAsia"/>
          <w:color w:val="auto"/>
          <w:sz w:val="24"/>
          <w:highlight w:val="none"/>
        </w:rPr>
        <w:t>加大不诚信供应商的违规成本。</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8、一旦发现相关人员在招标过程中有索要财物等不廉洁行为，坚决予以抵制，并及时向贵公司纪委办公室举报。</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9、我方自愿将本承诺书作为投标文件及合同的附件，具</w:t>
      </w:r>
      <w:r>
        <w:rPr>
          <w:rFonts w:hint="eastAsia" w:asciiTheme="minorEastAsia" w:hAnsiTheme="minorEastAsia" w:eastAsiaTheme="minorEastAsia" w:cstheme="minorEastAsia"/>
          <w:color w:val="auto"/>
          <w:sz w:val="24"/>
          <w:highlight w:val="none"/>
        </w:rPr>
        <w:t>有同等的法律效力。</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10、若违反上述承诺或违反有关法律法规及贵公司有关规定，我方自愿永久放弃参与贵公司的所有业务往来，并承担贵公司制度规定的一切法律责任。</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11、本承诺书自签署之日起生效。</w:t>
      </w:r>
    </w:p>
    <w:p>
      <w:pPr>
        <w:spacing w:line="440" w:lineRule="exact"/>
        <w:ind w:firstLine="4960" w:firstLineChars="2067"/>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乙方（公章）：</w:t>
      </w:r>
    </w:p>
    <w:p>
      <w:pPr>
        <w:spacing w:line="440" w:lineRule="exact"/>
        <w:ind w:firstLine="4960" w:firstLineChars="2067"/>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法定代表人或授权代理人（签名）：</w:t>
      </w:r>
      <w:r>
        <w:rPr>
          <w:rFonts w:asciiTheme="minorEastAsia" w:hAnsiTheme="minorEastAsia" w:eastAsiaTheme="minorEastAsia" w:cstheme="minorEastAsia"/>
          <w:color w:val="auto"/>
          <w:sz w:val="24"/>
          <w:highlight w:val="none"/>
        </w:rPr>
        <w:t xml:space="preserve"> </w:t>
      </w:r>
    </w:p>
    <w:p>
      <w:pPr>
        <w:spacing w:line="440" w:lineRule="exact"/>
        <w:ind w:firstLine="4960" w:firstLineChars="2067"/>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年</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月</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日</w:t>
      </w:r>
      <w:r>
        <w:rPr>
          <w:rFonts w:asciiTheme="minorEastAsia" w:hAnsiTheme="minorEastAsia" w:eastAsiaTheme="minorEastAsia" w:cstheme="minorEastAsia"/>
          <w:color w:val="auto"/>
          <w:sz w:val="24"/>
          <w:highlight w:val="none"/>
        </w:rPr>
        <w:br w:type="page"/>
      </w:r>
    </w:p>
    <w:p>
      <w:pPr>
        <w:pStyle w:val="4"/>
        <w:rPr>
          <w:rFonts w:asciiTheme="minorEastAsia" w:hAnsiTheme="minorEastAsia" w:eastAsiaTheme="minorEastAsia" w:cstheme="minorEastAsia"/>
          <w:color w:val="auto"/>
          <w:sz w:val="24"/>
          <w:szCs w:val="24"/>
          <w:highlight w:val="none"/>
        </w:rPr>
      </w:pPr>
      <w:bookmarkStart w:id="54" w:name="_Toc124269253"/>
      <w:r>
        <w:rPr>
          <w:rFonts w:hint="eastAsia" w:asciiTheme="minorEastAsia" w:hAnsiTheme="minorEastAsia" w:eastAsiaTheme="minorEastAsia" w:cstheme="minorEastAsia"/>
          <w:color w:val="auto"/>
          <w:sz w:val="24"/>
          <w:szCs w:val="24"/>
          <w:highlight w:val="none"/>
        </w:rPr>
        <w:t>附件</w:t>
      </w:r>
      <w:r>
        <w:rPr>
          <w:rFonts w:asciiTheme="minorEastAsia" w:hAnsiTheme="minorEastAsia" w:eastAsiaTheme="minorEastAsia" w:cstheme="minorEastAsia"/>
          <w:color w:val="auto"/>
          <w:sz w:val="24"/>
          <w:szCs w:val="24"/>
          <w:highlight w:val="none"/>
        </w:rPr>
        <w:t xml:space="preserve">3. </w:t>
      </w:r>
      <w:r>
        <w:rPr>
          <w:rFonts w:hint="eastAsia" w:asciiTheme="minorEastAsia" w:hAnsiTheme="minorEastAsia" w:eastAsiaTheme="minorEastAsia" w:cstheme="minorEastAsia"/>
          <w:color w:val="auto"/>
          <w:sz w:val="24"/>
          <w:szCs w:val="24"/>
          <w:highlight w:val="none"/>
        </w:rPr>
        <w:t>环保协议书</w:t>
      </w:r>
      <w:bookmarkEnd w:id="54"/>
    </w:p>
    <w:p>
      <w:pPr>
        <w:spacing w:line="440" w:lineRule="exact"/>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环保协议书</w:t>
      </w:r>
    </w:p>
    <w:p>
      <w:pPr>
        <w:spacing w:line="440" w:lineRule="exact"/>
        <w:rPr>
          <w:rFonts w:asciiTheme="minorEastAsia" w:hAnsiTheme="minorEastAsia" w:eastAsiaTheme="minorEastAsia" w:cstheme="minorEastAsia"/>
          <w:color w:val="auto"/>
          <w:sz w:val="24"/>
          <w:highlight w:val="none"/>
        </w:rPr>
      </w:pPr>
    </w:p>
    <w:p>
      <w:pPr>
        <w:spacing w:line="44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甲方：</w:t>
      </w:r>
      <w:r>
        <w:rPr>
          <w:rFonts w:hint="eastAsia" w:asciiTheme="minorEastAsia" w:hAnsiTheme="minorEastAsia" w:eastAsiaTheme="minorEastAsia" w:cstheme="minorEastAsia"/>
          <w:color w:val="auto"/>
          <w:sz w:val="24"/>
          <w:highlight w:val="none"/>
          <w:u w:val="single"/>
        </w:rPr>
        <w:t>中粮糖业（漳州）有限公司</w:t>
      </w:r>
    </w:p>
    <w:p>
      <w:pPr>
        <w:spacing w:line="44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w:t>
      </w:r>
    </w:p>
    <w:p>
      <w:pPr>
        <w:spacing w:line="440" w:lineRule="exact"/>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为做好甲方环境保护工作，获得和保持良好的环境绩效，确保乙方给甲方提供产品</w:t>
      </w:r>
      <w:r>
        <w:rPr>
          <w:rFonts w:asciiTheme="minorEastAsia" w:hAnsiTheme="minorEastAsia" w:eastAsiaTheme="minorEastAsia" w:cstheme="minorEastAsia"/>
          <w:color w:val="auto"/>
          <w:sz w:val="24"/>
          <w:highlight w:val="none"/>
        </w:rPr>
        <w:t>/服务过程中不对环境造成污染，依据中华人民共和国《环境保护法》、《水污染防治法》、《环境噪声污染防治法》、《固体废物污染环境防治法》等相关生态环境法律法规，经甲、乙双方协商，特签订以下环保协议。</w:t>
      </w:r>
    </w:p>
    <w:p>
      <w:pPr>
        <w:spacing w:line="440" w:lineRule="exact"/>
        <w:ind w:firstLine="482"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第一条</w:t>
      </w:r>
      <w:r>
        <w:rPr>
          <w:rFonts w:asciiTheme="minorEastAsia" w:hAnsiTheme="minorEastAsia" w:eastAsiaTheme="minorEastAsia" w:cstheme="minorEastAsia"/>
          <w:b/>
          <w:bCs/>
          <w:color w:val="auto"/>
          <w:sz w:val="24"/>
          <w:highlight w:val="none"/>
        </w:rPr>
        <w:t xml:space="preserve"> </w:t>
      </w:r>
      <w:r>
        <w:rPr>
          <w:rFonts w:hint="eastAsia" w:asciiTheme="minorEastAsia" w:hAnsiTheme="minorEastAsia" w:eastAsiaTheme="minorEastAsia" w:cstheme="minorEastAsia"/>
          <w:b/>
          <w:bCs/>
          <w:color w:val="auto"/>
          <w:sz w:val="24"/>
          <w:highlight w:val="none"/>
        </w:rPr>
        <w:t>项目名称：</w:t>
      </w:r>
      <w:r>
        <w:rPr>
          <w:rFonts w:hint="eastAsia" w:asciiTheme="minorEastAsia" w:hAnsiTheme="minorEastAsia" w:eastAsiaTheme="minorEastAsia" w:cstheme="minorEastAsia"/>
          <w:bCs/>
          <w:color w:val="auto"/>
          <w:sz w:val="24"/>
          <w:highlight w:val="none"/>
          <w:u w:val="single"/>
        </w:rPr>
        <w:t>中粮糖业（漳州）有限公司</w:t>
      </w:r>
      <w:r>
        <w:rPr>
          <w:rFonts w:asciiTheme="minorEastAsia" w:hAnsiTheme="minorEastAsia" w:eastAsiaTheme="minorEastAsia" w:cstheme="minorEastAsia"/>
          <w:bCs/>
          <w:color w:val="auto"/>
          <w:sz w:val="24"/>
          <w:highlight w:val="none"/>
          <w:u w:val="single"/>
        </w:rPr>
        <w:t>35万吨/年精炼糖及15万吨/年糖类食品原材料加工项目</w:t>
      </w:r>
      <w:r>
        <w:rPr>
          <w:rFonts w:hint="eastAsia" w:asciiTheme="minorEastAsia" w:hAnsiTheme="minorEastAsia" w:eastAsiaTheme="minorEastAsia" w:cstheme="minorEastAsia"/>
          <w:bCs/>
          <w:color w:val="auto"/>
          <w:sz w:val="24"/>
          <w:highlight w:val="none"/>
          <w:u w:val="single"/>
          <w:lang w:eastAsia="zh-CN"/>
        </w:rPr>
        <w:t>大门及其门禁管理系统</w:t>
      </w:r>
      <w:r>
        <w:rPr>
          <w:rFonts w:asciiTheme="minorEastAsia" w:hAnsiTheme="minorEastAsia" w:eastAsiaTheme="minorEastAsia" w:cstheme="minorEastAsia"/>
          <w:bCs/>
          <w:color w:val="auto"/>
          <w:sz w:val="24"/>
          <w:highlight w:val="none"/>
          <w:u w:val="single"/>
        </w:rPr>
        <w:t>采购</w:t>
      </w:r>
      <w:r>
        <w:rPr>
          <w:rFonts w:hint="eastAsia" w:asciiTheme="minorEastAsia" w:hAnsiTheme="minorEastAsia" w:eastAsiaTheme="minorEastAsia" w:cstheme="minorEastAsia"/>
          <w:color w:val="auto"/>
          <w:sz w:val="24"/>
          <w:highlight w:val="none"/>
        </w:rPr>
        <w:t>。</w:t>
      </w:r>
    </w:p>
    <w:p>
      <w:pPr>
        <w:spacing w:line="440" w:lineRule="exact"/>
        <w:ind w:firstLine="482"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第二条</w:t>
      </w:r>
      <w:r>
        <w:rPr>
          <w:rFonts w:asciiTheme="minorEastAsia" w:hAnsiTheme="minorEastAsia" w:eastAsiaTheme="minorEastAsia" w:cstheme="minorEastAsia"/>
          <w:b/>
          <w:bCs/>
          <w:color w:val="auto"/>
          <w:sz w:val="24"/>
          <w:highlight w:val="none"/>
        </w:rPr>
        <w:t xml:space="preserve"> </w:t>
      </w:r>
      <w:r>
        <w:rPr>
          <w:rFonts w:hint="eastAsia" w:asciiTheme="minorEastAsia" w:hAnsiTheme="minorEastAsia" w:eastAsiaTheme="minorEastAsia" w:cstheme="minorEastAsia"/>
          <w:b/>
          <w:bCs/>
          <w:color w:val="auto"/>
          <w:sz w:val="24"/>
          <w:highlight w:val="none"/>
        </w:rPr>
        <w:t>项目地点：</w:t>
      </w:r>
      <w:r>
        <w:rPr>
          <w:rFonts w:hint="eastAsia" w:asciiTheme="minorEastAsia" w:hAnsiTheme="minorEastAsia" w:eastAsiaTheme="minorEastAsia" w:cstheme="minorEastAsia"/>
          <w:color w:val="auto"/>
          <w:sz w:val="24"/>
          <w:highlight w:val="none"/>
          <w:u w:val="single"/>
        </w:rPr>
        <w:t>漳州招商局经济技术开发区四区兴港南路南段道路西侧场地</w:t>
      </w:r>
    </w:p>
    <w:p>
      <w:pPr>
        <w:spacing w:line="440" w:lineRule="exact"/>
        <w:ind w:firstLine="482"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第三条</w:t>
      </w:r>
      <w:r>
        <w:rPr>
          <w:rFonts w:asciiTheme="minorEastAsia" w:hAnsiTheme="minorEastAsia" w:eastAsiaTheme="minorEastAsia" w:cstheme="minorEastAsia"/>
          <w:b/>
          <w:bCs/>
          <w:color w:val="auto"/>
          <w:sz w:val="24"/>
          <w:highlight w:val="none"/>
        </w:rPr>
        <w:t xml:space="preserve"> 项目时间：    </w:t>
      </w:r>
      <w:r>
        <w:rPr>
          <w:rFonts w:hint="eastAsia" w:asciiTheme="minorEastAsia" w:hAnsiTheme="minorEastAsia" w:eastAsiaTheme="minorEastAsia" w:cstheme="minorEastAsia"/>
          <w:color w:val="auto"/>
          <w:sz w:val="24"/>
          <w:highlight w:val="none"/>
        </w:rPr>
        <w:t>年</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月</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日至本项目完工人员全部撤离结束。</w:t>
      </w:r>
    </w:p>
    <w:p>
      <w:pPr>
        <w:spacing w:line="440" w:lineRule="exact"/>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第四条</w:t>
      </w:r>
      <w:r>
        <w:rPr>
          <w:rFonts w:asciiTheme="minorEastAsia" w:hAnsiTheme="minorEastAsia" w:eastAsiaTheme="minorEastAsia" w:cstheme="minorEastAsia"/>
          <w:b/>
          <w:bCs/>
          <w:color w:val="auto"/>
          <w:sz w:val="24"/>
          <w:highlight w:val="none"/>
        </w:rPr>
        <w:t xml:space="preserve"> </w:t>
      </w:r>
      <w:r>
        <w:rPr>
          <w:rFonts w:hint="eastAsia" w:asciiTheme="minorEastAsia" w:hAnsiTheme="minorEastAsia" w:eastAsiaTheme="minorEastAsia" w:cstheme="minorEastAsia"/>
          <w:b/>
          <w:bCs/>
          <w:color w:val="auto"/>
          <w:sz w:val="24"/>
          <w:highlight w:val="none"/>
        </w:rPr>
        <w:t>协议内容：</w:t>
      </w:r>
    </w:p>
    <w:p>
      <w:pPr>
        <w:spacing w:line="440" w:lineRule="exact"/>
        <w:ind w:firstLine="48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（一）乙方为甲方提供产品</w:t>
      </w:r>
      <w:r>
        <w:rPr>
          <w:rFonts w:asciiTheme="minorEastAsia" w:hAnsiTheme="minorEastAsia" w:eastAsiaTheme="minorEastAsia" w:cstheme="minorEastAsia"/>
          <w:color w:val="auto"/>
          <w:sz w:val="24"/>
          <w:highlight w:val="none"/>
        </w:rPr>
        <w:t>/服务应满足如下环保要求：</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1.乙方提供给甲方的产品/服务的原材料、包装物等必须满足国家、地方、行业的有关环境保护的法律法规要求。</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2.乙方在保证甲方要求的产品/服务质量条件下，要优先考虑采用无污染或少污染的生产工艺和原材料，不得采用国家或地方已禁止使用的产品和原材料。</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3.乙方在产品/服务包装上除满足搬运和储存要求外，应优先采用可回收利用的包装材料，避免因资源浪费破坏环境。</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4.乙方在提供产品/服务过程中排放的污染物（废水、废气、固废、噪声等），由乙方采取积极措施予以治理，确保在规定期限内达到国家或地方排放标准。</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5.乙方对提供产品/服务过程中的危险物品以及危险废弃物堆放场应设立明显识别标志，并按照国家规定进行处置。</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6.乙方应防止因提供产品/服务中造成跑、冒、滴、漏污染环境，产品安装应采取防渗漏措施。</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7.乙方为甲方提供的产品如果是易燃易爆或有毒有害危险化学品，应向甲方提供MSDS，其容器或包装物应予回收。</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8.原材料、包装物发生重大变化时应通知甲方。</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9.乙方应对在甲方现场的作业人员进行必要的环境保护知识的培训，保证作业人员熟知在工作中因工作失误将对环境造成的不良影响，以及一旦污染事故发生如何采取应急措施，减少污染。</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10.因乙方施工产生的固体废弃物垃圾由乙方负责及时清理出场。</w:t>
      </w:r>
    </w:p>
    <w:p>
      <w:pPr>
        <w:spacing w:line="440" w:lineRule="exact"/>
        <w:ind w:firstLine="48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（二）甲方有权对乙方作业现现场不定期检查，检查主要内容：</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1.乙方的作业环境是否符合环保要求。</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2.乙方排放的废水、废气、固废、噪声等是否达标。</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3.乙方是否因环境保护问题受到相关方投诉。</w:t>
      </w:r>
    </w:p>
    <w:p>
      <w:pPr>
        <w:spacing w:line="440" w:lineRule="exact"/>
        <w:ind w:firstLine="48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4.对不符合环保要求的，甲方有权提出整改意见，对整改不符或拒绝整改，可能造成严重环境污染的，甲方可以终止供货/服务合同，其损失由乙方承担。</w:t>
      </w:r>
    </w:p>
    <w:p>
      <w:pPr>
        <w:spacing w:line="440" w:lineRule="exact"/>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第五条</w:t>
      </w:r>
      <w:r>
        <w:rPr>
          <w:rFonts w:asciiTheme="minorEastAsia" w:hAnsiTheme="minorEastAsia" w:eastAsiaTheme="minorEastAsia" w:cstheme="minorEastAsia"/>
          <w:b/>
          <w:bCs/>
          <w:color w:val="auto"/>
          <w:sz w:val="24"/>
          <w:highlight w:val="none"/>
        </w:rPr>
        <w:t xml:space="preserve"> </w:t>
      </w:r>
      <w:r>
        <w:rPr>
          <w:rFonts w:hint="eastAsia" w:asciiTheme="minorEastAsia" w:hAnsiTheme="minorEastAsia" w:eastAsiaTheme="minorEastAsia" w:cstheme="minorEastAsia"/>
          <w:b/>
          <w:bCs/>
          <w:color w:val="auto"/>
          <w:sz w:val="24"/>
          <w:highlight w:val="none"/>
        </w:rPr>
        <w:t>本协议壹式玖份（贰正柒副），甲方执壹正伍副，乙方执壹正贰副），自签订之日起执行（本协议传真签订有效）。</w:t>
      </w:r>
    </w:p>
    <w:p>
      <w:pPr>
        <w:spacing w:line="60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甲方：</w:t>
      </w:r>
      <w:r>
        <w:rPr>
          <w:rFonts w:asciiTheme="minorEastAsia" w:hAnsiTheme="minorEastAsia" w:eastAsiaTheme="minorEastAsia" w:cstheme="minorEastAsia"/>
          <w:color w:val="auto"/>
          <w:sz w:val="24"/>
          <w:highlight w:val="none"/>
        </w:rPr>
        <w:t xml:space="preserve"> </w:t>
      </w:r>
    </w:p>
    <w:p>
      <w:pPr>
        <w:spacing w:line="60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（公章）</w:t>
      </w:r>
    </w:p>
    <w:p>
      <w:pPr>
        <w:spacing w:line="60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代表人：</w:t>
      </w:r>
      <w:r>
        <w:rPr>
          <w:rFonts w:asciiTheme="minorEastAsia" w:hAnsiTheme="minorEastAsia" w:eastAsiaTheme="minorEastAsia" w:cstheme="minorEastAsia"/>
          <w:color w:val="auto"/>
          <w:sz w:val="24"/>
          <w:highlight w:val="none"/>
        </w:rPr>
        <w:t xml:space="preserve"> </w:t>
      </w:r>
    </w:p>
    <w:p>
      <w:pPr>
        <w:spacing w:line="60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签订日期：年月日</w:t>
      </w:r>
    </w:p>
    <w:p>
      <w:pPr>
        <w:spacing w:line="60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w:t>
      </w:r>
    </w:p>
    <w:p>
      <w:pPr>
        <w:spacing w:line="60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（公章）</w:t>
      </w:r>
    </w:p>
    <w:p>
      <w:pPr>
        <w:spacing w:line="60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代表人：</w:t>
      </w:r>
      <w:r>
        <w:rPr>
          <w:rFonts w:asciiTheme="minorEastAsia" w:hAnsiTheme="minorEastAsia" w:eastAsiaTheme="minorEastAsia" w:cstheme="minorEastAsia"/>
          <w:color w:val="auto"/>
          <w:sz w:val="24"/>
          <w:highlight w:val="none"/>
        </w:rPr>
        <w:t xml:space="preserve"> </w:t>
      </w:r>
    </w:p>
    <w:p>
      <w:pPr>
        <w:spacing w:line="600" w:lineRule="exac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签订日期：年月日</w:t>
      </w:r>
    </w:p>
    <w:p>
      <w:pP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br w:type="page"/>
      </w:r>
    </w:p>
    <w:p>
      <w:pPr>
        <w:pStyle w:val="4"/>
        <w:rPr>
          <w:rFonts w:asciiTheme="minorEastAsia" w:hAnsiTheme="minorEastAsia" w:eastAsiaTheme="minorEastAsia" w:cstheme="minorEastAsia"/>
          <w:color w:val="auto"/>
          <w:sz w:val="24"/>
          <w:szCs w:val="24"/>
          <w:highlight w:val="none"/>
        </w:rPr>
      </w:pPr>
      <w:bookmarkStart w:id="55" w:name="_Toc124269254"/>
      <w:r>
        <w:rPr>
          <w:rFonts w:hint="eastAsia" w:asciiTheme="minorEastAsia" w:hAnsiTheme="minorEastAsia" w:eastAsiaTheme="minorEastAsia" w:cstheme="minorEastAsia"/>
          <w:color w:val="auto"/>
          <w:sz w:val="24"/>
          <w:szCs w:val="24"/>
          <w:highlight w:val="none"/>
        </w:rPr>
        <w:t>附件</w:t>
      </w:r>
      <w:r>
        <w:rPr>
          <w:rFonts w:asciiTheme="minorEastAsia" w:hAnsiTheme="minorEastAsia" w:eastAsiaTheme="minorEastAsia" w:cstheme="minorEastAsia"/>
          <w:color w:val="auto"/>
          <w:sz w:val="24"/>
          <w:szCs w:val="24"/>
          <w:highlight w:val="none"/>
        </w:rPr>
        <w:t xml:space="preserve">4. </w:t>
      </w:r>
      <w:r>
        <w:rPr>
          <w:rFonts w:hint="eastAsia" w:asciiTheme="minorEastAsia" w:hAnsiTheme="minorEastAsia" w:eastAsiaTheme="minorEastAsia" w:cstheme="minorEastAsia"/>
          <w:color w:val="auto"/>
          <w:sz w:val="24"/>
          <w:szCs w:val="24"/>
          <w:highlight w:val="none"/>
        </w:rPr>
        <w:t>安全管理协议书</w:t>
      </w:r>
      <w:bookmarkEnd w:id="55"/>
    </w:p>
    <w:p>
      <w:pPr>
        <w:snapToGrid w:val="0"/>
        <w:spacing w:line="575" w:lineRule="exact"/>
        <w:jc w:val="center"/>
        <w:rPr>
          <w:rFonts w:ascii="微软雅黑" w:hAnsi="微软雅黑" w:eastAsia="微软雅黑" w:cs="微软雅黑"/>
          <w:color w:val="auto"/>
          <w:sz w:val="38"/>
          <w:szCs w:val="38"/>
          <w:highlight w:val="none"/>
        </w:rPr>
      </w:pPr>
      <w:r>
        <w:rPr>
          <w:rFonts w:hint="eastAsia" w:ascii="微软雅黑" w:hAnsi="微软雅黑" w:eastAsia="微软雅黑" w:cs="微软雅黑"/>
          <w:color w:val="auto"/>
          <w:sz w:val="38"/>
          <w:szCs w:val="38"/>
          <w:highlight w:val="none"/>
        </w:rPr>
        <w:t>(</w:t>
      </w:r>
      <w:r>
        <w:rPr>
          <w:rFonts w:hint="eastAsia" w:ascii="微软雅黑" w:hAnsi="微软雅黑" w:eastAsia="微软雅黑" w:cs="微软雅黑"/>
          <w:color w:val="auto"/>
          <w:sz w:val="38"/>
          <w:szCs w:val="38"/>
          <w:highlight w:val="none"/>
          <w:lang w:eastAsia="zh-CN"/>
        </w:rPr>
        <w:t>大门及其门禁管理系统</w:t>
      </w:r>
      <w:r>
        <w:rPr>
          <w:rFonts w:hint="eastAsia" w:ascii="微软雅黑" w:hAnsi="微软雅黑" w:eastAsia="微软雅黑" w:cs="微软雅黑"/>
          <w:color w:val="auto"/>
          <w:sz w:val="38"/>
          <w:szCs w:val="38"/>
          <w:highlight w:val="none"/>
        </w:rPr>
        <w:t>项目</w:t>
      </w:r>
      <w:r>
        <w:rPr>
          <w:rFonts w:ascii="微软雅黑" w:hAnsi="微软雅黑" w:eastAsia="微软雅黑" w:cs="微软雅黑"/>
          <w:color w:val="auto"/>
          <w:sz w:val="38"/>
          <w:szCs w:val="38"/>
          <w:highlight w:val="none"/>
        </w:rPr>
        <w:t>)</w:t>
      </w:r>
    </w:p>
    <w:p>
      <w:pPr>
        <w:snapToGrid w:val="0"/>
        <w:spacing w:line="575" w:lineRule="exact"/>
        <w:jc w:val="center"/>
        <w:rPr>
          <w:rFonts w:hint="eastAsia" w:ascii="微软雅黑" w:hAnsi="微软雅黑" w:eastAsia="微软雅黑" w:cs="微软雅黑"/>
          <w:color w:val="auto"/>
          <w:sz w:val="40"/>
          <w:szCs w:val="40"/>
          <w:highlight w:val="none"/>
        </w:rPr>
      </w:pPr>
      <w:r>
        <w:rPr>
          <w:rFonts w:hint="eastAsia" w:ascii="微软雅黑" w:hAnsi="微软雅黑" w:eastAsia="微软雅黑" w:cs="微软雅黑"/>
          <w:color w:val="auto"/>
          <w:sz w:val="38"/>
          <w:szCs w:val="38"/>
          <w:highlight w:val="none"/>
        </w:rPr>
        <w:t>安全管理协议</w:t>
      </w:r>
    </w:p>
    <w:p>
      <w:pPr>
        <w:snapToGrid w:val="0"/>
        <w:spacing w:line="575" w:lineRule="exact"/>
        <w:rPr>
          <w:rFonts w:ascii="仿宋_GB2312" w:hAnsi="仿宋" w:eastAsia="仿宋_GB2312" w:cs="仿宋"/>
          <w:color w:val="auto"/>
          <w:sz w:val="32"/>
          <w:szCs w:val="30"/>
          <w:highlight w:val="none"/>
        </w:rPr>
      </w:pPr>
    </w:p>
    <w:p>
      <w:pPr>
        <w:snapToGrid w:val="0"/>
        <w:spacing w:line="575" w:lineRule="exact"/>
        <w:rPr>
          <w:rFonts w:hint="eastAsia" w:ascii="仿宋_GB2312" w:hAnsi="仿宋" w:eastAsia="仿宋_GB2312" w:cs="仿宋"/>
          <w:color w:val="auto"/>
          <w:sz w:val="32"/>
          <w:szCs w:val="30"/>
          <w:highlight w:val="none"/>
        </w:rPr>
      </w:pPr>
      <w:r>
        <w:rPr>
          <w:rFonts w:hint="eastAsia" w:ascii="仿宋_GB2312" w:hAnsi="仿宋" w:eastAsia="仿宋_GB2312" w:cs="仿宋"/>
          <w:color w:val="auto"/>
          <w:sz w:val="32"/>
          <w:szCs w:val="30"/>
          <w:highlight w:val="none"/>
        </w:rPr>
        <w:t xml:space="preserve">甲方（发包方）：中粮糖业（漳州）有限公司  </w:t>
      </w:r>
    </w:p>
    <w:p>
      <w:pPr>
        <w:snapToGrid w:val="0"/>
        <w:spacing w:line="575" w:lineRule="exact"/>
        <w:rPr>
          <w:rFonts w:hint="eastAsia" w:ascii="仿宋_GB2312" w:hAnsi="仿宋" w:eastAsia="仿宋_GB2312" w:cs="仿宋"/>
          <w:color w:val="auto"/>
          <w:sz w:val="32"/>
          <w:szCs w:val="30"/>
          <w:highlight w:val="none"/>
        </w:rPr>
      </w:pPr>
      <w:r>
        <w:rPr>
          <w:rFonts w:hint="eastAsia" w:ascii="仿宋_GB2312" w:hAnsi="仿宋" w:eastAsia="仿宋_GB2312" w:cs="仿宋"/>
          <w:color w:val="auto"/>
          <w:sz w:val="32"/>
          <w:szCs w:val="30"/>
          <w:highlight w:val="none"/>
        </w:rPr>
        <w:t xml:space="preserve">乙方（承包方）： </w:t>
      </w:r>
    </w:p>
    <w:p>
      <w:pPr>
        <w:pStyle w:val="2"/>
        <w:shd w:val="clear" w:color="auto" w:fill="FFFFFF"/>
        <w:snapToGrid w:val="0"/>
        <w:spacing w:before="0" w:beforeAutospacing="0" w:after="0" w:afterAutospacing="0" w:line="575" w:lineRule="exact"/>
        <w:ind w:firstLine="640" w:firstLineChars="200"/>
        <w:jc w:val="both"/>
        <w:rPr>
          <w:rFonts w:hint="eastAsia" w:ascii="仿宋_GB2312" w:hAnsi="仿宋" w:eastAsia="仿宋_GB2312" w:cs="仿宋"/>
          <w:b w:val="0"/>
          <w:color w:val="auto"/>
          <w:sz w:val="32"/>
          <w:szCs w:val="30"/>
          <w:highlight w:val="none"/>
        </w:rPr>
      </w:pPr>
      <w:r>
        <w:rPr>
          <w:rFonts w:hint="eastAsia" w:ascii="仿宋_GB2312" w:hAnsi="仿宋" w:eastAsia="仿宋_GB2312" w:cs="仿宋"/>
          <w:b w:val="0"/>
          <w:color w:val="auto"/>
          <w:sz w:val="32"/>
          <w:szCs w:val="30"/>
          <w:highlight w:val="none"/>
        </w:rPr>
        <w:t>为了确保</w:t>
      </w:r>
      <w:r>
        <w:rPr>
          <w:rFonts w:hint="eastAsia" w:ascii="仿宋_GB2312" w:hAnsi="仿宋" w:eastAsia="仿宋_GB2312" w:cs="仿宋"/>
          <w:b w:val="0"/>
          <w:color w:val="auto"/>
          <w:sz w:val="32"/>
          <w:szCs w:val="30"/>
          <w:highlight w:val="none"/>
          <w:lang w:eastAsia="zh-CN"/>
        </w:rPr>
        <w:t>大门及其门禁管理系统</w:t>
      </w:r>
      <w:r>
        <w:rPr>
          <w:rFonts w:hint="eastAsia" w:ascii="仿宋_GB2312" w:hAnsi="仿宋" w:eastAsia="仿宋_GB2312" w:cs="仿宋"/>
          <w:b w:val="0"/>
          <w:color w:val="auto"/>
          <w:sz w:val="32"/>
          <w:szCs w:val="30"/>
          <w:highlight w:val="none"/>
        </w:rPr>
        <w:t>项目全过程的安全管理，杜绝发生安全生产事</w:t>
      </w:r>
      <w:r>
        <w:rPr>
          <w:rFonts w:hint="eastAsia" w:ascii="仿宋_GB2312" w:hAnsi="仿宋" w:eastAsia="仿宋_GB2312" w:cs="仿宋"/>
          <w:b w:val="0"/>
          <w:bCs w:val="0"/>
          <w:color w:val="auto"/>
          <w:sz w:val="32"/>
          <w:szCs w:val="30"/>
          <w:highlight w:val="none"/>
        </w:rPr>
        <w:t>故，</w:t>
      </w:r>
      <w:r>
        <w:rPr>
          <w:rFonts w:hint="eastAsia" w:ascii="仿宋_GB2312" w:hAnsi="仿宋" w:eastAsia="仿宋_GB2312" w:cs="仿宋"/>
          <w:b w:val="0"/>
          <w:color w:val="auto"/>
          <w:sz w:val="32"/>
          <w:szCs w:val="30"/>
          <w:highlight w:val="none"/>
        </w:rPr>
        <w:t>根据《安全生产法》、《民法典》、《建设工程安全生产管理条例》等法律法规和甲方承包商制度要求</w:t>
      </w:r>
      <w:r>
        <w:rPr>
          <w:rFonts w:hint="eastAsia" w:ascii="仿宋_GB2312" w:hAnsi="仿宋" w:eastAsia="仿宋_GB2312" w:cs="仿宋"/>
          <w:b w:val="0"/>
          <w:bCs w:val="0"/>
          <w:color w:val="auto"/>
          <w:sz w:val="32"/>
          <w:szCs w:val="30"/>
          <w:highlight w:val="none"/>
        </w:rPr>
        <w:t>，经</w:t>
      </w:r>
      <w:r>
        <w:rPr>
          <w:rFonts w:hint="eastAsia" w:ascii="仿宋_GB2312" w:hAnsi="仿宋" w:eastAsia="仿宋_GB2312" w:cs="仿宋"/>
          <w:b w:val="0"/>
          <w:color w:val="auto"/>
          <w:sz w:val="32"/>
          <w:szCs w:val="30"/>
          <w:highlight w:val="none"/>
        </w:rPr>
        <w:t>双方友好协商，对甲乙双方的安全生产责任、权利规定如下：</w:t>
      </w:r>
    </w:p>
    <w:p>
      <w:pPr>
        <w:adjustRightInd w:val="0"/>
        <w:snapToGrid w:val="0"/>
        <w:spacing w:line="575" w:lineRule="exac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1 甲方的职责、权利</w:t>
      </w:r>
    </w:p>
    <w:p>
      <w:pPr>
        <w:snapToGrid w:val="0"/>
        <w:spacing w:line="575" w:lineRule="exact"/>
        <w:ind w:firstLine="640" w:firstLineChars="200"/>
        <w:rPr>
          <w:rFonts w:ascii="楷体" w:hAnsi="楷体" w:eastAsia="楷体" w:cs="楷体"/>
          <w:color w:val="auto"/>
          <w:sz w:val="32"/>
          <w:szCs w:val="32"/>
          <w:highlight w:val="none"/>
        </w:rPr>
      </w:pPr>
      <w:r>
        <w:rPr>
          <w:rFonts w:hint="eastAsia" w:ascii="楷体" w:hAnsi="楷体" w:eastAsia="楷体" w:cs="楷体"/>
          <w:color w:val="auto"/>
          <w:sz w:val="32"/>
          <w:szCs w:val="32"/>
          <w:highlight w:val="none"/>
        </w:rPr>
        <w:t>1</w:t>
      </w:r>
      <w:r>
        <w:rPr>
          <w:rFonts w:ascii="楷体" w:hAnsi="楷体" w:eastAsia="楷体" w:cs="楷体"/>
          <w:color w:val="auto"/>
          <w:sz w:val="32"/>
          <w:szCs w:val="32"/>
          <w:highlight w:val="none"/>
        </w:rPr>
        <w:t xml:space="preserve">.1 </w:t>
      </w:r>
      <w:r>
        <w:rPr>
          <w:rFonts w:hint="eastAsia" w:ascii="楷体" w:hAnsi="楷体" w:eastAsia="楷体" w:cs="楷体"/>
          <w:color w:val="auto"/>
          <w:sz w:val="32"/>
          <w:szCs w:val="32"/>
          <w:highlight w:val="none"/>
        </w:rPr>
        <w:t>甲方职责</w:t>
      </w:r>
    </w:p>
    <w:p>
      <w:pPr>
        <w:snapToGrid w:val="0"/>
        <w:spacing w:line="575" w:lineRule="exact"/>
        <w:ind w:firstLine="640" w:firstLineChars="200"/>
        <w:rPr>
          <w:rFonts w:ascii="仿宋_GB2312" w:hAnsi="楷体" w:eastAsia="仿宋_GB2312" w:cs="楷体"/>
          <w:color w:val="auto"/>
          <w:sz w:val="32"/>
          <w:szCs w:val="32"/>
          <w:highlight w:val="none"/>
        </w:rPr>
      </w:pPr>
      <w:r>
        <w:rPr>
          <w:rFonts w:hint="eastAsia" w:ascii="仿宋_GB2312" w:hAnsi="仿宋" w:eastAsia="仿宋_GB2312" w:cs="仿宋"/>
          <w:color w:val="auto"/>
          <w:sz w:val="32"/>
          <w:szCs w:val="32"/>
          <w:highlight w:val="none"/>
        </w:rPr>
        <w:t>甲方有责任</w:t>
      </w:r>
      <w:r>
        <w:rPr>
          <w:rFonts w:hint="eastAsia" w:ascii="仿宋_GB2312" w:hAnsi="楷体" w:eastAsia="仿宋_GB2312" w:cs="楷体"/>
          <w:color w:val="auto"/>
          <w:sz w:val="32"/>
          <w:szCs w:val="32"/>
          <w:highlight w:val="none"/>
        </w:rPr>
        <w:t>监督指导乙方按照甲方的信息化管理系统进行承包商全生命周期管理，确保乙方正确理解和应用该系统并遵循相关要求。</w:t>
      </w:r>
    </w:p>
    <w:p>
      <w:pPr>
        <w:numPr>
          <w:ilvl w:val="2"/>
          <w:numId w:val="6"/>
        </w:numPr>
        <w:snapToGrid w:val="0"/>
        <w:spacing w:line="575" w:lineRule="exact"/>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作业前管理要求</w:t>
      </w:r>
    </w:p>
    <w:p>
      <w:pPr>
        <w:snapToGrid w:val="0"/>
        <w:spacing w:line="575" w:lineRule="exact"/>
        <w:ind w:firstLine="640" w:firstLineChars="200"/>
        <w:rPr>
          <w:rFonts w:hint="eastAsia" w:ascii="仿宋_GB2312" w:hAnsi="楷体" w:eastAsia="仿宋_GB2312" w:cs="楷体"/>
          <w:color w:val="auto"/>
          <w:sz w:val="32"/>
          <w:szCs w:val="32"/>
          <w:highlight w:val="none"/>
        </w:rPr>
      </w:pPr>
      <w:r>
        <w:rPr>
          <w:rFonts w:hint="eastAsia" w:ascii="仿宋_GB2312" w:hAnsi="仿宋_GB2312" w:eastAsia="仿宋_GB2312" w:cs="仿宋_GB2312"/>
          <w:color w:val="auto"/>
          <w:sz w:val="32"/>
          <w:szCs w:val="32"/>
          <w:highlight w:val="none"/>
          <w:lang w:val="zh-CN" w:bidi="zh-CN"/>
        </w:rPr>
        <w:t>开展作业前准入资质核验，</w:t>
      </w:r>
      <w:r>
        <w:rPr>
          <w:rFonts w:hint="eastAsia" w:ascii="仿宋_GB2312" w:eastAsia="仿宋_GB2312"/>
          <w:color w:val="auto"/>
          <w:sz w:val="32"/>
          <w:szCs w:val="32"/>
          <w:highlight w:val="none"/>
        </w:rPr>
        <w:t>审查验证乙方作业安全条件，对乙方人员进行进场安全交底</w:t>
      </w:r>
      <w:r>
        <w:rPr>
          <w:rFonts w:hint="eastAsia" w:ascii="仿宋_GB2312" w:hAnsi="仿宋" w:eastAsia="仿宋_GB2312" w:cs="仿宋"/>
          <w:color w:val="auto"/>
          <w:kern w:val="36"/>
          <w:sz w:val="32"/>
          <w:szCs w:val="30"/>
          <w:highlight w:val="none"/>
        </w:rPr>
        <w:t>。</w:t>
      </w:r>
    </w:p>
    <w:p>
      <w:pPr>
        <w:widowControl/>
        <w:spacing w:line="575" w:lineRule="exact"/>
        <w:ind w:firstLine="739" w:firstLineChars="231"/>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——负责</w:t>
      </w:r>
      <w:r>
        <w:rPr>
          <w:rFonts w:hint="eastAsia" w:ascii="仿宋_GB2312" w:hAnsi="仿宋" w:eastAsia="仿宋_GB2312" w:cs="仿宋"/>
          <w:color w:val="auto"/>
          <w:kern w:val="36"/>
          <w:sz w:val="32"/>
          <w:szCs w:val="30"/>
          <w:highlight w:val="none"/>
        </w:rPr>
        <w:t>审核乙方承包资质证件及提供的各类无事故证明、保险、安全培训、作业方案、现场处置方案等文件资料</w:t>
      </w:r>
      <w:r>
        <w:rPr>
          <w:rFonts w:hint="eastAsia" w:ascii="仿宋_GB2312" w:hAnsi="仿宋" w:eastAsia="仿宋_GB2312" w:cs="仿宋"/>
          <w:color w:val="auto"/>
          <w:sz w:val="32"/>
          <w:szCs w:val="32"/>
          <w:highlight w:val="none"/>
        </w:rPr>
        <w:t>。</w:t>
      </w:r>
    </w:p>
    <w:p>
      <w:pPr>
        <w:snapToGrid w:val="0"/>
        <w:spacing w:line="575" w:lineRule="exact"/>
        <w:ind w:firstLine="640" w:firstLineChars="200"/>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——核验乙方安全管理机构及人员配备情况及</w:t>
      </w:r>
      <w:r>
        <w:rPr>
          <w:rFonts w:hint="eastAsia" w:ascii="仿宋_GB2312" w:eastAsia="仿宋_GB2312"/>
          <w:color w:val="auto"/>
          <w:sz w:val="32"/>
          <w:szCs w:val="32"/>
          <w:highlight w:val="none"/>
        </w:rPr>
        <w:t>相应安全（特种作业）资格证书</w:t>
      </w:r>
      <w:r>
        <w:rPr>
          <w:rFonts w:hint="eastAsia" w:ascii="仿宋_GB2312" w:hAnsi="楷体" w:eastAsia="仿宋_GB2312" w:cs="楷体"/>
          <w:color w:val="auto"/>
          <w:sz w:val="32"/>
          <w:szCs w:val="32"/>
          <w:highlight w:val="none"/>
        </w:rPr>
        <w:t>；</w:t>
      </w:r>
    </w:p>
    <w:p>
      <w:pPr>
        <w:snapToGrid w:val="0"/>
        <w:spacing w:line="575" w:lineRule="exact"/>
        <w:ind w:firstLine="640" w:firstLineChars="200"/>
        <w:rPr>
          <w:rFonts w:hint="eastAsia"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——核验乙方</w:t>
      </w:r>
      <w:r>
        <w:rPr>
          <w:rFonts w:hint="eastAsia" w:ascii="仿宋_GB2312" w:eastAsia="仿宋_GB2312"/>
          <w:color w:val="auto"/>
          <w:sz w:val="32"/>
          <w:szCs w:val="32"/>
          <w:highlight w:val="none"/>
        </w:rPr>
        <w:t>作业设备设施、工具、物料、劳动保护用品等与乙方承包项目的匹配性以及安全性等；</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——负责对乙方人员</w:t>
      </w:r>
      <w:r>
        <w:rPr>
          <w:rFonts w:hint="eastAsia" w:ascii="仿宋_GB2312" w:hAnsi="仿宋" w:eastAsia="仿宋_GB2312" w:cs="仿宋"/>
          <w:color w:val="auto"/>
          <w:sz w:val="32"/>
          <w:szCs w:val="32"/>
          <w:highlight w:val="none"/>
        </w:rPr>
        <w:t>进行安全风险交底；</w:t>
      </w:r>
    </w:p>
    <w:p>
      <w:pPr>
        <w:snapToGrid w:val="0"/>
        <w:spacing w:line="575" w:lineRule="exact"/>
        <w:ind w:firstLine="640" w:firstLineChars="200"/>
        <w:rPr>
          <w:rFonts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w:t>
      </w:r>
      <w:r>
        <w:rPr>
          <w:rFonts w:hint="eastAsia" w:ascii="仿宋_GB2312" w:hAnsi="仿宋" w:eastAsia="仿宋_GB2312" w:cs="仿宋"/>
          <w:color w:val="auto"/>
          <w:sz w:val="32"/>
          <w:szCs w:val="32"/>
          <w:highlight w:val="none"/>
        </w:rPr>
        <w:t>提供必要的工作条件；</w:t>
      </w:r>
    </w:p>
    <w:p>
      <w:pPr>
        <w:snapToGrid w:val="0"/>
        <w:spacing w:line="575" w:lineRule="exact"/>
        <w:ind w:left="720"/>
        <w:rPr>
          <w:rFonts w:ascii="仿宋_GB2312" w:hAnsi="楷体" w:eastAsia="仿宋_GB2312" w:cs="楷体"/>
          <w:color w:val="auto"/>
          <w:sz w:val="32"/>
          <w:szCs w:val="32"/>
          <w:highlight w:val="none"/>
        </w:rPr>
      </w:pPr>
      <w:r>
        <w:rPr>
          <w:rFonts w:hint="eastAsia" w:ascii="仿宋_GB2312" w:hAnsi="仿宋" w:eastAsia="仿宋_GB2312" w:cs="仿宋"/>
          <w:color w:val="auto"/>
          <w:sz w:val="32"/>
          <w:szCs w:val="32"/>
          <w:highlight w:val="none"/>
        </w:rPr>
        <w:t xml:space="preserve">1.1.2 </w:t>
      </w:r>
      <w:r>
        <w:rPr>
          <w:rFonts w:hint="eastAsia" w:ascii="仿宋_GB2312" w:hAnsi="楷体" w:eastAsia="仿宋_GB2312" w:cs="楷体"/>
          <w:color w:val="auto"/>
          <w:sz w:val="32"/>
          <w:szCs w:val="32"/>
          <w:highlight w:val="none"/>
        </w:rPr>
        <w:t>作业中管理要求</w:t>
      </w:r>
    </w:p>
    <w:p>
      <w:pPr>
        <w:snapToGrid w:val="0"/>
        <w:spacing w:line="575" w:lineRule="exact"/>
        <w:ind w:firstLine="640" w:firstLineChars="200"/>
        <w:rPr>
          <w:rFonts w:hint="eastAsia"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建立信息交流机制，对乙方提报的工作计划或作业任务进行确认，开展作业监督检查，监督办理危险作业等作业许可，指导协调应急处置。</w:t>
      </w:r>
    </w:p>
    <w:p>
      <w:pPr>
        <w:snapToGrid w:val="0"/>
        <w:spacing w:line="575" w:lineRule="exact"/>
        <w:ind w:firstLine="640" w:firstLineChars="200"/>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——负责审查乙方提报的《每日作业计划》；</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——监督检查乙方风险管控措施和</w:t>
      </w:r>
      <w:r>
        <w:rPr>
          <w:rFonts w:hint="eastAsia" w:ascii="仿宋_GB2312" w:hAnsi="仿宋" w:eastAsia="仿宋_GB2312" w:cs="仿宋"/>
          <w:color w:val="auto"/>
          <w:sz w:val="32"/>
          <w:szCs w:val="32"/>
          <w:highlight w:val="none"/>
        </w:rPr>
        <w:t>危大工程的方案落实情况，并督促整改闭环。</w:t>
      </w:r>
    </w:p>
    <w:p>
      <w:pPr>
        <w:snapToGrid w:val="0"/>
        <w:spacing w:line="575" w:lineRule="exact"/>
        <w:ind w:firstLine="640" w:firstLineChars="200"/>
        <w:rPr>
          <w:rFonts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——负责指挥协调</w:t>
      </w:r>
      <w:r>
        <w:rPr>
          <w:rFonts w:hint="eastAsia" w:ascii="仿宋_GB2312" w:hAnsi="仿宋" w:eastAsia="仿宋_GB2312" w:cs="仿宋"/>
          <w:color w:val="auto"/>
          <w:sz w:val="32"/>
          <w:szCs w:val="32"/>
          <w:highlight w:val="none"/>
        </w:rPr>
        <w:t>乙方现场安全生产事故应急救援工作，充分调动甲乙双方的应急资源。</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——对承包商危险作业实施许可管理；按照变更作业相关制度实施变更作业管理；</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w:t>
      </w:r>
      <w:r>
        <w:rPr>
          <w:rFonts w:hint="eastAsia" w:ascii="仿宋_GB2312" w:eastAsia="仿宋_GB2312"/>
          <w:color w:val="auto"/>
          <w:sz w:val="32"/>
          <w:szCs w:val="32"/>
          <w:highlight w:val="none"/>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pPr>
        <w:snapToGrid w:val="0"/>
        <w:spacing w:line="575" w:lineRule="exact"/>
        <w:ind w:firstLine="640" w:firstLineChars="200"/>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1.1.3作业后管理要求</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eastAsia="仿宋_GB2312"/>
          <w:color w:val="auto"/>
          <w:sz w:val="32"/>
          <w:szCs w:val="32"/>
          <w:highlight w:val="none"/>
        </w:rPr>
        <w:t>组织对乙方按照甲方考核评价相关制度进行考核评价，开展项目验收。</w:t>
      </w:r>
    </w:p>
    <w:p>
      <w:pPr>
        <w:snapToGrid w:val="0"/>
        <w:spacing w:line="575"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1.2 权利</w:t>
      </w:r>
    </w:p>
    <w:p>
      <w:pPr>
        <w:snapToGrid w:val="0"/>
        <w:spacing w:line="575" w:lineRule="exact"/>
        <w:ind w:firstLine="640" w:firstLineChars="200"/>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1.2.1 有权否决乙方的分包方案。</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1.2.3 有权对乙方现场安全工作不称职的现场负责人、安全管理负责人和作业人员，提出约谈、警告、调离岗位、直至撤换等要求。</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1.2.4 有权制止并纠正乙方作业现场的“三违”行为，遇到危及安全生产的紧急情况，有权下令停止作业。</w:t>
      </w:r>
    </w:p>
    <w:p>
      <w:pPr>
        <w:snapToGrid w:val="0"/>
        <w:spacing w:line="575" w:lineRule="exact"/>
        <w:ind w:firstLine="640" w:firstLineChars="200"/>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1.2.5 乙方实施过程中违反国家有关法律法规的，甲方有权决定解除与乙方之间的合同及本协议。</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1.2.6 有权要求乙方遵守并执行甲方制定或发布的全部的安全方面的管理制度和要求。</w:t>
      </w:r>
    </w:p>
    <w:p>
      <w:pPr>
        <w:adjustRightInd w:val="0"/>
        <w:snapToGrid w:val="0"/>
        <w:spacing w:line="575" w:lineRule="exac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2 乙方的职责、权利</w:t>
      </w:r>
    </w:p>
    <w:p>
      <w:pPr>
        <w:snapToGrid w:val="0"/>
        <w:spacing w:line="575"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 xml:space="preserve">2.1 乙方责任 </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乙方按照甲方承包商管理制度及信息化管理系统要求，提供、上传相关资料文件，对资料的真实性、有效性、合法性负责。安全合规有序开展作业，确保项目满足质量及使用要求。</w:t>
      </w:r>
    </w:p>
    <w:p>
      <w:pPr>
        <w:snapToGrid w:val="0"/>
        <w:spacing w:line="575" w:lineRule="exact"/>
        <w:ind w:firstLine="720" w:firstLineChars="225"/>
        <w:rPr>
          <w:rFonts w:ascii="仿宋_GB2312" w:hAnsi="楷体" w:eastAsia="仿宋_GB2312" w:cs="楷体"/>
          <w:color w:val="auto"/>
          <w:sz w:val="32"/>
          <w:szCs w:val="32"/>
          <w:highlight w:val="none"/>
        </w:rPr>
      </w:pPr>
      <w:r>
        <w:rPr>
          <w:rFonts w:hint="eastAsia" w:ascii="仿宋_GB2312" w:hAnsi="仿宋" w:eastAsia="仿宋_GB2312" w:cs="仿宋"/>
          <w:color w:val="auto"/>
          <w:sz w:val="32"/>
          <w:szCs w:val="32"/>
          <w:highlight w:val="none"/>
        </w:rPr>
        <w:t>2.1.1</w:t>
      </w:r>
      <w:r>
        <w:rPr>
          <w:rFonts w:hint="eastAsia" w:ascii="仿宋_GB2312" w:hAnsi="楷体" w:eastAsia="仿宋_GB2312" w:cs="楷体"/>
          <w:color w:val="auto"/>
          <w:sz w:val="32"/>
          <w:szCs w:val="32"/>
          <w:highlight w:val="none"/>
        </w:rPr>
        <w:t>作业前工作要求</w:t>
      </w:r>
    </w:p>
    <w:p>
      <w:pPr>
        <w:snapToGrid w:val="0"/>
        <w:spacing w:line="575" w:lineRule="exact"/>
        <w:ind w:firstLine="720" w:firstLineChars="225"/>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提供企业相关信息，签订安全协议，接受安全条件审查，开展安全培训交底工作。</w:t>
      </w:r>
    </w:p>
    <w:p>
      <w:pPr>
        <w:widowControl/>
        <w:spacing w:line="575" w:lineRule="exact"/>
        <w:ind w:firstLine="739" w:firstLineChars="231"/>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——提交</w:t>
      </w:r>
      <w:r>
        <w:rPr>
          <w:rFonts w:hint="eastAsia" w:ascii="仿宋_GB2312" w:hAnsi="仿宋" w:eastAsia="仿宋_GB2312" w:cs="仿宋"/>
          <w:color w:val="auto"/>
          <w:kern w:val="36"/>
          <w:sz w:val="32"/>
          <w:szCs w:val="30"/>
          <w:highlight w:val="none"/>
        </w:rPr>
        <w:t>资质证件、无事故证明、人员保险、人员资格证书、安全培训、作业方案、现场处置方案等文件资料</w:t>
      </w:r>
      <w:r>
        <w:rPr>
          <w:rFonts w:hint="eastAsia" w:ascii="仿宋_GB2312" w:hAnsi="仿宋" w:eastAsia="仿宋_GB2312" w:cs="仿宋"/>
          <w:color w:val="auto"/>
          <w:sz w:val="32"/>
          <w:szCs w:val="32"/>
          <w:highlight w:val="none"/>
        </w:rPr>
        <w:t>，并对真实性、有效性和合法性负责。</w:t>
      </w:r>
    </w:p>
    <w:p>
      <w:pPr>
        <w:snapToGrid w:val="0"/>
        <w:spacing w:line="575" w:lineRule="exact"/>
        <w:ind w:firstLine="640" w:firstLineChars="200"/>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——配备安全管理机构及人员；</w:t>
      </w:r>
    </w:p>
    <w:p>
      <w:pPr>
        <w:snapToGrid w:val="0"/>
        <w:spacing w:line="575" w:lineRule="exact"/>
        <w:ind w:firstLine="640" w:firstLineChars="200"/>
        <w:rPr>
          <w:rFonts w:hint="eastAsia"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——配备</w:t>
      </w:r>
      <w:r>
        <w:rPr>
          <w:rFonts w:hint="eastAsia" w:ascii="仿宋_GB2312" w:eastAsia="仿宋_GB2312"/>
          <w:color w:val="auto"/>
          <w:sz w:val="32"/>
          <w:szCs w:val="32"/>
          <w:highlight w:val="none"/>
        </w:rPr>
        <w:t>作业设备设施、工具、物料、劳动保护用品等物品，并对符合性、安全性和完好性负责；</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——负责对乙方作业人员</w:t>
      </w:r>
      <w:r>
        <w:rPr>
          <w:rFonts w:hint="eastAsia" w:ascii="仿宋_GB2312" w:hAnsi="仿宋" w:eastAsia="仿宋_GB2312" w:cs="仿宋"/>
          <w:color w:val="auto"/>
          <w:sz w:val="32"/>
          <w:szCs w:val="32"/>
          <w:highlight w:val="none"/>
        </w:rPr>
        <w:t>进行安全风险交底；</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w:t>
      </w:r>
      <w:r>
        <w:rPr>
          <w:rFonts w:hint="eastAsia" w:ascii="仿宋_GB2312" w:eastAsia="仿宋_GB2312"/>
          <w:color w:val="auto"/>
          <w:sz w:val="32"/>
          <w:szCs w:val="32"/>
          <w:highlight w:val="none"/>
        </w:rPr>
        <w:t>严禁违法分包和挂靠资质</w:t>
      </w:r>
      <w:r>
        <w:rPr>
          <w:rFonts w:hint="eastAsia" w:ascii="仿宋_GB2312" w:hAnsi="仿宋" w:eastAsia="仿宋_GB2312" w:cs="仿宋"/>
          <w:color w:val="auto"/>
          <w:sz w:val="32"/>
          <w:szCs w:val="32"/>
          <w:highlight w:val="none"/>
        </w:rPr>
        <w:t>。如违反，则甲方有权决定解除与乙方之间的合同及本协议。</w:t>
      </w:r>
    </w:p>
    <w:p>
      <w:pPr>
        <w:snapToGrid w:val="0"/>
        <w:spacing w:line="575" w:lineRule="exact"/>
        <w:ind w:left="720"/>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2.1.2作业中管理要求</w:t>
      </w:r>
    </w:p>
    <w:p>
      <w:pPr>
        <w:snapToGrid w:val="0"/>
        <w:spacing w:line="575" w:lineRule="exact"/>
        <w:ind w:firstLine="640" w:firstLineChars="200"/>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按照甲方要求参加值班例会或项目例会，按时提报的工作计划或作业任务，定期开展安全检查并整改关闭，按照规定办理危险作业等作业许可，开展安全事故应急处置。</w:t>
      </w:r>
    </w:p>
    <w:p>
      <w:pPr>
        <w:snapToGrid w:val="0"/>
        <w:spacing w:line="575" w:lineRule="exact"/>
        <w:ind w:firstLine="640" w:firstLineChars="200"/>
        <w:rPr>
          <w:rFonts w:hint="eastAsia" w:ascii="仿宋_GB2312" w:hAnsi="楷体" w:eastAsia="仿宋_GB2312" w:cs="楷体"/>
          <w:color w:val="auto"/>
          <w:sz w:val="32"/>
          <w:szCs w:val="32"/>
          <w:highlight w:val="none"/>
        </w:rPr>
      </w:pPr>
      <w:r>
        <w:rPr>
          <w:rFonts w:hint="eastAsia" w:ascii="仿宋_GB2312" w:eastAsia="仿宋_GB2312"/>
          <w:color w:val="auto"/>
          <w:sz w:val="32"/>
          <w:szCs w:val="32"/>
          <w:highlight w:val="none"/>
        </w:rPr>
        <w:t>禁止擅自改变每日作业活动的性质、范围和条件，禁止在作业任务规定时间之外开展作业，禁止在无人监管的情况下开展作业。</w:t>
      </w:r>
    </w:p>
    <w:p>
      <w:pPr>
        <w:snapToGrid w:val="0"/>
        <w:spacing w:line="575" w:lineRule="exact"/>
        <w:ind w:firstLine="640" w:firstLineChars="200"/>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——负责提报的《每日作业计划》；</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——按照施工方案落实风险管控措施</w:t>
      </w:r>
      <w:r>
        <w:rPr>
          <w:rFonts w:hint="eastAsia" w:ascii="仿宋_GB2312" w:hAnsi="仿宋" w:eastAsia="仿宋_GB2312" w:cs="仿宋"/>
          <w:color w:val="auto"/>
          <w:sz w:val="32"/>
          <w:szCs w:val="32"/>
          <w:highlight w:val="none"/>
        </w:rPr>
        <w:t>；</w:t>
      </w:r>
    </w:p>
    <w:p>
      <w:pPr>
        <w:snapToGrid w:val="0"/>
        <w:spacing w:line="575" w:lineRule="exact"/>
        <w:ind w:firstLine="640" w:firstLineChars="200"/>
        <w:rPr>
          <w:rFonts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——负责指挥</w:t>
      </w:r>
      <w:r>
        <w:rPr>
          <w:rFonts w:hint="eastAsia" w:ascii="仿宋_GB2312" w:hAnsi="仿宋" w:eastAsia="仿宋_GB2312" w:cs="仿宋"/>
          <w:color w:val="auto"/>
          <w:sz w:val="32"/>
          <w:szCs w:val="32"/>
          <w:highlight w:val="none"/>
        </w:rPr>
        <w:t>现场安全生产事故应急救援工作，并及时向甲方报告，并积极配合甲方的应急指挥、协调事故救援工作。</w:t>
      </w:r>
    </w:p>
    <w:p>
      <w:pPr>
        <w:snapToGrid w:val="0"/>
        <w:spacing w:line="575" w:lineRule="exact"/>
        <w:ind w:firstLine="640" w:firstLineChars="200"/>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——按照甲方制度要求，危险作业办理许可方可作业；按照甲方变更作业相关制度实施变更作业管理；</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——特种作业人员须持有与作业相应的、合格的特种作业证，特种设备操作人员需持有效的特种设备操作员证；</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w:t>
      </w:r>
      <w:r>
        <w:rPr>
          <w:rFonts w:hint="eastAsia" w:ascii="仿宋_GB2312" w:hAnsi="仿宋" w:eastAsia="仿宋_GB2312" w:cs="仿宋"/>
          <w:color w:val="auto"/>
          <w:sz w:val="32"/>
          <w:szCs w:val="32"/>
          <w:highlight w:val="none"/>
        </w:rPr>
        <w:t>现场存在交叉作业时，应服从甲方协调、指挥。</w:t>
      </w:r>
    </w:p>
    <w:p>
      <w:pPr>
        <w:snapToGrid w:val="0"/>
        <w:spacing w:line="575" w:lineRule="exact"/>
        <w:ind w:firstLine="720" w:firstLineChars="225"/>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——施工过程中，存在重大变更（方案、工具、人员等）或重大隐患、事故征兆以及事故的情况，应及时、如实报告甲方。</w:t>
      </w:r>
    </w:p>
    <w:p>
      <w:pPr>
        <w:widowControl/>
        <w:ind w:firstLine="640" w:firstLineChars="200"/>
        <w:jc w:val="left"/>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w:t>
      </w:r>
      <w:r>
        <w:rPr>
          <w:rFonts w:hint="eastAsia" w:ascii="仿宋_GB2312" w:hAnsi="仿宋" w:eastAsia="仿宋_GB2312" w:cs="仿宋"/>
          <w:color w:val="auto"/>
          <w:sz w:val="32"/>
          <w:szCs w:val="32"/>
          <w:highlight w:val="none"/>
        </w:rPr>
        <w:t>涉及危大工程的，</w:t>
      </w:r>
      <w:r>
        <w:rPr>
          <w:rFonts w:hint="eastAsia" w:ascii="仿宋_GB2312" w:eastAsia="仿宋_GB2312"/>
          <w:color w:val="auto"/>
          <w:sz w:val="32"/>
          <w:szCs w:val="32"/>
          <w:highlight w:val="none"/>
        </w:rPr>
        <w:t>根据《危险性较大的分部分项工程安全管理规定》及甲方相关制度标准，组织编制危大工程专项施工方案。</w:t>
      </w:r>
    </w:p>
    <w:p>
      <w:pPr>
        <w:widowControl/>
        <w:ind w:firstLine="640" w:firstLineChars="200"/>
        <w:jc w:val="left"/>
        <w:rPr>
          <w:rFonts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w:t>
      </w:r>
      <w:r>
        <w:rPr>
          <w:rFonts w:hint="eastAsia" w:ascii="仿宋_GB2312" w:hAnsi="仿宋" w:eastAsia="仿宋_GB2312" w:cs="仿宋"/>
          <w:color w:val="auto"/>
          <w:sz w:val="32"/>
          <w:szCs w:val="32"/>
          <w:highlight w:val="none"/>
        </w:rPr>
        <w:t>作业过程中违反国家有关法律法规造成损失的，承担相应责任，若因此给甲方造成损失或处罚的，承担经济损失。</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楷体" w:eastAsia="仿宋_GB2312" w:cs="楷体"/>
          <w:color w:val="auto"/>
          <w:sz w:val="32"/>
          <w:szCs w:val="32"/>
          <w:highlight w:val="none"/>
        </w:rPr>
        <w:t>——</w:t>
      </w:r>
      <w:r>
        <w:rPr>
          <w:rFonts w:hint="eastAsia" w:ascii="仿宋_GB2312" w:hAnsi="仿宋" w:eastAsia="仿宋_GB2312" w:cs="仿宋"/>
          <w:color w:val="auto"/>
          <w:sz w:val="32"/>
          <w:szCs w:val="32"/>
          <w:highlight w:val="none"/>
        </w:rPr>
        <w:t>作业过程中严禁使用</w:t>
      </w:r>
      <w:r>
        <w:rPr>
          <w:rFonts w:ascii="仿宋_GB2312" w:hAnsi="仿宋" w:eastAsia="仿宋_GB2312" w:cs="仿宋"/>
          <w:color w:val="auto"/>
          <w:sz w:val="32"/>
          <w:szCs w:val="32"/>
          <w:highlight w:val="none"/>
        </w:rPr>
        <w:t>国家明令禁止使用或耗能大、对环境造成较大破坏的设备</w:t>
      </w:r>
      <w:r>
        <w:rPr>
          <w:rFonts w:hint="eastAsia" w:ascii="仿宋_GB2312" w:hAnsi="仿宋" w:eastAsia="仿宋_GB2312" w:cs="仿宋"/>
          <w:color w:val="auto"/>
          <w:sz w:val="32"/>
          <w:szCs w:val="32"/>
          <w:highlight w:val="none"/>
        </w:rPr>
        <w:t>设施，运输车辆需符合排放标准要求，作业现场需做好防扬撒措施，规范处置作业过程中产生的固废、危废。</w:t>
      </w:r>
    </w:p>
    <w:p>
      <w:pPr>
        <w:snapToGrid w:val="0"/>
        <w:spacing w:line="575" w:lineRule="exact"/>
        <w:ind w:left="720"/>
        <w:rPr>
          <w:rFonts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2.1.3作业后管理要求</w:t>
      </w:r>
    </w:p>
    <w:p>
      <w:pPr>
        <w:snapToGrid w:val="0"/>
        <w:spacing w:line="575" w:lineRule="exact"/>
        <w:ind w:firstLine="640" w:firstLineChars="200"/>
        <w:rPr>
          <w:rFonts w:hint="eastAsia" w:ascii="仿宋_GB2312" w:hAnsi="楷体" w:eastAsia="仿宋_GB2312" w:cs="楷体"/>
          <w:color w:val="auto"/>
          <w:sz w:val="32"/>
          <w:szCs w:val="32"/>
          <w:highlight w:val="none"/>
        </w:rPr>
      </w:pPr>
      <w:r>
        <w:rPr>
          <w:rFonts w:hint="eastAsia" w:ascii="仿宋_GB2312" w:hAnsi="楷体" w:eastAsia="仿宋_GB2312" w:cs="楷体"/>
          <w:color w:val="auto"/>
          <w:sz w:val="32"/>
          <w:szCs w:val="32"/>
          <w:highlight w:val="none"/>
        </w:rPr>
        <w:t>对甲方提供的技术资料保密，并提供真实有效的竣工验收资料。</w:t>
      </w:r>
    </w:p>
    <w:p>
      <w:pPr>
        <w:snapToGrid w:val="0"/>
        <w:spacing w:line="575" w:lineRule="exact"/>
        <w:ind w:firstLine="640" w:firstLineChars="200"/>
        <w:rPr>
          <w:rFonts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——对甲方提供的技术资料的保密性负责；</w:t>
      </w:r>
    </w:p>
    <w:p>
      <w:pPr>
        <w:snapToGrid w:val="0"/>
        <w:spacing w:line="575" w:lineRule="exact"/>
        <w:ind w:firstLine="640" w:firstLineChars="200"/>
        <w:rPr>
          <w:rFonts w:hint="eastAsia" w:ascii="仿宋_GB2312" w:hAnsi="楷体" w:eastAsia="仿宋_GB2312" w:cs="楷体"/>
          <w:color w:val="auto"/>
          <w:sz w:val="32"/>
          <w:szCs w:val="32"/>
          <w:highlight w:val="none"/>
        </w:rPr>
      </w:pPr>
      <w:r>
        <w:rPr>
          <w:rFonts w:hint="eastAsia" w:ascii="仿宋_GB2312" w:hAnsi="仿宋" w:eastAsia="仿宋_GB2312" w:cs="仿宋"/>
          <w:color w:val="auto"/>
          <w:sz w:val="32"/>
          <w:szCs w:val="32"/>
          <w:highlight w:val="none"/>
        </w:rPr>
        <w:t>——对提交竣工验收相关资料的真实性负责</w:t>
      </w:r>
      <w:r>
        <w:rPr>
          <w:rFonts w:hint="eastAsia" w:ascii="仿宋_GB2312" w:hAnsi="楷体" w:eastAsia="仿宋_GB2312" w:cs="楷体"/>
          <w:color w:val="auto"/>
          <w:sz w:val="32"/>
          <w:szCs w:val="32"/>
          <w:highlight w:val="none"/>
        </w:rPr>
        <w:t>。</w:t>
      </w:r>
    </w:p>
    <w:p>
      <w:pPr>
        <w:snapToGrid w:val="0"/>
        <w:spacing w:line="575" w:lineRule="exact"/>
        <w:ind w:firstLine="640" w:firstLineChars="200"/>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2.2 权利</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2.2.1 有权拒绝甲方的违章指挥、强令冒险作业要求。</w:t>
      </w:r>
    </w:p>
    <w:p>
      <w:pPr>
        <w:adjustRightInd w:val="0"/>
        <w:snapToGrid w:val="0"/>
        <w:spacing w:line="575" w:lineRule="exac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3 违约追偿</w:t>
      </w:r>
    </w:p>
    <w:p>
      <w:pPr>
        <w:snapToGrid w:val="0"/>
        <w:spacing w:line="575" w:lineRule="exact"/>
        <w:ind w:firstLine="640" w:firstLineChars="200"/>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pPr>
        <w:adjustRightInd w:val="0"/>
        <w:snapToGrid w:val="0"/>
        <w:spacing w:line="575" w:lineRule="exac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4 协议有效期</w:t>
      </w:r>
    </w:p>
    <w:p>
      <w:pPr>
        <w:pStyle w:val="20"/>
        <w:snapToGrid w:val="0"/>
        <w:spacing w:after="0" w:line="575" w:lineRule="exact"/>
        <w:ind w:firstLine="681" w:firstLineChars="213"/>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本协议有效期与合同一致，到期后双方尚有合同的权利义务未履行完毕的，协议有效期延续至合同履行完毕时止。</w:t>
      </w:r>
    </w:p>
    <w:p>
      <w:pPr>
        <w:adjustRightInd w:val="0"/>
        <w:snapToGrid w:val="0"/>
        <w:spacing w:line="575" w:lineRule="exac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5 协议效力</w:t>
      </w:r>
    </w:p>
    <w:p>
      <w:pPr>
        <w:snapToGrid w:val="0"/>
        <w:spacing w:line="575" w:lineRule="exact"/>
        <w:ind w:firstLine="681" w:firstLineChars="213"/>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本协议与合同具有同等效力。本协议一式两份，甲、乙双方各持一份，双方盖章后生效，具有同等的法律效力。</w:t>
      </w:r>
    </w:p>
    <w:p>
      <w:pPr>
        <w:snapToGrid w:val="0"/>
        <w:spacing w:line="575" w:lineRule="exact"/>
        <w:rPr>
          <w:rFonts w:hint="eastAsia" w:ascii="仿宋_GB2312" w:hAnsi="仿宋" w:eastAsia="仿宋_GB2312" w:cs="仿宋"/>
          <w:color w:val="auto"/>
          <w:sz w:val="32"/>
          <w:szCs w:val="32"/>
          <w:highlight w:val="none"/>
        </w:rPr>
      </w:pPr>
    </w:p>
    <w:p>
      <w:pPr>
        <w:snapToGrid w:val="0"/>
        <w:spacing w:line="575" w:lineRule="exact"/>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甲方（盖章）：                乙方（盖章）：</w:t>
      </w:r>
    </w:p>
    <w:p>
      <w:pPr>
        <w:snapToGrid w:val="0"/>
        <w:spacing w:line="575" w:lineRule="exact"/>
        <w:rPr>
          <w:rFonts w:hint="eastAsia" w:ascii="仿宋_GB2312" w:hAnsi="仿宋" w:eastAsia="仿宋_GB2312" w:cs="仿宋"/>
          <w:color w:val="auto"/>
          <w:sz w:val="32"/>
          <w:szCs w:val="32"/>
          <w:highlight w:val="none"/>
        </w:rPr>
      </w:pPr>
      <w:r>
        <w:rPr>
          <w:rFonts w:hint="eastAsia" w:ascii="仿宋_GB2312" w:hAnsi="仿宋" w:eastAsia="仿宋_GB2312" w:cs="仿宋"/>
          <w:color w:val="auto"/>
          <w:sz w:val="32"/>
          <w:szCs w:val="32"/>
          <w:highlight w:val="none"/>
        </w:rPr>
        <w:t xml:space="preserve">      年   月   日                  年   月   日</w:t>
      </w:r>
    </w:p>
    <w:p>
      <w:pPr>
        <w:spacing w:line="240" w:lineRule="auto"/>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br w:type="page"/>
      </w:r>
    </w:p>
    <w:p>
      <w:pPr>
        <w:spacing w:line="440" w:lineRule="exact"/>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表</w:t>
      </w:r>
      <w:r>
        <w:rPr>
          <w:rFonts w:asciiTheme="minorEastAsia" w:hAnsiTheme="minorEastAsia" w:eastAsiaTheme="minorEastAsia" w:cstheme="minorEastAsia"/>
          <w:b/>
          <w:color w:val="auto"/>
          <w:sz w:val="24"/>
          <w:highlight w:val="none"/>
        </w:rPr>
        <w:t xml:space="preserve">1 </w:t>
      </w:r>
      <w:r>
        <w:rPr>
          <w:rFonts w:hint="eastAsia" w:asciiTheme="minorEastAsia" w:hAnsiTheme="minorEastAsia" w:eastAsiaTheme="minorEastAsia" w:cstheme="minorEastAsia"/>
          <w:b/>
          <w:color w:val="auto"/>
          <w:sz w:val="24"/>
          <w:highlight w:val="none"/>
        </w:rPr>
        <w:t>安全环保处罚细则</w:t>
      </w:r>
    </w:p>
    <w:tbl>
      <w:tblPr>
        <w:tblStyle w:val="22"/>
        <w:tblW w:w="5000" w:type="pct"/>
        <w:jc w:val="center"/>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1462"/>
        <w:gridCol w:w="6641"/>
        <w:gridCol w:w="1859"/>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34" w:type="pct"/>
            <w:tcBorders>
              <w:top w:val="single" w:color="auto" w:sz="12" w:space="0"/>
              <w:bottom w:val="inset" w:color="auto" w:sz="6" w:space="0"/>
            </w:tcBorders>
            <w:shd w:val="clear" w:color="auto" w:fill="D99594" w:themeFill="accent2" w:themeFillTint="99"/>
            <w:vAlign w:val="center"/>
          </w:tcPr>
          <w:p>
            <w:pPr>
              <w:snapToGrid w:val="0"/>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项目</w:t>
            </w:r>
          </w:p>
        </w:tc>
        <w:tc>
          <w:tcPr>
            <w:tcW w:w="3333" w:type="pct"/>
            <w:tcBorders>
              <w:top w:val="single" w:color="auto" w:sz="12" w:space="0"/>
              <w:bottom w:val="inset" w:color="auto" w:sz="6" w:space="0"/>
            </w:tcBorders>
            <w:shd w:val="clear" w:color="auto" w:fill="D99594" w:themeFill="accent2" w:themeFillTint="99"/>
            <w:vAlign w:val="center"/>
          </w:tcPr>
          <w:p>
            <w:pPr>
              <w:snapToGrid w:val="0"/>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违反文明安全施工行为</w:t>
            </w:r>
          </w:p>
        </w:tc>
        <w:tc>
          <w:tcPr>
            <w:tcW w:w="933" w:type="pct"/>
            <w:tcBorders>
              <w:top w:val="single" w:color="auto" w:sz="12" w:space="0"/>
              <w:bottom w:val="inset" w:color="auto" w:sz="6" w:space="0"/>
            </w:tcBorders>
            <w:shd w:val="clear" w:color="auto" w:fill="D99594" w:themeFill="accent2" w:themeFillTint="99"/>
            <w:vAlign w:val="center"/>
          </w:tcPr>
          <w:p>
            <w:pPr>
              <w:snapToGrid w:val="0"/>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罚款金额</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restart"/>
            <w:tcBorders>
              <w:top w:val="inset" w:color="auto" w:sz="6" w:space="0"/>
            </w:tcBorders>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1.劳动保护</w:t>
            </w:r>
          </w:p>
        </w:tc>
        <w:tc>
          <w:tcPr>
            <w:tcW w:w="3333" w:type="pct"/>
            <w:tcBorders>
              <w:top w:val="inset" w:color="auto" w:sz="6" w:space="0"/>
            </w:tcBorders>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1、未向从业人员配备合规的劳动防护用品。</w:t>
            </w:r>
          </w:p>
        </w:tc>
        <w:tc>
          <w:tcPr>
            <w:tcW w:w="933" w:type="pct"/>
            <w:tcBorders>
              <w:top w:val="inset" w:color="auto" w:sz="6" w:space="0"/>
            </w:tcBorders>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500元/起</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2、使用不符合国标的劳动防护用品。</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3、作业时未穿戴、未规范穿戴劳动防护用品。</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restar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2.“三违”</w:t>
            </w: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1、从业人员串岗、脱岗、睡岗。</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2、从业人员入厂前未做安全教育培训和安全技术交底的。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3、未组织施工、作业人员进行班前会。</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4、吊装时吊臂下站人、吊装区域不采取安全防护措施的。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5、设备带病运转、未定期检查维保。</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6、不按规定从固定通道进出、上下。</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7、设备设施安全防护缺陷、缺失。</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8、高处抛物。</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9、危险性大的施工方案未经审批。</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10、起重、提升设备、车辆等设备违规载人。</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11、违章指挥。</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12、特种设备未经检验、未登记使用；特种作业人员、特种设备操作人员未持证上岗。</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13、未定期开展安全环保隐患排查、未落实整改。</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restar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3.文明施工、作业</w:t>
            </w: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1、随地大小便。</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2、酒后上岗。</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3、野蛮作业或吵骂打架。</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4、禁烟区域、厂房内吸烟。</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5、人员、车辆未按照规定路线行走或行驶、超速。</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6、进场人员未佩戴外来施工出入证或无证进出。</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500元/人</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restar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4.现场管理</w:t>
            </w: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1、承包商管理人员未按要求开展安全检查。</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2、施工、作业场地未做好隔离围蔽措施、未进行人员进出管控的。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3、危险化学品、危废未按规定进行管理。</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4、施工作业器具、材料、垃圾，未及时清理的。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5、施工、作业现场未实行定置管理，物品摆放无序，严重脏、乱、差的。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6、未按规定做好各项安全措施；安全防护设施（楼梯防护栏杆、洞口防护及临边防护等）不到位（无防护或防护不严密）。</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7、施工、作业现场不设置安全警示、告知牌。</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8、危险作业过程中，监护人不在作业现场。</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9、危险作业未办理作业安全许可证的。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10、危险作业安全许可证办理不规范的。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restar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w:t>
            </w:r>
            <w:r>
              <w:rPr>
                <w:rFonts w:hint="eastAsia" w:asciiTheme="minorEastAsia" w:hAnsiTheme="minorEastAsia" w:eastAsiaTheme="minorEastAsia" w:cstheme="minorEastAsia"/>
                <w:color w:val="auto"/>
                <w:sz w:val="24"/>
                <w:highlight w:val="none"/>
                <w:lang w:eastAsia="zh-CN"/>
              </w:rPr>
              <w:t>大门及其门禁管理系统</w:t>
            </w:r>
            <w:r>
              <w:rPr>
                <w:rFonts w:asciiTheme="minorEastAsia" w:hAnsiTheme="minorEastAsia" w:eastAsiaTheme="minorEastAsia" w:cstheme="minorEastAsia"/>
                <w:color w:val="auto"/>
                <w:sz w:val="24"/>
                <w:highlight w:val="none"/>
              </w:rPr>
              <w:t>安全管理</w:t>
            </w: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lang w:eastAsia="zh-CN"/>
              </w:rPr>
              <w:t>大门及其门禁管理系统</w:t>
            </w:r>
            <w:r>
              <w:rPr>
                <w:rFonts w:asciiTheme="minorEastAsia" w:hAnsiTheme="minorEastAsia" w:eastAsiaTheme="minorEastAsia" w:cstheme="minorEastAsia"/>
                <w:color w:val="auto"/>
                <w:sz w:val="24"/>
                <w:highlight w:val="none"/>
              </w:rPr>
              <w:t>安全附件缺失、损坏、无效的。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1000元起</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2、违规存放、搬运、使用氧气、乙炔、违规切割作业的。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3、氧气、乙炔瓶或管道存在漏气现象。</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500元起</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restar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6.电气安全</w:t>
            </w: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1、密闭空间作业照明，未使用安全电压。</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2、用电器无接地、接地不良。</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500元起</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3、临时电缆未规范架设、或防护不到位。</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4、私拉乱接电线、线路老化破损的。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500元起</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5、施工现场临时用电没有采用三级配电、二级保护，用电设备没有采取一机一闸一漏的。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6、露天电气箱无防雨装置。</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restar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7.消防安全</w:t>
            </w: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1、未按规定配置灭火器材的。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2、消防器材未定期检查，灭火器材过期、失效的。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3、随意动用灭火器材的，或使用后未及时报告的。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4、擅自携带火种进入厂区禁火区域的。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restar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8.生产安全事故</w:t>
            </w: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1、轻伤事故。</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2千-2万元/人/次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2、重伤事故。</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2万-5万元/人/次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3、死亡事故。</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30万元/人/次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4、隐瞒事故。</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2千-2万元/人/次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restar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9.其他</w:t>
            </w:r>
          </w:p>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1、其他安全环保隐患或不文明作业现象，足以引发事故的。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2、造成公司设备设施损坏，按价赔偿，并处罚。</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按实际情况</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3、偷盗公司物品的每次给予相关单位罚款处理，严重者交公安机关。</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1000元/起</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4、项目经理、负责人未请假离开现场两天以上的。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5、现场安全员未请假的。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2000元/次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6、其他未列明的违反安全环保、文明施工的行为。</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1000元/次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7、发生安全事故，隐瞒事故原因及责任人的。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5000元/次</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8、伪造证照，欺瞒发包人的。</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按实际情况</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734" w:type="pct"/>
            <w:vMerge w:val="continue"/>
            <w:shd w:val="clear" w:color="auto" w:fill="auto"/>
            <w:vAlign w:val="center"/>
          </w:tcPr>
          <w:p>
            <w:pPr>
              <w:snapToGrid w:val="0"/>
              <w:jc w:val="left"/>
              <w:rPr>
                <w:rFonts w:asciiTheme="minorEastAsia" w:hAnsiTheme="minorEastAsia" w:eastAsiaTheme="minorEastAsia" w:cstheme="minorEastAsia"/>
                <w:color w:val="auto"/>
                <w:sz w:val="24"/>
                <w:highlight w:val="none"/>
              </w:rPr>
            </w:pPr>
          </w:p>
        </w:tc>
        <w:tc>
          <w:tcPr>
            <w:tcW w:w="3333" w:type="pct"/>
            <w:shd w:val="clear" w:color="auto" w:fill="auto"/>
            <w:vAlign w:val="center"/>
          </w:tcPr>
          <w:p>
            <w:pPr>
              <w:snapToGrid w:val="0"/>
              <w:jc w:val="lef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9、其他未尽事宜，发包人有权参照类似情形或具体情形进行相应处罚。</w:t>
            </w:r>
          </w:p>
        </w:tc>
        <w:tc>
          <w:tcPr>
            <w:tcW w:w="933" w:type="pct"/>
            <w:shd w:val="clear" w:color="auto" w:fill="auto"/>
            <w:vAlign w:val="center"/>
          </w:tcPr>
          <w:p>
            <w:pPr>
              <w:snapToGrid w:val="0"/>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按实际情况</w:t>
            </w:r>
          </w:p>
        </w:tc>
      </w:tr>
    </w:tbl>
    <w:p>
      <w:pPr>
        <w:spacing w:line="240" w:lineRule="auto"/>
        <w:ind w:firstLine="0"/>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br w:type="page"/>
      </w:r>
    </w:p>
    <w:p>
      <w:pPr>
        <w:pStyle w:val="4"/>
        <w:rPr>
          <w:rFonts w:asciiTheme="minorEastAsia" w:hAnsiTheme="minorEastAsia" w:eastAsiaTheme="minorEastAsia" w:cstheme="minorEastAsia"/>
          <w:color w:val="auto"/>
          <w:sz w:val="24"/>
          <w:szCs w:val="24"/>
          <w:highlight w:val="none"/>
        </w:rPr>
      </w:pPr>
      <w:bookmarkStart w:id="56" w:name="_Toc124269255"/>
      <w:r>
        <w:rPr>
          <w:rFonts w:hint="eastAsia" w:asciiTheme="minorEastAsia" w:hAnsiTheme="minorEastAsia" w:eastAsiaTheme="minorEastAsia" w:cstheme="minorEastAsia"/>
          <w:color w:val="auto"/>
          <w:sz w:val="24"/>
          <w:szCs w:val="24"/>
          <w:highlight w:val="none"/>
        </w:rPr>
        <w:t>附件</w:t>
      </w:r>
      <w:r>
        <w:rPr>
          <w:rFonts w:asciiTheme="minorEastAsia" w:hAnsiTheme="minorEastAsia" w:eastAsiaTheme="minorEastAsia" w:cstheme="minorEastAsia"/>
          <w:color w:val="auto"/>
          <w:sz w:val="24"/>
          <w:szCs w:val="24"/>
          <w:highlight w:val="none"/>
        </w:rPr>
        <w:t xml:space="preserve">5. </w:t>
      </w:r>
      <w:r>
        <w:rPr>
          <w:rFonts w:hint="eastAsia" w:asciiTheme="minorEastAsia" w:hAnsiTheme="minorEastAsia" w:eastAsiaTheme="minorEastAsia" w:cstheme="minorEastAsia"/>
          <w:color w:val="auto"/>
          <w:sz w:val="24"/>
          <w:szCs w:val="24"/>
          <w:highlight w:val="none"/>
        </w:rPr>
        <w:t>承诺书</w:t>
      </w:r>
      <w:bookmarkEnd w:id="56"/>
    </w:p>
    <w:p>
      <w:pPr>
        <w:spacing w:line="440" w:lineRule="exact"/>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承诺书</w:t>
      </w:r>
    </w:p>
    <w:p>
      <w:pPr>
        <w:spacing w:line="360" w:lineRule="auto"/>
        <w:ind w:firstLine="480" w:firstLineChars="200"/>
        <w:rPr>
          <w:rFonts w:asciiTheme="minorEastAsia" w:hAnsiTheme="minorEastAsia" w:eastAsiaTheme="minorEastAsia" w:cstheme="minorEastAsia"/>
          <w:color w:val="auto"/>
          <w:sz w:val="24"/>
          <w:highlight w:val="none"/>
        </w:rPr>
      </w:pP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兹承诺本公司提供的货物或其任何一部分均不会侵犯任何第三方的专利权、商标权或著作权等知识产权。否则，我司愿意赔偿</w:t>
      </w:r>
      <w:r>
        <w:rPr>
          <w:rFonts w:hint="eastAsia" w:asciiTheme="minorEastAsia" w:hAnsiTheme="minorEastAsia" w:eastAsiaTheme="minorEastAsia" w:cstheme="minorEastAsia"/>
          <w:color w:val="auto"/>
          <w:sz w:val="24"/>
          <w:highlight w:val="none"/>
          <w:u w:val="single"/>
        </w:rPr>
        <w:t>中粮糖业（漳州）有限公司</w:t>
      </w:r>
      <w:r>
        <w:rPr>
          <w:rFonts w:hint="eastAsia" w:asciiTheme="minorEastAsia" w:hAnsiTheme="minorEastAsia" w:eastAsiaTheme="minorEastAsia" w:cstheme="minorEastAsia"/>
          <w:color w:val="auto"/>
          <w:sz w:val="24"/>
          <w:highlight w:val="none"/>
        </w:rPr>
        <w:t>因此受到的全部直接损失和间接损失（包括但不限于</w:t>
      </w:r>
      <w:r>
        <w:rPr>
          <w:rFonts w:hint="eastAsia" w:asciiTheme="minorEastAsia" w:hAnsiTheme="minorEastAsia" w:eastAsiaTheme="minorEastAsia" w:cstheme="minorEastAsia"/>
          <w:color w:val="auto"/>
          <w:sz w:val="24"/>
          <w:highlight w:val="none"/>
          <w:u w:val="single"/>
        </w:rPr>
        <w:t>中粮糖业（漳州）有限公司</w:t>
      </w:r>
      <w:r>
        <w:rPr>
          <w:rFonts w:hint="eastAsia" w:asciiTheme="minorEastAsia" w:hAnsiTheme="minorEastAsia" w:eastAsiaTheme="minorEastAsia" w:cstheme="minorEastAsia"/>
          <w:color w:val="auto"/>
          <w:sz w:val="24"/>
          <w:highlight w:val="none"/>
        </w:rPr>
        <w:t>因此受到的行政处罚、民事赔偿以及支出的律师费和相关诉讼费用）。</w:t>
      </w:r>
    </w:p>
    <w:p>
      <w:pPr>
        <w:spacing w:line="440" w:lineRule="exact"/>
        <w:ind w:firstLine="480" w:firstLineChars="200"/>
        <w:jc w:val="right"/>
        <w:rPr>
          <w:rFonts w:asciiTheme="minorEastAsia" w:hAnsiTheme="minorEastAsia" w:eastAsiaTheme="minorEastAsia" w:cstheme="minorEastAsia"/>
          <w:color w:val="auto"/>
          <w:sz w:val="24"/>
          <w:highlight w:val="none"/>
        </w:rPr>
      </w:pPr>
      <w:r>
        <w:rPr>
          <w:rFonts w:asciiTheme="minorEastAsia" w:hAnsiTheme="minorEastAsia" w:eastAsiaTheme="minorEastAsia" w:cstheme="minorEastAsia"/>
          <w:color w:val="auto"/>
          <w:sz w:val="24"/>
          <w:highlight w:val="none"/>
        </w:rPr>
        <w:t>XX公司（公章）</w:t>
      </w:r>
    </w:p>
    <w:p>
      <w:pPr>
        <w:spacing w:line="440" w:lineRule="exact"/>
        <w:ind w:firstLine="480" w:firstLineChars="200"/>
        <w:jc w:val="right"/>
        <w:rPr>
          <w:rFonts w:asciiTheme="minorEastAsia" w:hAnsiTheme="minorEastAsia" w:eastAsiaTheme="minorEastAsia"/>
          <w:color w:val="auto"/>
          <w:sz w:val="24"/>
          <w:highlight w:val="none"/>
        </w:rPr>
      </w:pPr>
      <w:r>
        <w:rPr>
          <w:rFonts w:hint="eastAsia" w:asciiTheme="minorEastAsia" w:hAnsiTheme="minorEastAsia" w:eastAsiaTheme="minorEastAsia" w:cstheme="minorEastAsia"/>
          <w:color w:val="auto"/>
          <w:sz w:val="24"/>
          <w:highlight w:val="none"/>
        </w:rPr>
        <w:t>年</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月</w:t>
      </w:r>
      <w:r>
        <w:rPr>
          <w:rFonts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rPr>
        <w:t>日</w:t>
      </w:r>
    </w:p>
    <w:p>
      <w:pPr>
        <w:jc w:val="center"/>
        <w:rPr>
          <w:rFonts w:asciiTheme="minorEastAsia" w:hAnsiTheme="minorEastAsia" w:eastAsiaTheme="minorEastAsia"/>
          <w:b/>
          <w:color w:val="auto"/>
          <w:sz w:val="24"/>
          <w:highlight w:val="none"/>
        </w:rPr>
        <w:sectPr>
          <w:footerReference r:id="rId6" w:type="default"/>
          <w:pgSz w:w="11906" w:h="16838"/>
          <w:pgMar w:top="1440" w:right="1080" w:bottom="1440" w:left="1080" w:header="850" w:footer="992" w:gutter="0"/>
          <w:cols w:space="720" w:num="1"/>
          <w:docGrid w:linePitch="326" w:charSpace="0"/>
        </w:sectPr>
      </w:pPr>
    </w:p>
    <w:bookmarkEnd w:id="29"/>
    <w:p>
      <w:pPr>
        <w:spacing w:line="320" w:lineRule="exact"/>
        <w:rPr>
          <w:rFonts w:asciiTheme="minorEastAsia" w:hAnsiTheme="minorEastAsia" w:eastAsiaTheme="minorEastAsia"/>
          <w:color w:val="auto"/>
          <w:szCs w:val="21"/>
          <w:highlight w:val="none"/>
        </w:rPr>
      </w:pPr>
    </w:p>
    <w:p>
      <w:pPr>
        <w:jc w:val="center"/>
        <w:rPr>
          <w:rFonts w:asciiTheme="minorEastAsia" w:hAnsiTheme="minorEastAsia" w:eastAsiaTheme="minorEastAsia"/>
          <w:b/>
          <w:color w:val="auto"/>
          <w:sz w:val="44"/>
          <w:szCs w:val="44"/>
          <w:highlight w:val="none"/>
        </w:rPr>
      </w:pPr>
      <w:r>
        <w:rPr>
          <w:rFonts w:hint="eastAsia" w:asciiTheme="minorEastAsia" w:hAnsiTheme="minorEastAsia" w:eastAsiaTheme="minorEastAsia"/>
          <w:b/>
          <w:color w:val="auto"/>
          <w:sz w:val="44"/>
          <w:szCs w:val="44"/>
          <w:highlight w:val="none"/>
        </w:rPr>
        <w:t>第五部分</w:t>
      </w:r>
    </w:p>
    <w:p>
      <w:pPr>
        <w:jc w:val="center"/>
        <w:rPr>
          <w:rFonts w:asciiTheme="minorEastAsia" w:hAnsiTheme="minorEastAsia" w:eastAsiaTheme="minorEastAsia"/>
          <w:b/>
          <w:color w:val="auto"/>
          <w:sz w:val="44"/>
          <w:szCs w:val="44"/>
          <w:highlight w:val="none"/>
        </w:rPr>
      </w:pPr>
      <w:r>
        <w:rPr>
          <w:rFonts w:hint="eastAsia" w:asciiTheme="minorEastAsia" w:hAnsiTheme="minorEastAsia" w:eastAsiaTheme="minorEastAsia"/>
          <w:b/>
          <w:color w:val="auto"/>
          <w:sz w:val="44"/>
          <w:szCs w:val="44"/>
          <w:highlight w:val="none"/>
        </w:rPr>
        <w:t>响应文件格式</w:t>
      </w:r>
    </w:p>
    <w:p>
      <w:pPr>
        <w:ind w:firstLine="3264" w:firstLineChars="739"/>
        <w:jc w:val="left"/>
        <w:rPr>
          <w:rFonts w:asciiTheme="minorEastAsia" w:hAnsiTheme="minorEastAsia" w:eastAsiaTheme="minorEastAsia"/>
          <w:b/>
          <w:color w:val="auto"/>
          <w:sz w:val="44"/>
          <w:szCs w:val="44"/>
          <w:highlight w:val="none"/>
        </w:rPr>
        <w:sectPr>
          <w:pgSz w:w="11906" w:h="16838"/>
          <w:pgMar w:top="1440" w:right="1080" w:bottom="1440" w:left="1080" w:header="851" w:footer="992" w:gutter="0"/>
          <w:cols w:space="720" w:num="1"/>
          <w:docGrid w:linePitch="326" w:charSpace="0"/>
        </w:sectPr>
      </w:pPr>
      <w:r>
        <w:rPr>
          <w:rFonts w:hint="eastAsia" w:asciiTheme="minorEastAsia" w:hAnsiTheme="minorEastAsia" w:eastAsiaTheme="minorEastAsia"/>
          <w:b/>
          <w:color w:val="auto"/>
          <w:sz w:val="44"/>
          <w:szCs w:val="44"/>
          <w:highlight w:val="none"/>
        </w:rPr>
        <w:t>（每页均需盖章）</w:t>
      </w:r>
    </w:p>
    <w:p>
      <w:pPr>
        <w:pStyle w:val="4"/>
        <w:rPr>
          <w:rFonts w:asciiTheme="minorEastAsia" w:hAnsiTheme="minorEastAsia" w:eastAsiaTheme="minorEastAsia"/>
          <w:color w:val="auto"/>
          <w:highlight w:val="none"/>
          <w:u w:val="none"/>
        </w:rPr>
      </w:pPr>
      <w:bookmarkStart w:id="57" w:name="_Toc124269258"/>
      <w:r>
        <w:rPr>
          <w:rFonts w:hint="eastAsia" w:asciiTheme="minorEastAsia" w:hAnsiTheme="minorEastAsia" w:eastAsiaTheme="minorEastAsia"/>
          <w:color w:val="auto"/>
          <w:highlight w:val="none"/>
          <w:u w:val="none"/>
        </w:rPr>
        <w:t>报价文件封面格式：</w:t>
      </w:r>
      <w:bookmarkEnd w:id="57"/>
      <w:r>
        <w:rPr>
          <w:rFonts w:asciiTheme="minorEastAsia" w:hAnsiTheme="minorEastAsia" w:eastAsiaTheme="minorEastAsia"/>
          <w:color w:val="auto"/>
          <w:highlight w:val="none"/>
          <w:u w:val="none"/>
        </w:rPr>
        <w:t xml:space="preserve"> </w:t>
      </w:r>
    </w:p>
    <w:p>
      <w:pPr>
        <w:snapToGrid w:val="0"/>
        <w:spacing w:before="120" w:beforeLines="50" w:after="50" w:line="600" w:lineRule="atLeast"/>
        <w:jc w:val="center"/>
        <w:rPr>
          <w:rFonts w:asciiTheme="minorEastAsia" w:hAnsiTheme="minorEastAsia" w:eastAsiaTheme="minorEastAsia"/>
          <w:b/>
          <w:bCs/>
          <w:color w:val="auto"/>
          <w:sz w:val="72"/>
          <w:szCs w:val="72"/>
          <w:highlight w:val="none"/>
        </w:rPr>
      </w:pPr>
    </w:p>
    <w:p>
      <w:pPr>
        <w:snapToGrid w:val="0"/>
        <w:spacing w:before="120" w:beforeLines="50" w:after="50" w:line="600" w:lineRule="atLeast"/>
        <w:jc w:val="center"/>
        <w:rPr>
          <w:rFonts w:asciiTheme="minorEastAsia" w:hAnsiTheme="minorEastAsia" w:eastAsiaTheme="minorEastAsia"/>
          <w:b/>
          <w:bCs/>
          <w:color w:val="auto"/>
          <w:sz w:val="72"/>
          <w:szCs w:val="72"/>
          <w:highlight w:val="none"/>
        </w:rPr>
      </w:pPr>
      <w:r>
        <w:rPr>
          <w:rFonts w:hint="eastAsia" w:asciiTheme="minorEastAsia" w:hAnsiTheme="minorEastAsia" w:eastAsiaTheme="minorEastAsia"/>
          <w:b/>
          <w:bCs/>
          <w:color w:val="auto"/>
          <w:sz w:val="72"/>
          <w:szCs w:val="72"/>
          <w:highlight w:val="none"/>
        </w:rPr>
        <w:t>报</w:t>
      </w:r>
      <w:r>
        <w:rPr>
          <w:rFonts w:asciiTheme="minorEastAsia" w:hAnsiTheme="minorEastAsia" w:eastAsiaTheme="minorEastAsia"/>
          <w:b/>
          <w:bCs/>
          <w:color w:val="auto"/>
          <w:sz w:val="72"/>
          <w:szCs w:val="72"/>
          <w:highlight w:val="none"/>
        </w:rPr>
        <w:t xml:space="preserve"> </w:t>
      </w:r>
      <w:r>
        <w:rPr>
          <w:rFonts w:hint="eastAsia" w:asciiTheme="minorEastAsia" w:hAnsiTheme="minorEastAsia" w:eastAsiaTheme="minorEastAsia"/>
          <w:b/>
          <w:bCs/>
          <w:color w:val="auto"/>
          <w:sz w:val="72"/>
          <w:szCs w:val="72"/>
          <w:highlight w:val="none"/>
        </w:rPr>
        <w:t>价</w:t>
      </w:r>
      <w:r>
        <w:rPr>
          <w:rFonts w:asciiTheme="minorEastAsia" w:hAnsiTheme="minorEastAsia" w:eastAsiaTheme="minorEastAsia"/>
          <w:b/>
          <w:bCs/>
          <w:color w:val="auto"/>
          <w:sz w:val="72"/>
          <w:szCs w:val="72"/>
          <w:highlight w:val="none"/>
        </w:rPr>
        <w:t xml:space="preserve"> </w:t>
      </w:r>
      <w:r>
        <w:rPr>
          <w:rFonts w:hint="eastAsia" w:asciiTheme="minorEastAsia" w:hAnsiTheme="minorEastAsia" w:eastAsiaTheme="minorEastAsia"/>
          <w:b/>
          <w:bCs/>
          <w:color w:val="auto"/>
          <w:sz w:val="72"/>
          <w:szCs w:val="72"/>
          <w:highlight w:val="none"/>
        </w:rPr>
        <w:t>文</w:t>
      </w:r>
      <w:r>
        <w:rPr>
          <w:rFonts w:asciiTheme="minorEastAsia" w:hAnsiTheme="minorEastAsia" w:eastAsiaTheme="minorEastAsia"/>
          <w:b/>
          <w:bCs/>
          <w:color w:val="auto"/>
          <w:sz w:val="72"/>
          <w:szCs w:val="72"/>
          <w:highlight w:val="none"/>
        </w:rPr>
        <w:t xml:space="preserve"> </w:t>
      </w:r>
      <w:r>
        <w:rPr>
          <w:rFonts w:hint="eastAsia" w:asciiTheme="minorEastAsia" w:hAnsiTheme="minorEastAsia" w:eastAsiaTheme="minorEastAsia"/>
          <w:b/>
          <w:bCs/>
          <w:color w:val="auto"/>
          <w:sz w:val="72"/>
          <w:szCs w:val="72"/>
          <w:highlight w:val="none"/>
        </w:rPr>
        <w:t>件</w:t>
      </w: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项目名称：</w:t>
      </w:r>
      <w:r>
        <w:rPr>
          <w:rFonts w:asciiTheme="minorEastAsia" w:hAnsiTheme="minorEastAsia" w:eastAsiaTheme="minorEastAsia"/>
          <w:b/>
          <w:bCs/>
          <w:color w:val="auto"/>
          <w:sz w:val="32"/>
          <w:szCs w:val="32"/>
          <w:highlight w:val="none"/>
        </w:rPr>
        <w:t xml:space="preserve"> </w:t>
      </w: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项目编号：</w:t>
      </w:r>
      <w:r>
        <w:rPr>
          <w:rFonts w:asciiTheme="minorEastAsia" w:hAnsiTheme="minorEastAsia" w:eastAsiaTheme="minorEastAsia"/>
          <w:b/>
          <w:bCs/>
          <w:color w:val="auto"/>
          <w:sz w:val="32"/>
          <w:szCs w:val="32"/>
          <w:highlight w:val="none"/>
        </w:rPr>
        <w:t xml:space="preserve"> </w:t>
      </w: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供应商名称：</w:t>
      </w: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供应商地址：</w:t>
      </w:r>
    </w:p>
    <w:p>
      <w:pPr>
        <w:snapToGrid w:val="0"/>
        <w:spacing w:before="120" w:beforeLines="50" w:after="50" w:line="500" w:lineRule="exact"/>
        <w:ind w:firstLine="645"/>
        <w:jc w:val="center"/>
        <w:rPr>
          <w:rFonts w:asciiTheme="minorEastAsia" w:hAnsiTheme="minorEastAsia" w:eastAsiaTheme="minorEastAsia"/>
          <w:b/>
          <w:color w:val="auto"/>
          <w:sz w:val="32"/>
          <w:szCs w:val="32"/>
          <w:highlight w:val="none"/>
        </w:rPr>
      </w:pPr>
      <w:r>
        <w:rPr>
          <w:rFonts w:asciiTheme="minorEastAsia" w:hAnsiTheme="minorEastAsia" w:eastAsiaTheme="minorEastAsia"/>
          <w:b/>
          <w:color w:val="auto"/>
          <w:sz w:val="32"/>
          <w:szCs w:val="32"/>
          <w:highlight w:val="none"/>
        </w:rPr>
        <w:t xml:space="preserve">                        </w:t>
      </w:r>
    </w:p>
    <w:p>
      <w:pPr>
        <w:snapToGrid w:val="0"/>
        <w:spacing w:before="120" w:beforeLines="50" w:after="50" w:line="500" w:lineRule="exact"/>
        <w:ind w:firstLine="645"/>
        <w:jc w:val="center"/>
        <w:rPr>
          <w:rFonts w:asciiTheme="minorEastAsia" w:hAnsiTheme="minorEastAsia" w:eastAsiaTheme="minorEastAsia"/>
          <w:b/>
          <w:color w:val="auto"/>
          <w:sz w:val="32"/>
          <w:szCs w:val="32"/>
          <w:highlight w:val="none"/>
        </w:rPr>
        <w:sectPr>
          <w:pgSz w:w="11906" w:h="16838"/>
          <w:pgMar w:top="1440" w:right="1080" w:bottom="1440" w:left="1080" w:header="851" w:footer="992" w:gutter="0"/>
          <w:cols w:space="720" w:num="1"/>
          <w:docGrid w:linePitch="326" w:charSpace="0"/>
        </w:sectPr>
      </w:pPr>
      <w:r>
        <w:rPr>
          <w:rFonts w:hint="eastAsia" w:asciiTheme="minorEastAsia" w:hAnsiTheme="minorEastAsia" w:eastAsiaTheme="minorEastAsia"/>
          <w:b/>
          <w:color w:val="auto"/>
          <w:sz w:val="32"/>
          <w:szCs w:val="32"/>
          <w:highlight w:val="none"/>
        </w:rPr>
        <w:t>年</w:t>
      </w:r>
      <w:r>
        <w:rPr>
          <w:rFonts w:asciiTheme="minorEastAsia" w:hAnsiTheme="minorEastAsia" w:eastAsiaTheme="minorEastAsia"/>
          <w:b/>
          <w:color w:val="auto"/>
          <w:sz w:val="32"/>
          <w:szCs w:val="32"/>
          <w:highlight w:val="none"/>
        </w:rPr>
        <w:t xml:space="preserve">  </w:t>
      </w:r>
      <w:r>
        <w:rPr>
          <w:rFonts w:hint="eastAsia" w:asciiTheme="minorEastAsia" w:hAnsiTheme="minorEastAsia" w:eastAsiaTheme="minorEastAsia"/>
          <w:b/>
          <w:color w:val="auto"/>
          <w:sz w:val="32"/>
          <w:szCs w:val="32"/>
          <w:highlight w:val="none"/>
        </w:rPr>
        <w:t>月</w:t>
      </w:r>
      <w:r>
        <w:rPr>
          <w:rFonts w:asciiTheme="minorEastAsia" w:hAnsiTheme="minorEastAsia" w:eastAsiaTheme="minorEastAsia"/>
          <w:b/>
          <w:color w:val="auto"/>
          <w:sz w:val="32"/>
          <w:szCs w:val="32"/>
          <w:highlight w:val="none"/>
        </w:rPr>
        <w:t xml:space="preserve">  </w:t>
      </w:r>
      <w:r>
        <w:rPr>
          <w:rFonts w:hint="eastAsia" w:asciiTheme="minorEastAsia" w:hAnsiTheme="minorEastAsia" w:eastAsiaTheme="minorEastAsia"/>
          <w:b/>
          <w:color w:val="auto"/>
          <w:sz w:val="32"/>
          <w:szCs w:val="32"/>
          <w:highlight w:val="none"/>
        </w:rPr>
        <w:t>日</w:t>
      </w:r>
    </w:p>
    <w:p>
      <w:pPr>
        <w:pStyle w:val="4"/>
        <w:jc w:val="center"/>
        <w:rPr>
          <w:rFonts w:asciiTheme="minorEastAsia" w:hAnsiTheme="minorEastAsia" w:eastAsiaTheme="minorEastAsia"/>
          <w:color w:val="auto"/>
          <w:highlight w:val="none"/>
        </w:rPr>
      </w:pPr>
      <w:bookmarkStart w:id="58" w:name="_Toc124269259"/>
      <w:r>
        <w:rPr>
          <w:rFonts w:hint="eastAsia" w:asciiTheme="minorEastAsia" w:hAnsiTheme="minorEastAsia" w:eastAsiaTheme="minorEastAsia"/>
          <w:color w:val="auto"/>
          <w:highlight w:val="none"/>
          <w:u w:val="none"/>
        </w:rPr>
        <w:t>报价文件目录</w:t>
      </w:r>
      <w:bookmarkEnd w:id="58"/>
    </w:p>
    <w:p>
      <w:pPr>
        <w:snapToGrid w:val="0"/>
        <w:spacing w:before="120" w:beforeLines="50" w:after="50" w:line="320" w:lineRule="exact"/>
        <w:jc w:val="left"/>
        <w:rPr>
          <w:rFonts w:cs="Courier New" w:asciiTheme="minorEastAsia" w:hAnsiTheme="minorEastAsia" w:eastAsiaTheme="minorEastAsia"/>
          <w:color w:val="auto"/>
          <w:szCs w:val="21"/>
          <w:highlight w:val="none"/>
        </w:rPr>
      </w:pPr>
      <w:r>
        <w:rPr>
          <w:rFonts w:cs="Courier New" w:asciiTheme="minorEastAsia" w:hAnsiTheme="minorEastAsia" w:eastAsiaTheme="minorEastAsia"/>
          <w:color w:val="auto"/>
          <w:szCs w:val="21"/>
          <w:highlight w:val="none"/>
        </w:rPr>
        <w:t xml:space="preserve">    </w:t>
      </w:r>
    </w:p>
    <w:p>
      <w:pPr>
        <w:snapToGrid w:val="0"/>
        <w:spacing w:before="120" w:beforeLines="50" w:after="50" w:line="32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（1）响应函（格式见附件1-1）</w:t>
      </w:r>
    </w:p>
    <w:p>
      <w:pPr>
        <w:snapToGrid w:val="0"/>
        <w:spacing w:before="120" w:beforeLines="50" w:after="50" w:line="32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（2）响应报价明细表（格式见附件1-2）</w:t>
      </w:r>
    </w:p>
    <w:p>
      <w:pPr>
        <w:snapToGrid w:val="0"/>
        <w:spacing w:before="120" w:beforeLines="50" w:after="50" w:line="32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（3）五年备品备件清单（格式见附件1-3）；</w:t>
      </w:r>
    </w:p>
    <w:p>
      <w:pPr>
        <w:snapToGrid w:val="0"/>
        <w:spacing w:before="120" w:beforeLines="50" w:after="50" w:line="32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（4）随机专用工具清单（格式见附件1-4）；</w:t>
      </w:r>
    </w:p>
    <w:p>
      <w:pPr>
        <w:snapToGrid w:val="0"/>
        <w:spacing w:before="120" w:beforeLines="50" w:after="50" w:line="320" w:lineRule="exact"/>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（5）供应商针对报价需要说明的其他文件和说明</w:t>
      </w:r>
    </w:p>
    <w:p>
      <w:pPr>
        <w:snapToGrid w:val="0"/>
        <w:spacing w:before="120" w:beforeLines="50" w:after="50" w:line="320" w:lineRule="exact"/>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br w:type="page"/>
      </w:r>
    </w:p>
    <w:p>
      <w:pPr>
        <w:snapToGrid w:val="0"/>
        <w:spacing w:before="120" w:beforeLines="50" w:after="50"/>
        <w:jc w:val="left"/>
        <w:rPr>
          <w:rFonts w:asciiTheme="minorEastAsia" w:hAnsiTheme="minorEastAsia" w:eastAsiaTheme="minorEastAsia"/>
          <w:b/>
          <w:color w:val="auto"/>
          <w:sz w:val="32"/>
          <w:szCs w:val="32"/>
          <w:highlight w:val="none"/>
        </w:rPr>
      </w:pPr>
      <w:bookmarkStart w:id="59" w:name="_Toc124269260"/>
      <w:r>
        <w:rPr>
          <w:rFonts w:hint="eastAsia" w:asciiTheme="minorEastAsia" w:hAnsiTheme="minorEastAsia" w:eastAsiaTheme="minorEastAsia"/>
          <w:b/>
          <w:color w:val="auto"/>
          <w:sz w:val="32"/>
          <w:szCs w:val="32"/>
          <w:highlight w:val="none"/>
        </w:rPr>
        <w:t>附件</w:t>
      </w:r>
      <w:r>
        <w:rPr>
          <w:rFonts w:asciiTheme="minorEastAsia" w:hAnsiTheme="minorEastAsia" w:eastAsiaTheme="minorEastAsia"/>
          <w:b/>
          <w:color w:val="auto"/>
          <w:sz w:val="32"/>
          <w:szCs w:val="32"/>
          <w:highlight w:val="none"/>
        </w:rPr>
        <w:t xml:space="preserve">1-1 </w:t>
      </w:r>
      <w:r>
        <w:rPr>
          <w:rFonts w:hint="eastAsia" w:asciiTheme="minorEastAsia" w:hAnsiTheme="minorEastAsia" w:eastAsiaTheme="minorEastAsia"/>
          <w:b/>
          <w:color w:val="auto"/>
          <w:sz w:val="32"/>
          <w:szCs w:val="32"/>
          <w:highlight w:val="none"/>
        </w:rPr>
        <w:t>响应函格式：</w:t>
      </w:r>
      <w:bookmarkEnd w:id="59"/>
    </w:p>
    <w:p>
      <w:pPr>
        <w:snapToGrid w:val="0"/>
        <w:spacing w:before="120"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响</w:t>
      </w:r>
      <w:r>
        <w:rPr>
          <w:rFonts w:asciiTheme="minorEastAsia" w:hAnsiTheme="minorEastAsia" w:eastAsiaTheme="minorEastAsia"/>
          <w:b/>
          <w:color w:val="auto"/>
          <w:sz w:val="32"/>
          <w:szCs w:val="32"/>
          <w:highlight w:val="none"/>
        </w:rPr>
        <w:t xml:space="preserve"> </w:t>
      </w:r>
      <w:r>
        <w:rPr>
          <w:rFonts w:hint="eastAsia" w:asciiTheme="minorEastAsia" w:hAnsiTheme="minorEastAsia" w:eastAsiaTheme="minorEastAsia"/>
          <w:b/>
          <w:color w:val="auto"/>
          <w:sz w:val="32"/>
          <w:szCs w:val="32"/>
          <w:highlight w:val="none"/>
        </w:rPr>
        <w:t>应</w:t>
      </w:r>
      <w:r>
        <w:rPr>
          <w:rFonts w:asciiTheme="minorEastAsia" w:hAnsiTheme="minorEastAsia" w:eastAsiaTheme="minorEastAsia"/>
          <w:b/>
          <w:color w:val="auto"/>
          <w:sz w:val="32"/>
          <w:szCs w:val="32"/>
          <w:highlight w:val="none"/>
        </w:rPr>
        <w:t xml:space="preserve"> </w:t>
      </w:r>
      <w:r>
        <w:rPr>
          <w:rFonts w:hint="eastAsia" w:asciiTheme="minorEastAsia" w:hAnsiTheme="minorEastAsia" w:eastAsiaTheme="minorEastAsia"/>
          <w:b/>
          <w:color w:val="auto"/>
          <w:sz w:val="32"/>
          <w:szCs w:val="32"/>
          <w:highlight w:val="none"/>
        </w:rPr>
        <w:t>函</w:t>
      </w:r>
    </w:p>
    <w:p>
      <w:pPr>
        <w:snapToGrid w:val="0"/>
        <w:spacing w:line="48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致：</w:t>
      </w:r>
      <w:r>
        <w:rPr>
          <w:rFonts w:hint="eastAsia" w:asciiTheme="minorEastAsia" w:hAnsiTheme="minorEastAsia" w:eastAsiaTheme="minorEastAsia"/>
          <w:b/>
          <w:color w:val="auto"/>
          <w:szCs w:val="21"/>
          <w:highlight w:val="none"/>
          <w:u w:val="single"/>
        </w:rPr>
        <w:t>（采购人名称）</w:t>
      </w:r>
    </w:p>
    <w:p>
      <w:pPr>
        <w:snapToGrid w:val="0"/>
        <w:spacing w:line="480" w:lineRule="exact"/>
        <w:ind w:firstLine="48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根据贵方为</w:t>
      </w:r>
      <w:r>
        <w:rPr>
          <w:rFonts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b/>
          <w:color w:val="auto"/>
          <w:szCs w:val="21"/>
          <w:highlight w:val="none"/>
          <w:u w:val="single"/>
        </w:rPr>
        <w:t>项目名称</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color w:val="auto"/>
          <w:szCs w:val="21"/>
          <w:highlight w:val="none"/>
        </w:rPr>
        <w:t>项目的竞争性谈判文件，</w:t>
      </w:r>
      <w:r>
        <w:rPr>
          <w:rFonts w:hint="eastAsia" w:asciiTheme="minorEastAsia" w:hAnsiTheme="minorEastAsia" w:eastAsiaTheme="minorEastAsia"/>
          <w:b/>
          <w:color w:val="auto"/>
          <w:szCs w:val="21"/>
          <w:highlight w:val="none"/>
          <w:u w:val="single"/>
        </w:rPr>
        <w:t>签字代表（全名）</w:t>
      </w:r>
      <w:r>
        <w:rPr>
          <w:rFonts w:hint="eastAsia" w:asciiTheme="minorEastAsia" w:hAnsiTheme="minorEastAsia" w:eastAsiaTheme="minorEastAsia"/>
          <w:color w:val="auto"/>
          <w:szCs w:val="21"/>
          <w:highlight w:val="none"/>
        </w:rPr>
        <w:t>经正式授权并代表供应商</w:t>
      </w:r>
      <w:r>
        <w:rPr>
          <w:rFonts w:hint="eastAsia" w:asciiTheme="minorEastAsia" w:hAnsiTheme="minorEastAsia" w:eastAsiaTheme="minorEastAsia"/>
          <w:b/>
          <w:color w:val="auto"/>
          <w:szCs w:val="21"/>
          <w:highlight w:val="none"/>
          <w:u w:val="single"/>
        </w:rPr>
        <w:t>（供应商名称）</w:t>
      </w:r>
      <w:r>
        <w:rPr>
          <w:rFonts w:hint="eastAsia" w:asciiTheme="minorEastAsia" w:hAnsiTheme="minorEastAsia" w:eastAsiaTheme="minorEastAsia"/>
          <w:color w:val="auto"/>
          <w:szCs w:val="21"/>
          <w:highlight w:val="none"/>
        </w:rPr>
        <w:t>提交</w:t>
      </w:r>
      <w:r>
        <w:rPr>
          <w:rFonts w:hint="eastAsia" w:asciiTheme="minorEastAsia" w:hAnsiTheme="minorEastAsia" w:eastAsiaTheme="minorEastAsia"/>
          <w:b/>
          <w:color w:val="auto"/>
          <w:szCs w:val="21"/>
          <w:highlight w:val="none"/>
        </w:rPr>
        <w:t>报价文件、资信</w:t>
      </w:r>
      <w:r>
        <w:rPr>
          <w:rFonts w:asciiTheme="minorEastAsia" w:hAnsiTheme="minorEastAsia" w:eastAsiaTheme="minorEastAsia"/>
          <w:b/>
          <w:color w:val="auto"/>
          <w:szCs w:val="21"/>
          <w:highlight w:val="none"/>
        </w:rPr>
        <w:t>/商务文件</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b/>
          <w:color w:val="auto"/>
          <w:szCs w:val="21"/>
          <w:highlight w:val="none"/>
        </w:rPr>
        <w:t>技术文件</w:t>
      </w:r>
      <w:r>
        <w:rPr>
          <w:rFonts w:hint="eastAsia" w:asciiTheme="minorEastAsia" w:hAnsiTheme="minorEastAsia" w:eastAsiaTheme="minorEastAsia"/>
          <w:color w:val="auto"/>
          <w:szCs w:val="21"/>
          <w:highlight w:val="none"/>
        </w:rPr>
        <w:t>。</w:t>
      </w:r>
    </w:p>
    <w:p>
      <w:pPr>
        <w:snapToGrid w:val="0"/>
        <w:spacing w:line="48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据此函，签字代表宣布同意如下：</w:t>
      </w:r>
    </w:p>
    <w:p>
      <w:pPr>
        <w:snapToGrid w:val="0"/>
        <w:spacing w:line="48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1. </w:t>
      </w:r>
      <w:r>
        <w:rPr>
          <w:rFonts w:hint="eastAsia" w:asciiTheme="minorEastAsia" w:hAnsiTheme="minorEastAsia" w:eastAsiaTheme="minorEastAsia"/>
          <w:color w:val="auto"/>
          <w:szCs w:val="21"/>
          <w:highlight w:val="none"/>
        </w:rPr>
        <w:t>供应商已详细审查全部“竞争性谈判文件”，包括澄清文件（如有的话）以及全部参考资料和有关附件，已经了解我方对于竞争性谈判文件、采购过程、采购结果有依法进行询问、异议、投诉的权利及相关渠道和要求。</w:t>
      </w:r>
    </w:p>
    <w:p>
      <w:pPr>
        <w:snapToGrid w:val="0"/>
        <w:spacing w:line="48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2. </w:t>
      </w:r>
      <w:r>
        <w:rPr>
          <w:rFonts w:hint="eastAsia" w:asciiTheme="minorEastAsia" w:hAnsiTheme="minorEastAsia" w:eastAsiaTheme="minorEastAsia"/>
          <w:color w:val="auto"/>
          <w:szCs w:val="21"/>
          <w:highlight w:val="none"/>
        </w:rPr>
        <w:t>供应商在响应之前已经与贵方进行了充分的沟通，完全理解并接受竞争性谈判文件的各项规定和要求，对竞争性谈判文件的合理性、合法性不再有异议。</w:t>
      </w:r>
    </w:p>
    <w:p>
      <w:pPr>
        <w:snapToGrid w:val="0"/>
        <w:spacing w:line="480" w:lineRule="exact"/>
        <w:ind w:firstLine="422" w:firstLineChars="200"/>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t xml:space="preserve">3. </w:t>
      </w:r>
      <w:r>
        <w:rPr>
          <w:rFonts w:hint="eastAsia" w:asciiTheme="minorEastAsia" w:hAnsiTheme="minorEastAsia" w:eastAsiaTheme="minorEastAsia"/>
          <w:b/>
          <w:color w:val="auto"/>
          <w:szCs w:val="21"/>
          <w:highlight w:val="none"/>
        </w:rPr>
        <w:t>按竞争性谈判文件采购需求及技术要求，响应总报价人民币（大写）</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rPr>
        <w:t>元</w:t>
      </w:r>
      <w:r>
        <w:rPr>
          <w:rFonts w:asciiTheme="minorEastAsia" w:hAnsiTheme="minorEastAsia" w:eastAsiaTheme="minorEastAsia"/>
          <w:b/>
          <w:color w:val="auto"/>
          <w:szCs w:val="21"/>
          <w:highlight w:val="none"/>
        </w:rPr>
        <w:t xml:space="preserve"> </w:t>
      </w:r>
      <w:r>
        <w:rPr>
          <w:rFonts w:asciiTheme="minorEastAsia" w:hAnsiTheme="minorEastAsia" w:eastAsiaTheme="minorEastAsia"/>
          <w:b/>
          <w:color w:val="auto"/>
          <w:szCs w:val="21"/>
          <w:highlight w:val="none"/>
          <w:u w:val="single"/>
        </w:rPr>
        <w:t>（</w:t>
      </w:r>
      <w:r>
        <w:rPr>
          <w:rFonts w:hint="eastAsia" w:asciiTheme="minorEastAsia" w:hAnsiTheme="minorEastAsia" w:eastAsiaTheme="minorEastAsia"/>
          <w:b/>
          <w:color w:val="auto"/>
          <w:szCs w:val="21"/>
          <w:highlight w:val="none"/>
          <w:u w:val="single"/>
        </w:rPr>
        <w:t>￥</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rPr>
        <w:t>，交货期（竣工期限）：</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rPr>
        <w:t>。自报质保期：</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rPr>
        <w:t>年。</w:t>
      </w:r>
    </w:p>
    <w:p>
      <w:pPr>
        <w:snapToGrid w:val="0"/>
        <w:spacing w:line="48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4. </w:t>
      </w:r>
      <w:r>
        <w:rPr>
          <w:rFonts w:hint="eastAsia" w:asciiTheme="minorEastAsia" w:hAnsiTheme="minorEastAsia" w:eastAsiaTheme="minorEastAsia"/>
          <w:color w:val="auto"/>
          <w:szCs w:val="21"/>
          <w:highlight w:val="none"/>
        </w:rPr>
        <w:t>本响应有效期自开启日起</w:t>
      </w:r>
      <w:r>
        <w:rPr>
          <w:rFonts w:asciiTheme="minorEastAsia" w:hAnsiTheme="minorEastAsia" w:eastAsiaTheme="minorEastAsia"/>
          <w:b/>
          <w:color w:val="auto"/>
          <w:szCs w:val="21"/>
          <w:highlight w:val="none"/>
          <w:u w:val="single"/>
        </w:rPr>
        <w:t>90</w:t>
      </w:r>
      <w:r>
        <w:rPr>
          <w:rFonts w:asciiTheme="minorEastAsia" w:hAnsiTheme="minorEastAsia" w:eastAsiaTheme="minorEastAsia"/>
          <w:color w:val="auto"/>
          <w:szCs w:val="21"/>
          <w:highlight w:val="none"/>
        </w:rPr>
        <w:t xml:space="preserve"> 天</w:t>
      </w:r>
      <w:r>
        <w:rPr>
          <w:rFonts w:hint="eastAsia" w:asciiTheme="minorEastAsia" w:hAnsiTheme="minorEastAsia" w:eastAsiaTheme="minorEastAsia"/>
          <w:color w:val="auto"/>
          <w:szCs w:val="21"/>
          <w:highlight w:val="none"/>
        </w:rPr>
        <w:t>（日历天）。</w:t>
      </w:r>
    </w:p>
    <w:p>
      <w:pPr>
        <w:snapToGrid w:val="0"/>
        <w:spacing w:line="48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5. </w:t>
      </w:r>
      <w:r>
        <w:rPr>
          <w:rFonts w:hint="eastAsia" w:asciiTheme="minorEastAsia" w:hAnsiTheme="minorEastAsia" w:eastAsiaTheme="minorEastAsia"/>
          <w:color w:val="auto"/>
          <w:szCs w:val="21"/>
          <w:highlight w:val="none"/>
        </w:rPr>
        <w:t>如中标，本谈判响应文件至本项目合同履行完毕止均保持有效，本供应商将按“竞争性谈判文件”及招标投标法律、法规的规定履行合同责任和义务。</w:t>
      </w:r>
    </w:p>
    <w:p>
      <w:pPr>
        <w:snapToGrid w:val="0"/>
        <w:spacing w:line="48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6. </w:t>
      </w:r>
      <w:r>
        <w:rPr>
          <w:rFonts w:hint="eastAsia" w:asciiTheme="minorEastAsia" w:hAnsiTheme="minorEastAsia" w:eastAsiaTheme="minorEastAsia"/>
          <w:color w:val="auto"/>
          <w:szCs w:val="21"/>
          <w:highlight w:val="none"/>
        </w:rPr>
        <w:t>供应商同意按照贵方要求提供与响应有关的一切数据或资料。</w:t>
      </w:r>
    </w:p>
    <w:p>
      <w:pPr>
        <w:snapToGrid w:val="0"/>
        <w:spacing w:line="48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与本响应有关的一切正式往来信函请寄：</w:t>
      </w:r>
    </w:p>
    <w:p>
      <w:pPr>
        <w:snapToGrid w:val="0"/>
        <w:spacing w:line="480" w:lineRule="exact"/>
        <w:ind w:firstLine="420" w:firstLineChars="2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地址：</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邮编：</w:t>
      </w:r>
      <w:r>
        <w:rPr>
          <w:rFonts w:asciiTheme="minorEastAsia" w:hAnsiTheme="minorEastAsia" w:eastAsiaTheme="minorEastAsia"/>
          <w:color w:val="auto"/>
          <w:szCs w:val="21"/>
          <w:highlight w:val="none"/>
          <w:u w:val="single"/>
        </w:rPr>
        <w:t xml:space="preserve">               </w:t>
      </w:r>
      <w:r>
        <w:rPr>
          <w:rFonts w:asciiTheme="minorEastAsia" w:hAnsiTheme="minorEastAsia" w:eastAsiaTheme="minorEastAsia"/>
          <w:color w:val="auto"/>
          <w:szCs w:val="21"/>
          <w:highlight w:val="none"/>
        </w:rPr>
        <w:t xml:space="preserve">   电话：</w:t>
      </w:r>
      <w:r>
        <w:rPr>
          <w:rFonts w:asciiTheme="minorEastAsia" w:hAnsiTheme="minorEastAsia" w:eastAsiaTheme="minorEastAsia"/>
          <w:color w:val="auto"/>
          <w:szCs w:val="21"/>
          <w:highlight w:val="none"/>
          <w:u w:val="single"/>
        </w:rPr>
        <w:t xml:space="preserve">                </w:t>
      </w:r>
    </w:p>
    <w:p>
      <w:pPr>
        <w:snapToGrid w:val="0"/>
        <w:spacing w:line="480" w:lineRule="exact"/>
        <w:ind w:firstLine="420" w:firstLineChars="2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传真：</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供应商代表姓名：</w:t>
      </w:r>
      <w:r>
        <w:rPr>
          <w:rFonts w:asciiTheme="minorEastAsia" w:hAnsiTheme="minorEastAsia" w:eastAsiaTheme="minorEastAsia"/>
          <w:color w:val="auto"/>
          <w:szCs w:val="21"/>
          <w:highlight w:val="none"/>
          <w:u w:val="single"/>
        </w:rPr>
        <w:t xml:space="preserve">                </w:t>
      </w:r>
      <w:r>
        <w:rPr>
          <w:rFonts w:asciiTheme="minorEastAsia" w:hAnsiTheme="minorEastAsia" w:eastAsiaTheme="minorEastAsia"/>
          <w:color w:val="auto"/>
          <w:szCs w:val="21"/>
          <w:highlight w:val="none"/>
        </w:rPr>
        <w:t xml:space="preserve">  职务：</w:t>
      </w:r>
      <w:r>
        <w:rPr>
          <w:rFonts w:asciiTheme="minorEastAsia" w:hAnsiTheme="minorEastAsia" w:eastAsiaTheme="minorEastAsia"/>
          <w:color w:val="auto"/>
          <w:szCs w:val="21"/>
          <w:highlight w:val="none"/>
          <w:u w:val="single"/>
        </w:rPr>
        <w:t xml:space="preserve">                </w:t>
      </w:r>
    </w:p>
    <w:p>
      <w:pPr>
        <w:snapToGrid w:val="0"/>
        <w:spacing w:line="480" w:lineRule="exact"/>
        <w:ind w:firstLine="420" w:firstLineChars="2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供应商名称（公章）：</w:t>
      </w:r>
      <w:r>
        <w:rPr>
          <w:rFonts w:asciiTheme="minorEastAsia" w:hAnsiTheme="minorEastAsia" w:eastAsiaTheme="minorEastAsia"/>
          <w:color w:val="auto"/>
          <w:szCs w:val="21"/>
          <w:highlight w:val="none"/>
          <w:u w:val="single"/>
        </w:rPr>
        <w:t xml:space="preserve">                                          </w:t>
      </w:r>
    </w:p>
    <w:p>
      <w:pPr>
        <w:snapToGrid w:val="0"/>
        <w:spacing w:line="48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开户银行：</w:t>
      </w:r>
      <w:r>
        <w:rPr>
          <w:rFonts w:asciiTheme="minorEastAsia" w:hAnsiTheme="minorEastAsia" w:eastAsiaTheme="minorEastAsia"/>
          <w:color w:val="auto"/>
          <w:szCs w:val="21"/>
          <w:highlight w:val="none"/>
          <w:u w:val="single"/>
        </w:rPr>
        <w:t xml:space="preserve">                      </w:t>
      </w:r>
      <w:r>
        <w:rPr>
          <w:rFonts w:asciiTheme="minorEastAsia" w:hAnsiTheme="minorEastAsia" w:eastAsiaTheme="minorEastAsia"/>
          <w:color w:val="auto"/>
          <w:szCs w:val="21"/>
          <w:highlight w:val="none"/>
        </w:rPr>
        <w:t xml:space="preserve">   银行帐号：</w:t>
      </w:r>
      <w:r>
        <w:rPr>
          <w:rFonts w:asciiTheme="minorEastAsia" w:hAnsiTheme="minorEastAsia" w:eastAsiaTheme="minorEastAsia"/>
          <w:color w:val="auto"/>
          <w:szCs w:val="21"/>
          <w:highlight w:val="none"/>
          <w:u w:val="single"/>
        </w:rPr>
        <w:t xml:space="preserve">                    </w:t>
      </w:r>
      <w:r>
        <w:rPr>
          <w:rFonts w:asciiTheme="minorEastAsia" w:hAnsiTheme="minorEastAsia" w:eastAsiaTheme="minorEastAsia"/>
          <w:color w:val="auto"/>
          <w:szCs w:val="21"/>
          <w:highlight w:val="none"/>
        </w:rPr>
        <w:t xml:space="preserve"> </w:t>
      </w:r>
    </w:p>
    <w:p>
      <w:pPr>
        <w:snapToGrid w:val="0"/>
        <w:spacing w:line="480" w:lineRule="exact"/>
        <w:ind w:firstLine="422" w:firstLineChars="200"/>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法定代表人或授权代表</w:t>
      </w:r>
      <w:r>
        <w:rPr>
          <w:rFonts w:hint="eastAsia" w:cs="宋体" w:asciiTheme="minorEastAsia" w:hAnsiTheme="minorEastAsia" w:eastAsiaTheme="minorEastAsia"/>
          <w:b/>
          <w:bCs/>
          <w:color w:val="auto"/>
          <w:kern w:val="0"/>
          <w:szCs w:val="21"/>
          <w:highlight w:val="none"/>
        </w:rPr>
        <w:t>（签字或盖章）</w:t>
      </w:r>
      <w:r>
        <w:rPr>
          <w:rFonts w:hint="eastAsia" w:asciiTheme="minorEastAsia" w:hAnsiTheme="minorEastAsia" w:eastAsiaTheme="minorEastAsia"/>
          <w:b/>
          <w:bCs/>
          <w:color w:val="auto"/>
          <w:szCs w:val="21"/>
          <w:highlight w:val="none"/>
        </w:rPr>
        <w:t>：</w:t>
      </w:r>
      <w:r>
        <w:rPr>
          <w:rFonts w:asciiTheme="minorEastAsia" w:hAnsiTheme="minorEastAsia" w:eastAsiaTheme="minorEastAsia"/>
          <w:b/>
          <w:bCs/>
          <w:color w:val="auto"/>
          <w:szCs w:val="21"/>
          <w:highlight w:val="none"/>
          <w:u w:val="single"/>
        </w:rPr>
        <w:t xml:space="preserve">                  </w:t>
      </w:r>
      <w:r>
        <w:rPr>
          <w:rFonts w:asciiTheme="minorEastAsia" w:hAnsiTheme="minorEastAsia" w:eastAsiaTheme="minorEastAsia"/>
          <w:b/>
          <w:bCs/>
          <w:color w:val="auto"/>
          <w:szCs w:val="21"/>
          <w:highlight w:val="none"/>
        </w:rPr>
        <w:t xml:space="preserve">                     </w:t>
      </w:r>
    </w:p>
    <w:p>
      <w:pPr>
        <w:snapToGrid w:val="0"/>
        <w:spacing w:line="480" w:lineRule="exact"/>
        <w:ind w:firstLine="422" w:firstLineChars="200"/>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供应商</w:t>
      </w:r>
      <w:r>
        <w:rPr>
          <w:rFonts w:asciiTheme="minorEastAsia" w:hAnsiTheme="minorEastAsia" w:eastAsiaTheme="minorEastAsia"/>
          <w:b/>
          <w:bCs/>
          <w:color w:val="auto"/>
          <w:szCs w:val="21"/>
          <w:highlight w:val="none"/>
        </w:rPr>
        <w:t>（盖单位公章）</w:t>
      </w:r>
      <w:r>
        <w:rPr>
          <w:rFonts w:hint="eastAsia" w:asciiTheme="minorEastAsia" w:hAnsiTheme="minorEastAsia" w:eastAsiaTheme="minorEastAsia"/>
          <w:b/>
          <w:bCs/>
          <w:color w:val="auto"/>
          <w:szCs w:val="21"/>
          <w:highlight w:val="none"/>
        </w:rPr>
        <w:t>：</w:t>
      </w:r>
      <w:r>
        <w:rPr>
          <w:rFonts w:asciiTheme="minorEastAsia" w:hAnsiTheme="minorEastAsia" w:eastAsiaTheme="minorEastAsia"/>
          <w:b/>
          <w:bCs/>
          <w:color w:val="auto"/>
          <w:szCs w:val="21"/>
          <w:highlight w:val="none"/>
          <w:u w:val="single"/>
        </w:rPr>
        <w:t xml:space="preserve">                  </w:t>
      </w:r>
      <w:r>
        <w:rPr>
          <w:rFonts w:asciiTheme="minorEastAsia" w:hAnsiTheme="minorEastAsia" w:eastAsiaTheme="minorEastAsia"/>
          <w:b/>
          <w:bCs/>
          <w:color w:val="auto"/>
          <w:szCs w:val="21"/>
          <w:highlight w:val="none"/>
        </w:rPr>
        <w:t xml:space="preserve"> </w:t>
      </w:r>
    </w:p>
    <w:p>
      <w:pPr>
        <w:snapToGrid w:val="0"/>
        <w:spacing w:line="480" w:lineRule="exac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                                                        _____年___月___日</w:t>
      </w:r>
    </w:p>
    <w:p>
      <w:pPr>
        <w:pStyle w:val="4"/>
        <w:rPr>
          <w:rFonts w:asciiTheme="minorEastAsia" w:hAnsiTheme="minorEastAsia" w:eastAsiaTheme="minorEastAsia"/>
          <w:bCs w:val="0"/>
          <w:color w:val="auto"/>
          <w:highlight w:val="none"/>
          <w:u w:val="none"/>
        </w:rPr>
      </w:pPr>
      <w:r>
        <w:rPr>
          <w:rFonts w:asciiTheme="minorEastAsia" w:hAnsiTheme="minorEastAsia" w:eastAsiaTheme="minorEastAsia"/>
          <w:color w:val="auto"/>
          <w:highlight w:val="none"/>
        </w:rPr>
        <w:br w:type="page"/>
      </w:r>
      <w:bookmarkStart w:id="60" w:name="_Toc124269261"/>
      <w:r>
        <w:rPr>
          <w:rFonts w:hint="eastAsia" w:asciiTheme="minorEastAsia" w:hAnsiTheme="minorEastAsia" w:eastAsiaTheme="minorEastAsia"/>
          <w:bCs w:val="0"/>
          <w:color w:val="auto"/>
          <w:highlight w:val="none"/>
          <w:u w:val="none"/>
        </w:rPr>
        <w:t>附件</w:t>
      </w:r>
      <w:r>
        <w:rPr>
          <w:rFonts w:asciiTheme="minorEastAsia" w:hAnsiTheme="minorEastAsia" w:eastAsiaTheme="minorEastAsia"/>
          <w:bCs w:val="0"/>
          <w:color w:val="auto"/>
          <w:highlight w:val="none"/>
          <w:u w:val="none"/>
        </w:rPr>
        <w:t xml:space="preserve">1-2 </w:t>
      </w:r>
      <w:r>
        <w:rPr>
          <w:rFonts w:hint="eastAsia" w:asciiTheme="minorEastAsia" w:hAnsiTheme="minorEastAsia" w:eastAsiaTheme="minorEastAsia"/>
          <w:bCs w:val="0"/>
          <w:color w:val="auto"/>
          <w:highlight w:val="none"/>
          <w:u w:val="none"/>
        </w:rPr>
        <w:t>响应报价明细表格式：</w:t>
      </w:r>
      <w:bookmarkEnd w:id="60"/>
    </w:p>
    <w:p>
      <w:pPr>
        <w:snapToGrid w:val="0"/>
        <w:spacing w:before="120"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响应报价明细表（格式）</w:t>
      </w:r>
    </w:p>
    <w:tbl>
      <w:tblPr>
        <w:tblStyle w:val="22"/>
        <w:tblW w:w="5000" w:type="pct"/>
        <w:jc w:val="center"/>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653"/>
        <w:gridCol w:w="1704"/>
        <w:gridCol w:w="1833"/>
        <w:gridCol w:w="789"/>
        <w:gridCol w:w="787"/>
        <w:gridCol w:w="1048"/>
        <w:gridCol w:w="1050"/>
        <w:gridCol w:w="1048"/>
        <w:gridCol w:w="1050"/>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序号</w:t>
            </w:r>
          </w:p>
        </w:tc>
        <w:tc>
          <w:tcPr>
            <w:tcW w:w="855"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bCs/>
                <w:color w:val="auto"/>
                <w:kern w:val="0"/>
                <w:szCs w:val="21"/>
                <w:highlight w:val="none"/>
              </w:rPr>
              <w:t>名称</w:t>
            </w:r>
          </w:p>
        </w:tc>
        <w:tc>
          <w:tcPr>
            <w:tcW w:w="920"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bCs/>
                <w:color w:val="auto"/>
                <w:kern w:val="0"/>
                <w:szCs w:val="21"/>
                <w:highlight w:val="none"/>
              </w:rPr>
              <w:t>主要规格和型号</w:t>
            </w:r>
          </w:p>
        </w:tc>
        <w:tc>
          <w:tcPr>
            <w:tcW w:w="396"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bCs/>
                <w:color w:val="auto"/>
                <w:kern w:val="0"/>
                <w:szCs w:val="21"/>
                <w:highlight w:val="none"/>
              </w:rPr>
              <w:t>材质</w:t>
            </w:r>
          </w:p>
        </w:tc>
        <w:tc>
          <w:tcPr>
            <w:tcW w:w="395"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bCs/>
                <w:color w:val="auto"/>
                <w:kern w:val="0"/>
                <w:szCs w:val="21"/>
                <w:highlight w:val="none"/>
              </w:rPr>
              <w:t>单位</w:t>
            </w:r>
          </w:p>
        </w:tc>
        <w:tc>
          <w:tcPr>
            <w:tcW w:w="526"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bCs/>
                <w:color w:val="auto"/>
                <w:kern w:val="0"/>
                <w:szCs w:val="21"/>
                <w:highlight w:val="none"/>
              </w:rPr>
              <w:t>数量</w:t>
            </w:r>
          </w:p>
        </w:tc>
        <w:tc>
          <w:tcPr>
            <w:tcW w:w="526"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单价（元）</w:t>
            </w:r>
          </w:p>
        </w:tc>
        <w:tc>
          <w:tcPr>
            <w:tcW w:w="526"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合计（元）</w:t>
            </w:r>
          </w:p>
        </w:tc>
        <w:tc>
          <w:tcPr>
            <w:tcW w:w="526"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855"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92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6"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855"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92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6"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855" w:type="pct"/>
            <w:shd w:val="clear" w:color="auto" w:fill="auto"/>
            <w:vAlign w:val="center"/>
          </w:tcPr>
          <w:p>
            <w:pPr>
              <w:jc w:val="center"/>
              <w:rPr>
                <w:rFonts w:asciiTheme="minorEastAsia" w:hAnsiTheme="minorEastAsia" w:eastAsiaTheme="minorEastAsia"/>
                <w:color w:val="auto"/>
                <w:spacing w:val="5"/>
                <w:szCs w:val="21"/>
                <w:highlight w:val="none"/>
              </w:rPr>
            </w:pPr>
          </w:p>
        </w:tc>
        <w:tc>
          <w:tcPr>
            <w:tcW w:w="92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6"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855" w:type="pct"/>
            <w:shd w:val="clear" w:color="auto" w:fill="auto"/>
            <w:vAlign w:val="center"/>
          </w:tcPr>
          <w:p>
            <w:pPr>
              <w:jc w:val="center"/>
              <w:rPr>
                <w:rFonts w:asciiTheme="minorEastAsia" w:hAnsiTheme="minorEastAsia" w:eastAsiaTheme="minorEastAsia"/>
                <w:color w:val="auto"/>
                <w:spacing w:val="5"/>
                <w:szCs w:val="21"/>
                <w:highlight w:val="none"/>
              </w:rPr>
            </w:pPr>
          </w:p>
        </w:tc>
        <w:tc>
          <w:tcPr>
            <w:tcW w:w="92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6"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855"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92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6"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855"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92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6"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855"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92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6"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855"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92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6"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855" w:type="pct"/>
            <w:shd w:val="clear" w:color="auto" w:fill="auto"/>
            <w:vAlign w:val="center"/>
          </w:tcPr>
          <w:p>
            <w:pPr>
              <w:jc w:val="center"/>
              <w:rPr>
                <w:rFonts w:cs="宋体" w:asciiTheme="minorEastAsia" w:hAnsiTheme="minorEastAsia" w:eastAsiaTheme="minorEastAsia"/>
                <w:color w:val="auto"/>
                <w:kern w:val="0"/>
                <w:szCs w:val="21"/>
                <w:highlight w:val="none"/>
              </w:rPr>
            </w:pPr>
          </w:p>
        </w:tc>
        <w:tc>
          <w:tcPr>
            <w:tcW w:w="92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6" w:type="pct"/>
            <w:shd w:val="clear" w:color="auto" w:fill="auto"/>
            <w:vAlign w:val="center"/>
          </w:tcPr>
          <w:p>
            <w:pPr>
              <w:jc w:val="center"/>
              <w:rPr>
                <w:rFonts w:cs="宋体" w:asciiTheme="minorEastAsia" w:hAnsiTheme="minorEastAsia" w:eastAsiaTheme="minorEastAsia"/>
                <w:color w:val="auto"/>
                <w:szCs w:val="21"/>
                <w:highlight w:val="none"/>
              </w:rPr>
            </w:pPr>
          </w:p>
        </w:tc>
        <w:tc>
          <w:tcPr>
            <w:tcW w:w="39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947" w:type="pct"/>
            <w:gridSpan w:val="7"/>
            <w:shd w:val="clear" w:color="auto" w:fill="auto"/>
            <w:vAlign w:val="center"/>
          </w:tcPr>
          <w:p>
            <w:pPr>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合计</w:t>
            </w: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c>
          <w:tcPr>
            <w:tcW w:w="526"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9"/>
            <w:shd w:val="clear" w:color="auto" w:fill="auto"/>
            <w:vAlign w:val="center"/>
          </w:tcPr>
          <w:p>
            <w:pPr>
              <w:tabs>
                <w:tab w:val="left" w:pos="1418"/>
              </w:tabs>
              <w:snapToGrid w:val="0"/>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报价合计费用包括但不限于备设计、供货、运输、卸车、安装、调试（含调试所需的材料、设备、人工等）和试运行的相关手续、维修维护培训、设计出图、检测、提供产品质量证明书、图纸、</w:t>
            </w:r>
            <w:r>
              <w:rPr>
                <w:rFonts w:hint="eastAsia" w:asciiTheme="minorEastAsia" w:hAnsiTheme="minorEastAsia" w:eastAsiaTheme="minorEastAsia"/>
                <w:b/>
                <w:color w:val="auto"/>
                <w:szCs w:val="21"/>
                <w:highlight w:val="none"/>
                <w:lang w:eastAsia="zh-CN"/>
              </w:rPr>
              <w:t>大门及其门禁管理系统</w:t>
            </w:r>
            <w:r>
              <w:rPr>
                <w:rFonts w:hint="eastAsia" w:asciiTheme="minorEastAsia" w:hAnsiTheme="minorEastAsia" w:eastAsiaTheme="minorEastAsia"/>
                <w:b/>
                <w:color w:val="auto"/>
                <w:szCs w:val="21"/>
                <w:highlight w:val="none"/>
              </w:rPr>
              <w:t>制造监督检验证书等合法报装资料、验收后资料归档、随机专用工具、质保期内备品备件、现场配合及协调、物料及人工涨价、售后服务以及运行期技术服务本项目所需的一切费用、增值税价（</w:t>
            </w:r>
            <w:r>
              <w:rPr>
                <w:rFonts w:asciiTheme="minorEastAsia" w:hAnsiTheme="minorEastAsia" w:eastAsiaTheme="minorEastAsia"/>
                <w:b/>
                <w:color w:val="auto"/>
                <w:szCs w:val="21"/>
                <w:highlight w:val="none"/>
              </w:rPr>
              <w:t xml:space="preserve">      %增值税专用发票）。含税总价（大写）：</w:t>
            </w:r>
            <w:r>
              <w:rPr>
                <w:rFonts w:hint="eastAsia" w:asciiTheme="minorEastAsia" w:hAnsiTheme="minorEastAsia" w:eastAsiaTheme="minorEastAsia"/>
                <w:b/>
                <w:color w:val="auto"/>
                <w:szCs w:val="21"/>
                <w:highlight w:val="none"/>
                <w:u w:val="single"/>
              </w:rPr>
              <w:t>人民币</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u w:val="single"/>
              </w:rPr>
              <w:t>（￥</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u w:val="single"/>
              </w:rPr>
              <w:t>元）</w:t>
            </w:r>
            <w:r>
              <w:rPr>
                <w:rFonts w:hint="eastAsia" w:asciiTheme="minorEastAsia" w:hAnsiTheme="minorEastAsia" w:eastAsiaTheme="minorEastAsia"/>
                <w:b/>
                <w:color w:val="auto"/>
                <w:szCs w:val="21"/>
                <w:highlight w:val="none"/>
              </w:rPr>
              <w:t>，不含税总价（大写）：</w:t>
            </w:r>
            <w:r>
              <w:rPr>
                <w:rFonts w:hint="eastAsia" w:asciiTheme="minorEastAsia" w:hAnsiTheme="minorEastAsia" w:eastAsiaTheme="minorEastAsia"/>
                <w:b/>
                <w:color w:val="auto"/>
                <w:szCs w:val="21"/>
                <w:highlight w:val="none"/>
                <w:u w:val="single"/>
              </w:rPr>
              <w:t>人民币</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u w:val="single"/>
              </w:rPr>
              <w:t>（￥</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u w:val="single"/>
              </w:rPr>
              <w:t>元）</w:t>
            </w:r>
            <w:r>
              <w:rPr>
                <w:rFonts w:hint="eastAsia" w:asciiTheme="minorEastAsia" w:hAnsiTheme="minorEastAsia" w:eastAsiaTheme="minorEastAsia"/>
                <w:b/>
                <w:color w:val="auto"/>
                <w:szCs w:val="21"/>
                <w:highlight w:val="none"/>
              </w:rPr>
              <w:t>，税金（大写）：</w:t>
            </w:r>
            <w:r>
              <w:rPr>
                <w:rFonts w:hint="eastAsia" w:asciiTheme="minorEastAsia" w:hAnsiTheme="minorEastAsia" w:eastAsiaTheme="minorEastAsia"/>
                <w:b/>
                <w:color w:val="auto"/>
                <w:szCs w:val="21"/>
                <w:highlight w:val="none"/>
                <w:u w:val="single"/>
              </w:rPr>
              <w:t>人民币</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u w:val="single"/>
              </w:rPr>
              <w:t>（￥</w:t>
            </w:r>
            <w:r>
              <w:rPr>
                <w:rFonts w:asciiTheme="minorEastAsia" w:hAnsiTheme="minorEastAsia" w:eastAsiaTheme="minorEastAsia"/>
                <w:b/>
                <w:color w:val="auto"/>
                <w:szCs w:val="21"/>
                <w:highlight w:val="none"/>
                <w:u w:val="single"/>
              </w:rPr>
              <w:t xml:space="preserve">              </w:t>
            </w:r>
            <w:r>
              <w:rPr>
                <w:rFonts w:hint="eastAsia" w:asciiTheme="minorEastAsia" w:hAnsiTheme="minorEastAsia" w:eastAsiaTheme="minorEastAsia"/>
                <w:b/>
                <w:color w:val="auto"/>
                <w:szCs w:val="21"/>
                <w:highlight w:val="none"/>
                <w:u w:val="single"/>
              </w:rPr>
              <w:t>元）</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9"/>
            <w:shd w:val="clear" w:color="auto" w:fill="auto"/>
            <w:vAlign w:val="center"/>
          </w:tcPr>
          <w:p>
            <w:pPr>
              <w:widowControl/>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供应商（盖单位公章）：</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9"/>
            <w:shd w:val="clear" w:color="auto" w:fill="auto"/>
            <w:vAlign w:val="center"/>
          </w:tcPr>
          <w:p>
            <w:pPr>
              <w:widowControl/>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法定代表人或其委托代理人（签字或盖章）：</w:t>
            </w:r>
          </w:p>
        </w:tc>
      </w:tr>
    </w:tbl>
    <w:p>
      <w:pPr>
        <w:rPr>
          <w:rFonts w:cs="Courier New" w:asciiTheme="minorEastAsia" w:hAnsiTheme="minorEastAsia" w:eastAsiaTheme="minorEastAsia"/>
          <w:b/>
          <w:color w:val="auto"/>
          <w:spacing w:val="20"/>
          <w:szCs w:val="21"/>
          <w:highlight w:val="none"/>
        </w:rPr>
      </w:pPr>
      <w:r>
        <w:rPr>
          <w:rFonts w:hint="eastAsia" w:cs="Courier New" w:asciiTheme="minorEastAsia" w:hAnsiTheme="minorEastAsia" w:eastAsiaTheme="minorEastAsia"/>
          <w:b/>
          <w:color w:val="auto"/>
          <w:spacing w:val="20"/>
          <w:szCs w:val="21"/>
          <w:highlight w:val="none"/>
        </w:rPr>
        <w:t>注：</w:t>
      </w:r>
    </w:p>
    <w:p>
      <w:pPr>
        <w:snapToGrid w:val="0"/>
        <w:spacing w:line="360" w:lineRule="auto"/>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t>1</w:t>
      </w:r>
      <w:r>
        <w:rPr>
          <w:rFonts w:hint="eastAsia" w:cs="Courier New" w:asciiTheme="minorEastAsia" w:hAnsiTheme="minorEastAsia" w:eastAsiaTheme="minorEastAsia"/>
          <w:b/>
          <w:color w:val="auto"/>
          <w:szCs w:val="21"/>
          <w:highlight w:val="none"/>
        </w:rPr>
        <w:t>）请根据第三章提供的“采购需求”的内容填写本表；如有漏项或缺项，均由供应商承担。供应商应逐项计算并填写单价、合价和总价，供应商没有填写单价和合价的项目将被认为此项目所涉及的全部费用已包含在其他分项报价及响应总价中。</w:t>
      </w:r>
    </w:p>
    <w:p>
      <w:pPr>
        <w:snapToGrid w:val="0"/>
        <w:spacing w:line="360" w:lineRule="auto"/>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t>2</w:t>
      </w:r>
      <w:r>
        <w:rPr>
          <w:rFonts w:hint="eastAsia" w:cs="Courier New" w:asciiTheme="minorEastAsia" w:hAnsiTheme="minorEastAsia" w:eastAsiaTheme="minorEastAsia"/>
          <w:b/>
          <w:color w:val="auto"/>
          <w:szCs w:val="21"/>
          <w:highlight w:val="none"/>
        </w:rPr>
        <w:t>）表格内容均需按要求填写并盖章，不得留空，否则按响应无效处理；</w:t>
      </w:r>
    </w:p>
    <w:p>
      <w:pPr>
        <w:snapToGrid w:val="0"/>
        <w:spacing w:line="360" w:lineRule="auto"/>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t>3</w:t>
      </w:r>
      <w:r>
        <w:rPr>
          <w:rFonts w:hint="eastAsia" w:cs="Courier New" w:asciiTheme="minorEastAsia" w:hAnsiTheme="minorEastAsia" w:eastAsiaTheme="minorEastAsia"/>
          <w:b/>
          <w:color w:val="auto"/>
          <w:szCs w:val="21"/>
          <w:highlight w:val="none"/>
        </w:rPr>
        <w:t>）供应商应认真复核报价表中所有单价、合价和总价的一致性，保证响应报价的正确性；</w:t>
      </w:r>
    </w:p>
    <w:p>
      <w:pPr>
        <w:snapToGrid w:val="0"/>
        <w:spacing w:line="360" w:lineRule="auto"/>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t>4</w:t>
      </w:r>
      <w:r>
        <w:rPr>
          <w:rFonts w:hint="eastAsia" w:cs="Courier New" w:asciiTheme="minorEastAsia" w:hAnsiTheme="minorEastAsia" w:eastAsiaTheme="minorEastAsia"/>
          <w:b/>
          <w:color w:val="auto"/>
          <w:szCs w:val="21"/>
          <w:highlight w:val="none"/>
        </w:rPr>
        <w:t>）响应谈判时需同时提供</w:t>
      </w:r>
      <w:r>
        <w:rPr>
          <w:rFonts w:cs="Courier New" w:asciiTheme="minorEastAsia" w:hAnsiTheme="minorEastAsia" w:eastAsiaTheme="minorEastAsia"/>
          <w:b/>
          <w:color w:val="auto"/>
          <w:szCs w:val="21"/>
          <w:highlight w:val="none"/>
        </w:rPr>
        <w:t>EXCEL</w:t>
      </w:r>
      <w:r>
        <w:rPr>
          <w:rFonts w:hint="eastAsia" w:cs="Courier New" w:asciiTheme="minorEastAsia" w:hAnsiTheme="minorEastAsia" w:eastAsiaTheme="minorEastAsia"/>
          <w:b/>
          <w:color w:val="auto"/>
          <w:szCs w:val="21"/>
          <w:highlight w:val="none"/>
        </w:rPr>
        <w:t>电子报价文件</w:t>
      </w:r>
      <w:r>
        <w:rPr>
          <w:rFonts w:hint="eastAsia" w:cs="Courier New" w:asciiTheme="minorEastAsia" w:hAnsiTheme="minorEastAsia" w:eastAsiaTheme="minorEastAsia"/>
          <w:b/>
          <w:color w:val="auto"/>
          <w:szCs w:val="21"/>
          <w:highlight w:val="none"/>
        </w:rPr>
        <w:t>。</w:t>
      </w:r>
    </w:p>
    <w:p>
      <w:pPr>
        <w:snapToGrid w:val="0"/>
        <w:spacing w:line="360" w:lineRule="auto"/>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t>5</w:t>
      </w:r>
      <w:r>
        <w:rPr>
          <w:rFonts w:hint="eastAsia" w:cs="Courier New" w:asciiTheme="minorEastAsia" w:hAnsiTheme="minorEastAsia" w:eastAsiaTheme="minorEastAsia"/>
          <w:b/>
          <w:color w:val="auto"/>
          <w:szCs w:val="21"/>
          <w:highlight w:val="none"/>
        </w:rPr>
        <w:t>）本项目施工若有用水用电，甲方负责协助办理，费用均由供应商承担，电费</w:t>
      </w:r>
      <w:r>
        <w:rPr>
          <w:rFonts w:cs="Courier New" w:asciiTheme="minorEastAsia" w:hAnsiTheme="minorEastAsia" w:eastAsiaTheme="minorEastAsia"/>
          <w:b/>
          <w:color w:val="auto"/>
          <w:szCs w:val="21"/>
          <w:highlight w:val="none"/>
        </w:rPr>
        <w:t>1.2</w:t>
      </w:r>
      <w:r>
        <w:rPr>
          <w:rFonts w:hint="eastAsia" w:cs="Courier New" w:asciiTheme="minorEastAsia" w:hAnsiTheme="minorEastAsia" w:eastAsiaTheme="minorEastAsia"/>
          <w:b/>
          <w:color w:val="auto"/>
          <w:szCs w:val="21"/>
          <w:highlight w:val="none"/>
        </w:rPr>
        <w:t>元</w:t>
      </w:r>
      <w:r>
        <w:rPr>
          <w:rFonts w:cs="Courier New" w:asciiTheme="minorEastAsia" w:hAnsiTheme="minorEastAsia" w:eastAsiaTheme="minorEastAsia"/>
          <w:b/>
          <w:color w:val="auto"/>
          <w:szCs w:val="21"/>
          <w:highlight w:val="none"/>
        </w:rPr>
        <w:t>/</w:t>
      </w:r>
      <w:r>
        <w:rPr>
          <w:rFonts w:hint="eastAsia" w:cs="Courier New" w:asciiTheme="minorEastAsia" w:hAnsiTheme="minorEastAsia" w:eastAsiaTheme="minorEastAsia"/>
          <w:b/>
          <w:color w:val="auto"/>
          <w:szCs w:val="21"/>
          <w:highlight w:val="none"/>
        </w:rPr>
        <w:t>度，水费</w:t>
      </w:r>
      <w:r>
        <w:rPr>
          <w:rFonts w:cs="Courier New" w:asciiTheme="minorEastAsia" w:hAnsiTheme="minorEastAsia" w:eastAsiaTheme="minorEastAsia"/>
          <w:b/>
          <w:color w:val="auto"/>
          <w:szCs w:val="21"/>
          <w:highlight w:val="none"/>
        </w:rPr>
        <w:t>4</w:t>
      </w:r>
      <w:r>
        <w:rPr>
          <w:rFonts w:hint="eastAsia" w:cs="Courier New" w:asciiTheme="minorEastAsia" w:hAnsiTheme="minorEastAsia" w:eastAsiaTheme="minorEastAsia"/>
          <w:b/>
          <w:color w:val="auto"/>
          <w:szCs w:val="21"/>
          <w:highlight w:val="none"/>
        </w:rPr>
        <w:t>元</w:t>
      </w:r>
      <w:r>
        <w:rPr>
          <w:rFonts w:cs="Courier New" w:asciiTheme="minorEastAsia" w:hAnsiTheme="minorEastAsia" w:eastAsiaTheme="minorEastAsia"/>
          <w:b/>
          <w:color w:val="auto"/>
          <w:szCs w:val="21"/>
          <w:highlight w:val="none"/>
        </w:rPr>
        <w:t>/</w:t>
      </w:r>
      <w:r>
        <w:rPr>
          <w:rFonts w:hint="eastAsia" w:cs="Courier New" w:asciiTheme="minorEastAsia" w:hAnsiTheme="minorEastAsia" w:eastAsiaTheme="minorEastAsia"/>
          <w:b/>
          <w:color w:val="auto"/>
          <w:szCs w:val="21"/>
          <w:highlight w:val="none"/>
        </w:rPr>
        <w:t>吨，按月结算并在结算款中予以扣减。</w:t>
      </w:r>
    </w:p>
    <w:p>
      <w:pPr>
        <w:snapToGrid w:val="0"/>
        <w:spacing w:line="360" w:lineRule="auto"/>
        <w:rPr>
          <w:rFonts w:cs="Courier New" w:asciiTheme="minorEastAsia" w:hAnsiTheme="minorEastAsia" w:eastAsiaTheme="minorEastAsia"/>
          <w:b/>
          <w:color w:val="auto"/>
          <w:szCs w:val="21"/>
          <w:highlight w:val="none"/>
        </w:rPr>
        <w:sectPr>
          <w:pgSz w:w="11906" w:h="16838"/>
          <w:pgMar w:top="1440" w:right="1080" w:bottom="1440" w:left="1080" w:header="851" w:footer="992" w:gutter="0"/>
          <w:cols w:space="720" w:num="1"/>
          <w:docGrid w:linePitch="326" w:charSpace="0"/>
        </w:sectPr>
      </w:pPr>
      <w:r>
        <w:rPr>
          <w:rFonts w:cs="Courier New" w:asciiTheme="minorEastAsia" w:hAnsiTheme="minorEastAsia" w:eastAsiaTheme="minorEastAsia"/>
          <w:b/>
          <w:color w:val="auto"/>
          <w:szCs w:val="21"/>
          <w:highlight w:val="none"/>
        </w:rPr>
        <w:t>6</w:t>
      </w:r>
      <w:r>
        <w:rPr>
          <w:rFonts w:hint="eastAsia" w:cs="Courier New" w:asciiTheme="minorEastAsia" w:hAnsiTheme="minorEastAsia" w:eastAsiaTheme="minorEastAsia"/>
          <w:b/>
          <w:color w:val="auto"/>
          <w:szCs w:val="21"/>
          <w:highlight w:val="none"/>
        </w:rPr>
        <w:t>）本项目如施工期间遇到疫情等相关影响导致工期延长，供应商需配合防疫防控措施及现场的管理所产生的费用均应已考虑在报价中，由此延误的费用不再另行计算。</w:t>
      </w:r>
    </w:p>
    <w:p>
      <w:pPr>
        <w:pStyle w:val="4"/>
        <w:rPr>
          <w:rFonts w:asciiTheme="minorEastAsia" w:hAnsiTheme="minorEastAsia" w:eastAsiaTheme="minorEastAsia"/>
          <w:bCs w:val="0"/>
          <w:color w:val="auto"/>
          <w:highlight w:val="none"/>
          <w:u w:val="none"/>
        </w:rPr>
      </w:pPr>
      <w:bookmarkStart w:id="61" w:name="_Toc124269262"/>
      <w:r>
        <w:rPr>
          <w:rFonts w:hint="eastAsia" w:asciiTheme="minorEastAsia" w:hAnsiTheme="minorEastAsia" w:eastAsiaTheme="minorEastAsia"/>
          <w:bCs w:val="0"/>
          <w:color w:val="auto"/>
          <w:highlight w:val="none"/>
          <w:u w:val="none"/>
        </w:rPr>
        <w:t>附件</w:t>
      </w:r>
      <w:r>
        <w:rPr>
          <w:rFonts w:asciiTheme="minorEastAsia" w:hAnsiTheme="minorEastAsia" w:eastAsiaTheme="minorEastAsia"/>
          <w:bCs w:val="0"/>
          <w:color w:val="auto"/>
          <w:highlight w:val="none"/>
          <w:u w:val="none"/>
        </w:rPr>
        <w:t xml:space="preserve">1-3 </w:t>
      </w:r>
      <w:r>
        <w:rPr>
          <w:rFonts w:hint="eastAsia" w:asciiTheme="minorEastAsia" w:hAnsiTheme="minorEastAsia" w:eastAsiaTheme="minorEastAsia"/>
          <w:bCs w:val="0"/>
          <w:color w:val="auto"/>
          <w:highlight w:val="none"/>
          <w:u w:val="none"/>
        </w:rPr>
        <w:t>备品备件清单：</w:t>
      </w:r>
      <w:bookmarkEnd w:id="61"/>
    </w:p>
    <w:p>
      <w:pPr>
        <w:snapToGrid w:val="0"/>
        <w:spacing w:before="120"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五年备品备件清单（格式）</w:t>
      </w:r>
    </w:p>
    <w:tbl>
      <w:tblPr>
        <w:tblStyle w:val="22"/>
        <w:tblW w:w="5000" w:type="pct"/>
        <w:jc w:val="center"/>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725"/>
        <w:gridCol w:w="2190"/>
        <w:gridCol w:w="1913"/>
        <w:gridCol w:w="725"/>
        <w:gridCol w:w="881"/>
        <w:gridCol w:w="1018"/>
        <w:gridCol w:w="1325"/>
        <w:gridCol w:w="1185"/>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4"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序号</w:t>
            </w:r>
          </w:p>
        </w:tc>
        <w:tc>
          <w:tcPr>
            <w:tcW w:w="1099"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备品、备件名称和规格</w:t>
            </w:r>
          </w:p>
        </w:tc>
        <w:tc>
          <w:tcPr>
            <w:tcW w:w="960"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规格型号</w:t>
            </w:r>
          </w:p>
        </w:tc>
        <w:tc>
          <w:tcPr>
            <w:tcW w:w="364"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数量</w:t>
            </w:r>
          </w:p>
        </w:tc>
        <w:tc>
          <w:tcPr>
            <w:tcW w:w="442"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单位</w:t>
            </w:r>
          </w:p>
        </w:tc>
        <w:tc>
          <w:tcPr>
            <w:tcW w:w="511"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厂商</w:t>
            </w:r>
          </w:p>
        </w:tc>
        <w:tc>
          <w:tcPr>
            <w:tcW w:w="665"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不含税单价（元）</w:t>
            </w:r>
          </w:p>
        </w:tc>
        <w:tc>
          <w:tcPr>
            <w:tcW w:w="592"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含税单价（元）</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4" w:type="pct"/>
            <w:shd w:val="clear" w:color="auto" w:fill="auto"/>
            <w:vAlign w:val="center"/>
          </w:tcPr>
          <w:p>
            <w:pPr>
              <w:tabs>
                <w:tab w:val="left" w:pos="0"/>
              </w:tabs>
              <w:jc w:val="center"/>
              <w:rPr>
                <w:rFonts w:cs="宋体" w:asciiTheme="minorEastAsia" w:hAnsiTheme="minorEastAsia" w:eastAsiaTheme="minorEastAsia"/>
                <w:color w:val="auto"/>
                <w:szCs w:val="21"/>
                <w:highlight w:val="none"/>
              </w:rPr>
            </w:pPr>
          </w:p>
        </w:tc>
        <w:tc>
          <w:tcPr>
            <w:tcW w:w="1099" w:type="pct"/>
            <w:shd w:val="clear" w:color="auto" w:fill="auto"/>
            <w:vAlign w:val="center"/>
          </w:tcPr>
          <w:p>
            <w:pPr>
              <w:jc w:val="center"/>
              <w:rPr>
                <w:rFonts w:hint="eastAsia" w:cs="宋体" w:asciiTheme="minorEastAsia" w:hAnsiTheme="minorEastAsia" w:eastAsiaTheme="minorEastAsia"/>
                <w:color w:val="auto"/>
                <w:szCs w:val="21"/>
                <w:highlight w:val="none"/>
                <w:lang w:eastAsia="zh-CN"/>
              </w:rPr>
            </w:pPr>
            <w:r>
              <w:rPr>
                <w:rFonts w:hint="eastAsia" w:cs="宋体" w:asciiTheme="minorEastAsia" w:hAnsiTheme="minorEastAsia" w:eastAsiaTheme="minorEastAsia"/>
                <w:color w:val="auto"/>
                <w:szCs w:val="21"/>
                <w:highlight w:val="none"/>
              </w:rPr>
              <w:t>备用闸杆</w:t>
            </w:r>
            <w:r>
              <w:rPr>
                <w:rFonts w:hint="eastAsia" w:cs="宋体" w:asciiTheme="minorEastAsia" w:hAnsiTheme="minorEastAsia" w:eastAsiaTheme="minorEastAsia"/>
                <w:color w:val="auto"/>
                <w:szCs w:val="21"/>
                <w:highlight w:val="none"/>
                <w:lang w:eastAsia="zh-CN"/>
              </w:rPr>
              <w:t>（</w:t>
            </w:r>
            <w:r>
              <w:rPr>
                <w:rFonts w:hint="eastAsia" w:cs="宋体" w:asciiTheme="minorEastAsia" w:hAnsiTheme="minorEastAsia" w:eastAsiaTheme="minorEastAsia"/>
                <w:color w:val="auto"/>
                <w:szCs w:val="21"/>
                <w:highlight w:val="none"/>
                <w:lang w:val="en-US" w:eastAsia="zh-CN"/>
              </w:rPr>
              <w:t>3m</w:t>
            </w:r>
            <w:r>
              <w:rPr>
                <w:rFonts w:hint="eastAsia" w:cs="宋体" w:asciiTheme="minorEastAsia" w:hAnsiTheme="minorEastAsia" w:eastAsiaTheme="minorEastAsia"/>
                <w:color w:val="auto"/>
                <w:szCs w:val="21"/>
                <w:highlight w:val="none"/>
                <w:lang w:eastAsia="zh-CN"/>
              </w:rPr>
              <w:t>）</w:t>
            </w:r>
          </w:p>
        </w:tc>
        <w:tc>
          <w:tcPr>
            <w:tcW w:w="96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4" w:type="pct"/>
            <w:shd w:val="clear" w:color="auto" w:fill="auto"/>
            <w:vAlign w:val="center"/>
          </w:tcPr>
          <w:p>
            <w:pPr>
              <w:jc w:val="center"/>
              <w:rPr>
                <w:rFonts w:hint="eastAsia"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1</w:t>
            </w:r>
          </w:p>
        </w:tc>
        <w:tc>
          <w:tcPr>
            <w:tcW w:w="442" w:type="pct"/>
            <w:shd w:val="clear" w:color="auto" w:fill="auto"/>
            <w:vAlign w:val="center"/>
          </w:tcPr>
          <w:p>
            <w:pPr>
              <w:jc w:val="center"/>
              <w:rPr>
                <w:rFonts w:hint="default"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根</w:t>
            </w:r>
          </w:p>
        </w:tc>
        <w:tc>
          <w:tcPr>
            <w:tcW w:w="511" w:type="pct"/>
            <w:shd w:val="clear" w:color="auto" w:fill="auto"/>
            <w:vAlign w:val="center"/>
          </w:tcPr>
          <w:p>
            <w:pPr>
              <w:jc w:val="center"/>
              <w:rPr>
                <w:rFonts w:cs="宋体" w:asciiTheme="minorEastAsia" w:hAnsiTheme="minorEastAsia" w:eastAsiaTheme="minorEastAsia"/>
                <w:color w:val="auto"/>
                <w:szCs w:val="21"/>
                <w:highlight w:val="none"/>
              </w:rPr>
            </w:pPr>
          </w:p>
        </w:tc>
        <w:tc>
          <w:tcPr>
            <w:tcW w:w="66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92"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4" w:type="pct"/>
            <w:shd w:val="clear" w:color="auto" w:fill="auto"/>
            <w:vAlign w:val="center"/>
          </w:tcPr>
          <w:p>
            <w:pPr>
              <w:tabs>
                <w:tab w:val="left" w:pos="0"/>
              </w:tabs>
              <w:jc w:val="center"/>
              <w:rPr>
                <w:rFonts w:cs="宋体" w:asciiTheme="minorEastAsia" w:hAnsiTheme="minorEastAsia" w:eastAsiaTheme="minorEastAsia"/>
                <w:color w:val="auto"/>
                <w:szCs w:val="21"/>
                <w:highlight w:val="none"/>
              </w:rPr>
            </w:pPr>
          </w:p>
        </w:tc>
        <w:tc>
          <w:tcPr>
            <w:tcW w:w="1099" w:type="pct"/>
            <w:shd w:val="clear" w:color="auto" w:fill="auto"/>
            <w:vAlign w:val="center"/>
          </w:tcPr>
          <w:p>
            <w:pPr>
              <w:jc w:val="center"/>
              <w:rPr>
                <w:rFonts w:hint="eastAsia" w:cs="宋体"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备用闸杆</w:t>
            </w:r>
            <w:r>
              <w:rPr>
                <w:rFonts w:hint="eastAsia" w:cs="宋体" w:asciiTheme="minorEastAsia" w:hAnsiTheme="minorEastAsia" w:eastAsiaTheme="minorEastAsia"/>
                <w:color w:val="auto"/>
                <w:szCs w:val="21"/>
                <w:highlight w:val="none"/>
                <w:lang w:eastAsia="zh-CN"/>
              </w:rPr>
              <w:t>（</w:t>
            </w:r>
            <w:r>
              <w:rPr>
                <w:rFonts w:hint="eastAsia" w:cs="宋体" w:asciiTheme="minorEastAsia" w:hAnsiTheme="minorEastAsia" w:eastAsiaTheme="minorEastAsia"/>
                <w:color w:val="auto"/>
                <w:szCs w:val="21"/>
                <w:highlight w:val="none"/>
                <w:lang w:val="en-US" w:eastAsia="zh-CN"/>
              </w:rPr>
              <w:t>6m</w:t>
            </w:r>
            <w:r>
              <w:rPr>
                <w:rFonts w:hint="eastAsia" w:cs="宋体" w:asciiTheme="minorEastAsia" w:hAnsiTheme="minorEastAsia" w:eastAsiaTheme="minorEastAsia"/>
                <w:color w:val="auto"/>
                <w:szCs w:val="21"/>
                <w:highlight w:val="none"/>
                <w:lang w:eastAsia="zh-CN"/>
              </w:rPr>
              <w:t>）</w:t>
            </w:r>
          </w:p>
        </w:tc>
        <w:tc>
          <w:tcPr>
            <w:tcW w:w="960" w:type="pct"/>
            <w:shd w:val="clear" w:color="auto" w:fill="auto"/>
            <w:vAlign w:val="center"/>
          </w:tcPr>
          <w:p>
            <w:pPr>
              <w:jc w:val="center"/>
              <w:rPr>
                <w:rFonts w:cs="宋体" w:asciiTheme="minorEastAsia" w:hAnsiTheme="minorEastAsia" w:eastAsiaTheme="minorEastAsia"/>
                <w:color w:val="auto"/>
                <w:kern w:val="2"/>
                <w:sz w:val="21"/>
                <w:szCs w:val="21"/>
                <w:highlight w:val="none"/>
                <w:lang w:val="en-US" w:eastAsia="zh-CN" w:bidi="ar-SA"/>
              </w:rPr>
            </w:pPr>
          </w:p>
        </w:tc>
        <w:tc>
          <w:tcPr>
            <w:tcW w:w="364" w:type="pct"/>
            <w:shd w:val="clear" w:color="auto" w:fill="auto"/>
            <w:vAlign w:val="center"/>
          </w:tcPr>
          <w:p>
            <w:pPr>
              <w:jc w:val="center"/>
              <w:rPr>
                <w:rFonts w:hint="eastAsia" w:cs="宋体"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lang w:val="en-US" w:eastAsia="zh-CN"/>
              </w:rPr>
              <w:t>1</w:t>
            </w:r>
          </w:p>
        </w:tc>
        <w:tc>
          <w:tcPr>
            <w:tcW w:w="442" w:type="pct"/>
            <w:shd w:val="clear" w:color="auto" w:fill="auto"/>
            <w:vAlign w:val="center"/>
          </w:tcPr>
          <w:p>
            <w:pPr>
              <w:jc w:val="center"/>
              <w:rPr>
                <w:rFonts w:hint="default" w:cs="宋体"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lang w:val="en-US" w:eastAsia="zh-CN"/>
              </w:rPr>
              <w:t>根</w:t>
            </w:r>
          </w:p>
        </w:tc>
        <w:tc>
          <w:tcPr>
            <w:tcW w:w="511" w:type="pct"/>
            <w:shd w:val="clear" w:color="auto" w:fill="auto"/>
            <w:vAlign w:val="center"/>
          </w:tcPr>
          <w:p>
            <w:pPr>
              <w:jc w:val="center"/>
              <w:rPr>
                <w:rFonts w:cs="宋体" w:asciiTheme="minorEastAsia" w:hAnsiTheme="minorEastAsia" w:eastAsiaTheme="minorEastAsia"/>
                <w:color w:val="auto"/>
                <w:szCs w:val="21"/>
                <w:highlight w:val="none"/>
              </w:rPr>
            </w:pPr>
          </w:p>
        </w:tc>
        <w:tc>
          <w:tcPr>
            <w:tcW w:w="66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92"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4" w:type="pct"/>
            <w:shd w:val="clear" w:color="auto" w:fill="auto"/>
            <w:vAlign w:val="center"/>
          </w:tcPr>
          <w:p>
            <w:pPr>
              <w:tabs>
                <w:tab w:val="left" w:pos="0"/>
              </w:tabs>
              <w:jc w:val="center"/>
              <w:rPr>
                <w:rFonts w:cs="宋体" w:asciiTheme="minorEastAsia" w:hAnsiTheme="minorEastAsia" w:eastAsiaTheme="minorEastAsia"/>
                <w:color w:val="auto"/>
                <w:szCs w:val="21"/>
                <w:highlight w:val="none"/>
              </w:rPr>
            </w:pPr>
          </w:p>
        </w:tc>
        <w:tc>
          <w:tcPr>
            <w:tcW w:w="1099" w:type="pct"/>
            <w:shd w:val="clear" w:color="auto" w:fill="auto"/>
            <w:vAlign w:val="center"/>
          </w:tcPr>
          <w:p>
            <w:pPr>
              <w:jc w:val="center"/>
              <w:rPr>
                <w:rFonts w:cs="宋体" w:asciiTheme="minorEastAsia" w:hAnsiTheme="minorEastAsia" w:eastAsiaTheme="minorEastAsia"/>
                <w:snapToGrid w:val="0"/>
                <w:color w:val="auto"/>
                <w:szCs w:val="21"/>
                <w:highlight w:val="none"/>
              </w:rPr>
            </w:pPr>
          </w:p>
        </w:tc>
        <w:tc>
          <w:tcPr>
            <w:tcW w:w="96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4"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11" w:type="pct"/>
            <w:shd w:val="clear" w:color="auto" w:fill="auto"/>
            <w:vAlign w:val="center"/>
          </w:tcPr>
          <w:p>
            <w:pPr>
              <w:jc w:val="center"/>
              <w:rPr>
                <w:rFonts w:cs="宋体" w:asciiTheme="minorEastAsia" w:hAnsiTheme="minorEastAsia" w:eastAsiaTheme="minorEastAsia"/>
                <w:color w:val="auto"/>
                <w:szCs w:val="21"/>
                <w:highlight w:val="none"/>
              </w:rPr>
            </w:pPr>
          </w:p>
        </w:tc>
        <w:tc>
          <w:tcPr>
            <w:tcW w:w="66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92"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4" w:type="pct"/>
            <w:shd w:val="clear" w:color="auto" w:fill="auto"/>
            <w:vAlign w:val="center"/>
          </w:tcPr>
          <w:p>
            <w:pPr>
              <w:tabs>
                <w:tab w:val="left" w:pos="0"/>
              </w:tabs>
              <w:jc w:val="center"/>
              <w:rPr>
                <w:rFonts w:cs="宋体" w:asciiTheme="minorEastAsia" w:hAnsiTheme="minorEastAsia" w:eastAsiaTheme="minorEastAsia"/>
                <w:color w:val="auto"/>
                <w:szCs w:val="21"/>
                <w:highlight w:val="none"/>
              </w:rPr>
            </w:pPr>
          </w:p>
        </w:tc>
        <w:tc>
          <w:tcPr>
            <w:tcW w:w="1099" w:type="pct"/>
            <w:shd w:val="clear" w:color="auto" w:fill="auto"/>
            <w:vAlign w:val="center"/>
          </w:tcPr>
          <w:p>
            <w:pPr>
              <w:jc w:val="center"/>
              <w:rPr>
                <w:rFonts w:cs="宋体" w:asciiTheme="minorEastAsia" w:hAnsiTheme="minorEastAsia" w:eastAsiaTheme="minorEastAsia"/>
                <w:snapToGrid w:val="0"/>
                <w:color w:val="auto"/>
                <w:szCs w:val="21"/>
                <w:highlight w:val="none"/>
              </w:rPr>
            </w:pPr>
          </w:p>
        </w:tc>
        <w:tc>
          <w:tcPr>
            <w:tcW w:w="960"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4"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11" w:type="pct"/>
            <w:shd w:val="clear" w:color="auto" w:fill="auto"/>
            <w:vAlign w:val="center"/>
          </w:tcPr>
          <w:p>
            <w:pPr>
              <w:jc w:val="center"/>
              <w:rPr>
                <w:rFonts w:cs="宋体" w:asciiTheme="minorEastAsia" w:hAnsiTheme="minorEastAsia" w:eastAsiaTheme="minorEastAsia"/>
                <w:color w:val="auto"/>
                <w:szCs w:val="21"/>
                <w:highlight w:val="none"/>
              </w:rPr>
            </w:pPr>
          </w:p>
        </w:tc>
        <w:tc>
          <w:tcPr>
            <w:tcW w:w="66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92"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4" w:type="pct"/>
            <w:shd w:val="clear" w:color="auto" w:fill="auto"/>
            <w:vAlign w:val="center"/>
          </w:tcPr>
          <w:p>
            <w:pPr>
              <w:tabs>
                <w:tab w:val="left" w:pos="0"/>
              </w:tabs>
              <w:jc w:val="center"/>
              <w:rPr>
                <w:rFonts w:cs="宋体" w:asciiTheme="minorEastAsia" w:hAnsiTheme="minorEastAsia" w:eastAsiaTheme="minorEastAsia"/>
                <w:color w:val="auto"/>
                <w:szCs w:val="21"/>
                <w:highlight w:val="none"/>
              </w:rPr>
            </w:pPr>
          </w:p>
        </w:tc>
        <w:tc>
          <w:tcPr>
            <w:tcW w:w="1099" w:type="pct"/>
            <w:shd w:val="clear" w:color="auto" w:fill="auto"/>
            <w:vAlign w:val="center"/>
          </w:tcPr>
          <w:p>
            <w:pPr>
              <w:snapToGrid w:val="0"/>
              <w:jc w:val="center"/>
              <w:rPr>
                <w:rFonts w:cs="宋体" w:asciiTheme="minorEastAsia" w:hAnsiTheme="minorEastAsia" w:eastAsiaTheme="minorEastAsia"/>
                <w:snapToGrid w:val="0"/>
                <w:color w:val="auto"/>
                <w:szCs w:val="21"/>
                <w:highlight w:val="none"/>
              </w:rPr>
            </w:pPr>
          </w:p>
        </w:tc>
        <w:tc>
          <w:tcPr>
            <w:tcW w:w="960" w:type="pct"/>
            <w:shd w:val="clear" w:color="auto" w:fill="auto"/>
            <w:vAlign w:val="center"/>
          </w:tcPr>
          <w:p>
            <w:pPr>
              <w:snapToGrid w:val="0"/>
              <w:jc w:val="center"/>
              <w:rPr>
                <w:rFonts w:cs="宋体" w:asciiTheme="minorEastAsia" w:hAnsiTheme="minorEastAsia" w:eastAsiaTheme="minorEastAsia"/>
                <w:color w:val="auto"/>
                <w:szCs w:val="21"/>
                <w:highlight w:val="none"/>
              </w:rPr>
            </w:pPr>
          </w:p>
        </w:tc>
        <w:tc>
          <w:tcPr>
            <w:tcW w:w="364"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11" w:type="pct"/>
            <w:shd w:val="clear" w:color="auto" w:fill="auto"/>
            <w:vAlign w:val="center"/>
          </w:tcPr>
          <w:p>
            <w:pPr>
              <w:jc w:val="center"/>
              <w:rPr>
                <w:rFonts w:cs="宋体" w:asciiTheme="minorEastAsia" w:hAnsiTheme="minorEastAsia" w:eastAsiaTheme="minorEastAsia"/>
                <w:color w:val="auto"/>
                <w:szCs w:val="21"/>
                <w:highlight w:val="none"/>
              </w:rPr>
            </w:pPr>
          </w:p>
        </w:tc>
        <w:tc>
          <w:tcPr>
            <w:tcW w:w="665" w:type="pct"/>
            <w:shd w:val="clear" w:color="auto" w:fill="auto"/>
            <w:vAlign w:val="center"/>
          </w:tcPr>
          <w:p>
            <w:pPr>
              <w:jc w:val="center"/>
              <w:rPr>
                <w:rFonts w:cs="宋体" w:asciiTheme="minorEastAsia" w:hAnsiTheme="minorEastAsia" w:eastAsiaTheme="minorEastAsia"/>
                <w:color w:val="auto"/>
                <w:szCs w:val="21"/>
                <w:highlight w:val="none"/>
              </w:rPr>
            </w:pPr>
          </w:p>
        </w:tc>
        <w:tc>
          <w:tcPr>
            <w:tcW w:w="592"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8"/>
            <w:shd w:val="clear" w:color="auto" w:fill="auto"/>
            <w:vAlign w:val="center"/>
          </w:tcPr>
          <w:p>
            <w:pPr>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合计（含税）：</w:t>
            </w:r>
          </w:p>
          <w:p>
            <w:pPr>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合计（不含税）：</w:t>
            </w:r>
          </w:p>
          <w:p>
            <w:pPr>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税金：</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8"/>
            <w:shd w:val="clear" w:color="auto" w:fill="auto"/>
            <w:vAlign w:val="center"/>
          </w:tcPr>
          <w:p>
            <w:pPr>
              <w:widowControl/>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供应商（盖单位公章）：</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8"/>
            <w:shd w:val="clear" w:color="auto" w:fill="auto"/>
            <w:vAlign w:val="center"/>
          </w:tcPr>
          <w:p>
            <w:pPr>
              <w:widowControl/>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法定代表人或其委托代理人（签字或盖章）：</w:t>
            </w:r>
          </w:p>
        </w:tc>
      </w:tr>
    </w:tbl>
    <w:p>
      <w:pPr>
        <w:rPr>
          <w:rFonts w:cs="Courier New" w:asciiTheme="minorEastAsia" w:hAnsiTheme="minorEastAsia" w:eastAsiaTheme="minorEastAsia"/>
          <w:b/>
          <w:color w:val="auto"/>
          <w:spacing w:val="20"/>
          <w:szCs w:val="21"/>
          <w:highlight w:val="none"/>
        </w:rPr>
      </w:pPr>
      <w:r>
        <w:rPr>
          <w:rFonts w:hint="eastAsia" w:cs="Courier New" w:asciiTheme="minorEastAsia" w:hAnsiTheme="minorEastAsia" w:eastAsiaTheme="minorEastAsia"/>
          <w:b/>
          <w:color w:val="auto"/>
          <w:spacing w:val="20"/>
          <w:szCs w:val="21"/>
          <w:highlight w:val="none"/>
        </w:rPr>
        <w:t>注：</w:t>
      </w:r>
    </w:p>
    <w:p>
      <w:pPr>
        <w:snapToGrid w:val="0"/>
        <w:spacing w:line="360" w:lineRule="auto"/>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t>1）请参考第三章提供的“采购需求”的内容填写本表；如有漏项或缺项，均由供应商承担。供应商应逐项计算并填写单价、合价和总价，供应商没有填写单价和合价的项目将被认为此项目所涉及的全部费用已包含在其他分项报价及响应总价中。</w:t>
      </w:r>
    </w:p>
    <w:p>
      <w:pPr>
        <w:snapToGrid w:val="0"/>
        <w:spacing w:line="360" w:lineRule="auto"/>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t>2）表格内容均需按要求填写并盖章，不得留空，否则按响应无效处理；</w:t>
      </w:r>
    </w:p>
    <w:p>
      <w:pPr>
        <w:snapToGrid w:val="0"/>
        <w:spacing w:line="360" w:lineRule="auto"/>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t>3）供应商应认真复核报价表中所有单价、合价和总价的一致性，保证响应报价的正确性；</w:t>
      </w:r>
    </w:p>
    <w:p>
      <w:pPr>
        <w:snapToGrid w:val="0"/>
        <w:spacing w:line="360" w:lineRule="auto"/>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t>4</w:t>
      </w:r>
      <w:r>
        <w:rPr>
          <w:rFonts w:hint="eastAsia" w:cs="Courier New" w:asciiTheme="minorEastAsia" w:hAnsiTheme="minorEastAsia" w:eastAsiaTheme="minorEastAsia"/>
          <w:b/>
          <w:color w:val="auto"/>
          <w:szCs w:val="21"/>
          <w:highlight w:val="none"/>
        </w:rPr>
        <w:t>）质保期内的备品备件在质保期内供应商无偿更换，报价已考虑在</w:t>
      </w:r>
      <w:r>
        <w:rPr>
          <w:rFonts w:cs="Courier New" w:asciiTheme="minorEastAsia" w:hAnsiTheme="minorEastAsia" w:eastAsiaTheme="minorEastAsia"/>
          <w:b/>
          <w:color w:val="auto"/>
          <w:szCs w:val="21"/>
          <w:highlight w:val="none"/>
        </w:rPr>
        <w:t>A-2响应报价内，本表指的是超出质保期后五年内的备品备件，采购人有偿购买，双方按此表内价格进行结算；</w:t>
      </w:r>
    </w:p>
    <w:p>
      <w:pPr>
        <w:rPr>
          <w:rFonts w:asciiTheme="minorEastAsia" w:hAnsiTheme="minorEastAsia" w:eastAsiaTheme="minorEastAsia"/>
          <w:color w:val="auto"/>
          <w:highlight w:val="none"/>
        </w:rPr>
      </w:pPr>
      <w:r>
        <w:rPr>
          <w:rFonts w:asciiTheme="minorEastAsia" w:hAnsiTheme="minorEastAsia" w:eastAsiaTheme="minorEastAsia"/>
          <w:color w:val="auto"/>
          <w:spacing w:val="20"/>
          <w:highlight w:val="none"/>
        </w:rPr>
        <w:br w:type="page"/>
      </w:r>
    </w:p>
    <w:p>
      <w:pPr>
        <w:pStyle w:val="4"/>
        <w:rPr>
          <w:rFonts w:asciiTheme="minorEastAsia" w:hAnsiTheme="minorEastAsia" w:eastAsiaTheme="minorEastAsia"/>
          <w:bCs w:val="0"/>
          <w:color w:val="auto"/>
          <w:highlight w:val="none"/>
          <w:u w:val="none"/>
        </w:rPr>
      </w:pPr>
      <w:bookmarkStart w:id="62" w:name="_Toc124269263"/>
      <w:r>
        <w:rPr>
          <w:rFonts w:hint="eastAsia" w:asciiTheme="minorEastAsia" w:hAnsiTheme="minorEastAsia" w:eastAsiaTheme="minorEastAsia"/>
          <w:bCs w:val="0"/>
          <w:color w:val="auto"/>
          <w:highlight w:val="none"/>
          <w:u w:val="none"/>
        </w:rPr>
        <w:t>附件</w:t>
      </w:r>
      <w:r>
        <w:rPr>
          <w:rFonts w:asciiTheme="minorEastAsia" w:hAnsiTheme="minorEastAsia" w:eastAsiaTheme="minorEastAsia"/>
          <w:bCs w:val="0"/>
          <w:color w:val="auto"/>
          <w:highlight w:val="none"/>
          <w:u w:val="none"/>
        </w:rPr>
        <w:t xml:space="preserve">1-4 </w:t>
      </w:r>
      <w:r>
        <w:rPr>
          <w:rFonts w:hint="eastAsia" w:asciiTheme="minorEastAsia" w:hAnsiTheme="minorEastAsia" w:eastAsiaTheme="minorEastAsia"/>
          <w:bCs w:val="0"/>
          <w:color w:val="auto"/>
          <w:highlight w:val="none"/>
          <w:u w:val="none"/>
        </w:rPr>
        <w:t>随机专用工具清单：</w:t>
      </w:r>
      <w:bookmarkEnd w:id="62"/>
    </w:p>
    <w:p>
      <w:pPr>
        <w:snapToGrid w:val="0"/>
        <w:spacing w:before="120"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随机专用工具清单（格式）</w:t>
      </w:r>
    </w:p>
    <w:tbl>
      <w:tblPr>
        <w:tblStyle w:val="22"/>
        <w:tblW w:w="5000" w:type="pct"/>
        <w:jc w:val="center"/>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730"/>
        <w:gridCol w:w="1904"/>
        <w:gridCol w:w="2200"/>
        <w:gridCol w:w="731"/>
        <w:gridCol w:w="881"/>
        <w:gridCol w:w="1172"/>
        <w:gridCol w:w="1172"/>
        <w:gridCol w:w="1172"/>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序号</w:t>
            </w:r>
          </w:p>
        </w:tc>
        <w:tc>
          <w:tcPr>
            <w:tcW w:w="956"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设备名称及编号</w:t>
            </w:r>
          </w:p>
        </w:tc>
        <w:tc>
          <w:tcPr>
            <w:tcW w:w="1104"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材料、型号</w:t>
            </w:r>
          </w:p>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（或品牌）</w:t>
            </w:r>
          </w:p>
        </w:tc>
        <w:tc>
          <w:tcPr>
            <w:tcW w:w="367"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单位</w:t>
            </w:r>
          </w:p>
        </w:tc>
        <w:tc>
          <w:tcPr>
            <w:tcW w:w="442"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数量</w:t>
            </w:r>
          </w:p>
        </w:tc>
        <w:tc>
          <w:tcPr>
            <w:tcW w:w="588"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重量（</w:t>
            </w:r>
            <w:r>
              <w:rPr>
                <w:rFonts w:cs="宋体" w:asciiTheme="minorEastAsia" w:hAnsiTheme="minorEastAsia" w:eastAsiaTheme="minorEastAsia"/>
                <w:b/>
                <w:color w:val="auto"/>
                <w:szCs w:val="21"/>
                <w:highlight w:val="none"/>
              </w:rPr>
              <w:t>kg）</w:t>
            </w:r>
          </w:p>
        </w:tc>
        <w:tc>
          <w:tcPr>
            <w:tcW w:w="588"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单价（元）</w:t>
            </w:r>
          </w:p>
        </w:tc>
        <w:tc>
          <w:tcPr>
            <w:tcW w:w="588" w:type="pct"/>
            <w:shd w:val="clear" w:color="auto" w:fill="auto"/>
            <w:vAlign w:val="center"/>
          </w:tcPr>
          <w:p>
            <w:pPr>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合计（元）</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1.</w:t>
            </w:r>
          </w:p>
        </w:tc>
        <w:tc>
          <w:tcPr>
            <w:tcW w:w="956" w:type="pct"/>
            <w:shd w:val="clear" w:color="auto" w:fill="auto"/>
            <w:vAlign w:val="center"/>
          </w:tcPr>
          <w:p>
            <w:pPr>
              <w:jc w:val="center"/>
              <w:rPr>
                <w:rFonts w:cs="宋体" w:asciiTheme="minorEastAsia" w:hAnsiTheme="minorEastAsia" w:eastAsiaTheme="minorEastAsia"/>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2.</w:t>
            </w:r>
          </w:p>
        </w:tc>
        <w:tc>
          <w:tcPr>
            <w:tcW w:w="956" w:type="pct"/>
            <w:shd w:val="clear" w:color="auto" w:fill="auto"/>
            <w:vAlign w:val="center"/>
          </w:tcPr>
          <w:p>
            <w:pPr>
              <w:jc w:val="center"/>
              <w:rPr>
                <w:rFonts w:cs="宋体" w:asciiTheme="minorEastAsia" w:hAnsiTheme="minorEastAsia" w:eastAsiaTheme="minorEastAsia"/>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3.</w:t>
            </w:r>
          </w:p>
        </w:tc>
        <w:tc>
          <w:tcPr>
            <w:tcW w:w="956" w:type="pct"/>
            <w:shd w:val="clear" w:color="auto" w:fill="auto"/>
            <w:vAlign w:val="center"/>
          </w:tcPr>
          <w:p>
            <w:pPr>
              <w:jc w:val="center"/>
              <w:rPr>
                <w:rFonts w:cs="宋体" w:asciiTheme="minorEastAsia" w:hAnsiTheme="minorEastAsia" w:eastAsiaTheme="minorEastAsia"/>
                <w:snapToGrid w:val="0"/>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4.</w:t>
            </w:r>
          </w:p>
        </w:tc>
        <w:tc>
          <w:tcPr>
            <w:tcW w:w="956" w:type="pct"/>
            <w:shd w:val="clear" w:color="auto" w:fill="auto"/>
            <w:vAlign w:val="center"/>
          </w:tcPr>
          <w:p>
            <w:pPr>
              <w:jc w:val="center"/>
              <w:rPr>
                <w:rFonts w:cs="宋体" w:asciiTheme="minorEastAsia" w:hAnsiTheme="minorEastAsia" w:eastAsiaTheme="minorEastAsia"/>
                <w:snapToGrid w:val="0"/>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5.</w:t>
            </w:r>
          </w:p>
        </w:tc>
        <w:tc>
          <w:tcPr>
            <w:tcW w:w="956" w:type="pct"/>
            <w:shd w:val="clear" w:color="auto" w:fill="auto"/>
            <w:vAlign w:val="center"/>
          </w:tcPr>
          <w:p>
            <w:pPr>
              <w:jc w:val="center"/>
              <w:rPr>
                <w:rFonts w:cs="宋体" w:asciiTheme="minorEastAsia" w:hAnsiTheme="minorEastAsia" w:eastAsiaTheme="minorEastAsia"/>
                <w:snapToGrid w:val="0"/>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6.</w:t>
            </w:r>
          </w:p>
        </w:tc>
        <w:tc>
          <w:tcPr>
            <w:tcW w:w="956" w:type="pct"/>
            <w:shd w:val="clear" w:color="auto" w:fill="auto"/>
            <w:vAlign w:val="center"/>
          </w:tcPr>
          <w:p>
            <w:pPr>
              <w:jc w:val="center"/>
              <w:rPr>
                <w:rFonts w:cs="宋体" w:asciiTheme="minorEastAsia" w:hAnsiTheme="minorEastAsia" w:eastAsiaTheme="minorEastAsia"/>
                <w:snapToGrid w:val="0"/>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7.</w:t>
            </w:r>
          </w:p>
        </w:tc>
        <w:tc>
          <w:tcPr>
            <w:tcW w:w="956" w:type="pct"/>
            <w:shd w:val="clear" w:color="auto" w:fill="auto"/>
            <w:vAlign w:val="center"/>
          </w:tcPr>
          <w:p>
            <w:pPr>
              <w:jc w:val="center"/>
              <w:rPr>
                <w:rFonts w:cs="宋体" w:asciiTheme="minorEastAsia" w:hAnsiTheme="minorEastAsia" w:eastAsiaTheme="minorEastAsia"/>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8.</w:t>
            </w:r>
          </w:p>
        </w:tc>
        <w:tc>
          <w:tcPr>
            <w:tcW w:w="956" w:type="pct"/>
            <w:shd w:val="clear" w:color="auto" w:fill="auto"/>
            <w:vAlign w:val="center"/>
          </w:tcPr>
          <w:p>
            <w:pPr>
              <w:jc w:val="center"/>
              <w:rPr>
                <w:rFonts w:cs="宋体" w:asciiTheme="minorEastAsia" w:hAnsiTheme="minorEastAsia" w:eastAsiaTheme="minorEastAsia"/>
                <w:snapToGrid w:val="0"/>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b/>
                <w:snapToGrid w:val="0"/>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9.</w:t>
            </w:r>
          </w:p>
        </w:tc>
        <w:tc>
          <w:tcPr>
            <w:tcW w:w="956" w:type="pct"/>
            <w:shd w:val="clear" w:color="auto" w:fill="auto"/>
            <w:vAlign w:val="center"/>
          </w:tcPr>
          <w:p>
            <w:pPr>
              <w:jc w:val="center"/>
              <w:rPr>
                <w:rFonts w:cs="宋体" w:asciiTheme="minorEastAsia" w:hAnsiTheme="minorEastAsia" w:eastAsiaTheme="minorEastAsia"/>
                <w:snapToGrid w:val="0"/>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367" w:type="pct"/>
            <w:shd w:val="clear" w:color="auto" w:fill="auto"/>
            <w:vAlign w:val="center"/>
          </w:tcPr>
          <w:p>
            <w:pPr>
              <w:jc w:val="center"/>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kern w:val="0"/>
                <w:szCs w:val="21"/>
                <w:highlight w:val="none"/>
              </w:rPr>
              <w:t>10.</w:t>
            </w:r>
          </w:p>
        </w:tc>
        <w:tc>
          <w:tcPr>
            <w:tcW w:w="956" w:type="pct"/>
            <w:shd w:val="clear" w:color="auto" w:fill="auto"/>
            <w:vAlign w:val="center"/>
          </w:tcPr>
          <w:p>
            <w:pPr>
              <w:jc w:val="center"/>
              <w:rPr>
                <w:rFonts w:cs="宋体" w:asciiTheme="minorEastAsia" w:hAnsiTheme="minorEastAsia" w:eastAsiaTheme="minorEastAsia"/>
                <w:snapToGrid w:val="0"/>
                <w:color w:val="auto"/>
                <w:szCs w:val="21"/>
                <w:highlight w:val="none"/>
              </w:rPr>
            </w:pPr>
          </w:p>
        </w:tc>
        <w:tc>
          <w:tcPr>
            <w:tcW w:w="1104" w:type="pct"/>
            <w:shd w:val="clear" w:color="auto" w:fill="auto"/>
            <w:vAlign w:val="center"/>
          </w:tcPr>
          <w:p>
            <w:pPr>
              <w:jc w:val="center"/>
              <w:rPr>
                <w:rFonts w:cs="宋体" w:asciiTheme="minorEastAsia" w:hAnsiTheme="minorEastAsia" w:eastAsiaTheme="minorEastAsia"/>
                <w:b/>
                <w:snapToGrid w:val="0"/>
                <w:color w:val="auto"/>
                <w:szCs w:val="21"/>
                <w:highlight w:val="none"/>
              </w:rPr>
            </w:pPr>
          </w:p>
        </w:tc>
        <w:tc>
          <w:tcPr>
            <w:tcW w:w="367" w:type="pct"/>
            <w:shd w:val="clear" w:color="auto" w:fill="auto"/>
            <w:vAlign w:val="center"/>
          </w:tcPr>
          <w:p>
            <w:pPr>
              <w:jc w:val="center"/>
              <w:rPr>
                <w:rFonts w:cs="宋体" w:asciiTheme="minorEastAsia" w:hAnsiTheme="minorEastAsia" w:eastAsiaTheme="minorEastAsia"/>
                <w:b/>
                <w:snapToGrid w:val="0"/>
                <w:color w:val="auto"/>
                <w:szCs w:val="21"/>
                <w:highlight w:val="none"/>
              </w:rPr>
            </w:pPr>
          </w:p>
        </w:tc>
        <w:tc>
          <w:tcPr>
            <w:tcW w:w="442"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c>
          <w:tcPr>
            <w:tcW w:w="588" w:type="pct"/>
            <w:shd w:val="clear" w:color="auto" w:fill="auto"/>
            <w:vAlign w:val="center"/>
          </w:tcPr>
          <w:p>
            <w:pPr>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4412" w:type="pct"/>
            <w:gridSpan w:val="7"/>
            <w:shd w:val="clear" w:color="auto" w:fill="auto"/>
            <w:vAlign w:val="center"/>
          </w:tcPr>
          <w:p>
            <w:pPr>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合计（含税）：</w:t>
            </w:r>
          </w:p>
          <w:p>
            <w:pPr>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合计（不含税）：</w:t>
            </w:r>
          </w:p>
          <w:p>
            <w:pPr>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税金：</w:t>
            </w:r>
          </w:p>
        </w:tc>
        <w:tc>
          <w:tcPr>
            <w:tcW w:w="588" w:type="pct"/>
            <w:shd w:val="clear" w:color="auto" w:fill="auto"/>
            <w:vAlign w:val="center"/>
          </w:tcPr>
          <w:p>
            <w:pPr>
              <w:jc w:val="left"/>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8"/>
            <w:shd w:val="clear" w:color="auto" w:fill="auto"/>
            <w:vAlign w:val="center"/>
          </w:tcPr>
          <w:p>
            <w:pPr>
              <w:widowControl/>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供应商（盖单位公章）：</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8"/>
            <w:shd w:val="clear" w:color="auto" w:fill="auto"/>
            <w:vAlign w:val="center"/>
          </w:tcPr>
          <w:p>
            <w:pPr>
              <w:widowControl/>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法定代表人或其委托代理人（签字或盖章）：</w:t>
            </w:r>
          </w:p>
        </w:tc>
      </w:tr>
    </w:tbl>
    <w:p>
      <w:pPr>
        <w:rPr>
          <w:rFonts w:cs="Courier New" w:asciiTheme="minorEastAsia" w:hAnsiTheme="minorEastAsia" w:eastAsiaTheme="minorEastAsia"/>
          <w:b/>
          <w:color w:val="auto"/>
          <w:spacing w:val="20"/>
          <w:szCs w:val="21"/>
          <w:highlight w:val="none"/>
        </w:rPr>
      </w:pPr>
      <w:r>
        <w:rPr>
          <w:rFonts w:hint="eastAsia" w:cs="Courier New" w:asciiTheme="minorEastAsia" w:hAnsiTheme="minorEastAsia" w:eastAsiaTheme="minorEastAsia"/>
          <w:b/>
          <w:color w:val="auto"/>
          <w:spacing w:val="20"/>
          <w:szCs w:val="21"/>
          <w:highlight w:val="none"/>
        </w:rPr>
        <w:t>注：</w:t>
      </w:r>
    </w:p>
    <w:p>
      <w:pPr>
        <w:spacing w:line="360" w:lineRule="auto"/>
        <w:rPr>
          <w:rFonts w:cs="Courier New" w:asciiTheme="minorEastAsia" w:hAnsiTheme="minorEastAsia" w:eastAsiaTheme="minorEastAsia"/>
          <w:color w:val="auto"/>
          <w:szCs w:val="21"/>
          <w:highlight w:val="none"/>
        </w:rPr>
      </w:pPr>
      <w:r>
        <w:rPr>
          <w:rFonts w:cs="Courier New" w:asciiTheme="minorEastAsia" w:hAnsiTheme="minorEastAsia" w:eastAsiaTheme="minorEastAsia"/>
          <w:color w:val="auto"/>
          <w:szCs w:val="21"/>
          <w:highlight w:val="none"/>
        </w:rPr>
        <w:t>1</w:t>
      </w:r>
      <w:r>
        <w:rPr>
          <w:rFonts w:hint="eastAsia" w:cs="Courier New" w:asciiTheme="minorEastAsia" w:hAnsiTheme="minorEastAsia" w:eastAsiaTheme="minorEastAsia"/>
          <w:color w:val="auto"/>
          <w:szCs w:val="21"/>
          <w:highlight w:val="none"/>
        </w:rPr>
        <w:t>）请参考第三章提供的“采购需求”的内容填写本表；如有漏项或缺项，均由供应商承担。供应商应逐项计算并填写单价、合价和总价，供应商没有填写单价和合价的项目将被认为此项目所涉及的全部费用已包含在其他分项报价及响应总价中。</w:t>
      </w:r>
    </w:p>
    <w:p>
      <w:pPr>
        <w:spacing w:line="360" w:lineRule="auto"/>
        <w:rPr>
          <w:rFonts w:cs="Courier New" w:asciiTheme="minorEastAsia" w:hAnsiTheme="minorEastAsia" w:eastAsiaTheme="minorEastAsia"/>
          <w:color w:val="auto"/>
          <w:szCs w:val="21"/>
          <w:highlight w:val="none"/>
        </w:rPr>
      </w:pPr>
      <w:r>
        <w:rPr>
          <w:rFonts w:cs="Courier New" w:asciiTheme="minorEastAsia" w:hAnsiTheme="minorEastAsia" w:eastAsiaTheme="minorEastAsia"/>
          <w:color w:val="auto"/>
          <w:szCs w:val="21"/>
          <w:highlight w:val="none"/>
        </w:rPr>
        <w:t>2</w:t>
      </w:r>
      <w:r>
        <w:rPr>
          <w:rFonts w:hint="eastAsia" w:cs="Courier New" w:asciiTheme="minorEastAsia" w:hAnsiTheme="minorEastAsia" w:eastAsiaTheme="minorEastAsia"/>
          <w:color w:val="auto"/>
          <w:szCs w:val="21"/>
          <w:highlight w:val="none"/>
        </w:rPr>
        <w:t>）表格内容均需按要求填写并盖章，不得留空，否则按响应无效处理；</w:t>
      </w:r>
    </w:p>
    <w:p>
      <w:pPr>
        <w:spacing w:line="360" w:lineRule="auto"/>
        <w:rPr>
          <w:rFonts w:cs="Courier New" w:asciiTheme="minorEastAsia" w:hAnsiTheme="minorEastAsia" w:eastAsiaTheme="minorEastAsia"/>
          <w:color w:val="auto"/>
          <w:szCs w:val="21"/>
          <w:highlight w:val="none"/>
        </w:rPr>
      </w:pPr>
      <w:r>
        <w:rPr>
          <w:rFonts w:cs="Courier New" w:asciiTheme="minorEastAsia" w:hAnsiTheme="minorEastAsia" w:eastAsiaTheme="minorEastAsia"/>
          <w:color w:val="auto"/>
          <w:szCs w:val="21"/>
          <w:highlight w:val="none"/>
        </w:rPr>
        <w:t>3</w:t>
      </w:r>
      <w:r>
        <w:rPr>
          <w:rFonts w:hint="eastAsia" w:cs="Courier New" w:asciiTheme="minorEastAsia" w:hAnsiTheme="minorEastAsia" w:eastAsiaTheme="minorEastAsia"/>
          <w:color w:val="auto"/>
          <w:szCs w:val="21"/>
          <w:highlight w:val="none"/>
        </w:rPr>
        <w:t>）供应商应认真复核报价表中所有单价、合价和总价的一致性，保证响应报价的正确性；</w:t>
      </w:r>
    </w:p>
    <w:p>
      <w:pPr>
        <w:pStyle w:val="4"/>
        <w:rPr>
          <w:rFonts w:asciiTheme="minorEastAsia" w:hAnsiTheme="minorEastAsia" w:eastAsiaTheme="minorEastAsia"/>
          <w:bCs w:val="0"/>
          <w:color w:val="auto"/>
          <w:highlight w:val="none"/>
          <w:u w:val="none"/>
        </w:rPr>
      </w:pPr>
      <w:r>
        <w:rPr>
          <w:rFonts w:cs="Courier New" w:asciiTheme="minorEastAsia" w:hAnsiTheme="minorEastAsia" w:eastAsiaTheme="minorEastAsia"/>
          <w:color w:val="auto"/>
          <w:sz w:val="21"/>
          <w:szCs w:val="21"/>
          <w:highlight w:val="none"/>
        </w:rPr>
        <w:br w:type="page"/>
      </w:r>
      <w:r>
        <w:rPr>
          <w:rFonts w:hint="eastAsia" w:asciiTheme="minorEastAsia" w:hAnsiTheme="minorEastAsia" w:eastAsiaTheme="minorEastAsia"/>
          <w:bCs w:val="0"/>
          <w:color w:val="auto"/>
          <w:highlight w:val="none"/>
          <w:u w:val="none"/>
        </w:rPr>
        <w:t>附件</w:t>
      </w:r>
      <w:r>
        <w:rPr>
          <w:rFonts w:asciiTheme="minorEastAsia" w:hAnsiTheme="minorEastAsia" w:eastAsiaTheme="minorEastAsia"/>
          <w:bCs w:val="0"/>
          <w:color w:val="auto"/>
          <w:highlight w:val="none"/>
          <w:u w:val="none"/>
        </w:rPr>
        <w:t xml:space="preserve">1-5 </w:t>
      </w:r>
      <w:r>
        <w:rPr>
          <w:rFonts w:hint="eastAsia" w:asciiTheme="minorEastAsia" w:hAnsiTheme="minorEastAsia" w:eastAsiaTheme="minorEastAsia"/>
          <w:bCs w:val="0"/>
          <w:color w:val="auto"/>
          <w:highlight w:val="none"/>
          <w:u w:val="none"/>
        </w:rPr>
        <w:t>供应商针对报价需要说明的其他文件和说明（没有可不填）</w:t>
      </w:r>
    </w:p>
    <w:p>
      <w:pPr>
        <w:rPr>
          <w:rFonts w:cs="Courier New" w:asciiTheme="minorEastAsia" w:hAnsiTheme="minorEastAsia" w:eastAsiaTheme="minorEastAsia"/>
          <w:color w:val="auto"/>
          <w:szCs w:val="21"/>
          <w:highlight w:val="none"/>
        </w:rPr>
      </w:pPr>
      <w:r>
        <w:rPr>
          <w:rFonts w:cs="Courier New" w:asciiTheme="minorEastAsia" w:hAnsiTheme="minorEastAsia" w:eastAsiaTheme="minorEastAsia"/>
          <w:color w:val="auto"/>
          <w:szCs w:val="21"/>
          <w:highlight w:val="none"/>
        </w:rPr>
        <w:br w:type="page"/>
      </w:r>
    </w:p>
    <w:p>
      <w:pPr>
        <w:pStyle w:val="11"/>
        <w:rPr>
          <w:rFonts w:asciiTheme="minorEastAsia" w:hAnsiTheme="minorEastAsia" w:eastAsiaTheme="minorEastAsia"/>
          <w:color w:val="auto"/>
          <w:highlight w:val="none"/>
        </w:rPr>
      </w:pPr>
    </w:p>
    <w:p>
      <w:pPr>
        <w:snapToGrid w:val="0"/>
        <w:spacing w:before="120" w:beforeLines="50" w:after="50" w:line="500" w:lineRule="exact"/>
        <w:rPr>
          <w:rFonts w:asciiTheme="minorEastAsia" w:hAnsiTheme="minorEastAsia" w:eastAsiaTheme="minorEastAsia"/>
          <w:b/>
          <w:bCs/>
          <w:color w:val="auto"/>
          <w:sz w:val="44"/>
          <w:szCs w:val="44"/>
          <w:highlight w:val="none"/>
        </w:rPr>
      </w:pPr>
      <w:r>
        <w:rPr>
          <w:rFonts w:asciiTheme="minorEastAsia" w:hAnsiTheme="minorEastAsia" w:eastAsiaTheme="minorEastAsia"/>
          <w:color w:val="auto"/>
          <w:highlight w:val="none"/>
        </w:rPr>
        <w:t xml:space="preserve">                                                 </w:t>
      </w:r>
      <w:r>
        <w:rPr>
          <w:rFonts w:asciiTheme="minorEastAsia" w:hAnsiTheme="minorEastAsia" w:eastAsiaTheme="minorEastAsia"/>
          <w:b/>
          <w:color w:val="auto"/>
          <w:sz w:val="28"/>
          <w:szCs w:val="28"/>
          <w:highlight w:val="none"/>
        </w:rPr>
        <w:t xml:space="preserve">   </w:t>
      </w:r>
    </w:p>
    <w:p>
      <w:pPr>
        <w:snapToGrid w:val="0"/>
        <w:spacing w:before="120" w:beforeLines="50" w:after="50" w:line="1000" w:lineRule="exact"/>
        <w:jc w:val="center"/>
        <w:rPr>
          <w:rFonts w:asciiTheme="minorEastAsia" w:hAnsiTheme="minorEastAsia" w:eastAsiaTheme="minorEastAsia"/>
          <w:b/>
          <w:bCs/>
          <w:color w:val="auto"/>
          <w:sz w:val="72"/>
          <w:szCs w:val="72"/>
          <w:highlight w:val="none"/>
        </w:rPr>
      </w:pPr>
      <w:r>
        <w:rPr>
          <w:rFonts w:hint="eastAsia" w:asciiTheme="minorEastAsia" w:hAnsiTheme="minorEastAsia" w:eastAsiaTheme="minorEastAsia"/>
          <w:b/>
          <w:bCs/>
          <w:color w:val="auto"/>
          <w:sz w:val="72"/>
          <w:szCs w:val="72"/>
          <w:highlight w:val="none"/>
        </w:rPr>
        <w:t>资格</w:t>
      </w:r>
      <w:r>
        <w:rPr>
          <w:rFonts w:asciiTheme="minorEastAsia" w:hAnsiTheme="minorEastAsia" w:eastAsiaTheme="minorEastAsia"/>
          <w:b/>
          <w:bCs/>
          <w:color w:val="auto"/>
          <w:sz w:val="72"/>
          <w:szCs w:val="72"/>
          <w:highlight w:val="none"/>
        </w:rPr>
        <w:t>/商务文件</w:t>
      </w: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项目名称：</w:t>
      </w:r>
      <w:r>
        <w:rPr>
          <w:rFonts w:asciiTheme="minorEastAsia" w:hAnsiTheme="minorEastAsia" w:eastAsiaTheme="minorEastAsia"/>
          <w:b/>
          <w:bCs/>
          <w:color w:val="auto"/>
          <w:sz w:val="32"/>
          <w:szCs w:val="32"/>
          <w:highlight w:val="none"/>
        </w:rPr>
        <w:t xml:space="preserve"> </w:t>
      </w: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项目编号：</w:t>
      </w:r>
      <w:r>
        <w:rPr>
          <w:rFonts w:asciiTheme="minorEastAsia" w:hAnsiTheme="minorEastAsia" w:eastAsiaTheme="minorEastAsia"/>
          <w:b/>
          <w:bCs/>
          <w:color w:val="auto"/>
          <w:sz w:val="32"/>
          <w:szCs w:val="32"/>
          <w:highlight w:val="none"/>
        </w:rPr>
        <w:t xml:space="preserve"> </w:t>
      </w: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供应商名称：</w:t>
      </w:r>
    </w:p>
    <w:p>
      <w:pPr>
        <w:snapToGrid w:val="0"/>
        <w:spacing w:before="120"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供应商地址：</w:t>
      </w:r>
    </w:p>
    <w:p>
      <w:pPr>
        <w:snapToGrid w:val="0"/>
        <w:spacing w:before="120" w:beforeLines="50" w:after="50" w:line="500" w:lineRule="exact"/>
        <w:ind w:firstLine="645"/>
        <w:jc w:val="center"/>
        <w:rPr>
          <w:rFonts w:asciiTheme="minorEastAsia" w:hAnsiTheme="minorEastAsia" w:eastAsiaTheme="minorEastAsia"/>
          <w:b/>
          <w:color w:val="auto"/>
          <w:sz w:val="32"/>
          <w:szCs w:val="32"/>
          <w:highlight w:val="none"/>
        </w:rPr>
      </w:pPr>
      <w:r>
        <w:rPr>
          <w:rFonts w:asciiTheme="minorEastAsia" w:hAnsiTheme="minorEastAsia" w:eastAsiaTheme="minorEastAsia"/>
          <w:b/>
          <w:color w:val="auto"/>
          <w:sz w:val="32"/>
          <w:szCs w:val="32"/>
          <w:highlight w:val="none"/>
        </w:rPr>
        <w:t xml:space="preserve">                 </w:t>
      </w:r>
    </w:p>
    <w:p>
      <w:pPr>
        <w:snapToGrid w:val="0"/>
        <w:spacing w:before="120" w:beforeLines="50" w:after="50" w:line="500" w:lineRule="exact"/>
        <w:ind w:firstLine="645"/>
        <w:jc w:val="center"/>
        <w:rPr>
          <w:rFonts w:asciiTheme="minorEastAsia" w:hAnsiTheme="minorEastAsia" w:eastAsiaTheme="minorEastAsia"/>
          <w:b/>
          <w:color w:val="auto"/>
          <w:sz w:val="32"/>
          <w:szCs w:val="32"/>
          <w:highlight w:val="none"/>
        </w:rPr>
      </w:pPr>
      <w:r>
        <w:rPr>
          <w:rFonts w:asciiTheme="minorEastAsia" w:hAnsiTheme="minorEastAsia" w:eastAsiaTheme="minorEastAsia"/>
          <w:b/>
          <w:color w:val="auto"/>
          <w:sz w:val="32"/>
          <w:szCs w:val="32"/>
          <w:highlight w:val="none"/>
        </w:rPr>
        <w:t xml:space="preserve">              年  </w:t>
      </w:r>
      <w:r>
        <w:rPr>
          <w:rFonts w:hint="eastAsia" w:asciiTheme="minorEastAsia" w:hAnsiTheme="minorEastAsia" w:eastAsiaTheme="minorEastAsia"/>
          <w:b/>
          <w:color w:val="auto"/>
          <w:sz w:val="32"/>
          <w:szCs w:val="32"/>
          <w:highlight w:val="none"/>
        </w:rPr>
        <w:t>月</w:t>
      </w:r>
      <w:r>
        <w:rPr>
          <w:rFonts w:asciiTheme="minorEastAsia" w:hAnsiTheme="minorEastAsia" w:eastAsiaTheme="minorEastAsia"/>
          <w:b/>
          <w:color w:val="auto"/>
          <w:sz w:val="32"/>
          <w:szCs w:val="32"/>
          <w:highlight w:val="none"/>
        </w:rPr>
        <w:t xml:space="preserve">  </w:t>
      </w:r>
      <w:r>
        <w:rPr>
          <w:rFonts w:hint="eastAsia" w:asciiTheme="minorEastAsia" w:hAnsiTheme="minorEastAsia" w:eastAsiaTheme="minorEastAsia"/>
          <w:b/>
          <w:color w:val="auto"/>
          <w:sz w:val="32"/>
          <w:szCs w:val="32"/>
          <w:highlight w:val="none"/>
        </w:rPr>
        <w:t>日</w:t>
      </w:r>
    </w:p>
    <w:p>
      <w:pPr>
        <w:pStyle w:val="4"/>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r>
        <w:rPr>
          <w:rFonts w:hint="eastAsia" w:asciiTheme="minorEastAsia" w:hAnsiTheme="minorEastAsia" w:eastAsiaTheme="minorEastAsia"/>
          <w:color w:val="auto"/>
          <w:highlight w:val="none"/>
          <w:u w:val="none"/>
        </w:rPr>
        <w:t>资格</w:t>
      </w:r>
      <w:r>
        <w:rPr>
          <w:rFonts w:asciiTheme="minorEastAsia" w:hAnsiTheme="minorEastAsia" w:eastAsiaTheme="minorEastAsia"/>
          <w:color w:val="auto"/>
          <w:highlight w:val="none"/>
          <w:u w:val="none"/>
        </w:rPr>
        <w:t>\商务文件目录</w:t>
      </w:r>
    </w:p>
    <w:p>
      <w:pPr>
        <w:snapToGrid w:val="0"/>
        <w:spacing w:before="120" w:beforeLines="50" w:after="50" w:line="320" w:lineRule="exact"/>
        <w:jc w:val="left"/>
        <w:rPr>
          <w:rFonts w:cs="Courier New" w:asciiTheme="minorEastAsia" w:hAnsiTheme="minorEastAsia" w:eastAsiaTheme="minorEastAsia"/>
          <w:color w:val="auto"/>
          <w:szCs w:val="21"/>
          <w:highlight w:val="none"/>
        </w:rPr>
      </w:pPr>
      <w:r>
        <w:rPr>
          <w:rFonts w:cs="Courier New" w:asciiTheme="minorEastAsia" w:hAnsiTheme="minorEastAsia" w:eastAsiaTheme="minorEastAsia"/>
          <w:color w:val="auto"/>
          <w:szCs w:val="21"/>
          <w:highlight w:val="none"/>
        </w:rPr>
        <w:t xml:space="preserve">    </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1）</w:t>
      </w:r>
      <w:r>
        <w:rPr>
          <w:rFonts w:hint="eastAsia" w:cs="宋体" w:asciiTheme="minorEastAsia" w:hAnsiTheme="minorEastAsia" w:eastAsiaTheme="minorEastAsia"/>
          <w:color w:val="auto"/>
          <w:szCs w:val="21"/>
          <w:highlight w:val="none"/>
        </w:rPr>
        <w:t>法定代表人资格证书（格式见附件</w:t>
      </w:r>
      <w:r>
        <w:rPr>
          <w:rFonts w:cs="宋体" w:asciiTheme="minorEastAsia" w:hAnsiTheme="minorEastAsia" w:eastAsiaTheme="minorEastAsia"/>
          <w:color w:val="auto"/>
          <w:szCs w:val="21"/>
          <w:highlight w:val="none"/>
        </w:rPr>
        <w:t>1-1）</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2）授权委托书（格式见附件1-2）</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3）</w:t>
      </w:r>
      <w:r>
        <w:rPr>
          <w:rFonts w:hint="eastAsia" w:cs="宋体" w:asciiTheme="minorEastAsia" w:hAnsiTheme="minorEastAsia" w:eastAsiaTheme="minorEastAsia"/>
          <w:color w:val="auto"/>
          <w:szCs w:val="21"/>
          <w:highlight w:val="none"/>
        </w:rPr>
        <w:t>供应商的承诺函（格式见附件</w:t>
      </w:r>
      <w:r>
        <w:rPr>
          <w:rFonts w:cs="宋体" w:asciiTheme="minorEastAsia" w:hAnsiTheme="minorEastAsia" w:eastAsiaTheme="minorEastAsia"/>
          <w:color w:val="auto"/>
          <w:szCs w:val="21"/>
          <w:highlight w:val="none"/>
        </w:rPr>
        <w:t>1-3）；</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4）廉洁承诺书（（格式见附件1-4）；</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5）</w:t>
      </w:r>
      <w:r>
        <w:rPr>
          <w:rFonts w:hint="eastAsia" w:cs="宋体" w:asciiTheme="minorEastAsia" w:hAnsiTheme="minorEastAsia" w:eastAsiaTheme="minorEastAsia"/>
          <w:color w:val="auto"/>
          <w:szCs w:val="21"/>
          <w:highlight w:val="none"/>
        </w:rPr>
        <w:t>供应商企业营业执照（格式见附件</w:t>
      </w:r>
      <w:r>
        <w:rPr>
          <w:rFonts w:cs="宋体" w:asciiTheme="minorEastAsia" w:hAnsiTheme="minorEastAsia" w:eastAsiaTheme="minorEastAsia"/>
          <w:color w:val="auto"/>
          <w:szCs w:val="21"/>
          <w:highlight w:val="none"/>
        </w:rPr>
        <w:t>1-5）；</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6）供应商基本情况表（格式见附件1-6）；</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7）供应商</w:t>
      </w:r>
      <w:r>
        <w:rPr>
          <w:rFonts w:hint="eastAsia" w:cs="宋体" w:asciiTheme="minorEastAsia" w:hAnsiTheme="minorEastAsia" w:eastAsiaTheme="minorEastAsia"/>
          <w:color w:val="auto"/>
          <w:szCs w:val="21"/>
          <w:highlight w:val="none"/>
          <w:lang w:eastAsia="zh-CN"/>
        </w:rPr>
        <w:t>大门及其门禁管理系统</w:t>
      </w:r>
      <w:r>
        <w:rPr>
          <w:rFonts w:hint="eastAsia" w:cs="宋体" w:asciiTheme="minorEastAsia" w:hAnsiTheme="minorEastAsia" w:eastAsiaTheme="minorEastAsia"/>
          <w:color w:val="auto"/>
          <w:szCs w:val="21"/>
          <w:highlight w:val="none"/>
        </w:rPr>
        <w:t>项目业绩（格式见附件</w:t>
      </w:r>
      <w:r>
        <w:rPr>
          <w:rFonts w:cs="宋体" w:asciiTheme="minorEastAsia" w:hAnsiTheme="minorEastAsia" w:eastAsiaTheme="minorEastAsia"/>
          <w:color w:val="auto"/>
          <w:szCs w:val="21"/>
          <w:highlight w:val="none"/>
        </w:rPr>
        <w:t>1-7）；</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8</w:t>
      </w:r>
      <w:r>
        <w:rPr>
          <w:rFonts w:hint="eastAsia" w:cs="宋体" w:asciiTheme="minorEastAsia" w:hAnsiTheme="minorEastAsia" w:eastAsiaTheme="minorEastAsia"/>
          <w:color w:val="auto"/>
          <w:szCs w:val="21"/>
          <w:highlight w:val="none"/>
        </w:rPr>
        <w:t>）响应声明书（格式见附件</w:t>
      </w:r>
      <w:r>
        <w:rPr>
          <w:rFonts w:cs="宋体" w:asciiTheme="minorEastAsia" w:hAnsiTheme="minorEastAsia" w:eastAsiaTheme="minorEastAsia"/>
          <w:color w:val="auto"/>
          <w:szCs w:val="21"/>
          <w:highlight w:val="none"/>
        </w:rPr>
        <w:t>1-8</w:t>
      </w:r>
      <w:r>
        <w:rPr>
          <w:rFonts w:hint="eastAsia" w:cs="宋体" w:asciiTheme="minorEastAsia" w:hAnsiTheme="minorEastAsia" w:eastAsiaTheme="minorEastAsia"/>
          <w:color w:val="auto"/>
          <w:szCs w:val="21"/>
          <w:highlight w:val="none"/>
        </w:rPr>
        <w:t>）；</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9</w:t>
      </w:r>
      <w:r>
        <w:rPr>
          <w:rFonts w:hint="eastAsia" w:cs="宋体" w:asciiTheme="minorEastAsia" w:hAnsiTheme="minorEastAsia" w:eastAsiaTheme="minorEastAsia"/>
          <w:color w:val="auto"/>
          <w:szCs w:val="21"/>
          <w:highlight w:val="none"/>
        </w:rPr>
        <w:t>）售后服务承诺书（格式见附件</w:t>
      </w:r>
      <w:r>
        <w:rPr>
          <w:rFonts w:cs="宋体" w:asciiTheme="minorEastAsia" w:hAnsiTheme="minorEastAsia" w:eastAsiaTheme="minorEastAsia"/>
          <w:color w:val="auto"/>
          <w:szCs w:val="21"/>
          <w:highlight w:val="none"/>
        </w:rPr>
        <w:t>1-9</w:t>
      </w:r>
      <w:r>
        <w:rPr>
          <w:rFonts w:hint="eastAsia" w:cs="宋体" w:asciiTheme="minorEastAsia" w:hAnsiTheme="minorEastAsia" w:eastAsiaTheme="minorEastAsia"/>
          <w:color w:val="auto"/>
          <w:szCs w:val="21"/>
          <w:highlight w:val="none"/>
        </w:rPr>
        <w:t>）；</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10</w:t>
      </w:r>
      <w:r>
        <w:rPr>
          <w:rFonts w:hint="eastAsia" w:cs="宋体" w:asciiTheme="minorEastAsia" w:hAnsiTheme="minorEastAsia" w:eastAsiaTheme="minorEastAsia"/>
          <w:color w:val="auto"/>
          <w:szCs w:val="21"/>
          <w:highlight w:val="none"/>
        </w:rPr>
        <w:t>）商务条款偏离表（格式见附件</w:t>
      </w:r>
      <w:r>
        <w:rPr>
          <w:rFonts w:cs="宋体" w:asciiTheme="minorEastAsia" w:hAnsiTheme="minorEastAsia" w:eastAsiaTheme="minorEastAsia"/>
          <w:color w:val="auto"/>
          <w:szCs w:val="21"/>
          <w:highlight w:val="none"/>
        </w:rPr>
        <w:t>1-10</w:t>
      </w:r>
      <w:r>
        <w:rPr>
          <w:rFonts w:hint="eastAsia" w:cs="宋体" w:asciiTheme="minorEastAsia" w:hAnsiTheme="minorEastAsia" w:eastAsiaTheme="minorEastAsia"/>
          <w:color w:val="auto"/>
          <w:szCs w:val="21"/>
          <w:highlight w:val="none"/>
        </w:rPr>
        <w:t>）；</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11</w:t>
      </w:r>
      <w:r>
        <w:rPr>
          <w:rFonts w:hint="eastAsia" w:cs="宋体" w:asciiTheme="minorEastAsia" w:hAnsiTheme="minorEastAsia" w:eastAsiaTheme="minorEastAsia"/>
          <w:color w:val="auto"/>
          <w:szCs w:val="21"/>
          <w:highlight w:val="none"/>
        </w:rPr>
        <w:t>）响应保证金（格式见附件</w:t>
      </w:r>
      <w:r>
        <w:rPr>
          <w:rFonts w:cs="宋体" w:asciiTheme="minorEastAsia" w:hAnsiTheme="minorEastAsia" w:eastAsiaTheme="minorEastAsia"/>
          <w:color w:val="auto"/>
          <w:szCs w:val="21"/>
          <w:highlight w:val="none"/>
        </w:rPr>
        <w:t>1-11</w:t>
      </w:r>
      <w:r>
        <w:rPr>
          <w:rFonts w:hint="eastAsia" w:cs="宋体" w:asciiTheme="minorEastAsia" w:hAnsiTheme="minorEastAsia" w:eastAsiaTheme="minorEastAsia"/>
          <w:color w:val="auto"/>
          <w:szCs w:val="21"/>
          <w:highlight w:val="none"/>
        </w:rPr>
        <w:t>）；</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12</w:t>
      </w:r>
      <w:r>
        <w:rPr>
          <w:rFonts w:hint="eastAsia" w:cs="宋体" w:asciiTheme="minorEastAsia" w:hAnsiTheme="minorEastAsia" w:eastAsiaTheme="minorEastAsia"/>
          <w:color w:val="auto"/>
          <w:szCs w:val="21"/>
          <w:highlight w:val="none"/>
        </w:rPr>
        <w:t>）供应商资格商务文件的其他要求（格式见附件</w:t>
      </w:r>
      <w:r>
        <w:rPr>
          <w:rFonts w:cs="宋体" w:asciiTheme="minorEastAsia" w:hAnsiTheme="minorEastAsia" w:eastAsiaTheme="minorEastAsia"/>
          <w:color w:val="auto"/>
          <w:szCs w:val="21"/>
          <w:highlight w:val="none"/>
        </w:rPr>
        <w:t>1-12</w:t>
      </w:r>
      <w:r>
        <w:rPr>
          <w:rFonts w:hint="eastAsia" w:cs="宋体" w:asciiTheme="minorEastAsia" w:hAnsiTheme="minorEastAsia" w:eastAsiaTheme="minorEastAsia"/>
          <w:color w:val="auto"/>
          <w:szCs w:val="21"/>
          <w:highlight w:val="none"/>
        </w:rPr>
        <w:t>）；</w:t>
      </w:r>
    </w:p>
    <w:p>
      <w:pPr>
        <w:snapToGrid w:val="0"/>
        <w:spacing w:before="120" w:beforeLines="50" w:after="50" w:line="3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1</w:t>
      </w:r>
      <w:r>
        <w:rPr>
          <w:rFonts w:hint="eastAsia" w:cs="宋体" w:asciiTheme="minorEastAsia" w:hAnsiTheme="minorEastAsia" w:eastAsiaTheme="minorEastAsia"/>
          <w:color w:val="auto"/>
          <w:szCs w:val="21"/>
          <w:highlight w:val="none"/>
          <w:lang w:val="en-US" w:eastAsia="zh-CN"/>
        </w:rPr>
        <w:t>3</w:t>
      </w:r>
      <w:r>
        <w:rPr>
          <w:rFonts w:hint="eastAsia" w:cs="宋体" w:asciiTheme="minorEastAsia" w:hAnsiTheme="minorEastAsia" w:eastAsiaTheme="minorEastAsia"/>
          <w:color w:val="auto"/>
          <w:szCs w:val="21"/>
          <w:highlight w:val="none"/>
        </w:rPr>
        <w:t>）商务文件（格式见附件</w:t>
      </w:r>
      <w:r>
        <w:rPr>
          <w:rFonts w:cs="宋体" w:asciiTheme="minorEastAsia" w:hAnsiTheme="minorEastAsia" w:eastAsiaTheme="minorEastAsia"/>
          <w:color w:val="auto"/>
          <w:szCs w:val="21"/>
          <w:highlight w:val="none"/>
        </w:rPr>
        <w:t>1-14</w:t>
      </w:r>
      <w:r>
        <w:rPr>
          <w:rFonts w:hint="eastAsia" w:cs="宋体" w:asciiTheme="minorEastAsia" w:hAnsiTheme="minorEastAsia" w:eastAsiaTheme="minorEastAsia"/>
          <w:color w:val="auto"/>
          <w:szCs w:val="21"/>
          <w:highlight w:val="none"/>
        </w:rPr>
        <w:t>）；</w:t>
      </w:r>
    </w:p>
    <w:p>
      <w:pPr>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br w:type="page"/>
      </w:r>
    </w:p>
    <w:p>
      <w:pPr>
        <w:pStyle w:val="11"/>
        <w:rPr>
          <w:rFonts w:asciiTheme="minorEastAsia" w:hAnsiTheme="minorEastAsia" w:eastAsiaTheme="minorEastAsia"/>
          <w:color w:val="auto"/>
          <w:szCs w:val="21"/>
          <w:highlight w:val="none"/>
        </w:rPr>
        <w:sectPr>
          <w:pgSz w:w="11906" w:h="16838"/>
          <w:pgMar w:top="1440" w:right="1080" w:bottom="1440" w:left="1080" w:header="851" w:footer="992" w:gutter="0"/>
          <w:cols w:space="720" w:num="1"/>
          <w:docGrid w:linePitch="326" w:charSpace="0"/>
        </w:sectPr>
      </w:pPr>
    </w:p>
    <w:p>
      <w:pPr>
        <w:spacing w:line="360" w:lineRule="auto"/>
        <w:jc w:val="center"/>
        <w:rPr>
          <w:rFonts w:cs="宋体" w:asciiTheme="minorEastAsia" w:hAnsiTheme="minorEastAsia" w:eastAsiaTheme="minorEastAsia"/>
          <w:b/>
          <w:color w:val="auto"/>
          <w:sz w:val="32"/>
          <w:szCs w:val="32"/>
          <w:highlight w:val="none"/>
        </w:rPr>
      </w:pPr>
      <w:r>
        <w:rPr>
          <w:rFonts w:hint="eastAsia" w:cs="宋体" w:asciiTheme="minorEastAsia" w:hAnsiTheme="minorEastAsia" w:eastAsiaTheme="minorEastAsia"/>
          <w:b/>
          <w:color w:val="auto"/>
          <w:sz w:val="32"/>
          <w:szCs w:val="32"/>
          <w:highlight w:val="none"/>
        </w:rPr>
        <w:t>一、资格文件</w:t>
      </w:r>
    </w:p>
    <w:p>
      <w:pPr>
        <w:spacing w:line="360" w:lineRule="auto"/>
        <w:rPr>
          <w:rFonts w:cs="宋体" w:asciiTheme="minorEastAsia" w:hAnsiTheme="minorEastAsia" w:eastAsiaTheme="minorEastAsia"/>
          <w:color w:val="auto"/>
          <w:sz w:val="30"/>
          <w:szCs w:val="30"/>
          <w:highlight w:val="none"/>
        </w:rPr>
      </w:pPr>
      <w:r>
        <w:rPr>
          <w:rFonts w:hint="eastAsia" w:cs="宋体" w:asciiTheme="minorEastAsia" w:hAnsiTheme="minorEastAsia" w:eastAsiaTheme="minorEastAsia"/>
          <w:color w:val="auto"/>
          <w:sz w:val="30"/>
          <w:szCs w:val="30"/>
          <w:highlight w:val="none"/>
        </w:rPr>
        <w:t>附件</w:t>
      </w:r>
      <w:r>
        <w:rPr>
          <w:rFonts w:cs="宋体" w:asciiTheme="minorEastAsia" w:hAnsiTheme="minorEastAsia" w:eastAsiaTheme="minorEastAsia"/>
          <w:color w:val="auto"/>
          <w:sz w:val="30"/>
          <w:szCs w:val="30"/>
          <w:highlight w:val="none"/>
        </w:rPr>
        <w:t>1-1</w:t>
      </w:r>
    </w:p>
    <w:p>
      <w:pPr>
        <w:spacing w:line="360" w:lineRule="auto"/>
        <w:ind w:firstLine="3313" w:firstLineChars="1100"/>
        <w:rPr>
          <w:rFonts w:cs="宋体" w:asciiTheme="minorEastAsia" w:hAnsiTheme="minorEastAsia" w:eastAsiaTheme="minorEastAsia"/>
          <w:b/>
          <w:bCs/>
          <w:color w:val="auto"/>
          <w:sz w:val="30"/>
          <w:szCs w:val="30"/>
          <w:highlight w:val="none"/>
        </w:rPr>
      </w:pPr>
      <w:r>
        <w:rPr>
          <w:rFonts w:hint="eastAsia" w:cs="宋体" w:asciiTheme="minorEastAsia" w:hAnsiTheme="minorEastAsia" w:eastAsiaTheme="minorEastAsia"/>
          <w:b/>
          <w:bCs/>
          <w:color w:val="auto"/>
          <w:sz w:val="30"/>
          <w:szCs w:val="30"/>
          <w:highlight w:val="none"/>
        </w:rPr>
        <w:t>法定代表人资格证书</w:t>
      </w:r>
    </w:p>
    <w:p>
      <w:pPr>
        <w:spacing w:line="360" w:lineRule="auto"/>
        <w:jc w:val="center"/>
        <w:rPr>
          <w:rFonts w:asciiTheme="minorEastAsia" w:hAnsiTheme="minorEastAsia" w:eastAsiaTheme="minorEastAsia"/>
          <w:color w:val="auto"/>
          <w:sz w:val="28"/>
          <w:szCs w:val="28"/>
          <w:highlight w:val="none"/>
        </w:rPr>
      </w:pPr>
    </w:p>
    <w:p>
      <w:pPr>
        <w:spacing w:line="360" w:lineRule="auto"/>
        <w:ind w:firstLine="420" w:firstLineChars="2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单位名称：</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地址：</w:t>
      </w:r>
      <w:r>
        <w:rPr>
          <w:rFonts w:asciiTheme="minorEastAsia" w:hAnsiTheme="minorEastAsia" w:eastAsiaTheme="minorEastAsia"/>
          <w:color w:val="auto"/>
          <w:szCs w:val="21"/>
          <w:highlight w:val="none"/>
          <w:u w:val="single"/>
        </w:rPr>
        <w:t xml:space="preserve">                    </w:t>
      </w:r>
    </w:p>
    <w:p>
      <w:pPr>
        <w:spacing w:line="360" w:lineRule="auto"/>
        <w:ind w:firstLine="420" w:firstLineChars="2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姓名：</w:t>
      </w:r>
      <w:r>
        <w:rPr>
          <w:rFonts w:asciiTheme="minorEastAsia" w:hAnsiTheme="minorEastAsia" w:eastAsiaTheme="minorEastAsia"/>
          <w:color w:val="auto"/>
          <w:szCs w:val="21"/>
          <w:highlight w:val="none"/>
          <w:u w:val="single"/>
        </w:rPr>
        <w:t xml:space="preserve">       </w:t>
      </w:r>
      <w:r>
        <w:rPr>
          <w:rFonts w:asciiTheme="minorEastAsia" w:hAnsiTheme="minorEastAsia" w:eastAsiaTheme="minorEastAsia"/>
          <w:color w:val="auto"/>
          <w:szCs w:val="21"/>
          <w:highlight w:val="none"/>
        </w:rPr>
        <w:t xml:space="preserve"> </w:t>
      </w:r>
      <w:r>
        <w:rPr>
          <w:rFonts w:hint="eastAsia" w:asciiTheme="minorEastAsia" w:hAnsiTheme="minorEastAsia" w:eastAsiaTheme="minorEastAsia"/>
          <w:color w:val="auto"/>
          <w:szCs w:val="21"/>
          <w:highlight w:val="none"/>
        </w:rPr>
        <w:t>性别：</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年龄：</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职务：</w:t>
      </w:r>
      <w:r>
        <w:rPr>
          <w:rFonts w:asciiTheme="minorEastAsia" w:hAnsiTheme="minorEastAsia" w:eastAsiaTheme="minorEastAsia"/>
          <w:color w:val="auto"/>
          <w:szCs w:val="21"/>
          <w:highlight w:val="none"/>
          <w:u w:val="single"/>
        </w:rPr>
        <w:t xml:space="preserve">       </w:t>
      </w:r>
    </w:p>
    <w:p>
      <w:pPr>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系</w:t>
      </w:r>
      <w:r>
        <w:rPr>
          <w:rFonts w:asciiTheme="minorEastAsia" w:hAnsiTheme="minorEastAsia" w:eastAsiaTheme="minorEastAsia"/>
          <w:color w:val="auto"/>
          <w:szCs w:val="21"/>
          <w:highlight w:val="none"/>
        </w:rPr>
        <w:t xml:space="preserve"> </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（供应商名称）的法定代表人。为</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（项目名称），签署上述项目的报价文件、进行合同谈判、签署合同和处理与之有关的一切事务。</w:t>
      </w:r>
    </w:p>
    <w:p>
      <w:pPr>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特此证明。</w:t>
      </w:r>
    </w:p>
    <w:p>
      <w:pPr>
        <w:spacing w:line="360" w:lineRule="auto"/>
        <w:rPr>
          <w:rFonts w:asciiTheme="minorEastAsia" w:hAnsiTheme="minorEastAsia" w:eastAsiaTheme="minorEastAsia"/>
          <w:color w:val="auto"/>
          <w:szCs w:val="21"/>
          <w:highlight w:val="none"/>
        </w:rPr>
      </w:pPr>
    </w:p>
    <w:p>
      <w:pPr>
        <w:spacing w:line="360" w:lineRule="auto"/>
        <w:ind w:firstLine="420" w:firstLineChars="200"/>
        <w:rPr>
          <w:rFonts w:asciiTheme="minorEastAsia" w:hAnsiTheme="minorEastAsia" w:eastAsiaTheme="minorEastAsia"/>
          <w:color w:val="auto"/>
          <w:szCs w:val="21"/>
          <w:highlight w:val="none"/>
        </w:rPr>
      </w:pPr>
    </w:p>
    <w:p>
      <w:pPr>
        <w:spacing w:line="360" w:lineRule="auto"/>
        <w:ind w:firstLine="3045" w:firstLineChars="145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供应商（盖章）：</w:t>
      </w:r>
      <w:r>
        <w:rPr>
          <w:rFonts w:asciiTheme="minorEastAsia" w:hAnsiTheme="minorEastAsia" w:eastAsiaTheme="minorEastAsia"/>
          <w:color w:val="auto"/>
          <w:szCs w:val="21"/>
          <w:highlight w:val="none"/>
          <w:u w:val="single"/>
        </w:rPr>
        <w:t xml:space="preserve">                </w:t>
      </w:r>
    </w:p>
    <w:p>
      <w:pPr>
        <w:spacing w:line="360" w:lineRule="auto"/>
        <w:ind w:firstLine="3045" w:firstLineChars="145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日期：</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年</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月</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日</w:t>
      </w:r>
    </w:p>
    <w:p>
      <w:pPr>
        <w:spacing w:line="360" w:lineRule="auto"/>
        <w:ind w:firstLine="315" w:firstLineChars="150"/>
        <w:rPr>
          <w:rFonts w:asciiTheme="minorEastAsia" w:hAnsiTheme="minorEastAsia" w:eastAsiaTheme="minorEastAsia"/>
          <w:color w:val="auto"/>
          <w:szCs w:val="21"/>
          <w:highlight w:val="none"/>
        </w:rPr>
      </w:pPr>
    </w:p>
    <w:p>
      <w:pPr>
        <w:spacing w:line="360" w:lineRule="auto"/>
        <w:ind w:firstLine="315" w:firstLineChars="15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附：法定代表人身份证复印件</w:t>
      </w:r>
    </w:p>
    <w:p>
      <w:pPr>
        <w:rPr>
          <w:rFonts w:cs="宋体" w:asciiTheme="minorEastAsia" w:hAnsiTheme="minorEastAsia" w:eastAsiaTheme="minorEastAsia"/>
          <w:color w:val="auto"/>
          <w:sz w:val="30"/>
          <w:szCs w:val="30"/>
          <w:highlight w:val="none"/>
        </w:rPr>
      </w:pPr>
      <w:r>
        <w:rPr>
          <w:rFonts w:asciiTheme="minorEastAsia" w:hAnsiTheme="minorEastAsia" w:eastAsiaTheme="minorEastAsia"/>
          <w:color w:val="auto"/>
          <w:sz w:val="28"/>
          <w:szCs w:val="28"/>
          <w:highlight w:val="none"/>
        </w:rPr>
        <w:br w:type="page"/>
      </w:r>
      <w:r>
        <w:rPr>
          <w:rFonts w:hint="eastAsia" w:cs="宋体" w:asciiTheme="minorEastAsia" w:hAnsiTheme="minorEastAsia" w:eastAsiaTheme="minorEastAsia"/>
          <w:color w:val="auto"/>
          <w:sz w:val="30"/>
          <w:szCs w:val="30"/>
          <w:highlight w:val="none"/>
        </w:rPr>
        <w:t>附件</w:t>
      </w:r>
      <w:r>
        <w:rPr>
          <w:rFonts w:cs="宋体" w:asciiTheme="minorEastAsia" w:hAnsiTheme="minorEastAsia" w:eastAsiaTheme="minorEastAsia"/>
          <w:color w:val="auto"/>
          <w:sz w:val="30"/>
          <w:szCs w:val="30"/>
          <w:highlight w:val="none"/>
        </w:rPr>
        <w:t xml:space="preserve">1-2                  </w:t>
      </w:r>
    </w:p>
    <w:p>
      <w:pPr>
        <w:ind w:firstLine="3614" w:firstLineChars="1200"/>
        <w:rPr>
          <w:rFonts w:cs="宋体" w:asciiTheme="minorEastAsia" w:hAnsiTheme="minorEastAsia" w:eastAsiaTheme="minorEastAsia"/>
          <w:b/>
          <w:bCs/>
          <w:color w:val="auto"/>
          <w:sz w:val="30"/>
          <w:szCs w:val="30"/>
          <w:highlight w:val="none"/>
        </w:rPr>
      </w:pPr>
      <w:r>
        <w:rPr>
          <w:rFonts w:cs="宋体" w:asciiTheme="minorEastAsia" w:hAnsiTheme="minorEastAsia" w:eastAsiaTheme="minorEastAsia"/>
          <w:b/>
          <w:bCs/>
          <w:color w:val="auto"/>
          <w:sz w:val="30"/>
          <w:szCs w:val="30"/>
          <w:highlight w:val="none"/>
        </w:rPr>
        <w:t xml:space="preserve"> 授权委托书</w:t>
      </w:r>
    </w:p>
    <w:p>
      <w:pPr>
        <w:rPr>
          <w:rFonts w:asciiTheme="minorEastAsia" w:hAnsiTheme="minorEastAsia" w:eastAsiaTheme="minorEastAsia"/>
          <w:color w:val="auto"/>
          <w:sz w:val="30"/>
          <w:szCs w:val="30"/>
          <w:highlight w:val="none"/>
        </w:rPr>
      </w:pPr>
      <w:r>
        <w:rPr>
          <w:rFonts w:asciiTheme="minorEastAsia" w:hAnsiTheme="minorEastAsia" w:eastAsiaTheme="minorEastAsia"/>
          <w:color w:val="auto"/>
          <w:sz w:val="30"/>
          <w:szCs w:val="30"/>
          <w:highlight w:val="none"/>
        </w:rPr>
        <w:t xml:space="preserve">    </w:t>
      </w:r>
    </w:p>
    <w:p>
      <w:pPr>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本授权委托书声明：我</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（姓名）系</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（供应商名称）的法定代表人，现授权委托</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（单位名称）的</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（姓名）为我公司代理人，以本公司的名义参加</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（项目名称）的报价活动。代理人在报价、合同谈判过程中所签署的一切文件和处理与之有关的一切事务，我均予以承认。</w:t>
      </w:r>
    </w:p>
    <w:p>
      <w:pPr>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代理人无权转让委托权。特此委托。</w:t>
      </w:r>
    </w:p>
    <w:p>
      <w:pPr>
        <w:spacing w:line="360" w:lineRule="auto"/>
        <w:ind w:firstLine="420" w:firstLineChars="2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代理人：</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性别：</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年龄：</w:t>
      </w:r>
      <w:r>
        <w:rPr>
          <w:rFonts w:asciiTheme="minorEastAsia" w:hAnsiTheme="minorEastAsia" w:eastAsiaTheme="minorEastAsia"/>
          <w:color w:val="auto"/>
          <w:szCs w:val="21"/>
          <w:highlight w:val="none"/>
          <w:u w:val="single"/>
        </w:rPr>
        <w:t xml:space="preserve">             </w:t>
      </w:r>
    </w:p>
    <w:p>
      <w:pPr>
        <w:spacing w:line="360" w:lineRule="auto"/>
        <w:ind w:left="3570" w:leftChars="1700"/>
        <w:rPr>
          <w:rFonts w:asciiTheme="minorEastAsia" w:hAnsiTheme="minorEastAsia" w:eastAsiaTheme="minorEastAsia"/>
          <w:color w:val="auto"/>
          <w:szCs w:val="21"/>
          <w:highlight w:val="none"/>
        </w:rPr>
      </w:pPr>
    </w:p>
    <w:p>
      <w:pPr>
        <w:spacing w:line="360" w:lineRule="auto"/>
        <w:ind w:left="3570" w:leftChars="17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供应商（盖章）：</w:t>
      </w:r>
      <w:r>
        <w:rPr>
          <w:rFonts w:asciiTheme="minorEastAsia" w:hAnsiTheme="minorEastAsia" w:eastAsiaTheme="minorEastAsia"/>
          <w:color w:val="auto"/>
          <w:szCs w:val="21"/>
          <w:highlight w:val="none"/>
          <w:u w:val="single"/>
        </w:rPr>
        <w:t xml:space="preserve">                   </w:t>
      </w:r>
    </w:p>
    <w:p>
      <w:pPr>
        <w:spacing w:line="360" w:lineRule="auto"/>
        <w:ind w:left="3570" w:leftChars="17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法定代表人（签字或盖章）：</w:t>
      </w:r>
      <w:r>
        <w:rPr>
          <w:rFonts w:asciiTheme="minorEastAsia" w:hAnsiTheme="minorEastAsia" w:eastAsiaTheme="minorEastAsia"/>
          <w:color w:val="auto"/>
          <w:szCs w:val="21"/>
          <w:highlight w:val="none"/>
          <w:u w:val="single"/>
        </w:rPr>
        <w:t xml:space="preserve">               </w:t>
      </w:r>
    </w:p>
    <w:p>
      <w:pPr>
        <w:spacing w:line="360" w:lineRule="auto"/>
        <w:ind w:left="3570" w:leftChars="1700"/>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委托代理人（签字或盖章）：</w:t>
      </w:r>
      <w:r>
        <w:rPr>
          <w:rFonts w:asciiTheme="minorEastAsia" w:hAnsiTheme="minorEastAsia" w:eastAsiaTheme="minorEastAsia"/>
          <w:color w:val="auto"/>
          <w:szCs w:val="21"/>
          <w:highlight w:val="none"/>
          <w:u w:val="single"/>
        </w:rPr>
        <w:t xml:space="preserve">               </w:t>
      </w:r>
    </w:p>
    <w:p>
      <w:pPr>
        <w:spacing w:line="360" w:lineRule="auto"/>
        <w:ind w:left="3570" w:leftChars="17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日期：</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年</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月</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日</w:t>
      </w:r>
    </w:p>
    <w:p>
      <w:pPr>
        <w:spacing w:line="360" w:lineRule="auto"/>
        <w:rPr>
          <w:rFonts w:asciiTheme="minorEastAsia" w:hAnsiTheme="minorEastAsia" w:eastAsiaTheme="minorEastAsia"/>
          <w:color w:val="auto"/>
          <w:szCs w:val="21"/>
          <w:highlight w:val="none"/>
        </w:rPr>
      </w:pPr>
    </w:p>
    <w:p>
      <w:pPr>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附：法定代表人身份证复印件</w:t>
      </w:r>
    </w:p>
    <w:p>
      <w:pPr>
        <w:spacing w:line="360" w:lineRule="auto"/>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代理人身份证复印件</w:t>
      </w:r>
    </w:p>
    <w:p>
      <w:pPr>
        <w:spacing w:line="360" w:lineRule="auto"/>
        <w:rPr>
          <w:rFonts w:asciiTheme="minorEastAsia" w:hAnsiTheme="minorEastAsia" w:eastAsiaTheme="minorEastAsia"/>
          <w:color w:val="auto"/>
          <w:sz w:val="30"/>
          <w:szCs w:val="30"/>
          <w:highlight w:val="none"/>
        </w:rPr>
      </w:pPr>
    </w:p>
    <w:p>
      <w:pPr>
        <w:spacing w:line="360" w:lineRule="auto"/>
        <w:rPr>
          <w:rFonts w:asciiTheme="minorEastAsia" w:hAnsiTheme="minorEastAsia" w:eastAsiaTheme="minorEastAsia"/>
          <w:color w:val="auto"/>
          <w:sz w:val="30"/>
          <w:szCs w:val="30"/>
          <w:highlight w:val="none"/>
        </w:rPr>
      </w:pPr>
    </w:p>
    <w:p>
      <w:pPr>
        <w:spacing w:line="360" w:lineRule="auto"/>
        <w:rPr>
          <w:rFonts w:asciiTheme="minorEastAsia" w:hAnsiTheme="minorEastAsia" w:eastAsiaTheme="minorEastAsia"/>
          <w:color w:val="auto"/>
          <w:sz w:val="30"/>
          <w:szCs w:val="30"/>
          <w:highlight w:val="none"/>
        </w:rPr>
      </w:pPr>
      <w:r>
        <w:rPr>
          <w:rFonts w:asciiTheme="minorEastAsia" w:hAnsiTheme="minorEastAsia" w:eastAsiaTheme="minorEastAsia"/>
          <w:color w:val="auto"/>
          <w:sz w:val="30"/>
          <w:szCs w:val="30"/>
          <w:highlight w:val="none"/>
        </w:rPr>
        <w:t xml:space="preserve"> </w:t>
      </w:r>
    </w:p>
    <w:p>
      <w:pPr>
        <w:rPr>
          <w:rFonts w:asciiTheme="minorEastAsia" w:hAnsiTheme="minorEastAsia" w:eastAsiaTheme="minorEastAsia"/>
          <w:color w:val="auto"/>
          <w:sz w:val="30"/>
          <w:szCs w:val="30"/>
          <w:highlight w:val="none"/>
        </w:rPr>
      </w:pPr>
      <w:r>
        <w:rPr>
          <w:rFonts w:asciiTheme="minorEastAsia" w:hAnsiTheme="minorEastAsia" w:eastAsiaTheme="minorEastAsia"/>
          <w:color w:val="auto"/>
          <w:sz w:val="30"/>
          <w:szCs w:val="30"/>
          <w:highlight w:val="none"/>
        </w:rPr>
        <w:br w:type="page"/>
      </w:r>
    </w:p>
    <w:p>
      <w:pPr>
        <w:spacing w:line="360" w:lineRule="auto"/>
        <w:rPr>
          <w:rFonts w:cs="宋体" w:asciiTheme="minorEastAsia" w:hAnsiTheme="minorEastAsia" w:eastAsiaTheme="minorEastAsia"/>
          <w:color w:val="auto"/>
          <w:sz w:val="30"/>
          <w:szCs w:val="30"/>
          <w:highlight w:val="none"/>
        </w:rPr>
      </w:pPr>
      <w:r>
        <w:rPr>
          <w:rFonts w:hint="eastAsia" w:cs="宋体" w:asciiTheme="minorEastAsia" w:hAnsiTheme="minorEastAsia" w:eastAsiaTheme="minorEastAsia"/>
          <w:color w:val="auto"/>
          <w:sz w:val="30"/>
          <w:szCs w:val="30"/>
          <w:highlight w:val="none"/>
        </w:rPr>
        <w:t>附件</w:t>
      </w:r>
      <w:r>
        <w:rPr>
          <w:rFonts w:cs="宋体" w:asciiTheme="minorEastAsia" w:hAnsiTheme="minorEastAsia" w:eastAsiaTheme="minorEastAsia"/>
          <w:color w:val="auto"/>
          <w:sz w:val="30"/>
          <w:szCs w:val="30"/>
          <w:highlight w:val="none"/>
        </w:rPr>
        <w:t>1-3</w:t>
      </w:r>
    </w:p>
    <w:p>
      <w:pPr>
        <w:spacing w:line="400" w:lineRule="exact"/>
        <w:jc w:val="center"/>
        <w:rPr>
          <w:rFonts w:cs="宋体" w:asciiTheme="minorEastAsia" w:hAnsiTheme="minorEastAsia" w:eastAsiaTheme="minorEastAsia"/>
          <w:b/>
          <w:bCs/>
          <w:color w:val="auto"/>
          <w:sz w:val="30"/>
          <w:szCs w:val="30"/>
          <w:highlight w:val="none"/>
        </w:rPr>
      </w:pPr>
      <w:bookmarkStart w:id="63" w:name="_Toc13912_WPSOffice_Level1"/>
      <w:r>
        <w:rPr>
          <w:rFonts w:hint="eastAsia" w:cs="宋体" w:asciiTheme="minorEastAsia" w:hAnsiTheme="minorEastAsia" w:eastAsiaTheme="minorEastAsia"/>
          <w:b/>
          <w:bCs/>
          <w:color w:val="auto"/>
          <w:sz w:val="30"/>
          <w:szCs w:val="30"/>
          <w:highlight w:val="none"/>
        </w:rPr>
        <w:t>供应商的承诺函</w:t>
      </w:r>
      <w:bookmarkEnd w:id="63"/>
    </w:p>
    <w:p>
      <w:pPr>
        <w:spacing w:line="520" w:lineRule="exact"/>
        <w:jc w:val="center"/>
        <w:rPr>
          <w:rFonts w:cs="仿宋_GB2312" w:asciiTheme="minorEastAsia" w:hAnsiTheme="minorEastAsia" w:eastAsiaTheme="minorEastAsia"/>
          <w:b/>
          <w:bCs/>
          <w:color w:val="auto"/>
          <w:sz w:val="28"/>
          <w:szCs w:val="28"/>
          <w:highlight w:val="none"/>
        </w:rPr>
      </w:pPr>
    </w:p>
    <w:p>
      <w:pPr>
        <w:pStyle w:val="38"/>
        <w:tabs>
          <w:tab w:val="left" w:pos="600"/>
          <w:tab w:val="clear" w:pos="2160"/>
          <w:tab w:val="clear" w:pos="2520"/>
        </w:tabs>
        <w:adjustRightInd w:val="0"/>
        <w:spacing w:line="520" w:lineRule="exact"/>
        <w:rPr>
          <w:rFonts w:cs="宋体" w:asciiTheme="minorEastAsia" w:hAnsiTheme="minorEastAsia" w:eastAsiaTheme="minorEastAsia"/>
          <w:color w:val="auto"/>
          <w:sz w:val="24"/>
          <w:szCs w:val="24"/>
          <w:highlight w:val="none"/>
          <w:lang w:eastAsia="zh-CN"/>
        </w:rPr>
      </w:pPr>
      <w:r>
        <w:rPr>
          <w:rFonts w:hint="eastAsia" w:cs="宋体" w:asciiTheme="minorEastAsia" w:hAnsiTheme="minorEastAsia" w:eastAsiaTheme="minorEastAsia"/>
          <w:snapToGrid/>
          <w:color w:val="auto"/>
          <w:kern w:val="2"/>
          <w:sz w:val="24"/>
          <w:szCs w:val="24"/>
          <w:highlight w:val="none"/>
          <w:lang w:val="en-US" w:eastAsia="zh-CN"/>
        </w:rPr>
        <w:t>致：</w:t>
      </w:r>
      <w:r>
        <w:rPr>
          <w:rFonts w:cs="宋体" w:asciiTheme="minorEastAsia" w:hAnsiTheme="minorEastAsia" w:eastAsiaTheme="minorEastAsia"/>
          <w:snapToGrid/>
          <w:color w:val="auto"/>
          <w:kern w:val="2"/>
          <w:sz w:val="24"/>
          <w:szCs w:val="24"/>
          <w:highlight w:val="none"/>
          <w:lang w:val="en-US" w:eastAsia="zh-CN"/>
        </w:rPr>
        <w:tab/>
      </w:r>
      <w:r>
        <w:rPr>
          <w:rFonts w:hint="eastAsia" w:cs="宋体" w:asciiTheme="minorEastAsia" w:hAnsiTheme="minorEastAsia" w:eastAsiaTheme="minorEastAsia"/>
          <w:snapToGrid/>
          <w:color w:val="auto"/>
          <w:kern w:val="2"/>
          <w:sz w:val="24"/>
          <w:szCs w:val="24"/>
          <w:highlight w:val="none"/>
          <w:lang w:val="en-US" w:eastAsia="zh-CN"/>
        </w:rPr>
        <w:t>中粮糖业（漳州）有限公司</w:t>
      </w:r>
    </w:p>
    <w:p>
      <w:pPr>
        <w:pStyle w:val="6"/>
        <w:spacing w:line="360" w:lineRule="auto"/>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我代表</w:t>
      </w:r>
      <w:r>
        <w:rPr>
          <w:rFonts w:cs="宋体" w:asciiTheme="minorEastAsia" w:hAnsiTheme="minorEastAsia" w:eastAsiaTheme="minorEastAsia"/>
          <w:color w:val="auto"/>
          <w:szCs w:val="21"/>
          <w:highlight w:val="none"/>
          <w:u w:val="single"/>
        </w:rPr>
        <w:t xml:space="preserve">                </w:t>
      </w:r>
      <w:r>
        <w:rPr>
          <w:rFonts w:hint="eastAsia" w:cs="宋体" w:asciiTheme="minorEastAsia" w:hAnsiTheme="minorEastAsia" w:eastAsiaTheme="minorEastAsia"/>
          <w:color w:val="auto"/>
          <w:szCs w:val="21"/>
          <w:highlight w:val="none"/>
        </w:rPr>
        <w:t>（供应商名称），在此作如下承诺：</w:t>
      </w:r>
      <w:r>
        <w:rPr>
          <w:rFonts w:cs="宋体" w:asciiTheme="minorEastAsia" w:hAnsiTheme="minorEastAsia" w:eastAsiaTheme="minorEastAsia"/>
          <w:color w:val="auto"/>
          <w:szCs w:val="21"/>
          <w:highlight w:val="none"/>
        </w:rPr>
        <w:t xml:space="preserve"> </w:t>
      </w:r>
    </w:p>
    <w:p>
      <w:pPr>
        <w:pStyle w:val="6"/>
        <w:spacing w:line="360" w:lineRule="auto"/>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1.完全理解和接受</w:t>
      </w:r>
      <w:r>
        <w:rPr>
          <w:rFonts w:hint="eastAsia" w:cs="宋体" w:asciiTheme="minorEastAsia" w:hAnsiTheme="minorEastAsia" w:eastAsiaTheme="minorEastAsia"/>
          <w:color w:val="auto"/>
          <w:szCs w:val="21"/>
          <w:highlight w:val="none"/>
        </w:rPr>
        <w:t>竞争性谈判文件的一切规定和要求。</w:t>
      </w:r>
    </w:p>
    <w:p>
      <w:pPr>
        <w:pStyle w:val="6"/>
        <w:spacing w:line="360" w:lineRule="auto"/>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2.</w:t>
      </w:r>
      <w:r>
        <w:rPr>
          <w:rFonts w:hint="eastAsia" w:cs="宋体" w:asciiTheme="minorEastAsia" w:hAnsiTheme="minorEastAsia" w:eastAsiaTheme="minorEastAsia"/>
          <w:color w:val="auto"/>
          <w:szCs w:val="21"/>
          <w:highlight w:val="none"/>
        </w:rPr>
        <w:t>响应报价为闭口价，即在响应有效期，该响应报价固定不变。</w:t>
      </w:r>
    </w:p>
    <w:p>
      <w:pPr>
        <w:pStyle w:val="6"/>
        <w:spacing w:line="360" w:lineRule="auto"/>
        <w:ind w:left="559" w:leftChars="266" w:firstLine="16" w:firstLineChars="8"/>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3.若中标，我方将按照</w:t>
      </w:r>
      <w:r>
        <w:rPr>
          <w:rFonts w:hint="eastAsia" w:cs="宋体" w:asciiTheme="minorEastAsia" w:hAnsiTheme="minorEastAsia" w:eastAsiaTheme="minorEastAsia"/>
          <w:color w:val="auto"/>
          <w:szCs w:val="21"/>
          <w:highlight w:val="none"/>
        </w:rPr>
        <w:t>竞争性谈判文件及我方响应文件的具体规定签订</w:t>
      </w:r>
      <w:r>
        <w:rPr>
          <w:rFonts w:cs="宋体" w:asciiTheme="minorEastAsia" w:hAnsiTheme="minorEastAsia" w:eastAsiaTheme="minorEastAsia"/>
          <w:color w:val="auto"/>
          <w:szCs w:val="21"/>
          <w:highlight w:val="none"/>
          <w:u w:val="single"/>
        </w:rPr>
        <w:t xml:space="preserve">   </w:t>
      </w:r>
      <w:r>
        <w:rPr>
          <w:rFonts w:hint="eastAsia" w:cs="宋体" w:asciiTheme="minorEastAsia" w:hAnsiTheme="minorEastAsia" w:eastAsiaTheme="minorEastAsia"/>
          <w:color w:val="auto"/>
          <w:szCs w:val="21"/>
          <w:highlight w:val="none"/>
        </w:rPr>
        <w:t>项目合同。</w:t>
      </w:r>
    </w:p>
    <w:p>
      <w:pPr>
        <w:pStyle w:val="6"/>
        <w:spacing w:line="360" w:lineRule="auto"/>
        <w:ind w:firstLine="434" w:firstLineChars="207"/>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4.在整个</w:t>
      </w:r>
      <w:r>
        <w:rPr>
          <w:rFonts w:hint="eastAsia" w:cs="宋体" w:asciiTheme="minorEastAsia" w:hAnsiTheme="minorEastAsia" w:eastAsiaTheme="minorEastAsia"/>
          <w:color w:val="auto"/>
          <w:szCs w:val="21"/>
          <w:highlight w:val="none"/>
        </w:rPr>
        <w:t>采购过程中，我方若有违反以下承诺的行为，贵方可按竞争性谈判文件之规定给予惩罚，我方完全接受。</w:t>
      </w:r>
    </w:p>
    <w:p>
      <w:pPr>
        <w:spacing w:line="360" w:lineRule="auto"/>
        <w:ind w:firstLine="420" w:firstLineChars="200"/>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A.不与</w:t>
      </w:r>
      <w:r>
        <w:rPr>
          <w:rFonts w:hint="eastAsia" w:cs="宋体" w:asciiTheme="minorEastAsia" w:hAnsiTheme="minorEastAsia" w:eastAsiaTheme="minorEastAsia"/>
          <w:color w:val="auto"/>
          <w:szCs w:val="21"/>
          <w:highlight w:val="none"/>
        </w:rPr>
        <w:t>采购人、其他供应商或者采购代理机构串通投标，损害国家利益、社会利益或他人的合法权益。</w:t>
      </w:r>
    </w:p>
    <w:p>
      <w:pPr>
        <w:spacing w:line="360" w:lineRule="auto"/>
        <w:ind w:firstLine="420" w:firstLineChars="200"/>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B.不向</w:t>
      </w:r>
      <w:r>
        <w:rPr>
          <w:rFonts w:hint="eastAsia" w:cs="宋体" w:asciiTheme="minorEastAsia" w:hAnsiTheme="minorEastAsia" w:eastAsiaTheme="minorEastAsia"/>
          <w:color w:val="auto"/>
          <w:szCs w:val="21"/>
          <w:highlight w:val="none"/>
        </w:rPr>
        <w:t>采购人或谈判小组成员或相关人员行贿，以牟取中标。</w:t>
      </w:r>
    </w:p>
    <w:p>
      <w:pPr>
        <w:spacing w:line="360" w:lineRule="auto"/>
        <w:ind w:firstLine="420" w:firstLineChars="200"/>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C.不以他人名义</w:t>
      </w:r>
      <w:r>
        <w:rPr>
          <w:rFonts w:hint="eastAsia" w:cs="宋体" w:asciiTheme="minorEastAsia" w:hAnsiTheme="minorEastAsia" w:eastAsiaTheme="minorEastAsia"/>
          <w:color w:val="auto"/>
          <w:szCs w:val="21"/>
          <w:highlight w:val="none"/>
        </w:rPr>
        <w:t>响应或者其他方式弄虚作假，骗取中标。</w:t>
      </w:r>
    </w:p>
    <w:p>
      <w:pPr>
        <w:spacing w:line="360" w:lineRule="auto"/>
        <w:ind w:firstLine="420" w:firstLineChars="200"/>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D.不接受任何形式的挂靠，不扰乱</w:t>
      </w:r>
      <w:r>
        <w:rPr>
          <w:rFonts w:hint="eastAsia" w:cs="宋体" w:asciiTheme="minorEastAsia" w:hAnsiTheme="minorEastAsia" w:eastAsiaTheme="minorEastAsia"/>
          <w:color w:val="auto"/>
          <w:szCs w:val="21"/>
          <w:highlight w:val="none"/>
        </w:rPr>
        <w:t>采购供应市场秩序。</w:t>
      </w:r>
    </w:p>
    <w:p>
      <w:pPr>
        <w:spacing w:line="360" w:lineRule="auto"/>
        <w:ind w:firstLine="420" w:firstLineChars="200"/>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E.不在</w:t>
      </w:r>
      <w:r>
        <w:rPr>
          <w:rFonts w:hint="eastAsia" w:cs="宋体" w:asciiTheme="minorEastAsia" w:hAnsiTheme="minorEastAsia" w:eastAsiaTheme="minorEastAsia"/>
          <w:color w:val="auto"/>
          <w:szCs w:val="21"/>
          <w:highlight w:val="none"/>
        </w:rPr>
        <w:t>响应中哄抬价格或恶意压价。</w:t>
      </w:r>
    </w:p>
    <w:p>
      <w:pPr>
        <w:pStyle w:val="6"/>
        <w:spacing w:line="360" w:lineRule="auto"/>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F.不在</w:t>
      </w:r>
      <w:r>
        <w:rPr>
          <w:rFonts w:hint="eastAsia" w:cs="宋体" w:asciiTheme="minorEastAsia" w:hAnsiTheme="minorEastAsia" w:eastAsiaTheme="minorEastAsia"/>
          <w:color w:val="auto"/>
          <w:szCs w:val="21"/>
          <w:highlight w:val="none"/>
        </w:rPr>
        <w:t>采购活动中虚假投诉。</w:t>
      </w:r>
    </w:p>
    <w:p>
      <w:pPr>
        <w:pStyle w:val="6"/>
        <w:spacing w:line="360" w:lineRule="auto"/>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5.在整个</w:t>
      </w:r>
      <w:r>
        <w:rPr>
          <w:rFonts w:hint="eastAsia" w:cs="宋体" w:asciiTheme="minorEastAsia" w:hAnsiTheme="minorEastAsia" w:eastAsiaTheme="minorEastAsia"/>
          <w:color w:val="auto"/>
          <w:szCs w:val="21"/>
          <w:highlight w:val="none"/>
        </w:rPr>
        <w:t>采购、响应过程中及招、响应结束后，未经采购人书面同意，我方保证不向任何第三方泄露本次采购响应的任何信息、资料及内容。</w:t>
      </w:r>
    </w:p>
    <w:p>
      <w:pPr>
        <w:pStyle w:val="6"/>
        <w:spacing w:line="360" w:lineRule="auto"/>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6.</w:t>
      </w:r>
      <w:r>
        <w:rPr>
          <w:rFonts w:hint="eastAsia" w:cs="宋体" w:asciiTheme="minorEastAsia" w:hAnsiTheme="minorEastAsia" w:eastAsiaTheme="minorEastAsia"/>
          <w:color w:val="auto"/>
          <w:szCs w:val="21"/>
          <w:highlight w:val="none"/>
        </w:rPr>
        <w:t>响应文件中所有关于供应商资格的文件、证明、陈述均是真实的、准确的。若有违背，我公司承担由此而产生的一切后果。</w:t>
      </w:r>
    </w:p>
    <w:p>
      <w:pPr>
        <w:pStyle w:val="6"/>
        <w:spacing w:line="360" w:lineRule="auto"/>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7.本承诺函与是</w:t>
      </w:r>
      <w:r>
        <w:rPr>
          <w:rFonts w:cs="宋体" w:asciiTheme="minorEastAsia" w:hAnsiTheme="minorEastAsia" w:eastAsiaTheme="minorEastAsia"/>
          <w:color w:val="auto"/>
          <w:szCs w:val="21"/>
          <w:highlight w:val="none"/>
          <w:u w:val="single"/>
        </w:rPr>
        <w:t xml:space="preserve">     </w:t>
      </w:r>
      <w:r>
        <w:rPr>
          <w:rFonts w:hint="eastAsia" w:cs="宋体" w:asciiTheme="minorEastAsia" w:hAnsiTheme="minorEastAsia" w:eastAsiaTheme="minorEastAsia"/>
          <w:color w:val="auto"/>
          <w:szCs w:val="21"/>
          <w:highlight w:val="none"/>
        </w:rPr>
        <w:t>项目合同具有同等的法律效力。</w:t>
      </w:r>
    </w:p>
    <w:p>
      <w:pPr>
        <w:autoSpaceDE w:val="0"/>
        <w:autoSpaceDN w:val="0"/>
        <w:adjustRightInd w:val="0"/>
        <w:spacing w:line="400" w:lineRule="exact"/>
        <w:ind w:firstLine="3570" w:firstLineChars="1700"/>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法定代表人或授权代理人（签字或盖章）：</w:t>
      </w:r>
    </w:p>
    <w:p>
      <w:pPr>
        <w:autoSpaceDE w:val="0"/>
        <w:autoSpaceDN w:val="0"/>
        <w:adjustRightInd w:val="0"/>
        <w:spacing w:line="400" w:lineRule="exact"/>
        <w:ind w:firstLine="3570" w:firstLineChars="1700"/>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供应商：（公章）</w:t>
      </w:r>
    </w:p>
    <w:p>
      <w:pPr>
        <w:autoSpaceDE w:val="0"/>
        <w:autoSpaceDN w:val="0"/>
        <w:adjustRightInd w:val="0"/>
        <w:spacing w:line="400" w:lineRule="exact"/>
        <w:ind w:firstLine="3570" w:firstLineChars="1700"/>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日期：</w:t>
      </w:r>
      <w:r>
        <w:rPr>
          <w:rFonts w:cs="宋体" w:asciiTheme="minorEastAsia" w:hAnsiTheme="minorEastAsia" w:eastAsiaTheme="minorEastAsia"/>
          <w:color w:val="auto"/>
          <w:kern w:val="0"/>
          <w:szCs w:val="21"/>
          <w:highlight w:val="none"/>
        </w:rPr>
        <w:t xml:space="preserve">       </w:t>
      </w:r>
      <w:r>
        <w:rPr>
          <w:rFonts w:hint="eastAsia" w:cs="宋体" w:asciiTheme="minorEastAsia" w:hAnsiTheme="minorEastAsia" w:eastAsiaTheme="minorEastAsia"/>
          <w:color w:val="auto"/>
          <w:kern w:val="0"/>
          <w:szCs w:val="21"/>
          <w:highlight w:val="none"/>
        </w:rPr>
        <w:t>年</w:t>
      </w:r>
      <w:r>
        <w:rPr>
          <w:rFonts w:cs="宋体" w:asciiTheme="minorEastAsia" w:hAnsiTheme="minorEastAsia" w:eastAsiaTheme="minorEastAsia"/>
          <w:color w:val="auto"/>
          <w:kern w:val="0"/>
          <w:szCs w:val="21"/>
          <w:highlight w:val="none"/>
        </w:rPr>
        <w:t xml:space="preserve">     </w:t>
      </w:r>
      <w:r>
        <w:rPr>
          <w:rFonts w:hint="eastAsia" w:cs="宋体" w:asciiTheme="minorEastAsia" w:hAnsiTheme="minorEastAsia" w:eastAsiaTheme="minorEastAsia"/>
          <w:color w:val="auto"/>
          <w:kern w:val="0"/>
          <w:szCs w:val="21"/>
          <w:highlight w:val="none"/>
        </w:rPr>
        <w:t>月</w:t>
      </w:r>
      <w:r>
        <w:rPr>
          <w:rFonts w:cs="宋体" w:asciiTheme="minorEastAsia" w:hAnsiTheme="minorEastAsia" w:eastAsiaTheme="minorEastAsia"/>
          <w:color w:val="auto"/>
          <w:kern w:val="0"/>
          <w:szCs w:val="21"/>
          <w:highlight w:val="none"/>
        </w:rPr>
        <w:t xml:space="preserve">    </w:t>
      </w:r>
      <w:r>
        <w:rPr>
          <w:rFonts w:hint="eastAsia" w:cs="宋体" w:asciiTheme="minorEastAsia" w:hAnsiTheme="minorEastAsia" w:eastAsiaTheme="minorEastAsia"/>
          <w:color w:val="auto"/>
          <w:kern w:val="0"/>
          <w:szCs w:val="21"/>
          <w:highlight w:val="none"/>
        </w:rPr>
        <w:t>日</w:t>
      </w:r>
    </w:p>
    <w:p>
      <w:pPr>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br w:type="page"/>
      </w:r>
    </w:p>
    <w:p>
      <w:pPr>
        <w:spacing w:line="360" w:lineRule="auto"/>
        <w:rPr>
          <w:rFonts w:cs="宋体" w:asciiTheme="minorEastAsia" w:hAnsiTheme="minorEastAsia" w:eastAsiaTheme="minorEastAsia"/>
          <w:color w:val="auto"/>
          <w:sz w:val="30"/>
          <w:szCs w:val="30"/>
          <w:highlight w:val="none"/>
        </w:rPr>
      </w:pPr>
      <w:r>
        <w:rPr>
          <w:rFonts w:hint="eastAsia" w:cs="宋体" w:asciiTheme="minorEastAsia" w:hAnsiTheme="minorEastAsia" w:eastAsiaTheme="minorEastAsia"/>
          <w:color w:val="auto"/>
          <w:sz w:val="30"/>
          <w:szCs w:val="30"/>
          <w:highlight w:val="none"/>
        </w:rPr>
        <w:t>附件</w:t>
      </w:r>
      <w:r>
        <w:rPr>
          <w:rFonts w:cs="宋体" w:asciiTheme="minorEastAsia" w:hAnsiTheme="minorEastAsia" w:eastAsiaTheme="minorEastAsia"/>
          <w:color w:val="auto"/>
          <w:sz w:val="30"/>
          <w:szCs w:val="30"/>
          <w:highlight w:val="none"/>
        </w:rPr>
        <w:t>1-4</w:t>
      </w:r>
    </w:p>
    <w:p>
      <w:pPr>
        <w:spacing w:line="400" w:lineRule="exact"/>
        <w:jc w:val="center"/>
        <w:rPr>
          <w:rFonts w:cs="宋体" w:asciiTheme="minorEastAsia" w:hAnsiTheme="minorEastAsia" w:eastAsiaTheme="minorEastAsia"/>
          <w:b/>
          <w:bCs/>
          <w:color w:val="auto"/>
          <w:sz w:val="30"/>
          <w:szCs w:val="30"/>
          <w:highlight w:val="none"/>
        </w:rPr>
      </w:pPr>
      <w:r>
        <w:rPr>
          <w:rFonts w:hint="eastAsia" w:cs="宋体" w:asciiTheme="minorEastAsia" w:hAnsiTheme="minorEastAsia" w:eastAsiaTheme="minorEastAsia"/>
          <w:b/>
          <w:bCs/>
          <w:color w:val="auto"/>
          <w:sz w:val="30"/>
          <w:szCs w:val="30"/>
          <w:highlight w:val="none"/>
        </w:rPr>
        <w:t>廉洁承诺书</w:t>
      </w:r>
    </w:p>
    <w:p>
      <w:pPr>
        <w:autoSpaceDE w:val="0"/>
        <w:autoSpaceDN w:val="0"/>
        <w:adjustRightInd w:val="0"/>
        <w:spacing w:line="400" w:lineRule="exac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中粮糖业（漳州）有限公司：</w:t>
      </w:r>
    </w:p>
    <w:p>
      <w:pPr>
        <w:spacing w:before="240" w:line="440" w:lineRule="exact"/>
        <w:ind w:firstLine="48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为积极配合贵公司进行的项目采购与招投标工作，有效遏制不公平竞争和违规违纪问题的发生，确保采购与招投标工作的公平、公正、公开，我们特向贵公司承诺如下事项：</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1、自觉遵守国家法律法规及中粮糖业有关廉政建设制度。</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2、不使用不正当手段妨碍、排挤其它供应商或串通投标。</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3、按照采购文件规定的方式进行投标，不隐瞒本单位投标资质的真实情况，投标资质符合规定；保证不会以其他人名义投标或者以其他方式弄虚作假，骗取中标。</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4、不将主体、关键性工作进行分包（包括贴牌生产、转包等）。</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5、不以任何方式向采购人员或者评标成员赠送礼品、礼金及有价证券；不宴请或邀请招标人的任何人参加高档娱乐消费、旅游等活动；不以任何形式报销招标人的任何人以及亲友的各种票据及费用；不进行可能影响招标公平、公正的任何活动。</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6、不向贵公司涉及采购与招投标的部门及个人支付好处费、介绍费；购置或提供通讯工具、交通工具、电脑等。</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 xml:space="preserve">7、经查实对于参与串通行为的供应商，其中标无效，列入供应商黑名单，并对供应商处中标项目金额千分之五以上千分之十以下的罚款如事后查实无法追溯的仅列入供应商黑名单， </w:t>
      </w:r>
      <w:r>
        <w:rPr>
          <w:rFonts w:hint="eastAsia" w:asciiTheme="minorEastAsia" w:hAnsiTheme="minorEastAsia" w:eastAsiaTheme="minorEastAsia" w:cstheme="minorEastAsia"/>
          <w:color w:val="auto"/>
          <w:szCs w:val="21"/>
          <w:highlight w:val="none"/>
        </w:rPr>
        <w:t>加大不诚信供应商的违规成本。</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8、一旦发现相关人员在招标过程中有索要财物等不廉洁行为，坚决予以抵制，并及时向贵公司纪委办公室举报。</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9、我方自愿将本承诺书作为投标文件及合同的附件，具有同等的法律效力。</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10、若违反上述承诺或违反有关法律法规及贵公司有关规定，我方自愿永久放弃参与贵公司的所有业务往来，并承担贵公司制度规定的一切法律责任。</w:t>
      </w:r>
    </w:p>
    <w:p>
      <w:pPr>
        <w:spacing w:line="440" w:lineRule="exact"/>
        <w:ind w:firstLine="480"/>
        <w:rPr>
          <w:rFonts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11、本承诺书自签署之日起生效。</w:t>
      </w:r>
    </w:p>
    <w:p>
      <w:pPr>
        <w:autoSpaceDE w:val="0"/>
        <w:autoSpaceDN w:val="0"/>
        <w:adjustRightInd w:val="0"/>
        <w:spacing w:line="400" w:lineRule="exact"/>
        <w:ind w:firstLine="4200" w:firstLineChars="2000"/>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供应商（公章）：</w:t>
      </w:r>
    </w:p>
    <w:p>
      <w:pPr>
        <w:autoSpaceDE w:val="0"/>
        <w:autoSpaceDN w:val="0"/>
        <w:adjustRightInd w:val="0"/>
        <w:spacing w:line="400" w:lineRule="exact"/>
        <w:ind w:firstLine="3570" w:firstLineChars="1700"/>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法定代表人或授权代理人（签字或盖章）：</w:t>
      </w:r>
    </w:p>
    <w:p>
      <w:pPr>
        <w:autoSpaceDE w:val="0"/>
        <w:autoSpaceDN w:val="0"/>
        <w:adjustRightInd w:val="0"/>
        <w:spacing w:line="400" w:lineRule="exact"/>
        <w:ind w:firstLine="4095" w:firstLineChars="1950"/>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日期：</w:t>
      </w:r>
      <w:r>
        <w:rPr>
          <w:rFonts w:cs="宋体" w:asciiTheme="minorEastAsia" w:hAnsiTheme="minorEastAsia" w:eastAsiaTheme="minorEastAsia"/>
          <w:color w:val="auto"/>
          <w:kern w:val="0"/>
          <w:szCs w:val="21"/>
          <w:highlight w:val="none"/>
        </w:rPr>
        <w:t xml:space="preserve">    </w:t>
      </w:r>
      <w:r>
        <w:rPr>
          <w:rFonts w:hint="eastAsia" w:cs="宋体" w:asciiTheme="minorEastAsia" w:hAnsiTheme="minorEastAsia" w:eastAsiaTheme="minorEastAsia"/>
          <w:color w:val="auto"/>
          <w:kern w:val="0"/>
          <w:szCs w:val="21"/>
          <w:highlight w:val="none"/>
        </w:rPr>
        <w:t>年</w:t>
      </w:r>
      <w:r>
        <w:rPr>
          <w:rFonts w:cs="宋体" w:asciiTheme="minorEastAsia" w:hAnsiTheme="minorEastAsia" w:eastAsiaTheme="minorEastAsia"/>
          <w:color w:val="auto"/>
          <w:kern w:val="0"/>
          <w:szCs w:val="21"/>
          <w:highlight w:val="none"/>
        </w:rPr>
        <w:t xml:space="preserve">  </w:t>
      </w:r>
      <w:r>
        <w:rPr>
          <w:rFonts w:hint="eastAsia" w:cs="宋体" w:asciiTheme="minorEastAsia" w:hAnsiTheme="minorEastAsia" w:eastAsiaTheme="minorEastAsia"/>
          <w:color w:val="auto"/>
          <w:kern w:val="0"/>
          <w:szCs w:val="21"/>
          <w:highlight w:val="none"/>
        </w:rPr>
        <w:t>月</w:t>
      </w:r>
      <w:r>
        <w:rPr>
          <w:rFonts w:cs="宋体" w:asciiTheme="minorEastAsia" w:hAnsiTheme="minorEastAsia" w:eastAsiaTheme="minorEastAsia"/>
          <w:color w:val="auto"/>
          <w:kern w:val="0"/>
          <w:szCs w:val="21"/>
          <w:highlight w:val="none"/>
        </w:rPr>
        <w:t xml:space="preserve">  </w:t>
      </w:r>
      <w:r>
        <w:rPr>
          <w:rFonts w:hint="eastAsia" w:cs="宋体" w:asciiTheme="minorEastAsia" w:hAnsiTheme="minorEastAsia" w:eastAsiaTheme="minorEastAsia"/>
          <w:color w:val="auto"/>
          <w:kern w:val="0"/>
          <w:szCs w:val="21"/>
          <w:highlight w:val="none"/>
        </w:rPr>
        <w:t>日</w:t>
      </w:r>
    </w:p>
    <w:p>
      <w:pPr>
        <w:rPr>
          <w:rFonts w:cs="宋体" w:asciiTheme="minorEastAsia" w:hAnsiTheme="minorEastAsia" w:eastAsiaTheme="minorEastAsia"/>
          <w:color w:val="auto"/>
          <w:kern w:val="0"/>
          <w:szCs w:val="21"/>
          <w:highlight w:val="none"/>
        </w:rPr>
      </w:pPr>
      <w:r>
        <w:rPr>
          <w:rFonts w:cs="宋体" w:asciiTheme="minorEastAsia" w:hAnsiTheme="minorEastAsia" w:eastAsiaTheme="minorEastAsia"/>
          <w:color w:val="auto"/>
          <w:kern w:val="0"/>
          <w:szCs w:val="21"/>
          <w:highlight w:val="none"/>
        </w:rPr>
        <w:br w:type="page"/>
      </w:r>
    </w:p>
    <w:p>
      <w:pPr>
        <w:pStyle w:val="11"/>
        <w:rPr>
          <w:rFonts w:asciiTheme="minorEastAsia" w:hAnsiTheme="minorEastAsia" w:eastAsiaTheme="minorEastAsia"/>
          <w:color w:val="auto"/>
          <w:highlight w:val="none"/>
        </w:rPr>
      </w:pPr>
    </w:p>
    <w:p>
      <w:pPr>
        <w:spacing w:line="360" w:lineRule="auto"/>
        <w:rPr>
          <w:rFonts w:asciiTheme="minorEastAsia" w:hAnsiTheme="minorEastAsia" w:eastAsiaTheme="minorEastAsia"/>
          <w:color w:val="auto"/>
          <w:sz w:val="30"/>
          <w:szCs w:val="30"/>
          <w:highlight w:val="none"/>
        </w:rPr>
      </w:pPr>
      <w:r>
        <w:rPr>
          <w:rFonts w:hint="eastAsia" w:asciiTheme="minorEastAsia" w:hAnsiTheme="minorEastAsia" w:eastAsiaTheme="minorEastAsia"/>
          <w:color w:val="auto"/>
          <w:sz w:val="30"/>
          <w:szCs w:val="30"/>
          <w:highlight w:val="none"/>
        </w:rPr>
        <w:t>附件</w:t>
      </w:r>
      <w:r>
        <w:rPr>
          <w:rFonts w:asciiTheme="minorEastAsia" w:hAnsiTheme="minorEastAsia" w:eastAsiaTheme="minorEastAsia"/>
          <w:color w:val="auto"/>
          <w:sz w:val="30"/>
          <w:szCs w:val="30"/>
          <w:highlight w:val="none"/>
        </w:rPr>
        <w:t xml:space="preserve">1-5 </w:t>
      </w:r>
    </w:p>
    <w:p>
      <w:pPr>
        <w:spacing w:line="360" w:lineRule="auto"/>
        <w:jc w:val="center"/>
        <w:rPr>
          <w:rFonts w:asciiTheme="minorEastAsia" w:hAnsiTheme="minorEastAsia" w:eastAsiaTheme="minorEastAsia"/>
          <w:color w:val="auto"/>
          <w:sz w:val="30"/>
          <w:szCs w:val="30"/>
          <w:highlight w:val="none"/>
        </w:rPr>
      </w:pPr>
      <w:r>
        <w:rPr>
          <w:rFonts w:hint="eastAsia" w:asciiTheme="minorEastAsia" w:hAnsiTheme="minorEastAsia" w:eastAsiaTheme="minorEastAsia"/>
          <w:color w:val="auto"/>
          <w:sz w:val="30"/>
          <w:szCs w:val="30"/>
          <w:highlight w:val="none"/>
        </w:rPr>
        <w:t>供应商企业营业执照</w:t>
      </w:r>
    </w:p>
    <w:p>
      <w:pPr>
        <w:rPr>
          <w:rFonts w:asciiTheme="minorEastAsia" w:hAnsiTheme="minorEastAsia" w:eastAsiaTheme="minorEastAsia"/>
          <w:b/>
          <w:color w:val="auto"/>
          <w:sz w:val="28"/>
          <w:szCs w:val="28"/>
          <w:highlight w:val="none"/>
        </w:rPr>
      </w:pPr>
    </w:p>
    <w:p>
      <w:pPr>
        <w:rPr>
          <w:rFonts w:asciiTheme="minorEastAsia" w:hAnsiTheme="minorEastAsia" w:eastAsiaTheme="minorEastAsia"/>
          <w:b/>
          <w:color w:val="auto"/>
          <w:sz w:val="28"/>
          <w:szCs w:val="28"/>
          <w:highlight w:val="none"/>
        </w:rPr>
      </w:pPr>
    </w:p>
    <w:p>
      <w:pPr>
        <w:spacing w:line="360" w:lineRule="auto"/>
        <w:rPr>
          <w:rFonts w:asciiTheme="minorEastAsia" w:hAnsiTheme="minorEastAsia" w:eastAsiaTheme="minorEastAsia"/>
          <w:color w:val="auto"/>
          <w:sz w:val="30"/>
          <w:szCs w:val="30"/>
          <w:highlight w:val="none"/>
        </w:rPr>
      </w:pPr>
    </w:p>
    <w:p>
      <w:pPr>
        <w:spacing w:line="520" w:lineRule="exact"/>
        <w:ind w:firstLine="3220" w:firstLineChars="1150"/>
        <w:rPr>
          <w:rFonts w:asciiTheme="minorEastAsia" w:hAnsiTheme="minorEastAsia" w:eastAsiaTheme="minorEastAsia"/>
          <w:color w:val="auto"/>
          <w:sz w:val="28"/>
          <w:szCs w:val="28"/>
          <w:highlight w:val="none"/>
        </w:rPr>
      </w:pPr>
    </w:p>
    <w:p>
      <w:pPr>
        <w:spacing w:line="520" w:lineRule="exact"/>
        <w:ind w:firstLine="3220" w:firstLineChars="1150"/>
        <w:rPr>
          <w:rFonts w:asciiTheme="minorEastAsia" w:hAnsiTheme="minorEastAsia" w:eastAsiaTheme="minorEastAsia"/>
          <w:color w:val="auto"/>
          <w:sz w:val="28"/>
          <w:szCs w:val="28"/>
          <w:highlight w:val="none"/>
        </w:rPr>
      </w:pPr>
    </w:p>
    <w:p>
      <w:pPr>
        <w:spacing w:line="520" w:lineRule="exact"/>
        <w:ind w:firstLine="3220" w:firstLineChars="1150"/>
        <w:rPr>
          <w:rFonts w:asciiTheme="minorEastAsia" w:hAnsiTheme="minorEastAsia" w:eastAsiaTheme="minorEastAsia"/>
          <w:color w:val="auto"/>
          <w:sz w:val="28"/>
          <w:szCs w:val="28"/>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520" w:lineRule="exact"/>
        <w:ind w:left="3082"/>
        <w:rPr>
          <w:rFonts w:asciiTheme="minorEastAsia" w:hAnsiTheme="minorEastAsia" w:eastAsiaTheme="minorEastAsia"/>
          <w:b/>
          <w:color w:val="auto"/>
          <w:sz w:val="44"/>
          <w:szCs w:val="44"/>
          <w:highlight w:val="none"/>
        </w:rPr>
      </w:pPr>
    </w:p>
    <w:p>
      <w:pPr>
        <w:spacing w:line="360" w:lineRule="auto"/>
        <w:rPr>
          <w:rFonts w:asciiTheme="minorEastAsia" w:hAnsiTheme="minorEastAsia" w:eastAsiaTheme="minorEastAsia"/>
          <w:color w:val="auto"/>
          <w:sz w:val="30"/>
          <w:szCs w:val="30"/>
          <w:highlight w:val="none"/>
        </w:rPr>
      </w:pPr>
      <w:bookmarkStart w:id="64" w:name="_Toc124269267"/>
      <w:r>
        <w:rPr>
          <w:rFonts w:hint="eastAsia" w:asciiTheme="minorEastAsia" w:hAnsiTheme="minorEastAsia" w:eastAsiaTheme="minorEastAsia"/>
          <w:color w:val="auto"/>
          <w:sz w:val="30"/>
          <w:szCs w:val="30"/>
          <w:highlight w:val="none"/>
        </w:rPr>
        <w:t>附件</w:t>
      </w:r>
      <w:r>
        <w:rPr>
          <w:rFonts w:asciiTheme="minorEastAsia" w:hAnsiTheme="minorEastAsia" w:eastAsiaTheme="minorEastAsia"/>
          <w:color w:val="auto"/>
          <w:sz w:val="30"/>
          <w:szCs w:val="30"/>
          <w:highlight w:val="none"/>
        </w:rPr>
        <w:t xml:space="preserve">1-6 </w:t>
      </w:r>
      <w:r>
        <w:rPr>
          <w:rFonts w:hint="eastAsia" w:asciiTheme="minorEastAsia" w:hAnsiTheme="minorEastAsia" w:eastAsiaTheme="minorEastAsia"/>
          <w:color w:val="auto"/>
          <w:sz w:val="30"/>
          <w:szCs w:val="30"/>
          <w:highlight w:val="none"/>
        </w:rPr>
        <w:t>供应商基本情况表格式：</w:t>
      </w:r>
      <w:bookmarkEnd w:id="64"/>
    </w:p>
    <w:p>
      <w:pPr>
        <w:snapToGrid w:val="0"/>
        <w:spacing w:before="120"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供应商基本情况表</w:t>
      </w:r>
    </w:p>
    <w:tbl>
      <w:tblPr>
        <w:tblStyle w:val="22"/>
        <w:tblW w:w="5000" w:type="pct"/>
        <w:tblInd w:w="0" w:type="dxa"/>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2172"/>
        <w:gridCol w:w="1089"/>
        <w:gridCol w:w="1338"/>
        <w:gridCol w:w="743"/>
        <w:gridCol w:w="406"/>
        <w:gridCol w:w="999"/>
        <w:gridCol w:w="322"/>
        <w:gridCol w:w="427"/>
        <w:gridCol w:w="56"/>
        <w:gridCol w:w="2018"/>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供应商名称</w:t>
            </w:r>
          </w:p>
        </w:tc>
        <w:tc>
          <w:tcPr>
            <w:tcW w:w="3864" w:type="pct"/>
            <w:gridSpan w:val="9"/>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注册地址</w:t>
            </w:r>
          </w:p>
        </w:tc>
        <w:tc>
          <w:tcPr>
            <w:tcW w:w="1868" w:type="pct"/>
            <w:gridSpan w:val="4"/>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690"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邮政编码</w:t>
            </w:r>
          </w:p>
        </w:tc>
        <w:tc>
          <w:tcPr>
            <w:tcW w:w="1305" w:type="pct"/>
            <w:gridSpan w:val="3"/>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vMerge w:val="restar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联系方式</w:t>
            </w:r>
          </w:p>
        </w:tc>
        <w:tc>
          <w:tcPr>
            <w:tcW w:w="569"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联系人</w:t>
            </w:r>
          </w:p>
        </w:tc>
        <w:tc>
          <w:tcPr>
            <w:tcW w:w="1298" w:type="pct"/>
            <w:gridSpan w:val="3"/>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690"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电</w:t>
            </w:r>
            <w:r>
              <w:rPr>
                <w:rFonts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rPr>
              <w:t>话</w:t>
            </w:r>
          </w:p>
        </w:tc>
        <w:tc>
          <w:tcPr>
            <w:tcW w:w="1305" w:type="pct"/>
            <w:gridSpan w:val="3"/>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vMerge w:val="continue"/>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569"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传</w:t>
            </w:r>
            <w:r>
              <w:rPr>
                <w:rFonts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rPr>
              <w:t>真</w:t>
            </w:r>
          </w:p>
        </w:tc>
        <w:tc>
          <w:tcPr>
            <w:tcW w:w="1298" w:type="pct"/>
            <w:gridSpan w:val="3"/>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690"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网</w:t>
            </w:r>
            <w:r>
              <w:rPr>
                <w:rFonts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rPr>
              <w:t>址</w:t>
            </w:r>
          </w:p>
        </w:tc>
        <w:tc>
          <w:tcPr>
            <w:tcW w:w="1305" w:type="pct"/>
            <w:gridSpan w:val="3"/>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组织结构</w:t>
            </w:r>
          </w:p>
        </w:tc>
        <w:tc>
          <w:tcPr>
            <w:tcW w:w="3864" w:type="pct"/>
            <w:gridSpan w:val="9"/>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法定代表人</w:t>
            </w:r>
          </w:p>
        </w:tc>
        <w:tc>
          <w:tcPr>
            <w:tcW w:w="569"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姓名</w:t>
            </w:r>
          </w:p>
        </w:tc>
        <w:tc>
          <w:tcPr>
            <w:tcW w:w="699" w:type="pct"/>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388"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技术职称</w:t>
            </w:r>
          </w:p>
        </w:tc>
        <w:tc>
          <w:tcPr>
            <w:tcW w:w="734"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420" w:type="pct"/>
            <w:gridSpan w:val="3"/>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电话</w:t>
            </w:r>
          </w:p>
        </w:tc>
        <w:tc>
          <w:tcPr>
            <w:tcW w:w="1051" w:type="pct"/>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技术负责人</w:t>
            </w:r>
          </w:p>
        </w:tc>
        <w:tc>
          <w:tcPr>
            <w:tcW w:w="569"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姓名</w:t>
            </w:r>
          </w:p>
        </w:tc>
        <w:tc>
          <w:tcPr>
            <w:tcW w:w="699" w:type="pct"/>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388"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技术职称</w:t>
            </w:r>
          </w:p>
        </w:tc>
        <w:tc>
          <w:tcPr>
            <w:tcW w:w="734"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420" w:type="pct"/>
            <w:gridSpan w:val="3"/>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电话</w:t>
            </w:r>
          </w:p>
        </w:tc>
        <w:tc>
          <w:tcPr>
            <w:tcW w:w="1051" w:type="pct"/>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成立时间</w:t>
            </w:r>
          </w:p>
        </w:tc>
        <w:tc>
          <w:tcPr>
            <w:tcW w:w="1268"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2595" w:type="pct"/>
            <w:gridSpan w:val="7"/>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员工总人数：</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营业执照号</w:t>
            </w:r>
          </w:p>
        </w:tc>
        <w:tc>
          <w:tcPr>
            <w:tcW w:w="1268"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388" w:type="pct"/>
            <w:vMerge w:val="restar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其中</w:t>
            </w:r>
          </w:p>
        </w:tc>
        <w:tc>
          <w:tcPr>
            <w:tcW w:w="1125" w:type="pct"/>
            <w:gridSpan w:val="4"/>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高级职称人员</w:t>
            </w:r>
          </w:p>
        </w:tc>
        <w:tc>
          <w:tcPr>
            <w:tcW w:w="1081"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注册资金</w:t>
            </w:r>
          </w:p>
        </w:tc>
        <w:tc>
          <w:tcPr>
            <w:tcW w:w="1268"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388" w:type="pct"/>
            <w:vMerge w:val="continue"/>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1125" w:type="pct"/>
            <w:gridSpan w:val="4"/>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中级职称人员</w:t>
            </w:r>
          </w:p>
        </w:tc>
        <w:tc>
          <w:tcPr>
            <w:tcW w:w="1081"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固定资产</w:t>
            </w:r>
          </w:p>
        </w:tc>
        <w:tc>
          <w:tcPr>
            <w:tcW w:w="1268"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388" w:type="pct"/>
            <w:vMerge w:val="continue"/>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1125" w:type="pct"/>
            <w:gridSpan w:val="4"/>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初级职称人员</w:t>
            </w:r>
          </w:p>
        </w:tc>
        <w:tc>
          <w:tcPr>
            <w:tcW w:w="1081"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流动资产</w:t>
            </w:r>
          </w:p>
        </w:tc>
        <w:tc>
          <w:tcPr>
            <w:tcW w:w="1268"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388" w:type="pct"/>
            <w:vMerge w:val="continue"/>
            <w:shd w:val="clear" w:color="auto" w:fill="auto"/>
            <w:vAlign w:val="center"/>
          </w:tcPr>
          <w:p>
            <w:pPr>
              <w:topLinePunct/>
              <w:jc w:val="center"/>
              <w:rPr>
                <w:rFonts w:cs="宋体" w:asciiTheme="minorEastAsia" w:hAnsiTheme="minorEastAsia" w:eastAsiaTheme="minorEastAsia"/>
                <w:color w:val="auto"/>
                <w:szCs w:val="21"/>
                <w:highlight w:val="none"/>
              </w:rPr>
            </w:pPr>
          </w:p>
        </w:tc>
        <w:tc>
          <w:tcPr>
            <w:tcW w:w="1125" w:type="pct"/>
            <w:gridSpan w:val="4"/>
            <w:shd w:val="clear" w:color="auto" w:fill="auto"/>
            <w:vAlign w:val="center"/>
          </w:tcPr>
          <w:p>
            <w:pPr>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技</w:t>
            </w:r>
            <w:r>
              <w:rPr>
                <w:rFonts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rPr>
              <w:t>工</w:t>
            </w:r>
          </w:p>
        </w:tc>
        <w:tc>
          <w:tcPr>
            <w:tcW w:w="1081" w:type="pct"/>
            <w:gridSpan w:val="2"/>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经营范围</w:t>
            </w:r>
          </w:p>
        </w:tc>
        <w:tc>
          <w:tcPr>
            <w:tcW w:w="3864" w:type="pct"/>
            <w:gridSpan w:val="9"/>
            <w:shd w:val="clear" w:color="auto" w:fill="auto"/>
            <w:vAlign w:val="center"/>
          </w:tcPr>
          <w:p>
            <w:pPr>
              <w:topLinePunct/>
              <w:jc w:val="center"/>
              <w:rPr>
                <w:rFonts w:cs="宋体" w:asciiTheme="minorEastAsia" w:hAnsiTheme="minorEastAsia" w:eastAsiaTheme="minorEastAsia"/>
                <w:color w:val="auto"/>
                <w:szCs w:val="21"/>
                <w:highlight w:val="none"/>
              </w:rPr>
            </w:pPr>
          </w:p>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供应商关联企业情况（包括但不限于与供应商法定代表人（单位负责人）为同一人或者存在控股、管理关系的不同单位）</w:t>
            </w:r>
          </w:p>
        </w:tc>
        <w:tc>
          <w:tcPr>
            <w:tcW w:w="3864" w:type="pct"/>
            <w:gridSpan w:val="9"/>
            <w:shd w:val="clear" w:color="auto" w:fill="auto"/>
            <w:vAlign w:val="center"/>
          </w:tcPr>
          <w:p>
            <w:pPr>
              <w:topLinePunct/>
              <w:jc w:val="center"/>
              <w:rPr>
                <w:rFonts w:cs="宋体"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1135" w:type="pct"/>
            <w:shd w:val="clear" w:color="auto" w:fill="auto"/>
            <w:vAlign w:val="center"/>
          </w:tcPr>
          <w:p>
            <w:pPr>
              <w:topLinePun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备注</w:t>
            </w:r>
          </w:p>
        </w:tc>
        <w:tc>
          <w:tcPr>
            <w:tcW w:w="3864" w:type="pct"/>
            <w:gridSpan w:val="9"/>
            <w:shd w:val="clear" w:color="auto" w:fill="auto"/>
            <w:vAlign w:val="center"/>
          </w:tcPr>
          <w:p>
            <w:pPr>
              <w:topLinePunct/>
              <w:jc w:val="center"/>
              <w:rPr>
                <w:rFonts w:cs="宋体" w:asciiTheme="minorEastAsia" w:hAnsiTheme="minorEastAsia" w:eastAsiaTheme="minorEastAsia"/>
                <w:color w:val="auto"/>
                <w:szCs w:val="21"/>
                <w:highlight w:val="none"/>
              </w:rPr>
            </w:pPr>
          </w:p>
        </w:tc>
      </w:tr>
    </w:tbl>
    <w:p>
      <w:pPr>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p>
    <w:p>
      <w:pPr>
        <w:spacing w:line="360" w:lineRule="auto"/>
        <w:rPr>
          <w:rFonts w:cs="宋体" w:asciiTheme="minorEastAsia" w:hAnsiTheme="minorEastAsia" w:eastAsiaTheme="minorEastAsia"/>
          <w:color w:val="auto"/>
          <w:sz w:val="30"/>
          <w:szCs w:val="30"/>
          <w:highlight w:val="none"/>
        </w:rPr>
      </w:pPr>
      <w:r>
        <w:rPr>
          <w:rFonts w:hint="eastAsia" w:cs="宋体" w:asciiTheme="minorEastAsia" w:hAnsiTheme="minorEastAsia" w:eastAsiaTheme="minorEastAsia"/>
          <w:color w:val="auto"/>
          <w:sz w:val="30"/>
          <w:szCs w:val="30"/>
          <w:highlight w:val="none"/>
        </w:rPr>
        <w:t>附件</w:t>
      </w:r>
      <w:r>
        <w:rPr>
          <w:rFonts w:cs="宋体" w:asciiTheme="minorEastAsia" w:hAnsiTheme="minorEastAsia" w:eastAsiaTheme="minorEastAsia"/>
          <w:color w:val="auto"/>
          <w:sz w:val="30"/>
          <w:szCs w:val="30"/>
          <w:highlight w:val="none"/>
        </w:rPr>
        <w:t xml:space="preserve">1-7 </w:t>
      </w:r>
      <w:r>
        <w:rPr>
          <w:rFonts w:hint="eastAsia" w:cs="宋体" w:asciiTheme="minorEastAsia" w:hAnsiTheme="minorEastAsia" w:eastAsiaTheme="minorEastAsia"/>
          <w:color w:val="auto"/>
          <w:sz w:val="30"/>
          <w:szCs w:val="30"/>
          <w:highlight w:val="none"/>
        </w:rPr>
        <w:t>供应商</w:t>
      </w:r>
      <w:r>
        <w:rPr>
          <w:rFonts w:hint="eastAsia" w:cs="宋体" w:asciiTheme="minorEastAsia" w:hAnsiTheme="minorEastAsia" w:eastAsiaTheme="minorEastAsia"/>
          <w:color w:val="auto"/>
          <w:sz w:val="30"/>
          <w:szCs w:val="30"/>
          <w:highlight w:val="none"/>
          <w:lang w:eastAsia="zh-CN"/>
        </w:rPr>
        <w:t>大门及其门禁管理系统</w:t>
      </w:r>
      <w:r>
        <w:rPr>
          <w:rFonts w:hint="eastAsia" w:cs="宋体" w:asciiTheme="minorEastAsia" w:hAnsiTheme="minorEastAsia" w:eastAsiaTheme="minorEastAsia"/>
          <w:color w:val="auto"/>
          <w:sz w:val="30"/>
          <w:szCs w:val="30"/>
          <w:highlight w:val="none"/>
        </w:rPr>
        <w:t>供货业绩</w:t>
      </w:r>
    </w:p>
    <w:p>
      <w:pPr>
        <w:rPr>
          <w:rFonts w:asciiTheme="minorEastAsia" w:hAnsiTheme="minorEastAsia" w:eastAsiaTheme="minorEastAsia"/>
          <w:color w:val="auto"/>
          <w:highlight w:val="none"/>
        </w:rPr>
      </w:pPr>
      <w:r>
        <w:rPr>
          <w:rFonts w:asciiTheme="minorEastAsia" w:hAnsiTheme="minorEastAsia" w:eastAsiaTheme="minorEastAsia"/>
          <w:color w:val="auto"/>
          <w:highlight w:val="none"/>
        </w:rPr>
        <w:br w:type="page"/>
      </w:r>
    </w:p>
    <w:p>
      <w:pPr>
        <w:pStyle w:val="4"/>
        <w:rPr>
          <w:rFonts w:asciiTheme="minorEastAsia" w:hAnsiTheme="minorEastAsia" w:eastAsiaTheme="minorEastAsia"/>
          <w:b w:val="0"/>
          <w:bCs w:val="0"/>
          <w:color w:val="auto"/>
          <w:sz w:val="30"/>
          <w:szCs w:val="30"/>
          <w:highlight w:val="none"/>
          <w:u w:val="none"/>
        </w:rPr>
      </w:pPr>
      <w:bookmarkStart w:id="65" w:name="_Toc124269268"/>
      <w:r>
        <w:rPr>
          <w:rFonts w:hint="eastAsia" w:asciiTheme="minorEastAsia" w:hAnsiTheme="minorEastAsia" w:eastAsiaTheme="minorEastAsia"/>
          <w:b w:val="0"/>
          <w:bCs w:val="0"/>
          <w:color w:val="auto"/>
          <w:sz w:val="30"/>
          <w:szCs w:val="30"/>
          <w:highlight w:val="none"/>
          <w:u w:val="none"/>
        </w:rPr>
        <w:t>附件</w:t>
      </w:r>
      <w:r>
        <w:rPr>
          <w:rFonts w:asciiTheme="minorEastAsia" w:hAnsiTheme="minorEastAsia" w:eastAsiaTheme="minorEastAsia"/>
          <w:b w:val="0"/>
          <w:bCs w:val="0"/>
          <w:color w:val="auto"/>
          <w:sz w:val="30"/>
          <w:szCs w:val="30"/>
          <w:highlight w:val="none"/>
          <w:u w:val="none"/>
        </w:rPr>
        <w:t xml:space="preserve"> 1-8 响应声明书格式：</w:t>
      </w:r>
      <w:bookmarkEnd w:id="65"/>
    </w:p>
    <w:p>
      <w:pPr>
        <w:snapToGrid w:val="0"/>
        <w:spacing w:before="120"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响</w:t>
      </w:r>
      <w:r>
        <w:rPr>
          <w:rFonts w:asciiTheme="minorEastAsia" w:hAnsiTheme="minorEastAsia" w:eastAsiaTheme="minorEastAsia"/>
          <w:b/>
          <w:color w:val="auto"/>
          <w:sz w:val="32"/>
          <w:szCs w:val="32"/>
          <w:highlight w:val="none"/>
        </w:rPr>
        <w:t xml:space="preserve"> </w:t>
      </w:r>
      <w:r>
        <w:rPr>
          <w:rFonts w:hint="eastAsia" w:asciiTheme="minorEastAsia" w:hAnsiTheme="minorEastAsia" w:eastAsiaTheme="minorEastAsia"/>
          <w:b/>
          <w:color w:val="auto"/>
          <w:sz w:val="32"/>
          <w:szCs w:val="32"/>
          <w:highlight w:val="none"/>
        </w:rPr>
        <w:t>应</w:t>
      </w:r>
      <w:r>
        <w:rPr>
          <w:rFonts w:asciiTheme="minorEastAsia" w:hAnsiTheme="minorEastAsia" w:eastAsiaTheme="minorEastAsia"/>
          <w:b/>
          <w:color w:val="auto"/>
          <w:sz w:val="32"/>
          <w:szCs w:val="32"/>
          <w:highlight w:val="none"/>
        </w:rPr>
        <w:t xml:space="preserve"> </w:t>
      </w:r>
      <w:r>
        <w:rPr>
          <w:rFonts w:hint="eastAsia" w:asciiTheme="minorEastAsia" w:hAnsiTheme="minorEastAsia" w:eastAsiaTheme="minorEastAsia"/>
          <w:b/>
          <w:color w:val="auto"/>
          <w:sz w:val="32"/>
          <w:szCs w:val="32"/>
          <w:highlight w:val="none"/>
        </w:rPr>
        <w:t>声</w:t>
      </w:r>
      <w:r>
        <w:rPr>
          <w:rFonts w:asciiTheme="minorEastAsia" w:hAnsiTheme="minorEastAsia" w:eastAsiaTheme="minorEastAsia"/>
          <w:b/>
          <w:color w:val="auto"/>
          <w:sz w:val="32"/>
          <w:szCs w:val="32"/>
          <w:highlight w:val="none"/>
        </w:rPr>
        <w:t xml:space="preserve"> </w:t>
      </w:r>
      <w:r>
        <w:rPr>
          <w:rFonts w:hint="eastAsia" w:asciiTheme="minorEastAsia" w:hAnsiTheme="minorEastAsia" w:eastAsiaTheme="minorEastAsia"/>
          <w:b/>
          <w:color w:val="auto"/>
          <w:sz w:val="32"/>
          <w:szCs w:val="32"/>
          <w:highlight w:val="none"/>
        </w:rPr>
        <w:t>明</w:t>
      </w:r>
      <w:r>
        <w:rPr>
          <w:rFonts w:asciiTheme="minorEastAsia" w:hAnsiTheme="minorEastAsia" w:eastAsiaTheme="minorEastAsia"/>
          <w:b/>
          <w:color w:val="auto"/>
          <w:sz w:val="32"/>
          <w:szCs w:val="32"/>
          <w:highlight w:val="none"/>
        </w:rPr>
        <w:t xml:space="preserve"> </w:t>
      </w:r>
      <w:r>
        <w:rPr>
          <w:rFonts w:hint="eastAsia" w:asciiTheme="minorEastAsia" w:hAnsiTheme="minorEastAsia" w:eastAsiaTheme="minorEastAsia"/>
          <w:b/>
          <w:color w:val="auto"/>
          <w:sz w:val="32"/>
          <w:szCs w:val="32"/>
          <w:highlight w:val="none"/>
        </w:rPr>
        <w:t>书</w:t>
      </w:r>
    </w:p>
    <w:p>
      <w:pPr>
        <w:spacing w:line="44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致：</w:t>
      </w:r>
      <w:r>
        <w:rPr>
          <w:rFonts w:hint="eastAsia" w:asciiTheme="minorEastAsia" w:hAnsiTheme="minorEastAsia" w:eastAsiaTheme="minorEastAsia"/>
          <w:b/>
          <w:color w:val="auto"/>
          <w:w w:val="80"/>
          <w:szCs w:val="21"/>
          <w:highlight w:val="none"/>
          <w:u w:val="single"/>
        </w:rPr>
        <w:t>中粮糖业（漳州）有限公司</w:t>
      </w:r>
    </w:p>
    <w:p>
      <w:pPr>
        <w:spacing w:line="44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_____________________（供应商名称）系中华人民共和国合法企业，经营地址</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w:t>
      </w:r>
    </w:p>
    <w:p>
      <w:pPr>
        <w:spacing w:line="44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我</w:t>
      </w:r>
      <w:r>
        <w:rPr>
          <w:rFonts w:asciiTheme="minorEastAsia" w:hAnsiTheme="minorEastAsia" w:eastAsiaTheme="minorEastAsia"/>
          <w:color w:val="auto"/>
          <w:szCs w:val="21"/>
          <w:highlight w:val="none"/>
        </w:rPr>
        <w:t>_____（姓名）系_______________（供应商名称）的法定代表人，我方愿意参加贵方组织的</w:t>
      </w:r>
      <w:r>
        <w:rPr>
          <w:rFonts w:asciiTheme="minorEastAsia" w:hAnsiTheme="minorEastAsia" w:eastAsiaTheme="minorEastAsia"/>
          <w:b/>
          <w:color w:val="auto"/>
          <w:w w:val="80"/>
          <w:szCs w:val="21"/>
          <w:highlight w:val="none"/>
          <w:u w:val="single"/>
        </w:rPr>
        <w:t xml:space="preserve"> （项目名称） </w:t>
      </w:r>
      <w:r>
        <w:rPr>
          <w:rFonts w:hint="eastAsia" w:asciiTheme="minorEastAsia" w:hAnsiTheme="minorEastAsia" w:eastAsiaTheme="minorEastAsia"/>
          <w:color w:val="auto"/>
          <w:szCs w:val="21"/>
          <w:highlight w:val="none"/>
        </w:rPr>
        <w:t>项目</w:t>
      </w:r>
      <w:r>
        <w:rPr>
          <w:rFonts w:asciiTheme="minorEastAsia" w:hAnsiTheme="minorEastAsia" w:eastAsiaTheme="minorEastAsia"/>
          <w:b/>
          <w:color w:val="auto"/>
          <w:w w:val="80"/>
          <w:szCs w:val="21"/>
          <w:highlight w:val="none"/>
          <w:u w:val="single"/>
        </w:rPr>
        <w:t xml:space="preserve"> </w:t>
      </w:r>
      <w:r>
        <w:rPr>
          <w:rFonts w:hint="eastAsia" w:asciiTheme="minorEastAsia" w:hAnsiTheme="minorEastAsia" w:eastAsiaTheme="minorEastAsia"/>
          <w:b/>
          <w:color w:val="auto"/>
          <w:w w:val="80"/>
          <w:szCs w:val="21"/>
          <w:highlight w:val="none"/>
          <w:u w:val="single"/>
        </w:rPr>
        <w:t>（项目编号）</w:t>
      </w:r>
      <w:r>
        <w:rPr>
          <w:rFonts w:hint="eastAsia" w:asciiTheme="minorEastAsia" w:hAnsiTheme="minorEastAsia" w:eastAsiaTheme="minorEastAsia"/>
          <w:color w:val="auto"/>
          <w:szCs w:val="21"/>
          <w:highlight w:val="none"/>
        </w:rPr>
        <w:t>的响应，为便于贵方公正、择优地确定成交候选供应商供应商及其响应产品和服务，我方就本次响应有关事项郑重声明如下：</w:t>
      </w:r>
    </w:p>
    <w:p>
      <w:pPr>
        <w:spacing w:line="44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1.我方向贵方提交的所有磋商响应文件、资料都是准确的和真实的。</w:t>
      </w:r>
    </w:p>
    <w:p>
      <w:pPr>
        <w:spacing w:line="44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2.我方不是采购人的附属机构；在获知本项目采购信息后，与采购人聘请的为此项目提供咨询服务的公司及其附属机构没有任何联系。</w:t>
      </w:r>
    </w:p>
    <w:p>
      <w:pPr>
        <w:spacing w:line="44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3．我方在</w:t>
      </w:r>
      <w:r>
        <w:rPr>
          <w:rFonts w:hint="eastAsia" w:asciiTheme="minorEastAsia" w:hAnsiTheme="minorEastAsia" w:eastAsiaTheme="minorEastAsia"/>
          <w:color w:val="auto"/>
          <w:szCs w:val="21"/>
          <w:highlight w:val="none"/>
        </w:rPr>
        <w:t>“</w:t>
      </w:r>
      <w:r>
        <w:rPr>
          <w:rFonts w:asciiTheme="minorEastAsia" w:hAnsiTheme="minorEastAsia" w:eastAsiaTheme="minorEastAsia"/>
          <w:color w:val="auto"/>
          <w:szCs w:val="21"/>
          <w:highlight w:val="none"/>
        </w:rPr>
        <w:t>国家企业信用信息公示系统</w:t>
      </w:r>
      <w:r>
        <w:rPr>
          <w:rFonts w:hint="eastAsia" w:asciiTheme="minorEastAsia" w:hAnsiTheme="minorEastAsia" w:eastAsiaTheme="minorEastAsia"/>
          <w:color w:val="auto"/>
          <w:szCs w:val="21"/>
          <w:highlight w:val="none"/>
        </w:rPr>
        <w:t>”</w:t>
      </w:r>
      <w:r>
        <w:rPr>
          <w:rFonts w:asciiTheme="minorEastAsia" w:hAnsiTheme="minorEastAsia" w:eastAsiaTheme="minorEastAsia"/>
          <w:color w:val="auto"/>
          <w:szCs w:val="21"/>
          <w:highlight w:val="none"/>
        </w:rPr>
        <w:t>的被列为失信被执行人、重大税收违法案件当事人名单、严重违法失信行为记录名单情况：</w:t>
      </w:r>
      <w:r>
        <w:rPr>
          <w:rFonts w:asciiTheme="minorEastAsia" w:hAnsiTheme="minorEastAsia" w:eastAsiaTheme="minorEastAsia"/>
          <w:color w:val="auto"/>
          <w:szCs w:val="21"/>
          <w:highlight w:val="none"/>
          <w:u w:val="single"/>
        </w:rPr>
        <w:t xml:space="preserve">             </w:t>
      </w:r>
      <w:r>
        <w:rPr>
          <w:rFonts w:hint="eastAsia" w:asciiTheme="minorEastAsia" w:hAnsiTheme="minorEastAsia" w:eastAsiaTheme="minorEastAsia"/>
          <w:color w:val="auto"/>
          <w:szCs w:val="21"/>
          <w:highlight w:val="none"/>
        </w:rPr>
        <w:t>。</w:t>
      </w:r>
    </w:p>
    <w:p>
      <w:pPr>
        <w:widowControl/>
        <w:snapToGrid w:val="0"/>
        <w:spacing w:line="52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4.</w:t>
      </w:r>
      <w:r>
        <w:rPr>
          <w:rFonts w:hint="eastAsia" w:asciiTheme="minorEastAsia" w:hAnsiTheme="minorEastAsia" w:eastAsiaTheme="minorEastAsia"/>
          <w:color w:val="auto"/>
          <w:szCs w:val="21"/>
          <w:highlight w:val="none"/>
        </w:rPr>
        <w:t>我方不存在：进入清算程序，或被宣告破产，或其他丧失履约能力的情形；</w:t>
      </w:r>
    </w:p>
    <w:p>
      <w:pPr>
        <w:widowControl/>
        <w:snapToGrid w:val="0"/>
        <w:spacing w:line="52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5.</w:t>
      </w:r>
      <w:r>
        <w:rPr>
          <w:rFonts w:hint="eastAsia" w:asciiTheme="minorEastAsia" w:hAnsiTheme="minorEastAsia" w:eastAsiaTheme="minorEastAsia"/>
          <w:color w:val="auto"/>
          <w:szCs w:val="21"/>
          <w:highlight w:val="none"/>
        </w:rPr>
        <w:t>我方及我方法定代表人、主要负责人或实际控制人参加本次采购活动前3年内（从2021年1月1日起至今；成立时间不足3年的，从成立之日起至今），在经营活动中没有因违法经营受到责令停产停业、吊销许可证或者执照、被列入严重违法失信企业名单，无利用不正当竞争手段骗取中标和重大经济刑事案件。未被列入“信用中国”网站www.creditchina.gov.cn）失信被执行人名单、重大税收违法案件当事人名单；中国政府采购网（www.ccgp.gov.cn）政府采购严重违法失信行为记录名单；</w:t>
      </w:r>
    </w:p>
    <w:p>
      <w:pPr>
        <w:widowControl/>
        <w:snapToGrid w:val="0"/>
        <w:spacing w:line="52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6.</w:t>
      </w:r>
      <w:r>
        <w:rPr>
          <w:rFonts w:hint="eastAsia" w:asciiTheme="minorEastAsia" w:hAnsiTheme="minorEastAsia" w:eastAsiaTheme="minorEastAsia"/>
          <w:color w:val="auto"/>
          <w:szCs w:val="21"/>
          <w:highlight w:val="none"/>
        </w:rPr>
        <w:t>我方未被行政管理部门依法暂停参加响应资格或者被列入中粮集团（或采购人或采购人所在专业化平台公司）供应商“黑名单”；</w:t>
      </w:r>
    </w:p>
    <w:p>
      <w:pPr>
        <w:widowControl/>
        <w:snapToGrid w:val="0"/>
        <w:spacing w:line="52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7.</w:t>
      </w:r>
      <w:r>
        <w:rPr>
          <w:rFonts w:hint="eastAsia" w:asciiTheme="minorEastAsia" w:hAnsiTheme="minorEastAsia" w:eastAsiaTheme="minorEastAsia"/>
          <w:color w:val="auto"/>
          <w:szCs w:val="21"/>
          <w:highlight w:val="none"/>
        </w:rPr>
        <w:t>我方承诺所提供的设备不会导致侵权纠纷；</w:t>
      </w:r>
    </w:p>
    <w:p>
      <w:pPr>
        <w:widowControl/>
        <w:snapToGrid w:val="0"/>
        <w:spacing w:line="52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8.</w:t>
      </w:r>
      <w:r>
        <w:rPr>
          <w:rFonts w:hint="eastAsia" w:asciiTheme="minorEastAsia" w:hAnsiTheme="minorEastAsia" w:eastAsiaTheme="minorEastAsia"/>
          <w:color w:val="auto"/>
          <w:szCs w:val="21"/>
          <w:highlight w:val="none"/>
        </w:rPr>
        <w:t>我方在劳动保护、节能减排与生态环境保护方面符合国家规定要求；</w:t>
      </w:r>
    </w:p>
    <w:p>
      <w:pPr>
        <w:spacing w:line="44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9.</w:t>
      </w:r>
      <w:r>
        <w:rPr>
          <w:rFonts w:hint="eastAsia" w:asciiTheme="minorEastAsia" w:hAnsiTheme="minorEastAsia" w:eastAsiaTheme="minorEastAsia"/>
          <w:color w:val="auto"/>
          <w:szCs w:val="21"/>
          <w:highlight w:val="none"/>
        </w:rPr>
        <w:t>我方承诺已经具备本项目供应商应当具备的资格条件：资格条件详见第一章</w:t>
      </w:r>
      <w:r>
        <w:rPr>
          <w:rFonts w:asciiTheme="minorEastAsia" w:hAnsiTheme="minorEastAsia" w:eastAsiaTheme="minorEastAsia"/>
          <w:color w:val="auto"/>
          <w:szCs w:val="21"/>
          <w:highlight w:val="none"/>
        </w:rPr>
        <w:t xml:space="preserve"> </w:t>
      </w:r>
      <w:r>
        <w:rPr>
          <w:rFonts w:hint="eastAsia" w:asciiTheme="minorEastAsia" w:hAnsiTheme="minorEastAsia" w:eastAsiaTheme="minorEastAsia"/>
          <w:color w:val="auto"/>
          <w:szCs w:val="21"/>
          <w:highlight w:val="none"/>
        </w:rPr>
        <w:t>项目公告</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四、供应商资格。</w:t>
      </w:r>
    </w:p>
    <w:p>
      <w:pPr>
        <w:spacing w:line="44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10.</w:t>
      </w:r>
      <w:r>
        <w:rPr>
          <w:rFonts w:hint="eastAsia" w:asciiTheme="minorEastAsia" w:hAnsiTheme="minorEastAsia" w:eastAsiaTheme="minorEastAsia"/>
          <w:color w:val="auto"/>
          <w:szCs w:val="21"/>
          <w:highlight w:val="none"/>
        </w:rPr>
        <w:t>在参与本次采购活动中，以上事项如有虚假或隐瞒，我方愿意承担一切后果，并不再寻求任何旨在减轻或免除法律责任的辩解，包括被取消成交资格等后果。</w:t>
      </w:r>
    </w:p>
    <w:p>
      <w:pPr>
        <w:spacing w:line="440" w:lineRule="exact"/>
        <w:ind w:firstLine="420" w:firstLineChars="200"/>
        <w:rPr>
          <w:rFonts w:asciiTheme="minorEastAsia" w:hAnsiTheme="minorEastAsia" w:eastAsiaTheme="minorEastAsia"/>
          <w:color w:val="auto"/>
          <w:szCs w:val="21"/>
          <w:highlight w:val="none"/>
        </w:rPr>
      </w:pPr>
    </w:p>
    <w:p>
      <w:pPr>
        <w:spacing w:line="44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法定代表人或授权代表（签字或盖章）</w:t>
      </w:r>
      <w:r>
        <w:rPr>
          <w:rFonts w:asciiTheme="minorEastAsia" w:hAnsiTheme="minorEastAsia" w:eastAsiaTheme="minorEastAsia"/>
          <w:color w:val="auto"/>
          <w:szCs w:val="21"/>
          <w:highlight w:val="none"/>
        </w:rPr>
        <w:t>：</w:t>
      </w:r>
      <w:r>
        <w:rPr>
          <w:rFonts w:asciiTheme="minorEastAsia" w:hAnsiTheme="minorEastAsia" w:eastAsiaTheme="minorEastAsia"/>
          <w:color w:val="auto"/>
          <w:szCs w:val="21"/>
          <w:highlight w:val="none"/>
          <w:u w:val="single"/>
        </w:rPr>
        <w:t xml:space="preserve">                 </w:t>
      </w:r>
    </w:p>
    <w:p>
      <w:pPr>
        <w:spacing w:line="44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供应商（盖单位公章）：</w:t>
      </w:r>
      <w:r>
        <w:rPr>
          <w:rFonts w:asciiTheme="minorEastAsia" w:hAnsiTheme="minorEastAsia" w:eastAsiaTheme="minorEastAsia"/>
          <w:color w:val="auto"/>
          <w:szCs w:val="21"/>
          <w:highlight w:val="none"/>
          <w:u w:val="single"/>
        </w:rPr>
        <w:t xml:space="preserve">                       </w:t>
      </w:r>
    </w:p>
    <w:p>
      <w:pPr>
        <w:spacing w:line="440" w:lineRule="exact"/>
        <w:ind w:right="1680"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日期：      </w:t>
      </w:r>
      <w:r>
        <w:rPr>
          <w:rFonts w:hint="eastAsia" w:asciiTheme="minorEastAsia" w:hAnsiTheme="minorEastAsia" w:eastAsiaTheme="minorEastAsia"/>
          <w:color w:val="auto"/>
          <w:szCs w:val="21"/>
          <w:highlight w:val="none"/>
        </w:rPr>
        <w:t>年</w:t>
      </w:r>
      <w:r>
        <w:rPr>
          <w:rFonts w:asciiTheme="minorEastAsia" w:hAnsiTheme="minorEastAsia" w:eastAsiaTheme="minorEastAsia"/>
          <w:color w:val="auto"/>
          <w:szCs w:val="21"/>
          <w:highlight w:val="none"/>
        </w:rPr>
        <w:t xml:space="preserve">    </w:t>
      </w:r>
      <w:r>
        <w:rPr>
          <w:rFonts w:hint="eastAsia" w:asciiTheme="minorEastAsia" w:hAnsiTheme="minorEastAsia" w:eastAsiaTheme="minorEastAsia"/>
          <w:color w:val="auto"/>
          <w:szCs w:val="21"/>
          <w:highlight w:val="none"/>
        </w:rPr>
        <w:t>月</w:t>
      </w:r>
      <w:r>
        <w:rPr>
          <w:rFonts w:asciiTheme="minorEastAsia" w:hAnsiTheme="minorEastAsia" w:eastAsiaTheme="minorEastAsia"/>
          <w:color w:val="auto"/>
          <w:szCs w:val="21"/>
          <w:highlight w:val="none"/>
        </w:rPr>
        <w:t xml:space="preserve">     </w:t>
      </w:r>
      <w:r>
        <w:rPr>
          <w:rFonts w:hint="eastAsia" w:asciiTheme="minorEastAsia" w:hAnsiTheme="minorEastAsia" w:eastAsiaTheme="minorEastAsia"/>
          <w:color w:val="auto"/>
          <w:szCs w:val="21"/>
          <w:highlight w:val="none"/>
        </w:rPr>
        <w:t>日</w:t>
      </w:r>
    </w:p>
    <w:p>
      <w:pPr>
        <w:rPr>
          <w:rFonts w:asciiTheme="minorEastAsia" w:hAnsiTheme="minorEastAsia" w:eastAsiaTheme="minorEastAsia"/>
          <w:b/>
          <w:color w:val="auto"/>
          <w:szCs w:val="21"/>
          <w:highlight w:val="none"/>
        </w:rPr>
      </w:pPr>
      <w:r>
        <w:rPr>
          <w:rFonts w:asciiTheme="minorEastAsia" w:hAnsiTheme="minorEastAsia" w:eastAsiaTheme="minorEastAsia"/>
          <w:color w:val="auto"/>
          <w:szCs w:val="21"/>
          <w:highlight w:val="none"/>
        </w:rPr>
        <w:br w:type="page"/>
      </w:r>
    </w:p>
    <w:p>
      <w:pPr>
        <w:pStyle w:val="4"/>
        <w:rPr>
          <w:rFonts w:asciiTheme="minorEastAsia" w:hAnsiTheme="minorEastAsia" w:eastAsiaTheme="minorEastAsia"/>
          <w:b w:val="0"/>
          <w:bCs w:val="0"/>
          <w:color w:val="auto"/>
          <w:sz w:val="30"/>
          <w:szCs w:val="30"/>
          <w:highlight w:val="none"/>
          <w:u w:val="none"/>
        </w:rPr>
      </w:pPr>
      <w:bookmarkStart w:id="66" w:name="_Toc124269271"/>
      <w:r>
        <w:rPr>
          <w:rFonts w:hint="eastAsia" w:asciiTheme="minorEastAsia" w:hAnsiTheme="minorEastAsia" w:eastAsiaTheme="minorEastAsia"/>
          <w:b w:val="0"/>
          <w:bCs w:val="0"/>
          <w:color w:val="auto"/>
          <w:sz w:val="30"/>
          <w:szCs w:val="30"/>
          <w:highlight w:val="none"/>
          <w:u w:val="none"/>
        </w:rPr>
        <w:t>附件</w:t>
      </w:r>
      <w:r>
        <w:rPr>
          <w:rFonts w:asciiTheme="minorEastAsia" w:hAnsiTheme="minorEastAsia" w:eastAsiaTheme="minorEastAsia"/>
          <w:b w:val="0"/>
          <w:bCs w:val="0"/>
          <w:color w:val="auto"/>
          <w:sz w:val="30"/>
          <w:szCs w:val="30"/>
          <w:highlight w:val="none"/>
          <w:u w:val="none"/>
        </w:rPr>
        <w:t>1-9</w:t>
      </w:r>
      <w:r>
        <w:rPr>
          <w:rFonts w:hint="eastAsia" w:asciiTheme="minorEastAsia" w:hAnsiTheme="minorEastAsia" w:eastAsiaTheme="minorEastAsia"/>
          <w:b w:val="0"/>
          <w:bCs w:val="0"/>
          <w:color w:val="auto"/>
          <w:sz w:val="30"/>
          <w:szCs w:val="30"/>
          <w:highlight w:val="none"/>
          <w:u w:val="none"/>
        </w:rPr>
        <w:t>售后服务承诺书格式：</w:t>
      </w:r>
      <w:bookmarkEnd w:id="66"/>
    </w:p>
    <w:p>
      <w:pPr>
        <w:snapToGrid w:val="0"/>
        <w:spacing w:before="120"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售后服务承诺书</w:t>
      </w:r>
    </w:p>
    <w:p>
      <w:pPr>
        <w:snapToGrid w:val="0"/>
        <w:spacing w:line="600" w:lineRule="exact"/>
        <w:jc w:val="center"/>
        <w:rPr>
          <w:rFonts w:asciiTheme="minorEastAsia" w:hAnsiTheme="minorEastAsia" w:eastAsiaTheme="minorEastAsia"/>
          <w:color w:val="auto"/>
          <w:highlight w:val="none"/>
        </w:rPr>
      </w:pPr>
      <w:r>
        <w:rPr>
          <w:rFonts w:asciiTheme="minorEastAsia" w:hAnsiTheme="minorEastAsia" w:eastAsiaTheme="minorEastAsia"/>
          <w:b/>
          <w:color w:val="auto"/>
          <w:szCs w:val="21"/>
          <w:highlight w:val="none"/>
        </w:rPr>
        <w:t>（由供应商按《</w:t>
      </w:r>
      <w:r>
        <w:rPr>
          <w:rFonts w:hint="eastAsia" w:asciiTheme="minorEastAsia" w:hAnsiTheme="minorEastAsia" w:eastAsiaTheme="minorEastAsia"/>
          <w:b/>
          <w:color w:val="auto"/>
          <w:szCs w:val="21"/>
          <w:highlight w:val="none"/>
        </w:rPr>
        <w:t>项目内容和</w:t>
      </w:r>
      <w:r>
        <w:rPr>
          <w:rFonts w:hint="eastAsia" w:asciiTheme="minorEastAsia" w:hAnsiTheme="minorEastAsia" w:eastAsiaTheme="minorEastAsia"/>
          <w:b/>
          <w:color w:val="auto"/>
          <w:szCs w:val="21"/>
          <w:highlight w:val="none"/>
          <w:lang w:val="en-US" w:eastAsia="zh-CN"/>
        </w:rPr>
        <w:t>要求</w:t>
      </w:r>
      <w:r>
        <w:rPr>
          <w:rFonts w:asciiTheme="minorEastAsia" w:hAnsiTheme="minorEastAsia" w:eastAsiaTheme="minorEastAsia"/>
          <w:b/>
          <w:color w:val="auto"/>
          <w:szCs w:val="21"/>
          <w:highlight w:val="none"/>
        </w:rPr>
        <w:t>》中售后服务要求及评分办法的要求自行分别编写）</w:t>
      </w:r>
    </w:p>
    <w:p>
      <w:pPr>
        <w:pStyle w:val="4"/>
        <w:rPr>
          <w:rFonts w:asciiTheme="minorEastAsia" w:hAnsiTheme="minorEastAsia" w:eastAsiaTheme="minorEastAsia"/>
          <w:b w:val="0"/>
          <w:bCs w:val="0"/>
          <w:color w:val="auto"/>
          <w:sz w:val="30"/>
          <w:szCs w:val="30"/>
          <w:highlight w:val="none"/>
          <w:u w:val="none"/>
        </w:rPr>
      </w:pPr>
      <w:r>
        <w:rPr>
          <w:rFonts w:asciiTheme="minorEastAsia" w:hAnsiTheme="minorEastAsia" w:eastAsiaTheme="minorEastAsia"/>
          <w:color w:val="auto"/>
          <w:highlight w:val="none"/>
        </w:rPr>
        <w:br w:type="page"/>
      </w:r>
      <w:bookmarkStart w:id="67" w:name="_Toc124269272"/>
      <w:r>
        <w:rPr>
          <w:rFonts w:hint="eastAsia" w:asciiTheme="minorEastAsia" w:hAnsiTheme="minorEastAsia" w:eastAsiaTheme="minorEastAsia"/>
          <w:b w:val="0"/>
          <w:bCs w:val="0"/>
          <w:color w:val="auto"/>
          <w:sz w:val="30"/>
          <w:szCs w:val="30"/>
          <w:highlight w:val="none"/>
          <w:u w:val="none"/>
        </w:rPr>
        <w:t>附件</w:t>
      </w:r>
      <w:r>
        <w:rPr>
          <w:rFonts w:asciiTheme="minorEastAsia" w:hAnsiTheme="minorEastAsia" w:eastAsiaTheme="minorEastAsia"/>
          <w:b w:val="0"/>
          <w:bCs w:val="0"/>
          <w:color w:val="auto"/>
          <w:sz w:val="30"/>
          <w:szCs w:val="30"/>
          <w:highlight w:val="none"/>
          <w:u w:val="none"/>
        </w:rPr>
        <w:t xml:space="preserve">1-10 </w:t>
      </w:r>
      <w:r>
        <w:rPr>
          <w:rFonts w:hint="eastAsia" w:asciiTheme="minorEastAsia" w:hAnsiTheme="minorEastAsia" w:eastAsiaTheme="minorEastAsia"/>
          <w:b w:val="0"/>
          <w:bCs w:val="0"/>
          <w:color w:val="auto"/>
          <w:sz w:val="30"/>
          <w:szCs w:val="30"/>
          <w:highlight w:val="none"/>
          <w:u w:val="none"/>
        </w:rPr>
        <w:t>商务响应表格式：</w:t>
      </w:r>
      <w:bookmarkEnd w:id="67"/>
    </w:p>
    <w:p>
      <w:pPr>
        <w:snapToGrid w:val="0"/>
        <w:spacing w:before="120"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商务条款偏离表（格式）</w:t>
      </w:r>
    </w:p>
    <w:p>
      <w:pPr>
        <w:snapToGrid w:val="0"/>
        <w:spacing w:before="295" w:after="295" w:line="340" w:lineRule="exact"/>
        <w:ind w:firstLine="420" w:firstLineChars="200"/>
        <w:rPr>
          <w:rFonts w:cs="Courier New" w:asciiTheme="minorEastAsia" w:hAnsiTheme="minorEastAsia" w:eastAsiaTheme="minorEastAsia"/>
          <w:color w:val="auto"/>
          <w:szCs w:val="28"/>
          <w:highlight w:val="none"/>
        </w:rPr>
      </w:pPr>
      <w:r>
        <w:rPr>
          <w:rFonts w:hint="eastAsia" w:cs="Courier New" w:asciiTheme="minorEastAsia" w:hAnsiTheme="minorEastAsia" w:eastAsiaTheme="minorEastAsia"/>
          <w:color w:val="auto"/>
          <w:szCs w:val="28"/>
          <w:highlight w:val="none"/>
        </w:rPr>
        <w:t>请逐条对应本项目竞争性谈判文件中商务条款的要求，详细填写相应的具体内容，如果未完整填写此表的各项内容则视作供应商已经对竞争性谈判文件相关要求和内容完全理解并同意，其响应报价为在此基础上的完全价格。“偏离说明”一栏应当选择“正偏离”、“负偏离”或“无偏离”进行填写。</w:t>
      </w:r>
    </w:p>
    <w:tbl>
      <w:tblPr>
        <w:tblStyle w:val="22"/>
        <w:tblW w:w="5000" w:type="pct"/>
        <w:tblInd w:w="0" w:type="dxa"/>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773"/>
        <w:gridCol w:w="3072"/>
        <w:gridCol w:w="3072"/>
        <w:gridCol w:w="2653"/>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404" w:type="pct"/>
            <w:shd w:val="clear" w:color="auto" w:fill="auto"/>
            <w:vAlign w:val="center"/>
          </w:tcPr>
          <w:p>
            <w:pPr>
              <w:tabs>
                <w:tab w:val="left" w:pos="1418"/>
              </w:tabs>
              <w:snapToGrid w:val="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项号</w:t>
            </w:r>
          </w:p>
        </w:tc>
        <w:tc>
          <w:tcPr>
            <w:tcW w:w="1605" w:type="pct"/>
            <w:shd w:val="clear" w:color="auto" w:fill="auto"/>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竞争性谈判文件的商务要求</w:t>
            </w:r>
          </w:p>
        </w:tc>
        <w:tc>
          <w:tcPr>
            <w:tcW w:w="1605" w:type="pct"/>
            <w:shd w:val="clear" w:color="auto" w:fill="auto"/>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响应文件承诺的商务条款</w:t>
            </w:r>
          </w:p>
        </w:tc>
        <w:tc>
          <w:tcPr>
            <w:tcW w:w="1385" w:type="pct"/>
            <w:shd w:val="clear" w:color="auto" w:fill="auto"/>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偏离说明</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404"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一</w:t>
            </w:r>
          </w:p>
        </w:tc>
        <w:tc>
          <w:tcPr>
            <w:tcW w:w="1605" w:type="pct"/>
            <w:shd w:val="clear" w:color="auto" w:fill="auto"/>
            <w:vAlign w:val="center"/>
          </w:tcPr>
          <w:p>
            <w:pPr>
              <w:widowControl/>
              <w:jc w:val="left"/>
              <w:textAlignment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合同签订期：</w:t>
            </w:r>
            <w:r>
              <w:rPr>
                <w:rFonts w:hint="eastAsia" w:asciiTheme="minorEastAsia" w:hAnsiTheme="minorEastAsia" w:eastAsiaTheme="minorEastAsia"/>
                <w:color w:val="auto"/>
                <w:szCs w:val="21"/>
                <w:highlight w:val="none"/>
                <w:u w:val="single"/>
              </w:rPr>
              <w:t>自成交通知书发出之日起</w:t>
            </w:r>
            <w:r>
              <w:rPr>
                <w:rFonts w:hint="eastAsia" w:asciiTheme="minorEastAsia" w:hAnsiTheme="minorEastAsia" w:eastAsiaTheme="minorEastAsia"/>
                <w:color w:val="auto"/>
                <w:szCs w:val="21"/>
                <w:highlight w:val="none"/>
                <w:u w:val="single"/>
                <w:lang w:val="en-US" w:eastAsia="zh-CN"/>
              </w:rPr>
              <w:t>50</w:t>
            </w:r>
            <w:r>
              <w:rPr>
                <w:rFonts w:asciiTheme="minorEastAsia" w:hAnsiTheme="minorEastAsia" w:eastAsiaTheme="minorEastAsia"/>
                <w:color w:val="auto"/>
                <w:szCs w:val="21"/>
                <w:highlight w:val="none"/>
                <w:u w:val="single"/>
              </w:rPr>
              <w:t>日（日历天）内</w:t>
            </w:r>
            <w:r>
              <w:rPr>
                <w:rFonts w:asciiTheme="minorEastAsia" w:hAnsiTheme="minorEastAsia" w:eastAsiaTheme="minorEastAsia"/>
                <w:color w:val="auto"/>
                <w:szCs w:val="21"/>
                <w:highlight w:val="none"/>
              </w:rPr>
              <w:t>。</w:t>
            </w:r>
          </w:p>
        </w:tc>
        <w:tc>
          <w:tcPr>
            <w:tcW w:w="160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138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正偏离（负偏离或无偏离）</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404"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二</w:t>
            </w:r>
          </w:p>
        </w:tc>
        <w:tc>
          <w:tcPr>
            <w:tcW w:w="1605" w:type="pct"/>
            <w:shd w:val="clear" w:color="auto" w:fill="auto"/>
            <w:vAlign w:val="center"/>
          </w:tcPr>
          <w:p>
            <w:pPr>
              <w:widowControl/>
              <w:jc w:val="left"/>
              <w:textAlignment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交货期：</w:t>
            </w:r>
            <w:r>
              <w:rPr>
                <w:rFonts w:asciiTheme="minorEastAsia" w:hAnsiTheme="minorEastAsia" w:eastAsiaTheme="minorEastAsia"/>
                <w:color w:val="auto"/>
                <w:szCs w:val="21"/>
                <w:highlight w:val="none"/>
              </w:rPr>
              <w:t xml:space="preserve"> </w:t>
            </w:r>
          </w:p>
        </w:tc>
        <w:tc>
          <w:tcPr>
            <w:tcW w:w="160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138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正偏离（负偏离或无偏离）</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404"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三</w:t>
            </w:r>
          </w:p>
        </w:tc>
        <w:tc>
          <w:tcPr>
            <w:tcW w:w="1605" w:type="pct"/>
            <w:shd w:val="clear" w:color="auto" w:fill="auto"/>
            <w:vAlign w:val="center"/>
          </w:tcPr>
          <w:p>
            <w:pPr>
              <w:widowControl/>
              <w:jc w:val="left"/>
              <w:textAlignment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交货地点：</w:t>
            </w:r>
            <w:r>
              <w:rPr>
                <w:rFonts w:hint="eastAsia" w:asciiTheme="minorEastAsia" w:hAnsiTheme="minorEastAsia" w:eastAsiaTheme="minorEastAsia"/>
                <w:b/>
                <w:color w:val="auto"/>
                <w:szCs w:val="21"/>
                <w:highlight w:val="none"/>
                <w:u w:val="single"/>
              </w:rPr>
              <w:t>漳州招商局经济技术开发区四区兴港南路南段道路西侧场地</w:t>
            </w:r>
            <w:r>
              <w:rPr>
                <w:rFonts w:hint="eastAsia" w:asciiTheme="minorEastAsia" w:hAnsiTheme="minorEastAsia" w:eastAsiaTheme="minorEastAsia"/>
                <w:color w:val="auto"/>
                <w:szCs w:val="21"/>
                <w:highlight w:val="none"/>
              </w:rPr>
              <w:t>。</w:t>
            </w:r>
          </w:p>
        </w:tc>
        <w:tc>
          <w:tcPr>
            <w:tcW w:w="160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138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404"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四</w:t>
            </w:r>
          </w:p>
        </w:tc>
        <w:tc>
          <w:tcPr>
            <w:tcW w:w="1605" w:type="pct"/>
            <w:shd w:val="clear" w:color="auto" w:fill="auto"/>
            <w:vAlign w:val="center"/>
          </w:tcPr>
          <w:p>
            <w:pPr>
              <w:widowControl/>
              <w:jc w:val="left"/>
              <w:textAlignment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付款方式：合同专用条款</w:t>
            </w:r>
            <w:r>
              <w:rPr>
                <w:rFonts w:asciiTheme="minorEastAsia" w:hAnsiTheme="minorEastAsia" w:eastAsiaTheme="minorEastAsia"/>
                <w:color w:val="auto"/>
                <w:szCs w:val="21"/>
                <w:highlight w:val="none"/>
              </w:rPr>
              <w:t>/3.2</w:t>
            </w:r>
            <w:r>
              <w:rPr>
                <w:rFonts w:hint="eastAsia" w:asciiTheme="minorEastAsia" w:hAnsiTheme="minorEastAsia" w:eastAsiaTheme="minorEastAsia"/>
                <w:color w:val="auto"/>
                <w:szCs w:val="21"/>
                <w:highlight w:val="none"/>
              </w:rPr>
              <w:t>需安装设备合同款项的支付方式</w:t>
            </w:r>
          </w:p>
        </w:tc>
        <w:tc>
          <w:tcPr>
            <w:tcW w:w="160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138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404"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五</w:t>
            </w:r>
          </w:p>
        </w:tc>
        <w:tc>
          <w:tcPr>
            <w:tcW w:w="1605" w:type="pct"/>
            <w:shd w:val="clear" w:color="auto" w:fill="auto"/>
            <w:vAlign w:val="center"/>
          </w:tcPr>
          <w:p>
            <w:pPr>
              <w:widowControl/>
              <w:jc w:val="left"/>
              <w:textAlignment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售后服务要求：项目内容</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3.9</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售后服务计划及承诺</w:t>
            </w:r>
          </w:p>
        </w:tc>
        <w:tc>
          <w:tcPr>
            <w:tcW w:w="160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138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404"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六</w:t>
            </w:r>
          </w:p>
        </w:tc>
        <w:tc>
          <w:tcPr>
            <w:tcW w:w="1605" w:type="pct"/>
            <w:shd w:val="clear" w:color="auto" w:fill="auto"/>
            <w:vAlign w:val="center"/>
          </w:tcPr>
          <w:p>
            <w:pPr>
              <w:widowControl/>
              <w:jc w:val="left"/>
              <w:textAlignment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其他要求：质保期至少</w:t>
            </w:r>
            <w:r>
              <w:rPr>
                <w:rFonts w:asciiTheme="minorEastAsia" w:hAnsiTheme="minorEastAsia" w:eastAsiaTheme="minorEastAsia"/>
                <w:color w:val="auto"/>
                <w:szCs w:val="21"/>
                <w:highlight w:val="none"/>
              </w:rPr>
              <w:t>1年</w:t>
            </w:r>
          </w:p>
        </w:tc>
        <w:tc>
          <w:tcPr>
            <w:tcW w:w="160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1385" w:type="pct"/>
            <w:shd w:val="clear" w:color="auto" w:fill="auto"/>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4"/>
            <w:shd w:val="clear" w:color="auto" w:fill="auto"/>
            <w:vAlign w:val="center"/>
          </w:tcPr>
          <w:p>
            <w:pPr>
              <w:tabs>
                <w:tab w:val="left" w:pos="1418"/>
              </w:tabs>
              <w:snapToGrid w:val="0"/>
              <w:jc w:val="left"/>
              <w:rPr>
                <w:rFonts w:asciiTheme="minorEastAsia" w:hAnsiTheme="minorEastAsia" w:eastAsiaTheme="minorEastAsia"/>
                <w:color w:val="auto"/>
                <w:spacing w:val="20"/>
                <w:szCs w:val="21"/>
                <w:highlight w:val="none"/>
              </w:rPr>
            </w:pPr>
            <w:r>
              <w:rPr>
                <w:rFonts w:hint="eastAsia" w:cs="Arial" w:asciiTheme="minorEastAsia" w:hAnsiTheme="minorEastAsia" w:eastAsiaTheme="minorEastAsia"/>
                <w:color w:val="auto"/>
                <w:szCs w:val="21"/>
                <w:highlight w:val="none"/>
              </w:rPr>
              <w:t>我方确认：除了表中所列的条款外，我方的将依从竞争性谈判文件对于商务的全部要求和规定。</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4"/>
            <w:shd w:val="clear" w:color="auto" w:fill="auto"/>
            <w:vAlign w:val="center"/>
          </w:tcPr>
          <w:p>
            <w:pPr>
              <w:tabs>
                <w:tab w:val="left" w:pos="1418"/>
              </w:tabs>
              <w:snapToGrid w:val="0"/>
              <w:jc w:val="left"/>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供应商（盖单位公章）：</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4"/>
            <w:shd w:val="clear" w:color="auto" w:fill="auto"/>
            <w:vAlign w:val="center"/>
          </w:tcPr>
          <w:p>
            <w:pPr>
              <w:tabs>
                <w:tab w:val="left" w:pos="1418"/>
              </w:tabs>
              <w:snapToGrid w:val="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法定代表人或其委托代理人（签字或盖章）：</w:t>
            </w:r>
          </w:p>
        </w:tc>
      </w:tr>
    </w:tbl>
    <w:p>
      <w:pPr>
        <w:snapToGrid w:val="0"/>
        <w:spacing w:after="240" w:afterLines="100"/>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注：</w:t>
      </w:r>
    </w:p>
    <w:p>
      <w:pPr>
        <w:snapToGrid w:val="0"/>
        <w:spacing w:line="360" w:lineRule="auto"/>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1）表格内容均需按各分标要求填写并盖章，不得留空，否则按响应无效处理。</w:t>
      </w:r>
    </w:p>
    <w:p>
      <w:pPr>
        <w:snapToGrid w:val="0"/>
        <w:spacing w:line="360" w:lineRule="auto"/>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2）请逐条对应本项目竞争性谈判文件第</w:t>
      </w:r>
      <w:r>
        <w:rPr>
          <w:rFonts w:hint="eastAsia" w:cs="Courier New" w:asciiTheme="minorEastAsia" w:hAnsiTheme="minorEastAsia" w:eastAsiaTheme="minorEastAsia"/>
          <w:b/>
          <w:color w:val="auto"/>
          <w:szCs w:val="21"/>
          <w:highlight w:val="none"/>
        </w:rPr>
        <w:t>三</w:t>
      </w:r>
      <w:r>
        <w:rPr>
          <w:rFonts w:cs="Courier New" w:asciiTheme="minorEastAsia" w:hAnsiTheme="minorEastAsia" w:eastAsiaTheme="minorEastAsia"/>
          <w:b/>
          <w:color w:val="auto"/>
          <w:szCs w:val="21"/>
          <w:highlight w:val="none"/>
        </w:rPr>
        <w:t>章</w:t>
      </w: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采购项目采购需求</w:t>
      </w:r>
      <w:r>
        <w:rPr>
          <w:rFonts w:hint="eastAsia" w:cs="Courier New" w:asciiTheme="minorEastAsia" w:hAnsiTheme="minorEastAsia" w:eastAsiaTheme="minorEastAsia"/>
          <w:b/>
          <w:color w:val="auto"/>
          <w:szCs w:val="21"/>
          <w:highlight w:val="none"/>
        </w:rPr>
        <w:t>”、“第四章</w:t>
      </w:r>
      <w:r>
        <w:rPr>
          <w:rFonts w:cs="Courier New" w:asciiTheme="minorEastAsia" w:hAnsiTheme="minorEastAsia" w:eastAsiaTheme="minorEastAsia"/>
          <w:b/>
          <w:color w:val="auto"/>
          <w:szCs w:val="21"/>
          <w:highlight w:val="none"/>
        </w:rPr>
        <w:t xml:space="preserve"> </w:t>
      </w:r>
      <w:r>
        <w:rPr>
          <w:rFonts w:hint="eastAsia" w:cs="Courier New" w:asciiTheme="minorEastAsia" w:hAnsiTheme="minorEastAsia" w:eastAsiaTheme="minorEastAsia"/>
          <w:b/>
          <w:color w:val="auto"/>
          <w:szCs w:val="21"/>
          <w:highlight w:val="none"/>
        </w:rPr>
        <w:t>合同主要条款格式”，详细填写相应的具体内容。“偏离说明”一栏应当选择“正偏离”、“负偏离”或“无偏离”进行填写。供应商对照竞争性谈判文件要求在“偏离说明”栏注明“正偏离”、“负偏离”或“无偏离”</w:t>
      </w:r>
      <w:r>
        <w:rPr>
          <w:rFonts w:cs="Courier New" w:asciiTheme="minorEastAsia" w:hAnsiTheme="minorEastAsia" w:eastAsiaTheme="minorEastAsia"/>
          <w:b/>
          <w:color w:val="auto"/>
          <w:szCs w:val="21"/>
          <w:highlight w:val="none"/>
        </w:rPr>
        <w:t xml:space="preserve"> </w:t>
      </w:r>
      <w:r>
        <w:rPr>
          <w:rFonts w:hint="eastAsia" w:cs="Courier New" w:asciiTheme="minorEastAsia" w:hAnsiTheme="minorEastAsia" w:eastAsiaTheme="minorEastAsia"/>
          <w:b/>
          <w:color w:val="auto"/>
          <w:szCs w:val="21"/>
          <w:highlight w:val="none"/>
        </w:rPr>
        <w:t>。响应要求相同的为无偏离，商务响应要求高于采购要求的为正偏离，低于采购要求的为负偏离。</w:t>
      </w:r>
    </w:p>
    <w:p>
      <w:pPr>
        <w:snapToGrid w:val="0"/>
        <w:spacing w:line="360" w:lineRule="auto"/>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3）如果响应文件需求小于或大于采购文件某个数值标准时，响应文件不得直接复制采购文件需求，响应文件对应内容应当写商务响应的实际数值，否则按响应无效处理。</w:t>
      </w:r>
    </w:p>
    <w:p>
      <w:pPr>
        <w:pStyle w:val="11"/>
        <w:spacing w:line="440" w:lineRule="exact"/>
        <w:outlineLvl w:val="1"/>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4）当</w:t>
      </w:r>
      <w:r>
        <w:rPr>
          <w:rFonts w:hint="eastAsia" w:cs="Courier New" w:asciiTheme="minorEastAsia" w:hAnsiTheme="minorEastAsia" w:eastAsiaTheme="minorEastAsia"/>
          <w:b/>
          <w:color w:val="auto"/>
          <w:szCs w:val="21"/>
          <w:highlight w:val="none"/>
        </w:rPr>
        <w:t>谈判</w:t>
      </w:r>
      <w:r>
        <w:rPr>
          <w:rFonts w:cs="Courier New" w:asciiTheme="minorEastAsia" w:hAnsiTheme="minorEastAsia" w:eastAsiaTheme="minorEastAsia"/>
          <w:b/>
          <w:color w:val="auto"/>
          <w:szCs w:val="21"/>
          <w:highlight w:val="none"/>
        </w:rPr>
        <w:t>响应文件的技术参数或商务内容低于竞争性</w:t>
      </w:r>
      <w:r>
        <w:rPr>
          <w:rFonts w:hint="eastAsia" w:cs="Courier New" w:asciiTheme="minorEastAsia" w:hAnsiTheme="minorEastAsia" w:eastAsiaTheme="minorEastAsia"/>
          <w:b/>
          <w:color w:val="auto"/>
          <w:szCs w:val="21"/>
          <w:highlight w:val="none"/>
        </w:rPr>
        <w:t>谈判</w:t>
      </w:r>
      <w:r>
        <w:rPr>
          <w:rFonts w:cs="Courier New" w:asciiTheme="minorEastAsia" w:hAnsiTheme="minorEastAsia" w:eastAsiaTheme="minorEastAsia"/>
          <w:b/>
          <w:color w:val="auto"/>
          <w:szCs w:val="21"/>
          <w:highlight w:val="none"/>
        </w:rPr>
        <w:t>文件要求时，供应商应当如实写明</w:t>
      </w: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负偏离</w:t>
      </w: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，否则视为虚假应标。</w:t>
      </w:r>
    </w:p>
    <w:p>
      <w:pPr>
        <w:pStyle w:val="11"/>
        <w:spacing w:line="440" w:lineRule="exact"/>
        <w:outlineLvl w:val="1"/>
        <w:rPr>
          <w:rFonts w:cs="Courier New" w:asciiTheme="minorEastAsia" w:hAnsiTheme="minorEastAsia" w:eastAsiaTheme="minorEastAsia"/>
          <w:b/>
          <w:color w:val="auto"/>
          <w:szCs w:val="21"/>
          <w:highlight w:val="none"/>
        </w:rPr>
      </w:pPr>
    </w:p>
    <w:p>
      <w:pPr>
        <w:rPr>
          <w:rFonts w:cs="Courier New" w:asciiTheme="minorEastAsia" w:hAnsiTheme="minorEastAsia" w:eastAsiaTheme="minorEastAsia"/>
          <w:b/>
          <w:color w:val="auto"/>
          <w:szCs w:val="21"/>
          <w:highlight w:val="none"/>
        </w:rPr>
      </w:pPr>
      <w:r>
        <w:rPr>
          <w:rFonts w:cs="Courier New" w:asciiTheme="minorEastAsia" w:hAnsiTheme="minorEastAsia" w:eastAsiaTheme="minorEastAsia"/>
          <w:b/>
          <w:color w:val="auto"/>
          <w:szCs w:val="21"/>
          <w:highlight w:val="none"/>
        </w:rPr>
        <w:br w:type="page"/>
      </w:r>
    </w:p>
    <w:p>
      <w:pPr>
        <w:pStyle w:val="5"/>
        <w:rPr>
          <w:rFonts w:asciiTheme="minorEastAsia" w:hAnsiTheme="minorEastAsia" w:eastAsiaTheme="minorEastAsia"/>
          <w:color w:val="auto"/>
          <w:kern w:val="2"/>
          <w:sz w:val="30"/>
          <w:szCs w:val="30"/>
          <w:highlight w:val="none"/>
        </w:rPr>
      </w:pPr>
      <w:r>
        <w:rPr>
          <w:rFonts w:hint="eastAsia" w:asciiTheme="minorEastAsia" w:hAnsiTheme="minorEastAsia" w:eastAsiaTheme="minorEastAsia"/>
          <w:color w:val="auto"/>
          <w:kern w:val="2"/>
          <w:sz w:val="30"/>
          <w:szCs w:val="30"/>
          <w:highlight w:val="none"/>
        </w:rPr>
        <w:t>附件</w:t>
      </w:r>
      <w:r>
        <w:rPr>
          <w:rFonts w:asciiTheme="minorEastAsia" w:hAnsiTheme="minorEastAsia" w:eastAsiaTheme="minorEastAsia"/>
          <w:color w:val="auto"/>
          <w:kern w:val="2"/>
          <w:sz w:val="30"/>
          <w:szCs w:val="30"/>
          <w:highlight w:val="none"/>
        </w:rPr>
        <w:t xml:space="preserve">1-11 </w:t>
      </w:r>
      <w:r>
        <w:rPr>
          <w:rFonts w:hint="eastAsia" w:asciiTheme="minorEastAsia" w:hAnsiTheme="minorEastAsia" w:eastAsiaTheme="minorEastAsia"/>
          <w:color w:val="auto"/>
          <w:kern w:val="2"/>
          <w:sz w:val="30"/>
          <w:szCs w:val="30"/>
          <w:highlight w:val="none"/>
        </w:rPr>
        <w:t>响应保证金（如有）</w:t>
      </w:r>
    </w:p>
    <w:p>
      <w:pPr>
        <w:pStyle w:val="4"/>
        <w:rPr>
          <w:rFonts w:asciiTheme="minorEastAsia" w:hAnsiTheme="minorEastAsia" w:eastAsiaTheme="minorEastAsia" w:cstheme="minorEastAsia"/>
          <w:color w:val="auto"/>
          <w:highlight w:val="none"/>
        </w:rPr>
      </w:pPr>
      <w:r>
        <w:rPr>
          <w:rFonts w:asciiTheme="minorEastAsia" w:hAnsiTheme="minorEastAsia" w:eastAsiaTheme="minorEastAsia"/>
          <w:b w:val="0"/>
          <w:bCs w:val="0"/>
          <w:color w:val="auto"/>
          <w:sz w:val="30"/>
          <w:szCs w:val="30"/>
          <w:highlight w:val="none"/>
          <w:u w:val="none"/>
        </w:rPr>
        <w:br w:type="page"/>
      </w:r>
    </w:p>
    <w:p>
      <w:pPr>
        <w:rPr>
          <w:rFonts w:asciiTheme="minorEastAsia" w:hAnsiTheme="minorEastAsia" w:eastAsiaTheme="minorEastAsia"/>
          <w:color w:val="auto"/>
          <w:highlight w:val="none"/>
        </w:rPr>
      </w:pPr>
      <w:r>
        <w:rPr>
          <w:rFonts w:hint="eastAsia" w:asciiTheme="minorEastAsia" w:hAnsiTheme="minorEastAsia" w:eastAsiaTheme="minorEastAsia"/>
          <w:color w:val="auto"/>
          <w:sz w:val="30"/>
          <w:szCs w:val="30"/>
          <w:highlight w:val="none"/>
        </w:rPr>
        <w:t>附件</w:t>
      </w:r>
      <w:r>
        <w:rPr>
          <w:rFonts w:asciiTheme="minorEastAsia" w:hAnsiTheme="minorEastAsia" w:eastAsiaTheme="minorEastAsia"/>
          <w:color w:val="auto"/>
          <w:sz w:val="30"/>
          <w:szCs w:val="30"/>
          <w:highlight w:val="none"/>
        </w:rPr>
        <w:t>1-12 供应商资格商务文件的其他要求（没有可不填）</w:t>
      </w:r>
      <w:r>
        <w:rPr>
          <w:rFonts w:hint="eastAsia" w:asciiTheme="minorEastAsia" w:hAnsiTheme="minorEastAsia" w:eastAsiaTheme="minorEastAsia"/>
          <w:b/>
          <w:color w:val="auto"/>
          <w:szCs w:val="21"/>
          <w:highlight w:val="none"/>
        </w:rPr>
        <w:t>：</w:t>
      </w:r>
    </w:p>
    <w:p>
      <w:pPr>
        <w:spacing w:line="520" w:lineRule="exact"/>
        <w:rPr>
          <w:rFonts w:asciiTheme="minorEastAsia" w:hAnsiTheme="minorEastAsia" w:eastAsiaTheme="minorEastAsia"/>
          <w:b/>
          <w:color w:val="auto"/>
          <w:sz w:val="44"/>
          <w:szCs w:val="44"/>
          <w:highlight w:val="none"/>
        </w:rPr>
      </w:pPr>
      <w:r>
        <w:rPr>
          <w:rFonts w:cs="Courier New" w:asciiTheme="minorEastAsia" w:hAnsiTheme="minorEastAsia" w:eastAsiaTheme="minorEastAsia"/>
          <w:b/>
          <w:color w:val="auto"/>
          <w:szCs w:val="21"/>
          <w:highlight w:val="none"/>
        </w:rPr>
        <w:br w:type="page"/>
      </w:r>
      <w:r>
        <w:rPr>
          <w:rFonts w:hint="eastAsia" w:asciiTheme="minorEastAsia" w:hAnsiTheme="minorEastAsia" w:eastAsiaTheme="minorEastAsia"/>
          <w:color w:val="auto"/>
          <w:sz w:val="30"/>
          <w:szCs w:val="30"/>
          <w:highlight w:val="none"/>
        </w:rPr>
        <w:t>附件</w:t>
      </w:r>
      <w:r>
        <w:rPr>
          <w:rFonts w:asciiTheme="minorEastAsia" w:hAnsiTheme="minorEastAsia" w:eastAsiaTheme="minorEastAsia"/>
          <w:color w:val="auto"/>
          <w:sz w:val="30"/>
          <w:szCs w:val="30"/>
          <w:highlight w:val="none"/>
        </w:rPr>
        <w:t>1-1</w:t>
      </w:r>
      <w:r>
        <w:rPr>
          <w:rFonts w:hint="eastAsia" w:asciiTheme="minorEastAsia" w:hAnsiTheme="minorEastAsia" w:eastAsiaTheme="minorEastAsia"/>
          <w:color w:val="auto"/>
          <w:sz w:val="30"/>
          <w:szCs w:val="30"/>
          <w:highlight w:val="none"/>
          <w:lang w:val="en-US" w:eastAsia="zh-CN"/>
        </w:rPr>
        <w:t>3</w:t>
      </w:r>
      <w:r>
        <w:rPr>
          <w:rFonts w:asciiTheme="minorEastAsia" w:hAnsiTheme="minorEastAsia" w:eastAsiaTheme="minorEastAsia"/>
          <w:color w:val="auto"/>
          <w:sz w:val="30"/>
          <w:szCs w:val="30"/>
          <w:highlight w:val="none"/>
        </w:rPr>
        <w:t xml:space="preserve"> </w:t>
      </w:r>
    </w:p>
    <w:p>
      <w:pPr>
        <w:spacing w:line="520" w:lineRule="exact"/>
        <w:jc w:val="center"/>
        <w:rPr>
          <w:rFonts w:asciiTheme="minorEastAsia" w:hAnsiTheme="minorEastAsia" w:eastAsiaTheme="minorEastAsia"/>
          <w:color w:val="auto"/>
          <w:sz w:val="28"/>
          <w:szCs w:val="28"/>
          <w:highlight w:val="none"/>
        </w:rPr>
      </w:pPr>
      <w:r>
        <w:rPr>
          <w:rFonts w:hint="eastAsia" w:asciiTheme="minorEastAsia" w:hAnsiTheme="minorEastAsia" w:eastAsiaTheme="minorEastAsia"/>
          <w:b/>
          <w:color w:val="auto"/>
          <w:sz w:val="44"/>
          <w:szCs w:val="44"/>
          <w:highlight w:val="none"/>
        </w:rPr>
        <w:t>商务文件</w:t>
      </w:r>
    </w:p>
    <w:p>
      <w:pPr>
        <w:spacing w:line="520" w:lineRule="exact"/>
        <w:jc w:val="lef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致：</w:t>
      </w:r>
      <w:r>
        <w:rPr>
          <w:rFonts w:cs="宋体" w:asciiTheme="minorEastAsia" w:hAnsiTheme="minorEastAsia" w:eastAsiaTheme="minorEastAsia"/>
          <w:color w:val="auto"/>
          <w:szCs w:val="21"/>
          <w:highlight w:val="none"/>
          <w:u w:val="single"/>
        </w:rPr>
        <w:t xml:space="preserve">     </w:t>
      </w:r>
    </w:p>
    <w:p>
      <w:pPr>
        <w:numPr>
          <w:ilvl w:val="0"/>
          <w:numId w:val="7"/>
        </w:numPr>
        <w:spacing w:line="520" w:lineRule="exact"/>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根据你公司</w:t>
      </w:r>
      <w:r>
        <w:rPr>
          <w:rFonts w:cs="宋体" w:asciiTheme="minorEastAsia" w:hAnsiTheme="minorEastAsia" w:eastAsiaTheme="minorEastAsia"/>
          <w:color w:val="auto"/>
          <w:szCs w:val="21"/>
          <w:highlight w:val="none"/>
          <w:u w:val="single"/>
        </w:rPr>
        <w:t xml:space="preserve">       </w:t>
      </w:r>
      <w:r>
        <w:rPr>
          <w:rFonts w:hint="eastAsia" w:cs="宋体" w:asciiTheme="minorEastAsia" w:hAnsiTheme="minorEastAsia" w:eastAsiaTheme="minorEastAsia"/>
          <w:color w:val="auto"/>
          <w:szCs w:val="21"/>
          <w:highlight w:val="none"/>
        </w:rPr>
        <w:t>竞争性谈判文件，遵照《中华人民共和国招标投标法》等有关规定，经研究上述谈判文件的谈判须知、合同条款、服务标准及其他有关文件后，我方报价如下</w:t>
      </w:r>
    </w:p>
    <w:tbl>
      <w:tblPr>
        <w:tblStyle w:val="22"/>
        <w:tblW w:w="10637" w:type="dxa"/>
        <w:jc w:val="center"/>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8"/>
        <w:gridCol w:w="651"/>
        <w:gridCol w:w="1773"/>
        <w:gridCol w:w="2538"/>
        <w:gridCol w:w="829"/>
        <w:gridCol w:w="829"/>
        <w:gridCol w:w="1455"/>
        <w:gridCol w:w="1664"/>
      </w:tblGrid>
      <w:tr>
        <w:tblPrEx>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CellMar>
            <w:top w:w="0" w:type="dxa"/>
            <w:left w:w="108" w:type="dxa"/>
            <w:bottom w:w="0" w:type="dxa"/>
            <w:right w:w="108" w:type="dxa"/>
          </w:tblCellMar>
        </w:tblPrEx>
        <w:trPr>
          <w:trHeight w:val="533" w:hRule="exact"/>
          <w:jc w:val="center"/>
        </w:trPr>
        <w:tc>
          <w:tcPr>
            <w:tcW w:w="898"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序号</w:t>
            </w:r>
          </w:p>
        </w:tc>
        <w:tc>
          <w:tcPr>
            <w:tcW w:w="2424" w:type="dxa"/>
            <w:gridSpan w:val="2"/>
            <w:vAlign w:val="center"/>
          </w:tcPr>
          <w:p>
            <w:pPr>
              <w:tabs>
                <w:tab w:val="left" w:pos="5760"/>
              </w:tabs>
              <w:spacing w:line="300" w:lineRule="auto"/>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名称</w:t>
            </w:r>
          </w:p>
        </w:tc>
        <w:tc>
          <w:tcPr>
            <w:tcW w:w="2538"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规格型号</w:t>
            </w:r>
          </w:p>
        </w:tc>
        <w:tc>
          <w:tcPr>
            <w:tcW w:w="829"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单位</w:t>
            </w:r>
          </w:p>
        </w:tc>
        <w:tc>
          <w:tcPr>
            <w:tcW w:w="829"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数量</w:t>
            </w:r>
          </w:p>
        </w:tc>
        <w:tc>
          <w:tcPr>
            <w:tcW w:w="1455"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单价</w:t>
            </w:r>
          </w:p>
        </w:tc>
        <w:tc>
          <w:tcPr>
            <w:tcW w:w="1664"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总价</w:t>
            </w:r>
          </w:p>
        </w:tc>
      </w:tr>
      <w:tr>
        <w:tblPrEx>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CellMar>
            <w:top w:w="0" w:type="dxa"/>
            <w:left w:w="108" w:type="dxa"/>
            <w:bottom w:w="0" w:type="dxa"/>
            <w:right w:w="108" w:type="dxa"/>
          </w:tblCellMar>
        </w:tblPrEx>
        <w:trPr>
          <w:trHeight w:val="533" w:hRule="exact"/>
          <w:jc w:val="center"/>
        </w:trPr>
        <w:tc>
          <w:tcPr>
            <w:tcW w:w="898"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r>
              <w:rPr>
                <w:rFonts w:cs="仿宋" w:asciiTheme="minorEastAsia" w:hAnsiTheme="minorEastAsia" w:eastAsiaTheme="minorEastAsia"/>
                <w:color w:val="auto"/>
                <w:szCs w:val="21"/>
                <w:highlight w:val="none"/>
              </w:rPr>
              <w:t>1</w:t>
            </w:r>
          </w:p>
        </w:tc>
        <w:tc>
          <w:tcPr>
            <w:tcW w:w="2424" w:type="dxa"/>
            <w:gridSpan w:val="2"/>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c>
          <w:tcPr>
            <w:tcW w:w="2538"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c>
          <w:tcPr>
            <w:tcW w:w="829"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c>
          <w:tcPr>
            <w:tcW w:w="829"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c>
          <w:tcPr>
            <w:tcW w:w="1455"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c>
          <w:tcPr>
            <w:tcW w:w="1664"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r>
      <w:tr>
        <w:tblPrEx>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CellMar>
            <w:top w:w="0" w:type="dxa"/>
            <w:left w:w="108" w:type="dxa"/>
            <w:bottom w:w="0" w:type="dxa"/>
            <w:right w:w="108" w:type="dxa"/>
          </w:tblCellMar>
        </w:tblPrEx>
        <w:trPr>
          <w:trHeight w:val="533" w:hRule="exact"/>
          <w:jc w:val="center"/>
        </w:trPr>
        <w:tc>
          <w:tcPr>
            <w:tcW w:w="898"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r>
              <w:rPr>
                <w:rFonts w:cs="仿宋" w:asciiTheme="minorEastAsia" w:hAnsiTheme="minorEastAsia" w:eastAsiaTheme="minorEastAsia"/>
                <w:color w:val="auto"/>
                <w:szCs w:val="21"/>
                <w:highlight w:val="none"/>
              </w:rPr>
              <w:t>2</w:t>
            </w:r>
          </w:p>
        </w:tc>
        <w:tc>
          <w:tcPr>
            <w:tcW w:w="4962" w:type="dxa"/>
            <w:gridSpan w:val="3"/>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c>
          <w:tcPr>
            <w:tcW w:w="829"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c>
          <w:tcPr>
            <w:tcW w:w="829"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c>
          <w:tcPr>
            <w:tcW w:w="1455"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c>
          <w:tcPr>
            <w:tcW w:w="1664" w:type="dxa"/>
            <w:vAlign w:val="center"/>
          </w:tcPr>
          <w:p>
            <w:pPr>
              <w:tabs>
                <w:tab w:val="left" w:pos="5760"/>
              </w:tabs>
              <w:spacing w:line="300" w:lineRule="auto"/>
              <w:jc w:val="center"/>
              <w:rPr>
                <w:rFonts w:cs="仿宋" w:asciiTheme="minorEastAsia" w:hAnsiTheme="minorEastAsia" w:eastAsiaTheme="minorEastAsia"/>
                <w:color w:val="auto"/>
                <w:szCs w:val="21"/>
                <w:highlight w:val="none"/>
              </w:rPr>
            </w:pPr>
          </w:p>
        </w:tc>
      </w:tr>
      <w:tr>
        <w:tblPrEx>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CellMar>
            <w:top w:w="0" w:type="dxa"/>
            <w:left w:w="108" w:type="dxa"/>
            <w:bottom w:w="0" w:type="dxa"/>
            <w:right w:w="108" w:type="dxa"/>
          </w:tblCellMar>
        </w:tblPrEx>
        <w:trPr>
          <w:trHeight w:val="533" w:hRule="exact"/>
          <w:jc w:val="center"/>
        </w:trPr>
        <w:tc>
          <w:tcPr>
            <w:tcW w:w="10637" w:type="dxa"/>
            <w:gridSpan w:val="8"/>
            <w:vAlign w:val="center"/>
          </w:tcPr>
          <w:p>
            <w:pPr>
              <w:tabs>
                <w:tab w:val="left" w:pos="5760"/>
              </w:tabs>
              <w:spacing w:line="300" w:lineRule="auto"/>
              <w:ind w:firstLine="5670" w:firstLineChars="2700"/>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含税总价</w:t>
            </w:r>
          </w:p>
        </w:tc>
      </w:tr>
      <w:tr>
        <w:tblPrEx>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CellMar>
            <w:top w:w="0" w:type="dxa"/>
            <w:left w:w="108" w:type="dxa"/>
            <w:bottom w:w="0" w:type="dxa"/>
            <w:right w:w="108" w:type="dxa"/>
          </w:tblCellMar>
        </w:tblPrEx>
        <w:trPr>
          <w:trHeight w:val="533" w:hRule="exact"/>
          <w:jc w:val="center"/>
        </w:trPr>
        <w:tc>
          <w:tcPr>
            <w:tcW w:w="1549" w:type="dxa"/>
            <w:gridSpan w:val="2"/>
            <w:vAlign w:val="center"/>
          </w:tcPr>
          <w:p>
            <w:pPr>
              <w:tabs>
                <w:tab w:val="left" w:pos="5760"/>
              </w:tabs>
              <w:spacing w:line="300" w:lineRule="auto"/>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付款方式</w:t>
            </w:r>
          </w:p>
        </w:tc>
        <w:tc>
          <w:tcPr>
            <w:tcW w:w="9088" w:type="dxa"/>
            <w:gridSpan w:val="6"/>
            <w:vAlign w:val="center"/>
          </w:tcPr>
          <w:p>
            <w:pPr>
              <w:tabs>
                <w:tab w:val="left" w:pos="5760"/>
              </w:tabs>
              <w:spacing w:line="300" w:lineRule="auto"/>
              <w:ind w:firstLine="5670" w:firstLineChars="2700"/>
              <w:rPr>
                <w:rFonts w:cs="仿宋" w:asciiTheme="minorEastAsia" w:hAnsiTheme="minorEastAsia" w:eastAsiaTheme="minorEastAsia"/>
                <w:color w:val="auto"/>
                <w:szCs w:val="21"/>
                <w:highlight w:val="none"/>
              </w:rPr>
            </w:pPr>
          </w:p>
        </w:tc>
      </w:tr>
      <w:tr>
        <w:tblPrEx>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CellMar>
            <w:top w:w="0" w:type="dxa"/>
            <w:left w:w="108" w:type="dxa"/>
            <w:bottom w:w="0" w:type="dxa"/>
            <w:right w:w="108" w:type="dxa"/>
          </w:tblCellMar>
        </w:tblPrEx>
        <w:trPr>
          <w:trHeight w:val="533" w:hRule="exact"/>
          <w:jc w:val="center"/>
        </w:trPr>
        <w:tc>
          <w:tcPr>
            <w:tcW w:w="1549" w:type="dxa"/>
            <w:gridSpan w:val="2"/>
            <w:vAlign w:val="center"/>
          </w:tcPr>
          <w:p>
            <w:pPr>
              <w:tabs>
                <w:tab w:val="left" w:pos="5760"/>
              </w:tabs>
              <w:spacing w:line="300" w:lineRule="auto"/>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税率</w:t>
            </w:r>
          </w:p>
        </w:tc>
        <w:tc>
          <w:tcPr>
            <w:tcW w:w="9088" w:type="dxa"/>
            <w:gridSpan w:val="6"/>
            <w:vAlign w:val="center"/>
          </w:tcPr>
          <w:p>
            <w:pPr>
              <w:tabs>
                <w:tab w:val="left" w:pos="5760"/>
              </w:tabs>
              <w:spacing w:line="300" w:lineRule="auto"/>
              <w:ind w:firstLine="5670" w:firstLineChars="2700"/>
              <w:rPr>
                <w:rFonts w:cs="仿宋" w:asciiTheme="minorEastAsia" w:hAnsiTheme="minorEastAsia" w:eastAsiaTheme="minorEastAsia"/>
                <w:color w:val="auto"/>
                <w:szCs w:val="21"/>
                <w:highlight w:val="none"/>
              </w:rPr>
            </w:pPr>
          </w:p>
        </w:tc>
      </w:tr>
      <w:tr>
        <w:tblPrEx>
          <w:tblBorders>
            <w:top w:val="threeDEmboss" w:color="auto" w:sz="6" w:space="0"/>
            <w:left w:val="threeDEmboss" w:color="auto" w:sz="6" w:space="0"/>
            <w:bottom w:val="threeDEmboss" w:color="auto" w:sz="6" w:space="0"/>
            <w:right w:val="threeDEmboss" w:color="auto" w:sz="6" w:space="0"/>
            <w:insideH w:val="single" w:color="auto" w:sz="6" w:space="0"/>
            <w:insideV w:val="single" w:color="auto" w:sz="6" w:space="0"/>
          </w:tblBorders>
          <w:tblCellMar>
            <w:top w:w="0" w:type="dxa"/>
            <w:left w:w="108" w:type="dxa"/>
            <w:bottom w:w="0" w:type="dxa"/>
            <w:right w:w="108" w:type="dxa"/>
          </w:tblCellMar>
        </w:tblPrEx>
        <w:trPr>
          <w:trHeight w:val="533" w:hRule="exact"/>
          <w:jc w:val="center"/>
        </w:trPr>
        <w:tc>
          <w:tcPr>
            <w:tcW w:w="1549" w:type="dxa"/>
            <w:gridSpan w:val="2"/>
            <w:vAlign w:val="center"/>
          </w:tcPr>
          <w:p>
            <w:pPr>
              <w:tabs>
                <w:tab w:val="left" w:pos="5760"/>
              </w:tabs>
              <w:spacing w:line="300" w:lineRule="auto"/>
              <w:rPr>
                <w:rFonts w:cs="仿宋" w:asciiTheme="minorEastAsia" w:hAnsiTheme="minorEastAsia" w:eastAsiaTheme="minorEastAsia"/>
                <w:color w:val="auto"/>
                <w:szCs w:val="21"/>
                <w:highlight w:val="none"/>
              </w:rPr>
            </w:pPr>
            <w:r>
              <w:rPr>
                <w:rFonts w:hint="eastAsia" w:cs="仿宋" w:asciiTheme="minorEastAsia" w:hAnsiTheme="minorEastAsia" w:eastAsiaTheme="minorEastAsia"/>
                <w:color w:val="auto"/>
                <w:szCs w:val="21"/>
                <w:highlight w:val="none"/>
              </w:rPr>
              <w:t>交货期</w:t>
            </w:r>
          </w:p>
        </w:tc>
        <w:tc>
          <w:tcPr>
            <w:tcW w:w="9088" w:type="dxa"/>
            <w:gridSpan w:val="6"/>
            <w:vAlign w:val="center"/>
          </w:tcPr>
          <w:p>
            <w:pPr>
              <w:tabs>
                <w:tab w:val="left" w:pos="5760"/>
              </w:tabs>
              <w:spacing w:line="300" w:lineRule="auto"/>
              <w:ind w:firstLine="5670" w:firstLineChars="2700"/>
              <w:rPr>
                <w:rFonts w:cs="仿宋" w:asciiTheme="minorEastAsia" w:hAnsiTheme="minorEastAsia" w:eastAsiaTheme="minorEastAsia"/>
                <w:color w:val="auto"/>
                <w:szCs w:val="21"/>
                <w:highlight w:val="none"/>
              </w:rPr>
            </w:pPr>
          </w:p>
        </w:tc>
      </w:tr>
    </w:tbl>
    <w:p>
      <w:pPr>
        <w:spacing w:line="520" w:lineRule="exact"/>
        <w:ind w:firstLine="420" w:firstLineChars="200"/>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2、我方已详细审核并认同全部</w:t>
      </w:r>
      <w:r>
        <w:rPr>
          <w:rFonts w:hint="eastAsia" w:cs="宋体" w:asciiTheme="minorEastAsia" w:hAnsiTheme="minorEastAsia" w:eastAsiaTheme="minorEastAsia"/>
          <w:color w:val="auto"/>
          <w:szCs w:val="21"/>
          <w:highlight w:val="none"/>
        </w:rPr>
        <w:t>竞争性谈判文件，包括修改文件（如有时）及有关附件。</w:t>
      </w:r>
    </w:p>
    <w:p>
      <w:pPr>
        <w:spacing w:line="520" w:lineRule="exact"/>
        <w:ind w:firstLine="420" w:firstLineChars="200"/>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3、一旦我方</w:t>
      </w:r>
      <w:r>
        <w:rPr>
          <w:rFonts w:hint="eastAsia" w:cs="宋体" w:asciiTheme="minorEastAsia" w:hAnsiTheme="minorEastAsia" w:eastAsiaTheme="minorEastAsia"/>
          <w:color w:val="auto"/>
          <w:szCs w:val="21"/>
          <w:highlight w:val="none"/>
        </w:rPr>
        <w:t>成交，我方保证按竞争性谈判文件及合同规定完成跟踪审计任务。</w:t>
      </w:r>
    </w:p>
    <w:p>
      <w:pPr>
        <w:spacing w:line="520" w:lineRule="exact"/>
        <w:ind w:firstLine="420" w:firstLineChars="200"/>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4、我方同意所提交的</w:t>
      </w:r>
      <w:r>
        <w:rPr>
          <w:rFonts w:hint="eastAsia" w:cs="宋体" w:asciiTheme="minorEastAsia" w:hAnsiTheme="minorEastAsia" w:eastAsiaTheme="minorEastAsia"/>
          <w:color w:val="auto"/>
          <w:szCs w:val="21"/>
          <w:highlight w:val="none"/>
        </w:rPr>
        <w:t>响应文件在竞争性谈判文件中规定的响应有效期内有效，在此期间内如果成交，我方将受此约束。</w:t>
      </w:r>
    </w:p>
    <w:p>
      <w:pPr>
        <w:spacing w:line="520" w:lineRule="exact"/>
        <w:ind w:firstLine="420" w:firstLineChars="200"/>
        <w:rPr>
          <w:rFonts w:cs="宋体" w:asciiTheme="minorEastAsia" w:hAnsiTheme="minorEastAsia" w:eastAsiaTheme="minorEastAsia"/>
          <w:color w:val="auto"/>
          <w:szCs w:val="21"/>
          <w:highlight w:val="none"/>
        </w:rPr>
      </w:pPr>
      <w:r>
        <w:rPr>
          <w:rFonts w:cs="宋体" w:asciiTheme="minorEastAsia" w:hAnsiTheme="minorEastAsia" w:eastAsiaTheme="minorEastAsia"/>
          <w:color w:val="auto"/>
          <w:szCs w:val="21"/>
          <w:highlight w:val="none"/>
        </w:rPr>
        <w:t>5、除非另外达成协议并生效，你方的</w:t>
      </w:r>
      <w:r>
        <w:rPr>
          <w:rFonts w:hint="eastAsia" w:cs="宋体" w:asciiTheme="minorEastAsia" w:hAnsiTheme="minorEastAsia" w:eastAsiaTheme="minorEastAsia"/>
          <w:color w:val="auto"/>
          <w:szCs w:val="21"/>
          <w:highlight w:val="none"/>
        </w:rPr>
        <w:t>成交通知书和本响应文件将成为约束双方的合同文件的组成部分。</w:t>
      </w:r>
    </w:p>
    <w:p>
      <w:pPr>
        <w:spacing w:line="5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w:t>
      </w:r>
      <w:r>
        <w:rPr>
          <w:rFonts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rPr>
        <w:t>（盖章）</w:t>
      </w:r>
    </w:p>
    <w:p>
      <w:pPr>
        <w:spacing w:line="5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单位地址：</w:t>
      </w:r>
      <w:r>
        <w:rPr>
          <w:rFonts w:cs="宋体" w:asciiTheme="minorEastAsia" w:hAnsiTheme="minorEastAsia" w:eastAsiaTheme="minorEastAsia"/>
          <w:color w:val="auto"/>
          <w:szCs w:val="21"/>
          <w:highlight w:val="none"/>
        </w:rPr>
        <w:t xml:space="preserve">                                                  </w:t>
      </w:r>
    </w:p>
    <w:p>
      <w:pPr>
        <w:spacing w:line="5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法定代表人或其委托代理人：</w:t>
      </w:r>
      <w:r>
        <w:rPr>
          <w:rFonts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rPr>
        <w:t>（签字或盖章）</w:t>
      </w:r>
    </w:p>
    <w:p>
      <w:pPr>
        <w:spacing w:line="5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邮政编码：</w:t>
      </w:r>
      <w:r>
        <w:rPr>
          <w:rFonts w:cs="宋体" w:asciiTheme="minorEastAsia" w:hAnsiTheme="minorEastAsia" w:eastAsiaTheme="minorEastAsia"/>
          <w:color w:val="auto"/>
          <w:szCs w:val="21"/>
          <w:highlight w:val="none"/>
        </w:rPr>
        <w:t xml:space="preserve">              电话：            传真：             </w:t>
      </w:r>
    </w:p>
    <w:p>
      <w:pPr>
        <w:spacing w:line="5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开户银行名称：</w:t>
      </w:r>
      <w:r>
        <w:rPr>
          <w:rFonts w:cs="宋体" w:asciiTheme="minorEastAsia" w:hAnsiTheme="minorEastAsia" w:eastAsiaTheme="minorEastAsia"/>
          <w:color w:val="auto"/>
          <w:szCs w:val="21"/>
          <w:highlight w:val="none"/>
        </w:rPr>
        <w:t xml:space="preserve">                    开户银行帐号：             </w:t>
      </w:r>
    </w:p>
    <w:p>
      <w:pPr>
        <w:spacing w:line="5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开户银行地址：</w:t>
      </w:r>
      <w:r>
        <w:rPr>
          <w:rFonts w:cs="宋体" w:asciiTheme="minorEastAsia" w:hAnsiTheme="minorEastAsia" w:eastAsiaTheme="minorEastAsia"/>
          <w:color w:val="auto"/>
          <w:szCs w:val="21"/>
          <w:highlight w:val="none"/>
        </w:rPr>
        <w:t xml:space="preserve">                    开户银行电话：              </w:t>
      </w:r>
    </w:p>
    <w:p>
      <w:pPr>
        <w:spacing w:line="5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日期：</w:t>
      </w:r>
      <w:r>
        <w:rPr>
          <w:rFonts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rPr>
        <w:t>年</w:t>
      </w:r>
      <w:r>
        <w:rPr>
          <w:rFonts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rPr>
        <w:t>月</w:t>
      </w:r>
      <w:r>
        <w:rPr>
          <w:rFonts w:cs="宋体" w:asciiTheme="minorEastAsia" w:hAnsiTheme="minorEastAsia" w:eastAsiaTheme="minorEastAsia"/>
          <w:color w:val="auto"/>
          <w:szCs w:val="21"/>
          <w:highlight w:val="none"/>
        </w:rPr>
        <w:t xml:space="preserve">     </w:t>
      </w:r>
      <w:r>
        <w:rPr>
          <w:rFonts w:hint="eastAsia" w:cs="宋体" w:asciiTheme="minorEastAsia" w:hAnsiTheme="minorEastAsia" w:eastAsiaTheme="minorEastAsia"/>
          <w:color w:val="auto"/>
          <w:szCs w:val="21"/>
          <w:highlight w:val="none"/>
        </w:rPr>
        <w:t>日</w:t>
      </w:r>
    </w:p>
    <w:p>
      <w:pP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br w:type="page"/>
      </w:r>
    </w:p>
    <w:p>
      <w:pPr>
        <w:snapToGrid w:val="0"/>
        <w:spacing w:before="156" w:beforeLines="50" w:after="50" w:line="500" w:lineRule="atLeas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技术文件封面格式：</w:t>
      </w:r>
      <w:r>
        <w:rPr>
          <w:rFonts w:asciiTheme="minorEastAsia" w:hAnsiTheme="minorEastAsia" w:eastAsiaTheme="minorEastAsia"/>
          <w:b/>
          <w:color w:val="auto"/>
          <w:szCs w:val="21"/>
          <w:highlight w:val="none"/>
        </w:rPr>
        <w:t xml:space="preserve"> </w:t>
      </w:r>
    </w:p>
    <w:p>
      <w:pPr>
        <w:snapToGrid w:val="0"/>
        <w:spacing w:before="156" w:beforeLines="50" w:after="50"/>
        <w:ind w:left="6930" w:hanging="6930" w:hangingChars="3300"/>
        <w:rPr>
          <w:rFonts w:asciiTheme="minorEastAsia" w:hAnsiTheme="minorEastAsia" w:eastAsiaTheme="minorEastAsia"/>
          <w:b/>
          <w:bCs/>
          <w:color w:val="auto"/>
          <w:sz w:val="44"/>
          <w:szCs w:val="44"/>
          <w:highlight w:val="none"/>
        </w:rPr>
      </w:pPr>
      <w:r>
        <w:rPr>
          <w:rFonts w:asciiTheme="minorEastAsia" w:hAnsiTheme="minorEastAsia" w:eastAsiaTheme="minorEastAsia"/>
          <w:color w:val="auto"/>
          <w:highlight w:val="none"/>
        </w:rPr>
        <w:t xml:space="preserve">                                                    </w:t>
      </w:r>
    </w:p>
    <w:p>
      <w:pPr>
        <w:snapToGrid w:val="0"/>
        <w:spacing w:before="156" w:beforeLines="50" w:after="50"/>
        <w:jc w:val="center"/>
        <w:rPr>
          <w:rFonts w:asciiTheme="minorEastAsia" w:hAnsiTheme="minorEastAsia" w:eastAsiaTheme="minorEastAsia"/>
          <w:b/>
          <w:bCs/>
          <w:color w:val="auto"/>
          <w:sz w:val="72"/>
          <w:szCs w:val="72"/>
          <w:highlight w:val="none"/>
        </w:rPr>
      </w:pPr>
      <w:r>
        <w:rPr>
          <w:rFonts w:hint="eastAsia" w:asciiTheme="minorEastAsia" w:hAnsiTheme="minorEastAsia" w:eastAsiaTheme="minorEastAsia"/>
          <w:b/>
          <w:bCs/>
          <w:color w:val="auto"/>
          <w:sz w:val="72"/>
          <w:szCs w:val="72"/>
          <w:highlight w:val="none"/>
        </w:rPr>
        <w:t>技</w:t>
      </w:r>
      <w:r>
        <w:rPr>
          <w:rFonts w:asciiTheme="minorEastAsia" w:hAnsiTheme="minorEastAsia" w:eastAsiaTheme="minorEastAsia"/>
          <w:b/>
          <w:bCs/>
          <w:color w:val="auto"/>
          <w:sz w:val="72"/>
          <w:szCs w:val="72"/>
          <w:highlight w:val="none"/>
        </w:rPr>
        <w:t xml:space="preserve"> </w:t>
      </w:r>
      <w:r>
        <w:rPr>
          <w:rFonts w:hint="eastAsia" w:asciiTheme="minorEastAsia" w:hAnsiTheme="minorEastAsia" w:eastAsiaTheme="minorEastAsia"/>
          <w:b/>
          <w:bCs/>
          <w:color w:val="auto"/>
          <w:sz w:val="72"/>
          <w:szCs w:val="72"/>
          <w:highlight w:val="none"/>
        </w:rPr>
        <w:t>术</w:t>
      </w:r>
      <w:r>
        <w:rPr>
          <w:rFonts w:asciiTheme="minorEastAsia" w:hAnsiTheme="minorEastAsia" w:eastAsiaTheme="minorEastAsia"/>
          <w:b/>
          <w:bCs/>
          <w:color w:val="auto"/>
          <w:sz w:val="72"/>
          <w:szCs w:val="72"/>
          <w:highlight w:val="none"/>
        </w:rPr>
        <w:t xml:space="preserve"> </w:t>
      </w:r>
      <w:r>
        <w:rPr>
          <w:rFonts w:hint="eastAsia" w:asciiTheme="minorEastAsia" w:hAnsiTheme="minorEastAsia" w:eastAsiaTheme="minorEastAsia"/>
          <w:b/>
          <w:bCs/>
          <w:color w:val="auto"/>
          <w:sz w:val="72"/>
          <w:szCs w:val="72"/>
          <w:highlight w:val="none"/>
        </w:rPr>
        <w:t>文</w:t>
      </w:r>
      <w:r>
        <w:rPr>
          <w:rFonts w:asciiTheme="minorEastAsia" w:hAnsiTheme="minorEastAsia" w:eastAsiaTheme="minorEastAsia"/>
          <w:b/>
          <w:bCs/>
          <w:color w:val="auto"/>
          <w:sz w:val="72"/>
          <w:szCs w:val="72"/>
          <w:highlight w:val="none"/>
        </w:rPr>
        <w:t xml:space="preserve"> </w:t>
      </w:r>
      <w:r>
        <w:rPr>
          <w:rFonts w:hint="eastAsia" w:asciiTheme="minorEastAsia" w:hAnsiTheme="minorEastAsia" w:eastAsiaTheme="minorEastAsia"/>
          <w:b/>
          <w:bCs/>
          <w:color w:val="auto"/>
          <w:sz w:val="72"/>
          <w:szCs w:val="72"/>
          <w:highlight w:val="none"/>
        </w:rPr>
        <w:t>件</w:t>
      </w:r>
    </w:p>
    <w:p>
      <w:pPr>
        <w:snapToGrid w:val="0"/>
        <w:spacing w:before="156"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项目名称：</w:t>
      </w:r>
      <w:r>
        <w:rPr>
          <w:rFonts w:asciiTheme="minorEastAsia" w:hAnsiTheme="minorEastAsia" w:eastAsiaTheme="minorEastAsia"/>
          <w:b/>
          <w:bCs/>
          <w:color w:val="auto"/>
          <w:sz w:val="32"/>
          <w:szCs w:val="32"/>
          <w:highlight w:val="none"/>
        </w:rPr>
        <w:t xml:space="preserve"> </w:t>
      </w:r>
    </w:p>
    <w:p>
      <w:pPr>
        <w:snapToGrid w:val="0"/>
        <w:spacing w:before="156"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项目编号：</w:t>
      </w:r>
    </w:p>
    <w:p>
      <w:pPr>
        <w:snapToGrid w:val="0"/>
        <w:spacing w:before="156"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供应商名称：</w:t>
      </w:r>
    </w:p>
    <w:p>
      <w:pPr>
        <w:snapToGrid w:val="0"/>
        <w:spacing w:before="156" w:beforeLines="50" w:after="50" w:line="480" w:lineRule="auto"/>
        <w:ind w:firstLine="643" w:firstLineChars="200"/>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供应商地址：</w:t>
      </w:r>
    </w:p>
    <w:p>
      <w:pPr>
        <w:snapToGrid w:val="0"/>
        <w:spacing w:before="156" w:beforeLines="50" w:after="50" w:line="500" w:lineRule="atLeast"/>
        <w:ind w:firstLine="645"/>
        <w:jc w:val="center"/>
        <w:rPr>
          <w:rFonts w:asciiTheme="minorEastAsia" w:hAnsiTheme="minorEastAsia" w:eastAsiaTheme="minorEastAsia"/>
          <w:b/>
          <w:color w:val="auto"/>
          <w:sz w:val="32"/>
          <w:szCs w:val="32"/>
          <w:highlight w:val="none"/>
        </w:rPr>
      </w:pPr>
      <w:r>
        <w:rPr>
          <w:rFonts w:asciiTheme="minorEastAsia" w:hAnsiTheme="minorEastAsia" w:eastAsiaTheme="minorEastAsia"/>
          <w:b/>
          <w:color w:val="auto"/>
          <w:sz w:val="32"/>
          <w:szCs w:val="32"/>
          <w:highlight w:val="none"/>
        </w:rPr>
        <w:t xml:space="preserve">            </w:t>
      </w:r>
    </w:p>
    <w:p>
      <w:pPr>
        <w:snapToGrid w:val="0"/>
        <w:spacing w:before="156" w:beforeLines="50" w:after="50" w:line="500" w:lineRule="atLeast"/>
        <w:ind w:firstLine="645"/>
        <w:jc w:val="center"/>
        <w:rPr>
          <w:rFonts w:asciiTheme="minorEastAsia" w:hAnsiTheme="minorEastAsia" w:eastAsiaTheme="minorEastAsia"/>
          <w:b/>
          <w:color w:val="auto"/>
          <w:sz w:val="32"/>
          <w:szCs w:val="32"/>
          <w:highlight w:val="none"/>
        </w:rPr>
      </w:pPr>
      <w:r>
        <w:rPr>
          <w:rFonts w:asciiTheme="minorEastAsia" w:hAnsiTheme="minorEastAsia" w:eastAsiaTheme="minorEastAsia"/>
          <w:b/>
          <w:color w:val="auto"/>
          <w:sz w:val="32"/>
          <w:szCs w:val="32"/>
          <w:highlight w:val="none"/>
        </w:rPr>
        <w:t xml:space="preserve">                                    年  月  日</w:t>
      </w:r>
    </w:p>
    <w:p>
      <w:pPr>
        <w:widowControl/>
        <w:spacing w:line="480" w:lineRule="exact"/>
        <w:jc w:val="left"/>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br w:type="page"/>
      </w:r>
      <w:r>
        <w:rPr>
          <w:rFonts w:hint="eastAsia" w:asciiTheme="minorEastAsia" w:hAnsiTheme="minorEastAsia" w:eastAsiaTheme="minorEastAsia"/>
          <w:b/>
          <w:bCs/>
          <w:color w:val="auto"/>
          <w:szCs w:val="21"/>
          <w:highlight w:val="none"/>
        </w:rPr>
        <w:t>技术文件目录</w:t>
      </w:r>
    </w:p>
    <w:p>
      <w:pPr>
        <w:snapToGrid w:val="0"/>
        <w:spacing w:before="50" w:after="156" w:afterLines="50" w:line="480" w:lineRule="exact"/>
        <w:jc w:val="left"/>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（以下适用于货物类项目的响应技术文件）</w:t>
      </w:r>
    </w:p>
    <w:p>
      <w:pPr>
        <w:snapToGrid w:val="0"/>
        <w:spacing w:line="480" w:lineRule="exact"/>
        <w:ind w:firstLine="420" w:firstLineChars="200"/>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w:t>
      </w:r>
      <w:r>
        <w:rPr>
          <w:rFonts w:cs="宋体" w:asciiTheme="minorEastAsia" w:hAnsiTheme="minorEastAsia" w:eastAsiaTheme="minorEastAsia"/>
          <w:bCs/>
          <w:color w:val="auto"/>
          <w:szCs w:val="21"/>
          <w:highlight w:val="none"/>
        </w:rPr>
        <w:t>1）响应产品技术资料表（附件3-1响应产品技术资料表格式）</w:t>
      </w:r>
    </w:p>
    <w:p>
      <w:pPr>
        <w:snapToGrid w:val="0"/>
        <w:spacing w:line="480" w:lineRule="exact"/>
        <w:ind w:firstLine="420" w:firstLineChars="200"/>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w:t>
      </w:r>
      <w:r>
        <w:rPr>
          <w:rFonts w:cs="宋体" w:asciiTheme="minorEastAsia" w:hAnsiTheme="minorEastAsia" w:eastAsiaTheme="minorEastAsia"/>
          <w:bCs/>
          <w:color w:val="auto"/>
          <w:szCs w:val="21"/>
          <w:highlight w:val="none"/>
        </w:rPr>
        <w:t>2）技术方案（附项目实施人员一览表，附件3-2技术方案格式）</w:t>
      </w:r>
    </w:p>
    <w:p>
      <w:pPr>
        <w:snapToGrid w:val="0"/>
        <w:spacing w:line="480" w:lineRule="exact"/>
        <w:ind w:firstLine="420" w:firstLineChars="200"/>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w:t>
      </w:r>
      <w:r>
        <w:rPr>
          <w:rFonts w:cs="宋体" w:asciiTheme="minorEastAsia" w:hAnsiTheme="minorEastAsia" w:eastAsiaTheme="minorEastAsia"/>
          <w:bCs/>
          <w:color w:val="auto"/>
          <w:szCs w:val="21"/>
          <w:highlight w:val="none"/>
        </w:rPr>
        <w:t>3）售后服务方案（附件3-3售后服务方案格式）</w:t>
      </w:r>
    </w:p>
    <w:p>
      <w:pPr>
        <w:snapToGrid w:val="0"/>
        <w:spacing w:line="480" w:lineRule="exact"/>
        <w:ind w:firstLine="420" w:firstLineChars="200"/>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w:t>
      </w:r>
      <w:r>
        <w:rPr>
          <w:rFonts w:cs="宋体" w:asciiTheme="minorEastAsia" w:hAnsiTheme="minorEastAsia" w:eastAsiaTheme="minorEastAsia"/>
          <w:bCs/>
          <w:color w:val="auto"/>
          <w:szCs w:val="21"/>
          <w:highlight w:val="none"/>
        </w:rPr>
        <w:t>4）产品出厂标准、质量检测报告及精度检测报告或数据复印件（如有，格式略）</w:t>
      </w:r>
    </w:p>
    <w:p>
      <w:pPr>
        <w:snapToGrid w:val="0"/>
        <w:spacing w:line="480" w:lineRule="exact"/>
        <w:ind w:firstLine="420" w:firstLineChars="200"/>
        <w:jc w:val="left"/>
        <w:rPr>
          <w:rFonts w:cs="宋体" w:asciiTheme="minorEastAsia" w:hAnsiTheme="minorEastAsia" w:eastAsiaTheme="minorEastAsia"/>
          <w:bCs/>
          <w:color w:val="auto"/>
          <w:szCs w:val="21"/>
          <w:highlight w:val="none"/>
        </w:rPr>
      </w:pPr>
      <w:r>
        <w:rPr>
          <w:rFonts w:hint="eastAsia" w:cs="宋体" w:asciiTheme="minorEastAsia" w:hAnsiTheme="minorEastAsia" w:eastAsiaTheme="minorEastAsia"/>
          <w:bCs/>
          <w:color w:val="auto"/>
          <w:szCs w:val="21"/>
          <w:highlight w:val="none"/>
        </w:rPr>
        <w:t>（</w:t>
      </w:r>
      <w:r>
        <w:rPr>
          <w:rFonts w:cs="宋体" w:asciiTheme="minorEastAsia" w:hAnsiTheme="minorEastAsia" w:eastAsiaTheme="minorEastAsia"/>
          <w:bCs/>
          <w:color w:val="auto"/>
          <w:szCs w:val="21"/>
          <w:highlight w:val="none"/>
        </w:rPr>
        <w:t>5）供应商需要说明的其他文件和说明（格式略）</w:t>
      </w:r>
    </w:p>
    <w:p>
      <w:pPr>
        <w:pStyle w:val="4"/>
        <w:rPr>
          <w:rFonts w:asciiTheme="minorEastAsia" w:hAnsiTheme="minorEastAsia" w:eastAsiaTheme="minorEastAsia"/>
          <w:bCs w:val="0"/>
          <w:color w:val="auto"/>
          <w:highlight w:val="none"/>
          <w:u w:val="none"/>
        </w:rPr>
      </w:pPr>
      <w:r>
        <w:rPr>
          <w:rFonts w:asciiTheme="minorEastAsia" w:hAnsiTheme="minorEastAsia" w:eastAsiaTheme="minorEastAsia"/>
          <w:color w:val="auto"/>
          <w:highlight w:val="none"/>
        </w:rPr>
        <w:br w:type="page"/>
      </w:r>
      <w:bookmarkStart w:id="68" w:name="_Toc124269274"/>
      <w:r>
        <w:rPr>
          <w:rFonts w:hint="eastAsia" w:asciiTheme="minorEastAsia" w:hAnsiTheme="minorEastAsia" w:eastAsiaTheme="minorEastAsia"/>
          <w:bCs w:val="0"/>
          <w:color w:val="auto"/>
          <w:highlight w:val="none"/>
          <w:u w:val="none"/>
        </w:rPr>
        <w:t>附件</w:t>
      </w:r>
      <w:r>
        <w:rPr>
          <w:rFonts w:asciiTheme="minorEastAsia" w:hAnsiTheme="minorEastAsia" w:eastAsiaTheme="minorEastAsia"/>
          <w:bCs w:val="0"/>
          <w:color w:val="auto"/>
          <w:highlight w:val="none"/>
          <w:u w:val="none"/>
        </w:rPr>
        <w:t>3-1响应产品技术资料表格式：</w:t>
      </w:r>
      <w:bookmarkEnd w:id="68"/>
      <w:r>
        <w:rPr>
          <w:rFonts w:asciiTheme="minorEastAsia" w:hAnsiTheme="minorEastAsia" w:eastAsiaTheme="minorEastAsia"/>
          <w:bCs w:val="0"/>
          <w:color w:val="auto"/>
          <w:highlight w:val="none"/>
          <w:u w:val="none"/>
        </w:rPr>
        <w:t xml:space="preserve"> </w:t>
      </w:r>
    </w:p>
    <w:p>
      <w:pPr>
        <w:snapToGrid w:val="0"/>
        <w:spacing w:before="156" w:beforeLines="50" w:after="50"/>
        <w:jc w:val="center"/>
        <w:rPr>
          <w:rFonts w:asciiTheme="minorEastAsia" w:hAnsiTheme="minorEastAsia" w:eastAsiaTheme="minorEastAsia"/>
          <w:b/>
          <w:color w:val="auto"/>
          <w:sz w:val="32"/>
          <w:szCs w:val="32"/>
          <w:highlight w:val="none"/>
        </w:rPr>
      </w:pPr>
    </w:p>
    <w:p>
      <w:pPr>
        <w:snapToGrid w:val="0"/>
        <w:spacing w:before="156"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响应产品技术资料表（格式）</w:t>
      </w:r>
    </w:p>
    <w:p>
      <w:pPr>
        <w:spacing w:line="360" w:lineRule="auto"/>
        <w:ind w:firstLine="480"/>
        <w:rPr>
          <w:rFonts w:cs="Courier New" w:asciiTheme="minorEastAsia" w:hAnsiTheme="minorEastAsia" w:eastAsiaTheme="minorEastAsia"/>
          <w:color w:val="auto"/>
          <w:szCs w:val="28"/>
          <w:highlight w:val="none"/>
        </w:rPr>
      </w:pPr>
    </w:p>
    <w:p>
      <w:pPr>
        <w:spacing w:line="360" w:lineRule="auto"/>
        <w:ind w:firstLine="480"/>
        <w:rPr>
          <w:rFonts w:cs="Courier New" w:asciiTheme="minorEastAsia" w:hAnsiTheme="minorEastAsia" w:eastAsiaTheme="minorEastAsia"/>
          <w:color w:val="auto"/>
          <w:szCs w:val="28"/>
          <w:highlight w:val="none"/>
        </w:rPr>
      </w:pPr>
      <w:r>
        <w:rPr>
          <w:rFonts w:hint="eastAsia" w:cs="Courier New" w:asciiTheme="minorEastAsia" w:hAnsiTheme="minorEastAsia" w:eastAsiaTheme="minorEastAsia"/>
          <w:color w:val="auto"/>
          <w:szCs w:val="28"/>
          <w:highlight w:val="none"/>
        </w:rPr>
        <w:t>请根据所投产品的实际技术参数，逐条对应本项目竞争性谈判文件第二章“采购项目采购需求”要求详细填写相应的具体内容。如果未完整填写此表的各项内容则视作供应商已经对竞争性谈判文件相关要求和内容完全理解并同意，其响应报价为在此基础上的完全价格。“偏离说明”一栏应当选择“正偏离”、“负偏离”或“无偏离”进行填写。</w:t>
      </w:r>
    </w:p>
    <w:tbl>
      <w:tblPr>
        <w:tblStyle w:val="22"/>
        <w:tblW w:w="5237" w:type="pct"/>
        <w:jc w:val="center"/>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562"/>
        <w:gridCol w:w="1066"/>
        <w:gridCol w:w="562"/>
        <w:gridCol w:w="1238"/>
        <w:gridCol w:w="1066"/>
        <w:gridCol w:w="1066"/>
        <w:gridCol w:w="562"/>
        <w:gridCol w:w="1066"/>
        <w:gridCol w:w="1066"/>
        <w:gridCol w:w="562"/>
        <w:gridCol w:w="1040"/>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285" w:type="pct"/>
            <w:vMerge w:val="restar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b/>
                <w:color w:val="auto"/>
                <w:szCs w:val="21"/>
                <w:highlight w:val="none"/>
              </w:rPr>
              <w:t>项号</w:t>
            </w:r>
          </w:p>
        </w:tc>
        <w:tc>
          <w:tcPr>
            <w:tcW w:w="1994" w:type="pct"/>
            <w:gridSpan w:val="4"/>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竞争性谈判文件需求</w:t>
            </w:r>
          </w:p>
        </w:tc>
        <w:tc>
          <w:tcPr>
            <w:tcW w:w="2191" w:type="pct"/>
            <w:gridSpan w:val="5"/>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磋商响应文件承诺</w:t>
            </w:r>
          </w:p>
        </w:tc>
        <w:tc>
          <w:tcPr>
            <w:tcW w:w="530" w:type="pct"/>
            <w:vMerge w:val="restar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偏离说明</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285" w:type="pct"/>
            <w:vMerge w:val="continue"/>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b/>
                <w:color w:val="auto"/>
                <w:szCs w:val="21"/>
                <w:highlight w:val="none"/>
              </w:rPr>
            </w:pPr>
          </w:p>
        </w:tc>
        <w:tc>
          <w:tcPr>
            <w:tcW w:w="541"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货物名称</w:t>
            </w:r>
          </w:p>
        </w:tc>
        <w:tc>
          <w:tcPr>
            <w:tcW w:w="285" w:type="pct"/>
            <w:shd w:val="clear" w:color="auto" w:fill="auto"/>
            <w:tcMar>
              <w:left w:w="28" w:type="dxa"/>
              <w:right w:w="28" w:type="dxa"/>
            </w:tcMar>
            <w:vAlign w:val="center"/>
          </w:tcPr>
          <w:p>
            <w:pPr>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数量</w:t>
            </w:r>
          </w:p>
        </w:tc>
        <w:tc>
          <w:tcPr>
            <w:tcW w:w="628"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规格型号</w:t>
            </w:r>
            <w:r>
              <w:rPr>
                <w:rFonts w:asciiTheme="minorEastAsia" w:hAnsiTheme="minorEastAsia" w:eastAsiaTheme="minorEastAsia"/>
                <w:color w:val="auto"/>
                <w:szCs w:val="21"/>
                <w:highlight w:val="none"/>
              </w:rPr>
              <w:t>/技术参数要求</w:t>
            </w:r>
          </w:p>
        </w:tc>
        <w:tc>
          <w:tcPr>
            <w:tcW w:w="541"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标准</w:t>
            </w:r>
          </w:p>
        </w:tc>
        <w:tc>
          <w:tcPr>
            <w:tcW w:w="541"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货物名称</w:t>
            </w:r>
          </w:p>
        </w:tc>
        <w:tc>
          <w:tcPr>
            <w:tcW w:w="285" w:type="pct"/>
            <w:shd w:val="clear" w:color="auto" w:fill="auto"/>
            <w:tcMar>
              <w:left w:w="28" w:type="dxa"/>
              <w:right w:w="28" w:type="dxa"/>
            </w:tcMar>
            <w:vAlign w:val="center"/>
          </w:tcPr>
          <w:p>
            <w:pPr>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数量</w:t>
            </w:r>
          </w:p>
        </w:tc>
        <w:tc>
          <w:tcPr>
            <w:tcW w:w="541"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品牌、厂家、型号、规格</w:t>
            </w:r>
          </w:p>
        </w:tc>
        <w:tc>
          <w:tcPr>
            <w:tcW w:w="541"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规格型号</w:t>
            </w:r>
            <w:r>
              <w:rPr>
                <w:rFonts w:asciiTheme="minorEastAsia" w:hAnsiTheme="minorEastAsia" w:eastAsiaTheme="minorEastAsia"/>
                <w:color w:val="auto"/>
                <w:szCs w:val="21"/>
                <w:highlight w:val="none"/>
              </w:rPr>
              <w:t>/技术参数要求</w:t>
            </w:r>
          </w:p>
        </w:tc>
        <w:tc>
          <w:tcPr>
            <w:tcW w:w="285"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标准</w:t>
            </w:r>
          </w:p>
        </w:tc>
        <w:tc>
          <w:tcPr>
            <w:tcW w:w="530" w:type="pct"/>
            <w:vMerge w:val="continue"/>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285"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asciiTheme="minorEastAsia" w:hAnsiTheme="minorEastAsia" w:eastAsiaTheme="minorEastAsia"/>
                <w:color w:val="auto"/>
                <w:spacing w:val="20"/>
                <w:szCs w:val="21"/>
                <w:highlight w:val="none"/>
              </w:rPr>
              <w:t>1</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285"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628"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285"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285"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30"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正偏离（负偏离或无偏离）</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285"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285"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628"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285"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285"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30"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正偏离（负偏离或无偏离）</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285"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285" w:type="pct"/>
            <w:shd w:val="clear" w:color="auto" w:fill="auto"/>
            <w:tcMar>
              <w:left w:w="28" w:type="dxa"/>
              <w:right w:w="28" w:type="dxa"/>
            </w:tcMar>
            <w:vAlign w:val="center"/>
          </w:tcPr>
          <w:p>
            <w:pPr>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628"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285" w:type="pct"/>
            <w:shd w:val="clear" w:color="auto" w:fill="auto"/>
            <w:tcMar>
              <w:left w:w="28" w:type="dxa"/>
              <w:right w:w="28" w:type="dxa"/>
            </w:tcMar>
            <w:vAlign w:val="center"/>
          </w:tcPr>
          <w:p>
            <w:pPr>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41"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285"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w:t>
            </w:r>
          </w:p>
        </w:tc>
        <w:tc>
          <w:tcPr>
            <w:tcW w:w="530" w:type="pct"/>
            <w:shd w:val="clear" w:color="auto" w:fill="auto"/>
            <w:tcMar>
              <w:left w:w="28" w:type="dxa"/>
              <w:right w:w="28" w:type="dxa"/>
            </w:tcMar>
            <w:vAlign w:val="center"/>
          </w:tcPr>
          <w:p>
            <w:pPr>
              <w:tabs>
                <w:tab w:val="left" w:pos="1418"/>
              </w:tabs>
              <w:snapToGrid w:val="0"/>
              <w:jc w:val="center"/>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正偏离（负偏离或无偏离）</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11"/>
            <w:shd w:val="clear" w:color="auto" w:fill="auto"/>
            <w:tcMar>
              <w:left w:w="28" w:type="dxa"/>
              <w:right w:w="28" w:type="dxa"/>
            </w:tcMar>
            <w:vAlign w:val="center"/>
          </w:tcPr>
          <w:p>
            <w:pPr>
              <w:tabs>
                <w:tab w:val="left" w:pos="1418"/>
              </w:tabs>
              <w:snapToGrid w:val="0"/>
              <w:jc w:val="left"/>
              <w:rPr>
                <w:rFonts w:asciiTheme="minorEastAsia" w:hAnsiTheme="minorEastAsia" w:eastAsiaTheme="minorEastAsia"/>
                <w:color w:val="auto"/>
                <w:spacing w:val="20"/>
                <w:szCs w:val="21"/>
                <w:highlight w:val="none"/>
              </w:rPr>
            </w:pPr>
            <w:r>
              <w:rPr>
                <w:rFonts w:hint="eastAsia" w:cs="Arial" w:asciiTheme="minorEastAsia" w:hAnsiTheme="minorEastAsia" w:eastAsiaTheme="minorEastAsia"/>
                <w:color w:val="auto"/>
                <w:szCs w:val="21"/>
                <w:highlight w:val="none"/>
              </w:rPr>
              <w:t>我方确认：除了表中所列的条款外，我方的响应函将依从竞争性谈判文件对于技术的全部要求和规定。</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11"/>
            <w:shd w:val="clear" w:color="auto" w:fill="auto"/>
            <w:tcMar>
              <w:left w:w="28" w:type="dxa"/>
              <w:right w:w="28" w:type="dxa"/>
            </w:tcMar>
            <w:vAlign w:val="center"/>
          </w:tcPr>
          <w:p>
            <w:pPr>
              <w:tabs>
                <w:tab w:val="left" w:pos="1418"/>
              </w:tabs>
              <w:snapToGrid w:val="0"/>
              <w:jc w:val="left"/>
              <w:rPr>
                <w:rFonts w:asciiTheme="minorEastAsia" w:hAnsiTheme="minorEastAsia" w:eastAsiaTheme="minorEastAsia"/>
                <w:color w:val="auto"/>
                <w:spacing w:val="20"/>
                <w:szCs w:val="21"/>
                <w:highlight w:val="none"/>
              </w:rPr>
            </w:pPr>
            <w:r>
              <w:rPr>
                <w:rFonts w:hint="eastAsia" w:asciiTheme="minorEastAsia" w:hAnsiTheme="minorEastAsia" w:eastAsiaTheme="minorEastAsia"/>
                <w:color w:val="auto"/>
                <w:spacing w:val="20"/>
                <w:szCs w:val="21"/>
                <w:highlight w:val="none"/>
              </w:rPr>
              <w:t>供应商（盖单位公章）：</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11"/>
            <w:shd w:val="clear" w:color="auto" w:fill="auto"/>
            <w:tcMar>
              <w:left w:w="28" w:type="dxa"/>
              <w:right w:w="28" w:type="dxa"/>
            </w:tcMar>
            <w:vAlign w:val="center"/>
          </w:tcPr>
          <w:p>
            <w:pPr>
              <w:tabs>
                <w:tab w:val="left" w:pos="1418"/>
              </w:tabs>
              <w:snapToGrid w:val="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法定代表人或其委托代理人（签字或盖章）：</w:t>
            </w:r>
          </w:p>
        </w:tc>
      </w:tr>
    </w:tbl>
    <w:p>
      <w:pPr>
        <w:snapToGrid w:val="0"/>
        <w:spacing w:line="360" w:lineRule="auto"/>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注：（</w:t>
      </w:r>
      <w:r>
        <w:rPr>
          <w:rFonts w:cs="Courier New" w:asciiTheme="minorEastAsia" w:hAnsiTheme="minorEastAsia" w:eastAsiaTheme="minorEastAsia"/>
          <w:b/>
          <w:color w:val="auto"/>
          <w:szCs w:val="21"/>
          <w:highlight w:val="none"/>
        </w:rPr>
        <w:t>1）表格内容均需按要求填写并盖章，不得留空，否则按响应无效处理。</w:t>
      </w:r>
    </w:p>
    <w:p>
      <w:pPr>
        <w:snapToGrid w:val="0"/>
        <w:spacing w:line="360" w:lineRule="auto"/>
        <w:ind w:firstLine="422" w:firstLineChars="200"/>
        <w:rPr>
          <w:rFonts w:cs="Courier New" w:asciiTheme="minorEastAsia" w:hAnsiTheme="minorEastAsia" w:eastAsiaTheme="minorEastAsia"/>
          <w:b/>
          <w:color w:val="auto"/>
          <w:szCs w:val="21"/>
          <w:highlight w:val="none"/>
        </w:rPr>
      </w:pP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2）</w:t>
      </w:r>
      <w:r>
        <w:rPr>
          <w:rFonts w:hint="eastAsia" w:asciiTheme="minorEastAsia" w:hAnsiTheme="minorEastAsia" w:eastAsiaTheme="minorEastAsia"/>
          <w:b/>
          <w:bCs/>
          <w:color w:val="auto"/>
          <w:szCs w:val="21"/>
          <w:highlight w:val="none"/>
        </w:rPr>
        <w:t>如果响应文件需求小于或大于采购文件某个数值标准时，响应文件不得直接复制采购文件需求，响应文件对应内容应当写明响应货物具体参数或商务响应的实际数值，否则按响应无效处理</w:t>
      </w:r>
      <w:r>
        <w:rPr>
          <w:rFonts w:hint="eastAsia" w:cs="Courier New" w:asciiTheme="minorEastAsia" w:hAnsiTheme="minorEastAsia" w:eastAsiaTheme="minorEastAsia"/>
          <w:b/>
          <w:bCs/>
          <w:color w:val="auto"/>
          <w:szCs w:val="21"/>
          <w:highlight w:val="none"/>
        </w:rPr>
        <w:t>。</w:t>
      </w:r>
    </w:p>
    <w:p>
      <w:pPr>
        <w:snapToGrid w:val="0"/>
        <w:spacing w:line="360" w:lineRule="auto"/>
        <w:ind w:firstLine="422" w:firstLineChars="200"/>
        <w:rPr>
          <w:rFonts w:cs="Courier New" w:asciiTheme="minorEastAsia" w:hAnsiTheme="minorEastAsia" w:eastAsiaTheme="minorEastAsia"/>
          <w:color w:val="auto"/>
          <w:spacing w:val="20"/>
          <w:szCs w:val="21"/>
          <w:highlight w:val="none"/>
        </w:rPr>
      </w:pP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3）当</w:t>
      </w:r>
      <w:r>
        <w:rPr>
          <w:rFonts w:hint="eastAsia" w:cs="Courier New" w:asciiTheme="minorEastAsia" w:hAnsiTheme="minorEastAsia" w:eastAsiaTheme="minorEastAsia"/>
          <w:b/>
          <w:color w:val="auto"/>
          <w:szCs w:val="21"/>
          <w:highlight w:val="none"/>
        </w:rPr>
        <w:t>谈判</w:t>
      </w:r>
      <w:r>
        <w:rPr>
          <w:rFonts w:cs="Courier New" w:asciiTheme="minorEastAsia" w:hAnsiTheme="minorEastAsia" w:eastAsiaTheme="minorEastAsia"/>
          <w:b/>
          <w:color w:val="auto"/>
          <w:szCs w:val="21"/>
          <w:highlight w:val="none"/>
        </w:rPr>
        <w:t>响应文件的技术参数或商务内容低于竞争性</w:t>
      </w:r>
      <w:r>
        <w:rPr>
          <w:rFonts w:hint="eastAsia" w:cs="Courier New" w:asciiTheme="minorEastAsia" w:hAnsiTheme="minorEastAsia" w:eastAsiaTheme="minorEastAsia"/>
          <w:b/>
          <w:color w:val="auto"/>
          <w:szCs w:val="21"/>
          <w:highlight w:val="none"/>
        </w:rPr>
        <w:t>谈判</w:t>
      </w:r>
      <w:r>
        <w:rPr>
          <w:rFonts w:cs="Courier New" w:asciiTheme="minorEastAsia" w:hAnsiTheme="minorEastAsia" w:eastAsiaTheme="minorEastAsia"/>
          <w:b/>
          <w:color w:val="auto"/>
          <w:szCs w:val="21"/>
          <w:highlight w:val="none"/>
        </w:rPr>
        <w:t>文件要求时，供应商应当如实写明</w:t>
      </w: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负偏离</w:t>
      </w:r>
      <w:r>
        <w:rPr>
          <w:rFonts w:hint="eastAsia" w:cs="Courier New" w:asciiTheme="minorEastAsia" w:hAnsiTheme="minorEastAsia" w:eastAsiaTheme="minorEastAsia"/>
          <w:b/>
          <w:color w:val="auto"/>
          <w:szCs w:val="21"/>
          <w:highlight w:val="none"/>
        </w:rPr>
        <w:t>”</w:t>
      </w:r>
      <w:r>
        <w:rPr>
          <w:rFonts w:cs="Courier New" w:asciiTheme="minorEastAsia" w:hAnsiTheme="minorEastAsia" w:eastAsiaTheme="minorEastAsia"/>
          <w:b/>
          <w:color w:val="auto"/>
          <w:szCs w:val="21"/>
          <w:highlight w:val="none"/>
        </w:rPr>
        <w:t>，否则视为虚假应标。</w:t>
      </w:r>
      <w:r>
        <w:rPr>
          <w:rFonts w:cs="Courier New" w:asciiTheme="minorEastAsia" w:hAnsiTheme="minorEastAsia" w:eastAsiaTheme="minorEastAsia"/>
          <w:color w:val="auto"/>
          <w:spacing w:val="20"/>
          <w:szCs w:val="21"/>
          <w:highlight w:val="none"/>
        </w:rPr>
        <w:br w:type="page"/>
      </w:r>
    </w:p>
    <w:p>
      <w:pPr>
        <w:pStyle w:val="4"/>
        <w:rPr>
          <w:rFonts w:asciiTheme="minorEastAsia" w:hAnsiTheme="minorEastAsia" w:eastAsiaTheme="minorEastAsia"/>
          <w:bCs w:val="0"/>
          <w:color w:val="auto"/>
          <w:highlight w:val="none"/>
          <w:u w:val="none"/>
        </w:rPr>
      </w:pPr>
      <w:bookmarkStart w:id="69" w:name="_Toc124269275"/>
      <w:r>
        <w:rPr>
          <w:rFonts w:hint="eastAsia" w:asciiTheme="minorEastAsia" w:hAnsiTheme="minorEastAsia" w:eastAsiaTheme="minorEastAsia"/>
          <w:bCs w:val="0"/>
          <w:color w:val="auto"/>
          <w:highlight w:val="none"/>
          <w:u w:val="none"/>
        </w:rPr>
        <w:t>附件</w:t>
      </w:r>
      <w:r>
        <w:rPr>
          <w:rFonts w:asciiTheme="minorEastAsia" w:hAnsiTheme="minorEastAsia" w:eastAsiaTheme="minorEastAsia"/>
          <w:bCs w:val="0"/>
          <w:color w:val="auto"/>
          <w:highlight w:val="none"/>
          <w:u w:val="none"/>
        </w:rPr>
        <w:t>3-2技术方案格式：</w:t>
      </w:r>
      <w:bookmarkEnd w:id="69"/>
      <w:r>
        <w:rPr>
          <w:rFonts w:asciiTheme="minorEastAsia" w:hAnsiTheme="minorEastAsia" w:eastAsiaTheme="minorEastAsia"/>
          <w:bCs w:val="0"/>
          <w:color w:val="auto"/>
          <w:highlight w:val="none"/>
          <w:u w:val="none"/>
        </w:rPr>
        <w:t xml:space="preserve"> </w:t>
      </w:r>
    </w:p>
    <w:p>
      <w:pPr>
        <w:snapToGrid w:val="0"/>
        <w:spacing w:before="156"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技术方案</w:t>
      </w:r>
    </w:p>
    <w:p>
      <w:pPr>
        <w:snapToGrid w:val="0"/>
        <w:spacing w:before="50" w:after="50"/>
        <w:jc w:val="center"/>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t>（由供应商按采购要求及评分办法的要求自行分别编写）</w:t>
      </w:r>
    </w:p>
    <w:p>
      <w:pPr>
        <w:widowControl/>
        <w:jc w:val="left"/>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br w:type="page"/>
      </w:r>
    </w:p>
    <w:p>
      <w:pPr>
        <w:pStyle w:val="5"/>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附：项目实施人员一览表（格式）</w:t>
      </w:r>
    </w:p>
    <w:p>
      <w:pPr>
        <w:snapToGrid w:val="0"/>
        <w:spacing w:before="156" w:beforeLines="50" w:after="50" w:line="480" w:lineRule="exact"/>
        <w:jc w:val="center"/>
        <w:rPr>
          <w:rFonts w:asciiTheme="minorEastAsia" w:hAnsiTheme="minorEastAsia" w:eastAsiaTheme="minorEastAsia"/>
          <w:b/>
          <w:color w:val="auto"/>
          <w:sz w:val="28"/>
          <w:szCs w:val="28"/>
          <w:highlight w:val="none"/>
        </w:rPr>
      </w:pPr>
    </w:p>
    <w:p>
      <w:pPr>
        <w:snapToGrid w:val="0"/>
        <w:spacing w:before="156"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项目实施人员（主要从业人员及其技术资格）一览表</w:t>
      </w:r>
    </w:p>
    <w:tbl>
      <w:tblPr>
        <w:tblStyle w:val="22"/>
        <w:tblW w:w="5000" w:type="pct"/>
        <w:tblInd w:w="0" w:type="dxa"/>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Layout w:type="autofit"/>
        <w:tblCellMar>
          <w:top w:w="0" w:type="dxa"/>
          <w:left w:w="108" w:type="dxa"/>
          <w:bottom w:w="0" w:type="dxa"/>
          <w:right w:w="108" w:type="dxa"/>
        </w:tblCellMar>
      </w:tblPr>
      <w:tblGrid>
        <w:gridCol w:w="1099"/>
        <w:gridCol w:w="1411"/>
        <w:gridCol w:w="1694"/>
        <w:gridCol w:w="1271"/>
        <w:gridCol w:w="2401"/>
        <w:gridCol w:w="1694"/>
      </w:tblGrid>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74" w:type="pct"/>
            <w:shd w:val="clear" w:color="auto" w:fill="auto"/>
            <w:vAlign w:val="center"/>
          </w:tcPr>
          <w:p>
            <w:pPr>
              <w:snapToGrid w:val="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姓名</w:t>
            </w:r>
          </w:p>
        </w:tc>
        <w:tc>
          <w:tcPr>
            <w:tcW w:w="737" w:type="pct"/>
            <w:shd w:val="clear" w:color="auto" w:fill="auto"/>
            <w:vAlign w:val="center"/>
          </w:tcPr>
          <w:p>
            <w:pPr>
              <w:snapToGrid w:val="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职务</w:t>
            </w:r>
          </w:p>
        </w:tc>
        <w:tc>
          <w:tcPr>
            <w:tcW w:w="885" w:type="pct"/>
            <w:shd w:val="clear" w:color="auto" w:fill="auto"/>
            <w:vAlign w:val="center"/>
          </w:tcPr>
          <w:p>
            <w:pPr>
              <w:snapToGrid w:val="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专业技术资格</w:t>
            </w:r>
          </w:p>
        </w:tc>
        <w:tc>
          <w:tcPr>
            <w:tcW w:w="664" w:type="pct"/>
            <w:shd w:val="clear" w:color="auto" w:fill="auto"/>
            <w:vAlign w:val="center"/>
          </w:tcPr>
          <w:p>
            <w:pPr>
              <w:snapToGrid w:val="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证书编号</w:t>
            </w:r>
          </w:p>
        </w:tc>
        <w:tc>
          <w:tcPr>
            <w:tcW w:w="1254" w:type="pct"/>
            <w:shd w:val="clear" w:color="auto" w:fill="auto"/>
            <w:vAlign w:val="center"/>
          </w:tcPr>
          <w:p>
            <w:pPr>
              <w:snapToGrid w:val="0"/>
              <w:jc w:val="center"/>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参加本单位工作时间</w:t>
            </w:r>
          </w:p>
        </w:tc>
        <w:tc>
          <w:tcPr>
            <w:tcW w:w="885" w:type="pct"/>
            <w:shd w:val="clear" w:color="auto" w:fill="auto"/>
            <w:vAlign w:val="center"/>
          </w:tcPr>
          <w:p>
            <w:pPr>
              <w:snapToGrid w:val="0"/>
              <w:jc w:val="center"/>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劳动合同编号</w:t>
            </w: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7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737"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66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125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7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737"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66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125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7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737"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cs="Courier New" w:asciiTheme="minorEastAsia" w:hAnsiTheme="minorEastAsia" w:eastAsiaTheme="minorEastAsia"/>
                <w:color w:val="auto"/>
                <w:szCs w:val="21"/>
                <w:highlight w:val="none"/>
              </w:rPr>
            </w:pPr>
          </w:p>
        </w:tc>
        <w:tc>
          <w:tcPr>
            <w:tcW w:w="66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125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7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737"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cs="Courier New" w:asciiTheme="minorEastAsia" w:hAnsiTheme="minorEastAsia" w:eastAsiaTheme="minorEastAsia"/>
                <w:color w:val="auto"/>
                <w:szCs w:val="21"/>
                <w:highlight w:val="none"/>
              </w:rPr>
            </w:pPr>
          </w:p>
        </w:tc>
        <w:tc>
          <w:tcPr>
            <w:tcW w:w="66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125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asciiTheme="minorEastAsia" w:hAnsiTheme="minorEastAsia" w:eastAsiaTheme="minorEastAsia"/>
                <w:color w:val="auto"/>
                <w:szCs w:val="21"/>
                <w:highlight w:val="none"/>
              </w:rPr>
            </w:pPr>
          </w:p>
        </w:tc>
      </w:tr>
      <w:tr>
        <w:tblPrEx>
          <w:tblBorders>
            <w:top w:val="single" w:color="auto" w:sz="12" w:space="0"/>
            <w:left w:val="single" w:color="auto" w:sz="12" w:space="0"/>
            <w:bottom w:val="single" w:color="auto" w:sz="12" w:space="0"/>
            <w:right w:val="single" w:color="auto" w:sz="12" w:space="0"/>
            <w:insideH w:val="inset" w:color="auto" w:sz="6" w:space="0"/>
            <w:insideV w:val="single" w:color="auto" w:sz="6" w:space="0"/>
          </w:tblBorders>
          <w:tblCellMar>
            <w:top w:w="0" w:type="dxa"/>
            <w:left w:w="108" w:type="dxa"/>
            <w:bottom w:w="0" w:type="dxa"/>
            <w:right w:w="108" w:type="dxa"/>
          </w:tblCellMar>
        </w:tblPrEx>
        <w:trPr>
          <w:trHeight w:val="397" w:hRule="atLeast"/>
        </w:trPr>
        <w:tc>
          <w:tcPr>
            <w:tcW w:w="57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737"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cs="Courier New" w:asciiTheme="minorEastAsia" w:hAnsiTheme="minorEastAsia" w:eastAsiaTheme="minorEastAsia"/>
                <w:color w:val="auto"/>
                <w:szCs w:val="21"/>
                <w:highlight w:val="none"/>
              </w:rPr>
            </w:pPr>
          </w:p>
        </w:tc>
        <w:tc>
          <w:tcPr>
            <w:tcW w:w="66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1254" w:type="pct"/>
            <w:shd w:val="clear" w:color="auto" w:fill="auto"/>
            <w:vAlign w:val="center"/>
          </w:tcPr>
          <w:p>
            <w:pPr>
              <w:snapToGrid w:val="0"/>
              <w:jc w:val="center"/>
              <w:rPr>
                <w:rFonts w:asciiTheme="minorEastAsia" w:hAnsiTheme="minorEastAsia" w:eastAsiaTheme="minorEastAsia"/>
                <w:color w:val="auto"/>
                <w:szCs w:val="21"/>
                <w:highlight w:val="none"/>
              </w:rPr>
            </w:pPr>
          </w:p>
        </w:tc>
        <w:tc>
          <w:tcPr>
            <w:tcW w:w="885" w:type="pct"/>
            <w:shd w:val="clear" w:color="auto" w:fill="auto"/>
            <w:vAlign w:val="center"/>
          </w:tcPr>
          <w:p>
            <w:pPr>
              <w:snapToGrid w:val="0"/>
              <w:jc w:val="center"/>
              <w:rPr>
                <w:rFonts w:asciiTheme="minorEastAsia" w:hAnsiTheme="minorEastAsia" w:eastAsiaTheme="minorEastAsia"/>
                <w:color w:val="auto"/>
                <w:szCs w:val="21"/>
                <w:highlight w:val="none"/>
              </w:rPr>
            </w:pPr>
          </w:p>
        </w:tc>
      </w:tr>
    </w:tbl>
    <w:p>
      <w:pPr>
        <w:snapToGrid w:val="0"/>
        <w:spacing w:before="50" w:after="156" w:afterLines="50" w:line="480" w:lineRule="exact"/>
        <w:jc w:val="lef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注：在填写时，如本表格不适合供应商的实际情况，可根据本表格式自行制表填写。</w:t>
      </w:r>
    </w:p>
    <w:p>
      <w:pPr>
        <w:widowControl/>
        <w:jc w:val="left"/>
        <w:rPr>
          <w:rFonts w:asciiTheme="minorEastAsia" w:hAnsiTheme="minorEastAsia" w:eastAsiaTheme="minorEastAsia"/>
          <w:b/>
          <w:bCs/>
          <w:color w:val="auto"/>
          <w:szCs w:val="21"/>
          <w:highlight w:val="none"/>
        </w:rPr>
      </w:pPr>
      <w:r>
        <w:rPr>
          <w:rFonts w:asciiTheme="minorEastAsia" w:hAnsiTheme="minorEastAsia" w:eastAsiaTheme="minorEastAsia"/>
          <w:b/>
          <w:bCs/>
          <w:color w:val="auto"/>
          <w:szCs w:val="21"/>
          <w:highlight w:val="none"/>
        </w:rPr>
        <w:br w:type="page"/>
      </w:r>
    </w:p>
    <w:p>
      <w:pPr>
        <w:pStyle w:val="4"/>
        <w:rPr>
          <w:rFonts w:asciiTheme="minorEastAsia" w:hAnsiTheme="minorEastAsia" w:eastAsiaTheme="minorEastAsia"/>
          <w:bCs w:val="0"/>
          <w:color w:val="auto"/>
          <w:highlight w:val="none"/>
          <w:u w:val="none"/>
        </w:rPr>
      </w:pPr>
      <w:bookmarkStart w:id="70" w:name="_Toc124269276"/>
      <w:r>
        <w:rPr>
          <w:rFonts w:hint="eastAsia" w:asciiTheme="minorEastAsia" w:hAnsiTheme="minorEastAsia" w:eastAsiaTheme="minorEastAsia"/>
          <w:bCs w:val="0"/>
          <w:color w:val="auto"/>
          <w:highlight w:val="none"/>
          <w:u w:val="none"/>
        </w:rPr>
        <w:t>附件</w:t>
      </w:r>
      <w:r>
        <w:rPr>
          <w:rFonts w:asciiTheme="minorEastAsia" w:hAnsiTheme="minorEastAsia" w:eastAsiaTheme="minorEastAsia"/>
          <w:bCs w:val="0"/>
          <w:color w:val="auto"/>
          <w:highlight w:val="none"/>
          <w:u w:val="none"/>
        </w:rPr>
        <w:t>3-3售后服务方案格式：</w:t>
      </w:r>
      <w:bookmarkEnd w:id="70"/>
    </w:p>
    <w:p>
      <w:pPr>
        <w:snapToGrid w:val="0"/>
        <w:spacing w:before="156" w:beforeLines="50" w:after="50"/>
        <w:jc w:val="center"/>
        <w:rPr>
          <w:rFonts w:asciiTheme="minorEastAsia" w:hAnsiTheme="minorEastAsia" w:eastAsiaTheme="minorEastAsia"/>
          <w:b/>
          <w:color w:val="auto"/>
          <w:sz w:val="32"/>
          <w:szCs w:val="32"/>
          <w:highlight w:val="none"/>
        </w:rPr>
      </w:pPr>
      <w:r>
        <w:rPr>
          <w:rFonts w:hint="eastAsia" w:asciiTheme="minorEastAsia" w:hAnsiTheme="minorEastAsia" w:eastAsiaTheme="minorEastAsia"/>
          <w:b/>
          <w:color w:val="auto"/>
          <w:sz w:val="32"/>
          <w:szCs w:val="32"/>
          <w:highlight w:val="none"/>
        </w:rPr>
        <w:t>售后服务方案</w:t>
      </w:r>
    </w:p>
    <w:p>
      <w:pPr>
        <w:snapToGrid w:val="0"/>
        <w:spacing w:before="50" w:after="50"/>
        <w:jc w:val="center"/>
        <w:rPr>
          <w:rFonts w:asciiTheme="minorEastAsia" w:hAnsiTheme="minorEastAsia" w:eastAsiaTheme="minorEastAsia"/>
          <w:b/>
          <w:color w:val="auto"/>
          <w:szCs w:val="21"/>
          <w:highlight w:val="none"/>
        </w:rPr>
      </w:pPr>
      <w:r>
        <w:rPr>
          <w:rFonts w:asciiTheme="minorEastAsia" w:hAnsiTheme="minorEastAsia" w:eastAsiaTheme="minorEastAsia"/>
          <w:b/>
          <w:color w:val="auto"/>
          <w:szCs w:val="21"/>
          <w:highlight w:val="none"/>
        </w:rPr>
        <w:t>（由供应商按采购要求及评分办法的要求自行分别编写）</w:t>
      </w:r>
    </w:p>
    <w:p>
      <w:pPr>
        <w:pStyle w:val="11"/>
        <w:rPr>
          <w:rFonts w:asciiTheme="minorEastAsia" w:hAnsiTheme="minorEastAsia" w:eastAsiaTheme="minorEastAsia"/>
          <w:color w:val="auto"/>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pStyle w:val="4"/>
        <w:rPr>
          <w:rFonts w:asciiTheme="minorEastAsia" w:hAnsiTheme="minorEastAsia" w:eastAsiaTheme="minorEastAsia"/>
          <w:bCs w:val="0"/>
          <w:color w:val="auto"/>
          <w:highlight w:val="none"/>
          <w:u w:val="none"/>
        </w:rPr>
      </w:pPr>
      <w:r>
        <w:rPr>
          <w:rFonts w:hint="eastAsia" w:asciiTheme="minorEastAsia" w:hAnsiTheme="minorEastAsia" w:eastAsiaTheme="minorEastAsia"/>
          <w:bCs w:val="0"/>
          <w:color w:val="auto"/>
          <w:highlight w:val="none"/>
          <w:u w:val="none"/>
        </w:rPr>
        <w:t>产品出厂标准、质量检测报告及精度检测报告或数据复印件（如有，格式略）</w:t>
      </w:r>
    </w:p>
    <w:p>
      <w:pPr>
        <w:rPr>
          <w:rFonts w:asciiTheme="minorEastAsia" w:hAnsiTheme="minorEastAsia" w:eastAsiaTheme="minorEastAsia"/>
          <w:b/>
          <w:color w:val="auto"/>
          <w:sz w:val="44"/>
          <w:szCs w:val="44"/>
          <w:highlight w:val="none"/>
        </w:rPr>
      </w:pPr>
      <w:r>
        <w:rPr>
          <w:rFonts w:asciiTheme="minorEastAsia" w:hAnsiTheme="minorEastAsia" w:eastAsiaTheme="minorEastAsia"/>
          <w:b/>
          <w:color w:val="auto"/>
          <w:sz w:val="44"/>
          <w:szCs w:val="44"/>
          <w:highlight w:val="none"/>
        </w:rPr>
        <w:br w:type="page"/>
      </w:r>
    </w:p>
    <w:p>
      <w:pPr>
        <w:pStyle w:val="4"/>
        <w:rPr>
          <w:rFonts w:asciiTheme="minorEastAsia" w:hAnsiTheme="minorEastAsia" w:eastAsiaTheme="minorEastAsia"/>
          <w:bCs w:val="0"/>
          <w:color w:val="auto"/>
          <w:highlight w:val="none"/>
          <w:u w:val="none"/>
        </w:rPr>
      </w:pPr>
      <w:r>
        <w:rPr>
          <w:rFonts w:hint="eastAsia" w:asciiTheme="minorEastAsia" w:hAnsiTheme="minorEastAsia" w:eastAsiaTheme="minorEastAsia"/>
          <w:bCs w:val="0"/>
          <w:color w:val="auto"/>
          <w:highlight w:val="none"/>
          <w:u w:val="none"/>
        </w:rPr>
        <w:t>其他补充资料</w:t>
      </w:r>
    </w:p>
    <w:p>
      <w:pPr>
        <w:ind w:firstLine="3291" w:firstLineChars="745"/>
        <w:rPr>
          <w:rFonts w:asciiTheme="minorEastAsia" w:hAnsiTheme="minorEastAsia" w:eastAsiaTheme="minorEastAsia"/>
          <w:b/>
          <w:color w:val="auto"/>
          <w:sz w:val="44"/>
          <w:szCs w:val="44"/>
          <w:highlight w:val="none"/>
        </w:rPr>
      </w:pPr>
      <w:r>
        <w:rPr>
          <w:rFonts w:asciiTheme="minorEastAsia" w:hAnsiTheme="minorEastAsia" w:eastAsiaTheme="minorEastAsia"/>
          <w:b/>
          <w:color w:val="auto"/>
          <w:sz w:val="44"/>
          <w:szCs w:val="44"/>
          <w:highlight w:val="none"/>
        </w:rPr>
        <w:t xml:space="preserve"> </w:t>
      </w: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ind w:firstLine="3291" w:firstLineChars="745"/>
        <w:rPr>
          <w:rFonts w:asciiTheme="minorEastAsia" w:hAnsiTheme="minorEastAsia" w:eastAsiaTheme="minorEastAsia"/>
          <w:b/>
          <w:color w:val="auto"/>
          <w:sz w:val="44"/>
          <w:szCs w:val="44"/>
          <w:highlight w:val="none"/>
        </w:rPr>
      </w:pPr>
    </w:p>
    <w:p>
      <w:pPr>
        <w:rPr>
          <w:rFonts w:asciiTheme="minorEastAsia" w:hAnsiTheme="minorEastAsia" w:eastAsiaTheme="minorEastAsia"/>
          <w:b/>
          <w:color w:val="auto"/>
          <w:sz w:val="44"/>
          <w:szCs w:val="44"/>
          <w:highlight w:val="none"/>
        </w:rPr>
      </w:pPr>
    </w:p>
    <w:p>
      <w:pPr>
        <w:jc w:val="center"/>
        <w:rPr>
          <w:rFonts w:asciiTheme="minorEastAsia" w:hAnsiTheme="minorEastAsia" w:eastAsiaTheme="minorEastAsia"/>
          <w:b/>
          <w:color w:val="auto"/>
          <w:sz w:val="44"/>
          <w:szCs w:val="44"/>
          <w:highlight w:val="none"/>
        </w:rPr>
      </w:pPr>
    </w:p>
    <w:p>
      <w:pPr>
        <w:jc w:val="center"/>
        <w:rPr>
          <w:rFonts w:asciiTheme="minorEastAsia" w:hAnsiTheme="minorEastAsia" w:eastAsiaTheme="minorEastAsia"/>
          <w:color w:val="auto"/>
          <w:highlight w:val="none"/>
        </w:rPr>
      </w:pPr>
      <w:r>
        <w:rPr>
          <w:rFonts w:hint="eastAsia" w:asciiTheme="minorEastAsia" w:hAnsiTheme="minorEastAsia" w:eastAsiaTheme="minorEastAsia"/>
          <w:b/>
          <w:color w:val="auto"/>
          <w:sz w:val="44"/>
          <w:szCs w:val="44"/>
          <w:highlight w:val="none"/>
        </w:rPr>
        <w:t>第六部分</w:t>
      </w:r>
      <w:r>
        <w:rPr>
          <w:rFonts w:asciiTheme="minorEastAsia" w:hAnsiTheme="minorEastAsia" w:eastAsiaTheme="minorEastAsia"/>
          <w:b/>
          <w:color w:val="auto"/>
          <w:sz w:val="44"/>
          <w:szCs w:val="44"/>
          <w:highlight w:val="none"/>
        </w:rPr>
        <w:t xml:space="preserve"> </w:t>
      </w:r>
      <w:r>
        <w:rPr>
          <w:rFonts w:hint="eastAsia" w:asciiTheme="minorEastAsia" w:hAnsiTheme="minorEastAsia" w:eastAsiaTheme="minorEastAsia"/>
          <w:b/>
          <w:color w:val="auto"/>
          <w:sz w:val="44"/>
          <w:szCs w:val="44"/>
          <w:highlight w:val="none"/>
        </w:rPr>
        <w:t>评分标准</w:t>
      </w:r>
    </w:p>
    <w:p>
      <w:pPr>
        <w:jc w:val="center"/>
        <w:rPr>
          <w:rFonts w:cs="宋体" w:asciiTheme="minorEastAsia" w:hAnsiTheme="minorEastAsia" w:eastAsiaTheme="minorEastAsia"/>
          <w:b/>
          <w:bCs/>
          <w:color w:val="auto"/>
          <w:sz w:val="32"/>
          <w:szCs w:val="32"/>
          <w:highlight w:val="none"/>
        </w:rPr>
      </w:pPr>
      <w:r>
        <w:rPr>
          <w:rFonts w:hint="eastAsia" w:cs="宋体" w:asciiTheme="minorEastAsia" w:hAnsiTheme="minorEastAsia" w:eastAsiaTheme="minorEastAsia"/>
          <w:b/>
          <w:bCs/>
          <w:color w:val="auto"/>
          <w:sz w:val="32"/>
          <w:szCs w:val="32"/>
          <w:highlight w:val="none"/>
          <w:lang w:eastAsia="zh-CN"/>
        </w:rPr>
        <w:t>大门及其门禁管理系统</w:t>
      </w:r>
      <w:r>
        <w:rPr>
          <w:rFonts w:hint="eastAsia" w:cs="宋体" w:asciiTheme="minorEastAsia" w:hAnsiTheme="minorEastAsia" w:eastAsiaTheme="minorEastAsia"/>
          <w:b/>
          <w:bCs/>
          <w:color w:val="auto"/>
          <w:sz w:val="32"/>
          <w:szCs w:val="32"/>
          <w:highlight w:val="none"/>
        </w:rPr>
        <w:t>设备谈判评分细则</w:t>
      </w:r>
    </w:p>
    <w:p>
      <w:pPr>
        <w:spacing w:line="360" w:lineRule="auto"/>
        <w:jc w:val="left"/>
        <w:outlineLvl w:val="0"/>
        <w:rPr>
          <w:rFonts w:asciiTheme="minorEastAsia" w:hAnsiTheme="minorEastAsia" w:eastAsiaTheme="minorEastAsia"/>
          <w:b/>
          <w:color w:val="auto"/>
          <w:sz w:val="28"/>
          <w:szCs w:val="28"/>
          <w:highlight w:val="none"/>
        </w:rPr>
      </w:pPr>
      <w:r>
        <w:rPr>
          <w:rFonts w:asciiTheme="minorEastAsia" w:hAnsiTheme="minorEastAsia" w:eastAsiaTheme="minorEastAsia"/>
          <w:b/>
          <w:color w:val="auto"/>
          <w:sz w:val="28"/>
          <w:szCs w:val="28"/>
          <w:highlight w:val="none"/>
        </w:rPr>
        <w:t>1、评审内容及标准</w:t>
      </w:r>
    </w:p>
    <w:p>
      <w:pPr>
        <w:keepNext/>
        <w:keepLines/>
        <w:spacing w:before="156" w:beforeLines="50" w:after="156" w:afterLines="50"/>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1.1  </w:t>
      </w:r>
      <w:r>
        <w:rPr>
          <w:rFonts w:hint="eastAsia" w:asciiTheme="minorEastAsia" w:hAnsiTheme="minorEastAsia" w:eastAsiaTheme="minorEastAsia"/>
          <w:b/>
          <w:color w:val="auto"/>
          <w:sz w:val="24"/>
          <w:highlight w:val="none"/>
        </w:rPr>
        <w:t>采用综合评估法</w:t>
      </w:r>
    </w:p>
    <w:p>
      <w:pPr>
        <w:snapToGrid w:val="0"/>
        <w:spacing w:line="360" w:lineRule="exact"/>
        <w:ind w:left="-51" w:right="-51"/>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总得分</w:t>
      </w:r>
      <w:r>
        <w:rPr>
          <w:rFonts w:cs="宋体" w:asciiTheme="minorEastAsia" w:hAnsiTheme="minorEastAsia" w:eastAsiaTheme="minorEastAsia"/>
          <w:color w:val="auto"/>
          <w:szCs w:val="21"/>
          <w:highlight w:val="none"/>
        </w:rPr>
        <w:t>=1价格分＋2技术分＋3商务分</w:t>
      </w:r>
    </w:p>
    <w:p>
      <w:pPr>
        <w:keepNext/>
        <w:keepLines/>
        <w:spacing w:before="156" w:beforeLines="50" w:after="156" w:afterLines="50"/>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1.2  </w:t>
      </w:r>
      <w:r>
        <w:rPr>
          <w:rFonts w:hint="eastAsia" w:asciiTheme="minorEastAsia" w:hAnsiTheme="minorEastAsia" w:eastAsiaTheme="minorEastAsia"/>
          <w:b/>
          <w:color w:val="auto"/>
          <w:sz w:val="24"/>
          <w:highlight w:val="none"/>
        </w:rPr>
        <w:t>响应报价得分评分标准（</w:t>
      </w:r>
      <w:r>
        <w:rPr>
          <w:rFonts w:asciiTheme="minorEastAsia" w:hAnsiTheme="minorEastAsia" w:eastAsiaTheme="minorEastAsia"/>
          <w:b/>
          <w:color w:val="auto"/>
          <w:sz w:val="24"/>
          <w:highlight w:val="none"/>
        </w:rPr>
        <w:t>60</w:t>
      </w:r>
      <w:r>
        <w:rPr>
          <w:rFonts w:hint="eastAsia" w:asciiTheme="minorEastAsia" w:hAnsiTheme="minorEastAsia" w:eastAsiaTheme="minorEastAsia"/>
          <w:b/>
          <w:color w:val="auto"/>
          <w:sz w:val="24"/>
          <w:highlight w:val="none"/>
        </w:rPr>
        <w:t>分）</w:t>
      </w:r>
    </w:p>
    <w:p>
      <w:pPr>
        <w:spacing w:line="440" w:lineRule="exac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1.2.1 </w:t>
      </w:r>
      <w:r>
        <w:rPr>
          <w:rFonts w:hint="eastAsia" w:asciiTheme="minorEastAsia" w:hAnsiTheme="minorEastAsia" w:eastAsiaTheme="minorEastAsia"/>
          <w:color w:val="auto"/>
          <w:szCs w:val="21"/>
          <w:highlight w:val="none"/>
        </w:rPr>
        <w:t>响应报价的确定</w:t>
      </w:r>
    </w:p>
    <w:p>
      <w:pPr>
        <w:spacing w:line="440" w:lineRule="exact"/>
        <w:ind w:firstLine="420" w:firstLineChars="200"/>
        <w:rPr>
          <w:rFonts w:asciiTheme="minorEastAsia" w:hAnsiTheme="minorEastAsia" w:eastAsiaTheme="minorEastAsia"/>
          <w:b/>
          <w:color w:val="auto"/>
          <w:szCs w:val="21"/>
          <w:highlight w:val="none"/>
        </w:rPr>
      </w:pPr>
      <w:r>
        <w:rPr>
          <w:rFonts w:hint="eastAsia" w:asciiTheme="minorEastAsia" w:hAnsiTheme="minorEastAsia" w:eastAsiaTheme="minorEastAsia"/>
          <w:color w:val="auto"/>
          <w:szCs w:val="21"/>
          <w:highlight w:val="none"/>
        </w:rPr>
        <w:t>响应报价</w:t>
      </w:r>
      <w:r>
        <w:rPr>
          <w:rFonts w:asciiTheme="minorEastAsia" w:hAnsiTheme="minorEastAsia" w:eastAsiaTheme="minorEastAsia"/>
          <w:color w:val="auto"/>
          <w:szCs w:val="21"/>
          <w:highlight w:val="none"/>
        </w:rPr>
        <w:t>=</w:t>
      </w:r>
      <w:r>
        <w:rPr>
          <w:rFonts w:hint="eastAsia" w:cs="宋体" w:asciiTheme="minorEastAsia" w:hAnsiTheme="minorEastAsia" w:eastAsiaTheme="minorEastAsia"/>
          <w:color w:val="auto"/>
          <w:szCs w:val="21"/>
          <w:highlight w:val="none"/>
        </w:rPr>
        <w:t>有效响应报价。</w:t>
      </w:r>
    </w:p>
    <w:p>
      <w:pPr>
        <w:spacing w:line="440" w:lineRule="exac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1.2.2 </w:t>
      </w:r>
      <w:r>
        <w:rPr>
          <w:rFonts w:hint="eastAsia" w:asciiTheme="minorEastAsia" w:hAnsiTheme="minorEastAsia" w:eastAsiaTheme="minorEastAsia"/>
          <w:color w:val="auto"/>
          <w:szCs w:val="21"/>
          <w:highlight w:val="none"/>
        </w:rPr>
        <w:t>价格评分标准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695"/>
        <w:gridCol w:w="6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left="-105" w:leftChars="-50" w:right="-105" w:rightChars="-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评分因素</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left="-105" w:leftChars="-50" w:right="-105" w:rightChars="-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分值</w:t>
            </w: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ind w:left="-105" w:leftChars="-50" w:right="-105" w:rightChars="-50"/>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52" w:type="dxa"/>
            <w:tcBorders>
              <w:top w:val="single" w:color="auto" w:sz="4" w:space="0"/>
              <w:left w:val="single" w:color="auto" w:sz="4" w:space="0"/>
              <w:right w:val="single" w:color="auto" w:sz="4" w:space="0"/>
            </w:tcBorders>
            <w:shd w:val="clear" w:color="auto" w:fill="auto"/>
            <w:vAlign w:val="center"/>
          </w:tcPr>
          <w:p>
            <w:pPr>
              <w:spacing w:line="340" w:lineRule="exact"/>
              <w:ind w:left="-105" w:leftChars="-50" w:right="-105" w:rightChars="-5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价格分</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40" w:lineRule="exact"/>
              <w:ind w:left="-105" w:leftChars="-50" w:right="-105" w:rightChars="-50"/>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60</w:t>
            </w:r>
          </w:p>
        </w:tc>
        <w:tc>
          <w:tcPr>
            <w:tcW w:w="695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谈判小组认为供应商的报价明显低于其他通过符合性审查供应商的报价，有可能影响产品质量或者不能诚信履约的，应当要求其在谈判现场合理的时间内提供书面说明，必要时提交相关证明材料；供应商不能证明其报价合理性的，谈判小组应当将其作为无效响应处理。</w:t>
            </w:r>
          </w:p>
          <w:p>
            <w:pPr>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通过初步审查的供应商的</w:t>
            </w:r>
            <w:r>
              <w:rPr>
                <w:rFonts w:hint="eastAsia" w:asciiTheme="minorEastAsia" w:hAnsiTheme="minorEastAsia" w:eastAsiaTheme="minorEastAsia"/>
                <w:b/>
                <w:bCs/>
                <w:color w:val="auto"/>
                <w:highlight w:val="none"/>
              </w:rPr>
              <w:t>响应</w:t>
            </w:r>
            <w:r>
              <w:rPr>
                <w:rFonts w:asciiTheme="minorEastAsia" w:hAnsiTheme="minorEastAsia" w:eastAsiaTheme="minorEastAsia"/>
                <w:b/>
                <w:bCs/>
                <w:color w:val="auto"/>
                <w:highlight w:val="none"/>
              </w:rPr>
              <w:t>报价</w:t>
            </w:r>
            <w:r>
              <w:rPr>
                <w:rFonts w:hint="eastAsia" w:asciiTheme="minorEastAsia" w:hAnsiTheme="minorEastAsia" w:eastAsiaTheme="minorEastAsia"/>
                <w:b/>
                <w:bCs/>
                <w:color w:val="auto"/>
                <w:highlight w:val="none"/>
              </w:rPr>
              <w:t>不含税</w:t>
            </w:r>
            <w:r>
              <w:rPr>
                <w:rFonts w:asciiTheme="minorEastAsia" w:hAnsiTheme="minorEastAsia" w:eastAsiaTheme="minorEastAsia"/>
                <w:b/>
                <w:bCs/>
                <w:color w:val="auto"/>
                <w:highlight w:val="none"/>
              </w:rPr>
              <w:t>总价（</w:t>
            </w:r>
            <w:r>
              <w:rPr>
                <w:rFonts w:hint="eastAsia" w:asciiTheme="minorEastAsia" w:hAnsiTheme="minorEastAsia" w:eastAsiaTheme="minorEastAsia"/>
                <w:b/>
                <w:bCs/>
                <w:color w:val="auto"/>
                <w:highlight w:val="none"/>
              </w:rPr>
              <w:t>响应</w:t>
            </w:r>
            <w:r>
              <w:rPr>
                <w:rFonts w:asciiTheme="minorEastAsia" w:hAnsiTheme="minorEastAsia" w:eastAsiaTheme="minorEastAsia"/>
                <w:b/>
                <w:bCs/>
                <w:color w:val="auto"/>
                <w:highlight w:val="none"/>
              </w:rPr>
              <w:t>单价合计金额）的平均价作为评审基准价，得60分。</w:t>
            </w:r>
          </w:p>
          <w:p>
            <w:pPr>
              <w:spacing w:line="360" w:lineRule="auto"/>
              <w:rPr>
                <w:rFonts w:cs="宋体" w:asciiTheme="minorEastAsia" w:hAnsiTheme="minorEastAsia" w:eastAsiaTheme="minorEastAsia"/>
                <w:color w:val="auto"/>
                <w:szCs w:val="21"/>
                <w:highlight w:val="none"/>
              </w:rPr>
            </w:pPr>
            <w:r>
              <w:rPr>
                <w:rFonts w:asciiTheme="minorEastAsia" w:hAnsiTheme="minorEastAsia" w:eastAsiaTheme="minorEastAsia"/>
                <w:b/>
                <w:bCs/>
                <w:color w:val="auto"/>
                <w:highlight w:val="none"/>
              </w:rPr>
              <w:t>与</w:t>
            </w:r>
            <w:r>
              <w:rPr>
                <w:rFonts w:hint="eastAsia" w:asciiTheme="minorEastAsia" w:hAnsiTheme="minorEastAsia" w:eastAsiaTheme="minorEastAsia"/>
                <w:b/>
                <w:bCs/>
                <w:color w:val="auto"/>
                <w:highlight w:val="none"/>
              </w:rPr>
              <w:t>评审</w:t>
            </w:r>
            <w:r>
              <w:rPr>
                <w:rFonts w:asciiTheme="minorEastAsia" w:hAnsiTheme="minorEastAsia" w:eastAsiaTheme="minorEastAsia"/>
                <w:b/>
                <w:bCs/>
                <w:color w:val="auto"/>
                <w:highlight w:val="none"/>
              </w:rPr>
              <w:t>基准价相比，每上浮1%扣1分，每下浮1%扣0.5分，不足1%，按照插入法计算得分，最低扣至50分；</w:t>
            </w:r>
          </w:p>
        </w:tc>
      </w:tr>
    </w:tbl>
    <w:p>
      <w:pPr>
        <w:spacing w:line="440" w:lineRule="exact"/>
        <w:rPr>
          <w:rFonts w:cs="仿宋_GB2312" w:asciiTheme="minorEastAsia" w:hAnsiTheme="minorEastAsia" w:eastAsiaTheme="minorEastAsia"/>
          <w:b/>
          <w:bCs/>
          <w:color w:val="auto"/>
          <w:sz w:val="28"/>
          <w:szCs w:val="28"/>
          <w:highlight w:val="none"/>
        </w:rPr>
      </w:pPr>
      <w:r>
        <w:rPr>
          <w:rFonts w:hint="eastAsia" w:cs="仿宋_GB2312" w:asciiTheme="minorEastAsia" w:hAnsiTheme="minorEastAsia" w:eastAsiaTheme="minorEastAsia"/>
          <w:b/>
          <w:bCs/>
          <w:color w:val="auto"/>
          <w:sz w:val="28"/>
          <w:szCs w:val="28"/>
          <w:highlight w:val="none"/>
        </w:rPr>
        <w:t>注：价格评分，最低不低于</w:t>
      </w:r>
      <w:r>
        <w:rPr>
          <w:rFonts w:cs="仿宋_GB2312" w:asciiTheme="minorEastAsia" w:hAnsiTheme="minorEastAsia" w:eastAsiaTheme="minorEastAsia"/>
          <w:b/>
          <w:bCs/>
          <w:color w:val="auto"/>
          <w:sz w:val="28"/>
          <w:szCs w:val="28"/>
          <w:highlight w:val="none"/>
        </w:rPr>
        <w:t>50分，最高不高于60分。</w:t>
      </w:r>
    </w:p>
    <w:p>
      <w:pPr>
        <w:spacing w:line="440" w:lineRule="exac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1.2.3 </w:t>
      </w:r>
      <w:r>
        <w:rPr>
          <w:rFonts w:hint="eastAsia" w:asciiTheme="minorEastAsia" w:hAnsiTheme="minorEastAsia" w:eastAsiaTheme="minorEastAsia"/>
          <w:color w:val="auto"/>
          <w:szCs w:val="21"/>
          <w:highlight w:val="none"/>
        </w:rPr>
        <w:t>技术评分标准，占总分权重</w:t>
      </w:r>
      <w:r>
        <w:rPr>
          <w:rFonts w:asciiTheme="minorEastAsia" w:hAnsiTheme="minorEastAsia" w:eastAsiaTheme="minorEastAsia"/>
          <w:color w:val="auto"/>
          <w:szCs w:val="21"/>
          <w:highlight w:val="none"/>
        </w:rPr>
        <w:t>27%</w:t>
      </w:r>
    </w:p>
    <w:p>
      <w:pPr>
        <w:pStyle w:val="9"/>
        <w:spacing w:line="80" w:lineRule="atLeast"/>
        <w:rPr>
          <w:rFonts w:asciiTheme="minorEastAsia" w:hAnsiTheme="minorEastAsia" w:eastAsiaTheme="minorEastAsia"/>
          <w:color w:val="auto"/>
          <w:highlight w:val="none"/>
        </w:rPr>
      </w:pPr>
    </w:p>
    <w:tbl>
      <w:tblPr>
        <w:tblStyle w:val="22"/>
        <w:tblW w:w="96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3"/>
        <w:gridCol w:w="810"/>
        <w:gridCol w:w="648"/>
        <w:gridCol w:w="4626"/>
        <w:gridCol w:w="847"/>
        <w:gridCol w:w="6"/>
        <w:gridCol w:w="920"/>
        <w:gridCol w:w="6"/>
        <w:gridCol w:w="12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50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序号</w:t>
            </w:r>
          </w:p>
        </w:tc>
        <w:tc>
          <w:tcPr>
            <w:tcW w:w="810"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项目</w:t>
            </w:r>
          </w:p>
        </w:tc>
        <w:tc>
          <w:tcPr>
            <w:tcW w:w="648"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分值分配</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内</w:t>
            </w:r>
            <w:r>
              <w:rPr>
                <w:rFonts w:cs="宋体"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highlight w:val="none"/>
              </w:rPr>
              <w:t>容</w:t>
            </w:r>
          </w:p>
        </w:tc>
        <w:tc>
          <w:tcPr>
            <w:tcW w:w="84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满分</w:t>
            </w:r>
          </w:p>
        </w:tc>
        <w:tc>
          <w:tcPr>
            <w:tcW w:w="92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szCs w:val="20"/>
                <w:highlight w:val="none"/>
              </w:rPr>
            </w:pPr>
            <w:r>
              <w:rPr>
                <w:rFonts w:hint="eastAsia" w:cs="宋体" w:asciiTheme="minorEastAsia" w:hAnsiTheme="minorEastAsia" w:eastAsiaTheme="minorEastAsia"/>
                <w:color w:val="auto"/>
                <w:szCs w:val="20"/>
                <w:highlight w:val="none"/>
              </w:rPr>
              <w:t>资料页码</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0"/>
                <w:szCs w:val="20"/>
                <w:highlight w:val="none"/>
              </w:rPr>
            </w:pPr>
            <w:r>
              <w:rPr>
                <w:rFonts w:hint="eastAsia" w:cs="宋体" w:asciiTheme="minorEastAsia" w:hAnsiTheme="minorEastAsia" w:eastAsiaTheme="minorEastAsia"/>
                <w:color w:val="auto"/>
                <w:sz w:val="20"/>
                <w:szCs w:val="20"/>
                <w:highlight w:val="none"/>
              </w:rPr>
              <w:t>评价得分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1" w:hRule="atLeast"/>
          <w:jc w:val="center"/>
        </w:trPr>
        <w:tc>
          <w:tcPr>
            <w:tcW w:w="503"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一</w:t>
            </w:r>
          </w:p>
        </w:tc>
        <w:tc>
          <w:tcPr>
            <w:tcW w:w="810"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asciiTheme="minorEastAsia" w:hAnsiTheme="minorEastAsia" w:eastAsiaTheme="minorEastAsia"/>
                <w:b/>
                <w:bCs/>
                <w:color w:val="auto"/>
                <w:highlight w:val="none"/>
              </w:rPr>
              <w:t>设备性能实施评分</w:t>
            </w:r>
          </w:p>
        </w:tc>
        <w:tc>
          <w:tcPr>
            <w:tcW w:w="648"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highlight w:val="none"/>
              </w:rPr>
              <w:t>14</w:t>
            </w:r>
          </w:p>
        </w:tc>
        <w:tc>
          <w:tcPr>
            <w:tcW w:w="4626" w:type="dxa"/>
            <w:tcBorders>
              <w:top w:val="single" w:color="auto" w:sz="4" w:space="0"/>
              <w:left w:val="single" w:color="auto" w:sz="4" w:space="0"/>
              <w:right w:val="single" w:color="auto" w:sz="4" w:space="0"/>
            </w:tcBorders>
            <w:vAlign w:val="center"/>
          </w:tcPr>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根据各供应商的设备性能、功能，由评委确定各供应商所属档次，并由评委在各档次内独立打分</w:t>
            </w:r>
          </w:p>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一档（</w:t>
            </w:r>
            <w:r>
              <w:rPr>
                <w:rFonts w:asciiTheme="minorEastAsia" w:hAnsiTheme="minorEastAsia" w:eastAsiaTheme="minorEastAsia"/>
                <w:b/>
                <w:bCs/>
                <w:color w:val="auto"/>
                <w:highlight w:val="none"/>
              </w:rPr>
              <w:t>0-5分）：设备性能、功能基本满足技术协议中的要求，获得评委组一致认可的，进入一档。</w:t>
            </w:r>
          </w:p>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二档（</w:t>
            </w:r>
            <w:r>
              <w:rPr>
                <w:rFonts w:asciiTheme="minorEastAsia" w:hAnsiTheme="minorEastAsia" w:eastAsiaTheme="minorEastAsia"/>
                <w:b/>
                <w:bCs/>
                <w:color w:val="auto"/>
                <w:highlight w:val="none"/>
              </w:rPr>
              <w:t>5.1-10分）：设备性能、功能满足技</w:t>
            </w:r>
            <w:r>
              <w:rPr>
                <w:rFonts w:hint="eastAsia" w:asciiTheme="minorEastAsia" w:hAnsiTheme="minorEastAsia" w:eastAsiaTheme="minorEastAsia"/>
                <w:b/>
                <w:bCs/>
                <w:color w:val="auto"/>
                <w:highlight w:val="none"/>
              </w:rPr>
              <w:t>术协议中的要求，获得评委组一致认可的，进入二档。</w:t>
            </w:r>
          </w:p>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三档（</w:t>
            </w:r>
            <w:r>
              <w:rPr>
                <w:rFonts w:asciiTheme="minorEastAsia" w:hAnsiTheme="minorEastAsia" w:eastAsiaTheme="minorEastAsia"/>
                <w:b/>
                <w:bCs/>
                <w:color w:val="auto"/>
                <w:highlight w:val="none"/>
              </w:rPr>
              <w:t>10.1-14分）：设备性能、功能满足技术协议中的要求，且对本项目有提供优化技术协议中性能及功能的情况，并获得评委组一致认可的，进入三档。</w:t>
            </w:r>
          </w:p>
        </w:tc>
        <w:tc>
          <w:tcPr>
            <w:tcW w:w="853" w:type="dxa"/>
            <w:gridSpan w:val="2"/>
            <w:tcBorders>
              <w:top w:val="single" w:color="auto" w:sz="4" w:space="0"/>
              <w:left w:val="single" w:color="auto" w:sz="4" w:space="0"/>
              <w:right w:val="single" w:color="auto" w:sz="4" w:space="0"/>
            </w:tcBorders>
            <w:vAlign w:val="center"/>
          </w:tcPr>
          <w:p>
            <w:pPr>
              <w:tabs>
                <w:tab w:val="left" w:pos="720"/>
              </w:tabs>
              <w:spacing w:before="100" w:beforeAutospacing="1" w:after="100" w:afterAutospacing="1"/>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14</w:t>
            </w:r>
          </w:p>
        </w:tc>
        <w:tc>
          <w:tcPr>
            <w:tcW w:w="926" w:type="dxa"/>
            <w:gridSpan w:val="2"/>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p>
            <w:pPr>
              <w:spacing w:before="100" w:beforeAutospacing="1" w:after="100" w:afterAutospacing="1"/>
              <w:rPr>
                <w:rFonts w:cs="宋体" w:asciiTheme="minorEastAsia" w:hAnsiTheme="minorEastAsia" w:eastAsiaTheme="minorEastAsia"/>
                <w:color w:val="auto"/>
                <w:sz w:val="20"/>
                <w:szCs w:val="20"/>
                <w:highlight w:val="none"/>
              </w:rPr>
            </w:pPr>
          </w:p>
        </w:tc>
        <w:tc>
          <w:tcPr>
            <w:tcW w:w="1294" w:type="dxa"/>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p>
            <w:pPr>
              <w:spacing w:before="100" w:beforeAutospacing="1" w:after="100" w:afterAutospacing="1"/>
              <w:rPr>
                <w:rFonts w:cs="宋体" w:asciiTheme="minorEastAsia" w:hAnsiTheme="minorEastAsia" w:eastAsiaTheme="minorEastAsia"/>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1" w:hRule="atLeast"/>
          <w:jc w:val="center"/>
        </w:trPr>
        <w:tc>
          <w:tcPr>
            <w:tcW w:w="503"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w:t>
            </w:r>
          </w:p>
        </w:tc>
        <w:tc>
          <w:tcPr>
            <w:tcW w:w="810"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安装实施评分</w:t>
            </w:r>
          </w:p>
        </w:tc>
        <w:tc>
          <w:tcPr>
            <w:tcW w:w="648"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13</w:t>
            </w:r>
          </w:p>
        </w:tc>
        <w:tc>
          <w:tcPr>
            <w:tcW w:w="4626" w:type="dxa"/>
            <w:tcBorders>
              <w:top w:val="single" w:color="auto" w:sz="4" w:space="0"/>
              <w:left w:val="single" w:color="auto" w:sz="4" w:space="0"/>
              <w:right w:val="single" w:color="auto" w:sz="4" w:space="0"/>
            </w:tcBorders>
            <w:vAlign w:val="center"/>
          </w:tcPr>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根据各供应商的实施安装进度计划方案的适配度和合理性，由评委确定各供应商所属档次，并由评委在各档次内独立打分</w:t>
            </w:r>
          </w:p>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一档（</w:t>
            </w:r>
            <w:r>
              <w:rPr>
                <w:rFonts w:asciiTheme="minorEastAsia" w:hAnsiTheme="minorEastAsia" w:eastAsiaTheme="minorEastAsia"/>
                <w:b/>
                <w:bCs/>
                <w:color w:val="auto"/>
                <w:highlight w:val="none"/>
              </w:rPr>
              <w:t>0-5分）：实施安装进度计划方案基本满足技术协议中的要求，获得评委组一致认可的，进入一档。</w:t>
            </w:r>
          </w:p>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二档（</w:t>
            </w:r>
            <w:r>
              <w:rPr>
                <w:rFonts w:asciiTheme="minorEastAsia" w:hAnsiTheme="minorEastAsia" w:eastAsiaTheme="minorEastAsia"/>
                <w:b/>
                <w:bCs/>
                <w:color w:val="auto"/>
                <w:highlight w:val="none"/>
              </w:rPr>
              <w:t>5.1-9分）：实施安装进度计划方案满足技术协议中的要求，获得评委组一致认可的，进入二档。</w:t>
            </w:r>
          </w:p>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三档（</w:t>
            </w:r>
            <w:r>
              <w:rPr>
                <w:rFonts w:asciiTheme="minorEastAsia" w:hAnsiTheme="minorEastAsia" w:eastAsiaTheme="minorEastAsia"/>
                <w:b/>
                <w:bCs/>
                <w:color w:val="auto"/>
                <w:highlight w:val="none"/>
              </w:rPr>
              <w:t>9.1-13分）：实施安装进度计划方案满足技术协议中的要求，且对本项目有针对性、建设性、优化性方案的，获得评委组一致认可的，进入三档。</w:t>
            </w:r>
          </w:p>
        </w:tc>
        <w:tc>
          <w:tcPr>
            <w:tcW w:w="853" w:type="dxa"/>
            <w:gridSpan w:val="2"/>
            <w:tcBorders>
              <w:top w:val="single" w:color="auto" w:sz="4" w:space="0"/>
              <w:left w:val="single" w:color="auto" w:sz="4" w:space="0"/>
              <w:right w:val="single" w:color="auto" w:sz="4" w:space="0"/>
            </w:tcBorders>
            <w:vAlign w:val="center"/>
          </w:tcPr>
          <w:p>
            <w:pPr>
              <w:tabs>
                <w:tab w:val="left" w:pos="720"/>
              </w:tabs>
              <w:spacing w:before="100" w:beforeAutospacing="1" w:after="100" w:afterAutospacing="1"/>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13</w:t>
            </w:r>
          </w:p>
        </w:tc>
        <w:tc>
          <w:tcPr>
            <w:tcW w:w="926" w:type="dxa"/>
            <w:gridSpan w:val="2"/>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tc>
        <w:tc>
          <w:tcPr>
            <w:tcW w:w="1294" w:type="dxa"/>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313"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总计</w:t>
            </w:r>
          </w:p>
        </w:tc>
        <w:tc>
          <w:tcPr>
            <w:tcW w:w="648"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27</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4"/>
                <w:szCs w:val="21"/>
                <w:highlight w:val="none"/>
              </w:rPr>
            </w:pPr>
          </w:p>
        </w:tc>
        <w:tc>
          <w:tcPr>
            <w:tcW w:w="84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27</w:t>
            </w:r>
          </w:p>
        </w:tc>
        <w:tc>
          <w:tcPr>
            <w:tcW w:w="926" w:type="dxa"/>
            <w:gridSpan w:val="2"/>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cs="宋体" w:asciiTheme="minorEastAsia" w:hAnsiTheme="minorEastAsia" w:eastAsiaTheme="minorEastAsia"/>
                <w:color w:val="auto"/>
                <w:sz w:val="20"/>
                <w:szCs w:val="20"/>
                <w:highlight w:val="none"/>
              </w:rPr>
            </w:pPr>
            <w:r>
              <w:rPr>
                <w:rFonts w:asciiTheme="minorEastAsia" w:hAnsiTheme="minorEastAsia" w:eastAsiaTheme="minorEastAsia"/>
                <w:color w:val="auto"/>
                <w:highlight w:val="none"/>
              </w:rPr>
              <w:t> </w:t>
            </w:r>
          </w:p>
        </w:tc>
        <w:tc>
          <w:tcPr>
            <w:tcW w:w="1300" w:type="dxa"/>
            <w:gridSpan w:val="2"/>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cs="宋体" w:asciiTheme="minorEastAsia" w:hAnsiTheme="minorEastAsia" w:eastAsiaTheme="minorEastAsia"/>
                <w:color w:val="auto"/>
                <w:sz w:val="20"/>
                <w:szCs w:val="20"/>
                <w:highlight w:val="none"/>
              </w:rPr>
            </w:pPr>
            <w:r>
              <w:rPr>
                <w:rFonts w:asciiTheme="minorEastAsia" w:hAnsiTheme="minorEastAsia" w:eastAsiaTheme="minorEastAsia"/>
                <w:color w:val="auto"/>
                <w:highlight w:val="none"/>
              </w:rPr>
              <w:t> </w:t>
            </w:r>
          </w:p>
        </w:tc>
      </w:tr>
    </w:tbl>
    <w:p>
      <w:pPr>
        <w:spacing w:line="440" w:lineRule="exac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 xml:space="preserve">1.2.4 </w:t>
      </w:r>
      <w:r>
        <w:rPr>
          <w:rFonts w:hint="eastAsia" w:asciiTheme="minorEastAsia" w:hAnsiTheme="minorEastAsia" w:eastAsiaTheme="minorEastAsia"/>
          <w:color w:val="auto"/>
          <w:szCs w:val="21"/>
          <w:highlight w:val="none"/>
        </w:rPr>
        <w:t>商务分标准，占总分权重</w:t>
      </w:r>
      <w:r>
        <w:rPr>
          <w:rFonts w:asciiTheme="minorEastAsia" w:hAnsiTheme="minorEastAsia" w:eastAsiaTheme="minorEastAsia"/>
          <w:color w:val="auto"/>
          <w:szCs w:val="21"/>
          <w:highlight w:val="none"/>
        </w:rPr>
        <w:t>13%</w:t>
      </w:r>
    </w:p>
    <w:tbl>
      <w:tblPr>
        <w:tblStyle w:val="22"/>
        <w:tblW w:w="96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3"/>
        <w:gridCol w:w="810"/>
        <w:gridCol w:w="648"/>
        <w:gridCol w:w="4626"/>
        <w:gridCol w:w="847"/>
        <w:gridCol w:w="6"/>
        <w:gridCol w:w="920"/>
        <w:gridCol w:w="6"/>
        <w:gridCol w:w="12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50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序号</w:t>
            </w:r>
          </w:p>
        </w:tc>
        <w:tc>
          <w:tcPr>
            <w:tcW w:w="810"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项目</w:t>
            </w:r>
          </w:p>
        </w:tc>
        <w:tc>
          <w:tcPr>
            <w:tcW w:w="648"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分值分配</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内</w:t>
            </w:r>
            <w:r>
              <w:rPr>
                <w:rFonts w:cs="宋体"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highlight w:val="none"/>
              </w:rPr>
              <w:t>容</w:t>
            </w:r>
          </w:p>
        </w:tc>
        <w:tc>
          <w:tcPr>
            <w:tcW w:w="84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满分</w:t>
            </w:r>
          </w:p>
        </w:tc>
        <w:tc>
          <w:tcPr>
            <w:tcW w:w="92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szCs w:val="20"/>
                <w:highlight w:val="none"/>
              </w:rPr>
            </w:pPr>
            <w:r>
              <w:rPr>
                <w:rFonts w:hint="eastAsia" w:cs="宋体" w:asciiTheme="minorEastAsia" w:hAnsiTheme="minorEastAsia" w:eastAsiaTheme="minorEastAsia"/>
                <w:color w:val="auto"/>
                <w:szCs w:val="20"/>
                <w:highlight w:val="none"/>
              </w:rPr>
              <w:t>资料页码</w:t>
            </w:r>
          </w:p>
        </w:tc>
        <w:tc>
          <w:tcPr>
            <w:tcW w:w="1300"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0"/>
                <w:szCs w:val="20"/>
                <w:highlight w:val="none"/>
              </w:rPr>
            </w:pPr>
            <w:r>
              <w:rPr>
                <w:rFonts w:hint="eastAsia" w:cs="宋体" w:asciiTheme="minorEastAsia" w:hAnsiTheme="minorEastAsia" w:eastAsiaTheme="minorEastAsia"/>
                <w:color w:val="auto"/>
                <w:sz w:val="20"/>
                <w:szCs w:val="20"/>
                <w:highlight w:val="none"/>
              </w:rPr>
              <w:t>评价得分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1" w:hRule="atLeast"/>
          <w:jc w:val="center"/>
        </w:trPr>
        <w:tc>
          <w:tcPr>
            <w:tcW w:w="503"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一</w:t>
            </w:r>
          </w:p>
        </w:tc>
        <w:tc>
          <w:tcPr>
            <w:tcW w:w="810"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asciiTheme="minorEastAsia" w:hAnsiTheme="minorEastAsia" w:eastAsiaTheme="minorEastAsia"/>
                <w:b/>
                <w:bCs/>
                <w:color w:val="auto"/>
                <w:highlight w:val="none"/>
              </w:rPr>
              <w:t>信誉分</w:t>
            </w:r>
          </w:p>
        </w:tc>
        <w:tc>
          <w:tcPr>
            <w:tcW w:w="648"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highlight w:val="none"/>
              </w:rPr>
              <w:t>1</w:t>
            </w:r>
          </w:p>
        </w:tc>
        <w:tc>
          <w:tcPr>
            <w:tcW w:w="4626" w:type="dxa"/>
            <w:tcBorders>
              <w:top w:val="single" w:color="auto" w:sz="4" w:space="0"/>
              <w:left w:val="single" w:color="auto" w:sz="4" w:space="0"/>
              <w:right w:val="single" w:color="auto" w:sz="4" w:space="0"/>
            </w:tcBorders>
            <w:vAlign w:val="center"/>
          </w:tcPr>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提供供应商有效的</w:t>
            </w:r>
            <w:r>
              <w:rPr>
                <w:rFonts w:asciiTheme="minorEastAsia" w:hAnsiTheme="minorEastAsia" w:eastAsiaTheme="minorEastAsia"/>
                <w:b/>
                <w:bCs/>
                <w:color w:val="auto"/>
                <w:highlight w:val="none"/>
              </w:rPr>
              <w:t>ISO 9001</w:t>
            </w:r>
            <w:r>
              <w:rPr>
                <w:rFonts w:hint="eastAsia" w:asciiTheme="minorEastAsia" w:hAnsiTheme="minorEastAsia" w:eastAsiaTheme="minorEastAsia"/>
                <w:b/>
                <w:bCs/>
                <w:color w:val="auto"/>
                <w:highlight w:val="none"/>
              </w:rPr>
              <w:t>国际质量体系认证证书。满分</w:t>
            </w:r>
            <w:r>
              <w:rPr>
                <w:rFonts w:asciiTheme="minorEastAsia" w:hAnsiTheme="minorEastAsia" w:eastAsiaTheme="minorEastAsia"/>
                <w:b/>
                <w:bCs/>
                <w:color w:val="auto"/>
                <w:highlight w:val="none"/>
              </w:rPr>
              <w:t>1</w:t>
            </w:r>
            <w:r>
              <w:rPr>
                <w:rFonts w:hint="eastAsia" w:asciiTheme="minorEastAsia" w:hAnsiTheme="minorEastAsia" w:eastAsiaTheme="minorEastAsia"/>
                <w:b/>
                <w:bCs/>
                <w:color w:val="auto"/>
                <w:highlight w:val="none"/>
              </w:rPr>
              <w:t>分。</w:t>
            </w:r>
          </w:p>
        </w:tc>
        <w:tc>
          <w:tcPr>
            <w:tcW w:w="853" w:type="dxa"/>
            <w:gridSpan w:val="2"/>
            <w:tcBorders>
              <w:top w:val="single" w:color="auto" w:sz="4" w:space="0"/>
              <w:left w:val="single" w:color="auto" w:sz="4" w:space="0"/>
              <w:right w:val="single" w:color="auto" w:sz="4" w:space="0"/>
            </w:tcBorders>
            <w:vAlign w:val="center"/>
          </w:tcPr>
          <w:p>
            <w:pPr>
              <w:tabs>
                <w:tab w:val="left" w:pos="720"/>
              </w:tabs>
              <w:spacing w:before="100" w:beforeAutospacing="1" w:after="100" w:afterAutospacing="1"/>
              <w:jc w:val="center"/>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1</w:t>
            </w:r>
          </w:p>
        </w:tc>
        <w:tc>
          <w:tcPr>
            <w:tcW w:w="926" w:type="dxa"/>
            <w:gridSpan w:val="2"/>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p>
            <w:pPr>
              <w:spacing w:before="100" w:beforeAutospacing="1" w:after="100" w:afterAutospacing="1"/>
              <w:rPr>
                <w:rFonts w:cs="宋体" w:asciiTheme="minorEastAsia" w:hAnsiTheme="minorEastAsia" w:eastAsiaTheme="minorEastAsia"/>
                <w:color w:val="auto"/>
                <w:sz w:val="20"/>
                <w:szCs w:val="20"/>
                <w:highlight w:val="none"/>
              </w:rPr>
            </w:pPr>
          </w:p>
        </w:tc>
        <w:tc>
          <w:tcPr>
            <w:tcW w:w="1294" w:type="dxa"/>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p>
            <w:pPr>
              <w:spacing w:before="100" w:beforeAutospacing="1" w:after="100" w:afterAutospacing="1"/>
              <w:rPr>
                <w:rFonts w:cs="宋体" w:asciiTheme="minorEastAsia" w:hAnsiTheme="minorEastAsia" w:eastAsiaTheme="minorEastAsia"/>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1" w:hRule="atLeast"/>
          <w:jc w:val="center"/>
        </w:trPr>
        <w:tc>
          <w:tcPr>
            <w:tcW w:w="503"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二</w:t>
            </w:r>
          </w:p>
        </w:tc>
        <w:tc>
          <w:tcPr>
            <w:tcW w:w="810"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售后服务分</w:t>
            </w:r>
          </w:p>
        </w:tc>
        <w:tc>
          <w:tcPr>
            <w:tcW w:w="648"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2</w:t>
            </w:r>
          </w:p>
        </w:tc>
        <w:tc>
          <w:tcPr>
            <w:tcW w:w="4626" w:type="dxa"/>
            <w:tcBorders>
              <w:top w:val="single" w:color="auto" w:sz="4" w:space="0"/>
              <w:left w:val="single" w:color="auto" w:sz="4" w:space="0"/>
              <w:right w:val="single" w:color="auto" w:sz="4" w:space="0"/>
            </w:tcBorders>
            <w:vAlign w:val="center"/>
          </w:tcPr>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评委根据竞争性谈判文件要求供应商对本项目售后服务方案，确定供应商“一般、良好、优秀”各所属档次，由评委在相应档次内独立打分。</w:t>
            </w:r>
          </w:p>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一档（</w:t>
            </w:r>
            <w:r>
              <w:rPr>
                <w:rFonts w:asciiTheme="minorEastAsia" w:hAnsiTheme="minorEastAsia" w:eastAsiaTheme="minorEastAsia"/>
                <w:b/>
                <w:bCs/>
                <w:color w:val="auto"/>
                <w:highlight w:val="none"/>
              </w:rPr>
              <w:t>0-0.5</w:t>
            </w:r>
            <w:r>
              <w:rPr>
                <w:rFonts w:hint="eastAsia" w:asciiTheme="minorEastAsia" w:hAnsiTheme="minorEastAsia" w:eastAsiaTheme="minorEastAsia"/>
                <w:b/>
                <w:bCs/>
                <w:color w:val="auto"/>
                <w:highlight w:val="none"/>
              </w:rPr>
              <w:t>分）：有售后服务方案，基本满足竞争性谈判文件售后服务要求的。</w:t>
            </w:r>
          </w:p>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二档（</w:t>
            </w:r>
            <w:r>
              <w:rPr>
                <w:rFonts w:asciiTheme="minorEastAsia" w:hAnsiTheme="minorEastAsia" w:eastAsiaTheme="minorEastAsia"/>
                <w:b/>
                <w:bCs/>
                <w:color w:val="auto"/>
                <w:highlight w:val="none"/>
              </w:rPr>
              <w:t>0.6-1.4</w:t>
            </w:r>
            <w:r>
              <w:rPr>
                <w:rFonts w:hint="eastAsia" w:asciiTheme="minorEastAsia" w:hAnsiTheme="minorEastAsia" w:eastAsiaTheme="minorEastAsia"/>
                <w:b/>
                <w:bCs/>
                <w:color w:val="auto"/>
                <w:highlight w:val="none"/>
              </w:rPr>
              <w:t>分）：满足竞争性谈判文件售后服务要求的同时，售后服务方案内容较完整、可行，故障响应时间、到达现场维护时间、修复时间优于竞争性谈判文件要求，有项目售后实施计划，有本地化售后服务点、售后服务车辆、人员及零配件仓库。（需提供有效售后服务点、售后服务车辆、人员及零配件仓库等证明材料复印件，证明材料不全或不能有力证明具备能够保证履行以上承诺的能力以及承诺内容的真实性的，视做无效承诺则不予计分）</w:t>
            </w:r>
          </w:p>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三档（</w:t>
            </w:r>
            <w:r>
              <w:rPr>
                <w:rFonts w:asciiTheme="minorEastAsia" w:hAnsiTheme="minorEastAsia" w:eastAsiaTheme="minorEastAsia"/>
                <w:b/>
                <w:bCs/>
                <w:color w:val="auto"/>
                <w:highlight w:val="none"/>
              </w:rPr>
              <w:t>1.5-2</w:t>
            </w:r>
            <w:r>
              <w:rPr>
                <w:rFonts w:hint="eastAsia" w:asciiTheme="minorEastAsia" w:hAnsiTheme="minorEastAsia" w:eastAsiaTheme="minorEastAsia"/>
                <w:b/>
                <w:bCs/>
                <w:color w:val="auto"/>
                <w:highlight w:val="none"/>
              </w:rPr>
              <w:t>分）：满足竞争性谈判文件售后服务要求的同时，售后服务方案内容完整、齐全、可行，故障响应时间、到达现场维护时间、修复时间优于竞争性谈判文件要求，有项目售后实施计划且完整实用，有本地化售后服务网点、售后服务车辆、专业售后培训上岗人员及零配件仓库，其它实质性优惠措施等。（需提供有效售后服务点、售后服务车辆、人员及零配件仓库等证明材料复印件，证明材料不全或不能有力证明具备能够保证履行以上承诺的能力以及承诺内容的真实性的，视做无效承诺则不予计分）。</w:t>
            </w:r>
          </w:p>
        </w:tc>
        <w:tc>
          <w:tcPr>
            <w:tcW w:w="853" w:type="dxa"/>
            <w:gridSpan w:val="2"/>
            <w:tcBorders>
              <w:top w:val="single" w:color="auto" w:sz="4" w:space="0"/>
              <w:left w:val="single" w:color="auto" w:sz="4" w:space="0"/>
              <w:right w:val="single" w:color="auto" w:sz="4" w:space="0"/>
            </w:tcBorders>
            <w:vAlign w:val="center"/>
          </w:tcPr>
          <w:p>
            <w:pPr>
              <w:tabs>
                <w:tab w:val="left" w:pos="720"/>
              </w:tabs>
              <w:spacing w:before="100" w:beforeAutospacing="1" w:after="100" w:afterAutospacing="1"/>
              <w:jc w:val="center"/>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2</w:t>
            </w:r>
          </w:p>
        </w:tc>
        <w:tc>
          <w:tcPr>
            <w:tcW w:w="926" w:type="dxa"/>
            <w:gridSpan w:val="2"/>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tc>
        <w:tc>
          <w:tcPr>
            <w:tcW w:w="1294" w:type="dxa"/>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1" w:hRule="atLeast"/>
          <w:jc w:val="center"/>
        </w:trPr>
        <w:tc>
          <w:tcPr>
            <w:tcW w:w="503"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三</w:t>
            </w:r>
          </w:p>
        </w:tc>
        <w:tc>
          <w:tcPr>
            <w:tcW w:w="810"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2</w:t>
            </w:r>
          </w:p>
        </w:tc>
        <w:tc>
          <w:tcPr>
            <w:tcW w:w="648"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highlight w:val="none"/>
              </w:rPr>
            </w:pPr>
            <w:r>
              <w:rPr>
                <w:rFonts w:hint="eastAsia" w:asciiTheme="minorEastAsia" w:hAnsiTheme="minorEastAsia" w:eastAsiaTheme="minorEastAsia"/>
                <w:b/>
                <w:bCs/>
                <w:color w:val="auto"/>
                <w:highlight w:val="none"/>
              </w:rPr>
              <w:t>质保期</w:t>
            </w:r>
          </w:p>
        </w:tc>
        <w:tc>
          <w:tcPr>
            <w:tcW w:w="4626" w:type="dxa"/>
            <w:tcBorders>
              <w:top w:val="single" w:color="auto" w:sz="4" w:space="0"/>
              <w:left w:val="single" w:color="auto" w:sz="4" w:space="0"/>
              <w:right w:val="single" w:color="auto" w:sz="4" w:space="0"/>
            </w:tcBorders>
            <w:vAlign w:val="center"/>
          </w:tcPr>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自报的质保期不得</w:t>
            </w:r>
            <w:r>
              <w:rPr>
                <w:rFonts w:hint="eastAsia" w:asciiTheme="minorEastAsia" w:hAnsiTheme="minorEastAsia" w:eastAsiaTheme="minorEastAsia"/>
                <w:b/>
                <w:bCs/>
                <w:color w:val="auto"/>
                <w:highlight w:val="none"/>
                <w:lang w:val="en-US" w:eastAsia="zh-CN"/>
              </w:rPr>
              <w:t>少于</w:t>
            </w:r>
            <w:r>
              <w:rPr>
                <w:rFonts w:hint="eastAsia" w:asciiTheme="minorEastAsia" w:hAnsiTheme="minorEastAsia" w:eastAsiaTheme="minorEastAsia"/>
                <w:b/>
                <w:bCs/>
                <w:color w:val="auto"/>
                <w:highlight w:val="none"/>
              </w:rPr>
              <w:t>1年，自报质保期≥</w:t>
            </w:r>
            <w:r>
              <w:rPr>
                <w:rFonts w:asciiTheme="minorEastAsia" w:hAnsiTheme="minorEastAsia" w:eastAsiaTheme="minorEastAsia"/>
                <w:b/>
                <w:bCs/>
                <w:color w:val="auto"/>
                <w:highlight w:val="none"/>
              </w:rPr>
              <w:t>2</w:t>
            </w:r>
            <w:r>
              <w:rPr>
                <w:rFonts w:hint="eastAsia" w:asciiTheme="minorEastAsia" w:hAnsiTheme="minorEastAsia" w:eastAsiaTheme="minorEastAsia"/>
                <w:b/>
                <w:bCs/>
                <w:color w:val="auto"/>
                <w:highlight w:val="none"/>
              </w:rPr>
              <w:t>年的，得</w:t>
            </w:r>
            <w:r>
              <w:rPr>
                <w:rFonts w:asciiTheme="minorEastAsia" w:hAnsiTheme="minorEastAsia" w:eastAsiaTheme="minorEastAsia"/>
                <w:b/>
                <w:bCs/>
                <w:color w:val="auto"/>
                <w:highlight w:val="none"/>
              </w:rPr>
              <w:t>2</w:t>
            </w:r>
            <w:r>
              <w:rPr>
                <w:rFonts w:hint="eastAsia" w:asciiTheme="minorEastAsia" w:hAnsiTheme="minorEastAsia" w:eastAsiaTheme="minorEastAsia"/>
                <w:b/>
                <w:bCs/>
                <w:color w:val="auto"/>
                <w:highlight w:val="none"/>
              </w:rPr>
              <w:t>分，否则不得分。</w:t>
            </w:r>
          </w:p>
        </w:tc>
        <w:tc>
          <w:tcPr>
            <w:tcW w:w="853" w:type="dxa"/>
            <w:gridSpan w:val="2"/>
            <w:tcBorders>
              <w:top w:val="single" w:color="auto" w:sz="4" w:space="0"/>
              <w:left w:val="single" w:color="auto" w:sz="4" w:space="0"/>
              <w:right w:val="single" w:color="auto" w:sz="4" w:space="0"/>
            </w:tcBorders>
            <w:vAlign w:val="center"/>
          </w:tcPr>
          <w:p>
            <w:pPr>
              <w:tabs>
                <w:tab w:val="left" w:pos="720"/>
              </w:tabs>
              <w:spacing w:before="100" w:beforeAutospacing="1" w:after="100" w:afterAutospacing="1"/>
              <w:jc w:val="center"/>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2</w:t>
            </w:r>
          </w:p>
        </w:tc>
        <w:tc>
          <w:tcPr>
            <w:tcW w:w="926" w:type="dxa"/>
            <w:gridSpan w:val="2"/>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tc>
        <w:tc>
          <w:tcPr>
            <w:tcW w:w="1294" w:type="dxa"/>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1" w:hRule="atLeast"/>
          <w:jc w:val="center"/>
        </w:trPr>
        <w:tc>
          <w:tcPr>
            <w:tcW w:w="503"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四</w:t>
            </w:r>
          </w:p>
        </w:tc>
        <w:tc>
          <w:tcPr>
            <w:tcW w:w="810"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8</w:t>
            </w:r>
          </w:p>
        </w:tc>
        <w:tc>
          <w:tcPr>
            <w:tcW w:w="648"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highlight w:val="none"/>
              </w:rPr>
            </w:pPr>
            <w:r>
              <w:rPr>
                <w:rFonts w:hint="eastAsia" w:asciiTheme="minorEastAsia" w:hAnsiTheme="minorEastAsia" w:eastAsiaTheme="minorEastAsia"/>
                <w:b/>
                <w:bCs/>
                <w:color w:val="auto"/>
                <w:highlight w:val="none"/>
              </w:rPr>
              <w:t>业绩分</w:t>
            </w:r>
          </w:p>
        </w:tc>
        <w:tc>
          <w:tcPr>
            <w:tcW w:w="4626" w:type="dxa"/>
            <w:tcBorders>
              <w:top w:val="single" w:color="auto" w:sz="4" w:space="0"/>
              <w:left w:val="single" w:color="auto" w:sz="4" w:space="0"/>
              <w:right w:val="single" w:color="auto" w:sz="4" w:space="0"/>
            </w:tcBorders>
            <w:vAlign w:val="center"/>
          </w:tcPr>
          <w:p>
            <w:pPr>
              <w:rPr>
                <w:rFonts w:asciiTheme="minorEastAsia" w:hAnsiTheme="minorEastAsia" w:eastAsiaTheme="minorEastAsia"/>
                <w:b/>
                <w:bCs/>
                <w:color w:val="auto"/>
                <w:highlight w:val="none"/>
              </w:rPr>
            </w:pPr>
            <w:r>
              <w:rPr>
                <w:rFonts w:hint="eastAsia" w:asciiTheme="minorEastAsia" w:hAnsiTheme="minorEastAsia" w:eastAsiaTheme="minorEastAsia"/>
                <w:b/>
                <w:bCs/>
                <w:color w:val="auto"/>
                <w:highlight w:val="none"/>
              </w:rPr>
              <w:t>提供供应商</w:t>
            </w:r>
            <w:r>
              <w:rPr>
                <w:rFonts w:asciiTheme="minorEastAsia" w:hAnsiTheme="minorEastAsia" w:eastAsiaTheme="minorEastAsia"/>
                <w:b/>
                <w:bCs/>
                <w:color w:val="auto"/>
                <w:highlight w:val="none"/>
              </w:rPr>
              <w:t>2020</w:t>
            </w:r>
            <w:r>
              <w:rPr>
                <w:rFonts w:hint="eastAsia" w:asciiTheme="minorEastAsia" w:hAnsiTheme="minorEastAsia" w:eastAsiaTheme="minorEastAsia"/>
                <w:b/>
                <w:bCs/>
                <w:color w:val="auto"/>
                <w:highlight w:val="none"/>
              </w:rPr>
              <w:t>年</w:t>
            </w:r>
            <w:r>
              <w:rPr>
                <w:rFonts w:asciiTheme="minorEastAsia" w:hAnsiTheme="minorEastAsia" w:eastAsiaTheme="minorEastAsia"/>
                <w:b/>
                <w:bCs/>
                <w:color w:val="auto"/>
                <w:highlight w:val="none"/>
              </w:rPr>
              <w:t>1</w:t>
            </w:r>
            <w:r>
              <w:rPr>
                <w:rFonts w:hint="eastAsia" w:asciiTheme="minorEastAsia" w:hAnsiTheme="minorEastAsia" w:eastAsiaTheme="minorEastAsia"/>
                <w:b/>
                <w:bCs/>
                <w:color w:val="auto"/>
                <w:highlight w:val="none"/>
              </w:rPr>
              <w:t>月</w:t>
            </w:r>
            <w:r>
              <w:rPr>
                <w:rFonts w:asciiTheme="minorEastAsia" w:hAnsiTheme="minorEastAsia" w:eastAsiaTheme="minorEastAsia"/>
                <w:b/>
                <w:bCs/>
                <w:color w:val="auto"/>
                <w:highlight w:val="none"/>
              </w:rPr>
              <w:t>1日以来具有同类项目实际良好供货业绩</w:t>
            </w:r>
            <w:r>
              <w:rPr>
                <w:rFonts w:hint="eastAsia" w:asciiTheme="minorEastAsia" w:hAnsiTheme="minorEastAsia" w:eastAsiaTheme="minorEastAsia"/>
                <w:b/>
                <w:bCs/>
                <w:color w:val="auto"/>
                <w:highlight w:val="none"/>
              </w:rPr>
              <w:t>（</w:t>
            </w:r>
            <w:r>
              <w:rPr>
                <w:rFonts w:hint="eastAsia" w:asciiTheme="minorEastAsia" w:hAnsiTheme="minorEastAsia" w:eastAsiaTheme="minorEastAsia"/>
                <w:b/>
                <w:bCs/>
                <w:color w:val="auto"/>
                <w:highlight w:val="none"/>
                <w:lang w:eastAsia="zh-CN"/>
              </w:rPr>
              <w:t>大门及其门禁管理系统</w:t>
            </w:r>
            <w:r>
              <w:rPr>
                <w:rFonts w:hint="eastAsia" w:asciiTheme="minorEastAsia" w:hAnsiTheme="minorEastAsia" w:eastAsiaTheme="minorEastAsia"/>
                <w:b/>
                <w:bCs/>
                <w:color w:val="auto"/>
                <w:highlight w:val="none"/>
              </w:rPr>
              <w:t>设备供应商业绩</w:t>
            </w:r>
            <w:r>
              <w:rPr>
                <w:rFonts w:asciiTheme="minorEastAsia" w:hAnsiTheme="minorEastAsia" w:eastAsiaTheme="minorEastAsia"/>
                <w:b/>
                <w:bCs/>
                <w:color w:val="auto"/>
                <w:highlight w:val="none"/>
              </w:rPr>
              <w:t>），</w:t>
            </w:r>
            <w:r>
              <w:rPr>
                <w:rFonts w:hint="eastAsia" w:asciiTheme="minorEastAsia" w:hAnsiTheme="minorEastAsia" w:eastAsiaTheme="minorEastAsia"/>
                <w:b/>
                <w:bCs/>
                <w:color w:val="auto"/>
                <w:highlight w:val="none"/>
              </w:rPr>
              <w:t>提供设备稳定运行验收报告及质保金支付证明（时间满足设备稳定运行一年以上）</w:t>
            </w:r>
            <w:r>
              <w:rPr>
                <w:rFonts w:asciiTheme="minorEastAsia" w:hAnsiTheme="minorEastAsia" w:eastAsiaTheme="minorEastAsia"/>
                <w:b/>
                <w:bCs/>
                <w:color w:val="auto"/>
                <w:highlight w:val="none"/>
              </w:rPr>
              <w:t>复印件加盖公章（原件备查）</w:t>
            </w:r>
            <w:r>
              <w:rPr>
                <w:rFonts w:hint="eastAsia" w:asciiTheme="minorEastAsia" w:hAnsiTheme="minorEastAsia" w:eastAsiaTheme="minorEastAsia"/>
                <w:b/>
                <w:bCs/>
                <w:color w:val="auto"/>
                <w:highlight w:val="none"/>
              </w:rPr>
              <w:t>，每项得</w:t>
            </w:r>
            <w:r>
              <w:rPr>
                <w:rFonts w:asciiTheme="minorEastAsia" w:hAnsiTheme="minorEastAsia" w:eastAsiaTheme="minorEastAsia"/>
                <w:b/>
                <w:bCs/>
                <w:color w:val="auto"/>
                <w:highlight w:val="none"/>
              </w:rPr>
              <w:t>2</w:t>
            </w:r>
            <w:r>
              <w:rPr>
                <w:rFonts w:hint="eastAsia" w:asciiTheme="minorEastAsia" w:hAnsiTheme="minorEastAsia" w:eastAsiaTheme="minorEastAsia"/>
                <w:b/>
                <w:bCs/>
                <w:color w:val="auto"/>
                <w:highlight w:val="none"/>
              </w:rPr>
              <w:t>分。</w:t>
            </w:r>
            <w:r>
              <w:rPr>
                <w:rFonts w:asciiTheme="minorEastAsia" w:hAnsiTheme="minorEastAsia" w:eastAsiaTheme="minorEastAsia"/>
                <w:b/>
                <w:bCs/>
                <w:color w:val="auto"/>
                <w:highlight w:val="none"/>
              </w:rPr>
              <w:t>[提供成交通知书、或签订的销售合同和合格验收证明，提供设</w:t>
            </w:r>
            <w:r>
              <w:rPr>
                <w:rFonts w:hint="eastAsia" w:asciiTheme="minorEastAsia" w:hAnsiTheme="minorEastAsia" w:eastAsiaTheme="minorEastAsia"/>
                <w:b/>
                <w:bCs/>
                <w:color w:val="auto"/>
                <w:highlight w:val="none"/>
              </w:rPr>
              <w:t>备稳定运行验收报告及质保金支付证明，同一个编号的项目有两个或两个以上的分标成交的只算一次，复印件加盖供应商单位公章</w:t>
            </w:r>
            <w:r>
              <w:rPr>
                <w:rFonts w:asciiTheme="minorEastAsia" w:hAnsiTheme="minorEastAsia" w:eastAsiaTheme="minorEastAsia"/>
                <w:b/>
                <w:bCs/>
                <w:color w:val="auto"/>
                <w:highlight w:val="none"/>
              </w:rPr>
              <w:t>]。</w:t>
            </w:r>
          </w:p>
          <w:p>
            <w:pPr>
              <w:rPr>
                <w:rFonts w:asciiTheme="minorEastAsia" w:hAnsiTheme="minorEastAsia" w:eastAsiaTheme="minorEastAsia"/>
                <w:b/>
                <w:bCs/>
                <w:color w:val="auto"/>
                <w:highlight w:val="none"/>
              </w:rPr>
            </w:pPr>
          </w:p>
        </w:tc>
        <w:tc>
          <w:tcPr>
            <w:tcW w:w="853" w:type="dxa"/>
            <w:gridSpan w:val="2"/>
            <w:tcBorders>
              <w:top w:val="single" w:color="auto" w:sz="4" w:space="0"/>
              <w:left w:val="single" w:color="auto" w:sz="4" w:space="0"/>
              <w:right w:val="single" w:color="auto" w:sz="4" w:space="0"/>
            </w:tcBorders>
            <w:vAlign w:val="center"/>
          </w:tcPr>
          <w:p>
            <w:pPr>
              <w:tabs>
                <w:tab w:val="left" w:pos="720"/>
              </w:tabs>
              <w:spacing w:before="100" w:beforeAutospacing="1" w:after="100" w:afterAutospacing="1"/>
              <w:jc w:val="center"/>
              <w:rPr>
                <w:rFonts w:asciiTheme="minorEastAsia" w:hAnsiTheme="minorEastAsia" w:eastAsiaTheme="minorEastAsia"/>
                <w:b/>
                <w:bCs/>
                <w:color w:val="auto"/>
                <w:highlight w:val="none"/>
              </w:rPr>
            </w:pPr>
            <w:r>
              <w:rPr>
                <w:rFonts w:asciiTheme="minorEastAsia" w:hAnsiTheme="minorEastAsia" w:eastAsiaTheme="minorEastAsia"/>
                <w:b/>
                <w:bCs/>
                <w:color w:val="auto"/>
                <w:highlight w:val="none"/>
              </w:rPr>
              <w:t>8</w:t>
            </w:r>
          </w:p>
        </w:tc>
        <w:tc>
          <w:tcPr>
            <w:tcW w:w="926" w:type="dxa"/>
            <w:gridSpan w:val="2"/>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tc>
        <w:tc>
          <w:tcPr>
            <w:tcW w:w="1294" w:type="dxa"/>
            <w:tcBorders>
              <w:top w:val="single" w:color="auto" w:sz="4" w:space="0"/>
              <w:left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313"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highlight w:val="none"/>
              </w:rPr>
              <w:t>总计</w:t>
            </w:r>
          </w:p>
        </w:tc>
        <w:tc>
          <w:tcPr>
            <w:tcW w:w="648"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13</w:t>
            </w:r>
          </w:p>
        </w:tc>
        <w:tc>
          <w:tcPr>
            <w:tcW w:w="4626"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rPr>
                <w:rFonts w:cs="宋体" w:asciiTheme="minorEastAsia" w:hAnsiTheme="minorEastAsia" w:eastAsiaTheme="minorEastAsia"/>
                <w:color w:val="auto"/>
                <w:sz w:val="24"/>
                <w:szCs w:val="21"/>
                <w:highlight w:val="none"/>
              </w:rPr>
            </w:pPr>
          </w:p>
        </w:tc>
        <w:tc>
          <w:tcPr>
            <w:tcW w:w="84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cs="宋体" w:asciiTheme="minorEastAsia" w:hAnsiTheme="minorEastAsia" w:eastAsiaTheme="minorEastAsia"/>
                <w:color w:val="auto"/>
                <w:sz w:val="24"/>
                <w:highlight w:val="none"/>
              </w:rPr>
            </w:pPr>
            <w:r>
              <w:rPr>
                <w:rFonts w:cs="宋体" w:asciiTheme="minorEastAsia" w:hAnsiTheme="minorEastAsia" w:eastAsiaTheme="minorEastAsia"/>
                <w:color w:val="auto"/>
                <w:sz w:val="24"/>
                <w:highlight w:val="none"/>
              </w:rPr>
              <w:t>13</w:t>
            </w:r>
          </w:p>
        </w:tc>
        <w:tc>
          <w:tcPr>
            <w:tcW w:w="926" w:type="dxa"/>
            <w:gridSpan w:val="2"/>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cs="宋体" w:asciiTheme="minorEastAsia" w:hAnsiTheme="minorEastAsia" w:eastAsiaTheme="minorEastAsia"/>
                <w:color w:val="auto"/>
                <w:sz w:val="20"/>
                <w:szCs w:val="20"/>
                <w:highlight w:val="none"/>
              </w:rPr>
            </w:pPr>
            <w:r>
              <w:rPr>
                <w:rFonts w:asciiTheme="minorEastAsia" w:hAnsiTheme="minorEastAsia" w:eastAsiaTheme="minorEastAsia"/>
                <w:color w:val="auto"/>
                <w:highlight w:val="none"/>
              </w:rPr>
              <w:t> </w:t>
            </w:r>
          </w:p>
        </w:tc>
        <w:tc>
          <w:tcPr>
            <w:tcW w:w="1300" w:type="dxa"/>
            <w:gridSpan w:val="2"/>
            <w:tcBorders>
              <w:top w:val="single" w:color="auto" w:sz="4" w:space="0"/>
              <w:left w:val="single" w:color="auto" w:sz="4" w:space="0"/>
              <w:bottom w:val="single" w:color="auto" w:sz="4" w:space="0"/>
              <w:right w:val="single" w:color="auto" w:sz="4" w:space="0"/>
            </w:tcBorders>
          </w:tcPr>
          <w:p>
            <w:pPr>
              <w:spacing w:before="100" w:beforeAutospacing="1" w:after="100" w:afterAutospacing="1"/>
              <w:rPr>
                <w:rFonts w:cs="宋体" w:asciiTheme="minorEastAsia" w:hAnsiTheme="minorEastAsia" w:eastAsiaTheme="minorEastAsia"/>
                <w:color w:val="auto"/>
                <w:sz w:val="20"/>
                <w:szCs w:val="20"/>
                <w:highlight w:val="none"/>
              </w:rPr>
            </w:pPr>
            <w:r>
              <w:rPr>
                <w:rFonts w:asciiTheme="minorEastAsia" w:hAnsiTheme="minorEastAsia" w:eastAsiaTheme="minorEastAsia"/>
                <w:color w:val="auto"/>
                <w:highlight w:val="none"/>
              </w:rPr>
              <w:t> </w:t>
            </w:r>
          </w:p>
        </w:tc>
      </w:tr>
    </w:tbl>
    <w:p>
      <w:pPr>
        <w:spacing w:line="520" w:lineRule="exact"/>
        <w:rPr>
          <w:rFonts w:asciiTheme="minorEastAsia" w:hAnsiTheme="minorEastAsia" w:eastAsiaTheme="minorEastAsia"/>
          <w:b/>
          <w:color w:val="auto"/>
          <w:sz w:val="44"/>
          <w:szCs w:val="44"/>
          <w:highlight w:val="none"/>
        </w:rPr>
      </w:pPr>
    </w:p>
    <w:sectPr>
      <w:footerReference r:id="rId10" w:type="first"/>
      <w:headerReference r:id="rId7" w:type="default"/>
      <w:footerReference r:id="rId8" w:type="default"/>
      <w:footerReference r:id="rId9" w:type="even"/>
      <w:pgSz w:w="11906" w:h="16838"/>
      <w:pgMar w:top="1418" w:right="1134" w:bottom="1134" w:left="1418"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Batang">
    <w:altName w:val="Malgun Gothic"/>
    <w:panose1 w:val="02030600000101010101"/>
    <w:charset w:val="81"/>
    <w:family w:val="roman"/>
    <w:pitch w:val="default"/>
    <w:sig w:usb0="00000000" w:usb1="00000000" w:usb2="00000030" w:usb3="00000000" w:csb0="0008009F" w:csb1="00000000"/>
  </w:font>
  <w:font w:name="Cambria">
    <w:panose1 w:val="02040503050406030204"/>
    <w:charset w:val="00"/>
    <w:family w:val="roman"/>
    <w:pitch w:val="default"/>
    <w:sig w:usb0="E00006FF" w:usb1="420024FF" w:usb2="02000000" w:usb3="00000000" w:csb0="2000019F" w:csb1="00000000"/>
  </w:font>
  <w:font w:name="全真簡中楷">
    <w:altName w:val="楷体_GB2312"/>
    <w:panose1 w:val="00000000000000000000"/>
    <w:charset w:val="88"/>
    <w:family w:val="modern"/>
    <w:pitch w:val="default"/>
    <w:sig w:usb0="00000000" w:usb1="00000000" w:usb2="00000010" w:usb3="00000000" w:csb0="0010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Black">
    <w:panose1 w:val="020B0A04020102020204"/>
    <w:charset w:val="00"/>
    <w:family w:val="swiss"/>
    <w:pitch w:val="default"/>
    <w:sig w:usb0="A00002AF" w:usb1="400078FB" w:usb2="00000000" w:usb3="00000000" w:csb0="6000009F" w:csb1="DFD7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0474308"/>
      <w:showingPlcHdr/>
    </w:sdtPr>
    <w:sdtContent>
      <w:p>
        <w:pPr>
          <w:pStyle w:val="14"/>
          <w:jc w:val="center"/>
        </w:pPr>
      </w:p>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separate"/>
    </w:r>
    <w:r>
      <w:rPr>
        <w:rFonts w:ascii="Arial Black" w:hAnsi="Arial Black"/>
      </w:rPr>
      <w:t>0</w:t>
    </w:r>
    <w: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0913488"/>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7454244"/>
    </w:sdtPr>
    <w:sdtContent>
      <w:p>
        <w:pPr>
          <w:pStyle w:val="14"/>
          <w:jc w:val="center"/>
        </w:pPr>
        <w:r>
          <w:fldChar w:fldCharType="begin"/>
        </w:r>
        <w:r>
          <w:instrText xml:space="preserve">PAGE   \* MERGEFORMAT</w:instrText>
        </w:r>
        <w:r>
          <w:fldChar w:fldCharType="separate"/>
        </w:r>
        <w:r>
          <w:rPr>
            <w:rFonts w:ascii="Arial Black" w:hAnsi="Arial Black"/>
            <w:lang w:val="zh-CN"/>
          </w:rPr>
          <w:t>45</w:t>
        </w:r>
        <w:r>
          <w:fldChar w:fldCharType="end"/>
        </w:r>
      </w:p>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separate"/>
    </w:r>
    <w:r>
      <w:rPr>
        <w:rStyle w:val="25"/>
      </w:rPr>
      <w:t>53</w:t>
    </w:r>
    <w:r>
      <w:fldChar w:fldCharType="end"/>
    </w:r>
  </w:p>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p>
  <w:p>
    <w:pPr>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4E8E0C"/>
    <w:multiLevelType w:val="singleLevel"/>
    <w:tmpl w:val="BD4E8E0C"/>
    <w:lvl w:ilvl="0" w:tentative="0">
      <w:start w:val="1"/>
      <w:numFmt w:val="decimal"/>
      <w:suff w:val="nothing"/>
      <w:lvlText w:val="%1、"/>
      <w:lvlJc w:val="left"/>
    </w:lvl>
  </w:abstractNum>
  <w:abstractNum w:abstractNumId="1">
    <w:nsid w:val="E413B5B0"/>
    <w:multiLevelType w:val="singleLevel"/>
    <w:tmpl w:val="E413B5B0"/>
    <w:lvl w:ilvl="0" w:tentative="0">
      <w:start w:val="1"/>
      <w:numFmt w:val="decimal"/>
      <w:suff w:val="nothing"/>
      <w:lvlText w:val="%1、"/>
      <w:lvlJc w:val="left"/>
    </w:lvl>
  </w:abstractNum>
  <w:abstractNum w:abstractNumId="2">
    <w:nsid w:val="EE9F24CB"/>
    <w:multiLevelType w:val="singleLevel"/>
    <w:tmpl w:val="EE9F24CB"/>
    <w:lvl w:ilvl="0" w:tentative="0">
      <w:start w:val="18"/>
      <w:numFmt w:val="decimal"/>
      <w:suff w:val="nothing"/>
      <w:lvlText w:val="%1、"/>
      <w:lvlJc w:val="left"/>
    </w:lvl>
  </w:abstractNum>
  <w:abstractNum w:abstractNumId="3">
    <w:nsid w:val="F90F39C1"/>
    <w:multiLevelType w:val="singleLevel"/>
    <w:tmpl w:val="F90F39C1"/>
    <w:lvl w:ilvl="0" w:tentative="0">
      <w:start w:val="1"/>
      <w:numFmt w:val="decimal"/>
      <w:suff w:val="nothing"/>
      <w:lvlText w:val="（%1）"/>
      <w:lvlJc w:val="left"/>
    </w:lvl>
  </w:abstractNum>
  <w:abstractNum w:abstractNumId="4">
    <w:nsid w:val="0B05B898"/>
    <w:multiLevelType w:val="multilevel"/>
    <w:tmpl w:val="0B05B898"/>
    <w:lvl w:ilvl="0" w:tentative="0">
      <w:start w:val="4"/>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
    <w:nsid w:val="296BA0B4"/>
    <w:multiLevelType w:val="singleLevel"/>
    <w:tmpl w:val="296BA0B4"/>
    <w:lvl w:ilvl="0" w:tentative="0">
      <w:start w:val="1"/>
      <w:numFmt w:val="chineseCounting"/>
      <w:suff w:val="nothing"/>
      <w:lvlText w:val="%1、"/>
      <w:lvlJc w:val="left"/>
      <w:rPr>
        <w:rFonts w:hint="eastAsia"/>
      </w:rPr>
    </w:lvl>
  </w:abstractNum>
  <w:abstractNum w:abstractNumId="6">
    <w:nsid w:val="71F921E0"/>
    <w:multiLevelType w:val="multilevel"/>
    <w:tmpl w:val="71F921E0"/>
    <w:lvl w:ilvl="0" w:tentative="0">
      <w:start w:val="1"/>
      <w:numFmt w:val="decimal"/>
      <w:lvlText w:val="%1"/>
      <w:lvlJc w:val="left"/>
      <w:pPr>
        <w:ind w:left="800" w:hanging="800"/>
      </w:pPr>
      <w:rPr>
        <w:rFonts w:hint="default"/>
      </w:rPr>
    </w:lvl>
    <w:lvl w:ilvl="1" w:tentative="0">
      <w:start w:val="1"/>
      <w:numFmt w:val="decimal"/>
      <w:lvlText w:val="%1.%2"/>
      <w:lvlJc w:val="left"/>
      <w:pPr>
        <w:ind w:left="1120" w:hanging="800"/>
      </w:pPr>
      <w:rPr>
        <w:rFonts w:hint="default"/>
      </w:rPr>
    </w:lvl>
    <w:lvl w:ilvl="2" w:tentative="0">
      <w:start w:val="1"/>
      <w:numFmt w:val="decimal"/>
      <w:lvlText w:val="%1.%2.%3"/>
      <w:lvlJc w:val="left"/>
      <w:pPr>
        <w:ind w:left="1720" w:hanging="1080"/>
      </w:pPr>
      <w:rPr>
        <w:rFonts w:hint="default"/>
      </w:rPr>
    </w:lvl>
    <w:lvl w:ilvl="3" w:tentative="0">
      <w:start w:val="1"/>
      <w:numFmt w:val="decimal"/>
      <w:lvlText w:val="%1.%2.%3.%4"/>
      <w:lvlJc w:val="left"/>
      <w:pPr>
        <w:ind w:left="2400" w:hanging="1440"/>
      </w:pPr>
      <w:rPr>
        <w:rFonts w:hint="default"/>
      </w:rPr>
    </w:lvl>
    <w:lvl w:ilvl="4" w:tentative="0">
      <w:start w:val="1"/>
      <w:numFmt w:val="decimal"/>
      <w:lvlText w:val="%1.%2.%3.%4.%5"/>
      <w:lvlJc w:val="left"/>
      <w:pPr>
        <w:ind w:left="2720" w:hanging="1440"/>
      </w:pPr>
      <w:rPr>
        <w:rFonts w:hint="default"/>
      </w:rPr>
    </w:lvl>
    <w:lvl w:ilvl="5" w:tentative="0">
      <w:start w:val="1"/>
      <w:numFmt w:val="decimal"/>
      <w:lvlText w:val="%1.%2.%3.%4.%5.%6"/>
      <w:lvlJc w:val="left"/>
      <w:pPr>
        <w:ind w:left="3400" w:hanging="1800"/>
      </w:pPr>
      <w:rPr>
        <w:rFonts w:hint="default"/>
      </w:rPr>
    </w:lvl>
    <w:lvl w:ilvl="6" w:tentative="0">
      <w:start w:val="1"/>
      <w:numFmt w:val="decimal"/>
      <w:lvlText w:val="%1.%2.%3.%4.%5.%6.%7"/>
      <w:lvlJc w:val="left"/>
      <w:pPr>
        <w:ind w:left="4080" w:hanging="2160"/>
      </w:pPr>
      <w:rPr>
        <w:rFonts w:hint="default"/>
      </w:rPr>
    </w:lvl>
    <w:lvl w:ilvl="7" w:tentative="0">
      <w:start w:val="1"/>
      <w:numFmt w:val="decimal"/>
      <w:lvlText w:val="%1.%2.%3.%4.%5.%6.%7.%8"/>
      <w:lvlJc w:val="left"/>
      <w:pPr>
        <w:ind w:left="4760" w:hanging="2520"/>
      </w:pPr>
      <w:rPr>
        <w:rFonts w:hint="default"/>
      </w:rPr>
    </w:lvl>
    <w:lvl w:ilvl="8" w:tentative="0">
      <w:start w:val="1"/>
      <w:numFmt w:val="decimal"/>
      <w:lvlText w:val="%1.%2.%3.%4.%5.%6.%7.%8.%9"/>
      <w:lvlJc w:val="left"/>
      <w:pPr>
        <w:ind w:left="5440" w:hanging="2880"/>
      </w:pPr>
      <w:rPr>
        <w:rFonts w:hint="default"/>
      </w:rPr>
    </w:lvl>
  </w:abstractNum>
  <w:num w:numId="1">
    <w:abstractNumId w:val="5"/>
  </w:num>
  <w:num w:numId="2">
    <w:abstractNumId w:val="3"/>
  </w:num>
  <w:num w:numId="3">
    <w:abstractNumId w:val="2"/>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xNjZjODdiNmU3ZDU3N2NhMWE0MjliYjZjZTUxYTQifQ=="/>
  </w:docVars>
  <w:rsids>
    <w:rsidRoot w:val="00010265"/>
    <w:rsid w:val="00002826"/>
    <w:rsid w:val="000028F1"/>
    <w:rsid w:val="00002C36"/>
    <w:rsid w:val="000065DD"/>
    <w:rsid w:val="000101C8"/>
    <w:rsid w:val="00010265"/>
    <w:rsid w:val="000108DF"/>
    <w:rsid w:val="000122DE"/>
    <w:rsid w:val="000132C0"/>
    <w:rsid w:val="00015AC3"/>
    <w:rsid w:val="00016DE2"/>
    <w:rsid w:val="000171ED"/>
    <w:rsid w:val="0002033B"/>
    <w:rsid w:val="0002385B"/>
    <w:rsid w:val="000244A8"/>
    <w:rsid w:val="00024E92"/>
    <w:rsid w:val="00026B49"/>
    <w:rsid w:val="00031B59"/>
    <w:rsid w:val="00035ADF"/>
    <w:rsid w:val="00046246"/>
    <w:rsid w:val="00046BFA"/>
    <w:rsid w:val="0004731B"/>
    <w:rsid w:val="0005016D"/>
    <w:rsid w:val="00050BF6"/>
    <w:rsid w:val="000533C8"/>
    <w:rsid w:val="00054F11"/>
    <w:rsid w:val="0005570A"/>
    <w:rsid w:val="00055911"/>
    <w:rsid w:val="00062483"/>
    <w:rsid w:val="00063852"/>
    <w:rsid w:val="00064432"/>
    <w:rsid w:val="00065982"/>
    <w:rsid w:val="00065C5E"/>
    <w:rsid w:val="00066A3B"/>
    <w:rsid w:val="00067265"/>
    <w:rsid w:val="00073805"/>
    <w:rsid w:val="00080359"/>
    <w:rsid w:val="000836E0"/>
    <w:rsid w:val="00083D74"/>
    <w:rsid w:val="00084D02"/>
    <w:rsid w:val="00085648"/>
    <w:rsid w:val="0008612B"/>
    <w:rsid w:val="000917C3"/>
    <w:rsid w:val="000929FA"/>
    <w:rsid w:val="00095672"/>
    <w:rsid w:val="00095A27"/>
    <w:rsid w:val="00097633"/>
    <w:rsid w:val="000A05C2"/>
    <w:rsid w:val="000A10C4"/>
    <w:rsid w:val="000A249F"/>
    <w:rsid w:val="000B1A28"/>
    <w:rsid w:val="000B23F3"/>
    <w:rsid w:val="000B3B10"/>
    <w:rsid w:val="000B4CCF"/>
    <w:rsid w:val="000B5021"/>
    <w:rsid w:val="000B6430"/>
    <w:rsid w:val="000C3FEF"/>
    <w:rsid w:val="000C7D53"/>
    <w:rsid w:val="000D3286"/>
    <w:rsid w:val="000D353D"/>
    <w:rsid w:val="000D3A98"/>
    <w:rsid w:val="000D68DC"/>
    <w:rsid w:val="000D6A78"/>
    <w:rsid w:val="000D6ACE"/>
    <w:rsid w:val="000E01A4"/>
    <w:rsid w:val="000E15A0"/>
    <w:rsid w:val="000E2D6B"/>
    <w:rsid w:val="000E37E2"/>
    <w:rsid w:val="000E4228"/>
    <w:rsid w:val="000F2A11"/>
    <w:rsid w:val="000F3E67"/>
    <w:rsid w:val="00101A74"/>
    <w:rsid w:val="001146ED"/>
    <w:rsid w:val="0012004A"/>
    <w:rsid w:val="00121B0C"/>
    <w:rsid w:val="0012759C"/>
    <w:rsid w:val="00130C1A"/>
    <w:rsid w:val="00131CD4"/>
    <w:rsid w:val="00131D58"/>
    <w:rsid w:val="001323B3"/>
    <w:rsid w:val="0013369D"/>
    <w:rsid w:val="00136953"/>
    <w:rsid w:val="00137F27"/>
    <w:rsid w:val="001405D6"/>
    <w:rsid w:val="00140F0D"/>
    <w:rsid w:val="00140F21"/>
    <w:rsid w:val="00145AC7"/>
    <w:rsid w:val="001500C1"/>
    <w:rsid w:val="00150757"/>
    <w:rsid w:val="00153522"/>
    <w:rsid w:val="00153798"/>
    <w:rsid w:val="00154BBB"/>
    <w:rsid w:val="00161545"/>
    <w:rsid w:val="0016169A"/>
    <w:rsid w:val="0016197F"/>
    <w:rsid w:val="0016314C"/>
    <w:rsid w:val="0017014D"/>
    <w:rsid w:val="00173F5E"/>
    <w:rsid w:val="00177B6F"/>
    <w:rsid w:val="00180750"/>
    <w:rsid w:val="00183E0E"/>
    <w:rsid w:val="0018686E"/>
    <w:rsid w:val="0019075E"/>
    <w:rsid w:val="001926D7"/>
    <w:rsid w:val="00197C72"/>
    <w:rsid w:val="001A0A5B"/>
    <w:rsid w:val="001A45DF"/>
    <w:rsid w:val="001A5ABE"/>
    <w:rsid w:val="001A5F22"/>
    <w:rsid w:val="001A63F4"/>
    <w:rsid w:val="001A6E81"/>
    <w:rsid w:val="001A723B"/>
    <w:rsid w:val="001B1A2D"/>
    <w:rsid w:val="001B1DB7"/>
    <w:rsid w:val="001B425E"/>
    <w:rsid w:val="001C1B1B"/>
    <w:rsid w:val="001C6A4F"/>
    <w:rsid w:val="001D0BE9"/>
    <w:rsid w:val="001D187A"/>
    <w:rsid w:val="001D5621"/>
    <w:rsid w:val="001D59C2"/>
    <w:rsid w:val="001D7D78"/>
    <w:rsid w:val="001E2F55"/>
    <w:rsid w:val="001E3560"/>
    <w:rsid w:val="001E4DD2"/>
    <w:rsid w:val="001E7551"/>
    <w:rsid w:val="001E7E94"/>
    <w:rsid w:val="001F1940"/>
    <w:rsid w:val="002010DE"/>
    <w:rsid w:val="00201C9D"/>
    <w:rsid w:val="00202CB8"/>
    <w:rsid w:val="00205271"/>
    <w:rsid w:val="00205F96"/>
    <w:rsid w:val="00210642"/>
    <w:rsid w:val="00221C49"/>
    <w:rsid w:val="00230105"/>
    <w:rsid w:val="0023246C"/>
    <w:rsid w:val="00232CE5"/>
    <w:rsid w:val="002353E6"/>
    <w:rsid w:val="00235949"/>
    <w:rsid w:val="00236502"/>
    <w:rsid w:val="00243963"/>
    <w:rsid w:val="00244EA0"/>
    <w:rsid w:val="00245807"/>
    <w:rsid w:val="002479D3"/>
    <w:rsid w:val="00247A0A"/>
    <w:rsid w:val="00251904"/>
    <w:rsid w:val="00260B68"/>
    <w:rsid w:val="002620F3"/>
    <w:rsid w:val="0026250F"/>
    <w:rsid w:val="00264E5C"/>
    <w:rsid w:val="00265ED5"/>
    <w:rsid w:val="00272B30"/>
    <w:rsid w:val="0027704B"/>
    <w:rsid w:val="00280336"/>
    <w:rsid w:val="00280C0F"/>
    <w:rsid w:val="002853C2"/>
    <w:rsid w:val="00290A62"/>
    <w:rsid w:val="0029285C"/>
    <w:rsid w:val="00295E39"/>
    <w:rsid w:val="002979C8"/>
    <w:rsid w:val="002A0C38"/>
    <w:rsid w:val="002A321D"/>
    <w:rsid w:val="002A6D4C"/>
    <w:rsid w:val="002B027A"/>
    <w:rsid w:val="002B03BA"/>
    <w:rsid w:val="002B17F6"/>
    <w:rsid w:val="002B18E0"/>
    <w:rsid w:val="002B5931"/>
    <w:rsid w:val="002B62AD"/>
    <w:rsid w:val="002C14C2"/>
    <w:rsid w:val="002C18F6"/>
    <w:rsid w:val="002C459B"/>
    <w:rsid w:val="002C6E17"/>
    <w:rsid w:val="002C7023"/>
    <w:rsid w:val="002C7566"/>
    <w:rsid w:val="002D22FF"/>
    <w:rsid w:val="002E0D6D"/>
    <w:rsid w:val="002E6ACB"/>
    <w:rsid w:val="002E735C"/>
    <w:rsid w:val="002F0668"/>
    <w:rsid w:val="002F07E5"/>
    <w:rsid w:val="002F15F1"/>
    <w:rsid w:val="002F2BCC"/>
    <w:rsid w:val="002F35CA"/>
    <w:rsid w:val="002F3F07"/>
    <w:rsid w:val="002F73AC"/>
    <w:rsid w:val="002F79DE"/>
    <w:rsid w:val="00302B0E"/>
    <w:rsid w:val="003149BB"/>
    <w:rsid w:val="003224C7"/>
    <w:rsid w:val="003239BB"/>
    <w:rsid w:val="00324563"/>
    <w:rsid w:val="00327096"/>
    <w:rsid w:val="00343A0C"/>
    <w:rsid w:val="00344BEC"/>
    <w:rsid w:val="003504E8"/>
    <w:rsid w:val="00354305"/>
    <w:rsid w:val="00361CC8"/>
    <w:rsid w:val="003645B1"/>
    <w:rsid w:val="003650EE"/>
    <w:rsid w:val="0037144B"/>
    <w:rsid w:val="0037240D"/>
    <w:rsid w:val="0037337B"/>
    <w:rsid w:val="0038751D"/>
    <w:rsid w:val="003934FD"/>
    <w:rsid w:val="00396148"/>
    <w:rsid w:val="003A6CC2"/>
    <w:rsid w:val="003A724F"/>
    <w:rsid w:val="003B14C0"/>
    <w:rsid w:val="003B4A9A"/>
    <w:rsid w:val="003B4C55"/>
    <w:rsid w:val="003B76DF"/>
    <w:rsid w:val="003C036F"/>
    <w:rsid w:val="003C1EA9"/>
    <w:rsid w:val="003C2DEE"/>
    <w:rsid w:val="003C44D1"/>
    <w:rsid w:val="003C5674"/>
    <w:rsid w:val="003C5775"/>
    <w:rsid w:val="003C73C7"/>
    <w:rsid w:val="003D04F8"/>
    <w:rsid w:val="003D0F77"/>
    <w:rsid w:val="003D2515"/>
    <w:rsid w:val="003D387D"/>
    <w:rsid w:val="003D574D"/>
    <w:rsid w:val="003F01E4"/>
    <w:rsid w:val="003F42D2"/>
    <w:rsid w:val="003F66BF"/>
    <w:rsid w:val="00401A11"/>
    <w:rsid w:val="004024F6"/>
    <w:rsid w:val="004025C0"/>
    <w:rsid w:val="00406981"/>
    <w:rsid w:val="0040779F"/>
    <w:rsid w:val="00407D63"/>
    <w:rsid w:val="0041261B"/>
    <w:rsid w:val="00412C68"/>
    <w:rsid w:val="00413BEE"/>
    <w:rsid w:val="00416C3F"/>
    <w:rsid w:val="0042148D"/>
    <w:rsid w:val="00421F8C"/>
    <w:rsid w:val="00424328"/>
    <w:rsid w:val="0042787C"/>
    <w:rsid w:val="00430137"/>
    <w:rsid w:val="00430316"/>
    <w:rsid w:val="00435D2F"/>
    <w:rsid w:val="00436A3A"/>
    <w:rsid w:val="00445DE9"/>
    <w:rsid w:val="00446839"/>
    <w:rsid w:val="004501D3"/>
    <w:rsid w:val="00453B7A"/>
    <w:rsid w:val="004547AE"/>
    <w:rsid w:val="004670EE"/>
    <w:rsid w:val="004715B0"/>
    <w:rsid w:val="00471E0D"/>
    <w:rsid w:val="0047270C"/>
    <w:rsid w:val="004734DA"/>
    <w:rsid w:val="00475916"/>
    <w:rsid w:val="004775D6"/>
    <w:rsid w:val="004836FC"/>
    <w:rsid w:val="004837EE"/>
    <w:rsid w:val="00483B06"/>
    <w:rsid w:val="00484BB3"/>
    <w:rsid w:val="004855DE"/>
    <w:rsid w:val="00486B16"/>
    <w:rsid w:val="00487001"/>
    <w:rsid w:val="00487D05"/>
    <w:rsid w:val="004937CC"/>
    <w:rsid w:val="00494141"/>
    <w:rsid w:val="00494DB4"/>
    <w:rsid w:val="00495D32"/>
    <w:rsid w:val="004A0646"/>
    <w:rsid w:val="004A1A03"/>
    <w:rsid w:val="004A2385"/>
    <w:rsid w:val="004B05DD"/>
    <w:rsid w:val="004B16AA"/>
    <w:rsid w:val="004B1F89"/>
    <w:rsid w:val="004B2415"/>
    <w:rsid w:val="004B3651"/>
    <w:rsid w:val="004C1728"/>
    <w:rsid w:val="004C7CC7"/>
    <w:rsid w:val="004E0CED"/>
    <w:rsid w:val="004E0F4E"/>
    <w:rsid w:val="004E792A"/>
    <w:rsid w:val="004F0604"/>
    <w:rsid w:val="004F069D"/>
    <w:rsid w:val="004F0A64"/>
    <w:rsid w:val="004F21D0"/>
    <w:rsid w:val="0050196E"/>
    <w:rsid w:val="00507083"/>
    <w:rsid w:val="005077B1"/>
    <w:rsid w:val="00507B3F"/>
    <w:rsid w:val="005168F8"/>
    <w:rsid w:val="00520301"/>
    <w:rsid w:val="00520E6F"/>
    <w:rsid w:val="005231CE"/>
    <w:rsid w:val="00523D89"/>
    <w:rsid w:val="005246E4"/>
    <w:rsid w:val="005246EA"/>
    <w:rsid w:val="00525CE7"/>
    <w:rsid w:val="005277BD"/>
    <w:rsid w:val="00530652"/>
    <w:rsid w:val="005314B6"/>
    <w:rsid w:val="00533ABA"/>
    <w:rsid w:val="00537F1D"/>
    <w:rsid w:val="00541901"/>
    <w:rsid w:val="00544FFD"/>
    <w:rsid w:val="005454CB"/>
    <w:rsid w:val="005513E7"/>
    <w:rsid w:val="00551ACF"/>
    <w:rsid w:val="0055352C"/>
    <w:rsid w:val="00554F36"/>
    <w:rsid w:val="00556306"/>
    <w:rsid w:val="00560B88"/>
    <w:rsid w:val="005644F9"/>
    <w:rsid w:val="00566DAE"/>
    <w:rsid w:val="00567CDA"/>
    <w:rsid w:val="00571F1C"/>
    <w:rsid w:val="00574CF2"/>
    <w:rsid w:val="0058384F"/>
    <w:rsid w:val="0058753C"/>
    <w:rsid w:val="00590D46"/>
    <w:rsid w:val="0059104B"/>
    <w:rsid w:val="0059275E"/>
    <w:rsid w:val="00594FCD"/>
    <w:rsid w:val="00597058"/>
    <w:rsid w:val="005A2C8F"/>
    <w:rsid w:val="005A4254"/>
    <w:rsid w:val="005A4E63"/>
    <w:rsid w:val="005A5BFA"/>
    <w:rsid w:val="005A5C1F"/>
    <w:rsid w:val="005A6525"/>
    <w:rsid w:val="005B04A0"/>
    <w:rsid w:val="005C1072"/>
    <w:rsid w:val="005C759D"/>
    <w:rsid w:val="005D1502"/>
    <w:rsid w:val="005D3445"/>
    <w:rsid w:val="005D530C"/>
    <w:rsid w:val="005E4280"/>
    <w:rsid w:val="005E4F11"/>
    <w:rsid w:val="005F18BB"/>
    <w:rsid w:val="005F68DE"/>
    <w:rsid w:val="00606817"/>
    <w:rsid w:val="00606A84"/>
    <w:rsid w:val="00606CB9"/>
    <w:rsid w:val="0060710A"/>
    <w:rsid w:val="00610C44"/>
    <w:rsid w:val="006112FB"/>
    <w:rsid w:val="0061478E"/>
    <w:rsid w:val="00617D70"/>
    <w:rsid w:val="00621BB2"/>
    <w:rsid w:val="006222AA"/>
    <w:rsid w:val="00624954"/>
    <w:rsid w:val="00624D91"/>
    <w:rsid w:val="00624DCE"/>
    <w:rsid w:val="0062544A"/>
    <w:rsid w:val="00625D53"/>
    <w:rsid w:val="00631435"/>
    <w:rsid w:val="00632FB1"/>
    <w:rsid w:val="0063617E"/>
    <w:rsid w:val="00637BC1"/>
    <w:rsid w:val="00643804"/>
    <w:rsid w:val="006448BC"/>
    <w:rsid w:val="00645B3B"/>
    <w:rsid w:val="00650ACA"/>
    <w:rsid w:val="00663834"/>
    <w:rsid w:val="00663D7E"/>
    <w:rsid w:val="006666DC"/>
    <w:rsid w:val="0067014D"/>
    <w:rsid w:val="006710C0"/>
    <w:rsid w:val="00674E08"/>
    <w:rsid w:val="00675875"/>
    <w:rsid w:val="00675F5A"/>
    <w:rsid w:val="0067604D"/>
    <w:rsid w:val="00676B6E"/>
    <w:rsid w:val="006803DF"/>
    <w:rsid w:val="006806C8"/>
    <w:rsid w:val="00681993"/>
    <w:rsid w:val="00683873"/>
    <w:rsid w:val="00685419"/>
    <w:rsid w:val="00690254"/>
    <w:rsid w:val="0069177A"/>
    <w:rsid w:val="006937CA"/>
    <w:rsid w:val="00693E5D"/>
    <w:rsid w:val="006969EC"/>
    <w:rsid w:val="006A11ED"/>
    <w:rsid w:val="006A673F"/>
    <w:rsid w:val="006B153F"/>
    <w:rsid w:val="006B2E65"/>
    <w:rsid w:val="006B3FEB"/>
    <w:rsid w:val="006B44AC"/>
    <w:rsid w:val="006B5182"/>
    <w:rsid w:val="006B5C01"/>
    <w:rsid w:val="006B640F"/>
    <w:rsid w:val="006B7C99"/>
    <w:rsid w:val="006C20E7"/>
    <w:rsid w:val="006C44F0"/>
    <w:rsid w:val="006C4BF9"/>
    <w:rsid w:val="006C647B"/>
    <w:rsid w:val="006C73BE"/>
    <w:rsid w:val="006D1B42"/>
    <w:rsid w:val="006D1DA6"/>
    <w:rsid w:val="006D46E3"/>
    <w:rsid w:val="006E26A0"/>
    <w:rsid w:val="006F0F1A"/>
    <w:rsid w:val="006F14A0"/>
    <w:rsid w:val="006F1D38"/>
    <w:rsid w:val="006F2B82"/>
    <w:rsid w:val="006F5D0E"/>
    <w:rsid w:val="00703384"/>
    <w:rsid w:val="00704331"/>
    <w:rsid w:val="007050B5"/>
    <w:rsid w:val="00712CB0"/>
    <w:rsid w:val="00712FF6"/>
    <w:rsid w:val="0071442D"/>
    <w:rsid w:val="00716555"/>
    <w:rsid w:val="00720736"/>
    <w:rsid w:val="00720C51"/>
    <w:rsid w:val="00721179"/>
    <w:rsid w:val="00721432"/>
    <w:rsid w:val="007227A8"/>
    <w:rsid w:val="00722D79"/>
    <w:rsid w:val="007237E2"/>
    <w:rsid w:val="007254AC"/>
    <w:rsid w:val="007256B3"/>
    <w:rsid w:val="00726634"/>
    <w:rsid w:val="00731518"/>
    <w:rsid w:val="00733144"/>
    <w:rsid w:val="00734868"/>
    <w:rsid w:val="00740466"/>
    <w:rsid w:val="007511E9"/>
    <w:rsid w:val="0076044F"/>
    <w:rsid w:val="00761BE1"/>
    <w:rsid w:val="00763198"/>
    <w:rsid w:val="00764D7A"/>
    <w:rsid w:val="0076536C"/>
    <w:rsid w:val="0076610E"/>
    <w:rsid w:val="0077102F"/>
    <w:rsid w:val="007711DE"/>
    <w:rsid w:val="0077441A"/>
    <w:rsid w:val="007852EB"/>
    <w:rsid w:val="00791EE3"/>
    <w:rsid w:val="00794080"/>
    <w:rsid w:val="007A07AB"/>
    <w:rsid w:val="007A0F39"/>
    <w:rsid w:val="007A344B"/>
    <w:rsid w:val="007A549D"/>
    <w:rsid w:val="007B5CFC"/>
    <w:rsid w:val="007C662C"/>
    <w:rsid w:val="007D0A63"/>
    <w:rsid w:val="007D5038"/>
    <w:rsid w:val="007D5F33"/>
    <w:rsid w:val="007D609F"/>
    <w:rsid w:val="007D7D44"/>
    <w:rsid w:val="007E5E1E"/>
    <w:rsid w:val="007F13F4"/>
    <w:rsid w:val="007F18D7"/>
    <w:rsid w:val="007F616E"/>
    <w:rsid w:val="007F75BD"/>
    <w:rsid w:val="0080086E"/>
    <w:rsid w:val="00805CB0"/>
    <w:rsid w:val="008061B3"/>
    <w:rsid w:val="00820ED6"/>
    <w:rsid w:val="00822B6C"/>
    <w:rsid w:val="00826519"/>
    <w:rsid w:val="00827281"/>
    <w:rsid w:val="00827575"/>
    <w:rsid w:val="00831A31"/>
    <w:rsid w:val="00832C2B"/>
    <w:rsid w:val="0083370E"/>
    <w:rsid w:val="008350CA"/>
    <w:rsid w:val="00843641"/>
    <w:rsid w:val="00844E07"/>
    <w:rsid w:val="0084619D"/>
    <w:rsid w:val="008554C1"/>
    <w:rsid w:val="00856B21"/>
    <w:rsid w:val="00863E94"/>
    <w:rsid w:val="00864D8B"/>
    <w:rsid w:val="00865225"/>
    <w:rsid w:val="008665C0"/>
    <w:rsid w:val="008733A8"/>
    <w:rsid w:val="00881D64"/>
    <w:rsid w:val="00884B49"/>
    <w:rsid w:val="00886C83"/>
    <w:rsid w:val="00890168"/>
    <w:rsid w:val="00892436"/>
    <w:rsid w:val="00893275"/>
    <w:rsid w:val="0089591B"/>
    <w:rsid w:val="008A0586"/>
    <w:rsid w:val="008A5C35"/>
    <w:rsid w:val="008A6825"/>
    <w:rsid w:val="008B7ECB"/>
    <w:rsid w:val="008C2226"/>
    <w:rsid w:val="008D0351"/>
    <w:rsid w:val="008D0622"/>
    <w:rsid w:val="008D1E72"/>
    <w:rsid w:val="008E1708"/>
    <w:rsid w:val="008E248C"/>
    <w:rsid w:val="008E4FB8"/>
    <w:rsid w:val="008F05B8"/>
    <w:rsid w:val="008F08C2"/>
    <w:rsid w:val="009017D9"/>
    <w:rsid w:val="009048BD"/>
    <w:rsid w:val="00910300"/>
    <w:rsid w:val="00913B39"/>
    <w:rsid w:val="00916288"/>
    <w:rsid w:val="0092193F"/>
    <w:rsid w:val="00922D5D"/>
    <w:rsid w:val="00922EC3"/>
    <w:rsid w:val="009230C6"/>
    <w:rsid w:val="00923AB2"/>
    <w:rsid w:val="00923F77"/>
    <w:rsid w:val="00926DC6"/>
    <w:rsid w:val="0093109F"/>
    <w:rsid w:val="009339F0"/>
    <w:rsid w:val="00935486"/>
    <w:rsid w:val="009400B5"/>
    <w:rsid w:val="00940123"/>
    <w:rsid w:val="00940DD3"/>
    <w:rsid w:val="00941DA0"/>
    <w:rsid w:val="00943D90"/>
    <w:rsid w:val="00944597"/>
    <w:rsid w:val="00945C8B"/>
    <w:rsid w:val="0095243F"/>
    <w:rsid w:val="009549DF"/>
    <w:rsid w:val="009556CD"/>
    <w:rsid w:val="0095614A"/>
    <w:rsid w:val="009652AF"/>
    <w:rsid w:val="009709A6"/>
    <w:rsid w:val="00974679"/>
    <w:rsid w:val="009800F8"/>
    <w:rsid w:val="00985401"/>
    <w:rsid w:val="009874C4"/>
    <w:rsid w:val="009921D9"/>
    <w:rsid w:val="00995A88"/>
    <w:rsid w:val="009A07A2"/>
    <w:rsid w:val="009A0B30"/>
    <w:rsid w:val="009A1D1F"/>
    <w:rsid w:val="009A2020"/>
    <w:rsid w:val="009A3F10"/>
    <w:rsid w:val="009B4A8B"/>
    <w:rsid w:val="009B6AD9"/>
    <w:rsid w:val="009B70C7"/>
    <w:rsid w:val="009B77D5"/>
    <w:rsid w:val="009C4650"/>
    <w:rsid w:val="009C5F30"/>
    <w:rsid w:val="009D08A4"/>
    <w:rsid w:val="009D5F70"/>
    <w:rsid w:val="009D61D9"/>
    <w:rsid w:val="009E29CD"/>
    <w:rsid w:val="009E2C28"/>
    <w:rsid w:val="009E5DF0"/>
    <w:rsid w:val="009E79A6"/>
    <w:rsid w:val="009F1D77"/>
    <w:rsid w:val="009F23DD"/>
    <w:rsid w:val="009F3704"/>
    <w:rsid w:val="009F547C"/>
    <w:rsid w:val="009F58B5"/>
    <w:rsid w:val="00A16F88"/>
    <w:rsid w:val="00A2579C"/>
    <w:rsid w:val="00A272CB"/>
    <w:rsid w:val="00A27CB8"/>
    <w:rsid w:val="00A3215F"/>
    <w:rsid w:val="00A35901"/>
    <w:rsid w:val="00A36715"/>
    <w:rsid w:val="00A37387"/>
    <w:rsid w:val="00A40EC0"/>
    <w:rsid w:val="00A41C83"/>
    <w:rsid w:val="00A44BA9"/>
    <w:rsid w:val="00A44E4D"/>
    <w:rsid w:val="00A46A54"/>
    <w:rsid w:val="00A51A12"/>
    <w:rsid w:val="00A523C9"/>
    <w:rsid w:val="00A60CFC"/>
    <w:rsid w:val="00A612FC"/>
    <w:rsid w:val="00A61F64"/>
    <w:rsid w:val="00A709F1"/>
    <w:rsid w:val="00A70A8F"/>
    <w:rsid w:val="00A7150E"/>
    <w:rsid w:val="00A74ED9"/>
    <w:rsid w:val="00A803AF"/>
    <w:rsid w:val="00A80C1D"/>
    <w:rsid w:val="00A83550"/>
    <w:rsid w:val="00A87D8B"/>
    <w:rsid w:val="00A934C9"/>
    <w:rsid w:val="00A978D2"/>
    <w:rsid w:val="00A979F2"/>
    <w:rsid w:val="00AA68B7"/>
    <w:rsid w:val="00AB2DB8"/>
    <w:rsid w:val="00AB3254"/>
    <w:rsid w:val="00AC5B63"/>
    <w:rsid w:val="00AD175B"/>
    <w:rsid w:val="00AD7EF9"/>
    <w:rsid w:val="00AE4AC3"/>
    <w:rsid w:val="00AE7337"/>
    <w:rsid w:val="00AF5728"/>
    <w:rsid w:val="00B025A3"/>
    <w:rsid w:val="00B06888"/>
    <w:rsid w:val="00B07A31"/>
    <w:rsid w:val="00B11603"/>
    <w:rsid w:val="00B157DE"/>
    <w:rsid w:val="00B17339"/>
    <w:rsid w:val="00B32812"/>
    <w:rsid w:val="00B33049"/>
    <w:rsid w:val="00B347D6"/>
    <w:rsid w:val="00B3658A"/>
    <w:rsid w:val="00B42727"/>
    <w:rsid w:val="00B51CCC"/>
    <w:rsid w:val="00B529E6"/>
    <w:rsid w:val="00B6188B"/>
    <w:rsid w:val="00B661AE"/>
    <w:rsid w:val="00B707CA"/>
    <w:rsid w:val="00B7485D"/>
    <w:rsid w:val="00B76F00"/>
    <w:rsid w:val="00B77C13"/>
    <w:rsid w:val="00B83FE0"/>
    <w:rsid w:val="00B84059"/>
    <w:rsid w:val="00B846A9"/>
    <w:rsid w:val="00B869DB"/>
    <w:rsid w:val="00B92596"/>
    <w:rsid w:val="00BA1481"/>
    <w:rsid w:val="00BA2987"/>
    <w:rsid w:val="00BA6218"/>
    <w:rsid w:val="00BA66E7"/>
    <w:rsid w:val="00BA674F"/>
    <w:rsid w:val="00BA7043"/>
    <w:rsid w:val="00BB3092"/>
    <w:rsid w:val="00BB4382"/>
    <w:rsid w:val="00BB4D06"/>
    <w:rsid w:val="00BB5025"/>
    <w:rsid w:val="00BB6803"/>
    <w:rsid w:val="00BB79B4"/>
    <w:rsid w:val="00BC4FD2"/>
    <w:rsid w:val="00BC5332"/>
    <w:rsid w:val="00BD1CBC"/>
    <w:rsid w:val="00BD3253"/>
    <w:rsid w:val="00BE2701"/>
    <w:rsid w:val="00BE4431"/>
    <w:rsid w:val="00BF6CB4"/>
    <w:rsid w:val="00BF762D"/>
    <w:rsid w:val="00BF79CF"/>
    <w:rsid w:val="00BF7B91"/>
    <w:rsid w:val="00C002C3"/>
    <w:rsid w:val="00C0376A"/>
    <w:rsid w:val="00C04A57"/>
    <w:rsid w:val="00C06BD9"/>
    <w:rsid w:val="00C1268E"/>
    <w:rsid w:val="00C16C0D"/>
    <w:rsid w:val="00C209B4"/>
    <w:rsid w:val="00C21B26"/>
    <w:rsid w:val="00C2275E"/>
    <w:rsid w:val="00C24EDB"/>
    <w:rsid w:val="00C26145"/>
    <w:rsid w:val="00C30182"/>
    <w:rsid w:val="00C34B4E"/>
    <w:rsid w:val="00C362B2"/>
    <w:rsid w:val="00C3747E"/>
    <w:rsid w:val="00C407B8"/>
    <w:rsid w:val="00C4303E"/>
    <w:rsid w:val="00C437E6"/>
    <w:rsid w:val="00C43C59"/>
    <w:rsid w:val="00C50B69"/>
    <w:rsid w:val="00C525DB"/>
    <w:rsid w:val="00C53545"/>
    <w:rsid w:val="00C540BD"/>
    <w:rsid w:val="00C5459B"/>
    <w:rsid w:val="00C54871"/>
    <w:rsid w:val="00C54C81"/>
    <w:rsid w:val="00C55820"/>
    <w:rsid w:val="00C55DEE"/>
    <w:rsid w:val="00C62492"/>
    <w:rsid w:val="00C62F2D"/>
    <w:rsid w:val="00C65877"/>
    <w:rsid w:val="00C70181"/>
    <w:rsid w:val="00C7018F"/>
    <w:rsid w:val="00C7121E"/>
    <w:rsid w:val="00C7374A"/>
    <w:rsid w:val="00C84346"/>
    <w:rsid w:val="00C851E0"/>
    <w:rsid w:val="00C8622C"/>
    <w:rsid w:val="00C8783B"/>
    <w:rsid w:val="00C87C82"/>
    <w:rsid w:val="00C90431"/>
    <w:rsid w:val="00C90E69"/>
    <w:rsid w:val="00C940B2"/>
    <w:rsid w:val="00C95980"/>
    <w:rsid w:val="00C967CE"/>
    <w:rsid w:val="00C96D0E"/>
    <w:rsid w:val="00CA12EF"/>
    <w:rsid w:val="00CA2388"/>
    <w:rsid w:val="00CA5090"/>
    <w:rsid w:val="00CA5659"/>
    <w:rsid w:val="00CA78B5"/>
    <w:rsid w:val="00CB33A0"/>
    <w:rsid w:val="00CB4260"/>
    <w:rsid w:val="00CB477D"/>
    <w:rsid w:val="00CC1D30"/>
    <w:rsid w:val="00CC200D"/>
    <w:rsid w:val="00CC4082"/>
    <w:rsid w:val="00CC6108"/>
    <w:rsid w:val="00CC6CE7"/>
    <w:rsid w:val="00CD3DE8"/>
    <w:rsid w:val="00CD3E26"/>
    <w:rsid w:val="00CD4090"/>
    <w:rsid w:val="00CE0CC7"/>
    <w:rsid w:val="00CE4332"/>
    <w:rsid w:val="00CE484F"/>
    <w:rsid w:val="00D066A6"/>
    <w:rsid w:val="00D11327"/>
    <w:rsid w:val="00D14A0D"/>
    <w:rsid w:val="00D17FFB"/>
    <w:rsid w:val="00D2029D"/>
    <w:rsid w:val="00D20CB1"/>
    <w:rsid w:val="00D22514"/>
    <w:rsid w:val="00D27116"/>
    <w:rsid w:val="00D31242"/>
    <w:rsid w:val="00D35E6F"/>
    <w:rsid w:val="00D40FC2"/>
    <w:rsid w:val="00D43753"/>
    <w:rsid w:val="00D43D68"/>
    <w:rsid w:val="00D45B08"/>
    <w:rsid w:val="00D51D90"/>
    <w:rsid w:val="00D51DA9"/>
    <w:rsid w:val="00D5323A"/>
    <w:rsid w:val="00D54E31"/>
    <w:rsid w:val="00D5735B"/>
    <w:rsid w:val="00D602FE"/>
    <w:rsid w:val="00D61A5B"/>
    <w:rsid w:val="00D63060"/>
    <w:rsid w:val="00D749EA"/>
    <w:rsid w:val="00D77F03"/>
    <w:rsid w:val="00D80AEE"/>
    <w:rsid w:val="00D81C93"/>
    <w:rsid w:val="00D82237"/>
    <w:rsid w:val="00D8697D"/>
    <w:rsid w:val="00D95A1F"/>
    <w:rsid w:val="00D95F80"/>
    <w:rsid w:val="00DA01EE"/>
    <w:rsid w:val="00DA0259"/>
    <w:rsid w:val="00DA4CE4"/>
    <w:rsid w:val="00DA4DE1"/>
    <w:rsid w:val="00DB4525"/>
    <w:rsid w:val="00DB5F84"/>
    <w:rsid w:val="00DC28D8"/>
    <w:rsid w:val="00DC6E97"/>
    <w:rsid w:val="00DC73A0"/>
    <w:rsid w:val="00DD23C9"/>
    <w:rsid w:val="00DD2BDE"/>
    <w:rsid w:val="00DD32B7"/>
    <w:rsid w:val="00DD375D"/>
    <w:rsid w:val="00DE422F"/>
    <w:rsid w:val="00DE7BFE"/>
    <w:rsid w:val="00DF044C"/>
    <w:rsid w:val="00DF1595"/>
    <w:rsid w:val="00DF1BBF"/>
    <w:rsid w:val="00DF2E21"/>
    <w:rsid w:val="00DF6700"/>
    <w:rsid w:val="00DF6DAA"/>
    <w:rsid w:val="00DF73C3"/>
    <w:rsid w:val="00DF7E42"/>
    <w:rsid w:val="00E01BA9"/>
    <w:rsid w:val="00E035A4"/>
    <w:rsid w:val="00E06202"/>
    <w:rsid w:val="00E10EE3"/>
    <w:rsid w:val="00E11D8D"/>
    <w:rsid w:val="00E127ED"/>
    <w:rsid w:val="00E20606"/>
    <w:rsid w:val="00E21EF4"/>
    <w:rsid w:val="00E2656A"/>
    <w:rsid w:val="00E334AB"/>
    <w:rsid w:val="00E35E1D"/>
    <w:rsid w:val="00E36EF6"/>
    <w:rsid w:val="00E4156C"/>
    <w:rsid w:val="00E42DEF"/>
    <w:rsid w:val="00E44375"/>
    <w:rsid w:val="00E45F37"/>
    <w:rsid w:val="00E46E5D"/>
    <w:rsid w:val="00E50F57"/>
    <w:rsid w:val="00E51EAD"/>
    <w:rsid w:val="00E531A2"/>
    <w:rsid w:val="00E60A39"/>
    <w:rsid w:val="00E621FE"/>
    <w:rsid w:val="00E64F39"/>
    <w:rsid w:val="00E71958"/>
    <w:rsid w:val="00E72CD8"/>
    <w:rsid w:val="00E868F9"/>
    <w:rsid w:val="00E91C81"/>
    <w:rsid w:val="00E92B04"/>
    <w:rsid w:val="00E9387C"/>
    <w:rsid w:val="00E94480"/>
    <w:rsid w:val="00E95818"/>
    <w:rsid w:val="00EA4131"/>
    <w:rsid w:val="00EA74A0"/>
    <w:rsid w:val="00EB6B5F"/>
    <w:rsid w:val="00EB7793"/>
    <w:rsid w:val="00EC1AAA"/>
    <w:rsid w:val="00EC6CB6"/>
    <w:rsid w:val="00ED6A53"/>
    <w:rsid w:val="00EE15D5"/>
    <w:rsid w:val="00EE3606"/>
    <w:rsid w:val="00EE3D83"/>
    <w:rsid w:val="00EE4EC9"/>
    <w:rsid w:val="00EE5C0B"/>
    <w:rsid w:val="00F020A4"/>
    <w:rsid w:val="00F1166C"/>
    <w:rsid w:val="00F11974"/>
    <w:rsid w:val="00F218B8"/>
    <w:rsid w:val="00F250C0"/>
    <w:rsid w:val="00F26338"/>
    <w:rsid w:val="00F3605C"/>
    <w:rsid w:val="00F368E6"/>
    <w:rsid w:val="00F42123"/>
    <w:rsid w:val="00F4381E"/>
    <w:rsid w:val="00F43D01"/>
    <w:rsid w:val="00F463C6"/>
    <w:rsid w:val="00F465A3"/>
    <w:rsid w:val="00F529E5"/>
    <w:rsid w:val="00F532CE"/>
    <w:rsid w:val="00F55353"/>
    <w:rsid w:val="00F571AF"/>
    <w:rsid w:val="00F57C22"/>
    <w:rsid w:val="00F62B84"/>
    <w:rsid w:val="00F6664F"/>
    <w:rsid w:val="00F70AF3"/>
    <w:rsid w:val="00F7521A"/>
    <w:rsid w:val="00F75563"/>
    <w:rsid w:val="00F81E80"/>
    <w:rsid w:val="00F85D05"/>
    <w:rsid w:val="00F85D4C"/>
    <w:rsid w:val="00F90489"/>
    <w:rsid w:val="00F919A6"/>
    <w:rsid w:val="00F93C1D"/>
    <w:rsid w:val="00F93F98"/>
    <w:rsid w:val="00F9604F"/>
    <w:rsid w:val="00F9633E"/>
    <w:rsid w:val="00FA007C"/>
    <w:rsid w:val="00FA1B50"/>
    <w:rsid w:val="00FA5A96"/>
    <w:rsid w:val="00FA7E13"/>
    <w:rsid w:val="00FB2E9F"/>
    <w:rsid w:val="00FB4AFB"/>
    <w:rsid w:val="00FB725B"/>
    <w:rsid w:val="00FB72C9"/>
    <w:rsid w:val="00FC0309"/>
    <w:rsid w:val="00FC2AEF"/>
    <w:rsid w:val="00FC3BBC"/>
    <w:rsid w:val="00FC44BC"/>
    <w:rsid w:val="00FD25E8"/>
    <w:rsid w:val="00FD2F56"/>
    <w:rsid w:val="00FD4DB9"/>
    <w:rsid w:val="00FD7863"/>
    <w:rsid w:val="00FE58DA"/>
    <w:rsid w:val="00FE6892"/>
    <w:rsid w:val="00FE7C15"/>
    <w:rsid w:val="00FE7E96"/>
    <w:rsid w:val="00FF2C4F"/>
    <w:rsid w:val="00FF2EBD"/>
    <w:rsid w:val="00FF3C67"/>
    <w:rsid w:val="019736AE"/>
    <w:rsid w:val="031B47A0"/>
    <w:rsid w:val="032130CD"/>
    <w:rsid w:val="0412123F"/>
    <w:rsid w:val="061652DF"/>
    <w:rsid w:val="06D5467E"/>
    <w:rsid w:val="07E430F7"/>
    <w:rsid w:val="0BC24083"/>
    <w:rsid w:val="0D176FE4"/>
    <w:rsid w:val="0EDE2DB2"/>
    <w:rsid w:val="131C7753"/>
    <w:rsid w:val="14357C2D"/>
    <w:rsid w:val="1D99075F"/>
    <w:rsid w:val="1DE551FA"/>
    <w:rsid w:val="246B2D83"/>
    <w:rsid w:val="247A1577"/>
    <w:rsid w:val="26826AAA"/>
    <w:rsid w:val="269E721A"/>
    <w:rsid w:val="2B8614A8"/>
    <w:rsid w:val="2E207FD8"/>
    <w:rsid w:val="2ECE099D"/>
    <w:rsid w:val="2F3D425F"/>
    <w:rsid w:val="31857A6F"/>
    <w:rsid w:val="34513A3F"/>
    <w:rsid w:val="34C0654F"/>
    <w:rsid w:val="367F1EC5"/>
    <w:rsid w:val="370F09B0"/>
    <w:rsid w:val="3A631589"/>
    <w:rsid w:val="3B8B3C2B"/>
    <w:rsid w:val="3C251713"/>
    <w:rsid w:val="3D0F2A25"/>
    <w:rsid w:val="3DB43E42"/>
    <w:rsid w:val="429E0D8B"/>
    <w:rsid w:val="448B3F5B"/>
    <w:rsid w:val="479C494A"/>
    <w:rsid w:val="4A6A511B"/>
    <w:rsid w:val="4D731018"/>
    <w:rsid w:val="4ED614DA"/>
    <w:rsid w:val="51A96453"/>
    <w:rsid w:val="51E45E84"/>
    <w:rsid w:val="539704FE"/>
    <w:rsid w:val="54B71948"/>
    <w:rsid w:val="55D61B15"/>
    <w:rsid w:val="57D0213E"/>
    <w:rsid w:val="597F1C28"/>
    <w:rsid w:val="5CD518A6"/>
    <w:rsid w:val="5F457E35"/>
    <w:rsid w:val="620B58E6"/>
    <w:rsid w:val="62FB24D0"/>
    <w:rsid w:val="63E62FCE"/>
    <w:rsid w:val="67D87A55"/>
    <w:rsid w:val="68732D07"/>
    <w:rsid w:val="68E966C3"/>
    <w:rsid w:val="6DA3270F"/>
    <w:rsid w:val="71DC7FF8"/>
    <w:rsid w:val="71E524A8"/>
    <w:rsid w:val="72250C85"/>
    <w:rsid w:val="74D111EB"/>
    <w:rsid w:val="74F8719D"/>
    <w:rsid w:val="753D2B05"/>
    <w:rsid w:val="78B1145D"/>
    <w:rsid w:val="7C4F24F3"/>
    <w:rsid w:val="7C8B294F"/>
    <w:rsid w:val="7FC76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6"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spacing w:before="260" w:after="260" w:line="416" w:lineRule="auto"/>
      <w:outlineLvl w:val="1"/>
    </w:pPr>
    <w:rPr>
      <w:rFonts w:ascii="Arial" w:hAnsi="Arial" w:eastAsia="黑体"/>
      <w:b/>
      <w:bCs/>
      <w:color w:val="CCCCFF"/>
      <w:sz w:val="32"/>
      <w:szCs w:val="32"/>
      <w:u w:val="single"/>
    </w:rPr>
  </w:style>
  <w:style w:type="paragraph" w:styleId="4">
    <w:name w:val="heading 3"/>
    <w:basedOn w:val="1"/>
    <w:next w:val="1"/>
    <w:link w:val="30"/>
    <w:qFormat/>
    <w:uiPriority w:val="0"/>
    <w:pPr>
      <w:keepNext/>
      <w:keepLines/>
      <w:spacing w:before="260" w:after="260" w:line="416" w:lineRule="auto"/>
      <w:outlineLvl w:val="2"/>
    </w:pPr>
    <w:rPr>
      <w:rFonts w:ascii="Book Antiqua" w:hAnsi="Book Antiqua" w:eastAsia="隶书"/>
      <w:b/>
      <w:bCs/>
      <w:color w:val="CCCCFF"/>
      <w:sz w:val="32"/>
      <w:szCs w:val="32"/>
      <w:u w:val="single"/>
    </w:rPr>
  </w:style>
  <w:style w:type="paragraph" w:styleId="5">
    <w:name w:val="heading 4"/>
    <w:basedOn w:val="1"/>
    <w:next w:val="1"/>
    <w:qFormat/>
    <w:uiPriority w:val="0"/>
    <w:pPr>
      <w:keepNext/>
      <w:keepLines/>
      <w:widowControl/>
      <w:spacing w:before="120" w:after="120"/>
      <w:outlineLvl w:val="3"/>
    </w:pPr>
    <w:rPr>
      <w:rFonts w:ascii="Arial" w:hAnsi="Arial" w:eastAsia="微软雅黑"/>
      <w:kern w:val="0"/>
      <w:szCs w:val="20"/>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annotation text"/>
    <w:basedOn w:val="1"/>
    <w:link w:val="31"/>
    <w:qFormat/>
    <w:uiPriority w:val="0"/>
    <w:pPr>
      <w:jc w:val="left"/>
    </w:pPr>
  </w:style>
  <w:style w:type="paragraph" w:styleId="8">
    <w:name w:val="Body Text 3"/>
    <w:basedOn w:val="1"/>
    <w:unhideWhenUsed/>
    <w:qFormat/>
    <w:uiPriority w:val="0"/>
    <w:pPr>
      <w:widowControl/>
      <w:spacing w:after="120"/>
      <w:jc w:val="left"/>
    </w:pPr>
    <w:rPr>
      <w:rFonts w:ascii="Arial" w:hAnsi="Arial" w:eastAsia="Batang"/>
      <w:kern w:val="0"/>
      <w:sz w:val="16"/>
      <w:szCs w:val="16"/>
      <w:lang w:val="en-GB" w:eastAsia="ko-KR"/>
    </w:rPr>
  </w:style>
  <w:style w:type="paragraph" w:styleId="9">
    <w:name w:val="Body Text"/>
    <w:basedOn w:val="1"/>
    <w:qFormat/>
    <w:uiPriority w:val="0"/>
    <w:pPr>
      <w:tabs>
        <w:tab w:val="left" w:pos="0"/>
        <w:tab w:val="left" w:pos="420"/>
      </w:tabs>
    </w:pPr>
    <w:rPr>
      <w:sz w:val="24"/>
      <w:szCs w:val="20"/>
    </w:rPr>
  </w:style>
  <w:style w:type="paragraph" w:styleId="10">
    <w:name w:val="Body Text Indent"/>
    <w:basedOn w:val="1"/>
    <w:link w:val="32"/>
    <w:qFormat/>
    <w:uiPriority w:val="0"/>
    <w:pPr>
      <w:spacing w:after="120"/>
      <w:ind w:left="420" w:leftChars="200"/>
    </w:pPr>
  </w:style>
  <w:style w:type="paragraph" w:styleId="11">
    <w:name w:val="Plain Text"/>
    <w:basedOn w:val="1"/>
    <w:next w:val="5"/>
    <w:link w:val="33"/>
    <w:qFormat/>
    <w:uiPriority w:val="0"/>
    <w:rPr>
      <w:rFonts w:ascii="宋体" w:hAnsi="Courier New"/>
      <w:szCs w:val="20"/>
    </w:rPr>
  </w:style>
  <w:style w:type="paragraph" w:styleId="12">
    <w:name w:val="Date"/>
    <w:basedOn w:val="1"/>
    <w:next w:val="1"/>
    <w:link w:val="34"/>
    <w:qFormat/>
    <w:uiPriority w:val="0"/>
    <w:rPr>
      <w:szCs w:val="20"/>
    </w:rPr>
  </w:style>
  <w:style w:type="paragraph" w:styleId="13">
    <w:name w:val="Balloon Text"/>
    <w:basedOn w:val="1"/>
    <w:semiHidden/>
    <w:qFormat/>
    <w:uiPriority w:val="0"/>
    <w:rPr>
      <w:sz w:val="18"/>
      <w:szCs w:val="18"/>
    </w:rPr>
  </w:style>
  <w:style w:type="paragraph" w:styleId="14">
    <w:name w:val="footer"/>
    <w:basedOn w:val="1"/>
    <w:link w:val="44"/>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Subtitle"/>
    <w:basedOn w:val="1"/>
    <w:next w:val="1"/>
    <w:qFormat/>
    <w:uiPriority w:val="6"/>
    <w:pPr>
      <w:spacing w:before="240" w:after="60" w:line="312" w:lineRule="auto"/>
      <w:jc w:val="center"/>
      <w:outlineLvl w:val="1"/>
    </w:pPr>
    <w:rPr>
      <w:rFonts w:ascii="Cambria" w:hAnsi="Cambria" w:cs="Cambria"/>
      <w:b/>
      <w:kern w:val="1"/>
      <w:sz w:val="32"/>
      <w:szCs w:val="32"/>
    </w:rPr>
  </w:style>
  <w:style w:type="paragraph" w:styleId="17">
    <w:name w:val="Normal (Web)"/>
    <w:basedOn w:val="1"/>
    <w:qFormat/>
    <w:uiPriority w:val="0"/>
    <w:pPr>
      <w:widowControl/>
      <w:spacing w:before="100" w:beforeAutospacing="1" w:after="100" w:afterAutospacing="1"/>
      <w:jc w:val="left"/>
    </w:pPr>
    <w:rPr>
      <w:rFonts w:ascii="宋体" w:hAnsi="宋体"/>
      <w:kern w:val="0"/>
      <w:sz w:val="24"/>
    </w:rPr>
  </w:style>
  <w:style w:type="paragraph" w:styleId="18">
    <w:name w:val="Title"/>
    <w:basedOn w:val="1"/>
    <w:next w:val="1"/>
    <w:qFormat/>
    <w:uiPriority w:val="0"/>
    <w:pPr>
      <w:spacing w:before="240" w:after="60" w:line="360" w:lineRule="auto"/>
      <w:ind w:firstLine="472" w:firstLineChars="472"/>
      <w:jc w:val="center"/>
      <w:outlineLvl w:val="0"/>
    </w:pPr>
    <w:rPr>
      <w:rFonts w:ascii="Cambria" w:hAnsi="Cambria"/>
      <w:b/>
      <w:bCs/>
      <w:sz w:val="32"/>
      <w:szCs w:val="32"/>
    </w:rPr>
  </w:style>
  <w:style w:type="paragraph" w:styleId="19">
    <w:name w:val="annotation subject"/>
    <w:basedOn w:val="7"/>
    <w:next w:val="7"/>
    <w:link w:val="35"/>
    <w:qFormat/>
    <w:uiPriority w:val="0"/>
    <w:rPr>
      <w:b/>
      <w:bCs/>
    </w:rPr>
  </w:style>
  <w:style w:type="paragraph" w:styleId="20">
    <w:name w:val="Body Text First Indent"/>
    <w:basedOn w:val="9"/>
    <w:unhideWhenUsed/>
    <w:qFormat/>
    <w:uiPriority w:val="99"/>
    <w:pPr>
      <w:ind w:firstLine="420" w:firstLineChars="100"/>
    </w:pPr>
    <w:rPr>
      <w:rFonts w:ascii="Calibri" w:hAnsi="Calibri"/>
      <w:szCs w:val="22"/>
    </w:rPr>
  </w:style>
  <w:style w:type="paragraph" w:styleId="21">
    <w:name w:val="Body Text First Indent 2"/>
    <w:basedOn w:val="10"/>
    <w:unhideWhenUsed/>
    <w:qFormat/>
    <w:uiPriority w:val="99"/>
    <w:pPr>
      <w:autoSpaceDE w:val="0"/>
      <w:autoSpaceDN w:val="0"/>
      <w:adjustRightInd w:val="0"/>
      <w:ind w:firstLine="420" w:firstLineChars="200"/>
      <w:jc w:val="left"/>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qFormat/>
    <w:uiPriority w:val="0"/>
    <w:rPr>
      <w:color w:val="0000FF"/>
      <w:u w:val="single"/>
    </w:rPr>
  </w:style>
  <w:style w:type="character" w:styleId="27">
    <w:name w:val="annotation reference"/>
    <w:qFormat/>
    <w:uiPriority w:val="0"/>
    <w:rPr>
      <w:sz w:val="21"/>
      <w:szCs w:val="21"/>
    </w:rPr>
  </w:style>
  <w:style w:type="paragraph" w:customStyle="1" w:styleId="28">
    <w:name w:val="Fließtext"/>
    <w:basedOn w:val="1"/>
    <w:qFormat/>
    <w:uiPriority w:val="0"/>
    <w:pPr>
      <w:overflowPunct w:val="0"/>
      <w:autoSpaceDE w:val="0"/>
      <w:autoSpaceDN w:val="0"/>
      <w:adjustRightInd w:val="0"/>
      <w:textAlignment w:val="baseline"/>
    </w:pPr>
    <w:rPr>
      <w:kern w:val="28"/>
      <w:szCs w:val="20"/>
    </w:rPr>
  </w:style>
  <w:style w:type="character" w:customStyle="1" w:styleId="29">
    <w:name w:val="标题 2 字符"/>
    <w:link w:val="3"/>
    <w:qFormat/>
    <w:uiPriority w:val="0"/>
    <w:rPr>
      <w:rFonts w:ascii="Arial" w:hAnsi="Arial" w:eastAsia="黑体"/>
      <w:b/>
      <w:bCs/>
      <w:color w:val="CCCCFF"/>
      <w:kern w:val="2"/>
      <w:sz w:val="32"/>
      <w:szCs w:val="32"/>
      <w:u w:val="single"/>
    </w:rPr>
  </w:style>
  <w:style w:type="character" w:customStyle="1" w:styleId="30">
    <w:name w:val="标题 3 字符"/>
    <w:link w:val="4"/>
    <w:qFormat/>
    <w:uiPriority w:val="0"/>
    <w:rPr>
      <w:rFonts w:ascii="Book Antiqua" w:hAnsi="Book Antiqua" w:eastAsia="隶书"/>
      <w:b/>
      <w:bCs/>
      <w:color w:val="CCCCFF"/>
      <w:kern w:val="2"/>
      <w:sz w:val="32"/>
      <w:szCs w:val="32"/>
      <w:u w:val="single"/>
    </w:rPr>
  </w:style>
  <w:style w:type="character" w:customStyle="1" w:styleId="31">
    <w:name w:val="批注文字 字符"/>
    <w:link w:val="7"/>
    <w:qFormat/>
    <w:uiPriority w:val="0"/>
    <w:rPr>
      <w:kern w:val="2"/>
      <w:sz w:val="21"/>
      <w:szCs w:val="24"/>
    </w:rPr>
  </w:style>
  <w:style w:type="character" w:customStyle="1" w:styleId="32">
    <w:name w:val="正文文本缩进 字符"/>
    <w:link w:val="10"/>
    <w:qFormat/>
    <w:uiPriority w:val="0"/>
    <w:rPr>
      <w:kern w:val="2"/>
      <w:sz w:val="21"/>
      <w:szCs w:val="24"/>
    </w:rPr>
  </w:style>
  <w:style w:type="character" w:customStyle="1" w:styleId="33">
    <w:name w:val="纯文本 字符"/>
    <w:link w:val="11"/>
    <w:qFormat/>
    <w:uiPriority w:val="0"/>
    <w:rPr>
      <w:rFonts w:ascii="宋体" w:hAnsi="Courier New" w:eastAsia="宋体"/>
      <w:kern w:val="2"/>
      <w:sz w:val="21"/>
      <w:lang w:val="en-US" w:eastAsia="zh-CN" w:bidi="ar-SA"/>
    </w:rPr>
  </w:style>
  <w:style w:type="character" w:customStyle="1" w:styleId="34">
    <w:name w:val="日期 字符"/>
    <w:link w:val="12"/>
    <w:qFormat/>
    <w:uiPriority w:val="0"/>
    <w:rPr>
      <w:kern w:val="2"/>
      <w:sz w:val="21"/>
    </w:rPr>
  </w:style>
  <w:style w:type="character" w:customStyle="1" w:styleId="35">
    <w:name w:val="批注主题 字符"/>
    <w:link w:val="19"/>
    <w:qFormat/>
    <w:uiPriority w:val="0"/>
    <w:rPr>
      <w:b/>
      <w:bCs/>
      <w:kern w:val="2"/>
      <w:sz w:val="21"/>
      <w:szCs w:val="24"/>
    </w:rPr>
  </w:style>
  <w:style w:type="paragraph" w:styleId="36">
    <w:name w:val="List Paragraph"/>
    <w:basedOn w:val="1"/>
    <w:qFormat/>
    <w:uiPriority w:val="34"/>
    <w:pPr>
      <w:widowControl/>
      <w:ind w:firstLine="420" w:firstLineChars="200"/>
      <w:jc w:val="left"/>
    </w:pPr>
    <w:rPr>
      <w:rFonts w:ascii="宋体" w:hAnsi="宋体" w:cs="宋体"/>
      <w:kern w:val="0"/>
      <w:sz w:val="24"/>
    </w:rPr>
  </w:style>
  <w:style w:type="paragraph" w:customStyle="1" w:styleId="37">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38">
    <w:name w:val="Particulars Slip"/>
    <w:basedOn w:val="1"/>
    <w:qFormat/>
    <w:uiPriority w:val="0"/>
    <w:pPr>
      <w:tabs>
        <w:tab w:val="left" w:pos="2160"/>
        <w:tab w:val="left" w:pos="2520"/>
        <w:tab w:val="left" w:pos="2880"/>
        <w:tab w:val="left" w:pos="3240"/>
        <w:tab w:val="left" w:pos="3600"/>
        <w:tab w:val="left" w:pos="3960"/>
      </w:tabs>
    </w:pPr>
    <w:rPr>
      <w:rFonts w:ascii="全真簡中楷" w:eastAsia="全真簡中楷"/>
      <w:snapToGrid w:val="0"/>
      <w:kern w:val="0"/>
      <w:sz w:val="28"/>
      <w:szCs w:val="20"/>
      <w:lang w:val="en-GB" w:eastAsia="en-US"/>
    </w:rPr>
  </w:style>
  <w:style w:type="paragraph" w:customStyle="1" w:styleId="39">
    <w:name w:val="Char"/>
    <w:basedOn w:val="1"/>
    <w:qFormat/>
    <w:uiPriority w:val="0"/>
    <w:pPr>
      <w:snapToGrid w:val="0"/>
      <w:spacing w:line="360" w:lineRule="auto"/>
      <w:ind w:firstLine="200" w:firstLineChars="200"/>
    </w:pPr>
    <w:rPr>
      <w:rFonts w:eastAsia="仿宋_GB2312"/>
      <w:sz w:val="24"/>
    </w:rPr>
  </w:style>
  <w:style w:type="paragraph" w:customStyle="1" w:styleId="40">
    <w:name w:val="Table Paragraph"/>
    <w:basedOn w:val="1"/>
    <w:qFormat/>
    <w:uiPriority w:val="1"/>
    <w:pPr>
      <w:autoSpaceDE w:val="0"/>
      <w:autoSpaceDN w:val="0"/>
      <w:adjustRightInd w:val="0"/>
      <w:jc w:val="left"/>
    </w:pPr>
    <w:rPr>
      <w:kern w:val="0"/>
    </w:rPr>
  </w:style>
  <w:style w:type="paragraph" w:customStyle="1" w:styleId="41">
    <w:name w:val="参考文献行"/>
    <w:basedOn w:val="9"/>
    <w:qFormat/>
    <w:uiPriority w:val="0"/>
    <w:pPr>
      <w:widowControl/>
      <w:jc w:val="left"/>
    </w:pPr>
    <w:rPr>
      <w:rFonts w:ascii="Verdana" w:hAnsi="Verdana" w:cs="Verdana"/>
    </w:rPr>
  </w:style>
  <w:style w:type="paragraph" w:customStyle="1" w:styleId="42">
    <w:name w:val="样式1"/>
    <w:basedOn w:val="1"/>
    <w:qFormat/>
    <w:uiPriority w:val="0"/>
    <w:pPr>
      <w:spacing w:before="120" w:after="120" w:line="300" w:lineRule="auto"/>
    </w:pPr>
    <w:rPr>
      <w:rFonts w:ascii="宋体" w:hAnsi="宋体"/>
      <w:b/>
      <w:sz w:val="24"/>
      <w:szCs w:val="20"/>
    </w:rPr>
  </w:style>
  <w:style w:type="paragraph" w:customStyle="1" w:styleId="43">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44">
    <w:name w:val="页脚 字符"/>
    <w:basedOn w:val="24"/>
    <w:link w:val="14"/>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88</Pages>
  <Words>44992</Words>
  <Characters>47348</Characters>
  <Lines>369</Lines>
  <Paragraphs>104</Paragraphs>
  <TotalTime>1</TotalTime>
  <ScaleCrop>false</ScaleCrop>
  <LinksUpToDate>false</LinksUpToDate>
  <CharactersWithSpaces>49512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2023-09-04T07:42:00Z</dcterms:created>
  <dc:creator>lenovo</dc:creator>
  <cp:lastModifiedBy>齐宁</cp:lastModifiedBy>
  <cp:lastPrinted>2013-08-07T04:45:00Z</cp:lastPrinted>
  <dcterms:modified xsi:type="dcterms:W3CDTF">2023-10-07T13:35:36Z</dcterms:modified>
  <dc:title>延津县政府采购体育馆电子显示屏及安装项目</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E03C44C92A384BFB95FCD5181C79C42C_13</vt:lpwstr>
  </property>
</Properties>
</file>