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94"/>
        </w:tabs>
        <w:spacing w:line="360" w:lineRule="auto"/>
        <w:rPr>
          <w:rFonts w:asciiTheme="minorEastAsia" w:hAnsiTheme="minorEastAsia" w:eastAsiaTheme="minorEastAsia"/>
          <w:color w:val="auto"/>
          <w:sz w:val="56"/>
          <w:szCs w:val="56"/>
          <w:highlight w:val="none"/>
        </w:rPr>
      </w:pPr>
    </w:p>
    <w:p>
      <w:pPr>
        <w:spacing w:line="360" w:lineRule="auto"/>
        <w:rPr>
          <w:rFonts w:asciiTheme="minorEastAsia" w:hAnsiTheme="minorEastAsia" w:eastAsiaTheme="minorEastAsia"/>
          <w:color w:val="auto"/>
          <w:sz w:val="56"/>
          <w:szCs w:val="56"/>
          <w:highlight w:val="none"/>
        </w:rPr>
      </w:pPr>
    </w:p>
    <w:p>
      <w:pPr>
        <w:spacing w:line="360" w:lineRule="auto"/>
        <w:jc w:val="center"/>
        <w:rPr>
          <w:rFonts w:ascii="微软雅黑" w:hAnsi="微软雅黑" w:eastAsia="微软雅黑" w:cs="微软雅黑"/>
          <w:b/>
          <w:color w:val="auto"/>
          <w:sz w:val="56"/>
          <w:szCs w:val="56"/>
          <w:highlight w:val="none"/>
        </w:rPr>
      </w:pPr>
      <w:r>
        <w:rPr>
          <w:rFonts w:hint="eastAsia" w:ascii="微软雅黑" w:hAnsi="微软雅黑" w:eastAsia="微软雅黑" w:cs="微软雅黑"/>
          <w:b/>
          <w:color w:val="auto"/>
          <w:sz w:val="56"/>
          <w:szCs w:val="56"/>
          <w:highlight w:val="none"/>
        </w:rPr>
        <w:t>中粮糖业（漳州）有限公司</w:t>
      </w:r>
    </w:p>
    <w:p>
      <w:pPr>
        <w:jc w:val="center"/>
        <w:rPr>
          <w:rFonts w:hint="eastAsia" w:ascii="微软雅黑" w:hAnsi="微软雅黑" w:eastAsia="微软雅黑" w:cs="微软雅黑"/>
          <w:b/>
          <w:color w:val="auto"/>
          <w:sz w:val="56"/>
          <w:szCs w:val="56"/>
          <w:highlight w:val="none"/>
          <w:lang w:val="en-US" w:eastAsia="zh-CN"/>
        </w:rPr>
      </w:pPr>
      <w:r>
        <w:rPr>
          <w:rFonts w:hint="eastAsia" w:ascii="微软雅黑" w:hAnsi="微软雅黑" w:eastAsia="微软雅黑" w:cs="微软雅黑"/>
          <w:b/>
          <w:color w:val="auto"/>
          <w:sz w:val="56"/>
          <w:szCs w:val="56"/>
          <w:highlight w:val="none"/>
          <w:lang w:val="en-US" w:eastAsia="zh-CN"/>
        </w:rPr>
        <w:t>锅炉炉膛检修升降平台</w:t>
      </w:r>
    </w:p>
    <w:p>
      <w:pPr>
        <w:jc w:val="center"/>
        <w:rPr>
          <w:rFonts w:ascii="微软雅黑" w:hAnsi="微软雅黑" w:eastAsia="微软雅黑" w:cs="微软雅黑"/>
          <w:b/>
          <w:color w:val="auto"/>
          <w:sz w:val="56"/>
          <w:szCs w:val="56"/>
          <w:highlight w:val="none"/>
        </w:rPr>
      </w:pPr>
      <w:r>
        <w:rPr>
          <w:rFonts w:hint="eastAsia" w:ascii="微软雅黑" w:hAnsi="微软雅黑" w:eastAsia="微软雅黑" w:cs="微软雅黑"/>
          <w:b/>
          <w:color w:val="auto"/>
          <w:sz w:val="56"/>
          <w:szCs w:val="56"/>
          <w:highlight w:val="none"/>
        </w:rPr>
        <w:t>谈判</w:t>
      </w:r>
      <w:r>
        <w:rPr>
          <w:rFonts w:hint="eastAsia" w:ascii="微软雅黑" w:hAnsi="微软雅黑" w:eastAsia="微软雅黑" w:cs="微软雅黑"/>
          <w:b/>
          <w:color w:val="auto"/>
          <w:sz w:val="56"/>
          <w:szCs w:val="56"/>
          <w:highlight w:val="none"/>
          <w:lang w:val="en-US" w:eastAsia="zh-CN"/>
        </w:rPr>
        <w:t>采购</w:t>
      </w:r>
      <w:r>
        <w:rPr>
          <w:rFonts w:hint="eastAsia" w:ascii="微软雅黑" w:hAnsi="微软雅黑" w:eastAsia="微软雅黑" w:cs="微软雅黑"/>
          <w:b/>
          <w:color w:val="auto"/>
          <w:sz w:val="56"/>
          <w:szCs w:val="56"/>
          <w:highlight w:val="none"/>
        </w:rPr>
        <w:t>文件</w:t>
      </w:r>
    </w:p>
    <w:p>
      <w:pPr>
        <w:jc w:val="center"/>
        <w:rPr>
          <w:rFonts w:ascii="微软雅黑" w:hAnsi="微软雅黑" w:eastAsia="微软雅黑" w:cs="微软雅黑"/>
          <w:b/>
          <w:color w:val="auto"/>
          <w:sz w:val="52"/>
          <w:szCs w:val="52"/>
          <w:highlight w:val="none"/>
        </w:rPr>
      </w:pPr>
    </w:p>
    <w:p>
      <w:pPr>
        <w:jc w:val="center"/>
        <w:rPr>
          <w:rFonts w:cs="微软雅黑" w:asciiTheme="minorEastAsia" w:hAnsiTheme="minorEastAsia" w:eastAsiaTheme="minorEastAsia"/>
          <w:b/>
          <w:color w:val="auto"/>
          <w:sz w:val="52"/>
          <w:szCs w:val="52"/>
          <w:highlight w:val="none"/>
        </w:rPr>
      </w:pPr>
    </w:p>
    <w:p>
      <w:pPr>
        <w:spacing w:line="360" w:lineRule="auto"/>
        <w:rPr>
          <w:rFonts w:asciiTheme="minorEastAsia" w:hAnsiTheme="minorEastAsia" w:eastAsiaTheme="minorEastAsia"/>
          <w:color w:val="auto"/>
          <w:sz w:val="52"/>
          <w:szCs w:val="52"/>
          <w:highlight w:val="none"/>
        </w:rPr>
      </w:pPr>
    </w:p>
    <w:p>
      <w:pPr>
        <w:spacing w:line="360" w:lineRule="auto"/>
        <w:rPr>
          <w:rFonts w:asciiTheme="minorEastAsia" w:hAnsiTheme="minorEastAsia" w:eastAsiaTheme="minorEastAsia"/>
          <w:color w:val="auto"/>
          <w:sz w:val="52"/>
          <w:szCs w:val="52"/>
          <w:highlight w:val="none"/>
        </w:rPr>
      </w:pPr>
    </w:p>
    <w:p>
      <w:pPr>
        <w:spacing w:line="360" w:lineRule="auto"/>
        <w:rPr>
          <w:rFonts w:hint="eastAsia" w:asciiTheme="minorEastAsia" w:hAnsiTheme="minorEastAsia" w:eastAsiaTheme="minorEastAsia"/>
          <w:color w:val="auto"/>
          <w:sz w:val="52"/>
          <w:szCs w:val="52"/>
          <w:highlight w:val="none"/>
          <w:lang w:val="en-US" w:eastAsia="zh-CN"/>
        </w:rPr>
      </w:pPr>
    </w:p>
    <w:p>
      <w:pPr>
        <w:jc w:val="center"/>
        <w:rPr>
          <w:rFonts w:cs="微软雅黑" w:asciiTheme="minorEastAsia" w:hAnsiTheme="minorEastAsia" w:eastAsiaTheme="minorEastAsia"/>
          <w:b/>
          <w:color w:val="auto"/>
          <w:sz w:val="52"/>
          <w:szCs w:val="52"/>
          <w:highlight w:val="none"/>
        </w:rPr>
      </w:pPr>
    </w:p>
    <w:p>
      <w:pPr>
        <w:rPr>
          <w:rFonts w:cs="微软雅黑" w:asciiTheme="minorEastAsia" w:hAnsiTheme="minorEastAsia" w:eastAsiaTheme="minorEastAsia"/>
          <w:color w:val="auto"/>
          <w:sz w:val="28"/>
          <w:highlight w:val="none"/>
        </w:rPr>
      </w:pPr>
    </w:p>
    <w:p>
      <w:pPr>
        <w:rPr>
          <w:rFonts w:cs="微软雅黑" w:asciiTheme="minorEastAsia" w:hAnsiTheme="minorEastAsia" w:eastAsiaTheme="minorEastAsia"/>
          <w:color w:val="auto"/>
          <w:sz w:val="28"/>
          <w:highlight w:val="none"/>
        </w:rPr>
      </w:pPr>
    </w:p>
    <w:p>
      <w:pPr>
        <w:spacing w:line="360" w:lineRule="auto"/>
        <w:jc w:val="center"/>
        <w:textAlignment w:val="top"/>
        <w:rPr>
          <w:rFonts w:ascii="微软雅黑" w:hAnsi="微软雅黑" w:eastAsia="微软雅黑" w:cs="微软雅黑"/>
          <w:b/>
          <w:color w:val="auto"/>
          <w:sz w:val="40"/>
          <w:szCs w:val="40"/>
          <w:highlight w:val="none"/>
        </w:rPr>
      </w:pPr>
      <w:r>
        <w:rPr>
          <w:rFonts w:hint="eastAsia" w:ascii="微软雅黑" w:hAnsi="微软雅黑" w:eastAsia="微软雅黑" w:cs="微软雅黑"/>
          <w:b/>
          <w:color w:val="auto"/>
          <w:sz w:val="40"/>
          <w:szCs w:val="40"/>
          <w:highlight w:val="none"/>
        </w:rPr>
        <w:t>中粮糖业（漳州）有限公司</w:t>
      </w:r>
    </w:p>
    <w:p>
      <w:pPr>
        <w:pStyle w:val="12"/>
        <w:jc w:val="center"/>
        <w:rPr>
          <w:rFonts w:asciiTheme="minorEastAsia" w:hAnsiTheme="minorEastAsia" w:eastAsiaTheme="minorEastAsia"/>
          <w:color w:val="auto"/>
          <w:highlight w:val="none"/>
        </w:rPr>
      </w:pPr>
      <w:r>
        <w:rPr>
          <w:rFonts w:ascii="微软雅黑" w:hAnsi="微软雅黑" w:eastAsia="微软雅黑" w:cs="微软雅黑"/>
          <w:b/>
          <w:color w:val="auto"/>
          <w:spacing w:val="40"/>
          <w:sz w:val="40"/>
          <w:szCs w:val="40"/>
          <w:highlight w:val="none"/>
        </w:rPr>
        <w:t>2023年</w:t>
      </w:r>
      <w:r>
        <w:rPr>
          <w:rFonts w:hint="eastAsia" w:ascii="微软雅黑" w:hAnsi="微软雅黑" w:eastAsia="微软雅黑" w:cs="微软雅黑"/>
          <w:b/>
          <w:color w:val="auto"/>
          <w:spacing w:val="40"/>
          <w:sz w:val="40"/>
          <w:szCs w:val="40"/>
          <w:highlight w:val="none"/>
          <w:lang w:val="en-US" w:eastAsia="zh-CN"/>
        </w:rPr>
        <w:t>10</w:t>
      </w:r>
      <w:r>
        <w:rPr>
          <w:rFonts w:ascii="微软雅黑" w:hAnsi="微软雅黑" w:eastAsia="微软雅黑" w:cs="微软雅黑"/>
          <w:b/>
          <w:color w:val="auto"/>
          <w:spacing w:val="40"/>
          <w:sz w:val="40"/>
          <w:szCs w:val="40"/>
          <w:highlight w:val="none"/>
        </w:rPr>
        <w:t>月</w:t>
      </w:r>
    </w:p>
    <w:p>
      <w:pPr>
        <w:rPr>
          <w:rFonts w:asciiTheme="minorEastAsia" w:hAnsiTheme="minorEastAsia" w:eastAsiaTheme="minorEastAsia"/>
          <w:color w:val="auto"/>
          <w:sz w:val="52"/>
          <w:szCs w:val="52"/>
          <w:highlight w:val="none"/>
        </w:rPr>
        <w:sectPr>
          <w:footerReference r:id="rId5" w:type="first"/>
          <w:footerReference r:id="rId3" w:type="default"/>
          <w:footerReference r:id="rId4" w:type="even"/>
          <w:pgSz w:w="11906" w:h="16838"/>
          <w:pgMar w:top="1440" w:right="1080" w:bottom="1440" w:left="1080" w:header="850" w:footer="992" w:gutter="0"/>
          <w:cols w:space="720" w:num="1"/>
          <w:docGrid w:linePitch="326" w:charSpace="0"/>
        </w:sectPr>
      </w:pPr>
    </w:p>
    <w:p>
      <w:pPr>
        <w:spacing w:line="360" w:lineRule="auto"/>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rPr>
        <w:t>目</w:t>
      </w:r>
      <w:r>
        <w:rPr>
          <w:rFonts w:asciiTheme="minorEastAsia" w:hAnsiTheme="minorEastAsia" w:eastAsiaTheme="minorEastAsia"/>
          <w:color w:val="auto"/>
          <w:sz w:val="44"/>
          <w:szCs w:val="44"/>
          <w:highlight w:val="none"/>
        </w:rPr>
        <w:t xml:space="preserve"> </w:t>
      </w:r>
      <w:r>
        <w:rPr>
          <w:rFonts w:hint="eastAsia" w:asciiTheme="minorEastAsia" w:hAnsiTheme="minorEastAsia" w:eastAsiaTheme="minorEastAsia"/>
          <w:color w:val="auto"/>
          <w:sz w:val="44"/>
          <w:szCs w:val="44"/>
          <w:highlight w:val="none"/>
        </w:rPr>
        <w:t>录</w:t>
      </w:r>
    </w:p>
    <w:p>
      <w:pPr>
        <w:spacing w:line="360" w:lineRule="auto"/>
        <w:jc w:val="center"/>
        <w:rPr>
          <w:rFonts w:asciiTheme="minorEastAsia" w:hAnsiTheme="minorEastAsia" w:eastAsiaTheme="minorEastAsia"/>
          <w:color w:val="auto"/>
          <w:sz w:val="30"/>
          <w:szCs w:val="30"/>
          <w:highlight w:val="none"/>
        </w:rPr>
      </w:pPr>
    </w:p>
    <w:p>
      <w:pPr>
        <w:spacing w:line="720" w:lineRule="auto"/>
        <w:ind w:firstLine="3059" w:firstLineChars="9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第一部分</w:t>
      </w:r>
      <w:r>
        <w:rPr>
          <w:rFonts w:asciiTheme="minorEastAsia" w:hAnsiTheme="minorEastAsia" w:eastAsiaTheme="minorEastAsia"/>
          <w:color w:val="auto"/>
          <w:sz w:val="32"/>
          <w:szCs w:val="32"/>
          <w:highlight w:val="none"/>
        </w:rPr>
        <w:t xml:space="preserve">  </w:t>
      </w:r>
      <w:r>
        <w:rPr>
          <w:rFonts w:hint="eastAsia" w:asciiTheme="minorEastAsia" w:hAnsiTheme="minorEastAsia" w:eastAsiaTheme="minorEastAsia"/>
          <w:color w:val="auto"/>
          <w:sz w:val="32"/>
          <w:szCs w:val="32"/>
          <w:highlight w:val="none"/>
        </w:rPr>
        <w:t>项目公告</w:t>
      </w:r>
    </w:p>
    <w:p>
      <w:pPr>
        <w:spacing w:line="720" w:lineRule="auto"/>
        <w:ind w:firstLine="3059" w:firstLineChars="9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第二部分</w:t>
      </w:r>
      <w:r>
        <w:rPr>
          <w:rFonts w:asciiTheme="minorEastAsia" w:hAnsiTheme="minorEastAsia" w:eastAsiaTheme="minorEastAsia"/>
          <w:color w:val="auto"/>
          <w:sz w:val="32"/>
          <w:szCs w:val="32"/>
          <w:highlight w:val="none"/>
        </w:rPr>
        <w:t xml:space="preserve">  </w:t>
      </w:r>
      <w:r>
        <w:rPr>
          <w:rFonts w:hint="eastAsia" w:asciiTheme="minorEastAsia" w:hAnsiTheme="minorEastAsia" w:eastAsiaTheme="minorEastAsia"/>
          <w:color w:val="auto"/>
          <w:sz w:val="32"/>
          <w:szCs w:val="32"/>
          <w:highlight w:val="none"/>
        </w:rPr>
        <w:t>谈判须知</w:t>
      </w:r>
    </w:p>
    <w:p>
      <w:pPr>
        <w:spacing w:line="720" w:lineRule="auto"/>
        <w:ind w:firstLine="3059" w:firstLineChars="9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第三部分</w:t>
      </w:r>
      <w:r>
        <w:rPr>
          <w:rFonts w:asciiTheme="minorEastAsia" w:hAnsiTheme="minorEastAsia" w:eastAsiaTheme="minorEastAsia"/>
          <w:color w:val="auto"/>
          <w:sz w:val="32"/>
          <w:szCs w:val="32"/>
          <w:highlight w:val="none"/>
        </w:rPr>
        <w:t xml:space="preserve">  </w:t>
      </w:r>
      <w:r>
        <w:rPr>
          <w:rFonts w:hint="eastAsia" w:asciiTheme="minorEastAsia" w:hAnsiTheme="minorEastAsia" w:eastAsiaTheme="minorEastAsia"/>
          <w:color w:val="auto"/>
          <w:sz w:val="32"/>
          <w:szCs w:val="32"/>
          <w:highlight w:val="none"/>
        </w:rPr>
        <w:t>项目内容和要求</w:t>
      </w:r>
    </w:p>
    <w:p>
      <w:pPr>
        <w:spacing w:line="720" w:lineRule="auto"/>
        <w:ind w:firstLine="3059" w:firstLineChars="9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第四部分</w:t>
      </w:r>
      <w:r>
        <w:rPr>
          <w:rFonts w:asciiTheme="minorEastAsia" w:hAnsiTheme="minorEastAsia" w:eastAsiaTheme="minorEastAsia"/>
          <w:color w:val="auto"/>
          <w:sz w:val="32"/>
          <w:szCs w:val="32"/>
          <w:highlight w:val="none"/>
        </w:rPr>
        <w:t xml:space="preserve">  </w:t>
      </w:r>
      <w:r>
        <w:rPr>
          <w:rFonts w:hint="eastAsia" w:asciiTheme="minorEastAsia" w:hAnsiTheme="minorEastAsia" w:eastAsiaTheme="minorEastAsia"/>
          <w:color w:val="auto"/>
          <w:sz w:val="32"/>
          <w:szCs w:val="32"/>
          <w:highlight w:val="none"/>
        </w:rPr>
        <w:t>合同样本</w:t>
      </w:r>
    </w:p>
    <w:p>
      <w:pPr>
        <w:spacing w:line="720" w:lineRule="auto"/>
        <w:ind w:firstLine="3059" w:firstLineChars="9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第五部分</w:t>
      </w:r>
      <w:r>
        <w:rPr>
          <w:rFonts w:asciiTheme="minorEastAsia" w:hAnsiTheme="minorEastAsia" w:eastAsiaTheme="minorEastAsia"/>
          <w:color w:val="auto"/>
          <w:sz w:val="32"/>
          <w:szCs w:val="32"/>
          <w:highlight w:val="none"/>
        </w:rPr>
        <w:t xml:space="preserve">  </w:t>
      </w:r>
      <w:r>
        <w:rPr>
          <w:rFonts w:hint="eastAsia" w:asciiTheme="minorEastAsia" w:hAnsiTheme="minorEastAsia" w:eastAsiaTheme="minorEastAsia"/>
          <w:color w:val="auto"/>
          <w:sz w:val="32"/>
          <w:szCs w:val="32"/>
          <w:highlight w:val="none"/>
        </w:rPr>
        <w:t>响应文件格式</w:t>
      </w:r>
    </w:p>
    <w:p>
      <w:pPr>
        <w:spacing w:line="720" w:lineRule="auto"/>
        <w:ind w:firstLine="3059" w:firstLineChars="9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第六部分</w:t>
      </w:r>
      <w:r>
        <w:rPr>
          <w:rFonts w:asciiTheme="minorEastAsia" w:hAnsiTheme="minorEastAsia" w:eastAsiaTheme="minorEastAsia"/>
          <w:color w:val="auto"/>
          <w:sz w:val="32"/>
          <w:szCs w:val="32"/>
          <w:highlight w:val="none"/>
        </w:rPr>
        <w:t xml:space="preserve">  </w:t>
      </w:r>
      <w:r>
        <w:rPr>
          <w:rFonts w:hint="eastAsia" w:asciiTheme="minorEastAsia" w:hAnsiTheme="minorEastAsia" w:eastAsiaTheme="minorEastAsia"/>
          <w:color w:val="auto"/>
          <w:sz w:val="32"/>
          <w:szCs w:val="32"/>
          <w:highlight w:val="none"/>
        </w:rPr>
        <w:t>评分标准</w:t>
      </w:r>
    </w:p>
    <w:p>
      <w:pPr>
        <w:spacing w:line="360" w:lineRule="auto"/>
        <w:ind w:firstLine="640" w:firstLineChars="200"/>
        <w:rPr>
          <w:rFonts w:asciiTheme="minorEastAsia" w:hAnsiTheme="minorEastAsia" w:eastAsiaTheme="minorEastAsia"/>
          <w:color w:val="auto"/>
          <w:sz w:val="32"/>
          <w:szCs w:val="32"/>
          <w:highlight w:val="none"/>
        </w:rPr>
      </w:pPr>
    </w:p>
    <w:p>
      <w:pPr>
        <w:spacing w:line="360" w:lineRule="auto"/>
        <w:ind w:firstLine="640" w:firstLineChars="200"/>
        <w:rPr>
          <w:rFonts w:asciiTheme="minorEastAsia" w:hAnsiTheme="minorEastAsia" w:eastAsiaTheme="minorEastAsia"/>
          <w:color w:val="auto"/>
          <w:sz w:val="32"/>
          <w:szCs w:val="32"/>
          <w:highlight w:val="none"/>
        </w:rPr>
      </w:pPr>
    </w:p>
    <w:p>
      <w:pPr>
        <w:spacing w:line="360" w:lineRule="auto"/>
        <w:ind w:firstLine="600" w:firstLineChars="200"/>
        <w:rPr>
          <w:rFonts w:asciiTheme="minorEastAsia" w:hAnsiTheme="minorEastAsia" w:eastAsiaTheme="minorEastAsia"/>
          <w:color w:val="auto"/>
          <w:sz w:val="30"/>
          <w:szCs w:val="30"/>
          <w:highlight w:val="none"/>
        </w:rPr>
      </w:pPr>
    </w:p>
    <w:p>
      <w:pPr>
        <w:spacing w:line="360" w:lineRule="auto"/>
        <w:ind w:firstLine="600" w:firstLineChars="200"/>
        <w:rPr>
          <w:rFonts w:asciiTheme="minorEastAsia" w:hAnsiTheme="minorEastAsia" w:eastAsiaTheme="minorEastAsia"/>
          <w:color w:val="auto"/>
          <w:sz w:val="30"/>
          <w:szCs w:val="30"/>
          <w:highlight w:val="none"/>
        </w:rPr>
      </w:pPr>
    </w:p>
    <w:p>
      <w:pPr>
        <w:spacing w:line="360" w:lineRule="auto"/>
        <w:ind w:firstLine="600" w:firstLineChars="200"/>
        <w:rPr>
          <w:rFonts w:asciiTheme="minorEastAsia" w:hAnsiTheme="minorEastAsia" w:eastAsiaTheme="minorEastAsia"/>
          <w:color w:val="auto"/>
          <w:sz w:val="30"/>
          <w:szCs w:val="30"/>
          <w:highlight w:val="none"/>
        </w:rPr>
      </w:pPr>
    </w:p>
    <w:p>
      <w:pPr>
        <w:spacing w:line="360" w:lineRule="auto"/>
        <w:ind w:firstLine="600" w:firstLineChars="200"/>
        <w:rPr>
          <w:rFonts w:asciiTheme="minorEastAsia" w:hAnsiTheme="minorEastAsia" w:eastAsiaTheme="minorEastAsia"/>
          <w:color w:val="auto"/>
          <w:sz w:val="30"/>
          <w:szCs w:val="30"/>
          <w:highlight w:val="none"/>
        </w:rPr>
      </w:pPr>
    </w:p>
    <w:p>
      <w:pPr>
        <w:pStyle w:val="2"/>
        <w:spacing w:line="240" w:lineRule="auto"/>
        <w:rPr>
          <w:rFonts w:asciiTheme="minorEastAsia" w:hAnsiTheme="minorEastAsia" w:eastAsiaTheme="minorEastAsia"/>
          <w:color w:val="auto"/>
          <w:sz w:val="36"/>
          <w:szCs w:val="36"/>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jc w:val="center"/>
        <w:outlineLvl w:val="0"/>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第一部分</w:t>
      </w:r>
      <w:r>
        <w:rPr>
          <w:rFonts w:asciiTheme="minorEastAsia" w:hAnsiTheme="minorEastAsia" w:eastAsiaTheme="minorEastAsia"/>
          <w:b/>
          <w:color w:val="auto"/>
          <w:sz w:val="44"/>
          <w:szCs w:val="44"/>
          <w:highlight w:val="none"/>
        </w:rPr>
        <w:t xml:space="preserve"> </w:t>
      </w:r>
      <w:r>
        <w:rPr>
          <w:rFonts w:hint="eastAsia" w:asciiTheme="minorEastAsia" w:hAnsiTheme="minorEastAsia" w:eastAsiaTheme="minorEastAsia"/>
          <w:b/>
          <w:color w:val="auto"/>
          <w:sz w:val="44"/>
          <w:szCs w:val="44"/>
          <w:highlight w:val="none"/>
        </w:rPr>
        <w:t>项目公告</w:t>
      </w:r>
    </w:p>
    <w:p>
      <w:pPr>
        <w:rPr>
          <w:color w:val="auto"/>
          <w:highlight w:val="none"/>
        </w:rPr>
      </w:pPr>
    </w:p>
    <w:p>
      <w:pPr>
        <w:spacing w:line="520" w:lineRule="exact"/>
        <w:ind w:firstLine="482" w:firstLineChars="200"/>
        <w:rPr>
          <w:rFonts w:cs="MS Gothic" w:asciiTheme="minorEastAsia" w:hAnsiTheme="minorEastAsia" w:eastAsiaTheme="minorEastAsia"/>
          <w:b/>
          <w:bCs/>
          <w:color w:val="auto"/>
          <w:sz w:val="24"/>
          <w:highlight w:val="none"/>
        </w:rPr>
      </w:pPr>
      <w:r>
        <w:rPr>
          <w:rFonts w:hint="eastAsia" w:cs="MS Gothic" w:asciiTheme="minorEastAsia" w:hAnsiTheme="minorEastAsia" w:eastAsiaTheme="minorEastAsia"/>
          <w:b/>
          <w:bCs/>
          <w:color w:val="auto"/>
          <w:sz w:val="24"/>
          <w:highlight w:val="none"/>
        </w:rPr>
        <w:t>一、项目概况</w:t>
      </w:r>
    </w:p>
    <w:p>
      <w:pPr>
        <w:spacing w:line="520" w:lineRule="exact"/>
        <w:ind w:firstLine="480" w:firstLineChars="200"/>
        <w:rPr>
          <w:rFonts w:cs="MS Gothic" w:asciiTheme="minorEastAsia" w:hAnsiTheme="minorEastAsia" w:eastAsiaTheme="minorEastAsia"/>
          <w:color w:val="auto"/>
          <w:sz w:val="24"/>
          <w:highlight w:val="none"/>
        </w:rPr>
      </w:pPr>
      <w:r>
        <w:rPr>
          <w:rFonts w:hint="eastAsia" w:cs="MS Gothic" w:asciiTheme="minorEastAsia" w:hAnsiTheme="minorEastAsia" w:eastAsiaTheme="minorEastAsia"/>
          <w:color w:val="auto"/>
          <w:sz w:val="24"/>
          <w:highlight w:val="none"/>
        </w:rPr>
        <w:t>本采购项目为中粮糖业（漳州）有限公司</w:t>
      </w:r>
      <w:r>
        <w:rPr>
          <w:rFonts w:cs="MS Gothic" w:asciiTheme="minorEastAsia" w:hAnsiTheme="minorEastAsia" w:eastAsiaTheme="minorEastAsia"/>
          <w:color w:val="auto"/>
          <w:sz w:val="24"/>
          <w:highlight w:val="none"/>
        </w:rPr>
        <w:t>35万吨/年精炼糖及15万吨/年糖类食品原材料加工项目</w:t>
      </w:r>
      <w:r>
        <w:rPr>
          <w:rFonts w:hint="eastAsia" w:cs="MS Gothic" w:asciiTheme="minorEastAsia" w:hAnsiTheme="minorEastAsia" w:eastAsiaTheme="minorEastAsia"/>
          <w:color w:val="auto"/>
          <w:sz w:val="24"/>
          <w:highlight w:val="none"/>
          <w:lang w:eastAsia="zh-CN"/>
        </w:rPr>
        <w:t>锅炉炉膛检修升降平台</w:t>
      </w:r>
      <w:r>
        <w:rPr>
          <w:rFonts w:cs="MS Gothic" w:asciiTheme="minorEastAsia" w:hAnsiTheme="minorEastAsia" w:eastAsiaTheme="minorEastAsia"/>
          <w:color w:val="auto"/>
          <w:sz w:val="24"/>
          <w:highlight w:val="none"/>
        </w:rPr>
        <w:t>采购项目，</w:t>
      </w:r>
      <w:r>
        <w:rPr>
          <w:rFonts w:hint="eastAsia" w:cs="MS Gothic" w:asciiTheme="minorEastAsia" w:hAnsiTheme="minorEastAsia" w:eastAsiaTheme="minorEastAsia"/>
          <w:color w:val="auto"/>
          <w:sz w:val="24"/>
          <w:highlight w:val="none"/>
        </w:rPr>
        <w:t>采购人为中粮糖业（漳州）有限公司</w:t>
      </w:r>
      <w:r>
        <w:rPr>
          <w:rFonts w:hint="eastAsia" w:cs="Arial" w:asciiTheme="minorEastAsia" w:hAnsiTheme="minorEastAsia" w:eastAsiaTheme="minorEastAsia"/>
          <w:color w:val="auto"/>
          <w:sz w:val="24"/>
          <w:highlight w:val="none"/>
        </w:rPr>
        <w:t>（简称漳州糖业）</w:t>
      </w:r>
      <w:r>
        <w:rPr>
          <w:rFonts w:hint="eastAsia" w:cs="MS Gothic" w:asciiTheme="minorEastAsia" w:hAnsiTheme="minorEastAsia" w:eastAsiaTheme="minorEastAsia"/>
          <w:color w:val="auto"/>
          <w:sz w:val="24"/>
          <w:highlight w:val="none"/>
        </w:rPr>
        <w:t>；项目资金来源为自筹。该项目已具备谈判采购条件。</w:t>
      </w:r>
    </w:p>
    <w:p>
      <w:pPr>
        <w:spacing w:line="520" w:lineRule="exact"/>
        <w:ind w:firstLine="482" w:firstLineChars="200"/>
        <w:rPr>
          <w:rFonts w:cs="宋体" w:asciiTheme="minorEastAsia" w:hAnsiTheme="minorEastAsia" w:eastAsiaTheme="minorEastAsia"/>
          <w:color w:val="auto"/>
          <w:kern w:val="0"/>
          <w:sz w:val="24"/>
          <w:highlight w:val="none"/>
          <w:lang w:bidi="ar"/>
        </w:rPr>
      </w:pPr>
      <w:r>
        <w:rPr>
          <w:rFonts w:hint="eastAsia" w:cs="MS Gothic" w:asciiTheme="minorEastAsia" w:hAnsiTheme="minorEastAsia" w:eastAsiaTheme="minorEastAsia"/>
          <w:b/>
          <w:bCs/>
          <w:color w:val="auto"/>
          <w:sz w:val="24"/>
          <w:highlight w:val="none"/>
        </w:rPr>
        <w:t>二、项目名称：</w:t>
      </w:r>
      <w:r>
        <w:rPr>
          <w:rFonts w:hint="eastAsia" w:cs="MS Gothic" w:asciiTheme="minorEastAsia" w:hAnsiTheme="minorEastAsia" w:eastAsiaTheme="minorEastAsia"/>
          <w:color w:val="auto"/>
          <w:sz w:val="24"/>
          <w:highlight w:val="none"/>
        </w:rPr>
        <w:t>中粮糖业（漳州）有限公司</w:t>
      </w:r>
      <w:r>
        <w:rPr>
          <w:rFonts w:cs="MS Gothic" w:asciiTheme="minorEastAsia" w:hAnsiTheme="minorEastAsia" w:eastAsiaTheme="minorEastAsia"/>
          <w:color w:val="auto"/>
          <w:sz w:val="24"/>
          <w:highlight w:val="none"/>
        </w:rPr>
        <w:t>35万吨/年精炼糖及15万吨/年糖类食品原材料加工项目</w:t>
      </w:r>
      <w:r>
        <w:rPr>
          <w:rFonts w:hint="eastAsia" w:cs="MS Gothic" w:asciiTheme="minorEastAsia" w:hAnsiTheme="minorEastAsia" w:eastAsiaTheme="minorEastAsia"/>
          <w:color w:val="auto"/>
          <w:sz w:val="24"/>
          <w:highlight w:val="none"/>
          <w:lang w:eastAsia="zh-CN"/>
        </w:rPr>
        <w:t>锅炉炉膛检修升降平台</w:t>
      </w:r>
      <w:r>
        <w:rPr>
          <w:rFonts w:cs="MS Gothic" w:asciiTheme="minorEastAsia" w:hAnsiTheme="minorEastAsia" w:eastAsiaTheme="minorEastAsia"/>
          <w:color w:val="auto"/>
          <w:sz w:val="24"/>
          <w:highlight w:val="none"/>
        </w:rPr>
        <w:t>采购</w:t>
      </w:r>
    </w:p>
    <w:p>
      <w:pPr>
        <w:spacing w:line="520" w:lineRule="exact"/>
        <w:ind w:firstLine="482" w:firstLineChars="200"/>
        <w:rPr>
          <w:rFonts w:cs="MS Gothic" w:asciiTheme="minorEastAsia" w:hAnsiTheme="minorEastAsia" w:eastAsiaTheme="minorEastAsia"/>
          <w:b/>
          <w:bCs/>
          <w:color w:val="auto"/>
          <w:sz w:val="24"/>
          <w:highlight w:val="none"/>
        </w:rPr>
      </w:pPr>
      <w:r>
        <w:rPr>
          <w:rFonts w:cs="MS Gothic" w:asciiTheme="minorEastAsia" w:hAnsiTheme="minorEastAsia" w:eastAsiaTheme="minorEastAsia"/>
          <w:b/>
          <w:bCs/>
          <w:color w:val="auto"/>
          <w:sz w:val="24"/>
          <w:highlight w:val="none"/>
        </w:rPr>
        <w:t>三</w:t>
      </w:r>
      <w:r>
        <w:rPr>
          <w:rFonts w:hint="eastAsia" w:cs="MS Gothic" w:asciiTheme="minorEastAsia" w:hAnsiTheme="minorEastAsia" w:eastAsiaTheme="minorEastAsia"/>
          <w:b/>
          <w:bCs/>
          <w:color w:val="auto"/>
          <w:sz w:val="24"/>
          <w:highlight w:val="none"/>
        </w:rPr>
        <w:t>、采购内容</w:t>
      </w:r>
    </w:p>
    <w:p>
      <w:pPr>
        <w:spacing w:line="520" w:lineRule="exact"/>
        <w:ind w:firstLine="482"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b/>
          <w:color w:val="auto"/>
          <w:sz w:val="24"/>
          <w:highlight w:val="none"/>
        </w:rPr>
        <w:t>1．采购方：</w:t>
      </w:r>
      <w:r>
        <w:rPr>
          <w:rFonts w:hint="eastAsia" w:cs="MS Gothic" w:asciiTheme="minorEastAsia" w:hAnsiTheme="minorEastAsia" w:eastAsiaTheme="minorEastAsia"/>
          <w:color w:val="auto"/>
          <w:sz w:val="24"/>
          <w:highlight w:val="none"/>
        </w:rPr>
        <w:t>中粮糖业（漳州）有限公司（简称漳州糖业）；</w:t>
      </w:r>
    </w:p>
    <w:p>
      <w:pPr>
        <w:spacing w:line="520" w:lineRule="exact"/>
        <w:ind w:firstLine="482"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b/>
          <w:color w:val="auto"/>
          <w:sz w:val="24"/>
          <w:highlight w:val="none"/>
        </w:rPr>
        <w:t>2</w:t>
      </w:r>
      <w:r>
        <w:rPr>
          <w:rFonts w:hint="eastAsia" w:cs="Arial" w:asciiTheme="minorEastAsia" w:hAnsiTheme="minorEastAsia" w:eastAsiaTheme="minorEastAsia"/>
          <w:b/>
          <w:color w:val="auto"/>
          <w:sz w:val="24"/>
          <w:highlight w:val="none"/>
        </w:rPr>
        <w:t>．采购项目内容：</w:t>
      </w:r>
      <w:r>
        <w:rPr>
          <w:rFonts w:hint="eastAsia" w:ascii="仿宋_GB2312" w:hAnsi="黑体" w:eastAsia="仿宋_GB2312" w:cs="MS Gothic"/>
          <w:color w:val="auto"/>
          <w:sz w:val="24"/>
          <w:szCs w:val="24"/>
          <w:highlight w:val="none"/>
          <w:lang w:val="en-US" w:eastAsia="zh-CN"/>
        </w:rPr>
        <w:t>锅炉炉膛检修升降平台</w:t>
      </w:r>
      <w:r>
        <w:rPr>
          <w:rFonts w:hint="default" w:ascii="仿宋_GB2312" w:hAnsi="黑体" w:eastAsia="仿宋_GB2312" w:cs="MS Gothic"/>
          <w:color w:val="auto"/>
          <w:sz w:val="24"/>
          <w:szCs w:val="24"/>
          <w:highlight w:val="none"/>
          <w:lang w:val="en-US" w:eastAsia="zh-CN"/>
        </w:rPr>
        <w:t>。</w:t>
      </w:r>
      <w:r>
        <w:rPr>
          <w:rFonts w:hint="eastAsia" w:ascii="仿宋_GB2312" w:hAnsi="黑体" w:eastAsia="仿宋_GB2312" w:cs="MS Gothic"/>
          <w:color w:val="auto"/>
          <w:sz w:val="24"/>
          <w:szCs w:val="24"/>
          <w:highlight w:val="none"/>
          <w:lang w:val="en-US" w:eastAsia="zh-CN"/>
        </w:rPr>
        <w:t>包括但不限于锅炉炉膛检修升降平台的设备供货、运输、装卸、指导安装、调试、检验和验收等，采用的标准规范及技术要求详见第三章项目内容和要求；</w:t>
      </w:r>
      <w:r>
        <w:rPr>
          <w:rFonts w:hint="eastAsia" w:cs="MS Gothic" w:asciiTheme="minorEastAsia" w:hAnsiTheme="minorEastAsia" w:eastAsiaTheme="minorEastAsia"/>
          <w:color w:val="auto"/>
          <w:sz w:val="24"/>
          <w:highlight w:val="none"/>
          <w:lang w:eastAsia="zh-CN"/>
        </w:rPr>
        <w:t>。</w:t>
      </w:r>
    </w:p>
    <w:p>
      <w:pPr>
        <w:spacing w:line="520" w:lineRule="exact"/>
        <w:ind w:firstLine="482" w:firstLineChars="200"/>
        <w:rPr>
          <w:rFonts w:asciiTheme="minorEastAsia" w:hAnsiTheme="minorEastAsia" w:eastAsiaTheme="minorEastAsia"/>
          <w:color w:val="auto"/>
          <w:sz w:val="24"/>
          <w:highlight w:val="none"/>
        </w:rPr>
      </w:pPr>
      <w:r>
        <w:rPr>
          <w:rFonts w:cs="Arial" w:asciiTheme="minorEastAsia" w:hAnsiTheme="minorEastAsia" w:eastAsiaTheme="minorEastAsia"/>
          <w:b/>
          <w:color w:val="auto"/>
          <w:sz w:val="24"/>
          <w:highlight w:val="none"/>
        </w:rPr>
        <w:t>3.采购项目预算金额（人民币）：</w:t>
      </w:r>
      <w:r>
        <w:rPr>
          <w:rFonts w:hint="eastAsia" w:cs="MS Gothic" w:asciiTheme="minorEastAsia" w:hAnsiTheme="minorEastAsia" w:eastAsiaTheme="minorEastAsia"/>
          <w:color w:val="auto"/>
          <w:sz w:val="24"/>
          <w:highlight w:val="none"/>
          <w:lang w:val="en-US" w:eastAsia="zh-CN"/>
        </w:rPr>
        <w:t>18</w:t>
      </w:r>
      <w:r>
        <w:rPr>
          <w:rFonts w:hint="eastAsia" w:cs="MS Gothic" w:asciiTheme="minorEastAsia" w:hAnsiTheme="minorEastAsia" w:eastAsiaTheme="minorEastAsia"/>
          <w:color w:val="auto"/>
          <w:sz w:val="24"/>
          <w:highlight w:val="none"/>
        </w:rPr>
        <w:t>万元；</w:t>
      </w:r>
    </w:p>
    <w:p>
      <w:pPr>
        <w:spacing w:before="120" w:line="360" w:lineRule="auto"/>
        <w:ind w:firstLine="482" w:firstLineChars="200"/>
        <w:rPr>
          <w:rFonts w:cs="Arial" w:asciiTheme="minorEastAsia" w:hAnsiTheme="minorEastAsia" w:eastAsiaTheme="minorEastAsia"/>
          <w:b/>
          <w:color w:val="auto"/>
          <w:sz w:val="24"/>
          <w:highlight w:val="none"/>
        </w:rPr>
      </w:pPr>
      <w:r>
        <w:rPr>
          <w:rFonts w:cs="Arial" w:asciiTheme="minorEastAsia" w:hAnsiTheme="minorEastAsia" w:eastAsiaTheme="minorEastAsia"/>
          <w:b/>
          <w:color w:val="auto"/>
          <w:sz w:val="24"/>
          <w:highlight w:val="none"/>
        </w:rPr>
        <w:t xml:space="preserve">4. </w:t>
      </w:r>
      <w:r>
        <w:rPr>
          <w:rFonts w:hint="eastAsia" w:cs="Arial" w:asciiTheme="minorEastAsia" w:hAnsiTheme="minorEastAsia" w:eastAsiaTheme="minorEastAsia"/>
          <w:b/>
          <w:color w:val="auto"/>
          <w:sz w:val="24"/>
          <w:highlight w:val="none"/>
        </w:rPr>
        <w:t>交货时间：</w:t>
      </w:r>
      <w:r>
        <w:rPr>
          <w:rFonts w:hint="eastAsia" w:ascii="仿宋_GB2312" w:hAnsi="黑体" w:eastAsia="仿宋_GB2312" w:cs="MS Gothic"/>
          <w:color w:val="auto"/>
          <w:sz w:val="24"/>
          <w:szCs w:val="24"/>
          <w:highlight w:val="none"/>
          <w:lang w:val="en-US" w:eastAsia="zh-CN"/>
        </w:rPr>
        <w:t>合同生效后30日历天可具备发货条件，接到采购人发货通知后（采购人可在供应商具备发货条件后任意一天均可以）15个日历天内到达采购人指定场地。</w:t>
      </w:r>
    </w:p>
    <w:p>
      <w:pPr>
        <w:spacing w:line="520" w:lineRule="exact"/>
        <w:ind w:firstLine="482"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b/>
          <w:color w:val="auto"/>
          <w:sz w:val="24"/>
          <w:highlight w:val="none"/>
        </w:rPr>
        <w:t xml:space="preserve">5. </w:t>
      </w:r>
      <w:r>
        <w:rPr>
          <w:rFonts w:hint="eastAsia" w:cs="Arial" w:asciiTheme="minorEastAsia" w:hAnsiTheme="minorEastAsia" w:eastAsiaTheme="minorEastAsia"/>
          <w:b/>
          <w:color w:val="auto"/>
          <w:sz w:val="24"/>
          <w:highlight w:val="none"/>
        </w:rPr>
        <w:t>实施</w:t>
      </w:r>
      <w:r>
        <w:rPr>
          <w:rFonts w:cs="Arial" w:asciiTheme="minorEastAsia" w:hAnsiTheme="minorEastAsia" w:eastAsiaTheme="minorEastAsia"/>
          <w:b/>
          <w:color w:val="auto"/>
          <w:sz w:val="24"/>
          <w:highlight w:val="none"/>
        </w:rPr>
        <w:t>地点</w:t>
      </w:r>
      <w:r>
        <w:rPr>
          <w:rFonts w:hint="eastAsia" w:cs="Arial" w:asciiTheme="minorEastAsia" w:hAnsiTheme="minorEastAsia" w:eastAsiaTheme="minorEastAsia"/>
          <w:b/>
          <w:color w:val="auto"/>
          <w:sz w:val="24"/>
          <w:highlight w:val="none"/>
        </w:rPr>
        <w:t>：</w:t>
      </w:r>
      <w:r>
        <w:rPr>
          <w:rFonts w:hint="eastAsia" w:cs="Arial" w:asciiTheme="minorEastAsia" w:hAnsiTheme="minorEastAsia" w:eastAsiaTheme="minorEastAsia"/>
          <w:color w:val="auto"/>
          <w:sz w:val="24"/>
          <w:highlight w:val="none"/>
        </w:rPr>
        <w:t>福建省漳州开发区四区兴港南路南段道路西侧场地中粮糖业（漳州）有限公司；</w:t>
      </w:r>
    </w:p>
    <w:p>
      <w:pPr>
        <w:spacing w:line="520" w:lineRule="exact"/>
        <w:ind w:firstLine="482" w:firstLineChars="200"/>
        <w:rPr>
          <w:rFonts w:cs="MS Gothic" w:asciiTheme="minorEastAsia" w:hAnsiTheme="minorEastAsia" w:eastAsiaTheme="minorEastAsia"/>
          <w:color w:val="auto"/>
          <w:sz w:val="24"/>
          <w:highlight w:val="none"/>
        </w:rPr>
      </w:pPr>
      <w:r>
        <w:rPr>
          <w:rFonts w:cs="Arial" w:asciiTheme="minorEastAsia" w:hAnsiTheme="minorEastAsia" w:eastAsiaTheme="minorEastAsia"/>
          <w:b/>
          <w:color w:val="auto"/>
          <w:sz w:val="24"/>
          <w:highlight w:val="none"/>
        </w:rPr>
        <w:t xml:space="preserve">6. </w:t>
      </w:r>
      <w:r>
        <w:rPr>
          <w:rFonts w:hint="eastAsia" w:cs="Arial" w:asciiTheme="minorEastAsia" w:hAnsiTheme="minorEastAsia" w:eastAsiaTheme="minorEastAsia"/>
          <w:b/>
          <w:color w:val="auto"/>
          <w:sz w:val="24"/>
          <w:highlight w:val="none"/>
        </w:rPr>
        <w:t>项目性质：</w:t>
      </w:r>
      <w:r>
        <w:rPr>
          <w:rFonts w:hint="eastAsia" w:cs="MS Gothic" w:asciiTheme="minorEastAsia" w:hAnsiTheme="minorEastAsia" w:eastAsiaTheme="minorEastAsia"/>
          <w:color w:val="auto"/>
          <w:sz w:val="24"/>
          <w:highlight w:val="none"/>
        </w:rPr>
        <w:t>全部或者部分使用国有资金投资或者国家融资的项目。</w:t>
      </w:r>
    </w:p>
    <w:p>
      <w:pPr>
        <w:spacing w:line="520" w:lineRule="exact"/>
        <w:ind w:firstLine="482" w:firstLineChars="200"/>
        <w:rPr>
          <w:rFonts w:cs="MS Gothic" w:asciiTheme="minorEastAsia" w:hAnsiTheme="minorEastAsia" w:eastAsiaTheme="minorEastAsia"/>
          <w:b/>
          <w:bCs/>
          <w:color w:val="auto"/>
          <w:sz w:val="24"/>
          <w:highlight w:val="none"/>
        </w:rPr>
      </w:pPr>
      <w:r>
        <w:rPr>
          <w:rFonts w:hint="eastAsia" w:cs="MS Gothic" w:asciiTheme="minorEastAsia" w:hAnsiTheme="minorEastAsia" w:eastAsiaTheme="minorEastAsia"/>
          <w:b/>
          <w:bCs/>
          <w:color w:val="auto"/>
          <w:sz w:val="24"/>
          <w:highlight w:val="none"/>
        </w:rPr>
        <w:t>四、供应商资格：</w:t>
      </w:r>
    </w:p>
    <w:p>
      <w:pPr>
        <w:widowControl/>
        <w:snapToGrid w:val="0"/>
        <w:spacing w:line="5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1.供应商是在中华人民共和国境内注册的独立法人或其他组织；</w:t>
      </w:r>
    </w:p>
    <w:p>
      <w:pPr>
        <w:widowControl/>
        <w:snapToGrid w:val="0"/>
        <w:spacing w:line="5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2.供应商须具有与本采购项目相应生产、供货及</w:t>
      </w:r>
      <w:r>
        <w:rPr>
          <w:rFonts w:hint="eastAsia" w:asciiTheme="minorEastAsia" w:hAnsiTheme="minorEastAsia" w:eastAsiaTheme="minorEastAsia"/>
          <w:color w:val="auto"/>
          <w:sz w:val="24"/>
          <w:highlight w:val="none"/>
          <w:lang w:val="en-US" w:eastAsia="zh-CN"/>
        </w:rPr>
        <w:t>指导</w:t>
      </w:r>
      <w:r>
        <w:rPr>
          <w:rFonts w:hint="eastAsia" w:asciiTheme="minorEastAsia" w:hAnsiTheme="minorEastAsia" w:eastAsiaTheme="minorEastAsia"/>
          <w:color w:val="auto"/>
          <w:sz w:val="24"/>
          <w:highlight w:val="none"/>
        </w:rPr>
        <w:t>安装能力。2020年1月1日起至今至少提供1项</w:t>
      </w:r>
      <w:r>
        <w:rPr>
          <w:rFonts w:hint="eastAsia" w:asciiTheme="minorEastAsia" w:hAnsiTheme="minorEastAsia" w:eastAsiaTheme="minorEastAsia"/>
          <w:color w:val="auto"/>
          <w:sz w:val="24"/>
          <w:highlight w:val="none"/>
          <w:lang w:eastAsia="zh-CN"/>
        </w:rPr>
        <w:t>锅炉炉膛检修升降平台</w:t>
      </w:r>
      <w:r>
        <w:rPr>
          <w:rFonts w:hint="eastAsia" w:asciiTheme="minorEastAsia" w:hAnsiTheme="minorEastAsia" w:eastAsiaTheme="minorEastAsia"/>
          <w:color w:val="auto"/>
          <w:sz w:val="24"/>
          <w:highlight w:val="none"/>
        </w:rPr>
        <w:t>供货业绩；</w:t>
      </w:r>
    </w:p>
    <w:p>
      <w:pPr>
        <w:widowControl/>
        <w:snapToGrid w:val="0"/>
        <w:spacing w:line="5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3.供应商不得存在：进入清算程序，或被宣告破产，或其他丧失履约能力的情形；</w:t>
      </w:r>
    </w:p>
    <w:p>
      <w:pPr>
        <w:widowControl/>
        <w:snapToGrid w:val="0"/>
        <w:spacing w:line="5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供应商及其法定代表人、主要负责人或实际控制人参加本次采购活动前3年内（从2021年1月1日起至今；成立时间不足3年的，从成立之日起至今），在经营活动中没有因违法经营受到责令停产停业、吊销许可证或者执照、被列入严重违法失信企业名单，无利用不正当竞争手段骗取中标和重大经济刑事案件。未被列入“信用中国”网站www.creditchina.gov.cn）失信被执行人名单、重大税收违法案件当事人名单；中国政府采购网（www.ccgp.gov.cn）政府采购严重违法失信行为记录名单；</w:t>
      </w:r>
    </w:p>
    <w:p>
      <w:pPr>
        <w:widowControl/>
        <w:snapToGrid w:val="0"/>
        <w:spacing w:line="52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.供应商未被行政管理部门依法暂停参加响应资格或者被列入中粮集团（或采购人或采购人所在专业化平台公司）供应商“黑名单”；</w:t>
      </w:r>
    </w:p>
    <w:p>
      <w:pPr>
        <w:widowControl/>
        <w:snapToGrid w:val="0"/>
        <w:spacing w:line="52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.供应商需确保所提供的设备不会导致侵权纠纷；</w:t>
      </w:r>
    </w:p>
    <w:p>
      <w:pPr>
        <w:widowControl/>
        <w:snapToGrid w:val="0"/>
        <w:spacing w:line="52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.在劳动保护、节能减排与生态环境保护方面符合国家规定要求；</w:t>
      </w:r>
    </w:p>
    <w:p>
      <w:pPr>
        <w:widowControl/>
        <w:snapToGrid w:val="0"/>
        <w:spacing w:line="52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rPr>
        <w:t>.法律、行政法规规定的其他条件必须符合的条件；</w:t>
      </w:r>
    </w:p>
    <w:p>
      <w:pPr>
        <w:widowControl/>
        <w:snapToGrid w:val="0"/>
        <w:spacing w:line="52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rPr>
        <w:t>.本次采购不接受联合体响应，不接受分包与转包；</w:t>
      </w:r>
    </w:p>
    <w:p>
      <w:pPr>
        <w:widowControl/>
        <w:snapToGrid w:val="0"/>
        <w:spacing w:line="52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w:t>
      </w:r>
      <w:r>
        <w:rPr>
          <w:rFonts w:hint="eastAsia" w:asciiTheme="minorEastAsia" w:hAnsiTheme="minorEastAsia" w:eastAsiaTheme="minorEastAsia"/>
          <w:color w:val="auto"/>
          <w:sz w:val="24"/>
          <w:highlight w:val="none"/>
        </w:rPr>
        <w:t>供应商必须通过中粮糖业（漳州）工厂供应商准入评估并在中粮糖业采购平台（</w:t>
      </w:r>
      <w:r>
        <w:rPr>
          <w:rFonts w:hint="eastAsia" w:asciiTheme="minorEastAsia" w:hAnsiTheme="minorEastAsia" w:eastAsiaTheme="minorEastAsia"/>
          <w:color w:val="auto"/>
          <w:sz w:val="24"/>
          <w:highlight w:val="none"/>
          <w:lang w:val="zh-CN"/>
        </w:rPr>
        <w:t>网址</w:t>
      </w:r>
      <w:r>
        <w:rPr>
          <w:rFonts w:hint="eastAsia" w:asciiTheme="minorEastAsia" w:hAnsiTheme="minorEastAsia" w:eastAsiaTheme="minorEastAsia"/>
          <w:color w:val="auto"/>
          <w:sz w:val="24"/>
          <w:highlight w:val="none"/>
        </w:rPr>
        <w:t>：</w:t>
      </w:r>
      <w:r>
        <w:rPr>
          <w:color w:val="auto"/>
          <w:highlight w:val="none"/>
        </w:rPr>
        <w:fldChar w:fldCharType="begin"/>
      </w:r>
      <w:r>
        <w:rPr>
          <w:color w:val="auto"/>
          <w:highlight w:val="none"/>
        </w:rPr>
        <w:instrText xml:space="preserve"> HYPERLINK "http://eps.cofcotunhe.com" </w:instrText>
      </w:r>
      <w:r>
        <w:rPr>
          <w:color w:val="auto"/>
          <w:highlight w:val="none"/>
        </w:rPr>
        <w:fldChar w:fldCharType="separate"/>
      </w:r>
      <w:r>
        <w:rPr>
          <w:rFonts w:asciiTheme="minorEastAsia" w:hAnsiTheme="minorEastAsia" w:eastAsiaTheme="minorEastAsia"/>
          <w:color w:val="auto"/>
          <w:sz w:val="24"/>
          <w:highlight w:val="none"/>
        </w:rPr>
        <w:t>http://eps.cofcotunhe.com</w:t>
      </w:r>
      <w:r>
        <w:rPr>
          <w:rFonts w:asciiTheme="minorEastAsia" w:hAnsiTheme="minorEastAsia" w:eastAsiaTheme="minorEastAsia"/>
          <w:color w:val="auto"/>
          <w:sz w:val="24"/>
          <w:highlight w:val="none"/>
        </w:rPr>
        <w:fldChar w:fldCharType="end"/>
      </w:r>
      <w:r>
        <w:rPr>
          <w:rFonts w:hint="eastAsia" w:asciiTheme="minorEastAsia" w:hAnsiTheme="minorEastAsia" w:eastAsiaTheme="minorEastAsia"/>
          <w:color w:val="auto"/>
          <w:sz w:val="24"/>
          <w:highlight w:val="none"/>
        </w:rPr>
        <w:t xml:space="preserve">）注册，未注册通过的潜在供应商均无资格参加本次响应； </w:t>
      </w:r>
    </w:p>
    <w:p>
      <w:pPr>
        <w:widowControl/>
        <w:snapToGrid w:val="0"/>
        <w:spacing w:line="520" w:lineRule="exact"/>
        <w:ind w:firstLine="480" w:firstLineChars="200"/>
        <w:rPr>
          <w:rFonts w:cs="Arial" w:asciiTheme="minorEastAsia" w:hAnsiTheme="minorEastAsia" w:eastAsiaTheme="minorEastAsia"/>
          <w:color w:val="auto"/>
          <w:sz w:val="24"/>
          <w:highlight w:val="none"/>
        </w:rPr>
      </w:pPr>
      <w:r>
        <w:rPr>
          <w:rFonts w:cs="宋体" w:asciiTheme="minorEastAsia" w:hAnsiTheme="minorEastAsia" w:eastAsiaTheme="minorEastAsia"/>
          <w:color w:val="auto"/>
          <w:kern w:val="0"/>
          <w:sz w:val="24"/>
          <w:highlight w:val="none"/>
        </w:rPr>
        <w:t>11.</w:t>
      </w:r>
      <w:r>
        <w:rPr>
          <w:rFonts w:cs="Arial"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其他说明：a.与采购人存在利害关系可能影响采购公正性的法人、其他组织或者个人，不得参加响应。b.单位负责人为同一人或者存在控股、管理关系的不同单位，不得参加同一标段响应或者未划分标段的同一项目响应。违反前两款规定的，相关响应均无效。</w:t>
      </w:r>
    </w:p>
    <w:p>
      <w:pPr>
        <w:spacing w:line="520" w:lineRule="exact"/>
        <w:ind w:firstLine="482" w:firstLineChars="200"/>
        <w:rPr>
          <w:rFonts w:cs="MS Gothic" w:asciiTheme="minorEastAsia" w:hAnsiTheme="minorEastAsia" w:eastAsiaTheme="minorEastAsia"/>
          <w:b/>
          <w:bCs/>
          <w:color w:val="auto"/>
          <w:sz w:val="24"/>
          <w:highlight w:val="none"/>
        </w:rPr>
      </w:pPr>
      <w:r>
        <w:rPr>
          <w:rFonts w:hint="eastAsia" w:cs="MS Gothic" w:asciiTheme="minorEastAsia" w:hAnsiTheme="minorEastAsia" w:eastAsiaTheme="minorEastAsia"/>
          <w:b/>
          <w:bCs/>
          <w:color w:val="auto"/>
          <w:sz w:val="24"/>
          <w:highlight w:val="none"/>
        </w:rPr>
        <w:t>五、报名及采购文件的获取方式：</w:t>
      </w:r>
    </w:p>
    <w:p>
      <w:pPr>
        <w:spacing w:line="52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本次采购采取</w:t>
      </w:r>
      <w:r>
        <w:rPr>
          <w:rFonts w:hint="eastAsia" w:cs="Arial" w:asciiTheme="minorEastAsia" w:hAnsiTheme="minorEastAsia" w:eastAsiaTheme="minorEastAsia"/>
          <w:color w:val="auto"/>
          <w:sz w:val="24"/>
          <w:highlight w:val="none"/>
          <w:lang w:val="en-US" w:eastAsia="zh-CN"/>
        </w:rPr>
        <w:t>谈判采购</w:t>
      </w:r>
      <w:r>
        <w:rPr>
          <w:rFonts w:hint="eastAsia" w:cs="Arial" w:asciiTheme="minorEastAsia" w:hAnsiTheme="minorEastAsia" w:eastAsiaTheme="minorEastAsia"/>
          <w:color w:val="auto"/>
          <w:sz w:val="24"/>
          <w:highlight w:val="none"/>
        </w:rPr>
        <w:t>方式，</w:t>
      </w:r>
      <w:bookmarkStart w:id="72" w:name="_GoBack"/>
      <w:bookmarkEnd w:id="72"/>
      <w:r>
        <w:rPr>
          <w:rFonts w:hint="eastAsia" w:cs="Arial" w:asciiTheme="minorEastAsia" w:hAnsiTheme="minorEastAsia" w:eastAsiaTheme="minorEastAsia"/>
          <w:color w:val="auto"/>
          <w:sz w:val="24"/>
          <w:highlight w:val="none"/>
        </w:rPr>
        <w:t>供应商需在</w:t>
      </w:r>
      <w:r>
        <w:rPr>
          <w:rFonts w:cs="Arial" w:asciiTheme="minorEastAsia" w:hAnsiTheme="minorEastAsia" w:eastAsiaTheme="minorEastAsia"/>
          <w:color w:val="auto"/>
          <w:sz w:val="24"/>
          <w:highlight w:val="none"/>
        </w:rPr>
        <w:t>2023年</w:t>
      </w:r>
      <w:r>
        <w:rPr>
          <w:rFonts w:hint="eastAsia" w:cs="Arial" w:asciiTheme="minorEastAsia" w:hAnsiTheme="minorEastAsia" w:eastAsiaTheme="minorEastAsia"/>
          <w:color w:val="auto"/>
          <w:sz w:val="24"/>
          <w:highlight w:val="none"/>
          <w:lang w:val="en-US" w:eastAsia="zh-CN"/>
        </w:rPr>
        <w:t>10</w:t>
      </w:r>
      <w:r>
        <w:rPr>
          <w:rFonts w:hint="eastAsia" w:cs="Arial" w:asciiTheme="minorEastAsia" w:hAnsiTheme="minorEastAsia" w:eastAsiaTheme="minorEastAsia"/>
          <w:color w:val="auto"/>
          <w:sz w:val="24"/>
          <w:highlight w:val="none"/>
        </w:rPr>
        <w:t>月</w:t>
      </w:r>
      <w:r>
        <w:rPr>
          <w:rFonts w:hint="eastAsia" w:cs="Arial" w:asciiTheme="minorEastAsia" w:hAnsiTheme="minorEastAsia" w:eastAsiaTheme="minorEastAsia"/>
          <w:color w:val="auto"/>
          <w:sz w:val="24"/>
          <w:highlight w:val="none"/>
          <w:lang w:val="en-US" w:eastAsia="zh-CN"/>
        </w:rPr>
        <w:t>10</w:t>
      </w:r>
      <w:r>
        <w:rPr>
          <w:rFonts w:hint="eastAsia" w:cs="Arial" w:asciiTheme="minorEastAsia" w:hAnsiTheme="minorEastAsia" w:eastAsiaTheme="minorEastAsia"/>
          <w:color w:val="auto"/>
          <w:sz w:val="24"/>
          <w:highlight w:val="none"/>
        </w:rPr>
        <w:t>日前在中粮糖业</w:t>
      </w:r>
      <w:r>
        <w:rPr>
          <w:rFonts w:cs="Arial" w:asciiTheme="minorEastAsia" w:hAnsiTheme="minorEastAsia" w:eastAsiaTheme="minorEastAsia"/>
          <w:color w:val="auto"/>
          <w:sz w:val="24"/>
          <w:highlight w:val="none"/>
        </w:rPr>
        <w:t>EPS采购平台完成注册；采购人组织资格审查通过后在EPS采购平台获取采购文件</w:t>
      </w:r>
      <w:r>
        <w:rPr>
          <w:rFonts w:hint="eastAsia" w:cs="Arial" w:asciiTheme="minorEastAsia" w:hAnsiTheme="minorEastAsia" w:eastAsiaTheme="minorEastAsia"/>
          <w:color w:val="auto"/>
          <w:sz w:val="24"/>
          <w:highlight w:val="none"/>
        </w:rPr>
        <w:t>；</w:t>
      </w:r>
      <w:r>
        <w:rPr>
          <w:rFonts w:cs="Arial" w:asciiTheme="minorEastAsia" w:hAnsiTheme="minorEastAsia" w:eastAsiaTheme="minorEastAsia"/>
          <w:color w:val="auto"/>
          <w:sz w:val="24"/>
          <w:highlight w:val="none"/>
        </w:rPr>
        <w:t>2023年</w:t>
      </w:r>
      <w:r>
        <w:rPr>
          <w:rFonts w:hint="eastAsia" w:cs="Arial" w:asciiTheme="minorEastAsia" w:hAnsiTheme="minorEastAsia" w:eastAsiaTheme="minorEastAsia"/>
          <w:color w:val="auto"/>
          <w:sz w:val="24"/>
          <w:highlight w:val="none"/>
          <w:lang w:val="en-US" w:eastAsia="zh-CN"/>
        </w:rPr>
        <w:t>10</w:t>
      </w:r>
      <w:r>
        <w:rPr>
          <w:rFonts w:hint="eastAsia" w:cs="Arial" w:asciiTheme="minorEastAsia" w:hAnsiTheme="minorEastAsia" w:eastAsiaTheme="minorEastAsia"/>
          <w:color w:val="auto"/>
          <w:sz w:val="24"/>
          <w:highlight w:val="none"/>
        </w:rPr>
        <w:t>月</w:t>
      </w:r>
      <w:r>
        <w:rPr>
          <w:rFonts w:hint="eastAsia" w:cs="Arial" w:asciiTheme="minorEastAsia" w:hAnsiTheme="minorEastAsia" w:eastAsiaTheme="minorEastAsia"/>
          <w:color w:val="auto"/>
          <w:sz w:val="24"/>
          <w:highlight w:val="none"/>
          <w:lang w:val="en-US" w:eastAsia="zh-CN"/>
        </w:rPr>
        <w:t>18</w:t>
      </w:r>
      <w:r>
        <w:rPr>
          <w:rFonts w:hint="eastAsia" w:cs="Arial" w:asciiTheme="minorEastAsia" w:hAnsiTheme="minorEastAsia" w:eastAsiaTheme="minorEastAsia"/>
          <w:color w:val="auto"/>
          <w:sz w:val="24"/>
          <w:highlight w:val="none"/>
        </w:rPr>
        <w:t>日</w:t>
      </w:r>
      <w:r>
        <w:rPr>
          <w:rFonts w:hint="eastAsia" w:cs="Arial" w:asciiTheme="minorEastAsia" w:hAnsiTheme="minorEastAsia" w:eastAsiaTheme="minorEastAsia"/>
          <w:color w:val="auto"/>
          <w:sz w:val="24"/>
          <w:highlight w:val="none"/>
          <w:lang w:val="en-US" w:eastAsia="zh-CN"/>
        </w:rPr>
        <w:t>10点30分</w:t>
      </w:r>
      <w:r>
        <w:rPr>
          <w:rFonts w:hint="eastAsia" w:cs="Arial" w:asciiTheme="minorEastAsia" w:hAnsiTheme="minorEastAsia" w:eastAsiaTheme="minorEastAsia"/>
          <w:color w:val="auto"/>
          <w:sz w:val="24"/>
          <w:highlight w:val="none"/>
        </w:rPr>
        <w:t>前在中粮糖业</w:t>
      </w:r>
      <w:r>
        <w:rPr>
          <w:rFonts w:cs="Arial" w:asciiTheme="minorEastAsia" w:hAnsiTheme="minorEastAsia" w:eastAsiaTheme="minorEastAsia"/>
          <w:color w:val="auto"/>
          <w:sz w:val="24"/>
          <w:highlight w:val="none"/>
        </w:rPr>
        <w:t>EPS采购平台上按采购文件说明条款提供相关资料并提交第一轮报价，此时间之后不</w:t>
      </w:r>
      <w:r>
        <w:rPr>
          <w:rFonts w:hint="eastAsia" w:cs="Arial" w:asciiTheme="minorEastAsia" w:hAnsiTheme="minorEastAsia" w:eastAsiaTheme="minorEastAsia"/>
          <w:color w:val="auto"/>
          <w:sz w:val="24"/>
          <w:highlight w:val="none"/>
        </w:rPr>
        <w:t>再接受响应。计划进行二轮报价。</w:t>
      </w:r>
    </w:p>
    <w:p>
      <w:pPr>
        <w:spacing w:line="520" w:lineRule="exact"/>
        <w:ind w:firstLine="482" w:firstLineChars="200"/>
        <w:rPr>
          <w:rFonts w:cs="Arial" w:asciiTheme="minorEastAsia" w:hAnsiTheme="minorEastAsia" w:eastAsiaTheme="minorEastAsia"/>
          <w:color w:val="auto"/>
          <w:sz w:val="24"/>
          <w:highlight w:val="none"/>
        </w:rPr>
      </w:pPr>
      <w:r>
        <w:rPr>
          <w:rFonts w:hint="eastAsia" w:cs="MS Gothic" w:asciiTheme="minorEastAsia" w:hAnsiTheme="minorEastAsia" w:eastAsiaTheme="minorEastAsia"/>
          <w:b/>
          <w:bCs/>
          <w:color w:val="auto"/>
          <w:sz w:val="24"/>
          <w:highlight w:val="none"/>
        </w:rPr>
        <w:t>六、响应说明：</w:t>
      </w:r>
      <w:r>
        <w:rPr>
          <w:rFonts w:hint="eastAsia" w:cs="Arial" w:asciiTheme="minorEastAsia" w:hAnsiTheme="minorEastAsia" w:eastAsiaTheme="minorEastAsia"/>
          <w:color w:val="auto"/>
          <w:sz w:val="24"/>
          <w:highlight w:val="none"/>
        </w:rPr>
        <w:t>供应商报名成功并实际参加响应活动即视为接受采购方提出的采购文件规则并承担违规法律责任；供应商不需到达开标现场，采取电话答疑，具体答疑安排另行通知；成交供应商放弃成交造成采购方损失的由放弃成交供应商承担全部赔偿。</w:t>
      </w:r>
    </w:p>
    <w:p>
      <w:pPr>
        <w:spacing w:line="520" w:lineRule="exact"/>
        <w:ind w:firstLine="482" w:firstLineChars="200"/>
        <w:rPr>
          <w:rFonts w:cs="Arial" w:asciiTheme="minorEastAsia" w:hAnsiTheme="minorEastAsia" w:eastAsiaTheme="minorEastAsia"/>
          <w:color w:val="auto"/>
          <w:sz w:val="24"/>
          <w:highlight w:val="none"/>
        </w:rPr>
      </w:pPr>
      <w:r>
        <w:rPr>
          <w:rFonts w:hint="eastAsia" w:cs="MS Gothic" w:asciiTheme="minorEastAsia" w:hAnsiTheme="minorEastAsia" w:eastAsiaTheme="minorEastAsia"/>
          <w:b/>
          <w:bCs/>
          <w:color w:val="auto"/>
          <w:sz w:val="24"/>
          <w:highlight w:val="none"/>
        </w:rPr>
        <w:t>七、发布媒体：</w:t>
      </w:r>
      <w:r>
        <w:rPr>
          <w:rFonts w:hint="eastAsia" w:cs="仿宋_GB2312" w:asciiTheme="minorEastAsia" w:hAnsiTheme="minorEastAsia" w:eastAsiaTheme="minorEastAsia"/>
          <w:bCs/>
          <w:color w:val="auto"/>
          <w:kern w:val="0"/>
          <w:sz w:val="24"/>
          <w:highlight w:val="none"/>
        </w:rPr>
        <w:t>本次采购公告在中粮糖业控股股份有限公司电子采购平台</w:t>
      </w: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zh-CN"/>
        </w:rPr>
        <w:t>网址</w:t>
      </w:r>
      <w:r>
        <w:rPr>
          <w:rFonts w:hint="eastAsia" w:asciiTheme="minorEastAsia" w:hAnsiTheme="minorEastAsia" w:eastAsiaTheme="minorEastAsia"/>
          <w:color w:val="auto"/>
          <w:kern w:val="0"/>
          <w:sz w:val="24"/>
          <w:highlight w:val="none"/>
        </w:rPr>
        <w:t>：</w:t>
      </w:r>
      <w:r>
        <w:rPr>
          <w:color w:val="auto"/>
          <w:highlight w:val="none"/>
        </w:rPr>
        <w:fldChar w:fldCharType="begin"/>
      </w:r>
      <w:r>
        <w:rPr>
          <w:color w:val="auto"/>
          <w:highlight w:val="none"/>
        </w:rPr>
        <w:instrText xml:space="preserve"> HYPERLINK "http://eps.cofcotunhe.com" </w:instrText>
      </w:r>
      <w:r>
        <w:rPr>
          <w:color w:val="auto"/>
          <w:highlight w:val="none"/>
        </w:rPr>
        <w:fldChar w:fldCharType="separate"/>
      </w:r>
      <w:r>
        <w:rPr>
          <w:rStyle w:val="26"/>
          <w:rFonts w:cs="宋体" w:asciiTheme="minorEastAsia" w:hAnsiTheme="minorEastAsia" w:eastAsiaTheme="minorEastAsia"/>
          <w:color w:val="auto"/>
          <w:sz w:val="24"/>
          <w:highlight w:val="none"/>
        </w:rPr>
        <w:t>http://eps.cofcotunhe.com</w:t>
      </w:r>
      <w:r>
        <w:rPr>
          <w:rStyle w:val="26"/>
          <w:rFonts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color w:val="auto"/>
          <w:sz w:val="24"/>
          <w:highlight w:val="none"/>
        </w:rPr>
        <w:t>）</w:t>
      </w:r>
      <w:r>
        <w:rPr>
          <w:rFonts w:hint="eastAsia" w:cs="仿宋_GB2312" w:asciiTheme="minorEastAsia" w:hAnsiTheme="minorEastAsia" w:eastAsiaTheme="minorEastAsia"/>
          <w:bCs/>
          <w:color w:val="auto"/>
          <w:kern w:val="0"/>
          <w:sz w:val="24"/>
          <w:highlight w:val="none"/>
        </w:rPr>
        <w:t>上发布。</w:t>
      </w:r>
    </w:p>
    <w:p>
      <w:pPr>
        <w:pStyle w:val="11"/>
        <w:spacing w:line="520" w:lineRule="exact"/>
        <w:ind w:firstLine="482" w:firstLineChars="200"/>
        <w:rPr>
          <w:rFonts w:cs="MS Gothic" w:asciiTheme="minorEastAsia" w:hAnsiTheme="minorEastAsia" w:eastAsiaTheme="minorEastAsia"/>
          <w:b/>
          <w:bCs/>
          <w:color w:val="auto"/>
          <w:sz w:val="24"/>
          <w:szCs w:val="24"/>
          <w:highlight w:val="none"/>
        </w:rPr>
      </w:pPr>
      <w:r>
        <w:rPr>
          <w:rFonts w:hint="eastAsia" w:cs="MS Gothic" w:asciiTheme="minorEastAsia" w:hAnsiTheme="minorEastAsia" w:eastAsiaTheme="minorEastAsia"/>
          <w:b/>
          <w:bCs/>
          <w:color w:val="auto"/>
          <w:sz w:val="24"/>
          <w:szCs w:val="24"/>
          <w:highlight w:val="none"/>
        </w:rPr>
        <w:t>八、采购人联系方式：</w:t>
      </w:r>
    </w:p>
    <w:p>
      <w:pPr>
        <w:pStyle w:val="11"/>
        <w:spacing w:line="520" w:lineRule="exact"/>
        <w:ind w:firstLine="480" w:firstLineChars="200"/>
        <w:rPr>
          <w:rFonts w:cs="仿宋_GB2312" w:asciiTheme="minorEastAsia" w:hAnsiTheme="minorEastAsia" w:eastAsiaTheme="minorEastAsia"/>
          <w:bCs/>
          <w:color w:val="auto"/>
          <w:kern w:val="0"/>
          <w:sz w:val="24"/>
          <w:szCs w:val="24"/>
          <w:highlight w:val="none"/>
        </w:rPr>
      </w:pPr>
      <w:r>
        <w:rPr>
          <w:rFonts w:hint="eastAsia" w:cs="仿宋_GB2312" w:asciiTheme="minorEastAsia" w:hAnsiTheme="minorEastAsia" w:eastAsiaTheme="minorEastAsia"/>
          <w:bCs/>
          <w:color w:val="auto"/>
          <w:kern w:val="0"/>
          <w:sz w:val="24"/>
          <w:szCs w:val="24"/>
          <w:highlight w:val="none"/>
        </w:rPr>
        <w:t>联系人：齐宁</w:t>
      </w:r>
    </w:p>
    <w:p>
      <w:pPr>
        <w:pStyle w:val="11"/>
        <w:spacing w:line="520" w:lineRule="exact"/>
        <w:ind w:firstLine="480" w:firstLineChars="200"/>
        <w:rPr>
          <w:rFonts w:cs="仿宋_GB2312" w:asciiTheme="minorEastAsia" w:hAnsiTheme="minorEastAsia" w:eastAsiaTheme="minorEastAsia"/>
          <w:bCs/>
          <w:color w:val="auto"/>
          <w:kern w:val="0"/>
          <w:sz w:val="24"/>
          <w:szCs w:val="24"/>
          <w:highlight w:val="none"/>
        </w:rPr>
      </w:pPr>
      <w:r>
        <w:rPr>
          <w:rFonts w:hint="eastAsia" w:cs="仿宋_GB2312" w:asciiTheme="minorEastAsia" w:hAnsiTheme="minorEastAsia" w:eastAsiaTheme="minorEastAsia"/>
          <w:bCs/>
          <w:color w:val="auto"/>
          <w:kern w:val="0"/>
          <w:sz w:val="24"/>
          <w:szCs w:val="24"/>
          <w:highlight w:val="none"/>
        </w:rPr>
        <w:t>电话：</w:t>
      </w:r>
      <w:r>
        <w:rPr>
          <w:rFonts w:cs="仿宋_GB2312" w:asciiTheme="minorEastAsia" w:hAnsiTheme="minorEastAsia" w:eastAsiaTheme="minorEastAsia"/>
          <w:bCs/>
          <w:color w:val="auto"/>
          <w:kern w:val="0"/>
          <w:sz w:val="24"/>
          <w:szCs w:val="24"/>
          <w:highlight w:val="none"/>
        </w:rPr>
        <w:t>18341342420</w:t>
      </w:r>
    </w:p>
    <w:p>
      <w:pPr>
        <w:pStyle w:val="11"/>
        <w:spacing w:line="520" w:lineRule="exact"/>
        <w:ind w:firstLine="482" w:firstLineChars="200"/>
        <w:rPr>
          <w:rFonts w:cs="MS Gothic" w:asciiTheme="minorEastAsia" w:hAnsiTheme="minorEastAsia" w:eastAsiaTheme="minorEastAsia"/>
          <w:b/>
          <w:bCs/>
          <w:color w:val="auto"/>
          <w:sz w:val="24"/>
          <w:szCs w:val="24"/>
          <w:highlight w:val="none"/>
        </w:rPr>
      </w:pPr>
      <w:r>
        <w:rPr>
          <w:rFonts w:hint="eastAsia" w:cs="MS Gothic" w:asciiTheme="minorEastAsia" w:hAnsiTheme="minorEastAsia" w:eastAsiaTheme="minorEastAsia"/>
          <w:b/>
          <w:bCs/>
          <w:color w:val="auto"/>
          <w:sz w:val="24"/>
          <w:szCs w:val="24"/>
          <w:highlight w:val="none"/>
        </w:rPr>
        <w:t>九、监督部门及电话：</w:t>
      </w:r>
    </w:p>
    <w:p>
      <w:pPr>
        <w:spacing w:line="520" w:lineRule="exact"/>
        <w:ind w:firstLine="480" w:firstLineChars="200"/>
        <w:rPr>
          <w:rFonts w:cs="仿宋_GB2312" w:asciiTheme="minorEastAsia" w:hAnsiTheme="minorEastAsia" w:eastAsiaTheme="minorEastAsia"/>
          <w:bCs/>
          <w:color w:val="auto"/>
          <w:kern w:val="0"/>
          <w:sz w:val="24"/>
          <w:highlight w:val="none"/>
        </w:rPr>
      </w:pPr>
      <w:r>
        <w:rPr>
          <w:rFonts w:hint="eastAsia" w:cs="仿宋_GB2312" w:asciiTheme="minorEastAsia" w:hAnsiTheme="minorEastAsia" w:eastAsiaTheme="minorEastAsia"/>
          <w:bCs/>
          <w:color w:val="auto"/>
          <w:kern w:val="0"/>
          <w:sz w:val="24"/>
          <w:highlight w:val="none"/>
        </w:rPr>
        <w:t>中粮糖业纪检监督联系方式</w:t>
      </w:r>
    </w:p>
    <w:p>
      <w:pPr>
        <w:spacing w:line="520" w:lineRule="exact"/>
        <w:ind w:firstLine="480" w:firstLineChars="200"/>
        <w:rPr>
          <w:rFonts w:cs="仿宋_GB2312" w:asciiTheme="minorEastAsia" w:hAnsiTheme="minorEastAsia" w:eastAsiaTheme="minorEastAsia"/>
          <w:bCs/>
          <w:color w:val="auto"/>
          <w:kern w:val="0"/>
          <w:sz w:val="24"/>
          <w:highlight w:val="none"/>
        </w:rPr>
      </w:pPr>
      <w:r>
        <w:rPr>
          <w:rFonts w:hint="eastAsia" w:cs="仿宋_GB2312" w:asciiTheme="minorEastAsia" w:hAnsiTheme="minorEastAsia" w:eastAsiaTheme="minorEastAsia"/>
          <w:bCs/>
          <w:color w:val="auto"/>
          <w:kern w:val="0"/>
          <w:sz w:val="24"/>
          <w:highlight w:val="none"/>
        </w:rPr>
        <w:t>地址：北京朝阳区朝阳门南大街</w:t>
      </w:r>
      <w:r>
        <w:rPr>
          <w:rFonts w:cs="仿宋_GB2312" w:asciiTheme="minorEastAsia" w:hAnsiTheme="minorEastAsia" w:eastAsiaTheme="minorEastAsia"/>
          <w:bCs/>
          <w:color w:val="auto"/>
          <w:kern w:val="0"/>
          <w:sz w:val="24"/>
          <w:highlight w:val="none"/>
        </w:rPr>
        <w:t>8号中粮福临门大厦9层905房间中粮糖业纪委办公室</w:t>
      </w:r>
    </w:p>
    <w:p>
      <w:pPr>
        <w:spacing w:line="520" w:lineRule="exact"/>
        <w:ind w:firstLine="480" w:firstLineChars="200"/>
        <w:rPr>
          <w:rFonts w:cs="仿宋_GB2312" w:asciiTheme="minorEastAsia" w:hAnsiTheme="minorEastAsia" w:eastAsiaTheme="minorEastAsia"/>
          <w:bCs/>
          <w:color w:val="auto"/>
          <w:kern w:val="0"/>
          <w:sz w:val="24"/>
          <w:highlight w:val="none"/>
        </w:rPr>
      </w:pPr>
      <w:r>
        <w:rPr>
          <w:rFonts w:hint="eastAsia" w:cs="仿宋_GB2312" w:asciiTheme="minorEastAsia" w:hAnsiTheme="minorEastAsia" w:eastAsiaTheme="minorEastAsia"/>
          <w:bCs/>
          <w:color w:val="auto"/>
          <w:kern w:val="0"/>
          <w:sz w:val="24"/>
          <w:highlight w:val="none"/>
        </w:rPr>
        <w:t>邮编：</w:t>
      </w:r>
      <w:r>
        <w:rPr>
          <w:rFonts w:cs="仿宋_GB2312" w:asciiTheme="minorEastAsia" w:hAnsiTheme="minorEastAsia" w:eastAsiaTheme="minorEastAsia"/>
          <w:bCs/>
          <w:color w:val="auto"/>
          <w:kern w:val="0"/>
          <w:sz w:val="24"/>
          <w:highlight w:val="none"/>
        </w:rPr>
        <w:t>100020</w:t>
      </w:r>
    </w:p>
    <w:p>
      <w:pPr>
        <w:spacing w:line="520" w:lineRule="exact"/>
        <w:ind w:firstLine="480" w:firstLineChars="200"/>
        <w:rPr>
          <w:rFonts w:cs="仿宋_GB2312" w:asciiTheme="minorEastAsia" w:hAnsiTheme="minorEastAsia" w:eastAsiaTheme="minorEastAsia"/>
          <w:bCs/>
          <w:color w:val="auto"/>
          <w:kern w:val="0"/>
          <w:sz w:val="24"/>
          <w:highlight w:val="none"/>
        </w:rPr>
      </w:pPr>
      <w:r>
        <w:rPr>
          <w:rFonts w:hint="eastAsia" w:cs="仿宋_GB2312" w:asciiTheme="minorEastAsia" w:hAnsiTheme="minorEastAsia" w:eastAsiaTheme="minorEastAsia"/>
          <w:bCs/>
          <w:color w:val="auto"/>
          <w:kern w:val="0"/>
          <w:sz w:val="24"/>
          <w:highlight w:val="none"/>
        </w:rPr>
        <w:t>联系电话：</w:t>
      </w:r>
      <w:r>
        <w:rPr>
          <w:rFonts w:cs="仿宋_GB2312" w:asciiTheme="minorEastAsia" w:hAnsiTheme="minorEastAsia" w:eastAsiaTheme="minorEastAsia"/>
          <w:bCs/>
          <w:color w:val="auto"/>
          <w:kern w:val="0"/>
          <w:sz w:val="24"/>
          <w:highlight w:val="none"/>
        </w:rPr>
        <w:t>010-85017235</w:t>
      </w:r>
    </w:p>
    <w:p>
      <w:pPr>
        <w:rPr>
          <w:rFonts w:asciiTheme="minorEastAsia" w:hAnsiTheme="minorEastAsia" w:eastAsiaTheme="minorEastAsia"/>
          <w:color w:val="auto"/>
          <w:highlight w:val="none"/>
        </w:rPr>
      </w:pPr>
      <w:r>
        <w:rPr>
          <w:rFonts w:cs="仿宋_GB2312" w:asciiTheme="minorEastAsia" w:hAnsiTheme="minorEastAsia" w:eastAsiaTheme="minorEastAsia"/>
          <w:bCs/>
          <w:color w:val="auto"/>
          <w:kern w:val="0"/>
          <w:sz w:val="24"/>
          <w:highlight w:val="none"/>
        </w:rPr>
        <w:br w:type="page"/>
      </w:r>
    </w:p>
    <w:p>
      <w:pPr>
        <w:jc w:val="center"/>
        <w:outlineLvl w:val="0"/>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第二部分</w:t>
      </w:r>
      <w:r>
        <w:rPr>
          <w:rFonts w:asciiTheme="minorEastAsia" w:hAnsiTheme="minorEastAsia" w:eastAsiaTheme="minorEastAsia"/>
          <w:b/>
          <w:color w:val="auto"/>
          <w:sz w:val="44"/>
          <w:szCs w:val="44"/>
          <w:highlight w:val="none"/>
        </w:rPr>
        <w:t xml:space="preserve"> </w:t>
      </w:r>
      <w:r>
        <w:rPr>
          <w:rFonts w:hint="eastAsia" w:asciiTheme="minorEastAsia" w:hAnsiTheme="minorEastAsia" w:eastAsiaTheme="minorEastAsia"/>
          <w:b/>
          <w:color w:val="auto"/>
          <w:sz w:val="44"/>
          <w:szCs w:val="44"/>
          <w:highlight w:val="none"/>
        </w:rPr>
        <w:t>谈判须知</w:t>
      </w:r>
    </w:p>
    <w:p>
      <w:pPr>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sz w:val="28"/>
          <w:szCs w:val="28"/>
          <w:highlight w:val="none"/>
        </w:rPr>
        <w:t>前附表</w:t>
      </w:r>
    </w:p>
    <w:tbl>
      <w:tblPr>
        <w:tblStyle w:val="22"/>
        <w:tblW w:w="518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772"/>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858" w:type="pct"/>
            <w:vAlign w:val="center"/>
          </w:tcPr>
          <w:p>
            <w:pPr>
              <w:spacing w:line="276"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w:t>
            </w:r>
          </w:p>
        </w:tc>
        <w:tc>
          <w:tcPr>
            <w:tcW w:w="3785" w:type="pct"/>
            <w:vAlign w:val="center"/>
          </w:tcPr>
          <w:p>
            <w:pPr>
              <w:spacing w:line="276"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项目内容</w:t>
            </w:r>
          </w:p>
        </w:tc>
        <w:tc>
          <w:tcPr>
            <w:tcW w:w="3785" w:type="pct"/>
            <w:vAlign w:val="center"/>
          </w:tcPr>
          <w:p>
            <w:pPr>
              <w:spacing w:line="276"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val="zh-CN"/>
              </w:rPr>
              <w:t>中粮</w:t>
            </w:r>
            <w:r>
              <w:rPr>
                <w:rFonts w:hint="eastAsia" w:asciiTheme="minorEastAsia" w:hAnsiTheme="minorEastAsia" w:eastAsiaTheme="minorEastAsia"/>
                <w:color w:val="auto"/>
                <w:sz w:val="24"/>
                <w:highlight w:val="none"/>
              </w:rPr>
              <w:t>糖业（漳州）有限公司</w:t>
            </w:r>
            <w:r>
              <w:rPr>
                <w:rFonts w:hint="eastAsia" w:asciiTheme="minorEastAsia" w:hAnsiTheme="minorEastAsia" w:eastAsiaTheme="minorEastAsia"/>
                <w:color w:val="auto"/>
                <w:sz w:val="24"/>
                <w:highlight w:val="none"/>
                <w:lang w:eastAsia="zh-CN"/>
              </w:rPr>
              <w:t>锅炉炉膛检修升降平台</w:t>
            </w:r>
            <w:r>
              <w:rPr>
                <w:rFonts w:hint="eastAsia" w:asciiTheme="minorEastAsia" w:hAnsiTheme="minorEastAsia" w:eastAsiaTheme="minorEastAsia"/>
                <w:color w:val="auto"/>
                <w:sz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采购地点</w:t>
            </w:r>
          </w:p>
        </w:tc>
        <w:tc>
          <w:tcPr>
            <w:tcW w:w="3785" w:type="pct"/>
          </w:tcPr>
          <w:p>
            <w:pPr>
              <w:pStyle w:val="17"/>
              <w:spacing w:before="60" w:beforeAutospacing="0" w:after="60" w:afterAutospacing="0" w:line="276"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kern w:val="2"/>
                <w:highlight w:val="none"/>
              </w:rPr>
              <w:t>漳州招商局经济技术开发区四区兴港南路南段道路西侧场地中粮糖业（漳州）有限公司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主要内容及</w:t>
            </w:r>
            <w:r>
              <w:rPr>
                <w:rFonts w:asciiTheme="minorEastAsia" w:hAnsiTheme="minorEastAsia" w:eastAsiaTheme="minorEastAsia"/>
                <w:color w:val="auto"/>
                <w:sz w:val="24"/>
                <w:highlight w:val="none"/>
              </w:rPr>
              <w:t>谈判要求</w:t>
            </w:r>
          </w:p>
        </w:tc>
        <w:tc>
          <w:tcPr>
            <w:tcW w:w="3785" w:type="pct"/>
            <w:vAlign w:val="center"/>
          </w:tcPr>
          <w:p>
            <w:pPr>
              <w:numPr>
                <w:ilvl w:val="0"/>
                <w:numId w:val="1"/>
              </w:numPr>
              <w:spacing w:line="276"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主要内容：</w:t>
            </w:r>
          </w:p>
          <w:p>
            <w:pPr>
              <w:numPr>
                <w:ilvl w:val="0"/>
                <w:numId w:val="2"/>
              </w:numPr>
              <w:spacing w:line="276" w:lineRule="auto"/>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lang w:eastAsia="zh-CN"/>
              </w:rPr>
              <w:t>锅炉炉膛检修升降平台</w:t>
            </w:r>
            <w:r>
              <w:rPr>
                <w:rFonts w:hint="eastAsia" w:cs="宋体" w:asciiTheme="minorEastAsia" w:hAnsiTheme="minorEastAsia" w:eastAsiaTheme="minorEastAsia"/>
                <w:color w:val="auto"/>
                <w:kern w:val="0"/>
                <w:sz w:val="24"/>
                <w:highlight w:val="none"/>
              </w:rPr>
              <w:t>技术文件</w:t>
            </w:r>
          </w:p>
          <w:p>
            <w:pPr>
              <w:numPr>
                <w:ilvl w:val="0"/>
                <w:numId w:val="2"/>
              </w:numPr>
              <w:spacing w:line="276"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货期</w:t>
            </w:r>
          </w:p>
          <w:p>
            <w:pPr>
              <w:numPr>
                <w:ilvl w:val="0"/>
                <w:numId w:val="2"/>
              </w:numPr>
              <w:spacing w:line="276"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付款方式</w:t>
            </w:r>
          </w:p>
          <w:p>
            <w:pPr>
              <w:numPr>
                <w:ilvl w:val="0"/>
                <w:numId w:val="2"/>
              </w:numPr>
              <w:spacing w:line="276"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产品标准等</w:t>
            </w:r>
          </w:p>
          <w:p>
            <w:pPr>
              <w:spacing w:line="276"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二</w:t>
            </w: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谈判人出现下列情形之一的，谈判小组可取消其谈判资格：</w:t>
            </w:r>
            <w:r>
              <w:rPr>
                <w:rFonts w:cs="宋体" w:asciiTheme="minorEastAsia" w:hAnsiTheme="minorEastAsia" w:eastAsiaTheme="minorEastAsia"/>
                <w:color w:val="auto"/>
                <w:kern w:val="0"/>
                <w:sz w:val="24"/>
                <w:highlight w:val="none"/>
              </w:rPr>
              <w:t xml:space="preserve"> </w:t>
            </w:r>
          </w:p>
          <w:p>
            <w:pPr>
              <w:spacing w:line="276"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(1)未按谈判文件或谈判小组规定时间派授权代表参加谈判的；</w:t>
            </w:r>
          </w:p>
          <w:p>
            <w:pPr>
              <w:spacing w:line="276"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(2)未按谈判文件要求和规定提交有关材料的；</w:t>
            </w:r>
          </w:p>
          <w:p>
            <w:pPr>
              <w:spacing w:line="276"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(3)有违反相关法律、法规行为的。</w:t>
            </w:r>
          </w:p>
          <w:p>
            <w:pPr>
              <w:spacing w:line="276"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三、谈判人出现下列情形之一的，谈判小组在评审中将拒绝推荐：</w:t>
            </w:r>
          </w:p>
          <w:p>
            <w:pPr>
              <w:spacing w:line="276"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xml:space="preserve">(1) </w:t>
            </w:r>
            <w:r>
              <w:rPr>
                <w:rFonts w:hint="eastAsia" w:cs="宋体" w:asciiTheme="minorEastAsia" w:hAnsiTheme="minorEastAsia" w:eastAsiaTheme="minorEastAsia"/>
                <w:color w:val="auto"/>
                <w:kern w:val="0"/>
                <w:sz w:val="24"/>
                <w:highlight w:val="none"/>
              </w:rPr>
              <w:t>谈判人不符合谈判文件要求的；</w:t>
            </w:r>
          </w:p>
          <w:p>
            <w:pPr>
              <w:spacing w:line="276"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xml:space="preserve">(2) </w:t>
            </w:r>
            <w:r>
              <w:rPr>
                <w:rFonts w:hint="eastAsia" w:cs="宋体" w:asciiTheme="minorEastAsia" w:hAnsiTheme="minorEastAsia" w:eastAsiaTheme="minorEastAsia"/>
                <w:color w:val="auto"/>
                <w:kern w:val="0"/>
                <w:sz w:val="24"/>
                <w:highlight w:val="none"/>
              </w:rPr>
              <w:t>资格证明文件不全或不满足谈判文件规定的谈判人资质要求的；</w:t>
            </w:r>
          </w:p>
          <w:p>
            <w:pPr>
              <w:spacing w:line="276"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xml:space="preserve">(3) </w:t>
            </w:r>
            <w:r>
              <w:rPr>
                <w:rFonts w:hint="eastAsia" w:cs="宋体" w:asciiTheme="minorEastAsia" w:hAnsiTheme="minorEastAsia" w:eastAsiaTheme="minorEastAsia"/>
                <w:color w:val="auto"/>
                <w:kern w:val="0"/>
                <w:sz w:val="24"/>
                <w:highlight w:val="none"/>
              </w:rPr>
              <w:t>超出经营范围响应的；</w:t>
            </w:r>
            <w:r>
              <w:rPr>
                <w:rFonts w:cs="宋体" w:asciiTheme="minorEastAsia" w:hAnsiTheme="minorEastAsia" w:eastAsiaTheme="minorEastAsia"/>
                <w:color w:val="auto"/>
                <w:kern w:val="0"/>
                <w:sz w:val="24"/>
                <w:highlight w:val="none"/>
              </w:rPr>
              <w:t xml:space="preserve"> </w:t>
            </w:r>
          </w:p>
          <w:p>
            <w:pPr>
              <w:spacing w:line="276"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xml:space="preserve">(4) </w:t>
            </w:r>
            <w:r>
              <w:rPr>
                <w:rFonts w:hint="eastAsia" w:cs="宋体" w:asciiTheme="minorEastAsia" w:hAnsiTheme="minorEastAsia" w:eastAsiaTheme="minorEastAsia"/>
                <w:color w:val="auto"/>
                <w:kern w:val="0"/>
                <w:sz w:val="24"/>
                <w:highlight w:val="none"/>
              </w:rPr>
              <w:t>不符合谈判文件中规定的其他实质性要求。</w:t>
            </w:r>
          </w:p>
          <w:p>
            <w:pPr>
              <w:spacing w:line="276"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xml:space="preserve">(5) </w:t>
            </w:r>
            <w:r>
              <w:rPr>
                <w:rFonts w:hint="eastAsia" w:cs="宋体" w:asciiTheme="minorEastAsia" w:hAnsiTheme="minorEastAsia" w:eastAsiaTheme="minorEastAsia"/>
                <w:color w:val="auto"/>
                <w:kern w:val="0"/>
                <w:sz w:val="24"/>
                <w:highlight w:val="none"/>
              </w:rPr>
              <w:t>在谈判过程中，谈判小组若发现参与谈判的供应商以他人的名义参加谈判、串通、以行贿手段谋取成交或者以其他弄虚作假方式参加谈判的，该参与谈判的供应商的报价文件将作无效谈判文件处理。</w:t>
            </w:r>
          </w:p>
          <w:p>
            <w:pPr>
              <w:spacing w:line="276"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在谈判过程中，供应商可以根据谈判情况进行多轮报价，并对报价文件的内容，在符合谈判文件要求的前提下和规定的时间内进行修改，最终报价必须以书面形式确认。</w:t>
            </w:r>
          </w:p>
          <w:p>
            <w:pPr>
              <w:spacing w:line="276"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确定成交人：谈判结束后，谈判小组要求所有参加谈判的供应商进行最后报价。谈判小组根据符合采购需求、质量和服务相等且报价综合评分最高的原则确定成交人。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响应保证金</w:t>
            </w:r>
          </w:p>
        </w:tc>
        <w:tc>
          <w:tcPr>
            <w:tcW w:w="3785" w:type="pct"/>
            <w:vAlign w:val="center"/>
          </w:tcPr>
          <w:p>
            <w:pPr>
              <w:spacing w:line="276"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响应保证金：人民</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元整</w:t>
            </w:r>
            <w:r>
              <w:rPr>
                <w:rFonts w:hint="eastAsia" w:asciiTheme="minorEastAsia" w:hAnsiTheme="minorEastAsia" w:eastAsiaTheme="minorEastAsia"/>
                <w:color w:val="auto"/>
                <w:sz w:val="24"/>
                <w:highlight w:val="none"/>
              </w:rPr>
              <w:t>。</w:t>
            </w:r>
          </w:p>
          <w:p>
            <w:pPr>
              <w:spacing w:line="276"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交款账户名称：中粮糖业（漳州）有限公司</w:t>
            </w:r>
          </w:p>
          <w:p>
            <w:pPr>
              <w:spacing w:line="276"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w:t>
            </w:r>
            <w:r>
              <w:rPr>
                <w:rFonts w:asciiTheme="minorEastAsia" w:hAnsiTheme="minorEastAsia" w:eastAsiaTheme="minorEastAsia"/>
                <w:color w:val="auto"/>
                <w:sz w:val="24"/>
                <w:highlight w:val="none"/>
              </w:rPr>
              <w:t>596900886610101</w:t>
            </w:r>
          </w:p>
          <w:p>
            <w:pPr>
              <w:spacing w:line="276"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开户行：招商银行股份有限公司漳州开发区</w:t>
            </w:r>
          </w:p>
          <w:p>
            <w:pPr>
              <w:spacing w:line="276"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交款方式：电汇（交款时注明“漳州糖业</w:t>
            </w:r>
            <w:r>
              <w:rPr>
                <w:rFonts w:hint="eastAsia" w:asciiTheme="minorEastAsia" w:hAnsiTheme="minorEastAsia" w:eastAsiaTheme="minorEastAsia"/>
                <w:color w:val="auto"/>
                <w:sz w:val="24"/>
                <w:highlight w:val="none"/>
                <w:lang w:eastAsia="zh-CN"/>
              </w:rPr>
              <w:t>锅炉炉膛检修升降平台</w:t>
            </w:r>
            <w:r>
              <w:rPr>
                <w:rFonts w:hint="eastAsia" w:asciiTheme="minorEastAsia" w:hAnsiTheme="minorEastAsia" w:eastAsiaTheme="minorEastAsia"/>
                <w:color w:val="auto"/>
                <w:sz w:val="24"/>
                <w:highlight w:val="none"/>
              </w:rPr>
              <w:t>响应保证金”字样）</w:t>
            </w:r>
          </w:p>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缴款期限：缴纳响应保证金后开通响应权限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p>
        </w:tc>
        <w:tc>
          <w:tcPr>
            <w:tcW w:w="1703" w:type="dxa"/>
            <w:vAlign w:val="center"/>
          </w:tcPr>
          <w:p>
            <w:pPr>
              <w:spacing w:line="276"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响应保证金退还</w:t>
            </w:r>
          </w:p>
        </w:tc>
        <w:tc>
          <w:tcPr>
            <w:tcW w:w="7511" w:type="dxa"/>
            <w:vAlign w:val="center"/>
          </w:tcPr>
          <w:p>
            <w:pPr>
              <w:spacing w:line="276"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成交单位在合同签订之日自动转为合同履约保证金；未成交单位在中标结果确定后退还。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供应商资格</w:t>
            </w:r>
          </w:p>
        </w:tc>
        <w:tc>
          <w:tcPr>
            <w:tcW w:w="3785" w:type="pct"/>
            <w:vAlign w:val="center"/>
          </w:tcPr>
          <w:p>
            <w:pPr>
              <w:adjustRightInd w:val="0"/>
              <w:snapToGrid w:val="0"/>
              <w:spacing w:line="276" w:lineRule="auto"/>
              <w:textAlignment w:val="top"/>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1.供应商是在中华人民共和国境内注册的独立法人或其他组织；</w:t>
            </w:r>
          </w:p>
          <w:p>
            <w:pPr>
              <w:adjustRightInd w:val="0"/>
              <w:snapToGrid w:val="0"/>
              <w:spacing w:line="276" w:lineRule="auto"/>
              <w:textAlignment w:val="top"/>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2.供应商须具有与本采购项目相应生产、供货及指导安装能力。2020年1月1日起至今至少提供1项</w:t>
            </w:r>
            <w:r>
              <w:rPr>
                <w:rFonts w:hint="eastAsia" w:asciiTheme="minorEastAsia" w:hAnsiTheme="minorEastAsia" w:eastAsiaTheme="minorEastAsia"/>
                <w:color w:val="auto"/>
                <w:sz w:val="24"/>
                <w:highlight w:val="none"/>
                <w:lang w:eastAsia="zh-CN"/>
              </w:rPr>
              <w:t>锅炉炉膛检修升降平台</w:t>
            </w:r>
            <w:r>
              <w:rPr>
                <w:rFonts w:asciiTheme="minorEastAsia" w:hAnsiTheme="minorEastAsia" w:eastAsiaTheme="minorEastAsia"/>
                <w:color w:val="auto"/>
                <w:sz w:val="24"/>
                <w:highlight w:val="none"/>
              </w:rPr>
              <w:t>供货业绩；</w:t>
            </w:r>
          </w:p>
          <w:p>
            <w:pPr>
              <w:adjustRightInd w:val="0"/>
              <w:snapToGrid w:val="0"/>
              <w:spacing w:line="276" w:lineRule="auto"/>
              <w:textAlignment w:val="top"/>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3.供应商不得存在：进入清算程序，或被宣告破产，或其他丧失履约能力的情形；</w:t>
            </w:r>
          </w:p>
          <w:p>
            <w:pPr>
              <w:adjustRightInd w:val="0"/>
              <w:snapToGrid w:val="0"/>
              <w:spacing w:line="276" w:lineRule="auto"/>
              <w:textAlignment w:val="top"/>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供应商及其法定代表人、主要负责人或实际控制人参加本次采购活动前3年内（从2021年1月1日起至今；成立时间不足3年的，从成立之日起至今），在经营活动中没有因违法经营受到责令停产停业、吊销许可证或者执照、被列入严重违法失信企业名单，无利用不正当竞争手段骗取中标和重大经济刑事案件。未被列入“信用中国”网站www.creditchina.gov.cn）失信被执行人名单、重大税收违法案件当事人名单；中国政府采购网（www.ccgp.gov.cn）政府采购严重违法失信行为记录名单；</w:t>
            </w:r>
          </w:p>
          <w:p>
            <w:pPr>
              <w:adjustRightInd w:val="0"/>
              <w:snapToGrid w:val="0"/>
              <w:spacing w:line="276" w:lineRule="auto"/>
              <w:textAlignment w:val="top"/>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5.供应商未被行政管理部门依法暂停参加响应资格或者被列入中粮集团（或采购人或采购人所在专业化平台公司）供应商“黑名单”；</w:t>
            </w:r>
          </w:p>
          <w:p>
            <w:pPr>
              <w:adjustRightInd w:val="0"/>
              <w:snapToGrid w:val="0"/>
              <w:spacing w:line="276" w:lineRule="auto"/>
              <w:textAlignment w:val="top"/>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6.供应商需确保所提供的设备不会导致侵权纠纷；</w:t>
            </w:r>
          </w:p>
          <w:p>
            <w:pPr>
              <w:adjustRightInd w:val="0"/>
              <w:snapToGrid w:val="0"/>
              <w:spacing w:line="276" w:lineRule="auto"/>
              <w:textAlignment w:val="top"/>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7.在劳动保护、节能减排与生态环境保护方面符合国家规定要求；</w:t>
            </w:r>
          </w:p>
          <w:p>
            <w:pPr>
              <w:adjustRightInd w:val="0"/>
              <w:snapToGrid w:val="0"/>
              <w:spacing w:line="276" w:lineRule="auto"/>
              <w:textAlignment w:val="top"/>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8.法律、行政法规规定的其他条件必须符合的条件；</w:t>
            </w:r>
          </w:p>
          <w:p>
            <w:pPr>
              <w:adjustRightInd w:val="0"/>
              <w:snapToGrid w:val="0"/>
              <w:spacing w:line="276" w:lineRule="auto"/>
              <w:textAlignment w:val="top"/>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9.本次采购不接受联合体响应，不接受分包与转包；</w:t>
            </w:r>
          </w:p>
          <w:p>
            <w:pPr>
              <w:adjustRightInd w:val="0"/>
              <w:snapToGrid w:val="0"/>
              <w:spacing w:line="276" w:lineRule="auto"/>
              <w:textAlignment w:val="top"/>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10.供应商必须通过中粮糖业（漳州）工厂供应商准入评估并在中粮糖业采购平台（网址：http://eps.cofcotunhe.com）注册，未注册通过的潜在供应商均无资格参加本次</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 xml:space="preserve"> </w:t>
            </w:r>
          </w:p>
          <w:p>
            <w:pPr>
              <w:pStyle w:val="11"/>
              <w:spacing w:line="276"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 xml:space="preserve">11. </w:t>
            </w:r>
            <w:r>
              <w:rPr>
                <w:rFonts w:hint="eastAsia" w:asciiTheme="minorEastAsia" w:hAnsiTheme="minorEastAsia" w:eastAsiaTheme="minorEastAsia"/>
                <w:color w:val="auto"/>
                <w:sz w:val="24"/>
                <w:highlight w:val="none"/>
              </w:rPr>
              <w:t>其他说明：</w:t>
            </w:r>
            <w:r>
              <w:rPr>
                <w:rFonts w:asciiTheme="minorEastAsia" w:hAnsiTheme="minorEastAsia" w:eastAsiaTheme="minorEastAsia"/>
                <w:color w:val="auto"/>
                <w:sz w:val="24"/>
                <w:highlight w:val="none"/>
              </w:rPr>
              <w:t>a.与采购人存在利害关系可能影响</w:t>
            </w:r>
            <w:r>
              <w:rPr>
                <w:rFonts w:hint="eastAsia" w:asciiTheme="minorEastAsia" w:hAnsiTheme="minorEastAsia" w:eastAsiaTheme="minorEastAsia"/>
                <w:color w:val="auto"/>
                <w:sz w:val="24"/>
                <w:highlight w:val="none"/>
              </w:rPr>
              <w:t>采购公正性的法人、其他组织或者个人，不得参加响应。</w:t>
            </w:r>
            <w:r>
              <w:rPr>
                <w:rFonts w:asciiTheme="minorEastAsia" w:hAnsiTheme="minorEastAsia" w:eastAsiaTheme="minorEastAsia"/>
                <w:color w:val="auto"/>
                <w:sz w:val="24"/>
                <w:highlight w:val="none"/>
              </w:rPr>
              <w:t>b.单位负责人为同一人或者存在控股、管理关系的不同单位，不得参加同一标段</w:t>
            </w:r>
            <w:r>
              <w:rPr>
                <w:rFonts w:hint="eastAsia" w:asciiTheme="minorEastAsia" w:hAnsiTheme="minorEastAsia" w:eastAsiaTheme="minorEastAsia"/>
                <w:color w:val="auto"/>
                <w:sz w:val="24"/>
                <w:highlight w:val="none"/>
              </w:rPr>
              <w:t>响应或者未划分标段的同一采购项目响应。违反前两款规定的，相关响应均无效。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交货期</w:t>
            </w:r>
          </w:p>
        </w:tc>
        <w:tc>
          <w:tcPr>
            <w:tcW w:w="3785" w:type="pct"/>
            <w:vAlign w:val="center"/>
          </w:tcPr>
          <w:p>
            <w:pPr>
              <w:spacing w:line="276" w:lineRule="auto"/>
              <w:jc w:val="left"/>
              <w:rPr>
                <w:rFonts w:hint="eastAsia" w:asciiTheme="minorEastAsia" w:hAnsiTheme="minorEastAsia" w:eastAsiaTheme="minorEastAsia"/>
                <w:color w:val="auto"/>
                <w:sz w:val="24"/>
                <w:highlight w:val="none"/>
                <w:lang w:eastAsia="zh-CN"/>
              </w:rPr>
            </w:pPr>
            <w:r>
              <w:rPr>
                <w:rFonts w:hint="eastAsia" w:ascii="仿宋_GB2312" w:hAnsi="黑体" w:eastAsia="仿宋_GB2312" w:cs="MS Gothic"/>
                <w:color w:val="auto"/>
                <w:sz w:val="24"/>
                <w:szCs w:val="24"/>
                <w:highlight w:val="none"/>
                <w:lang w:val="en-US" w:eastAsia="zh-CN"/>
              </w:rPr>
              <w:t>合同生效后30日历天可具备发货条件，接到采购人发货通知后（采购人可在供应商具备发货条件后任意一天均可以）15个日历天内到达采购人指定场地。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合同价款支付</w:t>
            </w:r>
          </w:p>
        </w:tc>
        <w:tc>
          <w:tcPr>
            <w:tcW w:w="3785" w:type="pct"/>
            <w:vAlign w:val="center"/>
          </w:tcPr>
          <w:p>
            <w:pPr>
              <w:adjustRightInd w:val="0"/>
              <w:snapToGrid w:val="0"/>
              <w:spacing w:line="276" w:lineRule="auto"/>
              <w:textAlignment w:val="top"/>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合同样本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响应报价方式</w:t>
            </w:r>
          </w:p>
        </w:tc>
        <w:tc>
          <w:tcPr>
            <w:tcW w:w="3785"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详见报价文件格式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评审方法</w:t>
            </w:r>
          </w:p>
        </w:tc>
        <w:tc>
          <w:tcPr>
            <w:tcW w:w="3785"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采用综合评估法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报价有效期</w:t>
            </w:r>
          </w:p>
        </w:tc>
        <w:tc>
          <w:tcPr>
            <w:tcW w:w="3785"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报价有效期：自报价截止时间起</w:t>
            </w:r>
            <w:r>
              <w:rPr>
                <w:rFonts w:asciiTheme="minorEastAsia" w:hAnsiTheme="minorEastAsia" w:eastAsiaTheme="minorEastAsia"/>
                <w:color w:val="auto"/>
                <w:sz w:val="24"/>
                <w:highlight w:val="none"/>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报价文价份数</w:t>
            </w:r>
          </w:p>
        </w:tc>
        <w:tc>
          <w:tcPr>
            <w:tcW w:w="3785"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一份电子标书。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报价文件递交地点及截止时间</w:t>
            </w:r>
          </w:p>
        </w:tc>
        <w:tc>
          <w:tcPr>
            <w:tcW w:w="3785" w:type="pct"/>
            <w:vAlign w:val="center"/>
          </w:tcPr>
          <w:p>
            <w:pPr>
              <w:spacing w:line="276" w:lineRule="auto"/>
              <w:jc w:val="left"/>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报价文件递交截止时间：</w:t>
            </w:r>
            <w:r>
              <w:rPr>
                <w:rFonts w:asciiTheme="minorEastAsia" w:hAnsiTheme="minorEastAsia" w:eastAsiaTheme="minorEastAsia"/>
                <w:color w:val="auto"/>
                <w:kern w:val="0"/>
                <w:sz w:val="24"/>
                <w:highlight w:val="none"/>
                <w:lang w:val="zh-CN"/>
              </w:rPr>
              <w:t>20</w:t>
            </w:r>
            <w:r>
              <w:rPr>
                <w:rFonts w:asciiTheme="minorEastAsia" w:hAnsiTheme="minorEastAsia" w:eastAsiaTheme="minorEastAsia"/>
                <w:color w:val="auto"/>
                <w:kern w:val="0"/>
                <w:sz w:val="24"/>
                <w:highlight w:val="none"/>
              </w:rPr>
              <w:t>2</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lang w:val="zh-CN"/>
              </w:rPr>
              <w:t>年</w:t>
            </w:r>
            <w:r>
              <w:rPr>
                <w:rFonts w:hint="eastAsia" w:asciiTheme="minorEastAsia" w:hAnsiTheme="minorEastAsia" w:eastAsiaTheme="minorEastAsia"/>
                <w:color w:val="auto"/>
                <w:kern w:val="0"/>
                <w:sz w:val="24"/>
                <w:highlight w:val="none"/>
                <w:lang w:val="en-US" w:eastAsia="zh-CN"/>
              </w:rPr>
              <w:t>10</w:t>
            </w:r>
            <w:r>
              <w:rPr>
                <w:rFonts w:hint="eastAsia" w:asciiTheme="minorEastAsia" w:hAnsiTheme="minorEastAsia" w:eastAsiaTheme="minorEastAsia"/>
                <w:color w:val="auto"/>
                <w:kern w:val="0"/>
                <w:sz w:val="24"/>
                <w:highlight w:val="none"/>
                <w:lang w:val="zh-CN"/>
              </w:rPr>
              <w:t>月</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lang w:val="en-US" w:eastAsia="zh-CN"/>
              </w:rPr>
              <w:t>18</w:t>
            </w:r>
            <w:r>
              <w:rPr>
                <w:rFonts w:hint="eastAsia" w:asciiTheme="minorEastAsia" w:hAnsiTheme="minorEastAsia" w:eastAsiaTheme="minorEastAsia"/>
                <w:color w:val="auto"/>
                <w:kern w:val="0"/>
                <w:sz w:val="24"/>
                <w:highlight w:val="none"/>
                <w:lang w:val="zh-CN"/>
              </w:rPr>
              <w:t>日</w:t>
            </w:r>
            <w:r>
              <w:rPr>
                <w:rFonts w:asciiTheme="minorEastAsia" w:hAnsiTheme="minorEastAsia" w:eastAsiaTheme="minorEastAsia"/>
                <w:color w:val="auto"/>
                <w:kern w:val="0"/>
                <w:sz w:val="24"/>
                <w:highlight w:val="none"/>
              </w:rPr>
              <w:t>10点</w:t>
            </w:r>
            <w:r>
              <w:rPr>
                <w:rFonts w:hint="eastAsia" w:asciiTheme="minorEastAsia" w:hAnsiTheme="minorEastAsia" w:eastAsiaTheme="minorEastAsia"/>
                <w:color w:val="auto"/>
                <w:kern w:val="0"/>
                <w:sz w:val="24"/>
                <w:highlight w:val="none"/>
                <w:lang w:val="en-US" w:eastAsia="zh-CN"/>
              </w:rPr>
              <w:t>30</w:t>
            </w:r>
            <w:r>
              <w:rPr>
                <w:rFonts w:hint="eastAsia" w:asciiTheme="minorEastAsia" w:hAnsiTheme="minorEastAsia" w:eastAsiaTheme="minorEastAsia"/>
                <w:color w:val="auto"/>
                <w:kern w:val="0"/>
                <w:sz w:val="24"/>
                <w:highlight w:val="none"/>
              </w:rPr>
              <w:t>分</w:t>
            </w:r>
          </w:p>
          <w:p>
            <w:pPr>
              <w:autoSpaceDE w:val="0"/>
              <w:autoSpaceDN w:val="0"/>
              <w:adjustRightInd w:val="0"/>
              <w:spacing w:before="120" w:beforeLines="50" w:after="120" w:afterLines="50" w:line="276" w:lineRule="auto"/>
              <w:jc w:val="left"/>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报价文件递交至：中粮糖业（漳州）有限公司</w:t>
            </w:r>
            <w:r>
              <w:rPr>
                <w:rFonts w:asciiTheme="minorEastAsia" w:hAnsiTheme="minorEastAsia" w:eastAsiaTheme="minorEastAsia"/>
                <w:color w:val="auto"/>
                <w:sz w:val="24"/>
                <w:highlight w:val="none"/>
              </w:rPr>
              <w:t xml:space="preserve">EPS电子采购系统。（http://eps.tunhe.com）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谈判日期</w:t>
            </w:r>
          </w:p>
        </w:tc>
        <w:tc>
          <w:tcPr>
            <w:tcW w:w="3785"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lang w:val="zh-CN"/>
              </w:rPr>
              <w:t>以招标人通知为准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15</w:t>
            </w:r>
          </w:p>
        </w:tc>
        <w:tc>
          <w:tcPr>
            <w:tcW w:w="858" w:type="pct"/>
            <w:vAlign w:val="center"/>
          </w:tcPr>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招标单位联系人</w:t>
            </w:r>
          </w:p>
        </w:tc>
        <w:tc>
          <w:tcPr>
            <w:tcW w:w="3785" w:type="pct"/>
            <w:vAlign w:val="center"/>
          </w:tcPr>
          <w:p>
            <w:pPr>
              <w:spacing w:line="276"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采购人：中粮糖业（漳州）有限公司</w:t>
            </w:r>
          </w:p>
          <w:p>
            <w:pPr>
              <w:spacing w:line="27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联系人：齐宁</w:t>
            </w:r>
            <w:r>
              <w:rPr>
                <w:rFonts w:asciiTheme="minorEastAsia" w:hAnsiTheme="minorEastAsia" w:eastAsiaTheme="minorEastAsia"/>
                <w:color w:val="auto"/>
                <w:sz w:val="24"/>
                <w:highlight w:val="none"/>
              </w:rPr>
              <w:t xml:space="preserve">         电话: 18341342420               </w:t>
            </w:r>
          </w:p>
        </w:tc>
      </w:tr>
    </w:tbl>
    <w:p>
      <w:pPr>
        <w:spacing w:line="520" w:lineRule="exact"/>
        <w:rPr>
          <w:rFonts w:asciiTheme="minorEastAsia" w:hAnsiTheme="minorEastAsia" w:eastAsiaTheme="minorEastAsia"/>
          <w:b/>
          <w:color w:val="auto"/>
          <w:sz w:val="28"/>
          <w:szCs w:val="28"/>
          <w:highlight w:val="none"/>
        </w:rPr>
      </w:pPr>
    </w:p>
    <w:p>
      <w:pPr>
        <w:spacing w:line="520" w:lineRule="exact"/>
        <w:ind w:firstLine="3795" w:firstLineChars="1350"/>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p>
      <w:pPr>
        <w:spacing w:line="520" w:lineRule="exact"/>
        <w:ind w:firstLine="3795" w:firstLineChars="135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一、总</w:t>
      </w:r>
      <w:r>
        <w:rPr>
          <w:rFonts w:asciiTheme="minorEastAsia" w:hAnsiTheme="minorEastAsia" w:eastAsiaTheme="minorEastAsia"/>
          <w:b/>
          <w:color w:val="auto"/>
          <w:sz w:val="28"/>
          <w:szCs w:val="28"/>
          <w:highlight w:val="none"/>
        </w:rPr>
        <w:t xml:space="preserve"> </w:t>
      </w:r>
      <w:r>
        <w:rPr>
          <w:rFonts w:hint="eastAsia" w:asciiTheme="minorEastAsia" w:hAnsiTheme="minorEastAsia" w:eastAsiaTheme="minorEastAsia"/>
          <w:b/>
          <w:color w:val="auto"/>
          <w:sz w:val="28"/>
          <w:szCs w:val="28"/>
          <w:highlight w:val="none"/>
        </w:rPr>
        <w:t>则</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1、适用范围：</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本谈判文件仅适用于</w:t>
      </w:r>
      <w:r>
        <w:rPr>
          <w:rFonts w:hint="eastAsia" w:asciiTheme="minorEastAsia" w:hAnsiTheme="minorEastAsia" w:eastAsiaTheme="minorEastAsia"/>
          <w:color w:val="auto"/>
          <w:sz w:val="24"/>
          <w:highlight w:val="none"/>
          <w:lang w:val="zh-CN"/>
        </w:rPr>
        <w:t>中粮</w:t>
      </w:r>
      <w:r>
        <w:rPr>
          <w:rFonts w:hint="eastAsia" w:asciiTheme="minorEastAsia" w:hAnsiTheme="minorEastAsia" w:eastAsiaTheme="minorEastAsia"/>
          <w:color w:val="auto"/>
          <w:sz w:val="24"/>
          <w:highlight w:val="none"/>
        </w:rPr>
        <w:t>糖业（漳州）有限公司</w:t>
      </w:r>
      <w:r>
        <w:rPr>
          <w:rFonts w:hint="eastAsia" w:asciiTheme="minorEastAsia" w:hAnsiTheme="minorEastAsia" w:eastAsiaTheme="minorEastAsia"/>
          <w:color w:val="auto"/>
          <w:sz w:val="24"/>
          <w:highlight w:val="none"/>
          <w:lang w:eastAsia="zh-CN"/>
        </w:rPr>
        <w:t>锅炉炉膛检修升降平台</w:t>
      </w:r>
      <w:r>
        <w:rPr>
          <w:rFonts w:hint="eastAsia" w:asciiTheme="minorEastAsia" w:hAnsiTheme="minorEastAsia" w:eastAsiaTheme="minorEastAsia"/>
          <w:color w:val="auto"/>
          <w:sz w:val="24"/>
          <w:highlight w:val="none"/>
        </w:rPr>
        <w:t>项目。</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2、定义</w:t>
      </w:r>
    </w:p>
    <w:p>
      <w:pPr>
        <w:spacing w:line="360" w:lineRule="auto"/>
        <w:rPr>
          <w:rFonts w:cs="宋体"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rPr>
        <w:t>采购人：</w:t>
      </w:r>
      <w:r>
        <w:rPr>
          <w:rFonts w:hint="eastAsia" w:cs="宋体" w:asciiTheme="minorEastAsia" w:hAnsiTheme="minorEastAsia" w:eastAsiaTheme="minorEastAsia"/>
          <w:color w:val="auto"/>
          <w:sz w:val="24"/>
          <w:highlight w:val="none"/>
        </w:rPr>
        <w:t>中粮糖业（漳州）有限公司</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2.2谈判文件：</w:t>
      </w:r>
      <w:r>
        <w:rPr>
          <w:rFonts w:hint="eastAsia" w:cs="宋体" w:asciiTheme="minorEastAsia" w:hAnsiTheme="minorEastAsia" w:eastAsiaTheme="minorEastAsia"/>
          <w:color w:val="auto"/>
          <w:sz w:val="24"/>
          <w:highlight w:val="none"/>
        </w:rPr>
        <w:t>中粮糖业（漳州）有限公司</w:t>
      </w:r>
      <w:r>
        <w:rPr>
          <w:rFonts w:hint="eastAsia" w:asciiTheme="minorEastAsia" w:hAnsiTheme="minorEastAsia" w:eastAsiaTheme="minorEastAsia"/>
          <w:color w:val="auto"/>
          <w:sz w:val="24"/>
          <w:highlight w:val="none"/>
        </w:rPr>
        <w:t>向拟参加谈判的供应商所提供的文件。</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2.3报价文件：参加谈判的</w:t>
      </w:r>
      <w:r>
        <w:rPr>
          <w:rFonts w:hint="eastAsia" w:asciiTheme="minorEastAsia" w:hAnsiTheme="minorEastAsia" w:eastAsiaTheme="minorEastAsia"/>
          <w:color w:val="auto"/>
          <w:sz w:val="24"/>
          <w:highlight w:val="none"/>
        </w:rPr>
        <w:t>供应商向</w:t>
      </w:r>
      <w:r>
        <w:rPr>
          <w:rFonts w:hint="eastAsia" w:cs="宋体"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rPr>
        <w:t>递交的为响应本项目谈判文件内容而编制的文件。</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2.4成交</w:t>
      </w:r>
      <w:r>
        <w:rPr>
          <w:rFonts w:hint="eastAsia" w:asciiTheme="minorEastAsia" w:hAnsiTheme="minorEastAsia" w:eastAsiaTheme="minorEastAsia"/>
          <w:color w:val="auto"/>
          <w:sz w:val="24"/>
          <w:highlight w:val="none"/>
        </w:rPr>
        <w:t>供应商：接到并接受中标（成交）通知书，最终被授予合同的供应商。</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3、谈判费用</w:t>
      </w:r>
    </w:p>
    <w:p>
      <w:pPr>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无论谈判结果如何，参加谈判的供应商应自行承担与参加谈判有关的全部费用，采购人在任何情况下均无义务和责任承担上述费用。</w:t>
      </w:r>
    </w:p>
    <w:p>
      <w:pPr>
        <w:spacing w:line="360" w:lineRule="auto"/>
        <w:ind w:firstLine="3253" w:firstLineChars="13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二、谈判文件</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4、谈判文件用以阐明所需货物及服务、谈判程序、谈判内容、合同草案的条款以及评定成交的标准等事项。谈判文件由下述部分组成：</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第一部分   项目公告</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第二部分   谈判须知</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第三部分   项目内容及要求</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第四部分   合同样本</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第五部分</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响应文件格式</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第六部分</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评分标准</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5、谈判文件的澄清</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参加谈判的</w:t>
      </w:r>
      <w:r>
        <w:rPr>
          <w:rFonts w:hint="eastAsia" w:asciiTheme="minorEastAsia" w:hAnsiTheme="minorEastAsia" w:eastAsiaTheme="minorEastAsia"/>
          <w:color w:val="auto"/>
          <w:sz w:val="24"/>
          <w:highlight w:val="none"/>
        </w:rPr>
        <w:t>供应商对谈判文件如有需要澄清的问题，应在开始谈判截止时间前通知采购人。采购人将视情况予以答复，并在其认为必要时，将该书面答复发给已获得谈判文件的所有供应商。</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6、谈判文件的修改与补充</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采购人有权修改或补充已发售的谈判文件，并将谈判文件的修改或补充内容书面通知所有获得谈判文件的供应商，修改或补充内容将构成谈判文件的一部分，对谈判人有约束力。</w:t>
      </w:r>
    </w:p>
    <w:p>
      <w:pPr>
        <w:spacing w:line="360" w:lineRule="auto"/>
        <w:ind w:firstLine="3253" w:firstLineChars="13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三、报价文件的编写</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报价文件由资质审查、商务文件、技术文件组成。（具体按响应格式仔细填写）</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8、编写要求：参加谈判的</w:t>
      </w:r>
      <w:r>
        <w:rPr>
          <w:rFonts w:hint="eastAsia" w:asciiTheme="minorEastAsia" w:hAnsiTheme="minorEastAsia" w:eastAsiaTheme="minorEastAsia"/>
          <w:color w:val="auto"/>
          <w:sz w:val="24"/>
          <w:highlight w:val="none"/>
        </w:rPr>
        <w:t>供应商应参考谈判文件中提供的格式编写报价文件。</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9、谈判报价</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9.1</w:t>
      </w:r>
      <w:r>
        <w:rPr>
          <w:rFonts w:hint="eastAsia" w:asciiTheme="minorEastAsia" w:hAnsiTheme="minorEastAsia" w:eastAsiaTheme="minorEastAsia"/>
          <w:color w:val="auto"/>
          <w:sz w:val="24"/>
          <w:highlight w:val="none"/>
        </w:rPr>
        <w:t>报价应是完成</w:t>
      </w:r>
      <w:r>
        <w:rPr>
          <w:rFonts w:hint="eastAsia" w:asciiTheme="minorEastAsia" w:hAnsiTheme="minorEastAsia" w:eastAsiaTheme="minorEastAsia"/>
          <w:color w:val="auto"/>
          <w:sz w:val="24"/>
          <w:highlight w:val="none"/>
          <w:lang w:val="zh-CN"/>
        </w:rPr>
        <w:t>中粮</w:t>
      </w:r>
      <w:r>
        <w:rPr>
          <w:rFonts w:hint="eastAsia" w:asciiTheme="minorEastAsia" w:hAnsiTheme="minorEastAsia" w:eastAsiaTheme="minorEastAsia"/>
          <w:color w:val="auto"/>
          <w:sz w:val="24"/>
          <w:highlight w:val="none"/>
        </w:rPr>
        <w:t>糖业（漳州）有限公司</w:t>
      </w:r>
      <w:r>
        <w:rPr>
          <w:rFonts w:hint="eastAsia" w:asciiTheme="minorEastAsia" w:hAnsiTheme="minorEastAsia" w:eastAsiaTheme="minorEastAsia"/>
          <w:color w:val="auto"/>
          <w:sz w:val="24"/>
          <w:highlight w:val="none"/>
          <w:lang w:eastAsia="zh-CN"/>
        </w:rPr>
        <w:t>锅炉炉膛检修升降平台</w:t>
      </w:r>
      <w:r>
        <w:rPr>
          <w:rFonts w:hint="eastAsia" w:asciiTheme="minorEastAsia" w:hAnsiTheme="minorEastAsia" w:eastAsiaTheme="minorEastAsia"/>
          <w:color w:val="auto"/>
          <w:sz w:val="24"/>
          <w:highlight w:val="none"/>
        </w:rPr>
        <w:t>项目所必须的一切费用，包括按照要求及相关规范进行资料收集整编、规划等全部工作所需费用、人工薪酬、企业利润、管理费、税金及风险费用等。</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10、报价文件的签署及规定 </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10.1报价文件应按规定加盖单位公章和由谈判人法定代表人或授权代表签字或盖章（法定代表人或授权代表印章），否则，将被视为无效报价文件。</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10.2除谈判人对错处作必要修改外，报价文件中不许有加行、涂抹或改写，修改处须加盖谈判人公章或法定代表人（或授权委托人）签字或盖章（法定代表人或授权委托人印章）。</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11、报价文件应以中文编制，计量单位以国家规定标准为准。</w:t>
      </w:r>
    </w:p>
    <w:p>
      <w:pPr>
        <w:spacing w:line="360" w:lineRule="auto"/>
        <w:ind w:firstLine="3253" w:firstLineChars="13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四、报价文件的递交</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12、密封和标记</w:t>
      </w:r>
    </w:p>
    <w:p>
      <w:pPr>
        <w:spacing w:line="360" w:lineRule="auto"/>
        <w:ind w:firstLine="432" w:firstLineChars="1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供应商应参考本竞争性谈判文件所规定的格式、内容等编制报价文件，并提交全部资格证明文件，否则响应无效。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报价文件应由供应商法定代表人或经其正式授权的代理人在“竞争性谈判文件”要求的地方签字或盖章（法定代表人或经其正式授权的代理人印章），并在报价文件正面标明项目名称及编号、供应商名称。</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13、报价文件的报送时间</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参加谈判的</w:t>
      </w:r>
      <w:r>
        <w:rPr>
          <w:rFonts w:hint="eastAsia" w:asciiTheme="minorEastAsia" w:hAnsiTheme="minorEastAsia" w:eastAsiaTheme="minorEastAsia"/>
          <w:color w:val="auto"/>
          <w:sz w:val="24"/>
          <w:highlight w:val="none"/>
        </w:rPr>
        <w:t>供应商应按竞争性谈判文件第一章项目公告中规定时间将报价文件上传至本采购项目指定的网站。报价文件有效期为</w:t>
      </w:r>
      <w:r>
        <w:rPr>
          <w:rFonts w:asciiTheme="minorEastAsia" w:hAnsiTheme="minorEastAsia" w:eastAsiaTheme="minorEastAsia"/>
          <w:color w:val="auto"/>
          <w:sz w:val="24"/>
          <w:highlight w:val="none"/>
        </w:rPr>
        <w:t>90日，报价文件递交截止时间后上传的报价文件，</w:t>
      </w:r>
      <w:r>
        <w:rPr>
          <w:rFonts w:hint="eastAsia" w:asciiTheme="minorEastAsia" w:hAnsiTheme="minorEastAsia" w:eastAsiaTheme="minorEastAsia"/>
          <w:color w:val="auto"/>
          <w:sz w:val="24"/>
          <w:highlight w:val="none"/>
        </w:rPr>
        <w:t>采购人将予以拒绝。</w:t>
      </w:r>
    </w:p>
    <w:p>
      <w:pPr>
        <w:spacing w:line="360" w:lineRule="auto"/>
        <w:ind w:firstLine="3253" w:firstLineChars="13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五、谈判方法和程序</w:t>
      </w:r>
      <w:bookmarkStart w:id="0" w:name="_Toc132265226"/>
      <w:bookmarkStart w:id="1" w:name="_Toc132523441"/>
      <w:bookmarkStart w:id="2" w:name="_Toc171937671"/>
      <w:bookmarkStart w:id="3" w:name="_Toc132000220"/>
      <w:bookmarkStart w:id="4" w:name="_Toc132523712"/>
      <w:bookmarkStart w:id="5" w:name="_Toc132111875"/>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14、竞争性谈判</w:t>
      </w:r>
      <w:bookmarkEnd w:id="0"/>
      <w:bookmarkEnd w:id="1"/>
      <w:bookmarkEnd w:id="2"/>
      <w:bookmarkEnd w:id="3"/>
      <w:bookmarkEnd w:id="4"/>
      <w:bookmarkEnd w:id="5"/>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采购人在项目公告规定的时间地点且有供应商代表在线的情况下分别进行谈判。参加谈判的供应商代表应在系统内签名报到证明其出席，如未按时签到，将被视为供应商自动放弃报价权利。</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本次竞争性谈判采取线上与电话会议相结合，供应商根据中粮糖业</w:t>
      </w:r>
      <w:r>
        <w:rPr>
          <w:rFonts w:asciiTheme="minorEastAsia" w:hAnsiTheme="minorEastAsia" w:eastAsiaTheme="minorEastAsia"/>
          <w:color w:val="auto"/>
          <w:sz w:val="24"/>
          <w:highlight w:val="none"/>
        </w:rPr>
        <w:t>EPS</w:t>
      </w:r>
      <w:r>
        <w:rPr>
          <w:rFonts w:hint="eastAsia" w:asciiTheme="minorEastAsia" w:hAnsiTheme="minorEastAsia" w:eastAsiaTheme="minorEastAsia"/>
          <w:color w:val="auto"/>
          <w:sz w:val="24"/>
          <w:highlight w:val="none"/>
        </w:rPr>
        <w:t>系统采购方式，确保电话及网络畅通，随时接受谈判小组的询问，并予以解答问题。</w:t>
      </w:r>
    </w:p>
    <w:p>
      <w:pPr>
        <w:spacing w:line="360" w:lineRule="auto"/>
        <w:rPr>
          <w:rFonts w:asciiTheme="minorEastAsia" w:hAnsiTheme="minorEastAsia" w:eastAsiaTheme="minorEastAsia"/>
          <w:color w:val="auto"/>
          <w:sz w:val="24"/>
          <w:highlight w:val="none"/>
        </w:rPr>
      </w:pPr>
      <w:bookmarkStart w:id="6" w:name="_Toc171937672"/>
      <w:bookmarkStart w:id="7" w:name="_Toc132000221"/>
      <w:bookmarkStart w:id="8" w:name="_Toc132265227"/>
      <w:bookmarkStart w:id="9" w:name="_Toc132111876"/>
      <w:bookmarkStart w:id="10" w:name="_Toc132523442"/>
      <w:bookmarkStart w:id="11" w:name="_Toc132523713"/>
      <w:r>
        <w:rPr>
          <w:rFonts w:asciiTheme="minorEastAsia" w:hAnsiTheme="minorEastAsia" w:eastAsiaTheme="minorEastAsia"/>
          <w:color w:val="auto"/>
          <w:sz w:val="24"/>
          <w:highlight w:val="none"/>
        </w:rPr>
        <w:t>15、谈判小组</w:t>
      </w:r>
      <w:bookmarkEnd w:id="6"/>
      <w:bookmarkEnd w:id="7"/>
      <w:bookmarkEnd w:id="8"/>
      <w:bookmarkEnd w:id="9"/>
      <w:bookmarkEnd w:id="10"/>
      <w:bookmarkEnd w:id="11"/>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采购人根据本项目的特点组建谈判小组，其成员由采购人的商务和技术人员组成。</w:t>
      </w:r>
    </w:p>
    <w:p>
      <w:pPr>
        <w:spacing w:line="360" w:lineRule="auto"/>
        <w:rPr>
          <w:rFonts w:asciiTheme="minorEastAsia" w:hAnsiTheme="minorEastAsia" w:eastAsiaTheme="minorEastAsia"/>
          <w:color w:val="auto"/>
          <w:sz w:val="24"/>
          <w:highlight w:val="none"/>
        </w:rPr>
      </w:pPr>
      <w:bookmarkStart w:id="12" w:name="_Toc132523443"/>
      <w:bookmarkStart w:id="13" w:name="_Toc171937673"/>
      <w:bookmarkStart w:id="14" w:name="_Toc132265228"/>
      <w:bookmarkStart w:id="15" w:name="_Toc132523714"/>
      <w:r>
        <w:rPr>
          <w:rFonts w:asciiTheme="minorEastAsia" w:hAnsiTheme="minorEastAsia" w:eastAsiaTheme="minorEastAsia"/>
          <w:color w:val="auto"/>
          <w:sz w:val="24"/>
          <w:highlight w:val="none"/>
        </w:rPr>
        <w:t>16、谈判程序</w:t>
      </w:r>
      <w:bookmarkEnd w:id="12"/>
      <w:bookmarkEnd w:id="13"/>
      <w:bookmarkEnd w:id="14"/>
      <w:bookmarkEnd w:id="15"/>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供应商及谈判小组成员在线签到，主持人宣布：竞争性谈判会议开始。</w:t>
      </w:r>
    </w:p>
    <w:p>
      <w:pPr>
        <w:spacing w:line="360" w:lineRule="auto"/>
        <w:ind w:firstLine="432" w:firstLineChars="1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介绍谈判项目情况并宣读参加单位名单。</w:t>
      </w:r>
    </w:p>
    <w:p>
      <w:pPr>
        <w:spacing w:line="360" w:lineRule="auto"/>
        <w:ind w:firstLine="432" w:firstLineChars="1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宣读谈判小组成员名单。</w:t>
      </w:r>
    </w:p>
    <w:p>
      <w:pPr>
        <w:spacing w:line="360" w:lineRule="auto"/>
        <w:ind w:firstLine="432" w:firstLineChars="1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宣读谈判纪律和注意事项。</w:t>
      </w:r>
    </w:p>
    <w:p>
      <w:pPr>
        <w:spacing w:line="360" w:lineRule="auto"/>
        <w:ind w:firstLine="432" w:firstLineChars="1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采购人就有关问题作相应说明。</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按供应商在中粮糖业</w:t>
      </w:r>
      <w:r>
        <w:rPr>
          <w:rFonts w:asciiTheme="minorEastAsia" w:hAnsiTheme="minorEastAsia" w:eastAsiaTheme="minorEastAsia"/>
          <w:color w:val="auto"/>
          <w:sz w:val="24"/>
          <w:highlight w:val="none"/>
        </w:rPr>
        <w:t>EPS系统内递交标书顺序，由</w:t>
      </w:r>
      <w:r>
        <w:rPr>
          <w:rFonts w:hint="eastAsia" w:asciiTheme="minorEastAsia" w:hAnsiTheme="minorEastAsia" w:eastAsiaTheme="minorEastAsia"/>
          <w:color w:val="auto"/>
          <w:sz w:val="24"/>
          <w:highlight w:val="none"/>
        </w:rPr>
        <w:t>供应商对进行第一轮报价。</w:t>
      </w:r>
    </w:p>
    <w:p>
      <w:pPr>
        <w:spacing w:line="360" w:lineRule="auto"/>
        <w:ind w:firstLine="432" w:firstLineChars="1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审阅报价文件，并分别与各供应商谈判。响应报价实行多轮报价，本项目不事先确定谈判、报价轮次，谈判小组根谈判情况确定，并在最后一轮报价前告知供应商（注：一般不超过3轮，不排除一轮定价的可能性，请诚意报价）。供应商在规定时间内作最终说明与承诺和最后一次报价。</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17、谈判及确定成交的原则</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本项目的谈判活动将遵循“公开、公平、公正、择优”的原则，对所有参加供应商的评定，以相同的程序和方法严格按照谈判文件的要求和条件进行。</w:t>
      </w:r>
    </w:p>
    <w:p>
      <w:pPr>
        <w:spacing w:line="360" w:lineRule="auto"/>
        <w:ind w:firstLine="480" w:firstLineChars="200"/>
        <w:rPr>
          <w:rFonts w:asciiTheme="minorEastAsia" w:hAnsiTheme="minorEastAsia" w:eastAsiaTheme="minorEastAsia"/>
          <w:color w:val="auto"/>
          <w:sz w:val="24"/>
          <w:highlight w:val="none"/>
        </w:rPr>
      </w:pPr>
      <w:bookmarkStart w:id="16" w:name="_Toc131265005"/>
      <w:bookmarkStart w:id="17" w:name="_Toc171937674"/>
      <w:r>
        <w:rPr>
          <w:rFonts w:hint="eastAsia" w:asciiTheme="minorEastAsia" w:hAnsiTheme="minorEastAsia" w:eastAsiaTheme="minorEastAsia"/>
          <w:color w:val="auto"/>
          <w:sz w:val="24"/>
          <w:highlight w:val="none"/>
        </w:rPr>
        <w:t>谈判小组将对供应商资质是否满足竞争性谈判文件的要求、报价文件是否完整、报价文件是否有效签署，是否满足了谈判文件要求的相关条件，是否提供了谈判文件要求的材料件等方面进行评审。</w:t>
      </w:r>
    </w:p>
    <w:bookmarkEnd w:id="16"/>
    <w:bookmarkEnd w:id="17"/>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★注意事项：</w:t>
      </w:r>
      <w:r>
        <w:rPr>
          <w:rFonts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17.1谈判人出现下列情形之一的，谈判小组可取消其谈判资格： </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(1)未按谈判文件或谈判小组规定时间派授权代表参加谈判的； </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(2)未按谈判文件要求和规定提交有关材料的；</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(3)有违反相关法律、法规行为的。</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17.2谈判人出现下列情形之一的，谈判小组在评审中将拒绝推荐：</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 </w:t>
      </w:r>
      <w:r>
        <w:rPr>
          <w:rFonts w:hint="eastAsia" w:asciiTheme="minorEastAsia" w:hAnsiTheme="minorEastAsia" w:eastAsiaTheme="minorEastAsia"/>
          <w:color w:val="auto"/>
          <w:sz w:val="24"/>
          <w:highlight w:val="none"/>
        </w:rPr>
        <w:t>谈判人不符合谈判文件要求的；</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 </w:t>
      </w:r>
      <w:r>
        <w:rPr>
          <w:rFonts w:hint="eastAsia" w:asciiTheme="minorEastAsia" w:hAnsiTheme="minorEastAsia" w:eastAsiaTheme="minorEastAsia"/>
          <w:color w:val="auto"/>
          <w:sz w:val="24"/>
          <w:highlight w:val="none"/>
        </w:rPr>
        <w:t>资格证明文件不全或不满足谈判文件规定的谈判人资质要求的；</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(3) </w:t>
      </w:r>
      <w:r>
        <w:rPr>
          <w:rFonts w:hint="eastAsia" w:asciiTheme="minorEastAsia" w:hAnsiTheme="minorEastAsia" w:eastAsiaTheme="minorEastAsia"/>
          <w:color w:val="auto"/>
          <w:sz w:val="24"/>
          <w:highlight w:val="none"/>
        </w:rPr>
        <w:t>超出经营范围响应的；</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(4) </w:t>
      </w:r>
      <w:r>
        <w:rPr>
          <w:rFonts w:hint="eastAsia" w:asciiTheme="minorEastAsia" w:hAnsiTheme="minorEastAsia" w:eastAsiaTheme="minorEastAsia"/>
          <w:color w:val="auto"/>
          <w:sz w:val="24"/>
          <w:highlight w:val="none"/>
        </w:rPr>
        <w:t>不符合谈判文件中规定的其他实质性要求。</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(5) </w:t>
      </w:r>
      <w:r>
        <w:rPr>
          <w:rFonts w:hint="eastAsia" w:asciiTheme="minorEastAsia" w:hAnsiTheme="minorEastAsia" w:eastAsiaTheme="minorEastAsia"/>
          <w:color w:val="auto"/>
          <w:sz w:val="24"/>
          <w:highlight w:val="none"/>
        </w:rPr>
        <w:t>在谈判过程中，谈判小组若发现参与谈判的供应商以他人的名义参加谈判、串通、以行贿手段谋取成交或者以其他弄虚作假方式参加谈判的，该参与谈判的供应商的报价文件将作无效谈判文件处理。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在谈判过程中，供应商可以根据谈判情况进行二次报价，即最终报价，并对报价文件的内容，在符合谈判文件要求的前提下和规定的时间内进行修改，最终报价必须以书面形式确认。</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确定成交人。谈判结束后，谈判小组要求所有参加谈判的供应商进行最后报价。谈判小组根据符合采购需求、质量和服务相等且报价综合评分最高的原则确定成交人。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可以要求供应商对报价文件进行澄清，若拒绝对竞争性谈判报价文件进行澄清，则对需要澄清的内容谈判小组可做出不利于供应商的推定。供应商提供的资料应真实可靠，谈判小组经核实发现供应商提供虚假材料，将取消供应商的竞争性谈判资格。</w:t>
      </w:r>
    </w:p>
    <w:p>
      <w:pPr>
        <w:numPr>
          <w:ilvl w:val="0"/>
          <w:numId w:val="3"/>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谈判内容</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谈判小组将按供应商在中粮糖业</w:t>
      </w:r>
      <w:r>
        <w:rPr>
          <w:rFonts w:asciiTheme="minorEastAsia" w:hAnsiTheme="minorEastAsia" w:eastAsiaTheme="minorEastAsia"/>
          <w:color w:val="auto"/>
          <w:sz w:val="24"/>
          <w:highlight w:val="none"/>
        </w:rPr>
        <w:t>EPS系统内递交标书顺序，从以下几个方面与单一谈判人分别进行谈判：</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1）商务谈判：</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①</w:t>
      </w:r>
      <w:r>
        <w:rPr>
          <w:rFonts w:hint="eastAsia" w:asciiTheme="minorEastAsia" w:hAnsiTheme="minorEastAsia" w:eastAsiaTheme="minorEastAsia"/>
          <w:color w:val="auto"/>
          <w:sz w:val="24"/>
          <w:highlight w:val="none"/>
        </w:rPr>
        <w:t>供应商基本情况；</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②付款方式及时间是否同意响应；</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③</w:t>
      </w:r>
      <w:r>
        <w:rPr>
          <w:rFonts w:hint="eastAsia" w:asciiTheme="minorEastAsia" w:hAnsiTheme="minorEastAsia" w:eastAsiaTheme="minorEastAsia"/>
          <w:color w:val="auto"/>
          <w:sz w:val="24"/>
          <w:highlight w:val="none"/>
        </w:rPr>
        <w:t>交货期是否响应；</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④服务承诺的具体内容、响应时间是否满足，是否有优惠措施。</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2）技术谈判：</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交货期、质量等保证措施等。</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3）价格谈判</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对所报价格进行具体谈判。</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①谈判小组将根据谈判进展情况与谈判人进行谈判；</w:t>
      </w:r>
      <w:r>
        <w:rPr>
          <w:rFonts w:asciiTheme="minorEastAsia" w:hAnsiTheme="minorEastAsia" w:eastAsiaTheme="minorEastAsia"/>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②谈判小组可根据谈判情况要求谈判人在规定时间内进一步提供其他证明材料；</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③谈判小组要求所有谈判人在规定时间内在中粮糖业</w:t>
      </w:r>
      <w:r>
        <w:rPr>
          <w:rFonts w:asciiTheme="minorEastAsia" w:hAnsiTheme="minorEastAsia" w:eastAsiaTheme="minorEastAsia"/>
          <w:color w:val="auto"/>
          <w:sz w:val="24"/>
          <w:highlight w:val="none"/>
        </w:rPr>
        <w:t>EPS系统</w:t>
      </w:r>
      <w:r>
        <w:rPr>
          <w:rFonts w:hint="eastAsia" w:asciiTheme="minorEastAsia" w:hAnsiTheme="minorEastAsia" w:eastAsiaTheme="minorEastAsia"/>
          <w:color w:val="auto"/>
          <w:sz w:val="24"/>
          <w:highlight w:val="none"/>
        </w:rPr>
        <w:t>内进行最后报价；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④谈判小组通过对各谈判人的谈判情况进行综合分析、评审后，按顺序推荐出</w:t>
      </w:r>
      <w:r>
        <w:rPr>
          <w:rFonts w:asciiTheme="minorEastAsia" w:hAnsiTheme="minorEastAsia" w:eastAsiaTheme="minorEastAsia"/>
          <w:color w:val="auto"/>
          <w:sz w:val="24"/>
          <w:highlight w:val="none"/>
        </w:rPr>
        <w:t>3名成交候选</w:t>
      </w:r>
      <w:r>
        <w:rPr>
          <w:rFonts w:hint="eastAsia" w:asciiTheme="minorEastAsia" w:hAnsiTheme="minorEastAsia" w:eastAsiaTheme="minorEastAsia"/>
          <w:color w:val="auto"/>
          <w:sz w:val="24"/>
          <w:highlight w:val="none"/>
        </w:rPr>
        <w:t>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⑤采购人根据“符合采购需求、质量和服务相等且报价综合评分最高”的原则，在成交候选供应商中依据谈判小组推荐的顺序确定成交供应商，并将成交结果通知所有未成交的供应商。</w:t>
      </w:r>
    </w:p>
    <w:p>
      <w:pPr>
        <w:spacing w:line="360" w:lineRule="auto"/>
        <w:rPr>
          <w:rFonts w:asciiTheme="minorEastAsia" w:hAnsiTheme="minorEastAsia" w:eastAsiaTheme="minorEastAsia"/>
          <w:color w:val="auto"/>
          <w:sz w:val="24"/>
          <w:highlight w:val="none"/>
        </w:rPr>
      </w:pPr>
      <w:bookmarkStart w:id="18" w:name="_Toc132265230"/>
      <w:bookmarkStart w:id="19" w:name="_Toc132000224"/>
      <w:bookmarkStart w:id="20" w:name="_Toc132523716"/>
      <w:bookmarkStart w:id="21" w:name="_Toc132523445"/>
      <w:bookmarkStart w:id="22" w:name="_Toc171937676"/>
      <w:bookmarkStart w:id="23" w:name="_Toc132111879"/>
      <w:r>
        <w:rPr>
          <w:rFonts w:asciiTheme="minorEastAsia" w:hAnsiTheme="minorEastAsia" w:eastAsiaTheme="minorEastAsia"/>
          <w:color w:val="auto"/>
          <w:sz w:val="24"/>
          <w:highlight w:val="none"/>
        </w:rPr>
        <w:t>19、谈判过程保密及其他注意事项</w:t>
      </w:r>
      <w:bookmarkEnd w:id="18"/>
      <w:bookmarkEnd w:id="19"/>
      <w:bookmarkEnd w:id="20"/>
      <w:bookmarkEnd w:id="21"/>
      <w:bookmarkEnd w:id="22"/>
      <w:bookmarkEnd w:id="23"/>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为加强本次竞争性谈判活动的管理和监督，保证谈判严肃有序地进行，特提出以下注意事项，谈判小组、供应商及有关工作人员应共同遵守。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谈判过程是评审工作的重要环节，谈判工作严格按规定的程序，在谈判小组内部独立进行，谈判的内容谈判双方均不得向第三者透露。</w:t>
      </w:r>
    </w:p>
    <w:p>
      <w:pPr>
        <w:pStyle w:val="1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供应商应遵守有关法律、法规，不得采取不正当的竞争手段，否则，其后果由报价人自负。</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在谈判期间，参加谈判的供应商不得向谈判小组成员或有关工作人员询问正在进行的谈判情况，不得进行旨在影响评审结果的活动，否则，其报价无效并追究法律责任。</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谈判过程中，谈判小组成员不得与供应商私下交换意见。谈判小组内部讨论的情况和意见必须保密。任何人不得以任何形式透露给谈判或与供应商有关的单位或个人。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在谈判工作结束后，所有接触谈判的人员不得也不应将谈判情况扩散出相关人员之外。</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谈判小组不向供应商解释未成交原因，不退还报价文件。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谈判小组成员与参与谈判的单位有利害关系的，必须回避；参与谈判的单位认为谈判小组成员与参加谈判的其它单位有利害关系的，可以申请其回避。</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供应商对本次采购活动如有异议，可在项目结束后三个工作日内向中粮糖业股份有限公司纪委办公室提出书面质疑材料。</w:t>
      </w:r>
    </w:p>
    <w:p>
      <w:pPr>
        <w:pStyle w:val="11"/>
        <w:spacing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20、其他</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谈判结果汇总完成后，除下列情形外，任何人不得修改谈判结果：</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（一）分值汇总计算错误的；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（二）资格性检查认定错误的；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（三）分项评分超出评分标准范围的；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（四）谈判小组成员对客观评审因素评分不一致的；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（五）经谈判小组认定评分畸高、畸低的。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谈判小组专家评分上传前，经复核发现存在以上情形之一的，谈判小组应当当场修改评审结果，并在竞争性谈判会议纪要中记载；竞争性谈判会议纪要签署后，采购人发现存在以上情形之一的，应当组织原谈判小组进行重新评审。</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rPr>
        <w:t>成交候选人推荐和确定成交人的原则</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（一）谈判小组将根据得分由高到低排列次序依次推荐</w:t>
      </w:r>
      <w:r>
        <w:rPr>
          <w:rFonts w:asciiTheme="minorEastAsia" w:hAnsiTheme="minorEastAsia" w:eastAsiaTheme="minorEastAsia"/>
          <w:color w:val="auto"/>
          <w:sz w:val="24"/>
          <w:highlight w:val="none"/>
        </w:rPr>
        <w:t>3名</w:t>
      </w:r>
      <w:r>
        <w:rPr>
          <w:rFonts w:hint="eastAsia" w:asciiTheme="minorEastAsia" w:hAnsiTheme="minorEastAsia" w:eastAsiaTheme="minorEastAsia"/>
          <w:color w:val="auto"/>
          <w:sz w:val="24"/>
          <w:highlight w:val="none"/>
        </w:rPr>
        <w:t>成交候选人（得分相同时，以响应报价由低到高顺序排列；得分相同且响应报价相同的，按技术指标优劣顺序排列）。</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采购人应当确定谈判小组推荐排名第一的成交候选人为成交人。排名第一的成交候选供应商放弃成交、因不可抗力提出不能履行合同，采购人可以确定排名第二的成交候选供应商为成交供应商。排名第二的成交候选供应商因前述的同样原因不能签订合同的，采购人可以确定排名第三的成交候选供应商为成交供应商。所有成交候选供应商因前述的同样原因不能签订合同的，采购人将重新组织采购。采购人也可以直接决定重新采购。</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（三）成交候选人的经营、财务状况发生较大变化或者存在违法行为，采购人认为可能影响其履约能力的，应当在发出成交通知书前由原谈判小组按照竞争性谈判文件规定的标准和方法审查确认。</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（四）采购活动违反招标投标法和招投标法实施条例的规定，对成交结果造成实质性影响，且不能采取补救措施予以纠正的，谈判、响应、成交无效，应当依法重新采购或者评审。</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（五）在成交通知书发出前，采购人应当对成交人信用进行查询，并按照信用信息使用规则处理。</w:t>
      </w:r>
    </w:p>
    <w:p>
      <w:pPr>
        <w:pStyle w:val="11"/>
        <w:spacing w:line="360" w:lineRule="auto"/>
        <w:rPr>
          <w:rFonts w:asciiTheme="minorEastAsia" w:hAnsiTheme="minorEastAsia" w:eastAsiaTheme="minorEastAsia"/>
          <w:color w:val="auto"/>
          <w:sz w:val="24"/>
          <w:szCs w:val="24"/>
          <w:highlight w:val="none"/>
        </w:rPr>
      </w:pP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六、授予合同</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21、确定成交</w:t>
      </w:r>
      <w:r>
        <w:rPr>
          <w:rFonts w:hint="eastAsia" w:asciiTheme="minorEastAsia" w:hAnsiTheme="minorEastAsia" w:eastAsiaTheme="minorEastAsia"/>
          <w:color w:val="auto"/>
          <w:sz w:val="24"/>
          <w:highlight w:val="none"/>
        </w:rPr>
        <w:t>供应商后，采购人签发《成交通知书》并通知供应商，成交供应商应按《成交通知书》规定的时间、地点与采购人签订合同。采购人同时以邮件或电话形式通知未中标供应商。</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22、如成交</w:t>
      </w:r>
      <w:r>
        <w:rPr>
          <w:rFonts w:hint="eastAsia" w:asciiTheme="minorEastAsia" w:hAnsiTheme="minorEastAsia" w:eastAsiaTheme="minorEastAsia"/>
          <w:color w:val="auto"/>
          <w:sz w:val="24"/>
          <w:highlight w:val="none"/>
        </w:rPr>
        <w:t>供应商违约，采购人可在候选成交供应商中依据推荐顺序重新选定成交供应商。</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七、竞争性谈判活动的保密及注意事项</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为加强本次竞争性谈判活动的管理和监督，保证谈判严肃有序地进行，特提出以下注意事项，谈判小组、供应商及有关工作人员应共同遵守。</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1、谈判工作严格按规定的程序，在谈判小组内部独立进行，谈判的内容谈判双方均不得向第三者透露。</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2、在谈判期间，参加谈判的</w:t>
      </w:r>
      <w:r>
        <w:rPr>
          <w:rFonts w:hint="eastAsia" w:asciiTheme="minorEastAsia" w:hAnsiTheme="minorEastAsia" w:eastAsiaTheme="minorEastAsia"/>
          <w:color w:val="auto"/>
          <w:sz w:val="24"/>
          <w:highlight w:val="none"/>
        </w:rPr>
        <w:t>供应商不得向谈判小组成员或有关工作人员询问正在进行的谈判情况，不得进行旨在影响评审结果的活动。</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3、在谈判过程中，谈判小组成员不应与</w:t>
      </w:r>
      <w:r>
        <w:rPr>
          <w:rFonts w:hint="eastAsia" w:asciiTheme="minorEastAsia" w:hAnsiTheme="minorEastAsia" w:eastAsiaTheme="minorEastAsia"/>
          <w:color w:val="auto"/>
          <w:sz w:val="24"/>
          <w:highlight w:val="none"/>
        </w:rPr>
        <w:t>供应商私下交换意见。</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4、在谈判工作结束后，所有接触谈判的人员不得也不应将谈判情况扩散出相关人员之外。</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5、谈判小组不向</w:t>
      </w:r>
      <w:r>
        <w:rPr>
          <w:rFonts w:hint="eastAsia" w:asciiTheme="minorEastAsia" w:hAnsiTheme="minorEastAsia" w:eastAsiaTheme="minorEastAsia"/>
          <w:color w:val="auto"/>
          <w:sz w:val="24"/>
          <w:highlight w:val="none"/>
        </w:rPr>
        <w:t>供应商解释未成交原因，不退还报价文件。</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供应商对本次采购活动如有异议，可在项目结束后三个工作日内向中粮糖业股份有限公司纪委办公室提出书面质疑材料。</w:t>
      </w:r>
    </w:p>
    <w:p>
      <w:pPr>
        <w:spacing w:line="520" w:lineRule="exact"/>
        <w:rPr>
          <w:rFonts w:asciiTheme="minorEastAsia" w:hAnsiTheme="minorEastAsia" w:eastAsiaTheme="minorEastAsia"/>
          <w:color w:val="auto"/>
          <w:sz w:val="28"/>
          <w:szCs w:val="28"/>
          <w:highlight w:val="none"/>
        </w:rPr>
      </w:pPr>
    </w:p>
    <w:p>
      <w:pPr>
        <w:pStyle w:val="11"/>
        <w:rPr>
          <w:rFonts w:asciiTheme="minorEastAsia" w:hAnsiTheme="minorEastAsia" w:eastAsiaTheme="minorEastAsia"/>
          <w:color w:val="auto"/>
          <w:highlight w:val="none"/>
        </w:rPr>
      </w:pPr>
    </w:p>
    <w:p>
      <w:pPr>
        <w:rPr>
          <w:rFonts w:asciiTheme="minorEastAsia" w:hAnsiTheme="minorEastAsia" w:eastAsiaTheme="minorEastAsia"/>
          <w:b/>
          <w:color w:val="auto"/>
          <w:sz w:val="44"/>
          <w:szCs w:val="44"/>
          <w:highlight w:val="none"/>
        </w:rPr>
      </w:pPr>
      <w:r>
        <w:rPr>
          <w:rFonts w:asciiTheme="minorEastAsia" w:hAnsiTheme="minorEastAsia" w:eastAsiaTheme="minorEastAsia"/>
          <w:b/>
          <w:color w:val="auto"/>
          <w:sz w:val="44"/>
          <w:szCs w:val="44"/>
          <w:highlight w:val="none"/>
        </w:rPr>
        <w:br w:type="page"/>
      </w:r>
    </w:p>
    <w:p>
      <w:pPr>
        <w:jc w:val="center"/>
        <w:outlineLvl w:val="0"/>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第三部分 项目内容和要求</w:t>
      </w:r>
    </w:p>
    <w:p>
      <w:pPr>
        <w:tabs>
          <w:tab w:val="left" w:pos="142"/>
          <w:tab w:val="left" w:pos="8878"/>
          <w:tab w:val="right" w:leader="hyphen" w:pos="9498"/>
        </w:tabs>
        <w:spacing w:line="440" w:lineRule="exac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一、总则</w:t>
      </w:r>
    </w:p>
    <w:p>
      <w:pPr>
        <w:tabs>
          <w:tab w:val="left" w:pos="142"/>
          <w:tab w:val="left" w:pos="8878"/>
          <w:tab w:val="right" w:leader="hyphen" w:pos="9498"/>
        </w:tabs>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ascii="宋体" w:hAnsi="宋体" w:cs="宋体"/>
          <w:color w:val="auto"/>
          <w:szCs w:val="21"/>
          <w:highlight w:val="none"/>
        </w:rPr>
        <w:t>本技术</w:t>
      </w:r>
      <w:r>
        <w:rPr>
          <w:rFonts w:hint="eastAsia" w:ascii="宋体" w:hAnsi="宋体" w:cs="宋体"/>
          <w:color w:val="auto"/>
          <w:szCs w:val="21"/>
          <w:highlight w:val="none"/>
          <w:lang w:val="en-US" w:eastAsia="zh-CN"/>
        </w:rPr>
        <w:t>改造工程书</w:t>
      </w:r>
      <w:r>
        <w:rPr>
          <w:rFonts w:ascii="宋体" w:hAnsi="宋体" w:cs="宋体"/>
          <w:color w:val="auto"/>
          <w:szCs w:val="21"/>
          <w:highlight w:val="none"/>
        </w:rPr>
        <w:t>适用于</w:t>
      </w:r>
      <w:r>
        <w:rPr>
          <w:rFonts w:hint="eastAsia" w:ascii="宋体" w:hAnsi="宋体" w:cs="宋体"/>
          <w:color w:val="auto"/>
          <w:kern w:val="0"/>
          <w:sz w:val="21"/>
          <w:szCs w:val="21"/>
          <w:highlight w:val="none"/>
          <w:lang w:val="en-US" w:eastAsia="zh-CN"/>
        </w:rPr>
        <w:t>中粮糖业(漳州)有限公司</w:t>
      </w:r>
      <w:r>
        <w:rPr>
          <w:rFonts w:hint="eastAsia" w:ascii="宋体" w:hAnsi="宋体" w:cs="宋体"/>
          <w:color w:val="auto"/>
          <w:szCs w:val="21"/>
          <w:highlight w:val="none"/>
        </w:rPr>
        <w:t>锅炉炉膛检修</w:t>
      </w:r>
      <w:r>
        <w:rPr>
          <w:rFonts w:hint="eastAsia" w:ascii="宋体" w:hAnsi="宋体" w:cs="宋体"/>
          <w:color w:val="auto"/>
          <w:szCs w:val="21"/>
          <w:highlight w:val="none"/>
          <w:lang w:val="en-US" w:eastAsia="zh-CN"/>
        </w:rPr>
        <w:t>项目</w:t>
      </w:r>
      <w:r>
        <w:rPr>
          <w:rFonts w:ascii="宋体" w:hAnsi="宋体" w:cs="宋体"/>
          <w:color w:val="auto"/>
          <w:szCs w:val="21"/>
          <w:highlight w:val="none"/>
        </w:rPr>
        <w:t>，它包括</w:t>
      </w:r>
      <w:r>
        <w:rPr>
          <w:rFonts w:hint="eastAsia" w:ascii="宋体" w:hAnsi="宋体" w:cs="宋体"/>
          <w:color w:val="auto"/>
          <w:szCs w:val="21"/>
          <w:highlight w:val="none"/>
        </w:rPr>
        <w:t>检修升降平台本体</w:t>
      </w:r>
      <w:r>
        <w:rPr>
          <w:rFonts w:ascii="宋体" w:hAnsi="宋体" w:cs="宋体"/>
          <w:color w:val="auto"/>
          <w:szCs w:val="21"/>
          <w:highlight w:val="none"/>
        </w:rPr>
        <w:t>、电机及其</w:t>
      </w:r>
      <w:r>
        <w:rPr>
          <w:rFonts w:hint="eastAsia" w:ascii="宋体" w:hAnsi="宋体" w:cs="宋体"/>
          <w:color w:val="auto"/>
          <w:szCs w:val="21"/>
          <w:highlight w:val="none"/>
        </w:rPr>
        <w:t>安全防护辅助</w:t>
      </w:r>
      <w:r>
        <w:rPr>
          <w:rFonts w:ascii="宋体" w:hAnsi="宋体" w:cs="宋体"/>
          <w:color w:val="auto"/>
          <w:szCs w:val="21"/>
          <w:highlight w:val="none"/>
        </w:rPr>
        <w:t>设备的功能设计、结构、性能、安装等方面的技术要求。</w:t>
      </w:r>
    </w:p>
    <w:p>
      <w:pPr>
        <w:tabs>
          <w:tab w:val="left" w:pos="142"/>
          <w:tab w:val="left" w:pos="8878"/>
          <w:tab w:val="right" w:leader="hyphen" w:pos="9498"/>
        </w:tabs>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ascii="宋体" w:hAnsi="宋体" w:cs="宋体"/>
          <w:color w:val="auto"/>
          <w:szCs w:val="21"/>
          <w:highlight w:val="none"/>
        </w:rPr>
        <w:t>甲方在本技术条件中提出了最低限度的技术要求，并未规定所有的技术要求和适用的标准，</w:t>
      </w:r>
      <w:r>
        <w:rPr>
          <w:rFonts w:hint="eastAsia" w:ascii="宋体" w:hAnsi="宋体" w:cs="宋体"/>
          <w:color w:val="auto"/>
          <w:szCs w:val="21"/>
          <w:highlight w:val="none"/>
        </w:rPr>
        <w:t>锅炉炉膛检修升降平台</w:t>
      </w:r>
      <w:r>
        <w:rPr>
          <w:rFonts w:ascii="宋体" w:hAnsi="宋体" w:cs="宋体"/>
          <w:color w:val="auto"/>
          <w:szCs w:val="21"/>
          <w:highlight w:val="none"/>
        </w:rPr>
        <w:t>制造厂家即乙方应提供一套满足本技术规范书要求的高质量产品及其相应服务。</w:t>
      </w:r>
    </w:p>
    <w:p>
      <w:pPr>
        <w:tabs>
          <w:tab w:val="left" w:pos="142"/>
          <w:tab w:val="left" w:pos="8878"/>
          <w:tab w:val="right" w:leader="hyphen" w:pos="9498"/>
        </w:tabs>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 xml:space="preserve"> 如乙方有除本规范书以外的其它要求，应以书面形式提出，报甲方认可。</w:t>
      </w:r>
    </w:p>
    <w:p>
      <w:pPr>
        <w:spacing w:line="520" w:lineRule="exac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 xml:space="preserve"> 乙方对</w:t>
      </w:r>
      <w:r>
        <w:rPr>
          <w:rFonts w:hint="eastAsia" w:ascii="宋体" w:hAnsi="宋体" w:cs="宋体"/>
          <w:color w:val="auto"/>
          <w:szCs w:val="21"/>
          <w:highlight w:val="none"/>
        </w:rPr>
        <w:t>锅炉炉膛检修升降平台</w:t>
      </w:r>
      <w:r>
        <w:rPr>
          <w:rFonts w:ascii="宋体" w:hAnsi="宋体" w:cs="宋体"/>
          <w:color w:val="auto"/>
          <w:szCs w:val="21"/>
          <w:highlight w:val="none"/>
        </w:rPr>
        <w:t>负有全责，即包括分包(或采购)的产品。分包(或采购)的产品制造商应事先征得甲方的认可。</w:t>
      </w:r>
      <w:r>
        <w:rPr>
          <w:rFonts w:hint="eastAsia" w:ascii="宋体" w:hAnsi="宋体" w:cs="宋体"/>
          <w:b/>
          <w:bCs/>
          <w:color w:val="auto"/>
          <w:szCs w:val="21"/>
          <w:highlight w:val="none"/>
        </w:rPr>
        <w:t>并负责指导需方首次安装、调试、培训。</w:t>
      </w:r>
    </w:p>
    <w:p>
      <w:pPr>
        <w:tabs>
          <w:tab w:val="left" w:pos="142"/>
          <w:tab w:val="left" w:pos="8878"/>
          <w:tab w:val="right" w:leader="hyphen" w:pos="9498"/>
        </w:tabs>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凡按引进技术设计制造的设备，按引进技术相应的标准和相应的引进公司标准规范进行设计、制造、检验。</w:t>
      </w:r>
    </w:p>
    <w:p>
      <w:pPr>
        <w:tabs>
          <w:tab w:val="left" w:pos="142"/>
          <w:tab w:val="left" w:pos="8878"/>
          <w:tab w:val="right" w:leader="hyphen" w:pos="9498"/>
        </w:tabs>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以国内技术设计制造的产品，按相应的国家标准、行业标准或企业标准进行设计、制造、检验。</w:t>
      </w:r>
    </w:p>
    <w:p>
      <w:pPr>
        <w:tabs>
          <w:tab w:val="left" w:pos="142"/>
          <w:tab w:val="left" w:pos="8878"/>
          <w:tab w:val="right" w:leader="hyphen" w:pos="9498"/>
        </w:tabs>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ascii="宋体" w:hAnsi="宋体" w:cs="宋体"/>
          <w:color w:val="auto"/>
          <w:szCs w:val="21"/>
          <w:highlight w:val="none"/>
        </w:rPr>
        <w:t>在按相应技术标准设计制造的同时，还满足有关安全、环保及其它方面最新版的国家强制性标准和规程(规定)的要求。乙方所提供的产品，必须是技术和工艺成熟先进，并有多台同类产品已投产、经过多年连续运行、经实践检验已证明是成熟可靠的优质产品。</w:t>
      </w:r>
    </w:p>
    <w:p>
      <w:pPr>
        <w:tabs>
          <w:tab w:val="left" w:pos="142"/>
          <w:tab w:val="left" w:pos="8878"/>
          <w:tab w:val="right" w:leader="hyphen" w:pos="9498"/>
        </w:tabs>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本规范经甲乙双方共同确认和签字后作为订货合同的附件，与订货合同正文具有同等效力。</w:t>
      </w:r>
    </w:p>
    <w:p>
      <w:pPr>
        <w:tabs>
          <w:tab w:val="left" w:pos="142"/>
          <w:tab w:val="left" w:pos="8878"/>
          <w:tab w:val="right" w:leader="hyphen" w:pos="9498"/>
        </w:tabs>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ascii="宋体" w:hAnsi="宋体" w:cs="宋体"/>
          <w:color w:val="auto"/>
          <w:szCs w:val="21"/>
          <w:highlight w:val="none"/>
        </w:rPr>
        <w:t>在签订合同之后，到乙方开始制造之日的这段时间内，甲方有权提出因规范、标准和规程发生变化而产生的一些补充修改要求，</w:t>
      </w:r>
      <w:r>
        <w:rPr>
          <w:rFonts w:hint="eastAsia" w:ascii="宋体" w:hAnsi="宋体" w:cs="宋体"/>
          <w:color w:val="auto"/>
          <w:szCs w:val="21"/>
          <w:highlight w:val="none"/>
        </w:rPr>
        <w:t>如补充修改对平台的变更较大，影响产品按期交付时，乙方应提前提出后双方重新确认。</w:t>
      </w:r>
    </w:p>
    <w:p>
      <w:pPr>
        <w:pStyle w:val="16"/>
        <w:numPr>
          <w:ilvl w:val="0"/>
          <w:numId w:val="0"/>
        </w:numPr>
        <w:jc w:val="both"/>
        <w:rPr>
          <w:rFonts w:ascii="宋体" w:hAnsi="宋体" w:cs="宋体"/>
          <w:color w:val="auto"/>
          <w:kern w:val="0"/>
          <w:sz w:val="24"/>
          <w:szCs w:val="24"/>
          <w:highlight w:val="none"/>
        </w:rPr>
      </w:pPr>
      <w:bookmarkStart w:id="24" w:name="_Toc456353175"/>
      <w:bookmarkEnd w:id="24"/>
      <w:r>
        <w:rPr>
          <w:rFonts w:hint="eastAsia" w:ascii="宋体" w:hAnsi="宋体" w:cs="宋体"/>
          <w:color w:val="auto"/>
          <w:kern w:val="0"/>
          <w:sz w:val="24"/>
          <w:szCs w:val="24"/>
          <w:highlight w:val="none"/>
          <w:lang w:eastAsia="zh-CN"/>
        </w:rPr>
        <w:t>二、</w:t>
      </w:r>
      <w:r>
        <w:rPr>
          <w:rFonts w:ascii="宋体" w:hAnsi="宋体" w:cs="宋体"/>
          <w:color w:val="auto"/>
          <w:kern w:val="0"/>
          <w:sz w:val="24"/>
          <w:szCs w:val="24"/>
          <w:highlight w:val="none"/>
        </w:rPr>
        <w:t>设备技术规范</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4011"/>
        <w:gridCol w:w="1458"/>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85" w:type="pct"/>
            <w:noWrap w:val="0"/>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2013" w:type="pct"/>
            <w:noWrap w:val="0"/>
            <w:vAlign w:val="center"/>
          </w:tcPr>
          <w:p>
            <w:pPr>
              <w:rPr>
                <w:rFonts w:ascii="宋体" w:hAnsi="宋体"/>
                <w:color w:val="auto"/>
                <w:szCs w:val="21"/>
                <w:highlight w:val="none"/>
              </w:rPr>
            </w:pPr>
            <w:r>
              <w:rPr>
                <w:rFonts w:hint="eastAsia" w:ascii="宋体" w:hAnsi="宋体"/>
                <w:color w:val="auto"/>
                <w:szCs w:val="21"/>
                <w:highlight w:val="none"/>
              </w:rPr>
              <w:t>项目</w:t>
            </w:r>
          </w:p>
        </w:tc>
        <w:tc>
          <w:tcPr>
            <w:tcW w:w="732" w:type="pct"/>
            <w:noWrap w:val="0"/>
            <w:vAlign w:val="center"/>
          </w:tcPr>
          <w:p>
            <w:pPr>
              <w:rPr>
                <w:rFonts w:ascii="宋体" w:hAnsi="宋体"/>
                <w:color w:val="auto"/>
                <w:szCs w:val="21"/>
                <w:highlight w:val="none"/>
              </w:rPr>
            </w:pPr>
            <w:r>
              <w:rPr>
                <w:rFonts w:hint="eastAsia" w:ascii="宋体" w:hAnsi="宋体"/>
                <w:color w:val="auto"/>
                <w:szCs w:val="21"/>
                <w:highlight w:val="none"/>
              </w:rPr>
              <w:t>单位</w:t>
            </w:r>
          </w:p>
        </w:tc>
        <w:tc>
          <w:tcPr>
            <w:tcW w:w="1768" w:type="pct"/>
            <w:noWrap w:val="0"/>
            <w:vAlign w:val="center"/>
          </w:tcPr>
          <w:p>
            <w:pPr>
              <w:rPr>
                <w:rFonts w:ascii="宋体" w:hAnsi="宋体"/>
                <w:color w:val="auto"/>
                <w:szCs w:val="21"/>
                <w:highlight w:val="none"/>
              </w:rPr>
            </w:pPr>
            <w:r>
              <w:rPr>
                <w:rFonts w:hint="eastAsia" w:ascii="宋体" w:hAnsi="宋体"/>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85" w:type="pct"/>
            <w:noWrap w:val="0"/>
            <w:vAlign w:val="center"/>
          </w:tcPr>
          <w:p>
            <w:pPr>
              <w:rPr>
                <w:rFonts w:ascii="宋体" w:hAnsi="宋体"/>
                <w:color w:val="auto"/>
                <w:szCs w:val="21"/>
                <w:highlight w:val="none"/>
              </w:rPr>
            </w:pPr>
            <w:r>
              <w:rPr>
                <w:rFonts w:hint="eastAsia" w:ascii="宋体" w:hAnsi="宋体"/>
                <w:color w:val="auto"/>
                <w:szCs w:val="21"/>
                <w:highlight w:val="none"/>
              </w:rPr>
              <w:t>1</w:t>
            </w:r>
          </w:p>
        </w:tc>
        <w:tc>
          <w:tcPr>
            <w:tcW w:w="2013" w:type="pct"/>
            <w:noWrap w:val="0"/>
            <w:vAlign w:val="center"/>
          </w:tcPr>
          <w:p>
            <w:pPr>
              <w:rPr>
                <w:rFonts w:ascii="宋体" w:hAnsi="宋体"/>
                <w:color w:val="auto"/>
                <w:szCs w:val="21"/>
                <w:highlight w:val="none"/>
              </w:rPr>
            </w:pPr>
            <w:r>
              <w:rPr>
                <w:rFonts w:hint="eastAsia" w:ascii="宋体" w:hAnsi="宋体"/>
                <w:color w:val="auto"/>
                <w:szCs w:val="21"/>
                <w:highlight w:val="none"/>
              </w:rPr>
              <w:t>检修平台型号</w:t>
            </w:r>
          </w:p>
        </w:tc>
        <w:tc>
          <w:tcPr>
            <w:tcW w:w="732" w:type="pct"/>
            <w:noWrap w:val="0"/>
            <w:vAlign w:val="center"/>
          </w:tcPr>
          <w:p>
            <w:pPr>
              <w:rPr>
                <w:rFonts w:ascii="宋体" w:hAnsi="宋体"/>
                <w:color w:val="auto"/>
                <w:szCs w:val="21"/>
                <w:highlight w:val="none"/>
              </w:rPr>
            </w:pPr>
            <w:r>
              <w:rPr>
                <w:rFonts w:hint="eastAsia" w:ascii="宋体" w:hAnsi="宋体"/>
                <w:color w:val="auto"/>
                <w:szCs w:val="21"/>
                <w:highlight w:val="none"/>
              </w:rPr>
              <w:t>台</w:t>
            </w:r>
          </w:p>
        </w:tc>
        <w:tc>
          <w:tcPr>
            <w:tcW w:w="1768" w:type="pct"/>
            <w:noWrap w:val="0"/>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5" w:type="pct"/>
            <w:noWrap w:val="0"/>
            <w:vAlign w:val="center"/>
          </w:tcPr>
          <w:p>
            <w:pPr>
              <w:rPr>
                <w:rFonts w:ascii="宋体" w:hAnsi="宋体"/>
                <w:color w:val="auto"/>
                <w:szCs w:val="21"/>
                <w:highlight w:val="none"/>
              </w:rPr>
            </w:pPr>
            <w:r>
              <w:rPr>
                <w:rFonts w:hint="eastAsia" w:ascii="宋体" w:hAnsi="宋体"/>
                <w:color w:val="auto"/>
                <w:szCs w:val="21"/>
                <w:highlight w:val="none"/>
              </w:rPr>
              <w:t>2</w:t>
            </w:r>
          </w:p>
        </w:tc>
        <w:tc>
          <w:tcPr>
            <w:tcW w:w="2013" w:type="pct"/>
            <w:noWrap w:val="0"/>
            <w:vAlign w:val="center"/>
          </w:tcPr>
          <w:p>
            <w:pPr>
              <w:rPr>
                <w:rFonts w:ascii="宋体" w:hAnsi="宋体"/>
                <w:color w:val="auto"/>
                <w:szCs w:val="21"/>
                <w:highlight w:val="none"/>
              </w:rPr>
            </w:pPr>
            <w:r>
              <w:rPr>
                <w:rFonts w:hint="eastAsia" w:ascii="宋体" w:hAnsi="宋体"/>
                <w:color w:val="auto"/>
                <w:szCs w:val="21"/>
                <w:highlight w:val="none"/>
              </w:rPr>
              <w:t>额定载重量</w:t>
            </w:r>
          </w:p>
        </w:tc>
        <w:tc>
          <w:tcPr>
            <w:tcW w:w="732" w:type="pct"/>
            <w:noWrap w:val="0"/>
            <w:vAlign w:val="center"/>
          </w:tcPr>
          <w:p>
            <w:pPr>
              <w:rPr>
                <w:rFonts w:ascii="宋体" w:hAnsi="宋体"/>
                <w:color w:val="auto"/>
                <w:szCs w:val="21"/>
                <w:highlight w:val="none"/>
              </w:rPr>
            </w:pPr>
            <w:r>
              <w:rPr>
                <w:rFonts w:hint="eastAsia" w:ascii="宋体" w:hAnsi="宋体"/>
                <w:color w:val="auto"/>
                <w:szCs w:val="21"/>
                <w:highlight w:val="none"/>
              </w:rPr>
              <w:t>Kg</w:t>
            </w:r>
          </w:p>
        </w:tc>
        <w:tc>
          <w:tcPr>
            <w:tcW w:w="1768" w:type="pct"/>
            <w:noWrap w:val="0"/>
            <w:vAlign w:val="center"/>
          </w:tcPr>
          <w:p>
            <w:pP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85" w:type="pct"/>
            <w:noWrap w:val="0"/>
            <w:vAlign w:val="center"/>
          </w:tcPr>
          <w:p>
            <w:pPr>
              <w:rPr>
                <w:rFonts w:ascii="宋体" w:hAnsi="宋体"/>
                <w:color w:val="auto"/>
                <w:szCs w:val="21"/>
                <w:highlight w:val="none"/>
              </w:rPr>
            </w:pPr>
            <w:r>
              <w:rPr>
                <w:rFonts w:hint="eastAsia" w:ascii="宋体" w:hAnsi="宋体"/>
                <w:color w:val="auto"/>
                <w:szCs w:val="21"/>
                <w:highlight w:val="none"/>
              </w:rPr>
              <w:t>3</w:t>
            </w:r>
          </w:p>
        </w:tc>
        <w:tc>
          <w:tcPr>
            <w:tcW w:w="2013" w:type="pct"/>
            <w:noWrap w:val="0"/>
            <w:vAlign w:val="center"/>
          </w:tcPr>
          <w:p>
            <w:pPr>
              <w:rPr>
                <w:rFonts w:ascii="宋体" w:hAnsi="宋体"/>
                <w:color w:val="auto"/>
                <w:szCs w:val="21"/>
                <w:highlight w:val="none"/>
              </w:rPr>
            </w:pPr>
            <w:r>
              <w:rPr>
                <w:rFonts w:hint="eastAsia" w:ascii="宋体" w:hAnsi="宋体"/>
                <w:color w:val="auto"/>
                <w:szCs w:val="21"/>
                <w:highlight w:val="none"/>
              </w:rPr>
              <w:t>提升速度</w:t>
            </w:r>
          </w:p>
        </w:tc>
        <w:tc>
          <w:tcPr>
            <w:tcW w:w="732" w:type="pct"/>
            <w:noWrap w:val="0"/>
            <w:vAlign w:val="center"/>
          </w:tcPr>
          <w:p>
            <w:pPr>
              <w:rPr>
                <w:rFonts w:ascii="宋体" w:hAnsi="宋体"/>
                <w:color w:val="auto"/>
                <w:szCs w:val="21"/>
                <w:highlight w:val="none"/>
              </w:rPr>
            </w:pPr>
            <w:r>
              <w:rPr>
                <w:rFonts w:hint="eastAsia" w:ascii="宋体" w:hAnsi="宋体"/>
                <w:color w:val="auto"/>
                <w:szCs w:val="21"/>
                <w:highlight w:val="none"/>
              </w:rPr>
              <w:t>m/min</w:t>
            </w:r>
          </w:p>
        </w:tc>
        <w:tc>
          <w:tcPr>
            <w:tcW w:w="1768" w:type="pct"/>
            <w:noWrap w:val="0"/>
            <w:vAlign w:val="center"/>
          </w:tcPr>
          <w:p>
            <w:pPr>
              <w:rPr>
                <w:rFonts w:ascii="宋体" w:hAnsi="宋体"/>
                <w:color w:val="auto"/>
                <w:szCs w:val="21"/>
                <w:highlight w:val="none"/>
              </w:rPr>
            </w:pPr>
            <w:r>
              <w:rPr>
                <w:rFonts w:ascii="宋体" w:hAnsi="宋体"/>
                <w:color w:val="auto"/>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85" w:type="pct"/>
            <w:noWrap w:val="0"/>
            <w:vAlign w:val="center"/>
          </w:tcPr>
          <w:p>
            <w:pPr>
              <w:rPr>
                <w:rFonts w:ascii="宋体" w:hAnsi="宋体"/>
                <w:color w:val="auto"/>
                <w:szCs w:val="21"/>
                <w:highlight w:val="none"/>
              </w:rPr>
            </w:pPr>
            <w:r>
              <w:rPr>
                <w:rFonts w:hint="eastAsia" w:ascii="宋体" w:hAnsi="宋体"/>
                <w:color w:val="auto"/>
                <w:szCs w:val="21"/>
                <w:highlight w:val="none"/>
              </w:rPr>
              <w:t>4</w:t>
            </w:r>
          </w:p>
        </w:tc>
        <w:tc>
          <w:tcPr>
            <w:tcW w:w="2013" w:type="pct"/>
            <w:noWrap w:val="0"/>
            <w:vAlign w:val="center"/>
          </w:tcPr>
          <w:p>
            <w:pPr>
              <w:rPr>
                <w:rFonts w:ascii="宋体" w:hAnsi="宋体"/>
                <w:color w:val="auto"/>
                <w:szCs w:val="21"/>
                <w:highlight w:val="none"/>
              </w:rPr>
            </w:pPr>
            <w:r>
              <w:rPr>
                <w:rFonts w:hint="eastAsia" w:ascii="宋体" w:hAnsi="宋体"/>
                <w:color w:val="auto"/>
                <w:szCs w:val="21"/>
                <w:highlight w:val="none"/>
              </w:rPr>
              <w:t>提升高度</w:t>
            </w:r>
          </w:p>
        </w:tc>
        <w:tc>
          <w:tcPr>
            <w:tcW w:w="732"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m</w:t>
            </w:r>
          </w:p>
        </w:tc>
        <w:tc>
          <w:tcPr>
            <w:tcW w:w="1768" w:type="pct"/>
            <w:noWrap w:val="0"/>
            <w:vAlign w:val="center"/>
          </w:tcPr>
          <w:p>
            <w:pPr>
              <w:rPr>
                <w:rFonts w:ascii="宋体" w:hAnsi="宋体"/>
                <w:color w:val="auto"/>
                <w:szCs w:val="21"/>
                <w:highlight w:val="none"/>
              </w:rPr>
            </w:pPr>
            <w:r>
              <w:rPr>
                <w:rFonts w:hint="eastAsia" w:ascii="宋体" w:hAnsi="宋体"/>
                <w:color w:val="auto"/>
                <w:szCs w:val="21"/>
                <w:highlight w:val="none"/>
                <w:lang w:val="en-US" w:eastAsia="zh-CN"/>
              </w:rPr>
              <w:t>30米（</w:t>
            </w:r>
            <w:r>
              <w:rPr>
                <w:rFonts w:hint="eastAsia" w:ascii="宋体" w:hAnsi="宋体"/>
                <w:color w:val="auto"/>
                <w:szCs w:val="21"/>
                <w:highlight w:val="none"/>
              </w:rPr>
              <w:t>根据锅炉高度</w:t>
            </w:r>
            <w:r>
              <w:rPr>
                <w:rFonts w:hint="eastAsia" w:ascii="宋体" w:hAnsi="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85" w:type="pct"/>
            <w:noWrap w:val="0"/>
            <w:vAlign w:val="center"/>
          </w:tcPr>
          <w:p>
            <w:pPr>
              <w:rPr>
                <w:rFonts w:ascii="宋体" w:hAnsi="宋体"/>
                <w:color w:val="auto"/>
                <w:szCs w:val="21"/>
                <w:highlight w:val="none"/>
              </w:rPr>
            </w:pPr>
            <w:r>
              <w:rPr>
                <w:rFonts w:hint="eastAsia" w:ascii="宋体" w:hAnsi="宋体"/>
                <w:color w:val="auto"/>
                <w:szCs w:val="21"/>
                <w:highlight w:val="none"/>
              </w:rPr>
              <w:t>5</w:t>
            </w:r>
          </w:p>
        </w:tc>
        <w:tc>
          <w:tcPr>
            <w:tcW w:w="2013" w:type="pct"/>
            <w:noWrap w:val="0"/>
            <w:vAlign w:val="center"/>
          </w:tcPr>
          <w:p>
            <w:pPr>
              <w:rPr>
                <w:rFonts w:ascii="宋体" w:hAnsi="宋体"/>
                <w:color w:val="auto"/>
                <w:szCs w:val="21"/>
                <w:highlight w:val="none"/>
              </w:rPr>
            </w:pPr>
            <w:r>
              <w:rPr>
                <w:rFonts w:hint="eastAsia" w:ascii="宋体" w:hAnsi="宋体"/>
                <w:color w:val="auto"/>
                <w:szCs w:val="21"/>
                <w:highlight w:val="none"/>
              </w:rPr>
              <w:t>电压</w:t>
            </w:r>
          </w:p>
        </w:tc>
        <w:tc>
          <w:tcPr>
            <w:tcW w:w="732" w:type="pct"/>
            <w:noWrap w:val="0"/>
            <w:vAlign w:val="center"/>
          </w:tcPr>
          <w:p>
            <w:pPr>
              <w:rPr>
                <w:rFonts w:ascii="宋体" w:hAnsi="宋体"/>
                <w:color w:val="auto"/>
                <w:szCs w:val="21"/>
                <w:highlight w:val="none"/>
              </w:rPr>
            </w:pPr>
            <w:r>
              <w:rPr>
                <w:rFonts w:hint="eastAsia" w:ascii="宋体" w:hAnsi="宋体"/>
                <w:color w:val="auto"/>
                <w:szCs w:val="21"/>
                <w:highlight w:val="none"/>
              </w:rPr>
              <w:t>V</w:t>
            </w:r>
          </w:p>
        </w:tc>
        <w:tc>
          <w:tcPr>
            <w:tcW w:w="1768" w:type="pct"/>
            <w:noWrap w:val="0"/>
            <w:vAlign w:val="center"/>
          </w:tcPr>
          <w:p>
            <w:pPr>
              <w:rPr>
                <w:rFonts w:ascii="宋体" w:hAnsi="宋体"/>
                <w:color w:val="auto"/>
                <w:szCs w:val="21"/>
                <w:highlight w:val="none"/>
              </w:rPr>
            </w:pPr>
            <w:r>
              <w:rPr>
                <w:rFonts w:hint="eastAsia" w:ascii="宋体" w:hAnsi="宋体"/>
                <w:color w:val="auto"/>
                <w:szCs w:val="21"/>
                <w:highlight w:val="non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85" w:type="pct"/>
            <w:noWrap w:val="0"/>
            <w:vAlign w:val="center"/>
          </w:tcPr>
          <w:p>
            <w:pPr>
              <w:rPr>
                <w:rFonts w:ascii="宋体" w:hAnsi="宋体"/>
                <w:color w:val="auto"/>
                <w:szCs w:val="21"/>
                <w:highlight w:val="none"/>
              </w:rPr>
            </w:pPr>
            <w:r>
              <w:rPr>
                <w:rFonts w:hint="eastAsia" w:ascii="宋体" w:hAnsi="宋体"/>
                <w:color w:val="auto"/>
                <w:szCs w:val="21"/>
                <w:highlight w:val="none"/>
              </w:rPr>
              <w:t>6</w:t>
            </w:r>
          </w:p>
        </w:tc>
        <w:tc>
          <w:tcPr>
            <w:tcW w:w="2013" w:type="pct"/>
            <w:noWrap w:val="0"/>
            <w:vAlign w:val="center"/>
          </w:tcPr>
          <w:p>
            <w:pPr>
              <w:rPr>
                <w:rFonts w:ascii="宋体" w:hAnsi="宋体"/>
                <w:color w:val="auto"/>
                <w:szCs w:val="21"/>
                <w:highlight w:val="none"/>
              </w:rPr>
            </w:pPr>
            <w:r>
              <w:rPr>
                <w:rFonts w:hint="eastAsia" w:ascii="宋体" w:hAnsi="宋体"/>
                <w:color w:val="auto"/>
                <w:szCs w:val="21"/>
                <w:highlight w:val="none"/>
              </w:rPr>
              <w:t>钢丝绳规格</w:t>
            </w:r>
          </w:p>
        </w:tc>
        <w:tc>
          <w:tcPr>
            <w:tcW w:w="732" w:type="pct"/>
            <w:noWrap w:val="0"/>
            <w:vAlign w:val="center"/>
          </w:tcPr>
          <w:p>
            <w:pPr>
              <w:rPr>
                <w:rFonts w:ascii="宋体" w:hAnsi="宋体"/>
                <w:color w:val="auto"/>
                <w:szCs w:val="21"/>
                <w:highlight w:val="none"/>
              </w:rPr>
            </w:pPr>
            <w:r>
              <w:rPr>
                <w:rFonts w:hint="eastAsia" w:ascii="宋体" w:hAnsi="宋体"/>
                <w:color w:val="auto"/>
                <w:szCs w:val="21"/>
                <w:highlight w:val="none"/>
              </w:rPr>
              <w:t>mm</w:t>
            </w:r>
          </w:p>
        </w:tc>
        <w:tc>
          <w:tcPr>
            <w:tcW w:w="1768" w:type="pct"/>
            <w:noWrap w:val="0"/>
            <w:vAlign w:val="center"/>
          </w:tcPr>
          <w:p>
            <w:pPr>
              <w:rPr>
                <w:rFonts w:ascii="宋体" w:hAnsi="宋体"/>
                <w:color w:val="auto"/>
                <w:szCs w:val="21"/>
                <w:highlight w:val="none"/>
              </w:rPr>
            </w:pPr>
            <w:r>
              <w:rPr>
                <w:rFonts w:hint="eastAsia" w:ascii="宋体" w:hAnsi="宋体"/>
                <w:color w:val="auto"/>
                <w:szCs w:val="21"/>
                <w:highlight w:val="none"/>
              </w:rPr>
              <w:t>φ</w:t>
            </w:r>
            <w:r>
              <w:rPr>
                <w:rFonts w:ascii="宋体" w:hAnsi="宋体"/>
                <w:color w:val="auto"/>
                <w:szCs w:val="21"/>
                <w:highlight w:val="none"/>
              </w:rPr>
              <w:t>10.2</w:t>
            </w:r>
            <w:r>
              <w:rPr>
                <w:rFonts w:hint="eastAsia" w:ascii="宋体" w:hAnsi="宋体"/>
                <w:color w:val="auto"/>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85" w:type="pct"/>
            <w:noWrap w:val="0"/>
            <w:vAlign w:val="center"/>
          </w:tcPr>
          <w:p>
            <w:pPr>
              <w:rPr>
                <w:rFonts w:ascii="宋体" w:hAnsi="宋体"/>
                <w:color w:val="auto"/>
                <w:szCs w:val="21"/>
                <w:highlight w:val="none"/>
              </w:rPr>
            </w:pPr>
            <w:r>
              <w:rPr>
                <w:rFonts w:hint="eastAsia" w:ascii="宋体" w:hAnsi="宋体"/>
                <w:color w:val="auto"/>
                <w:szCs w:val="21"/>
                <w:highlight w:val="none"/>
              </w:rPr>
              <w:t>7</w:t>
            </w:r>
          </w:p>
        </w:tc>
        <w:tc>
          <w:tcPr>
            <w:tcW w:w="2013" w:type="pct"/>
            <w:noWrap w:val="0"/>
            <w:vAlign w:val="center"/>
          </w:tcPr>
          <w:p>
            <w:pPr>
              <w:rPr>
                <w:rFonts w:ascii="宋体" w:hAnsi="宋体"/>
                <w:color w:val="auto"/>
                <w:szCs w:val="21"/>
                <w:highlight w:val="none"/>
              </w:rPr>
            </w:pPr>
            <w:r>
              <w:rPr>
                <w:rFonts w:hint="eastAsia" w:ascii="宋体" w:hAnsi="宋体"/>
                <w:color w:val="auto"/>
                <w:szCs w:val="21"/>
                <w:highlight w:val="none"/>
              </w:rPr>
              <w:t>制动距离</w:t>
            </w:r>
          </w:p>
        </w:tc>
        <w:tc>
          <w:tcPr>
            <w:tcW w:w="732" w:type="pct"/>
            <w:noWrap w:val="0"/>
            <w:vAlign w:val="center"/>
          </w:tcPr>
          <w:p>
            <w:pPr>
              <w:rPr>
                <w:rFonts w:ascii="宋体" w:hAnsi="宋体"/>
                <w:color w:val="auto"/>
                <w:szCs w:val="21"/>
                <w:highlight w:val="none"/>
              </w:rPr>
            </w:pPr>
            <w:r>
              <w:rPr>
                <w:rFonts w:hint="eastAsia" w:ascii="宋体" w:hAnsi="宋体"/>
                <w:color w:val="auto"/>
                <w:szCs w:val="21"/>
                <w:highlight w:val="none"/>
              </w:rPr>
              <w:t>mm</w:t>
            </w:r>
          </w:p>
        </w:tc>
        <w:tc>
          <w:tcPr>
            <w:tcW w:w="1768" w:type="pct"/>
            <w:noWrap w:val="0"/>
            <w:vAlign w:val="center"/>
          </w:tcPr>
          <w:p>
            <w:pPr>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0</w:t>
            </w:r>
            <w:r>
              <w:rPr>
                <w:rFonts w:hint="eastAsia" w:ascii="宋体" w:hAnsi="宋体"/>
                <w:color w:val="auto"/>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85" w:type="pct"/>
            <w:noWrap w:val="0"/>
            <w:vAlign w:val="center"/>
          </w:tcPr>
          <w:p>
            <w:pPr>
              <w:rPr>
                <w:rFonts w:ascii="宋体" w:hAnsi="宋体"/>
                <w:color w:val="auto"/>
                <w:szCs w:val="21"/>
                <w:highlight w:val="none"/>
              </w:rPr>
            </w:pPr>
            <w:r>
              <w:rPr>
                <w:rFonts w:hint="eastAsia" w:ascii="宋体" w:hAnsi="宋体"/>
                <w:color w:val="auto"/>
                <w:szCs w:val="21"/>
                <w:highlight w:val="none"/>
              </w:rPr>
              <w:t>8</w:t>
            </w:r>
          </w:p>
        </w:tc>
        <w:tc>
          <w:tcPr>
            <w:tcW w:w="2013" w:type="pct"/>
            <w:noWrap w:val="0"/>
            <w:vAlign w:val="center"/>
          </w:tcPr>
          <w:p>
            <w:pPr>
              <w:rPr>
                <w:rFonts w:ascii="宋体" w:hAnsi="宋体"/>
                <w:color w:val="auto"/>
                <w:szCs w:val="21"/>
                <w:highlight w:val="none"/>
              </w:rPr>
            </w:pPr>
            <w:r>
              <w:rPr>
                <w:rFonts w:hint="eastAsia" w:ascii="宋体" w:hAnsi="宋体"/>
                <w:color w:val="auto"/>
                <w:szCs w:val="21"/>
                <w:highlight w:val="none"/>
              </w:rPr>
              <w:t>离水冷壁距离</w:t>
            </w:r>
          </w:p>
        </w:tc>
        <w:tc>
          <w:tcPr>
            <w:tcW w:w="732" w:type="pct"/>
            <w:noWrap w:val="0"/>
            <w:vAlign w:val="center"/>
          </w:tcPr>
          <w:p>
            <w:pPr>
              <w:rPr>
                <w:rFonts w:ascii="宋体" w:hAnsi="宋体"/>
                <w:color w:val="auto"/>
                <w:szCs w:val="21"/>
                <w:highlight w:val="none"/>
              </w:rPr>
            </w:pPr>
            <w:r>
              <w:rPr>
                <w:rFonts w:hint="eastAsia" w:ascii="宋体" w:hAnsi="宋体"/>
                <w:color w:val="auto"/>
                <w:szCs w:val="21"/>
                <w:highlight w:val="none"/>
              </w:rPr>
              <w:t>mm</w:t>
            </w:r>
          </w:p>
        </w:tc>
        <w:tc>
          <w:tcPr>
            <w:tcW w:w="1768" w:type="pct"/>
            <w:noWrap w:val="0"/>
            <w:vAlign w:val="center"/>
          </w:tcPr>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85"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9</w:t>
            </w:r>
          </w:p>
        </w:tc>
        <w:tc>
          <w:tcPr>
            <w:tcW w:w="2013"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检修平台大小</w:t>
            </w:r>
          </w:p>
        </w:tc>
        <w:tc>
          <w:tcPr>
            <w:tcW w:w="732" w:type="pct"/>
            <w:noWrap w:val="0"/>
            <w:vAlign w:val="center"/>
          </w:tcPr>
          <w:p>
            <w:pPr>
              <w:rPr>
                <w:rFonts w:hint="eastAsia" w:ascii="宋体" w:hAnsi="宋体"/>
                <w:color w:val="auto"/>
                <w:szCs w:val="21"/>
                <w:highlight w:val="none"/>
              </w:rPr>
            </w:pPr>
          </w:p>
        </w:tc>
        <w:tc>
          <w:tcPr>
            <w:tcW w:w="1768"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按照甲方提供的炉膛图纸结构尺寸进行设计，满足检修使用要求</w:t>
            </w:r>
          </w:p>
        </w:tc>
      </w:tr>
    </w:tbl>
    <w:p>
      <w:pPr>
        <w:spacing w:line="240" w:lineRule="auto"/>
        <w:rPr>
          <w:rFonts w:ascii="宋体" w:hAnsi="宋体" w:cs="宋体"/>
          <w:color w:val="auto"/>
          <w:szCs w:val="21"/>
          <w:highlight w:val="none"/>
        </w:rPr>
      </w:pPr>
    </w:p>
    <w:p>
      <w:pPr>
        <w:spacing w:line="440" w:lineRule="exact"/>
        <w:ind w:right="141"/>
        <w:rPr>
          <w:rFonts w:ascii="宋体" w:hAnsi="宋体" w:cs="宋体"/>
          <w:b/>
          <w:color w:val="auto"/>
          <w:sz w:val="24"/>
          <w:szCs w:val="24"/>
          <w:highlight w:val="none"/>
        </w:rPr>
      </w:pPr>
    </w:p>
    <w:p>
      <w:pPr>
        <w:spacing w:line="440" w:lineRule="exact"/>
        <w:ind w:right="141"/>
        <w:rPr>
          <w:rFonts w:ascii="仿宋_GB2312" w:hAnsi="仿宋_GB2312" w:eastAsia="仿宋"/>
          <w:b/>
          <w:color w:val="auto"/>
          <w:sz w:val="30"/>
          <w:szCs w:val="30"/>
          <w:highlight w:val="none"/>
        </w:rPr>
      </w:pPr>
      <w:r>
        <w:rPr>
          <w:rFonts w:hint="eastAsia" w:ascii="宋体" w:hAnsi="宋体" w:cs="宋体"/>
          <w:b/>
          <w:color w:val="auto"/>
          <w:sz w:val="24"/>
          <w:szCs w:val="24"/>
          <w:highlight w:val="none"/>
          <w:lang w:eastAsia="zh-CN"/>
        </w:rPr>
        <w:t>三</w:t>
      </w:r>
      <w:r>
        <w:rPr>
          <w:rFonts w:ascii="宋体" w:hAnsi="宋体" w:cs="宋体"/>
          <w:b/>
          <w:color w:val="auto"/>
          <w:sz w:val="24"/>
          <w:szCs w:val="24"/>
          <w:highlight w:val="none"/>
        </w:rPr>
        <w:t>、设计条件和环境条件：</w:t>
      </w:r>
    </w:p>
    <w:p>
      <w:pPr>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ascii="宋体" w:hAnsi="宋体" w:cs="宋体"/>
          <w:color w:val="auto"/>
          <w:szCs w:val="21"/>
          <w:highlight w:val="none"/>
        </w:rPr>
        <w:t xml:space="preserve"> </w:t>
      </w:r>
      <w:r>
        <w:rPr>
          <w:rFonts w:hint="eastAsia" w:ascii="宋体" w:hAnsi="宋体" w:cs="宋体"/>
          <w:color w:val="auto"/>
          <w:szCs w:val="21"/>
          <w:highlight w:val="none"/>
        </w:rPr>
        <w:t>锅炉主要技术参数</w:t>
      </w:r>
    </w:p>
    <w:p>
      <w:pPr>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本期工程建设</w:t>
      </w:r>
      <w:r>
        <w:rPr>
          <w:rFonts w:hint="eastAsia" w:ascii="宋体" w:hAnsi="宋体" w:eastAsia="宋体" w:cs="宋体"/>
          <w:color w:val="auto"/>
          <w:kern w:val="0"/>
          <w:szCs w:val="21"/>
          <w:highlight w:val="none"/>
          <w:lang w:val="en-US" w:eastAsia="zh-CN"/>
        </w:rPr>
        <w:t>1台65</w:t>
      </w:r>
      <w:r>
        <w:rPr>
          <w:rFonts w:ascii="宋体" w:hAnsi="宋体" w:cs="宋体"/>
          <w:color w:val="auto"/>
          <w:szCs w:val="21"/>
          <w:highlight w:val="none"/>
        </w:rPr>
        <w:t>t/h</w:t>
      </w:r>
      <w:r>
        <w:rPr>
          <w:rFonts w:hint="eastAsia" w:ascii="宋体" w:hAnsi="宋体" w:cs="宋体"/>
          <w:color w:val="auto"/>
          <w:szCs w:val="21"/>
          <w:highlight w:val="none"/>
        </w:rPr>
        <w:t>循环流化床锅炉。锅炉主要技术参数：</w:t>
      </w:r>
    </w:p>
    <w:p>
      <w:pPr>
        <w:pStyle w:val="2"/>
        <w:pageBreakBefore w:val="0"/>
        <w:widowControl w:val="0"/>
        <w:kinsoku/>
        <w:wordWrap/>
        <w:overflowPunct/>
        <w:topLinePunct w:val="0"/>
        <w:autoSpaceDE/>
        <w:autoSpaceDN/>
        <w:bidi w:val="0"/>
        <w:adjustRightInd/>
        <w:snapToGrid/>
        <w:spacing w:line="360" w:lineRule="exact"/>
        <w:ind w:firstLine="420"/>
        <w:textAlignment w:val="auto"/>
        <w:rPr>
          <w:color w:val="auto"/>
          <w:sz w:val="21"/>
          <w:szCs w:val="21"/>
          <w:highlight w:val="none"/>
        </w:rPr>
      </w:pPr>
      <w:r>
        <w:rPr>
          <w:rFonts w:hint="eastAsia"/>
          <w:color w:val="auto"/>
          <w:sz w:val="21"/>
          <w:szCs w:val="21"/>
          <w:highlight w:val="none"/>
        </w:rPr>
        <w:t>锅炉生产厂家：</w:t>
      </w:r>
    </w:p>
    <w:tbl>
      <w:tblPr>
        <w:tblStyle w:val="22"/>
        <w:tblW w:w="4998" w:type="pct"/>
        <w:tblInd w:w="0" w:type="dxa"/>
        <w:tblLayout w:type="autofit"/>
        <w:tblCellMar>
          <w:top w:w="0" w:type="dxa"/>
          <w:left w:w="108" w:type="dxa"/>
          <w:bottom w:w="0" w:type="dxa"/>
          <w:right w:w="108" w:type="dxa"/>
        </w:tblCellMar>
      </w:tblPr>
      <w:tblGrid>
        <w:gridCol w:w="2788"/>
        <w:gridCol w:w="2120"/>
        <w:gridCol w:w="2525"/>
        <w:gridCol w:w="2525"/>
      </w:tblGrid>
      <w:tr>
        <w:tblPrEx>
          <w:tblCellMar>
            <w:top w:w="0" w:type="dxa"/>
            <w:left w:w="108" w:type="dxa"/>
            <w:bottom w:w="0" w:type="dxa"/>
            <w:right w:w="108" w:type="dxa"/>
          </w:tblCellMar>
        </w:tblPrEx>
        <w:tc>
          <w:tcPr>
            <w:tcW w:w="139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w:t>
            </w:r>
          </w:p>
        </w:tc>
        <w:tc>
          <w:tcPr>
            <w:tcW w:w="10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r>
              <w:rPr>
                <w:rFonts w:hint="eastAsia" w:ascii="宋体" w:hAnsi="宋体" w:cs="宋体"/>
                <w:color w:val="auto"/>
                <w:szCs w:val="21"/>
                <w:highlight w:val="none"/>
              </w:rPr>
              <w:t>单</w:t>
            </w:r>
            <w:r>
              <w:rPr>
                <w:rFonts w:ascii="宋体" w:hAnsi="宋体" w:cs="宋体"/>
                <w:color w:val="auto"/>
                <w:szCs w:val="21"/>
                <w:highlight w:val="none"/>
              </w:rPr>
              <w:t xml:space="preserve">  </w:t>
            </w:r>
            <w:r>
              <w:rPr>
                <w:rFonts w:hint="eastAsia" w:ascii="宋体" w:hAnsi="宋体" w:cs="宋体"/>
                <w:color w:val="auto"/>
                <w:szCs w:val="21"/>
                <w:highlight w:val="none"/>
              </w:rPr>
              <w:t>位</w:t>
            </w: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r>
              <w:rPr>
                <w:rFonts w:ascii="宋体" w:hAnsi="宋体" w:cs="宋体"/>
                <w:color w:val="auto"/>
                <w:szCs w:val="21"/>
                <w:highlight w:val="none"/>
              </w:rPr>
              <w:t>参数</w:t>
            </w:r>
          </w:p>
        </w:tc>
        <w:tc>
          <w:tcPr>
            <w:tcW w:w="230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p>
        </w:tc>
      </w:tr>
      <w:tr>
        <w:tblPrEx>
          <w:tblCellMar>
            <w:top w:w="0" w:type="dxa"/>
            <w:left w:w="108" w:type="dxa"/>
            <w:bottom w:w="0" w:type="dxa"/>
            <w:right w:w="108" w:type="dxa"/>
          </w:tblCellMar>
        </w:tblPrEx>
        <w:tc>
          <w:tcPr>
            <w:tcW w:w="1399" w:type="pct"/>
            <w:tcBorders>
              <w:top w:val="single" w:color="000000" w:sz="4" w:space="0"/>
              <w:left w:val="single" w:color="000000" w:sz="4" w:space="0"/>
              <w:bottom w:val="single" w:color="000000" w:sz="4" w:space="0"/>
              <w:right w:val="single" w:color="000000" w:sz="4" w:space="0"/>
            </w:tcBorders>
            <w:noWrap w:val="0"/>
            <w:vAlign w:val="top"/>
          </w:tcPr>
          <w:p>
            <w:pPr>
              <w:pStyle w:val="12"/>
              <w:rPr>
                <w:color w:val="auto"/>
                <w:szCs w:val="21"/>
                <w:highlight w:val="none"/>
              </w:rPr>
            </w:pPr>
            <w:r>
              <w:rPr>
                <w:rFonts w:hint="eastAsia"/>
                <w:color w:val="auto"/>
                <w:szCs w:val="21"/>
                <w:highlight w:val="none"/>
              </w:rPr>
              <w:t>锅炉额定蒸发量</w:t>
            </w:r>
          </w:p>
        </w:tc>
        <w:tc>
          <w:tcPr>
            <w:tcW w:w="10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r>
              <w:rPr>
                <w:rFonts w:ascii="宋体" w:hAnsi="宋体" w:cs="宋体"/>
                <w:color w:val="auto"/>
                <w:szCs w:val="21"/>
                <w:highlight w:val="none"/>
              </w:rPr>
              <w:t>t/h</w:t>
            </w: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65</w:t>
            </w:r>
          </w:p>
        </w:tc>
        <w:tc>
          <w:tcPr>
            <w:tcW w:w="230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c>
          <w:tcPr>
            <w:tcW w:w="1399" w:type="pct"/>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color w:val="auto"/>
                <w:szCs w:val="21"/>
                <w:highlight w:val="none"/>
              </w:rPr>
            </w:pPr>
            <w:r>
              <w:rPr>
                <w:rFonts w:ascii="宋体" w:hAnsi="宋体" w:cs="宋体"/>
                <w:color w:val="auto"/>
                <w:szCs w:val="21"/>
                <w:highlight w:val="none"/>
              </w:rPr>
              <w:t>锅炉最大连续蒸发量</w:t>
            </w:r>
          </w:p>
        </w:tc>
        <w:tc>
          <w:tcPr>
            <w:tcW w:w="10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position w:val="-2"/>
                <w:szCs w:val="21"/>
                <w:highlight w:val="none"/>
                <w:vertAlign w:val="superscript"/>
              </w:rPr>
            </w:pPr>
            <w:r>
              <w:rPr>
                <w:rFonts w:ascii="宋体" w:hAnsi="宋体" w:cs="宋体"/>
                <w:color w:val="auto"/>
                <w:szCs w:val="21"/>
                <w:highlight w:val="none"/>
              </w:rPr>
              <w:t>t/h</w:t>
            </w: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p>
        </w:tc>
      </w:tr>
      <w:tr>
        <w:tblPrEx>
          <w:tblCellMar>
            <w:top w:w="0" w:type="dxa"/>
            <w:left w:w="108" w:type="dxa"/>
            <w:bottom w:w="0" w:type="dxa"/>
            <w:right w:w="108" w:type="dxa"/>
          </w:tblCellMar>
        </w:tblPrEx>
        <w:tc>
          <w:tcPr>
            <w:tcW w:w="1399" w:type="pct"/>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color w:val="auto"/>
                <w:szCs w:val="21"/>
                <w:highlight w:val="none"/>
              </w:rPr>
            </w:pPr>
            <w:r>
              <w:rPr>
                <w:rFonts w:hint="eastAsia" w:ascii="宋体" w:hAnsi="宋体" w:cs="宋体"/>
                <w:color w:val="auto"/>
                <w:szCs w:val="21"/>
                <w:highlight w:val="none"/>
              </w:rPr>
              <w:t>过热蒸汽温度</w:t>
            </w:r>
          </w:p>
        </w:tc>
        <w:tc>
          <w:tcPr>
            <w:tcW w:w="10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r>
              <w:rPr>
                <w:rFonts w:ascii="宋体" w:hAnsi="宋体" w:cs="宋体"/>
                <w:color w:val="auto"/>
                <w:szCs w:val="21"/>
                <w:highlight w:val="none"/>
                <w:vertAlign w:val="superscript"/>
              </w:rPr>
              <w:t>0</w:t>
            </w:r>
            <w:r>
              <w:rPr>
                <w:rFonts w:ascii="宋体" w:hAnsi="宋体" w:cs="宋体"/>
                <w:color w:val="auto"/>
                <w:szCs w:val="21"/>
                <w:highlight w:val="none"/>
              </w:rPr>
              <w:t>C</w:t>
            </w: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p>
        </w:tc>
      </w:tr>
      <w:tr>
        <w:tblPrEx>
          <w:tblCellMar>
            <w:top w:w="0" w:type="dxa"/>
            <w:left w:w="108" w:type="dxa"/>
            <w:bottom w:w="0" w:type="dxa"/>
            <w:right w:w="108" w:type="dxa"/>
          </w:tblCellMar>
        </w:tblPrEx>
        <w:tc>
          <w:tcPr>
            <w:tcW w:w="1399" w:type="pct"/>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color w:val="auto"/>
                <w:szCs w:val="21"/>
                <w:highlight w:val="none"/>
              </w:rPr>
            </w:pPr>
            <w:r>
              <w:rPr>
                <w:rFonts w:hint="eastAsia" w:ascii="宋体" w:hAnsi="宋体" w:cs="宋体"/>
                <w:color w:val="auto"/>
                <w:szCs w:val="21"/>
                <w:highlight w:val="none"/>
              </w:rPr>
              <w:t>过热蒸汽压力</w:t>
            </w:r>
          </w:p>
        </w:tc>
        <w:tc>
          <w:tcPr>
            <w:tcW w:w="10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r>
              <w:rPr>
                <w:rFonts w:ascii="宋体" w:hAnsi="宋体" w:cs="宋体"/>
                <w:color w:val="auto"/>
                <w:szCs w:val="21"/>
                <w:highlight w:val="none"/>
              </w:rPr>
              <w:t>MPa（g）</w:t>
            </w: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p>
        </w:tc>
      </w:tr>
      <w:tr>
        <w:tblPrEx>
          <w:tblCellMar>
            <w:top w:w="0" w:type="dxa"/>
            <w:left w:w="108" w:type="dxa"/>
            <w:bottom w:w="0" w:type="dxa"/>
            <w:right w:w="108" w:type="dxa"/>
          </w:tblCellMar>
        </w:tblPrEx>
        <w:tc>
          <w:tcPr>
            <w:tcW w:w="1399" w:type="pct"/>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color w:val="auto"/>
                <w:szCs w:val="21"/>
                <w:highlight w:val="none"/>
              </w:rPr>
            </w:pPr>
            <w:r>
              <w:rPr>
                <w:rFonts w:ascii="宋体" w:hAnsi="宋体" w:cs="宋体"/>
                <w:color w:val="auto"/>
                <w:szCs w:val="21"/>
                <w:highlight w:val="none"/>
              </w:rPr>
              <w:t>给水温度</w:t>
            </w:r>
          </w:p>
        </w:tc>
        <w:tc>
          <w:tcPr>
            <w:tcW w:w="10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position w:val="-2"/>
                <w:szCs w:val="21"/>
                <w:highlight w:val="none"/>
                <w:vertAlign w:val="superscript"/>
              </w:rPr>
            </w:pPr>
            <w:r>
              <w:rPr>
                <w:rFonts w:ascii="宋体" w:hAnsi="宋体" w:cs="宋体"/>
                <w:color w:val="auto"/>
                <w:position w:val="-2"/>
                <w:szCs w:val="21"/>
                <w:highlight w:val="none"/>
                <w:vertAlign w:val="superscript"/>
              </w:rPr>
              <w:t>0</w:t>
            </w:r>
            <w:r>
              <w:rPr>
                <w:rFonts w:ascii="宋体" w:hAnsi="宋体" w:cs="宋体"/>
                <w:color w:val="auto"/>
                <w:szCs w:val="21"/>
                <w:highlight w:val="none"/>
              </w:rPr>
              <w:t>C</w:t>
            </w: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宋体" w:hAnsi="宋体" w:eastAsia="宋体" w:cs="宋体"/>
                <w:color w:val="auto"/>
                <w:szCs w:val="21"/>
                <w:highlight w:val="none"/>
                <w:lang w:val="en-US" w:eastAsia="zh-CN"/>
              </w:rPr>
            </w:pP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p>
        </w:tc>
      </w:tr>
      <w:tr>
        <w:tblPrEx>
          <w:tblCellMar>
            <w:top w:w="0" w:type="dxa"/>
            <w:left w:w="108" w:type="dxa"/>
            <w:bottom w:w="0" w:type="dxa"/>
            <w:right w:w="108" w:type="dxa"/>
          </w:tblCellMar>
        </w:tblPrEx>
        <w:tc>
          <w:tcPr>
            <w:tcW w:w="1399" w:type="pct"/>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color w:val="auto"/>
                <w:szCs w:val="21"/>
                <w:highlight w:val="none"/>
              </w:rPr>
            </w:pPr>
            <w:r>
              <w:rPr>
                <w:rFonts w:hint="eastAsia" w:ascii="宋体" w:hAnsi="宋体" w:cs="宋体"/>
                <w:color w:val="auto"/>
                <w:szCs w:val="21"/>
                <w:highlight w:val="none"/>
              </w:rPr>
              <w:t>排烟温度</w:t>
            </w:r>
          </w:p>
        </w:tc>
        <w:tc>
          <w:tcPr>
            <w:tcW w:w="106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r>
              <w:rPr>
                <w:rFonts w:ascii="宋体" w:hAnsi="宋体" w:cs="宋体"/>
                <w:color w:val="auto"/>
                <w:szCs w:val="21"/>
                <w:highlight w:val="none"/>
                <w:vertAlign w:val="superscript"/>
              </w:rPr>
              <w:t>0</w:t>
            </w:r>
            <w:r>
              <w:rPr>
                <w:rFonts w:ascii="宋体" w:hAnsi="宋体" w:cs="宋体"/>
                <w:color w:val="auto"/>
                <w:szCs w:val="21"/>
                <w:highlight w:val="none"/>
              </w:rPr>
              <w:t>C</w:t>
            </w: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宋体" w:hAnsi="宋体" w:eastAsia="宋体" w:cs="宋体"/>
                <w:color w:val="auto"/>
                <w:szCs w:val="21"/>
                <w:highlight w:val="none"/>
                <w:lang w:val="en-US" w:eastAsia="zh-CN"/>
              </w:rPr>
            </w:pPr>
          </w:p>
        </w:tc>
        <w:tc>
          <w:tcPr>
            <w:tcW w:w="126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auto"/>
                <w:szCs w:val="21"/>
                <w:highlight w:val="none"/>
              </w:rPr>
            </w:pPr>
          </w:p>
        </w:tc>
      </w:tr>
    </w:tbl>
    <w:p>
      <w:pPr>
        <w:spacing w:line="24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ascii="宋体" w:hAnsi="宋体" w:cs="宋体"/>
          <w:color w:val="auto"/>
          <w:szCs w:val="21"/>
          <w:highlight w:val="none"/>
        </w:rPr>
        <w:t>标准及规范</w:t>
      </w:r>
    </w:p>
    <w:tbl>
      <w:tblPr>
        <w:tblStyle w:val="22"/>
        <w:tblW w:w="4998" w:type="pct"/>
        <w:jc w:val="center"/>
        <w:tblLayout w:type="autofit"/>
        <w:tblCellMar>
          <w:top w:w="0" w:type="dxa"/>
          <w:left w:w="108" w:type="dxa"/>
          <w:bottom w:w="0" w:type="dxa"/>
          <w:right w:w="108" w:type="dxa"/>
        </w:tblCellMar>
      </w:tblPr>
      <w:tblGrid>
        <w:gridCol w:w="897"/>
        <w:gridCol w:w="2313"/>
        <w:gridCol w:w="6748"/>
      </w:tblGrid>
      <w:tr>
        <w:tblPrEx>
          <w:tblCellMar>
            <w:top w:w="0" w:type="dxa"/>
            <w:left w:w="108" w:type="dxa"/>
            <w:bottom w:w="0" w:type="dxa"/>
            <w:right w:w="108" w:type="dxa"/>
          </w:tblCellMar>
        </w:tblPrEx>
        <w:trPr>
          <w:trHeight w:val="34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pacing w:val="9"/>
                <w:position w:val="10"/>
                <w:szCs w:val="21"/>
                <w:highlight w:val="none"/>
              </w:rPr>
            </w:pPr>
            <w:r>
              <w:rPr>
                <w:rFonts w:ascii="宋体" w:hAnsi="宋体" w:cs="宋体"/>
                <w:color w:val="auto"/>
                <w:spacing w:val="9"/>
                <w:position w:val="10"/>
                <w:szCs w:val="21"/>
                <w:highlight w:val="none"/>
              </w:rPr>
              <w:t>序号</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pacing w:val="9"/>
                <w:position w:val="10"/>
                <w:szCs w:val="21"/>
                <w:highlight w:val="none"/>
              </w:rPr>
            </w:pPr>
            <w:r>
              <w:rPr>
                <w:rFonts w:ascii="宋体" w:hAnsi="宋体" w:cs="宋体"/>
                <w:color w:val="auto"/>
                <w:spacing w:val="9"/>
                <w:position w:val="10"/>
                <w:szCs w:val="21"/>
                <w:highlight w:val="none"/>
              </w:rPr>
              <w:t>标准代号</w:t>
            </w:r>
          </w:p>
        </w:tc>
        <w:tc>
          <w:tcPr>
            <w:tcW w:w="33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pacing w:val="9"/>
                <w:position w:val="10"/>
                <w:szCs w:val="21"/>
                <w:highlight w:val="none"/>
              </w:rPr>
            </w:pPr>
            <w:r>
              <w:rPr>
                <w:rFonts w:ascii="宋体" w:hAnsi="宋体" w:cs="宋体"/>
                <w:color w:val="auto"/>
                <w:spacing w:val="9"/>
                <w:position w:val="10"/>
                <w:szCs w:val="21"/>
                <w:highlight w:val="none"/>
              </w:rPr>
              <w:t>标准书名</w:t>
            </w:r>
          </w:p>
        </w:tc>
      </w:tr>
      <w:tr>
        <w:tblPrEx>
          <w:tblCellMar>
            <w:top w:w="0" w:type="dxa"/>
            <w:left w:w="108" w:type="dxa"/>
            <w:bottom w:w="0" w:type="dxa"/>
            <w:right w:w="108" w:type="dxa"/>
          </w:tblCellMar>
        </w:tblPrEx>
        <w:trPr>
          <w:trHeight w:val="34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420"/>
              </w:tabs>
              <w:spacing w:line="240" w:lineRule="auto"/>
              <w:ind w:left="420" w:hanging="193"/>
              <w:jc w:val="left"/>
              <w:rPr>
                <w:rFonts w:ascii="宋体" w:hAnsi="宋体" w:cs="宋体"/>
                <w:color w:val="auto"/>
                <w:position w:val="10"/>
                <w:szCs w:val="21"/>
                <w:highlight w:val="none"/>
                <w:lang w:val="zh-CN"/>
              </w:rPr>
            </w:pPr>
          </w:p>
        </w:tc>
        <w:tc>
          <w:tcPr>
            <w:tcW w:w="1161"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rPr>
            </w:pPr>
            <w:r>
              <w:rPr>
                <w:rFonts w:hint="eastAsia" w:ascii="宋体" w:hAnsi="宋体" w:cs="宋体"/>
                <w:color w:val="auto"/>
                <w:position w:val="10"/>
                <w:szCs w:val="21"/>
                <w:highlight w:val="none"/>
              </w:rPr>
              <w:t>GB/T34029-2017</w:t>
            </w:r>
          </w:p>
        </w:tc>
        <w:tc>
          <w:tcPr>
            <w:tcW w:w="338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rPr>
            </w:pPr>
            <w:r>
              <w:rPr>
                <w:rFonts w:hint="eastAsia" w:ascii="宋体" w:hAnsi="宋体" w:cs="宋体"/>
                <w:color w:val="auto"/>
                <w:position w:val="10"/>
                <w:szCs w:val="21"/>
                <w:highlight w:val="none"/>
              </w:rPr>
              <w:t>锅炉炉膛检修升降平台</w:t>
            </w:r>
          </w:p>
        </w:tc>
      </w:tr>
      <w:tr>
        <w:tblPrEx>
          <w:tblCellMar>
            <w:top w:w="0" w:type="dxa"/>
            <w:left w:w="108" w:type="dxa"/>
            <w:bottom w:w="0" w:type="dxa"/>
            <w:right w:w="108" w:type="dxa"/>
          </w:tblCellMar>
        </w:tblPrEx>
        <w:trPr>
          <w:trHeight w:val="34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420"/>
              </w:tabs>
              <w:spacing w:line="240" w:lineRule="auto"/>
              <w:ind w:left="420" w:hanging="193"/>
              <w:jc w:val="left"/>
              <w:rPr>
                <w:rFonts w:ascii="宋体" w:hAnsi="宋体" w:cs="宋体"/>
                <w:color w:val="auto"/>
                <w:position w:val="10"/>
                <w:szCs w:val="21"/>
                <w:highlight w:val="none"/>
                <w:lang w:val="zh-CN"/>
              </w:rPr>
            </w:pPr>
          </w:p>
        </w:tc>
        <w:tc>
          <w:tcPr>
            <w:tcW w:w="1161"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rPr>
            </w:pPr>
            <w:r>
              <w:rPr>
                <w:rFonts w:ascii="宋体" w:hAnsi="宋体" w:cs="宋体"/>
                <w:color w:val="auto"/>
                <w:position w:val="10"/>
                <w:szCs w:val="21"/>
                <w:highlight w:val="none"/>
                <w:lang w:val="zh-CN"/>
              </w:rPr>
              <w:t>GB/T</w:t>
            </w:r>
            <w:r>
              <w:rPr>
                <w:rFonts w:hint="eastAsia" w:ascii="宋体" w:hAnsi="宋体" w:cs="宋体"/>
                <w:color w:val="auto"/>
                <w:position w:val="10"/>
                <w:szCs w:val="21"/>
                <w:highlight w:val="none"/>
              </w:rPr>
              <w:t>5144-2006</w:t>
            </w:r>
          </w:p>
        </w:tc>
        <w:tc>
          <w:tcPr>
            <w:tcW w:w="338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lang w:val="zh-CN"/>
              </w:rPr>
            </w:pPr>
            <w:r>
              <w:rPr>
                <w:rFonts w:hint="eastAsia" w:ascii="宋体" w:hAnsi="宋体" w:cs="宋体"/>
                <w:color w:val="auto"/>
                <w:position w:val="10"/>
                <w:szCs w:val="21"/>
                <w:highlight w:val="none"/>
                <w:lang w:val="zh-CN"/>
              </w:rPr>
              <w:t>塔式起重机安全规程</w:t>
            </w:r>
          </w:p>
        </w:tc>
      </w:tr>
      <w:tr>
        <w:tblPrEx>
          <w:tblCellMar>
            <w:top w:w="0" w:type="dxa"/>
            <w:left w:w="108" w:type="dxa"/>
            <w:bottom w:w="0" w:type="dxa"/>
            <w:right w:w="108" w:type="dxa"/>
          </w:tblCellMar>
        </w:tblPrEx>
        <w:trPr>
          <w:trHeight w:val="34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420"/>
              </w:tabs>
              <w:spacing w:line="240" w:lineRule="auto"/>
              <w:ind w:left="420" w:hanging="193"/>
              <w:jc w:val="left"/>
              <w:rPr>
                <w:rFonts w:ascii="宋体" w:hAnsi="宋体" w:cs="宋体"/>
                <w:color w:val="auto"/>
                <w:position w:val="10"/>
                <w:szCs w:val="21"/>
                <w:highlight w:val="none"/>
                <w:lang w:val="zh-CN"/>
              </w:rPr>
            </w:pPr>
          </w:p>
        </w:tc>
        <w:tc>
          <w:tcPr>
            <w:tcW w:w="1161"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rPr>
            </w:pPr>
            <w:r>
              <w:rPr>
                <w:rFonts w:ascii="宋体" w:hAnsi="宋体" w:cs="宋体"/>
                <w:color w:val="auto"/>
                <w:position w:val="10"/>
                <w:szCs w:val="21"/>
                <w:highlight w:val="none"/>
                <w:lang w:val="zh-CN"/>
              </w:rPr>
              <w:t>GB/T</w:t>
            </w:r>
            <w:r>
              <w:rPr>
                <w:rFonts w:hint="eastAsia" w:ascii="宋体" w:hAnsi="宋体" w:cs="宋体"/>
                <w:color w:val="auto"/>
                <w:position w:val="10"/>
                <w:szCs w:val="21"/>
                <w:highlight w:val="none"/>
              </w:rPr>
              <w:t>5972</w:t>
            </w:r>
          </w:p>
        </w:tc>
        <w:tc>
          <w:tcPr>
            <w:tcW w:w="338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rPr>
            </w:pPr>
            <w:r>
              <w:rPr>
                <w:rFonts w:hint="eastAsia" w:ascii="宋体" w:hAnsi="宋体" w:cs="宋体"/>
                <w:color w:val="auto"/>
                <w:position w:val="10"/>
                <w:szCs w:val="21"/>
                <w:highlight w:val="none"/>
                <w:lang w:val="zh-CN"/>
              </w:rPr>
              <w:t>起重机</w:t>
            </w:r>
            <w:r>
              <w:rPr>
                <w:rFonts w:hint="eastAsia" w:ascii="宋体" w:hAnsi="宋体" w:cs="宋体"/>
                <w:color w:val="auto"/>
                <w:position w:val="10"/>
                <w:szCs w:val="21"/>
                <w:highlight w:val="none"/>
              </w:rPr>
              <w:t xml:space="preserve"> 钢丝绳 保养、维护、安装、检验和报废</w:t>
            </w:r>
          </w:p>
        </w:tc>
      </w:tr>
      <w:tr>
        <w:tblPrEx>
          <w:tblCellMar>
            <w:top w:w="0" w:type="dxa"/>
            <w:left w:w="108" w:type="dxa"/>
            <w:bottom w:w="0" w:type="dxa"/>
            <w:right w:w="108" w:type="dxa"/>
          </w:tblCellMar>
        </w:tblPrEx>
        <w:trPr>
          <w:trHeight w:val="34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420"/>
              </w:tabs>
              <w:spacing w:line="240" w:lineRule="auto"/>
              <w:ind w:left="420" w:hanging="193"/>
              <w:jc w:val="left"/>
              <w:rPr>
                <w:rFonts w:ascii="宋体" w:hAnsi="宋体" w:cs="宋体"/>
                <w:color w:val="auto"/>
                <w:position w:val="10"/>
                <w:szCs w:val="21"/>
                <w:highlight w:val="none"/>
                <w:lang w:val="zh-CN"/>
              </w:rPr>
            </w:pPr>
          </w:p>
        </w:tc>
        <w:tc>
          <w:tcPr>
            <w:tcW w:w="1161"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rPr>
            </w:pPr>
            <w:r>
              <w:rPr>
                <w:rFonts w:ascii="宋体" w:hAnsi="宋体" w:cs="宋体"/>
                <w:color w:val="auto"/>
                <w:position w:val="10"/>
                <w:szCs w:val="21"/>
                <w:highlight w:val="none"/>
                <w:lang w:val="zh-CN"/>
              </w:rPr>
              <w:t>GB/T</w:t>
            </w:r>
            <w:r>
              <w:rPr>
                <w:rFonts w:hint="eastAsia" w:ascii="宋体" w:hAnsi="宋体" w:cs="宋体"/>
                <w:color w:val="auto"/>
                <w:position w:val="10"/>
                <w:szCs w:val="21"/>
                <w:highlight w:val="none"/>
              </w:rPr>
              <w:t>8918</w:t>
            </w:r>
          </w:p>
        </w:tc>
        <w:tc>
          <w:tcPr>
            <w:tcW w:w="338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lang w:val="zh-CN"/>
              </w:rPr>
            </w:pPr>
            <w:r>
              <w:rPr>
                <w:rFonts w:hint="eastAsia" w:ascii="宋体" w:hAnsi="宋体" w:cs="宋体"/>
                <w:color w:val="auto"/>
                <w:position w:val="10"/>
                <w:szCs w:val="21"/>
                <w:highlight w:val="none"/>
                <w:lang w:val="zh-CN"/>
              </w:rPr>
              <w:t>重要用途钢丝绳</w:t>
            </w:r>
          </w:p>
        </w:tc>
      </w:tr>
      <w:tr>
        <w:tblPrEx>
          <w:tblCellMar>
            <w:top w:w="0" w:type="dxa"/>
            <w:left w:w="108" w:type="dxa"/>
            <w:bottom w:w="0" w:type="dxa"/>
            <w:right w:w="108" w:type="dxa"/>
          </w:tblCellMar>
        </w:tblPrEx>
        <w:trPr>
          <w:trHeight w:val="34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420"/>
              </w:tabs>
              <w:spacing w:line="240" w:lineRule="auto"/>
              <w:ind w:left="420" w:hanging="193"/>
              <w:jc w:val="left"/>
              <w:rPr>
                <w:rFonts w:ascii="宋体" w:hAnsi="宋体" w:cs="宋体"/>
                <w:color w:val="auto"/>
                <w:position w:val="10"/>
                <w:szCs w:val="21"/>
                <w:highlight w:val="none"/>
                <w:lang w:val="zh-CN"/>
              </w:rPr>
            </w:pPr>
          </w:p>
        </w:tc>
        <w:tc>
          <w:tcPr>
            <w:tcW w:w="1161"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rPr>
            </w:pPr>
            <w:r>
              <w:rPr>
                <w:rFonts w:ascii="宋体" w:hAnsi="宋体" w:cs="宋体"/>
                <w:color w:val="auto"/>
                <w:position w:val="10"/>
                <w:szCs w:val="21"/>
                <w:highlight w:val="none"/>
                <w:lang w:val="zh-CN"/>
              </w:rPr>
              <w:t>GB</w:t>
            </w:r>
            <w:r>
              <w:rPr>
                <w:rFonts w:hint="eastAsia" w:ascii="宋体" w:hAnsi="宋体" w:cs="宋体"/>
                <w:color w:val="auto"/>
                <w:position w:val="10"/>
                <w:szCs w:val="21"/>
                <w:highlight w:val="none"/>
              </w:rPr>
              <w:t>/T13306</w:t>
            </w:r>
          </w:p>
        </w:tc>
        <w:tc>
          <w:tcPr>
            <w:tcW w:w="3387" w:type="pct"/>
            <w:tcBorders>
              <w:top w:val="single" w:color="000000" w:sz="4" w:space="0"/>
              <w:left w:val="single" w:color="000000" w:sz="4" w:space="0"/>
              <w:bottom w:val="single" w:color="000000" w:sz="4" w:space="0"/>
              <w:right w:val="single" w:color="000000" w:sz="4" w:space="0"/>
            </w:tcBorders>
            <w:noWrap w:val="0"/>
            <w:vAlign w:val="center"/>
          </w:tcPr>
          <w:p>
            <w:pPr>
              <w:pStyle w:val="41"/>
              <w:widowControl w:val="0"/>
              <w:rPr>
                <w:rFonts w:ascii="宋体" w:hAnsi="宋体" w:cs="宋体"/>
                <w:color w:val="auto"/>
                <w:position w:val="10"/>
                <w:sz w:val="21"/>
                <w:szCs w:val="21"/>
                <w:highlight w:val="none"/>
                <w:lang w:val="zh-CN"/>
              </w:rPr>
            </w:pPr>
            <w:r>
              <w:rPr>
                <w:rFonts w:hint="eastAsia" w:ascii="宋体" w:hAnsi="宋体" w:cs="宋体"/>
                <w:color w:val="auto"/>
                <w:position w:val="10"/>
                <w:sz w:val="21"/>
                <w:szCs w:val="21"/>
                <w:highlight w:val="none"/>
                <w:lang w:val="zh-CN"/>
              </w:rPr>
              <w:t>标牌</w:t>
            </w:r>
          </w:p>
        </w:tc>
      </w:tr>
      <w:tr>
        <w:tblPrEx>
          <w:tblCellMar>
            <w:top w:w="0" w:type="dxa"/>
            <w:left w:w="108" w:type="dxa"/>
            <w:bottom w:w="0" w:type="dxa"/>
            <w:right w:w="108" w:type="dxa"/>
          </w:tblCellMar>
        </w:tblPrEx>
        <w:trPr>
          <w:trHeight w:val="34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420"/>
              </w:tabs>
              <w:spacing w:line="240" w:lineRule="auto"/>
              <w:ind w:left="420" w:hanging="193"/>
              <w:jc w:val="left"/>
              <w:rPr>
                <w:rFonts w:ascii="宋体" w:hAnsi="宋体" w:cs="宋体"/>
                <w:color w:val="auto"/>
                <w:position w:val="10"/>
                <w:szCs w:val="21"/>
                <w:highlight w:val="none"/>
                <w:lang w:val="zh-CN"/>
              </w:rPr>
            </w:pPr>
          </w:p>
        </w:tc>
        <w:tc>
          <w:tcPr>
            <w:tcW w:w="1161"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rPr>
            </w:pPr>
            <w:r>
              <w:rPr>
                <w:rFonts w:ascii="宋体" w:hAnsi="宋体" w:cs="宋体"/>
                <w:color w:val="auto"/>
                <w:position w:val="10"/>
                <w:szCs w:val="21"/>
                <w:highlight w:val="none"/>
                <w:lang w:val="zh-CN"/>
              </w:rPr>
              <w:t>GB/T</w:t>
            </w:r>
            <w:r>
              <w:rPr>
                <w:rFonts w:hint="eastAsia" w:ascii="宋体" w:hAnsi="宋体" w:cs="宋体"/>
                <w:color w:val="auto"/>
                <w:position w:val="10"/>
                <w:szCs w:val="21"/>
                <w:highlight w:val="none"/>
              </w:rPr>
              <w:t>13384</w:t>
            </w:r>
          </w:p>
        </w:tc>
        <w:tc>
          <w:tcPr>
            <w:tcW w:w="338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lang w:val="zh-CN"/>
              </w:rPr>
            </w:pPr>
            <w:r>
              <w:rPr>
                <w:rFonts w:hint="eastAsia" w:ascii="宋体" w:hAnsi="宋体" w:cs="宋体"/>
                <w:color w:val="auto"/>
                <w:position w:val="10"/>
                <w:szCs w:val="21"/>
                <w:highlight w:val="none"/>
                <w:lang w:val="zh-CN"/>
              </w:rPr>
              <w:t>机电产品包装通用技术条件</w:t>
            </w:r>
          </w:p>
        </w:tc>
      </w:tr>
      <w:tr>
        <w:tblPrEx>
          <w:tblCellMar>
            <w:top w:w="0" w:type="dxa"/>
            <w:left w:w="108" w:type="dxa"/>
            <w:bottom w:w="0" w:type="dxa"/>
            <w:right w:w="108" w:type="dxa"/>
          </w:tblCellMar>
        </w:tblPrEx>
        <w:trPr>
          <w:trHeight w:val="34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420"/>
              </w:tabs>
              <w:spacing w:line="240" w:lineRule="auto"/>
              <w:ind w:left="420" w:hanging="193"/>
              <w:jc w:val="left"/>
              <w:rPr>
                <w:rFonts w:ascii="宋体" w:hAnsi="宋体" w:cs="宋体"/>
                <w:color w:val="auto"/>
                <w:position w:val="10"/>
                <w:szCs w:val="21"/>
                <w:highlight w:val="none"/>
                <w:lang w:val="zh-CN"/>
              </w:rPr>
            </w:pPr>
          </w:p>
        </w:tc>
        <w:tc>
          <w:tcPr>
            <w:tcW w:w="1161"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lang w:val="zh-CN"/>
              </w:rPr>
            </w:pPr>
            <w:r>
              <w:rPr>
                <w:rFonts w:ascii="宋体" w:hAnsi="宋体" w:cs="宋体"/>
                <w:color w:val="auto"/>
                <w:position w:val="10"/>
                <w:szCs w:val="21"/>
                <w:highlight w:val="none"/>
                <w:lang w:val="zh-CN"/>
              </w:rPr>
              <w:t>GB</w:t>
            </w:r>
            <w:r>
              <w:rPr>
                <w:rFonts w:hint="eastAsia" w:ascii="宋体" w:hAnsi="宋体" w:cs="宋体"/>
                <w:color w:val="auto"/>
                <w:position w:val="10"/>
                <w:szCs w:val="21"/>
                <w:highlight w:val="none"/>
              </w:rPr>
              <w:t>/T19155-2017</w:t>
            </w:r>
          </w:p>
        </w:tc>
        <w:tc>
          <w:tcPr>
            <w:tcW w:w="338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rPr>
            </w:pPr>
            <w:r>
              <w:rPr>
                <w:rFonts w:hint="eastAsia" w:ascii="宋体" w:hAnsi="宋体" w:cs="宋体"/>
                <w:color w:val="auto"/>
                <w:position w:val="10"/>
                <w:szCs w:val="21"/>
                <w:highlight w:val="none"/>
              </w:rPr>
              <w:t>高处作业吊篮</w:t>
            </w:r>
          </w:p>
        </w:tc>
      </w:tr>
      <w:tr>
        <w:tblPrEx>
          <w:tblCellMar>
            <w:top w:w="0" w:type="dxa"/>
            <w:left w:w="108" w:type="dxa"/>
            <w:bottom w:w="0" w:type="dxa"/>
            <w:right w:w="108" w:type="dxa"/>
          </w:tblCellMar>
        </w:tblPrEx>
        <w:trPr>
          <w:trHeight w:val="34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420"/>
              </w:tabs>
              <w:spacing w:line="240" w:lineRule="auto"/>
              <w:ind w:left="420" w:hanging="193"/>
              <w:jc w:val="left"/>
              <w:rPr>
                <w:rFonts w:ascii="宋体" w:hAnsi="宋体" w:cs="宋体"/>
                <w:color w:val="auto"/>
                <w:position w:val="10"/>
                <w:szCs w:val="21"/>
                <w:highlight w:val="none"/>
                <w:lang w:val="zh-CN"/>
              </w:rPr>
            </w:pPr>
          </w:p>
        </w:tc>
        <w:tc>
          <w:tcPr>
            <w:tcW w:w="1161"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rPr>
            </w:pPr>
            <w:r>
              <w:rPr>
                <w:rFonts w:hint="eastAsia" w:ascii="宋体" w:hAnsi="宋体" w:cs="宋体"/>
                <w:color w:val="auto"/>
                <w:position w:val="10"/>
                <w:szCs w:val="21"/>
                <w:highlight w:val="none"/>
                <w:lang w:val="en-US" w:eastAsia="zh-CN"/>
              </w:rPr>
              <w:t>J</w:t>
            </w:r>
            <w:r>
              <w:rPr>
                <w:rFonts w:ascii="宋体" w:hAnsi="宋体" w:cs="宋体"/>
                <w:color w:val="auto"/>
                <w:position w:val="10"/>
                <w:szCs w:val="21"/>
                <w:highlight w:val="none"/>
                <w:lang w:val="zh-CN"/>
              </w:rPr>
              <w:t>B</w:t>
            </w:r>
            <w:r>
              <w:rPr>
                <w:rFonts w:hint="eastAsia" w:ascii="宋体" w:hAnsi="宋体" w:cs="宋体"/>
                <w:color w:val="auto"/>
                <w:position w:val="10"/>
                <w:szCs w:val="21"/>
                <w:highlight w:val="none"/>
              </w:rPr>
              <w:t>/T</w:t>
            </w:r>
            <w:r>
              <w:rPr>
                <w:rFonts w:hint="eastAsia" w:ascii="宋体" w:hAnsi="宋体" w:cs="宋体"/>
                <w:color w:val="auto"/>
                <w:position w:val="10"/>
                <w:szCs w:val="21"/>
                <w:highlight w:val="none"/>
                <w:lang w:val="en-US" w:eastAsia="zh-CN"/>
              </w:rPr>
              <w:t>6456-2010</w:t>
            </w:r>
            <w:r>
              <w:rPr>
                <w:rFonts w:hint="eastAsia" w:ascii="宋体" w:hAnsi="宋体" w:cs="宋体"/>
                <w:color w:val="auto"/>
                <w:position w:val="10"/>
                <w:szCs w:val="21"/>
                <w:highlight w:val="none"/>
              </w:rPr>
              <w:t xml:space="preserve"> </w:t>
            </w:r>
          </w:p>
        </w:tc>
        <w:tc>
          <w:tcPr>
            <w:tcW w:w="338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position w:val="10"/>
                <w:szCs w:val="21"/>
                <w:highlight w:val="none"/>
              </w:rPr>
            </w:pPr>
            <w:r>
              <w:rPr>
                <w:rFonts w:hint="eastAsia" w:ascii="宋体" w:hAnsi="宋体" w:cs="宋体"/>
                <w:color w:val="auto"/>
                <w:position w:val="10"/>
                <w:szCs w:val="21"/>
                <w:highlight w:val="none"/>
                <w:lang w:val="en-US" w:eastAsia="zh-CN"/>
              </w:rPr>
              <w:t>YEJ</w:t>
            </w:r>
            <w:r>
              <w:rPr>
                <w:rFonts w:hint="eastAsia" w:ascii="宋体" w:hAnsi="宋体" w:cs="宋体"/>
                <w:color w:val="auto"/>
                <w:position w:val="10"/>
                <w:szCs w:val="21"/>
                <w:highlight w:val="none"/>
              </w:rPr>
              <w:t>系列</w:t>
            </w:r>
            <w:r>
              <w:rPr>
                <w:rFonts w:hint="eastAsia" w:ascii="宋体" w:hAnsi="宋体" w:cs="宋体"/>
                <w:color w:val="auto"/>
                <w:position w:val="10"/>
                <w:szCs w:val="21"/>
                <w:highlight w:val="none"/>
                <w:lang w:val="en-US" w:eastAsia="zh-CN"/>
              </w:rPr>
              <w:t>电磁制动</w:t>
            </w:r>
            <w:r>
              <w:rPr>
                <w:rFonts w:hint="eastAsia" w:ascii="宋体" w:hAnsi="宋体" w:cs="宋体"/>
                <w:color w:val="auto"/>
                <w:position w:val="10"/>
                <w:szCs w:val="21"/>
                <w:highlight w:val="none"/>
              </w:rPr>
              <w:t>三相异步电动</w:t>
            </w:r>
          </w:p>
        </w:tc>
      </w:tr>
      <w:tr>
        <w:tblPrEx>
          <w:tblCellMar>
            <w:top w:w="0" w:type="dxa"/>
            <w:left w:w="108" w:type="dxa"/>
            <w:bottom w:w="0" w:type="dxa"/>
            <w:right w:w="108" w:type="dxa"/>
          </w:tblCellMar>
        </w:tblPrEx>
        <w:trPr>
          <w:trHeight w:val="340" w:hRule="atLeast"/>
          <w:jc w:val="center"/>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420"/>
              </w:tabs>
              <w:spacing w:line="240" w:lineRule="auto"/>
              <w:ind w:left="420" w:hanging="193"/>
              <w:jc w:val="left"/>
              <w:rPr>
                <w:rFonts w:ascii="宋体" w:hAnsi="宋体" w:cs="宋体"/>
                <w:color w:val="auto"/>
                <w:position w:val="10"/>
                <w:szCs w:val="21"/>
                <w:highlight w:val="none"/>
                <w:lang w:val="zh-CN"/>
              </w:rPr>
            </w:pPr>
          </w:p>
        </w:tc>
        <w:tc>
          <w:tcPr>
            <w:tcW w:w="1161"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position w:val="10"/>
                <w:szCs w:val="21"/>
                <w:highlight w:val="none"/>
                <w:lang w:val="en-US" w:eastAsia="zh-CN"/>
              </w:rPr>
            </w:pPr>
            <w:r>
              <w:rPr>
                <w:rFonts w:hint="eastAsia" w:ascii="宋体" w:hAnsi="宋体" w:cs="宋体"/>
                <w:color w:val="auto"/>
                <w:position w:val="10"/>
                <w:szCs w:val="21"/>
                <w:highlight w:val="none"/>
                <w:lang w:val="en-US" w:eastAsia="zh-CN"/>
              </w:rPr>
              <w:t>EN60204-1:2000</w:t>
            </w:r>
          </w:p>
        </w:tc>
        <w:tc>
          <w:tcPr>
            <w:tcW w:w="3387"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position w:val="10"/>
                <w:szCs w:val="21"/>
                <w:highlight w:val="none"/>
                <w:lang w:val="en-US" w:eastAsia="zh-CN"/>
              </w:rPr>
            </w:pPr>
            <w:r>
              <w:rPr>
                <w:rFonts w:hint="eastAsia" w:ascii="宋体" w:hAnsi="宋体" w:cs="宋体"/>
                <w:color w:val="auto"/>
                <w:position w:val="10"/>
                <w:szCs w:val="21"/>
                <w:highlight w:val="none"/>
                <w:lang w:val="en-US" w:eastAsia="zh-CN"/>
              </w:rPr>
              <w:t>机械设备安全用电要求</w:t>
            </w: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供电条件</w:t>
      </w:r>
    </w:p>
    <w:p>
      <w:pPr>
        <w:spacing w:line="360" w:lineRule="auto"/>
        <w:rPr>
          <w:rFonts w:ascii="宋体" w:hAnsi="宋体" w:cs="宋体"/>
          <w:color w:val="auto"/>
          <w:szCs w:val="21"/>
          <w:highlight w:val="none"/>
        </w:rPr>
      </w:pPr>
      <w:r>
        <w:rPr>
          <w:rFonts w:ascii="宋体" w:hAnsi="宋体" w:cs="宋体"/>
          <w:color w:val="auto"/>
          <w:szCs w:val="21"/>
          <w:highlight w:val="none"/>
        </w:rPr>
        <w:t xml:space="preserve">   动力电源电压等级有：380 V </w:t>
      </w:r>
    </w:p>
    <w:p>
      <w:pPr>
        <w:spacing w:line="360" w:lineRule="auto"/>
        <w:outlineLvl w:val="0"/>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四、</w:t>
      </w:r>
      <w:r>
        <w:rPr>
          <w:rFonts w:ascii="宋体" w:hAnsi="宋体" w:cs="宋体"/>
          <w:b/>
          <w:color w:val="auto"/>
          <w:sz w:val="24"/>
          <w:szCs w:val="24"/>
          <w:highlight w:val="none"/>
        </w:rPr>
        <w:t>一般要求</w:t>
      </w:r>
    </w:p>
    <w:p>
      <w:pPr>
        <w:spacing w:line="360" w:lineRule="auto"/>
        <w:rPr>
          <w:rFonts w:ascii="宋体" w:hAnsi="宋体" w:cs="宋体"/>
          <w:b/>
          <w:color w:val="auto"/>
          <w:szCs w:val="21"/>
          <w:highlight w:val="none"/>
        </w:rPr>
      </w:pPr>
      <w:r>
        <w:rPr>
          <w:rFonts w:hint="eastAsia" w:ascii="宋体" w:hAnsi="宋体" w:cs="宋体"/>
          <w:b/>
          <w:color w:val="auto"/>
          <w:szCs w:val="21"/>
          <w:highlight w:val="none"/>
          <w:lang w:val="en-US" w:eastAsia="zh-CN"/>
        </w:rPr>
        <w:t>1.</w:t>
      </w:r>
      <w:r>
        <w:rPr>
          <w:rFonts w:ascii="宋体" w:hAnsi="宋体" w:cs="宋体"/>
          <w:b/>
          <w:color w:val="auto"/>
          <w:szCs w:val="21"/>
          <w:highlight w:val="none"/>
        </w:rPr>
        <w:t>油漆</w:t>
      </w:r>
    </w:p>
    <w:p>
      <w:pPr>
        <w:spacing w:line="360" w:lineRule="auto"/>
        <w:rPr>
          <w:rFonts w:ascii="宋体" w:hAnsi="宋体" w:cs="宋体"/>
          <w:color w:val="auto"/>
          <w:szCs w:val="21"/>
          <w:highlight w:val="none"/>
        </w:rPr>
      </w:pPr>
      <w:r>
        <w:rPr>
          <w:rFonts w:ascii="宋体" w:hAnsi="宋体" w:cs="宋体"/>
          <w:color w:val="auto"/>
          <w:szCs w:val="21"/>
          <w:highlight w:val="none"/>
        </w:rPr>
        <w:t>1.1 为了保证设备的完好，所有下列涂层将由乙方完成。</w:t>
      </w:r>
    </w:p>
    <w:p>
      <w:pPr>
        <w:spacing w:line="360" w:lineRule="auto"/>
        <w:rPr>
          <w:rFonts w:ascii="宋体" w:hAnsi="宋体" w:cs="宋体"/>
          <w:color w:val="auto"/>
          <w:szCs w:val="21"/>
          <w:highlight w:val="none"/>
        </w:rPr>
      </w:pPr>
      <w:r>
        <w:rPr>
          <w:rFonts w:ascii="宋体" w:hAnsi="宋体" w:cs="宋体"/>
          <w:color w:val="auto"/>
          <w:szCs w:val="21"/>
          <w:highlight w:val="none"/>
        </w:rPr>
        <w:t xml:space="preserve">      所有碳钢部件的表面处理与涂层按《油漆的一般技术要求》。</w:t>
      </w:r>
    </w:p>
    <w:p>
      <w:pPr>
        <w:spacing w:line="360" w:lineRule="auto"/>
        <w:rPr>
          <w:rFonts w:ascii="宋体" w:hAnsi="宋体" w:cs="宋体"/>
          <w:color w:val="auto"/>
          <w:szCs w:val="21"/>
          <w:highlight w:val="none"/>
        </w:rPr>
      </w:pPr>
      <w:r>
        <w:rPr>
          <w:rFonts w:ascii="宋体" w:hAnsi="宋体" w:cs="宋体"/>
          <w:color w:val="auto"/>
          <w:szCs w:val="21"/>
          <w:highlight w:val="none"/>
        </w:rPr>
        <w:t>注：1)如果项目是在乙方的车间中完成，则全部油漆将由乙方在其车间内进行。</w:t>
      </w:r>
    </w:p>
    <w:p>
      <w:pPr>
        <w:spacing w:line="360" w:lineRule="auto"/>
        <w:rPr>
          <w:rFonts w:ascii="宋体" w:hAnsi="宋体" w:cs="宋体"/>
          <w:color w:val="auto"/>
          <w:szCs w:val="21"/>
          <w:highlight w:val="none"/>
        </w:rPr>
      </w:pPr>
      <w:r>
        <w:rPr>
          <w:rFonts w:ascii="宋体" w:hAnsi="宋体" w:cs="宋体"/>
          <w:color w:val="auto"/>
          <w:szCs w:val="21"/>
          <w:highlight w:val="none"/>
        </w:rPr>
        <w:t xml:space="preserve">    2)如果项目是部件交付，则这些部件的全部油漆将由乙方进行。</w:t>
      </w:r>
    </w:p>
    <w:p>
      <w:pPr>
        <w:spacing w:line="360" w:lineRule="auto"/>
        <w:rPr>
          <w:rFonts w:ascii="宋体" w:hAnsi="宋体" w:cs="宋体"/>
          <w:color w:val="auto"/>
          <w:szCs w:val="21"/>
          <w:highlight w:val="none"/>
        </w:rPr>
      </w:pPr>
      <w:r>
        <w:rPr>
          <w:rFonts w:ascii="宋体" w:hAnsi="宋体" w:cs="宋体"/>
          <w:color w:val="auto"/>
          <w:szCs w:val="21"/>
          <w:highlight w:val="none"/>
        </w:rPr>
        <w:t xml:space="preserve">    3)如果项目是在现场完成，则全部油漆将由乙方在现场进行</w:t>
      </w:r>
    </w:p>
    <w:p>
      <w:pPr>
        <w:tabs>
          <w:tab w:val="left" w:pos="720"/>
        </w:tabs>
        <w:spacing w:line="360" w:lineRule="auto"/>
        <w:rPr>
          <w:rFonts w:ascii="宋体" w:hAnsi="宋体" w:cs="宋体"/>
          <w:color w:val="auto"/>
          <w:szCs w:val="21"/>
          <w:highlight w:val="none"/>
        </w:rPr>
      </w:pPr>
      <w:r>
        <w:rPr>
          <w:rFonts w:ascii="宋体" w:hAnsi="宋体" w:cs="宋体"/>
          <w:color w:val="auto"/>
          <w:szCs w:val="21"/>
          <w:highlight w:val="none"/>
        </w:rPr>
        <w:t>1.2</w:t>
      </w:r>
      <w:r>
        <w:rPr>
          <w:color w:val="auto"/>
          <w:highlight w:val="none"/>
        </w:rPr>
        <w:t>电动机外壳作防腐处理，</w:t>
      </w:r>
      <w:r>
        <w:rPr>
          <w:color w:val="auto"/>
          <w:szCs w:val="28"/>
          <w:highlight w:val="none"/>
        </w:rPr>
        <w:t>面漆满足甲方要求的颜色，甲方如无特殊要求，则按制造商标准处理。</w:t>
      </w:r>
    </w:p>
    <w:p>
      <w:pPr>
        <w:tabs>
          <w:tab w:val="left" w:pos="720"/>
        </w:tabs>
        <w:spacing w:line="360" w:lineRule="auto"/>
        <w:rPr>
          <w:rFonts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lang w:val="en-US" w:eastAsia="zh-CN"/>
        </w:rPr>
        <w:t>.</w:t>
      </w:r>
      <w:r>
        <w:rPr>
          <w:rFonts w:ascii="宋体" w:hAnsi="宋体" w:cs="宋体"/>
          <w:b/>
          <w:color w:val="auto"/>
          <w:szCs w:val="21"/>
          <w:highlight w:val="none"/>
        </w:rPr>
        <w:t>包装运输</w:t>
      </w: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乙方根据合同设备形状及特性进行简易包装，并采取防潮、防雨、防霉、防锈、防腐蚀和防震等保护措施，对设备进行妥善的油漆，以适应远途陆上汽车运输条件和大量的吊装、卸货以及长期露天堆放的需要，从而防止雨雪、受潮、生锈、腐蚀、受震以及机械和化学引起的损坏，以保证货物在没有任何损坏和腐蚀的情况下安全运抵合同设备安装现场。 </w:t>
      </w:r>
    </w:p>
    <w:p>
      <w:pPr>
        <w:spacing w:line="360" w:lineRule="auto"/>
        <w:ind w:firstLine="420"/>
        <w:rPr>
          <w:rFonts w:cs="宋体"/>
          <w:color w:val="auto"/>
          <w:szCs w:val="21"/>
          <w:highlight w:val="none"/>
        </w:rPr>
      </w:pPr>
      <w:r>
        <w:rPr>
          <w:rFonts w:ascii="宋体" w:hAnsi="宋体" w:cs="宋体"/>
          <w:color w:val="auto"/>
          <w:szCs w:val="21"/>
          <w:highlight w:val="none"/>
        </w:rPr>
        <w:t>产品包装前，设备内壁清理干净，不得有铁屑、浮渣等杂物存在，并保证零部件齐全。包装符合安全、经济、不受损伤的要求；运输符合公路货物运输的规定。</w:t>
      </w:r>
    </w:p>
    <w:p>
      <w:pPr>
        <w:pStyle w:val="11"/>
        <w:spacing w:line="360" w:lineRule="auto"/>
        <w:rPr>
          <w:rFonts w:cs="宋体"/>
          <w:b/>
          <w:bCs w:val="0"/>
          <w:color w:val="auto"/>
          <w:szCs w:val="21"/>
          <w:highlight w:val="none"/>
        </w:rPr>
      </w:pPr>
      <w:r>
        <w:rPr>
          <w:rFonts w:cs="宋体"/>
          <w:b/>
          <w:bCs w:val="0"/>
          <w:color w:val="auto"/>
          <w:szCs w:val="21"/>
          <w:highlight w:val="none"/>
        </w:rPr>
        <w:t>3</w:t>
      </w:r>
      <w:r>
        <w:rPr>
          <w:rFonts w:hint="eastAsia" w:cs="宋体"/>
          <w:b/>
          <w:bCs w:val="0"/>
          <w:color w:val="auto"/>
          <w:szCs w:val="21"/>
          <w:highlight w:val="none"/>
          <w:lang w:val="en-US" w:eastAsia="zh-CN"/>
        </w:rPr>
        <w:t>.</w:t>
      </w:r>
      <w:r>
        <w:rPr>
          <w:rFonts w:cs="宋体"/>
          <w:b/>
          <w:bCs w:val="0"/>
          <w:color w:val="auto"/>
          <w:szCs w:val="21"/>
          <w:highlight w:val="none"/>
        </w:rPr>
        <w:t>铭牌</w:t>
      </w:r>
    </w:p>
    <w:p>
      <w:pPr>
        <w:pStyle w:val="11"/>
        <w:spacing w:line="360" w:lineRule="auto"/>
        <w:rPr>
          <w:rFonts w:cs="宋体"/>
          <w:color w:val="auto"/>
          <w:szCs w:val="21"/>
          <w:highlight w:val="none"/>
        </w:rPr>
      </w:pPr>
      <w:r>
        <w:rPr>
          <w:rFonts w:cs="宋体"/>
          <w:color w:val="auto"/>
          <w:szCs w:val="21"/>
          <w:highlight w:val="none"/>
        </w:rPr>
        <w:t xml:space="preserve">    在设备的适当位置装订铭牌，铭牌采用耐腐蚀材料制作。设备铭牌上的字迹清晰，设备铭牌形式和内容按制造厂标准。但铭牌内容至少包括制造厂名称、设备名称、设备位号、设备型号、额定流量、额定扬程、额定转速、额定功率、制造日期、出厂编号等。</w:t>
      </w:r>
    </w:p>
    <w:p>
      <w:pPr>
        <w:spacing w:line="360" w:lineRule="auto"/>
        <w:outlineLvl w:val="0"/>
        <w:rPr>
          <w:rFonts w:ascii="宋体" w:hAnsi="宋体" w:cs="宋体"/>
          <w:b/>
          <w:color w:val="auto"/>
          <w:sz w:val="24"/>
          <w:szCs w:val="24"/>
          <w:highlight w:val="none"/>
        </w:rPr>
      </w:pPr>
      <w:bookmarkStart w:id="25" w:name="_Toc503964476"/>
      <w:bookmarkEnd w:id="25"/>
      <w:r>
        <w:rPr>
          <w:rFonts w:hint="eastAsia" w:ascii="宋体" w:hAnsi="宋体" w:cs="宋体"/>
          <w:b/>
          <w:color w:val="auto"/>
          <w:sz w:val="24"/>
          <w:szCs w:val="24"/>
          <w:highlight w:val="none"/>
          <w:lang w:eastAsia="zh-CN"/>
        </w:rPr>
        <w:t>五、</w:t>
      </w:r>
      <w:r>
        <w:rPr>
          <w:rFonts w:hint="eastAsia" w:ascii="宋体" w:hAnsi="宋体" w:cs="宋体"/>
          <w:b/>
          <w:color w:val="auto"/>
          <w:sz w:val="24"/>
          <w:szCs w:val="24"/>
          <w:highlight w:val="none"/>
        </w:rPr>
        <w:t>技术要求及</w:t>
      </w:r>
      <w:r>
        <w:rPr>
          <w:rFonts w:ascii="宋体" w:hAnsi="宋体" w:cs="宋体"/>
          <w:b/>
          <w:color w:val="auto"/>
          <w:sz w:val="24"/>
          <w:szCs w:val="24"/>
          <w:highlight w:val="none"/>
        </w:rPr>
        <w:t>性能保证</w:t>
      </w:r>
    </w:p>
    <w:p>
      <w:pPr>
        <w:spacing w:line="360" w:lineRule="auto"/>
        <w:ind w:left="210" w:hanging="210" w:hangingChars="100"/>
        <w:rPr>
          <w:rFonts w:hint="eastAsia" w:ascii="宋体" w:hAnsi="宋体" w:cs="宋体"/>
          <w:color w:val="auto"/>
          <w:szCs w:val="21"/>
          <w:highlight w:val="none"/>
        </w:rPr>
      </w:pPr>
      <w:bookmarkStart w:id="26" w:name="_Toc503964477"/>
      <w:bookmarkEnd w:id="26"/>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.检修平台尺寸能够满足从</w:t>
      </w:r>
      <w:r>
        <w:rPr>
          <w:rFonts w:hint="eastAsia" w:ascii="宋体" w:hAnsi="宋体" w:eastAsia="宋体" w:cs="宋体"/>
          <w:color w:val="auto"/>
          <w:szCs w:val="21"/>
          <w:highlight w:val="none"/>
        </w:rPr>
        <w:t>ø</w:t>
      </w:r>
      <w:r>
        <w:rPr>
          <w:rFonts w:hint="eastAsia" w:ascii="宋体" w:hAnsi="宋体" w:cs="宋体"/>
          <w:color w:val="auto"/>
          <w:szCs w:val="21"/>
          <w:highlight w:val="none"/>
          <w:lang w:val="en-US" w:eastAsia="zh-CN"/>
        </w:rPr>
        <w:t>450</w:t>
      </w:r>
      <w:r>
        <w:rPr>
          <w:rFonts w:hint="eastAsia" w:ascii="宋体" w:hAnsi="宋体" w:cs="宋体"/>
          <w:color w:val="auto"/>
          <w:szCs w:val="21"/>
          <w:highlight w:val="none"/>
        </w:rPr>
        <w:t>mm检修口进入锅炉炉膛内部，并且能够满足检修到锅炉炉膛内每一个需要检修的工作面，实现一次安装就能检修到炉膛顶部和炉膛内全部整体，无检修盲区（燃烧室以上部分）。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.性能标准配置：</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套提升机构，额定载重：1000Kg；</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优质工作钢丝绳：ø10.2mm：</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条；</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优质安全钢丝绳：ø10.2mm：</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条；</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设有高度行程限位器，防止冲顶。</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提升机设有重量超载限位器和带工作计时等功能，载重1000KG；</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1套电控系统；平台电气控制箱到各电机的电缆由供方配备，并配备</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根外接电源进入电气控制箱的主电缆，按照国家标准配置。</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绝缘性能：控制按钮开关，动作准确可靠，外露部分由绝缘材料制成，承受50Hz正弦波形，1250V电压为时1min的耐压试验无击穿，闪络现象,带电零件与机体间的绝缘电阻不低于2MΩ。</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安全锁（限速离心式）：安全锁在检修平台升降过程中，当下降速度达到30m/min时，安全锁能快速闭锁，锁紧安全钢丝绳，确保平台静止不在下降，要求安全锁为锁绳速度≤30m/min，锁绳距离≤200 mm（限速离心式），在锁绳状态下不能自动复位。安全锁承受静力试验载荷时，静置10min，不得有任何滑移现象；安全锁与检修平台连接可靠，其连接强度不小于2倍的允许冲击力；检修平台停止后要有防止晃动装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噪声控制：操作者耳边噪声不大于85dB（A）。</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检修平台在承受150%额定载荷的静力试验载荷时，应无滑移现象。（国标5.2.4.1要求，试验方法：起吊炉内平台距离地面200mm处，加载静载试验载荷，制动器作用15min，测量炉内平台滑移距离）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超载装置：提升机装有超载保护装置，超载系统自动停止，平台只能下降，不能上升。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手动滑降装置：检修平台设有在断电时使检修平台平稳下降的手动滑降装置，需要灵敏可靠，滑降速度不大于3</w:t>
      </w:r>
      <w:r>
        <w:rPr>
          <w:rFonts w:ascii="宋体" w:hAnsi="宋体" w:cs="宋体"/>
          <w:color w:val="auto"/>
          <w:szCs w:val="21"/>
          <w:highlight w:val="none"/>
        </w:rPr>
        <w:t>0m/min</w:t>
      </w:r>
      <w:r>
        <w:rPr>
          <w:rFonts w:hint="eastAsia" w:ascii="宋体" w:hAnsi="宋体" w:cs="宋体"/>
          <w:color w:val="auto"/>
          <w:szCs w:val="21"/>
          <w:highlight w:val="none"/>
        </w:rPr>
        <w:t>。</w:t>
      </w:r>
    </w:p>
    <w:p>
      <w:pPr>
        <w:spacing w:line="360" w:lineRule="auto"/>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rPr>
        <w:t xml:space="preserve"> 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电气控制系统：设置能切断主电源控制回路的急停按钮，电气系统可靠接地，接地电阻＜4Ω，电气系统设置过热、短路、漏电等保护装置；带电零件与机体间的绝缘电阻不小于2MΩ，连接到该电控系统电箱外接主电源的地线要连接可靠。</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供电系统采用三相五线制；设有相序保护装置，具有错相、缺相、过压、欠压保护功能，相序保护装置在电源错相、缺相、过压、欠压时红灯报警。</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设有能够切断主电源控制回路，独立于各控制电路的急停按钮、快速连接插头等紧急防护装置。</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电控系统连接</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个电机以及远程手柄的接线采用快速接头，主电源接线采用航空快速插头，整个安装过程要求不使用螺丝刀等工具。</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检修平台在工作中，如果控制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台提升机的任何一台的电器元件出现故障，或者任意一台电机出现故障，检修平台应均不再整体上升或者下降；避免出现</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台电机不同步工作，引起检修平台向一侧倾翻。当平台出现不平衡时可以进行单机调整。</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电缆要求采用耐高温防火电缆，长度应有足够余量，防止拉断；连接到该电控箱外接电源主线的零线和接地线要连接可靠，即可起到漏电保护的作用。</w:t>
      </w:r>
    </w:p>
    <w:p>
      <w:pPr>
        <w:spacing w:line="360" w:lineRule="auto"/>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标准强制性条款及要求：检修平台设有上行程限位；每个吊点设置2根钢丝绳，安全钢丝绳装有安全锁，每个吊点位置均设有上行程限位开关。在正常运行时，安全锁钢丝绳能够顺利通过安全锁。提升机设有制动器，其制动力矩大于额定提升力矩的1.5倍。制动器设有手动释放装置，动作灵敏可靠。安全钢丝绳独立于工作钢丝绳另悬挂；左右两端设有可调整顶丝，防止悬吊的检修平台静止状态左右晃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.检修平台承受2倍的均布额定载重量时，不得出现焊缝裂纹、螺栓铆钉松动和结构件破坏等现象。</w:t>
      </w:r>
    </w:p>
    <w:p>
      <w:pPr>
        <w:spacing w:line="360" w:lineRule="auto"/>
        <w:ind w:left="210" w:hanging="210" w:hangingChars="100"/>
        <w:rPr>
          <w:rFonts w:hint="eastAsia" w:ascii="宋体" w:hAnsi="宋体" w:cs="宋体"/>
          <w:b/>
          <w:color w:val="auto"/>
          <w:sz w:val="24"/>
          <w:szCs w:val="24"/>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提升机要求：提升电机应是带有磁制动器的三相异步电机，在断电状态下电机快速制动实现自锁，防止悬吊的检修平台发生滑降坠落。如向上提起电机制动手柄时，即可将制动器手动打开，使悬吊的检修平台在自重作用下实现手动匀速滑降</w:t>
      </w:r>
      <w:r>
        <w:rPr>
          <w:rFonts w:hint="eastAsia" w:ascii="宋体" w:hAnsi="宋体" w:cs="宋体"/>
          <w:color w:val="auto"/>
          <w:szCs w:val="21"/>
          <w:highlight w:val="none"/>
          <w:lang w:eastAsia="zh-CN"/>
        </w:rPr>
        <w:t>。</w:t>
      </w:r>
    </w:p>
    <w:p>
      <w:pPr>
        <w:spacing w:line="360" w:lineRule="auto"/>
        <w:outlineLvl w:val="0"/>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六、</w:t>
      </w:r>
      <w:r>
        <w:rPr>
          <w:rFonts w:hint="eastAsia" w:ascii="宋体" w:hAnsi="宋体" w:cs="宋体"/>
          <w:b/>
          <w:bCs/>
          <w:color w:val="auto"/>
          <w:sz w:val="24"/>
          <w:szCs w:val="24"/>
          <w:highlight w:val="none"/>
        </w:rPr>
        <w:t xml:space="preserve"> </w:t>
      </w:r>
      <w:r>
        <w:rPr>
          <w:rFonts w:hint="eastAsia" w:ascii="宋体" w:hAnsi="宋体" w:cs="宋体"/>
          <w:b/>
          <w:color w:val="auto"/>
          <w:sz w:val="24"/>
          <w:szCs w:val="24"/>
          <w:highlight w:val="none"/>
        </w:rPr>
        <w:t>供货范围</w:t>
      </w:r>
      <w:r>
        <w:rPr>
          <w:rFonts w:ascii="宋体" w:hAnsi="宋体" w:cs="宋体"/>
          <w:b/>
          <w:color w:val="auto"/>
          <w:sz w:val="24"/>
          <w:szCs w:val="24"/>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一般要求</w:t>
      </w:r>
    </w:p>
    <w:p>
      <w:pPr>
        <w:spacing w:line="360" w:lineRule="auto"/>
        <w:ind w:left="630" w:hanging="630"/>
        <w:rPr>
          <w:rFonts w:ascii="宋体" w:hAns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乙方保证提供的设备为全新的、先进的、成熟的、完整的和安全可靠的，设备的技术经济性能符合本技术协议的要求，但不限于这些要求。</w:t>
      </w:r>
    </w:p>
    <w:p>
      <w:pPr>
        <w:spacing w:line="360" w:lineRule="auto"/>
        <w:ind w:left="630" w:hanging="630"/>
        <w:rPr>
          <w:rFonts w:ascii="宋体" w:hAns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乙方提供详细供货清单，清单中依次说明型号、数量、产地、生产厂家等内容。对锅炉炉膛检修升降平台范围内的各主要部件指明材质、规格、重量，对属于设备运行和施工所必需的部件。</w:t>
      </w:r>
      <w:r>
        <w:rPr>
          <w:rFonts w:ascii="宋体" w:hAnsi="宋体" w:cs="宋体"/>
          <w:color w:val="auto"/>
          <w:szCs w:val="21"/>
          <w:highlight w:val="none"/>
        </w:rPr>
        <w:t xml:space="preserve"> </w:t>
      </w:r>
    </w:p>
    <w:p>
      <w:pPr>
        <w:numPr>
          <w:ilvl w:val="0"/>
          <w:numId w:val="5"/>
        </w:numPr>
        <w:spacing w:line="360" w:lineRule="auto"/>
        <w:rPr>
          <w:rFonts w:ascii="宋体" w:hAnsi="宋体" w:cs="宋体"/>
          <w:color w:val="auto"/>
          <w:szCs w:val="21"/>
          <w:highlight w:val="none"/>
        </w:rPr>
      </w:pPr>
      <w:r>
        <w:rPr>
          <w:rFonts w:ascii="宋体" w:hAnsi="宋体" w:cs="宋体"/>
          <w:color w:val="auto"/>
          <w:szCs w:val="21"/>
          <w:highlight w:val="none"/>
        </w:rPr>
        <w:t>设备范围：乙方应对设备的成套性负责</w:t>
      </w:r>
    </w:p>
    <w:p>
      <w:pPr>
        <w:pStyle w:val="2"/>
        <w:keepNext/>
        <w:keepLines/>
        <w:widowControl w:val="0"/>
        <w:numPr>
          <w:ilvl w:val="0"/>
          <w:numId w:val="0"/>
        </w:numPr>
        <w:spacing w:line="576" w:lineRule="auto"/>
        <w:jc w:val="both"/>
        <w:outlineLvl w:val="0"/>
        <w:rPr>
          <w:color w:val="auto"/>
          <w:highlight w:val="none"/>
        </w:rPr>
      </w:pPr>
    </w:p>
    <w:p>
      <w:pPr>
        <w:rPr>
          <w:color w:val="auto"/>
          <w:highlight w:val="none"/>
        </w:rPr>
      </w:pPr>
    </w:p>
    <w:p>
      <w:pPr>
        <w:rPr>
          <w:color w:val="auto"/>
          <w:highlight w:val="none"/>
        </w:rPr>
      </w:pPr>
    </w:p>
    <w:p>
      <w:pPr>
        <w:rPr>
          <w:color w:val="auto"/>
          <w:highlight w:val="none"/>
        </w:rPr>
      </w:pPr>
    </w:p>
    <w:tbl>
      <w:tblPr>
        <w:tblStyle w:val="22"/>
        <w:tblW w:w="5141" w:type="pct"/>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2"/>
        <w:gridCol w:w="1729"/>
        <w:gridCol w:w="1671"/>
        <w:gridCol w:w="973"/>
        <w:gridCol w:w="1334"/>
        <w:gridCol w:w="1213"/>
        <w:gridCol w:w="1146"/>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部件名称</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品牌</w:t>
            </w: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产地</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提升机</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（离心限速式）</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控制箱</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（4吊点）</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钢丝绳</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5×31SW+PP-10.2mm</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主电缆线</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YC 3×4+2×2.5</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安全绳</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ø16mm高强涤纶材质</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92"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安全背带</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五点式</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92"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安全绳自锁器</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16-20mm</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92"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限位盘</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92"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重锤</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92"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安装工具</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　</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照明灯</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聚卫LED充电投光灯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　</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主梁</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工字铝180*130*7*10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计</w:t>
            </w:r>
          </w:p>
        </w:tc>
        <w:tc>
          <w:tcPr>
            <w:tcW w:w="59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左右副梁</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工字铝180*130*7*10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中间副梁</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工字铝180*130*7*10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主梁连接板</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钢制冷镀锌</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加高梁</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钢制冷镀锌</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支撑梁A</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钢制热镀锌</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支撑梁B</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钢制热镀锌</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端头连杆A</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钢制热镀锌</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中间底板</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铝合金-防滑板200*37</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两侧底板</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铝合金-防滑板200*37</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立杆</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连管</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中间连杆</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端头连杆B</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钢丝绳导轮</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冷镀锌</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移动折叠式附篮</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安装架</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钢制热镀锌</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限位杆</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钢制冷镀锌</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靠墙轮组件</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冷镀锌</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辅助钢梁</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镀锌</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9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钢丝绳固定架</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含锁绳器</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套管组件</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含导绳管、尼龙套、封盖</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金属存储箱</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装</w:t>
            </w:r>
            <w:r>
              <w:rPr>
                <w:rFonts w:hint="eastAsia" w:ascii="宋体" w:hAnsi="宋体" w:eastAsia="宋体" w:cs="宋体"/>
                <w:i w:val="0"/>
                <w:iCs w:val="0"/>
                <w:color w:val="auto"/>
                <w:kern w:val="0"/>
                <w:sz w:val="20"/>
                <w:szCs w:val="20"/>
                <w:highlight w:val="none"/>
                <w:u w:val="none"/>
                <w:lang w:val="en-US" w:eastAsia="zh-CN" w:bidi="ar"/>
              </w:rPr>
              <w:t>控制箱用</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　</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92"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金属存储箱</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装提升机、安全锁用</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　</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92"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金属存储箱</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装平台结构件用</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　</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92"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4"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2"/>
                <w:szCs w:val="22"/>
                <w:highlight w:val="none"/>
                <w:u w:val="none"/>
              </w:rPr>
            </w:pPr>
          </w:p>
        </w:tc>
      </w:tr>
    </w:tbl>
    <w:p>
      <w:pPr>
        <w:pStyle w:val="18"/>
        <w:numPr>
          <w:ilvl w:val="0"/>
          <w:numId w:val="0"/>
        </w:numPr>
        <w:spacing w:before="0" w:after="0"/>
        <w:jc w:val="left"/>
        <w:rPr>
          <w:rFonts w:ascii="宋体" w:hAnsi="宋体"/>
          <w:color w:val="auto"/>
          <w:sz w:val="24"/>
          <w:szCs w:val="24"/>
          <w:highlight w:val="none"/>
        </w:rPr>
      </w:pPr>
      <w:bookmarkStart w:id="27" w:name="_Toc503964478"/>
      <w:bookmarkEnd w:id="27"/>
      <w:bookmarkStart w:id="28" w:name="_Toc503964479"/>
      <w:bookmarkEnd w:id="28"/>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资料提供</w:t>
      </w:r>
    </w:p>
    <w:p>
      <w:pPr>
        <w:spacing w:line="360" w:lineRule="auto"/>
        <w:ind w:firstLine="480" w:firstLineChars="200"/>
        <w:rPr>
          <w:color w:val="auto"/>
          <w:sz w:val="24"/>
          <w:highlight w:val="none"/>
        </w:rPr>
      </w:pPr>
      <w:r>
        <w:rPr>
          <w:rFonts w:hint="eastAsia"/>
          <w:color w:val="auto"/>
          <w:sz w:val="24"/>
          <w:highlight w:val="none"/>
        </w:rPr>
        <w:t>投标方向招标方提供资料，（使用国家法定单位制即国际单位制，语言为中文），制造完成后向招标方提供如下资料：</w:t>
      </w:r>
    </w:p>
    <w:p>
      <w:pPr>
        <w:pStyle w:val="9"/>
        <w:numPr>
          <w:ilvl w:val="0"/>
          <w:numId w:val="0"/>
        </w:numPr>
        <w:ind w:leftChars="200"/>
        <w:rPr>
          <w:rFonts w:hint="eastAsia" w:eastAsia="宋体"/>
          <w:color w:val="auto"/>
          <w:sz w:val="24"/>
          <w:highlight w:val="none"/>
          <w:lang w:eastAsia="zh-CN"/>
        </w:rPr>
      </w:pPr>
      <w:r>
        <w:rPr>
          <w:rFonts w:hint="eastAsia"/>
          <w:color w:val="auto"/>
          <w:sz w:val="24"/>
          <w:highlight w:val="none"/>
        </w:rPr>
        <w:t>使用说明书</w:t>
      </w:r>
      <w:r>
        <w:rPr>
          <w:rFonts w:hint="eastAsia"/>
          <w:color w:val="auto"/>
          <w:sz w:val="24"/>
          <w:highlight w:val="none"/>
          <w:lang w:eastAsia="zh-CN"/>
        </w:rPr>
        <w:t>（含</w:t>
      </w:r>
      <w:r>
        <w:rPr>
          <w:rFonts w:hint="eastAsia"/>
          <w:color w:val="auto"/>
          <w:sz w:val="24"/>
          <w:highlight w:val="none"/>
        </w:rPr>
        <w:t>组装</w:t>
      </w:r>
      <w:r>
        <w:rPr>
          <w:rFonts w:hint="eastAsia"/>
          <w:color w:val="auto"/>
          <w:sz w:val="24"/>
          <w:highlight w:val="none"/>
          <w:lang w:eastAsia="zh-CN"/>
        </w:rPr>
        <w:t>、</w:t>
      </w:r>
      <w:r>
        <w:rPr>
          <w:rFonts w:hint="eastAsia"/>
          <w:color w:val="auto"/>
          <w:sz w:val="24"/>
          <w:highlight w:val="none"/>
        </w:rPr>
        <w:t>维修保养</w:t>
      </w:r>
      <w:r>
        <w:rPr>
          <w:rFonts w:hint="eastAsia"/>
          <w:color w:val="auto"/>
          <w:sz w:val="24"/>
          <w:highlight w:val="none"/>
          <w:lang w:eastAsia="zh-CN"/>
        </w:rPr>
        <w:t>）、检测报告。</w:t>
      </w:r>
    </w:p>
    <w:p>
      <w:pPr>
        <w:numPr>
          <w:ilvl w:val="0"/>
          <w:numId w:val="0"/>
        </w:numPr>
        <w:spacing w:line="360" w:lineRule="auto"/>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八、</w:t>
      </w:r>
      <w:r>
        <w:rPr>
          <w:rFonts w:hint="eastAsia" w:ascii="宋体" w:hAnsi="宋体" w:cs="宋体"/>
          <w:b/>
          <w:color w:val="auto"/>
          <w:sz w:val="24"/>
          <w:szCs w:val="24"/>
          <w:highlight w:val="none"/>
        </w:rPr>
        <w:t>设备安装和调试：</w:t>
      </w:r>
    </w:p>
    <w:p>
      <w:pPr>
        <w:spacing w:line="360" w:lineRule="auto"/>
        <w:jc w:val="left"/>
        <w:rPr>
          <w:rFonts w:ascii="宋体" w:cs="宋体"/>
          <w:color w:val="auto"/>
          <w:szCs w:val="21"/>
          <w:highlight w:val="none"/>
        </w:rPr>
      </w:pPr>
      <w:r>
        <w:rPr>
          <w:rFonts w:hint="eastAsia" w:ascii="宋体" w:hAnsi="宋体" w:cs="宋体"/>
          <w:color w:val="auto"/>
          <w:szCs w:val="21"/>
          <w:highlight w:val="none"/>
          <w:lang w:val="en-US" w:eastAsia="zh-CN"/>
        </w:rPr>
        <w:t>1.</w:t>
      </w:r>
      <w:r>
        <w:rPr>
          <w:rFonts w:hint="eastAsia" w:ascii="宋体" w:cs="宋体"/>
          <w:color w:val="auto"/>
          <w:szCs w:val="21"/>
          <w:highlight w:val="none"/>
        </w:rPr>
        <w:t>乙</w:t>
      </w:r>
      <w:r>
        <w:rPr>
          <w:rFonts w:hint="eastAsia" w:ascii="宋体" w:hAnsi="宋体" w:cs="宋体"/>
          <w:color w:val="auto"/>
          <w:szCs w:val="21"/>
          <w:highlight w:val="none"/>
        </w:rPr>
        <w:t>方必须在设备安装前，提供完整的设备安装所必需的文件资料给甲方。</w:t>
      </w:r>
    </w:p>
    <w:p>
      <w:pPr>
        <w:spacing w:line="360" w:lineRule="auto"/>
        <w:jc w:val="left"/>
        <w:rPr>
          <w:rFonts w:asci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在设备发货前，乙方必须在自己的工厂进行设备的总装并完成各项测试和试验。甲方有权参与这一过程并进行监督；</w:t>
      </w:r>
    </w:p>
    <w:p>
      <w:pPr>
        <w:spacing w:line="360" w:lineRule="auto"/>
        <w:jc w:val="left"/>
        <w:rPr>
          <w:rFonts w:asci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乙方全权负责在甲方现场完成设备的调试工作。其职责至少包含以下几点：</w:t>
      </w:r>
    </w:p>
    <w:p>
      <w:pPr>
        <w:spacing w:line="360" w:lineRule="auto"/>
        <w:ind w:firstLine="579" w:firstLineChars="276"/>
        <w:jc w:val="left"/>
        <w:rPr>
          <w:rFonts w:ascii="宋体" w:hAnsi="宋体" w:cs="宋体"/>
          <w:color w:val="auto"/>
          <w:szCs w:val="21"/>
          <w:highlight w:val="none"/>
        </w:rPr>
      </w:pPr>
      <w:r>
        <w:rPr>
          <w:rFonts w:hint="eastAsia" w:ascii="宋体" w:hAnsi="宋体" w:cs="宋体"/>
          <w:color w:val="auto"/>
          <w:szCs w:val="21"/>
          <w:highlight w:val="none"/>
        </w:rPr>
        <w:t>乙方负责机器的电源等其它方面的联接工作；</w:t>
      </w:r>
    </w:p>
    <w:p>
      <w:pPr>
        <w:spacing w:line="360" w:lineRule="auto"/>
        <w:ind w:firstLine="579" w:firstLineChars="276"/>
        <w:jc w:val="left"/>
        <w:rPr>
          <w:rFonts w:ascii="宋体" w:hAnsi="Times New Roman" w:cs="宋体"/>
          <w:color w:val="auto"/>
          <w:szCs w:val="21"/>
          <w:highlight w:val="none"/>
        </w:rPr>
      </w:pPr>
      <w:r>
        <w:rPr>
          <w:rFonts w:hint="eastAsia" w:ascii="宋体" w:hAnsi="宋体" w:cs="宋体"/>
          <w:color w:val="auto"/>
          <w:szCs w:val="21"/>
          <w:highlight w:val="none"/>
        </w:rPr>
        <w:t>在甲方现场进行带真实工件/物料的试运行；</w:t>
      </w:r>
    </w:p>
    <w:p>
      <w:pPr>
        <w:spacing w:line="360" w:lineRule="auto"/>
        <w:ind w:firstLine="579" w:firstLineChars="276"/>
        <w:jc w:val="left"/>
        <w:rPr>
          <w:rFonts w:hint="eastAsia" w:ascii="宋体" w:hAnsi="宋体" w:cs="宋体"/>
          <w:color w:val="auto"/>
          <w:szCs w:val="21"/>
          <w:highlight w:val="none"/>
        </w:rPr>
      </w:pPr>
      <w:r>
        <w:rPr>
          <w:rFonts w:hint="eastAsia" w:ascii="宋体" w:hAnsi="宋体" w:cs="宋体"/>
          <w:color w:val="auto"/>
          <w:szCs w:val="21"/>
          <w:highlight w:val="none"/>
        </w:rPr>
        <w:t>乙方提供检查、试验方案经甲方审核通过后在现场对设备进行检查、试验（至少包括1、外观检查；2、尺寸检查；3、载荷试验；4、制动性能试验；5、性能试验；6、连接性能试验；7、空载运行试验；8、额定载重运行试验；9、动力载荷运行试验），有明确的检查检验合格标准，合格标准不得低于GB/T34029-2017,同时保存检查试验记录。</w:t>
      </w:r>
    </w:p>
    <w:p>
      <w:pPr>
        <w:spacing w:line="360" w:lineRule="auto"/>
        <w:outlineLvl w:val="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eastAsia="zh-CN"/>
        </w:rPr>
        <w:t>九、</w:t>
      </w:r>
      <w:r>
        <w:rPr>
          <w:rFonts w:hint="eastAsia" w:ascii="宋体" w:hAnsi="宋体" w:cs="宋体"/>
          <w:b/>
          <w:bCs w:val="0"/>
          <w:color w:val="auto"/>
          <w:sz w:val="24"/>
          <w:szCs w:val="24"/>
          <w:highlight w:val="none"/>
        </w:rPr>
        <w:t>质保和售后服务</w:t>
      </w:r>
    </w:p>
    <w:p>
      <w:pPr>
        <w:spacing w:line="360" w:lineRule="auto"/>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（1）投标方对提供的炉膛检修升降平台及其附件提供12个月免费质保，质保期从验收合格之日起开始计算12个月或货到现</w:t>
      </w:r>
      <w:r>
        <w:rPr>
          <w:rFonts w:hint="eastAsia" w:ascii="宋体" w:hAnsi="宋体" w:cs="宋体"/>
          <w:b w:val="0"/>
          <w:bCs/>
          <w:color w:val="auto"/>
          <w:sz w:val="24"/>
          <w:szCs w:val="24"/>
          <w:highlight w:val="none"/>
          <w:lang w:eastAsia="zh-CN"/>
        </w:rPr>
        <w:t>场</w:t>
      </w:r>
      <w:r>
        <w:rPr>
          <w:rFonts w:hint="eastAsia" w:ascii="宋体" w:hAnsi="宋体" w:cs="宋体"/>
          <w:b w:val="0"/>
          <w:bCs/>
          <w:color w:val="auto"/>
          <w:sz w:val="24"/>
          <w:szCs w:val="24"/>
          <w:highlight w:val="none"/>
        </w:rPr>
        <w:t xml:space="preserve">18个月，以先到为准。 </w:t>
      </w:r>
    </w:p>
    <w:p>
      <w:pPr>
        <w:spacing w:line="360" w:lineRule="auto"/>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rPr>
        <w:t>）投标方承诺：接到用户故障报告后，2小时内做出反应。对于确需现场解决的情况，投标方应在</w:t>
      </w:r>
      <w:r>
        <w:rPr>
          <w:rFonts w:hint="eastAsia" w:ascii="宋体" w:hAnsi="宋体" w:cs="宋体"/>
          <w:b w:val="0"/>
          <w:bCs/>
          <w:color w:val="auto"/>
          <w:sz w:val="24"/>
          <w:szCs w:val="24"/>
          <w:highlight w:val="none"/>
          <w:lang w:val="en-US" w:eastAsia="zh-CN"/>
        </w:rPr>
        <w:t>48</w:t>
      </w:r>
      <w:r>
        <w:rPr>
          <w:rFonts w:hint="eastAsia" w:ascii="宋体" w:hAnsi="宋体" w:cs="宋体"/>
          <w:b w:val="0"/>
          <w:bCs/>
          <w:color w:val="auto"/>
          <w:sz w:val="24"/>
          <w:szCs w:val="24"/>
          <w:highlight w:val="none"/>
        </w:rPr>
        <w:t>小时内派出技术服务人员。</w:t>
      </w:r>
    </w:p>
    <w:p>
      <w:pPr>
        <w:spacing w:line="360" w:lineRule="auto"/>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）投标方承诺：终身免费提供技术和故障咨询服务。</w:t>
      </w:r>
    </w:p>
    <w:p>
      <w:pPr>
        <w:spacing w:line="360" w:lineRule="auto"/>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rPr>
        <w:t>）投标方承诺：质保期后以优惠价格提供</w:t>
      </w:r>
      <w:r>
        <w:rPr>
          <w:rFonts w:hint="eastAsia" w:ascii="宋体" w:hAnsi="宋体" w:cs="宋体"/>
          <w:b w:val="0"/>
          <w:bCs/>
          <w:color w:val="auto"/>
          <w:sz w:val="24"/>
          <w:szCs w:val="24"/>
          <w:highlight w:val="none"/>
          <w:lang w:val="en-US" w:eastAsia="zh-CN"/>
        </w:rPr>
        <w:t>为期五年</w:t>
      </w:r>
      <w:r>
        <w:rPr>
          <w:rFonts w:hint="eastAsia" w:ascii="宋体" w:hAnsi="宋体" w:cs="宋体"/>
          <w:b w:val="0"/>
          <w:bCs/>
          <w:color w:val="auto"/>
          <w:sz w:val="24"/>
          <w:szCs w:val="24"/>
          <w:highlight w:val="none"/>
        </w:rPr>
        <w:t>备品备件及提升机、安全锁等相关检测费用。</w:t>
      </w:r>
    </w:p>
    <w:p>
      <w:pPr>
        <w:spacing w:line="360" w:lineRule="auto"/>
        <w:outlineLvl w:val="0"/>
        <w:rPr>
          <w:rFonts w:hint="eastAsia" w:ascii="宋体" w:hAnsi="宋体" w:cs="宋体"/>
          <w:b/>
          <w:color w:val="auto"/>
          <w:sz w:val="28"/>
          <w:szCs w:val="28"/>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投标方承诺：调试期间元件损坏，投标方应及时免费提供更换部件，如招标方需要，投标方应在不超过</w:t>
      </w:r>
      <w:r>
        <w:rPr>
          <w:rFonts w:hint="eastAsia" w:ascii="宋体" w:hAnsi="宋体" w:cs="宋体"/>
          <w:b w:val="0"/>
          <w:bCs/>
          <w:color w:val="auto"/>
          <w:sz w:val="24"/>
          <w:szCs w:val="24"/>
          <w:highlight w:val="none"/>
          <w:lang w:val="en-US" w:eastAsia="zh-CN"/>
        </w:rPr>
        <w:t>48</w:t>
      </w:r>
      <w:r>
        <w:rPr>
          <w:rFonts w:hint="eastAsia" w:ascii="宋体" w:hAnsi="宋体" w:cs="宋体"/>
          <w:b w:val="0"/>
          <w:bCs/>
          <w:color w:val="auto"/>
          <w:sz w:val="24"/>
          <w:szCs w:val="24"/>
          <w:highlight w:val="none"/>
        </w:rPr>
        <w:t>小时内派人到现场处理。</w:t>
      </w:r>
    </w:p>
    <w:p>
      <w:pPr>
        <w:jc w:val="left"/>
        <w:outlineLvl w:val="9"/>
        <w:rPr>
          <w:rFonts w:hint="eastAsia"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br w:type="page"/>
      </w:r>
    </w:p>
    <w:p>
      <w:pPr>
        <w:jc w:val="center"/>
        <w:outlineLvl w:val="0"/>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第四部分 合同样本</w:t>
      </w:r>
    </w:p>
    <w:p>
      <w:pPr>
        <w:jc w:val="center"/>
        <w:rPr>
          <w:rFonts w:asciiTheme="minorEastAsia" w:hAnsiTheme="minorEastAsia" w:eastAsiaTheme="minorEastAsia"/>
          <w:b/>
          <w:color w:val="auto"/>
          <w:sz w:val="44"/>
          <w:szCs w:val="44"/>
          <w:highlight w:val="none"/>
        </w:rPr>
      </w:pPr>
    </w:p>
    <w:p>
      <w:pPr>
        <w:jc w:val="center"/>
        <w:rPr>
          <w:rFonts w:asciiTheme="minorEastAsia" w:hAnsiTheme="minorEastAsia" w:eastAsiaTheme="minorEastAsia"/>
          <w:b/>
          <w:color w:val="auto"/>
          <w:sz w:val="44"/>
          <w:szCs w:val="44"/>
          <w:highlight w:val="none"/>
        </w:rPr>
      </w:pPr>
    </w:p>
    <w:p>
      <w:pPr>
        <w:jc w:val="center"/>
        <w:rPr>
          <w:rFonts w:asciiTheme="minorEastAsia" w:hAnsiTheme="minorEastAsia" w:eastAsiaTheme="minorEastAsia"/>
          <w:b/>
          <w:color w:val="auto"/>
          <w:sz w:val="44"/>
          <w:szCs w:val="44"/>
          <w:highlight w:val="none"/>
        </w:rPr>
      </w:pPr>
    </w:p>
    <w:p>
      <w:pPr>
        <w:jc w:val="center"/>
        <w:rPr>
          <w:rFonts w:asciiTheme="minorEastAsia" w:hAnsiTheme="minorEastAsia" w:eastAsiaTheme="minorEastAsia"/>
          <w:bCs/>
          <w:color w:val="auto"/>
          <w:sz w:val="52"/>
          <w:szCs w:val="52"/>
          <w:highlight w:val="none"/>
        </w:rPr>
      </w:pPr>
      <w:r>
        <w:rPr>
          <w:rFonts w:asciiTheme="minorEastAsia" w:hAnsiTheme="minorEastAsia" w:eastAsiaTheme="minorEastAsia"/>
          <w:b/>
          <w:color w:val="auto"/>
          <w:sz w:val="44"/>
          <w:szCs w:val="44"/>
          <w:highlight w:val="none"/>
        </w:rPr>
        <w:t xml:space="preserve"> </w:t>
      </w:r>
      <w:r>
        <w:rPr>
          <w:rFonts w:hint="eastAsia" w:asciiTheme="minorEastAsia" w:hAnsiTheme="minorEastAsia" w:eastAsiaTheme="minorEastAsia"/>
          <w:bCs/>
          <w:color w:val="auto"/>
          <w:sz w:val="52"/>
          <w:szCs w:val="52"/>
          <w:highlight w:val="none"/>
        </w:rPr>
        <w:t>中粮糖业（漳州）有限公司</w:t>
      </w:r>
    </w:p>
    <w:p>
      <w:pPr>
        <w:tabs>
          <w:tab w:val="left" w:pos="851"/>
        </w:tabs>
        <w:ind w:left="992" w:leftChars="12" w:hanging="967" w:hangingChars="186"/>
        <w:jc w:val="center"/>
        <w:rPr>
          <w:rFonts w:asciiTheme="minorEastAsia" w:hAnsiTheme="minorEastAsia" w:eastAsiaTheme="minorEastAsia"/>
          <w:bCs/>
          <w:color w:val="auto"/>
          <w:sz w:val="52"/>
          <w:szCs w:val="52"/>
          <w:highlight w:val="none"/>
        </w:rPr>
      </w:pPr>
      <w:r>
        <w:rPr>
          <w:rFonts w:hint="eastAsia" w:asciiTheme="minorEastAsia" w:hAnsiTheme="minorEastAsia" w:eastAsiaTheme="minorEastAsia"/>
          <w:bCs/>
          <w:color w:val="auto"/>
          <w:sz w:val="52"/>
          <w:szCs w:val="52"/>
          <w:highlight w:val="none"/>
        </w:rPr>
        <w:t>设备采购安装类项目合同模板</w:t>
      </w:r>
    </w:p>
    <w:p>
      <w:pPr>
        <w:pStyle w:val="11"/>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pStyle w:val="28"/>
        <w:rPr>
          <w:rFonts w:asciiTheme="minorEastAsia" w:hAnsiTheme="minorEastAsia" w:eastAsiaTheme="minorEastAsia"/>
          <w:color w:val="auto"/>
          <w:highlight w:val="none"/>
        </w:rPr>
      </w:pPr>
    </w:p>
    <w:p>
      <w:pPr>
        <w:pStyle w:val="28"/>
        <w:rPr>
          <w:rFonts w:asciiTheme="minorEastAsia" w:hAnsiTheme="minorEastAsia" w:eastAsiaTheme="minorEastAsia"/>
          <w:color w:val="auto"/>
          <w:highlight w:val="none"/>
        </w:rPr>
      </w:pPr>
    </w:p>
    <w:p>
      <w:pPr>
        <w:pStyle w:val="28"/>
        <w:rPr>
          <w:rFonts w:asciiTheme="minorEastAsia" w:hAnsiTheme="minorEastAsia" w:eastAsiaTheme="minorEastAsia"/>
          <w:color w:val="auto"/>
          <w:highlight w:val="none"/>
        </w:rPr>
      </w:pPr>
    </w:p>
    <w:p>
      <w:pPr>
        <w:pStyle w:val="28"/>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spacing w:line="560" w:lineRule="exact"/>
        <w:ind w:firstLine="2100" w:firstLineChars="70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甲方：</w:t>
      </w:r>
    </w:p>
    <w:p>
      <w:pPr>
        <w:spacing w:line="560" w:lineRule="exact"/>
        <w:ind w:firstLine="2100" w:firstLineChars="70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乙方：</w:t>
      </w:r>
    </w:p>
    <w:p>
      <w:pPr>
        <w:spacing w:line="560" w:lineRule="exact"/>
        <w:ind w:firstLine="2100" w:firstLineChars="70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甲方合同编号：</w:t>
      </w:r>
    </w:p>
    <w:p>
      <w:pPr>
        <w:spacing w:line="560" w:lineRule="exact"/>
        <w:ind w:firstLine="2100" w:firstLineChars="70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乙方合同编号：</w:t>
      </w:r>
    </w:p>
    <w:p>
      <w:pPr>
        <w:spacing w:line="560" w:lineRule="exact"/>
        <w:ind w:firstLine="2100" w:firstLineChars="70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合同签订地点：</w:t>
      </w:r>
    </w:p>
    <w:p>
      <w:pPr>
        <w:spacing w:line="560" w:lineRule="exact"/>
        <w:ind w:firstLine="2100" w:firstLineChars="70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合同签订日期：</w:t>
      </w:r>
      <w:r>
        <w:rPr>
          <w:rFonts w:asciiTheme="minorEastAsia" w:hAnsiTheme="minorEastAsia" w:eastAsiaTheme="minorEastAsia"/>
          <w:color w:val="auto"/>
          <w:sz w:val="30"/>
          <w:szCs w:val="30"/>
          <w:highlight w:val="none"/>
        </w:rPr>
        <w:t xml:space="preserve">  </w:t>
      </w:r>
      <w:r>
        <w:rPr>
          <w:rFonts w:hint="eastAsia" w:asciiTheme="minorEastAsia" w:hAnsiTheme="minorEastAsia" w:eastAsiaTheme="minorEastAsia"/>
          <w:color w:val="auto"/>
          <w:sz w:val="30"/>
          <w:szCs w:val="30"/>
          <w:highlight w:val="none"/>
        </w:rPr>
        <w:t>年</w:t>
      </w:r>
      <w:r>
        <w:rPr>
          <w:rFonts w:asciiTheme="minorEastAsia" w:hAnsiTheme="minorEastAsia" w:eastAsiaTheme="minorEastAsia"/>
          <w:color w:val="auto"/>
          <w:sz w:val="30"/>
          <w:szCs w:val="30"/>
          <w:highlight w:val="none"/>
        </w:rPr>
        <w:t xml:space="preserve">   </w:t>
      </w:r>
      <w:r>
        <w:rPr>
          <w:rFonts w:hint="eastAsia" w:asciiTheme="minorEastAsia" w:hAnsiTheme="minorEastAsia" w:eastAsiaTheme="minorEastAsia"/>
          <w:color w:val="auto"/>
          <w:sz w:val="30"/>
          <w:szCs w:val="30"/>
          <w:highlight w:val="none"/>
        </w:rPr>
        <w:t>月</w:t>
      </w:r>
      <w:r>
        <w:rPr>
          <w:rFonts w:asciiTheme="minorEastAsia" w:hAnsiTheme="minorEastAsia" w:eastAsiaTheme="minorEastAsia"/>
          <w:color w:val="auto"/>
          <w:sz w:val="30"/>
          <w:szCs w:val="30"/>
          <w:highlight w:val="none"/>
        </w:rPr>
        <w:t xml:space="preserve">  </w:t>
      </w:r>
      <w:r>
        <w:rPr>
          <w:rFonts w:hint="eastAsia" w:asciiTheme="minorEastAsia" w:hAnsiTheme="minorEastAsia" w:eastAsiaTheme="minorEastAsia"/>
          <w:color w:val="auto"/>
          <w:sz w:val="30"/>
          <w:szCs w:val="30"/>
          <w:highlight w:val="none"/>
        </w:rPr>
        <w:t>日</w:t>
      </w:r>
    </w:p>
    <w:p>
      <w:pPr>
        <w:spacing w:line="360" w:lineRule="auto"/>
        <w:jc w:val="center"/>
        <w:rPr>
          <w:rFonts w:asciiTheme="minorEastAsia" w:hAnsiTheme="minorEastAsia" w:eastAsiaTheme="minorEastAsia"/>
          <w:color w:val="auto"/>
          <w:sz w:val="28"/>
          <w:highlight w:val="none"/>
        </w:rPr>
      </w:pPr>
      <w:r>
        <w:rPr>
          <w:rFonts w:asciiTheme="minorEastAsia" w:hAnsiTheme="minorEastAsia" w:eastAsiaTheme="minorEastAsia"/>
          <w:color w:val="auto"/>
          <w:sz w:val="28"/>
          <w:highlight w:val="none"/>
        </w:rPr>
        <w:br w:type="page"/>
      </w:r>
    </w:p>
    <w:p>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目</w:t>
      </w:r>
      <w:r>
        <w:rPr>
          <w:rFonts w:asciiTheme="minorEastAsia" w:hAnsiTheme="minorEastAsia" w:eastAsiaTheme="minorEastAsia"/>
          <w:b/>
          <w:color w:val="auto"/>
          <w:sz w:val="36"/>
          <w:szCs w:val="36"/>
          <w:highlight w:val="none"/>
        </w:rPr>
        <w:t xml:space="preserve"> </w:t>
      </w:r>
      <w:r>
        <w:rPr>
          <w:rFonts w:hint="eastAsia" w:asciiTheme="minorEastAsia" w:hAnsiTheme="minorEastAsia" w:eastAsiaTheme="minorEastAsia"/>
          <w:b/>
          <w:color w:val="auto"/>
          <w:sz w:val="36"/>
          <w:szCs w:val="36"/>
          <w:highlight w:val="none"/>
        </w:rPr>
        <w:t>录</w:t>
      </w:r>
    </w:p>
    <w:p>
      <w:pPr>
        <w:adjustRightInd w:val="0"/>
        <w:spacing w:line="600" w:lineRule="exact"/>
        <w:ind w:firstLine="560" w:firstLineChars="200"/>
        <w:jc w:val="left"/>
        <w:rPr>
          <w:rFonts w:asciiTheme="minorEastAsia" w:hAnsiTheme="minorEastAsia" w:eastAsiaTheme="minorEastAsia"/>
          <w:color w:val="auto"/>
          <w:kern w:val="0"/>
          <w:sz w:val="28"/>
          <w:szCs w:val="28"/>
          <w:highlight w:val="none"/>
        </w:rPr>
      </w:pPr>
      <w:r>
        <w:rPr>
          <w:rFonts w:asciiTheme="minorEastAsia" w:hAnsiTheme="minorEastAsia" w:eastAsiaTheme="minorEastAsia"/>
          <w:color w:val="auto"/>
          <w:kern w:val="0"/>
          <w:sz w:val="28"/>
          <w:szCs w:val="28"/>
          <w:highlight w:val="none"/>
        </w:rPr>
        <w:t>一、合同</w:t>
      </w:r>
      <w:r>
        <w:rPr>
          <w:rFonts w:hint="eastAsia" w:asciiTheme="minorEastAsia" w:hAnsiTheme="minorEastAsia" w:eastAsiaTheme="minorEastAsia"/>
          <w:color w:val="auto"/>
          <w:kern w:val="0"/>
          <w:sz w:val="28"/>
          <w:szCs w:val="28"/>
          <w:highlight w:val="none"/>
        </w:rPr>
        <w:t>通用</w:t>
      </w:r>
      <w:r>
        <w:rPr>
          <w:rFonts w:asciiTheme="minorEastAsia" w:hAnsiTheme="minorEastAsia" w:eastAsiaTheme="minorEastAsia"/>
          <w:color w:val="auto"/>
          <w:kern w:val="0"/>
          <w:sz w:val="28"/>
          <w:szCs w:val="28"/>
          <w:highlight w:val="none"/>
        </w:rPr>
        <w:t>条款</w:t>
      </w:r>
    </w:p>
    <w:p>
      <w:pPr>
        <w:adjustRightInd w:val="0"/>
        <w:spacing w:line="600" w:lineRule="exact"/>
        <w:ind w:firstLine="560" w:firstLineChars="200"/>
        <w:jc w:val="left"/>
        <w:rPr>
          <w:rFonts w:asciiTheme="minorEastAsia" w:hAnsiTheme="minorEastAsia" w:eastAsiaTheme="minorEastAsia"/>
          <w:color w:val="auto"/>
          <w:kern w:val="0"/>
          <w:sz w:val="28"/>
          <w:szCs w:val="28"/>
          <w:highlight w:val="none"/>
        </w:rPr>
      </w:pPr>
      <w:r>
        <w:rPr>
          <w:rFonts w:asciiTheme="minorEastAsia" w:hAnsiTheme="minorEastAsia" w:eastAsiaTheme="minorEastAsia"/>
          <w:color w:val="auto"/>
          <w:kern w:val="0"/>
          <w:sz w:val="28"/>
          <w:szCs w:val="28"/>
          <w:highlight w:val="none"/>
        </w:rPr>
        <w:t>二、合同</w:t>
      </w:r>
      <w:r>
        <w:rPr>
          <w:rFonts w:hint="eastAsia" w:asciiTheme="minorEastAsia" w:hAnsiTheme="minorEastAsia" w:eastAsiaTheme="minorEastAsia"/>
          <w:color w:val="auto"/>
          <w:kern w:val="0"/>
          <w:sz w:val="28"/>
          <w:szCs w:val="28"/>
          <w:highlight w:val="none"/>
        </w:rPr>
        <w:t>专用条款</w:t>
      </w:r>
    </w:p>
    <w:p>
      <w:pPr>
        <w:adjustRightInd w:val="0"/>
        <w:spacing w:line="600" w:lineRule="exact"/>
        <w:ind w:firstLine="560" w:firstLineChars="200"/>
        <w:jc w:val="left"/>
        <w:rPr>
          <w:rFonts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三、</w:t>
      </w:r>
      <w:r>
        <w:rPr>
          <w:rFonts w:asciiTheme="minorEastAsia" w:hAnsiTheme="minorEastAsia" w:eastAsiaTheme="minorEastAsia"/>
          <w:color w:val="auto"/>
          <w:kern w:val="0"/>
          <w:sz w:val="28"/>
          <w:szCs w:val="28"/>
          <w:highlight w:val="none"/>
        </w:rPr>
        <w:t>合同附件一</w:t>
      </w:r>
      <w:r>
        <w:rPr>
          <w:rFonts w:hint="eastAsia" w:asciiTheme="minorEastAsia" w:hAnsiTheme="minorEastAsia" w:eastAsiaTheme="minorEastAsia"/>
          <w:color w:val="auto"/>
          <w:kern w:val="0"/>
          <w:sz w:val="28"/>
          <w:szCs w:val="28"/>
          <w:highlight w:val="none"/>
        </w:rPr>
        <w:t>：技术协议书</w:t>
      </w:r>
    </w:p>
    <w:p>
      <w:pPr>
        <w:adjustRightInd w:val="0"/>
        <w:spacing w:line="600" w:lineRule="exact"/>
        <w:ind w:firstLine="560" w:firstLineChars="200"/>
        <w:jc w:val="left"/>
        <w:rPr>
          <w:rFonts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四</w:t>
      </w:r>
      <w:r>
        <w:rPr>
          <w:rFonts w:asciiTheme="minorEastAsia" w:hAnsiTheme="minorEastAsia" w:eastAsiaTheme="minorEastAsia"/>
          <w:color w:val="auto"/>
          <w:kern w:val="0"/>
          <w:sz w:val="28"/>
          <w:szCs w:val="28"/>
          <w:highlight w:val="none"/>
        </w:rPr>
        <w:t>、合同附件</w:t>
      </w:r>
      <w:r>
        <w:rPr>
          <w:rFonts w:hint="eastAsia" w:asciiTheme="minorEastAsia" w:hAnsiTheme="minorEastAsia" w:eastAsiaTheme="minorEastAsia"/>
          <w:color w:val="auto"/>
          <w:kern w:val="0"/>
          <w:sz w:val="28"/>
          <w:szCs w:val="28"/>
          <w:highlight w:val="none"/>
        </w:rPr>
        <w:t>二</w:t>
      </w:r>
      <w:r>
        <w:rPr>
          <w:rFonts w:asciiTheme="minorEastAsia" w:hAnsiTheme="minorEastAsia" w:eastAsiaTheme="minorEastAsia"/>
          <w:color w:val="auto"/>
          <w:kern w:val="0"/>
          <w:sz w:val="28"/>
          <w:szCs w:val="28"/>
          <w:highlight w:val="none"/>
        </w:rPr>
        <w:t>：</w:t>
      </w:r>
      <w:r>
        <w:rPr>
          <w:rFonts w:hint="eastAsia" w:asciiTheme="minorEastAsia" w:hAnsiTheme="minorEastAsia" w:eastAsiaTheme="minorEastAsia"/>
          <w:color w:val="auto"/>
          <w:kern w:val="0"/>
          <w:sz w:val="28"/>
          <w:szCs w:val="28"/>
          <w:highlight w:val="none"/>
        </w:rPr>
        <w:t>廉洁承诺</w:t>
      </w:r>
    </w:p>
    <w:p>
      <w:pPr>
        <w:adjustRightInd w:val="0"/>
        <w:spacing w:line="600" w:lineRule="exact"/>
        <w:ind w:firstLine="560" w:firstLineChars="200"/>
        <w:jc w:val="left"/>
        <w:rPr>
          <w:rFonts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五</w:t>
      </w:r>
      <w:r>
        <w:rPr>
          <w:rFonts w:asciiTheme="minorEastAsia" w:hAnsiTheme="minorEastAsia" w:eastAsiaTheme="minorEastAsia"/>
          <w:color w:val="auto"/>
          <w:kern w:val="0"/>
          <w:sz w:val="28"/>
          <w:szCs w:val="28"/>
          <w:highlight w:val="none"/>
        </w:rPr>
        <w:t>、合同附件</w:t>
      </w:r>
      <w:r>
        <w:rPr>
          <w:rFonts w:hint="eastAsia" w:asciiTheme="minorEastAsia" w:hAnsiTheme="minorEastAsia" w:eastAsiaTheme="minorEastAsia"/>
          <w:color w:val="auto"/>
          <w:kern w:val="0"/>
          <w:sz w:val="28"/>
          <w:szCs w:val="28"/>
          <w:highlight w:val="none"/>
        </w:rPr>
        <w:t>三</w:t>
      </w:r>
      <w:r>
        <w:rPr>
          <w:rFonts w:asciiTheme="minorEastAsia" w:hAnsiTheme="minorEastAsia" w:eastAsiaTheme="minorEastAsia"/>
          <w:color w:val="auto"/>
          <w:kern w:val="0"/>
          <w:sz w:val="28"/>
          <w:szCs w:val="28"/>
          <w:highlight w:val="none"/>
        </w:rPr>
        <w:t>：</w:t>
      </w:r>
      <w:r>
        <w:rPr>
          <w:rFonts w:hint="eastAsia" w:asciiTheme="minorEastAsia" w:hAnsiTheme="minorEastAsia" w:eastAsiaTheme="minorEastAsia"/>
          <w:color w:val="auto"/>
          <w:kern w:val="0"/>
          <w:sz w:val="28"/>
          <w:szCs w:val="28"/>
          <w:highlight w:val="none"/>
        </w:rPr>
        <w:t>环保</w:t>
      </w:r>
      <w:r>
        <w:rPr>
          <w:rFonts w:asciiTheme="minorEastAsia" w:hAnsiTheme="minorEastAsia" w:eastAsiaTheme="minorEastAsia"/>
          <w:color w:val="auto"/>
          <w:kern w:val="0"/>
          <w:sz w:val="28"/>
          <w:szCs w:val="28"/>
          <w:highlight w:val="none"/>
        </w:rPr>
        <w:t>协议书</w:t>
      </w:r>
    </w:p>
    <w:p>
      <w:pPr>
        <w:adjustRightInd w:val="0"/>
        <w:spacing w:line="600" w:lineRule="exact"/>
        <w:ind w:firstLine="56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kern w:val="0"/>
          <w:sz w:val="28"/>
          <w:szCs w:val="28"/>
          <w:highlight w:val="none"/>
        </w:rPr>
        <w:t>六</w:t>
      </w:r>
      <w:r>
        <w:rPr>
          <w:rFonts w:asciiTheme="minorEastAsia" w:hAnsiTheme="minorEastAsia" w:eastAsiaTheme="minorEastAsia"/>
          <w:color w:val="auto"/>
          <w:kern w:val="0"/>
          <w:sz w:val="28"/>
          <w:szCs w:val="28"/>
          <w:highlight w:val="none"/>
        </w:rPr>
        <w:t>、合同附件</w:t>
      </w:r>
      <w:r>
        <w:rPr>
          <w:rFonts w:hint="eastAsia" w:asciiTheme="minorEastAsia" w:hAnsiTheme="minorEastAsia" w:eastAsiaTheme="minorEastAsia"/>
          <w:color w:val="auto"/>
          <w:kern w:val="0"/>
          <w:sz w:val="28"/>
          <w:szCs w:val="28"/>
          <w:highlight w:val="none"/>
        </w:rPr>
        <w:t>四</w:t>
      </w:r>
      <w:r>
        <w:rPr>
          <w:rFonts w:asciiTheme="minorEastAsia" w:hAnsiTheme="minorEastAsia" w:eastAsiaTheme="minorEastAsia"/>
          <w:color w:val="auto"/>
          <w:kern w:val="0"/>
          <w:sz w:val="28"/>
          <w:szCs w:val="28"/>
          <w:highlight w:val="none"/>
        </w:rPr>
        <w:t>：</w:t>
      </w:r>
      <w:r>
        <w:rPr>
          <w:rFonts w:hint="eastAsia" w:asciiTheme="minorEastAsia" w:hAnsiTheme="minorEastAsia" w:eastAsiaTheme="minorEastAsia"/>
          <w:color w:val="auto"/>
          <w:kern w:val="0"/>
          <w:sz w:val="28"/>
          <w:szCs w:val="28"/>
          <w:highlight w:val="none"/>
        </w:rPr>
        <w:t>安全管理</w:t>
      </w:r>
      <w:r>
        <w:rPr>
          <w:rFonts w:asciiTheme="minorEastAsia" w:hAnsiTheme="minorEastAsia" w:eastAsiaTheme="minorEastAsia"/>
          <w:color w:val="auto"/>
          <w:kern w:val="0"/>
          <w:sz w:val="28"/>
          <w:szCs w:val="28"/>
          <w:highlight w:val="none"/>
        </w:rPr>
        <w:t>协议书</w:t>
      </w:r>
    </w:p>
    <w:p>
      <w:pPr>
        <w:adjustRightInd w:val="0"/>
        <w:spacing w:line="600" w:lineRule="exact"/>
        <w:ind w:firstLine="560" w:firstLineChars="200"/>
        <w:jc w:val="left"/>
        <w:rPr>
          <w:rFonts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七、合同附件五：承诺函</w:t>
      </w:r>
    </w:p>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3"/>
        <w:spacing w:before="0" w:after="0" w:line="360" w:lineRule="auto"/>
        <w:jc w:val="center"/>
        <w:rPr>
          <w:rFonts w:asciiTheme="minorEastAsia" w:hAnsiTheme="minorEastAsia" w:eastAsiaTheme="minorEastAsia" w:cstheme="minorEastAsia"/>
          <w:color w:val="auto"/>
          <w:sz w:val="24"/>
          <w:szCs w:val="24"/>
          <w:highlight w:val="none"/>
        </w:rPr>
      </w:pPr>
      <w:bookmarkStart w:id="29" w:name="_Toc124269231"/>
      <w:bookmarkStart w:id="30" w:name="_Hlk79411396"/>
      <w:r>
        <w:rPr>
          <w:rFonts w:hint="eastAsia" w:asciiTheme="minorEastAsia" w:hAnsiTheme="minorEastAsia" w:eastAsiaTheme="minorEastAsia" w:cstheme="minorEastAsia"/>
          <w:color w:val="auto"/>
          <w:sz w:val="24"/>
          <w:szCs w:val="24"/>
          <w:highlight w:val="none"/>
        </w:rPr>
        <w:t>合同通用条款</w:t>
      </w:r>
      <w:bookmarkEnd w:id="29"/>
    </w:p>
    <w:p>
      <w:pPr>
        <w:pStyle w:val="4"/>
        <w:spacing w:before="0" w:after="0" w:line="360" w:lineRule="auto"/>
        <w:rPr>
          <w:rFonts w:asciiTheme="minorEastAsia" w:hAnsiTheme="minorEastAsia" w:eastAsiaTheme="minorEastAsia" w:cstheme="minorEastAsia"/>
          <w:color w:val="auto"/>
          <w:sz w:val="24"/>
          <w:szCs w:val="24"/>
          <w:highlight w:val="none"/>
        </w:rPr>
      </w:pPr>
      <w:bookmarkStart w:id="31" w:name="_Toc124269232"/>
      <w:r>
        <w:rPr>
          <w:rFonts w:asciiTheme="minorEastAsia" w:hAnsiTheme="minorEastAsia" w:eastAsiaTheme="minorEastAsia" w:cstheme="minorEastAsia"/>
          <w:color w:val="auto"/>
          <w:sz w:val="24"/>
          <w:szCs w:val="24"/>
          <w:highlight w:val="none"/>
        </w:rPr>
        <w:t>1．说明</w:t>
      </w:r>
      <w:bookmarkEnd w:id="31"/>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1.1合同基本条款：</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合同基本条款是指采购人（以下简称甲方）和成交人（以下简称乙方）应共同遵守的基本原则，并作为双方签约的依据。对于合同的其他条款，双方应本着互谅互让的精神，在谈判中协商解决。</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32" w:name="_Toc124269233"/>
      <w:r>
        <w:rPr>
          <w:rFonts w:asciiTheme="minorEastAsia" w:hAnsiTheme="minorEastAsia" w:eastAsiaTheme="minorEastAsia" w:cstheme="minorEastAsia"/>
          <w:color w:val="auto"/>
          <w:sz w:val="24"/>
          <w:szCs w:val="24"/>
          <w:highlight w:val="none"/>
        </w:rPr>
        <w:t>2．条款内容</w:t>
      </w:r>
      <w:bookmarkEnd w:id="32"/>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2.1甲、乙双方应将</w:t>
      </w:r>
      <w:r>
        <w:rPr>
          <w:rFonts w:hint="eastAsia" w:asciiTheme="minorEastAsia" w:hAnsiTheme="minorEastAsia" w:eastAsiaTheme="minorEastAsia" w:cstheme="minorEastAsia"/>
          <w:color w:val="auto"/>
          <w:sz w:val="24"/>
          <w:highlight w:val="none"/>
        </w:rPr>
        <w:t>竞争性谈判文件、响应文件及最终谈判确认的货物或工程、材料名称、规格型号、技术要求、质量标准、数量、交货期、项目地点和售后服务内容等作为本条款的基础。</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2.2乙方按要求向甲方提供使用货物或工程的有关技术资料也作为本条款的附件。</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33" w:name="_Toc176257638"/>
      <w:bookmarkStart w:id="34" w:name="_Toc124269234"/>
      <w:r>
        <w:rPr>
          <w:rFonts w:asciiTheme="minorEastAsia" w:hAnsiTheme="minorEastAsia" w:eastAsiaTheme="minorEastAsia" w:cstheme="minorEastAsia"/>
          <w:color w:val="auto"/>
          <w:sz w:val="24"/>
          <w:szCs w:val="24"/>
          <w:highlight w:val="none"/>
        </w:rPr>
        <w:t>3．价格</w:t>
      </w:r>
      <w:bookmarkEnd w:id="33"/>
      <w:bookmarkEnd w:id="34"/>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3.1分不含税金额和增值税专用发票增值税金额</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3.2该合同价格包含了</w:t>
      </w:r>
      <w:r>
        <w:rPr>
          <w:rFonts w:hint="eastAsia" w:asciiTheme="minorEastAsia" w:hAnsiTheme="minorEastAsia" w:eastAsiaTheme="minorEastAsia" w:cstheme="minorEastAsia"/>
          <w:color w:val="auto"/>
          <w:sz w:val="24"/>
          <w:highlight w:val="none"/>
        </w:rPr>
        <w:t>竞争性谈判文件中要求的所有货物或工程内容、运输、卸车、检测、指导安装、试运行、验收、服务等所有费用。</w:t>
      </w:r>
    </w:p>
    <w:p>
      <w:pPr>
        <w:spacing w:line="360" w:lineRule="auto"/>
        <w:ind w:firstLine="480" w:firstLineChars="200"/>
        <w:rPr>
          <w:rFonts w:asciiTheme="minorEastAsia" w:hAnsiTheme="minorEastAsia" w:eastAsiaTheme="minorEastAsia" w:cstheme="minorEastAsia"/>
          <w:bCs/>
          <w:color w:val="auto"/>
          <w:sz w:val="24"/>
          <w:highlight w:val="none"/>
        </w:rPr>
      </w:pPr>
      <w:r>
        <w:rPr>
          <w:rFonts w:asciiTheme="minorEastAsia" w:hAnsiTheme="minorEastAsia" w:eastAsiaTheme="minorEastAsia" w:cstheme="minorEastAsia"/>
          <w:bCs/>
          <w:color w:val="auto"/>
          <w:sz w:val="24"/>
          <w:highlight w:val="none"/>
        </w:rPr>
        <w:t>3.3应当认为乙方已彻底查清，并在本合同价格中充分考虑到了以下各项：</w:t>
      </w:r>
    </w:p>
    <w:p>
      <w:pPr>
        <w:spacing w:line="360" w:lineRule="auto"/>
        <w:ind w:firstLine="480" w:firstLineChars="200"/>
        <w:rPr>
          <w:rFonts w:asciiTheme="minorEastAsia" w:hAnsiTheme="minorEastAsia" w:eastAsiaTheme="minorEastAsia" w:cstheme="minorEastAsia"/>
          <w:bCs/>
          <w:color w:val="auto"/>
          <w:sz w:val="24"/>
          <w:highlight w:val="none"/>
        </w:rPr>
      </w:pPr>
      <w:r>
        <w:rPr>
          <w:rFonts w:asciiTheme="minorEastAsia" w:hAnsiTheme="minorEastAsia" w:eastAsiaTheme="minorEastAsia" w:cstheme="minorEastAsia"/>
          <w:bCs/>
          <w:color w:val="auto"/>
          <w:sz w:val="24"/>
          <w:highlight w:val="none"/>
        </w:rPr>
        <w:t>3.3.1影响合同价格的全部条件和情况；</w:t>
      </w:r>
    </w:p>
    <w:p>
      <w:pPr>
        <w:spacing w:line="360" w:lineRule="auto"/>
        <w:ind w:firstLine="480" w:firstLineChars="200"/>
        <w:rPr>
          <w:rFonts w:asciiTheme="minorEastAsia" w:hAnsiTheme="minorEastAsia" w:eastAsiaTheme="minorEastAsia" w:cstheme="minorEastAsia"/>
          <w:bCs/>
          <w:color w:val="auto"/>
          <w:sz w:val="24"/>
          <w:highlight w:val="none"/>
        </w:rPr>
      </w:pPr>
      <w:r>
        <w:rPr>
          <w:rFonts w:asciiTheme="minorEastAsia" w:hAnsiTheme="minorEastAsia" w:eastAsiaTheme="minorEastAsia" w:cstheme="minorEastAsia"/>
          <w:bCs/>
          <w:color w:val="auto"/>
          <w:sz w:val="24"/>
          <w:highlight w:val="none"/>
        </w:rPr>
        <w:t>3.3.2完成合同中所述项目的可能性；</w:t>
      </w:r>
    </w:p>
    <w:p>
      <w:pPr>
        <w:spacing w:line="360" w:lineRule="auto"/>
        <w:ind w:firstLine="480" w:firstLineChars="200"/>
        <w:rPr>
          <w:rFonts w:asciiTheme="minorEastAsia" w:hAnsiTheme="minorEastAsia" w:eastAsiaTheme="minorEastAsia" w:cstheme="minorEastAsia"/>
          <w:bCs/>
          <w:color w:val="auto"/>
          <w:sz w:val="24"/>
          <w:highlight w:val="none"/>
        </w:rPr>
      </w:pPr>
      <w:r>
        <w:rPr>
          <w:rFonts w:asciiTheme="minorEastAsia" w:hAnsiTheme="minorEastAsia" w:eastAsiaTheme="minorEastAsia" w:cstheme="minorEastAsia"/>
          <w:bCs/>
          <w:color w:val="auto"/>
          <w:sz w:val="24"/>
          <w:highlight w:val="none"/>
        </w:rPr>
        <w:t>3.3.3现场的综合情况；</w:t>
      </w:r>
    </w:p>
    <w:p>
      <w:pPr>
        <w:spacing w:line="360" w:lineRule="auto"/>
        <w:ind w:firstLine="480" w:firstLineChars="200"/>
        <w:rPr>
          <w:rFonts w:asciiTheme="minorEastAsia" w:hAnsiTheme="minorEastAsia" w:eastAsiaTheme="minorEastAsia" w:cstheme="minorEastAsia"/>
          <w:bCs/>
          <w:color w:val="auto"/>
          <w:sz w:val="24"/>
          <w:highlight w:val="none"/>
        </w:rPr>
      </w:pPr>
      <w:r>
        <w:rPr>
          <w:rFonts w:asciiTheme="minorEastAsia" w:hAnsiTheme="minorEastAsia" w:eastAsiaTheme="minorEastAsia" w:cstheme="minorEastAsia"/>
          <w:bCs/>
          <w:color w:val="auto"/>
          <w:sz w:val="24"/>
          <w:highlight w:val="none"/>
        </w:rPr>
        <w:t>3.3.4现场总的劳务情况；</w:t>
      </w:r>
    </w:p>
    <w:p>
      <w:pPr>
        <w:spacing w:line="360" w:lineRule="auto"/>
        <w:ind w:firstLine="480" w:firstLineChars="200"/>
        <w:rPr>
          <w:rFonts w:asciiTheme="minorEastAsia" w:hAnsiTheme="minorEastAsia" w:eastAsiaTheme="minorEastAsia" w:cstheme="minorEastAsia"/>
          <w:bCs/>
          <w:color w:val="auto"/>
          <w:sz w:val="24"/>
          <w:highlight w:val="none"/>
        </w:rPr>
      </w:pPr>
      <w:r>
        <w:rPr>
          <w:rFonts w:asciiTheme="minorEastAsia" w:hAnsiTheme="minorEastAsia" w:eastAsiaTheme="minorEastAsia" w:cstheme="minorEastAsia"/>
          <w:bCs/>
          <w:color w:val="auto"/>
          <w:sz w:val="24"/>
          <w:highlight w:val="none"/>
        </w:rPr>
        <w:t>3.3.5甲方不接受乙方以组价不当（包括对工作内容理解的偏差、工料耗量水平的确定、生产要素市场价格的判断、取费决策等）为由而主张的任何损失或索赔。</w:t>
      </w:r>
    </w:p>
    <w:p>
      <w:pPr>
        <w:spacing w:line="360" w:lineRule="auto"/>
        <w:ind w:firstLine="480" w:firstLineChars="200"/>
        <w:rPr>
          <w:rFonts w:asciiTheme="minorEastAsia" w:hAnsiTheme="minorEastAsia" w:eastAsiaTheme="minorEastAsia" w:cstheme="minorEastAsia"/>
          <w:bCs/>
          <w:color w:val="auto"/>
          <w:sz w:val="24"/>
          <w:highlight w:val="none"/>
        </w:rPr>
      </w:pPr>
      <w:r>
        <w:rPr>
          <w:rFonts w:asciiTheme="minorEastAsia" w:hAnsiTheme="minorEastAsia" w:eastAsiaTheme="minorEastAsia" w:cstheme="minorEastAsia"/>
          <w:bCs/>
          <w:color w:val="auto"/>
          <w:sz w:val="24"/>
          <w:highlight w:val="none"/>
        </w:rPr>
        <w:t>3.3.6市场价格波动情况。乙方应充分考虑主要材料价格波动情况，原则上应由乙方来承担风险，材料单价在合同实施期间不因市场价格变化因素而变动。</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35" w:name="_Toc124269235"/>
      <w:r>
        <w:rPr>
          <w:rFonts w:asciiTheme="minorEastAsia" w:hAnsiTheme="minorEastAsia" w:eastAsiaTheme="minorEastAsia" w:cstheme="minorEastAsia"/>
          <w:color w:val="auto"/>
          <w:sz w:val="24"/>
          <w:szCs w:val="24"/>
          <w:highlight w:val="none"/>
        </w:rPr>
        <w:t>4．交货期（或工期）及交货方式</w:t>
      </w:r>
      <w:bookmarkEnd w:id="35"/>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asciiTheme="minorEastAsia" w:hAnsiTheme="minorEastAsia" w:eastAsiaTheme="minorEastAsia" w:cstheme="minorEastAsia"/>
          <w:color w:val="auto"/>
          <w:sz w:val="24"/>
          <w:highlight w:val="none"/>
        </w:rPr>
        <w:t>4.1交货期（或工期）：</w:t>
      </w:r>
      <w:r>
        <w:rPr>
          <w:rFonts w:hint="eastAsia" w:ascii="仿宋_GB2312" w:hAnsi="黑体" w:eastAsia="仿宋_GB2312" w:cs="MS Gothic"/>
          <w:color w:val="auto"/>
          <w:sz w:val="24"/>
          <w:szCs w:val="24"/>
          <w:highlight w:val="none"/>
          <w:lang w:val="en-US" w:eastAsia="zh-CN"/>
        </w:rPr>
        <w:t>合同生效后30日历天可具备发货条件，接到采购人发货通知后（采购人可在供应商具备发货条件后任意一天均可以）15个日历天内到达采购人指定场地。</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4.2货物或工程、材料交货方式：甲方工地现场交货</w:t>
      </w:r>
      <w:r>
        <w:rPr>
          <w:rFonts w:hint="eastAsia" w:asciiTheme="minorEastAsia" w:hAnsiTheme="minorEastAsia" w:eastAsiaTheme="minorEastAsia" w:cstheme="minorEastAsia"/>
          <w:color w:val="auto"/>
          <w:sz w:val="24"/>
          <w:highlight w:val="none"/>
        </w:rPr>
        <w:t>、指导安装、调试验收、使用培训。</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4.3货物或工程、材料交货地点（项目实施地点）：甲方指定的地点。</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36" w:name="_Toc176257639"/>
      <w:bookmarkStart w:id="37" w:name="_Toc124269236"/>
      <w:r>
        <w:rPr>
          <w:rFonts w:asciiTheme="minorEastAsia" w:hAnsiTheme="minorEastAsia" w:eastAsiaTheme="minorEastAsia" w:cstheme="minorEastAsia"/>
          <w:color w:val="auto"/>
          <w:sz w:val="24"/>
          <w:szCs w:val="24"/>
          <w:highlight w:val="none"/>
        </w:rPr>
        <w:t>5．支付</w:t>
      </w:r>
      <w:bookmarkEnd w:id="36"/>
      <w:bookmarkEnd w:id="37"/>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5.1支付方式：甲方凭乙方提供的正式发票以银行转账方式支付相应款项或接受承兑汇票。</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5.2支付进度：应将</w:t>
      </w:r>
      <w:r>
        <w:rPr>
          <w:rFonts w:hint="eastAsia" w:asciiTheme="minorEastAsia" w:hAnsiTheme="minorEastAsia" w:eastAsiaTheme="minorEastAsia" w:cstheme="minorEastAsia"/>
          <w:color w:val="auto"/>
          <w:sz w:val="24"/>
          <w:highlight w:val="none"/>
        </w:rPr>
        <w:t>竞争性谈判文件、响应文件及最终谈判确认等作为本条款的基础。</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38" w:name="_Toc124269237"/>
      <w:r>
        <w:rPr>
          <w:rFonts w:asciiTheme="minorEastAsia" w:hAnsiTheme="minorEastAsia" w:eastAsiaTheme="minorEastAsia" w:cstheme="minorEastAsia"/>
          <w:color w:val="auto"/>
          <w:sz w:val="24"/>
          <w:szCs w:val="24"/>
          <w:highlight w:val="none"/>
        </w:rPr>
        <w:t>6．承包方式</w:t>
      </w:r>
      <w:bookmarkEnd w:id="38"/>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6.1</w:t>
      </w:r>
      <w:bookmarkStart w:id="39" w:name="_Hlk113101218"/>
      <w:r>
        <w:rPr>
          <w:rFonts w:hint="eastAsia" w:asciiTheme="minorEastAsia" w:hAnsiTheme="minorEastAsia" w:eastAsiaTheme="minorEastAsia" w:cstheme="minorEastAsia"/>
          <w:color w:val="auto"/>
          <w:sz w:val="24"/>
          <w:highlight w:val="none"/>
        </w:rPr>
        <w:t>承包方式：提供设备、运输、卸车、指导安装、调试、伴随服务和培训</w:t>
      </w:r>
      <w:bookmarkEnd w:id="39"/>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 xml:space="preserve">  </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6.2伴随服务</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6.2.1乙方应随合同货物或工程提供下列服务中的所有服务，包括技术要求中规定的附加服务（如果有的话）：</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1）实施或监督所供货物或工程的现场组装施工和试运行；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2）提供货物或工程组装和维修所需的工具；</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3）为所供货物或工程的重要配件提供详细的技术资料，包括规格说明文件等；</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4）在双方商定的一定期限内对所供货物或工程实施运行或监督或维护或修理，但前提条件是该服务并不能免除乙方在合同保证期内所承担的义务；</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5）在乙方/或甲方项目现场就所供货物的组装、试运行、运行、维护和修理对甲方人员进行培训。</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6.2.2乙方还应提供技术要求中规定的所有服务。为履行要求的伴随服务的报价或双方商定的费用应包括在合同价中。</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6.2.3如果双方事先达成不包含在合同价内的协议，其费用单价不应超过乙方向其他人提供类似服务所收取的现行单价。</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40" w:name="_Toc124269238"/>
      <w:r>
        <w:rPr>
          <w:rFonts w:asciiTheme="minorEastAsia" w:hAnsiTheme="minorEastAsia" w:eastAsiaTheme="minorEastAsia" w:cstheme="minorEastAsia"/>
          <w:color w:val="auto"/>
          <w:sz w:val="24"/>
          <w:szCs w:val="24"/>
          <w:highlight w:val="none"/>
        </w:rPr>
        <w:t>7．货物包装、发运及运输</w:t>
      </w:r>
      <w:bookmarkEnd w:id="40"/>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7.1乙方应在货物发运前对其进行满足于运输距离、防潮、防震、防锈和防破损装卸要求的包装，以保证货物安全运输到达甲方指定地点。</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7.2使用说明书、随配附件和工具以及清单等一并附于货物内。</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7.3乙方负责将货物安全运送到甲方指定地点，不另收任何费用。</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7.4货物在交货前发生的不可预见的风险均由乙方负责。</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7.5乙方在货物发运手续办理完毕后24小时内或货到前48小时通知甲方，以准备接货。</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41" w:name="_Toc124269239"/>
      <w:r>
        <w:rPr>
          <w:rFonts w:asciiTheme="minorEastAsia" w:hAnsiTheme="minorEastAsia" w:eastAsiaTheme="minorEastAsia" w:cstheme="minorEastAsia"/>
          <w:color w:val="auto"/>
          <w:sz w:val="24"/>
          <w:szCs w:val="24"/>
          <w:highlight w:val="none"/>
        </w:rPr>
        <w:t>8．验收</w:t>
      </w:r>
      <w:bookmarkEnd w:id="41"/>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8.1乙方交货前应对产品做出全面检查和对验收文件进行整理列出清单，作为甲方收货验收和使用的技术条件依据，检验的结果证明文件应随货物交甲方。</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8.2甲方对乙方所交货物依照</w:t>
      </w:r>
      <w:r>
        <w:rPr>
          <w:rFonts w:hint="eastAsia" w:asciiTheme="minorEastAsia" w:hAnsiTheme="minorEastAsia" w:eastAsiaTheme="minorEastAsia" w:cstheme="minorEastAsia"/>
          <w:color w:val="auto"/>
          <w:sz w:val="24"/>
          <w:highlight w:val="none"/>
        </w:rPr>
        <w:t>竞争性谈判文件上的技术规格要求和国家（设备制造国）有关标准进行现场验收，性能达到技术要求的，给予签收。验收不合格的不予签收，后果由乙方负责。</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8.3甲方应在货到指定地点安装调试完毕之日起十五个工作日内验收完毕，并作出验收结果报告。验收时乙方必须在现场。</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8.4或其他验收要求见</w:t>
      </w:r>
      <w:r>
        <w:rPr>
          <w:rFonts w:hint="eastAsia" w:asciiTheme="minorEastAsia" w:hAnsiTheme="minorEastAsia" w:eastAsiaTheme="minorEastAsia" w:cstheme="minorEastAsia"/>
          <w:color w:val="auto"/>
          <w:sz w:val="24"/>
          <w:highlight w:val="none"/>
        </w:rPr>
        <w:t>竞争性谈判文件、响应文件及最终谈判内容。</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42" w:name="_Toc124269240"/>
      <w:r>
        <w:rPr>
          <w:rFonts w:asciiTheme="minorEastAsia" w:hAnsiTheme="minorEastAsia" w:eastAsiaTheme="minorEastAsia" w:cstheme="minorEastAsia"/>
          <w:color w:val="auto"/>
          <w:sz w:val="24"/>
          <w:szCs w:val="24"/>
          <w:highlight w:val="none"/>
        </w:rPr>
        <w:t>9．质量保证</w:t>
      </w:r>
      <w:bookmarkEnd w:id="42"/>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9.1乙方应按</w:t>
      </w:r>
      <w:r>
        <w:rPr>
          <w:rFonts w:hint="eastAsia" w:asciiTheme="minorEastAsia" w:hAnsiTheme="minorEastAsia" w:eastAsiaTheme="minorEastAsia" w:cstheme="minorEastAsia"/>
          <w:color w:val="auto"/>
          <w:sz w:val="24"/>
          <w:highlight w:val="none"/>
        </w:rPr>
        <w:t>竞争性谈判文件规定的货物性能、技术要求、质量标准向甲方提供未经使用的全新产品；工程质量符合国家相关验收合格标准。</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9.2乙方提供货物的质量保证按</w:t>
      </w:r>
      <w:r>
        <w:rPr>
          <w:rFonts w:hint="eastAsia" w:asciiTheme="minorEastAsia" w:hAnsiTheme="minorEastAsia" w:eastAsiaTheme="minorEastAsia" w:cstheme="minorEastAsia"/>
          <w:color w:val="auto"/>
          <w:sz w:val="24"/>
          <w:highlight w:val="none"/>
        </w:rPr>
        <w:t>竞争性谈判文件的规定执行。在保证期内因货物本身的质量问题发生故障，乙方应负责免费修理和更换零部件。对达不到技术要求的，根据实际情况，经双方协商，可按以下办法处理：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1）更换：由乙方承担所发生的全部费用；</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2）贬值处理：由甲乙双方合议定价；</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3）退货处理：乙方应退还甲方支付的货物款，同时应承担该货物的直接费用（运输、保险、检验及银行手续费等）。</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9.3如在使用过程中发生质量问题，乙方在接到甲方通知后按所承诺的时间内到达甲方现场处理，乙方应对货物出现的所有质量及安全问题负责处理解决。</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9.4乙方所提供的的设备相关参数、指标等必须完全符合甲方要求，如有未达到甲方要求的，须无偿改进、调整、更换直至达到甲方标准为止。如此过程中对甲方进度、使用等造成延误及经济损失，乙方须予以赔偿。</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43" w:name="_Toc124269241"/>
      <w:r>
        <w:rPr>
          <w:rFonts w:asciiTheme="minorEastAsia" w:hAnsiTheme="minorEastAsia" w:eastAsiaTheme="minorEastAsia" w:cstheme="minorEastAsia"/>
          <w:color w:val="auto"/>
          <w:sz w:val="24"/>
          <w:szCs w:val="24"/>
          <w:highlight w:val="none"/>
        </w:rPr>
        <w:t>10．违约责任</w:t>
      </w:r>
      <w:bookmarkEnd w:id="43"/>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10.1 </w:t>
      </w:r>
      <w:r>
        <w:rPr>
          <w:rFonts w:hint="eastAsia" w:asciiTheme="minorEastAsia" w:hAnsiTheme="minorEastAsia" w:eastAsiaTheme="minorEastAsia" w:cstheme="minorEastAsia"/>
          <w:color w:val="auto"/>
          <w:sz w:val="24"/>
          <w:highlight w:val="none"/>
        </w:rPr>
        <w:t>由于乙方原因工程质量未达约定要求，乙方应无条件返工，返工费用和因此而造成的经济损失由乙方承担，由此交货期延误的，乙方还应按本条</w:t>
      </w:r>
      <w:r>
        <w:rPr>
          <w:rFonts w:asciiTheme="minorEastAsia" w:hAnsiTheme="minorEastAsia" w:eastAsiaTheme="minorEastAsia" w:cstheme="minorEastAsia"/>
          <w:color w:val="auto"/>
          <w:sz w:val="24"/>
          <w:highlight w:val="none"/>
        </w:rPr>
        <w:t>10.3承担逾期违约责任。</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10.2 </w:t>
      </w:r>
      <w:r>
        <w:rPr>
          <w:rFonts w:hint="eastAsia" w:asciiTheme="minorEastAsia" w:hAnsiTheme="minorEastAsia" w:eastAsiaTheme="minorEastAsia" w:cstheme="minorEastAsia"/>
          <w:color w:val="auto"/>
          <w:sz w:val="24"/>
          <w:highlight w:val="none"/>
        </w:rPr>
        <w:t>因乙方施工管理不善导致的人身损害或财产损失等安全问题，造成的经济损失由乙方承担。</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10.3乙方逾期交货的，交货期逾期每延误1天，供应商赔偿</w:t>
      </w:r>
      <w:r>
        <w:rPr>
          <w:rFonts w:hint="eastAsia" w:asciiTheme="minorEastAsia" w:hAnsiTheme="minorEastAsia" w:eastAsiaTheme="minorEastAsia" w:cstheme="minorEastAsia"/>
          <w:color w:val="auto"/>
          <w:sz w:val="24"/>
          <w:highlight w:val="none"/>
        </w:rPr>
        <w:t>采购人</w:t>
      </w:r>
      <w:r>
        <w:rPr>
          <w:rFonts w:asciiTheme="minorEastAsia" w:hAnsiTheme="minorEastAsia" w:eastAsiaTheme="minorEastAsia" w:cstheme="minorEastAsia"/>
          <w:color w:val="auto"/>
          <w:sz w:val="24"/>
          <w:highlight w:val="none"/>
        </w:rPr>
        <w:t>1000元。逾期超过10天的含10天，每天供应商赔偿</w:t>
      </w:r>
      <w:r>
        <w:rPr>
          <w:rFonts w:hint="eastAsia" w:asciiTheme="minorEastAsia" w:hAnsiTheme="minorEastAsia" w:eastAsiaTheme="minorEastAsia" w:cstheme="minorEastAsia"/>
          <w:color w:val="auto"/>
          <w:sz w:val="24"/>
          <w:highlight w:val="none"/>
        </w:rPr>
        <w:t>采购人</w:t>
      </w:r>
      <w:r>
        <w:rPr>
          <w:rFonts w:asciiTheme="minorEastAsia" w:hAnsiTheme="minorEastAsia" w:eastAsiaTheme="minorEastAsia" w:cstheme="minorEastAsia"/>
          <w:color w:val="auto"/>
          <w:sz w:val="24"/>
          <w:highlight w:val="none"/>
        </w:rPr>
        <w:t>5000元。逾期超过15天的含15天，甲方有权单方解除合同，双方据实结算，乙方应按合同总价的20%支付甲方违约金，并赔偿由此造成的甲方所有损失。</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10.4性能要求若在实施过程（含设备调试阶段）中若不能达到，则采购人有权要求供应商</w:t>
      </w:r>
      <w:r>
        <w:rPr>
          <w:rFonts w:hint="eastAsia" w:asciiTheme="minorEastAsia" w:hAnsiTheme="minorEastAsia" w:eastAsiaTheme="minorEastAsia" w:cstheme="minorEastAsia"/>
          <w:color w:val="auto"/>
          <w:sz w:val="24"/>
          <w:highlight w:val="none"/>
        </w:rPr>
        <w:t>进行持续改造直至性能达标，改造产生的所有费用均由供应商承担，且每有一项不满足将对供应商进行</w:t>
      </w:r>
      <w:r>
        <w:rPr>
          <w:rFonts w:asciiTheme="minorEastAsia" w:hAnsiTheme="minorEastAsia" w:eastAsiaTheme="minorEastAsia" w:cstheme="minorEastAsia"/>
          <w:color w:val="auto"/>
          <w:sz w:val="24"/>
          <w:highlight w:val="none"/>
        </w:rPr>
        <w:t>1%合同总额的罚款，且若因改造（含超出合理调试期之外，影响设备正式启用）造成采购人损失的，供应商还需进行损失赔偿，赔偿金额优先从质保金中扣除，超出部分则由供应商另行支付。。</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44" w:name="_Toc124269242"/>
      <w:r>
        <w:rPr>
          <w:rFonts w:asciiTheme="minorEastAsia" w:hAnsiTheme="minorEastAsia" w:eastAsiaTheme="minorEastAsia" w:cstheme="minorEastAsia"/>
          <w:color w:val="auto"/>
          <w:sz w:val="24"/>
          <w:szCs w:val="24"/>
          <w:highlight w:val="none"/>
        </w:rPr>
        <w:t>11．不可抗力事件处理</w:t>
      </w:r>
      <w:bookmarkEnd w:id="44"/>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11.1在合同有效期限内，任何一方因不可抗力事件导致不能履行合同，则合同履行期可延长，其延长期与不可抗力影响期相同。由于不可抗力事件导致合同根本目的不能实现时，一方可解除合同。</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11.2不可抗力事件发生后，应立即通知对方，并寄送有关权威机构出具的证明。</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11.3不可抗力事件延续25天以上，双方应通过友好协商，确定是否继续履行合同。</w:t>
      </w:r>
    </w:p>
    <w:p>
      <w:pPr>
        <w:spacing w:line="360" w:lineRule="auto"/>
        <w:ind w:firstLine="480" w:firstLineChars="200"/>
        <w:rPr>
          <w:rFonts w:asciiTheme="minorEastAsia" w:hAnsiTheme="minorEastAsia" w:eastAsiaTheme="minorEastAsia" w:cstheme="minorEastAsia"/>
          <w:bCs/>
          <w:color w:val="auto"/>
          <w:kern w:val="0"/>
          <w:sz w:val="24"/>
          <w:highlight w:val="none"/>
        </w:rPr>
      </w:pPr>
      <w:r>
        <w:rPr>
          <w:rFonts w:asciiTheme="minorEastAsia" w:hAnsiTheme="minorEastAsia" w:eastAsiaTheme="minorEastAsia" w:cstheme="minorEastAsia"/>
          <w:bCs/>
          <w:color w:val="auto"/>
          <w:kern w:val="0"/>
          <w:sz w:val="24"/>
          <w:highlight w:val="none"/>
        </w:rPr>
        <w:t>12．合同争议的解决</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12.1本合同适用法律为中华人民共和国有关法律。</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12.2凡与本合同有关的一切争议，双方应友好协商解决，协商不能达成一致时，应向甲方所在地人民法院提起诉讼。诉讼费、律师代理费、交通费等相关费用由违约方承担。</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45" w:name="_Toc124269243"/>
      <w:r>
        <w:rPr>
          <w:rFonts w:asciiTheme="minorEastAsia" w:hAnsiTheme="minorEastAsia" w:eastAsiaTheme="minorEastAsia" w:cstheme="minorEastAsia"/>
          <w:color w:val="auto"/>
          <w:sz w:val="24"/>
          <w:szCs w:val="24"/>
          <w:highlight w:val="none"/>
        </w:rPr>
        <w:t>13．知识产权</w:t>
      </w:r>
      <w:bookmarkEnd w:id="45"/>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13.1乙方应保证所提供的货物或其任何一部分均不会侵犯任何第三方的专利权、商标权或著作权。否则，乙方应赔偿甲方因此受到的全部直接损失和间接损失（包括但不限于甲方因此受到的行政处罚、民事赔偿以及支出的律师费和相关诉讼费用）。</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46" w:name="_Toc124269244"/>
      <w:r>
        <w:rPr>
          <w:rFonts w:asciiTheme="minorEastAsia" w:hAnsiTheme="minorEastAsia" w:eastAsiaTheme="minorEastAsia" w:cstheme="minorEastAsia"/>
          <w:color w:val="auto"/>
          <w:sz w:val="24"/>
          <w:szCs w:val="24"/>
          <w:highlight w:val="none"/>
        </w:rPr>
        <w:t>14．合同生效及其它</w:t>
      </w:r>
      <w:bookmarkEnd w:id="46"/>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14.1本合同由双方法定代表人或授权代表签字加盖合同章之日起生效。未经甲方书面同意，乙方不得将本合同项下权利、义务转让给第三人。</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14.2没有另一方的事先同意，合同任何一方不得将合同项下的任何权利和义务转让给第三方。</w:t>
      </w:r>
    </w:p>
    <w:p>
      <w:pPr>
        <w:spacing w:line="360" w:lineRule="auto"/>
        <w:rPr>
          <w:rFonts w:asciiTheme="minorEastAsia" w:hAnsiTheme="minorEastAsia" w:eastAsiaTheme="minorEastAsia" w:cstheme="minorEastAsia"/>
          <w:b/>
          <w:color w:val="auto"/>
          <w:sz w:val="24"/>
          <w:highlight w:val="none"/>
        </w:rPr>
      </w:pPr>
      <w:r>
        <w:rPr>
          <w:rFonts w:asciiTheme="minorEastAsia" w:hAnsiTheme="minorEastAsia" w:eastAsiaTheme="minorEastAsia" w:cstheme="minorEastAsia"/>
          <w:color w:val="auto"/>
          <w:sz w:val="24"/>
          <w:highlight w:val="none"/>
        </w:rPr>
        <w:t>14.3合同履行中，如需修改或补充合同内容（但不能对本合同的内容作实质的改变），由双方协商另签署书面修改或补充协议并作为主合同不可分割的一部分。</w:t>
      </w:r>
      <w:r>
        <w:rPr>
          <w:rFonts w:asciiTheme="minorEastAsia" w:hAnsiTheme="minorEastAsia" w:eastAsiaTheme="minorEastAsia" w:cstheme="minorEastAsia"/>
          <w:b/>
          <w:color w:val="auto"/>
          <w:sz w:val="24"/>
          <w:highlight w:val="none"/>
        </w:rPr>
        <w:br w:type="page"/>
      </w:r>
    </w:p>
    <w:p>
      <w:pPr>
        <w:pStyle w:val="3"/>
        <w:jc w:val="center"/>
        <w:rPr>
          <w:rFonts w:asciiTheme="minorEastAsia" w:hAnsiTheme="minorEastAsia" w:eastAsiaTheme="minorEastAsia" w:cstheme="minorEastAsia"/>
          <w:color w:val="auto"/>
          <w:sz w:val="24"/>
          <w:szCs w:val="24"/>
          <w:highlight w:val="none"/>
        </w:rPr>
      </w:pPr>
      <w:bookmarkStart w:id="47" w:name="_Toc124269245"/>
      <w:r>
        <w:rPr>
          <w:rFonts w:hint="eastAsia" w:asciiTheme="minorEastAsia" w:hAnsiTheme="minorEastAsia" w:eastAsiaTheme="minorEastAsia" w:cstheme="minorEastAsia"/>
          <w:color w:val="auto"/>
          <w:sz w:val="24"/>
          <w:szCs w:val="24"/>
          <w:highlight w:val="none"/>
        </w:rPr>
        <w:t>合同专用条款</w:t>
      </w:r>
      <w:bookmarkEnd w:id="47"/>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中粮糖业（漳州）有限公司</w:t>
      </w:r>
      <w:r>
        <w:rPr>
          <w:rFonts w:hint="eastAsia" w:asciiTheme="minorEastAsia" w:hAnsiTheme="minorEastAsia" w:eastAsiaTheme="minorEastAsia" w:cstheme="minorEastAsia"/>
          <w:color w:val="auto"/>
          <w:sz w:val="24"/>
          <w:highlight w:val="none"/>
        </w:rPr>
        <w:t>（以下简称甲方）与（以下简称乙方）就乙方为</w:t>
      </w:r>
      <w:r>
        <w:rPr>
          <w:rFonts w:hint="eastAsia" w:asciiTheme="minorEastAsia" w:hAnsiTheme="minorEastAsia" w:eastAsiaTheme="minorEastAsia" w:cstheme="minorEastAsia"/>
          <w:color w:val="auto"/>
          <w:sz w:val="24"/>
          <w:highlight w:val="none"/>
          <w:u w:val="single"/>
        </w:rPr>
        <w:t>中粮糖业（漳州）有限公司</w:t>
      </w:r>
      <w:r>
        <w:rPr>
          <w:rFonts w:asciiTheme="minorEastAsia" w:hAnsiTheme="minorEastAsia" w:eastAsiaTheme="minorEastAsia" w:cstheme="minorEastAsia"/>
          <w:color w:val="auto"/>
          <w:sz w:val="24"/>
          <w:highlight w:val="none"/>
          <w:u w:val="single"/>
        </w:rPr>
        <w:t>35万吨/年精炼糖及15万吨/年糖类食品原材料加工项目</w:t>
      </w:r>
      <w:r>
        <w:rPr>
          <w:rFonts w:hint="eastAsia" w:asciiTheme="minorEastAsia" w:hAnsiTheme="minorEastAsia" w:eastAsiaTheme="minorEastAsia" w:cstheme="minorEastAsia"/>
          <w:color w:val="auto"/>
          <w:sz w:val="24"/>
          <w:highlight w:val="none"/>
          <w:u w:val="single"/>
          <w:lang w:eastAsia="zh-CN"/>
        </w:rPr>
        <w:t>锅炉炉膛检修升降平台</w:t>
      </w:r>
      <w:r>
        <w:rPr>
          <w:rFonts w:asciiTheme="minorEastAsia" w:hAnsiTheme="minorEastAsia" w:eastAsiaTheme="minorEastAsia" w:cstheme="minorEastAsia"/>
          <w:color w:val="auto"/>
          <w:sz w:val="24"/>
          <w:highlight w:val="none"/>
          <w:u w:val="single"/>
        </w:rPr>
        <w:t>采购</w:t>
      </w:r>
      <w:r>
        <w:rPr>
          <w:rFonts w:hint="eastAsia" w:asciiTheme="minorEastAsia" w:hAnsiTheme="minorEastAsia" w:eastAsiaTheme="minorEastAsia" w:cstheme="minorEastAsia"/>
          <w:color w:val="auto"/>
          <w:sz w:val="24"/>
          <w:highlight w:val="none"/>
        </w:rPr>
        <w:t>向甲方提供的货物或工程和服务，经甲乙双方协商一致，签订本合同，共同遵守如下条款：</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48" w:name="_Toc124269246"/>
      <w:r>
        <w:rPr>
          <w:rFonts w:hint="eastAsia" w:asciiTheme="minorEastAsia" w:hAnsiTheme="minorEastAsia" w:eastAsiaTheme="minorEastAsia" w:cstheme="minorEastAsia"/>
          <w:color w:val="auto"/>
          <w:sz w:val="24"/>
          <w:szCs w:val="24"/>
          <w:highlight w:val="none"/>
        </w:rPr>
        <w:t>一、合同标的</w:t>
      </w:r>
      <w:bookmarkEnd w:id="48"/>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1．本合同标的（包括设备供货、指导安装及服务）。</w:t>
      </w:r>
    </w:p>
    <w:tbl>
      <w:tblPr>
        <w:tblStyle w:val="22"/>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569"/>
        <w:gridCol w:w="4867"/>
        <w:gridCol w:w="913"/>
        <w:gridCol w:w="913"/>
        <w:gridCol w:w="1520"/>
        <w:gridCol w:w="1180"/>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244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各分项内容</w:t>
            </w:r>
          </w:p>
        </w:tc>
        <w:tc>
          <w:tcPr>
            <w:tcW w:w="458"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458"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w:t>
            </w: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p>
        </w:tc>
        <w:tc>
          <w:tcPr>
            <w:tcW w:w="2443" w:type="pct"/>
            <w:shd w:val="clear" w:color="auto" w:fill="auto"/>
            <w:vAlign w:val="center"/>
          </w:tcPr>
          <w:p>
            <w:pPr>
              <w:spacing w:line="360" w:lineRule="auto"/>
              <w:jc w:val="center"/>
              <w:rPr>
                <w:rFonts w:asciiTheme="minorEastAsia" w:hAnsiTheme="minorEastAsia" w:eastAsiaTheme="minorEastAsia" w:cstheme="minorEastAsia"/>
                <w:color w:val="auto"/>
                <w:kern w:val="0"/>
                <w:sz w:val="24"/>
                <w:highlight w:val="none"/>
              </w:rPr>
            </w:pPr>
          </w:p>
        </w:tc>
        <w:tc>
          <w:tcPr>
            <w:tcW w:w="458"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p>
        </w:tc>
        <w:tc>
          <w:tcPr>
            <w:tcW w:w="458"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w:t>
            </w:r>
          </w:p>
        </w:tc>
        <w:tc>
          <w:tcPr>
            <w:tcW w:w="2443" w:type="pct"/>
            <w:shd w:val="clear" w:color="auto" w:fill="auto"/>
            <w:vAlign w:val="center"/>
          </w:tcPr>
          <w:p>
            <w:pPr>
              <w:spacing w:line="360" w:lineRule="auto"/>
              <w:jc w:val="center"/>
              <w:rPr>
                <w:rFonts w:asciiTheme="minorEastAsia" w:hAnsiTheme="minorEastAsia" w:eastAsiaTheme="minorEastAsia" w:cstheme="minorEastAsia"/>
                <w:color w:val="auto"/>
                <w:kern w:val="0"/>
                <w:sz w:val="24"/>
                <w:highlight w:val="none"/>
              </w:rPr>
            </w:pPr>
          </w:p>
        </w:tc>
        <w:tc>
          <w:tcPr>
            <w:tcW w:w="458"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p>
        </w:tc>
        <w:tc>
          <w:tcPr>
            <w:tcW w:w="458"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p>
        </w:tc>
        <w:tc>
          <w:tcPr>
            <w:tcW w:w="2443" w:type="pct"/>
            <w:shd w:val="clear" w:color="auto" w:fill="auto"/>
            <w:vAlign w:val="center"/>
          </w:tcPr>
          <w:p>
            <w:pPr>
              <w:spacing w:line="360" w:lineRule="auto"/>
              <w:jc w:val="center"/>
              <w:rPr>
                <w:rFonts w:asciiTheme="minorEastAsia" w:hAnsiTheme="minorEastAsia" w:eastAsiaTheme="minorEastAsia" w:cstheme="minorEastAsia"/>
                <w:color w:val="auto"/>
                <w:kern w:val="0"/>
                <w:sz w:val="24"/>
                <w:highlight w:val="none"/>
              </w:rPr>
            </w:pPr>
          </w:p>
        </w:tc>
        <w:tc>
          <w:tcPr>
            <w:tcW w:w="458"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p>
        </w:tc>
        <w:tc>
          <w:tcPr>
            <w:tcW w:w="458"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p>
        </w:tc>
        <w:tc>
          <w:tcPr>
            <w:tcW w:w="2443" w:type="pct"/>
            <w:shd w:val="clear" w:color="auto" w:fill="auto"/>
            <w:vAlign w:val="center"/>
          </w:tcPr>
          <w:p>
            <w:pPr>
              <w:spacing w:line="360" w:lineRule="auto"/>
              <w:jc w:val="center"/>
              <w:rPr>
                <w:rFonts w:asciiTheme="minorEastAsia" w:hAnsiTheme="minorEastAsia" w:eastAsiaTheme="minorEastAsia" w:cstheme="minorEastAsia"/>
                <w:color w:val="auto"/>
                <w:kern w:val="0"/>
                <w:sz w:val="24"/>
                <w:highlight w:val="none"/>
              </w:rPr>
            </w:pPr>
          </w:p>
        </w:tc>
        <w:tc>
          <w:tcPr>
            <w:tcW w:w="458"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p>
        </w:tc>
        <w:tc>
          <w:tcPr>
            <w:tcW w:w="458"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p>
        </w:tc>
        <w:tc>
          <w:tcPr>
            <w:tcW w:w="2443" w:type="pct"/>
            <w:shd w:val="clear" w:color="auto" w:fill="auto"/>
            <w:vAlign w:val="center"/>
          </w:tcPr>
          <w:p>
            <w:pPr>
              <w:spacing w:line="360" w:lineRule="auto"/>
              <w:jc w:val="center"/>
              <w:rPr>
                <w:rFonts w:asciiTheme="minorEastAsia" w:hAnsiTheme="minorEastAsia" w:eastAsiaTheme="minorEastAsia" w:cstheme="minorEastAsia"/>
                <w:color w:val="auto"/>
                <w:kern w:val="0"/>
                <w:sz w:val="24"/>
                <w:highlight w:val="none"/>
              </w:rPr>
            </w:pPr>
          </w:p>
        </w:tc>
        <w:tc>
          <w:tcPr>
            <w:tcW w:w="458"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p>
        </w:tc>
        <w:tc>
          <w:tcPr>
            <w:tcW w:w="458" w:type="pct"/>
            <w:shd w:val="clear" w:color="auto" w:fill="auto"/>
            <w:vAlign w:val="center"/>
          </w:tcPr>
          <w:p>
            <w:pPr>
              <w:spacing w:line="360" w:lineRule="auto"/>
              <w:jc w:val="center"/>
              <w:rPr>
                <w:rFonts w:asciiTheme="minorEastAsia" w:hAnsiTheme="minorEastAsia" w:eastAsiaTheme="minorEastAsia" w:cstheme="minorEastAsia"/>
                <w:color w:val="auto"/>
                <w:sz w:val="24"/>
                <w:highlight w:val="none"/>
              </w:rPr>
            </w:pP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c>
          <w:tcPr>
            <w:tcW w:w="3359" w:type="pct"/>
            <w:gridSpan w:val="3"/>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6"/>
            <w:shd w:val="clear" w:color="auto" w:fill="auto"/>
            <w:vAlign w:val="center"/>
          </w:tcPr>
          <w:p>
            <w:pPr>
              <w:adjustRightInd w:val="0"/>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总金额（含税）大写：小写：</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6"/>
            <w:shd w:val="clear" w:color="auto" w:fill="auto"/>
            <w:vAlign w:val="center"/>
          </w:tcPr>
          <w:p>
            <w:pPr>
              <w:adjustRightInd w:val="0"/>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不含税金额大写：小写：税额：（</w:t>
            </w:r>
            <w:r>
              <w:rPr>
                <w:rFonts w:asciiTheme="minorEastAsia" w:hAnsiTheme="minorEastAsia" w:eastAsiaTheme="minorEastAsia" w:cstheme="minorEastAsia"/>
                <w:color w:val="auto"/>
                <w:sz w:val="24"/>
                <w:highlight w:val="none"/>
              </w:rPr>
              <w:t xml:space="preserve">  %增值税专用发票）</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6"/>
            <w:shd w:val="clear" w:color="auto" w:fill="auto"/>
            <w:vAlign w:val="center"/>
          </w:tcPr>
          <w:p>
            <w:pPr>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1、本合同为总价闭口包干。</w:t>
            </w:r>
            <w:r>
              <w:rPr>
                <w:rFonts w:hint="eastAsia" w:asciiTheme="minorEastAsia" w:hAnsiTheme="minorEastAsia" w:eastAsiaTheme="minorEastAsia" w:cstheme="minorEastAsia"/>
                <w:color w:val="auto"/>
                <w:sz w:val="24"/>
                <w:highlight w:val="none"/>
                <w:u w:val="single"/>
              </w:rPr>
              <w:t>费用已包含备设计、供货、运输、卸车、指导安装、调试（含调试所需的材料、设备、人工等）和试运行的相关手续、维修维护培训、设计出图、检测、提供产品质量证明书、图纸、</w:t>
            </w:r>
            <w:r>
              <w:rPr>
                <w:rFonts w:hint="eastAsia" w:asciiTheme="minorEastAsia" w:hAnsiTheme="minorEastAsia" w:eastAsiaTheme="minorEastAsia" w:cstheme="minorEastAsia"/>
                <w:color w:val="auto"/>
                <w:sz w:val="24"/>
                <w:highlight w:val="none"/>
                <w:u w:val="single"/>
                <w:lang w:eastAsia="zh-CN"/>
              </w:rPr>
              <w:t>锅炉炉膛检修升降平台</w:t>
            </w:r>
            <w:r>
              <w:rPr>
                <w:rFonts w:hint="eastAsia" w:asciiTheme="minorEastAsia" w:hAnsiTheme="minorEastAsia" w:eastAsiaTheme="minorEastAsia" w:cstheme="minorEastAsia"/>
                <w:color w:val="auto"/>
                <w:sz w:val="24"/>
                <w:highlight w:val="none"/>
                <w:u w:val="single"/>
              </w:rPr>
              <w:t>制造监督检验证书等合法报装资料、验收后资料归档、随机专用工具、质保期内备品备件、现场配合及协调、物料及人工涨价、售后服务以及运行期技术服务等一切费用，增值税价（</w:t>
            </w:r>
            <w:r>
              <w:rPr>
                <w:rFonts w:asciiTheme="minorEastAsia" w:hAnsiTheme="minorEastAsia" w:eastAsiaTheme="minorEastAsia" w:cstheme="minorEastAsia"/>
                <w:color w:val="auto"/>
                <w:sz w:val="24"/>
                <w:highlight w:val="none"/>
                <w:u w:val="single"/>
              </w:rPr>
              <w:t xml:space="preserve">   %增值税专用发票）</w:t>
            </w:r>
            <w:r>
              <w:rPr>
                <w:rFonts w:hint="eastAsia" w:asciiTheme="minorEastAsia" w:hAnsiTheme="minorEastAsia" w:eastAsiaTheme="minorEastAsia" w:cstheme="minorEastAsia"/>
                <w:color w:val="auto"/>
                <w:sz w:val="24"/>
                <w:highlight w:val="none"/>
              </w:rPr>
              <w:t>。</w:t>
            </w:r>
          </w:p>
          <w:p>
            <w:pPr>
              <w:adjustRightInd w:val="0"/>
              <w:snapToGrid w:val="0"/>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2、交货（施工）地点：</w:t>
            </w:r>
            <w:r>
              <w:rPr>
                <w:rFonts w:hint="eastAsia" w:asciiTheme="minorEastAsia" w:hAnsiTheme="minorEastAsia" w:eastAsiaTheme="minorEastAsia" w:cstheme="minorEastAsia"/>
                <w:color w:val="auto"/>
                <w:sz w:val="24"/>
                <w:highlight w:val="none"/>
                <w:u w:val="single"/>
              </w:rPr>
              <w:t>漳州招商局经济技术开发区四区兴港南路南段道路西侧场地</w:t>
            </w:r>
            <w:r>
              <w:rPr>
                <w:rFonts w:hint="eastAsia" w:asciiTheme="minorEastAsia" w:hAnsiTheme="minorEastAsia" w:eastAsiaTheme="minorEastAsia" w:cstheme="minorEastAsia"/>
                <w:color w:val="auto"/>
                <w:sz w:val="24"/>
                <w:highlight w:val="none"/>
              </w:rPr>
              <w:t>。</w:t>
            </w:r>
          </w:p>
          <w:p>
            <w:pPr>
              <w:adjustRightInd w:val="0"/>
              <w:snapToGrid w:val="0"/>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3、交货（竣工）日期：</w:t>
            </w:r>
            <w:r>
              <w:rPr>
                <w:rFonts w:hint="eastAsia" w:ascii="仿宋_GB2312" w:hAnsi="黑体" w:eastAsia="仿宋_GB2312" w:cs="MS Gothic"/>
                <w:color w:val="auto"/>
                <w:sz w:val="24"/>
                <w:szCs w:val="24"/>
                <w:highlight w:val="none"/>
                <w:lang w:val="en-US" w:eastAsia="zh-CN"/>
              </w:rPr>
              <w:t>合同生效后30日历天可具备发货条件，接到采购人发货通知后（采购人可在供应商具备发货条件后任意一天均可以）15个日历天内到达采购人指定场地。</w:t>
            </w:r>
          </w:p>
        </w:tc>
      </w:tr>
    </w:tbl>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1.1乙方的所有供货及服务必须完全满足技术规格的要求，技术规格详见合同附件一《技术协议》；</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1.2乙方为甲方设计制造并提供系统所需的设备及材料或工程内容。</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1.3乙方向甲方提供所供设备或工程的以下服务：设计、指导安装、培训、运输（含二次运输、吊卸）、测试验收的服务、质量保证、售后服务等；</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1.4乙方应对本合同项下其承担的全部工作实施有效管理，以确保上作的进度符合合同附件的要求。</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1.5乙方作为设备供应商须配套提供</w:t>
      </w:r>
      <w:r>
        <w:rPr>
          <w:rFonts w:hint="eastAsia" w:asciiTheme="minorEastAsia" w:hAnsiTheme="minorEastAsia" w:eastAsiaTheme="minorEastAsia" w:cstheme="minorEastAsia"/>
          <w:color w:val="auto"/>
          <w:sz w:val="24"/>
          <w:highlight w:val="none"/>
          <w:lang w:eastAsia="zh-CN"/>
        </w:rPr>
        <w:t>锅炉炉膛检修升降平台</w:t>
      </w:r>
      <w:r>
        <w:rPr>
          <w:rFonts w:asciiTheme="minorEastAsia" w:hAnsiTheme="minorEastAsia" w:eastAsiaTheme="minorEastAsia" w:cstheme="minorEastAsia"/>
          <w:color w:val="auto"/>
          <w:sz w:val="24"/>
          <w:highlight w:val="none"/>
        </w:rPr>
        <w:t>设备，设备供应商负责免费提供控制方案给甲方。</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1．6竣工后，乙方应当在验收后30日内将有关技术资料移交使用单位。</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2．货物或工程名称、型号及规格、数量、及交货时间如下所示。</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2.1货物或工程名称、型号及规格：详见合同附件一《技术协议书》</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2.2数量：详见合同附件一《技术协议书》</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2.3完工时间：年月日。</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2.3.1不可抗力或经甲方同意工期顺延的其他情况。</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如施工期间遇到疫情等相关影响导致工期延长，乙方需配合防疫防控措施及现场的管理所产生的费用均应已考虑在报价中，由此延误的费用不再另行计算。</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2.3.2非乙方原因引起的交货期延迟。</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2.4具体的供货范围、技术规格及技术图纸、工程执行计划时间详见合同附件。</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49" w:name="_Toc124269247"/>
      <w:r>
        <w:rPr>
          <w:rFonts w:hint="eastAsia" w:asciiTheme="minorEastAsia" w:hAnsiTheme="minorEastAsia" w:eastAsiaTheme="minorEastAsia" w:cstheme="minorEastAsia"/>
          <w:color w:val="auto"/>
          <w:sz w:val="24"/>
          <w:szCs w:val="24"/>
          <w:highlight w:val="none"/>
        </w:rPr>
        <w:t>二、价格及付款方式</w:t>
      </w:r>
      <w:bookmarkEnd w:id="49"/>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1．合同供货范围：</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乙方应提供完整的</w:t>
      </w:r>
      <w:r>
        <w:rPr>
          <w:rFonts w:hint="eastAsia" w:asciiTheme="minorEastAsia" w:hAnsiTheme="minorEastAsia" w:eastAsiaTheme="minorEastAsia" w:cstheme="minorEastAsia"/>
          <w:color w:val="auto"/>
          <w:sz w:val="24"/>
          <w:highlight w:val="none"/>
          <w:u w:val="single"/>
        </w:rPr>
        <w:t>中粮糖业（漳州）有限公司</w:t>
      </w:r>
      <w:r>
        <w:rPr>
          <w:rFonts w:asciiTheme="minorEastAsia" w:hAnsiTheme="minorEastAsia" w:eastAsiaTheme="minorEastAsia" w:cstheme="minorEastAsia"/>
          <w:color w:val="auto"/>
          <w:sz w:val="24"/>
          <w:highlight w:val="none"/>
          <w:u w:val="single"/>
        </w:rPr>
        <w:t>35万吨/年精炼糖及15万吨/年糖类食品原材料加工项目</w:t>
      </w:r>
      <w:r>
        <w:rPr>
          <w:rFonts w:hint="eastAsia" w:asciiTheme="minorEastAsia" w:hAnsiTheme="minorEastAsia" w:eastAsiaTheme="minorEastAsia" w:cstheme="minorEastAsia"/>
          <w:color w:val="auto"/>
          <w:sz w:val="24"/>
          <w:highlight w:val="none"/>
          <w:u w:val="single"/>
          <w:lang w:eastAsia="zh-CN"/>
        </w:rPr>
        <w:t>锅炉炉膛检修升降平台</w:t>
      </w:r>
      <w:r>
        <w:rPr>
          <w:rFonts w:asciiTheme="minorEastAsia" w:hAnsiTheme="minorEastAsia" w:eastAsiaTheme="minorEastAsia" w:cstheme="minorEastAsia"/>
          <w:color w:val="auto"/>
          <w:sz w:val="24"/>
          <w:highlight w:val="none"/>
          <w:u w:val="single"/>
        </w:rPr>
        <w:t>采购</w:t>
      </w:r>
      <w:r>
        <w:rPr>
          <w:rFonts w:hint="eastAsia" w:asciiTheme="minorEastAsia" w:hAnsiTheme="minorEastAsia" w:eastAsiaTheme="minorEastAsia" w:cstheme="minorEastAsia"/>
          <w:color w:val="auto"/>
          <w:sz w:val="24"/>
          <w:highlight w:val="none"/>
        </w:rPr>
        <w:t>内所有设备及材料，包括完成合同目标所必需的完整的供货和售后等服务，包括但不限于：</w:t>
      </w:r>
      <w:r>
        <w:rPr>
          <w:rFonts w:hint="eastAsia" w:asciiTheme="minorEastAsia" w:hAnsiTheme="minorEastAsia" w:eastAsiaTheme="minorEastAsia" w:cstheme="minorEastAsia"/>
          <w:color w:val="auto"/>
          <w:sz w:val="24"/>
          <w:highlight w:val="none"/>
          <w:u w:val="single"/>
        </w:rPr>
        <w:t>备设计、供货、运输、卸车、</w:t>
      </w:r>
      <w:r>
        <w:rPr>
          <w:rFonts w:hint="eastAsia" w:asciiTheme="minorEastAsia" w:hAnsiTheme="minorEastAsia" w:eastAsiaTheme="minorEastAsia" w:cstheme="minorEastAsia"/>
          <w:color w:val="auto"/>
          <w:sz w:val="24"/>
          <w:highlight w:val="none"/>
          <w:u w:val="single"/>
          <w:lang w:val="en-US" w:eastAsia="zh-CN"/>
        </w:rPr>
        <w:t>指导</w:t>
      </w:r>
      <w:r>
        <w:rPr>
          <w:rFonts w:hint="eastAsia" w:asciiTheme="minorEastAsia" w:hAnsiTheme="minorEastAsia" w:eastAsiaTheme="minorEastAsia" w:cstheme="minorEastAsia"/>
          <w:color w:val="auto"/>
          <w:sz w:val="24"/>
          <w:highlight w:val="none"/>
          <w:u w:val="single"/>
        </w:rPr>
        <w:t>安装、调试（含调试所需的材料、设备、人工等）和试运行的相关手续、维修维护培训、设计出图、检测、提供产品质量证明书、图纸、</w:t>
      </w:r>
      <w:r>
        <w:rPr>
          <w:rFonts w:hint="eastAsia" w:asciiTheme="minorEastAsia" w:hAnsiTheme="minorEastAsia" w:eastAsiaTheme="minorEastAsia" w:cstheme="minorEastAsia"/>
          <w:color w:val="auto"/>
          <w:sz w:val="24"/>
          <w:highlight w:val="none"/>
          <w:u w:val="single"/>
          <w:lang w:eastAsia="zh-CN"/>
        </w:rPr>
        <w:t>锅炉炉膛检修升降平台</w:t>
      </w:r>
      <w:r>
        <w:rPr>
          <w:rFonts w:hint="eastAsia" w:asciiTheme="minorEastAsia" w:hAnsiTheme="minorEastAsia" w:eastAsiaTheme="minorEastAsia" w:cstheme="minorEastAsia"/>
          <w:color w:val="auto"/>
          <w:sz w:val="24"/>
          <w:highlight w:val="none"/>
          <w:u w:val="single"/>
        </w:rPr>
        <w:t>制造监督检验证书等合法报装资料、验收后资料归档、随机专用工具、质保期内备品备件、现场配合及协调、物料及人工涨价、售后服务以及运行期技术服务等等，</w:t>
      </w:r>
      <w:r>
        <w:rPr>
          <w:rFonts w:hint="eastAsia" w:asciiTheme="minorEastAsia" w:hAnsiTheme="minorEastAsia" w:eastAsiaTheme="minorEastAsia" w:cstheme="minorEastAsia"/>
          <w:bCs/>
          <w:color w:val="auto"/>
          <w:sz w:val="24"/>
          <w:highlight w:val="none"/>
          <w:u w:val="single"/>
        </w:rPr>
        <w:t>确保达到</w:t>
      </w:r>
      <w:r>
        <w:rPr>
          <w:rFonts w:hint="eastAsia" w:asciiTheme="minorEastAsia" w:hAnsiTheme="minorEastAsia" w:eastAsiaTheme="minorEastAsia" w:cstheme="minorEastAsia"/>
          <w:color w:val="auto"/>
          <w:sz w:val="24"/>
          <w:highlight w:val="none"/>
          <w:u w:val="single"/>
        </w:rPr>
        <w:t>本合同技术协议部分的要求。</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2．随机备件：乙方免费提供满足合同设备质保期内运行所需的备品备件，详见本合同技术协议部分。</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3.合同款项的支付：</w:t>
      </w:r>
    </w:p>
    <w:p>
      <w:pPr>
        <w:spacing w:line="360" w:lineRule="auto"/>
        <w:ind w:firstLine="482" w:firstLineChars="200"/>
        <w:rPr>
          <w:rFonts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3.1不需安装设备合同款项的支付：</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3.1.1.合同总额：（人民币大写）XXXX（￥XXXX元），开具税率为13%增值税专用发票。</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3.1.2. </w:t>
      </w:r>
      <w:r>
        <w:rPr>
          <w:rFonts w:hint="eastAsia" w:asciiTheme="minorEastAsia" w:hAnsiTheme="minorEastAsia" w:eastAsiaTheme="minorEastAsia" w:cstheme="minorEastAsia"/>
          <w:color w:val="auto"/>
          <w:sz w:val="24"/>
          <w:highlight w:val="none"/>
        </w:rPr>
        <w:t>项目所有的设备、材料全部进入项目施工现场经甲方验收合格后，乙方开具合同总额的</w:t>
      </w:r>
      <w:r>
        <w:rPr>
          <w:rFonts w:asciiTheme="minorEastAsia" w:hAnsiTheme="minorEastAsia" w:eastAsiaTheme="minorEastAsia" w:cstheme="minorEastAsia"/>
          <w:color w:val="auto"/>
          <w:sz w:val="24"/>
          <w:highlight w:val="none"/>
        </w:rPr>
        <w:t>30%的增值税专用发票给甲方，甲方向乙方支付合同总额的30%，金额：（人民币大写）XXXX（￥XXXX元）。</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3.1.3.设备安装完毕，竣工验收合格（静验收），乙方开具合同总额的30%的增值税专用发票给甲方，甲方向乙方支付合同总额的30%，金额：（人民币大写）XXXX（￥XXXX元）。</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3.1.4.竣工验收合格，设备正常使用一个月后，乙方开具合同总额的40%的增值税专用发票给甲方，甲方向乙方支付合同总额的30%，金额：（人民币大写）XXXX元整（￥XXXX元）。</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3.1.5.剩余10%作为质保金，于质保期满且设备无任何质量问题后，甲方向乙方支付合同总额的10%，金额：（人民币大写）XXXX元整（￥XXXX元）。质保期从生产线运行之日起算12个月（如自报质保期多于12个月，按自报质保期签署），或从安装调试工程竣工之日起算质保期月数+6个月，以先到日期为准。</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3.1.6.履约保证金的交付及退还</w:t>
      </w:r>
    </w:p>
    <w:p>
      <w:pPr>
        <w:spacing w:line="360" w:lineRule="auto"/>
        <w:ind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履约保证金（现金或保函）为合同总价的</w:t>
      </w:r>
      <w:r>
        <w:rPr>
          <w:rFonts w:asciiTheme="minorEastAsia" w:hAnsiTheme="minorEastAsia" w:eastAsiaTheme="minorEastAsia" w:cstheme="minorEastAsia"/>
          <w:color w:val="auto"/>
          <w:sz w:val="24"/>
          <w:highlight w:val="none"/>
        </w:rPr>
        <w:t>5%，金额：（人民币大写）XXXX元整（￥XXXX元）。乙方必须于合同签订后15日之内向甲方足额缴纳，甲方于项目竣工且验收合格后30个工作日内将全额履约保证金（现金或保函）无息退还给乙方。</w:t>
      </w:r>
    </w:p>
    <w:p>
      <w:pPr>
        <w:spacing w:line="360" w:lineRule="auto"/>
        <w:ind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担保形式：银行履约保函或履约保证金。履约保函要求为见索即付银行保函，保函受益人为采购人，出具银行限中国工商银行、中国农业银行、中国银行、中国建设银行、中国交通银行、招商银行、中信银行、农业发展银行、平安银行之一，所需费用由供应商承担。</w:t>
      </w:r>
    </w:p>
    <w:p>
      <w:pPr>
        <w:spacing w:line="360" w:lineRule="auto"/>
        <w:ind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履约担保期限：履约保函自开具之日起至验收合格并结算审核完毕后</w:t>
      </w:r>
      <w:r>
        <w:rPr>
          <w:rFonts w:asciiTheme="minorEastAsia" w:hAnsiTheme="minorEastAsia" w:eastAsiaTheme="minorEastAsia" w:cstheme="minorEastAsia"/>
          <w:color w:val="auto"/>
          <w:sz w:val="24"/>
          <w:highlight w:val="none"/>
        </w:rPr>
        <w:t>7天内保持有效；履约保证金或履约保函原件在工程完工验收合格并结算审核完毕7天后，</w:t>
      </w:r>
      <w:r>
        <w:rPr>
          <w:rFonts w:hint="eastAsia" w:asciiTheme="minorEastAsia" w:hAnsiTheme="minorEastAsia" w:eastAsiaTheme="minorEastAsia" w:cstheme="minorEastAsia"/>
          <w:color w:val="auto"/>
          <w:sz w:val="24"/>
          <w:highlight w:val="none"/>
        </w:rPr>
        <w:t>成交人提交书面退还申请、采购人审核确认具备退还条件后无息退还。如成交人提供的保函提前失效，则成交人须在保函失效前完成保函续期。如履约保函到期后成交人未能及时续期以保证保函在合同约定期限内持续有效，采购人将有权暂停支付合同款项直至成交人完成保函续期并满足合同中保函有效期的相关要求为止。</w:t>
      </w:r>
    </w:p>
    <w:p>
      <w:pPr>
        <w:spacing w:line="360" w:lineRule="auto"/>
        <w:ind w:firstLine="482" w:firstLineChars="200"/>
        <w:rPr>
          <w:rFonts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3.2需安装与调试设备合同款项的支付：</w:t>
      </w:r>
      <w:r>
        <w:rPr>
          <w:rFonts w:hint="eastAsia" w:asciiTheme="minorEastAsia" w:hAnsiTheme="minorEastAsia" w:eastAsiaTheme="minorEastAsia" w:cstheme="minorEastAsia"/>
          <w:b/>
          <w:bCs/>
          <w:color w:val="auto"/>
          <w:sz w:val="24"/>
          <w:highlight w:val="none"/>
        </w:rPr>
        <w:t>（不适用）</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3.2.1.合同总额：（人民币大写）XXXX（￥XXXX元），开具税率为13%增值税专用发票，乙方须在付款至80%时开具全额增值税专用发票给甲方。</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3.2.2.合同签署后，甲方支付合同金额的20%作为预付款，金额：（人民币大写）XXXX（￥XXXX元），乙方同时向甲方提供等额预付款保函、付款申请及增值税专用发票；</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付款保函：要求为见索即付银行保函，保函受益人为采购人，出具银行限限中国工商银行、中国农业银行、中国银行、中国建设银行、中国交通银行、招商银行、中信银行、农业发展银行、平安银行之一，所需费用由供应商承担。</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预付款保函退还及条件：竣工验收合格，在成交人提交书面退还申请、采购人审核确认具备退还条件后无息退还。</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3.2.3设备、材料及人员均到场并经甲方、监理查验合格后，甲方向乙方支付至合同总额的50%，金额：（人民币大写）XXXX（￥XXXX元）。</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3.2.4.设备安装完毕，竣工验收合格（含设备试运转），甲方向乙方支付至合同总额的80%，金额：（人民币大写）XXXX（￥XXXX元）。</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3.2.5.竣工验收合格，设备正常使用一个月，完成定案结算审计，出具工程结算审核定案表，同时完成相关政府管理部门验收备案并取得相关证明文件后，甲方向乙方支付至结算总额的90%，金额：（人民币大写）XXXX元整（￥XXXX元）。</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3.2.5.剩余10%作为质保金，于质保期满且设备无任何质量问题后，甲方向乙方支付合同总额的10%，金额：（人民币大写）XXXX元整（￥XXXX元）。质保期从生产线运行之日起算12个月（如自报质保期多于12个月，按自报质保期签署），或从安装调试工程竣工之日起算质保期月数+6个月，以先到日期为准。</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3.2.6.履约保证金的交付及退还</w:t>
      </w:r>
    </w:p>
    <w:p>
      <w:pPr>
        <w:spacing w:line="360" w:lineRule="auto"/>
        <w:ind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履约保证金（现金或保函）为合同总价的</w:t>
      </w:r>
      <w:r>
        <w:rPr>
          <w:rFonts w:asciiTheme="minorEastAsia" w:hAnsiTheme="minorEastAsia" w:eastAsiaTheme="minorEastAsia" w:cstheme="minorEastAsia"/>
          <w:color w:val="auto"/>
          <w:sz w:val="24"/>
          <w:highlight w:val="none"/>
        </w:rPr>
        <w:t>5%，金额：（人民币大写）XXXX元整（￥XXXX元）。乙方必须于合同签订后15日之内向甲方足额缴纳，甲方于项目竣工且验收合格后30个工作日内将全额履约保证金（现金或保函）无息退还给乙方。</w:t>
      </w:r>
    </w:p>
    <w:p>
      <w:pPr>
        <w:spacing w:line="360" w:lineRule="auto"/>
        <w:ind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担保形式：银行履约保函或履约保证金。履约保函要求为见索即付银行保函，保函受益人为采购人，出具银行限中国工商银行、中国农业银行、中国银行、中国建设银行、中国交通银行、招商银行、中信银行、农业发展银行、平安银行之一，所需费用由供应商承担。</w:t>
      </w:r>
    </w:p>
    <w:p>
      <w:pPr>
        <w:spacing w:line="360" w:lineRule="auto"/>
        <w:ind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履约担保期限：履约保函自开具之日起至验收合格并结算审核完毕后</w:t>
      </w:r>
      <w:r>
        <w:rPr>
          <w:rFonts w:asciiTheme="minorEastAsia" w:hAnsiTheme="minorEastAsia" w:eastAsiaTheme="minorEastAsia" w:cstheme="minorEastAsia"/>
          <w:color w:val="auto"/>
          <w:sz w:val="24"/>
          <w:highlight w:val="none"/>
        </w:rPr>
        <w:t>7天内保持有效；履约保证金或履约保函原件在工程完工验收合格并结算审核完毕7天后，</w:t>
      </w:r>
      <w:r>
        <w:rPr>
          <w:rFonts w:hint="eastAsia" w:asciiTheme="minorEastAsia" w:hAnsiTheme="minorEastAsia" w:eastAsiaTheme="minorEastAsia" w:cstheme="minorEastAsia"/>
          <w:color w:val="auto"/>
          <w:sz w:val="24"/>
          <w:highlight w:val="none"/>
        </w:rPr>
        <w:t>成交人提交书面退还申请、采购人审核确认具备退还条件后无息退还。如成交人提供的保函提前失效，则成交人须在保函失效前完成保函续期。如履约保函到期后成交人未能及时续期以保证保函在合同约定期限内持续有效，采购人将有权暂停支付合同款项直至成交人完成保函续期并满足合同中保函有效期的相关要求为止。</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50" w:name="_Toc124269248"/>
      <w:r>
        <w:rPr>
          <w:rFonts w:hint="eastAsia" w:asciiTheme="minorEastAsia" w:hAnsiTheme="minorEastAsia" w:eastAsiaTheme="minorEastAsia" w:cstheme="minorEastAsia"/>
          <w:color w:val="auto"/>
          <w:sz w:val="24"/>
          <w:szCs w:val="24"/>
          <w:highlight w:val="none"/>
        </w:rPr>
        <w:t>三、铭牌及标准</w:t>
      </w:r>
      <w:bookmarkEnd w:id="50"/>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1.铭牌</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铭牌至少应该有下列内容（包括但不限于此）：设备名称、规格型号、制作厂家、主要技术参数、出厂年份、出厂编号等。</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2．标准：本合同所指的货物或工程及服务应符合相关国家行业标准或制造国国家标准。</w:t>
      </w:r>
    </w:p>
    <w:p>
      <w:pPr>
        <w:pStyle w:val="4"/>
        <w:spacing w:before="0" w:after="0" w:line="360" w:lineRule="auto"/>
        <w:rPr>
          <w:rFonts w:asciiTheme="minorEastAsia" w:hAnsiTheme="minorEastAsia" w:eastAsiaTheme="minorEastAsia" w:cstheme="minorEastAsia"/>
          <w:color w:val="auto"/>
          <w:sz w:val="24"/>
          <w:szCs w:val="24"/>
          <w:highlight w:val="none"/>
        </w:rPr>
      </w:pPr>
      <w:bookmarkStart w:id="51" w:name="_Toc124269249"/>
      <w:r>
        <w:rPr>
          <w:rFonts w:hint="eastAsia" w:asciiTheme="minorEastAsia" w:hAnsiTheme="minorEastAsia" w:eastAsiaTheme="minorEastAsia" w:cstheme="minorEastAsia"/>
          <w:color w:val="auto"/>
          <w:sz w:val="24"/>
          <w:szCs w:val="24"/>
          <w:highlight w:val="none"/>
        </w:rPr>
        <w:t>四、性能考核</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1）设备能力达到要求。</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2）设备故障率低于1%；</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以上要求在实施过程中若不能达到，则甲方有权要求乙方进行持续改造直至性能达标，改造产生的所有费用均由乙方承担，且每有一项不满足将对乙方进行</w:t>
      </w:r>
      <w:r>
        <w:rPr>
          <w:rFonts w:asciiTheme="minorEastAsia" w:hAnsiTheme="minorEastAsia" w:eastAsiaTheme="minorEastAsia" w:cstheme="minorEastAsia"/>
          <w:color w:val="auto"/>
          <w:sz w:val="24"/>
          <w:highlight w:val="none"/>
        </w:rPr>
        <w:t>1%合同总额的罚款，且若因改造造成甲方损失的，乙方还需进行损失赔偿，赔偿金额优先从质保金中扣除，超出部分则由乙方另行支付。</w:t>
      </w:r>
    </w:p>
    <w:p>
      <w:pPr>
        <w:pStyle w:val="4"/>
        <w:spacing w:before="0" w:after="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五、交货</w:t>
      </w:r>
      <w:bookmarkEnd w:id="51"/>
    </w:p>
    <w:p>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1．交货地点：</w:t>
      </w:r>
      <w:r>
        <w:rPr>
          <w:rFonts w:hint="eastAsia" w:asciiTheme="minorEastAsia" w:hAnsiTheme="minorEastAsia" w:eastAsiaTheme="minorEastAsia" w:cstheme="minorEastAsia"/>
          <w:color w:val="auto"/>
          <w:kern w:val="0"/>
          <w:sz w:val="24"/>
          <w:highlight w:val="none"/>
          <w:u w:val="single"/>
        </w:rPr>
        <w:t>福建省漳州开发区四区兴港南路南段道路西侧场地中粮糖业（漳州）有限公司</w:t>
      </w:r>
      <w:r>
        <w:rPr>
          <w:rFonts w:hint="eastAsia" w:asciiTheme="minorEastAsia" w:hAnsiTheme="minorEastAsia" w:eastAsiaTheme="minorEastAsia" w:cstheme="minorEastAsia"/>
          <w:color w:val="auto"/>
          <w:sz w:val="24"/>
          <w:highlight w:val="none"/>
        </w:rPr>
        <w:t>。</w:t>
      </w:r>
    </w:p>
    <w:p>
      <w:pPr>
        <w:adjustRightInd w:val="0"/>
        <w:snapToGrid w:val="0"/>
        <w:spacing w:line="360" w:lineRule="auto"/>
        <w:ind w:firstLine="6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2．乙方本合同要求的交货时间将货物运至合同交货地点卸货后（连同货物清单）于甲方一起核验后，由乙方负责卸车及保管。</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3.运输费用已含在合同总价款内由乙方承担。因运输过程造成的货物损坏或丢失，均由乙方负责修复或补齐，且交货期不能影响工期。</w:t>
      </w:r>
    </w:p>
    <w:p>
      <w:pPr>
        <w:pStyle w:val="4"/>
        <w:spacing w:before="0" w:after="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六、组成合同的文件</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组成本合同的文件包括：</w:t>
      </w:r>
    </w:p>
    <w:p>
      <w:pPr>
        <w:adjustRightInd w:val="0"/>
        <w:snapToGrid w:val="0"/>
        <w:spacing w:line="360" w:lineRule="auto"/>
        <w:ind w:firstLine="456" w:firstLineChars="19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1．合同通用条款</w:t>
      </w:r>
    </w:p>
    <w:p>
      <w:pPr>
        <w:adjustRightInd w:val="0"/>
        <w:snapToGrid w:val="0"/>
        <w:spacing w:line="360" w:lineRule="auto"/>
        <w:ind w:firstLine="456" w:firstLineChars="19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2．合同专用条款</w:t>
      </w:r>
    </w:p>
    <w:p>
      <w:pPr>
        <w:adjustRightInd w:val="0"/>
        <w:snapToGrid w:val="0"/>
        <w:spacing w:line="360" w:lineRule="auto"/>
        <w:ind w:firstLine="456" w:firstLineChars="19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3．合同附件一：技术协议书</w:t>
      </w:r>
    </w:p>
    <w:p>
      <w:pPr>
        <w:adjustRightInd w:val="0"/>
        <w:snapToGrid w:val="0"/>
        <w:spacing w:line="360" w:lineRule="auto"/>
        <w:ind w:firstLine="456" w:firstLineChars="19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4．合同附件二：廉洁承诺</w:t>
      </w:r>
    </w:p>
    <w:p>
      <w:pPr>
        <w:adjustRightInd w:val="0"/>
        <w:snapToGrid w:val="0"/>
        <w:spacing w:line="360" w:lineRule="auto"/>
        <w:ind w:firstLine="456" w:firstLineChars="19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5. </w:t>
      </w:r>
      <w:r>
        <w:rPr>
          <w:rFonts w:hint="eastAsia" w:asciiTheme="minorEastAsia" w:hAnsiTheme="minorEastAsia" w:eastAsiaTheme="minorEastAsia" w:cstheme="minorEastAsia"/>
          <w:color w:val="auto"/>
          <w:sz w:val="24"/>
          <w:highlight w:val="none"/>
        </w:rPr>
        <w:t>合同附件三：环保协议书</w:t>
      </w:r>
    </w:p>
    <w:p>
      <w:pPr>
        <w:tabs>
          <w:tab w:val="center" w:pos="5087"/>
        </w:tabs>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6. </w:t>
      </w:r>
      <w:r>
        <w:rPr>
          <w:rFonts w:hint="eastAsia" w:asciiTheme="minorEastAsia" w:hAnsiTheme="minorEastAsia" w:eastAsiaTheme="minorEastAsia" w:cstheme="minorEastAsia"/>
          <w:color w:val="auto"/>
          <w:sz w:val="24"/>
          <w:highlight w:val="none"/>
        </w:rPr>
        <w:t>合同附件四：安全管理协议书</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7.合同附件五：承诺函</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七、乙方向甲方承诺按照合同约定进行供货并在质量保修期内承担质量保修责任。</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八、甲方向乙方承诺按照合同约定的期限和方式支付合同价款及其他应当支付的款项。</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九、解决合同纠纷方式：在合同履行期间出现问题，双方本着相互谅解的态度协商解决。若协商不成，任何一方均可向甲方所在地人民法院提起诉讼，由此产生的律师费、交通费等相关费用由违约方承担。</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highlight w:val="none"/>
        </w:rPr>
        <w:t>十、廉洁条款：甲乙双方及其员工不得向对方及其员工实施商业贿赂行为，包括但不限于给予回扣、礼品、馈赠、娱乐、招待等行为；甲乙双方及其员工不得向对方及其员工索要财务；甲方发现乙方或乙方员工向甲方或甲方员工实施前两款行为的，甲方有权单方面解除本合同，同时乙方应向甲方支付合同总金额</w:t>
      </w:r>
      <w:r>
        <w:rPr>
          <w:rFonts w:asciiTheme="minorEastAsia" w:hAnsiTheme="minorEastAsia" w:eastAsiaTheme="minorEastAsia" w:cstheme="minorEastAsia"/>
          <w:color w:val="auto"/>
          <w:sz w:val="24"/>
          <w:highlight w:val="none"/>
        </w:rPr>
        <w:t>10%的违约金；乙方发现甲方或甲方员工向乙方或乙方员工实施前两款行为的，应通过①寄信：通讯地址为北京市朝阳区朝阳门南大街8号中粮福临门大厦9层905房间，中粮糖业纪委办公室收，邮编100020；②致电：电话为010-85017235向甲方予以举报，如乙方不予举报的，甲方发现后有权单方解除本合同。</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十一、本合同壹式玖份（贰正柒副），甲方执壹正伍副，乙方执壹正贰副），自法人或其他组织盖章、自然人签字之日生效。</w:t>
      </w:r>
    </w:p>
    <w:tbl>
      <w:tblPr>
        <w:tblStyle w:val="22"/>
        <w:tblpPr w:leftFromText="180" w:rightFromText="180" w:vertAnchor="text" w:horzAnchor="margin" w:tblpY="1394"/>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4947"/>
        <w:gridCol w:w="5015"/>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483" w:type="pct"/>
            <w:shd w:val="clear" w:color="auto" w:fill="auto"/>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w:t>
            </w:r>
            <w:r>
              <w:rPr>
                <w:rFonts w:hint="eastAsia" w:asciiTheme="minorEastAsia" w:hAnsiTheme="minorEastAsia" w:eastAsiaTheme="minorEastAsia" w:cstheme="minorEastAsia"/>
                <w:color w:val="auto"/>
                <w:sz w:val="24"/>
                <w:highlight w:val="none"/>
                <w:u w:val="single"/>
              </w:rPr>
              <w:t>中粮糖业（漳州）有限公司</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单位地址：</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电话号码：</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传真号码：</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帐号：</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税号：</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邮编：</w:t>
            </w:r>
          </w:p>
          <w:p>
            <w:pPr>
              <w:adjustRightInd w:val="0"/>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签订日期：年月日</w:t>
            </w:r>
          </w:p>
        </w:tc>
        <w:tc>
          <w:tcPr>
            <w:tcW w:w="2517" w:type="pct"/>
            <w:shd w:val="clear" w:color="auto" w:fill="auto"/>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单位地址：</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电话号码：</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传真号码：</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帐号：</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税号：</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邮编：</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签订日期：年月日</w:t>
            </w:r>
          </w:p>
        </w:tc>
      </w:tr>
    </w:tbl>
    <w:p>
      <w:pPr>
        <w:widowControl/>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br w:type="page"/>
      </w:r>
    </w:p>
    <w:p>
      <w:pPr>
        <w:pStyle w:val="3"/>
        <w:spacing w:before="0" w:after="0" w:line="360" w:lineRule="auto"/>
        <w:jc w:val="center"/>
        <w:rPr>
          <w:rFonts w:asciiTheme="minorEastAsia" w:hAnsiTheme="minorEastAsia" w:eastAsiaTheme="minorEastAsia" w:cstheme="minorEastAsia"/>
          <w:color w:val="auto"/>
          <w:sz w:val="24"/>
          <w:szCs w:val="24"/>
          <w:highlight w:val="none"/>
        </w:rPr>
      </w:pPr>
      <w:bookmarkStart w:id="52" w:name="_Toc124269250"/>
      <w:r>
        <w:rPr>
          <w:rFonts w:hint="eastAsia" w:asciiTheme="minorEastAsia" w:hAnsiTheme="minorEastAsia" w:eastAsiaTheme="minorEastAsia" w:cstheme="minorEastAsia"/>
          <w:color w:val="auto"/>
          <w:sz w:val="24"/>
          <w:szCs w:val="24"/>
          <w:highlight w:val="none"/>
        </w:rPr>
        <w:t>合同附件</w:t>
      </w:r>
      <w:bookmarkEnd w:id="52"/>
    </w:p>
    <w:p>
      <w:pPr>
        <w:pStyle w:val="4"/>
        <w:spacing w:before="0" w:after="0" w:line="360" w:lineRule="auto"/>
        <w:rPr>
          <w:rFonts w:asciiTheme="minorEastAsia" w:hAnsiTheme="minorEastAsia" w:eastAsiaTheme="minorEastAsia" w:cstheme="minorEastAsia"/>
          <w:color w:val="auto"/>
          <w:sz w:val="24"/>
          <w:szCs w:val="24"/>
          <w:highlight w:val="none"/>
        </w:rPr>
      </w:pPr>
      <w:bookmarkStart w:id="53" w:name="_Toc124269251"/>
      <w:r>
        <w:rPr>
          <w:rFonts w:hint="eastAsia" w:asciiTheme="minorEastAsia" w:hAnsiTheme="minorEastAsia" w:eastAsiaTheme="minorEastAsia" w:cstheme="minorEastAsia"/>
          <w:color w:val="auto"/>
          <w:sz w:val="24"/>
          <w:szCs w:val="24"/>
          <w:highlight w:val="none"/>
        </w:rPr>
        <w:t>附件</w:t>
      </w:r>
      <w:r>
        <w:rPr>
          <w:rFonts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rPr>
        <w:t>技术协议书</w:t>
      </w:r>
      <w:bookmarkEnd w:id="53"/>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技术协议书</w:t>
      </w:r>
    </w:p>
    <w:p>
      <w:pPr>
        <w:tabs>
          <w:tab w:val="left" w:pos="8148"/>
        </w:tabs>
        <w:spacing w:line="360" w:lineRule="auto"/>
        <w:jc w:val="left"/>
        <w:rPr>
          <w:rFonts w:asciiTheme="minorEastAsia" w:hAnsiTheme="minorEastAsia" w:eastAsiaTheme="minorEastAsia" w:cstheme="minorEastAsia"/>
          <w:b/>
          <w:bCs/>
          <w:color w:val="auto"/>
          <w:sz w:val="24"/>
          <w:highlight w:val="none"/>
        </w:rPr>
      </w:pP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中粮糖业（漳州）有限公司</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经双方充分协商，甲方委托乙方承接</w:t>
      </w:r>
      <w:r>
        <w:rPr>
          <w:rFonts w:asciiTheme="minorEastAsia" w:hAnsiTheme="minorEastAsia" w:eastAsiaTheme="minorEastAsia" w:cstheme="minorEastAsia"/>
          <w:color w:val="auto"/>
          <w:sz w:val="24"/>
          <w:highlight w:val="none"/>
          <w:u w:val="single"/>
        </w:rPr>
        <w:t>XXXXX</w:t>
      </w:r>
      <w:r>
        <w:rPr>
          <w:rFonts w:hint="eastAsia" w:asciiTheme="minorEastAsia" w:hAnsiTheme="minorEastAsia" w:eastAsiaTheme="minorEastAsia" w:cstheme="minorEastAsia"/>
          <w:color w:val="auto"/>
          <w:sz w:val="24"/>
          <w:highlight w:val="none"/>
        </w:rPr>
        <w:t>项目</w:t>
      </w:r>
      <w:r>
        <w:rPr>
          <w:rFonts w:asciiTheme="minorEastAsia" w:hAnsiTheme="minorEastAsia" w:eastAsiaTheme="minorEastAsia" w:cstheme="minorEastAsia"/>
          <w:color w:val="auto"/>
          <w:sz w:val="24"/>
          <w:highlight w:val="none"/>
          <w:u w:val="single"/>
        </w:rPr>
        <w:t>XXXXX</w:t>
      </w:r>
      <w:r>
        <w:rPr>
          <w:rFonts w:hint="eastAsia" w:asciiTheme="minorEastAsia" w:hAnsiTheme="minorEastAsia" w:eastAsiaTheme="minorEastAsia" w:cstheme="minorEastAsia"/>
          <w:color w:val="auto"/>
          <w:sz w:val="24"/>
          <w:highlight w:val="none"/>
        </w:rPr>
        <w:t>设备的供货及制作、指导安装、调试、使用及维修维护培训。为了更好地执行合同的相关条款，特制订本技术要求，以资双方共同遵照。</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第一条</w:t>
      </w:r>
      <w:r>
        <w:rPr>
          <w:rFonts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b/>
          <w:color w:val="auto"/>
          <w:sz w:val="24"/>
          <w:highlight w:val="none"/>
        </w:rPr>
        <w:t>主体设备技术参数</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第二条</w:t>
      </w:r>
      <w:r>
        <w:rPr>
          <w:rFonts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b/>
          <w:color w:val="auto"/>
          <w:sz w:val="24"/>
          <w:highlight w:val="none"/>
        </w:rPr>
        <w:t>项目内容设备材料供货、指导安装范围</w:t>
      </w:r>
    </w:p>
    <w:tbl>
      <w:tblPr>
        <w:tblStyle w:val="22"/>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528"/>
        <w:gridCol w:w="1504"/>
        <w:gridCol w:w="3606"/>
        <w:gridCol w:w="576"/>
        <w:gridCol w:w="1074"/>
        <w:gridCol w:w="2674"/>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755" w:type="pct"/>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项目及材料名称</w:t>
            </w:r>
          </w:p>
        </w:tc>
        <w:tc>
          <w:tcPr>
            <w:tcW w:w="1810" w:type="pct"/>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规格型号</w:t>
            </w:r>
          </w:p>
        </w:tc>
        <w:tc>
          <w:tcPr>
            <w:tcW w:w="289" w:type="pct"/>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单位</w:t>
            </w:r>
          </w:p>
        </w:tc>
        <w:tc>
          <w:tcPr>
            <w:tcW w:w="539" w:type="pct"/>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数量</w:t>
            </w:r>
          </w:p>
        </w:tc>
        <w:tc>
          <w:tcPr>
            <w:tcW w:w="1342" w:type="pct"/>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备注</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7</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color w:val="auto"/>
                <w:kern w:val="0"/>
                <w:sz w:val="24"/>
                <w:highlight w:val="none"/>
              </w:rPr>
            </w:pPr>
          </w:p>
        </w:tc>
      </w:tr>
    </w:tbl>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第三条</w:t>
      </w:r>
      <w:r>
        <w:rPr>
          <w:rFonts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b/>
          <w:color w:val="auto"/>
          <w:sz w:val="24"/>
          <w:highlight w:val="none"/>
        </w:rPr>
        <w:t>其他要求</w:t>
      </w:r>
    </w:p>
    <w:p>
      <w:pPr>
        <w:spacing w:line="360" w:lineRule="auto"/>
        <w:ind w:firstLine="482" w:firstLineChars="200"/>
        <w:rPr>
          <w:rFonts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color w:val="auto"/>
          <w:sz w:val="24"/>
          <w:highlight w:val="none"/>
        </w:rPr>
        <w:t>1.</w:t>
      </w:r>
    </w:p>
    <w:p>
      <w:pPr>
        <w:spacing w:line="360" w:lineRule="auto"/>
        <w:ind w:firstLine="482" w:firstLineChars="200"/>
        <w:rPr>
          <w:rFonts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color w:val="auto"/>
          <w:sz w:val="24"/>
          <w:highlight w:val="none"/>
        </w:rPr>
        <w:t>2.</w:t>
      </w:r>
    </w:p>
    <w:p>
      <w:pPr>
        <w:spacing w:line="360" w:lineRule="auto"/>
        <w:ind w:firstLine="482" w:firstLineChars="200"/>
        <w:rPr>
          <w:rFonts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color w:val="auto"/>
          <w:sz w:val="24"/>
          <w:highlight w:val="none"/>
        </w:rPr>
        <w:t>3.</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第四条</w:t>
      </w:r>
      <w:r>
        <w:rPr>
          <w:rFonts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b/>
          <w:color w:val="auto"/>
          <w:sz w:val="24"/>
          <w:highlight w:val="none"/>
        </w:rPr>
        <w:t>设备验收</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4.1设备验收方法</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4.2发货前：乙方应对设备的质量、规格、性能、数量和重量等进行详细而全面的检验，</w:t>
      </w:r>
      <w:r>
        <w:rPr>
          <w:rFonts w:hint="eastAsia" w:asciiTheme="minorEastAsia" w:hAnsiTheme="minorEastAsia" w:eastAsiaTheme="minorEastAsia" w:cstheme="minorEastAsia"/>
          <w:color w:val="auto"/>
          <w:sz w:val="24"/>
          <w:highlight w:val="none"/>
        </w:rPr>
        <w:t>出具一份证明设备符合规定的证书，该证书将作为申请付款凭据的一部分，但有关质量、规格性能、数量或重量的检验不应视为最终检验。</w:t>
      </w:r>
    </w:p>
    <w:p>
      <w:pPr>
        <w:spacing w:line="360" w:lineRule="auto"/>
        <w:ind w:firstLine="42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4.3到货后验收：设备运抵现场后，甲方将对设备的质量、规格、数量和重量进行检验，并按技术要求进行验收。</w:t>
      </w:r>
    </w:p>
    <w:p>
      <w:pPr>
        <w:spacing w:line="360" w:lineRule="auto"/>
        <w:ind w:firstLine="42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4.4设备竣工验收：管道、设备经乙方指导安装、设备空载试运行正常即为设备竣工验收合格。</w:t>
      </w:r>
    </w:p>
    <w:p>
      <w:pPr>
        <w:spacing w:line="360" w:lineRule="auto"/>
        <w:ind w:firstLine="42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4.5性能验收：管道、设备正常运行达到本合同技术协议部分所设计的工艺、质量、机械性能及其他使用要求。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第五条</w:t>
      </w:r>
      <w:r>
        <w:rPr>
          <w:rFonts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b/>
          <w:color w:val="auto"/>
          <w:sz w:val="24"/>
          <w:highlight w:val="none"/>
        </w:rPr>
        <w:t>乙方的技术服务</w:t>
      </w:r>
    </w:p>
    <w:p>
      <w:pPr>
        <w:tabs>
          <w:tab w:val="left" w:pos="0"/>
        </w:tabs>
        <w:adjustRightInd w:val="0"/>
        <w:snapToGrid w:val="0"/>
        <w:spacing w:line="360" w:lineRule="auto"/>
        <w:ind w:firstLine="420" w:firstLineChars="175"/>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5.1乙方在合同生效后15天内向甲方提供土建设计需要的技术数据。</w:t>
      </w:r>
    </w:p>
    <w:p>
      <w:pPr>
        <w:tabs>
          <w:tab w:val="left" w:pos="0"/>
        </w:tabs>
        <w:adjustRightInd w:val="0"/>
        <w:snapToGrid w:val="0"/>
        <w:spacing w:line="360" w:lineRule="auto"/>
        <w:ind w:firstLine="420" w:firstLineChars="175"/>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5.2乙方向甲方提供如下的技术资料。设备出厂时，必须随机交付技术资料，其内容包括：</w:t>
      </w:r>
    </w:p>
    <w:p>
      <w:pPr>
        <w:tabs>
          <w:tab w:val="left" w:pos="0"/>
        </w:tabs>
        <w:adjustRightInd w:val="0"/>
        <w:snapToGrid w:val="0"/>
        <w:spacing w:line="360" w:lineRule="auto"/>
        <w:ind w:firstLine="420" w:firstLineChars="175"/>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bCs/>
          <w:color w:val="auto"/>
          <w:sz w:val="24"/>
          <w:highlight w:val="none"/>
        </w:rPr>
        <w:t xml:space="preserve">5.2.1 </w:t>
      </w:r>
      <w:r>
        <w:rPr>
          <w:rFonts w:hint="eastAsia" w:asciiTheme="minorEastAsia" w:hAnsiTheme="minorEastAsia" w:eastAsiaTheme="minorEastAsia" w:cstheme="minorEastAsia"/>
          <w:color w:val="auto"/>
          <w:sz w:val="24"/>
          <w:highlight w:val="none"/>
        </w:rPr>
        <w:t>设备供货清单及设备装箱清单（一份）。</w:t>
      </w:r>
    </w:p>
    <w:p>
      <w:pPr>
        <w:tabs>
          <w:tab w:val="left" w:pos="0"/>
          <w:tab w:val="left" w:pos="525"/>
        </w:tabs>
        <w:adjustRightInd w:val="0"/>
        <w:snapToGrid w:val="0"/>
        <w:spacing w:line="360" w:lineRule="auto"/>
        <w:ind w:firstLine="420" w:firstLineChars="175"/>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bCs/>
          <w:color w:val="auto"/>
          <w:sz w:val="24"/>
          <w:highlight w:val="none"/>
        </w:rPr>
        <w:t xml:space="preserve">5.2.2 </w:t>
      </w:r>
      <w:r>
        <w:rPr>
          <w:rFonts w:hint="eastAsia" w:asciiTheme="minorEastAsia" w:hAnsiTheme="minorEastAsia" w:eastAsiaTheme="minorEastAsia" w:cstheme="minorEastAsia"/>
          <w:color w:val="auto"/>
          <w:sz w:val="24"/>
          <w:highlight w:val="none"/>
        </w:rPr>
        <w:t>设备的指导安装、运行、维护、使用、操作说明书（二份）。</w:t>
      </w:r>
    </w:p>
    <w:p>
      <w:pPr>
        <w:tabs>
          <w:tab w:val="left" w:pos="0"/>
          <w:tab w:val="left" w:pos="525"/>
        </w:tabs>
        <w:adjustRightInd w:val="0"/>
        <w:snapToGrid w:val="0"/>
        <w:spacing w:line="360" w:lineRule="auto"/>
        <w:ind w:firstLine="420" w:firstLineChars="175"/>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5.2.3 </w:t>
      </w:r>
      <w:r>
        <w:rPr>
          <w:rFonts w:hint="eastAsia" w:asciiTheme="minorEastAsia" w:hAnsiTheme="minorEastAsia" w:eastAsiaTheme="minorEastAsia" w:cstheme="minorEastAsia"/>
          <w:color w:val="auto"/>
          <w:sz w:val="24"/>
          <w:highlight w:val="none"/>
        </w:rPr>
        <w:t>设备总图（含详细明细表）及易损件所在部位的部件图（二份）。</w:t>
      </w:r>
    </w:p>
    <w:p>
      <w:pPr>
        <w:tabs>
          <w:tab w:val="left" w:pos="0"/>
          <w:tab w:val="left" w:pos="525"/>
        </w:tabs>
        <w:adjustRightInd w:val="0"/>
        <w:snapToGrid w:val="0"/>
        <w:spacing w:line="360" w:lineRule="auto"/>
        <w:ind w:firstLine="420" w:firstLineChars="175"/>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5.2.4 </w:t>
      </w:r>
      <w:r>
        <w:rPr>
          <w:rFonts w:hint="eastAsia" w:asciiTheme="minorEastAsia" w:hAnsiTheme="minorEastAsia" w:eastAsiaTheme="minorEastAsia" w:cstheme="minorEastAsia"/>
          <w:color w:val="auto"/>
          <w:sz w:val="24"/>
          <w:highlight w:val="none"/>
        </w:rPr>
        <w:t>设备易损件清单及图纸（二份）。</w:t>
      </w:r>
    </w:p>
    <w:p>
      <w:pPr>
        <w:tabs>
          <w:tab w:val="left" w:pos="0"/>
          <w:tab w:val="left" w:pos="525"/>
        </w:tabs>
        <w:adjustRightInd w:val="0"/>
        <w:snapToGrid w:val="0"/>
        <w:spacing w:line="360" w:lineRule="auto"/>
        <w:ind w:firstLine="420" w:firstLineChars="175"/>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5.2.5 </w:t>
      </w:r>
      <w:r>
        <w:rPr>
          <w:rFonts w:hint="eastAsia" w:asciiTheme="minorEastAsia" w:hAnsiTheme="minorEastAsia" w:eastAsiaTheme="minorEastAsia" w:cstheme="minorEastAsia"/>
          <w:color w:val="auto"/>
          <w:sz w:val="24"/>
          <w:highlight w:val="none"/>
        </w:rPr>
        <w:t>需要提供的其他资料（一份）</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第六条</w:t>
      </w:r>
      <w:r>
        <w:rPr>
          <w:rFonts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b/>
          <w:color w:val="auto"/>
          <w:sz w:val="24"/>
          <w:highlight w:val="none"/>
        </w:rPr>
        <w:t>乙方的免费技术服务</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6.1甲方对乙方提供的设备有疑问的，乙方负责24小时内给予答复及派人处理。</w:t>
      </w:r>
    </w:p>
    <w:p>
      <w:pPr>
        <w:spacing w:line="360" w:lineRule="auto"/>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6.2质保期内属制造方面的问题，乙方负责免费维修。</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第七条</w:t>
      </w:r>
      <w:r>
        <w:rPr>
          <w:rFonts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b/>
          <w:color w:val="auto"/>
          <w:sz w:val="24"/>
          <w:highlight w:val="none"/>
        </w:rPr>
        <w:t>本协议作为《</w:t>
      </w:r>
      <w:r>
        <w:rPr>
          <w:rFonts w:asciiTheme="minorEastAsia" w:hAnsiTheme="minorEastAsia" w:eastAsiaTheme="minorEastAsia" w:cstheme="minorEastAsia"/>
          <w:b/>
          <w:color w:val="auto"/>
          <w:sz w:val="24"/>
          <w:highlight w:val="none"/>
        </w:rPr>
        <w:t>XXXX项目合同》的附件，与购销合同具有同等的法律效力。本协议壹式玖份（贰正柒副），甲方执壹正伍副，乙方执壹正贰副）；本协议自双方签字、盖章之日起生效。</w:t>
      </w:r>
    </w:p>
    <w:p>
      <w:pPr>
        <w:spacing w:line="360" w:lineRule="auto"/>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乙方：</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法定代表人：</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委托代理人：</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签订时间：年月日</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签订时间：年月日</w:t>
      </w:r>
    </w:p>
    <w:p>
      <w:pPr>
        <w:widowControl/>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br w:type="page"/>
      </w:r>
    </w:p>
    <w:p>
      <w:pPr>
        <w:pStyle w:val="4"/>
        <w:rPr>
          <w:rFonts w:asciiTheme="minorEastAsia" w:hAnsiTheme="minorEastAsia" w:eastAsiaTheme="minorEastAsia" w:cstheme="minorEastAsia"/>
          <w:color w:val="auto"/>
          <w:sz w:val="24"/>
          <w:szCs w:val="24"/>
          <w:highlight w:val="none"/>
        </w:rPr>
      </w:pPr>
      <w:bookmarkStart w:id="54" w:name="_Toc124269252"/>
      <w:r>
        <w:rPr>
          <w:rFonts w:hint="eastAsia" w:asciiTheme="minorEastAsia" w:hAnsiTheme="minorEastAsia" w:eastAsiaTheme="minorEastAsia" w:cstheme="minorEastAsia"/>
          <w:color w:val="auto"/>
          <w:sz w:val="24"/>
          <w:szCs w:val="24"/>
          <w:highlight w:val="none"/>
        </w:rPr>
        <w:t>附件</w:t>
      </w:r>
      <w:r>
        <w:rPr>
          <w:rFonts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rPr>
        <w:t>廉洁承诺</w:t>
      </w:r>
      <w:bookmarkEnd w:id="54"/>
    </w:p>
    <w:p>
      <w:pPr>
        <w:spacing w:line="44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廉洁承诺</w:t>
      </w:r>
    </w:p>
    <w:p>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中粮糖业（漳州）有限公司</w:t>
      </w:r>
      <w:r>
        <w:rPr>
          <w:rFonts w:hint="eastAsia" w:asciiTheme="minorEastAsia" w:hAnsiTheme="minorEastAsia" w:eastAsiaTheme="minorEastAsia" w:cstheme="minorEastAsia"/>
          <w:bCs/>
          <w:color w:val="auto"/>
          <w:sz w:val="24"/>
          <w:highlight w:val="none"/>
          <w:u w:val="single"/>
        </w:rPr>
        <w:t>中粮糖业（漳州）有限公司</w:t>
      </w:r>
      <w:r>
        <w:rPr>
          <w:rFonts w:asciiTheme="minorEastAsia" w:hAnsiTheme="minorEastAsia" w:eastAsiaTheme="minorEastAsia" w:cstheme="minorEastAsia"/>
          <w:bCs/>
          <w:color w:val="auto"/>
          <w:sz w:val="24"/>
          <w:highlight w:val="none"/>
          <w:u w:val="single"/>
        </w:rPr>
        <w:t>35万吨/年精炼糖及15万吨/年糖类食品原材料加工项目</w:t>
      </w:r>
      <w:r>
        <w:rPr>
          <w:rFonts w:hint="eastAsia" w:asciiTheme="minorEastAsia" w:hAnsiTheme="minorEastAsia" w:eastAsiaTheme="minorEastAsia" w:cstheme="minorEastAsia"/>
          <w:bCs/>
          <w:color w:val="auto"/>
          <w:sz w:val="24"/>
          <w:highlight w:val="none"/>
          <w:u w:val="single"/>
          <w:lang w:eastAsia="zh-CN"/>
        </w:rPr>
        <w:t>锅炉炉膛检修升降平台</w:t>
      </w:r>
      <w:r>
        <w:rPr>
          <w:rFonts w:asciiTheme="minorEastAsia" w:hAnsiTheme="minorEastAsia" w:eastAsiaTheme="minorEastAsia" w:cstheme="minorEastAsia"/>
          <w:bCs/>
          <w:color w:val="auto"/>
          <w:sz w:val="24"/>
          <w:highlight w:val="none"/>
          <w:u w:val="single"/>
        </w:rPr>
        <w:t>采购</w:t>
      </w:r>
      <w:r>
        <w:rPr>
          <w:rFonts w:hint="eastAsia" w:asciiTheme="minorEastAsia" w:hAnsiTheme="minorEastAsia" w:eastAsiaTheme="minorEastAsia" w:cstheme="minorEastAsia"/>
          <w:color w:val="auto"/>
          <w:sz w:val="24"/>
          <w:highlight w:val="none"/>
        </w:rPr>
        <w:t>。</w:t>
      </w:r>
    </w:p>
    <w:p>
      <w:pPr>
        <w:spacing w:before="240"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中粮糖业（漳州）有限公司</w:t>
      </w:r>
      <w:r>
        <w:rPr>
          <w:rFonts w:hint="eastAsia" w:asciiTheme="minorEastAsia" w:hAnsiTheme="minorEastAsia" w:eastAsiaTheme="minorEastAsia" w:cstheme="minorEastAsia"/>
          <w:color w:val="auto"/>
          <w:sz w:val="24"/>
          <w:highlight w:val="none"/>
        </w:rPr>
        <w:t>：</w:t>
      </w:r>
    </w:p>
    <w:p>
      <w:pPr>
        <w:spacing w:before="240"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为积极配合贵公司进行的项目采购与招投标工作，有效遏制不公平竞争和违规违纪问题的发生，确保采购与招投标工作的公平、公正、公开，我们特向贵公司承诺如下事项：</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1、自觉遵守国家法律法规及中粮糖业有关廉政建设制度。</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2、不使用不正当手段妨碍、排挤其它供应商或串通投标。</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3、按照采购文件规定的方式进行投标，不隐瞒本单位投标资质的真实情况，投标资质符合规定；保证不会以其他人名义投标或者以其他方式弄虚作假，骗取中标。</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4、不将主体、关键性工作进行分包（</w:t>
      </w:r>
      <w:r>
        <w:rPr>
          <w:rFonts w:hint="eastAsia" w:asciiTheme="minorEastAsia" w:hAnsiTheme="minorEastAsia" w:eastAsiaTheme="minorEastAsia" w:cstheme="minorEastAsia"/>
          <w:color w:val="auto"/>
          <w:sz w:val="24"/>
          <w:highlight w:val="none"/>
        </w:rPr>
        <w:t>包括贴牌生产、转包等）。</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不以任何方式向采购人员或者评标成员赠送礼品、礼金及有价证券；不宴请或邀请招标人的任何人参加高档娱乐消费、旅游等活动；不以任何形式报销招标人的任何人以及亲友的各种票据及费用；不进行可能影响招标公平、公正的任何活动。</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6、不向贵公司涉及采购与招投标的部门及个人支付好处费、介绍费；购置或提供通讯工具、交通工具、电脑等。</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7、经查实对于参与串通行为的供应商，其中标无效，列入供应商黑名单，并对供应商处中标项目金额千分之五以上千分之十以下的罚款如事后查实无法追溯的仅列入供应商黑名单， </w:t>
      </w:r>
      <w:r>
        <w:rPr>
          <w:rFonts w:hint="eastAsia" w:asciiTheme="minorEastAsia" w:hAnsiTheme="minorEastAsia" w:eastAsiaTheme="minorEastAsia" w:cstheme="minorEastAsia"/>
          <w:color w:val="auto"/>
          <w:sz w:val="24"/>
          <w:highlight w:val="none"/>
        </w:rPr>
        <w:t>加大不诚信供应商的违规成本。</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8、一旦发现相关人员在招标过程中有索要财物等不廉洁行为，坚决予以抵制，并及时向贵公司纪委办公室举报。</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9、我方自愿将本承诺书作为投标文件及合同的附件，具</w:t>
      </w:r>
      <w:r>
        <w:rPr>
          <w:rFonts w:hint="eastAsia" w:asciiTheme="minorEastAsia" w:hAnsiTheme="minorEastAsia" w:eastAsiaTheme="minorEastAsia" w:cstheme="minorEastAsia"/>
          <w:color w:val="auto"/>
          <w:sz w:val="24"/>
          <w:highlight w:val="none"/>
        </w:rPr>
        <w:t>有同等的法律效力。</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10、若违反上述承诺或违反有关法律法规及贵公司有关规定，我方自愿永久放弃参与贵公司的所有业务往来，并承担贵公司制度规定的一切法律责任。</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11、本承诺书自签署之日起生效。</w:t>
      </w:r>
    </w:p>
    <w:p>
      <w:pPr>
        <w:spacing w:line="440" w:lineRule="exact"/>
        <w:ind w:firstLine="4960" w:firstLineChars="20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乙方（公章）：</w:t>
      </w:r>
    </w:p>
    <w:p>
      <w:pPr>
        <w:spacing w:line="440" w:lineRule="exact"/>
        <w:ind w:firstLine="4960" w:firstLineChars="20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法定代表人或授权代理人（签名）：</w:t>
      </w:r>
      <w:r>
        <w:rPr>
          <w:rFonts w:asciiTheme="minorEastAsia" w:hAnsiTheme="minorEastAsia" w:eastAsiaTheme="minorEastAsia" w:cstheme="minorEastAsia"/>
          <w:color w:val="auto"/>
          <w:sz w:val="24"/>
          <w:highlight w:val="none"/>
        </w:rPr>
        <w:t xml:space="preserve"> </w:t>
      </w:r>
    </w:p>
    <w:p>
      <w:pPr>
        <w:spacing w:line="440" w:lineRule="exact"/>
        <w:ind w:firstLine="4960" w:firstLineChars="20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年</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月</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日</w:t>
      </w:r>
      <w:r>
        <w:rPr>
          <w:rFonts w:asciiTheme="minorEastAsia" w:hAnsiTheme="minorEastAsia" w:eastAsiaTheme="minorEastAsia" w:cstheme="minorEastAsia"/>
          <w:color w:val="auto"/>
          <w:sz w:val="24"/>
          <w:highlight w:val="none"/>
        </w:rPr>
        <w:br w:type="page"/>
      </w:r>
    </w:p>
    <w:p>
      <w:pPr>
        <w:pStyle w:val="4"/>
        <w:rPr>
          <w:rFonts w:asciiTheme="minorEastAsia" w:hAnsiTheme="minorEastAsia" w:eastAsiaTheme="minorEastAsia" w:cstheme="minorEastAsia"/>
          <w:color w:val="auto"/>
          <w:sz w:val="24"/>
          <w:szCs w:val="24"/>
          <w:highlight w:val="none"/>
        </w:rPr>
      </w:pPr>
      <w:bookmarkStart w:id="55" w:name="_Toc124269253"/>
      <w:r>
        <w:rPr>
          <w:rFonts w:hint="eastAsia" w:asciiTheme="minorEastAsia" w:hAnsiTheme="minorEastAsia" w:eastAsiaTheme="minorEastAsia" w:cstheme="minorEastAsia"/>
          <w:color w:val="auto"/>
          <w:sz w:val="24"/>
          <w:szCs w:val="24"/>
          <w:highlight w:val="none"/>
        </w:rPr>
        <w:t>附件</w:t>
      </w:r>
      <w:r>
        <w:rPr>
          <w:rFonts w:asciiTheme="minorEastAsia" w:hAnsiTheme="minorEastAsia" w:eastAsiaTheme="minorEastAsia" w:cstheme="minorEastAsia"/>
          <w:color w:val="auto"/>
          <w:sz w:val="24"/>
          <w:szCs w:val="24"/>
          <w:highlight w:val="none"/>
        </w:rPr>
        <w:t xml:space="preserve">3. </w:t>
      </w:r>
      <w:r>
        <w:rPr>
          <w:rFonts w:hint="eastAsia" w:asciiTheme="minorEastAsia" w:hAnsiTheme="minorEastAsia" w:eastAsiaTheme="minorEastAsia" w:cstheme="minorEastAsia"/>
          <w:color w:val="auto"/>
          <w:sz w:val="24"/>
          <w:szCs w:val="24"/>
          <w:highlight w:val="none"/>
        </w:rPr>
        <w:t>环保协议书</w:t>
      </w:r>
      <w:bookmarkEnd w:id="55"/>
    </w:p>
    <w:p>
      <w:pPr>
        <w:spacing w:line="44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环保协议书</w:t>
      </w:r>
    </w:p>
    <w:p>
      <w:pPr>
        <w:spacing w:line="440" w:lineRule="exact"/>
        <w:rPr>
          <w:rFonts w:asciiTheme="minorEastAsia" w:hAnsiTheme="minorEastAsia" w:eastAsiaTheme="minorEastAsia" w:cstheme="minorEastAsia"/>
          <w:color w:val="auto"/>
          <w:sz w:val="24"/>
          <w:highlight w:val="none"/>
        </w:rPr>
      </w:pPr>
    </w:p>
    <w:p>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中粮糖业（漳州）有限公司</w:t>
      </w:r>
    </w:p>
    <w:p>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为做好甲方环境保护工作，获得和保持良好的环境绩效，确保乙方给甲方提供产品</w:t>
      </w:r>
      <w:r>
        <w:rPr>
          <w:rFonts w:asciiTheme="minorEastAsia" w:hAnsiTheme="minorEastAsia" w:eastAsiaTheme="minorEastAsia" w:cstheme="minorEastAsia"/>
          <w:color w:val="auto"/>
          <w:sz w:val="24"/>
          <w:highlight w:val="none"/>
        </w:rPr>
        <w:t>/服务过程中不对环境造成污染，依据中华人民共和国《环境保护法》、《水污染防治法》、《环境噪声污染防治法》、《固体废物污染环境防治法》等相关生态环境法律法规，经甲、乙双方协商，特签订以下环保协议。</w:t>
      </w:r>
    </w:p>
    <w:p>
      <w:pPr>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第一条</w:t>
      </w:r>
      <w:r>
        <w:rPr>
          <w:rFonts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highlight w:val="none"/>
        </w:rPr>
        <w:t>项目名称：</w:t>
      </w:r>
      <w:r>
        <w:rPr>
          <w:rFonts w:hint="eastAsia" w:asciiTheme="minorEastAsia" w:hAnsiTheme="minorEastAsia" w:eastAsiaTheme="minorEastAsia" w:cstheme="minorEastAsia"/>
          <w:bCs/>
          <w:color w:val="auto"/>
          <w:sz w:val="24"/>
          <w:highlight w:val="none"/>
          <w:u w:val="single"/>
        </w:rPr>
        <w:t>中粮糖业（漳州）有限公司</w:t>
      </w:r>
      <w:r>
        <w:rPr>
          <w:rFonts w:asciiTheme="minorEastAsia" w:hAnsiTheme="minorEastAsia" w:eastAsiaTheme="minorEastAsia" w:cstheme="minorEastAsia"/>
          <w:bCs/>
          <w:color w:val="auto"/>
          <w:sz w:val="24"/>
          <w:highlight w:val="none"/>
          <w:u w:val="single"/>
        </w:rPr>
        <w:t>35万吨/年精炼糖及15万吨/年糖类食品原材料加工项目</w:t>
      </w:r>
      <w:r>
        <w:rPr>
          <w:rFonts w:hint="eastAsia" w:asciiTheme="minorEastAsia" w:hAnsiTheme="minorEastAsia" w:eastAsiaTheme="minorEastAsia" w:cstheme="minorEastAsia"/>
          <w:bCs/>
          <w:color w:val="auto"/>
          <w:sz w:val="24"/>
          <w:highlight w:val="none"/>
          <w:u w:val="single"/>
          <w:lang w:eastAsia="zh-CN"/>
        </w:rPr>
        <w:t>锅炉炉膛检修升降平台</w:t>
      </w:r>
      <w:r>
        <w:rPr>
          <w:rFonts w:asciiTheme="minorEastAsia" w:hAnsiTheme="minorEastAsia" w:eastAsiaTheme="minorEastAsia" w:cstheme="minorEastAsia"/>
          <w:bCs/>
          <w:color w:val="auto"/>
          <w:sz w:val="24"/>
          <w:highlight w:val="none"/>
          <w:u w:val="single"/>
        </w:rPr>
        <w:t>采购</w:t>
      </w:r>
      <w:r>
        <w:rPr>
          <w:rFonts w:hint="eastAsia" w:asciiTheme="minorEastAsia" w:hAnsiTheme="minorEastAsia" w:eastAsiaTheme="minorEastAsia" w:cstheme="minorEastAsia"/>
          <w:color w:val="auto"/>
          <w:sz w:val="24"/>
          <w:highlight w:val="none"/>
        </w:rPr>
        <w:t>。</w:t>
      </w:r>
    </w:p>
    <w:p>
      <w:pPr>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第二条</w:t>
      </w:r>
      <w:r>
        <w:rPr>
          <w:rFonts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highlight w:val="none"/>
        </w:rPr>
        <w:t>项目地点：</w:t>
      </w:r>
      <w:r>
        <w:rPr>
          <w:rFonts w:hint="eastAsia" w:asciiTheme="minorEastAsia" w:hAnsiTheme="minorEastAsia" w:eastAsiaTheme="minorEastAsia" w:cstheme="minorEastAsia"/>
          <w:color w:val="auto"/>
          <w:sz w:val="24"/>
          <w:highlight w:val="none"/>
          <w:u w:val="single"/>
        </w:rPr>
        <w:t>漳州招商局经济技术开发区四区兴港南路南段道路西侧场地</w:t>
      </w:r>
    </w:p>
    <w:p>
      <w:pPr>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第三条</w:t>
      </w:r>
      <w:r>
        <w:rPr>
          <w:rFonts w:asciiTheme="minorEastAsia" w:hAnsiTheme="minorEastAsia" w:eastAsiaTheme="minorEastAsia" w:cstheme="minorEastAsia"/>
          <w:b/>
          <w:bCs/>
          <w:color w:val="auto"/>
          <w:sz w:val="24"/>
          <w:highlight w:val="none"/>
        </w:rPr>
        <w:t xml:space="preserve"> 项目时间：    </w:t>
      </w:r>
      <w:r>
        <w:rPr>
          <w:rFonts w:hint="eastAsia" w:asciiTheme="minorEastAsia" w:hAnsiTheme="minorEastAsia" w:eastAsiaTheme="minorEastAsia" w:cstheme="minorEastAsia"/>
          <w:color w:val="auto"/>
          <w:sz w:val="24"/>
          <w:highlight w:val="none"/>
        </w:rPr>
        <w:t>年</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月</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日至本项目完工人员全部撤离结束。</w:t>
      </w:r>
    </w:p>
    <w:p>
      <w:pPr>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第四条</w:t>
      </w:r>
      <w:r>
        <w:rPr>
          <w:rFonts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highlight w:val="none"/>
        </w:rPr>
        <w:t>协议内容：</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（一）乙方为甲方提供产品</w:t>
      </w:r>
      <w:r>
        <w:rPr>
          <w:rFonts w:asciiTheme="minorEastAsia" w:hAnsiTheme="minorEastAsia" w:eastAsiaTheme="minorEastAsia" w:cstheme="minorEastAsia"/>
          <w:color w:val="auto"/>
          <w:sz w:val="24"/>
          <w:highlight w:val="none"/>
        </w:rPr>
        <w:t>/服务应满足如下环保要求：</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1.乙方提供给甲方的产品/服务的原材料、包装物等必须满足国家、地方、行业的有关环境保护的法律法规要求。</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2.乙方在保证甲方要求的产品/服务质量条件下，要优先考虑采用无污染或少污染的生产工艺和原材料，不得采用国家或地方已禁止使用的产品和原材料。</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3.乙方在产品/服务包装上除满足搬运和储存要求外，应优先采用可回收利用的包装材料，避免因资源浪费破坏环境。</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4.乙方在提供产品/服务过程中排放的污染物（废水、废气、固废、噪声等），由乙方采取积极措施予以治理，确保在规定期限内达到国家或地方排放标准。</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5.乙方对提供产品/服务过程中的危险物品以及危险废弃物堆放场应设立明显识别标志，并按照国家规定进行处置。</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6.乙方应防止因提供产品/服务中造成跑、冒、滴、漏污染环境，产品安装应采取防渗漏措施。</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7.乙方为甲方提供的产品如果是易燃易爆或有毒有害危险化学品，应向甲方提供MSDS，其容器或包装物应予回收。</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8.原材料、包装物发生重大变化时应通知甲方。</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9.乙方应对在甲方现场的作业人员进行必要的环境保护知识的培训，保证作业人员熟知在工作中因工作失误将对环境造成的不良影响，以及一旦污染事故发生如何采取应急措施，减少污染。</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10.因乙方施工产生的固体废弃物垃圾由乙方负责及时清理出场。</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（二）甲方有权对乙方作业现现场不定期检查，检查主要内容：</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1.乙方的作业环境是否符合环保要求。</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2.乙方排放的废水、废气、固废、噪声等是否达标。</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3.乙方是否因环境保护问题受到相关方投诉。</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4.对不符合环保要求的，甲方有权提出整改意见，对整改不符或拒绝整改，可能造成严重环境污染的，甲方可以终止供货/服务合同，其损失由乙方承担。</w:t>
      </w:r>
    </w:p>
    <w:p>
      <w:pPr>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第五条</w:t>
      </w:r>
      <w:r>
        <w:rPr>
          <w:rFonts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highlight w:val="none"/>
        </w:rPr>
        <w:t>本协议壹式玖份（贰正柒副），甲方执壹正伍副，乙方执壹正贰副），自签订之日起执行（本协议传真签订有效）。</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w:t>
      </w:r>
      <w:r>
        <w:rPr>
          <w:rFonts w:asciiTheme="minorEastAsia" w:hAnsiTheme="minorEastAsia" w:eastAsiaTheme="minorEastAsia" w:cstheme="minorEastAsia"/>
          <w:color w:val="auto"/>
          <w:sz w:val="24"/>
          <w:highlight w:val="none"/>
        </w:rPr>
        <w:t xml:space="preserve"> </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（公章）</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代表人：</w:t>
      </w:r>
      <w:r>
        <w:rPr>
          <w:rFonts w:asciiTheme="minorEastAsia" w:hAnsiTheme="minorEastAsia" w:eastAsiaTheme="minorEastAsia" w:cstheme="minorEastAsia"/>
          <w:color w:val="auto"/>
          <w:sz w:val="24"/>
          <w:highlight w:val="none"/>
        </w:rPr>
        <w:t xml:space="preserve"> </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签订日期：年月日</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（公章）</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代表人：</w:t>
      </w:r>
      <w:r>
        <w:rPr>
          <w:rFonts w:asciiTheme="minorEastAsia" w:hAnsiTheme="minorEastAsia" w:eastAsiaTheme="minorEastAsia" w:cstheme="minorEastAsia"/>
          <w:color w:val="auto"/>
          <w:sz w:val="24"/>
          <w:highlight w:val="none"/>
        </w:rPr>
        <w:t xml:space="preserve"> </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签订日期：年月日</w:t>
      </w:r>
    </w:p>
    <w:p>
      <w:pP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br w:type="page"/>
      </w:r>
    </w:p>
    <w:p>
      <w:pPr>
        <w:pStyle w:val="4"/>
        <w:rPr>
          <w:rFonts w:asciiTheme="minorEastAsia" w:hAnsiTheme="minorEastAsia" w:eastAsiaTheme="minorEastAsia" w:cstheme="minorEastAsia"/>
          <w:color w:val="auto"/>
          <w:sz w:val="24"/>
          <w:szCs w:val="24"/>
          <w:highlight w:val="none"/>
        </w:rPr>
      </w:pPr>
      <w:bookmarkStart w:id="56" w:name="_Toc124269254"/>
      <w:r>
        <w:rPr>
          <w:rFonts w:hint="eastAsia" w:asciiTheme="minorEastAsia" w:hAnsiTheme="minorEastAsia" w:eastAsiaTheme="minorEastAsia" w:cstheme="minorEastAsia"/>
          <w:color w:val="auto"/>
          <w:sz w:val="24"/>
          <w:szCs w:val="24"/>
          <w:highlight w:val="none"/>
        </w:rPr>
        <w:t>附件</w:t>
      </w:r>
      <w:r>
        <w:rPr>
          <w:rFonts w:asciiTheme="minorEastAsia" w:hAnsiTheme="minorEastAsia" w:eastAsiaTheme="minorEastAsia" w:cstheme="minorEastAsia"/>
          <w:color w:val="auto"/>
          <w:sz w:val="24"/>
          <w:szCs w:val="24"/>
          <w:highlight w:val="none"/>
        </w:rPr>
        <w:t xml:space="preserve">4. </w:t>
      </w:r>
      <w:r>
        <w:rPr>
          <w:rFonts w:hint="eastAsia" w:asciiTheme="minorEastAsia" w:hAnsiTheme="minorEastAsia" w:eastAsiaTheme="minorEastAsia" w:cstheme="minorEastAsia"/>
          <w:color w:val="auto"/>
          <w:sz w:val="24"/>
          <w:szCs w:val="24"/>
          <w:highlight w:val="none"/>
        </w:rPr>
        <w:t>安全管理协议书</w:t>
      </w:r>
      <w:bookmarkEnd w:id="56"/>
    </w:p>
    <w:p>
      <w:pPr>
        <w:jc w:val="center"/>
        <w:rPr>
          <w:rFonts w:asciiTheme="minorEastAsia" w:hAnsiTheme="minorEastAsia" w:eastAsiaTheme="minorEastAsia" w:cstheme="minorEastAsia"/>
          <w:color w:val="auto"/>
          <w:sz w:val="24"/>
          <w:highlight w:val="none"/>
        </w:rPr>
      </w:pPr>
    </w:p>
    <w:p>
      <w:pPr>
        <w:snapToGrid w:val="0"/>
        <w:spacing w:line="575" w:lineRule="exact"/>
        <w:jc w:val="center"/>
        <w:rPr>
          <w:rFonts w:hint="eastAsia" w:ascii="微软雅黑" w:hAnsi="微软雅黑" w:eastAsia="微软雅黑" w:cs="微软雅黑"/>
          <w:color w:val="auto"/>
          <w:sz w:val="38"/>
          <w:szCs w:val="38"/>
          <w:highlight w:val="none"/>
          <w:lang w:val="en-US" w:eastAsia="zh-CN"/>
        </w:rPr>
      </w:pPr>
      <w:r>
        <w:rPr>
          <w:rFonts w:hint="eastAsia" w:ascii="微软雅黑" w:hAnsi="微软雅黑" w:eastAsia="微软雅黑" w:cs="微软雅黑"/>
          <w:color w:val="auto"/>
          <w:sz w:val="38"/>
          <w:szCs w:val="38"/>
          <w:highlight w:val="none"/>
        </w:rPr>
        <w:t>(</w:t>
      </w:r>
      <w:r>
        <w:rPr>
          <w:rFonts w:hint="eastAsia" w:ascii="微软雅黑" w:hAnsi="微软雅黑" w:eastAsia="微软雅黑" w:cs="微软雅黑"/>
          <w:color w:val="auto"/>
          <w:sz w:val="38"/>
          <w:szCs w:val="38"/>
          <w:highlight w:val="none"/>
          <w:lang w:val="en-US" w:eastAsia="zh-CN"/>
        </w:rPr>
        <w:t>锅炉炉膛检修升降平台</w:t>
      </w:r>
    </w:p>
    <w:p>
      <w:pPr>
        <w:snapToGrid w:val="0"/>
        <w:spacing w:line="575" w:lineRule="exact"/>
        <w:jc w:val="center"/>
        <w:rPr>
          <w:rFonts w:ascii="微软雅黑" w:hAnsi="微软雅黑" w:eastAsia="微软雅黑" w:cs="微软雅黑"/>
          <w:color w:val="auto"/>
          <w:sz w:val="38"/>
          <w:szCs w:val="38"/>
          <w:highlight w:val="none"/>
        </w:rPr>
      </w:pPr>
      <w:r>
        <w:rPr>
          <w:rFonts w:hint="eastAsia" w:ascii="微软雅黑" w:hAnsi="微软雅黑" w:eastAsia="微软雅黑" w:cs="微软雅黑"/>
          <w:color w:val="auto"/>
          <w:sz w:val="38"/>
          <w:szCs w:val="38"/>
          <w:highlight w:val="none"/>
        </w:rPr>
        <w:t>项目</w:t>
      </w:r>
      <w:r>
        <w:rPr>
          <w:rFonts w:ascii="微软雅黑" w:hAnsi="微软雅黑" w:eastAsia="微软雅黑" w:cs="微软雅黑"/>
          <w:color w:val="auto"/>
          <w:sz w:val="38"/>
          <w:szCs w:val="38"/>
          <w:highlight w:val="none"/>
        </w:rPr>
        <w:t>)</w:t>
      </w:r>
    </w:p>
    <w:p>
      <w:pPr>
        <w:snapToGrid w:val="0"/>
        <w:spacing w:line="575" w:lineRule="exact"/>
        <w:jc w:val="center"/>
        <w:rPr>
          <w:rFonts w:hint="eastAsia" w:ascii="微软雅黑" w:hAnsi="微软雅黑" w:eastAsia="微软雅黑" w:cs="微软雅黑"/>
          <w:color w:val="auto"/>
          <w:sz w:val="40"/>
          <w:szCs w:val="40"/>
          <w:highlight w:val="none"/>
        </w:rPr>
      </w:pPr>
      <w:r>
        <w:rPr>
          <w:rFonts w:hint="eastAsia" w:ascii="微软雅黑" w:hAnsi="微软雅黑" w:eastAsia="微软雅黑" w:cs="微软雅黑"/>
          <w:color w:val="auto"/>
          <w:sz w:val="38"/>
          <w:szCs w:val="38"/>
          <w:highlight w:val="none"/>
        </w:rPr>
        <w:t>安全管理协议</w:t>
      </w:r>
    </w:p>
    <w:p>
      <w:pPr>
        <w:snapToGrid w:val="0"/>
        <w:spacing w:line="575" w:lineRule="exact"/>
        <w:rPr>
          <w:rFonts w:ascii="仿宋_GB2312" w:hAnsi="仿宋" w:eastAsia="仿宋_GB2312" w:cs="仿宋"/>
          <w:color w:val="auto"/>
          <w:sz w:val="32"/>
          <w:szCs w:val="30"/>
          <w:highlight w:val="none"/>
        </w:rPr>
      </w:pPr>
    </w:p>
    <w:p>
      <w:pPr>
        <w:snapToGrid w:val="0"/>
        <w:spacing w:line="575" w:lineRule="exact"/>
        <w:rPr>
          <w:rFonts w:hint="eastAsia" w:ascii="仿宋_GB2312" w:hAnsi="仿宋" w:eastAsia="仿宋_GB2312" w:cs="仿宋"/>
          <w:color w:val="auto"/>
          <w:sz w:val="32"/>
          <w:szCs w:val="30"/>
          <w:highlight w:val="none"/>
        </w:rPr>
      </w:pPr>
      <w:r>
        <w:rPr>
          <w:rFonts w:hint="eastAsia" w:ascii="仿宋_GB2312" w:hAnsi="仿宋" w:eastAsia="仿宋_GB2312" w:cs="仿宋"/>
          <w:color w:val="auto"/>
          <w:sz w:val="32"/>
          <w:szCs w:val="30"/>
          <w:highlight w:val="none"/>
        </w:rPr>
        <w:t xml:space="preserve">甲方（发包方）：中粮糖业（漳州）有限公司 </w:t>
      </w:r>
    </w:p>
    <w:p>
      <w:pPr>
        <w:snapToGrid w:val="0"/>
        <w:spacing w:line="575" w:lineRule="exact"/>
        <w:rPr>
          <w:rFonts w:hint="eastAsia" w:ascii="仿宋_GB2312" w:hAnsi="仿宋" w:eastAsia="仿宋_GB2312" w:cs="仿宋"/>
          <w:color w:val="auto"/>
          <w:sz w:val="32"/>
          <w:szCs w:val="30"/>
          <w:highlight w:val="none"/>
        </w:rPr>
      </w:pPr>
      <w:r>
        <w:rPr>
          <w:rFonts w:hint="eastAsia" w:ascii="仿宋_GB2312" w:hAnsi="仿宋" w:eastAsia="仿宋_GB2312" w:cs="仿宋"/>
          <w:color w:val="auto"/>
          <w:sz w:val="32"/>
          <w:szCs w:val="30"/>
          <w:highlight w:val="none"/>
        </w:rPr>
        <w:t xml:space="preserve">乙方（承包方）： </w:t>
      </w:r>
    </w:p>
    <w:p>
      <w:pPr>
        <w:pStyle w:val="2"/>
        <w:shd w:val="clear" w:color="auto" w:fill="FFFFFF"/>
        <w:snapToGrid w:val="0"/>
        <w:spacing w:before="0" w:beforeAutospacing="0" w:after="0" w:afterAutospacing="0" w:line="575" w:lineRule="exact"/>
        <w:ind w:firstLine="640" w:firstLineChars="200"/>
        <w:jc w:val="both"/>
        <w:rPr>
          <w:rFonts w:hint="eastAsia" w:ascii="仿宋_GB2312" w:hAnsi="仿宋" w:eastAsia="仿宋_GB2312" w:cs="仿宋"/>
          <w:b w:val="0"/>
          <w:color w:val="auto"/>
          <w:sz w:val="32"/>
          <w:szCs w:val="30"/>
          <w:highlight w:val="none"/>
        </w:rPr>
      </w:pPr>
      <w:r>
        <w:rPr>
          <w:rFonts w:hint="eastAsia" w:ascii="仿宋_GB2312" w:hAnsi="仿宋" w:eastAsia="仿宋_GB2312" w:cs="仿宋"/>
          <w:b w:val="0"/>
          <w:color w:val="auto"/>
          <w:sz w:val="32"/>
          <w:szCs w:val="30"/>
          <w:highlight w:val="none"/>
        </w:rPr>
        <w:t>为了确保</w:t>
      </w:r>
      <w:r>
        <w:rPr>
          <w:rFonts w:hint="eastAsia" w:ascii="仿宋_GB2312" w:hAnsi="仿宋" w:eastAsia="仿宋_GB2312" w:cs="仿宋"/>
          <w:b w:val="0"/>
          <w:color w:val="auto"/>
          <w:sz w:val="32"/>
          <w:szCs w:val="30"/>
          <w:highlight w:val="none"/>
          <w:lang w:val="en-US" w:eastAsia="zh-CN"/>
        </w:rPr>
        <w:t>锅炉炉膛检修升降平台</w:t>
      </w:r>
      <w:r>
        <w:rPr>
          <w:rFonts w:hint="eastAsia" w:ascii="仿宋_GB2312" w:hAnsi="仿宋" w:eastAsia="仿宋_GB2312" w:cs="仿宋"/>
          <w:b w:val="0"/>
          <w:color w:val="auto"/>
          <w:sz w:val="32"/>
          <w:szCs w:val="30"/>
          <w:highlight w:val="none"/>
        </w:rPr>
        <w:t>项目全过程的安全管理，杜绝发生安全生产事</w:t>
      </w:r>
      <w:r>
        <w:rPr>
          <w:rFonts w:hint="eastAsia" w:ascii="仿宋_GB2312" w:hAnsi="仿宋" w:eastAsia="仿宋_GB2312" w:cs="仿宋"/>
          <w:b w:val="0"/>
          <w:bCs w:val="0"/>
          <w:color w:val="auto"/>
          <w:sz w:val="32"/>
          <w:szCs w:val="30"/>
          <w:highlight w:val="none"/>
        </w:rPr>
        <w:t>故，</w:t>
      </w:r>
      <w:r>
        <w:rPr>
          <w:rFonts w:hint="eastAsia" w:ascii="仿宋_GB2312" w:hAnsi="仿宋" w:eastAsia="仿宋_GB2312" w:cs="仿宋"/>
          <w:b w:val="0"/>
          <w:color w:val="auto"/>
          <w:sz w:val="32"/>
          <w:szCs w:val="30"/>
          <w:highlight w:val="none"/>
        </w:rPr>
        <w:t>根据《安全生产法》、《民法典》、《建设工程安全生产管理条例》等法律法规和甲方承包商制度要求</w:t>
      </w:r>
      <w:r>
        <w:rPr>
          <w:rFonts w:hint="eastAsia" w:ascii="仿宋_GB2312" w:hAnsi="仿宋" w:eastAsia="仿宋_GB2312" w:cs="仿宋"/>
          <w:b w:val="0"/>
          <w:bCs w:val="0"/>
          <w:color w:val="auto"/>
          <w:sz w:val="32"/>
          <w:szCs w:val="30"/>
          <w:highlight w:val="none"/>
        </w:rPr>
        <w:t>，经</w:t>
      </w:r>
      <w:r>
        <w:rPr>
          <w:rFonts w:hint="eastAsia" w:ascii="仿宋_GB2312" w:hAnsi="仿宋" w:eastAsia="仿宋_GB2312" w:cs="仿宋"/>
          <w:b w:val="0"/>
          <w:color w:val="auto"/>
          <w:sz w:val="32"/>
          <w:szCs w:val="30"/>
          <w:highlight w:val="none"/>
        </w:rPr>
        <w:t>双方友好协商，对甲乙双方的安全生产责任、权利规定如下：</w:t>
      </w:r>
    </w:p>
    <w:p>
      <w:pPr>
        <w:adjustRightInd w:val="0"/>
        <w:snapToGrid w:val="0"/>
        <w:spacing w:line="575"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1 甲方的职责、权利</w:t>
      </w:r>
    </w:p>
    <w:p>
      <w:pPr>
        <w:snapToGrid w:val="0"/>
        <w:spacing w:line="575"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1</w:t>
      </w:r>
      <w:r>
        <w:rPr>
          <w:rFonts w:ascii="楷体" w:hAnsi="楷体" w:eastAsia="楷体" w:cs="楷体"/>
          <w:color w:val="auto"/>
          <w:sz w:val="32"/>
          <w:szCs w:val="32"/>
          <w:highlight w:val="none"/>
        </w:rPr>
        <w:t xml:space="preserve">.1 </w:t>
      </w:r>
      <w:r>
        <w:rPr>
          <w:rFonts w:hint="eastAsia" w:ascii="楷体" w:hAnsi="楷体" w:eastAsia="楷体" w:cs="楷体"/>
          <w:color w:val="auto"/>
          <w:sz w:val="32"/>
          <w:szCs w:val="32"/>
          <w:highlight w:val="none"/>
        </w:rPr>
        <w:t>甲方职责</w:t>
      </w:r>
    </w:p>
    <w:p>
      <w:pPr>
        <w:snapToGrid w:val="0"/>
        <w:spacing w:line="575" w:lineRule="exact"/>
        <w:ind w:firstLine="640" w:firstLineChars="200"/>
        <w:rPr>
          <w:rFonts w:ascii="仿宋_GB2312" w:hAnsi="楷体" w:eastAsia="仿宋_GB2312" w:cs="楷体"/>
          <w:color w:val="auto"/>
          <w:sz w:val="32"/>
          <w:szCs w:val="32"/>
          <w:highlight w:val="none"/>
        </w:rPr>
      </w:pPr>
      <w:r>
        <w:rPr>
          <w:rFonts w:hint="eastAsia" w:ascii="仿宋_GB2312" w:hAnsi="仿宋" w:eastAsia="仿宋_GB2312" w:cs="仿宋"/>
          <w:color w:val="auto"/>
          <w:sz w:val="32"/>
          <w:szCs w:val="32"/>
          <w:highlight w:val="none"/>
        </w:rPr>
        <w:t>甲方有责任</w:t>
      </w:r>
      <w:r>
        <w:rPr>
          <w:rFonts w:hint="eastAsia" w:ascii="仿宋_GB2312" w:hAnsi="楷体" w:eastAsia="仿宋_GB2312" w:cs="楷体"/>
          <w:color w:val="auto"/>
          <w:sz w:val="32"/>
          <w:szCs w:val="32"/>
          <w:highlight w:val="none"/>
        </w:rPr>
        <w:t>监督指导乙方按照甲方的信息化管理系统进行承包商全生命周期管理，确保乙方正确理解和应用该系统并遵循相关要求。</w:t>
      </w:r>
    </w:p>
    <w:p>
      <w:pPr>
        <w:numPr>
          <w:ilvl w:val="2"/>
          <w:numId w:val="6"/>
        </w:numPr>
        <w:snapToGrid w:val="0"/>
        <w:spacing w:line="575" w:lineRule="exact"/>
        <w:rPr>
          <w:rFonts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作业前管理要求</w:t>
      </w:r>
    </w:p>
    <w:p>
      <w:pPr>
        <w:snapToGrid w:val="0"/>
        <w:spacing w:line="575" w:lineRule="exact"/>
        <w:ind w:firstLine="640" w:firstLineChars="200"/>
        <w:rPr>
          <w:rFonts w:hint="eastAsia" w:ascii="仿宋_GB2312" w:hAnsi="楷体" w:eastAsia="仿宋_GB2312" w:cs="楷体"/>
          <w:color w:val="auto"/>
          <w:sz w:val="32"/>
          <w:szCs w:val="32"/>
          <w:highlight w:val="none"/>
        </w:rPr>
      </w:pPr>
      <w:r>
        <w:rPr>
          <w:rFonts w:hint="eastAsia" w:ascii="仿宋_GB2312" w:hAnsi="仿宋_GB2312" w:eastAsia="仿宋_GB2312" w:cs="仿宋_GB2312"/>
          <w:color w:val="auto"/>
          <w:sz w:val="32"/>
          <w:szCs w:val="32"/>
          <w:highlight w:val="none"/>
          <w:lang w:val="zh-CN" w:bidi="zh-CN"/>
        </w:rPr>
        <w:t>开展作业前准入资质核验，</w:t>
      </w:r>
      <w:r>
        <w:rPr>
          <w:rFonts w:hint="eastAsia" w:ascii="仿宋_GB2312" w:eastAsia="仿宋_GB2312"/>
          <w:color w:val="auto"/>
          <w:sz w:val="32"/>
          <w:szCs w:val="32"/>
          <w:highlight w:val="none"/>
        </w:rPr>
        <w:t>审查验证乙方作业安全条件，对乙方人员进行进场安全交底</w:t>
      </w:r>
      <w:r>
        <w:rPr>
          <w:rFonts w:hint="eastAsia" w:ascii="仿宋_GB2312" w:hAnsi="仿宋" w:eastAsia="仿宋_GB2312" w:cs="仿宋"/>
          <w:color w:val="auto"/>
          <w:kern w:val="36"/>
          <w:sz w:val="32"/>
          <w:szCs w:val="30"/>
          <w:highlight w:val="none"/>
        </w:rPr>
        <w:t>。</w:t>
      </w:r>
    </w:p>
    <w:p>
      <w:pPr>
        <w:widowControl/>
        <w:spacing w:line="575" w:lineRule="exact"/>
        <w:ind w:firstLine="739" w:firstLineChars="231"/>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——负责</w:t>
      </w:r>
      <w:r>
        <w:rPr>
          <w:rFonts w:hint="eastAsia" w:ascii="仿宋_GB2312" w:hAnsi="仿宋" w:eastAsia="仿宋_GB2312" w:cs="仿宋"/>
          <w:color w:val="auto"/>
          <w:kern w:val="36"/>
          <w:sz w:val="32"/>
          <w:szCs w:val="30"/>
          <w:highlight w:val="none"/>
        </w:rPr>
        <w:t>审核乙方承包资质证件及提供的各类无事故证明、保险、安全培训、作业方案、现场处置方案等文件资料</w:t>
      </w:r>
      <w:r>
        <w:rPr>
          <w:rFonts w:hint="eastAsia" w:ascii="仿宋_GB2312" w:hAnsi="仿宋" w:eastAsia="仿宋_GB2312" w:cs="仿宋"/>
          <w:color w:val="auto"/>
          <w:sz w:val="32"/>
          <w:szCs w:val="32"/>
          <w:highlight w:val="none"/>
        </w:rPr>
        <w:t>。</w:t>
      </w:r>
    </w:p>
    <w:p>
      <w:pPr>
        <w:snapToGrid w:val="0"/>
        <w:spacing w:line="575" w:lineRule="exact"/>
        <w:ind w:firstLine="640" w:firstLineChars="200"/>
        <w:rPr>
          <w:rFonts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——核验乙方安全管理机构及人员配备情况及</w:t>
      </w:r>
      <w:r>
        <w:rPr>
          <w:rFonts w:hint="eastAsia" w:ascii="仿宋_GB2312" w:eastAsia="仿宋_GB2312"/>
          <w:color w:val="auto"/>
          <w:sz w:val="32"/>
          <w:szCs w:val="32"/>
          <w:highlight w:val="none"/>
        </w:rPr>
        <w:t>相应安全（特种作业）资格证书</w:t>
      </w:r>
      <w:r>
        <w:rPr>
          <w:rFonts w:hint="eastAsia" w:ascii="仿宋_GB2312" w:hAnsi="楷体" w:eastAsia="仿宋_GB2312" w:cs="楷体"/>
          <w:color w:val="auto"/>
          <w:sz w:val="32"/>
          <w:szCs w:val="32"/>
          <w:highlight w:val="none"/>
        </w:rPr>
        <w:t>；</w:t>
      </w:r>
    </w:p>
    <w:p>
      <w:pPr>
        <w:snapToGrid w:val="0"/>
        <w:spacing w:line="575" w:lineRule="exact"/>
        <w:ind w:firstLine="640" w:firstLineChars="200"/>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——核验乙方</w:t>
      </w:r>
      <w:r>
        <w:rPr>
          <w:rFonts w:hint="eastAsia" w:ascii="仿宋_GB2312" w:eastAsia="仿宋_GB2312"/>
          <w:color w:val="auto"/>
          <w:sz w:val="32"/>
          <w:szCs w:val="32"/>
          <w:highlight w:val="none"/>
        </w:rPr>
        <w:t>作业设备设施、工具、物料、劳动保护用品等与乙方承包项目的匹配性以及安全性等；</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——负责对乙方人员</w:t>
      </w:r>
      <w:r>
        <w:rPr>
          <w:rFonts w:hint="eastAsia" w:ascii="仿宋_GB2312" w:hAnsi="仿宋" w:eastAsia="仿宋_GB2312" w:cs="仿宋"/>
          <w:color w:val="auto"/>
          <w:sz w:val="32"/>
          <w:szCs w:val="32"/>
          <w:highlight w:val="none"/>
        </w:rPr>
        <w:t>进行安全风险交底；</w:t>
      </w:r>
    </w:p>
    <w:p>
      <w:pPr>
        <w:snapToGrid w:val="0"/>
        <w:spacing w:line="575" w:lineRule="exact"/>
        <w:ind w:firstLine="640" w:firstLineChars="200"/>
        <w:rPr>
          <w:rFonts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w:t>
      </w:r>
      <w:r>
        <w:rPr>
          <w:rFonts w:hint="eastAsia" w:ascii="仿宋_GB2312" w:hAnsi="仿宋" w:eastAsia="仿宋_GB2312" w:cs="仿宋"/>
          <w:color w:val="auto"/>
          <w:sz w:val="32"/>
          <w:szCs w:val="32"/>
          <w:highlight w:val="none"/>
        </w:rPr>
        <w:t>提供必要的工作条件；</w:t>
      </w:r>
    </w:p>
    <w:p>
      <w:pPr>
        <w:snapToGrid w:val="0"/>
        <w:spacing w:line="575" w:lineRule="exact"/>
        <w:ind w:left="720"/>
        <w:rPr>
          <w:rFonts w:ascii="仿宋_GB2312" w:hAnsi="楷体" w:eastAsia="仿宋_GB2312" w:cs="楷体"/>
          <w:color w:val="auto"/>
          <w:sz w:val="32"/>
          <w:szCs w:val="32"/>
          <w:highlight w:val="none"/>
        </w:rPr>
      </w:pPr>
      <w:r>
        <w:rPr>
          <w:rFonts w:hint="eastAsia" w:ascii="仿宋_GB2312" w:hAnsi="仿宋" w:eastAsia="仿宋_GB2312" w:cs="仿宋"/>
          <w:color w:val="auto"/>
          <w:sz w:val="32"/>
          <w:szCs w:val="32"/>
          <w:highlight w:val="none"/>
        </w:rPr>
        <w:t xml:space="preserve">1.1.2 </w:t>
      </w:r>
      <w:r>
        <w:rPr>
          <w:rFonts w:hint="eastAsia" w:ascii="仿宋_GB2312" w:hAnsi="楷体" w:eastAsia="仿宋_GB2312" w:cs="楷体"/>
          <w:color w:val="auto"/>
          <w:sz w:val="32"/>
          <w:szCs w:val="32"/>
          <w:highlight w:val="none"/>
        </w:rPr>
        <w:t>作业中管理要求</w:t>
      </w:r>
    </w:p>
    <w:p>
      <w:pPr>
        <w:snapToGrid w:val="0"/>
        <w:spacing w:line="575" w:lineRule="exact"/>
        <w:ind w:firstLine="640" w:firstLineChars="200"/>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建立信息交流机制，对乙方提报的工作计划或作业任务进行确认，开展作业监督检查，监督办理危险作业等作业许可，指导协调应急处置。</w:t>
      </w:r>
    </w:p>
    <w:p>
      <w:pPr>
        <w:snapToGrid w:val="0"/>
        <w:spacing w:line="575" w:lineRule="exact"/>
        <w:ind w:firstLine="640" w:firstLineChars="200"/>
        <w:rPr>
          <w:rFonts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——负责审查乙方提报的《每日作业计划》；</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——监督检查乙方风险管控措施和</w:t>
      </w:r>
      <w:r>
        <w:rPr>
          <w:rFonts w:hint="eastAsia" w:ascii="仿宋_GB2312" w:hAnsi="仿宋" w:eastAsia="仿宋_GB2312" w:cs="仿宋"/>
          <w:color w:val="auto"/>
          <w:sz w:val="32"/>
          <w:szCs w:val="32"/>
          <w:highlight w:val="none"/>
        </w:rPr>
        <w:t>危大工程的方案落实情况，并督促整改闭环。</w:t>
      </w:r>
    </w:p>
    <w:p>
      <w:pPr>
        <w:snapToGrid w:val="0"/>
        <w:spacing w:line="575" w:lineRule="exact"/>
        <w:ind w:firstLine="640" w:firstLineChars="200"/>
        <w:rPr>
          <w:rFonts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——负责指挥协调</w:t>
      </w:r>
      <w:r>
        <w:rPr>
          <w:rFonts w:hint="eastAsia" w:ascii="仿宋_GB2312" w:hAnsi="仿宋" w:eastAsia="仿宋_GB2312" w:cs="仿宋"/>
          <w:color w:val="auto"/>
          <w:sz w:val="32"/>
          <w:szCs w:val="32"/>
          <w:highlight w:val="none"/>
        </w:rPr>
        <w:t>乙方现场安全生产事故应急救援工作，充分调动甲乙双方的应急资源。</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——对承包商危险作业实施许可管理；按照变更作业相关制度实施变更作业管理；</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eastAsia="仿宋_GB2312"/>
          <w:color w:val="auto"/>
          <w:sz w:val="32"/>
          <w:szCs w:val="32"/>
          <w:highlight w:val="none"/>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napToGrid w:val="0"/>
        <w:spacing w:line="575"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1.1.3作业后管理要求</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eastAsia="仿宋_GB2312"/>
          <w:color w:val="auto"/>
          <w:sz w:val="32"/>
          <w:szCs w:val="32"/>
          <w:highlight w:val="none"/>
        </w:rPr>
        <w:t>组织对乙方按照甲方考核评价相关制度进行考核评价，开展项目验收。</w:t>
      </w:r>
    </w:p>
    <w:p>
      <w:pPr>
        <w:snapToGrid w:val="0"/>
        <w:spacing w:line="575" w:lineRule="exact"/>
        <w:ind w:firstLine="640" w:firstLineChars="20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1.2 权利</w:t>
      </w:r>
    </w:p>
    <w:p>
      <w:pPr>
        <w:snapToGrid w:val="0"/>
        <w:spacing w:line="575"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1.2.1 有权否决乙方的分包方案。</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1.2.3 有权对乙方现场安全工作不称职的现场负责人、安全管理负责人和作业人员，提出约谈、警告、调离岗位、直至撤换等要求。</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1.2.4 有权制止并纠正乙方作业现场的“三违”行为，遇到危及安全生产的紧急情况，有权下令停止作业。</w:t>
      </w:r>
    </w:p>
    <w:p>
      <w:pPr>
        <w:snapToGrid w:val="0"/>
        <w:spacing w:line="575"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1.2.5 乙方实施过程中违反国家有关法律法规的，甲方有权决定解除与乙方之间的合同及本协议。</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1.2.6 有权要求乙方遵守并执行甲方制定或发布的全部的安全方面的管理制度和要求。</w:t>
      </w:r>
    </w:p>
    <w:p>
      <w:pPr>
        <w:adjustRightInd w:val="0"/>
        <w:snapToGrid w:val="0"/>
        <w:spacing w:line="575"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2 乙方的职责、权利</w:t>
      </w:r>
    </w:p>
    <w:p>
      <w:pPr>
        <w:snapToGrid w:val="0"/>
        <w:spacing w:line="575" w:lineRule="exact"/>
        <w:ind w:firstLine="640" w:firstLineChars="20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 xml:space="preserve">2.1 乙方责任 </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乙方按照甲方承包商管理制度及信息化管理系统要求，提供、上传相关资料文件，对资料的真实性、有效性、合法性负责。安全合规有序开展作业，确保项目满足质量及使用要求。</w:t>
      </w:r>
    </w:p>
    <w:p>
      <w:pPr>
        <w:snapToGrid w:val="0"/>
        <w:spacing w:line="575" w:lineRule="exact"/>
        <w:ind w:firstLine="720" w:firstLineChars="225"/>
        <w:rPr>
          <w:rFonts w:ascii="仿宋_GB2312" w:hAnsi="楷体" w:eastAsia="仿宋_GB2312" w:cs="楷体"/>
          <w:color w:val="auto"/>
          <w:sz w:val="32"/>
          <w:szCs w:val="32"/>
          <w:highlight w:val="none"/>
        </w:rPr>
      </w:pPr>
      <w:r>
        <w:rPr>
          <w:rFonts w:hint="eastAsia" w:ascii="仿宋_GB2312" w:hAnsi="仿宋" w:eastAsia="仿宋_GB2312" w:cs="仿宋"/>
          <w:color w:val="auto"/>
          <w:sz w:val="32"/>
          <w:szCs w:val="32"/>
          <w:highlight w:val="none"/>
        </w:rPr>
        <w:t>2.1.1</w:t>
      </w:r>
      <w:r>
        <w:rPr>
          <w:rFonts w:hint="eastAsia" w:ascii="仿宋_GB2312" w:hAnsi="楷体" w:eastAsia="仿宋_GB2312" w:cs="楷体"/>
          <w:color w:val="auto"/>
          <w:sz w:val="32"/>
          <w:szCs w:val="32"/>
          <w:highlight w:val="none"/>
        </w:rPr>
        <w:t>作业前工作要求</w:t>
      </w:r>
    </w:p>
    <w:p>
      <w:pPr>
        <w:snapToGrid w:val="0"/>
        <w:spacing w:line="575" w:lineRule="exact"/>
        <w:ind w:firstLine="720" w:firstLineChars="225"/>
        <w:rPr>
          <w:rFonts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提供企业相关信息，签订安全协议，接受安全条件审查，开展安全培训交底工作。</w:t>
      </w:r>
    </w:p>
    <w:p>
      <w:pPr>
        <w:widowControl/>
        <w:spacing w:line="575" w:lineRule="exact"/>
        <w:ind w:firstLine="739" w:firstLineChars="231"/>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——提交</w:t>
      </w:r>
      <w:r>
        <w:rPr>
          <w:rFonts w:hint="eastAsia" w:ascii="仿宋_GB2312" w:hAnsi="仿宋" w:eastAsia="仿宋_GB2312" w:cs="仿宋"/>
          <w:color w:val="auto"/>
          <w:kern w:val="36"/>
          <w:sz w:val="32"/>
          <w:szCs w:val="30"/>
          <w:highlight w:val="none"/>
        </w:rPr>
        <w:t>资质证件、无事故证明、人员保险、人员资格证书、安全培训、作业方案、现场处置方案等文件资料</w:t>
      </w:r>
      <w:r>
        <w:rPr>
          <w:rFonts w:hint="eastAsia" w:ascii="仿宋_GB2312" w:hAnsi="仿宋" w:eastAsia="仿宋_GB2312" w:cs="仿宋"/>
          <w:color w:val="auto"/>
          <w:sz w:val="32"/>
          <w:szCs w:val="32"/>
          <w:highlight w:val="none"/>
        </w:rPr>
        <w:t>，并对真实性、有效性和合法性负责。</w:t>
      </w:r>
    </w:p>
    <w:p>
      <w:pPr>
        <w:snapToGrid w:val="0"/>
        <w:spacing w:line="575" w:lineRule="exact"/>
        <w:ind w:firstLine="640" w:firstLineChars="200"/>
        <w:rPr>
          <w:rFonts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——配备安全管理机构及人员；</w:t>
      </w:r>
    </w:p>
    <w:p>
      <w:pPr>
        <w:snapToGrid w:val="0"/>
        <w:spacing w:line="575" w:lineRule="exact"/>
        <w:ind w:firstLine="640" w:firstLineChars="200"/>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——配备</w:t>
      </w:r>
      <w:r>
        <w:rPr>
          <w:rFonts w:hint="eastAsia" w:ascii="仿宋_GB2312" w:eastAsia="仿宋_GB2312"/>
          <w:color w:val="auto"/>
          <w:sz w:val="32"/>
          <w:szCs w:val="32"/>
          <w:highlight w:val="none"/>
        </w:rPr>
        <w:t>作业设备设施、工具、物料、劳动保护用品等物品，并对符合性、安全性和完好性负责；</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——负责对乙方作业人员</w:t>
      </w:r>
      <w:r>
        <w:rPr>
          <w:rFonts w:hint="eastAsia" w:ascii="仿宋_GB2312" w:hAnsi="仿宋" w:eastAsia="仿宋_GB2312" w:cs="仿宋"/>
          <w:color w:val="auto"/>
          <w:sz w:val="32"/>
          <w:szCs w:val="32"/>
          <w:highlight w:val="none"/>
        </w:rPr>
        <w:t>进行安全风险交底；</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w:t>
      </w:r>
      <w:r>
        <w:rPr>
          <w:rFonts w:hint="eastAsia" w:ascii="仿宋_GB2312" w:eastAsia="仿宋_GB2312"/>
          <w:color w:val="auto"/>
          <w:sz w:val="32"/>
          <w:szCs w:val="32"/>
          <w:highlight w:val="none"/>
        </w:rPr>
        <w:t>严禁违法分包和挂靠资质</w:t>
      </w:r>
      <w:r>
        <w:rPr>
          <w:rFonts w:hint="eastAsia" w:ascii="仿宋_GB2312" w:hAnsi="仿宋" w:eastAsia="仿宋_GB2312" w:cs="仿宋"/>
          <w:color w:val="auto"/>
          <w:sz w:val="32"/>
          <w:szCs w:val="32"/>
          <w:highlight w:val="none"/>
        </w:rPr>
        <w:t>。如违反，则甲方有权决定解除与乙方之间的合同及本协议。</w:t>
      </w:r>
    </w:p>
    <w:p>
      <w:pPr>
        <w:snapToGrid w:val="0"/>
        <w:spacing w:line="575" w:lineRule="exact"/>
        <w:ind w:left="720"/>
        <w:rPr>
          <w:rFonts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2.1.2作业中管理要求</w:t>
      </w:r>
    </w:p>
    <w:p>
      <w:pPr>
        <w:snapToGrid w:val="0"/>
        <w:spacing w:line="575" w:lineRule="exact"/>
        <w:ind w:firstLine="640" w:firstLineChars="200"/>
        <w:rPr>
          <w:rFonts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按照甲方要求参加值班例会或项目例会，按时提报的工作计划或作业任务，定期开展安全检查并整改关闭，按照规定办理危险作业等作业许可，开展安全事故应急处置。</w:t>
      </w:r>
    </w:p>
    <w:p>
      <w:pPr>
        <w:snapToGrid w:val="0"/>
        <w:spacing w:line="575" w:lineRule="exact"/>
        <w:ind w:firstLine="640" w:firstLineChars="200"/>
        <w:rPr>
          <w:rFonts w:hint="eastAsia" w:ascii="仿宋_GB2312" w:hAnsi="楷体" w:eastAsia="仿宋_GB2312" w:cs="楷体"/>
          <w:color w:val="auto"/>
          <w:sz w:val="32"/>
          <w:szCs w:val="32"/>
          <w:highlight w:val="none"/>
        </w:rPr>
      </w:pPr>
      <w:r>
        <w:rPr>
          <w:rFonts w:hint="eastAsia" w:ascii="仿宋_GB2312" w:eastAsia="仿宋_GB2312"/>
          <w:color w:val="auto"/>
          <w:sz w:val="32"/>
          <w:szCs w:val="32"/>
          <w:highlight w:val="none"/>
        </w:rPr>
        <w:t>禁止擅自改变每日作业活动的性质、范围和条件，禁止在作业任务规定时间之外开展作业，禁止在无人监管的情况下开展作业。</w:t>
      </w:r>
    </w:p>
    <w:p>
      <w:pPr>
        <w:snapToGrid w:val="0"/>
        <w:spacing w:line="575" w:lineRule="exact"/>
        <w:ind w:firstLine="640" w:firstLineChars="200"/>
        <w:rPr>
          <w:rFonts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——负责提报的《每日作业计划》；</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——按照施工方案落实风险管控措施</w:t>
      </w:r>
      <w:r>
        <w:rPr>
          <w:rFonts w:hint="eastAsia" w:ascii="仿宋_GB2312" w:hAnsi="仿宋" w:eastAsia="仿宋_GB2312" w:cs="仿宋"/>
          <w:color w:val="auto"/>
          <w:sz w:val="32"/>
          <w:szCs w:val="32"/>
          <w:highlight w:val="none"/>
        </w:rPr>
        <w:t>；</w:t>
      </w:r>
    </w:p>
    <w:p>
      <w:pPr>
        <w:snapToGrid w:val="0"/>
        <w:spacing w:line="575" w:lineRule="exact"/>
        <w:ind w:firstLine="640" w:firstLineChars="200"/>
        <w:rPr>
          <w:rFonts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——负责指挥</w:t>
      </w:r>
      <w:r>
        <w:rPr>
          <w:rFonts w:hint="eastAsia" w:ascii="仿宋_GB2312" w:hAnsi="仿宋" w:eastAsia="仿宋_GB2312" w:cs="仿宋"/>
          <w:color w:val="auto"/>
          <w:sz w:val="32"/>
          <w:szCs w:val="32"/>
          <w:highlight w:val="none"/>
        </w:rPr>
        <w:t>现场安全生产事故应急救援工作，并及时向甲方报告，并积极配合甲方的应急指挥、协调事故救援工作。</w:t>
      </w:r>
    </w:p>
    <w:p>
      <w:pPr>
        <w:snapToGrid w:val="0"/>
        <w:spacing w:line="575" w:lineRule="exact"/>
        <w:ind w:firstLine="640" w:firstLineChars="200"/>
        <w:rPr>
          <w:rFonts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——按照甲方制度要求，危险作业办理许可方可作业；按照甲方变更作业相关制度实施变更作业管理；</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——特种作业人员须持有与作业相应的、合格的特种作业证，特种设备操作人员需持有效的特种设备操作员证；</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w:t>
      </w:r>
      <w:r>
        <w:rPr>
          <w:rFonts w:hint="eastAsia" w:ascii="仿宋_GB2312" w:hAnsi="仿宋" w:eastAsia="仿宋_GB2312" w:cs="仿宋"/>
          <w:color w:val="auto"/>
          <w:sz w:val="32"/>
          <w:szCs w:val="32"/>
          <w:highlight w:val="none"/>
        </w:rPr>
        <w:t>现场存在交叉作业时，应服从甲方协调、指挥。</w:t>
      </w:r>
    </w:p>
    <w:p>
      <w:pPr>
        <w:snapToGrid w:val="0"/>
        <w:spacing w:line="575" w:lineRule="exact"/>
        <w:ind w:firstLine="720" w:firstLineChars="225"/>
        <w:rPr>
          <w:rFonts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——施工过程中，存在重大变更（方案、工具、人员等）或重大隐患、事故征兆以及事故的情况，应及时、如实报告甲方。</w:t>
      </w:r>
    </w:p>
    <w:p>
      <w:pPr>
        <w:widowControl/>
        <w:ind w:firstLine="640" w:firstLineChars="200"/>
        <w:jc w:val="left"/>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w:t>
      </w:r>
      <w:r>
        <w:rPr>
          <w:rFonts w:hint="eastAsia" w:ascii="仿宋_GB2312" w:hAnsi="仿宋" w:eastAsia="仿宋_GB2312" w:cs="仿宋"/>
          <w:color w:val="auto"/>
          <w:sz w:val="32"/>
          <w:szCs w:val="32"/>
          <w:highlight w:val="none"/>
        </w:rPr>
        <w:t>涉及危大工程的，</w:t>
      </w:r>
      <w:r>
        <w:rPr>
          <w:rFonts w:hint="eastAsia" w:ascii="仿宋_GB2312" w:eastAsia="仿宋_GB2312"/>
          <w:color w:val="auto"/>
          <w:sz w:val="32"/>
          <w:szCs w:val="32"/>
          <w:highlight w:val="none"/>
        </w:rPr>
        <w:t>根据《危险性较大的分部分项工程安全管理规定》及甲方相关制度标准，组织编制危大工程专项施工方案。</w:t>
      </w:r>
    </w:p>
    <w:p>
      <w:pPr>
        <w:widowControl/>
        <w:ind w:firstLine="640" w:firstLineChars="200"/>
        <w:jc w:val="left"/>
        <w:rPr>
          <w:rFonts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w:t>
      </w:r>
      <w:r>
        <w:rPr>
          <w:rFonts w:hint="eastAsia" w:ascii="仿宋_GB2312" w:hAnsi="仿宋" w:eastAsia="仿宋_GB2312" w:cs="仿宋"/>
          <w:color w:val="auto"/>
          <w:sz w:val="32"/>
          <w:szCs w:val="32"/>
          <w:highlight w:val="none"/>
        </w:rPr>
        <w:t>作业过程中违反国家有关法律法规造成损失的，承担相应责任，若因此给甲方造成损失或处罚的，承担经济损失。</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楷体" w:eastAsia="仿宋_GB2312" w:cs="楷体"/>
          <w:color w:val="auto"/>
          <w:sz w:val="32"/>
          <w:szCs w:val="32"/>
          <w:highlight w:val="none"/>
        </w:rPr>
        <w:t>——</w:t>
      </w:r>
      <w:r>
        <w:rPr>
          <w:rFonts w:hint="eastAsia" w:ascii="仿宋_GB2312" w:hAnsi="仿宋" w:eastAsia="仿宋_GB2312" w:cs="仿宋"/>
          <w:color w:val="auto"/>
          <w:sz w:val="32"/>
          <w:szCs w:val="32"/>
          <w:highlight w:val="none"/>
        </w:rPr>
        <w:t>作业过程中严禁使用</w:t>
      </w:r>
      <w:r>
        <w:rPr>
          <w:rFonts w:ascii="仿宋_GB2312" w:hAnsi="仿宋" w:eastAsia="仿宋_GB2312" w:cs="仿宋"/>
          <w:color w:val="auto"/>
          <w:sz w:val="32"/>
          <w:szCs w:val="32"/>
          <w:highlight w:val="none"/>
        </w:rPr>
        <w:t>国家明令禁止使用或耗能大、对环境造成较大破坏的设备</w:t>
      </w:r>
      <w:r>
        <w:rPr>
          <w:rFonts w:hint="eastAsia" w:ascii="仿宋_GB2312" w:hAnsi="仿宋" w:eastAsia="仿宋_GB2312" w:cs="仿宋"/>
          <w:color w:val="auto"/>
          <w:sz w:val="32"/>
          <w:szCs w:val="32"/>
          <w:highlight w:val="none"/>
        </w:rPr>
        <w:t>设施，运输车辆需符合排放标准要求，作业现场需做好防扬撒措施，规范处置作业过程中产生的固废、危废。</w:t>
      </w:r>
    </w:p>
    <w:p>
      <w:pPr>
        <w:snapToGrid w:val="0"/>
        <w:spacing w:line="575" w:lineRule="exact"/>
        <w:ind w:left="720"/>
        <w:rPr>
          <w:rFonts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2.1.3作业后管理要求</w:t>
      </w:r>
    </w:p>
    <w:p>
      <w:pPr>
        <w:snapToGrid w:val="0"/>
        <w:spacing w:line="575" w:lineRule="exact"/>
        <w:ind w:firstLine="640" w:firstLineChars="200"/>
        <w:rPr>
          <w:rFonts w:hint="eastAsia" w:ascii="仿宋_GB2312" w:hAnsi="楷体" w:eastAsia="仿宋_GB2312" w:cs="楷体"/>
          <w:color w:val="auto"/>
          <w:sz w:val="32"/>
          <w:szCs w:val="32"/>
          <w:highlight w:val="none"/>
        </w:rPr>
      </w:pPr>
      <w:r>
        <w:rPr>
          <w:rFonts w:hint="eastAsia" w:ascii="仿宋_GB2312" w:hAnsi="楷体" w:eastAsia="仿宋_GB2312" w:cs="楷体"/>
          <w:color w:val="auto"/>
          <w:sz w:val="32"/>
          <w:szCs w:val="32"/>
          <w:highlight w:val="none"/>
        </w:rPr>
        <w:t>对甲方提供的技术资料保密，并提供真实有效的竣工验收资料。</w:t>
      </w:r>
    </w:p>
    <w:p>
      <w:pPr>
        <w:snapToGrid w:val="0"/>
        <w:spacing w:line="575"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——对甲方提供的技术资料的保密性负责；</w:t>
      </w:r>
    </w:p>
    <w:p>
      <w:pPr>
        <w:snapToGrid w:val="0"/>
        <w:spacing w:line="575" w:lineRule="exact"/>
        <w:ind w:firstLine="640" w:firstLineChars="200"/>
        <w:rPr>
          <w:rFonts w:hint="eastAsia" w:ascii="仿宋_GB2312" w:hAnsi="楷体" w:eastAsia="仿宋_GB2312" w:cs="楷体"/>
          <w:color w:val="auto"/>
          <w:sz w:val="32"/>
          <w:szCs w:val="32"/>
          <w:highlight w:val="none"/>
        </w:rPr>
      </w:pPr>
      <w:r>
        <w:rPr>
          <w:rFonts w:hint="eastAsia" w:ascii="仿宋_GB2312" w:hAnsi="仿宋" w:eastAsia="仿宋_GB2312" w:cs="仿宋"/>
          <w:color w:val="auto"/>
          <w:sz w:val="32"/>
          <w:szCs w:val="32"/>
          <w:highlight w:val="none"/>
        </w:rPr>
        <w:t>——对提交竣工验收相关资料的真实性负责</w:t>
      </w:r>
      <w:r>
        <w:rPr>
          <w:rFonts w:hint="eastAsia" w:ascii="仿宋_GB2312" w:hAnsi="楷体" w:eastAsia="仿宋_GB2312" w:cs="楷体"/>
          <w:color w:val="auto"/>
          <w:sz w:val="32"/>
          <w:szCs w:val="32"/>
          <w:highlight w:val="none"/>
        </w:rPr>
        <w:t>。</w:t>
      </w:r>
    </w:p>
    <w:p>
      <w:pPr>
        <w:snapToGrid w:val="0"/>
        <w:spacing w:line="575" w:lineRule="exact"/>
        <w:ind w:firstLine="640" w:firstLineChars="20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2.2 权利</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2.2.1 有权拒绝甲方的违章指挥、强令冒险作业要求。</w:t>
      </w:r>
    </w:p>
    <w:p>
      <w:pPr>
        <w:adjustRightInd w:val="0"/>
        <w:snapToGrid w:val="0"/>
        <w:spacing w:line="575"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 违约追偿</w:t>
      </w:r>
    </w:p>
    <w:p>
      <w:pPr>
        <w:snapToGrid w:val="0"/>
        <w:spacing w:line="575"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adjustRightInd w:val="0"/>
        <w:snapToGrid w:val="0"/>
        <w:spacing w:line="575"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4 协议有效期</w:t>
      </w:r>
    </w:p>
    <w:p>
      <w:pPr>
        <w:pStyle w:val="20"/>
        <w:snapToGrid w:val="0"/>
        <w:spacing w:after="0" w:line="575" w:lineRule="exact"/>
        <w:ind w:firstLine="681" w:firstLineChars="213"/>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本协议有效期与合同一致，到期后双方尚有合同的权利义务未履行完毕的，协议有效期延续至合同履行完毕时止。</w:t>
      </w:r>
    </w:p>
    <w:p>
      <w:pPr>
        <w:adjustRightInd w:val="0"/>
        <w:snapToGrid w:val="0"/>
        <w:spacing w:line="575"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5 协议效力</w:t>
      </w:r>
    </w:p>
    <w:p>
      <w:pPr>
        <w:snapToGrid w:val="0"/>
        <w:spacing w:line="575" w:lineRule="exact"/>
        <w:ind w:firstLine="681" w:firstLineChars="213"/>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本协议与合同具有同等效力。本协议一式两份，甲、乙双方各持一份，双方盖章后生效，具有同等的法律效力。</w:t>
      </w:r>
    </w:p>
    <w:p>
      <w:pPr>
        <w:snapToGrid w:val="0"/>
        <w:spacing w:line="575" w:lineRule="exact"/>
        <w:rPr>
          <w:rFonts w:hint="eastAsia" w:ascii="仿宋_GB2312" w:hAnsi="仿宋" w:eastAsia="仿宋_GB2312" w:cs="仿宋"/>
          <w:color w:val="auto"/>
          <w:sz w:val="32"/>
          <w:szCs w:val="32"/>
          <w:highlight w:val="none"/>
        </w:rPr>
      </w:pPr>
    </w:p>
    <w:p>
      <w:pPr>
        <w:snapToGrid w:val="0"/>
        <w:spacing w:line="575" w:lineRule="exact"/>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甲方（盖章）：                乙方（盖章）：</w:t>
      </w:r>
    </w:p>
    <w:p>
      <w:pPr>
        <w:snapToGrid w:val="0"/>
        <w:spacing w:line="575" w:lineRule="exact"/>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 xml:space="preserve">      年   月   日                  年   月   日</w:t>
      </w:r>
    </w:p>
    <w:p>
      <w:pPr>
        <w:spacing w:line="440" w:lineRule="exact"/>
        <w:ind w:firstLine="480"/>
        <w:rPr>
          <w:rFonts w:asciiTheme="minorEastAsia" w:hAnsiTheme="minorEastAsia" w:eastAsiaTheme="minorEastAsia" w:cstheme="minorEastAsia"/>
          <w:color w:val="auto"/>
          <w:sz w:val="24"/>
          <w:highlight w:val="none"/>
        </w:rPr>
      </w:pPr>
      <w:r>
        <w:rPr>
          <w:rFonts w:hint="eastAsia" w:ascii="仿宋" w:hAnsi="仿宋" w:eastAsia="仿宋" w:cs="仿宋"/>
          <w:color w:val="auto"/>
          <w:sz w:val="32"/>
          <w:szCs w:val="32"/>
          <w:highlight w:val="none"/>
        </w:rPr>
        <w:br w:type="page"/>
      </w:r>
    </w:p>
    <w:p>
      <w:pPr>
        <w:spacing w:line="44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表</w:t>
      </w:r>
      <w:r>
        <w:rPr>
          <w:rFonts w:asciiTheme="minorEastAsia" w:hAnsiTheme="minorEastAsia" w:eastAsiaTheme="minorEastAsia" w:cstheme="minorEastAsia"/>
          <w:b/>
          <w:color w:val="auto"/>
          <w:sz w:val="24"/>
          <w:highlight w:val="none"/>
        </w:rPr>
        <w:t xml:space="preserve">1 </w:t>
      </w:r>
      <w:r>
        <w:rPr>
          <w:rFonts w:hint="eastAsia" w:asciiTheme="minorEastAsia" w:hAnsiTheme="minorEastAsia" w:eastAsiaTheme="minorEastAsia" w:cstheme="minorEastAsia"/>
          <w:b/>
          <w:color w:val="auto"/>
          <w:sz w:val="24"/>
          <w:highlight w:val="none"/>
        </w:rPr>
        <w:t>安全环保处罚细则</w:t>
      </w:r>
    </w:p>
    <w:tbl>
      <w:tblPr>
        <w:tblStyle w:val="22"/>
        <w:tblW w:w="5000" w:type="pct"/>
        <w:jc w:val="center"/>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1462"/>
        <w:gridCol w:w="6641"/>
        <w:gridCol w:w="1859"/>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34" w:type="pct"/>
            <w:tcBorders>
              <w:top w:val="single" w:color="auto" w:sz="12" w:space="0"/>
              <w:bottom w:val="inset" w:color="auto" w:sz="6" w:space="0"/>
            </w:tcBorders>
            <w:shd w:val="clear" w:color="auto" w:fill="D99594" w:themeFill="accent2" w:themeFillTint="99"/>
            <w:vAlign w:val="center"/>
          </w:tcPr>
          <w:p>
            <w:pPr>
              <w:snapToGri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w:t>
            </w:r>
          </w:p>
        </w:tc>
        <w:tc>
          <w:tcPr>
            <w:tcW w:w="3333" w:type="pct"/>
            <w:tcBorders>
              <w:top w:val="single" w:color="auto" w:sz="12" w:space="0"/>
              <w:bottom w:val="inset" w:color="auto" w:sz="6" w:space="0"/>
            </w:tcBorders>
            <w:shd w:val="clear" w:color="auto" w:fill="D99594" w:themeFill="accent2" w:themeFillTint="99"/>
            <w:vAlign w:val="center"/>
          </w:tcPr>
          <w:p>
            <w:pPr>
              <w:snapToGri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违反文明安全施工行为</w:t>
            </w:r>
          </w:p>
        </w:tc>
        <w:tc>
          <w:tcPr>
            <w:tcW w:w="933" w:type="pct"/>
            <w:tcBorders>
              <w:top w:val="single" w:color="auto" w:sz="12" w:space="0"/>
              <w:bottom w:val="inset" w:color="auto" w:sz="6" w:space="0"/>
            </w:tcBorders>
            <w:shd w:val="clear" w:color="auto" w:fill="D99594" w:themeFill="accent2" w:themeFillTint="99"/>
            <w:vAlign w:val="center"/>
          </w:tcPr>
          <w:p>
            <w:pPr>
              <w:snapToGri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罚款金额</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tcBorders>
              <w:top w:val="inset" w:color="auto" w:sz="6" w:space="0"/>
            </w:tcBorders>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1.劳动保护</w:t>
            </w:r>
          </w:p>
        </w:tc>
        <w:tc>
          <w:tcPr>
            <w:tcW w:w="3333" w:type="pct"/>
            <w:tcBorders>
              <w:top w:val="inset" w:color="auto" w:sz="6" w:space="0"/>
            </w:tcBorders>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1、未向从业人员配备合规的劳动防护用品。</w:t>
            </w:r>
          </w:p>
        </w:tc>
        <w:tc>
          <w:tcPr>
            <w:tcW w:w="933" w:type="pct"/>
            <w:tcBorders>
              <w:top w:val="inset" w:color="auto" w:sz="6" w:space="0"/>
            </w:tcBorders>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2、使用不符合国标的劳动防护用品。</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3、作业时未穿戴、未规范穿戴劳动防护用品。</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2.“三违”</w:t>
            </w: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1、从业人员串岗、脱岗、睡岗。</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2、从业人员入厂前未做安全教育培训和安全技术交底的。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3、未组织施工、作业人员进行班前会。</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4、吊装时吊臂下站人、吊装区域不采取安全防护措施的。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5、设备带病运转、未定期检查维保。</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6、不按规定从固定通道进出、上下。</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7、设备设施安全防护缺陷、缺失。</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8、高处抛物。</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9、危险性大的施工方案未经审批。</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10、起重、提升设备、车辆等设备违规载人。</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11、违章指挥。</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12、特种设备未经检验、未登记使用；特种作业人员、特种设备操作人员未持证上岗。</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13、未定期开展安全环保隐患排查、未落实整改。</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3.文明施工、作业</w:t>
            </w: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1、随地大小便。</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2、酒后上岗。</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3、野蛮作业或吵骂打架。</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4、禁烟区域、厂房内吸烟。</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5、人员、车辆未按照规定路线行走或行驶、超速。</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6、进场人员未佩戴外来施工出入证或无证进出。</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4.现场管理</w:t>
            </w: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1、承包商管理人员未按要求开展安全检查。</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2、施工、作业场地未做好隔离围蔽措施、未进行人员进出管控的。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3、危险化学品、危废未按规定进行管理。</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4、施工作业器具、材料、垃圾，未及时清理的。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5、施工、作业现场未实行定置管理，物品摆放无序，严重脏、乱、差的。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6、未按规定做好各项安全措施；安全防护设施（楼梯防护栏杆、洞口防护及临边防护等）不到位（无防护或防护不严密）。</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7、施工、作业现场不设置安全警示、告知牌。</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8、危险作业过程中，监护人不在作业现场。</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9、危险作业未办理作业安全许可证的。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10、危险作业安全许可证办理不规范的。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锅炉炉膛检修升降平台</w:t>
            </w:r>
            <w:r>
              <w:rPr>
                <w:rFonts w:asciiTheme="minorEastAsia" w:hAnsiTheme="minorEastAsia" w:eastAsiaTheme="minorEastAsia" w:cstheme="minorEastAsia"/>
                <w:color w:val="auto"/>
                <w:sz w:val="24"/>
                <w:highlight w:val="none"/>
              </w:rPr>
              <w:t>安全管理</w:t>
            </w: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锅炉炉膛检修升降平台</w:t>
            </w:r>
            <w:r>
              <w:rPr>
                <w:rFonts w:asciiTheme="minorEastAsia" w:hAnsiTheme="minorEastAsia" w:eastAsiaTheme="minorEastAsia" w:cstheme="minorEastAsia"/>
                <w:color w:val="auto"/>
                <w:sz w:val="24"/>
                <w:highlight w:val="none"/>
              </w:rPr>
              <w:t>安全附件缺失、损坏、无效的。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2、违规存放、搬运、使用氧气、乙炔、违规切割作业的。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3、氧气、乙炔瓶或管道存在漏气现象。</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6.电气安全</w:t>
            </w: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1、密闭空间作业照明，未使用安全电压。</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2、用电器无接地、接地不良。</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3、临时电缆未规范架设、或防护不到位。</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4、私拉乱接电线、线路老化破损的。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5、施工现场临时用电没有采用三级配电、二级保护，用电设备没有采取一机一闸一漏的。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6、露天电气箱无防雨装置。</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7.消防安全</w:t>
            </w: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1、未按规定配置灭火器材的。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2、消防器材未定期检查，灭火器材过期、失效的。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3、随意动用灭火器材的，或使用后未及时报告的。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4、擅自携带火种进入厂区禁火区域的。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8.生产安全事故</w:t>
            </w: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1、轻伤事故。</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2千-2万元/人/次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2、重伤事故。</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2万-5万元/人/次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3、死亡事故。</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30万元/人/次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4、隐瞒事故。</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2千-2万元/人/次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9.其他</w:t>
            </w:r>
          </w:p>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1、其他安全环保隐患或不文明作业现象，足以引发事故的。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2、造成公司设备设施损坏，按价赔偿，并处罚。</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按实际情况</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3、偷盗公司物品的每次给予相关单位罚款处理，严重者交公安机关。</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4、项目经理、负责人未请假离开现场两天以上的。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5、现场安全员未请假的。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6、其他未列明的违反安全环保、文明施工的行为。</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7、发生安全事故，隐瞒事故原因及责任人的。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8、伪造证照，欺瞒发包人的。</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按实际情况</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color w:val="auto"/>
                <w:sz w:val="24"/>
                <w:highlight w:val="none"/>
              </w:rPr>
            </w:pPr>
          </w:p>
        </w:tc>
        <w:tc>
          <w:tcPr>
            <w:tcW w:w="3333" w:type="pct"/>
            <w:shd w:val="clear" w:color="auto" w:fill="auto"/>
            <w:vAlign w:val="center"/>
          </w:tcPr>
          <w:p>
            <w:pPr>
              <w:snapToGrid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9、其他未尽事宜，发包人有权参照类似情形或具体情形进行相应处罚。</w:t>
            </w:r>
          </w:p>
        </w:tc>
        <w:tc>
          <w:tcPr>
            <w:tcW w:w="933" w:type="pct"/>
            <w:shd w:val="clear" w:color="auto" w:fill="auto"/>
            <w:vAlign w:val="center"/>
          </w:tcPr>
          <w:p>
            <w:pPr>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按实际情况</w:t>
            </w:r>
          </w:p>
        </w:tc>
      </w:tr>
    </w:tbl>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2.若乙方施工现场发生重伤1-2 </w:t>
      </w:r>
      <w:r>
        <w:rPr>
          <w:rFonts w:hint="eastAsia" w:asciiTheme="minorEastAsia" w:hAnsiTheme="minorEastAsia" w:eastAsiaTheme="minorEastAsia" w:cstheme="minorEastAsia"/>
          <w:color w:val="auto"/>
          <w:sz w:val="24"/>
          <w:highlight w:val="none"/>
        </w:rPr>
        <w:t>人责任事故，甲方扣罚该工程风险抵押金总额的</w:t>
      </w:r>
      <w:r>
        <w:rPr>
          <w:rFonts w:asciiTheme="minorEastAsia" w:hAnsiTheme="minorEastAsia" w:eastAsiaTheme="minorEastAsia" w:cstheme="minorEastAsia"/>
          <w:color w:val="auto"/>
          <w:sz w:val="24"/>
          <w:highlight w:val="none"/>
        </w:rPr>
        <w:t>20％（1人）、60%（2人）；若乙方施工现场发生死亡1人及以上或重伤3人及以上责任事故，甲方扣罚该项目全部风险抵押金。</w:t>
      </w:r>
    </w:p>
    <w:p>
      <w:pPr>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第九条</w:t>
      </w:r>
      <w:r>
        <w:rPr>
          <w:rFonts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highlight w:val="none"/>
        </w:rPr>
        <w:t>违约责任</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（一）甲乙双方遵守法律、法规、规章规定的义务，并享有相应的权利。</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（二）甲方违约。</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当发生下列情况之一的，甲方承担违约责任，依法赔偿给乙方造成的经济损失；因违约造成生产安全事故的，按照相关法律、法规、规章的规定，甲方依法承担相应责任：</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1.甲方擅自压缩工程合同约定的交货期，违章指挥或者强令乙方及其从业人员冒险作业的；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2.甲方未提供工程施工作业所必要的图纸资料，未向乙方进行技术交底的；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3.甲方不能提供合法的外包工程项目的；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4.甲方不能保证与外包工程有关的生产系统安全设施正常运行的；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5.甲方违反工程设计安排乙方施工作业的；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6.甲方未按照合同或者协议约定支付应当由甲方承担的工程安全生产费用的；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7.发生事故后，甲方未及时组织开展应急救援工作的；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8.甲方不履行协议义务或不按协议约定履行义务的其他情况。</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（三）乙方违约。</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当发生下列情况之一的，乙方承担违约责任，依法赔偿给甲方造成的损失；因违约造成生产安全事故的，按照相关法律、法规、规章的规定，乙方依法承担相应责任：</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1.乙方未按照合同或者协议约定将甲方提供的安全生产费用落实到位、专款专用的；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2.乙方不能保证与承揽工程规模相匹配的施工资质、技术人员、特种作业人员和设备设施的；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3.乙方有关资质、证照已过期的，或者安排证件已过期的各类应持证人员上岗作业的，或者作业人员无证上岗的；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4.乙方人员违章指挥或者违章作业的；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5.乙方现场安全管理不到位的；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6.乙方现场文明施工不到位的；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7.发生事故后，乙方未及时开展应急救援工作的；</w:t>
      </w:r>
    </w:p>
    <w:p>
      <w:pPr>
        <w:spacing w:line="440" w:lineRule="exact"/>
        <w:ind w:firstLine="48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8.乙方不履行协议义务或者未按协议约定履行义务的其他情况。</w:t>
      </w:r>
    </w:p>
    <w:p>
      <w:pPr>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第十条</w:t>
      </w:r>
      <w:r>
        <w:rPr>
          <w:rFonts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highlight w:val="none"/>
        </w:rPr>
        <w:t>补充条款</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（一）甲方所聘请的监理单位有权对乙方进行安全指导和管理，发挥甲方授权的工作内容。</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（二）甲乙双方在遵守有关法律、法规、规章和标准的前提下，结合工程施工实际，经协商一致后，可对以上条款内容进行补充但不得相悖，补充条款与本协议其他条款具有同等法律效力。</w:t>
      </w:r>
    </w:p>
    <w:p>
      <w:pPr>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第十一条</w:t>
      </w:r>
      <w:r>
        <w:rPr>
          <w:rFonts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highlight w:val="none"/>
        </w:rPr>
        <w:t>协议生效</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本协议自甲乙双方签字盖章之日起生效，其时效与双方所签订工程承包合同相同。本协议壹式玖份（贰正柒副），甲方执壹正伍副，乙方执壹正贰副）。</w:t>
      </w:r>
    </w:p>
    <w:p>
      <w:pPr>
        <w:spacing w:line="600" w:lineRule="exact"/>
        <w:rPr>
          <w:rFonts w:asciiTheme="minorEastAsia" w:hAnsiTheme="minorEastAsia" w:eastAsiaTheme="minorEastAsia" w:cstheme="minorEastAsia"/>
          <w:color w:val="auto"/>
          <w:sz w:val="24"/>
          <w:highlight w:val="none"/>
        </w:rPr>
      </w:pP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甲方（盖章）：</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乙方（盖章）：</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企业负责人（签字）：</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企业负责人（签字）：</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或者委托代理人（签字）</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或者委托代理人（签字）：</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联系电话：</w:t>
      </w:r>
    </w:p>
    <w:p>
      <w:pPr>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年</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月</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日</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日期：</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年</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月</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日</w:t>
      </w:r>
    </w:p>
    <w:p>
      <w:pPr>
        <w:snapToGrid w:val="0"/>
        <w:spacing w:line="400" w:lineRule="exact"/>
        <w:ind w:firstLine="470" w:firstLineChars="196"/>
        <w:rPr>
          <w:rFonts w:asciiTheme="minorEastAsia" w:hAnsiTheme="minorEastAsia" w:eastAsiaTheme="minorEastAsia" w:cstheme="minorEastAsia"/>
          <w:bCs/>
          <w:color w:val="auto"/>
          <w:sz w:val="24"/>
          <w:highlight w:val="none"/>
        </w:rPr>
      </w:pPr>
      <w:r>
        <w:rPr>
          <w:rFonts w:asciiTheme="minorEastAsia" w:hAnsiTheme="minorEastAsia" w:eastAsiaTheme="minorEastAsia" w:cstheme="minorEastAsia"/>
          <w:bCs/>
          <w:color w:val="auto"/>
          <w:sz w:val="24"/>
          <w:highlight w:val="none"/>
        </w:rPr>
        <w:br w:type="page"/>
      </w:r>
    </w:p>
    <w:p>
      <w:pPr>
        <w:pStyle w:val="4"/>
        <w:rPr>
          <w:rFonts w:asciiTheme="minorEastAsia" w:hAnsiTheme="minorEastAsia" w:eastAsiaTheme="minorEastAsia" w:cstheme="minorEastAsia"/>
          <w:color w:val="auto"/>
          <w:sz w:val="24"/>
          <w:szCs w:val="24"/>
          <w:highlight w:val="none"/>
        </w:rPr>
      </w:pPr>
      <w:bookmarkStart w:id="57" w:name="_Toc124269255"/>
      <w:r>
        <w:rPr>
          <w:rFonts w:hint="eastAsia" w:asciiTheme="minorEastAsia" w:hAnsiTheme="minorEastAsia" w:eastAsiaTheme="minorEastAsia" w:cstheme="minorEastAsia"/>
          <w:color w:val="auto"/>
          <w:sz w:val="24"/>
          <w:szCs w:val="24"/>
          <w:highlight w:val="none"/>
        </w:rPr>
        <w:t>附件</w:t>
      </w:r>
      <w:r>
        <w:rPr>
          <w:rFonts w:asciiTheme="minorEastAsia" w:hAnsiTheme="minorEastAsia" w:eastAsiaTheme="minorEastAsia" w:cstheme="minorEastAsia"/>
          <w:color w:val="auto"/>
          <w:sz w:val="24"/>
          <w:szCs w:val="24"/>
          <w:highlight w:val="none"/>
        </w:rPr>
        <w:t xml:space="preserve">5. </w:t>
      </w:r>
      <w:r>
        <w:rPr>
          <w:rFonts w:hint="eastAsia" w:asciiTheme="minorEastAsia" w:hAnsiTheme="minorEastAsia" w:eastAsiaTheme="minorEastAsia" w:cstheme="minorEastAsia"/>
          <w:color w:val="auto"/>
          <w:sz w:val="24"/>
          <w:szCs w:val="24"/>
          <w:highlight w:val="none"/>
        </w:rPr>
        <w:t>承诺书</w:t>
      </w:r>
      <w:bookmarkEnd w:id="57"/>
    </w:p>
    <w:p>
      <w:pPr>
        <w:spacing w:line="44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承诺书</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兹承诺本公司提供的货物或其任何一部分均不会侵犯任何第三方的专利权、商标权或著作权等知识产权。否则，我司愿意赔偿</w:t>
      </w:r>
      <w:r>
        <w:rPr>
          <w:rFonts w:hint="eastAsia" w:asciiTheme="minorEastAsia" w:hAnsiTheme="minorEastAsia" w:eastAsiaTheme="minorEastAsia" w:cstheme="minorEastAsia"/>
          <w:color w:val="auto"/>
          <w:sz w:val="24"/>
          <w:highlight w:val="none"/>
          <w:u w:val="single"/>
        </w:rPr>
        <w:t>中粮糖业（漳州）有限公司</w:t>
      </w:r>
      <w:r>
        <w:rPr>
          <w:rFonts w:hint="eastAsia" w:asciiTheme="minorEastAsia" w:hAnsiTheme="minorEastAsia" w:eastAsiaTheme="minorEastAsia" w:cstheme="minorEastAsia"/>
          <w:color w:val="auto"/>
          <w:sz w:val="24"/>
          <w:highlight w:val="none"/>
        </w:rPr>
        <w:t>因此受到的全部直接损失和间接损失（包括但不限于</w:t>
      </w:r>
      <w:r>
        <w:rPr>
          <w:rFonts w:hint="eastAsia" w:asciiTheme="minorEastAsia" w:hAnsiTheme="minorEastAsia" w:eastAsiaTheme="minorEastAsia" w:cstheme="minorEastAsia"/>
          <w:color w:val="auto"/>
          <w:sz w:val="24"/>
          <w:highlight w:val="none"/>
          <w:u w:val="single"/>
        </w:rPr>
        <w:t>中粮糖业（漳州）有限公司</w:t>
      </w:r>
      <w:r>
        <w:rPr>
          <w:rFonts w:hint="eastAsia" w:asciiTheme="minorEastAsia" w:hAnsiTheme="minorEastAsia" w:eastAsiaTheme="minorEastAsia" w:cstheme="minorEastAsia"/>
          <w:color w:val="auto"/>
          <w:sz w:val="24"/>
          <w:highlight w:val="none"/>
        </w:rPr>
        <w:t>因此受到的行政处罚、民事赔偿以及支出的律师费和相关诉讼费用）。</w:t>
      </w:r>
    </w:p>
    <w:p>
      <w:pPr>
        <w:spacing w:line="440" w:lineRule="exact"/>
        <w:ind w:firstLine="480" w:firstLineChars="200"/>
        <w:jc w:val="righ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XX公司（公章）</w:t>
      </w:r>
    </w:p>
    <w:p>
      <w:pPr>
        <w:spacing w:line="440" w:lineRule="exact"/>
        <w:ind w:firstLine="480" w:firstLineChars="200"/>
        <w:jc w:val="right"/>
        <w:rPr>
          <w:rFonts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月</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日</w:t>
      </w:r>
    </w:p>
    <w:p>
      <w:pPr>
        <w:jc w:val="center"/>
        <w:rPr>
          <w:rFonts w:asciiTheme="minorEastAsia" w:hAnsiTheme="minorEastAsia" w:eastAsiaTheme="minorEastAsia"/>
          <w:b/>
          <w:color w:val="auto"/>
          <w:sz w:val="24"/>
          <w:highlight w:val="none"/>
        </w:rPr>
        <w:sectPr>
          <w:footerReference r:id="rId6" w:type="default"/>
          <w:pgSz w:w="11906" w:h="16838"/>
          <w:pgMar w:top="1440" w:right="1080" w:bottom="1440" w:left="1080" w:header="850" w:footer="992" w:gutter="0"/>
          <w:cols w:space="720" w:num="1"/>
          <w:docGrid w:linePitch="326" w:charSpace="0"/>
        </w:sectPr>
      </w:pPr>
    </w:p>
    <w:bookmarkEnd w:id="30"/>
    <w:p>
      <w:pPr>
        <w:spacing w:line="320" w:lineRule="exact"/>
        <w:rPr>
          <w:rFonts w:asciiTheme="minorEastAsia" w:hAnsiTheme="minorEastAsia" w:eastAsiaTheme="minorEastAsia"/>
          <w:color w:val="auto"/>
          <w:szCs w:val="21"/>
          <w:highlight w:val="none"/>
        </w:rPr>
      </w:pPr>
    </w:p>
    <w:p>
      <w:pPr>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第五部分</w:t>
      </w:r>
    </w:p>
    <w:p>
      <w:pPr>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响应文件格式</w:t>
      </w:r>
    </w:p>
    <w:p>
      <w:pPr>
        <w:ind w:firstLine="3264" w:firstLineChars="739"/>
        <w:jc w:val="left"/>
        <w:rPr>
          <w:rFonts w:asciiTheme="minorEastAsia" w:hAnsiTheme="minorEastAsia" w:eastAsiaTheme="minorEastAsia"/>
          <w:b/>
          <w:color w:val="auto"/>
          <w:sz w:val="44"/>
          <w:szCs w:val="44"/>
          <w:highlight w:val="none"/>
        </w:rPr>
        <w:sectPr>
          <w:pgSz w:w="11906" w:h="16838"/>
          <w:pgMar w:top="1440" w:right="1080" w:bottom="1440" w:left="1080" w:header="851" w:footer="992" w:gutter="0"/>
          <w:cols w:space="720" w:num="1"/>
          <w:docGrid w:linePitch="326" w:charSpace="0"/>
        </w:sectPr>
      </w:pPr>
      <w:r>
        <w:rPr>
          <w:rFonts w:hint="eastAsia" w:asciiTheme="minorEastAsia" w:hAnsiTheme="minorEastAsia" w:eastAsiaTheme="minorEastAsia"/>
          <w:b/>
          <w:color w:val="auto"/>
          <w:sz w:val="44"/>
          <w:szCs w:val="44"/>
          <w:highlight w:val="none"/>
        </w:rPr>
        <w:t>（每页均需盖章）</w:t>
      </w:r>
    </w:p>
    <w:p>
      <w:pPr>
        <w:pStyle w:val="4"/>
        <w:rPr>
          <w:rFonts w:asciiTheme="minorEastAsia" w:hAnsiTheme="minorEastAsia" w:eastAsiaTheme="minorEastAsia"/>
          <w:color w:val="auto"/>
          <w:highlight w:val="none"/>
          <w:u w:val="none"/>
        </w:rPr>
      </w:pPr>
      <w:bookmarkStart w:id="58" w:name="_Toc124269258"/>
      <w:r>
        <w:rPr>
          <w:rFonts w:hint="eastAsia" w:asciiTheme="minorEastAsia" w:hAnsiTheme="minorEastAsia" w:eastAsiaTheme="minorEastAsia"/>
          <w:color w:val="auto"/>
          <w:highlight w:val="none"/>
          <w:u w:val="none"/>
        </w:rPr>
        <w:t>报价文件封面格式：</w:t>
      </w:r>
      <w:bookmarkEnd w:id="58"/>
      <w:r>
        <w:rPr>
          <w:rFonts w:asciiTheme="minorEastAsia" w:hAnsiTheme="minorEastAsia" w:eastAsiaTheme="minorEastAsia"/>
          <w:color w:val="auto"/>
          <w:highlight w:val="none"/>
          <w:u w:val="none"/>
        </w:rPr>
        <w:t xml:space="preserve"> </w:t>
      </w:r>
    </w:p>
    <w:p>
      <w:pPr>
        <w:snapToGrid w:val="0"/>
        <w:spacing w:before="120" w:beforeLines="50" w:after="50" w:line="600" w:lineRule="atLeast"/>
        <w:jc w:val="center"/>
        <w:rPr>
          <w:rFonts w:asciiTheme="minorEastAsia" w:hAnsiTheme="minorEastAsia" w:eastAsiaTheme="minorEastAsia"/>
          <w:b/>
          <w:bCs/>
          <w:color w:val="auto"/>
          <w:sz w:val="72"/>
          <w:szCs w:val="72"/>
          <w:highlight w:val="none"/>
        </w:rPr>
      </w:pPr>
    </w:p>
    <w:p>
      <w:pPr>
        <w:snapToGrid w:val="0"/>
        <w:spacing w:before="120" w:beforeLines="50" w:after="50" w:line="600" w:lineRule="atLeast"/>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报</w:t>
      </w:r>
      <w:r>
        <w:rPr>
          <w:rFonts w:asciiTheme="minorEastAsia" w:hAnsiTheme="minorEastAsia" w:eastAsiaTheme="minorEastAsia"/>
          <w:b/>
          <w:bCs/>
          <w:color w:val="auto"/>
          <w:sz w:val="72"/>
          <w:szCs w:val="72"/>
          <w:highlight w:val="none"/>
        </w:rPr>
        <w:t xml:space="preserve"> </w:t>
      </w:r>
      <w:r>
        <w:rPr>
          <w:rFonts w:hint="eastAsia" w:asciiTheme="minorEastAsia" w:hAnsiTheme="minorEastAsia" w:eastAsiaTheme="minorEastAsia"/>
          <w:b/>
          <w:bCs/>
          <w:color w:val="auto"/>
          <w:sz w:val="72"/>
          <w:szCs w:val="72"/>
          <w:highlight w:val="none"/>
        </w:rPr>
        <w:t>价</w:t>
      </w:r>
      <w:r>
        <w:rPr>
          <w:rFonts w:asciiTheme="minorEastAsia" w:hAnsiTheme="minorEastAsia" w:eastAsiaTheme="minorEastAsia"/>
          <w:b/>
          <w:bCs/>
          <w:color w:val="auto"/>
          <w:sz w:val="72"/>
          <w:szCs w:val="72"/>
          <w:highlight w:val="none"/>
        </w:rPr>
        <w:t xml:space="preserve"> </w:t>
      </w:r>
      <w:r>
        <w:rPr>
          <w:rFonts w:hint="eastAsia" w:asciiTheme="minorEastAsia" w:hAnsiTheme="minorEastAsia" w:eastAsiaTheme="minorEastAsia"/>
          <w:b/>
          <w:bCs/>
          <w:color w:val="auto"/>
          <w:sz w:val="72"/>
          <w:szCs w:val="72"/>
          <w:highlight w:val="none"/>
        </w:rPr>
        <w:t>文</w:t>
      </w:r>
      <w:r>
        <w:rPr>
          <w:rFonts w:asciiTheme="minorEastAsia" w:hAnsiTheme="minorEastAsia" w:eastAsiaTheme="minorEastAsia"/>
          <w:b/>
          <w:bCs/>
          <w:color w:val="auto"/>
          <w:sz w:val="72"/>
          <w:szCs w:val="72"/>
          <w:highlight w:val="none"/>
        </w:rPr>
        <w:t xml:space="preserve"> </w:t>
      </w:r>
      <w:r>
        <w:rPr>
          <w:rFonts w:hint="eastAsia" w:asciiTheme="minorEastAsia" w:hAnsiTheme="minorEastAsia" w:eastAsiaTheme="minorEastAsia"/>
          <w:b/>
          <w:bCs/>
          <w:color w:val="auto"/>
          <w:sz w:val="72"/>
          <w:szCs w:val="72"/>
          <w:highlight w:val="none"/>
        </w:rPr>
        <w:t>件</w:t>
      </w: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项目名称：</w:t>
      </w:r>
      <w:r>
        <w:rPr>
          <w:rFonts w:asciiTheme="minorEastAsia" w:hAnsiTheme="minorEastAsia" w:eastAsiaTheme="minorEastAsia"/>
          <w:b/>
          <w:bCs/>
          <w:color w:val="auto"/>
          <w:sz w:val="32"/>
          <w:szCs w:val="32"/>
          <w:highlight w:val="none"/>
        </w:rPr>
        <w:t xml:space="preserve"> </w:t>
      </w: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项目编号：</w:t>
      </w:r>
      <w:r>
        <w:rPr>
          <w:rFonts w:asciiTheme="minorEastAsia" w:hAnsiTheme="minorEastAsia" w:eastAsiaTheme="minorEastAsia"/>
          <w:b/>
          <w:bCs/>
          <w:color w:val="auto"/>
          <w:sz w:val="32"/>
          <w:szCs w:val="32"/>
          <w:highlight w:val="none"/>
        </w:rPr>
        <w:t xml:space="preserve"> </w:t>
      </w: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供应商名称：</w:t>
      </w: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供应商地址：</w:t>
      </w:r>
    </w:p>
    <w:p>
      <w:pPr>
        <w:snapToGrid w:val="0"/>
        <w:spacing w:before="120" w:beforeLines="50" w:after="50" w:line="500" w:lineRule="exact"/>
        <w:ind w:firstLine="645"/>
        <w:jc w:val="center"/>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 xml:space="preserve">                        </w:t>
      </w:r>
    </w:p>
    <w:p>
      <w:pPr>
        <w:snapToGrid w:val="0"/>
        <w:spacing w:before="120" w:beforeLines="50" w:after="50" w:line="500" w:lineRule="exact"/>
        <w:ind w:firstLine="645"/>
        <w:jc w:val="center"/>
        <w:rPr>
          <w:rFonts w:asciiTheme="minorEastAsia" w:hAnsiTheme="minorEastAsia" w:eastAsiaTheme="minorEastAsia"/>
          <w:b/>
          <w:color w:val="auto"/>
          <w:sz w:val="32"/>
          <w:szCs w:val="32"/>
          <w:highlight w:val="none"/>
        </w:rPr>
        <w:sectPr>
          <w:pgSz w:w="11906" w:h="16838"/>
          <w:pgMar w:top="1440" w:right="1080" w:bottom="1440" w:left="1080" w:header="851" w:footer="992" w:gutter="0"/>
          <w:cols w:space="720" w:num="1"/>
          <w:docGrid w:linePitch="326" w:charSpace="0"/>
        </w:sectPr>
      </w:pPr>
      <w:r>
        <w:rPr>
          <w:rFonts w:hint="eastAsia" w:asciiTheme="minorEastAsia" w:hAnsiTheme="minorEastAsia" w:eastAsiaTheme="minorEastAsia"/>
          <w:b/>
          <w:color w:val="auto"/>
          <w:sz w:val="32"/>
          <w:szCs w:val="32"/>
          <w:highlight w:val="none"/>
        </w:rPr>
        <w:t>年</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月</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日</w:t>
      </w:r>
    </w:p>
    <w:p>
      <w:pPr>
        <w:pStyle w:val="4"/>
        <w:jc w:val="center"/>
        <w:rPr>
          <w:rFonts w:asciiTheme="minorEastAsia" w:hAnsiTheme="minorEastAsia" w:eastAsiaTheme="minorEastAsia"/>
          <w:color w:val="auto"/>
          <w:highlight w:val="none"/>
        </w:rPr>
      </w:pPr>
      <w:bookmarkStart w:id="59" w:name="_Toc124269259"/>
      <w:r>
        <w:rPr>
          <w:rFonts w:hint="eastAsia" w:asciiTheme="minorEastAsia" w:hAnsiTheme="minorEastAsia" w:eastAsiaTheme="minorEastAsia"/>
          <w:color w:val="auto"/>
          <w:highlight w:val="none"/>
          <w:u w:val="none"/>
        </w:rPr>
        <w:t>报价文件目录</w:t>
      </w:r>
      <w:bookmarkEnd w:id="59"/>
    </w:p>
    <w:p>
      <w:pPr>
        <w:snapToGrid w:val="0"/>
        <w:spacing w:before="120" w:beforeLines="50" w:after="50" w:line="320" w:lineRule="exact"/>
        <w:jc w:val="left"/>
        <w:rPr>
          <w:rFonts w:cs="Courier New" w:asciiTheme="minorEastAsia" w:hAnsiTheme="minorEastAsia" w:eastAsiaTheme="minorEastAsia"/>
          <w:color w:val="auto"/>
          <w:szCs w:val="21"/>
          <w:highlight w:val="none"/>
        </w:rPr>
      </w:pPr>
      <w:r>
        <w:rPr>
          <w:rFonts w:cs="Courier New" w:asciiTheme="minorEastAsia" w:hAnsiTheme="minorEastAsia" w:eastAsiaTheme="minorEastAsia"/>
          <w:color w:val="auto"/>
          <w:szCs w:val="21"/>
          <w:highlight w:val="none"/>
        </w:rPr>
        <w:t xml:space="preserve">    </w:t>
      </w:r>
    </w:p>
    <w:p>
      <w:pPr>
        <w:snapToGrid w:val="0"/>
        <w:spacing w:before="120" w:beforeLines="50" w:after="50" w:line="32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（1）响应函（格式见附件1-1）</w:t>
      </w:r>
    </w:p>
    <w:p>
      <w:pPr>
        <w:snapToGrid w:val="0"/>
        <w:spacing w:before="120" w:beforeLines="50" w:after="50" w:line="32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（2）响应报价明细表（格式见附件1-2）</w:t>
      </w:r>
    </w:p>
    <w:p>
      <w:pPr>
        <w:snapToGrid w:val="0"/>
        <w:spacing w:before="120" w:beforeLines="50" w:after="50" w:line="32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（3）五年备品备件清单（格式见附件1-3）；</w:t>
      </w:r>
    </w:p>
    <w:p>
      <w:pPr>
        <w:snapToGrid w:val="0"/>
        <w:spacing w:before="120" w:beforeLines="50" w:after="50" w:line="32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（4）随机专用工具清单（格式见附件1-4）；</w:t>
      </w:r>
    </w:p>
    <w:p>
      <w:pPr>
        <w:snapToGrid w:val="0"/>
        <w:spacing w:before="120" w:beforeLines="50" w:after="50" w:line="32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（5）供应商针对报价需要说明的其他文件和说明</w:t>
      </w:r>
    </w:p>
    <w:p>
      <w:pPr>
        <w:snapToGrid w:val="0"/>
        <w:spacing w:before="120" w:beforeLines="50" w:after="50" w:line="320" w:lineRule="exact"/>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snapToGrid w:val="0"/>
        <w:spacing w:before="120" w:beforeLines="50" w:after="50"/>
        <w:jc w:val="left"/>
        <w:rPr>
          <w:rFonts w:asciiTheme="minorEastAsia" w:hAnsiTheme="minorEastAsia" w:eastAsiaTheme="minorEastAsia"/>
          <w:b/>
          <w:color w:val="auto"/>
          <w:sz w:val="32"/>
          <w:szCs w:val="32"/>
          <w:highlight w:val="none"/>
        </w:rPr>
      </w:pPr>
      <w:bookmarkStart w:id="60" w:name="_Toc124269260"/>
      <w:r>
        <w:rPr>
          <w:rFonts w:hint="eastAsia" w:asciiTheme="minorEastAsia" w:hAnsiTheme="minorEastAsia" w:eastAsiaTheme="minorEastAsia"/>
          <w:b/>
          <w:color w:val="auto"/>
          <w:sz w:val="32"/>
          <w:szCs w:val="32"/>
          <w:highlight w:val="none"/>
        </w:rPr>
        <w:t>附件</w:t>
      </w:r>
      <w:r>
        <w:rPr>
          <w:rFonts w:asciiTheme="minorEastAsia" w:hAnsiTheme="minorEastAsia" w:eastAsiaTheme="minorEastAsia"/>
          <w:b/>
          <w:color w:val="auto"/>
          <w:sz w:val="32"/>
          <w:szCs w:val="32"/>
          <w:highlight w:val="none"/>
        </w:rPr>
        <w:t xml:space="preserve">1-1 </w:t>
      </w:r>
      <w:r>
        <w:rPr>
          <w:rFonts w:hint="eastAsia" w:asciiTheme="minorEastAsia" w:hAnsiTheme="minorEastAsia" w:eastAsiaTheme="minorEastAsia"/>
          <w:b/>
          <w:color w:val="auto"/>
          <w:sz w:val="32"/>
          <w:szCs w:val="32"/>
          <w:highlight w:val="none"/>
        </w:rPr>
        <w:t>响应函格式：</w:t>
      </w:r>
      <w:bookmarkEnd w:id="60"/>
    </w:p>
    <w:p>
      <w:pPr>
        <w:snapToGrid w:val="0"/>
        <w:spacing w:before="120"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响</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应</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函</w:t>
      </w:r>
    </w:p>
    <w:p>
      <w:pPr>
        <w:snapToGrid w:val="0"/>
        <w:spacing w:line="4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b/>
          <w:color w:val="auto"/>
          <w:szCs w:val="21"/>
          <w:highlight w:val="none"/>
          <w:u w:val="single"/>
        </w:rPr>
        <w:t>（采购人名称）</w:t>
      </w:r>
    </w:p>
    <w:p>
      <w:pPr>
        <w:snapToGrid w:val="0"/>
        <w:spacing w:line="480" w:lineRule="exact"/>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根据贵方为</w:t>
      </w:r>
      <w:r>
        <w:rPr>
          <w:rFonts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b/>
          <w:color w:val="auto"/>
          <w:szCs w:val="21"/>
          <w:highlight w:val="none"/>
          <w:u w:val="single"/>
        </w:rPr>
        <w:t>项目名称</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color w:val="auto"/>
          <w:szCs w:val="21"/>
          <w:highlight w:val="none"/>
        </w:rPr>
        <w:t>项目的竞争性谈判文件，</w:t>
      </w:r>
      <w:r>
        <w:rPr>
          <w:rFonts w:hint="eastAsia" w:asciiTheme="minorEastAsia" w:hAnsiTheme="minorEastAsia" w:eastAsiaTheme="minorEastAsia"/>
          <w:b/>
          <w:color w:val="auto"/>
          <w:szCs w:val="21"/>
          <w:highlight w:val="none"/>
          <w:u w:val="single"/>
        </w:rPr>
        <w:t>签字代表（全名）</w:t>
      </w:r>
      <w:r>
        <w:rPr>
          <w:rFonts w:hint="eastAsia" w:asciiTheme="minorEastAsia" w:hAnsiTheme="minorEastAsia" w:eastAsiaTheme="minorEastAsia"/>
          <w:color w:val="auto"/>
          <w:szCs w:val="21"/>
          <w:highlight w:val="none"/>
        </w:rPr>
        <w:t>经正式授权并代表供应商</w:t>
      </w:r>
      <w:r>
        <w:rPr>
          <w:rFonts w:hint="eastAsia" w:asciiTheme="minorEastAsia" w:hAnsiTheme="minorEastAsia" w:eastAsiaTheme="minorEastAsia"/>
          <w:b/>
          <w:color w:val="auto"/>
          <w:szCs w:val="21"/>
          <w:highlight w:val="none"/>
          <w:u w:val="single"/>
        </w:rPr>
        <w:t>（供应商名称）</w:t>
      </w:r>
      <w:r>
        <w:rPr>
          <w:rFonts w:hint="eastAsia" w:asciiTheme="minorEastAsia" w:hAnsiTheme="minorEastAsia" w:eastAsiaTheme="minorEastAsia"/>
          <w:color w:val="auto"/>
          <w:szCs w:val="21"/>
          <w:highlight w:val="none"/>
        </w:rPr>
        <w:t>提交</w:t>
      </w:r>
      <w:r>
        <w:rPr>
          <w:rFonts w:hint="eastAsia" w:asciiTheme="minorEastAsia" w:hAnsiTheme="minorEastAsia" w:eastAsiaTheme="minorEastAsia"/>
          <w:b/>
          <w:color w:val="auto"/>
          <w:szCs w:val="21"/>
          <w:highlight w:val="none"/>
        </w:rPr>
        <w:t>报价文件、资信</w:t>
      </w:r>
      <w:r>
        <w:rPr>
          <w:rFonts w:asciiTheme="minorEastAsia" w:hAnsiTheme="minorEastAsia" w:eastAsiaTheme="minorEastAsia"/>
          <w:b/>
          <w:color w:val="auto"/>
          <w:szCs w:val="21"/>
          <w:highlight w:val="none"/>
        </w:rPr>
        <w:t>/商务文件</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技术文件</w:t>
      </w:r>
      <w:r>
        <w:rPr>
          <w:rFonts w:hint="eastAsia" w:asciiTheme="minorEastAsia" w:hAnsiTheme="minorEastAsia" w:eastAsiaTheme="minorEastAsia"/>
          <w:color w:val="auto"/>
          <w:szCs w:val="21"/>
          <w:highlight w:val="none"/>
        </w:rPr>
        <w:t>。</w:t>
      </w:r>
    </w:p>
    <w:p>
      <w:pPr>
        <w:snapToGrid w:val="0"/>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据此函，签字代表宣布同意如下：</w:t>
      </w:r>
    </w:p>
    <w:p>
      <w:pPr>
        <w:snapToGrid w:val="0"/>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 </w:t>
      </w:r>
      <w:r>
        <w:rPr>
          <w:rFonts w:hint="eastAsia" w:asciiTheme="minorEastAsia" w:hAnsiTheme="minorEastAsia" w:eastAsiaTheme="minorEastAsia"/>
          <w:color w:val="auto"/>
          <w:szCs w:val="21"/>
          <w:highlight w:val="none"/>
        </w:rPr>
        <w:t>供应商已详细审查全部“竞争性谈判文件”，包括澄清文件（如有的话）以及全部参考资料和有关附件，已经了解我方对于竞争性谈判文件、采购过程、采购结果有依法进行询问、异议、投诉的权利及相关渠道和要求。</w:t>
      </w:r>
    </w:p>
    <w:p>
      <w:pPr>
        <w:snapToGrid w:val="0"/>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 </w:t>
      </w:r>
      <w:r>
        <w:rPr>
          <w:rFonts w:hint="eastAsia" w:asciiTheme="minorEastAsia" w:hAnsiTheme="minorEastAsia" w:eastAsiaTheme="minorEastAsia"/>
          <w:color w:val="auto"/>
          <w:szCs w:val="21"/>
          <w:highlight w:val="none"/>
        </w:rPr>
        <w:t>供应商在响应之前已经与贵方进行了充分的沟通，完全理解并接受竞争性谈判文件的各项规定和要求，对竞争性谈判文件的合理性、合法性不再有异议。</w:t>
      </w:r>
    </w:p>
    <w:p>
      <w:pPr>
        <w:snapToGrid w:val="0"/>
        <w:spacing w:line="480" w:lineRule="exact"/>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 </w:t>
      </w:r>
      <w:r>
        <w:rPr>
          <w:rFonts w:hint="eastAsia" w:asciiTheme="minorEastAsia" w:hAnsiTheme="minorEastAsia" w:eastAsiaTheme="minorEastAsia"/>
          <w:b/>
          <w:color w:val="auto"/>
          <w:szCs w:val="21"/>
          <w:highlight w:val="none"/>
        </w:rPr>
        <w:t>按竞争性谈判文件采购需求及技术要求，响应总报价人民币（大写）</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 xml:space="preserve"> </w:t>
      </w:r>
      <w:r>
        <w:rPr>
          <w:rFonts w:asciiTheme="minorEastAsia" w:hAnsiTheme="minorEastAsia" w:eastAsiaTheme="minorEastAsia"/>
          <w:b/>
          <w:color w:val="auto"/>
          <w:szCs w:val="21"/>
          <w:highlight w:val="none"/>
          <w:u w:val="single"/>
        </w:rPr>
        <w:t>（</w:t>
      </w:r>
      <w:r>
        <w:rPr>
          <w:rFonts w:hint="eastAsia" w:asciiTheme="minorEastAsia" w:hAnsiTheme="minorEastAsia" w:eastAsiaTheme="minorEastAsia"/>
          <w:b/>
          <w:color w:val="auto"/>
          <w:szCs w:val="21"/>
          <w:highlight w:val="none"/>
          <w:u w:val="single"/>
        </w:rPr>
        <w:t>￥</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rPr>
        <w:t>，交货期（竣工期限）：</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rPr>
        <w:t>。自报质保期：</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rPr>
        <w:t>年。</w:t>
      </w:r>
    </w:p>
    <w:p>
      <w:pPr>
        <w:snapToGrid w:val="0"/>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 </w:t>
      </w:r>
      <w:r>
        <w:rPr>
          <w:rFonts w:hint="eastAsia" w:asciiTheme="minorEastAsia" w:hAnsiTheme="minorEastAsia" w:eastAsiaTheme="minorEastAsia"/>
          <w:color w:val="auto"/>
          <w:szCs w:val="21"/>
          <w:highlight w:val="none"/>
        </w:rPr>
        <w:t>本响应有效期自开启日起</w:t>
      </w:r>
      <w:r>
        <w:rPr>
          <w:rFonts w:asciiTheme="minorEastAsia" w:hAnsiTheme="minorEastAsia" w:eastAsiaTheme="minorEastAsia"/>
          <w:b/>
          <w:color w:val="auto"/>
          <w:szCs w:val="21"/>
          <w:highlight w:val="none"/>
          <w:u w:val="single"/>
        </w:rPr>
        <w:t>90</w:t>
      </w:r>
      <w:r>
        <w:rPr>
          <w:rFonts w:asciiTheme="minorEastAsia" w:hAnsiTheme="minorEastAsia" w:eastAsiaTheme="minorEastAsia"/>
          <w:color w:val="auto"/>
          <w:szCs w:val="21"/>
          <w:highlight w:val="none"/>
        </w:rPr>
        <w:t xml:space="preserve"> 天</w:t>
      </w:r>
      <w:r>
        <w:rPr>
          <w:rFonts w:hint="eastAsia" w:asciiTheme="minorEastAsia" w:hAnsiTheme="minorEastAsia" w:eastAsiaTheme="minorEastAsia"/>
          <w:color w:val="auto"/>
          <w:szCs w:val="21"/>
          <w:highlight w:val="none"/>
        </w:rPr>
        <w:t>（日历天）。</w:t>
      </w:r>
    </w:p>
    <w:p>
      <w:pPr>
        <w:snapToGrid w:val="0"/>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 </w:t>
      </w:r>
      <w:r>
        <w:rPr>
          <w:rFonts w:hint="eastAsia" w:asciiTheme="minorEastAsia" w:hAnsiTheme="minorEastAsia" w:eastAsiaTheme="minorEastAsia"/>
          <w:color w:val="auto"/>
          <w:szCs w:val="21"/>
          <w:highlight w:val="none"/>
        </w:rPr>
        <w:t>如中标，本谈判响应文件至本项目合同履行完毕止均保持有效，本供应商将按“竞争性谈判文件”及招标投标法律、法规的规定履行合同责任和义务。</w:t>
      </w:r>
    </w:p>
    <w:p>
      <w:pPr>
        <w:snapToGrid w:val="0"/>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 </w:t>
      </w:r>
      <w:r>
        <w:rPr>
          <w:rFonts w:hint="eastAsia" w:asciiTheme="minorEastAsia" w:hAnsiTheme="minorEastAsia" w:eastAsiaTheme="minorEastAsia"/>
          <w:color w:val="auto"/>
          <w:szCs w:val="21"/>
          <w:highlight w:val="none"/>
        </w:rPr>
        <w:t>供应商同意按照贵方要求提供与响应有关的一切数据或资料。</w:t>
      </w:r>
    </w:p>
    <w:p>
      <w:pPr>
        <w:snapToGrid w:val="0"/>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与本响应有关的一切正式往来信函请寄：</w:t>
      </w:r>
    </w:p>
    <w:p>
      <w:pPr>
        <w:snapToGrid w:val="0"/>
        <w:spacing w:line="48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邮编：</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电话：</w:t>
      </w:r>
      <w:r>
        <w:rPr>
          <w:rFonts w:asciiTheme="minorEastAsia" w:hAnsiTheme="minorEastAsia" w:eastAsiaTheme="minorEastAsia"/>
          <w:color w:val="auto"/>
          <w:szCs w:val="21"/>
          <w:highlight w:val="none"/>
          <w:u w:val="single"/>
        </w:rPr>
        <w:t xml:space="preserve">                </w:t>
      </w:r>
    </w:p>
    <w:p>
      <w:pPr>
        <w:snapToGrid w:val="0"/>
        <w:spacing w:line="48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传真：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供应商代表姓名：</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职务：</w:t>
      </w:r>
      <w:r>
        <w:rPr>
          <w:rFonts w:asciiTheme="minorEastAsia" w:hAnsiTheme="minorEastAsia" w:eastAsiaTheme="minorEastAsia"/>
          <w:color w:val="auto"/>
          <w:szCs w:val="21"/>
          <w:highlight w:val="none"/>
          <w:u w:val="single"/>
        </w:rPr>
        <w:t xml:space="preserve">                </w:t>
      </w:r>
    </w:p>
    <w:p>
      <w:pPr>
        <w:snapToGrid w:val="0"/>
        <w:spacing w:line="48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供应商名称（公章）：</w:t>
      </w:r>
      <w:r>
        <w:rPr>
          <w:rFonts w:asciiTheme="minorEastAsia" w:hAnsiTheme="minorEastAsia" w:eastAsiaTheme="minorEastAsia"/>
          <w:color w:val="auto"/>
          <w:szCs w:val="21"/>
          <w:highlight w:val="none"/>
          <w:u w:val="single"/>
        </w:rPr>
        <w:t xml:space="preserve">                                          </w:t>
      </w:r>
    </w:p>
    <w:p>
      <w:pPr>
        <w:snapToGrid w:val="0"/>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银行帐号：</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p>
    <w:p>
      <w:pPr>
        <w:snapToGrid w:val="0"/>
        <w:spacing w:line="48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法定代表人或授权代表</w:t>
      </w:r>
      <w:r>
        <w:rPr>
          <w:rFonts w:hint="eastAsia" w:cs="宋体" w:asciiTheme="minorEastAsia" w:hAnsiTheme="minorEastAsia" w:eastAsiaTheme="minorEastAsia"/>
          <w:b/>
          <w:bCs/>
          <w:color w:val="auto"/>
          <w:kern w:val="0"/>
          <w:szCs w:val="21"/>
          <w:highlight w:val="none"/>
        </w:rPr>
        <w:t>（签字或盖章）</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u w:val="single"/>
        </w:rPr>
        <w:t xml:space="preserve">                  </w:t>
      </w:r>
      <w:r>
        <w:rPr>
          <w:rFonts w:asciiTheme="minorEastAsia" w:hAnsiTheme="minorEastAsia" w:eastAsiaTheme="minorEastAsia"/>
          <w:b/>
          <w:bCs/>
          <w:color w:val="auto"/>
          <w:szCs w:val="21"/>
          <w:highlight w:val="none"/>
        </w:rPr>
        <w:t xml:space="preserve">                     </w:t>
      </w:r>
    </w:p>
    <w:p>
      <w:pPr>
        <w:snapToGrid w:val="0"/>
        <w:spacing w:line="48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供应商</w:t>
      </w:r>
      <w:r>
        <w:rPr>
          <w:rFonts w:asciiTheme="minorEastAsia" w:hAnsiTheme="minorEastAsia" w:eastAsiaTheme="minorEastAsia"/>
          <w:b/>
          <w:bCs/>
          <w:color w:val="auto"/>
          <w:szCs w:val="21"/>
          <w:highlight w:val="none"/>
        </w:rPr>
        <w:t>（盖单位公章）</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u w:val="single"/>
        </w:rPr>
        <w:t xml:space="preserve">                  </w:t>
      </w:r>
      <w:r>
        <w:rPr>
          <w:rFonts w:asciiTheme="minorEastAsia" w:hAnsiTheme="minorEastAsia" w:eastAsiaTheme="minorEastAsia"/>
          <w:b/>
          <w:bCs/>
          <w:color w:val="auto"/>
          <w:szCs w:val="21"/>
          <w:highlight w:val="none"/>
        </w:rPr>
        <w:t xml:space="preserve"> </w:t>
      </w:r>
    </w:p>
    <w:p>
      <w:pPr>
        <w:snapToGrid w:val="0"/>
        <w:spacing w:line="48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_____年___月___日</w:t>
      </w:r>
    </w:p>
    <w:p>
      <w:pPr>
        <w:pStyle w:val="4"/>
        <w:rPr>
          <w:rFonts w:asciiTheme="minorEastAsia" w:hAnsiTheme="minorEastAsia" w:eastAsiaTheme="minorEastAsia"/>
          <w:bCs w:val="0"/>
          <w:color w:val="auto"/>
          <w:highlight w:val="none"/>
          <w:u w:val="none"/>
        </w:rPr>
      </w:pPr>
      <w:r>
        <w:rPr>
          <w:rFonts w:asciiTheme="minorEastAsia" w:hAnsiTheme="minorEastAsia" w:eastAsiaTheme="minorEastAsia"/>
          <w:color w:val="auto"/>
          <w:highlight w:val="none"/>
        </w:rPr>
        <w:br w:type="page"/>
      </w:r>
      <w:bookmarkStart w:id="61" w:name="_Toc124269261"/>
      <w:r>
        <w:rPr>
          <w:rFonts w:hint="eastAsia" w:asciiTheme="minorEastAsia" w:hAnsiTheme="minorEastAsia" w:eastAsiaTheme="minorEastAsia"/>
          <w:bCs w:val="0"/>
          <w:color w:val="auto"/>
          <w:highlight w:val="none"/>
          <w:u w:val="none"/>
        </w:rPr>
        <w:t>附件</w:t>
      </w:r>
      <w:r>
        <w:rPr>
          <w:rFonts w:asciiTheme="minorEastAsia" w:hAnsiTheme="minorEastAsia" w:eastAsiaTheme="minorEastAsia"/>
          <w:bCs w:val="0"/>
          <w:color w:val="auto"/>
          <w:highlight w:val="none"/>
          <w:u w:val="none"/>
        </w:rPr>
        <w:t xml:space="preserve">1-2 </w:t>
      </w:r>
      <w:r>
        <w:rPr>
          <w:rFonts w:hint="eastAsia" w:asciiTheme="minorEastAsia" w:hAnsiTheme="minorEastAsia" w:eastAsiaTheme="minorEastAsia"/>
          <w:bCs w:val="0"/>
          <w:color w:val="auto"/>
          <w:highlight w:val="none"/>
          <w:u w:val="none"/>
        </w:rPr>
        <w:t>响应报价明细表格式：</w:t>
      </w:r>
      <w:bookmarkEnd w:id="61"/>
    </w:p>
    <w:p>
      <w:pPr>
        <w:snapToGrid w:val="0"/>
        <w:spacing w:before="120"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响应报价明细表（格式）</w:t>
      </w:r>
    </w:p>
    <w:tbl>
      <w:tblPr>
        <w:tblStyle w:val="22"/>
        <w:tblW w:w="5000" w:type="pct"/>
        <w:jc w:val="center"/>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653"/>
        <w:gridCol w:w="1704"/>
        <w:gridCol w:w="1833"/>
        <w:gridCol w:w="789"/>
        <w:gridCol w:w="787"/>
        <w:gridCol w:w="1048"/>
        <w:gridCol w:w="1050"/>
        <w:gridCol w:w="1048"/>
        <w:gridCol w:w="1050"/>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序号</w:t>
            </w:r>
          </w:p>
        </w:tc>
        <w:tc>
          <w:tcPr>
            <w:tcW w:w="855"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kern w:val="0"/>
                <w:szCs w:val="21"/>
                <w:highlight w:val="none"/>
              </w:rPr>
              <w:t>名称</w:t>
            </w:r>
          </w:p>
        </w:tc>
        <w:tc>
          <w:tcPr>
            <w:tcW w:w="920"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kern w:val="0"/>
                <w:szCs w:val="21"/>
                <w:highlight w:val="none"/>
              </w:rPr>
              <w:t>主要规格和型号</w:t>
            </w:r>
          </w:p>
        </w:tc>
        <w:tc>
          <w:tcPr>
            <w:tcW w:w="396"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kern w:val="0"/>
                <w:szCs w:val="21"/>
                <w:highlight w:val="none"/>
              </w:rPr>
              <w:t>材质</w:t>
            </w:r>
          </w:p>
        </w:tc>
        <w:tc>
          <w:tcPr>
            <w:tcW w:w="395"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kern w:val="0"/>
                <w:szCs w:val="21"/>
                <w:highlight w:val="none"/>
              </w:rPr>
              <w:t>单位</w:t>
            </w:r>
          </w:p>
        </w:tc>
        <w:tc>
          <w:tcPr>
            <w:tcW w:w="526"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kern w:val="0"/>
                <w:szCs w:val="21"/>
                <w:highlight w:val="none"/>
              </w:rPr>
              <w:t>数量</w:t>
            </w:r>
          </w:p>
        </w:tc>
        <w:tc>
          <w:tcPr>
            <w:tcW w:w="526"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单价（元）</w:t>
            </w:r>
          </w:p>
        </w:tc>
        <w:tc>
          <w:tcPr>
            <w:tcW w:w="526"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合计（元）</w:t>
            </w:r>
          </w:p>
        </w:tc>
        <w:tc>
          <w:tcPr>
            <w:tcW w:w="526"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855"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920"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6"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5"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855"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920"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6"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5"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855" w:type="pct"/>
            <w:shd w:val="clear" w:color="auto" w:fill="auto"/>
            <w:vAlign w:val="center"/>
          </w:tcPr>
          <w:p>
            <w:pPr>
              <w:jc w:val="center"/>
              <w:rPr>
                <w:rFonts w:asciiTheme="minorEastAsia" w:hAnsiTheme="minorEastAsia" w:eastAsiaTheme="minorEastAsia"/>
                <w:color w:val="auto"/>
                <w:spacing w:val="5"/>
                <w:szCs w:val="21"/>
                <w:highlight w:val="none"/>
              </w:rPr>
            </w:pPr>
          </w:p>
        </w:tc>
        <w:tc>
          <w:tcPr>
            <w:tcW w:w="920"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6"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5"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855" w:type="pct"/>
            <w:shd w:val="clear" w:color="auto" w:fill="auto"/>
            <w:vAlign w:val="center"/>
          </w:tcPr>
          <w:p>
            <w:pPr>
              <w:jc w:val="center"/>
              <w:rPr>
                <w:rFonts w:asciiTheme="minorEastAsia" w:hAnsiTheme="minorEastAsia" w:eastAsiaTheme="minorEastAsia"/>
                <w:color w:val="auto"/>
                <w:spacing w:val="5"/>
                <w:szCs w:val="21"/>
                <w:highlight w:val="none"/>
              </w:rPr>
            </w:pPr>
          </w:p>
        </w:tc>
        <w:tc>
          <w:tcPr>
            <w:tcW w:w="920"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6"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5"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855"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920"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6"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5"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855"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920"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6"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5"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855"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920"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6"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5"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855"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920"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6"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5"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855" w:type="pct"/>
            <w:shd w:val="clear" w:color="auto" w:fill="auto"/>
            <w:vAlign w:val="center"/>
          </w:tcPr>
          <w:p>
            <w:pPr>
              <w:jc w:val="center"/>
              <w:rPr>
                <w:rFonts w:cs="宋体" w:asciiTheme="minorEastAsia" w:hAnsiTheme="minorEastAsia" w:eastAsiaTheme="minorEastAsia"/>
                <w:color w:val="auto"/>
                <w:kern w:val="0"/>
                <w:szCs w:val="21"/>
                <w:highlight w:val="none"/>
              </w:rPr>
            </w:pPr>
          </w:p>
        </w:tc>
        <w:tc>
          <w:tcPr>
            <w:tcW w:w="920"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6" w:type="pct"/>
            <w:shd w:val="clear" w:color="auto" w:fill="auto"/>
            <w:vAlign w:val="center"/>
          </w:tcPr>
          <w:p>
            <w:pPr>
              <w:jc w:val="center"/>
              <w:rPr>
                <w:rFonts w:cs="宋体" w:asciiTheme="minorEastAsia" w:hAnsiTheme="minorEastAsia" w:eastAsiaTheme="minorEastAsia"/>
                <w:color w:val="auto"/>
                <w:szCs w:val="21"/>
                <w:highlight w:val="none"/>
              </w:rPr>
            </w:pPr>
          </w:p>
        </w:tc>
        <w:tc>
          <w:tcPr>
            <w:tcW w:w="395"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947" w:type="pct"/>
            <w:gridSpan w:val="7"/>
            <w:shd w:val="clear" w:color="auto" w:fill="auto"/>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合计</w:t>
            </w: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c>
          <w:tcPr>
            <w:tcW w:w="526"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9"/>
            <w:shd w:val="clear" w:color="auto" w:fill="auto"/>
            <w:vAlign w:val="center"/>
          </w:tcPr>
          <w:p>
            <w:pPr>
              <w:tabs>
                <w:tab w:val="left" w:pos="1418"/>
              </w:tabs>
              <w:snapToGrid w:val="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报价合计费用包括但不限于备设计、供货、运输、卸车、指导安装、调试（含调试所需的材料、设备、人工等）和试运行的相关手续、维修维护培训、设计出图、检测、提供产品质量证明书、图纸、</w:t>
            </w:r>
            <w:r>
              <w:rPr>
                <w:rFonts w:hint="eastAsia" w:asciiTheme="minorEastAsia" w:hAnsiTheme="minorEastAsia" w:eastAsiaTheme="minorEastAsia"/>
                <w:b/>
                <w:color w:val="auto"/>
                <w:szCs w:val="21"/>
                <w:highlight w:val="none"/>
                <w:lang w:eastAsia="zh-CN"/>
              </w:rPr>
              <w:t>锅炉炉膛检修升降平台</w:t>
            </w:r>
            <w:r>
              <w:rPr>
                <w:rFonts w:hint="eastAsia" w:asciiTheme="minorEastAsia" w:hAnsiTheme="minorEastAsia" w:eastAsiaTheme="minorEastAsia"/>
                <w:b/>
                <w:color w:val="auto"/>
                <w:szCs w:val="21"/>
                <w:highlight w:val="none"/>
              </w:rPr>
              <w:t>制造监督检验证书等合法报装资料、验收后资料归档、随机专用工具、质保期内备品备件、现场配合及协调、物料及人工涨价、售后服务以及运行期技术服务本项目所需的一切费用、增值税价（</w:t>
            </w:r>
            <w:r>
              <w:rPr>
                <w:rFonts w:asciiTheme="minorEastAsia" w:hAnsiTheme="minorEastAsia" w:eastAsiaTheme="minorEastAsia"/>
                <w:b/>
                <w:color w:val="auto"/>
                <w:szCs w:val="21"/>
                <w:highlight w:val="none"/>
              </w:rPr>
              <w:t xml:space="preserve">      %增值税专用发票）。含税总价（大写）：</w:t>
            </w:r>
            <w:r>
              <w:rPr>
                <w:rFonts w:hint="eastAsia" w:asciiTheme="minorEastAsia" w:hAnsiTheme="minorEastAsia" w:eastAsiaTheme="minorEastAsia"/>
                <w:b/>
                <w:color w:val="auto"/>
                <w:szCs w:val="21"/>
                <w:highlight w:val="none"/>
                <w:u w:val="single"/>
              </w:rPr>
              <w:t>人民币</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u w:val="single"/>
              </w:rPr>
              <w:t>（￥</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u w:val="single"/>
              </w:rPr>
              <w:t>元）</w:t>
            </w:r>
            <w:r>
              <w:rPr>
                <w:rFonts w:hint="eastAsia" w:asciiTheme="minorEastAsia" w:hAnsiTheme="minorEastAsia" w:eastAsiaTheme="minorEastAsia"/>
                <w:b/>
                <w:color w:val="auto"/>
                <w:szCs w:val="21"/>
                <w:highlight w:val="none"/>
              </w:rPr>
              <w:t>，不含税总价（大写）：</w:t>
            </w:r>
            <w:r>
              <w:rPr>
                <w:rFonts w:hint="eastAsia" w:asciiTheme="minorEastAsia" w:hAnsiTheme="minorEastAsia" w:eastAsiaTheme="minorEastAsia"/>
                <w:b/>
                <w:color w:val="auto"/>
                <w:szCs w:val="21"/>
                <w:highlight w:val="none"/>
                <w:u w:val="single"/>
              </w:rPr>
              <w:t>人民币</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u w:val="single"/>
              </w:rPr>
              <w:t>（￥</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u w:val="single"/>
              </w:rPr>
              <w:t>元）</w:t>
            </w:r>
            <w:r>
              <w:rPr>
                <w:rFonts w:hint="eastAsia" w:asciiTheme="minorEastAsia" w:hAnsiTheme="minorEastAsia" w:eastAsiaTheme="minorEastAsia"/>
                <w:b/>
                <w:color w:val="auto"/>
                <w:szCs w:val="21"/>
                <w:highlight w:val="none"/>
              </w:rPr>
              <w:t>，税金（大写）：</w:t>
            </w:r>
            <w:r>
              <w:rPr>
                <w:rFonts w:hint="eastAsia" w:asciiTheme="minorEastAsia" w:hAnsiTheme="minorEastAsia" w:eastAsiaTheme="minorEastAsia"/>
                <w:b/>
                <w:color w:val="auto"/>
                <w:szCs w:val="21"/>
                <w:highlight w:val="none"/>
                <w:u w:val="single"/>
              </w:rPr>
              <w:t>人民币</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u w:val="single"/>
              </w:rPr>
              <w:t>（￥</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u w:val="single"/>
              </w:rPr>
              <w:t>元）</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9"/>
            <w:shd w:val="clear" w:color="auto" w:fill="auto"/>
            <w:vAlign w:val="center"/>
          </w:tcPr>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供应商（盖单位公章）：</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9"/>
            <w:shd w:val="clear" w:color="auto" w:fill="auto"/>
            <w:vAlign w:val="center"/>
          </w:tcPr>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法定代表人或其委托代理人（签字或盖章）：</w:t>
            </w:r>
          </w:p>
        </w:tc>
      </w:tr>
    </w:tbl>
    <w:p>
      <w:pPr>
        <w:rPr>
          <w:rFonts w:cs="Courier New" w:asciiTheme="minorEastAsia" w:hAnsiTheme="minorEastAsia" w:eastAsiaTheme="minorEastAsia"/>
          <w:b/>
          <w:color w:val="auto"/>
          <w:spacing w:val="20"/>
          <w:szCs w:val="21"/>
          <w:highlight w:val="none"/>
        </w:rPr>
      </w:pPr>
      <w:r>
        <w:rPr>
          <w:rFonts w:hint="eastAsia" w:cs="Courier New" w:asciiTheme="minorEastAsia" w:hAnsiTheme="minorEastAsia" w:eastAsiaTheme="minorEastAsia"/>
          <w:b/>
          <w:color w:val="auto"/>
          <w:spacing w:val="20"/>
          <w:szCs w:val="21"/>
          <w:highlight w:val="none"/>
        </w:rPr>
        <w:t>注：</w:t>
      </w:r>
    </w:p>
    <w:p>
      <w:pPr>
        <w:snapToGrid w:val="0"/>
        <w:spacing w:line="360" w:lineRule="auto"/>
        <w:rPr>
          <w:rFonts w:cs="Courier New" w:asciiTheme="minorEastAsia" w:hAnsiTheme="minorEastAsia" w:eastAsiaTheme="minorEastAsia"/>
          <w:b/>
          <w:color w:val="auto"/>
          <w:szCs w:val="21"/>
          <w:highlight w:val="none"/>
        </w:rPr>
      </w:pPr>
      <w:r>
        <w:rPr>
          <w:rFonts w:cs="Courier New" w:asciiTheme="minorEastAsia" w:hAnsiTheme="minorEastAsia" w:eastAsiaTheme="minorEastAsia"/>
          <w:b/>
          <w:color w:val="auto"/>
          <w:szCs w:val="21"/>
          <w:highlight w:val="none"/>
        </w:rPr>
        <w:t>1</w:t>
      </w:r>
      <w:r>
        <w:rPr>
          <w:rFonts w:hint="eastAsia" w:cs="Courier New" w:asciiTheme="minorEastAsia" w:hAnsiTheme="minorEastAsia" w:eastAsiaTheme="minorEastAsia"/>
          <w:b/>
          <w:color w:val="auto"/>
          <w:szCs w:val="21"/>
          <w:highlight w:val="none"/>
        </w:rPr>
        <w:t>）请根据第三章提供的“采购需求”的内容填写本表；如有漏项或缺项，均由供应商承担。供应商应逐项计算并填写单价、合价和总价，供应商没有填写单价和合价的项目将被认为此项目所涉及的全部费用已包含在其他分项报价及响应总价中。</w:t>
      </w:r>
    </w:p>
    <w:p>
      <w:pPr>
        <w:snapToGrid w:val="0"/>
        <w:spacing w:line="360" w:lineRule="auto"/>
        <w:rPr>
          <w:rFonts w:cs="Courier New" w:asciiTheme="minorEastAsia" w:hAnsiTheme="minorEastAsia" w:eastAsiaTheme="minorEastAsia"/>
          <w:b/>
          <w:color w:val="auto"/>
          <w:szCs w:val="21"/>
          <w:highlight w:val="none"/>
        </w:rPr>
      </w:pPr>
      <w:r>
        <w:rPr>
          <w:rFonts w:cs="Courier New" w:asciiTheme="minorEastAsia" w:hAnsiTheme="minorEastAsia" w:eastAsiaTheme="minorEastAsia"/>
          <w:b/>
          <w:color w:val="auto"/>
          <w:szCs w:val="21"/>
          <w:highlight w:val="none"/>
        </w:rPr>
        <w:t>2</w:t>
      </w:r>
      <w:r>
        <w:rPr>
          <w:rFonts w:hint="eastAsia" w:cs="Courier New" w:asciiTheme="minorEastAsia" w:hAnsiTheme="minorEastAsia" w:eastAsiaTheme="minorEastAsia"/>
          <w:b/>
          <w:color w:val="auto"/>
          <w:szCs w:val="21"/>
          <w:highlight w:val="none"/>
        </w:rPr>
        <w:t>）表格内容均需按要求填写并盖章，不得留空，否则按响应无效处理；</w:t>
      </w:r>
    </w:p>
    <w:p>
      <w:pPr>
        <w:snapToGrid w:val="0"/>
        <w:spacing w:line="360" w:lineRule="auto"/>
        <w:rPr>
          <w:rFonts w:cs="Courier New" w:asciiTheme="minorEastAsia" w:hAnsiTheme="minorEastAsia" w:eastAsiaTheme="minorEastAsia"/>
          <w:b/>
          <w:color w:val="auto"/>
          <w:szCs w:val="21"/>
          <w:highlight w:val="none"/>
        </w:rPr>
      </w:pPr>
      <w:r>
        <w:rPr>
          <w:rFonts w:cs="Courier New" w:asciiTheme="minorEastAsia" w:hAnsiTheme="minorEastAsia" w:eastAsiaTheme="minorEastAsia"/>
          <w:b/>
          <w:color w:val="auto"/>
          <w:szCs w:val="21"/>
          <w:highlight w:val="none"/>
        </w:rPr>
        <w:t>3</w:t>
      </w:r>
      <w:r>
        <w:rPr>
          <w:rFonts w:hint="eastAsia" w:cs="Courier New" w:asciiTheme="minorEastAsia" w:hAnsiTheme="minorEastAsia" w:eastAsiaTheme="minorEastAsia"/>
          <w:b/>
          <w:color w:val="auto"/>
          <w:szCs w:val="21"/>
          <w:highlight w:val="none"/>
        </w:rPr>
        <w:t>）供应商应认真复核报价表中所有单价、合价和总价的一致性，保证响应报价的正确性；</w:t>
      </w:r>
    </w:p>
    <w:p>
      <w:pPr>
        <w:snapToGrid w:val="0"/>
        <w:spacing w:line="360" w:lineRule="auto"/>
        <w:rPr>
          <w:rFonts w:cs="Courier New" w:asciiTheme="minorEastAsia" w:hAnsiTheme="minorEastAsia" w:eastAsiaTheme="minorEastAsia"/>
          <w:b/>
          <w:color w:val="auto"/>
          <w:szCs w:val="21"/>
          <w:highlight w:val="none"/>
        </w:rPr>
      </w:pPr>
      <w:r>
        <w:rPr>
          <w:rFonts w:cs="Courier New" w:asciiTheme="minorEastAsia" w:hAnsiTheme="minorEastAsia" w:eastAsiaTheme="minorEastAsia"/>
          <w:b/>
          <w:color w:val="auto"/>
          <w:szCs w:val="21"/>
          <w:highlight w:val="none"/>
        </w:rPr>
        <w:t>4</w:t>
      </w:r>
      <w:r>
        <w:rPr>
          <w:rFonts w:hint="eastAsia" w:cs="Courier New" w:asciiTheme="minorEastAsia" w:hAnsiTheme="minorEastAsia" w:eastAsiaTheme="minorEastAsia"/>
          <w:b/>
          <w:color w:val="auto"/>
          <w:szCs w:val="21"/>
          <w:highlight w:val="none"/>
        </w:rPr>
        <w:t>）响应谈判时需同时提供</w:t>
      </w:r>
      <w:r>
        <w:rPr>
          <w:rFonts w:cs="Courier New" w:asciiTheme="minorEastAsia" w:hAnsiTheme="minorEastAsia" w:eastAsiaTheme="minorEastAsia"/>
          <w:b/>
          <w:color w:val="auto"/>
          <w:szCs w:val="21"/>
          <w:highlight w:val="none"/>
        </w:rPr>
        <w:t>EXCEL</w:t>
      </w:r>
      <w:r>
        <w:rPr>
          <w:rFonts w:hint="eastAsia" w:cs="Courier New" w:asciiTheme="minorEastAsia" w:hAnsiTheme="minorEastAsia" w:eastAsiaTheme="minorEastAsia"/>
          <w:b/>
          <w:color w:val="auto"/>
          <w:szCs w:val="21"/>
          <w:highlight w:val="none"/>
        </w:rPr>
        <w:t>电子报价文件。</w:t>
      </w:r>
    </w:p>
    <w:p>
      <w:pPr>
        <w:snapToGrid w:val="0"/>
        <w:spacing w:line="360" w:lineRule="auto"/>
        <w:rPr>
          <w:rFonts w:cs="Courier New" w:asciiTheme="minorEastAsia" w:hAnsiTheme="minorEastAsia" w:eastAsiaTheme="minorEastAsia"/>
          <w:b/>
          <w:color w:val="auto"/>
          <w:szCs w:val="21"/>
          <w:highlight w:val="none"/>
        </w:rPr>
      </w:pPr>
      <w:r>
        <w:rPr>
          <w:rFonts w:cs="Courier New" w:asciiTheme="minorEastAsia" w:hAnsiTheme="minorEastAsia" w:eastAsiaTheme="minorEastAsia"/>
          <w:b/>
          <w:color w:val="auto"/>
          <w:szCs w:val="21"/>
          <w:highlight w:val="none"/>
        </w:rPr>
        <w:t>5</w:t>
      </w:r>
      <w:r>
        <w:rPr>
          <w:rFonts w:hint="eastAsia" w:cs="Courier New" w:asciiTheme="minorEastAsia" w:hAnsiTheme="minorEastAsia" w:eastAsiaTheme="minorEastAsia"/>
          <w:b/>
          <w:color w:val="auto"/>
          <w:szCs w:val="21"/>
          <w:highlight w:val="none"/>
        </w:rPr>
        <w:t>）本项目施工若有用水用电，甲方负责协助办理，费用均由供应商承担，电费</w:t>
      </w:r>
      <w:r>
        <w:rPr>
          <w:rFonts w:cs="Courier New" w:asciiTheme="minorEastAsia" w:hAnsiTheme="minorEastAsia" w:eastAsiaTheme="minorEastAsia"/>
          <w:b/>
          <w:color w:val="auto"/>
          <w:szCs w:val="21"/>
          <w:highlight w:val="none"/>
        </w:rPr>
        <w:t>1.2</w:t>
      </w:r>
      <w:r>
        <w:rPr>
          <w:rFonts w:hint="eastAsia" w:cs="Courier New" w:asciiTheme="minorEastAsia" w:hAnsiTheme="minorEastAsia" w:eastAsiaTheme="minorEastAsia"/>
          <w:b/>
          <w:color w:val="auto"/>
          <w:szCs w:val="21"/>
          <w:highlight w:val="none"/>
        </w:rPr>
        <w:t>元</w:t>
      </w:r>
      <w:r>
        <w:rPr>
          <w:rFonts w:cs="Courier New" w:asciiTheme="minorEastAsia" w:hAnsiTheme="minorEastAsia" w:eastAsiaTheme="minorEastAsia"/>
          <w:b/>
          <w:color w:val="auto"/>
          <w:szCs w:val="21"/>
          <w:highlight w:val="none"/>
        </w:rPr>
        <w:t>/</w:t>
      </w:r>
      <w:r>
        <w:rPr>
          <w:rFonts w:hint="eastAsia" w:cs="Courier New" w:asciiTheme="minorEastAsia" w:hAnsiTheme="minorEastAsia" w:eastAsiaTheme="minorEastAsia"/>
          <w:b/>
          <w:color w:val="auto"/>
          <w:szCs w:val="21"/>
          <w:highlight w:val="none"/>
        </w:rPr>
        <w:t>度，水费</w:t>
      </w:r>
      <w:r>
        <w:rPr>
          <w:rFonts w:cs="Courier New" w:asciiTheme="minorEastAsia" w:hAnsiTheme="minorEastAsia" w:eastAsiaTheme="minorEastAsia"/>
          <w:b/>
          <w:color w:val="auto"/>
          <w:szCs w:val="21"/>
          <w:highlight w:val="none"/>
        </w:rPr>
        <w:t>4</w:t>
      </w:r>
      <w:r>
        <w:rPr>
          <w:rFonts w:hint="eastAsia" w:cs="Courier New" w:asciiTheme="minorEastAsia" w:hAnsiTheme="minorEastAsia" w:eastAsiaTheme="minorEastAsia"/>
          <w:b/>
          <w:color w:val="auto"/>
          <w:szCs w:val="21"/>
          <w:highlight w:val="none"/>
        </w:rPr>
        <w:t>元</w:t>
      </w:r>
      <w:r>
        <w:rPr>
          <w:rFonts w:cs="Courier New" w:asciiTheme="minorEastAsia" w:hAnsiTheme="minorEastAsia" w:eastAsiaTheme="minorEastAsia"/>
          <w:b/>
          <w:color w:val="auto"/>
          <w:szCs w:val="21"/>
          <w:highlight w:val="none"/>
        </w:rPr>
        <w:t>/</w:t>
      </w:r>
      <w:r>
        <w:rPr>
          <w:rFonts w:hint="eastAsia" w:cs="Courier New" w:asciiTheme="minorEastAsia" w:hAnsiTheme="minorEastAsia" w:eastAsiaTheme="minorEastAsia"/>
          <w:b/>
          <w:color w:val="auto"/>
          <w:szCs w:val="21"/>
          <w:highlight w:val="none"/>
        </w:rPr>
        <w:t>吨，按月结算并在结算款中予以扣减。</w:t>
      </w:r>
    </w:p>
    <w:p>
      <w:pPr>
        <w:snapToGrid w:val="0"/>
        <w:spacing w:line="360" w:lineRule="auto"/>
        <w:rPr>
          <w:rFonts w:cs="Courier New" w:asciiTheme="minorEastAsia" w:hAnsiTheme="minorEastAsia" w:eastAsiaTheme="minorEastAsia"/>
          <w:b/>
          <w:color w:val="auto"/>
          <w:szCs w:val="21"/>
          <w:highlight w:val="none"/>
        </w:rPr>
        <w:sectPr>
          <w:pgSz w:w="11906" w:h="16838"/>
          <w:pgMar w:top="1440" w:right="1080" w:bottom="1440" w:left="1080" w:header="851" w:footer="992" w:gutter="0"/>
          <w:cols w:space="720" w:num="1"/>
          <w:docGrid w:linePitch="326" w:charSpace="0"/>
        </w:sectPr>
      </w:pPr>
      <w:r>
        <w:rPr>
          <w:rFonts w:cs="Courier New" w:asciiTheme="minorEastAsia" w:hAnsiTheme="minorEastAsia" w:eastAsiaTheme="minorEastAsia"/>
          <w:b/>
          <w:color w:val="auto"/>
          <w:szCs w:val="21"/>
          <w:highlight w:val="none"/>
        </w:rPr>
        <w:t>6</w:t>
      </w:r>
      <w:r>
        <w:rPr>
          <w:rFonts w:hint="eastAsia" w:cs="Courier New" w:asciiTheme="minorEastAsia" w:hAnsiTheme="minorEastAsia" w:eastAsiaTheme="minorEastAsia"/>
          <w:b/>
          <w:color w:val="auto"/>
          <w:szCs w:val="21"/>
          <w:highlight w:val="none"/>
        </w:rPr>
        <w:t>）本项目如施工期间遇到疫情等相关影响导致工期延长，供应商需配合防疫防控措施及现场的管理所产生的费用均应已考虑在报价中，由此延误的费用不再另行计算。</w:t>
      </w:r>
    </w:p>
    <w:p>
      <w:pPr>
        <w:pStyle w:val="4"/>
        <w:rPr>
          <w:rFonts w:asciiTheme="minorEastAsia" w:hAnsiTheme="minorEastAsia" w:eastAsiaTheme="minorEastAsia"/>
          <w:bCs w:val="0"/>
          <w:color w:val="auto"/>
          <w:highlight w:val="none"/>
          <w:u w:val="none"/>
        </w:rPr>
      </w:pPr>
      <w:bookmarkStart w:id="62" w:name="_Toc124269262"/>
      <w:r>
        <w:rPr>
          <w:rFonts w:hint="eastAsia" w:asciiTheme="minorEastAsia" w:hAnsiTheme="minorEastAsia" w:eastAsiaTheme="minorEastAsia"/>
          <w:bCs w:val="0"/>
          <w:color w:val="auto"/>
          <w:highlight w:val="none"/>
          <w:u w:val="none"/>
        </w:rPr>
        <w:t>附件</w:t>
      </w:r>
      <w:r>
        <w:rPr>
          <w:rFonts w:asciiTheme="minorEastAsia" w:hAnsiTheme="minorEastAsia" w:eastAsiaTheme="minorEastAsia"/>
          <w:bCs w:val="0"/>
          <w:color w:val="auto"/>
          <w:highlight w:val="none"/>
          <w:u w:val="none"/>
        </w:rPr>
        <w:t xml:space="preserve">1-3 </w:t>
      </w:r>
      <w:r>
        <w:rPr>
          <w:rFonts w:hint="eastAsia" w:asciiTheme="minorEastAsia" w:hAnsiTheme="minorEastAsia" w:eastAsiaTheme="minorEastAsia"/>
          <w:bCs w:val="0"/>
          <w:color w:val="auto"/>
          <w:highlight w:val="none"/>
          <w:u w:val="none"/>
        </w:rPr>
        <w:t>备品备件清单：</w:t>
      </w:r>
      <w:bookmarkEnd w:id="62"/>
    </w:p>
    <w:p>
      <w:pPr>
        <w:snapToGrid w:val="0"/>
        <w:spacing w:before="120"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五年备品备件清单（格式）</w:t>
      </w:r>
    </w:p>
    <w:tbl>
      <w:tblPr>
        <w:tblStyle w:val="22"/>
        <w:tblW w:w="5000" w:type="pct"/>
        <w:jc w:val="center"/>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725"/>
        <w:gridCol w:w="2190"/>
        <w:gridCol w:w="1913"/>
        <w:gridCol w:w="725"/>
        <w:gridCol w:w="881"/>
        <w:gridCol w:w="1018"/>
        <w:gridCol w:w="1325"/>
        <w:gridCol w:w="1185"/>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4"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序号</w:t>
            </w:r>
          </w:p>
        </w:tc>
        <w:tc>
          <w:tcPr>
            <w:tcW w:w="1099"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备品、备件名称和规格</w:t>
            </w:r>
          </w:p>
        </w:tc>
        <w:tc>
          <w:tcPr>
            <w:tcW w:w="960"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规格型号</w:t>
            </w:r>
          </w:p>
        </w:tc>
        <w:tc>
          <w:tcPr>
            <w:tcW w:w="364"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数量</w:t>
            </w:r>
          </w:p>
        </w:tc>
        <w:tc>
          <w:tcPr>
            <w:tcW w:w="442"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单位</w:t>
            </w:r>
          </w:p>
        </w:tc>
        <w:tc>
          <w:tcPr>
            <w:tcW w:w="511"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厂商</w:t>
            </w:r>
          </w:p>
        </w:tc>
        <w:tc>
          <w:tcPr>
            <w:tcW w:w="665"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不含税单价（元）</w:t>
            </w:r>
          </w:p>
        </w:tc>
        <w:tc>
          <w:tcPr>
            <w:tcW w:w="592"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含税单价（元）</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4" w:type="pct"/>
            <w:shd w:val="clear" w:color="auto" w:fill="auto"/>
            <w:vAlign w:val="center"/>
          </w:tcPr>
          <w:p>
            <w:pPr>
              <w:tabs>
                <w:tab w:val="left" w:pos="0"/>
              </w:tabs>
              <w:spacing w:line="240" w:lineRule="auto"/>
              <w:jc w:val="center"/>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sz w:val="21"/>
                <w:szCs w:val="21"/>
                <w:highlight w:val="none"/>
                <w:lang w:val="en-US" w:eastAsia="zh-CN"/>
              </w:rPr>
              <w:t>1</w:t>
            </w:r>
          </w:p>
        </w:tc>
        <w:tc>
          <w:tcPr>
            <w:tcW w:w="1099" w:type="pct"/>
            <w:shd w:val="clear" w:color="auto" w:fill="auto"/>
            <w:vAlign w:val="center"/>
          </w:tcPr>
          <w:p>
            <w:pPr>
              <w:spacing w:line="240" w:lineRule="auto"/>
              <w:jc w:val="center"/>
              <w:rPr>
                <w:rFonts w:hint="eastAsia" w:ascii="仿宋" w:hAnsi="仿宋" w:eastAsia="仿宋" w:cs="宋体"/>
                <w:snapToGrid w:val="0"/>
                <w:color w:val="auto"/>
                <w:kern w:val="2"/>
                <w:sz w:val="21"/>
                <w:szCs w:val="21"/>
                <w:highlight w:val="none"/>
                <w:lang w:val="en-US" w:eastAsia="zh-CN" w:bidi="ar-SA"/>
              </w:rPr>
            </w:pPr>
            <w:r>
              <w:rPr>
                <w:rFonts w:hint="eastAsia" w:ascii="仿宋" w:hAnsi="仿宋" w:eastAsia="仿宋" w:cs="宋体"/>
                <w:snapToGrid w:val="0"/>
                <w:color w:val="auto"/>
                <w:szCs w:val="21"/>
                <w:highlight w:val="none"/>
                <w:lang w:val="en-US" w:eastAsia="zh-CN"/>
              </w:rPr>
              <w:t>行程开关</w:t>
            </w:r>
          </w:p>
        </w:tc>
        <w:tc>
          <w:tcPr>
            <w:tcW w:w="960"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364" w:type="pct"/>
            <w:shd w:val="clear" w:color="auto" w:fill="auto"/>
            <w:vAlign w:val="center"/>
          </w:tcPr>
          <w:p>
            <w:pPr>
              <w:spacing w:line="240" w:lineRule="auto"/>
              <w:jc w:val="center"/>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sz w:val="21"/>
                <w:szCs w:val="21"/>
                <w:highlight w:val="none"/>
                <w:lang w:val="en-US" w:eastAsia="zh-CN"/>
              </w:rPr>
              <w:t>2</w:t>
            </w:r>
          </w:p>
        </w:tc>
        <w:tc>
          <w:tcPr>
            <w:tcW w:w="442" w:type="pct"/>
            <w:shd w:val="clear" w:color="auto" w:fill="auto"/>
            <w:vAlign w:val="center"/>
          </w:tcPr>
          <w:p>
            <w:pPr>
              <w:spacing w:line="240" w:lineRule="auto"/>
              <w:jc w:val="center"/>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个</w:t>
            </w:r>
          </w:p>
        </w:tc>
        <w:tc>
          <w:tcPr>
            <w:tcW w:w="511"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665"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592"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4" w:type="pct"/>
            <w:shd w:val="clear" w:color="auto" w:fill="auto"/>
            <w:vAlign w:val="center"/>
          </w:tcPr>
          <w:p>
            <w:pPr>
              <w:tabs>
                <w:tab w:val="left" w:pos="0"/>
              </w:tabs>
              <w:spacing w:line="240" w:lineRule="auto"/>
              <w:jc w:val="center"/>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sz w:val="21"/>
                <w:szCs w:val="21"/>
                <w:highlight w:val="none"/>
                <w:lang w:val="en-US" w:eastAsia="zh-CN"/>
              </w:rPr>
              <w:t>2</w:t>
            </w:r>
          </w:p>
        </w:tc>
        <w:tc>
          <w:tcPr>
            <w:tcW w:w="1099" w:type="pct"/>
            <w:shd w:val="clear" w:color="auto" w:fill="auto"/>
            <w:vAlign w:val="center"/>
          </w:tcPr>
          <w:p>
            <w:pPr>
              <w:spacing w:line="240" w:lineRule="auto"/>
              <w:jc w:val="center"/>
              <w:rPr>
                <w:rFonts w:hint="eastAsia" w:ascii="仿宋" w:hAnsi="仿宋" w:eastAsia="仿宋" w:cs="宋体"/>
                <w:snapToGrid w:val="0"/>
                <w:color w:val="auto"/>
                <w:kern w:val="2"/>
                <w:sz w:val="21"/>
                <w:szCs w:val="21"/>
                <w:highlight w:val="none"/>
                <w:lang w:val="en-US" w:eastAsia="zh-CN" w:bidi="ar-SA"/>
              </w:rPr>
            </w:pPr>
            <w:r>
              <w:rPr>
                <w:rFonts w:hint="eastAsia" w:ascii="仿宋" w:hAnsi="仿宋" w:eastAsia="仿宋" w:cs="宋体"/>
                <w:color w:val="auto"/>
                <w:sz w:val="21"/>
                <w:szCs w:val="21"/>
                <w:highlight w:val="none"/>
              </w:rPr>
              <w:t>半波整流器</w:t>
            </w:r>
          </w:p>
        </w:tc>
        <w:tc>
          <w:tcPr>
            <w:tcW w:w="960"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364" w:type="pct"/>
            <w:shd w:val="clear" w:color="auto" w:fill="auto"/>
            <w:vAlign w:val="center"/>
          </w:tcPr>
          <w:p>
            <w:pPr>
              <w:spacing w:line="240" w:lineRule="auto"/>
              <w:jc w:val="center"/>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sz w:val="21"/>
                <w:szCs w:val="21"/>
                <w:highlight w:val="none"/>
                <w:lang w:val="en-US" w:eastAsia="zh-CN"/>
              </w:rPr>
              <w:t>2</w:t>
            </w:r>
          </w:p>
        </w:tc>
        <w:tc>
          <w:tcPr>
            <w:tcW w:w="442" w:type="pct"/>
            <w:shd w:val="clear" w:color="auto" w:fill="auto"/>
            <w:vAlign w:val="center"/>
          </w:tcPr>
          <w:p>
            <w:pPr>
              <w:spacing w:line="240" w:lineRule="auto"/>
              <w:jc w:val="center"/>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台</w:t>
            </w:r>
          </w:p>
        </w:tc>
        <w:tc>
          <w:tcPr>
            <w:tcW w:w="511"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665"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592"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4" w:type="pct"/>
            <w:shd w:val="clear" w:color="auto" w:fill="auto"/>
            <w:vAlign w:val="center"/>
          </w:tcPr>
          <w:p>
            <w:pPr>
              <w:tabs>
                <w:tab w:val="left" w:pos="0"/>
              </w:tabs>
              <w:spacing w:line="240" w:lineRule="auto"/>
              <w:jc w:val="center"/>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sz w:val="21"/>
                <w:szCs w:val="21"/>
                <w:highlight w:val="none"/>
                <w:lang w:val="en-US" w:eastAsia="zh-CN"/>
              </w:rPr>
              <w:t>3</w:t>
            </w:r>
          </w:p>
        </w:tc>
        <w:tc>
          <w:tcPr>
            <w:tcW w:w="1099" w:type="pct"/>
            <w:shd w:val="clear" w:color="auto" w:fill="auto"/>
            <w:vAlign w:val="center"/>
          </w:tcPr>
          <w:p>
            <w:pPr>
              <w:spacing w:line="240" w:lineRule="auto"/>
              <w:jc w:val="center"/>
              <w:rPr>
                <w:rFonts w:hint="eastAsia" w:ascii="仿宋" w:hAnsi="仿宋" w:eastAsia="仿宋" w:cs="宋体"/>
                <w:snapToGrid w:val="0"/>
                <w:color w:val="auto"/>
                <w:kern w:val="2"/>
                <w:sz w:val="21"/>
                <w:szCs w:val="21"/>
                <w:highlight w:val="none"/>
                <w:lang w:val="en-US" w:eastAsia="zh-CN" w:bidi="ar-SA"/>
              </w:rPr>
            </w:pPr>
            <w:r>
              <w:rPr>
                <w:rFonts w:hint="eastAsia" w:ascii="仿宋" w:hAnsi="仿宋" w:eastAsia="仿宋" w:cs="宋体"/>
                <w:snapToGrid w:val="0"/>
                <w:color w:val="auto"/>
                <w:sz w:val="21"/>
                <w:szCs w:val="21"/>
                <w:highlight w:val="none"/>
              </w:rPr>
              <w:t>转换开关</w:t>
            </w:r>
          </w:p>
        </w:tc>
        <w:tc>
          <w:tcPr>
            <w:tcW w:w="960"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364" w:type="pct"/>
            <w:shd w:val="clear" w:color="auto" w:fill="auto"/>
            <w:vAlign w:val="center"/>
          </w:tcPr>
          <w:p>
            <w:pPr>
              <w:spacing w:line="240" w:lineRule="auto"/>
              <w:jc w:val="center"/>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sz w:val="21"/>
                <w:szCs w:val="21"/>
                <w:highlight w:val="none"/>
                <w:lang w:val="en-US" w:eastAsia="zh-CN"/>
              </w:rPr>
              <w:t>1</w:t>
            </w:r>
          </w:p>
        </w:tc>
        <w:tc>
          <w:tcPr>
            <w:tcW w:w="442" w:type="pct"/>
            <w:shd w:val="clear" w:color="auto" w:fill="auto"/>
            <w:vAlign w:val="center"/>
          </w:tcPr>
          <w:p>
            <w:pPr>
              <w:spacing w:line="240" w:lineRule="auto"/>
              <w:jc w:val="center"/>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个</w:t>
            </w:r>
          </w:p>
        </w:tc>
        <w:tc>
          <w:tcPr>
            <w:tcW w:w="511"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665"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592"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4" w:type="pct"/>
            <w:shd w:val="clear" w:color="auto" w:fill="auto"/>
            <w:vAlign w:val="center"/>
          </w:tcPr>
          <w:p>
            <w:pPr>
              <w:tabs>
                <w:tab w:val="left" w:pos="0"/>
              </w:tabs>
              <w:spacing w:line="240" w:lineRule="auto"/>
              <w:jc w:val="center"/>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sz w:val="21"/>
                <w:szCs w:val="21"/>
                <w:highlight w:val="none"/>
                <w:lang w:val="en-US" w:eastAsia="zh-CN"/>
              </w:rPr>
              <w:t>4</w:t>
            </w:r>
          </w:p>
        </w:tc>
        <w:tc>
          <w:tcPr>
            <w:tcW w:w="1099" w:type="pct"/>
            <w:shd w:val="clear" w:color="auto" w:fill="auto"/>
            <w:vAlign w:val="center"/>
          </w:tcPr>
          <w:p>
            <w:pPr>
              <w:spacing w:line="240" w:lineRule="auto"/>
              <w:jc w:val="center"/>
              <w:rPr>
                <w:rFonts w:ascii="仿宋" w:hAnsi="仿宋" w:eastAsia="仿宋" w:cs="宋体"/>
                <w:snapToGrid w:val="0"/>
                <w:color w:val="auto"/>
                <w:kern w:val="2"/>
                <w:sz w:val="21"/>
                <w:szCs w:val="21"/>
                <w:highlight w:val="none"/>
                <w:lang w:val="en-US" w:eastAsia="zh-CN" w:bidi="ar-SA"/>
              </w:rPr>
            </w:pPr>
            <w:r>
              <w:rPr>
                <w:rFonts w:hint="eastAsia" w:ascii="仿宋" w:hAnsi="仿宋" w:eastAsia="仿宋" w:cs="宋体"/>
                <w:snapToGrid w:val="0"/>
                <w:color w:val="auto"/>
                <w:sz w:val="21"/>
                <w:szCs w:val="21"/>
                <w:highlight w:val="none"/>
              </w:rPr>
              <w:t>上、下按钮</w:t>
            </w:r>
          </w:p>
        </w:tc>
        <w:tc>
          <w:tcPr>
            <w:tcW w:w="960"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364" w:type="pct"/>
            <w:shd w:val="clear" w:color="auto" w:fill="auto"/>
            <w:vAlign w:val="center"/>
          </w:tcPr>
          <w:p>
            <w:pPr>
              <w:spacing w:line="240" w:lineRule="auto"/>
              <w:jc w:val="center"/>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sz w:val="21"/>
                <w:szCs w:val="21"/>
                <w:highlight w:val="none"/>
                <w:lang w:val="en-US" w:eastAsia="zh-CN"/>
              </w:rPr>
              <w:t>2</w:t>
            </w:r>
          </w:p>
        </w:tc>
        <w:tc>
          <w:tcPr>
            <w:tcW w:w="442" w:type="pct"/>
            <w:shd w:val="clear" w:color="auto" w:fill="auto"/>
            <w:vAlign w:val="center"/>
          </w:tcPr>
          <w:p>
            <w:pPr>
              <w:spacing w:line="240" w:lineRule="auto"/>
              <w:jc w:val="center"/>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个</w:t>
            </w:r>
          </w:p>
        </w:tc>
        <w:tc>
          <w:tcPr>
            <w:tcW w:w="511"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665"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592"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4" w:type="pct"/>
            <w:shd w:val="clear" w:color="auto" w:fill="auto"/>
            <w:vAlign w:val="center"/>
          </w:tcPr>
          <w:p>
            <w:pPr>
              <w:tabs>
                <w:tab w:val="left" w:pos="0"/>
              </w:tabs>
              <w:spacing w:line="240" w:lineRule="auto"/>
              <w:jc w:val="center"/>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sz w:val="21"/>
                <w:szCs w:val="21"/>
                <w:highlight w:val="none"/>
                <w:lang w:val="en-US" w:eastAsia="zh-CN"/>
              </w:rPr>
              <w:t>5</w:t>
            </w:r>
          </w:p>
        </w:tc>
        <w:tc>
          <w:tcPr>
            <w:tcW w:w="1099" w:type="pct"/>
            <w:shd w:val="clear" w:color="auto" w:fill="auto"/>
            <w:vAlign w:val="center"/>
          </w:tcPr>
          <w:p>
            <w:pPr>
              <w:snapToGrid w:val="0"/>
              <w:spacing w:line="240" w:lineRule="auto"/>
              <w:jc w:val="center"/>
              <w:rPr>
                <w:rFonts w:ascii="仿宋" w:hAnsi="仿宋" w:eastAsia="仿宋" w:cs="宋体"/>
                <w:snapToGrid w:val="0"/>
                <w:color w:val="auto"/>
                <w:kern w:val="2"/>
                <w:sz w:val="21"/>
                <w:szCs w:val="21"/>
                <w:highlight w:val="none"/>
                <w:lang w:val="en-US" w:eastAsia="zh-CN" w:bidi="ar-SA"/>
              </w:rPr>
            </w:pPr>
            <w:r>
              <w:rPr>
                <w:rFonts w:hint="eastAsia" w:ascii="仿宋" w:hAnsi="仿宋" w:eastAsia="仿宋" w:cs="宋体"/>
                <w:snapToGrid w:val="0"/>
                <w:color w:val="auto"/>
                <w:sz w:val="21"/>
                <w:szCs w:val="21"/>
                <w:highlight w:val="none"/>
              </w:rPr>
              <w:t>尼龙套</w:t>
            </w:r>
          </w:p>
        </w:tc>
        <w:tc>
          <w:tcPr>
            <w:tcW w:w="960" w:type="pct"/>
            <w:shd w:val="clear" w:color="auto" w:fill="auto"/>
            <w:vAlign w:val="center"/>
          </w:tcPr>
          <w:p>
            <w:pPr>
              <w:snapToGrid w:val="0"/>
              <w:spacing w:line="240" w:lineRule="auto"/>
              <w:jc w:val="center"/>
              <w:rPr>
                <w:rFonts w:ascii="仿宋" w:hAnsi="仿宋" w:eastAsia="仿宋" w:cs="宋体"/>
                <w:color w:val="auto"/>
                <w:kern w:val="2"/>
                <w:sz w:val="21"/>
                <w:szCs w:val="21"/>
                <w:highlight w:val="none"/>
                <w:lang w:val="en-US" w:eastAsia="zh-CN" w:bidi="ar-SA"/>
              </w:rPr>
            </w:pPr>
          </w:p>
        </w:tc>
        <w:tc>
          <w:tcPr>
            <w:tcW w:w="364" w:type="pct"/>
            <w:shd w:val="clear" w:color="auto" w:fill="auto"/>
            <w:vAlign w:val="center"/>
          </w:tcPr>
          <w:p>
            <w:pPr>
              <w:spacing w:line="240" w:lineRule="auto"/>
              <w:jc w:val="center"/>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sz w:val="21"/>
                <w:szCs w:val="21"/>
                <w:highlight w:val="none"/>
                <w:lang w:val="en-US" w:eastAsia="zh-CN"/>
              </w:rPr>
              <w:t>8</w:t>
            </w:r>
          </w:p>
        </w:tc>
        <w:tc>
          <w:tcPr>
            <w:tcW w:w="442" w:type="pct"/>
            <w:shd w:val="clear" w:color="auto" w:fill="auto"/>
            <w:vAlign w:val="center"/>
          </w:tcPr>
          <w:p>
            <w:pPr>
              <w:spacing w:line="240" w:lineRule="auto"/>
              <w:jc w:val="center"/>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条</w:t>
            </w:r>
          </w:p>
        </w:tc>
        <w:tc>
          <w:tcPr>
            <w:tcW w:w="511"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665"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c>
          <w:tcPr>
            <w:tcW w:w="592" w:type="pct"/>
            <w:shd w:val="clear" w:color="auto" w:fill="auto"/>
            <w:vAlign w:val="center"/>
          </w:tcPr>
          <w:p>
            <w:pPr>
              <w:spacing w:line="240" w:lineRule="auto"/>
              <w:jc w:val="center"/>
              <w:rPr>
                <w:rFonts w:ascii="仿宋" w:hAnsi="仿宋" w:eastAsia="仿宋"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8"/>
            <w:shd w:val="clear" w:color="auto" w:fill="auto"/>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合计（含税）：</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合计（不含税）：</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税金：</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8"/>
            <w:shd w:val="clear" w:color="auto" w:fill="auto"/>
            <w:vAlign w:val="center"/>
          </w:tcPr>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供应商（盖单位公章）：</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8"/>
            <w:shd w:val="clear" w:color="auto" w:fill="auto"/>
            <w:vAlign w:val="center"/>
          </w:tcPr>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法定代表人或其委托代理人（签字或盖章）：</w:t>
            </w:r>
          </w:p>
        </w:tc>
      </w:tr>
    </w:tbl>
    <w:p>
      <w:pPr>
        <w:rPr>
          <w:rFonts w:cs="Courier New" w:asciiTheme="minorEastAsia" w:hAnsiTheme="minorEastAsia" w:eastAsiaTheme="minorEastAsia"/>
          <w:b/>
          <w:color w:val="auto"/>
          <w:spacing w:val="20"/>
          <w:szCs w:val="21"/>
          <w:highlight w:val="none"/>
        </w:rPr>
      </w:pPr>
      <w:r>
        <w:rPr>
          <w:rFonts w:hint="eastAsia" w:cs="Courier New" w:asciiTheme="minorEastAsia" w:hAnsiTheme="minorEastAsia" w:eastAsiaTheme="minorEastAsia"/>
          <w:b/>
          <w:color w:val="auto"/>
          <w:spacing w:val="20"/>
          <w:szCs w:val="21"/>
          <w:highlight w:val="none"/>
        </w:rPr>
        <w:t>注：</w:t>
      </w:r>
    </w:p>
    <w:p>
      <w:pPr>
        <w:snapToGrid w:val="0"/>
        <w:spacing w:line="360" w:lineRule="auto"/>
        <w:rPr>
          <w:rFonts w:cs="Courier New" w:asciiTheme="minorEastAsia" w:hAnsiTheme="minorEastAsia" w:eastAsiaTheme="minorEastAsia"/>
          <w:b/>
          <w:color w:val="auto"/>
          <w:szCs w:val="21"/>
          <w:highlight w:val="none"/>
        </w:rPr>
      </w:pPr>
      <w:r>
        <w:rPr>
          <w:rFonts w:cs="Courier New" w:asciiTheme="minorEastAsia" w:hAnsiTheme="minorEastAsia" w:eastAsiaTheme="minorEastAsia"/>
          <w:b/>
          <w:color w:val="auto"/>
          <w:szCs w:val="21"/>
          <w:highlight w:val="none"/>
        </w:rPr>
        <w:t>1）请参考第三章提供的“采购需求”的内容填写本表；如有漏项或缺项，均由供应商承担。供应商应逐项计算并填写单价、合价和总价，供应商没有填写单价和合价的项目将被认为此项目所涉及的全部费用已包含在其他分项报价及响应总价中。</w:t>
      </w:r>
    </w:p>
    <w:p>
      <w:pPr>
        <w:snapToGrid w:val="0"/>
        <w:spacing w:line="360" w:lineRule="auto"/>
        <w:rPr>
          <w:rFonts w:cs="Courier New" w:asciiTheme="minorEastAsia" w:hAnsiTheme="minorEastAsia" w:eastAsiaTheme="minorEastAsia"/>
          <w:b/>
          <w:color w:val="auto"/>
          <w:szCs w:val="21"/>
          <w:highlight w:val="none"/>
        </w:rPr>
      </w:pPr>
      <w:r>
        <w:rPr>
          <w:rFonts w:cs="Courier New" w:asciiTheme="minorEastAsia" w:hAnsiTheme="minorEastAsia" w:eastAsiaTheme="minorEastAsia"/>
          <w:b/>
          <w:color w:val="auto"/>
          <w:szCs w:val="21"/>
          <w:highlight w:val="none"/>
        </w:rPr>
        <w:t>2）表格内容均需按要求填写并盖章，不得留空，否则按响应无效处理；</w:t>
      </w:r>
    </w:p>
    <w:p>
      <w:pPr>
        <w:snapToGrid w:val="0"/>
        <w:spacing w:line="360" w:lineRule="auto"/>
        <w:rPr>
          <w:rFonts w:cs="Courier New" w:asciiTheme="minorEastAsia" w:hAnsiTheme="minorEastAsia" w:eastAsiaTheme="minorEastAsia"/>
          <w:b/>
          <w:color w:val="auto"/>
          <w:szCs w:val="21"/>
          <w:highlight w:val="none"/>
        </w:rPr>
      </w:pPr>
      <w:r>
        <w:rPr>
          <w:rFonts w:cs="Courier New" w:asciiTheme="minorEastAsia" w:hAnsiTheme="minorEastAsia" w:eastAsiaTheme="minorEastAsia"/>
          <w:b/>
          <w:color w:val="auto"/>
          <w:szCs w:val="21"/>
          <w:highlight w:val="none"/>
        </w:rPr>
        <w:t>3）供应商应认真复核报价表中所有单价、合价和总价的一致性，保证响应报价的正确性；</w:t>
      </w:r>
    </w:p>
    <w:p>
      <w:pPr>
        <w:snapToGrid w:val="0"/>
        <w:spacing w:line="360" w:lineRule="auto"/>
        <w:rPr>
          <w:rFonts w:cs="Courier New" w:asciiTheme="minorEastAsia" w:hAnsiTheme="minorEastAsia" w:eastAsiaTheme="minorEastAsia"/>
          <w:b/>
          <w:color w:val="auto"/>
          <w:szCs w:val="21"/>
          <w:highlight w:val="none"/>
        </w:rPr>
      </w:pPr>
      <w:r>
        <w:rPr>
          <w:rFonts w:cs="Courier New" w:asciiTheme="minorEastAsia" w:hAnsiTheme="minorEastAsia" w:eastAsiaTheme="minorEastAsia"/>
          <w:b/>
          <w:color w:val="auto"/>
          <w:szCs w:val="21"/>
          <w:highlight w:val="none"/>
        </w:rPr>
        <w:t>4</w:t>
      </w:r>
      <w:r>
        <w:rPr>
          <w:rFonts w:hint="eastAsia" w:cs="Courier New" w:asciiTheme="minorEastAsia" w:hAnsiTheme="minorEastAsia" w:eastAsiaTheme="minorEastAsia"/>
          <w:b/>
          <w:color w:val="auto"/>
          <w:szCs w:val="21"/>
          <w:highlight w:val="none"/>
        </w:rPr>
        <w:t>）质保期内的备品备件在质保期内供应商无偿更换，报价已考虑在</w:t>
      </w:r>
      <w:r>
        <w:rPr>
          <w:rFonts w:cs="Courier New" w:asciiTheme="minorEastAsia" w:hAnsiTheme="minorEastAsia" w:eastAsiaTheme="minorEastAsia"/>
          <w:b/>
          <w:color w:val="auto"/>
          <w:szCs w:val="21"/>
          <w:highlight w:val="none"/>
        </w:rPr>
        <w:t>A-2响应报价内，本表指的是超出质保期后五年内的备品备件，采购人有偿购买，双方按此表内价格进行结算；</w:t>
      </w:r>
    </w:p>
    <w:p>
      <w:pPr>
        <w:rPr>
          <w:rFonts w:asciiTheme="minorEastAsia" w:hAnsiTheme="minorEastAsia" w:eastAsiaTheme="minorEastAsia"/>
          <w:color w:val="auto"/>
          <w:highlight w:val="none"/>
        </w:rPr>
      </w:pPr>
      <w:r>
        <w:rPr>
          <w:rFonts w:asciiTheme="minorEastAsia" w:hAnsiTheme="minorEastAsia" w:eastAsiaTheme="minorEastAsia"/>
          <w:color w:val="auto"/>
          <w:spacing w:val="20"/>
          <w:highlight w:val="none"/>
        </w:rPr>
        <w:br w:type="page"/>
      </w:r>
    </w:p>
    <w:p>
      <w:pPr>
        <w:pStyle w:val="4"/>
        <w:rPr>
          <w:rFonts w:asciiTheme="minorEastAsia" w:hAnsiTheme="minorEastAsia" w:eastAsiaTheme="minorEastAsia"/>
          <w:bCs w:val="0"/>
          <w:color w:val="auto"/>
          <w:highlight w:val="none"/>
          <w:u w:val="none"/>
        </w:rPr>
      </w:pPr>
      <w:bookmarkStart w:id="63" w:name="_Toc124269263"/>
      <w:r>
        <w:rPr>
          <w:rFonts w:hint="eastAsia" w:asciiTheme="minorEastAsia" w:hAnsiTheme="minorEastAsia" w:eastAsiaTheme="minorEastAsia"/>
          <w:bCs w:val="0"/>
          <w:color w:val="auto"/>
          <w:highlight w:val="none"/>
          <w:u w:val="none"/>
        </w:rPr>
        <w:t>附件</w:t>
      </w:r>
      <w:r>
        <w:rPr>
          <w:rFonts w:asciiTheme="minorEastAsia" w:hAnsiTheme="minorEastAsia" w:eastAsiaTheme="minorEastAsia"/>
          <w:bCs w:val="0"/>
          <w:color w:val="auto"/>
          <w:highlight w:val="none"/>
          <w:u w:val="none"/>
        </w:rPr>
        <w:t xml:space="preserve">1-4 </w:t>
      </w:r>
      <w:r>
        <w:rPr>
          <w:rFonts w:hint="eastAsia" w:asciiTheme="minorEastAsia" w:hAnsiTheme="minorEastAsia" w:eastAsiaTheme="minorEastAsia"/>
          <w:bCs w:val="0"/>
          <w:color w:val="auto"/>
          <w:highlight w:val="none"/>
          <w:u w:val="none"/>
        </w:rPr>
        <w:t>随机专用工具清单：</w:t>
      </w:r>
      <w:bookmarkEnd w:id="63"/>
    </w:p>
    <w:p>
      <w:pPr>
        <w:snapToGrid w:val="0"/>
        <w:spacing w:before="120"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随机专用工具清单（格式）</w:t>
      </w:r>
    </w:p>
    <w:tbl>
      <w:tblPr>
        <w:tblStyle w:val="22"/>
        <w:tblW w:w="5000" w:type="pct"/>
        <w:jc w:val="center"/>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730"/>
        <w:gridCol w:w="1904"/>
        <w:gridCol w:w="2200"/>
        <w:gridCol w:w="731"/>
        <w:gridCol w:w="881"/>
        <w:gridCol w:w="1172"/>
        <w:gridCol w:w="1172"/>
        <w:gridCol w:w="1172"/>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序号</w:t>
            </w:r>
          </w:p>
        </w:tc>
        <w:tc>
          <w:tcPr>
            <w:tcW w:w="956"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设备名称及编号</w:t>
            </w:r>
          </w:p>
        </w:tc>
        <w:tc>
          <w:tcPr>
            <w:tcW w:w="1104"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材料、型号</w:t>
            </w:r>
          </w:p>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（或品牌）</w:t>
            </w:r>
          </w:p>
        </w:tc>
        <w:tc>
          <w:tcPr>
            <w:tcW w:w="367"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单位</w:t>
            </w:r>
          </w:p>
        </w:tc>
        <w:tc>
          <w:tcPr>
            <w:tcW w:w="442"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数量</w:t>
            </w:r>
          </w:p>
        </w:tc>
        <w:tc>
          <w:tcPr>
            <w:tcW w:w="588"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重量（</w:t>
            </w:r>
            <w:r>
              <w:rPr>
                <w:rFonts w:cs="宋体" w:asciiTheme="minorEastAsia" w:hAnsiTheme="minorEastAsia" w:eastAsiaTheme="minorEastAsia"/>
                <w:b/>
                <w:color w:val="auto"/>
                <w:szCs w:val="21"/>
                <w:highlight w:val="none"/>
              </w:rPr>
              <w:t>kg）</w:t>
            </w:r>
          </w:p>
        </w:tc>
        <w:tc>
          <w:tcPr>
            <w:tcW w:w="588"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单价（元）</w:t>
            </w:r>
          </w:p>
        </w:tc>
        <w:tc>
          <w:tcPr>
            <w:tcW w:w="588" w:type="pct"/>
            <w:shd w:val="clear" w:color="auto" w:fill="auto"/>
            <w:vAlign w:val="center"/>
          </w:tcPr>
          <w:p>
            <w:pPr>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合计（元）</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1.</w:t>
            </w:r>
          </w:p>
        </w:tc>
        <w:tc>
          <w:tcPr>
            <w:tcW w:w="956" w:type="pct"/>
            <w:shd w:val="clear" w:color="auto" w:fill="auto"/>
            <w:vAlign w:val="center"/>
          </w:tcPr>
          <w:p>
            <w:pPr>
              <w:jc w:val="center"/>
              <w:rPr>
                <w:rFonts w:cs="宋体" w:asciiTheme="minorEastAsia" w:hAnsiTheme="minorEastAsia" w:eastAsiaTheme="minorEastAsia"/>
                <w:color w:val="auto"/>
                <w:szCs w:val="21"/>
                <w:highlight w:val="none"/>
              </w:rPr>
            </w:pPr>
          </w:p>
        </w:tc>
        <w:tc>
          <w:tcPr>
            <w:tcW w:w="1104" w:type="pct"/>
            <w:shd w:val="clear" w:color="auto" w:fill="auto"/>
            <w:vAlign w:val="center"/>
          </w:tcPr>
          <w:p>
            <w:pPr>
              <w:jc w:val="center"/>
              <w:rPr>
                <w:rFonts w:cs="宋体" w:asciiTheme="minorEastAsia" w:hAnsiTheme="minorEastAsia" w:eastAsiaTheme="minorEastAsia"/>
                <w:color w:val="auto"/>
                <w:szCs w:val="21"/>
                <w:highlight w:val="none"/>
              </w:rPr>
            </w:pPr>
          </w:p>
        </w:tc>
        <w:tc>
          <w:tcPr>
            <w:tcW w:w="367" w:type="pct"/>
            <w:shd w:val="clear" w:color="auto" w:fill="auto"/>
            <w:vAlign w:val="center"/>
          </w:tcPr>
          <w:p>
            <w:pPr>
              <w:jc w:val="center"/>
              <w:rPr>
                <w:rFonts w:cs="宋体" w:asciiTheme="minorEastAsia" w:hAnsiTheme="minorEastAsia" w:eastAsiaTheme="minorEastAsia"/>
                <w:color w:val="auto"/>
                <w:szCs w:val="21"/>
                <w:highlight w:val="none"/>
              </w:rPr>
            </w:pPr>
          </w:p>
        </w:tc>
        <w:tc>
          <w:tcPr>
            <w:tcW w:w="442"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2.</w:t>
            </w:r>
          </w:p>
        </w:tc>
        <w:tc>
          <w:tcPr>
            <w:tcW w:w="956" w:type="pct"/>
            <w:shd w:val="clear" w:color="auto" w:fill="auto"/>
            <w:vAlign w:val="center"/>
          </w:tcPr>
          <w:p>
            <w:pPr>
              <w:jc w:val="center"/>
              <w:rPr>
                <w:rFonts w:cs="宋体" w:asciiTheme="minorEastAsia" w:hAnsiTheme="minorEastAsia" w:eastAsiaTheme="minorEastAsia"/>
                <w:color w:val="auto"/>
                <w:szCs w:val="21"/>
                <w:highlight w:val="none"/>
              </w:rPr>
            </w:pPr>
          </w:p>
        </w:tc>
        <w:tc>
          <w:tcPr>
            <w:tcW w:w="1104" w:type="pct"/>
            <w:shd w:val="clear" w:color="auto" w:fill="auto"/>
            <w:vAlign w:val="center"/>
          </w:tcPr>
          <w:p>
            <w:pPr>
              <w:jc w:val="center"/>
              <w:rPr>
                <w:rFonts w:cs="宋体" w:asciiTheme="minorEastAsia" w:hAnsiTheme="minorEastAsia" w:eastAsiaTheme="minorEastAsia"/>
                <w:color w:val="auto"/>
                <w:szCs w:val="21"/>
                <w:highlight w:val="none"/>
              </w:rPr>
            </w:pPr>
          </w:p>
        </w:tc>
        <w:tc>
          <w:tcPr>
            <w:tcW w:w="367" w:type="pct"/>
            <w:shd w:val="clear" w:color="auto" w:fill="auto"/>
            <w:vAlign w:val="center"/>
          </w:tcPr>
          <w:p>
            <w:pPr>
              <w:jc w:val="center"/>
              <w:rPr>
                <w:rFonts w:cs="宋体" w:asciiTheme="minorEastAsia" w:hAnsiTheme="minorEastAsia" w:eastAsiaTheme="minorEastAsia"/>
                <w:color w:val="auto"/>
                <w:szCs w:val="21"/>
                <w:highlight w:val="none"/>
              </w:rPr>
            </w:pPr>
          </w:p>
        </w:tc>
        <w:tc>
          <w:tcPr>
            <w:tcW w:w="442"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3.</w:t>
            </w:r>
          </w:p>
        </w:tc>
        <w:tc>
          <w:tcPr>
            <w:tcW w:w="956" w:type="pct"/>
            <w:shd w:val="clear" w:color="auto" w:fill="auto"/>
            <w:vAlign w:val="center"/>
          </w:tcPr>
          <w:p>
            <w:pPr>
              <w:jc w:val="center"/>
              <w:rPr>
                <w:rFonts w:cs="宋体" w:asciiTheme="minorEastAsia" w:hAnsiTheme="minorEastAsia" w:eastAsiaTheme="minorEastAsia"/>
                <w:snapToGrid w:val="0"/>
                <w:color w:val="auto"/>
                <w:szCs w:val="21"/>
                <w:highlight w:val="none"/>
              </w:rPr>
            </w:pPr>
          </w:p>
        </w:tc>
        <w:tc>
          <w:tcPr>
            <w:tcW w:w="1104" w:type="pct"/>
            <w:shd w:val="clear" w:color="auto" w:fill="auto"/>
            <w:vAlign w:val="center"/>
          </w:tcPr>
          <w:p>
            <w:pPr>
              <w:jc w:val="center"/>
              <w:rPr>
                <w:rFonts w:cs="宋体" w:asciiTheme="minorEastAsia" w:hAnsiTheme="minorEastAsia" w:eastAsiaTheme="minorEastAsia"/>
                <w:color w:val="auto"/>
                <w:szCs w:val="21"/>
                <w:highlight w:val="none"/>
              </w:rPr>
            </w:pPr>
          </w:p>
        </w:tc>
        <w:tc>
          <w:tcPr>
            <w:tcW w:w="367" w:type="pct"/>
            <w:shd w:val="clear" w:color="auto" w:fill="auto"/>
            <w:vAlign w:val="center"/>
          </w:tcPr>
          <w:p>
            <w:pPr>
              <w:jc w:val="center"/>
              <w:rPr>
                <w:rFonts w:cs="宋体" w:asciiTheme="minorEastAsia" w:hAnsiTheme="minorEastAsia" w:eastAsiaTheme="minorEastAsia"/>
                <w:color w:val="auto"/>
                <w:szCs w:val="21"/>
                <w:highlight w:val="none"/>
              </w:rPr>
            </w:pPr>
          </w:p>
        </w:tc>
        <w:tc>
          <w:tcPr>
            <w:tcW w:w="442"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4.</w:t>
            </w:r>
          </w:p>
        </w:tc>
        <w:tc>
          <w:tcPr>
            <w:tcW w:w="956" w:type="pct"/>
            <w:shd w:val="clear" w:color="auto" w:fill="auto"/>
            <w:vAlign w:val="center"/>
          </w:tcPr>
          <w:p>
            <w:pPr>
              <w:jc w:val="center"/>
              <w:rPr>
                <w:rFonts w:cs="宋体" w:asciiTheme="minorEastAsia" w:hAnsiTheme="minorEastAsia" w:eastAsiaTheme="minorEastAsia"/>
                <w:snapToGrid w:val="0"/>
                <w:color w:val="auto"/>
                <w:szCs w:val="21"/>
                <w:highlight w:val="none"/>
              </w:rPr>
            </w:pPr>
          </w:p>
        </w:tc>
        <w:tc>
          <w:tcPr>
            <w:tcW w:w="1104" w:type="pct"/>
            <w:shd w:val="clear" w:color="auto" w:fill="auto"/>
            <w:vAlign w:val="center"/>
          </w:tcPr>
          <w:p>
            <w:pPr>
              <w:jc w:val="center"/>
              <w:rPr>
                <w:rFonts w:cs="宋体" w:asciiTheme="minorEastAsia" w:hAnsiTheme="minorEastAsia" w:eastAsiaTheme="minorEastAsia"/>
                <w:color w:val="auto"/>
                <w:szCs w:val="21"/>
                <w:highlight w:val="none"/>
              </w:rPr>
            </w:pPr>
          </w:p>
        </w:tc>
        <w:tc>
          <w:tcPr>
            <w:tcW w:w="367" w:type="pct"/>
            <w:shd w:val="clear" w:color="auto" w:fill="auto"/>
            <w:vAlign w:val="center"/>
          </w:tcPr>
          <w:p>
            <w:pPr>
              <w:jc w:val="center"/>
              <w:rPr>
                <w:rFonts w:cs="宋体" w:asciiTheme="minorEastAsia" w:hAnsiTheme="minorEastAsia" w:eastAsiaTheme="minorEastAsia"/>
                <w:color w:val="auto"/>
                <w:szCs w:val="21"/>
                <w:highlight w:val="none"/>
              </w:rPr>
            </w:pPr>
          </w:p>
        </w:tc>
        <w:tc>
          <w:tcPr>
            <w:tcW w:w="442"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5.</w:t>
            </w:r>
          </w:p>
        </w:tc>
        <w:tc>
          <w:tcPr>
            <w:tcW w:w="956" w:type="pct"/>
            <w:shd w:val="clear" w:color="auto" w:fill="auto"/>
            <w:vAlign w:val="center"/>
          </w:tcPr>
          <w:p>
            <w:pPr>
              <w:jc w:val="center"/>
              <w:rPr>
                <w:rFonts w:cs="宋体" w:asciiTheme="minorEastAsia" w:hAnsiTheme="minorEastAsia" w:eastAsiaTheme="minorEastAsia"/>
                <w:snapToGrid w:val="0"/>
                <w:color w:val="auto"/>
                <w:szCs w:val="21"/>
                <w:highlight w:val="none"/>
              </w:rPr>
            </w:pPr>
          </w:p>
        </w:tc>
        <w:tc>
          <w:tcPr>
            <w:tcW w:w="1104" w:type="pct"/>
            <w:shd w:val="clear" w:color="auto" w:fill="auto"/>
            <w:vAlign w:val="center"/>
          </w:tcPr>
          <w:p>
            <w:pPr>
              <w:jc w:val="center"/>
              <w:rPr>
                <w:rFonts w:cs="宋体" w:asciiTheme="minorEastAsia" w:hAnsiTheme="minorEastAsia" w:eastAsiaTheme="minorEastAsia"/>
                <w:color w:val="auto"/>
                <w:szCs w:val="21"/>
                <w:highlight w:val="none"/>
              </w:rPr>
            </w:pPr>
          </w:p>
        </w:tc>
        <w:tc>
          <w:tcPr>
            <w:tcW w:w="367" w:type="pct"/>
            <w:shd w:val="clear" w:color="auto" w:fill="auto"/>
            <w:vAlign w:val="center"/>
          </w:tcPr>
          <w:p>
            <w:pPr>
              <w:jc w:val="center"/>
              <w:rPr>
                <w:rFonts w:cs="宋体" w:asciiTheme="minorEastAsia" w:hAnsiTheme="minorEastAsia" w:eastAsiaTheme="minorEastAsia"/>
                <w:color w:val="auto"/>
                <w:szCs w:val="21"/>
                <w:highlight w:val="none"/>
              </w:rPr>
            </w:pPr>
          </w:p>
        </w:tc>
        <w:tc>
          <w:tcPr>
            <w:tcW w:w="442"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6.</w:t>
            </w:r>
          </w:p>
        </w:tc>
        <w:tc>
          <w:tcPr>
            <w:tcW w:w="956" w:type="pct"/>
            <w:shd w:val="clear" w:color="auto" w:fill="auto"/>
            <w:vAlign w:val="center"/>
          </w:tcPr>
          <w:p>
            <w:pPr>
              <w:jc w:val="center"/>
              <w:rPr>
                <w:rFonts w:cs="宋体" w:asciiTheme="minorEastAsia" w:hAnsiTheme="minorEastAsia" w:eastAsiaTheme="minorEastAsia"/>
                <w:snapToGrid w:val="0"/>
                <w:color w:val="auto"/>
                <w:szCs w:val="21"/>
                <w:highlight w:val="none"/>
              </w:rPr>
            </w:pPr>
          </w:p>
        </w:tc>
        <w:tc>
          <w:tcPr>
            <w:tcW w:w="1104" w:type="pct"/>
            <w:shd w:val="clear" w:color="auto" w:fill="auto"/>
            <w:vAlign w:val="center"/>
          </w:tcPr>
          <w:p>
            <w:pPr>
              <w:jc w:val="center"/>
              <w:rPr>
                <w:rFonts w:cs="宋体" w:asciiTheme="minorEastAsia" w:hAnsiTheme="minorEastAsia" w:eastAsiaTheme="minorEastAsia"/>
                <w:color w:val="auto"/>
                <w:szCs w:val="21"/>
                <w:highlight w:val="none"/>
              </w:rPr>
            </w:pPr>
          </w:p>
        </w:tc>
        <w:tc>
          <w:tcPr>
            <w:tcW w:w="367" w:type="pct"/>
            <w:shd w:val="clear" w:color="auto" w:fill="auto"/>
            <w:vAlign w:val="center"/>
          </w:tcPr>
          <w:p>
            <w:pPr>
              <w:jc w:val="center"/>
              <w:rPr>
                <w:rFonts w:cs="宋体" w:asciiTheme="minorEastAsia" w:hAnsiTheme="minorEastAsia" w:eastAsiaTheme="minorEastAsia"/>
                <w:color w:val="auto"/>
                <w:szCs w:val="21"/>
                <w:highlight w:val="none"/>
              </w:rPr>
            </w:pPr>
          </w:p>
        </w:tc>
        <w:tc>
          <w:tcPr>
            <w:tcW w:w="442"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7.</w:t>
            </w:r>
          </w:p>
        </w:tc>
        <w:tc>
          <w:tcPr>
            <w:tcW w:w="956" w:type="pct"/>
            <w:shd w:val="clear" w:color="auto" w:fill="auto"/>
            <w:vAlign w:val="center"/>
          </w:tcPr>
          <w:p>
            <w:pPr>
              <w:jc w:val="center"/>
              <w:rPr>
                <w:rFonts w:cs="宋体" w:asciiTheme="minorEastAsia" w:hAnsiTheme="minorEastAsia" w:eastAsiaTheme="minorEastAsia"/>
                <w:color w:val="auto"/>
                <w:szCs w:val="21"/>
                <w:highlight w:val="none"/>
              </w:rPr>
            </w:pPr>
          </w:p>
        </w:tc>
        <w:tc>
          <w:tcPr>
            <w:tcW w:w="1104" w:type="pct"/>
            <w:shd w:val="clear" w:color="auto" w:fill="auto"/>
            <w:vAlign w:val="center"/>
          </w:tcPr>
          <w:p>
            <w:pPr>
              <w:jc w:val="center"/>
              <w:rPr>
                <w:rFonts w:cs="宋体" w:asciiTheme="minorEastAsia" w:hAnsiTheme="minorEastAsia" w:eastAsiaTheme="minorEastAsia"/>
                <w:color w:val="auto"/>
                <w:szCs w:val="21"/>
                <w:highlight w:val="none"/>
              </w:rPr>
            </w:pPr>
          </w:p>
        </w:tc>
        <w:tc>
          <w:tcPr>
            <w:tcW w:w="367" w:type="pct"/>
            <w:shd w:val="clear" w:color="auto" w:fill="auto"/>
            <w:vAlign w:val="center"/>
          </w:tcPr>
          <w:p>
            <w:pPr>
              <w:jc w:val="center"/>
              <w:rPr>
                <w:rFonts w:cs="宋体" w:asciiTheme="minorEastAsia" w:hAnsiTheme="minorEastAsia" w:eastAsiaTheme="minorEastAsia"/>
                <w:color w:val="auto"/>
                <w:szCs w:val="21"/>
                <w:highlight w:val="none"/>
              </w:rPr>
            </w:pPr>
          </w:p>
        </w:tc>
        <w:tc>
          <w:tcPr>
            <w:tcW w:w="442"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8.</w:t>
            </w:r>
          </w:p>
        </w:tc>
        <w:tc>
          <w:tcPr>
            <w:tcW w:w="956" w:type="pct"/>
            <w:shd w:val="clear" w:color="auto" w:fill="auto"/>
            <w:vAlign w:val="center"/>
          </w:tcPr>
          <w:p>
            <w:pPr>
              <w:jc w:val="center"/>
              <w:rPr>
                <w:rFonts w:cs="宋体" w:asciiTheme="minorEastAsia" w:hAnsiTheme="minorEastAsia" w:eastAsiaTheme="minorEastAsia"/>
                <w:snapToGrid w:val="0"/>
                <w:color w:val="auto"/>
                <w:szCs w:val="21"/>
                <w:highlight w:val="none"/>
              </w:rPr>
            </w:pPr>
          </w:p>
        </w:tc>
        <w:tc>
          <w:tcPr>
            <w:tcW w:w="1104" w:type="pct"/>
            <w:shd w:val="clear" w:color="auto" w:fill="auto"/>
            <w:vAlign w:val="center"/>
          </w:tcPr>
          <w:p>
            <w:pPr>
              <w:jc w:val="center"/>
              <w:rPr>
                <w:rFonts w:cs="宋体" w:asciiTheme="minorEastAsia" w:hAnsiTheme="minorEastAsia" w:eastAsiaTheme="minorEastAsia"/>
                <w:b/>
                <w:snapToGrid w:val="0"/>
                <w:color w:val="auto"/>
                <w:szCs w:val="21"/>
                <w:highlight w:val="none"/>
              </w:rPr>
            </w:pPr>
          </w:p>
        </w:tc>
        <w:tc>
          <w:tcPr>
            <w:tcW w:w="367" w:type="pct"/>
            <w:shd w:val="clear" w:color="auto" w:fill="auto"/>
            <w:vAlign w:val="center"/>
          </w:tcPr>
          <w:p>
            <w:pPr>
              <w:jc w:val="center"/>
              <w:rPr>
                <w:rFonts w:cs="宋体" w:asciiTheme="minorEastAsia" w:hAnsiTheme="minorEastAsia" w:eastAsiaTheme="minorEastAsia"/>
                <w:color w:val="auto"/>
                <w:szCs w:val="21"/>
                <w:highlight w:val="none"/>
              </w:rPr>
            </w:pPr>
          </w:p>
        </w:tc>
        <w:tc>
          <w:tcPr>
            <w:tcW w:w="442"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9.</w:t>
            </w:r>
          </w:p>
        </w:tc>
        <w:tc>
          <w:tcPr>
            <w:tcW w:w="956" w:type="pct"/>
            <w:shd w:val="clear" w:color="auto" w:fill="auto"/>
            <w:vAlign w:val="center"/>
          </w:tcPr>
          <w:p>
            <w:pPr>
              <w:jc w:val="center"/>
              <w:rPr>
                <w:rFonts w:cs="宋体" w:asciiTheme="minorEastAsia" w:hAnsiTheme="minorEastAsia" w:eastAsiaTheme="minorEastAsia"/>
                <w:snapToGrid w:val="0"/>
                <w:color w:val="auto"/>
                <w:szCs w:val="21"/>
                <w:highlight w:val="none"/>
              </w:rPr>
            </w:pPr>
          </w:p>
        </w:tc>
        <w:tc>
          <w:tcPr>
            <w:tcW w:w="1104" w:type="pct"/>
            <w:shd w:val="clear" w:color="auto" w:fill="auto"/>
            <w:vAlign w:val="center"/>
          </w:tcPr>
          <w:p>
            <w:pPr>
              <w:jc w:val="center"/>
              <w:rPr>
                <w:rFonts w:cs="宋体" w:asciiTheme="minorEastAsia" w:hAnsiTheme="minorEastAsia" w:eastAsiaTheme="minorEastAsia"/>
                <w:color w:val="auto"/>
                <w:szCs w:val="21"/>
                <w:highlight w:val="none"/>
              </w:rPr>
            </w:pPr>
          </w:p>
        </w:tc>
        <w:tc>
          <w:tcPr>
            <w:tcW w:w="367" w:type="pct"/>
            <w:shd w:val="clear" w:color="auto" w:fill="auto"/>
            <w:vAlign w:val="center"/>
          </w:tcPr>
          <w:p>
            <w:pPr>
              <w:jc w:val="center"/>
              <w:rPr>
                <w:rFonts w:cs="宋体" w:asciiTheme="minorEastAsia" w:hAnsiTheme="minorEastAsia" w:eastAsiaTheme="minorEastAsia"/>
                <w:color w:val="auto"/>
                <w:szCs w:val="21"/>
                <w:highlight w:val="none"/>
              </w:rPr>
            </w:pPr>
          </w:p>
        </w:tc>
        <w:tc>
          <w:tcPr>
            <w:tcW w:w="442"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10.</w:t>
            </w:r>
          </w:p>
        </w:tc>
        <w:tc>
          <w:tcPr>
            <w:tcW w:w="956" w:type="pct"/>
            <w:shd w:val="clear" w:color="auto" w:fill="auto"/>
            <w:vAlign w:val="center"/>
          </w:tcPr>
          <w:p>
            <w:pPr>
              <w:jc w:val="center"/>
              <w:rPr>
                <w:rFonts w:cs="宋体" w:asciiTheme="minorEastAsia" w:hAnsiTheme="minorEastAsia" w:eastAsiaTheme="minorEastAsia"/>
                <w:snapToGrid w:val="0"/>
                <w:color w:val="auto"/>
                <w:szCs w:val="21"/>
                <w:highlight w:val="none"/>
              </w:rPr>
            </w:pPr>
          </w:p>
        </w:tc>
        <w:tc>
          <w:tcPr>
            <w:tcW w:w="1104" w:type="pct"/>
            <w:shd w:val="clear" w:color="auto" w:fill="auto"/>
            <w:vAlign w:val="center"/>
          </w:tcPr>
          <w:p>
            <w:pPr>
              <w:jc w:val="center"/>
              <w:rPr>
                <w:rFonts w:cs="宋体" w:asciiTheme="minorEastAsia" w:hAnsiTheme="minorEastAsia" w:eastAsiaTheme="minorEastAsia"/>
                <w:b/>
                <w:snapToGrid w:val="0"/>
                <w:color w:val="auto"/>
                <w:szCs w:val="21"/>
                <w:highlight w:val="none"/>
              </w:rPr>
            </w:pPr>
          </w:p>
        </w:tc>
        <w:tc>
          <w:tcPr>
            <w:tcW w:w="367" w:type="pct"/>
            <w:shd w:val="clear" w:color="auto" w:fill="auto"/>
            <w:vAlign w:val="center"/>
          </w:tcPr>
          <w:p>
            <w:pPr>
              <w:jc w:val="center"/>
              <w:rPr>
                <w:rFonts w:cs="宋体" w:asciiTheme="minorEastAsia" w:hAnsiTheme="minorEastAsia" w:eastAsiaTheme="minorEastAsia"/>
                <w:b/>
                <w:snapToGrid w:val="0"/>
                <w:color w:val="auto"/>
                <w:szCs w:val="21"/>
                <w:highlight w:val="none"/>
              </w:rPr>
            </w:pPr>
          </w:p>
        </w:tc>
        <w:tc>
          <w:tcPr>
            <w:tcW w:w="442"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c>
          <w:tcPr>
            <w:tcW w:w="588" w:type="pct"/>
            <w:shd w:val="clear" w:color="auto" w:fill="auto"/>
            <w:vAlign w:val="center"/>
          </w:tcPr>
          <w:p>
            <w:pPr>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4412" w:type="pct"/>
            <w:gridSpan w:val="7"/>
            <w:shd w:val="clear" w:color="auto" w:fill="auto"/>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合计（含税）：</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合计（不含税）：</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税金：</w:t>
            </w:r>
          </w:p>
        </w:tc>
        <w:tc>
          <w:tcPr>
            <w:tcW w:w="588" w:type="pct"/>
            <w:shd w:val="clear" w:color="auto" w:fill="auto"/>
            <w:vAlign w:val="center"/>
          </w:tcPr>
          <w:p>
            <w:pPr>
              <w:jc w:val="left"/>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8"/>
            <w:shd w:val="clear" w:color="auto" w:fill="auto"/>
            <w:vAlign w:val="center"/>
          </w:tcPr>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供应商（盖单位公章）：</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8"/>
            <w:shd w:val="clear" w:color="auto" w:fill="auto"/>
            <w:vAlign w:val="center"/>
          </w:tcPr>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法定代表人或其委托代理人（签字或盖章）：</w:t>
            </w:r>
          </w:p>
        </w:tc>
      </w:tr>
    </w:tbl>
    <w:p>
      <w:pPr>
        <w:rPr>
          <w:rFonts w:cs="Courier New" w:asciiTheme="minorEastAsia" w:hAnsiTheme="minorEastAsia" w:eastAsiaTheme="minorEastAsia"/>
          <w:b/>
          <w:color w:val="auto"/>
          <w:spacing w:val="20"/>
          <w:szCs w:val="21"/>
          <w:highlight w:val="none"/>
        </w:rPr>
      </w:pPr>
      <w:r>
        <w:rPr>
          <w:rFonts w:hint="eastAsia" w:cs="Courier New" w:asciiTheme="minorEastAsia" w:hAnsiTheme="minorEastAsia" w:eastAsiaTheme="minorEastAsia"/>
          <w:b/>
          <w:color w:val="auto"/>
          <w:spacing w:val="20"/>
          <w:szCs w:val="21"/>
          <w:highlight w:val="none"/>
        </w:rPr>
        <w:t>注：</w:t>
      </w:r>
    </w:p>
    <w:p>
      <w:pPr>
        <w:spacing w:line="360" w:lineRule="auto"/>
        <w:rPr>
          <w:rFonts w:cs="Courier New" w:asciiTheme="minorEastAsia" w:hAnsiTheme="minorEastAsia" w:eastAsiaTheme="minorEastAsia"/>
          <w:color w:val="auto"/>
          <w:szCs w:val="21"/>
          <w:highlight w:val="none"/>
        </w:rPr>
      </w:pPr>
      <w:r>
        <w:rPr>
          <w:rFonts w:cs="Courier New" w:asciiTheme="minorEastAsia" w:hAnsiTheme="minorEastAsia" w:eastAsiaTheme="minorEastAsia"/>
          <w:color w:val="auto"/>
          <w:szCs w:val="21"/>
          <w:highlight w:val="none"/>
        </w:rPr>
        <w:t>1</w:t>
      </w:r>
      <w:r>
        <w:rPr>
          <w:rFonts w:hint="eastAsia" w:cs="Courier New" w:asciiTheme="minorEastAsia" w:hAnsiTheme="minorEastAsia" w:eastAsiaTheme="minorEastAsia"/>
          <w:color w:val="auto"/>
          <w:szCs w:val="21"/>
          <w:highlight w:val="none"/>
        </w:rPr>
        <w:t>）请参考第三章提供的“采购需求”的内容填写本表；如有漏项或缺项，均由供应商承担。供应商应逐项计算并填写单价、合价和总价，供应商没有填写单价和合价的项目将被认为此项目所涉及的全部费用已包含在其他分项报价及响应总价中。</w:t>
      </w:r>
    </w:p>
    <w:p>
      <w:pPr>
        <w:spacing w:line="360" w:lineRule="auto"/>
        <w:rPr>
          <w:rFonts w:cs="Courier New" w:asciiTheme="minorEastAsia" w:hAnsiTheme="minorEastAsia" w:eastAsiaTheme="minorEastAsia"/>
          <w:color w:val="auto"/>
          <w:szCs w:val="21"/>
          <w:highlight w:val="none"/>
        </w:rPr>
      </w:pPr>
      <w:r>
        <w:rPr>
          <w:rFonts w:cs="Courier New" w:asciiTheme="minorEastAsia" w:hAnsiTheme="minorEastAsia" w:eastAsiaTheme="minorEastAsia"/>
          <w:color w:val="auto"/>
          <w:szCs w:val="21"/>
          <w:highlight w:val="none"/>
        </w:rPr>
        <w:t>2</w:t>
      </w:r>
      <w:r>
        <w:rPr>
          <w:rFonts w:hint="eastAsia" w:cs="Courier New" w:asciiTheme="minorEastAsia" w:hAnsiTheme="minorEastAsia" w:eastAsiaTheme="minorEastAsia"/>
          <w:color w:val="auto"/>
          <w:szCs w:val="21"/>
          <w:highlight w:val="none"/>
        </w:rPr>
        <w:t>）表格内容均需按要求填写并盖章，不得留空，否则按响应无效处理；</w:t>
      </w:r>
    </w:p>
    <w:p>
      <w:pPr>
        <w:spacing w:line="360" w:lineRule="auto"/>
        <w:rPr>
          <w:rFonts w:cs="Courier New" w:asciiTheme="minorEastAsia" w:hAnsiTheme="minorEastAsia" w:eastAsiaTheme="minorEastAsia"/>
          <w:color w:val="auto"/>
          <w:szCs w:val="21"/>
          <w:highlight w:val="none"/>
        </w:rPr>
      </w:pPr>
      <w:r>
        <w:rPr>
          <w:rFonts w:cs="Courier New" w:asciiTheme="minorEastAsia" w:hAnsiTheme="minorEastAsia" w:eastAsiaTheme="minorEastAsia"/>
          <w:color w:val="auto"/>
          <w:szCs w:val="21"/>
          <w:highlight w:val="none"/>
        </w:rPr>
        <w:t>3</w:t>
      </w:r>
      <w:r>
        <w:rPr>
          <w:rFonts w:hint="eastAsia" w:cs="Courier New" w:asciiTheme="minorEastAsia" w:hAnsiTheme="minorEastAsia" w:eastAsiaTheme="minorEastAsia"/>
          <w:color w:val="auto"/>
          <w:szCs w:val="21"/>
          <w:highlight w:val="none"/>
        </w:rPr>
        <w:t>）供应商应认真复核报价表中所有单价、合价和总价的一致性，保证响应报价的正确性；</w:t>
      </w:r>
    </w:p>
    <w:p>
      <w:pPr>
        <w:pStyle w:val="4"/>
        <w:rPr>
          <w:rFonts w:asciiTheme="minorEastAsia" w:hAnsiTheme="minorEastAsia" w:eastAsiaTheme="minorEastAsia"/>
          <w:bCs w:val="0"/>
          <w:color w:val="auto"/>
          <w:highlight w:val="none"/>
          <w:u w:val="none"/>
        </w:rPr>
      </w:pPr>
      <w:r>
        <w:rPr>
          <w:rFonts w:cs="Courier New" w:asciiTheme="minorEastAsia" w:hAnsiTheme="minorEastAsia" w:eastAsiaTheme="minorEastAsia"/>
          <w:color w:val="auto"/>
          <w:sz w:val="21"/>
          <w:szCs w:val="21"/>
          <w:highlight w:val="none"/>
        </w:rPr>
        <w:br w:type="page"/>
      </w:r>
      <w:r>
        <w:rPr>
          <w:rFonts w:hint="eastAsia" w:asciiTheme="minorEastAsia" w:hAnsiTheme="minorEastAsia" w:eastAsiaTheme="minorEastAsia"/>
          <w:bCs w:val="0"/>
          <w:color w:val="auto"/>
          <w:highlight w:val="none"/>
          <w:u w:val="none"/>
        </w:rPr>
        <w:t>附件</w:t>
      </w:r>
      <w:r>
        <w:rPr>
          <w:rFonts w:asciiTheme="minorEastAsia" w:hAnsiTheme="minorEastAsia" w:eastAsiaTheme="minorEastAsia"/>
          <w:bCs w:val="0"/>
          <w:color w:val="auto"/>
          <w:highlight w:val="none"/>
          <w:u w:val="none"/>
        </w:rPr>
        <w:t xml:space="preserve">1-5 </w:t>
      </w:r>
      <w:r>
        <w:rPr>
          <w:rFonts w:hint="eastAsia" w:asciiTheme="minorEastAsia" w:hAnsiTheme="minorEastAsia" w:eastAsiaTheme="minorEastAsia"/>
          <w:bCs w:val="0"/>
          <w:color w:val="auto"/>
          <w:highlight w:val="none"/>
          <w:u w:val="none"/>
        </w:rPr>
        <w:t>供应商针对报价需要说明的其他文件和说明（没有可不填）</w:t>
      </w:r>
    </w:p>
    <w:p>
      <w:pPr>
        <w:rPr>
          <w:rFonts w:cs="Courier New" w:asciiTheme="minorEastAsia" w:hAnsiTheme="minorEastAsia" w:eastAsiaTheme="minorEastAsia"/>
          <w:color w:val="auto"/>
          <w:szCs w:val="21"/>
          <w:highlight w:val="none"/>
        </w:rPr>
      </w:pPr>
      <w:r>
        <w:rPr>
          <w:rFonts w:cs="Courier New" w:asciiTheme="minorEastAsia" w:hAnsiTheme="minorEastAsia" w:eastAsiaTheme="minorEastAsia"/>
          <w:color w:val="auto"/>
          <w:szCs w:val="21"/>
          <w:highlight w:val="none"/>
        </w:rPr>
        <w:br w:type="page"/>
      </w:r>
    </w:p>
    <w:p>
      <w:pPr>
        <w:pStyle w:val="11"/>
        <w:rPr>
          <w:rFonts w:asciiTheme="minorEastAsia" w:hAnsiTheme="minorEastAsia" w:eastAsiaTheme="minorEastAsia"/>
          <w:color w:val="auto"/>
          <w:highlight w:val="none"/>
        </w:rPr>
      </w:pPr>
    </w:p>
    <w:p>
      <w:pPr>
        <w:snapToGrid w:val="0"/>
        <w:spacing w:before="120" w:beforeLines="50" w:after="50" w:line="500" w:lineRule="exact"/>
        <w:rPr>
          <w:rFonts w:asciiTheme="minorEastAsia" w:hAnsiTheme="minorEastAsia" w:eastAsiaTheme="minorEastAsia"/>
          <w:b/>
          <w:bCs/>
          <w:color w:val="auto"/>
          <w:sz w:val="44"/>
          <w:szCs w:val="44"/>
          <w:highlight w:val="none"/>
        </w:rPr>
      </w:pPr>
      <w:r>
        <w:rPr>
          <w:rFonts w:asciiTheme="minorEastAsia" w:hAnsiTheme="minorEastAsia" w:eastAsiaTheme="minorEastAsia"/>
          <w:color w:val="auto"/>
          <w:highlight w:val="none"/>
        </w:rPr>
        <w:t xml:space="preserve">                                                 </w:t>
      </w:r>
      <w:r>
        <w:rPr>
          <w:rFonts w:asciiTheme="minorEastAsia" w:hAnsiTheme="minorEastAsia" w:eastAsiaTheme="minorEastAsia"/>
          <w:b/>
          <w:color w:val="auto"/>
          <w:sz w:val="28"/>
          <w:szCs w:val="28"/>
          <w:highlight w:val="none"/>
        </w:rPr>
        <w:t xml:space="preserve">   </w:t>
      </w:r>
    </w:p>
    <w:p>
      <w:pPr>
        <w:snapToGrid w:val="0"/>
        <w:spacing w:before="120" w:beforeLines="50" w:after="50" w:line="1000" w:lineRule="exact"/>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资格</w:t>
      </w:r>
      <w:r>
        <w:rPr>
          <w:rFonts w:asciiTheme="minorEastAsia" w:hAnsiTheme="minorEastAsia" w:eastAsiaTheme="minorEastAsia"/>
          <w:b/>
          <w:bCs/>
          <w:color w:val="auto"/>
          <w:sz w:val="72"/>
          <w:szCs w:val="72"/>
          <w:highlight w:val="none"/>
        </w:rPr>
        <w:t>/商务文件</w:t>
      </w: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项目名称：</w:t>
      </w:r>
      <w:r>
        <w:rPr>
          <w:rFonts w:asciiTheme="minorEastAsia" w:hAnsiTheme="minorEastAsia" w:eastAsiaTheme="minorEastAsia"/>
          <w:b/>
          <w:bCs/>
          <w:color w:val="auto"/>
          <w:sz w:val="32"/>
          <w:szCs w:val="32"/>
          <w:highlight w:val="none"/>
        </w:rPr>
        <w:t xml:space="preserve"> </w:t>
      </w: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项目编号：</w:t>
      </w:r>
      <w:r>
        <w:rPr>
          <w:rFonts w:asciiTheme="minorEastAsia" w:hAnsiTheme="minorEastAsia" w:eastAsiaTheme="minorEastAsia"/>
          <w:b/>
          <w:bCs/>
          <w:color w:val="auto"/>
          <w:sz w:val="32"/>
          <w:szCs w:val="32"/>
          <w:highlight w:val="none"/>
        </w:rPr>
        <w:t xml:space="preserve"> </w:t>
      </w: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供应商名称：</w:t>
      </w:r>
    </w:p>
    <w:p>
      <w:pPr>
        <w:snapToGrid w:val="0"/>
        <w:spacing w:before="120"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供应商地址：</w:t>
      </w:r>
    </w:p>
    <w:p>
      <w:pPr>
        <w:snapToGrid w:val="0"/>
        <w:spacing w:before="120" w:beforeLines="50" w:after="50" w:line="500" w:lineRule="exact"/>
        <w:ind w:firstLine="645"/>
        <w:jc w:val="center"/>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 xml:space="preserve">                 </w:t>
      </w:r>
    </w:p>
    <w:p>
      <w:pPr>
        <w:snapToGrid w:val="0"/>
        <w:spacing w:before="120" w:beforeLines="50" w:after="50" w:line="500" w:lineRule="exact"/>
        <w:ind w:firstLine="645"/>
        <w:jc w:val="center"/>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 xml:space="preserve">              年  </w:t>
      </w:r>
      <w:r>
        <w:rPr>
          <w:rFonts w:hint="eastAsia" w:asciiTheme="minorEastAsia" w:hAnsiTheme="minorEastAsia" w:eastAsiaTheme="minorEastAsia"/>
          <w:b/>
          <w:color w:val="auto"/>
          <w:sz w:val="32"/>
          <w:szCs w:val="32"/>
          <w:highlight w:val="none"/>
        </w:rPr>
        <w:t>月</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日</w:t>
      </w:r>
    </w:p>
    <w:p>
      <w:pPr>
        <w:pStyle w:val="4"/>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color w:val="auto"/>
          <w:highlight w:val="none"/>
          <w:u w:val="none"/>
        </w:rPr>
        <w:t>资格</w:t>
      </w:r>
      <w:r>
        <w:rPr>
          <w:rFonts w:asciiTheme="minorEastAsia" w:hAnsiTheme="minorEastAsia" w:eastAsiaTheme="minorEastAsia"/>
          <w:color w:val="auto"/>
          <w:highlight w:val="none"/>
          <w:u w:val="none"/>
        </w:rPr>
        <w:t>\商务文件目录</w:t>
      </w:r>
    </w:p>
    <w:p>
      <w:pPr>
        <w:snapToGrid w:val="0"/>
        <w:spacing w:before="120" w:beforeLines="50" w:after="50" w:line="320" w:lineRule="exact"/>
        <w:jc w:val="left"/>
        <w:rPr>
          <w:rFonts w:cs="Courier New" w:asciiTheme="minorEastAsia" w:hAnsiTheme="minorEastAsia" w:eastAsiaTheme="minorEastAsia"/>
          <w:color w:val="auto"/>
          <w:szCs w:val="21"/>
          <w:highlight w:val="none"/>
        </w:rPr>
      </w:pPr>
      <w:r>
        <w:rPr>
          <w:rFonts w:cs="Courier New" w:asciiTheme="minorEastAsia" w:hAnsiTheme="minorEastAsia" w:eastAsiaTheme="minorEastAsia"/>
          <w:color w:val="auto"/>
          <w:szCs w:val="21"/>
          <w:highlight w:val="none"/>
        </w:rPr>
        <w:t xml:space="preserve">    </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法定代表人资格证书（格式见附件</w:t>
      </w:r>
      <w:r>
        <w:rPr>
          <w:rFonts w:cs="宋体" w:asciiTheme="minorEastAsia" w:hAnsiTheme="minorEastAsia" w:eastAsiaTheme="minorEastAsia"/>
          <w:color w:val="auto"/>
          <w:szCs w:val="21"/>
          <w:highlight w:val="none"/>
        </w:rPr>
        <w:t>1-1）</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2）授权委托书（格式见附件1-2）</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供应商的承诺函（格式见附件</w:t>
      </w:r>
      <w:r>
        <w:rPr>
          <w:rFonts w:cs="宋体" w:asciiTheme="minorEastAsia" w:hAnsiTheme="minorEastAsia" w:eastAsiaTheme="minorEastAsia"/>
          <w:color w:val="auto"/>
          <w:szCs w:val="21"/>
          <w:highlight w:val="none"/>
        </w:rPr>
        <w:t>1-3）；</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4）廉洁承诺书（（格式见附件1-4）；</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供应商企业营业执照（格式见附件</w:t>
      </w:r>
      <w:r>
        <w:rPr>
          <w:rFonts w:cs="宋体" w:asciiTheme="minorEastAsia" w:hAnsiTheme="minorEastAsia" w:eastAsiaTheme="minorEastAsia"/>
          <w:color w:val="auto"/>
          <w:szCs w:val="21"/>
          <w:highlight w:val="none"/>
        </w:rPr>
        <w:t>1-5）；</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6）供应商基本情况表（格式见附件1-6）；</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7）供应商</w:t>
      </w:r>
      <w:r>
        <w:rPr>
          <w:rFonts w:hint="eastAsia" w:cs="宋体" w:asciiTheme="minorEastAsia" w:hAnsiTheme="minorEastAsia" w:eastAsiaTheme="minorEastAsia"/>
          <w:color w:val="auto"/>
          <w:szCs w:val="21"/>
          <w:highlight w:val="none"/>
          <w:lang w:eastAsia="zh-CN"/>
        </w:rPr>
        <w:t>锅炉炉膛检修升降平台</w:t>
      </w:r>
      <w:r>
        <w:rPr>
          <w:rFonts w:hint="eastAsia" w:cs="宋体" w:asciiTheme="minorEastAsia" w:hAnsiTheme="minorEastAsia" w:eastAsiaTheme="minorEastAsia"/>
          <w:color w:val="auto"/>
          <w:szCs w:val="21"/>
          <w:highlight w:val="none"/>
        </w:rPr>
        <w:t>项目业绩（格式见附件</w:t>
      </w:r>
      <w:r>
        <w:rPr>
          <w:rFonts w:cs="宋体" w:asciiTheme="minorEastAsia" w:hAnsiTheme="minorEastAsia" w:eastAsiaTheme="minorEastAsia"/>
          <w:color w:val="auto"/>
          <w:szCs w:val="21"/>
          <w:highlight w:val="none"/>
        </w:rPr>
        <w:t>1-7）；</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）响应声明书（格式见附件</w:t>
      </w:r>
      <w:r>
        <w:rPr>
          <w:rFonts w:cs="宋体" w:asciiTheme="minorEastAsia" w:hAnsiTheme="minorEastAsia" w:eastAsiaTheme="minorEastAsia"/>
          <w:color w:val="auto"/>
          <w:szCs w:val="21"/>
          <w:highlight w:val="none"/>
        </w:rPr>
        <w:t>1-8</w:t>
      </w:r>
      <w:r>
        <w:rPr>
          <w:rFonts w:hint="eastAsia" w:cs="宋体" w:asciiTheme="minorEastAsia" w:hAnsiTheme="minorEastAsia" w:eastAsiaTheme="minorEastAsia"/>
          <w:color w:val="auto"/>
          <w:szCs w:val="21"/>
          <w:highlight w:val="none"/>
        </w:rPr>
        <w:t>）；</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）售后服务承诺书（格式见附件</w:t>
      </w:r>
      <w:r>
        <w:rPr>
          <w:rFonts w:cs="宋体" w:asciiTheme="minorEastAsia" w:hAnsiTheme="minorEastAsia" w:eastAsiaTheme="minorEastAsia"/>
          <w:color w:val="auto"/>
          <w:szCs w:val="21"/>
          <w:highlight w:val="none"/>
        </w:rPr>
        <w:t>1-9</w:t>
      </w:r>
      <w:r>
        <w:rPr>
          <w:rFonts w:hint="eastAsia" w:cs="宋体" w:asciiTheme="minorEastAsia" w:hAnsiTheme="minorEastAsia" w:eastAsiaTheme="minorEastAsia"/>
          <w:color w:val="auto"/>
          <w:szCs w:val="21"/>
          <w:highlight w:val="none"/>
        </w:rPr>
        <w:t>）；</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10</w:t>
      </w:r>
      <w:r>
        <w:rPr>
          <w:rFonts w:hint="eastAsia" w:cs="宋体" w:asciiTheme="minorEastAsia" w:hAnsiTheme="minorEastAsia" w:eastAsiaTheme="minorEastAsia"/>
          <w:color w:val="auto"/>
          <w:szCs w:val="21"/>
          <w:highlight w:val="none"/>
        </w:rPr>
        <w:t>）商务条款偏离表（格式见附件</w:t>
      </w:r>
      <w:r>
        <w:rPr>
          <w:rFonts w:cs="宋体" w:asciiTheme="minorEastAsia" w:hAnsiTheme="minorEastAsia" w:eastAsiaTheme="minorEastAsia"/>
          <w:color w:val="auto"/>
          <w:szCs w:val="21"/>
          <w:highlight w:val="none"/>
        </w:rPr>
        <w:t>1-10</w:t>
      </w:r>
      <w:r>
        <w:rPr>
          <w:rFonts w:hint="eastAsia" w:cs="宋体" w:asciiTheme="minorEastAsia" w:hAnsiTheme="minorEastAsia" w:eastAsiaTheme="minorEastAsia"/>
          <w:color w:val="auto"/>
          <w:szCs w:val="21"/>
          <w:highlight w:val="none"/>
        </w:rPr>
        <w:t>）；</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11</w:t>
      </w:r>
      <w:r>
        <w:rPr>
          <w:rFonts w:hint="eastAsia" w:cs="宋体" w:asciiTheme="minorEastAsia" w:hAnsiTheme="minorEastAsia" w:eastAsiaTheme="minorEastAsia"/>
          <w:color w:val="auto"/>
          <w:szCs w:val="21"/>
          <w:highlight w:val="none"/>
        </w:rPr>
        <w:t>）响应保证金（格式见附件</w:t>
      </w:r>
      <w:r>
        <w:rPr>
          <w:rFonts w:cs="宋体" w:asciiTheme="minorEastAsia" w:hAnsiTheme="minorEastAsia" w:eastAsiaTheme="minorEastAsia"/>
          <w:color w:val="auto"/>
          <w:szCs w:val="21"/>
          <w:highlight w:val="none"/>
        </w:rPr>
        <w:t>1-11</w:t>
      </w:r>
      <w:r>
        <w:rPr>
          <w:rFonts w:hint="eastAsia" w:cs="宋体" w:asciiTheme="minorEastAsia" w:hAnsiTheme="minorEastAsia" w:eastAsiaTheme="minorEastAsia"/>
          <w:color w:val="auto"/>
          <w:szCs w:val="21"/>
          <w:highlight w:val="none"/>
        </w:rPr>
        <w:t>）；</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）供应商资格商务文件的其他要求（格式见附件</w:t>
      </w:r>
      <w:r>
        <w:rPr>
          <w:rFonts w:cs="宋体" w:asciiTheme="minorEastAsia" w:hAnsiTheme="minorEastAsia" w:eastAsiaTheme="minorEastAsia"/>
          <w:color w:val="auto"/>
          <w:szCs w:val="21"/>
          <w:highlight w:val="none"/>
        </w:rPr>
        <w:t>1-12</w:t>
      </w:r>
      <w:r>
        <w:rPr>
          <w:rFonts w:hint="eastAsia" w:cs="宋体" w:asciiTheme="minorEastAsia" w:hAnsiTheme="minorEastAsia" w:eastAsiaTheme="minorEastAsia"/>
          <w:color w:val="auto"/>
          <w:szCs w:val="21"/>
          <w:highlight w:val="none"/>
        </w:rPr>
        <w:t>）；</w:t>
      </w:r>
    </w:p>
    <w:p>
      <w:pPr>
        <w:snapToGrid w:val="0"/>
        <w:spacing w:before="120" w:beforeLines="50" w:after="50" w:line="3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）商务文件（格式见附件</w:t>
      </w:r>
      <w:r>
        <w:rPr>
          <w:rFonts w:cs="宋体" w:asciiTheme="minorEastAsia" w:hAnsiTheme="minorEastAsia" w:eastAsiaTheme="minorEastAsia"/>
          <w:color w:val="auto"/>
          <w:szCs w:val="21"/>
          <w:highlight w:val="none"/>
        </w:rPr>
        <w:t>1-14</w:t>
      </w:r>
      <w:r>
        <w:rPr>
          <w:rFonts w:hint="eastAsia" w:cs="宋体" w:asciiTheme="minorEastAsia" w:hAnsiTheme="minorEastAsia" w:eastAsiaTheme="minorEastAsia"/>
          <w:color w:val="auto"/>
          <w:szCs w:val="21"/>
          <w:highlight w:val="none"/>
        </w:rPr>
        <w:t>）；</w:t>
      </w:r>
    </w:p>
    <w:p>
      <w:pP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pPr>
        <w:pStyle w:val="11"/>
        <w:rPr>
          <w:rFonts w:asciiTheme="minorEastAsia" w:hAnsiTheme="minorEastAsia" w:eastAsiaTheme="minorEastAsia"/>
          <w:color w:val="auto"/>
          <w:szCs w:val="21"/>
          <w:highlight w:val="none"/>
        </w:rPr>
        <w:sectPr>
          <w:pgSz w:w="11906" w:h="16838"/>
          <w:pgMar w:top="1440" w:right="1080" w:bottom="1440" w:left="1080" w:header="851" w:footer="992" w:gutter="0"/>
          <w:cols w:space="720" w:num="1"/>
          <w:docGrid w:linePitch="326" w:charSpace="0"/>
        </w:sectPr>
      </w:pPr>
    </w:p>
    <w:p>
      <w:pPr>
        <w:spacing w:line="360" w:lineRule="auto"/>
        <w:jc w:val="center"/>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32"/>
          <w:szCs w:val="32"/>
          <w:highlight w:val="none"/>
        </w:rPr>
        <w:t>一、资格文件</w:t>
      </w:r>
    </w:p>
    <w:p>
      <w:pPr>
        <w:spacing w:line="360" w:lineRule="auto"/>
        <w:rPr>
          <w:rFonts w:cs="宋体" w:asciiTheme="minorEastAsia" w:hAnsiTheme="minorEastAsia" w:eastAsiaTheme="minorEastAsia"/>
          <w:color w:val="auto"/>
          <w:sz w:val="30"/>
          <w:szCs w:val="30"/>
          <w:highlight w:val="none"/>
        </w:rPr>
      </w:pPr>
      <w:r>
        <w:rPr>
          <w:rFonts w:hint="eastAsia" w:cs="宋体" w:asciiTheme="minorEastAsia" w:hAnsiTheme="minorEastAsia" w:eastAsiaTheme="minorEastAsia"/>
          <w:color w:val="auto"/>
          <w:sz w:val="30"/>
          <w:szCs w:val="30"/>
          <w:highlight w:val="none"/>
        </w:rPr>
        <w:t>附件</w:t>
      </w:r>
      <w:r>
        <w:rPr>
          <w:rFonts w:cs="宋体" w:asciiTheme="minorEastAsia" w:hAnsiTheme="minorEastAsia" w:eastAsiaTheme="minorEastAsia"/>
          <w:color w:val="auto"/>
          <w:sz w:val="30"/>
          <w:szCs w:val="30"/>
          <w:highlight w:val="none"/>
        </w:rPr>
        <w:t>1-1</w:t>
      </w:r>
    </w:p>
    <w:p>
      <w:pPr>
        <w:spacing w:line="360" w:lineRule="auto"/>
        <w:ind w:firstLine="3313" w:firstLineChars="1100"/>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法定代表人资格证书</w:t>
      </w:r>
    </w:p>
    <w:p>
      <w:pPr>
        <w:spacing w:line="360" w:lineRule="auto"/>
        <w:jc w:val="center"/>
        <w:rPr>
          <w:rFonts w:asciiTheme="minorEastAsia" w:hAnsiTheme="minorEastAsia" w:eastAsiaTheme="minorEastAsia"/>
          <w:color w:val="auto"/>
          <w:sz w:val="28"/>
          <w:szCs w:val="28"/>
          <w:highlight w:val="none"/>
        </w:rPr>
      </w:pP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单位名称：</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姓名：</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性别：</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年龄：</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职务：</w:t>
      </w:r>
      <w:r>
        <w:rPr>
          <w:rFonts w:asciiTheme="minorEastAsia" w:hAnsiTheme="minorEastAsia" w:eastAsia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系</w:t>
      </w:r>
      <w:r>
        <w:rPr>
          <w:rFonts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（供应商名称）的法定代表人。为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（项目名称），签署上述项目的报价文件、进行合同谈判、签署合同和处理与之有关的一切事务。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特此证明。</w:t>
      </w:r>
    </w:p>
    <w:p>
      <w:pPr>
        <w:spacing w:line="360" w:lineRule="auto"/>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3045" w:firstLineChars="145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供应商（盖章）：</w:t>
      </w:r>
      <w:r>
        <w:rPr>
          <w:rFonts w:asciiTheme="minorEastAsia" w:hAnsiTheme="minorEastAsia" w:eastAsiaTheme="minorEastAsia"/>
          <w:color w:val="auto"/>
          <w:szCs w:val="21"/>
          <w:highlight w:val="none"/>
          <w:u w:val="single"/>
        </w:rPr>
        <w:t xml:space="preserve">                </w:t>
      </w:r>
    </w:p>
    <w:p>
      <w:pPr>
        <w:spacing w:line="360" w:lineRule="auto"/>
        <w:ind w:firstLine="3045" w:firstLineChars="145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spacing w:line="360" w:lineRule="auto"/>
        <w:ind w:firstLine="315" w:firstLineChars="150"/>
        <w:rPr>
          <w:rFonts w:asciiTheme="minorEastAsia" w:hAnsiTheme="minorEastAsia" w:eastAsiaTheme="minorEastAsia"/>
          <w:color w:val="auto"/>
          <w:szCs w:val="21"/>
          <w:highlight w:val="none"/>
        </w:rPr>
      </w:pP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附：法定代表人身份证复印件</w:t>
      </w:r>
    </w:p>
    <w:p>
      <w:pPr>
        <w:rPr>
          <w:rFonts w:cs="宋体" w:asciiTheme="minorEastAsia" w:hAnsiTheme="minorEastAsia" w:eastAsiaTheme="minorEastAsia"/>
          <w:color w:val="auto"/>
          <w:sz w:val="30"/>
          <w:szCs w:val="30"/>
          <w:highlight w:val="none"/>
        </w:rPr>
      </w:pPr>
      <w:r>
        <w:rPr>
          <w:rFonts w:asciiTheme="minorEastAsia" w:hAnsiTheme="minorEastAsia" w:eastAsiaTheme="minorEastAsia"/>
          <w:color w:val="auto"/>
          <w:sz w:val="28"/>
          <w:szCs w:val="28"/>
          <w:highlight w:val="none"/>
        </w:rPr>
        <w:br w:type="page"/>
      </w:r>
      <w:r>
        <w:rPr>
          <w:rFonts w:hint="eastAsia" w:cs="宋体" w:asciiTheme="minorEastAsia" w:hAnsiTheme="minorEastAsia" w:eastAsiaTheme="minorEastAsia"/>
          <w:color w:val="auto"/>
          <w:sz w:val="30"/>
          <w:szCs w:val="30"/>
          <w:highlight w:val="none"/>
        </w:rPr>
        <w:t>附件</w:t>
      </w:r>
      <w:r>
        <w:rPr>
          <w:rFonts w:cs="宋体" w:asciiTheme="minorEastAsia" w:hAnsiTheme="minorEastAsia" w:eastAsiaTheme="minorEastAsia"/>
          <w:color w:val="auto"/>
          <w:sz w:val="30"/>
          <w:szCs w:val="30"/>
          <w:highlight w:val="none"/>
        </w:rPr>
        <w:t xml:space="preserve">1-2                  </w:t>
      </w:r>
    </w:p>
    <w:p>
      <w:pPr>
        <w:ind w:firstLine="3614" w:firstLineChars="1200"/>
        <w:rPr>
          <w:rFonts w:cs="宋体" w:asciiTheme="minorEastAsia" w:hAnsiTheme="minorEastAsia" w:eastAsiaTheme="minorEastAsia"/>
          <w:b/>
          <w:bCs/>
          <w:color w:val="auto"/>
          <w:sz w:val="30"/>
          <w:szCs w:val="30"/>
          <w:highlight w:val="none"/>
        </w:rPr>
      </w:pPr>
      <w:r>
        <w:rPr>
          <w:rFonts w:cs="宋体" w:asciiTheme="minorEastAsia" w:hAnsiTheme="minorEastAsia" w:eastAsiaTheme="minorEastAsia"/>
          <w:b/>
          <w:bCs/>
          <w:color w:val="auto"/>
          <w:sz w:val="30"/>
          <w:szCs w:val="30"/>
          <w:highlight w:val="none"/>
        </w:rPr>
        <w:t xml:space="preserve"> 授权委托书</w:t>
      </w:r>
    </w:p>
    <w:p>
      <w:pPr>
        <w:rPr>
          <w:rFonts w:asciiTheme="minorEastAsia" w:hAnsiTheme="minorEastAsia" w:eastAsiaTheme="minorEastAsia"/>
          <w:color w:val="auto"/>
          <w:sz w:val="30"/>
          <w:szCs w:val="30"/>
          <w:highlight w:val="none"/>
        </w:rPr>
      </w:pPr>
      <w:r>
        <w:rPr>
          <w:rFonts w:asciiTheme="minorEastAsia" w:hAnsiTheme="minorEastAsia" w:eastAsiaTheme="minorEastAsia"/>
          <w:color w:val="auto"/>
          <w:sz w:val="30"/>
          <w:szCs w:val="30"/>
          <w:highlight w:val="none"/>
        </w:rPr>
        <w:t xml:space="preserve">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本授权委托书声明：我</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（姓名）系</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（供应商名称）的法定代表人，现授权委托</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（单位名称）的</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（姓名）为我公司代理人，以本公司的名义参加</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（项目名称）的报价活动。代理人在报价、合同谈判过程中所签署的一切文件和处理与之有关的一切事务，我均予以承认。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代理人无权转让委托权。特此委托。</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代理人：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性别：</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年龄：</w:t>
      </w:r>
      <w:r>
        <w:rPr>
          <w:rFonts w:asciiTheme="minorEastAsia" w:hAnsiTheme="minorEastAsia" w:eastAsiaTheme="minorEastAsia"/>
          <w:color w:val="auto"/>
          <w:szCs w:val="21"/>
          <w:highlight w:val="none"/>
          <w:u w:val="single"/>
        </w:rPr>
        <w:t xml:space="preserve">             </w:t>
      </w:r>
    </w:p>
    <w:p>
      <w:pPr>
        <w:spacing w:line="360" w:lineRule="auto"/>
        <w:ind w:left="3570" w:leftChars="1700"/>
        <w:rPr>
          <w:rFonts w:asciiTheme="minorEastAsia" w:hAnsiTheme="minorEastAsia" w:eastAsiaTheme="minorEastAsia"/>
          <w:color w:val="auto"/>
          <w:szCs w:val="21"/>
          <w:highlight w:val="none"/>
        </w:rPr>
      </w:pPr>
    </w:p>
    <w:p>
      <w:pPr>
        <w:spacing w:line="360" w:lineRule="auto"/>
        <w:ind w:left="3570" w:leftChars="17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供应商（盖章）：</w:t>
      </w:r>
      <w:r>
        <w:rPr>
          <w:rFonts w:asciiTheme="minorEastAsia" w:hAnsiTheme="minorEastAsia" w:eastAsiaTheme="minorEastAsia"/>
          <w:color w:val="auto"/>
          <w:szCs w:val="21"/>
          <w:highlight w:val="none"/>
          <w:u w:val="single"/>
        </w:rPr>
        <w:t xml:space="preserve">                   </w:t>
      </w:r>
    </w:p>
    <w:p>
      <w:pPr>
        <w:spacing w:line="360" w:lineRule="auto"/>
        <w:ind w:left="3570" w:leftChars="17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法定代表人（签字或盖章）：</w:t>
      </w:r>
      <w:r>
        <w:rPr>
          <w:rFonts w:asciiTheme="minorEastAsia" w:hAnsiTheme="minorEastAsia" w:eastAsiaTheme="minorEastAsia"/>
          <w:color w:val="auto"/>
          <w:szCs w:val="21"/>
          <w:highlight w:val="none"/>
          <w:u w:val="single"/>
        </w:rPr>
        <w:t xml:space="preserve">               </w:t>
      </w:r>
    </w:p>
    <w:p>
      <w:pPr>
        <w:spacing w:line="360" w:lineRule="auto"/>
        <w:ind w:left="3570" w:leftChars="17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委托代理人（签字或盖章）：</w:t>
      </w:r>
      <w:r>
        <w:rPr>
          <w:rFonts w:asciiTheme="minorEastAsia" w:hAnsiTheme="minorEastAsia" w:eastAsiaTheme="minorEastAsia"/>
          <w:color w:val="auto"/>
          <w:szCs w:val="21"/>
          <w:highlight w:val="none"/>
          <w:u w:val="single"/>
        </w:rPr>
        <w:t xml:space="preserve">               </w:t>
      </w:r>
    </w:p>
    <w:p>
      <w:pPr>
        <w:spacing w:line="360" w:lineRule="auto"/>
        <w:ind w:left="3570" w:leftChars="17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附：法定代表人身份证复印件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代理人身份证复印件</w:t>
      </w:r>
    </w:p>
    <w:p>
      <w:pPr>
        <w:spacing w:line="360" w:lineRule="auto"/>
        <w:rPr>
          <w:rFonts w:asciiTheme="minorEastAsia" w:hAnsiTheme="minorEastAsia" w:eastAsiaTheme="minorEastAsia"/>
          <w:color w:val="auto"/>
          <w:sz w:val="30"/>
          <w:szCs w:val="30"/>
          <w:highlight w:val="none"/>
        </w:rPr>
      </w:pPr>
    </w:p>
    <w:p>
      <w:pPr>
        <w:spacing w:line="360" w:lineRule="auto"/>
        <w:rPr>
          <w:rFonts w:asciiTheme="minorEastAsia" w:hAnsiTheme="minorEastAsia" w:eastAsiaTheme="minorEastAsia"/>
          <w:color w:val="auto"/>
          <w:sz w:val="30"/>
          <w:szCs w:val="30"/>
          <w:highlight w:val="none"/>
        </w:rPr>
      </w:pPr>
    </w:p>
    <w:p>
      <w:pPr>
        <w:spacing w:line="360" w:lineRule="auto"/>
        <w:rPr>
          <w:rFonts w:asciiTheme="minorEastAsia" w:hAnsiTheme="minorEastAsia" w:eastAsiaTheme="minorEastAsia"/>
          <w:color w:val="auto"/>
          <w:sz w:val="30"/>
          <w:szCs w:val="30"/>
          <w:highlight w:val="none"/>
        </w:rPr>
      </w:pPr>
      <w:r>
        <w:rPr>
          <w:rFonts w:asciiTheme="minorEastAsia" w:hAnsiTheme="minorEastAsia" w:eastAsiaTheme="minorEastAsia"/>
          <w:color w:val="auto"/>
          <w:sz w:val="30"/>
          <w:szCs w:val="30"/>
          <w:highlight w:val="none"/>
        </w:rPr>
        <w:t xml:space="preserve"> </w:t>
      </w:r>
    </w:p>
    <w:p>
      <w:pPr>
        <w:rPr>
          <w:rFonts w:asciiTheme="minorEastAsia" w:hAnsiTheme="minorEastAsia" w:eastAsiaTheme="minorEastAsia"/>
          <w:color w:val="auto"/>
          <w:sz w:val="30"/>
          <w:szCs w:val="30"/>
          <w:highlight w:val="none"/>
        </w:rPr>
      </w:pPr>
      <w:r>
        <w:rPr>
          <w:rFonts w:asciiTheme="minorEastAsia" w:hAnsiTheme="minorEastAsia" w:eastAsiaTheme="minorEastAsia"/>
          <w:color w:val="auto"/>
          <w:sz w:val="30"/>
          <w:szCs w:val="30"/>
          <w:highlight w:val="none"/>
        </w:rPr>
        <w:br w:type="page"/>
      </w:r>
    </w:p>
    <w:p>
      <w:pPr>
        <w:spacing w:line="360" w:lineRule="auto"/>
        <w:rPr>
          <w:rFonts w:cs="宋体" w:asciiTheme="minorEastAsia" w:hAnsiTheme="minorEastAsia" w:eastAsiaTheme="minorEastAsia"/>
          <w:color w:val="auto"/>
          <w:sz w:val="30"/>
          <w:szCs w:val="30"/>
          <w:highlight w:val="none"/>
        </w:rPr>
      </w:pPr>
      <w:r>
        <w:rPr>
          <w:rFonts w:hint="eastAsia" w:cs="宋体" w:asciiTheme="minorEastAsia" w:hAnsiTheme="minorEastAsia" w:eastAsiaTheme="minorEastAsia"/>
          <w:color w:val="auto"/>
          <w:sz w:val="30"/>
          <w:szCs w:val="30"/>
          <w:highlight w:val="none"/>
        </w:rPr>
        <w:t>附件</w:t>
      </w:r>
      <w:r>
        <w:rPr>
          <w:rFonts w:cs="宋体" w:asciiTheme="minorEastAsia" w:hAnsiTheme="minorEastAsia" w:eastAsiaTheme="minorEastAsia"/>
          <w:color w:val="auto"/>
          <w:sz w:val="30"/>
          <w:szCs w:val="30"/>
          <w:highlight w:val="none"/>
        </w:rPr>
        <w:t>1-3</w:t>
      </w:r>
    </w:p>
    <w:p>
      <w:pPr>
        <w:spacing w:line="400" w:lineRule="exact"/>
        <w:jc w:val="center"/>
        <w:rPr>
          <w:rFonts w:cs="宋体" w:asciiTheme="minorEastAsia" w:hAnsiTheme="minorEastAsia" w:eastAsiaTheme="minorEastAsia"/>
          <w:b/>
          <w:bCs/>
          <w:color w:val="auto"/>
          <w:sz w:val="30"/>
          <w:szCs w:val="30"/>
          <w:highlight w:val="none"/>
        </w:rPr>
      </w:pPr>
      <w:bookmarkStart w:id="64" w:name="_Toc13912_WPSOffice_Level1"/>
      <w:r>
        <w:rPr>
          <w:rFonts w:hint="eastAsia" w:cs="宋体" w:asciiTheme="minorEastAsia" w:hAnsiTheme="minorEastAsia" w:eastAsiaTheme="minorEastAsia"/>
          <w:b/>
          <w:bCs/>
          <w:color w:val="auto"/>
          <w:sz w:val="30"/>
          <w:szCs w:val="30"/>
          <w:highlight w:val="none"/>
        </w:rPr>
        <w:t>供应商的承诺函</w:t>
      </w:r>
      <w:bookmarkEnd w:id="64"/>
    </w:p>
    <w:p>
      <w:pPr>
        <w:spacing w:line="520" w:lineRule="exact"/>
        <w:jc w:val="center"/>
        <w:rPr>
          <w:rFonts w:cs="仿宋_GB2312" w:asciiTheme="minorEastAsia" w:hAnsiTheme="minorEastAsia" w:eastAsiaTheme="minorEastAsia"/>
          <w:b/>
          <w:bCs/>
          <w:color w:val="auto"/>
          <w:sz w:val="28"/>
          <w:szCs w:val="28"/>
          <w:highlight w:val="none"/>
        </w:rPr>
      </w:pPr>
    </w:p>
    <w:p>
      <w:pPr>
        <w:pStyle w:val="38"/>
        <w:tabs>
          <w:tab w:val="left" w:pos="600"/>
          <w:tab w:val="clear" w:pos="2160"/>
          <w:tab w:val="clear" w:pos="2520"/>
        </w:tabs>
        <w:adjustRightInd w:val="0"/>
        <w:spacing w:line="520" w:lineRule="exact"/>
        <w:rPr>
          <w:rFonts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snapToGrid/>
          <w:color w:val="auto"/>
          <w:kern w:val="2"/>
          <w:sz w:val="24"/>
          <w:szCs w:val="24"/>
          <w:highlight w:val="none"/>
          <w:lang w:val="en-US" w:eastAsia="zh-CN"/>
        </w:rPr>
        <w:t>致：</w:t>
      </w:r>
      <w:r>
        <w:rPr>
          <w:rFonts w:cs="宋体" w:asciiTheme="minorEastAsia" w:hAnsiTheme="minorEastAsia" w:eastAsiaTheme="minorEastAsia"/>
          <w:snapToGrid/>
          <w:color w:val="auto"/>
          <w:kern w:val="2"/>
          <w:sz w:val="24"/>
          <w:szCs w:val="24"/>
          <w:highlight w:val="none"/>
          <w:lang w:val="en-US" w:eastAsia="zh-CN"/>
        </w:rPr>
        <w:tab/>
      </w:r>
      <w:r>
        <w:rPr>
          <w:rFonts w:hint="eastAsia" w:cs="宋体" w:asciiTheme="minorEastAsia" w:hAnsiTheme="minorEastAsia" w:eastAsiaTheme="minorEastAsia"/>
          <w:snapToGrid/>
          <w:color w:val="auto"/>
          <w:kern w:val="2"/>
          <w:sz w:val="24"/>
          <w:szCs w:val="24"/>
          <w:highlight w:val="none"/>
          <w:lang w:val="en-US" w:eastAsia="zh-CN"/>
        </w:rPr>
        <w:t>中粮糖业（漳州）有限公司</w:t>
      </w:r>
    </w:p>
    <w:p>
      <w:pPr>
        <w:pStyle w:val="6"/>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我代表</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（供应商名称），在此作如下承诺：</w:t>
      </w:r>
      <w:r>
        <w:rPr>
          <w:rFonts w:cs="宋体" w:asciiTheme="minorEastAsia" w:hAnsiTheme="minorEastAsia" w:eastAsiaTheme="minorEastAsia"/>
          <w:color w:val="auto"/>
          <w:szCs w:val="21"/>
          <w:highlight w:val="none"/>
        </w:rPr>
        <w:t xml:space="preserve"> </w:t>
      </w:r>
    </w:p>
    <w:p>
      <w:pPr>
        <w:pStyle w:val="6"/>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1.完全理解和接受</w:t>
      </w:r>
      <w:r>
        <w:rPr>
          <w:rFonts w:hint="eastAsia" w:cs="宋体" w:asciiTheme="minorEastAsia" w:hAnsiTheme="minorEastAsia" w:eastAsiaTheme="minorEastAsia"/>
          <w:color w:val="auto"/>
          <w:szCs w:val="21"/>
          <w:highlight w:val="none"/>
        </w:rPr>
        <w:t>竞争性谈判文件的一切规定和要求。</w:t>
      </w:r>
    </w:p>
    <w:p>
      <w:pPr>
        <w:pStyle w:val="6"/>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响应报价为闭口价，即在响应有效期，该响应报价固定不变。</w:t>
      </w:r>
    </w:p>
    <w:p>
      <w:pPr>
        <w:pStyle w:val="6"/>
        <w:spacing w:line="360" w:lineRule="auto"/>
        <w:ind w:left="559" w:leftChars="266" w:firstLine="16" w:firstLineChars="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3.若中标，我方将按照</w:t>
      </w:r>
      <w:r>
        <w:rPr>
          <w:rFonts w:hint="eastAsia" w:cs="宋体" w:asciiTheme="minorEastAsia" w:hAnsiTheme="minorEastAsia" w:eastAsiaTheme="minorEastAsia"/>
          <w:color w:val="auto"/>
          <w:szCs w:val="21"/>
          <w:highlight w:val="none"/>
        </w:rPr>
        <w:t>竞争性谈判文件及我方响应文件的具体规定签订</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项目合同。</w:t>
      </w:r>
    </w:p>
    <w:p>
      <w:pPr>
        <w:pStyle w:val="6"/>
        <w:spacing w:line="360" w:lineRule="auto"/>
        <w:ind w:firstLine="434" w:firstLineChars="207"/>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4.在整个</w:t>
      </w:r>
      <w:r>
        <w:rPr>
          <w:rFonts w:hint="eastAsia" w:cs="宋体" w:asciiTheme="minorEastAsia" w:hAnsiTheme="minorEastAsia" w:eastAsiaTheme="minorEastAsia"/>
          <w:color w:val="auto"/>
          <w:szCs w:val="21"/>
          <w:highlight w:val="none"/>
        </w:rPr>
        <w:t>采购过程中，我方若有违反以下承诺的行为，贵方可按竞争性谈判文件之规定给予惩罚，我方完全接受。</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A.不与</w:t>
      </w:r>
      <w:r>
        <w:rPr>
          <w:rFonts w:hint="eastAsia" w:cs="宋体" w:asciiTheme="minorEastAsia" w:hAnsiTheme="minorEastAsia" w:eastAsiaTheme="minorEastAsia"/>
          <w:color w:val="auto"/>
          <w:szCs w:val="21"/>
          <w:highlight w:val="none"/>
        </w:rPr>
        <w:t>采购人、其他供应商或者采购代理机构串通投标，损害国家利益、社会利益或他人的合法权益。</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B.不向</w:t>
      </w:r>
      <w:r>
        <w:rPr>
          <w:rFonts w:hint="eastAsia" w:cs="宋体" w:asciiTheme="minorEastAsia" w:hAnsiTheme="minorEastAsia" w:eastAsiaTheme="minorEastAsia"/>
          <w:color w:val="auto"/>
          <w:szCs w:val="21"/>
          <w:highlight w:val="none"/>
        </w:rPr>
        <w:t>采购人或谈判小组成员或相关人员行贿，以牟取中标。</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C.不以他人名义</w:t>
      </w:r>
      <w:r>
        <w:rPr>
          <w:rFonts w:hint="eastAsia" w:cs="宋体" w:asciiTheme="minorEastAsia" w:hAnsiTheme="minorEastAsia" w:eastAsiaTheme="minorEastAsia"/>
          <w:color w:val="auto"/>
          <w:szCs w:val="21"/>
          <w:highlight w:val="none"/>
        </w:rPr>
        <w:t>响应或者其他方式弄虚作假，骗取中标。</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D.不接受任何形式的挂靠，不扰乱</w:t>
      </w:r>
      <w:r>
        <w:rPr>
          <w:rFonts w:hint="eastAsia" w:cs="宋体" w:asciiTheme="minorEastAsia" w:hAnsiTheme="minorEastAsia" w:eastAsiaTheme="minorEastAsia"/>
          <w:color w:val="auto"/>
          <w:szCs w:val="21"/>
          <w:highlight w:val="none"/>
        </w:rPr>
        <w:t>采购供应市场秩序。</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E.不在</w:t>
      </w:r>
      <w:r>
        <w:rPr>
          <w:rFonts w:hint="eastAsia" w:cs="宋体" w:asciiTheme="minorEastAsia" w:hAnsiTheme="minorEastAsia" w:eastAsiaTheme="minorEastAsia"/>
          <w:color w:val="auto"/>
          <w:szCs w:val="21"/>
          <w:highlight w:val="none"/>
        </w:rPr>
        <w:t>响应中哄抬价格或恶意压价。</w:t>
      </w:r>
    </w:p>
    <w:p>
      <w:pPr>
        <w:pStyle w:val="6"/>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F.不在</w:t>
      </w:r>
      <w:r>
        <w:rPr>
          <w:rFonts w:hint="eastAsia" w:cs="宋体" w:asciiTheme="minorEastAsia" w:hAnsiTheme="minorEastAsia" w:eastAsiaTheme="minorEastAsia"/>
          <w:color w:val="auto"/>
          <w:szCs w:val="21"/>
          <w:highlight w:val="none"/>
        </w:rPr>
        <w:t>采购活动中虚假投诉。</w:t>
      </w:r>
    </w:p>
    <w:p>
      <w:pPr>
        <w:pStyle w:val="6"/>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5.在整个</w:t>
      </w:r>
      <w:r>
        <w:rPr>
          <w:rFonts w:hint="eastAsia" w:cs="宋体" w:asciiTheme="minorEastAsia" w:hAnsiTheme="minorEastAsia" w:eastAsiaTheme="minorEastAsia"/>
          <w:color w:val="auto"/>
          <w:szCs w:val="21"/>
          <w:highlight w:val="none"/>
        </w:rPr>
        <w:t>采购、响应过程中及招、响应结束后，未经采购人书面同意，我方保证不向任何第三方泄露本次采购响应的任何信息、资料及内容。</w:t>
      </w:r>
    </w:p>
    <w:p>
      <w:pPr>
        <w:pStyle w:val="6"/>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响应文件中所有关于供应商资格的文件、证明、陈述均是真实的、准确的。若有违背，我公司承担由此而产生的一切后果。</w:t>
      </w:r>
    </w:p>
    <w:p>
      <w:pPr>
        <w:pStyle w:val="6"/>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7.本承诺函与是</w:t>
      </w:r>
      <w:r>
        <w:rPr>
          <w:rFonts w:hint="eastAsia" w:ascii="仿宋_GB2312" w:hAnsi="黑体" w:eastAsia="仿宋_GB2312" w:cs="MS Gothic"/>
          <w:color w:val="auto"/>
          <w:sz w:val="24"/>
          <w:szCs w:val="24"/>
          <w:highlight w:val="none"/>
          <w:lang w:val="en-US" w:eastAsia="zh-CN"/>
        </w:rPr>
        <w:t>锅炉炉膛检修升降平台</w:t>
      </w:r>
      <w:r>
        <w:rPr>
          <w:rFonts w:hint="eastAsia" w:cs="宋体" w:asciiTheme="minorEastAsia" w:hAnsiTheme="minorEastAsia" w:eastAsiaTheme="minorEastAsia"/>
          <w:color w:val="auto"/>
          <w:szCs w:val="21"/>
          <w:highlight w:val="none"/>
        </w:rPr>
        <w:t>项目合同具有同等的法律效力。</w:t>
      </w:r>
    </w:p>
    <w:p>
      <w:pPr>
        <w:autoSpaceDE w:val="0"/>
        <w:autoSpaceDN w:val="0"/>
        <w:adjustRightInd w:val="0"/>
        <w:spacing w:line="400" w:lineRule="exact"/>
        <w:ind w:firstLine="3570" w:firstLineChars="17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法定代表人或授权代理人（签字或盖章）：</w:t>
      </w:r>
    </w:p>
    <w:p>
      <w:pPr>
        <w:autoSpaceDE w:val="0"/>
        <w:autoSpaceDN w:val="0"/>
        <w:adjustRightInd w:val="0"/>
        <w:spacing w:line="400" w:lineRule="exact"/>
        <w:ind w:firstLine="3570" w:firstLineChars="17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供应商：（公章）</w:t>
      </w:r>
    </w:p>
    <w:p>
      <w:pPr>
        <w:autoSpaceDE w:val="0"/>
        <w:autoSpaceDN w:val="0"/>
        <w:adjustRightInd w:val="0"/>
        <w:spacing w:line="400" w:lineRule="exact"/>
        <w:ind w:firstLine="3570" w:firstLineChars="17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日期：</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年</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月</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日</w:t>
      </w:r>
    </w:p>
    <w:p>
      <w:pP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br w:type="page"/>
      </w:r>
    </w:p>
    <w:p>
      <w:pPr>
        <w:spacing w:line="360" w:lineRule="auto"/>
        <w:rPr>
          <w:rFonts w:cs="宋体" w:asciiTheme="minorEastAsia" w:hAnsiTheme="minorEastAsia" w:eastAsiaTheme="minorEastAsia"/>
          <w:color w:val="auto"/>
          <w:sz w:val="30"/>
          <w:szCs w:val="30"/>
          <w:highlight w:val="none"/>
        </w:rPr>
      </w:pPr>
      <w:r>
        <w:rPr>
          <w:rFonts w:hint="eastAsia" w:cs="宋体" w:asciiTheme="minorEastAsia" w:hAnsiTheme="minorEastAsia" w:eastAsiaTheme="minorEastAsia"/>
          <w:color w:val="auto"/>
          <w:sz w:val="30"/>
          <w:szCs w:val="30"/>
          <w:highlight w:val="none"/>
        </w:rPr>
        <w:t>附件</w:t>
      </w:r>
      <w:r>
        <w:rPr>
          <w:rFonts w:cs="宋体" w:asciiTheme="minorEastAsia" w:hAnsiTheme="minorEastAsia" w:eastAsiaTheme="minorEastAsia"/>
          <w:color w:val="auto"/>
          <w:sz w:val="30"/>
          <w:szCs w:val="30"/>
          <w:highlight w:val="none"/>
        </w:rPr>
        <w:t>1-4</w:t>
      </w:r>
    </w:p>
    <w:p>
      <w:pPr>
        <w:spacing w:line="400" w:lineRule="exac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廉洁承诺书</w:t>
      </w:r>
    </w:p>
    <w:p>
      <w:pPr>
        <w:autoSpaceDE w:val="0"/>
        <w:autoSpaceDN w:val="0"/>
        <w:adjustRightIn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中粮糖业（漳州）有限公司：</w:t>
      </w:r>
    </w:p>
    <w:p>
      <w:pPr>
        <w:spacing w:before="240" w:line="44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为积极配合贵公司进行的项目采购与招投标工作，有效遏制不公平竞争和违规违纪问题的发生，确保采购与招投标工作的公平、公正、公开，我们特向贵公司承诺如下事项：</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1、自觉遵守国家法律法规及中粮糖业有关廉政建设制度。</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2、不使用不正当手段妨碍、排挤其它供应商或串通投标。</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3、按照采购文件规定的方式进行投标，不隐瞒本单位投标资质的真实情况，投标资质符合规定；保证不会以其他人名义投标或者以其他方式弄虚作假，骗取中标。</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4、不将主体、关键性工作进行分包（包括贴牌生产、转包等）。</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5、不以任何方式向采购人员或者评标成员赠送礼品、礼金及有价证券；不宴请或邀请招标人的任何人参加高档娱乐消费、旅游等活动；不以任何形式报销招标人的任何人以及亲友的各种票据及费用；不进行可能影响招标公平、公正的任何活动。</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6、不向贵公司涉及采购与招投标的部门及个人支付好处费、介绍费；购置或提供通讯工具、交通工具、电脑等。</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 xml:space="preserve">7、经查实对于参与串通行为的供应商，其中标无效，列入供应商黑名单，并对供应商处中标项目金额千分之五以上千分之十以下的罚款如事后查实无法追溯的仅列入供应商黑名单， </w:t>
      </w:r>
      <w:r>
        <w:rPr>
          <w:rFonts w:hint="eastAsia" w:asciiTheme="minorEastAsia" w:hAnsiTheme="minorEastAsia" w:eastAsiaTheme="minorEastAsia" w:cstheme="minorEastAsia"/>
          <w:color w:val="auto"/>
          <w:szCs w:val="21"/>
          <w:highlight w:val="none"/>
        </w:rPr>
        <w:t>加大不诚信供应商的违规成本。</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8、一旦发现相关人员在招标过程中有索要财物等不廉洁行为，坚决予以抵制，并及时向贵公司纪委办公室举报。</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9、我方自愿将本承诺书作为投标文件及合同的附件，具有同等的法律效力。</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10、若违反上述承诺或违反有关法律法规及贵公司有关规定，我方自愿永久放弃参与贵公司的所有业务往来，并承担贵公司制度规定的一切法律责任。</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11、本承诺书自签署之日起生效。</w:t>
      </w:r>
    </w:p>
    <w:p>
      <w:pPr>
        <w:autoSpaceDE w:val="0"/>
        <w:autoSpaceDN w:val="0"/>
        <w:adjustRightInd w:val="0"/>
        <w:spacing w:line="400" w:lineRule="exact"/>
        <w:ind w:firstLine="4200" w:firstLineChars="20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供应商（公章）：</w:t>
      </w:r>
    </w:p>
    <w:p>
      <w:pPr>
        <w:autoSpaceDE w:val="0"/>
        <w:autoSpaceDN w:val="0"/>
        <w:adjustRightInd w:val="0"/>
        <w:spacing w:line="400" w:lineRule="exact"/>
        <w:ind w:firstLine="3570" w:firstLineChars="17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法定代表人或授权代理人（签字或盖章）：</w:t>
      </w:r>
    </w:p>
    <w:p>
      <w:pPr>
        <w:autoSpaceDE w:val="0"/>
        <w:autoSpaceDN w:val="0"/>
        <w:adjustRightInd w:val="0"/>
        <w:spacing w:line="400" w:lineRule="exact"/>
        <w:ind w:firstLine="4095" w:firstLineChars="195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日期：</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年</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月</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日</w:t>
      </w:r>
    </w:p>
    <w:p>
      <w:pP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br w:type="page"/>
      </w:r>
    </w:p>
    <w:p>
      <w:pPr>
        <w:pStyle w:val="11"/>
        <w:rPr>
          <w:rFonts w:asciiTheme="minorEastAsia" w:hAnsiTheme="minorEastAsia" w:eastAsiaTheme="minorEastAsia"/>
          <w:color w:val="auto"/>
          <w:highlight w:val="none"/>
        </w:rPr>
      </w:pPr>
    </w:p>
    <w:p>
      <w:pPr>
        <w:spacing w:line="360" w:lineRule="auto"/>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附件</w:t>
      </w:r>
      <w:r>
        <w:rPr>
          <w:rFonts w:asciiTheme="minorEastAsia" w:hAnsiTheme="minorEastAsia" w:eastAsiaTheme="minorEastAsia"/>
          <w:color w:val="auto"/>
          <w:sz w:val="30"/>
          <w:szCs w:val="30"/>
          <w:highlight w:val="none"/>
        </w:rPr>
        <w:t xml:space="preserve">1-5 </w:t>
      </w:r>
    </w:p>
    <w:p>
      <w:pPr>
        <w:spacing w:line="360" w:lineRule="auto"/>
        <w:jc w:val="center"/>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供应商企业营业执照</w:t>
      </w:r>
    </w:p>
    <w:p>
      <w:pPr>
        <w:rPr>
          <w:rFonts w:asciiTheme="minorEastAsia" w:hAnsiTheme="minorEastAsia" w:eastAsiaTheme="minorEastAsia"/>
          <w:b/>
          <w:color w:val="auto"/>
          <w:sz w:val="28"/>
          <w:szCs w:val="28"/>
          <w:highlight w:val="none"/>
        </w:rPr>
      </w:pPr>
    </w:p>
    <w:p>
      <w:pPr>
        <w:rPr>
          <w:rFonts w:asciiTheme="minorEastAsia" w:hAnsiTheme="minorEastAsia" w:eastAsiaTheme="minorEastAsia"/>
          <w:b/>
          <w:color w:val="auto"/>
          <w:sz w:val="28"/>
          <w:szCs w:val="28"/>
          <w:highlight w:val="none"/>
        </w:rPr>
      </w:pPr>
    </w:p>
    <w:p>
      <w:pPr>
        <w:spacing w:line="360" w:lineRule="auto"/>
        <w:rPr>
          <w:rFonts w:asciiTheme="minorEastAsia" w:hAnsiTheme="minorEastAsia" w:eastAsiaTheme="minorEastAsia"/>
          <w:color w:val="auto"/>
          <w:sz w:val="30"/>
          <w:szCs w:val="30"/>
          <w:highlight w:val="none"/>
        </w:rPr>
      </w:pPr>
    </w:p>
    <w:p>
      <w:pPr>
        <w:spacing w:line="520" w:lineRule="exact"/>
        <w:ind w:firstLine="3220" w:firstLineChars="1150"/>
        <w:rPr>
          <w:rFonts w:asciiTheme="minorEastAsia" w:hAnsiTheme="minorEastAsia" w:eastAsiaTheme="minorEastAsia"/>
          <w:color w:val="auto"/>
          <w:sz w:val="28"/>
          <w:szCs w:val="28"/>
          <w:highlight w:val="none"/>
        </w:rPr>
      </w:pPr>
    </w:p>
    <w:p>
      <w:pPr>
        <w:spacing w:line="520" w:lineRule="exact"/>
        <w:ind w:firstLine="3220" w:firstLineChars="1150"/>
        <w:rPr>
          <w:rFonts w:asciiTheme="minorEastAsia" w:hAnsiTheme="minorEastAsia" w:eastAsiaTheme="minorEastAsia"/>
          <w:color w:val="auto"/>
          <w:sz w:val="28"/>
          <w:szCs w:val="28"/>
          <w:highlight w:val="none"/>
        </w:rPr>
      </w:pPr>
    </w:p>
    <w:p>
      <w:pPr>
        <w:spacing w:line="520" w:lineRule="exact"/>
        <w:ind w:firstLine="3220" w:firstLineChars="1150"/>
        <w:rPr>
          <w:rFonts w:asciiTheme="minorEastAsia" w:hAnsiTheme="minorEastAsia" w:eastAsiaTheme="minorEastAsia"/>
          <w:color w:val="auto"/>
          <w:sz w:val="28"/>
          <w:szCs w:val="28"/>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520" w:lineRule="exact"/>
        <w:ind w:left="3082"/>
        <w:rPr>
          <w:rFonts w:asciiTheme="minorEastAsia" w:hAnsiTheme="minorEastAsia" w:eastAsiaTheme="minorEastAsia"/>
          <w:b/>
          <w:color w:val="auto"/>
          <w:sz w:val="44"/>
          <w:szCs w:val="44"/>
          <w:highlight w:val="none"/>
        </w:rPr>
      </w:pPr>
    </w:p>
    <w:p>
      <w:pPr>
        <w:spacing w:line="360" w:lineRule="auto"/>
        <w:rPr>
          <w:rFonts w:asciiTheme="minorEastAsia" w:hAnsiTheme="minorEastAsia" w:eastAsiaTheme="minorEastAsia"/>
          <w:color w:val="auto"/>
          <w:sz w:val="30"/>
          <w:szCs w:val="30"/>
          <w:highlight w:val="none"/>
        </w:rPr>
      </w:pPr>
      <w:bookmarkStart w:id="65" w:name="_Toc124269267"/>
      <w:r>
        <w:rPr>
          <w:rFonts w:hint="eastAsia" w:asciiTheme="minorEastAsia" w:hAnsiTheme="minorEastAsia" w:eastAsiaTheme="minorEastAsia"/>
          <w:color w:val="auto"/>
          <w:sz w:val="30"/>
          <w:szCs w:val="30"/>
          <w:highlight w:val="none"/>
        </w:rPr>
        <w:t>附件</w:t>
      </w:r>
      <w:r>
        <w:rPr>
          <w:rFonts w:asciiTheme="minorEastAsia" w:hAnsiTheme="minorEastAsia" w:eastAsiaTheme="minorEastAsia"/>
          <w:color w:val="auto"/>
          <w:sz w:val="30"/>
          <w:szCs w:val="30"/>
          <w:highlight w:val="none"/>
        </w:rPr>
        <w:t xml:space="preserve">1-6 </w:t>
      </w:r>
      <w:r>
        <w:rPr>
          <w:rFonts w:hint="eastAsia" w:asciiTheme="minorEastAsia" w:hAnsiTheme="minorEastAsia" w:eastAsiaTheme="minorEastAsia"/>
          <w:color w:val="auto"/>
          <w:sz w:val="30"/>
          <w:szCs w:val="30"/>
          <w:highlight w:val="none"/>
        </w:rPr>
        <w:t>供应商基本情况表格式：</w:t>
      </w:r>
      <w:bookmarkEnd w:id="65"/>
    </w:p>
    <w:p>
      <w:pPr>
        <w:snapToGrid w:val="0"/>
        <w:spacing w:before="120"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供应商基本情况表</w:t>
      </w:r>
    </w:p>
    <w:tbl>
      <w:tblPr>
        <w:tblStyle w:val="22"/>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2172"/>
        <w:gridCol w:w="1089"/>
        <w:gridCol w:w="1338"/>
        <w:gridCol w:w="743"/>
        <w:gridCol w:w="406"/>
        <w:gridCol w:w="999"/>
        <w:gridCol w:w="322"/>
        <w:gridCol w:w="427"/>
        <w:gridCol w:w="56"/>
        <w:gridCol w:w="2018"/>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供应商名称</w:t>
            </w:r>
          </w:p>
        </w:tc>
        <w:tc>
          <w:tcPr>
            <w:tcW w:w="3864" w:type="pct"/>
            <w:gridSpan w:val="9"/>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注册地址</w:t>
            </w:r>
          </w:p>
        </w:tc>
        <w:tc>
          <w:tcPr>
            <w:tcW w:w="1868" w:type="pct"/>
            <w:gridSpan w:val="4"/>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690"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邮政编码</w:t>
            </w:r>
          </w:p>
        </w:tc>
        <w:tc>
          <w:tcPr>
            <w:tcW w:w="1305" w:type="pct"/>
            <w:gridSpan w:val="3"/>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vMerge w:val="restar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w:t>
            </w:r>
          </w:p>
        </w:tc>
        <w:tc>
          <w:tcPr>
            <w:tcW w:w="569"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w:t>
            </w:r>
          </w:p>
        </w:tc>
        <w:tc>
          <w:tcPr>
            <w:tcW w:w="1298" w:type="pct"/>
            <w:gridSpan w:val="3"/>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690"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话</w:t>
            </w:r>
          </w:p>
        </w:tc>
        <w:tc>
          <w:tcPr>
            <w:tcW w:w="1305" w:type="pct"/>
            <w:gridSpan w:val="3"/>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vMerge w:val="continue"/>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569"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传</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真</w:t>
            </w:r>
          </w:p>
        </w:tc>
        <w:tc>
          <w:tcPr>
            <w:tcW w:w="1298" w:type="pct"/>
            <w:gridSpan w:val="3"/>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690"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网</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址</w:t>
            </w:r>
          </w:p>
        </w:tc>
        <w:tc>
          <w:tcPr>
            <w:tcW w:w="1305" w:type="pct"/>
            <w:gridSpan w:val="3"/>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组织结构</w:t>
            </w:r>
          </w:p>
        </w:tc>
        <w:tc>
          <w:tcPr>
            <w:tcW w:w="3864" w:type="pct"/>
            <w:gridSpan w:val="9"/>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w:t>
            </w:r>
          </w:p>
        </w:tc>
        <w:tc>
          <w:tcPr>
            <w:tcW w:w="569"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姓名</w:t>
            </w:r>
          </w:p>
        </w:tc>
        <w:tc>
          <w:tcPr>
            <w:tcW w:w="699" w:type="pct"/>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388"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技术职称</w:t>
            </w:r>
          </w:p>
        </w:tc>
        <w:tc>
          <w:tcPr>
            <w:tcW w:w="734"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420" w:type="pct"/>
            <w:gridSpan w:val="3"/>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电话</w:t>
            </w:r>
          </w:p>
        </w:tc>
        <w:tc>
          <w:tcPr>
            <w:tcW w:w="1051" w:type="pct"/>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技术负责人</w:t>
            </w:r>
          </w:p>
        </w:tc>
        <w:tc>
          <w:tcPr>
            <w:tcW w:w="569"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姓名</w:t>
            </w:r>
          </w:p>
        </w:tc>
        <w:tc>
          <w:tcPr>
            <w:tcW w:w="699" w:type="pct"/>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388"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技术职称</w:t>
            </w:r>
          </w:p>
        </w:tc>
        <w:tc>
          <w:tcPr>
            <w:tcW w:w="734"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420" w:type="pct"/>
            <w:gridSpan w:val="3"/>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电话</w:t>
            </w:r>
          </w:p>
        </w:tc>
        <w:tc>
          <w:tcPr>
            <w:tcW w:w="1051" w:type="pct"/>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成立时间</w:t>
            </w:r>
          </w:p>
        </w:tc>
        <w:tc>
          <w:tcPr>
            <w:tcW w:w="1268"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2595" w:type="pct"/>
            <w:gridSpan w:val="7"/>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员工总人数：</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营业执照号</w:t>
            </w:r>
          </w:p>
        </w:tc>
        <w:tc>
          <w:tcPr>
            <w:tcW w:w="1268"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388" w:type="pct"/>
            <w:vMerge w:val="restar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其中</w:t>
            </w:r>
          </w:p>
        </w:tc>
        <w:tc>
          <w:tcPr>
            <w:tcW w:w="1125" w:type="pct"/>
            <w:gridSpan w:val="4"/>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高级职称人员</w:t>
            </w:r>
          </w:p>
        </w:tc>
        <w:tc>
          <w:tcPr>
            <w:tcW w:w="1081"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注册资金</w:t>
            </w:r>
          </w:p>
        </w:tc>
        <w:tc>
          <w:tcPr>
            <w:tcW w:w="1268"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388" w:type="pct"/>
            <w:vMerge w:val="continue"/>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1125" w:type="pct"/>
            <w:gridSpan w:val="4"/>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中级职称人员</w:t>
            </w:r>
          </w:p>
        </w:tc>
        <w:tc>
          <w:tcPr>
            <w:tcW w:w="1081"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固定资产</w:t>
            </w:r>
          </w:p>
        </w:tc>
        <w:tc>
          <w:tcPr>
            <w:tcW w:w="1268"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388" w:type="pct"/>
            <w:vMerge w:val="continue"/>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1125" w:type="pct"/>
            <w:gridSpan w:val="4"/>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初级职称人员</w:t>
            </w:r>
          </w:p>
        </w:tc>
        <w:tc>
          <w:tcPr>
            <w:tcW w:w="1081"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流动资产</w:t>
            </w:r>
          </w:p>
        </w:tc>
        <w:tc>
          <w:tcPr>
            <w:tcW w:w="1268"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388" w:type="pct"/>
            <w:vMerge w:val="continue"/>
            <w:shd w:val="clear" w:color="auto" w:fill="auto"/>
            <w:vAlign w:val="center"/>
          </w:tcPr>
          <w:p>
            <w:pPr>
              <w:topLinePunct/>
              <w:jc w:val="center"/>
              <w:rPr>
                <w:rFonts w:cs="宋体" w:asciiTheme="minorEastAsia" w:hAnsiTheme="minorEastAsia" w:eastAsiaTheme="minorEastAsia"/>
                <w:color w:val="auto"/>
                <w:szCs w:val="21"/>
                <w:highlight w:val="none"/>
              </w:rPr>
            </w:pPr>
          </w:p>
        </w:tc>
        <w:tc>
          <w:tcPr>
            <w:tcW w:w="1125" w:type="pct"/>
            <w:gridSpan w:val="4"/>
            <w:shd w:val="clear" w:color="auto" w:fill="auto"/>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工</w:t>
            </w:r>
          </w:p>
        </w:tc>
        <w:tc>
          <w:tcPr>
            <w:tcW w:w="1081" w:type="pct"/>
            <w:gridSpan w:val="2"/>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经营范围</w:t>
            </w:r>
          </w:p>
        </w:tc>
        <w:tc>
          <w:tcPr>
            <w:tcW w:w="3864" w:type="pct"/>
            <w:gridSpan w:val="9"/>
            <w:shd w:val="clear" w:color="auto" w:fill="auto"/>
            <w:vAlign w:val="center"/>
          </w:tcPr>
          <w:p>
            <w:pPr>
              <w:topLinePunct/>
              <w:jc w:val="center"/>
              <w:rPr>
                <w:rFonts w:cs="宋体" w:asciiTheme="minorEastAsia" w:hAnsiTheme="minorEastAsia" w:eastAsiaTheme="minorEastAsia"/>
                <w:color w:val="auto"/>
                <w:szCs w:val="21"/>
                <w:highlight w:val="none"/>
              </w:rPr>
            </w:pPr>
          </w:p>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供应商关联企业情况（包括但不限于与供应商法定代表人（单位负责人）为同一人或者存在控股、管理关系的不同单位）</w:t>
            </w:r>
          </w:p>
        </w:tc>
        <w:tc>
          <w:tcPr>
            <w:tcW w:w="3864" w:type="pct"/>
            <w:gridSpan w:val="9"/>
            <w:shd w:val="clear" w:color="auto" w:fill="auto"/>
            <w:vAlign w:val="center"/>
          </w:tcPr>
          <w:p>
            <w:pPr>
              <w:topLinePunct/>
              <w:jc w:val="center"/>
              <w:rPr>
                <w:rFonts w:cs="宋体"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w:t>
            </w:r>
          </w:p>
        </w:tc>
        <w:tc>
          <w:tcPr>
            <w:tcW w:w="3864" w:type="pct"/>
            <w:gridSpan w:val="9"/>
            <w:shd w:val="clear" w:color="auto" w:fill="auto"/>
            <w:vAlign w:val="center"/>
          </w:tcPr>
          <w:p>
            <w:pPr>
              <w:topLinePunct/>
              <w:jc w:val="center"/>
              <w:rPr>
                <w:rFonts w:cs="宋体" w:asciiTheme="minorEastAsia" w:hAnsiTheme="minorEastAsia" w:eastAsiaTheme="minorEastAsia"/>
                <w:color w:val="auto"/>
                <w:szCs w:val="21"/>
                <w:highlight w:val="none"/>
              </w:rPr>
            </w:pPr>
          </w:p>
        </w:tc>
      </w:tr>
    </w:tbl>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spacing w:line="360" w:lineRule="auto"/>
        <w:rPr>
          <w:rFonts w:cs="宋体" w:asciiTheme="minorEastAsia" w:hAnsiTheme="minorEastAsia" w:eastAsiaTheme="minorEastAsia"/>
          <w:color w:val="auto"/>
          <w:sz w:val="30"/>
          <w:szCs w:val="30"/>
          <w:highlight w:val="none"/>
        </w:rPr>
      </w:pPr>
      <w:r>
        <w:rPr>
          <w:rFonts w:hint="eastAsia" w:cs="宋体" w:asciiTheme="minorEastAsia" w:hAnsiTheme="minorEastAsia" w:eastAsiaTheme="minorEastAsia"/>
          <w:color w:val="auto"/>
          <w:sz w:val="30"/>
          <w:szCs w:val="30"/>
          <w:highlight w:val="none"/>
        </w:rPr>
        <w:t>附件</w:t>
      </w:r>
      <w:r>
        <w:rPr>
          <w:rFonts w:cs="宋体" w:asciiTheme="minorEastAsia" w:hAnsiTheme="minorEastAsia" w:eastAsiaTheme="minorEastAsia"/>
          <w:color w:val="auto"/>
          <w:sz w:val="30"/>
          <w:szCs w:val="30"/>
          <w:highlight w:val="none"/>
        </w:rPr>
        <w:t xml:space="preserve">1-7 </w:t>
      </w:r>
      <w:r>
        <w:rPr>
          <w:rFonts w:hint="eastAsia" w:cs="宋体" w:asciiTheme="minorEastAsia" w:hAnsiTheme="minorEastAsia" w:eastAsiaTheme="minorEastAsia"/>
          <w:color w:val="auto"/>
          <w:sz w:val="30"/>
          <w:szCs w:val="30"/>
          <w:highlight w:val="none"/>
        </w:rPr>
        <w:t>供应商</w:t>
      </w:r>
      <w:r>
        <w:rPr>
          <w:rFonts w:hint="eastAsia" w:cs="宋体" w:asciiTheme="minorEastAsia" w:hAnsiTheme="minorEastAsia" w:eastAsiaTheme="minorEastAsia"/>
          <w:color w:val="auto"/>
          <w:sz w:val="30"/>
          <w:szCs w:val="30"/>
          <w:highlight w:val="none"/>
          <w:lang w:eastAsia="zh-CN"/>
        </w:rPr>
        <w:t>锅炉炉膛检修升降平台</w:t>
      </w:r>
      <w:r>
        <w:rPr>
          <w:rFonts w:hint="eastAsia" w:cs="宋体" w:asciiTheme="minorEastAsia" w:hAnsiTheme="minorEastAsia" w:eastAsiaTheme="minorEastAsia"/>
          <w:color w:val="auto"/>
          <w:sz w:val="30"/>
          <w:szCs w:val="30"/>
          <w:highlight w:val="none"/>
        </w:rPr>
        <w:t>供货业绩</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4"/>
        <w:rPr>
          <w:rFonts w:asciiTheme="minorEastAsia" w:hAnsiTheme="minorEastAsia" w:eastAsiaTheme="minorEastAsia"/>
          <w:b w:val="0"/>
          <w:bCs w:val="0"/>
          <w:color w:val="auto"/>
          <w:sz w:val="30"/>
          <w:szCs w:val="30"/>
          <w:highlight w:val="none"/>
          <w:u w:val="none"/>
        </w:rPr>
      </w:pPr>
      <w:bookmarkStart w:id="66" w:name="_Toc124269268"/>
      <w:r>
        <w:rPr>
          <w:rFonts w:hint="eastAsia" w:asciiTheme="minorEastAsia" w:hAnsiTheme="minorEastAsia" w:eastAsiaTheme="minorEastAsia"/>
          <w:b w:val="0"/>
          <w:bCs w:val="0"/>
          <w:color w:val="auto"/>
          <w:sz w:val="30"/>
          <w:szCs w:val="30"/>
          <w:highlight w:val="none"/>
          <w:u w:val="none"/>
        </w:rPr>
        <w:t>附件</w:t>
      </w:r>
      <w:r>
        <w:rPr>
          <w:rFonts w:asciiTheme="minorEastAsia" w:hAnsiTheme="minorEastAsia" w:eastAsiaTheme="minorEastAsia"/>
          <w:b w:val="0"/>
          <w:bCs w:val="0"/>
          <w:color w:val="auto"/>
          <w:sz w:val="30"/>
          <w:szCs w:val="30"/>
          <w:highlight w:val="none"/>
          <w:u w:val="none"/>
        </w:rPr>
        <w:t xml:space="preserve"> 1-8 响应声明书格式：</w:t>
      </w:r>
      <w:bookmarkEnd w:id="66"/>
    </w:p>
    <w:p>
      <w:pPr>
        <w:snapToGrid w:val="0"/>
        <w:spacing w:before="120"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响</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应</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声</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明</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书</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b/>
          <w:color w:val="auto"/>
          <w:w w:val="80"/>
          <w:szCs w:val="21"/>
          <w:highlight w:val="none"/>
          <w:u w:val="single"/>
        </w:rPr>
        <w:t>中粮糖业（漳州）有限公司</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_____________________（供应商名称）系中华人民共和国合法企业，经营地址</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asciiTheme="minorEastAsia" w:hAnsiTheme="minorEastAsia" w:eastAsiaTheme="minorEastAsia"/>
          <w:color w:val="auto"/>
          <w:szCs w:val="21"/>
          <w:highlight w:val="none"/>
        </w:rPr>
        <w:t>_____（姓名）系_______________（供应商名称）的法定代表人，我方愿意参加贵方组织的</w:t>
      </w:r>
      <w:r>
        <w:rPr>
          <w:rFonts w:asciiTheme="minorEastAsia" w:hAnsiTheme="minorEastAsia" w:eastAsiaTheme="minorEastAsia"/>
          <w:b/>
          <w:color w:val="auto"/>
          <w:w w:val="80"/>
          <w:szCs w:val="21"/>
          <w:highlight w:val="none"/>
          <w:u w:val="single"/>
        </w:rPr>
        <w:t xml:space="preserve"> （项目名称） </w:t>
      </w:r>
      <w:r>
        <w:rPr>
          <w:rFonts w:hint="eastAsia" w:asciiTheme="minorEastAsia" w:hAnsiTheme="minorEastAsia" w:eastAsiaTheme="minorEastAsia"/>
          <w:color w:val="auto"/>
          <w:szCs w:val="21"/>
          <w:highlight w:val="none"/>
        </w:rPr>
        <w:t>项目</w:t>
      </w:r>
      <w:r>
        <w:rPr>
          <w:rFonts w:asciiTheme="minorEastAsia" w:hAnsiTheme="minorEastAsia" w:eastAsiaTheme="minorEastAsia"/>
          <w:b/>
          <w:color w:val="auto"/>
          <w:w w:val="80"/>
          <w:szCs w:val="21"/>
          <w:highlight w:val="none"/>
          <w:u w:val="single"/>
        </w:rPr>
        <w:t xml:space="preserve"> </w:t>
      </w:r>
      <w:r>
        <w:rPr>
          <w:rFonts w:hint="eastAsia" w:asciiTheme="minorEastAsia" w:hAnsiTheme="minorEastAsia" w:eastAsiaTheme="minorEastAsia"/>
          <w:b/>
          <w:color w:val="auto"/>
          <w:w w:val="80"/>
          <w:szCs w:val="21"/>
          <w:highlight w:val="none"/>
          <w:u w:val="single"/>
        </w:rPr>
        <w:t>（项目编号）</w:t>
      </w:r>
      <w:r>
        <w:rPr>
          <w:rFonts w:hint="eastAsia" w:asciiTheme="minorEastAsia" w:hAnsiTheme="minorEastAsia" w:eastAsiaTheme="minorEastAsia"/>
          <w:color w:val="auto"/>
          <w:szCs w:val="21"/>
          <w:highlight w:val="none"/>
        </w:rPr>
        <w:t>的响应，为便于贵方公正、择优地确定成交候选供应商供应商及其响应产品和服务，我方就本次响应有关事项郑重声明如下：</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1.我方向贵方提交的所有磋商响应文件、资料都是准确的和真实的。</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3．我方在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国家企业信用信息公示系统</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的被列为失信被执行人、重大税收违法案件当事人名单、严重违法失信行为记录名单情况：</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widowControl/>
        <w:snapToGrid w:val="0"/>
        <w:spacing w:line="52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我方不存在：进入清算程序，或被宣告破产，或其他丧失履约能力的情形；</w:t>
      </w:r>
    </w:p>
    <w:p>
      <w:pPr>
        <w:widowControl/>
        <w:snapToGrid w:val="0"/>
        <w:spacing w:line="52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我方及我方法定代表人、主要负责人或实际控制人参加本次采购活动前3年内（从2021年1月1日起至今；成立时间不足3年的，从成立之日起至今），在经营活动中没有因违法经营受到责令停产停业、吊销许可证或者执照、被列入严重违法失信企业名单，无利用不正当竞争手段骗取中标和重大经济刑事案件。未被列入“信用中国”网站www.creditchina.gov.cn）失信被执行人名单、重大税收违法案件当事人名单；中国政府采购网（www.ccgp.gov.cn）政府采购严重违法失信行为记录名单；</w:t>
      </w:r>
    </w:p>
    <w:p>
      <w:pPr>
        <w:widowControl/>
        <w:snapToGrid w:val="0"/>
        <w:spacing w:line="52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我方未被行政管理部门依法暂停参加响应资格或者被列入中粮集团（或采购人或采购人所在专业化平台公司）供应商“黑名单”；</w:t>
      </w:r>
    </w:p>
    <w:p>
      <w:pPr>
        <w:widowControl/>
        <w:snapToGrid w:val="0"/>
        <w:spacing w:line="52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我方承诺所提供的设备不会导致侵权纠纷；</w:t>
      </w:r>
    </w:p>
    <w:p>
      <w:pPr>
        <w:widowControl/>
        <w:snapToGrid w:val="0"/>
        <w:spacing w:line="52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我方在劳动保护、节能减排与生态环境保护方面符合国家规定要求；</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我方承诺已经具备本项目供应商应当具备的资格条件：资格条件详见第一章</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项目公告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四、供应商资格。</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rPr>
        <w:t>在参与本次采购活动中，以上事项如有虚假或隐瞒，我方愿意承担一切后果，并不再寻求任何旨在减轻或免除法律责任的辩解，包括被取消成交资格等后果。</w:t>
      </w:r>
    </w:p>
    <w:p>
      <w:pPr>
        <w:spacing w:line="440" w:lineRule="exact"/>
        <w:ind w:firstLine="420" w:firstLineChars="200"/>
        <w:rPr>
          <w:rFonts w:asciiTheme="minorEastAsia" w:hAnsiTheme="minorEastAsia" w:eastAsiaTheme="minorEastAsia"/>
          <w:color w:val="auto"/>
          <w:szCs w:val="21"/>
          <w:highlight w:val="none"/>
        </w:rPr>
      </w:pPr>
    </w:p>
    <w:p>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法定代表人或授权代表（签字或盖章）</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 xml:space="preserve">                 </w:t>
      </w:r>
    </w:p>
    <w:p>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供应商（盖单位公章）：</w:t>
      </w:r>
      <w:r>
        <w:rPr>
          <w:rFonts w:asciiTheme="minorEastAsia" w:hAnsiTheme="minorEastAsia" w:eastAsiaTheme="minorEastAsia"/>
          <w:color w:val="auto"/>
          <w:szCs w:val="21"/>
          <w:highlight w:val="none"/>
          <w:u w:val="single"/>
        </w:rPr>
        <w:t xml:space="preserve">                       </w:t>
      </w:r>
    </w:p>
    <w:p>
      <w:pPr>
        <w:spacing w:line="440" w:lineRule="exact"/>
        <w:ind w:right="1680"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日期：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日</w:t>
      </w:r>
    </w:p>
    <w:p>
      <w:pPr>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br w:type="page"/>
      </w:r>
    </w:p>
    <w:p>
      <w:pPr>
        <w:pStyle w:val="4"/>
        <w:rPr>
          <w:rFonts w:asciiTheme="minorEastAsia" w:hAnsiTheme="minorEastAsia" w:eastAsiaTheme="minorEastAsia"/>
          <w:b w:val="0"/>
          <w:bCs w:val="0"/>
          <w:color w:val="auto"/>
          <w:sz w:val="30"/>
          <w:szCs w:val="30"/>
          <w:highlight w:val="none"/>
          <w:u w:val="none"/>
        </w:rPr>
      </w:pPr>
      <w:bookmarkStart w:id="67" w:name="_Toc124269271"/>
      <w:r>
        <w:rPr>
          <w:rFonts w:hint="eastAsia" w:asciiTheme="minorEastAsia" w:hAnsiTheme="minorEastAsia" w:eastAsiaTheme="minorEastAsia"/>
          <w:b w:val="0"/>
          <w:bCs w:val="0"/>
          <w:color w:val="auto"/>
          <w:sz w:val="30"/>
          <w:szCs w:val="30"/>
          <w:highlight w:val="none"/>
          <w:u w:val="none"/>
        </w:rPr>
        <w:t>附件</w:t>
      </w:r>
      <w:r>
        <w:rPr>
          <w:rFonts w:asciiTheme="minorEastAsia" w:hAnsiTheme="minorEastAsia" w:eastAsiaTheme="minorEastAsia"/>
          <w:b w:val="0"/>
          <w:bCs w:val="0"/>
          <w:color w:val="auto"/>
          <w:sz w:val="30"/>
          <w:szCs w:val="30"/>
          <w:highlight w:val="none"/>
          <w:u w:val="none"/>
        </w:rPr>
        <w:t>1-9</w:t>
      </w:r>
      <w:r>
        <w:rPr>
          <w:rFonts w:hint="eastAsia" w:asciiTheme="minorEastAsia" w:hAnsiTheme="minorEastAsia" w:eastAsiaTheme="minorEastAsia"/>
          <w:b w:val="0"/>
          <w:bCs w:val="0"/>
          <w:color w:val="auto"/>
          <w:sz w:val="30"/>
          <w:szCs w:val="30"/>
          <w:highlight w:val="none"/>
          <w:u w:val="none"/>
        </w:rPr>
        <w:t>售后服务承诺书格式：</w:t>
      </w:r>
      <w:bookmarkEnd w:id="67"/>
    </w:p>
    <w:p>
      <w:pPr>
        <w:snapToGrid w:val="0"/>
        <w:spacing w:before="120"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售后服务承诺书</w:t>
      </w:r>
    </w:p>
    <w:p>
      <w:pPr>
        <w:snapToGrid w:val="0"/>
        <w:spacing w:line="600" w:lineRule="exact"/>
        <w:jc w:val="center"/>
        <w:rPr>
          <w:rFonts w:asciiTheme="minorEastAsia" w:hAnsiTheme="minorEastAsia" w:eastAsiaTheme="minorEastAsia"/>
          <w:color w:val="auto"/>
          <w:highlight w:val="none"/>
        </w:rPr>
      </w:pPr>
      <w:r>
        <w:rPr>
          <w:rFonts w:asciiTheme="minorEastAsia" w:hAnsiTheme="minorEastAsia" w:eastAsiaTheme="minorEastAsia"/>
          <w:b/>
          <w:color w:val="auto"/>
          <w:szCs w:val="21"/>
          <w:highlight w:val="none"/>
        </w:rPr>
        <w:t>（由供应商按《</w:t>
      </w:r>
      <w:r>
        <w:rPr>
          <w:rFonts w:hint="eastAsia" w:asciiTheme="minorEastAsia" w:hAnsiTheme="minorEastAsia" w:eastAsiaTheme="minorEastAsia"/>
          <w:b/>
          <w:color w:val="auto"/>
          <w:szCs w:val="21"/>
          <w:highlight w:val="none"/>
        </w:rPr>
        <w:t>项目内容和</w:t>
      </w:r>
      <w:r>
        <w:rPr>
          <w:rFonts w:hint="eastAsia" w:asciiTheme="minorEastAsia" w:hAnsiTheme="minorEastAsia" w:eastAsiaTheme="minorEastAsia"/>
          <w:b/>
          <w:color w:val="auto"/>
          <w:szCs w:val="21"/>
          <w:highlight w:val="none"/>
          <w:lang w:val="en-US" w:eastAsia="zh-CN"/>
        </w:rPr>
        <w:t>要求</w:t>
      </w:r>
      <w:r>
        <w:rPr>
          <w:rFonts w:asciiTheme="minorEastAsia" w:hAnsiTheme="minorEastAsia" w:eastAsiaTheme="minorEastAsia"/>
          <w:b/>
          <w:color w:val="auto"/>
          <w:szCs w:val="21"/>
          <w:highlight w:val="none"/>
        </w:rPr>
        <w:t>》中售后服务要求及评分办法的要求自行分别编写）</w:t>
      </w:r>
    </w:p>
    <w:p>
      <w:pPr>
        <w:pStyle w:val="4"/>
        <w:rPr>
          <w:rFonts w:asciiTheme="minorEastAsia" w:hAnsiTheme="minorEastAsia" w:eastAsiaTheme="minorEastAsia"/>
          <w:b w:val="0"/>
          <w:bCs w:val="0"/>
          <w:color w:val="auto"/>
          <w:sz w:val="30"/>
          <w:szCs w:val="30"/>
          <w:highlight w:val="none"/>
          <w:u w:val="none"/>
        </w:rPr>
      </w:pPr>
      <w:r>
        <w:rPr>
          <w:rFonts w:asciiTheme="minorEastAsia" w:hAnsiTheme="minorEastAsia" w:eastAsiaTheme="minorEastAsia"/>
          <w:color w:val="auto"/>
          <w:highlight w:val="none"/>
        </w:rPr>
        <w:br w:type="page"/>
      </w:r>
      <w:bookmarkStart w:id="68" w:name="_Toc124269272"/>
      <w:r>
        <w:rPr>
          <w:rFonts w:hint="eastAsia" w:asciiTheme="minorEastAsia" w:hAnsiTheme="minorEastAsia" w:eastAsiaTheme="minorEastAsia"/>
          <w:b w:val="0"/>
          <w:bCs w:val="0"/>
          <w:color w:val="auto"/>
          <w:sz w:val="30"/>
          <w:szCs w:val="30"/>
          <w:highlight w:val="none"/>
          <w:u w:val="none"/>
        </w:rPr>
        <w:t>附件</w:t>
      </w:r>
      <w:r>
        <w:rPr>
          <w:rFonts w:asciiTheme="minorEastAsia" w:hAnsiTheme="minorEastAsia" w:eastAsiaTheme="minorEastAsia"/>
          <w:b w:val="0"/>
          <w:bCs w:val="0"/>
          <w:color w:val="auto"/>
          <w:sz w:val="30"/>
          <w:szCs w:val="30"/>
          <w:highlight w:val="none"/>
          <w:u w:val="none"/>
        </w:rPr>
        <w:t xml:space="preserve">1-10 </w:t>
      </w:r>
      <w:r>
        <w:rPr>
          <w:rFonts w:hint="eastAsia" w:asciiTheme="minorEastAsia" w:hAnsiTheme="minorEastAsia" w:eastAsiaTheme="minorEastAsia"/>
          <w:b w:val="0"/>
          <w:bCs w:val="0"/>
          <w:color w:val="auto"/>
          <w:sz w:val="30"/>
          <w:szCs w:val="30"/>
          <w:highlight w:val="none"/>
          <w:u w:val="none"/>
        </w:rPr>
        <w:t>商务响应表格式：</w:t>
      </w:r>
      <w:bookmarkEnd w:id="68"/>
    </w:p>
    <w:p>
      <w:pPr>
        <w:snapToGrid w:val="0"/>
        <w:spacing w:before="120"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商务条款偏离表（格式）</w:t>
      </w:r>
    </w:p>
    <w:p>
      <w:pPr>
        <w:snapToGrid w:val="0"/>
        <w:spacing w:before="295" w:after="295" w:line="340" w:lineRule="exact"/>
        <w:ind w:firstLine="420" w:firstLineChars="200"/>
        <w:rPr>
          <w:rFonts w:cs="Courier New" w:asciiTheme="minorEastAsia" w:hAnsiTheme="minorEastAsia" w:eastAsiaTheme="minorEastAsia"/>
          <w:color w:val="auto"/>
          <w:szCs w:val="28"/>
          <w:highlight w:val="none"/>
        </w:rPr>
      </w:pPr>
      <w:r>
        <w:rPr>
          <w:rFonts w:hint="eastAsia" w:cs="Courier New" w:asciiTheme="minorEastAsia" w:hAnsiTheme="minorEastAsia" w:eastAsiaTheme="minorEastAsia"/>
          <w:color w:val="auto"/>
          <w:szCs w:val="28"/>
          <w:highlight w:val="none"/>
        </w:rPr>
        <w:t>请逐条对应本项目竞争性谈判文件中商务条款的要求，详细填写相应的具体内容，如果未完整填写此表的各项内容则视作供应商已经对竞争性谈判文件相关要求和内容完全理解并同意，其响应报价为在此基础上的完全价格。“偏离说明”一栏应当选择“正偏离”、“负偏离”或“无偏离”进行填写。</w:t>
      </w:r>
    </w:p>
    <w:tbl>
      <w:tblPr>
        <w:tblStyle w:val="22"/>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773"/>
        <w:gridCol w:w="3072"/>
        <w:gridCol w:w="3072"/>
        <w:gridCol w:w="2653"/>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项号</w:t>
            </w:r>
          </w:p>
        </w:tc>
        <w:tc>
          <w:tcPr>
            <w:tcW w:w="1605" w:type="pct"/>
            <w:shd w:val="clear" w:color="auto" w:fill="auto"/>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竞争性谈判文件的商务要求</w:t>
            </w:r>
          </w:p>
        </w:tc>
        <w:tc>
          <w:tcPr>
            <w:tcW w:w="1605" w:type="pct"/>
            <w:shd w:val="clear" w:color="auto" w:fill="auto"/>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响应文件承诺的商务条款</w:t>
            </w:r>
          </w:p>
        </w:tc>
        <w:tc>
          <w:tcPr>
            <w:tcW w:w="1385" w:type="pct"/>
            <w:shd w:val="clear" w:color="auto" w:fill="auto"/>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偏离说明</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一</w:t>
            </w:r>
          </w:p>
        </w:tc>
        <w:tc>
          <w:tcPr>
            <w:tcW w:w="1605" w:type="pct"/>
            <w:shd w:val="clear" w:color="auto" w:fill="auto"/>
            <w:vAlign w:val="center"/>
          </w:tcPr>
          <w:p>
            <w:pPr>
              <w:widowControl/>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合同签订期：</w:t>
            </w:r>
            <w:r>
              <w:rPr>
                <w:rFonts w:hint="eastAsia" w:asciiTheme="minorEastAsia" w:hAnsiTheme="minorEastAsia" w:eastAsiaTheme="minorEastAsia"/>
                <w:color w:val="auto"/>
                <w:szCs w:val="21"/>
                <w:highlight w:val="none"/>
                <w:u w:val="single"/>
              </w:rPr>
              <w:t>自成交通知书发出之日起</w:t>
            </w:r>
            <w:r>
              <w:rPr>
                <w:rFonts w:asciiTheme="minorEastAsia" w:hAnsiTheme="minorEastAsia" w:eastAsiaTheme="minorEastAsia"/>
                <w:color w:val="auto"/>
                <w:szCs w:val="21"/>
                <w:highlight w:val="none"/>
                <w:u w:val="single"/>
              </w:rPr>
              <w:t>30日（日历天）内</w:t>
            </w:r>
            <w:r>
              <w:rPr>
                <w:rFonts w:asciiTheme="minorEastAsia" w:hAnsiTheme="minorEastAsia" w:eastAsiaTheme="minorEastAsia"/>
                <w:color w:val="auto"/>
                <w:szCs w:val="21"/>
                <w:highlight w:val="none"/>
              </w:rPr>
              <w:t>。</w:t>
            </w:r>
          </w:p>
        </w:tc>
        <w:tc>
          <w:tcPr>
            <w:tcW w:w="160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正偏离（负偏离或无偏离）</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二</w:t>
            </w:r>
          </w:p>
        </w:tc>
        <w:tc>
          <w:tcPr>
            <w:tcW w:w="1605" w:type="pct"/>
            <w:shd w:val="clear" w:color="auto" w:fill="auto"/>
            <w:vAlign w:val="center"/>
          </w:tcPr>
          <w:p>
            <w:pPr>
              <w:widowControl/>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交货期：</w:t>
            </w:r>
            <w:r>
              <w:rPr>
                <w:rFonts w:asciiTheme="minorEastAsia" w:hAnsiTheme="minorEastAsia" w:eastAsiaTheme="minorEastAsia"/>
                <w:color w:val="auto"/>
                <w:szCs w:val="21"/>
                <w:highlight w:val="none"/>
              </w:rPr>
              <w:t xml:space="preserve"> </w:t>
            </w:r>
          </w:p>
        </w:tc>
        <w:tc>
          <w:tcPr>
            <w:tcW w:w="160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正偏离（负偏离或无偏离）</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三</w:t>
            </w:r>
          </w:p>
        </w:tc>
        <w:tc>
          <w:tcPr>
            <w:tcW w:w="1605" w:type="pct"/>
            <w:shd w:val="clear" w:color="auto" w:fill="auto"/>
            <w:vAlign w:val="center"/>
          </w:tcPr>
          <w:p>
            <w:pPr>
              <w:widowControl/>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交货地点：</w:t>
            </w:r>
            <w:r>
              <w:rPr>
                <w:rFonts w:hint="eastAsia" w:asciiTheme="minorEastAsia" w:hAnsiTheme="minorEastAsia" w:eastAsiaTheme="minorEastAsia"/>
                <w:b/>
                <w:color w:val="auto"/>
                <w:szCs w:val="21"/>
                <w:highlight w:val="none"/>
                <w:u w:val="single"/>
              </w:rPr>
              <w:t>漳州招商局经济技术开发区四区兴港南路南段道路西侧场地</w:t>
            </w:r>
            <w:r>
              <w:rPr>
                <w:rFonts w:hint="eastAsia" w:asciiTheme="minorEastAsia" w:hAnsiTheme="minorEastAsia" w:eastAsiaTheme="minorEastAsia"/>
                <w:color w:val="auto"/>
                <w:szCs w:val="21"/>
                <w:highlight w:val="none"/>
              </w:rPr>
              <w:t>。</w:t>
            </w:r>
          </w:p>
        </w:tc>
        <w:tc>
          <w:tcPr>
            <w:tcW w:w="160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四</w:t>
            </w:r>
          </w:p>
        </w:tc>
        <w:tc>
          <w:tcPr>
            <w:tcW w:w="1605" w:type="pct"/>
            <w:shd w:val="clear" w:color="auto" w:fill="auto"/>
            <w:vAlign w:val="center"/>
          </w:tcPr>
          <w:p>
            <w:pPr>
              <w:widowControl/>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付款方式：合同专用条款</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lang w:val="en-US" w:eastAsia="zh-CN"/>
              </w:rPr>
              <w:t>1不</w:t>
            </w:r>
            <w:r>
              <w:rPr>
                <w:rFonts w:hint="eastAsia" w:asciiTheme="minorEastAsia" w:hAnsiTheme="minorEastAsia" w:eastAsiaTheme="minorEastAsia"/>
                <w:color w:val="auto"/>
                <w:szCs w:val="21"/>
                <w:highlight w:val="none"/>
              </w:rPr>
              <w:t>需安装设备合同款项的支付方式</w:t>
            </w:r>
          </w:p>
        </w:tc>
        <w:tc>
          <w:tcPr>
            <w:tcW w:w="160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五</w:t>
            </w:r>
          </w:p>
        </w:tc>
        <w:tc>
          <w:tcPr>
            <w:tcW w:w="1605" w:type="pct"/>
            <w:shd w:val="clear" w:color="auto" w:fill="auto"/>
            <w:vAlign w:val="center"/>
          </w:tcPr>
          <w:p>
            <w:pPr>
              <w:widowControl/>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售后服务要求：项目内容</w:t>
            </w:r>
            <w:r>
              <w:rPr>
                <w:rFonts w:asciiTheme="minorEastAsia" w:hAnsiTheme="minorEastAsia" w:eastAsiaTheme="minorEastAsia"/>
                <w:color w:val="auto"/>
                <w:szCs w:val="21"/>
                <w:highlight w:val="none"/>
              </w:rPr>
              <w:t>/3.9.</w:t>
            </w:r>
            <w:r>
              <w:rPr>
                <w:rFonts w:hint="eastAsia" w:asciiTheme="minorEastAsia" w:hAnsiTheme="minorEastAsia" w:eastAsiaTheme="minorEastAsia"/>
                <w:color w:val="auto"/>
                <w:szCs w:val="21"/>
                <w:highlight w:val="none"/>
              </w:rPr>
              <w:t>售后服务计划及承诺</w:t>
            </w:r>
          </w:p>
        </w:tc>
        <w:tc>
          <w:tcPr>
            <w:tcW w:w="160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六</w:t>
            </w:r>
          </w:p>
        </w:tc>
        <w:tc>
          <w:tcPr>
            <w:tcW w:w="1605" w:type="pct"/>
            <w:shd w:val="clear" w:color="auto" w:fill="auto"/>
            <w:vAlign w:val="center"/>
          </w:tcPr>
          <w:p>
            <w:pPr>
              <w:widowControl/>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其他要求：质保期至少</w:t>
            </w:r>
            <w:r>
              <w:rPr>
                <w:rFonts w:asciiTheme="minorEastAsia" w:hAnsiTheme="minorEastAsia" w:eastAsiaTheme="minorEastAsia"/>
                <w:color w:val="auto"/>
                <w:szCs w:val="21"/>
                <w:highlight w:val="none"/>
              </w:rPr>
              <w:t>1年</w:t>
            </w:r>
          </w:p>
        </w:tc>
        <w:tc>
          <w:tcPr>
            <w:tcW w:w="160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shd w:val="clear" w:color="auto" w:fill="auto"/>
            <w:vAlign w:val="center"/>
          </w:tcPr>
          <w:p>
            <w:pPr>
              <w:tabs>
                <w:tab w:val="left" w:pos="1418"/>
              </w:tabs>
              <w:snapToGrid w:val="0"/>
              <w:jc w:val="left"/>
              <w:rPr>
                <w:rFonts w:asciiTheme="minorEastAsia" w:hAnsiTheme="minorEastAsia" w:eastAsiaTheme="minorEastAsia"/>
                <w:color w:val="auto"/>
                <w:spacing w:val="20"/>
                <w:szCs w:val="21"/>
                <w:highlight w:val="none"/>
              </w:rPr>
            </w:pPr>
            <w:r>
              <w:rPr>
                <w:rFonts w:hint="eastAsia" w:cs="Arial" w:asciiTheme="minorEastAsia" w:hAnsiTheme="minorEastAsia" w:eastAsiaTheme="minorEastAsia"/>
                <w:color w:val="auto"/>
                <w:szCs w:val="21"/>
                <w:highlight w:val="none"/>
              </w:rPr>
              <w:t>我方确认：除了表中所列的条款外，我方的将依从竞争性谈判文件对于商务的全部要求和规定。</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shd w:val="clear" w:color="auto" w:fill="auto"/>
            <w:vAlign w:val="center"/>
          </w:tcPr>
          <w:p>
            <w:pPr>
              <w:tabs>
                <w:tab w:val="left" w:pos="1418"/>
              </w:tabs>
              <w:snapToGrid w:val="0"/>
              <w:jc w:val="left"/>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供应商（盖单位公章）：</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shd w:val="clear" w:color="auto" w:fill="auto"/>
            <w:vAlign w:val="center"/>
          </w:tcPr>
          <w:p>
            <w:pPr>
              <w:tabs>
                <w:tab w:val="left" w:pos="1418"/>
              </w:tabs>
              <w:snapToGrid w:val="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法定代表人或其委托代理人（签字或盖章）：</w:t>
            </w:r>
          </w:p>
        </w:tc>
      </w:tr>
    </w:tbl>
    <w:p>
      <w:pPr>
        <w:snapToGrid w:val="0"/>
        <w:spacing w:after="240" w:afterLines="100"/>
        <w:rPr>
          <w:rFonts w:cs="Courier New" w:asciiTheme="minorEastAsia" w:hAnsiTheme="minorEastAsia" w:eastAsiaTheme="minorEastAsia"/>
          <w:b/>
          <w:color w:val="auto"/>
          <w:szCs w:val="21"/>
          <w:highlight w:val="none"/>
        </w:rPr>
      </w:pPr>
      <w:r>
        <w:rPr>
          <w:rFonts w:hint="eastAsia" w:cs="Courier New" w:asciiTheme="minorEastAsia" w:hAnsiTheme="minorEastAsia" w:eastAsiaTheme="minorEastAsia"/>
          <w:b/>
          <w:color w:val="auto"/>
          <w:szCs w:val="21"/>
          <w:highlight w:val="none"/>
        </w:rPr>
        <w:t>注：</w:t>
      </w:r>
    </w:p>
    <w:p>
      <w:pPr>
        <w:snapToGrid w:val="0"/>
        <w:spacing w:line="360" w:lineRule="auto"/>
        <w:rPr>
          <w:rFonts w:cs="Courier New" w:asciiTheme="minorEastAsia" w:hAnsiTheme="minorEastAsia" w:eastAsiaTheme="minorEastAsia"/>
          <w:b/>
          <w:color w:val="auto"/>
          <w:szCs w:val="21"/>
          <w:highlight w:val="none"/>
        </w:rPr>
      </w:pPr>
      <w:r>
        <w:rPr>
          <w:rFonts w:hint="eastAsia" w:cs="Courier New" w:asciiTheme="minorEastAsia" w:hAnsiTheme="minorEastAsia" w:eastAsiaTheme="minorEastAsia"/>
          <w:b/>
          <w:color w:val="auto"/>
          <w:szCs w:val="21"/>
          <w:highlight w:val="none"/>
        </w:rPr>
        <w:t>（</w:t>
      </w:r>
      <w:r>
        <w:rPr>
          <w:rFonts w:cs="Courier New" w:asciiTheme="minorEastAsia" w:hAnsiTheme="minorEastAsia" w:eastAsiaTheme="minorEastAsia"/>
          <w:b/>
          <w:color w:val="auto"/>
          <w:szCs w:val="21"/>
          <w:highlight w:val="none"/>
        </w:rPr>
        <w:t>1）表格内容均需按各分标要求填写并盖章，不得留空，否则按响应无效处理。</w:t>
      </w:r>
    </w:p>
    <w:p>
      <w:pPr>
        <w:snapToGrid w:val="0"/>
        <w:spacing w:line="360" w:lineRule="auto"/>
        <w:rPr>
          <w:rFonts w:cs="Courier New" w:asciiTheme="minorEastAsia" w:hAnsiTheme="minorEastAsia" w:eastAsiaTheme="minorEastAsia"/>
          <w:b/>
          <w:color w:val="auto"/>
          <w:szCs w:val="21"/>
          <w:highlight w:val="none"/>
        </w:rPr>
      </w:pPr>
      <w:r>
        <w:rPr>
          <w:rFonts w:hint="eastAsia" w:cs="Courier New" w:asciiTheme="minorEastAsia" w:hAnsiTheme="minorEastAsia" w:eastAsiaTheme="minorEastAsia"/>
          <w:b/>
          <w:color w:val="auto"/>
          <w:szCs w:val="21"/>
          <w:highlight w:val="none"/>
        </w:rPr>
        <w:t>（</w:t>
      </w:r>
      <w:r>
        <w:rPr>
          <w:rFonts w:cs="Courier New" w:asciiTheme="minorEastAsia" w:hAnsiTheme="minorEastAsia" w:eastAsiaTheme="minorEastAsia"/>
          <w:b/>
          <w:color w:val="auto"/>
          <w:szCs w:val="21"/>
          <w:highlight w:val="none"/>
        </w:rPr>
        <w:t>2）请逐条对应本项目竞争性谈判文件第</w:t>
      </w:r>
      <w:r>
        <w:rPr>
          <w:rFonts w:hint="eastAsia" w:cs="Courier New" w:asciiTheme="minorEastAsia" w:hAnsiTheme="minorEastAsia" w:eastAsiaTheme="minorEastAsia"/>
          <w:b/>
          <w:color w:val="auto"/>
          <w:szCs w:val="21"/>
          <w:highlight w:val="none"/>
        </w:rPr>
        <w:t>三</w:t>
      </w:r>
      <w:r>
        <w:rPr>
          <w:rFonts w:cs="Courier New" w:asciiTheme="minorEastAsia" w:hAnsiTheme="minorEastAsia" w:eastAsiaTheme="minorEastAsia"/>
          <w:b/>
          <w:color w:val="auto"/>
          <w:szCs w:val="21"/>
          <w:highlight w:val="none"/>
        </w:rPr>
        <w:t>章</w:t>
      </w:r>
      <w:r>
        <w:rPr>
          <w:rFonts w:hint="eastAsia" w:cs="Courier New" w:asciiTheme="minorEastAsia" w:hAnsiTheme="minorEastAsia" w:eastAsiaTheme="minorEastAsia"/>
          <w:b/>
          <w:color w:val="auto"/>
          <w:szCs w:val="21"/>
          <w:highlight w:val="none"/>
        </w:rPr>
        <w:t>“</w:t>
      </w:r>
      <w:r>
        <w:rPr>
          <w:rFonts w:cs="Courier New" w:asciiTheme="minorEastAsia" w:hAnsiTheme="minorEastAsia" w:eastAsiaTheme="minorEastAsia"/>
          <w:b/>
          <w:color w:val="auto"/>
          <w:szCs w:val="21"/>
          <w:highlight w:val="none"/>
        </w:rPr>
        <w:t>采购项目采购需求</w:t>
      </w:r>
      <w:r>
        <w:rPr>
          <w:rFonts w:hint="eastAsia" w:cs="Courier New" w:asciiTheme="minorEastAsia" w:hAnsiTheme="minorEastAsia" w:eastAsiaTheme="minorEastAsia"/>
          <w:b/>
          <w:color w:val="auto"/>
          <w:szCs w:val="21"/>
          <w:highlight w:val="none"/>
        </w:rPr>
        <w:t>”、“第四章</w:t>
      </w:r>
      <w:r>
        <w:rPr>
          <w:rFonts w:cs="Courier New" w:asciiTheme="minorEastAsia" w:hAnsiTheme="minorEastAsia" w:eastAsiaTheme="minorEastAsia"/>
          <w:b/>
          <w:color w:val="auto"/>
          <w:szCs w:val="21"/>
          <w:highlight w:val="none"/>
        </w:rPr>
        <w:t xml:space="preserve"> </w:t>
      </w:r>
      <w:r>
        <w:rPr>
          <w:rFonts w:hint="eastAsia" w:cs="Courier New" w:asciiTheme="minorEastAsia" w:hAnsiTheme="minorEastAsia" w:eastAsiaTheme="minorEastAsia"/>
          <w:b/>
          <w:color w:val="auto"/>
          <w:szCs w:val="21"/>
          <w:highlight w:val="none"/>
        </w:rPr>
        <w:t>合同主要条款格式”，详细填写相应的具体内容。“偏离说明”一栏应当选择“正偏离”、“负偏离”或“无偏离”进行填写。供应商对照竞争性谈判文件要求在“偏离说明”栏注明“正偏离”、“负偏离”或“无偏离”</w:t>
      </w:r>
      <w:r>
        <w:rPr>
          <w:rFonts w:cs="Courier New" w:asciiTheme="minorEastAsia" w:hAnsiTheme="minorEastAsia" w:eastAsiaTheme="minorEastAsia"/>
          <w:b/>
          <w:color w:val="auto"/>
          <w:szCs w:val="21"/>
          <w:highlight w:val="none"/>
        </w:rPr>
        <w:t xml:space="preserve"> </w:t>
      </w:r>
      <w:r>
        <w:rPr>
          <w:rFonts w:hint="eastAsia" w:cs="Courier New" w:asciiTheme="minorEastAsia" w:hAnsiTheme="minorEastAsia" w:eastAsiaTheme="minorEastAsia"/>
          <w:b/>
          <w:color w:val="auto"/>
          <w:szCs w:val="21"/>
          <w:highlight w:val="none"/>
        </w:rPr>
        <w:t>。响应要求相同的为无偏离，商务响应要求高于采购要求的为正偏离，低于采购要求的为负偏离。</w:t>
      </w:r>
    </w:p>
    <w:p>
      <w:pPr>
        <w:snapToGrid w:val="0"/>
        <w:spacing w:line="360" w:lineRule="auto"/>
        <w:rPr>
          <w:rFonts w:cs="Courier New" w:asciiTheme="minorEastAsia" w:hAnsiTheme="minorEastAsia" w:eastAsiaTheme="minorEastAsia"/>
          <w:b/>
          <w:color w:val="auto"/>
          <w:szCs w:val="21"/>
          <w:highlight w:val="none"/>
        </w:rPr>
      </w:pPr>
      <w:r>
        <w:rPr>
          <w:rFonts w:hint="eastAsia" w:cs="Courier New" w:asciiTheme="minorEastAsia" w:hAnsiTheme="minorEastAsia" w:eastAsiaTheme="minorEastAsia"/>
          <w:b/>
          <w:color w:val="auto"/>
          <w:szCs w:val="21"/>
          <w:highlight w:val="none"/>
        </w:rPr>
        <w:t>（</w:t>
      </w:r>
      <w:r>
        <w:rPr>
          <w:rFonts w:cs="Courier New" w:asciiTheme="minorEastAsia" w:hAnsiTheme="minorEastAsia" w:eastAsiaTheme="minorEastAsia"/>
          <w:b/>
          <w:color w:val="auto"/>
          <w:szCs w:val="21"/>
          <w:highlight w:val="none"/>
        </w:rPr>
        <w:t>3）如果响应文件需求小于或大于采购文件某个数值标准时，响应文件不得直接复制采购文件需求，响应文件对应内容应当写商务响应的实际数值，否则按响应无效处理。</w:t>
      </w:r>
    </w:p>
    <w:p>
      <w:pPr>
        <w:pStyle w:val="11"/>
        <w:spacing w:line="440" w:lineRule="exact"/>
        <w:outlineLvl w:val="1"/>
        <w:rPr>
          <w:rFonts w:cs="Courier New" w:asciiTheme="minorEastAsia" w:hAnsiTheme="minorEastAsia" w:eastAsiaTheme="minorEastAsia"/>
          <w:b/>
          <w:color w:val="auto"/>
          <w:szCs w:val="21"/>
          <w:highlight w:val="none"/>
        </w:rPr>
      </w:pPr>
      <w:r>
        <w:rPr>
          <w:rFonts w:hint="eastAsia" w:cs="Courier New" w:asciiTheme="minorEastAsia" w:hAnsiTheme="minorEastAsia" w:eastAsiaTheme="minorEastAsia"/>
          <w:b/>
          <w:color w:val="auto"/>
          <w:szCs w:val="21"/>
          <w:highlight w:val="none"/>
        </w:rPr>
        <w:t>（</w:t>
      </w:r>
      <w:r>
        <w:rPr>
          <w:rFonts w:cs="Courier New" w:asciiTheme="minorEastAsia" w:hAnsiTheme="minorEastAsia" w:eastAsiaTheme="minorEastAsia"/>
          <w:b/>
          <w:color w:val="auto"/>
          <w:szCs w:val="21"/>
          <w:highlight w:val="none"/>
        </w:rPr>
        <w:t>4）当</w:t>
      </w:r>
      <w:r>
        <w:rPr>
          <w:rFonts w:hint="eastAsia" w:cs="Courier New" w:asciiTheme="minorEastAsia" w:hAnsiTheme="minorEastAsia" w:eastAsiaTheme="minorEastAsia"/>
          <w:b/>
          <w:color w:val="auto"/>
          <w:szCs w:val="21"/>
          <w:highlight w:val="none"/>
        </w:rPr>
        <w:t>谈判</w:t>
      </w:r>
      <w:r>
        <w:rPr>
          <w:rFonts w:cs="Courier New" w:asciiTheme="minorEastAsia" w:hAnsiTheme="minorEastAsia" w:eastAsiaTheme="minorEastAsia"/>
          <w:b/>
          <w:color w:val="auto"/>
          <w:szCs w:val="21"/>
          <w:highlight w:val="none"/>
        </w:rPr>
        <w:t>响应文件的技术参数或商务内容低于竞争性</w:t>
      </w:r>
      <w:r>
        <w:rPr>
          <w:rFonts w:hint="eastAsia" w:cs="Courier New" w:asciiTheme="minorEastAsia" w:hAnsiTheme="minorEastAsia" w:eastAsiaTheme="minorEastAsia"/>
          <w:b/>
          <w:color w:val="auto"/>
          <w:szCs w:val="21"/>
          <w:highlight w:val="none"/>
        </w:rPr>
        <w:t>谈判</w:t>
      </w:r>
      <w:r>
        <w:rPr>
          <w:rFonts w:cs="Courier New" w:asciiTheme="minorEastAsia" w:hAnsiTheme="minorEastAsia" w:eastAsiaTheme="minorEastAsia"/>
          <w:b/>
          <w:color w:val="auto"/>
          <w:szCs w:val="21"/>
          <w:highlight w:val="none"/>
        </w:rPr>
        <w:t>文件要求时，供应商应当如实写明</w:t>
      </w:r>
      <w:r>
        <w:rPr>
          <w:rFonts w:hint="eastAsia" w:cs="Courier New" w:asciiTheme="minorEastAsia" w:hAnsiTheme="minorEastAsia" w:eastAsiaTheme="minorEastAsia"/>
          <w:b/>
          <w:color w:val="auto"/>
          <w:szCs w:val="21"/>
          <w:highlight w:val="none"/>
        </w:rPr>
        <w:t>“</w:t>
      </w:r>
      <w:r>
        <w:rPr>
          <w:rFonts w:cs="Courier New" w:asciiTheme="minorEastAsia" w:hAnsiTheme="minorEastAsia" w:eastAsiaTheme="minorEastAsia"/>
          <w:b/>
          <w:color w:val="auto"/>
          <w:szCs w:val="21"/>
          <w:highlight w:val="none"/>
        </w:rPr>
        <w:t>负偏离</w:t>
      </w:r>
      <w:r>
        <w:rPr>
          <w:rFonts w:hint="eastAsia" w:cs="Courier New" w:asciiTheme="minorEastAsia" w:hAnsiTheme="minorEastAsia" w:eastAsiaTheme="minorEastAsia"/>
          <w:b/>
          <w:color w:val="auto"/>
          <w:szCs w:val="21"/>
          <w:highlight w:val="none"/>
        </w:rPr>
        <w:t>”</w:t>
      </w:r>
      <w:r>
        <w:rPr>
          <w:rFonts w:cs="Courier New" w:asciiTheme="minorEastAsia" w:hAnsiTheme="minorEastAsia" w:eastAsiaTheme="minorEastAsia"/>
          <w:b/>
          <w:color w:val="auto"/>
          <w:szCs w:val="21"/>
          <w:highlight w:val="none"/>
        </w:rPr>
        <w:t>，否则视为虚假应标。</w:t>
      </w:r>
    </w:p>
    <w:p>
      <w:pPr>
        <w:pStyle w:val="11"/>
        <w:spacing w:line="440" w:lineRule="exact"/>
        <w:outlineLvl w:val="1"/>
        <w:rPr>
          <w:rFonts w:cs="Courier New" w:asciiTheme="minorEastAsia" w:hAnsiTheme="minorEastAsia" w:eastAsiaTheme="minorEastAsia"/>
          <w:b/>
          <w:color w:val="auto"/>
          <w:szCs w:val="21"/>
          <w:highlight w:val="none"/>
        </w:rPr>
      </w:pPr>
    </w:p>
    <w:p>
      <w:pPr>
        <w:rPr>
          <w:rFonts w:cs="Courier New" w:asciiTheme="minorEastAsia" w:hAnsiTheme="minorEastAsia" w:eastAsiaTheme="minorEastAsia"/>
          <w:b/>
          <w:color w:val="auto"/>
          <w:szCs w:val="21"/>
          <w:highlight w:val="none"/>
        </w:rPr>
      </w:pPr>
      <w:r>
        <w:rPr>
          <w:rFonts w:cs="Courier New" w:asciiTheme="minorEastAsia" w:hAnsiTheme="minorEastAsia" w:eastAsiaTheme="minorEastAsia"/>
          <w:b/>
          <w:color w:val="auto"/>
          <w:szCs w:val="21"/>
          <w:highlight w:val="none"/>
        </w:rPr>
        <w:br w:type="page"/>
      </w:r>
    </w:p>
    <w:p>
      <w:pPr>
        <w:pStyle w:val="5"/>
        <w:rPr>
          <w:rFonts w:asciiTheme="minorEastAsia" w:hAnsiTheme="minorEastAsia" w:eastAsiaTheme="minorEastAsia"/>
          <w:color w:val="auto"/>
          <w:kern w:val="2"/>
          <w:sz w:val="30"/>
          <w:szCs w:val="30"/>
          <w:highlight w:val="none"/>
        </w:rPr>
      </w:pPr>
      <w:r>
        <w:rPr>
          <w:rFonts w:hint="eastAsia" w:asciiTheme="minorEastAsia" w:hAnsiTheme="minorEastAsia" w:eastAsiaTheme="minorEastAsia"/>
          <w:color w:val="auto"/>
          <w:kern w:val="2"/>
          <w:sz w:val="30"/>
          <w:szCs w:val="30"/>
          <w:highlight w:val="none"/>
        </w:rPr>
        <w:t>附件</w:t>
      </w:r>
      <w:r>
        <w:rPr>
          <w:rFonts w:asciiTheme="minorEastAsia" w:hAnsiTheme="minorEastAsia" w:eastAsiaTheme="minorEastAsia"/>
          <w:color w:val="auto"/>
          <w:kern w:val="2"/>
          <w:sz w:val="30"/>
          <w:szCs w:val="30"/>
          <w:highlight w:val="none"/>
        </w:rPr>
        <w:t xml:space="preserve">1-11 </w:t>
      </w:r>
      <w:r>
        <w:rPr>
          <w:rFonts w:hint="eastAsia" w:asciiTheme="minorEastAsia" w:hAnsiTheme="minorEastAsia" w:eastAsiaTheme="minorEastAsia"/>
          <w:color w:val="auto"/>
          <w:kern w:val="2"/>
          <w:sz w:val="30"/>
          <w:szCs w:val="30"/>
          <w:highlight w:val="none"/>
        </w:rPr>
        <w:t>响应保证金（如有）</w:t>
      </w:r>
    </w:p>
    <w:p>
      <w:pPr>
        <w:pStyle w:val="4"/>
        <w:rPr>
          <w:rFonts w:asciiTheme="minorEastAsia" w:hAnsiTheme="minorEastAsia" w:eastAsiaTheme="minorEastAsia" w:cstheme="minorEastAsia"/>
          <w:color w:val="auto"/>
          <w:highlight w:val="none"/>
        </w:rPr>
      </w:pPr>
      <w:r>
        <w:rPr>
          <w:rFonts w:asciiTheme="minorEastAsia" w:hAnsiTheme="minorEastAsia" w:eastAsiaTheme="minorEastAsia"/>
          <w:b w:val="0"/>
          <w:bCs w:val="0"/>
          <w:color w:val="auto"/>
          <w:sz w:val="30"/>
          <w:szCs w:val="30"/>
          <w:highlight w:val="none"/>
          <w:u w:val="none"/>
        </w:rPr>
        <w:br w:type="page"/>
      </w:r>
    </w:p>
    <w:p>
      <w:pPr>
        <w:rPr>
          <w:rFonts w:asciiTheme="minorEastAsia" w:hAnsiTheme="minorEastAsia" w:eastAsiaTheme="minorEastAsia"/>
          <w:color w:val="auto"/>
          <w:highlight w:val="none"/>
        </w:rPr>
      </w:pPr>
      <w:r>
        <w:rPr>
          <w:rFonts w:hint="eastAsia" w:asciiTheme="minorEastAsia" w:hAnsiTheme="minorEastAsia" w:eastAsiaTheme="minorEastAsia"/>
          <w:color w:val="auto"/>
          <w:sz w:val="30"/>
          <w:szCs w:val="30"/>
          <w:highlight w:val="none"/>
        </w:rPr>
        <w:t>附件</w:t>
      </w:r>
      <w:r>
        <w:rPr>
          <w:rFonts w:asciiTheme="minorEastAsia" w:hAnsiTheme="minorEastAsia" w:eastAsiaTheme="minorEastAsia"/>
          <w:color w:val="auto"/>
          <w:sz w:val="30"/>
          <w:szCs w:val="30"/>
          <w:highlight w:val="none"/>
        </w:rPr>
        <w:t>1-12 供应商资格商务文件的其他要求（没有可不填）</w:t>
      </w:r>
      <w:r>
        <w:rPr>
          <w:rFonts w:hint="eastAsia" w:asciiTheme="minorEastAsia" w:hAnsiTheme="minorEastAsia" w:eastAsiaTheme="minorEastAsia"/>
          <w:b/>
          <w:color w:val="auto"/>
          <w:szCs w:val="21"/>
          <w:highlight w:val="none"/>
        </w:rPr>
        <w:t>：</w:t>
      </w:r>
    </w:p>
    <w:p>
      <w:pPr>
        <w:spacing w:line="520" w:lineRule="exact"/>
        <w:rPr>
          <w:rFonts w:asciiTheme="minorEastAsia" w:hAnsiTheme="minorEastAsia" w:eastAsiaTheme="minorEastAsia"/>
          <w:b/>
          <w:color w:val="auto"/>
          <w:sz w:val="44"/>
          <w:szCs w:val="44"/>
          <w:highlight w:val="none"/>
        </w:rPr>
      </w:pPr>
      <w:r>
        <w:rPr>
          <w:rFonts w:cs="Courier New" w:asciiTheme="minorEastAsia" w:hAnsiTheme="minorEastAsia" w:eastAsiaTheme="minorEastAsia"/>
          <w:b/>
          <w:color w:val="auto"/>
          <w:szCs w:val="21"/>
          <w:highlight w:val="none"/>
        </w:rPr>
        <w:br w:type="page"/>
      </w:r>
      <w:r>
        <w:rPr>
          <w:rFonts w:hint="eastAsia" w:asciiTheme="minorEastAsia" w:hAnsiTheme="minorEastAsia" w:eastAsiaTheme="minorEastAsia"/>
          <w:color w:val="auto"/>
          <w:sz w:val="30"/>
          <w:szCs w:val="30"/>
          <w:highlight w:val="none"/>
        </w:rPr>
        <w:t>附件</w:t>
      </w:r>
      <w:r>
        <w:rPr>
          <w:rFonts w:asciiTheme="minorEastAsia" w:hAnsiTheme="minorEastAsia" w:eastAsiaTheme="minorEastAsia"/>
          <w:color w:val="auto"/>
          <w:sz w:val="30"/>
          <w:szCs w:val="30"/>
          <w:highlight w:val="none"/>
        </w:rPr>
        <w:t>1-1</w:t>
      </w:r>
      <w:r>
        <w:rPr>
          <w:rFonts w:hint="eastAsia" w:asciiTheme="minorEastAsia" w:hAnsiTheme="minorEastAsia" w:eastAsiaTheme="minorEastAsia"/>
          <w:color w:val="auto"/>
          <w:sz w:val="30"/>
          <w:szCs w:val="30"/>
          <w:highlight w:val="none"/>
          <w:lang w:val="en-US" w:eastAsia="zh-CN"/>
        </w:rPr>
        <w:t>3</w:t>
      </w:r>
      <w:r>
        <w:rPr>
          <w:rFonts w:asciiTheme="minorEastAsia" w:hAnsiTheme="minorEastAsia" w:eastAsiaTheme="minorEastAsia"/>
          <w:color w:val="auto"/>
          <w:sz w:val="30"/>
          <w:szCs w:val="30"/>
          <w:highlight w:val="none"/>
        </w:rPr>
        <w:t xml:space="preserve"> </w:t>
      </w:r>
    </w:p>
    <w:p>
      <w:pPr>
        <w:spacing w:line="52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b/>
          <w:color w:val="auto"/>
          <w:sz w:val="44"/>
          <w:szCs w:val="44"/>
          <w:highlight w:val="none"/>
        </w:rPr>
        <w:t>商务文件</w:t>
      </w:r>
    </w:p>
    <w:p>
      <w:pPr>
        <w:spacing w:line="52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致：</w:t>
      </w:r>
      <w:r>
        <w:rPr>
          <w:rFonts w:cs="宋体" w:asciiTheme="minorEastAsia" w:hAnsiTheme="minorEastAsia" w:eastAsiaTheme="minorEastAsia"/>
          <w:color w:val="auto"/>
          <w:szCs w:val="21"/>
          <w:highlight w:val="none"/>
          <w:u w:val="single"/>
        </w:rPr>
        <w:t xml:space="preserve">     </w:t>
      </w:r>
    </w:p>
    <w:p>
      <w:pPr>
        <w:numPr>
          <w:ilvl w:val="0"/>
          <w:numId w:val="7"/>
        </w:numPr>
        <w:spacing w:line="52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根据你公司</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竞争性谈判文件，遵照《中华人民共和国招标投标法》等有关规定，经研究上述谈判文件的谈判须知、合同条款、服务标准及其他有关文件后，我方报价如下</w:t>
      </w:r>
    </w:p>
    <w:tbl>
      <w:tblPr>
        <w:tblStyle w:val="22"/>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651"/>
        <w:gridCol w:w="1773"/>
        <w:gridCol w:w="2538"/>
        <w:gridCol w:w="829"/>
        <w:gridCol w:w="829"/>
        <w:gridCol w:w="1455"/>
        <w:gridCol w:w="1664"/>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序号</w:t>
            </w:r>
          </w:p>
        </w:tc>
        <w:tc>
          <w:tcPr>
            <w:tcW w:w="2424" w:type="dxa"/>
            <w:gridSpan w:val="2"/>
            <w:vAlign w:val="center"/>
          </w:tcPr>
          <w:p>
            <w:pPr>
              <w:tabs>
                <w:tab w:val="left" w:pos="5760"/>
              </w:tabs>
              <w:spacing w:line="300"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名称</w:t>
            </w:r>
          </w:p>
        </w:tc>
        <w:tc>
          <w:tcPr>
            <w:tcW w:w="2538"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规格型号</w:t>
            </w:r>
          </w:p>
        </w:tc>
        <w:tc>
          <w:tcPr>
            <w:tcW w:w="829"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单位</w:t>
            </w:r>
          </w:p>
        </w:tc>
        <w:tc>
          <w:tcPr>
            <w:tcW w:w="829"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数量</w:t>
            </w:r>
          </w:p>
        </w:tc>
        <w:tc>
          <w:tcPr>
            <w:tcW w:w="1455"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单价</w:t>
            </w:r>
          </w:p>
        </w:tc>
        <w:tc>
          <w:tcPr>
            <w:tcW w:w="1664"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r>
              <w:rPr>
                <w:rFonts w:cs="仿宋" w:asciiTheme="minorEastAsia" w:hAnsiTheme="minorEastAsia" w:eastAsiaTheme="minorEastAsia"/>
                <w:color w:val="auto"/>
                <w:szCs w:val="21"/>
                <w:highlight w:val="none"/>
              </w:rPr>
              <w:t>1</w:t>
            </w:r>
          </w:p>
        </w:tc>
        <w:tc>
          <w:tcPr>
            <w:tcW w:w="2424" w:type="dxa"/>
            <w:gridSpan w:val="2"/>
            <w:vAlign w:val="center"/>
          </w:tcPr>
          <w:p>
            <w:pPr>
              <w:tabs>
                <w:tab w:val="left" w:pos="5760"/>
              </w:tabs>
              <w:spacing w:line="300" w:lineRule="auto"/>
              <w:jc w:val="center"/>
              <w:rPr>
                <w:rFonts w:cs="仿宋" w:asciiTheme="minorEastAsia" w:hAnsiTheme="minorEastAsia" w:eastAsiaTheme="minorEastAsia"/>
                <w:color w:val="auto"/>
                <w:szCs w:val="21"/>
                <w:highlight w:val="none"/>
              </w:rPr>
            </w:pPr>
          </w:p>
        </w:tc>
        <w:tc>
          <w:tcPr>
            <w:tcW w:w="2538"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p>
        </w:tc>
        <w:tc>
          <w:tcPr>
            <w:tcW w:w="829"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p>
        </w:tc>
        <w:tc>
          <w:tcPr>
            <w:tcW w:w="829"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p>
        </w:tc>
        <w:tc>
          <w:tcPr>
            <w:tcW w:w="1455"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p>
        </w:tc>
        <w:tc>
          <w:tcPr>
            <w:tcW w:w="1664"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r>
              <w:rPr>
                <w:rFonts w:cs="仿宋" w:asciiTheme="minorEastAsia" w:hAnsiTheme="minorEastAsia" w:eastAsiaTheme="minorEastAsia"/>
                <w:color w:val="auto"/>
                <w:szCs w:val="21"/>
                <w:highlight w:val="none"/>
              </w:rPr>
              <w:t>2</w:t>
            </w:r>
          </w:p>
        </w:tc>
        <w:tc>
          <w:tcPr>
            <w:tcW w:w="4962" w:type="dxa"/>
            <w:gridSpan w:val="3"/>
            <w:vAlign w:val="center"/>
          </w:tcPr>
          <w:p>
            <w:pPr>
              <w:tabs>
                <w:tab w:val="left" w:pos="5760"/>
              </w:tabs>
              <w:spacing w:line="300" w:lineRule="auto"/>
              <w:jc w:val="center"/>
              <w:rPr>
                <w:rFonts w:cs="仿宋" w:asciiTheme="minorEastAsia" w:hAnsiTheme="minorEastAsia" w:eastAsiaTheme="minorEastAsia"/>
                <w:color w:val="auto"/>
                <w:szCs w:val="21"/>
                <w:highlight w:val="none"/>
              </w:rPr>
            </w:pPr>
          </w:p>
        </w:tc>
        <w:tc>
          <w:tcPr>
            <w:tcW w:w="829"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p>
        </w:tc>
        <w:tc>
          <w:tcPr>
            <w:tcW w:w="829"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p>
        </w:tc>
        <w:tc>
          <w:tcPr>
            <w:tcW w:w="1455"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p>
        </w:tc>
        <w:tc>
          <w:tcPr>
            <w:tcW w:w="1664" w:type="dxa"/>
            <w:vAlign w:val="center"/>
          </w:tcPr>
          <w:p>
            <w:pPr>
              <w:tabs>
                <w:tab w:val="left" w:pos="5760"/>
              </w:tabs>
              <w:spacing w:line="300" w:lineRule="auto"/>
              <w:jc w:val="center"/>
              <w:rPr>
                <w:rFonts w:cs="仿宋" w:asciiTheme="minorEastAsia" w:hAnsiTheme="minorEastAsia" w:eastAsiaTheme="minorEastAsia"/>
                <w:color w:val="auto"/>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PrEx>
        <w:trPr>
          <w:trHeight w:val="533" w:hRule="exact"/>
          <w:jc w:val="center"/>
        </w:trPr>
        <w:tc>
          <w:tcPr>
            <w:tcW w:w="10637" w:type="dxa"/>
            <w:gridSpan w:val="8"/>
            <w:vAlign w:val="center"/>
          </w:tcPr>
          <w:p>
            <w:pPr>
              <w:tabs>
                <w:tab w:val="left" w:pos="5760"/>
              </w:tabs>
              <w:spacing w:line="300" w:lineRule="auto"/>
              <w:ind w:firstLine="5670" w:firstLineChars="27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含税总价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549" w:type="dxa"/>
            <w:gridSpan w:val="2"/>
            <w:vAlign w:val="center"/>
          </w:tcPr>
          <w:p>
            <w:pPr>
              <w:tabs>
                <w:tab w:val="left" w:pos="5760"/>
              </w:tabs>
              <w:spacing w:line="30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付款方式</w:t>
            </w:r>
          </w:p>
        </w:tc>
        <w:tc>
          <w:tcPr>
            <w:tcW w:w="9088" w:type="dxa"/>
            <w:gridSpan w:val="6"/>
            <w:vAlign w:val="center"/>
          </w:tcPr>
          <w:p>
            <w:pPr>
              <w:tabs>
                <w:tab w:val="left" w:pos="5760"/>
              </w:tabs>
              <w:spacing w:line="300" w:lineRule="auto"/>
              <w:ind w:firstLine="5670" w:firstLineChars="2700"/>
              <w:rPr>
                <w:rFonts w:cs="仿宋" w:asciiTheme="minorEastAsia" w:hAnsiTheme="minorEastAsia" w:eastAsiaTheme="minorEastAsia"/>
                <w:color w:val="auto"/>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549" w:type="dxa"/>
            <w:gridSpan w:val="2"/>
            <w:vAlign w:val="center"/>
          </w:tcPr>
          <w:p>
            <w:pPr>
              <w:tabs>
                <w:tab w:val="left" w:pos="5760"/>
              </w:tabs>
              <w:spacing w:line="30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税率</w:t>
            </w:r>
          </w:p>
        </w:tc>
        <w:tc>
          <w:tcPr>
            <w:tcW w:w="9088" w:type="dxa"/>
            <w:gridSpan w:val="6"/>
            <w:vAlign w:val="center"/>
          </w:tcPr>
          <w:p>
            <w:pPr>
              <w:tabs>
                <w:tab w:val="left" w:pos="5760"/>
              </w:tabs>
              <w:spacing w:line="300" w:lineRule="auto"/>
              <w:ind w:firstLine="5670" w:firstLineChars="2700"/>
              <w:rPr>
                <w:rFonts w:cs="仿宋" w:asciiTheme="minorEastAsia" w:hAnsiTheme="minorEastAsia" w:eastAsiaTheme="minorEastAsia"/>
                <w:color w:val="auto"/>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549" w:type="dxa"/>
            <w:gridSpan w:val="2"/>
            <w:vAlign w:val="center"/>
          </w:tcPr>
          <w:p>
            <w:pPr>
              <w:tabs>
                <w:tab w:val="left" w:pos="5760"/>
              </w:tabs>
              <w:spacing w:line="30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交货期</w:t>
            </w:r>
          </w:p>
        </w:tc>
        <w:tc>
          <w:tcPr>
            <w:tcW w:w="9088" w:type="dxa"/>
            <w:gridSpan w:val="6"/>
            <w:vAlign w:val="center"/>
          </w:tcPr>
          <w:p>
            <w:pPr>
              <w:tabs>
                <w:tab w:val="left" w:pos="5760"/>
              </w:tabs>
              <w:spacing w:line="300" w:lineRule="auto"/>
              <w:ind w:firstLine="5670" w:firstLineChars="2700"/>
              <w:rPr>
                <w:rFonts w:cs="仿宋" w:asciiTheme="minorEastAsia" w:hAnsiTheme="minorEastAsia" w:eastAsiaTheme="minorEastAsia"/>
                <w:color w:val="auto"/>
                <w:szCs w:val="21"/>
                <w:highlight w:val="none"/>
              </w:rPr>
            </w:pPr>
          </w:p>
        </w:tc>
      </w:tr>
    </w:tbl>
    <w:p>
      <w:pPr>
        <w:spacing w:line="52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2、我方已详细审核并认同全部</w:t>
      </w:r>
      <w:r>
        <w:rPr>
          <w:rFonts w:hint="eastAsia" w:cs="宋体" w:asciiTheme="minorEastAsia" w:hAnsiTheme="minorEastAsia" w:eastAsiaTheme="minorEastAsia"/>
          <w:color w:val="auto"/>
          <w:szCs w:val="21"/>
          <w:highlight w:val="none"/>
        </w:rPr>
        <w:t>竞争性谈判文件，包括修改文件（如有时）及有关附件。</w:t>
      </w:r>
    </w:p>
    <w:p>
      <w:pPr>
        <w:spacing w:line="52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3、一旦我方</w:t>
      </w:r>
      <w:r>
        <w:rPr>
          <w:rFonts w:hint="eastAsia" w:cs="宋体" w:asciiTheme="minorEastAsia" w:hAnsiTheme="minorEastAsia" w:eastAsiaTheme="minorEastAsia"/>
          <w:color w:val="auto"/>
          <w:szCs w:val="21"/>
          <w:highlight w:val="none"/>
        </w:rPr>
        <w:t>成交，我方保证按竞争性谈判文件及合同规定完成跟踪审计任务。</w:t>
      </w:r>
    </w:p>
    <w:p>
      <w:pPr>
        <w:spacing w:line="52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4、我方同意所提交的</w:t>
      </w:r>
      <w:r>
        <w:rPr>
          <w:rFonts w:hint="eastAsia" w:cs="宋体" w:asciiTheme="minorEastAsia" w:hAnsiTheme="minorEastAsia" w:eastAsiaTheme="minorEastAsia"/>
          <w:color w:val="auto"/>
          <w:szCs w:val="21"/>
          <w:highlight w:val="none"/>
        </w:rPr>
        <w:t>响应文件在竞争性谈判文件中规定的响应有效期内有效，在此期间内如果成交，我方将受此约束。</w:t>
      </w:r>
    </w:p>
    <w:p>
      <w:pPr>
        <w:spacing w:line="52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5、除非另外达成协议并生效，你方的</w:t>
      </w:r>
      <w:r>
        <w:rPr>
          <w:rFonts w:hint="eastAsia" w:cs="宋体" w:asciiTheme="minorEastAsia" w:hAnsiTheme="minorEastAsia" w:eastAsiaTheme="minorEastAsia"/>
          <w:color w:val="auto"/>
          <w:szCs w:val="21"/>
          <w:highlight w:val="none"/>
        </w:rPr>
        <w:t>成交通知书和本响应文件将成为约束双方的合同文件的组成部分。</w:t>
      </w:r>
    </w:p>
    <w:p>
      <w:pPr>
        <w:spacing w:line="5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（盖章）</w:t>
      </w:r>
    </w:p>
    <w:p>
      <w:pPr>
        <w:spacing w:line="5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单位地址：</w:t>
      </w:r>
      <w:r>
        <w:rPr>
          <w:rFonts w:cs="宋体" w:asciiTheme="minorEastAsia" w:hAnsiTheme="minorEastAsia" w:eastAsiaTheme="minorEastAsia"/>
          <w:color w:val="auto"/>
          <w:szCs w:val="21"/>
          <w:highlight w:val="none"/>
        </w:rPr>
        <w:t xml:space="preserve">                                                  </w:t>
      </w:r>
    </w:p>
    <w:p>
      <w:pPr>
        <w:spacing w:line="5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法定代表人或其委托代理人：</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（签字或盖章）</w:t>
      </w:r>
    </w:p>
    <w:p>
      <w:pPr>
        <w:spacing w:line="5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邮政编码：</w:t>
      </w:r>
      <w:r>
        <w:rPr>
          <w:rFonts w:cs="宋体" w:asciiTheme="minorEastAsia" w:hAnsiTheme="minorEastAsia" w:eastAsiaTheme="minorEastAsia"/>
          <w:color w:val="auto"/>
          <w:szCs w:val="21"/>
          <w:highlight w:val="none"/>
        </w:rPr>
        <w:t xml:space="preserve">              电话：            传真：             </w:t>
      </w:r>
    </w:p>
    <w:p>
      <w:pPr>
        <w:spacing w:line="5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开户银行名称：</w:t>
      </w:r>
      <w:r>
        <w:rPr>
          <w:rFonts w:cs="宋体" w:asciiTheme="minorEastAsia" w:hAnsiTheme="minorEastAsia" w:eastAsiaTheme="minorEastAsia"/>
          <w:color w:val="auto"/>
          <w:szCs w:val="21"/>
          <w:highlight w:val="none"/>
        </w:rPr>
        <w:t xml:space="preserve">                    开户银行帐号：             </w:t>
      </w:r>
    </w:p>
    <w:p>
      <w:pPr>
        <w:spacing w:line="5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开户银行地址：</w:t>
      </w:r>
      <w:r>
        <w:rPr>
          <w:rFonts w:cs="宋体" w:asciiTheme="minorEastAsia" w:hAnsiTheme="minorEastAsia" w:eastAsiaTheme="minorEastAsia"/>
          <w:color w:val="auto"/>
          <w:szCs w:val="21"/>
          <w:highlight w:val="none"/>
        </w:rPr>
        <w:t xml:space="preserve">                    开户银行电话：              </w:t>
      </w:r>
    </w:p>
    <w:p>
      <w:pPr>
        <w:spacing w:line="5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日期：</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年</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月</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日</w:t>
      </w:r>
    </w:p>
    <w:p>
      <w:pP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pPr>
        <w:snapToGrid w:val="0"/>
        <w:spacing w:before="156" w:beforeLines="50" w:after="50" w:line="500" w:lineRule="atLeas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技术文件封面格式：</w:t>
      </w:r>
      <w:r>
        <w:rPr>
          <w:rFonts w:asciiTheme="minorEastAsia" w:hAnsiTheme="minorEastAsia" w:eastAsiaTheme="minorEastAsia"/>
          <w:b/>
          <w:color w:val="auto"/>
          <w:szCs w:val="21"/>
          <w:highlight w:val="none"/>
        </w:rPr>
        <w:t xml:space="preserve"> </w:t>
      </w:r>
    </w:p>
    <w:p>
      <w:pPr>
        <w:snapToGrid w:val="0"/>
        <w:spacing w:before="156" w:beforeLines="50" w:after="50"/>
        <w:ind w:left="6930" w:hanging="6930" w:hangingChars="3300"/>
        <w:rPr>
          <w:rFonts w:asciiTheme="minorEastAsia" w:hAnsiTheme="minorEastAsia" w:eastAsiaTheme="minorEastAsia"/>
          <w:b/>
          <w:bCs/>
          <w:color w:val="auto"/>
          <w:sz w:val="44"/>
          <w:szCs w:val="44"/>
          <w:highlight w:val="none"/>
        </w:rPr>
      </w:pPr>
      <w:r>
        <w:rPr>
          <w:rFonts w:asciiTheme="minorEastAsia" w:hAnsiTheme="minorEastAsia" w:eastAsiaTheme="minorEastAsia"/>
          <w:color w:val="auto"/>
          <w:highlight w:val="none"/>
        </w:rPr>
        <w:t xml:space="preserve">                                                    </w:t>
      </w:r>
    </w:p>
    <w:p>
      <w:pPr>
        <w:snapToGrid w:val="0"/>
        <w:spacing w:before="156" w:beforeLines="50" w:after="50"/>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技</w:t>
      </w:r>
      <w:r>
        <w:rPr>
          <w:rFonts w:asciiTheme="minorEastAsia" w:hAnsiTheme="minorEastAsia" w:eastAsiaTheme="minorEastAsia"/>
          <w:b/>
          <w:bCs/>
          <w:color w:val="auto"/>
          <w:sz w:val="72"/>
          <w:szCs w:val="72"/>
          <w:highlight w:val="none"/>
        </w:rPr>
        <w:t xml:space="preserve"> </w:t>
      </w:r>
      <w:r>
        <w:rPr>
          <w:rFonts w:hint="eastAsia" w:asciiTheme="minorEastAsia" w:hAnsiTheme="minorEastAsia" w:eastAsiaTheme="minorEastAsia"/>
          <w:b/>
          <w:bCs/>
          <w:color w:val="auto"/>
          <w:sz w:val="72"/>
          <w:szCs w:val="72"/>
          <w:highlight w:val="none"/>
        </w:rPr>
        <w:t>术</w:t>
      </w:r>
      <w:r>
        <w:rPr>
          <w:rFonts w:asciiTheme="minorEastAsia" w:hAnsiTheme="minorEastAsia" w:eastAsiaTheme="minorEastAsia"/>
          <w:b/>
          <w:bCs/>
          <w:color w:val="auto"/>
          <w:sz w:val="72"/>
          <w:szCs w:val="72"/>
          <w:highlight w:val="none"/>
        </w:rPr>
        <w:t xml:space="preserve"> </w:t>
      </w:r>
      <w:r>
        <w:rPr>
          <w:rFonts w:hint="eastAsia" w:asciiTheme="minorEastAsia" w:hAnsiTheme="minorEastAsia" w:eastAsiaTheme="minorEastAsia"/>
          <w:b/>
          <w:bCs/>
          <w:color w:val="auto"/>
          <w:sz w:val="72"/>
          <w:szCs w:val="72"/>
          <w:highlight w:val="none"/>
        </w:rPr>
        <w:t>文</w:t>
      </w:r>
      <w:r>
        <w:rPr>
          <w:rFonts w:asciiTheme="minorEastAsia" w:hAnsiTheme="minorEastAsia" w:eastAsiaTheme="minorEastAsia"/>
          <w:b/>
          <w:bCs/>
          <w:color w:val="auto"/>
          <w:sz w:val="72"/>
          <w:szCs w:val="72"/>
          <w:highlight w:val="none"/>
        </w:rPr>
        <w:t xml:space="preserve"> </w:t>
      </w:r>
      <w:r>
        <w:rPr>
          <w:rFonts w:hint="eastAsia" w:asciiTheme="minorEastAsia" w:hAnsiTheme="minorEastAsia" w:eastAsiaTheme="minorEastAsia"/>
          <w:b/>
          <w:bCs/>
          <w:color w:val="auto"/>
          <w:sz w:val="72"/>
          <w:szCs w:val="72"/>
          <w:highlight w:val="none"/>
        </w:rPr>
        <w:t>件</w:t>
      </w:r>
    </w:p>
    <w:p>
      <w:pPr>
        <w:snapToGrid w:val="0"/>
        <w:spacing w:before="156"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项目名称：</w:t>
      </w:r>
      <w:r>
        <w:rPr>
          <w:rFonts w:asciiTheme="minorEastAsia" w:hAnsiTheme="minorEastAsia" w:eastAsiaTheme="minorEastAsia"/>
          <w:b/>
          <w:bCs/>
          <w:color w:val="auto"/>
          <w:sz w:val="32"/>
          <w:szCs w:val="32"/>
          <w:highlight w:val="none"/>
        </w:rPr>
        <w:t xml:space="preserve"> </w:t>
      </w:r>
    </w:p>
    <w:p>
      <w:pPr>
        <w:snapToGrid w:val="0"/>
        <w:spacing w:before="156"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项目编号：</w:t>
      </w:r>
    </w:p>
    <w:p>
      <w:pPr>
        <w:snapToGrid w:val="0"/>
        <w:spacing w:before="156"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供应商名称：</w:t>
      </w:r>
    </w:p>
    <w:p>
      <w:pPr>
        <w:snapToGrid w:val="0"/>
        <w:spacing w:before="156" w:beforeLines="50" w:after="50" w:line="480" w:lineRule="auto"/>
        <w:ind w:firstLine="643" w:firstLineChars="200"/>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供应商地址：</w:t>
      </w:r>
    </w:p>
    <w:p>
      <w:pPr>
        <w:snapToGrid w:val="0"/>
        <w:spacing w:before="156" w:beforeLines="50" w:after="50" w:line="500" w:lineRule="atLeast"/>
        <w:ind w:firstLine="645"/>
        <w:jc w:val="center"/>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 xml:space="preserve">            </w:t>
      </w:r>
    </w:p>
    <w:p>
      <w:pPr>
        <w:snapToGrid w:val="0"/>
        <w:spacing w:before="156" w:beforeLines="50" w:after="50" w:line="500" w:lineRule="atLeast"/>
        <w:ind w:firstLine="645"/>
        <w:jc w:val="center"/>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 xml:space="preserve">                                    年  月  日</w:t>
      </w:r>
    </w:p>
    <w:p>
      <w:pPr>
        <w:widowControl/>
        <w:spacing w:line="480" w:lineRule="exact"/>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r>
        <w:rPr>
          <w:rFonts w:hint="eastAsia" w:asciiTheme="minorEastAsia" w:hAnsiTheme="minorEastAsia" w:eastAsiaTheme="minorEastAsia"/>
          <w:b/>
          <w:bCs/>
          <w:color w:val="auto"/>
          <w:szCs w:val="21"/>
          <w:highlight w:val="none"/>
        </w:rPr>
        <w:t>技术文件目录</w:t>
      </w:r>
    </w:p>
    <w:p>
      <w:pPr>
        <w:snapToGrid w:val="0"/>
        <w:spacing w:before="50" w:after="156" w:afterLines="50" w:line="480" w:lineRule="exact"/>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（以下适用于货物类项目的响应技术文件）</w:t>
      </w:r>
    </w:p>
    <w:p>
      <w:pPr>
        <w:snapToGrid w:val="0"/>
        <w:spacing w:line="480" w:lineRule="exact"/>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1）响应产品技术资料表（附件3-1响应产品技术资料表格式）</w:t>
      </w:r>
    </w:p>
    <w:p>
      <w:pPr>
        <w:snapToGrid w:val="0"/>
        <w:spacing w:line="480" w:lineRule="exact"/>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2）技术方案（附项目实施人员一览表，附件3-2技术方案格式）</w:t>
      </w:r>
    </w:p>
    <w:p>
      <w:pPr>
        <w:snapToGrid w:val="0"/>
        <w:spacing w:line="480" w:lineRule="exact"/>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3）售后服务方案（附件3-3售后服务方案格式）</w:t>
      </w:r>
    </w:p>
    <w:p>
      <w:pPr>
        <w:snapToGrid w:val="0"/>
        <w:spacing w:line="480" w:lineRule="exact"/>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4）产品出厂标准、质量检测报告及精度检测报告或数据复印件（如有，格式略）</w:t>
      </w:r>
    </w:p>
    <w:p>
      <w:pPr>
        <w:snapToGrid w:val="0"/>
        <w:spacing w:line="480" w:lineRule="exact"/>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5）供应商需要说明的其他文件和说明（格式略）</w:t>
      </w:r>
    </w:p>
    <w:p>
      <w:pPr>
        <w:pStyle w:val="4"/>
        <w:rPr>
          <w:rFonts w:asciiTheme="minorEastAsia" w:hAnsiTheme="minorEastAsia" w:eastAsiaTheme="minorEastAsia"/>
          <w:bCs w:val="0"/>
          <w:color w:val="auto"/>
          <w:highlight w:val="none"/>
          <w:u w:val="none"/>
        </w:rPr>
      </w:pPr>
      <w:r>
        <w:rPr>
          <w:rFonts w:asciiTheme="minorEastAsia" w:hAnsiTheme="minorEastAsia" w:eastAsiaTheme="minorEastAsia"/>
          <w:color w:val="auto"/>
          <w:highlight w:val="none"/>
        </w:rPr>
        <w:br w:type="page"/>
      </w:r>
      <w:bookmarkStart w:id="69" w:name="_Toc124269274"/>
      <w:r>
        <w:rPr>
          <w:rFonts w:hint="eastAsia" w:asciiTheme="minorEastAsia" w:hAnsiTheme="minorEastAsia" w:eastAsiaTheme="minorEastAsia"/>
          <w:bCs w:val="0"/>
          <w:color w:val="auto"/>
          <w:highlight w:val="none"/>
          <w:u w:val="none"/>
        </w:rPr>
        <w:t>附件</w:t>
      </w:r>
      <w:r>
        <w:rPr>
          <w:rFonts w:asciiTheme="minorEastAsia" w:hAnsiTheme="minorEastAsia" w:eastAsiaTheme="minorEastAsia"/>
          <w:bCs w:val="0"/>
          <w:color w:val="auto"/>
          <w:highlight w:val="none"/>
          <w:u w:val="none"/>
        </w:rPr>
        <w:t>3-1响应产品技术资料表格式：</w:t>
      </w:r>
      <w:bookmarkEnd w:id="69"/>
      <w:r>
        <w:rPr>
          <w:rFonts w:asciiTheme="minorEastAsia" w:hAnsiTheme="minorEastAsia" w:eastAsiaTheme="minorEastAsia"/>
          <w:bCs w:val="0"/>
          <w:color w:val="auto"/>
          <w:highlight w:val="none"/>
          <w:u w:val="none"/>
        </w:rPr>
        <w:t xml:space="preserve"> </w:t>
      </w:r>
    </w:p>
    <w:p>
      <w:pPr>
        <w:snapToGrid w:val="0"/>
        <w:spacing w:before="156" w:beforeLines="50" w:after="50"/>
        <w:jc w:val="center"/>
        <w:rPr>
          <w:rFonts w:asciiTheme="minorEastAsia" w:hAnsiTheme="minorEastAsia" w:eastAsiaTheme="minorEastAsia"/>
          <w:b/>
          <w:color w:val="auto"/>
          <w:sz w:val="32"/>
          <w:szCs w:val="32"/>
          <w:highlight w:val="none"/>
        </w:rPr>
      </w:pPr>
    </w:p>
    <w:p>
      <w:pPr>
        <w:snapToGrid w:val="0"/>
        <w:spacing w:before="156"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响应产品技术资料表（格式）</w:t>
      </w:r>
    </w:p>
    <w:p>
      <w:pPr>
        <w:spacing w:line="360" w:lineRule="auto"/>
        <w:ind w:firstLine="480"/>
        <w:rPr>
          <w:rFonts w:cs="Courier New" w:asciiTheme="minorEastAsia" w:hAnsiTheme="minorEastAsia" w:eastAsiaTheme="minorEastAsia"/>
          <w:color w:val="auto"/>
          <w:szCs w:val="28"/>
          <w:highlight w:val="none"/>
        </w:rPr>
      </w:pPr>
    </w:p>
    <w:p>
      <w:pPr>
        <w:spacing w:line="360" w:lineRule="auto"/>
        <w:ind w:firstLine="480"/>
        <w:rPr>
          <w:rFonts w:cs="Courier New" w:asciiTheme="minorEastAsia" w:hAnsiTheme="minorEastAsia" w:eastAsiaTheme="minorEastAsia"/>
          <w:color w:val="auto"/>
          <w:szCs w:val="28"/>
          <w:highlight w:val="none"/>
        </w:rPr>
      </w:pPr>
      <w:r>
        <w:rPr>
          <w:rFonts w:hint="eastAsia" w:cs="Courier New" w:asciiTheme="minorEastAsia" w:hAnsiTheme="minorEastAsia" w:eastAsiaTheme="minorEastAsia"/>
          <w:color w:val="auto"/>
          <w:szCs w:val="28"/>
          <w:highlight w:val="none"/>
        </w:rPr>
        <w:t>请根据所投产品的实际技术参数，逐条对应本项目竞争性谈判文件第二章“采购项目采购需求”要求详细填写相应的具体内容。如果未完整填写此表的各项内容则视作供应商已经对竞争性谈判文件相关要求和内容完全理解并同意，其响应报价为在此基础上的完全价格。“偏离说明”一栏应当选择“正偏离”、“负偏离”或“无偏离”进行填写。</w:t>
      </w:r>
    </w:p>
    <w:tbl>
      <w:tblPr>
        <w:tblStyle w:val="22"/>
        <w:tblW w:w="5237" w:type="pct"/>
        <w:jc w:val="center"/>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562"/>
        <w:gridCol w:w="1066"/>
        <w:gridCol w:w="562"/>
        <w:gridCol w:w="1238"/>
        <w:gridCol w:w="1066"/>
        <w:gridCol w:w="1066"/>
        <w:gridCol w:w="562"/>
        <w:gridCol w:w="1066"/>
        <w:gridCol w:w="1066"/>
        <w:gridCol w:w="562"/>
        <w:gridCol w:w="1040"/>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285" w:type="pct"/>
            <w:vMerge w:val="restar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项号</w:t>
            </w:r>
          </w:p>
        </w:tc>
        <w:tc>
          <w:tcPr>
            <w:tcW w:w="1994" w:type="pct"/>
            <w:gridSpan w:val="4"/>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竞争性谈判文件需求</w:t>
            </w:r>
          </w:p>
        </w:tc>
        <w:tc>
          <w:tcPr>
            <w:tcW w:w="2191" w:type="pct"/>
            <w:gridSpan w:val="5"/>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磋商响应文件承诺</w:t>
            </w:r>
          </w:p>
        </w:tc>
        <w:tc>
          <w:tcPr>
            <w:tcW w:w="530" w:type="pct"/>
            <w:vMerge w:val="restar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偏离说明</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285" w:type="pct"/>
            <w:vMerge w:val="continue"/>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b/>
                <w:color w:val="auto"/>
                <w:szCs w:val="21"/>
                <w:highlight w:val="none"/>
              </w:rPr>
            </w:pP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货物名称</w:t>
            </w:r>
          </w:p>
        </w:tc>
        <w:tc>
          <w:tcPr>
            <w:tcW w:w="285" w:type="pct"/>
            <w:shd w:val="clear" w:color="auto" w:fill="auto"/>
            <w:tcMar>
              <w:left w:w="28" w:type="dxa"/>
              <w:right w:w="28" w:type="dxa"/>
            </w:tcMar>
            <w:vAlign w:val="center"/>
          </w:tcPr>
          <w:p>
            <w:pPr>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628"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规格型号</w:t>
            </w:r>
            <w:r>
              <w:rPr>
                <w:rFonts w:asciiTheme="minorEastAsia" w:hAnsiTheme="minorEastAsia" w:eastAsiaTheme="minorEastAsia"/>
                <w:color w:val="auto"/>
                <w:szCs w:val="21"/>
                <w:highlight w:val="none"/>
              </w:rPr>
              <w:t>/技术参数要求</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货物名称</w:t>
            </w:r>
          </w:p>
        </w:tc>
        <w:tc>
          <w:tcPr>
            <w:tcW w:w="285" w:type="pct"/>
            <w:shd w:val="clear" w:color="auto" w:fill="auto"/>
            <w:tcMar>
              <w:left w:w="28" w:type="dxa"/>
              <w:right w:w="28" w:type="dxa"/>
            </w:tcMar>
            <w:vAlign w:val="center"/>
          </w:tcPr>
          <w:p>
            <w:pPr>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品牌、厂家、型号、规格</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规格型号</w:t>
            </w:r>
            <w:r>
              <w:rPr>
                <w:rFonts w:asciiTheme="minorEastAsia" w:hAnsiTheme="minorEastAsia" w:eastAsiaTheme="minorEastAsia"/>
                <w:color w:val="auto"/>
                <w:szCs w:val="21"/>
                <w:highlight w:val="none"/>
              </w:rPr>
              <w:t>/技术参数要求</w:t>
            </w:r>
          </w:p>
        </w:tc>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c>
          <w:tcPr>
            <w:tcW w:w="530" w:type="pct"/>
            <w:vMerge w:val="continue"/>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asciiTheme="minorEastAsia" w:hAnsiTheme="minorEastAsia" w:eastAsiaTheme="minorEastAsia"/>
                <w:color w:val="auto"/>
                <w:spacing w:val="20"/>
                <w:szCs w:val="21"/>
                <w:highlight w:val="none"/>
              </w:rPr>
              <w:t>1</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20"/>
                <w:szCs w:val="21"/>
                <w:highlight w:val="none"/>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20"/>
                <w:szCs w:val="21"/>
                <w:highlight w:val="none"/>
              </w:rPr>
              <w:t>……</w:t>
            </w:r>
          </w:p>
        </w:tc>
        <w:tc>
          <w:tcPr>
            <w:tcW w:w="628"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20"/>
                <w:szCs w:val="21"/>
                <w:highlight w:val="none"/>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30"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正偏离（负偏离或无偏离）</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20"/>
                <w:szCs w:val="21"/>
                <w:highlight w:val="none"/>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20"/>
                <w:szCs w:val="21"/>
                <w:highlight w:val="none"/>
              </w:rPr>
              <w:t>……</w:t>
            </w:r>
          </w:p>
        </w:tc>
        <w:tc>
          <w:tcPr>
            <w:tcW w:w="628"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20"/>
                <w:szCs w:val="21"/>
                <w:highlight w:val="none"/>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30"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正偏离（负偏离或无偏离）</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628"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w:t>
            </w:r>
          </w:p>
        </w:tc>
        <w:tc>
          <w:tcPr>
            <w:tcW w:w="530"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正偏离（负偏离或无偏离）</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11"/>
            <w:shd w:val="clear" w:color="auto" w:fill="auto"/>
            <w:tcMar>
              <w:left w:w="28" w:type="dxa"/>
              <w:right w:w="28" w:type="dxa"/>
            </w:tcMar>
            <w:vAlign w:val="center"/>
          </w:tcPr>
          <w:p>
            <w:pPr>
              <w:tabs>
                <w:tab w:val="left" w:pos="1418"/>
              </w:tabs>
              <w:snapToGrid w:val="0"/>
              <w:jc w:val="left"/>
              <w:rPr>
                <w:rFonts w:asciiTheme="minorEastAsia" w:hAnsiTheme="minorEastAsia" w:eastAsiaTheme="minorEastAsia"/>
                <w:color w:val="auto"/>
                <w:spacing w:val="20"/>
                <w:szCs w:val="21"/>
                <w:highlight w:val="none"/>
              </w:rPr>
            </w:pPr>
            <w:r>
              <w:rPr>
                <w:rFonts w:hint="eastAsia" w:cs="Arial" w:asciiTheme="minorEastAsia" w:hAnsiTheme="minorEastAsia" w:eastAsiaTheme="minorEastAsia"/>
                <w:color w:val="auto"/>
                <w:szCs w:val="21"/>
                <w:highlight w:val="none"/>
              </w:rPr>
              <w:t>我方确认：除了表中所列的条款外，我方的响应函将依从竞争性谈判文件对于技术的全部要求和规定。</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11"/>
            <w:shd w:val="clear" w:color="auto" w:fill="auto"/>
            <w:tcMar>
              <w:left w:w="28" w:type="dxa"/>
              <w:right w:w="28" w:type="dxa"/>
            </w:tcMar>
            <w:vAlign w:val="center"/>
          </w:tcPr>
          <w:p>
            <w:pPr>
              <w:tabs>
                <w:tab w:val="left" w:pos="1418"/>
              </w:tabs>
              <w:snapToGrid w:val="0"/>
              <w:jc w:val="left"/>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供应商（盖单位公章）：</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11"/>
            <w:shd w:val="clear" w:color="auto" w:fill="auto"/>
            <w:tcMar>
              <w:left w:w="28" w:type="dxa"/>
              <w:right w:w="28" w:type="dxa"/>
            </w:tcMar>
            <w:vAlign w:val="center"/>
          </w:tcPr>
          <w:p>
            <w:pPr>
              <w:tabs>
                <w:tab w:val="left" w:pos="1418"/>
              </w:tabs>
              <w:snapToGrid w:val="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法定代表人或其委托代理人（签字或盖章）：</w:t>
            </w:r>
          </w:p>
        </w:tc>
      </w:tr>
    </w:tbl>
    <w:p>
      <w:pPr>
        <w:snapToGrid w:val="0"/>
        <w:spacing w:line="360" w:lineRule="auto"/>
        <w:rPr>
          <w:rFonts w:cs="Courier New" w:asciiTheme="minorEastAsia" w:hAnsiTheme="minorEastAsia" w:eastAsiaTheme="minorEastAsia"/>
          <w:b/>
          <w:color w:val="auto"/>
          <w:szCs w:val="21"/>
          <w:highlight w:val="none"/>
        </w:rPr>
      </w:pPr>
      <w:r>
        <w:rPr>
          <w:rFonts w:hint="eastAsia" w:cs="Courier New" w:asciiTheme="minorEastAsia" w:hAnsiTheme="minorEastAsia" w:eastAsiaTheme="minorEastAsia"/>
          <w:b/>
          <w:color w:val="auto"/>
          <w:szCs w:val="21"/>
          <w:highlight w:val="none"/>
        </w:rPr>
        <w:t>注：（</w:t>
      </w:r>
      <w:r>
        <w:rPr>
          <w:rFonts w:cs="Courier New" w:asciiTheme="minorEastAsia" w:hAnsiTheme="minorEastAsia" w:eastAsiaTheme="minorEastAsia"/>
          <w:b/>
          <w:color w:val="auto"/>
          <w:szCs w:val="21"/>
          <w:highlight w:val="none"/>
        </w:rPr>
        <w:t>1）表格内容均需按要求填写并盖章，不得留空，否则按响应无效处理。</w:t>
      </w:r>
    </w:p>
    <w:p>
      <w:pPr>
        <w:snapToGrid w:val="0"/>
        <w:spacing w:line="360" w:lineRule="auto"/>
        <w:ind w:firstLine="422" w:firstLineChars="200"/>
        <w:rPr>
          <w:rFonts w:cs="Courier New" w:asciiTheme="minorEastAsia" w:hAnsiTheme="minorEastAsia" w:eastAsiaTheme="minorEastAsia"/>
          <w:b/>
          <w:color w:val="auto"/>
          <w:szCs w:val="21"/>
          <w:highlight w:val="none"/>
        </w:rPr>
      </w:pPr>
      <w:r>
        <w:rPr>
          <w:rFonts w:hint="eastAsia" w:cs="Courier New" w:asciiTheme="minorEastAsia" w:hAnsiTheme="minorEastAsia" w:eastAsiaTheme="minorEastAsia"/>
          <w:b/>
          <w:color w:val="auto"/>
          <w:szCs w:val="21"/>
          <w:highlight w:val="none"/>
        </w:rPr>
        <w:t>（</w:t>
      </w:r>
      <w:r>
        <w:rPr>
          <w:rFonts w:cs="Courier New" w:asciiTheme="minorEastAsia" w:hAnsiTheme="minorEastAsia" w:eastAsiaTheme="minorEastAsia"/>
          <w:b/>
          <w:color w:val="auto"/>
          <w:szCs w:val="21"/>
          <w:highlight w:val="none"/>
        </w:rPr>
        <w:t>2）</w:t>
      </w:r>
      <w:r>
        <w:rPr>
          <w:rFonts w:hint="eastAsia" w:asciiTheme="minorEastAsia" w:hAnsiTheme="minorEastAsia" w:eastAsiaTheme="minorEastAsia"/>
          <w:b/>
          <w:bCs/>
          <w:color w:val="auto"/>
          <w:szCs w:val="21"/>
          <w:highlight w:val="none"/>
        </w:rPr>
        <w:t>如果响应文件需求小于或大于采购文件某个数值标准时，响应文件不得直接复制采购文件需求，响应文件对应内容应当写明响应货物具体参数或商务响应的实际数值，否则按响应无效处理</w:t>
      </w:r>
      <w:r>
        <w:rPr>
          <w:rFonts w:hint="eastAsia" w:cs="Courier New" w:asciiTheme="minorEastAsia" w:hAnsiTheme="minorEastAsia" w:eastAsiaTheme="minorEastAsia"/>
          <w:b/>
          <w:bCs/>
          <w:color w:val="auto"/>
          <w:szCs w:val="21"/>
          <w:highlight w:val="none"/>
        </w:rPr>
        <w:t>。</w:t>
      </w:r>
    </w:p>
    <w:p>
      <w:pPr>
        <w:snapToGrid w:val="0"/>
        <w:spacing w:line="360" w:lineRule="auto"/>
        <w:ind w:firstLine="422" w:firstLineChars="200"/>
        <w:rPr>
          <w:rFonts w:cs="Courier New" w:asciiTheme="minorEastAsia" w:hAnsiTheme="minorEastAsia" w:eastAsiaTheme="minorEastAsia"/>
          <w:color w:val="auto"/>
          <w:spacing w:val="20"/>
          <w:szCs w:val="21"/>
          <w:highlight w:val="none"/>
        </w:rPr>
      </w:pPr>
      <w:r>
        <w:rPr>
          <w:rFonts w:hint="eastAsia" w:cs="Courier New" w:asciiTheme="minorEastAsia" w:hAnsiTheme="minorEastAsia" w:eastAsiaTheme="minorEastAsia"/>
          <w:b/>
          <w:color w:val="auto"/>
          <w:szCs w:val="21"/>
          <w:highlight w:val="none"/>
        </w:rPr>
        <w:t>（</w:t>
      </w:r>
      <w:r>
        <w:rPr>
          <w:rFonts w:cs="Courier New" w:asciiTheme="minorEastAsia" w:hAnsiTheme="minorEastAsia" w:eastAsiaTheme="minorEastAsia"/>
          <w:b/>
          <w:color w:val="auto"/>
          <w:szCs w:val="21"/>
          <w:highlight w:val="none"/>
        </w:rPr>
        <w:t>3）当</w:t>
      </w:r>
      <w:r>
        <w:rPr>
          <w:rFonts w:hint="eastAsia" w:cs="Courier New" w:asciiTheme="minorEastAsia" w:hAnsiTheme="minorEastAsia" w:eastAsiaTheme="minorEastAsia"/>
          <w:b/>
          <w:color w:val="auto"/>
          <w:szCs w:val="21"/>
          <w:highlight w:val="none"/>
        </w:rPr>
        <w:t>谈判</w:t>
      </w:r>
      <w:r>
        <w:rPr>
          <w:rFonts w:cs="Courier New" w:asciiTheme="minorEastAsia" w:hAnsiTheme="minorEastAsia" w:eastAsiaTheme="minorEastAsia"/>
          <w:b/>
          <w:color w:val="auto"/>
          <w:szCs w:val="21"/>
          <w:highlight w:val="none"/>
        </w:rPr>
        <w:t>响应文件的技术参数或商务内容低于竞争性</w:t>
      </w:r>
      <w:r>
        <w:rPr>
          <w:rFonts w:hint="eastAsia" w:cs="Courier New" w:asciiTheme="minorEastAsia" w:hAnsiTheme="minorEastAsia" w:eastAsiaTheme="minorEastAsia"/>
          <w:b/>
          <w:color w:val="auto"/>
          <w:szCs w:val="21"/>
          <w:highlight w:val="none"/>
        </w:rPr>
        <w:t>谈判</w:t>
      </w:r>
      <w:r>
        <w:rPr>
          <w:rFonts w:cs="Courier New" w:asciiTheme="minorEastAsia" w:hAnsiTheme="minorEastAsia" w:eastAsiaTheme="minorEastAsia"/>
          <w:b/>
          <w:color w:val="auto"/>
          <w:szCs w:val="21"/>
          <w:highlight w:val="none"/>
        </w:rPr>
        <w:t>文件要求时，供应商应当如实写明</w:t>
      </w:r>
      <w:r>
        <w:rPr>
          <w:rFonts w:hint="eastAsia" w:cs="Courier New" w:asciiTheme="minorEastAsia" w:hAnsiTheme="minorEastAsia" w:eastAsiaTheme="minorEastAsia"/>
          <w:b/>
          <w:color w:val="auto"/>
          <w:szCs w:val="21"/>
          <w:highlight w:val="none"/>
        </w:rPr>
        <w:t>“</w:t>
      </w:r>
      <w:r>
        <w:rPr>
          <w:rFonts w:cs="Courier New" w:asciiTheme="minorEastAsia" w:hAnsiTheme="minorEastAsia" w:eastAsiaTheme="minorEastAsia"/>
          <w:b/>
          <w:color w:val="auto"/>
          <w:szCs w:val="21"/>
          <w:highlight w:val="none"/>
        </w:rPr>
        <w:t>负偏离</w:t>
      </w:r>
      <w:r>
        <w:rPr>
          <w:rFonts w:hint="eastAsia" w:cs="Courier New" w:asciiTheme="minorEastAsia" w:hAnsiTheme="minorEastAsia" w:eastAsiaTheme="minorEastAsia"/>
          <w:b/>
          <w:color w:val="auto"/>
          <w:szCs w:val="21"/>
          <w:highlight w:val="none"/>
        </w:rPr>
        <w:t>”</w:t>
      </w:r>
      <w:r>
        <w:rPr>
          <w:rFonts w:cs="Courier New" w:asciiTheme="minorEastAsia" w:hAnsiTheme="minorEastAsia" w:eastAsiaTheme="minorEastAsia"/>
          <w:b/>
          <w:color w:val="auto"/>
          <w:szCs w:val="21"/>
          <w:highlight w:val="none"/>
        </w:rPr>
        <w:t>，否则视为虚假应标。</w:t>
      </w:r>
      <w:r>
        <w:rPr>
          <w:rFonts w:cs="Courier New" w:asciiTheme="minorEastAsia" w:hAnsiTheme="minorEastAsia" w:eastAsiaTheme="minorEastAsia"/>
          <w:color w:val="auto"/>
          <w:spacing w:val="20"/>
          <w:szCs w:val="21"/>
          <w:highlight w:val="none"/>
        </w:rPr>
        <w:br w:type="page"/>
      </w:r>
    </w:p>
    <w:p>
      <w:pPr>
        <w:pStyle w:val="4"/>
        <w:rPr>
          <w:rFonts w:asciiTheme="minorEastAsia" w:hAnsiTheme="minorEastAsia" w:eastAsiaTheme="minorEastAsia"/>
          <w:bCs w:val="0"/>
          <w:color w:val="auto"/>
          <w:highlight w:val="none"/>
          <w:u w:val="none"/>
        </w:rPr>
      </w:pPr>
      <w:bookmarkStart w:id="70" w:name="_Toc124269275"/>
      <w:r>
        <w:rPr>
          <w:rFonts w:hint="eastAsia" w:asciiTheme="minorEastAsia" w:hAnsiTheme="minorEastAsia" w:eastAsiaTheme="minorEastAsia"/>
          <w:bCs w:val="0"/>
          <w:color w:val="auto"/>
          <w:highlight w:val="none"/>
          <w:u w:val="none"/>
        </w:rPr>
        <w:t>附件</w:t>
      </w:r>
      <w:r>
        <w:rPr>
          <w:rFonts w:asciiTheme="minorEastAsia" w:hAnsiTheme="minorEastAsia" w:eastAsiaTheme="minorEastAsia"/>
          <w:bCs w:val="0"/>
          <w:color w:val="auto"/>
          <w:highlight w:val="none"/>
          <w:u w:val="none"/>
        </w:rPr>
        <w:t>3-2技术方案格式：</w:t>
      </w:r>
      <w:bookmarkEnd w:id="70"/>
      <w:r>
        <w:rPr>
          <w:rFonts w:asciiTheme="minorEastAsia" w:hAnsiTheme="minorEastAsia" w:eastAsiaTheme="minorEastAsia"/>
          <w:bCs w:val="0"/>
          <w:color w:val="auto"/>
          <w:highlight w:val="none"/>
          <w:u w:val="none"/>
        </w:rPr>
        <w:t xml:space="preserve"> </w:t>
      </w:r>
    </w:p>
    <w:p>
      <w:pPr>
        <w:snapToGrid w:val="0"/>
        <w:spacing w:before="156"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技术方案</w:t>
      </w:r>
    </w:p>
    <w:p>
      <w:pPr>
        <w:snapToGrid w:val="0"/>
        <w:spacing w:before="50" w:after="50"/>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（由供应商按采购要求及评分办法的要求自行分别编写）</w:t>
      </w:r>
    </w:p>
    <w:p>
      <w:pPr>
        <w:widowControl/>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pPr>
        <w:pStyle w:val="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附：项目实施人员一览表（格式）</w:t>
      </w:r>
    </w:p>
    <w:p>
      <w:pPr>
        <w:snapToGrid w:val="0"/>
        <w:spacing w:before="156" w:beforeLines="50" w:after="50" w:line="480" w:lineRule="exact"/>
        <w:jc w:val="center"/>
        <w:rPr>
          <w:rFonts w:asciiTheme="minorEastAsia" w:hAnsiTheme="minorEastAsia" w:eastAsiaTheme="minorEastAsia"/>
          <w:b/>
          <w:color w:val="auto"/>
          <w:sz w:val="28"/>
          <w:szCs w:val="28"/>
          <w:highlight w:val="none"/>
        </w:rPr>
      </w:pPr>
    </w:p>
    <w:p>
      <w:pPr>
        <w:snapToGrid w:val="0"/>
        <w:spacing w:before="156"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项目实施人员（主要从业人员及其技术资格）一览表</w:t>
      </w:r>
    </w:p>
    <w:tbl>
      <w:tblPr>
        <w:tblStyle w:val="22"/>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1099"/>
        <w:gridCol w:w="1411"/>
        <w:gridCol w:w="1694"/>
        <w:gridCol w:w="1271"/>
        <w:gridCol w:w="2401"/>
        <w:gridCol w:w="1694"/>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74" w:type="pct"/>
            <w:shd w:val="clear" w:color="auto" w:fill="auto"/>
            <w:vAlign w:val="center"/>
          </w:tcPr>
          <w:p>
            <w:pPr>
              <w:snapToGrid w:val="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姓名</w:t>
            </w:r>
          </w:p>
        </w:tc>
        <w:tc>
          <w:tcPr>
            <w:tcW w:w="737" w:type="pct"/>
            <w:shd w:val="clear" w:color="auto" w:fill="auto"/>
            <w:vAlign w:val="center"/>
          </w:tcPr>
          <w:p>
            <w:pPr>
              <w:snapToGrid w:val="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职务</w:t>
            </w:r>
          </w:p>
        </w:tc>
        <w:tc>
          <w:tcPr>
            <w:tcW w:w="885" w:type="pct"/>
            <w:shd w:val="clear" w:color="auto" w:fill="auto"/>
            <w:vAlign w:val="center"/>
          </w:tcPr>
          <w:p>
            <w:pPr>
              <w:snapToGrid w:val="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专业技术资格</w:t>
            </w:r>
          </w:p>
        </w:tc>
        <w:tc>
          <w:tcPr>
            <w:tcW w:w="664" w:type="pct"/>
            <w:shd w:val="clear" w:color="auto" w:fill="auto"/>
            <w:vAlign w:val="center"/>
          </w:tcPr>
          <w:p>
            <w:pPr>
              <w:snapToGrid w:val="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证书编号</w:t>
            </w:r>
          </w:p>
        </w:tc>
        <w:tc>
          <w:tcPr>
            <w:tcW w:w="1254" w:type="pct"/>
            <w:shd w:val="clear" w:color="auto" w:fill="auto"/>
            <w:vAlign w:val="center"/>
          </w:tcPr>
          <w:p>
            <w:pPr>
              <w:snapToGrid w:val="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参加本单位工作时间</w:t>
            </w:r>
          </w:p>
        </w:tc>
        <w:tc>
          <w:tcPr>
            <w:tcW w:w="885" w:type="pct"/>
            <w:shd w:val="clear" w:color="auto" w:fill="auto"/>
            <w:vAlign w:val="center"/>
          </w:tcPr>
          <w:p>
            <w:pPr>
              <w:snapToGrid w:val="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劳动合同编号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7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737"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885"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66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125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885" w:type="pct"/>
            <w:shd w:val="clear" w:color="auto" w:fill="auto"/>
            <w:vAlign w:val="center"/>
          </w:tcPr>
          <w:p>
            <w:pPr>
              <w:snapToGrid w:val="0"/>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7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737"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885"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66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125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885" w:type="pct"/>
            <w:shd w:val="clear" w:color="auto" w:fill="auto"/>
            <w:vAlign w:val="center"/>
          </w:tcPr>
          <w:p>
            <w:pPr>
              <w:snapToGrid w:val="0"/>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PrEx>
        <w:trPr>
          <w:trHeight w:val="397" w:hRule="atLeast"/>
        </w:trPr>
        <w:tc>
          <w:tcPr>
            <w:tcW w:w="57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737"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885" w:type="pct"/>
            <w:shd w:val="clear" w:color="auto" w:fill="auto"/>
            <w:vAlign w:val="center"/>
          </w:tcPr>
          <w:p>
            <w:pPr>
              <w:snapToGrid w:val="0"/>
              <w:jc w:val="center"/>
              <w:rPr>
                <w:rFonts w:cs="Courier New" w:asciiTheme="minorEastAsia" w:hAnsiTheme="minorEastAsia" w:eastAsiaTheme="minorEastAsia"/>
                <w:color w:val="auto"/>
                <w:szCs w:val="21"/>
                <w:highlight w:val="none"/>
              </w:rPr>
            </w:pPr>
          </w:p>
        </w:tc>
        <w:tc>
          <w:tcPr>
            <w:tcW w:w="66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125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885" w:type="pct"/>
            <w:shd w:val="clear" w:color="auto" w:fill="auto"/>
            <w:vAlign w:val="center"/>
          </w:tcPr>
          <w:p>
            <w:pPr>
              <w:snapToGrid w:val="0"/>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7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737"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885" w:type="pct"/>
            <w:shd w:val="clear" w:color="auto" w:fill="auto"/>
            <w:vAlign w:val="center"/>
          </w:tcPr>
          <w:p>
            <w:pPr>
              <w:snapToGrid w:val="0"/>
              <w:jc w:val="center"/>
              <w:rPr>
                <w:rFonts w:cs="Courier New" w:asciiTheme="minorEastAsia" w:hAnsiTheme="minorEastAsia" w:eastAsiaTheme="minorEastAsia"/>
                <w:color w:val="auto"/>
                <w:szCs w:val="21"/>
                <w:highlight w:val="none"/>
              </w:rPr>
            </w:pPr>
          </w:p>
        </w:tc>
        <w:tc>
          <w:tcPr>
            <w:tcW w:w="66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125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885" w:type="pct"/>
            <w:shd w:val="clear" w:color="auto" w:fill="auto"/>
            <w:vAlign w:val="center"/>
          </w:tcPr>
          <w:p>
            <w:pPr>
              <w:snapToGrid w:val="0"/>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7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737"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885" w:type="pct"/>
            <w:shd w:val="clear" w:color="auto" w:fill="auto"/>
            <w:vAlign w:val="center"/>
          </w:tcPr>
          <w:p>
            <w:pPr>
              <w:snapToGrid w:val="0"/>
              <w:jc w:val="center"/>
              <w:rPr>
                <w:rFonts w:cs="Courier New" w:asciiTheme="minorEastAsia" w:hAnsiTheme="minorEastAsia" w:eastAsiaTheme="minorEastAsia"/>
                <w:color w:val="auto"/>
                <w:szCs w:val="21"/>
                <w:highlight w:val="none"/>
              </w:rPr>
            </w:pPr>
          </w:p>
        </w:tc>
        <w:tc>
          <w:tcPr>
            <w:tcW w:w="66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1254" w:type="pct"/>
            <w:shd w:val="clear" w:color="auto" w:fill="auto"/>
            <w:vAlign w:val="center"/>
          </w:tcPr>
          <w:p>
            <w:pPr>
              <w:snapToGrid w:val="0"/>
              <w:jc w:val="center"/>
              <w:rPr>
                <w:rFonts w:asciiTheme="minorEastAsia" w:hAnsiTheme="minorEastAsia" w:eastAsiaTheme="minorEastAsia"/>
                <w:color w:val="auto"/>
                <w:szCs w:val="21"/>
                <w:highlight w:val="none"/>
              </w:rPr>
            </w:pPr>
          </w:p>
        </w:tc>
        <w:tc>
          <w:tcPr>
            <w:tcW w:w="885" w:type="pct"/>
            <w:shd w:val="clear" w:color="auto" w:fill="auto"/>
            <w:vAlign w:val="center"/>
          </w:tcPr>
          <w:p>
            <w:pPr>
              <w:snapToGrid w:val="0"/>
              <w:jc w:val="center"/>
              <w:rPr>
                <w:rFonts w:asciiTheme="minorEastAsia" w:hAnsiTheme="minorEastAsia" w:eastAsiaTheme="minorEastAsia"/>
                <w:color w:val="auto"/>
                <w:szCs w:val="21"/>
                <w:highlight w:val="none"/>
              </w:rPr>
            </w:pPr>
          </w:p>
        </w:tc>
      </w:tr>
    </w:tbl>
    <w:p>
      <w:pPr>
        <w:snapToGrid w:val="0"/>
        <w:spacing w:before="50" w:after="156" w:afterLines="50" w:line="480" w:lineRule="exact"/>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注：在填写时，如本表格不适合供应商的实际情况，可根据本表格式自行制表填写。</w:t>
      </w:r>
    </w:p>
    <w:p>
      <w:pPr>
        <w:widowControl/>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br w:type="page"/>
      </w:r>
    </w:p>
    <w:p>
      <w:pPr>
        <w:pStyle w:val="4"/>
        <w:rPr>
          <w:rFonts w:asciiTheme="minorEastAsia" w:hAnsiTheme="minorEastAsia" w:eastAsiaTheme="minorEastAsia"/>
          <w:bCs w:val="0"/>
          <w:color w:val="auto"/>
          <w:highlight w:val="none"/>
          <w:u w:val="none"/>
        </w:rPr>
      </w:pPr>
      <w:bookmarkStart w:id="71" w:name="_Toc124269276"/>
      <w:r>
        <w:rPr>
          <w:rFonts w:hint="eastAsia" w:asciiTheme="minorEastAsia" w:hAnsiTheme="minorEastAsia" w:eastAsiaTheme="minorEastAsia"/>
          <w:bCs w:val="0"/>
          <w:color w:val="auto"/>
          <w:highlight w:val="none"/>
          <w:u w:val="none"/>
        </w:rPr>
        <w:t>附件</w:t>
      </w:r>
      <w:r>
        <w:rPr>
          <w:rFonts w:asciiTheme="minorEastAsia" w:hAnsiTheme="minorEastAsia" w:eastAsiaTheme="minorEastAsia"/>
          <w:bCs w:val="0"/>
          <w:color w:val="auto"/>
          <w:highlight w:val="none"/>
          <w:u w:val="none"/>
        </w:rPr>
        <w:t>3-3售后服务方案格式：</w:t>
      </w:r>
      <w:bookmarkEnd w:id="71"/>
    </w:p>
    <w:p>
      <w:pPr>
        <w:snapToGrid w:val="0"/>
        <w:spacing w:before="156"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售后服务方案</w:t>
      </w:r>
    </w:p>
    <w:p>
      <w:pPr>
        <w:snapToGrid w:val="0"/>
        <w:spacing w:before="50" w:after="50"/>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（由供应商按采购要求及评分办法的要求自行分别编写）</w:t>
      </w:r>
    </w:p>
    <w:p>
      <w:pPr>
        <w:pStyle w:val="11"/>
        <w:rPr>
          <w:rFonts w:asciiTheme="minorEastAsia" w:hAnsiTheme="minorEastAsia" w:eastAsiaTheme="minorEastAsia"/>
          <w:color w:val="auto"/>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pStyle w:val="4"/>
        <w:rPr>
          <w:rFonts w:asciiTheme="minorEastAsia" w:hAnsiTheme="minorEastAsia" w:eastAsiaTheme="minorEastAsia"/>
          <w:bCs w:val="0"/>
          <w:color w:val="auto"/>
          <w:highlight w:val="none"/>
          <w:u w:val="none"/>
        </w:rPr>
      </w:pPr>
      <w:r>
        <w:rPr>
          <w:rFonts w:hint="eastAsia" w:asciiTheme="minorEastAsia" w:hAnsiTheme="minorEastAsia" w:eastAsiaTheme="minorEastAsia"/>
          <w:bCs w:val="0"/>
          <w:color w:val="auto"/>
          <w:highlight w:val="none"/>
          <w:u w:val="none"/>
        </w:rPr>
        <w:t>产品出厂标准、质量检测报告及精度检测报告或数据复印件（如有，格式略）</w:t>
      </w:r>
    </w:p>
    <w:p>
      <w:pPr>
        <w:rPr>
          <w:rFonts w:asciiTheme="minorEastAsia" w:hAnsiTheme="minorEastAsia" w:eastAsiaTheme="minorEastAsia"/>
          <w:b/>
          <w:color w:val="auto"/>
          <w:sz w:val="44"/>
          <w:szCs w:val="44"/>
          <w:highlight w:val="none"/>
        </w:rPr>
      </w:pPr>
      <w:r>
        <w:rPr>
          <w:rFonts w:asciiTheme="minorEastAsia" w:hAnsiTheme="minorEastAsia" w:eastAsiaTheme="minorEastAsia"/>
          <w:b/>
          <w:color w:val="auto"/>
          <w:sz w:val="44"/>
          <w:szCs w:val="44"/>
          <w:highlight w:val="none"/>
        </w:rPr>
        <w:br w:type="page"/>
      </w:r>
    </w:p>
    <w:p>
      <w:pPr>
        <w:pStyle w:val="4"/>
        <w:rPr>
          <w:rFonts w:asciiTheme="minorEastAsia" w:hAnsiTheme="minorEastAsia" w:eastAsiaTheme="minorEastAsia"/>
          <w:bCs w:val="0"/>
          <w:color w:val="auto"/>
          <w:highlight w:val="none"/>
          <w:u w:val="none"/>
        </w:rPr>
      </w:pPr>
      <w:r>
        <w:rPr>
          <w:rFonts w:hint="eastAsia" w:asciiTheme="minorEastAsia" w:hAnsiTheme="minorEastAsia" w:eastAsiaTheme="minorEastAsia"/>
          <w:bCs w:val="0"/>
          <w:color w:val="auto"/>
          <w:highlight w:val="none"/>
          <w:u w:val="none"/>
        </w:rPr>
        <w:t>其他补充资料</w:t>
      </w:r>
    </w:p>
    <w:p>
      <w:pPr>
        <w:ind w:firstLine="3291" w:firstLineChars="745"/>
        <w:rPr>
          <w:rFonts w:asciiTheme="minorEastAsia" w:hAnsiTheme="minorEastAsia" w:eastAsiaTheme="minorEastAsia"/>
          <w:b/>
          <w:color w:val="auto"/>
          <w:sz w:val="44"/>
          <w:szCs w:val="44"/>
          <w:highlight w:val="none"/>
        </w:rPr>
      </w:pPr>
      <w:r>
        <w:rPr>
          <w:rFonts w:asciiTheme="minorEastAsia" w:hAnsiTheme="minorEastAsia" w:eastAsiaTheme="minorEastAsia"/>
          <w:b/>
          <w:color w:val="auto"/>
          <w:sz w:val="44"/>
          <w:szCs w:val="44"/>
          <w:highlight w:val="none"/>
        </w:rPr>
        <w:t xml:space="preserve"> </w:t>
      </w: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ind w:firstLine="3291" w:firstLineChars="745"/>
        <w:rPr>
          <w:rFonts w:asciiTheme="minorEastAsia" w:hAnsiTheme="minorEastAsia" w:eastAsiaTheme="minorEastAsia"/>
          <w:b/>
          <w:color w:val="auto"/>
          <w:sz w:val="44"/>
          <w:szCs w:val="44"/>
          <w:highlight w:val="none"/>
        </w:rPr>
      </w:pPr>
    </w:p>
    <w:p>
      <w:pPr>
        <w:rPr>
          <w:rFonts w:asciiTheme="minorEastAsia" w:hAnsiTheme="minorEastAsia" w:eastAsiaTheme="minorEastAsia"/>
          <w:b/>
          <w:color w:val="auto"/>
          <w:sz w:val="44"/>
          <w:szCs w:val="44"/>
          <w:highlight w:val="none"/>
        </w:rPr>
      </w:pPr>
    </w:p>
    <w:p>
      <w:pPr>
        <w:jc w:val="center"/>
        <w:rPr>
          <w:rFonts w:asciiTheme="minorEastAsia" w:hAnsiTheme="minorEastAsia" w:eastAsiaTheme="minorEastAsia"/>
          <w:b/>
          <w:color w:val="auto"/>
          <w:sz w:val="44"/>
          <w:szCs w:val="44"/>
          <w:highlight w:val="none"/>
        </w:rPr>
      </w:pPr>
    </w:p>
    <w:p>
      <w:pPr>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sz w:val="44"/>
          <w:szCs w:val="44"/>
          <w:highlight w:val="none"/>
        </w:rPr>
        <w:t>第六部分</w:t>
      </w:r>
      <w:r>
        <w:rPr>
          <w:rFonts w:asciiTheme="minorEastAsia" w:hAnsiTheme="minorEastAsia" w:eastAsiaTheme="minorEastAsia"/>
          <w:b/>
          <w:color w:val="auto"/>
          <w:sz w:val="44"/>
          <w:szCs w:val="44"/>
          <w:highlight w:val="none"/>
        </w:rPr>
        <w:t xml:space="preserve"> </w:t>
      </w:r>
      <w:r>
        <w:rPr>
          <w:rFonts w:hint="eastAsia" w:asciiTheme="minorEastAsia" w:hAnsiTheme="minorEastAsia" w:eastAsiaTheme="minorEastAsia"/>
          <w:b/>
          <w:color w:val="auto"/>
          <w:sz w:val="44"/>
          <w:szCs w:val="44"/>
          <w:highlight w:val="none"/>
        </w:rPr>
        <w:t>评分标准</w:t>
      </w:r>
    </w:p>
    <w:p>
      <w:pPr>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lang w:eastAsia="zh-CN"/>
        </w:rPr>
        <w:t>锅炉炉膛检修升降平台</w:t>
      </w:r>
      <w:r>
        <w:rPr>
          <w:rFonts w:hint="eastAsia" w:cs="宋体" w:asciiTheme="minorEastAsia" w:hAnsiTheme="minorEastAsia" w:eastAsiaTheme="minorEastAsia"/>
          <w:b/>
          <w:bCs/>
          <w:color w:val="auto"/>
          <w:sz w:val="32"/>
          <w:szCs w:val="32"/>
          <w:highlight w:val="none"/>
        </w:rPr>
        <w:t>设备谈判评分细则</w:t>
      </w:r>
    </w:p>
    <w:p>
      <w:pPr>
        <w:spacing w:line="360" w:lineRule="auto"/>
        <w:jc w:val="left"/>
        <w:outlineLvl w:val="0"/>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1、评审内容及标准</w:t>
      </w:r>
    </w:p>
    <w:p>
      <w:pPr>
        <w:keepNext/>
        <w:keepLines/>
        <w:spacing w:before="156" w:beforeLines="50" w:after="156" w:afterLines="50"/>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采用综合评估法</w:t>
      </w:r>
    </w:p>
    <w:p>
      <w:pPr>
        <w:snapToGrid w:val="0"/>
        <w:spacing w:line="360" w:lineRule="exact"/>
        <w:ind w:left="-51" w:right="-51"/>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总得分</w:t>
      </w:r>
      <w:r>
        <w:rPr>
          <w:rFonts w:cs="宋体" w:asciiTheme="minorEastAsia" w:hAnsiTheme="minorEastAsia" w:eastAsiaTheme="minorEastAsia"/>
          <w:color w:val="auto"/>
          <w:szCs w:val="21"/>
          <w:highlight w:val="none"/>
        </w:rPr>
        <w:t>=1价格分＋2技术分＋3商务分</w:t>
      </w:r>
    </w:p>
    <w:p>
      <w:pPr>
        <w:keepNext/>
        <w:keepLines/>
        <w:spacing w:before="156" w:beforeLines="50" w:after="156" w:afterLines="50"/>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响应报价得分评分标准（</w:t>
      </w:r>
      <w:r>
        <w:rPr>
          <w:rFonts w:asciiTheme="minorEastAsia" w:hAnsiTheme="minorEastAsia" w:eastAsiaTheme="minorEastAsia"/>
          <w:b/>
          <w:color w:val="auto"/>
          <w:sz w:val="24"/>
          <w:highlight w:val="none"/>
        </w:rPr>
        <w:t>60</w:t>
      </w:r>
      <w:r>
        <w:rPr>
          <w:rFonts w:hint="eastAsia" w:asciiTheme="minorEastAsia" w:hAnsiTheme="minorEastAsia" w:eastAsiaTheme="minorEastAsia"/>
          <w:b/>
          <w:color w:val="auto"/>
          <w:sz w:val="24"/>
          <w:highlight w:val="none"/>
        </w:rPr>
        <w:t>分）</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1.2.1 </w:t>
      </w:r>
      <w:r>
        <w:rPr>
          <w:rFonts w:hint="eastAsia" w:asciiTheme="minorEastAsia" w:hAnsiTheme="minorEastAsia" w:eastAsiaTheme="minorEastAsia"/>
          <w:color w:val="auto"/>
          <w:szCs w:val="21"/>
          <w:highlight w:val="none"/>
        </w:rPr>
        <w:t>响应报价的确定</w:t>
      </w:r>
    </w:p>
    <w:p>
      <w:pPr>
        <w:spacing w:line="440" w:lineRule="exact"/>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响应报价</w:t>
      </w:r>
      <w:r>
        <w:rPr>
          <w:rFonts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有效响应报价。</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1.2.2 </w:t>
      </w:r>
      <w:r>
        <w:rPr>
          <w:rFonts w:hint="eastAsia" w:asciiTheme="minorEastAsia" w:hAnsiTheme="minorEastAsia" w:eastAsiaTheme="minorEastAsia"/>
          <w:color w:val="auto"/>
          <w:szCs w:val="21"/>
          <w:highlight w:val="none"/>
        </w:rPr>
        <w:t>价格评分标准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69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5" w:leftChars="-50" w:right="-105" w:rightChars="-5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评分因素</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5" w:leftChars="-50" w:right="-105" w:rightChars="-5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分值</w:t>
            </w:r>
          </w:p>
        </w:tc>
        <w:tc>
          <w:tcPr>
            <w:tcW w:w="69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5" w:leftChars="-50" w:right="-105" w:rightChars="-5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2" w:type="dxa"/>
            <w:tcBorders>
              <w:top w:val="single" w:color="auto" w:sz="4" w:space="0"/>
              <w:left w:val="single" w:color="auto" w:sz="4" w:space="0"/>
              <w:right w:val="single" w:color="auto" w:sz="4" w:space="0"/>
            </w:tcBorders>
            <w:shd w:val="clear" w:color="auto" w:fill="auto"/>
            <w:vAlign w:val="center"/>
          </w:tcPr>
          <w:p>
            <w:pPr>
              <w:spacing w:line="340" w:lineRule="exact"/>
              <w:ind w:left="-105" w:leftChars="-50" w:right="-105" w:rightChars="-5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价格分</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ind w:left="-105" w:leftChars="-50" w:right="-105" w:rightChars="-5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60</w:t>
            </w:r>
          </w:p>
        </w:tc>
        <w:tc>
          <w:tcPr>
            <w:tcW w:w="6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t>通过初步审查的供应商的</w:t>
            </w:r>
            <w:r>
              <w:rPr>
                <w:rFonts w:hint="eastAsia" w:asciiTheme="minorEastAsia" w:hAnsiTheme="minorEastAsia" w:eastAsiaTheme="minorEastAsia"/>
                <w:b/>
                <w:bCs/>
                <w:color w:val="auto"/>
                <w:highlight w:val="none"/>
              </w:rPr>
              <w:t>响应</w:t>
            </w:r>
            <w:r>
              <w:rPr>
                <w:rFonts w:asciiTheme="minorEastAsia" w:hAnsiTheme="minorEastAsia" w:eastAsiaTheme="minorEastAsia"/>
                <w:b/>
                <w:bCs/>
                <w:color w:val="auto"/>
                <w:highlight w:val="none"/>
              </w:rPr>
              <w:t>报价</w:t>
            </w:r>
            <w:r>
              <w:rPr>
                <w:rFonts w:hint="eastAsia" w:asciiTheme="minorEastAsia" w:hAnsiTheme="minorEastAsia" w:eastAsiaTheme="minorEastAsia"/>
                <w:b/>
                <w:bCs/>
                <w:color w:val="auto"/>
                <w:highlight w:val="none"/>
              </w:rPr>
              <w:t>不含税</w:t>
            </w:r>
            <w:r>
              <w:rPr>
                <w:rFonts w:asciiTheme="minorEastAsia" w:hAnsiTheme="minorEastAsia" w:eastAsiaTheme="minorEastAsia"/>
                <w:b/>
                <w:bCs/>
                <w:color w:val="auto"/>
                <w:highlight w:val="none"/>
              </w:rPr>
              <w:t>总价（</w:t>
            </w:r>
            <w:r>
              <w:rPr>
                <w:rFonts w:hint="eastAsia" w:asciiTheme="minorEastAsia" w:hAnsiTheme="minorEastAsia" w:eastAsiaTheme="minorEastAsia"/>
                <w:b/>
                <w:bCs/>
                <w:color w:val="auto"/>
                <w:highlight w:val="none"/>
              </w:rPr>
              <w:t>响应</w:t>
            </w:r>
            <w:r>
              <w:rPr>
                <w:rFonts w:asciiTheme="minorEastAsia" w:hAnsiTheme="minorEastAsia" w:eastAsiaTheme="minorEastAsia"/>
                <w:b/>
                <w:bCs/>
                <w:color w:val="auto"/>
                <w:highlight w:val="none"/>
              </w:rPr>
              <w:t>单价合计金额）的平均价作为评审基准价，得60分。</w:t>
            </w:r>
          </w:p>
          <w:p>
            <w:pPr>
              <w:spacing w:line="360" w:lineRule="auto"/>
              <w:rPr>
                <w:rFonts w:cs="宋体" w:asciiTheme="minorEastAsia" w:hAnsiTheme="minorEastAsia" w:eastAsiaTheme="minorEastAsia"/>
                <w:color w:val="auto"/>
                <w:szCs w:val="21"/>
                <w:highlight w:val="none"/>
              </w:rPr>
            </w:pPr>
            <w:r>
              <w:rPr>
                <w:rFonts w:asciiTheme="minorEastAsia" w:hAnsiTheme="minorEastAsia" w:eastAsiaTheme="minorEastAsia"/>
                <w:b/>
                <w:bCs/>
                <w:color w:val="auto"/>
                <w:highlight w:val="none"/>
              </w:rPr>
              <w:t>与</w:t>
            </w:r>
            <w:r>
              <w:rPr>
                <w:rFonts w:hint="eastAsia" w:asciiTheme="minorEastAsia" w:hAnsiTheme="minorEastAsia" w:eastAsiaTheme="minorEastAsia"/>
                <w:b/>
                <w:bCs/>
                <w:color w:val="auto"/>
                <w:highlight w:val="none"/>
              </w:rPr>
              <w:t>评审</w:t>
            </w:r>
            <w:r>
              <w:rPr>
                <w:rFonts w:asciiTheme="minorEastAsia" w:hAnsiTheme="minorEastAsia" w:eastAsiaTheme="minorEastAsia"/>
                <w:b/>
                <w:bCs/>
                <w:color w:val="auto"/>
                <w:highlight w:val="none"/>
              </w:rPr>
              <w:t>基准价相比，每上浮1%扣1分，每下浮1%扣0.5分，不足1%，按照插入法计算得分，最低扣至50分；</w:t>
            </w:r>
          </w:p>
        </w:tc>
      </w:tr>
    </w:tbl>
    <w:p>
      <w:pPr>
        <w:spacing w:line="440" w:lineRule="exact"/>
        <w:rPr>
          <w:rFonts w:cs="仿宋_GB2312" w:asciiTheme="minorEastAsia" w:hAnsiTheme="minorEastAsia" w:eastAsiaTheme="minorEastAsia"/>
          <w:b/>
          <w:bCs/>
          <w:color w:val="auto"/>
          <w:sz w:val="28"/>
          <w:szCs w:val="28"/>
          <w:highlight w:val="none"/>
        </w:rPr>
      </w:pPr>
      <w:r>
        <w:rPr>
          <w:rFonts w:hint="eastAsia" w:cs="仿宋_GB2312" w:asciiTheme="minorEastAsia" w:hAnsiTheme="minorEastAsia" w:eastAsiaTheme="minorEastAsia"/>
          <w:b/>
          <w:bCs/>
          <w:color w:val="auto"/>
          <w:sz w:val="28"/>
          <w:szCs w:val="28"/>
          <w:highlight w:val="none"/>
        </w:rPr>
        <w:t>注：价格评分，最低不低于</w:t>
      </w:r>
      <w:r>
        <w:rPr>
          <w:rFonts w:cs="仿宋_GB2312" w:asciiTheme="minorEastAsia" w:hAnsiTheme="minorEastAsia" w:eastAsiaTheme="minorEastAsia"/>
          <w:b/>
          <w:bCs/>
          <w:color w:val="auto"/>
          <w:sz w:val="28"/>
          <w:szCs w:val="28"/>
          <w:highlight w:val="none"/>
        </w:rPr>
        <w:t>50分，最高不高于60分。</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1.2.3 </w:t>
      </w:r>
      <w:r>
        <w:rPr>
          <w:rFonts w:hint="eastAsia" w:asciiTheme="minorEastAsia" w:hAnsiTheme="minorEastAsia" w:eastAsiaTheme="minorEastAsia"/>
          <w:color w:val="auto"/>
          <w:szCs w:val="21"/>
          <w:highlight w:val="none"/>
        </w:rPr>
        <w:t>技术评分标准，占总分权重</w:t>
      </w:r>
      <w:r>
        <w:rPr>
          <w:rFonts w:asciiTheme="minorEastAsia" w:hAnsiTheme="minorEastAsia" w:eastAsiaTheme="minorEastAsia"/>
          <w:color w:val="auto"/>
          <w:szCs w:val="21"/>
          <w:highlight w:val="none"/>
        </w:rPr>
        <w:t>27%</w:t>
      </w:r>
    </w:p>
    <w:p>
      <w:pPr>
        <w:pStyle w:val="9"/>
        <w:spacing w:line="80" w:lineRule="atLeast"/>
        <w:rPr>
          <w:rFonts w:asciiTheme="minorEastAsia" w:hAnsiTheme="minorEastAsia" w:eastAsiaTheme="minorEastAsia"/>
          <w:color w:val="auto"/>
          <w:highlight w:val="none"/>
        </w:rPr>
      </w:pPr>
    </w:p>
    <w:tbl>
      <w:tblPr>
        <w:tblStyle w:val="22"/>
        <w:tblW w:w="96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810"/>
        <w:gridCol w:w="648"/>
        <w:gridCol w:w="4626"/>
        <w:gridCol w:w="847"/>
        <w:gridCol w:w="6"/>
        <w:gridCol w:w="920"/>
        <w:gridCol w:w="6"/>
        <w:gridCol w:w="1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序号</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项目</w:t>
            </w:r>
          </w:p>
        </w:tc>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分值分配</w:t>
            </w:r>
          </w:p>
        </w:tc>
        <w:tc>
          <w:tcPr>
            <w:tcW w:w="462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内</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容</w:t>
            </w:r>
          </w:p>
        </w:tc>
        <w:tc>
          <w:tcPr>
            <w:tcW w:w="8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满分</w:t>
            </w: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Cs w:val="20"/>
                <w:highlight w:val="none"/>
              </w:rPr>
              <w:t>资料页码</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评价得分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一</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
                <w:bCs/>
                <w:color w:val="auto"/>
                <w:highlight w:val="none"/>
              </w:rPr>
              <w:t>设备性能实施评分</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highlight w:val="none"/>
              </w:rPr>
              <w:t>14</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根据各供应商的设备性能、功能，由评委确定各供应商所属档次，并由评委在各档次内独立打分</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一档（</w:t>
            </w:r>
            <w:r>
              <w:rPr>
                <w:rFonts w:asciiTheme="minorEastAsia" w:hAnsiTheme="minorEastAsia" w:eastAsiaTheme="minorEastAsia"/>
                <w:b/>
                <w:bCs/>
                <w:color w:val="auto"/>
                <w:highlight w:val="none"/>
              </w:rPr>
              <w:t>0-5分）：设备性能、功能基本满足技术协议中的要求，获得评委组一致认可的，进入一档。</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二档（</w:t>
            </w:r>
            <w:r>
              <w:rPr>
                <w:rFonts w:asciiTheme="minorEastAsia" w:hAnsiTheme="minorEastAsia" w:eastAsiaTheme="minorEastAsia"/>
                <w:b/>
                <w:bCs/>
                <w:color w:val="auto"/>
                <w:highlight w:val="none"/>
              </w:rPr>
              <w:t>5.1-10分）：设备性能、功能满足技</w:t>
            </w:r>
            <w:r>
              <w:rPr>
                <w:rFonts w:hint="eastAsia" w:asciiTheme="minorEastAsia" w:hAnsiTheme="minorEastAsia" w:eastAsiaTheme="minorEastAsia"/>
                <w:b/>
                <w:bCs/>
                <w:color w:val="auto"/>
                <w:highlight w:val="none"/>
              </w:rPr>
              <w:t>术协议中的要求，获得评委组一致认可的，进入二档。</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三档（</w:t>
            </w:r>
            <w:r>
              <w:rPr>
                <w:rFonts w:asciiTheme="minorEastAsia" w:hAnsiTheme="minorEastAsia" w:eastAsiaTheme="minorEastAsia"/>
                <w:b/>
                <w:bCs/>
                <w:color w:val="auto"/>
                <w:highlight w:val="none"/>
              </w:rPr>
              <w:t>10.1-14分）：设备性能、功能满足技术协议中的要求，且对本项目有提供优化技术协议中性能及功能的情况，并获得评委组一致认可的，进入三档。</w:t>
            </w: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14</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p>
            <w:pPr>
              <w:spacing w:before="100" w:beforeAutospacing="1" w:after="100" w:afterAutospacing="1"/>
              <w:rPr>
                <w:rFonts w:cs="宋体" w:asciiTheme="minorEastAsia" w:hAnsiTheme="minorEastAsia" w:eastAsiaTheme="minorEastAsia"/>
                <w:color w:val="auto"/>
                <w:sz w:val="20"/>
                <w:szCs w:val="20"/>
                <w:highlight w:val="none"/>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p>
            <w:pPr>
              <w:spacing w:before="100" w:beforeAutospacing="1" w:after="100" w:afterAutospacing="1"/>
              <w:rPr>
                <w:rFonts w:cs="宋体" w:asciiTheme="minorEastAsia" w:hAnsiTheme="minorEastAsia" w:eastAsiaTheme="minorEastAsia"/>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安装指导实施评分</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13</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根据各供应商的实施指导安装进度计划方案的适配度和合理性，由评委确定各供应商所属档次，并由评委在各档次内独立打分</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一档（</w:t>
            </w:r>
            <w:r>
              <w:rPr>
                <w:rFonts w:asciiTheme="minorEastAsia" w:hAnsiTheme="minorEastAsia" w:eastAsiaTheme="minorEastAsia"/>
                <w:b/>
                <w:bCs/>
                <w:color w:val="auto"/>
                <w:highlight w:val="none"/>
              </w:rPr>
              <w:t>0-5分）：实施指导安装进度计划方案基本满足技术协议中的要求，获得评委组一致认可的，进入一档。</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二档（</w:t>
            </w:r>
            <w:r>
              <w:rPr>
                <w:rFonts w:asciiTheme="minorEastAsia" w:hAnsiTheme="minorEastAsia" w:eastAsiaTheme="minorEastAsia"/>
                <w:b/>
                <w:bCs/>
                <w:color w:val="auto"/>
                <w:highlight w:val="none"/>
              </w:rPr>
              <w:t>5.1-9分）：实施指导安装进度计划方案满足技术协议中的要求，获得评委组一致认可的，进入二档。</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三档（</w:t>
            </w:r>
            <w:r>
              <w:rPr>
                <w:rFonts w:asciiTheme="minorEastAsia" w:hAnsiTheme="minorEastAsia" w:eastAsiaTheme="minorEastAsia"/>
                <w:b/>
                <w:bCs/>
                <w:color w:val="auto"/>
                <w:highlight w:val="none"/>
              </w:rPr>
              <w:t>9.1-13分）：实施指导安装进度计划方案满足技术协议中的要求，且对本项目有针对性、建设性、优化性方案的，获得评委组一致认可的，进入三档。</w:t>
            </w: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13</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31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总计</w:t>
            </w:r>
          </w:p>
        </w:tc>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27</w:t>
            </w:r>
          </w:p>
        </w:tc>
        <w:tc>
          <w:tcPr>
            <w:tcW w:w="462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4"/>
                <w:szCs w:val="21"/>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27</w:t>
            </w:r>
          </w:p>
        </w:tc>
        <w:tc>
          <w:tcPr>
            <w:tcW w:w="926" w:type="dxa"/>
            <w:gridSpan w:val="2"/>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cs="宋体" w:asciiTheme="minorEastAsia" w:hAnsiTheme="minorEastAsia" w:eastAsiaTheme="minorEastAsia"/>
                <w:color w:val="auto"/>
                <w:sz w:val="20"/>
                <w:szCs w:val="20"/>
                <w:highlight w:val="none"/>
              </w:rPr>
            </w:pPr>
            <w:r>
              <w:rPr>
                <w:rFonts w:asciiTheme="minorEastAsia" w:hAnsiTheme="minorEastAsia" w:eastAsiaTheme="minorEastAsia"/>
                <w:color w:val="auto"/>
                <w:highlight w:val="none"/>
              </w:rPr>
              <w:t> </w:t>
            </w:r>
          </w:p>
        </w:tc>
        <w:tc>
          <w:tcPr>
            <w:tcW w:w="1300" w:type="dxa"/>
            <w:gridSpan w:val="2"/>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cs="宋体" w:asciiTheme="minorEastAsia" w:hAnsiTheme="minorEastAsia" w:eastAsiaTheme="minorEastAsia"/>
                <w:color w:val="auto"/>
                <w:sz w:val="20"/>
                <w:szCs w:val="20"/>
                <w:highlight w:val="none"/>
              </w:rPr>
            </w:pPr>
            <w:r>
              <w:rPr>
                <w:rFonts w:asciiTheme="minorEastAsia" w:hAnsiTheme="minorEastAsia" w:eastAsiaTheme="minorEastAsia"/>
                <w:color w:val="auto"/>
                <w:highlight w:val="none"/>
              </w:rPr>
              <w:t> </w:t>
            </w:r>
          </w:p>
        </w:tc>
      </w:tr>
    </w:tbl>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1.2.4 </w:t>
      </w:r>
      <w:r>
        <w:rPr>
          <w:rFonts w:hint="eastAsia" w:asciiTheme="minorEastAsia" w:hAnsiTheme="minorEastAsia" w:eastAsiaTheme="minorEastAsia"/>
          <w:color w:val="auto"/>
          <w:szCs w:val="21"/>
          <w:highlight w:val="none"/>
        </w:rPr>
        <w:t>商务分标准，占总分权重</w:t>
      </w:r>
      <w:r>
        <w:rPr>
          <w:rFonts w:asciiTheme="minorEastAsia" w:hAnsiTheme="minorEastAsia" w:eastAsiaTheme="minorEastAsia"/>
          <w:color w:val="auto"/>
          <w:szCs w:val="21"/>
          <w:highlight w:val="none"/>
        </w:rPr>
        <w:t>13%</w:t>
      </w:r>
    </w:p>
    <w:tbl>
      <w:tblPr>
        <w:tblStyle w:val="22"/>
        <w:tblW w:w="96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810"/>
        <w:gridCol w:w="648"/>
        <w:gridCol w:w="4626"/>
        <w:gridCol w:w="847"/>
        <w:gridCol w:w="6"/>
        <w:gridCol w:w="920"/>
        <w:gridCol w:w="6"/>
        <w:gridCol w:w="1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序号</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项目</w:t>
            </w:r>
          </w:p>
        </w:tc>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分值分配</w:t>
            </w:r>
          </w:p>
        </w:tc>
        <w:tc>
          <w:tcPr>
            <w:tcW w:w="462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内</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容</w:t>
            </w:r>
          </w:p>
        </w:tc>
        <w:tc>
          <w:tcPr>
            <w:tcW w:w="8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满分</w:t>
            </w: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Cs w:val="20"/>
                <w:highlight w:val="none"/>
              </w:rPr>
              <w:t>资料页码</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评价得分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一</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
                <w:bCs/>
                <w:color w:val="auto"/>
                <w:highlight w:val="none"/>
              </w:rPr>
              <w:t>信誉分</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highlight w:val="none"/>
              </w:rPr>
              <w:t>1</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提供供应商有效的</w:t>
            </w:r>
            <w:r>
              <w:rPr>
                <w:rFonts w:asciiTheme="minorEastAsia" w:hAnsiTheme="minorEastAsia" w:eastAsiaTheme="minorEastAsia"/>
                <w:b/>
                <w:bCs/>
                <w:color w:val="auto"/>
                <w:highlight w:val="none"/>
              </w:rPr>
              <w:t>ISO 9001</w:t>
            </w:r>
            <w:r>
              <w:rPr>
                <w:rFonts w:hint="eastAsia" w:asciiTheme="minorEastAsia" w:hAnsiTheme="minorEastAsia" w:eastAsiaTheme="minorEastAsia"/>
                <w:b/>
                <w:bCs/>
                <w:color w:val="auto"/>
                <w:highlight w:val="none"/>
              </w:rPr>
              <w:t>国际质量体系认证证书。满分</w:t>
            </w:r>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分。</w:t>
            </w: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t>1</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p>
            <w:pPr>
              <w:spacing w:before="100" w:beforeAutospacing="1" w:after="100" w:afterAutospacing="1"/>
              <w:rPr>
                <w:rFonts w:cs="宋体" w:asciiTheme="minorEastAsia" w:hAnsiTheme="minorEastAsia" w:eastAsiaTheme="minorEastAsia"/>
                <w:color w:val="auto"/>
                <w:sz w:val="20"/>
                <w:szCs w:val="20"/>
                <w:highlight w:val="none"/>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p>
            <w:pPr>
              <w:spacing w:before="100" w:beforeAutospacing="1" w:after="100" w:afterAutospacing="1"/>
              <w:rPr>
                <w:rFonts w:cs="宋体" w:asciiTheme="minorEastAsia" w:hAnsiTheme="minorEastAsia" w:eastAsiaTheme="minorEastAsia"/>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售后服务分</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评委根据竞争性谈判文件要求供应商对本项目售后服务方案，确定供应商“一般、良好、优秀”各所属档次，由评委在相应档次内独立打分。</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一档（</w:t>
            </w:r>
            <w:r>
              <w:rPr>
                <w:rFonts w:asciiTheme="minorEastAsia" w:hAnsiTheme="minorEastAsia" w:eastAsiaTheme="minorEastAsia"/>
                <w:b/>
                <w:bCs/>
                <w:color w:val="auto"/>
                <w:highlight w:val="none"/>
              </w:rPr>
              <w:t>0-0.5</w:t>
            </w:r>
            <w:r>
              <w:rPr>
                <w:rFonts w:hint="eastAsia" w:asciiTheme="minorEastAsia" w:hAnsiTheme="minorEastAsia" w:eastAsiaTheme="minorEastAsia"/>
                <w:b/>
                <w:bCs/>
                <w:color w:val="auto"/>
                <w:highlight w:val="none"/>
              </w:rPr>
              <w:t>分）：有售后服务方案，基本满足竞争性谈判文件售后服务要求的。</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二档（</w:t>
            </w:r>
            <w:r>
              <w:rPr>
                <w:rFonts w:asciiTheme="minorEastAsia" w:hAnsiTheme="minorEastAsia" w:eastAsiaTheme="minorEastAsia"/>
                <w:b/>
                <w:bCs/>
                <w:color w:val="auto"/>
                <w:highlight w:val="none"/>
              </w:rPr>
              <w:t>0.6-1.4</w:t>
            </w:r>
            <w:r>
              <w:rPr>
                <w:rFonts w:hint="eastAsia" w:asciiTheme="minorEastAsia" w:hAnsiTheme="minorEastAsia" w:eastAsiaTheme="minorEastAsia"/>
                <w:b/>
                <w:bCs/>
                <w:color w:val="auto"/>
                <w:highlight w:val="none"/>
              </w:rPr>
              <w:t>分）：满足竞争性谈判文件售后服务要求的同时，售后服务方案内容较完整、可行，故障响应时间、到达现场维护时间、修复时间优于竞争性谈判文件要求，有项目售后实施计划，有本地化售后服务点、售后服务车辆、人员及零配件仓库。（需提供有效售后服务点、售后服务车辆、人员及零配件仓库等证明材料复印件，证明材料不全或不能有力证明具备能够保证履行以上承诺的能力以及承诺内容的真实性的，视做无效承诺则不予计分）</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三档（</w:t>
            </w:r>
            <w:r>
              <w:rPr>
                <w:rFonts w:asciiTheme="minorEastAsia" w:hAnsiTheme="minorEastAsia" w:eastAsiaTheme="minorEastAsia"/>
                <w:b/>
                <w:bCs/>
                <w:color w:val="auto"/>
                <w:highlight w:val="none"/>
              </w:rPr>
              <w:t>1.5-2</w:t>
            </w:r>
            <w:r>
              <w:rPr>
                <w:rFonts w:hint="eastAsia" w:asciiTheme="minorEastAsia" w:hAnsiTheme="minorEastAsia" w:eastAsiaTheme="minorEastAsia"/>
                <w:b/>
                <w:bCs/>
                <w:color w:val="auto"/>
                <w:highlight w:val="none"/>
              </w:rPr>
              <w:t>分）：满足竞争性谈判文件售后服务要求的同时，售后服务方案内容完整、齐全、可行，故障响应时间、到达现场维护时间、修复时间优于竞争性谈判文件要求，有项目售后实施计划且完整实用，有本地化售后服务网点、售后服务车辆、专业售后培训上岗人员及零配件仓库，其它实质性优惠措施等。（需提供有效售后服务点、售后服务车辆、人员及零配件仓库等证明材料复印件，证明材料不全或不能有力证明具备能够保证履行以上承诺的能力以及承诺内容的真实性的，视做无效承诺则不予计分）。</w:t>
            </w: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t>2</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三</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t>2</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质保期</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自报的质保期不得</w:t>
            </w:r>
            <w:r>
              <w:rPr>
                <w:rFonts w:hint="eastAsia" w:asciiTheme="minorEastAsia" w:hAnsiTheme="minorEastAsia" w:eastAsiaTheme="minorEastAsia"/>
                <w:b/>
                <w:bCs/>
                <w:color w:val="auto"/>
                <w:highlight w:val="none"/>
                <w:lang w:val="en-US" w:eastAsia="zh-CN"/>
              </w:rPr>
              <w:t>少于</w:t>
            </w:r>
            <w:r>
              <w:rPr>
                <w:rFonts w:hint="eastAsia" w:asciiTheme="minorEastAsia" w:hAnsiTheme="minorEastAsia" w:eastAsiaTheme="minorEastAsia"/>
                <w:b/>
                <w:bCs/>
                <w:color w:val="auto"/>
                <w:highlight w:val="none"/>
              </w:rPr>
              <w:t>1年，自报质保期≥</w:t>
            </w:r>
            <w:r>
              <w:rPr>
                <w:rFonts w:asciiTheme="minorEastAsia" w:hAnsiTheme="minorEastAsia" w:eastAsiaTheme="minorEastAsia"/>
                <w:b/>
                <w:bCs/>
                <w:color w:val="auto"/>
                <w:highlight w:val="none"/>
              </w:rPr>
              <w:t>2</w:t>
            </w:r>
            <w:r>
              <w:rPr>
                <w:rFonts w:hint="eastAsia" w:asciiTheme="minorEastAsia" w:hAnsiTheme="minorEastAsia" w:eastAsiaTheme="minorEastAsia"/>
                <w:b/>
                <w:bCs/>
                <w:color w:val="auto"/>
                <w:highlight w:val="none"/>
              </w:rPr>
              <w:t>年的，得</w:t>
            </w:r>
            <w:r>
              <w:rPr>
                <w:rFonts w:asciiTheme="minorEastAsia" w:hAnsiTheme="minorEastAsia" w:eastAsiaTheme="minorEastAsia"/>
                <w:b/>
                <w:bCs/>
                <w:color w:val="auto"/>
                <w:highlight w:val="none"/>
              </w:rPr>
              <w:t>2</w:t>
            </w:r>
            <w:r>
              <w:rPr>
                <w:rFonts w:hint="eastAsia" w:asciiTheme="minorEastAsia" w:hAnsiTheme="minorEastAsia" w:eastAsiaTheme="minorEastAsia"/>
                <w:b/>
                <w:bCs/>
                <w:color w:val="auto"/>
                <w:highlight w:val="none"/>
              </w:rPr>
              <w:t>分，否则不得分。</w:t>
            </w: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t>2</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t>8</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业绩分</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提供供应商</w:t>
            </w:r>
            <w:r>
              <w:rPr>
                <w:rFonts w:asciiTheme="minorEastAsia" w:hAnsiTheme="minorEastAsia" w:eastAsiaTheme="minorEastAsia"/>
                <w:b/>
                <w:bCs/>
                <w:color w:val="auto"/>
                <w:highlight w:val="none"/>
              </w:rPr>
              <w:t>2020</w:t>
            </w:r>
            <w:r>
              <w:rPr>
                <w:rFonts w:hint="eastAsia" w:asciiTheme="minorEastAsia" w:hAnsiTheme="minorEastAsia" w:eastAsiaTheme="minorEastAsia"/>
                <w:b/>
                <w:bCs/>
                <w:color w:val="auto"/>
                <w:highlight w:val="none"/>
              </w:rPr>
              <w:t>年</w:t>
            </w:r>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月</w:t>
            </w:r>
            <w:r>
              <w:rPr>
                <w:rFonts w:asciiTheme="minorEastAsia" w:hAnsiTheme="minorEastAsia" w:eastAsiaTheme="minorEastAsia"/>
                <w:b/>
                <w:bCs/>
                <w:color w:val="auto"/>
                <w:highlight w:val="none"/>
              </w:rPr>
              <w:t>1日以来具有同类项目实际良好供货业绩</w:t>
            </w:r>
            <w:r>
              <w:rPr>
                <w:rFonts w:hint="eastAsia" w:asciiTheme="minorEastAsia" w:hAnsiTheme="minorEastAsia" w:eastAsiaTheme="minorEastAsia"/>
                <w:b/>
                <w:bCs/>
                <w:color w:val="auto"/>
                <w:highlight w:val="none"/>
              </w:rPr>
              <w:t>（</w:t>
            </w:r>
            <w:r>
              <w:rPr>
                <w:rFonts w:hint="eastAsia" w:asciiTheme="minorEastAsia" w:hAnsiTheme="minorEastAsia" w:eastAsiaTheme="minorEastAsia"/>
                <w:b/>
                <w:bCs/>
                <w:color w:val="auto"/>
                <w:highlight w:val="none"/>
                <w:lang w:eastAsia="zh-CN"/>
              </w:rPr>
              <w:t>锅炉炉膛检修升降平台</w:t>
            </w:r>
            <w:r>
              <w:rPr>
                <w:rFonts w:hint="eastAsia" w:asciiTheme="minorEastAsia" w:hAnsiTheme="minorEastAsia" w:eastAsiaTheme="minorEastAsia"/>
                <w:b/>
                <w:bCs/>
                <w:color w:val="auto"/>
                <w:highlight w:val="none"/>
              </w:rPr>
              <w:t>设备供应商业绩</w:t>
            </w:r>
            <w:r>
              <w:rPr>
                <w:rFonts w:asciiTheme="minorEastAsia" w:hAnsiTheme="minorEastAsia" w:eastAsiaTheme="minorEastAsia"/>
                <w:b/>
                <w:bCs/>
                <w:color w:val="auto"/>
                <w:highlight w:val="none"/>
              </w:rPr>
              <w:t>），</w:t>
            </w:r>
            <w:r>
              <w:rPr>
                <w:rFonts w:hint="eastAsia" w:asciiTheme="minorEastAsia" w:hAnsiTheme="minorEastAsia" w:eastAsiaTheme="minorEastAsia"/>
                <w:b/>
                <w:bCs/>
                <w:color w:val="auto"/>
                <w:highlight w:val="none"/>
              </w:rPr>
              <w:t>提供设备稳定运行验收报告及质保金支付证明（时间满足设备稳定运行一年以上）</w:t>
            </w:r>
            <w:r>
              <w:rPr>
                <w:rFonts w:asciiTheme="minorEastAsia" w:hAnsiTheme="minorEastAsia" w:eastAsiaTheme="minorEastAsia"/>
                <w:b/>
                <w:bCs/>
                <w:color w:val="auto"/>
                <w:highlight w:val="none"/>
              </w:rPr>
              <w:t>复印件加盖公章（原件备查）</w:t>
            </w:r>
            <w:r>
              <w:rPr>
                <w:rFonts w:hint="eastAsia" w:asciiTheme="minorEastAsia" w:hAnsiTheme="minorEastAsia" w:eastAsiaTheme="minorEastAsia"/>
                <w:b/>
                <w:bCs/>
                <w:color w:val="auto"/>
                <w:highlight w:val="none"/>
              </w:rPr>
              <w:t>，每项得</w:t>
            </w:r>
            <w:r>
              <w:rPr>
                <w:rFonts w:asciiTheme="minorEastAsia" w:hAnsiTheme="minorEastAsia" w:eastAsiaTheme="minorEastAsia"/>
                <w:b/>
                <w:bCs/>
                <w:color w:val="auto"/>
                <w:highlight w:val="none"/>
              </w:rPr>
              <w:t>2</w:t>
            </w:r>
            <w:r>
              <w:rPr>
                <w:rFonts w:hint="eastAsia" w:asciiTheme="minorEastAsia" w:hAnsiTheme="minorEastAsia" w:eastAsiaTheme="minorEastAsia"/>
                <w:b/>
                <w:bCs/>
                <w:color w:val="auto"/>
                <w:highlight w:val="none"/>
              </w:rPr>
              <w:t>分。</w:t>
            </w:r>
            <w:r>
              <w:rPr>
                <w:rFonts w:asciiTheme="minorEastAsia" w:hAnsiTheme="minorEastAsia" w:eastAsiaTheme="minorEastAsia"/>
                <w:b/>
                <w:bCs/>
                <w:color w:val="auto"/>
                <w:highlight w:val="none"/>
              </w:rPr>
              <w:t>[提供成交通知书、或签订的销售合同和合格验收证明，提供设</w:t>
            </w:r>
            <w:r>
              <w:rPr>
                <w:rFonts w:hint="eastAsia" w:asciiTheme="minorEastAsia" w:hAnsiTheme="minorEastAsia" w:eastAsiaTheme="minorEastAsia"/>
                <w:b/>
                <w:bCs/>
                <w:color w:val="auto"/>
                <w:highlight w:val="none"/>
              </w:rPr>
              <w:t>备稳定运行验收报告及质保金支付证明，同一个编号的项目有两个或两个以上的分标成交的只算一次，复印件加盖供应商单位公章</w:t>
            </w:r>
            <w:r>
              <w:rPr>
                <w:rFonts w:asciiTheme="minorEastAsia" w:hAnsiTheme="minorEastAsia" w:eastAsiaTheme="minorEastAsia"/>
                <w:b/>
                <w:bCs/>
                <w:color w:val="auto"/>
                <w:highlight w:val="none"/>
              </w:rPr>
              <w:t>]。</w:t>
            </w:r>
          </w:p>
          <w:p>
            <w:pPr>
              <w:rPr>
                <w:rFonts w:asciiTheme="minorEastAsia" w:hAnsiTheme="minorEastAsia" w:eastAsiaTheme="minorEastAsia"/>
                <w:b/>
                <w:bCs/>
                <w:color w:val="auto"/>
                <w:highlight w:val="none"/>
              </w:rPr>
            </w:pP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t>8</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31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highlight w:val="none"/>
              </w:rPr>
              <w:t>总计</w:t>
            </w:r>
          </w:p>
        </w:tc>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13</w:t>
            </w:r>
          </w:p>
        </w:tc>
        <w:tc>
          <w:tcPr>
            <w:tcW w:w="462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color w:val="auto"/>
                <w:sz w:val="24"/>
                <w:szCs w:val="21"/>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13</w:t>
            </w:r>
          </w:p>
        </w:tc>
        <w:tc>
          <w:tcPr>
            <w:tcW w:w="926" w:type="dxa"/>
            <w:gridSpan w:val="2"/>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cs="宋体" w:asciiTheme="minorEastAsia" w:hAnsiTheme="minorEastAsia" w:eastAsiaTheme="minorEastAsia"/>
                <w:color w:val="auto"/>
                <w:sz w:val="20"/>
                <w:szCs w:val="20"/>
                <w:highlight w:val="none"/>
              </w:rPr>
            </w:pPr>
            <w:r>
              <w:rPr>
                <w:rFonts w:asciiTheme="minorEastAsia" w:hAnsiTheme="minorEastAsia" w:eastAsiaTheme="minorEastAsia"/>
                <w:color w:val="auto"/>
                <w:highlight w:val="none"/>
              </w:rPr>
              <w:t> </w:t>
            </w:r>
          </w:p>
        </w:tc>
        <w:tc>
          <w:tcPr>
            <w:tcW w:w="1300" w:type="dxa"/>
            <w:gridSpan w:val="2"/>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cs="宋体" w:asciiTheme="minorEastAsia" w:hAnsiTheme="minorEastAsia" w:eastAsiaTheme="minorEastAsia"/>
                <w:color w:val="auto"/>
                <w:sz w:val="20"/>
                <w:szCs w:val="20"/>
                <w:highlight w:val="none"/>
              </w:rPr>
            </w:pPr>
            <w:r>
              <w:rPr>
                <w:rFonts w:asciiTheme="minorEastAsia" w:hAnsiTheme="minorEastAsia" w:eastAsiaTheme="minorEastAsia"/>
                <w:color w:val="auto"/>
                <w:highlight w:val="none"/>
              </w:rPr>
              <w:t> </w:t>
            </w:r>
          </w:p>
        </w:tc>
      </w:tr>
    </w:tbl>
    <w:p>
      <w:pPr>
        <w:spacing w:line="520" w:lineRule="exact"/>
        <w:rPr>
          <w:rFonts w:asciiTheme="minorEastAsia" w:hAnsiTheme="minorEastAsia" w:eastAsiaTheme="minorEastAsia"/>
          <w:b/>
          <w:color w:val="auto"/>
          <w:sz w:val="44"/>
          <w:szCs w:val="44"/>
          <w:highlight w:val="none"/>
        </w:rPr>
      </w:pPr>
    </w:p>
    <w:sectPr>
      <w:footerReference r:id="rId10" w:type="first"/>
      <w:headerReference r:id="rId7" w:type="default"/>
      <w:footerReference r:id="rId8" w:type="default"/>
      <w:footerReference r:id="rId9" w:type="even"/>
      <w:pgSz w:w="11906" w:h="16838"/>
      <w:pgMar w:top="1418" w:right="1134" w:bottom="1134"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全真簡中楷">
    <w:altName w:val="楷体_GB2312"/>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0474308"/>
      <w:showingPlcHdr/>
    </w:sdtPr>
    <w:sdtContent>
      <w:p>
        <w:pPr>
          <w:pStyle w:val="14"/>
          <w:jc w:val="center"/>
        </w:pP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rPr>
        <w:rFonts w:ascii="Arial Black" w:hAnsi="Arial Black"/>
      </w:rPr>
      <w:t>0</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13488"/>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454244"/>
    </w:sdtPr>
    <w:sdtContent>
      <w:p>
        <w:pPr>
          <w:pStyle w:val="14"/>
          <w:jc w:val="center"/>
        </w:pPr>
        <w:r>
          <w:fldChar w:fldCharType="begin"/>
        </w:r>
        <w:r>
          <w:instrText xml:space="preserve">PAGE   \* MERGEFORMAT</w:instrText>
        </w:r>
        <w:r>
          <w:fldChar w:fldCharType="separate"/>
        </w:r>
        <w:r>
          <w:rPr>
            <w:rFonts w:ascii="Arial Black" w:hAnsi="Arial Black"/>
            <w:lang w:val="zh-CN"/>
          </w:rPr>
          <w:t>45</w:t>
        </w:r>
        <w: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53</w: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p>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D0D831D1"/>
    <w:multiLevelType w:val="singleLevel"/>
    <w:tmpl w:val="D0D831D1"/>
    <w:lvl w:ilvl="0" w:tentative="0">
      <w:start w:val="2"/>
      <w:numFmt w:val="decimal"/>
      <w:lvlText w:val="%1."/>
      <w:lvlJc w:val="left"/>
      <w:pPr>
        <w:tabs>
          <w:tab w:val="left" w:pos="312"/>
        </w:tabs>
      </w:pPr>
    </w:lvl>
  </w:abstractNum>
  <w:abstractNum w:abstractNumId="2">
    <w:nsid w:val="EE9F24CB"/>
    <w:multiLevelType w:val="singleLevel"/>
    <w:tmpl w:val="EE9F24CB"/>
    <w:lvl w:ilvl="0" w:tentative="0">
      <w:start w:val="18"/>
      <w:numFmt w:val="decimal"/>
      <w:suff w:val="nothing"/>
      <w:lvlText w:val="%1、"/>
      <w:lvlJc w:val="left"/>
    </w:lvl>
  </w:abstractNum>
  <w:abstractNum w:abstractNumId="3">
    <w:nsid w:val="F90F39C1"/>
    <w:multiLevelType w:val="singleLevel"/>
    <w:tmpl w:val="F90F39C1"/>
    <w:lvl w:ilvl="0" w:tentative="0">
      <w:start w:val="1"/>
      <w:numFmt w:val="decimal"/>
      <w:suff w:val="nothing"/>
      <w:lvlText w:val="（%1）"/>
      <w:lvlJc w:val="left"/>
    </w:lvl>
  </w:abstractNum>
  <w:abstractNum w:abstractNumId="4">
    <w:nsid w:val="296BA0B4"/>
    <w:multiLevelType w:val="singleLevel"/>
    <w:tmpl w:val="296BA0B4"/>
    <w:lvl w:ilvl="0" w:tentative="0">
      <w:start w:val="1"/>
      <w:numFmt w:val="chineseCounting"/>
      <w:suff w:val="nothing"/>
      <w:lvlText w:val="%1、"/>
      <w:lvlJc w:val="left"/>
      <w:rPr>
        <w:rFonts w:hint="eastAsia"/>
      </w:rPr>
    </w:lvl>
  </w:abstractNum>
  <w:abstractNum w:abstractNumId="5">
    <w:nsid w:val="5EF06225"/>
    <w:multiLevelType w:val="multilevel"/>
    <w:tmpl w:val="5EF06225"/>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6">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yNDhjNzczMzg4MTk4MDZkM2Y4MDNkYjcwZWMwZTUifQ=="/>
  </w:docVars>
  <w:rsids>
    <w:rsidRoot w:val="00010265"/>
    <w:rsid w:val="00002826"/>
    <w:rsid w:val="000028F1"/>
    <w:rsid w:val="00002C36"/>
    <w:rsid w:val="000065DD"/>
    <w:rsid w:val="000101C8"/>
    <w:rsid w:val="00010265"/>
    <w:rsid w:val="000108DF"/>
    <w:rsid w:val="000122DE"/>
    <w:rsid w:val="000132C0"/>
    <w:rsid w:val="00015AC3"/>
    <w:rsid w:val="00016DE2"/>
    <w:rsid w:val="000171ED"/>
    <w:rsid w:val="0002033B"/>
    <w:rsid w:val="0002385B"/>
    <w:rsid w:val="000244A8"/>
    <w:rsid w:val="00024E92"/>
    <w:rsid w:val="00026B49"/>
    <w:rsid w:val="00031B59"/>
    <w:rsid w:val="00035ADF"/>
    <w:rsid w:val="00046246"/>
    <w:rsid w:val="00046BFA"/>
    <w:rsid w:val="0004731B"/>
    <w:rsid w:val="0005016D"/>
    <w:rsid w:val="00050BF6"/>
    <w:rsid w:val="000533C8"/>
    <w:rsid w:val="00054F11"/>
    <w:rsid w:val="0005570A"/>
    <w:rsid w:val="00055911"/>
    <w:rsid w:val="00062483"/>
    <w:rsid w:val="00063852"/>
    <w:rsid w:val="00064432"/>
    <w:rsid w:val="00065982"/>
    <w:rsid w:val="00065C5E"/>
    <w:rsid w:val="00066A3B"/>
    <w:rsid w:val="00067265"/>
    <w:rsid w:val="00073805"/>
    <w:rsid w:val="00080359"/>
    <w:rsid w:val="000836E0"/>
    <w:rsid w:val="00083D74"/>
    <w:rsid w:val="00084D02"/>
    <w:rsid w:val="00085648"/>
    <w:rsid w:val="0008612B"/>
    <w:rsid w:val="000917C3"/>
    <w:rsid w:val="000929FA"/>
    <w:rsid w:val="00095672"/>
    <w:rsid w:val="00095A27"/>
    <w:rsid w:val="00097633"/>
    <w:rsid w:val="000A05C2"/>
    <w:rsid w:val="000A10C4"/>
    <w:rsid w:val="000A249F"/>
    <w:rsid w:val="000B1A28"/>
    <w:rsid w:val="000B23F3"/>
    <w:rsid w:val="000B3B10"/>
    <w:rsid w:val="000B4CCF"/>
    <w:rsid w:val="000B5021"/>
    <w:rsid w:val="000B6430"/>
    <w:rsid w:val="000C3FEF"/>
    <w:rsid w:val="000C7D53"/>
    <w:rsid w:val="000D3286"/>
    <w:rsid w:val="000D353D"/>
    <w:rsid w:val="000D3A98"/>
    <w:rsid w:val="000D68DC"/>
    <w:rsid w:val="000D6A78"/>
    <w:rsid w:val="000D6ACE"/>
    <w:rsid w:val="000E01A4"/>
    <w:rsid w:val="000E15A0"/>
    <w:rsid w:val="000E2D6B"/>
    <w:rsid w:val="000E37E2"/>
    <w:rsid w:val="000E4228"/>
    <w:rsid w:val="000F2A11"/>
    <w:rsid w:val="000F3E67"/>
    <w:rsid w:val="00101A74"/>
    <w:rsid w:val="001146ED"/>
    <w:rsid w:val="0012004A"/>
    <w:rsid w:val="00121B0C"/>
    <w:rsid w:val="0012759C"/>
    <w:rsid w:val="00130C1A"/>
    <w:rsid w:val="00131CD4"/>
    <w:rsid w:val="00131D58"/>
    <w:rsid w:val="001323B3"/>
    <w:rsid w:val="0013369D"/>
    <w:rsid w:val="00136953"/>
    <w:rsid w:val="00137F27"/>
    <w:rsid w:val="001405D6"/>
    <w:rsid w:val="00140F0D"/>
    <w:rsid w:val="00140F21"/>
    <w:rsid w:val="00145AC7"/>
    <w:rsid w:val="001500C1"/>
    <w:rsid w:val="00150757"/>
    <w:rsid w:val="00153522"/>
    <w:rsid w:val="00153798"/>
    <w:rsid w:val="00154BBB"/>
    <w:rsid w:val="00161545"/>
    <w:rsid w:val="0016169A"/>
    <w:rsid w:val="0016197F"/>
    <w:rsid w:val="0016314C"/>
    <w:rsid w:val="0017014D"/>
    <w:rsid w:val="00173F5E"/>
    <w:rsid w:val="00177B6F"/>
    <w:rsid w:val="00180750"/>
    <w:rsid w:val="00183E0E"/>
    <w:rsid w:val="0018686E"/>
    <w:rsid w:val="0019075E"/>
    <w:rsid w:val="001926D7"/>
    <w:rsid w:val="00197C72"/>
    <w:rsid w:val="001A0A5B"/>
    <w:rsid w:val="001A45DF"/>
    <w:rsid w:val="001A5ABE"/>
    <w:rsid w:val="001A5F22"/>
    <w:rsid w:val="001A63F4"/>
    <w:rsid w:val="001A6E81"/>
    <w:rsid w:val="001A723B"/>
    <w:rsid w:val="001B1A2D"/>
    <w:rsid w:val="001B1DB7"/>
    <w:rsid w:val="001B425E"/>
    <w:rsid w:val="001C1B1B"/>
    <w:rsid w:val="001C6A4F"/>
    <w:rsid w:val="001D0BE9"/>
    <w:rsid w:val="001D187A"/>
    <w:rsid w:val="001D5621"/>
    <w:rsid w:val="001D59C2"/>
    <w:rsid w:val="001D7D78"/>
    <w:rsid w:val="001E2F55"/>
    <w:rsid w:val="001E3560"/>
    <w:rsid w:val="001E4DD2"/>
    <w:rsid w:val="001E7551"/>
    <w:rsid w:val="001E7E94"/>
    <w:rsid w:val="001F1940"/>
    <w:rsid w:val="002010DE"/>
    <w:rsid w:val="00201C9D"/>
    <w:rsid w:val="00202CB8"/>
    <w:rsid w:val="00205271"/>
    <w:rsid w:val="00205F96"/>
    <w:rsid w:val="00210642"/>
    <w:rsid w:val="00221C49"/>
    <w:rsid w:val="00230105"/>
    <w:rsid w:val="0023246C"/>
    <w:rsid w:val="00232CE5"/>
    <w:rsid w:val="002353E6"/>
    <w:rsid w:val="00235949"/>
    <w:rsid w:val="00236502"/>
    <w:rsid w:val="00243963"/>
    <w:rsid w:val="00244EA0"/>
    <w:rsid w:val="00245807"/>
    <w:rsid w:val="002479D3"/>
    <w:rsid w:val="00247A0A"/>
    <w:rsid w:val="00251904"/>
    <w:rsid w:val="00260B68"/>
    <w:rsid w:val="002620F3"/>
    <w:rsid w:val="0026250F"/>
    <w:rsid w:val="00264E5C"/>
    <w:rsid w:val="00265ED5"/>
    <w:rsid w:val="00272B30"/>
    <w:rsid w:val="0027704B"/>
    <w:rsid w:val="00280336"/>
    <w:rsid w:val="00280C0F"/>
    <w:rsid w:val="002853C2"/>
    <w:rsid w:val="00290A62"/>
    <w:rsid w:val="0029285C"/>
    <w:rsid w:val="00295E39"/>
    <w:rsid w:val="002979C8"/>
    <w:rsid w:val="002A0C38"/>
    <w:rsid w:val="002A321D"/>
    <w:rsid w:val="002A6D4C"/>
    <w:rsid w:val="002B027A"/>
    <w:rsid w:val="002B03BA"/>
    <w:rsid w:val="002B17F6"/>
    <w:rsid w:val="002B18E0"/>
    <w:rsid w:val="002B5931"/>
    <w:rsid w:val="002B62AD"/>
    <w:rsid w:val="002C14C2"/>
    <w:rsid w:val="002C18F6"/>
    <w:rsid w:val="002C459B"/>
    <w:rsid w:val="002C6E17"/>
    <w:rsid w:val="002C7023"/>
    <w:rsid w:val="002C7566"/>
    <w:rsid w:val="002D22FF"/>
    <w:rsid w:val="002E0D6D"/>
    <w:rsid w:val="002E6ACB"/>
    <w:rsid w:val="002E735C"/>
    <w:rsid w:val="002F0668"/>
    <w:rsid w:val="002F07E5"/>
    <w:rsid w:val="002F15F1"/>
    <w:rsid w:val="002F2BCC"/>
    <w:rsid w:val="002F35CA"/>
    <w:rsid w:val="002F3F07"/>
    <w:rsid w:val="002F73AC"/>
    <w:rsid w:val="002F79DE"/>
    <w:rsid w:val="00302B0E"/>
    <w:rsid w:val="003149BB"/>
    <w:rsid w:val="003224C7"/>
    <w:rsid w:val="003239BB"/>
    <w:rsid w:val="00324563"/>
    <w:rsid w:val="00327096"/>
    <w:rsid w:val="00343A0C"/>
    <w:rsid w:val="00344BEC"/>
    <w:rsid w:val="003504E8"/>
    <w:rsid w:val="00354305"/>
    <w:rsid w:val="00361CC8"/>
    <w:rsid w:val="003645B1"/>
    <w:rsid w:val="003650EE"/>
    <w:rsid w:val="0037144B"/>
    <w:rsid w:val="0037240D"/>
    <w:rsid w:val="0037337B"/>
    <w:rsid w:val="0038751D"/>
    <w:rsid w:val="003934FD"/>
    <w:rsid w:val="00396148"/>
    <w:rsid w:val="003A6CC2"/>
    <w:rsid w:val="003A724F"/>
    <w:rsid w:val="003B14C0"/>
    <w:rsid w:val="003B4A9A"/>
    <w:rsid w:val="003B4C55"/>
    <w:rsid w:val="003B76DF"/>
    <w:rsid w:val="003C036F"/>
    <w:rsid w:val="003C1EA9"/>
    <w:rsid w:val="003C2DEE"/>
    <w:rsid w:val="003C44D1"/>
    <w:rsid w:val="003C5674"/>
    <w:rsid w:val="003C5775"/>
    <w:rsid w:val="003C73C7"/>
    <w:rsid w:val="003D04F8"/>
    <w:rsid w:val="003D0F77"/>
    <w:rsid w:val="003D2515"/>
    <w:rsid w:val="003D387D"/>
    <w:rsid w:val="003D574D"/>
    <w:rsid w:val="003F01E4"/>
    <w:rsid w:val="003F42D2"/>
    <w:rsid w:val="003F66BF"/>
    <w:rsid w:val="00401A11"/>
    <w:rsid w:val="004024F6"/>
    <w:rsid w:val="004025C0"/>
    <w:rsid w:val="00406981"/>
    <w:rsid w:val="0040779F"/>
    <w:rsid w:val="00407D63"/>
    <w:rsid w:val="0041261B"/>
    <w:rsid w:val="00412C68"/>
    <w:rsid w:val="00413BEE"/>
    <w:rsid w:val="00416C3F"/>
    <w:rsid w:val="0042148D"/>
    <w:rsid w:val="00421F8C"/>
    <w:rsid w:val="00424328"/>
    <w:rsid w:val="0042787C"/>
    <w:rsid w:val="00430137"/>
    <w:rsid w:val="00430316"/>
    <w:rsid w:val="00435D2F"/>
    <w:rsid w:val="00436A3A"/>
    <w:rsid w:val="00445DE9"/>
    <w:rsid w:val="00446839"/>
    <w:rsid w:val="004501D3"/>
    <w:rsid w:val="00453B7A"/>
    <w:rsid w:val="004547AE"/>
    <w:rsid w:val="004670EE"/>
    <w:rsid w:val="004715B0"/>
    <w:rsid w:val="00471E0D"/>
    <w:rsid w:val="0047270C"/>
    <w:rsid w:val="004734DA"/>
    <w:rsid w:val="00475916"/>
    <w:rsid w:val="004775D6"/>
    <w:rsid w:val="004836FC"/>
    <w:rsid w:val="004837EE"/>
    <w:rsid w:val="00483B06"/>
    <w:rsid w:val="00484BB3"/>
    <w:rsid w:val="004855DE"/>
    <w:rsid w:val="00486B16"/>
    <w:rsid w:val="00487001"/>
    <w:rsid w:val="00487D05"/>
    <w:rsid w:val="004937CC"/>
    <w:rsid w:val="00494141"/>
    <w:rsid w:val="00494DB4"/>
    <w:rsid w:val="00495D32"/>
    <w:rsid w:val="004A0646"/>
    <w:rsid w:val="004A1A03"/>
    <w:rsid w:val="004A2385"/>
    <w:rsid w:val="004B05DD"/>
    <w:rsid w:val="004B16AA"/>
    <w:rsid w:val="004B1F89"/>
    <w:rsid w:val="004B2415"/>
    <w:rsid w:val="004B3651"/>
    <w:rsid w:val="004C1728"/>
    <w:rsid w:val="004C7CC7"/>
    <w:rsid w:val="004E0CED"/>
    <w:rsid w:val="004E0F4E"/>
    <w:rsid w:val="004E792A"/>
    <w:rsid w:val="004F0604"/>
    <w:rsid w:val="004F069D"/>
    <w:rsid w:val="004F0A64"/>
    <w:rsid w:val="004F21D0"/>
    <w:rsid w:val="0050196E"/>
    <w:rsid w:val="00507083"/>
    <w:rsid w:val="005077B1"/>
    <w:rsid w:val="00507B3F"/>
    <w:rsid w:val="005168F8"/>
    <w:rsid w:val="00520301"/>
    <w:rsid w:val="00520E6F"/>
    <w:rsid w:val="005231CE"/>
    <w:rsid w:val="00523D89"/>
    <w:rsid w:val="005246E4"/>
    <w:rsid w:val="005246EA"/>
    <w:rsid w:val="00525CE7"/>
    <w:rsid w:val="005277BD"/>
    <w:rsid w:val="00530652"/>
    <w:rsid w:val="005314B6"/>
    <w:rsid w:val="00533ABA"/>
    <w:rsid w:val="00537F1D"/>
    <w:rsid w:val="00541901"/>
    <w:rsid w:val="00544FFD"/>
    <w:rsid w:val="005454CB"/>
    <w:rsid w:val="005513E7"/>
    <w:rsid w:val="00551ACF"/>
    <w:rsid w:val="0055352C"/>
    <w:rsid w:val="00554F36"/>
    <w:rsid w:val="00556306"/>
    <w:rsid w:val="00560B88"/>
    <w:rsid w:val="005644F9"/>
    <w:rsid w:val="00566DAE"/>
    <w:rsid w:val="00567CDA"/>
    <w:rsid w:val="00571F1C"/>
    <w:rsid w:val="00574CF2"/>
    <w:rsid w:val="0058384F"/>
    <w:rsid w:val="0058753C"/>
    <w:rsid w:val="00590D46"/>
    <w:rsid w:val="0059104B"/>
    <w:rsid w:val="0059275E"/>
    <w:rsid w:val="00594FCD"/>
    <w:rsid w:val="00597058"/>
    <w:rsid w:val="005A2C8F"/>
    <w:rsid w:val="005A4254"/>
    <w:rsid w:val="005A4E63"/>
    <w:rsid w:val="005A5BFA"/>
    <w:rsid w:val="005A5C1F"/>
    <w:rsid w:val="005A6525"/>
    <w:rsid w:val="005B04A0"/>
    <w:rsid w:val="005C1072"/>
    <w:rsid w:val="005C759D"/>
    <w:rsid w:val="005D1502"/>
    <w:rsid w:val="005D3445"/>
    <w:rsid w:val="005D530C"/>
    <w:rsid w:val="005E4280"/>
    <w:rsid w:val="005E4F11"/>
    <w:rsid w:val="005F18BB"/>
    <w:rsid w:val="005F68DE"/>
    <w:rsid w:val="00606817"/>
    <w:rsid w:val="00606A84"/>
    <w:rsid w:val="00606CB9"/>
    <w:rsid w:val="0060710A"/>
    <w:rsid w:val="00610C44"/>
    <w:rsid w:val="006112FB"/>
    <w:rsid w:val="0061478E"/>
    <w:rsid w:val="00617D70"/>
    <w:rsid w:val="00621BB2"/>
    <w:rsid w:val="006222AA"/>
    <w:rsid w:val="00624954"/>
    <w:rsid w:val="00624D91"/>
    <w:rsid w:val="00624DCE"/>
    <w:rsid w:val="0062544A"/>
    <w:rsid w:val="00625D53"/>
    <w:rsid w:val="00631435"/>
    <w:rsid w:val="00632FB1"/>
    <w:rsid w:val="0063617E"/>
    <w:rsid w:val="00637BC1"/>
    <w:rsid w:val="00643804"/>
    <w:rsid w:val="006448BC"/>
    <w:rsid w:val="00645B3B"/>
    <w:rsid w:val="00650ACA"/>
    <w:rsid w:val="00663834"/>
    <w:rsid w:val="00663D7E"/>
    <w:rsid w:val="006666DC"/>
    <w:rsid w:val="0067014D"/>
    <w:rsid w:val="006710C0"/>
    <w:rsid w:val="00674E08"/>
    <w:rsid w:val="00675875"/>
    <w:rsid w:val="00675F5A"/>
    <w:rsid w:val="0067604D"/>
    <w:rsid w:val="00676B6E"/>
    <w:rsid w:val="006803DF"/>
    <w:rsid w:val="006806C8"/>
    <w:rsid w:val="00681993"/>
    <w:rsid w:val="00683873"/>
    <w:rsid w:val="00685419"/>
    <w:rsid w:val="00690254"/>
    <w:rsid w:val="0069177A"/>
    <w:rsid w:val="006937CA"/>
    <w:rsid w:val="00693E5D"/>
    <w:rsid w:val="006969EC"/>
    <w:rsid w:val="006A11ED"/>
    <w:rsid w:val="006A673F"/>
    <w:rsid w:val="006B153F"/>
    <w:rsid w:val="006B2E65"/>
    <w:rsid w:val="006B3FEB"/>
    <w:rsid w:val="006B44AC"/>
    <w:rsid w:val="006B5182"/>
    <w:rsid w:val="006B5C01"/>
    <w:rsid w:val="006B640F"/>
    <w:rsid w:val="006B7C99"/>
    <w:rsid w:val="006C20E7"/>
    <w:rsid w:val="006C44F0"/>
    <w:rsid w:val="006C4BF9"/>
    <w:rsid w:val="006C647B"/>
    <w:rsid w:val="006C73BE"/>
    <w:rsid w:val="006D1B42"/>
    <w:rsid w:val="006D1DA6"/>
    <w:rsid w:val="006D46E3"/>
    <w:rsid w:val="006E26A0"/>
    <w:rsid w:val="006F0F1A"/>
    <w:rsid w:val="006F14A0"/>
    <w:rsid w:val="006F1D38"/>
    <w:rsid w:val="006F2B82"/>
    <w:rsid w:val="006F5D0E"/>
    <w:rsid w:val="00703384"/>
    <w:rsid w:val="00704331"/>
    <w:rsid w:val="007050B5"/>
    <w:rsid w:val="00712CB0"/>
    <w:rsid w:val="00712FF6"/>
    <w:rsid w:val="0071442D"/>
    <w:rsid w:val="00716555"/>
    <w:rsid w:val="00720736"/>
    <w:rsid w:val="00720C51"/>
    <w:rsid w:val="00721179"/>
    <w:rsid w:val="00721432"/>
    <w:rsid w:val="007227A8"/>
    <w:rsid w:val="00722D79"/>
    <w:rsid w:val="007237E2"/>
    <w:rsid w:val="007254AC"/>
    <w:rsid w:val="007256B3"/>
    <w:rsid w:val="00726634"/>
    <w:rsid w:val="00731518"/>
    <w:rsid w:val="00733144"/>
    <w:rsid w:val="00734868"/>
    <w:rsid w:val="00740466"/>
    <w:rsid w:val="007511E9"/>
    <w:rsid w:val="0076044F"/>
    <w:rsid w:val="00761BE1"/>
    <w:rsid w:val="00763198"/>
    <w:rsid w:val="00764D7A"/>
    <w:rsid w:val="0076536C"/>
    <w:rsid w:val="0076610E"/>
    <w:rsid w:val="0077102F"/>
    <w:rsid w:val="007711DE"/>
    <w:rsid w:val="0077441A"/>
    <w:rsid w:val="007852EB"/>
    <w:rsid w:val="00791EE3"/>
    <w:rsid w:val="00794080"/>
    <w:rsid w:val="007A07AB"/>
    <w:rsid w:val="007A0F39"/>
    <w:rsid w:val="007A344B"/>
    <w:rsid w:val="007A549D"/>
    <w:rsid w:val="007B5CFC"/>
    <w:rsid w:val="007C662C"/>
    <w:rsid w:val="007D0A63"/>
    <w:rsid w:val="007D5038"/>
    <w:rsid w:val="007D5F33"/>
    <w:rsid w:val="007D609F"/>
    <w:rsid w:val="007D7D44"/>
    <w:rsid w:val="007E5E1E"/>
    <w:rsid w:val="007F13F4"/>
    <w:rsid w:val="007F18D7"/>
    <w:rsid w:val="007F616E"/>
    <w:rsid w:val="007F75BD"/>
    <w:rsid w:val="0080086E"/>
    <w:rsid w:val="00805CB0"/>
    <w:rsid w:val="008061B3"/>
    <w:rsid w:val="00820ED6"/>
    <w:rsid w:val="00822B6C"/>
    <w:rsid w:val="00826519"/>
    <w:rsid w:val="00827281"/>
    <w:rsid w:val="00827575"/>
    <w:rsid w:val="00831A31"/>
    <w:rsid w:val="00832C2B"/>
    <w:rsid w:val="0083370E"/>
    <w:rsid w:val="008350CA"/>
    <w:rsid w:val="00843641"/>
    <w:rsid w:val="00844E07"/>
    <w:rsid w:val="0084619D"/>
    <w:rsid w:val="008554C1"/>
    <w:rsid w:val="00856B21"/>
    <w:rsid w:val="00863E94"/>
    <w:rsid w:val="00864D8B"/>
    <w:rsid w:val="00865225"/>
    <w:rsid w:val="008665C0"/>
    <w:rsid w:val="008733A8"/>
    <w:rsid w:val="00881D64"/>
    <w:rsid w:val="00884B49"/>
    <w:rsid w:val="00886C83"/>
    <w:rsid w:val="00890168"/>
    <w:rsid w:val="00892436"/>
    <w:rsid w:val="00893275"/>
    <w:rsid w:val="0089591B"/>
    <w:rsid w:val="008A0586"/>
    <w:rsid w:val="008A5C35"/>
    <w:rsid w:val="008A6825"/>
    <w:rsid w:val="008B7ECB"/>
    <w:rsid w:val="008C2226"/>
    <w:rsid w:val="008D0351"/>
    <w:rsid w:val="008D0622"/>
    <w:rsid w:val="008D1E72"/>
    <w:rsid w:val="008E1708"/>
    <w:rsid w:val="008E248C"/>
    <w:rsid w:val="008E4FB8"/>
    <w:rsid w:val="008F05B8"/>
    <w:rsid w:val="008F08C2"/>
    <w:rsid w:val="009017D9"/>
    <w:rsid w:val="009048BD"/>
    <w:rsid w:val="00910300"/>
    <w:rsid w:val="00913B39"/>
    <w:rsid w:val="00916288"/>
    <w:rsid w:val="0092193F"/>
    <w:rsid w:val="00922D5D"/>
    <w:rsid w:val="00922EC3"/>
    <w:rsid w:val="009230C6"/>
    <w:rsid w:val="00923AB2"/>
    <w:rsid w:val="00923F77"/>
    <w:rsid w:val="00926DC6"/>
    <w:rsid w:val="0093109F"/>
    <w:rsid w:val="009339F0"/>
    <w:rsid w:val="00935486"/>
    <w:rsid w:val="009400B5"/>
    <w:rsid w:val="00940123"/>
    <w:rsid w:val="00940DD3"/>
    <w:rsid w:val="00941DA0"/>
    <w:rsid w:val="00943D90"/>
    <w:rsid w:val="00944597"/>
    <w:rsid w:val="00945C8B"/>
    <w:rsid w:val="0095243F"/>
    <w:rsid w:val="009549DF"/>
    <w:rsid w:val="009556CD"/>
    <w:rsid w:val="0095614A"/>
    <w:rsid w:val="009652AF"/>
    <w:rsid w:val="009709A6"/>
    <w:rsid w:val="00974679"/>
    <w:rsid w:val="009800F8"/>
    <w:rsid w:val="00985401"/>
    <w:rsid w:val="009874C4"/>
    <w:rsid w:val="009921D9"/>
    <w:rsid w:val="00995A88"/>
    <w:rsid w:val="009A07A2"/>
    <w:rsid w:val="009A0B30"/>
    <w:rsid w:val="009A1D1F"/>
    <w:rsid w:val="009A2020"/>
    <w:rsid w:val="009A3F10"/>
    <w:rsid w:val="009B4A8B"/>
    <w:rsid w:val="009B6AD9"/>
    <w:rsid w:val="009B70C7"/>
    <w:rsid w:val="009B77D5"/>
    <w:rsid w:val="009C4650"/>
    <w:rsid w:val="009C5F30"/>
    <w:rsid w:val="009D08A4"/>
    <w:rsid w:val="009D5F70"/>
    <w:rsid w:val="009D61D9"/>
    <w:rsid w:val="009E29CD"/>
    <w:rsid w:val="009E2C28"/>
    <w:rsid w:val="009E5DF0"/>
    <w:rsid w:val="009E79A6"/>
    <w:rsid w:val="009F1D77"/>
    <w:rsid w:val="009F23DD"/>
    <w:rsid w:val="009F3704"/>
    <w:rsid w:val="009F547C"/>
    <w:rsid w:val="009F58B5"/>
    <w:rsid w:val="00A16F88"/>
    <w:rsid w:val="00A2579C"/>
    <w:rsid w:val="00A272CB"/>
    <w:rsid w:val="00A27CB8"/>
    <w:rsid w:val="00A3215F"/>
    <w:rsid w:val="00A35901"/>
    <w:rsid w:val="00A36715"/>
    <w:rsid w:val="00A37387"/>
    <w:rsid w:val="00A40EC0"/>
    <w:rsid w:val="00A41C83"/>
    <w:rsid w:val="00A44BA9"/>
    <w:rsid w:val="00A44E4D"/>
    <w:rsid w:val="00A46A54"/>
    <w:rsid w:val="00A51A12"/>
    <w:rsid w:val="00A523C9"/>
    <w:rsid w:val="00A60CFC"/>
    <w:rsid w:val="00A612FC"/>
    <w:rsid w:val="00A61F64"/>
    <w:rsid w:val="00A709F1"/>
    <w:rsid w:val="00A70A8F"/>
    <w:rsid w:val="00A7150E"/>
    <w:rsid w:val="00A74ED9"/>
    <w:rsid w:val="00A803AF"/>
    <w:rsid w:val="00A80C1D"/>
    <w:rsid w:val="00A83550"/>
    <w:rsid w:val="00A87D8B"/>
    <w:rsid w:val="00A934C9"/>
    <w:rsid w:val="00A978D2"/>
    <w:rsid w:val="00A979F2"/>
    <w:rsid w:val="00AA68B7"/>
    <w:rsid w:val="00AB2DB8"/>
    <w:rsid w:val="00AB3254"/>
    <w:rsid w:val="00AC5B63"/>
    <w:rsid w:val="00AD175B"/>
    <w:rsid w:val="00AD7EF9"/>
    <w:rsid w:val="00AE4AC3"/>
    <w:rsid w:val="00AE7337"/>
    <w:rsid w:val="00AF5728"/>
    <w:rsid w:val="00B025A3"/>
    <w:rsid w:val="00B06888"/>
    <w:rsid w:val="00B07A31"/>
    <w:rsid w:val="00B11603"/>
    <w:rsid w:val="00B157DE"/>
    <w:rsid w:val="00B17339"/>
    <w:rsid w:val="00B32812"/>
    <w:rsid w:val="00B33049"/>
    <w:rsid w:val="00B347D6"/>
    <w:rsid w:val="00B3658A"/>
    <w:rsid w:val="00B42727"/>
    <w:rsid w:val="00B51CCC"/>
    <w:rsid w:val="00B529E6"/>
    <w:rsid w:val="00B6188B"/>
    <w:rsid w:val="00B661AE"/>
    <w:rsid w:val="00B707CA"/>
    <w:rsid w:val="00B7485D"/>
    <w:rsid w:val="00B76F00"/>
    <w:rsid w:val="00B77C13"/>
    <w:rsid w:val="00B83FE0"/>
    <w:rsid w:val="00B84059"/>
    <w:rsid w:val="00B846A9"/>
    <w:rsid w:val="00B869DB"/>
    <w:rsid w:val="00B92596"/>
    <w:rsid w:val="00BA1481"/>
    <w:rsid w:val="00BA2987"/>
    <w:rsid w:val="00BA6218"/>
    <w:rsid w:val="00BA66E7"/>
    <w:rsid w:val="00BA674F"/>
    <w:rsid w:val="00BA7043"/>
    <w:rsid w:val="00BB3092"/>
    <w:rsid w:val="00BB4382"/>
    <w:rsid w:val="00BB4D06"/>
    <w:rsid w:val="00BB5025"/>
    <w:rsid w:val="00BB6803"/>
    <w:rsid w:val="00BB79B4"/>
    <w:rsid w:val="00BC4FD2"/>
    <w:rsid w:val="00BC5332"/>
    <w:rsid w:val="00BD1CBC"/>
    <w:rsid w:val="00BD3253"/>
    <w:rsid w:val="00BE2701"/>
    <w:rsid w:val="00BE4431"/>
    <w:rsid w:val="00BF6CB4"/>
    <w:rsid w:val="00BF762D"/>
    <w:rsid w:val="00BF79CF"/>
    <w:rsid w:val="00BF7B91"/>
    <w:rsid w:val="00C002C3"/>
    <w:rsid w:val="00C0376A"/>
    <w:rsid w:val="00C04A57"/>
    <w:rsid w:val="00C06BD9"/>
    <w:rsid w:val="00C1268E"/>
    <w:rsid w:val="00C16C0D"/>
    <w:rsid w:val="00C209B4"/>
    <w:rsid w:val="00C21B26"/>
    <w:rsid w:val="00C2275E"/>
    <w:rsid w:val="00C24EDB"/>
    <w:rsid w:val="00C26145"/>
    <w:rsid w:val="00C30182"/>
    <w:rsid w:val="00C34B4E"/>
    <w:rsid w:val="00C362B2"/>
    <w:rsid w:val="00C3747E"/>
    <w:rsid w:val="00C407B8"/>
    <w:rsid w:val="00C4303E"/>
    <w:rsid w:val="00C437E6"/>
    <w:rsid w:val="00C43C59"/>
    <w:rsid w:val="00C50B69"/>
    <w:rsid w:val="00C525DB"/>
    <w:rsid w:val="00C53545"/>
    <w:rsid w:val="00C540BD"/>
    <w:rsid w:val="00C5459B"/>
    <w:rsid w:val="00C54871"/>
    <w:rsid w:val="00C54C81"/>
    <w:rsid w:val="00C55820"/>
    <w:rsid w:val="00C55DEE"/>
    <w:rsid w:val="00C62492"/>
    <w:rsid w:val="00C62F2D"/>
    <w:rsid w:val="00C65877"/>
    <w:rsid w:val="00C70181"/>
    <w:rsid w:val="00C7018F"/>
    <w:rsid w:val="00C7121E"/>
    <w:rsid w:val="00C7374A"/>
    <w:rsid w:val="00C84346"/>
    <w:rsid w:val="00C851E0"/>
    <w:rsid w:val="00C8622C"/>
    <w:rsid w:val="00C8783B"/>
    <w:rsid w:val="00C87C82"/>
    <w:rsid w:val="00C90431"/>
    <w:rsid w:val="00C90E69"/>
    <w:rsid w:val="00C940B2"/>
    <w:rsid w:val="00C95980"/>
    <w:rsid w:val="00C967CE"/>
    <w:rsid w:val="00C96D0E"/>
    <w:rsid w:val="00CA12EF"/>
    <w:rsid w:val="00CA2388"/>
    <w:rsid w:val="00CA5090"/>
    <w:rsid w:val="00CA5659"/>
    <w:rsid w:val="00CA78B5"/>
    <w:rsid w:val="00CB33A0"/>
    <w:rsid w:val="00CB4260"/>
    <w:rsid w:val="00CB477D"/>
    <w:rsid w:val="00CC1D30"/>
    <w:rsid w:val="00CC200D"/>
    <w:rsid w:val="00CC4082"/>
    <w:rsid w:val="00CC6108"/>
    <w:rsid w:val="00CC6CE7"/>
    <w:rsid w:val="00CD3DE8"/>
    <w:rsid w:val="00CD3E26"/>
    <w:rsid w:val="00CD4090"/>
    <w:rsid w:val="00CE0CC7"/>
    <w:rsid w:val="00CE4332"/>
    <w:rsid w:val="00CE484F"/>
    <w:rsid w:val="00D066A6"/>
    <w:rsid w:val="00D11327"/>
    <w:rsid w:val="00D14A0D"/>
    <w:rsid w:val="00D17FFB"/>
    <w:rsid w:val="00D2029D"/>
    <w:rsid w:val="00D20CB1"/>
    <w:rsid w:val="00D22514"/>
    <w:rsid w:val="00D27116"/>
    <w:rsid w:val="00D31242"/>
    <w:rsid w:val="00D35E6F"/>
    <w:rsid w:val="00D40FC2"/>
    <w:rsid w:val="00D43753"/>
    <w:rsid w:val="00D43D68"/>
    <w:rsid w:val="00D45B08"/>
    <w:rsid w:val="00D51D90"/>
    <w:rsid w:val="00D51DA9"/>
    <w:rsid w:val="00D5323A"/>
    <w:rsid w:val="00D54E31"/>
    <w:rsid w:val="00D5735B"/>
    <w:rsid w:val="00D602FE"/>
    <w:rsid w:val="00D61A5B"/>
    <w:rsid w:val="00D63060"/>
    <w:rsid w:val="00D749EA"/>
    <w:rsid w:val="00D77F03"/>
    <w:rsid w:val="00D80AEE"/>
    <w:rsid w:val="00D81C93"/>
    <w:rsid w:val="00D82237"/>
    <w:rsid w:val="00D8697D"/>
    <w:rsid w:val="00D95A1F"/>
    <w:rsid w:val="00D95F80"/>
    <w:rsid w:val="00DA01EE"/>
    <w:rsid w:val="00DA0259"/>
    <w:rsid w:val="00DA4CE4"/>
    <w:rsid w:val="00DA4DE1"/>
    <w:rsid w:val="00DB4525"/>
    <w:rsid w:val="00DB5F84"/>
    <w:rsid w:val="00DC28D8"/>
    <w:rsid w:val="00DC6E97"/>
    <w:rsid w:val="00DC73A0"/>
    <w:rsid w:val="00DD23C9"/>
    <w:rsid w:val="00DD2BDE"/>
    <w:rsid w:val="00DD32B7"/>
    <w:rsid w:val="00DD375D"/>
    <w:rsid w:val="00DE422F"/>
    <w:rsid w:val="00DE7BFE"/>
    <w:rsid w:val="00DF044C"/>
    <w:rsid w:val="00DF1595"/>
    <w:rsid w:val="00DF1BBF"/>
    <w:rsid w:val="00DF2E21"/>
    <w:rsid w:val="00DF6700"/>
    <w:rsid w:val="00DF6DAA"/>
    <w:rsid w:val="00DF73C3"/>
    <w:rsid w:val="00DF7E42"/>
    <w:rsid w:val="00E01BA9"/>
    <w:rsid w:val="00E035A4"/>
    <w:rsid w:val="00E06202"/>
    <w:rsid w:val="00E10EE3"/>
    <w:rsid w:val="00E11D8D"/>
    <w:rsid w:val="00E127ED"/>
    <w:rsid w:val="00E20606"/>
    <w:rsid w:val="00E21EF4"/>
    <w:rsid w:val="00E2656A"/>
    <w:rsid w:val="00E334AB"/>
    <w:rsid w:val="00E35E1D"/>
    <w:rsid w:val="00E36EF6"/>
    <w:rsid w:val="00E4156C"/>
    <w:rsid w:val="00E42DEF"/>
    <w:rsid w:val="00E44375"/>
    <w:rsid w:val="00E45F37"/>
    <w:rsid w:val="00E46E5D"/>
    <w:rsid w:val="00E50F57"/>
    <w:rsid w:val="00E51EAD"/>
    <w:rsid w:val="00E531A2"/>
    <w:rsid w:val="00E60A39"/>
    <w:rsid w:val="00E621FE"/>
    <w:rsid w:val="00E64F39"/>
    <w:rsid w:val="00E71958"/>
    <w:rsid w:val="00E72CD8"/>
    <w:rsid w:val="00E868F9"/>
    <w:rsid w:val="00E91C81"/>
    <w:rsid w:val="00E92B04"/>
    <w:rsid w:val="00E9387C"/>
    <w:rsid w:val="00E94480"/>
    <w:rsid w:val="00E95818"/>
    <w:rsid w:val="00EA4131"/>
    <w:rsid w:val="00EA74A0"/>
    <w:rsid w:val="00EB6B5F"/>
    <w:rsid w:val="00EB7793"/>
    <w:rsid w:val="00EC1AAA"/>
    <w:rsid w:val="00EC6CB6"/>
    <w:rsid w:val="00ED6A53"/>
    <w:rsid w:val="00EE15D5"/>
    <w:rsid w:val="00EE3606"/>
    <w:rsid w:val="00EE3D83"/>
    <w:rsid w:val="00EE4EC9"/>
    <w:rsid w:val="00EE5C0B"/>
    <w:rsid w:val="00F020A4"/>
    <w:rsid w:val="00F1166C"/>
    <w:rsid w:val="00F11974"/>
    <w:rsid w:val="00F218B8"/>
    <w:rsid w:val="00F250C0"/>
    <w:rsid w:val="00F26338"/>
    <w:rsid w:val="00F3605C"/>
    <w:rsid w:val="00F368E6"/>
    <w:rsid w:val="00F42123"/>
    <w:rsid w:val="00F4381E"/>
    <w:rsid w:val="00F43D01"/>
    <w:rsid w:val="00F463C6"/>
    <w:rsid w:val="00F465A3"/>
    <w:rsid w:val="00F529E5"/>
    <w:rsid w:val="00F532CE"/>
    <w:rsid w:val="00F55353"/>
    <w:rsid w:val="00F571AF"/>
    <w:rsid w:val="00F57C22"/>
    <w:rsid w:val="00F62B84"/>
    <w:rsid w:val="00F6664F"/>
    <w:rsid w:val="00F70AF3"/>
    <w:rsid w:val="00F7521A"/>
    <w:rsid w:val="00F75563"/>
    <w:rsid w:val="00F81E80"/>
    <w:rsid w:val="00F85D05"/>
    <w:rsid w:val="00F85D4C"/>
    <w:rsid w:val="00F90489"/>
    <w:rsid w:val="00F919A6"/>
    <w:rsid w:val="00F93C1D"/>
    <w:rsid w:val="00F93F98"/>
    <w:rsid w:val="00F9604F"/>
    <w:rsid w:val="00F9633E"/>
    <w:rsid w:val="00FA007C"/>
    <w:rsid w:val="00FA1B50"/>
    <w:rsid w:val="00FA5A96"/>
    <w:rsid w:val="00FA7E13"/>
    <w:rsid w:val="00FB2E9F"/>
    <w:rsid w:val="00FB4AFB"/>
    <w:rsid w:val="00FB725B"/>
    <w:rsid w:val="00FB72C9"/>
    <w:rsid w:val="00FC0309"/>
    <w:rsid w:val="00FC2AEF"/>
    <w:rsid w:val="00FC3BBC"/>
    <w:rsid w:val="00FC44BC"/>
    <w:rsid w:val="00FD25E8"/>
    <w:rsid w:val="00FD2F56"/>
    <w:rsid w:val="00FD4DB9"/>
    <w:rsid w:val="00FD7863"/>
    <w:rsid w:val="00FE58DA"/>
    <w:rsid w:val="00FE6892"/>
    <w:rsid w:val="00FE7C15"/>
    <w:rsid w:val="00FE7E96"/>
    <w:rsid w:val="00FF2C4F"/>
    <w:rsid w:val="00FF2EBD"/>
    <w:rsid w:val="00FF3C67"/>
    <w:rsid w:val="031B47A0"/>
    <w:rsid w:val="032130CD"/>
    <w:rsid w:val="0412123F"/>
    <w:rsid w:val="061652DF"/>
    <w:rsid w:val="06BF6AF9"/>
    <w:rsid w:val="06D5467E"/>
    <w:rsid w:val="07E430F7"/>
    <w:rsid w:val="0BC24083"/>
    <w:rsid w:val="0D176FE4"/>
    <w:rsid w:val="11000BFE"/>
    <w:rsid w:val="131C7753"/>
    <w:rsid w:val="14357C2D"/>
    <w:rsid w:val="1784051D"/>
    <w:rsid w:val="18B55A32"/>
    <w:rsid w:val="192C0228"/>
    <w:rsid w:val="246B2D83"/>
    <w:rsid w:val="247A1577"/>
    <w:rsid w:val="26826AAA"/>
    <w:rsid w:val="269E721A"/>
    <w:rsid w:val="2B8614A8"/>
    <w:rsid w:val="2E207FD8"/>
    <w:rsid w:val="2ECE099D"/>
    <w:rsid w:val="2F3D425F"/>
    <w:rsid w:val="2FE70E07"/>
    <w:rsid w:val="34513A3F"/>
    <w:rsid w:val="36160F00"/>
    <w:rsid w:val="367F1EC5"/>
    <w:rsid w:val="38DC13A3"/>
    <w:rsid w:val="3A631589"/>
    <w:rsid w:val="3D0F2A25"/>
    <w:rsid w:val="3DB43E42"/>
    <w:rsid w:val="429E0D8B"/>
    <w:rsid w:val="448B3F5B"/>
    <w:rsid w:val="479C494A"/>
    <w:rsid w:val="4A6A511B"/>
    <w:rsid w:val="4A8905A8"/>
    <w:rsid w:val="4D731018"/>
    <w:rsid w:val="51A96453"/>
    <w:rsid w:val="54B71948"/>
    <w:rsid w:val="57D0213E"/>
    <w:rsid w:val="58666F4A"/>
    <w:rsid w:val="597F1C28"/>
    <w:rsid w:val="5CD518A6"/>
    <w:rsid w:val="5F457E35"/>
    <w:rsid w:val="620B58E6"/>
    <w:rsid w:val="62FB24D0"/>
    <w:rsid w:val="63E62FCE"/>
    <w:rsid w:val="67784DBD"/>
    <w:rsid w:val="68732D07"/>
    <w:rsid w:val="68E966C3"/>
    <w:rsid w:val="69F75812"/>
    <w:rsid w:val="6DA3270F"/>
    <w:rsid w:val="7045495B"/>
    <w:rsid w:val="71DC7FF8"/>
    <w:rsid w:val="71E524A8"/>
    <w:rsid w:val="72250C85"/>
    <w:rsid w:val="753D2B05"/>
    <w:rsid w:val="7C4F24F3"/>
    <w:rsid w:val="7FC7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color w:val="CCCCFF"/>
      <w:sz w:val="32"/>
      <w:szCs w:val="32"/>
      <w:u w:val="single"/>
    </w:rPr>
  </w:style>
  <w:style w:type="paragraph" w:styleId="4">
    <w:name w:val="heading 3"/>
    <w:basedOn w:val="1"/>
    <w:next w:val="1"/>
    <w:link w:val="30"/>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paragraph" w:styleId="5">
    <w:name w:val="heading 4"/>
    <w:basedOn w:val="1"/>
    <w:next w:val="1"/>
    <w:qFormat/>
    <w:uiPriority w:val="0"/>
    <w:pPr>
      <w:keepNext/>
      <w:keepLines/>
      <w:widowControl/>
      <w:spacing w:before="120" w:after="120"/>
      <w:outlineLvl w:val="3"/>
    </w:pPr>
    <w:rPr>
      <w:rFonts w:ascii="Arial" w:hAnsi="Arial" w:eastAsia="微软雅黑"/>
      <w:kern w:val="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31"/>
    <w:qFormat/>
    <w:uiPriority w:val="0"/>
    <w:pPr>
      <w:jc w:val="left"/>
    </w:pPr>
  </w:style>
  <w:style w:type="paragraph" w:styleId="8">
    <w:name w:val="Body Text 3"/>
    <w:basedOn w:val="1"/>
    <w:unhideWhenUsed/>
    <w:qFormat/>
    <w:uiPriority w:val="0"/>
    <w:pPr>
      <w:widowControl/>
      <w:spacing w:after="120"/>
      <w:jc w:val="left"/>
    </w:pPr>
    <w:rPr>
      <w:rFonts w:ascii="Arial" w:hAnsi="Arial" w:eastAsia="Batang"/>
      <w:kern w:val="0"/>
      <w:sz w:val="16"/>
      <w:szCs w:val="16"/>
      <w:lang w:val="en-GB" w:eastAsia="ko-KR"/>
    </w:rPr>
  </w:style>
  <w:style w:type="paragraph" w:styleId="9">
    <w:name w:val="Body Text"/>
    <w:basedOn w:val="1"/>
    <w:qFormat/>
    <w:uiPriority w:val="0"/>
    <w:pPr>
      <w:tabs>
        <w:tab w:val="left" w:pos="0"/>
        <w:tab w:val="left" w:pos="420"/>
      </w:tabs>
    </w:pPr>
    <w:rPr>
      <w:sz w:val="24"/>
      <w:szCs w:val="20"/>
    </w:rPr>
  </w:style>
  <w:style w:type="paragraph" w:styleId="10">
    <w:name w:val="Body Text Indent"/>
    <w:basedOn w:val="1"/>
    <w:link w:val="32"/>
    <w:qFormat/>
    <w:uiPriority w:val="0"/>
    <w:pPr>
      <w:spacing w:after="120"/>
      <w:ind w:left="420" w:leftChars="200"/>
    </w:pPr>
  </w:style>
  <w:style w:type="paragraph" w:styleId="11">
    <w:name w:val="Plain Text"/>
    <w:basedOn w:val="1"/>
    <w:next w:val="5"/>
    <w:link w:val="33"/>
    <w:qFormat/>
    <w:uiPriority w:val="0"/>
    <w:rPr>
      <w:rFonts w:ascii="宋体" w:hAnsi="Courier New"/>
      <w:szCs w:val="20"/>
    </w:rPr>
  </w:style>
  <w:style w:type="paragraph" w:styleId="12">
    <w:name w:val="Date"/>
    <w:basedOn w:val="1"/>
    <w:next w:val="1"/>
    <w:link w:val="34"/>
    <w:qFormat/>
    <w:uiPriority w:val="0"/>
    <w:rPr>
      <w:szCs w:val="20"/>
    </w:rPr>
  </w:style>
  <w:style w:type="paragraph" w:styleId="13">
    <w:name w:val="Balloon Text"/>
    <w:basedOn w:val="1"/>
    <w:semiHidden/>
    <w:qFormat/>
    <w:uiPriority w:val="0"/>
    <w:rPr>
      <w:sz w:val="18"/>
      <w:szCs w:val="18"/>
    </w:rPr>
  </w:style>
  <w:style w:type="paragraph" w:styleId="14">
    <w:name w:val="footer"/>
    <w:basedOn w:val="1"/>
    <w:link w:val="44"/>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6"/>
    <w:pPr>
      <w:spacing w:before="240" w:after="60" w:line="312" w:lineRule="auto"/>
      <w:jc w:val="center"/>
      <w:outlineLvl w:val="1"/>
    </w:pPr>
    <w:rPr>
      <w:rFonts w:ascii="Cambria" w:hAnsi="Cambria" w:cs="Cambria"/>
      <w:b/>
      <w:kern w:val="1"/>
      <w:sz w:val="32"/>
      <w:szCs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0"/>
    <w:pPr>
      <w:spacing w:before="240" w:after="60" w:line="360" w:lineRule="auto"/>
      <w:ind w:firstLine="472" w:firstLineChars="472"/>
      <w:jc w:val="center"/>
      <w:outlineLvl w:val="0"/>
    </w:pPr>
    <w:rPr>
      <w:rFonts w:ascii="Cambria" w:hAnsi="Cambria"/>
      <w:b/>
      <w:bCs/>
      <w:sz w:val="32"/>
      <w:szCs w:val="32"/>
    </w:rPr>
  </w:style>
  <w:style w:type="paragraph" w:styleId="19">
    <w:name w:val="annotation subject"/>
    <w:basedOn w:val="7"/>
    <w:next w:val="7"/>
    <w:link w:val="35"/>
    <w:qFormat/>
    <w:uiPriority w:val="0"/>
    <w:rPr>
      <w:b/>
      <w:bCs/>
    </w:rPr>
  </w:style>
  <w:style w:type="paragraph" w:styleId="20">
    <w:name w:val="Body Text First Indent"/>
    <w:basedOn w:val="9"/>
    <w:unhideWhenUsed/>
    <w:qFormat/>
    <w:uiPriority w:val="99"/>
    <w:pPr>
      <w:ind w:firstLine="420" w:firstLineChars="100"/>
    </w:pPr>
    <w:rPr>
      <w:rFonts w:ascii="Calibri" w:hAnsi="Calibri"/>
      <w:szCs w:val="22"/>
    </w:rPr>
  </w:style>
  <w:style w:type="paragraph" w:styleId="21">
    <w:name w:val="Body Text First Indent 2"/>
    <w:basedOn w:val="10"/>
    <w:unhideWhenUsed/>
    <w:qFormat/>
    <w:uiPriority w:val="99"/>
    <w:pPr>
      <w:autoSpaceDE w:val="0"/>
      <w:autoSpaceDN w:val="0"/>
      <w:adjustRightInd w:val="0"/>
      <w:ind w:firstLine="420" w:firstLineChars="200"/>
      <w:jc w:val="left"/>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character" w:customStyle="1" w:styleId="29">
    <w:name w:val="标题 2 字符"/>
    <w:link w:val="3"/>
    <w:qFormat/>
    <w:uiPriority w:val="0"/>
    <w:rPr>
      <w:rFonts w:ascii="Arial" w:hAnsi="Arial" w:eastAsia="黑体"/>
      <w:b/>
      <w:bCs/>
      <w:color w:val="CCCCFF"/>
      <w:kern w:val="2"/>
      <w:sz w:val="32"/>
      <w:szCs w:val="32"/>
      <w:u w:val="single"/>
    </w:rPr>
  </w:style>
  <w:style w:type="character" w:customStyle="1" w:styleId="30">
    <w:name w:val="标题 3 字符"/>
    <w:link w:val="4"/>
    <w:qFormat/>
    <w:uiPriority w:val="0"/>
    <w:rPr>
      <w:rFonts w:ascii="Book Antiqua" w:hAnsi="Book Antiqua" w:eastAsia="隶书"/>
      <w:b/>
      <w:bCs/>
      <w:color w:val="CCCCFF"/>
      <w:kern w:val="2"/>
      <w:sz w:val="32"/>
      <w:szCs w:val="32"/>
      <w:u w:val="single"/>
    </w:rPr>
  </w:style>
  <w:style w:type="character" w:customStyle="1" w:styleId="31">
    <w:name w:val="批注文字 字符"/>
    <w:link w:val="7"/>
    <w:qFormat/>
    <w:uiPriority w:val="0"/>
    <w:rPr>
      <w:kern w:val="2"/>
      <w:sz w:val="21"/>
      <w:szCs w:val="24"/>
    </w:rPr>
  </w:style>
  <w:style w:type="character" w:customStyle="1" w:styleId="32">
    <w:name w:val="正文文本缩进 字符"/>
    <w:link w:val="10"/>
    <w:qFormat/>
    <w:uiPriority w:val="0"/>
    <w:rPr>
      <w:kern w:val="2"/>
      <w:sz w:val="21"/>
      <w:szCs w:val="24"/>
    </w:rPr>
  </w:style>
  <w:style w:type="character" w:customStyle="1" w:styleId="33">
    <w:name w:val="纯文本 字符"/>
    <w:link w:val="11"/>
    <w:qFormat/>
    <w:uiPriority w:val="0"/>
    <w:rPr>
      <w:rFonts w:ascii="宋体" w:hAnsi="Courier New" w:eastAsia="宋体"/>
      <w:kern w:val="2"/>
      <w:sz w:val="21"/>
      <w:lang w:val="en-US" w:eastAsia="zh-CN" w:bidi="ar-SA"/>
    </w:rPr>
  </w:style>
  <w:style w:type="character" w:customStyle="1" w:styleId="34">
    <w:name w:val="日期 字符"/>
    <w:link w:val="12"/>
    <w:qFormat/>
    <w:uiPriority w:val="0"/>
    <w:rPr>
      <w:kern w:val="2"/>
      <w:sz w:val="21"/>
    </w:rPr>
  </w:style>
  <w:style w:type="character" w:customStyle="1" w:styleId="35">
    <w:name w:val="批注主题 字符"/>
    <w:link w:val="19"/>
    <w:qFormat/>
    <w:uiPriority w:val="0"/>
    <w:rPr>
      <w:b/>
      <w:bCs/>
      <w:kern w:val="2"/>
      <w:sz w:val="21"/>
      <w:szCs w:val="24"/>
    </w:rPr>
  </w:style>
  <w:style w:type="paragraph" w:styleId="36">
    <w:name w:val="List Paragraph"/>
    <w:basedOn w:val="1"/>
    <w:qFormat/>
    <w:uiPriority w:val="34"/>
    <w:pPr>
      <w:widowControl/>
      <w:ind w:firstLine="420" w:firstLineChars="200"/>
      <w:jc w:val="left"/>
    </w:pPr>
    <w:rPr>
      <w:rFonts w:ascii="宋体" w:hAnsi="宋体" w:cs="宋体"/>
      <w:kern w:val="0"/>
      <w:sz w:val="24"/>
    </w:rPr>
  </w:style>
  <w:style w:type="paragraph" w:customStyle="1" w:styleId="3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8">
    <w:name w:val="Particulars Slip"/>
    <w:basedOn w:val="1"/>
    <w:qFormat/>
    <w:uiPriority w:val="0"/>
    <w:pPr>
      <w:tabs>
        <w:tab w:val="left" w:pos="2160"/>
        <w:tab w:val="left" w:pos="2520"/>
        <w:tab w:val="left" w:pos="2880"/>
        <w:tab w:val="left" w:pos="3240"/>
        <w:tab w:val="left" w:pos="3600"/>
        <w:tab w:val="left" w:pos="3960"/>
      </w:tabs>
    </w:pPr>
    <w:rPr>
      <w:rFonts w:ascii="全真簡中楷" w:eastAsia="全真簡中楷"/>
      <w:snapToGrid w:val="0"/>
      <w:kern w:val="0"/>
      <w:sz w:val="28"/>
      <w:szCs w:val="20"/>
      <w:lang w:val="en-GB" w:eastAsia="en-US"/>
    </w:rPr>
  </w:style>
  <w:style w:type="paragraph" w:customStyle="1" w:styleId="39">
    <w:name w:val="Char"/>
    <w:basedOn w:val="1"/>
    <w:qFormat/>
    <w:uiPriority w:val="0"/>
    <w:pPr>
      <w:snapToGrid w:val="0"/>
      <w:spacing w:line="360" w:lineRule="auto"/>
      <w:ind w:firstLine="200" w:firstLineChars="200"/>
    </w:pPr>
    <w:rPr>
      <w:rFonts w:eastAsia="仿宋_GB2312"/>
      <w:sz w:val="24"/>
    </w:rPr>
  </w:style>
  <w:style w:type="paragraph" w:customStyle="1" w:styleId="40">
    <w:name w:val="Table Paragraph"/>
    <w:basedOn w:val="1"/>
    <w:qFormat/>
    <w:uiPriority w:val="1"/>
    <w:pPr>
      <w:autoSpaceDE w:val="0"/>
      <w:autoSpaceDN w:val="0"/>
      <w:adjustRightInd w:val="0"/>
      <w:jc w:val="left"/>
    </w:pPr>
    <w:rPr>
      <w:kern w:val="0"/>
    </w:rPr>
  </w:style>
  <w:style w:type="paragraph" w:customStyle="1" w:styleId="41">
    <w:name w:val="参考文献行"/>
    <w:basedOn w:val="9"/>
    <w:qFormat/>
    <w:uiPriority w:val="0"/>
    <w:pPr>
      <w:widowControl/>
      <w:jc w:val="left"/>
    </w:pPr>
    <w:rPr>
      <w:rFonts w:ascii="Verdana" w:hAnsi="Verdana" w:cs="Verdana"/>
    </w:rPr>
  </w:style>
  <w:style w:type="paragraph" w:customStyle="1" w:styleId="42">
    <w:name w:val="样式1"/>
    <w:basedOn w:val="1"/>
    <w:qFormat/>
    <w:uiPriority w:val="0"/>
    <w:pPr>
      <w:spacing w:before="120" w:after="120" w:line="300" w:lineRule="auto"/>
    </w:pPr>
    <w:rPr>
      <w:rFonts w:ascii="宋体" w:hAnsi="宋体"/>
      <w:b/>
      <w:sz w:val="24"/>
      <w:szCs w:val="20"/>
    </w:rPr>
  </w:style>
  <w:style w:type="paragraph" w:customStyle="1" w:styleId="4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4">
    <w:name w:val="页脚 字符"/>
    <w:basedOn w:val="24"/>
    <w:link w:val="1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44040</Words>
  <Characters>46446</Characters>
  <Lines>369</Lines>
  <Paragraphs>104</Paragraphs>
  <TotalTime>8</TotalTime>
  <ScaleCrop>false</ScaleCrop>
  <LinksUpToDate>false</LinksUpToDate>
  <CharactersWithSpaces>48566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2023-09-04T07:42:00Z</dcterms:created>
  <dc:creator>lenovo</dc:creator>
  <cp:lastModifiedBy>孙栋</cp:lastModifiedBy>
  <cp:lastPrinted>2013-08-07T04:45:00Z</cp:lastPrinted>
  <dcterms:modified xsi:type="dcterms:W3CDTF">2023-10-07T06:30:51Z</dcterms:modified>
  <dc:title>延津县政府采购体育馆电子显示屏及安装项目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E03C44C92A384BFB95FCD5181C79C42C_13</vt:lpwstr>
  </property>
</Properties>
</file>