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71"/>
          <w:rFonts w:eastAsia="黑体"/>
          <w:bCs/>
          <w:sz w:val="36"/>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rPr>
          <w:rStyle w:val="71"/>
          <w:rFonts w:ascii="黑体" w:eastAsia="黑体"/>
          <w:bCs/>
          <w:sz w:val="44"/>
          <w:szCs w:val="44"/>
        </w:rPr>
      </w:pPr>
    </w:p>
    <w:p>
      <w:pPr>
        <w:snapToGrid w:val="0"/>
        <w:rPr>
          <w:rStyle w:val="71"/>
          <w:rFonts w:ascii="黑体" w:eastAsia="黑体"/>
          <w:bCs/>
          <w:sz w:val="44"/>
          <w:szCs w:val="44"/>
        </w:rPr>
      </w:pPr>
    </w:p>
    <w:p>
      <w:pPr>
        <w:snapToGrid w:val="0"/>
        <w:jc w:val="center"/>
        <w:rPr>
          <w:rStyle w:val="71"/>
          <w:rFonts w:ascii="黑体" w:eastAsia="黑体"/>
          <w:bCs/>
          <w:sz w:val="44"/>
          <w:szCs w:val="44"/>
        </w:rPr>
      </w:pPr>
      <w:r>
        <w:rPr>
          <w:rStyle w:val="71"/>
          <w:rFonts w:ascii="黑体" w:eastAsia="黑体"/>
          <w:bCs/>
          <w:sz w:val="44"/>
          <w:szCs w:val="44"/>
        </w:rPr>
        <w:t>2023年</w:t>
      </w:r>
      <w:r>
        <w:rPr>
          <w:rStyle w:val="71"/>
          <w:rFonts w:hint="eastAsia" w:ascii="黑体" w:eastAsia="黑体"/>
          <w:bCs/>
          <w:sz w:val="44"/>
          <w:szCs w:val="44"/>
        </w:rPr>
        <w:t>中粮梁河糖业有限公司</w:t>
      </w:r>
    </w:p>
    <w:p>
      <w:pPr>
        <w:snapToGrid w:val="0"/>
        <w:jc w:val="center"/>
        <w:rPr>
          <w:rStyle w:val="71"/>
          <w:rFonts w:eastAsia="黑体"/>
          <w:bCs/>
          <w:sz w:val="36"/>
        </w:rPr>
      </w:pPr>
      <w:r>
        <w:rPr>
          <w:rStyle w:val="71"/>
          <w:rFonts w:ascii="黑体" w:eastAsia="黑体"/>
          <w:bCs/>
          <w:sz w:val="44"/>
          <w:szCs w:val="44"/>
        </w:rPr>
        <w:t>询比价采购文件</w:t>
      </w: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ind w:firstLine="2560" w:firstLineChars="800"/>
        <w:rPr>
          <w:rStyle w:val="71"/>
          <w:rFonts w:ascii="黑体" w:hAnsi="黑体" w:eastAsia="黑体"/>
          <w:bCs/>
          <w:sz w:val="24"/>
        </w:rPr>
      </w:pPr>
      <w:r>
        <w:rPr>
          <w:rStyle w:val="71"/>
          <w:rFonts w:ascii="黑体" w:hAnsi="黑体" w:eastAsia="黑体"/>
          <w:bCs/>
          <w:sz w:val="32"/>
        </w:rPr>
        <w:t>单位：</w:t>
      </w:r>
      <w:r>
        <w:rPr>
          <w:rStyle w:val="71"/>
          <w:rFonts w:hint="eastAsia" w:ascii="黑体" w:eastAsia="黑体"/>
          <w:bCs/>
          <w:sz w:val="32"/>
          <w:szCs w:val="44"/>
        </w:rPr>
        <w:t>中粮梁河糖业有限公司</w:t>
      </w: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黑体" w:eastAsia="黑体"/>
          <w:bCs/>
          <w:sz w:val="28"/>
          <w:szCs w:val="28"/>
        </w:rPr>
      </w:pPr>
    </w:p>
    <w:p>
      <w:pPr>
        <w:snapToGrid w:val="0"/>
        <w:rPr>
          <w:rStyle w:val="71"/>
          <w:rFonts w:ascii="黑体" w:eastAsia="黑体"/>
          <w:bCs/>
          <w:sz w:val="28"/>
          <w:szCs w:val="28"/>
        </w:rPr>
      </w:pPr>
    </w:p>
    <w:p>
      <w:pPr>
        <w:snapToGrid w:val="0"/>
        <w:ind w:firstLine="2520" w:firstLineChars="900"/>
        <w:rPr>
          <w:rStyle w:val="71"/>
          <w:rFonts w:ascii="黑体" w:eastAsia="黑体"/>
          <w:bCs/>
          <w:sz w:val="28"/>
          <w:szCs w:val="28"/>
        </w:rPr>
      </w:pPr>
    </w:p>
    <w:p>
      <w:pPr>
        <w:snapToGrid w:val="0"/>
        <w:rPr>
          <w:rStyle w:val="71"/>
          <w:rFonts w:ascii="仿宋_GB2312" w:eastAsia="仿宋_GB2312"/>
          <w:bCs/>
          <w:sz w:val="28"/>
        </w:rPr>
      </w:pPr>
    </w:p>
    <w:p>
      <w:pPr>
        <w:snapToGrid w:val="0"/>
        <w:jc w:val="center"/>
        <w:rPr>
          <w:rStyle w:val="71"/>
          <w:rFonts w:ascii="仿宋_GB2312" w:eastAsia="仿宋_GB2312"/>
          <w:b/>
          <w:bCs/>
          <w:sz w:val="44"/>
          <w:szCs w:val="44"/>
        </w:rPr>
      </w:pPr>
    </w:p>
    <w:p>
      <w:pPr>
        <w:snapToGrid w:val="0"/>
        <w:jc w:val="center"/>
        <w:rPr>
          <w:rStyle w:val="71"/>
          <w:rFonts w:ascii="黑体" w:eastAsia="黑体"/>
          <w:b/>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r>
        <w:rPr>
          <w:rStyle w:val="71"/>
          <w:rFonts w:ascii="黑体" w:eastAsia="黑体"/>
          <w:bCs/>
          <w:sz w:val="44"/>
          <w:szCs w:val="44"/>
        </w:rPr>
        <w:br w:type="page"/>
      </w:r>
    </w:p>
    <w:p>
      <w:pPr>
        <w:snapToGrid w:val="0"/>
        <w:jc w:val="center"/>
        <w:rPr>
          <w:rStyle w:val="71"/>
          <w:rFonts w:ascii="黑体" w:eastAsia="黑体"/>
          <w:bCs/>
          <w:sz w:val="44"/>
          <w:szCs w:val="44"/>
        </w:rPr>
      </w:pPr>
      <w:r>
        <w:rPr>
          <w:rStyle w:val="71"/>
          <w:rFonts w:ascii="黑体" w:eastAsia="黑体"/>
          <w:bCs/>
          <w:sz w:val="44"/>
          <w:szCs w:val="44"/>
        </w:rPr>
        <w:t>目          录</w:t>
      </w: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numPr>
          <w:ilvl w:val="0"/>
          <w:numId w:val="1"/>
        </w:numPr>
        <w:snapToGrid w:val="0"/>
        <w:rPr>
          <w:rStyle w:val="71"/>
          <w:rFonts w:ascii="黑体" w:eastAsia="黑体"/>
          <w:bCs/>
          <w:sz w:val="36"/>
          <w:szCs w:val="36"/>
        </w:rPr>
      </w:pPr>
      <w:r>
        <w:rPr>
          <w:rStyle w:val="71"/>
          <w:rFonts w:hint="eastAsia" w:ascii="黑体" w:eastAsia="黑体"/>
          <w:bCs/>
          <w:sz w:val="36"/>
          <w:szCs w:val="36"/>
        </w:rPr>
        <w:t xml:space="preserve">   </w:t>
      </w:r>
      <w:r>
        <w:rPr>
          <w:rStyle w:val="71"/>
          <w:rFonts w:ascii="黑体" w:eastAsia="黑体"/>
          <w:bCs/>
          <w:sz w:val="36"/>
          <w:szCs w:val="36"/>
        </w:rPr>
        <w:t>供应商须知</w:t>
      </w:r>
    </w:p>
    <w:p>
      <w:pPr>
        <w:snapToGrid w:val="0"/>
        <w:rPr>
          <w:rStyle w:val="71"/>
          <w:rFonts w:ascii="黑体" w:eastAsia="黑体"/>
          <w:bCs/>
          <w:sz w:val="36"/>
          <w:szCs w:val="36"/>
        </w:rPr>
      </w:pPr>
    </w:p>
    <w:p>
      <w:pPr>
        <w:pStyle w:val="81"/>
        <w:numPr>
          <w:numId w:val="0"/>
        </w:numPr>
        <w:tabs>
          <w:tab w:val="left" w:pos="7005"/>
        </w:tabs>
        <w:snapToGrid w:val="0"/>
        <w:ind w:left="2150" w:leftChars="0"/>
        <w:rPr>
          <w:rStyle w:val="71"/>
          <w:rFonts w:ascii="黑体" w:eastAsia="黑体"/>
          <w:bCs/>
          <w:sz w:val="36"/>
          <w:szCs w:val="36"/>
        </w:rPr>
      </w:pPr>
      <w:r>
        <w:rPr>
          <w:rStyle w:val="71"/>
          <w:rFonts w:hint="eastAsia" w:ascii="黑体" w:eastAsia="黑体"/>
          <w:bCs/>
          <w:sz w:val="36"/>
          <w:szCs w:val="36"/>
          <w:lang w:val="en-US" w:eastAsia="zh-CN"/>
        </w:rPr>
        <w:t xml:space="preserve">第二章    </w:t>
      </w:r>
      <w:r>
        <w:rPr>
          <w:rStyle w:val="71"/>
          <w:rFonts w:hint="eastAsia" w:ascii="黑体" w:eastAsia="黑体"/>
          <w:bCs/>
          <w:sz w:val="36"/>
          <w:szCs w:val="36"/>
        </w:rPr>
        <w:t>报价说明</w:t>
      </w:r>
    </w:p>
    <w:p>
      <w:pPr>
        <w:snapToGrid w:val="0"/>
        <w:spacing w:line="560" w:lineRule="exact"/>
        <w:rPr>
          <w:rStyle w:val="71"/>
          <w:rFonts w:ascii="宋体" w:hAnsi="宋体"/>
          <w:bCs/>
          <w:sz w:val="32"/>
          <w:szCs w:val="32"/>
        </w:rPr>
      </w:pPr>
    </w:p>
    <w:p>
      <w:pPr>
        <w:pStyle w:val="81"/>
        <w:numPr>
          <w:numId w:val="0"/>
        </w:numPr>
        <w:tabs>
          <w:tab w:val="left" w:pos="7005"/>
        </w:tabs>
        <w:snapToGrid w:val="0"/>
        <w:ind w:left="2150" w:leftChars="0"/>
        <w:rPr>
          <w:rStyle w:val="71"/>
          <w:rFonts w:ascii="黑体" w:eastAsia="黑体"/>
          <w:bCs/>
          <w:sz w:val="36"/>
          <w:szCs w:val="36"/>
        </w:rPr>
      </w:pPr>
      <w:r>
        <w:rPr>
          <w:rStyle w:val="71"/>
          <w:rFonts w:hint="eastAsia" w:ascii="黑体" w:eastAsia="黑体"/>
          <w:bCs/>
          <w:sz w:val="36"/>
          <w:szCs w:val="36"/>
          <w:lang w:val="en-US" w:eastAsia="zh-CN"/>
        </w:rPr>
        <w:t xml:space="preserve">第三章   </w:t>
      </w:r>
      <w:bookmarkStart w:id="197" w:name="_GoBack"/>
      <w:bookmarkEnd w:id="197"/>
      <w:r>
        <w:rPr>
          <w:rStyle w:val="71"/>
          <w:rFonts w:ascii="黑体" w:eastAsia="黑体"/>
          <w:bCs/>
          <w:sz w:val="36"/>
          <w:szCs w:val="36"/>
        </w:rPr>
        <w:t xml:space="preserve"> </w:t>
      </w:r>
      <w:r>
        <w:rPr>
          <w:rStyle w:val="71"/>
          <w:rFonts w:hint="eastAsia" w:ascii="黑体" w:eastAsia="黑体"/>
          <w:bCs/>
          <w:sz w:val="36"/>
          <w:szCs w:val="36"/>
        </w:rPr>
        <w:t>项目需求</w:t>
      </w:r>
    </w:p>
    <w:p>
      <w:pPr>
        <w:snapToGrid w:val="0"/>
        <w:rPr>
          <w:rStyle w:val="71"/>
          <w:rFonts w:ascii="黑体" w:eastAsia="黑体"/>
          <w:bCs/>
          <w:sz w:val="36"/>
          <w:szCs w:val="36"/>
        </w:rPr>
      </w:pPr>
    </w:p>
    <w:p>
      <w:pPr>
        <w:snapToGrid w:val="0"/>
        <w:ind w:left="2150"/>
        <w:rPr>
          <w:rStyle w:val="71"/>
          <w:rFonts w:ascii="黑体" w:eastAsia="黑体"/>
          <w:bCs/>
          <w:sz w:val="36"/>
          <w:szCs w:val="36"/>
        </w:rPr>
      </w:pPr>
      <w:r>
        <w:rPr>
          <w:rStyle w:val="71"/>
          <w:rFonts w:ascii="黑体" w:eastAsia="黑体"/>
          <w:bCs/>
          <w:sz w:val="36"/>
          <w:szCs w:val="36"/>
        </w:rPr>
        <w:t>第</w:t>
      </w:r>
      <w:r>
        <w:rPr>
          <w:rStyle w:val="71"/>
          <w:rFonts w:hint="eastAsia" w:ascii="黑体" w:eastAsia="黑体"/>
          <w:bCs/>
          <w:sz w:val="36"/>
          <w:szCs w:val="36"/>
        </w:rPr>
        <w:t>四</w:t>
      </w:r>
      <w:r>
        <w:rPr>
          <w:rStyle w:val="71"/>
          <w:rFonts w:ascii="黑体" w:eastAsia="黑体"/>
          <w:bCs/>
          <w:sz w:val="36"/>
          <w:szCs w:val="36"/>
        </w:rPr>
        <w:t>章   评审方法</w:t>
      </w:r>
    </w:p>
    <w:p>
      <w:pPr>
        <w:snapToGrid w:val="0"/>
        <w:rPr>
          <w:rStyle w:val="71"/>
          <w:rFonts w:ascii="黑体" w:eastAsia="黑体"/>
          <w:bCs/>
          <w:sz w:val="36"/>
          <w:szCs w:val="36"/>
        </w:rPr>
      </w:pPr>
    </w:p>
    <w:p>
      <w:pPr>
        <w:snapToGrid w:val="0"/>
        <w:ind w:firstLine="2160" w:firstLineChars="600"/>
        <w:rPr>
          <w:rStyle w:val="71"/>
          <w:rFonts w:ascii="宋体" w:hAnsi="宋体" w:eastAsia="黑体"/>
          <w:bCs/>
          <w:sz w:val="28"/>
          <w:szCs w:val="28"/>
        </w:rPr>
      </w:pPr>
      <w:r>
        <w:rPr>
          <w:rStyle w:val="71"/>
          <w:rFonts w:ascii="黑体" w:eastAsia="黑体"/>
          <w:bCs/>
          <w:sz w:val="36"/>
          <w:szCs w:val="36"/>
        </w:rPr>
        <w:t>第</w:t>
      </w:r>
      <w:r>
        <w:rPr>
          <w:rStyle w:val="71"/>
          <w:rFonts w:hint="eastAsia" w:ascii="黑体" w:eastAsia="黑体"/>
          <w:bCs/>
          <w:sz w:val="36"/>
          <w:szCs w:val="36"/>
        </w:rPr>
        <w:t>五</w:t>
      </w:r>
      <w:r>
        <w:rPr>
          <w:rStyle w:val="71"/>
          <w:rFonts w:ascii="黑体" w:eastAsia="黑体"/>
          <w:bCs/>
          <w:sz w:val="36"/>
          <w:szCs w:val="36"/>
        </w:rPr>
        <w:t xml:space="preserve">章   </w:t>
      </w:r>
      <w:r>
        <w:rPr>
          <w:rStyle w:val="71"/>
          <w:rFonts w:hint="eastAsia" w:ascii="黑体" w:eastAsia="黑体"/>
          <w:bCs/>
          <w:sz w:val="36"/>
          <w:szCs w:val="36"/>
        </w:rPr>
        <w:t>合同（草案）</w:t>
      </w:r>
    </w:p>
    <w:p>
      <w:pPr>
        <w:snapToGrid w:val="0"/>
        <w:rPr>
          <w:rStyle w:val="71"/>
          <w:rFonts w:ascii="黑体" w:eastAsia="黑体"/>
          <w:bCs/>
          <w:sz w:val="36"/>
          <w:szCs w:val="36"/>
        </w:rPr>
      </w:pPr>
    </w:p>
    <w:p>
      <w:pPr>
        <w:snapToGrid w:val="0"/>
        <w:rPr>
          <w:rStyle w:val="71"/>
          <w:rFonts w:ascii="黑体" w:eastAsia="黑体"/>
          <w:b/>
          <w:bCs/>
          <w:sz w:val="36"/>
          <w:szCs w:val="36"/>
        </w:rPr>
      </w:pPr>
      <w:r>
        <w:rPr>
          <w:rStyle w:val="71"/>
          <w:rFonts w:hint="eastAsia" w:ascii="黑体" w:eastAsia="黑体"/>
          <w:b/>
          <w:bCs/>
          <w:sz w:val="36"/>
          <w:szCs w:val="36"/>
        </w:rPr>
        <w:t xml:space="preserve">          </w:t>
      </w: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宋体" w:hAnsi="宋体"/>
          <w:b/>
          <w:bCs/>
          <w:sz w:val="36"/>
          <w:szCs w:val="36"/>
        </w:rPr>
      </w:pPr>
    </w:p>
    <w:p>
      <w:pPr>
        <w:snapToGrid w:val="0"/>
        <w:jc w:val="center"/>
        <w:rPr>
          <w:rStyle w:val="71"/>
          <w:rFonts w:ascii="宋体" w:hAnsi="宋体"/>
          <w:b/>
          <w:bCs/>
          <w:sz w:val="36"/>
          <w:szCs w:val="36"/>
        </w:rPr>
      </w:pPr>
      <w:r>
        <w:rPr>
          <w:rStyle w:val="71"/>
          <w:rFonts w:ascii="宋体" w:hAnsi="宋体"/>
          <w:b/>
          <w:bCs/>
          <w:sz w:val="36"/>
          <w:szCs w:val="36"/>
        </w:rPr>
        <w:br w:type="page"/>
      </w:r>
    </w:p>
    <w:p>
      <w:pPr>
        <w:snapToGrid w:val="0"/>
        <w:jc w:val="center"/>
        <w:rPr>
          <w:rStyle w:val="71"/>
          <w:rFonts w:ascii="黑体" w:hAnsi="黑体" w:eastAsia="黑体" w:cs="黑体"/>
          <w:sz w:val="36"/>
          <w:szCs w:val="36"/>
        </w:rPr>
      </w:pPr>
      <w:r>
        <w:rPr>
          <w:rStyle w:val="71"/>
          <w:rFonts w:hint="eastAsia" w:ascii="黑体" w:hAnsi="黑体" w:eastAsia="黑体" w:cs="黑体"/>
          <w:sz w:val="36"/>
          <w:szCs w:val="36"/>
        </w:rPr>
        <w:t>第一章 供应商须知</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一、</w:t>
      </w:r>
      <w:r>
        <w:rPr>
          <w:rStyle w:val="71"/>
          <w:rFonts w:hint="eastAsia" w:ascii="宋体" w:hAnsi="宋体" w:cs="宋体"/>
          <w:bCs/>
          <w:sz w:val="32"/>
          <w:szCs w:val="32"/>
        </w:rPr>
        <w:t>2023年梁河糖业勐养、芒东磷酸储罐新建雨棚项目采购询比价工作；</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二、本次采购定价形式采用询比价的方式（统谈</w:t>
      </w:r>
      <w:r>
        <w:rPr>
          <w:rStyle w:val="71"/>
          <w:rFonts w:hint="eastAsia" w:ascii="宋体" w:hAnsi="宋体" w:cs="宋体"/>
          <w:bCs/>
          <w:sz w:val="32"/>
          <w:szCs w:val="32"/>
        </w:rPr>
        <w:t>统</w:t>
      </w:r>
      <w:r>
        <w:rPr>
          <w:rStyle w:val="71"/>
          <w:rFonts w:ascii="宋体" w:hAnsi="宋体" w:cs="宋体"/>
          <w:bCs/>
          <w:sz w:val="32"/>
          <w:szCs w:val="32"/>
        </w:rPr>
        <w:t>签）</w:t>
      </w:r>
      <w:r>
        <w:rPr>
          <w:rStyle w:val="71"/>
          <w:rFonts w:hint="eastAsia" w:ascii="宋体" w:hAnsi="宋体" w:cs="宋体"/>
          <w:bCs/>
          <w:sz w:val="32"/>
          <w:szCs w:val="32"/>
        </w:rPr>
        <w:t>；</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三、供应商可以通过公开报名方式报名参与；</w:t>
      </w:r>
    </w:p>
    <w:p>
      <w:pPr>
        <w:snapToGrid w:val="0"/>
        <w:spacing w:line="560" w:lineRule="exact"/>
        <w:ind w:firstLine="640" w:firstLineChars="200"/>
        <w:rPr>
          <w:rStyle w:val="71"/>
          <w:rFonts w:ascii="宋体" w:hAnsi="宋体" w:cs="宋体"/>
          <w:b/>
          <w:bCs/>
          <w:sz w:val="32"/>
          <w:szCs w:val="32"/>
        </w:rPr>
      </w:pPr>
      <w:r>
        <w:rPr>
          <w:rStyle w:val="71"/>
          <w:rFonts w:ascii="宋体" w:hAnsi="宋体" w:cs="宋体"/>
          <w:bCs/>
          <w:sz w:val="32"/>
          <w:szCs w:val="32"/>
        </w:rPr>
        <w:t>四</w:t>
      </w:r>
      <w:r>
        <w:rPr>
          <w:rStyle w:val="71"/>
          <w:rFonts w:ascii="宋体" w:hAnsi="宋体" w:cs="宋体"/>
          <w:b/>
          <w:bCs/>
          <w:sz w:val="32"/>
          <w:szCs w:val="32"/>
        </w:rPr>
        <w:t>、供应商注册须在</w:t>
      </w:r>
      <w:r>
        <w:rPr>
          <w:rStyle w:val="71"/>
          <w:rFonts w:hint="eastAsia" w:ascii="宋体" w:hAnsi="宋体" w:cs="宋体"/>
          <w:b/>
          <w:bCs/>
          <w:sz w:val="32"/>
          <w:szCs w:val="32"/>
        </w:rPr>
        <w:t>询价项目发布前</w:t>
      </w:r>
      <w:r>
        <w:rPr>
          <w:rStyle w:val="71"/>
          <w:rFonts w:ascii="宋体" w:hAnsi="宋体" w:cs="宋体"/>
          <w:b/>
          <w:bCs/>
          <w:sz w:val="32"/>
          <w:szCs w:val="32"/>
        </w:rPr>
        <w:t>到中粮糖业采购平台进行注册登记，通过审核的供应商才能够在eps系统内进行查看公告等业务操作；采购平台网址：</w:t>
      </w:r>
      <w:r>
        <w:rPr>
          <w:rStyle w:val="46"/>
          <w:rFonts w:ascii="宋体" w:hAnsi="宋体" w:cs="宋体"/>
          <w:b/>
          <w:bCs/>
          <w:sz w:val="32"/>
          <w:szCs w:val="32"/>
          <w:u w:color="0000FF"/>
        </w:rPr>
        <w:t>http://eps.cofcotunhe.com</w:t>
      </w:r>
      <w:r>
        <w:rPr>
          <w:rStyle w:val="71"/>
          <w:rFonts w:ascii="宋体" w:hAnsi="宋体" w:cs="宋体"/>
          <w:b/>
          <w:bCs/>
          <w:sz w:val="32"/>
          <w:szCs w:val="32"/>
        </w:rPr>
        <w:t>；</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或微信通知的方式通知供应商补充完善，未补充完成的视为自动放弃本次询价；请报名供应商主动与审核小组人员联系，确认资质审核结果；</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报名截止时间及投标截止时间</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供应商须在</w:t>
      </w:r>
      <w:r>
        <w:rPr>
          <w:rStyle w:val="71"/>
          <w:rFonts w:hint="eastAsia" w:ascii="宋体" w:hAnsi="宋体" w:cs="宋体"/>
          <w:bCs/>
          <w:sz w:val="32"/>
          <w:szCs w:val="32"/>
        </w:rPr>
        <w:t>项目公示发布后三天内</w:t>
      </w:r>
      <w:r>
        <w:rPr>
          <w:rStyle w:val="71"/>
          <w:rFonts w:ascii="宋体" w:hAnsi="宋体" w:cs="宋体"/>
          <w:bCs/>
          <w:sz w:val="32"/>
          <w:szCs w:val="32"/>
        </w:rPr>
        <w:t>完成报名，对于报名初审通过的供应商，须在</w:t>
      </w:r>
      <w:r>
        <w:rPr>
          <w:rStyle w:val="71"/>
          <w:rFonts w:hint="eastAsia" w:ascii="宋体" w:hAnsi="宋体" w:cs="宋体"/>
          <w:bCs/>
          <w:sz w:val="32"/>
          <w:szCs w:val="32"/>
        </w:rPr>
        <w:t>规定时间内</w:t>
      </w:r>
      <w:r>
        <w:rPr>
          <w:rStyle w:val="71"/>
          <w:rFonts w:ascii="宋体" w:hAnsi="宋体" w:cs="宋体"/>
          <w:bCs/>
          <w:sz w:val="32"/>
          <w:szCs w:val="32"/>
        </w:rPr>
        <w:t>完成报价。</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在授标结果下发后</w:t>
      </w:r>
      <w:r>
        <w:rPr>
          <w:rStyle w:val="71"/>
          <w:rFonts w:hint="eastAsia" w:ascii="宋体" w:hAnsi="宋体" w:cs="宋体"/>
          <w:bCs/>
          <w:sz w:val="32"/>
          <w:szCs w:val="32"/>
        </w:rPr>
        <w:t>30</w:t>
      </w:r>
      <w:r>
        <w:rPr>
          <w:rStyle w:val="71"/>
          <w:rFonts w:ascii="宋体" w:hAnsi="宋体" w:cs="宋体"/>
          <w:bCs/>
          <w:sz w:val="32"/>
          <w:szCs w:val="32"/>
        </w:rPr>
        <w:t>日内中标供应商与</w:t>
      </w:r>
      <w:r>
        <w:rPr>
          <w:rStyle w:val="71"/>
          <w:rFonts w:hint="eastAsia" w:ascii="宋体" w:hAnsi="宋体" w:cs="宋体"/>
          <w:bCs/>
          <w:sz w:val="32"/>
          <w:szCs w:val="32"/>
        </w:rPr>
        <w:t>中粮梁河糖业有限公司</w:t>
      </w:r>
      <w:r>
        <w:rPr>
          <w:rStyle w:val="71"/>
          <w:rFonts w:ascii="宋体" w:hAnsi="宋体" w:cs="宋体"/>
          <w:bCs/>
          <w:sz w:val="32"/>
          <w:szCs w:val="32"/>
        </w:rPr>
        <w:t>签订合同；</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采购监督方式</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（一）中粮糖业纪检监督联系方式</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办公电话：010-85017235</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通讯地址：北京市朝阳区朝阳门南大街8号</w:t>
      </w:r>
      <w:r>
        <w:rPr>
          <w:rStyle w:val="71"/>
          <w:rFonts w:hint="eastAsia" w:ascii="宋体" w:hAnsi="宋体" w:cs="宋体"/>
          <w:bCs/>
          <w:sz w:val="32"/>
          <w:szCs w:val="32"/>
        </w:rPr>
        <w:t>中粮福临门大厦</w:t>
      </w:r>
      <w:r>
        <w:rPr>
          <w:rStyle w:val="71"/>
          <w:rFonts w:ascii="宋体" w:hAnsi="宋体" w:cs="宋体"/>
          <w:bCs/>
          <w:sz w:val="32"/>
          <w:szCs w:val="32"/>
        </w:rPr>
        <w:t>9层905</w:t>
      </w:r>
      <w:r>
        <w:rPr>
          <w:rStyle w:val="71"/>
          <w:rFonts w:hint="eastAsia" w:ascii="宋体" w:hAnsi="宋体" w:cs="宋体"/>
          <w:bCs/>
          <w:sz w:val="32"/>
          <w:szCs w:val="32"/>
        </w:rPr>
        <w:t>房间，中粮糖业</w:t>
      </w:r>
      <w:r>
        <w:rPr>
          <w:rStyle w:val="71"/>
          <w:rFonts w:ascii="宋体" w:hAnsi="宋体" w:cs="宋体"/>
          <w:bCs/>
          <w:sz w:val="32"/>
          <w:szCs w:val="32"/>
        </w:rPr>
        <w:t>纪委办公室收，邮编100020</w:t>
      </w:r>
      <w:r>
        <w:rPr>
          <w:rStyle w:val="71"/>
          <w:rFonts w:hint="eastAsia" w:ascii="宋体" w:hAnsi="宋体" w:cs="宋体"/>
          <w:bCs/>
          <w:sz w:val="32"/>
          <w:szCs w:val="32"/>
        </w:rPr>
        <w:t>。</w:t>
      </w:r>
      <w:r>
        <w:rPr>
          <w:rStyle w:val="71"/>
          <w:rFonts w:ascii="宋体" w:hAnsi="宋体" w:cs="宋体"/>
          <w:bCs/>
          <w:sz w:val="32"/>
          <w:szCs w:val="32"/>
        </w:rPr>
        <w:t xml:space="preserve"> </w:t>
      </w:r>
    </w:p>
    <w:p>
      <w:pPr>
        <w:numPr>
          <w:ilvl w:val="0"/>
          <w:numId w:val="3"/>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甘蔗糖部纪委监督联系方式</w:t>
      </w:r>
    </w:p>
    <w:p>
      <w:pPr>
        <w:snapToGrid w:val="0"/>
        <w:spacing w:line="560" w:lineRule="exact"/>
        <w:ind w:firstLine="640" w:firstLineChars="200"/>
        <w:jc w:val="left"/>
        <w:rPr>
          <w:rStyle w:val="71"/>
          <w:rFonts w:ascii="宋体" w:hAnsi="宋体"/>
          <w:sz w:val="32"/>
          <w:szCs w:val="32"/>
        </w:rPr>
      </w:pPr>
      <w:r>
        <w:rPr>
          <w:rStyle w:val="71"/>
          <w:rFonts w:ascii="宋体" w:hAnsi="宋体"/>
          <w:color w:val="000000"/>
          <w:kern w:val="0"/>
          <w:sz w:val="32"/>
          <w:szCs w:val="32"/>
        </w:rPr>
        <w:t xml:space="preserve">联系电话：13909946165/15296390978 </w:t>
      </w:r>
    </w:p>
    <w:p>
      <w:pPr>
        <w:snapToGrid w:val="0"/>
        <w:spacing w:line="560" w:lineRule="exact"/>
        <w:ind w:firstLine="640" w:firstLineChars="200"/>
        <w:jc w:val="left"/>
        <w:rPr>
          <w:rStyle w:val="71"/>
          <w:rFonts w:ascii="宋体" w:hAnsi="宋体"/>
          <w:sz w:val="32"/>
          <w:szCs w:val="32"/>
        </w:rPr>
      </w:pPr>
      <w:r>
        <w:rPr>
          <w:rStyle w:val="71"/>
          <w:rFonts w:ascii="宋体" w:hAnsi="宋体"/>
          <w:color w:val="000000"/>
          <w:kern w:val="0"/>
          <w:sz w:val="32"/>
          <w:szCs w:val="32"/>
        </w:rPr>
        <w:t>通讯地址：广西壮族自治区崇左市江州区工业大道 1 号</w:t>
      </w:r>
      <w:r>
        <w:rPr>
          <w:rStyle w:val="71"/>
          <w:rFonts w:hint="eastAsia" w:ascii="宋体" w:hAnsi="宋体"/>
          <w:color w:val="000000"/>
          <w:kern w:val="0"/>
          <w:sz w:val="32"/>
          <w:szCs w:val="32"/>
        </w:rPr>
        <w:t>中粮糖业</w:t>
      </w:r>
      <w:r>
        <w:rPr>
          <w:rStyle w:val="71"/>
          <w:rFonts w:ascii="宋体" w:hAnsi="宋体"/>
          <w:color w:val="000000"/>
          <w:kern w:val="0"/>
          <w:sz w:val="32"/>
          <w:szCs w:val="32"/>
        </w:rPr>
        <w:t>甘蔗糖部党群纪检部收，邮编：532200。</w:t>
      </w:r>
    </w:p>
    <w:p>
      <w:pPr>
        <w:spacing w:line="460" w:lineRule="exact"/>
        <w:ind w:firstLine="456" w:firstLineChars="150"/>
        <w:rPr>
          <w:rFonts w:ascii="宋体" w:hAnsi="宋体"/>
          <w:w w:val="95"/>
          <w:sz w:val="32"/>
          <w:szCs w:val="32"/>
        </w:rPr>
      </w:pPr>
      <w:r>
        <w:rPr>
          <w:rFonts w:hint="eastAsia" w:ascii="宋体" w:hAnsi="宋体"/>
          <w:w w:val="95"/>
          <w:sz w:val="32"/>
          <w:szCs w:val="32"/>
        </w:rPr>
        <w:t>（三</w:t>
      </w:r>
      <w:r>
        <w:rPr>
          <w:rFonts w:ascii="宋体" w:hAnsi="宋体"/>
          <w:w w:val="95"/>
          <w:sz w:val="32"/>
          <w:szCs w:val="32"/>
        </w:rPr>
        <w:t>）</w:t>
      </w:r>
      <w:r>
        <w:rPr>
          <w:rFonts w:hint="eastAsia" w:ascii="宋体" w:hAnsi="宋体"/>
          <w:w w:val="95"/>
          <w:sz w:val="32"/>
          <w:szCs w:val="32"/>
        </w:rPr>
        <w:t>梁河糖业纪委联系方式</w:t>
      </w:r>
    </w:p>
    <w:p>
      <w:pPr>
        <w:spacing w:line="460" w:lineRule="exact"/>
        <w:ind w:firstLine="456" w:firstLineChars="150"/>
        <w:rPr>
          <w:rFonts w:ascii="宋体" w:hAnsi="宋体"/>
          <w:sz w:val="32"/>
          <w:szCs w:val="32"/>
        </w:rPr>
      </w:pPr>
      <w:r>
        <w:rPr>
          <w:rFonts w:hint="eastAsia" w:ascii="宋体" w:hAnsi="宋体"/>
          <w:w w:val="95"/>
          <w:sz w:val="32"/>
          <w:szCs w:val="32"/>
        </w:rPr>
        <w:t>联系电话 18878008387 、13308827899</w:t>
      </w:r>
    </w:p>
    <w:p>
      <w:pPr>
        <w:pStyle w:val="5"/>
        <w:spacing w:before="149" w:line="328" w:lineRule="auto"/>
        <w:ind w:left="-4" w:leftChars="-2" w:right="235" w:firstLine="608" w:firstLineChars="200"/>
        <w:rPr>
          <w:rFonts w:ascii="宋体" w:hAnsi="宋体"/>
          <w:sz w:val="32"/>
          <w:szCs w:val="32"/>
          <w:lang w:eastAsia="zh-CN"/>
        </w:rPr>
      </w:pPr>
      <w:r>
        <w:rPr>
          <w:rFonts w:hint="eastAsia" w:ascii="宋体" w:hAnsi="宋体"/>
          <w:w w:val="95"/>
          <w:sz w:val="32"/>
          <w:szCs w:val="32"/>
          <w:lang w:eastAsia="zh-CN"/>
        </w:rPr>
        <w:t>通信地址：</w:t>
      </w:r>
      <w:r>
        <w:rPr>
          <w:rFonts w:hint="eastAsia" w:ascii="宋体" w:hAnsi="宋体"/>
          <w:sz w:val="32"/>
          <w:szCs w:val="32"/>
          <w:lang w:eastAsia="zh-CN"/>
        </w:rPr>
        <w:t>云南省德宏州梁河县勐养镇中营村委会党良街（原勐养糖厂内）</w:t>
      </w:r>
      <w:r>
        <w:rPr>
          <w:rFonts w:hint="eastAsia" w:ascii="宋体" w:hAnsi="宋体"/>
          <w:w w:val="95"/>
          <w:sz w:val="32"/>
          <w:szCs w:val="32"/>
          <w:lang w:eastAsia="zh-CN"/>
        </w:rPr>
        <w:t>中粮梁河糖业有限公司</w:t>
      </w:r>
      <w:r>
        <w:rPr>
          <w:rFonts w:hint="eastAsia" w:ascii="宋体" w:hAnsi="宋体"/>
          <w:w w:val="99"/>
          <w:sz w:val="32"/>
          <w:szCs w:val="32"/>
          <w:lang w:eastAsia="zh-CN"/>
        </w:rPr>
        <w:t>纪检（</w:t>
      </w:r>
      <w:r>
        <w:rPr>
          <w:rFonts w:hint="eastAsia" w:ascii="宋体" w:hAnsi="宋体"/>
          <w:spacing w:val="1"/>
          <w:w w:val="99"/>
          <w:sz w:val="32"/>
          <w:szCs w:val="32"/>
          <w:lang w:eastAsia="zh-CN"/>
        </w:rPr>
        <w:t>收</w:t>
      </w:r>
      <w:r>
        <w:rPr>
          <w:rFonts w:hint="eastAsia" w:ascii="宋体" w:hAnsi="宋体"/>
          <w:spacing w:val="-161"/>
          <w:w w:val="99"/>
          <w:sz w:val="32"/>
          <w:szCs w:val="32"/>
          <w:lang w:eastAsia="zh-CN"/>
        </w:rPr>
        <w:t>）</w:t>
      </w:r>
      <w:r>
        <w:rPr>
          <w:rFonts w:hint="eastAsia" w:ascii="宋体" w:hAnsi="宋体"/>
          <w:w w:val="99"/>
          <w:sz w:val="32"/>
          <w:szCs w:val="32"/>
          <w:lang w:eastAsia="zh-CN"/>
        </w:rPr>
        <w:t>，邮编679207。</w:t>
      </w:r>
    </w:p>
    <w:p>
      <w:pPr>
        <w:spacing w:line="460" w:lineRule="exact"/>
        <w:ind w:left="1600" w:hanging="1600" w:hangingChars="500"/>
        <w:rPr>
          <w:rFonts w:ascii="仿宋_GB2312" w:eastAsia="仿宋_GB2312"/>
          <w:sz w:val="32"/>
          <w:szCs w:val="32"/>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r>
        <w:rPr>
          <w:rStyle w:val="71"/>
          <w:rFonts w:ascii="宋体" w:hAnsi="宋体"/>
          <w:b/>
          <w:bCs/>
          <w:sz w:val="36"/>
          <w:szCs w:val="36"/>
        </w:rPr>
        <w:br w:type="page"/>
      </w:r>
    </w:p>
    <w:p>
      <w:pPr>
        <w:snapToGrid w:val="0"/>
        <w:ind w:left="2150" w:firstLine="1440" w:firstLineChars="400"/>
        <w:rPr>
          <w:rStyle w:val="71"/>
          <w:rFonts w:ascii="黑体" w:hAnsi="黑体" w:eastAsia="黑体" w:cs="黑体"/>
          <w:sz w:val="36"/>
          <w:szCs w:val="36"/>
        </w:rPr>
      </w:pPr>
      <w:r>
        <w:rPr>
          <w:rStyle w:val="71"/>
          <w:rFonts w:hint="eastAsia" w:ascii="黑体" w:hAnsi="黑体" w:eastAsia="黑体" w:cs="黑体"/>
          <w:sz w:val="36"/>
          <w:szCs w:val="36"/>
          <w:highlight w:val="lightGray"/>
        </w:rPr>
        <w:t>第二章</w:t>
      </w:r>
      <w:r>
        <w:rPr>
          <w:rStyle w:val="71"/>
          <w:rFonts w:hint="eastAsia" w:ascii="黑体" w:hAnsi="黑体" w:eastAsia="黑体" w:cs="黑体"/>
          <w:sz w:val="36"/>
          <w:szCs w:val="36"/>
        </w:rPr>
        <w:t xml:space="preserve"> 报价说明</w:t>
      </w:r>
    </w:p>
    <w:p>
      <w:pPr>
        <w:snapToGrid w:val="0"/>
        <w:rPr>
          <w:rStyle w:val="71"/>
          <w:rFonts w:ascii="宋体" w:hAnsi="宋体"/>
          <w:b/>
          <w:bCs/>
          <w:sz w:val="36"/>
          <w:szCs w:val="36"/>
        </w:rPr>
      </w:pP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本次询比价有效期为30天；</w:t>
      </w: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2、定价方式为一票制，询价函中分项报价总和要与系统报价一致，报价已包含供货、验收、税金、安全等一切可能发生的费用。</w:t>
      </w: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3、报价税率按能提供的增值税专用税率填报，询价函与系统报价税率不一致时，则以系统报价税率计。</w:t>
      </w:r>
    </w:p>
    <w:p>
      <w:pPr>
        <w:spacing w:line="500" w:lineRule="exact"/>
        <w:ind w:firstLine="640" w:firstLineChars="200"/>
        <w:rPr>
          <w:rStyle w:val="71"/>
          <w:rFonts w:ascii="宋体" w:hAnsi="宋体"/>
          <w:bCs/>
          <w:sz w:val="32"/>
          <w:szCs w:val="32"/>
        </w:rPr>
      </w:pPr>
      <w:r>
        <w:rPr>
          <w:rStyle w:val="71"/>
          <w:rFonts w:ascii="宋体" w:hAnsi="宋体"/>
          <w:bCs/>
          <w:sz w:val="32"/>
          <w:szCs w:val="32"/>
        </w:rPr>
        <w:t>4</w:t>
      </w:r>
      <w:r>
        <w:rPr>
          <w:rStyle w:val="71"/>
          <w:rFonts w:hint="eastAsia" w:ascii="宋体" w:hAnsi="宋体"/>
          <w:bCs/>
          <w:sz w:val="32"/>
          <w:szCs w:val="32"/>
        </w:rPr>
        <w:t>、参与报价的承包方需于中粮采购平台设定的投标截止时间前，进行线上报价。(具体以线上ＥＰＳ系统要求为准)</w:t>
      </w:r>
    </w:p>
    <w:p>
      <w:pPr>
        <w:spacing w:line="500" w:lineRule="exact"/>
        <w:ind w:firstLine="640" w:firstLineChars="200"/>
        <w:rPr>
          <w:rStyle w:val="71"/>
          <w:rFonts w:ascii="宋体" w:hAnsi="宋体"/>
          <w:bCs/>
          <w:sz w:val="32"/>
          <w:szCs w:val="32"/>
        </w:rPr>
      </w:pPr>
      <w:r>
        <w:rPr>
          <w:rStyle w:val="71"/>
          <w:rFonts w:ascii="宋体" w:hAnsi="宋体"/>
          <w:bCs/>
          <w:sz w:val="32"/>
          <w:szCs w:val="32"/>
        </w:rPr>
        <w:t>5</w:t>
      </w:r>
      <w:r>
        <w:rPr>
          <w:rStyle w:val="71"/>
          <w:rFonts w:hint="eastAsia" w:ascii="宋体" w:hAnsi="宋体"/>
          <w:bCs/>
          <w:sz w:val="32"/>
          <w:szCs w:val="32"/>
        </w:rPr>
        <w:t>、报价形式：二轮报价</w:t>
      </w:r>
    </w:p>
    <w:p>
      <w:pPr>
        <w:snapToGrid w:val="0"/>
        <w:ind w:firstLine="640" w:firstLineChars="200"/>
        <w:rPr>
          <w:rStyle w:val="71"/>
          <w:rFonts w:ascii="宋体" w:hAnsi="宋体"/>
          <w:bCs/>
          <w:sz w:val="32"/>
          <w:szCs w:val="32"/>
        </w:rPr>
      </w:pPr>
      <w:r>
        <w:rPr>
          <w:rStyle w:val="71"/>
          <w:rFonts w:ascii="宋体" w:hAnsi="宋体"/>
          <w:bCs/>
          <w:sz w:val="32"/>
          <w:szCs w:val="32"/>
        </w:rPr>
        <w:t>6</w:t>
      </w:r>
      <w:r>
        <w:rPr>
          <w:rStyle w:val="71"/>
          <w:rFonts w:hint="eastAsia" w:ascii="宋体" w:hAnsi="宋体"/>
          <w:bCs/>
          <w:sz w:val="32"/>
          <w:szCs w:val="32"/>
        </w:rPr>
        <w:t>、每个标的必须报价。</w:t>
      </w:r>
    </w:p>
    <w:p>
      <w:pPr>
        <w:tabs>
          <w:tab w:val="left" w:pos="312"/>
        </w:tabs>
        <w:snapToGrid w:val="0"/>
        <w:spacing w:line="560" w:lineRule="exact"/>
        <w:ind w:firstLine="640" w:firstLineChars="200"/>
        <w:rPr>
          <w:rStyle w:val="71"/>
          <w:rFonts w:ascii="宋体" w:hAnsi="宋体"/>
          <w:bCs/>
          <w:sz w:val="32"/>
          <w:szCs w:val="32"/>
        </w:rPr>
      </w:pPr>
      <w:r>
        <w:rPr>
          <w:rStyle w:val="71"/>
          <w:rFonts w:ascii="宋体" w:hAnsi="宋体"/>
          <w:bCs/>
          <w:sz w:val="32"/>
          <w:szCs w:val="32"/>
        </w:rPr>
        <w:t>7</w:t>
      </w:r>
      <w:r>
        <w:rPr>
          <w:rStyle w:val="71"/>
          <w:rFonts w:hint="eastAsia" w:ascii="宋体" w:hAnsi="宋体"/>
          <w:bCs/>
          <w:sz w:val="32"/>
          <w:szCs w:val="32"/>
        </w:rPr>
        <w:t>、采购单位：中粮梁河糖业有限公司。</w:t>
      </w:r>
    </w:p>
    <w:p>
      <w:pPr>
        <w:tabs>
          <w:tab w:val="left" w:pos="312"/>
        </w:tabs>
        <w:snapToGrid w:val="0"/>
        <w:spacing w:line="560" w:lineRule="exact"/>
        <w:ind w:firstLine="640" w:firstLineChars="200"/>
        <w:rPr>
          <w:rStyle w:val="71"/>
          <w:rFonts w:ascii="宋体" w:hAnsi="宋体"/>
          <w:bCs/>
          <w:sz w:val="32"/>
          <w:szCs w:val="32"/>
        </w:rPr>
      </w:pPr>
      <w:r>
        <w:rPr>
          <w:rStyle w:val="71"/>
          <w:rFonts w:ascii="宋体" w:hAnsi="宋体"/>
          <w:bCs/>
          <w:sz w:val="32"/>
          <w:szCs w:val="32"/>
        </w:rPr>
        <w:t>联系人：</w:t>
      </w:r>
      <w:r>
        <w:rPr>
          <w:rStyle w:val="71"/>
          <w:rFonts w:hint="eastAsia" w:ascii="宋体" w:hAnsi="宋体"/>
          <w:bCs/>
          <w:sz w:val="32"/>
          <w:szCs w:val="32"/>
        </w:rPr>
        <w:t>杨常茂</w:t>
      </w:r>
      <w:r>
        <w:rPr>
          <w:rStyle w:val="71"/>
          <w:rFonts w:ascii="宋体" w:hAnsi="宋体"/>
          <w:bCs/>
          <w:sz w:val="32"/>
          <w:szCs w:val="32"/>
        </w:rPr>
        <w:t xml:space="preserve">  联系电话 13987028948</w:t>
      </w: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ind w:firstLine="3200" w:firstLineChars="1000"/>
        <w:rPr>
          <w:rStyle w:val="71"/>
          <w:rFonts w:ascii="宋体" w:hAnsi="宋体"/>
          <w:bCs/>
          <w:sz w:val="32"/>
          <w:szCs w:val="32"/>
        </w:rPr>
      </w:pPr>
      <w:bookmarkStart w:id="0" w:name="OLE_LINK15"/>
      <w:bookmarkStart w:id="1" w:name="OLE_LINK16"/>
      <w:r>
        <w:rPr>
          <w:rStyle w:val="71"/>
          <w:rFonts w:hint="eastAsia" w:ascii="宋体" w:hAnsi="宋体"/>
          <w:bCs/>
          <w:sz w:val="32"/>
          <w:szCs w:val="32"/>
        </w:rPr>
        <w:t>第三章 项目需求</w:t>
      </w:r>
    </w:p>
    <w:bookmarkEnd w:id="0"/>
    <w:bookmarkEnd w:id="1"/>
    <w:p>
      <w:pPr>
        <w:spacing w:line="520" w:lineRule="exact"/>
        <w:ind w:firstLine="640" w:firstLineChars="200"/>
        <w:rPr>
          <w:rStyle w:val="71"/>
          <w:rFonts w:ascii="宋体" w:hAnsi="宋体"/>
          <w:sz w:val="32"/>
          <w:szCs w:val="32"/>
        </w:rPr>
      </w:pPr>
      <w:r>
        <w:rPr>
          <w:rStyle w:val="71"/>
          <w:rFonts w:ascii="宋体" w:hAnsi="宋体"/>
          <w:sz w:val="32"/>
          <w:szCs w:val="32"/>
        </w:rPr>
        <w:t>一</w:t>
      </w:r>
      <w:r>
        <w:rPr>
          <w:rStyle w:val="71"/>
          <w:rFonts w:hint="eastAsia" w:ascii="宋体" w:hAnsi="宋体"/>
          <w:sz w:val="32"/>
          <w:szCs w:val="32"/>
        </w:rPr>
        <w:t>、承包商工作范畴</w:t>
      </w:r>
    </w:p>
    <w:p>
      <w:pPr>
        <w:spacing w:line="520" w:lineRule="exact"/>
        <w:ind w:firstLine="640" w:firstLineChars="200"/>
        <w:rPr>
          <w:rFonts w:eastAsia="仿宋_GB2312"/>
          <w:spacing w:val="20"/>
          <w:sz w:val="32"/>
          <w:szCs w:val="32"/>
        </w:rPr>
      </w:pPr>
      <w:r>
        <w:rPr>
          <w:rStyle w:val="71"/>
          <w:rFonts w:hint="eastAsia" w:ascii="宋体" w:hAnsi="宋体"/>
          <w:bCs/>
          <w:sz w:val="32"/>
          <w:szCs w:val="32"/>
        </w:rPr>
        <w:t>对采购方</w:t>
      </w:r>
      <w:bookmarkStart w:id="2" w:name="OLE_LINK14"/>
      <w:bookmarkStart w:id="3" w:name="OLE_LINK13"/>
      <w:bookmarkStart w:id="4" w:name="OLE_LINK34"/>
      <w:r>
        <w:rPr>
          <w:rStyle w:val="71"/>
          <w:rFonts w:hint="eastAsia" w:ascii="宋体" w:hAnsi="宋体"/>
          <w:bCs/>
          <w:sz w:val="32"/>
          <w:szCs w:val="32"/>
        </w:rPr>
        <w:t>2023年梁河糖业勐养、芒东磷酸储罐新建雨棚项目</w:t>
      </w:r>
      <w:bookmarkEnd w:id="2"/>
      <w:bookmarkEnd w:id="3"/>
      <w:bookmarkEnd w:id="4"/>
      <w:r>
        <w:rPr>
          <w:rStyle w:val="71"/>
          <w:rFonts w:hint="eastAsia" w:ascii="宋体" w:hAnsi="宋体"/>
          <w:bCs/>
          <w:sz w:val="32"/>
          <w:szCs w:val="32"/>
        </w:rPr>
        <w:t>（具体项目见：中粮梁河公司询价表），承包方需根据委托方要求到现场测量、</w:t>
      </w:r>
      <w:r>
        <w:rPr>
          <w:rFonts w:hint="eastAsia" w:ascii="宋体" w:hAnsi="宋体"/>
          <w:bCs/>
          <w:sz w:val="32"/>
          <w:szCs w:val="32"/>
        </w:rPr>
        <w:t>安装、</w:t>
      </w:r>
      <w:r>
        <w:rPr>
          <w:rStyle w:val="71"/>
          <w:rFonts w:hint="eastAsia" w:ascii="宋体" w:hAnsi="宋体"/>
          <w:bCs/>
          <w:sz w:val="32"/>
          <w:szCs w:val="32"/>
        </w:rPr>
        <w:t>维修</w:t>
      </w:r>
      <w:r>
        <w:rPr>
          <w:rFonts w:hint="eastAsia" w:eastAsia="仿宋_GB2312"/>
          <w:spacing w:val="20"/>
          <w:sz w:val="32"/>
          <w:szCs w:val="32"/>
        </w:rPr>
        <w:t>。</w:t>
      </w:r>
    </w:p>
    <w:p>
      <w:pPr>
        <w:spacing w:line="520" w:lineRule="exact"/>
        <w:ind w:firstLine="640" w:firstLineChars="200"/>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.1</w:t>
      </w:r>
      <w:bookmarkStart w:id="5" w:name="OLE_LINK82"/>
      <w:bookmarkStart w:id="6" w:name="OLE_LINK81"/>
      <w:r>
        <w:rPr>
          <w:rStyle w:val="71"/>
          <w:rFonts w:hint="eastAsia" w:ascii="宋体" w:hAnsi="宋体"/>
          <w:bCs/>
          <w:sz w:val="32"/>
          <w:szCs w:val="32"/>
        </w:rPr>
        <w:t>项目概况：按甲方要求对勐养、芒东工厂压榨车间磷酸储罐新建雨棚。</w:t>
      </w:r>
    </w:p>
    <w:bookmarkEnd w:id="5"/>
    <w:bookmarkEnd w:id="6"/>
    <w:p>
      <w:pPr>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2</w:t>
      </w:r>
      <w:r>
        <w:rPr>
          <w:rStyle w:val="71"/>
          <w:rFonts w:hint="eastAsia" w:ascii="宋体" w:hAnsi="宋体"/>
          <w:bCs/>
          <w:sz w:val="32"/>
          <w:szCs w:val="32"/>
        </w:rPr>
        <w:t>具体项目见下表</w:t>
      </w:r>
    </w:p>
    <w:tbl>
      <w:tblPr>
        <w:tblStyle w:val="39"/>
        <w:tblW w:w="8789" w:type="dxa"/>
        <w:tblInd w:w="108" w:type="dxa"/>
        <w:tblLayout w:type="autofit"/>
        <w:tblCellMar>
          <w:top w:w="0" w:type="dxa"/>
          <w:left w:w="108" w:type="dxa"/>
          <w:bottom w:w="0" w:type="dxa"/>
          <w:right w:w="108" w:type="dxa"/>
        </w:tblCellMar>
      </w:tblPr>
      <w:tblGrid>
        <w:gridCol w:w="539"/>
        <w:gridCol w:w="1197"/>
        <w:gridCol w:w="2612"/>
        <w:gridCol w:w="818"/>
        <w:gridCol w:w="946"/>
        <w:gridCol w:w="954"/>
        <w:gridCol w:w="872"/>
        <w:gridCol w:w="851"/>
      </w:tblGrid>
      <w:tr>
        <w:tblPrEx>
          <w:tblCellMar>
            <w:top w:w="0" w:type="dxa"/>
            <w:left w:w="108" w:type="dxa"/>
            <w:bottom w:w="0" w:type="dxa"/>
            <w:right w:w="108" w:type="dxa"/>
          </w:tblCellMar>
        </w:tblPrEx>
        <w:trPr>
          <w:trHeight w:val="72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序号</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产品名称</w:t>
            </w:r>
          </w:p>
        </w:tc>
        <w:tc>
          <w:tcPr>
            <w:tcW w:w="261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规格型号</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单位</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数量</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单价/元</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总价/元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备注</w:t>
            </w: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eastAsia="zh-CN"/>
              </w:rPr>
            </w:pPr>
            <w:r>
              <w:rPr>
                <w:rFonts w:hint="eastAsia" w:eastAsia="仿宋_GB2312"/>
                <w:color w:val="000000"/>
                <w:kern w:val="0"/>
                <w:sz w:val="24"/>
                <w:lang w:eastAsia="zh-CN"/>
              </w:rPr>
              <w:t>一</w:t>
            </w:r>
          </w:p>
        </w:tc>
        <w:tc>
          <w:tcPr>
            <w:tcW w:w="1197" w:type="dxa"/>
            <w:tcBorders>
              <w:top w:val="nil"/>
              <w:left w:val="nil"/>
              <w:bottom w:val="single" w:color="auto" w:sz="4" w:space="0"/>
              <w:right w:val="single" w:color="auto" w:sz="4" w:space="0"/>
            </w:tcBorders>
            <w:shd w:val="clear" w:color="auto" w:fill="auto"/>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勐养工厂磷酸储罐新建雨棚</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hint="eastAsia" w:eastAsia="仿宋_GB2312"/>
                <w:color w:val="000000"/>
                <w:kern w:val="0"/>
                <w:sz w:val="24"/>
              </w:rPr>
            </w:pP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51" w:type="dxa"/>
            <w:tcBorders>
              <w:top w:val="nil"/>
              <w:left w:val="nil"/>
              <w:right w:val="single" w:color="auto" w:sz="4" w:space="0"/>
            </w:tcBorders>
            <w:shd w:val="clear" w:color="auto" w:fill="auto"/>
            <w:noWrap/>
            <w:vAlign w:val="center"/>
          </w:tcPr>
          <w:p>
            <w:pPr>
              <w:jc w:val="center"/>
              <w:rPr>
                <w:rFonts w:hint="eastAsia" w:eastAsia="仿宋_GB2312"/>
                <w:color w:val="000000"/>
                <w:kern w:val="0"/>
                <w:sz w:val="24"/>
              </w:rPr>
            </w:pP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1</w:t>
            </w:r>
          </w:p>
        </w:tc>
        <w:tc>
          <w:tcPr>
            <w:tcW w:w="1197" w:type="dxa"/>
            <w:tcBorders>
              <w:top w:val="nil"/>
              <w:left w:val="nil"/>
              <w:bottom w:val="single" w:color="auto" w:sz="4" w:space="0"/>
              <w:right w:val="single" w:color="auto" w:sz="4" w:space="0"/>
            </w:tcBorders>
            <w:shd w:val="clear" w:color="auto" w:fill="auto"/>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磷酸库房钢柱基础开挖</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长0.4m，宽0.4m，深0.5m，6个，含渣土外运</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restart"/>
            <w:tcBorders>
              <w:top w:val="nil"/>
              <w:left w:val="nil"/>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勐养工厂压榨车间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r>
              <w:rPr>
                <w:rFonts w:hint="eastAsia" w:eastAsia="仿宋_GB2312"/>
                <w:color w:val="000000"/>
                <w:kern w:val="0"/>
                <w:sz w:val="24"/>
              </w:rPr>
              <w:t>　</w:t>
            </w:r>
          </w:p>
        </w:tc>
      </w:tr>
      <w:tr>
        <w:tblPrEx>
          <w:tblCellMar>
            <w:top w:w="0" w:type="dxa"/>
            <w:left w:w="108" w:type="dxa"/>
            <w:bottom w:w="0" w:type="dxa"/>
            <w:right w:w="108" w:type="dxa"/>
          </w:tblCellMar>
        </w:tblPrEx>
        <w:trPr>
          <w:trHeight w:val="6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2</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磷酸库房钢柱基础浇筑</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20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3</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磷酸罐及磷酸泵钢架房制做安装</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弓形钢架房建盖（长10m*宽7m*柱高5.5m，立柱6根，铝瓦δ0.7mm）；</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70</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76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4</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磷酸罐及磷酸泵钢架房围边</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铝瓦δ=0.7mm围边（高1米）</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40.5</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78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5</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磷酸罐围堰制作防护栏</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围堰防护栏（长34米，高1.2米），护栏横杆及立柱无缝管φ32*3.5（75米）；扁钢25*4（70米）；扁钢100*2（35米）按公司防护栏制作标准制作。</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34</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r>
        <w:tblPrEx>
          <w:tblCellMar>
            <w:top w:w="0" w:type="dxa"/>
            <w:left w:w="108" w:type="dxa"/>
            <w:bottom w:w="0" w:type="dxa"/>
            <w:right w:w="108" w:type="dxa"/>
          </w:tblCellMar>
        </w:tblPrEx>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二</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芒东工厂新建磷酸储罐雨棚</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hint="eastAsia" w:eastAsia="仿宋_GB2312"/>
                <w:color w:val="000000"/>
                <w:kern w:val="0"/>
                <w:sz w:val="24"/>
              </w:rPr>
            </w:pP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51" w:type="dxa"/>
            <w:tcBorders>
              <w:top w:val="nil"/>
              <w:left w:val="nil"/>
              <w:right w:val="single" w:color="auto" w:sz="4" w:space="0"/>
            </w:tcBorders>
            <w:shd w:val="clear" w:color="auto" w:fill="auto"/>
            <w:noWrap/>
            <w:vAlign w:val="center"/>
          </w:tcPr>
          <w:p>
            <w:pPr>
              <w:jc w:val="center"/>
              <w:rPr>
                <w:rFonts w:hint="eastAsia" w:eastAsia="仿宋_GB2312"/>
                <w:color w:val="000000"/>
                <w:kern w:val="0"/>
                <w:sz w:val="24"/>
              </w:rPr>
            </w:pPr>
          </w:p>
        </w:tc>
      </w:tr>
      <w:tr>
        <w:tblPrEx>
          <w:tblCellMar>
            <w:top w:w="0" w:type="dxa"/>
            <w:left w:w="108" w:type="dxa"/>
            <w:bottom w:w="0" w:type="dxa"/>
            <w:right w:w="108" w:type="dxa"/>
          </w:tblCellMar>
        </w:tblPrEx>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1</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磷酸库房钢柱基础开挖</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长0.4m，宽0.4m，深0.5m，6个，含渣土外运</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restart"/>
            <w:tcBorders>
              <w:top w:val="nil"/>
              <w:left w:val="nil"/>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p>
          <w:p>
            <w:pPr>
              <w:jc w:val="center"/>
              <w:rPr>
                <w:rFonts w:eastAsia="仿宋_GB2312"/>
                <w:color w:val="000000"/>
                <w:kern w:val="0"/>
                <w:sz w:val="24"/>
              </w:rPr>
            </w:pPr>
          </w:p>
          <w:p>
            <w:pPr>
              <w:jc w:val="center"/>
              <w:rPr>
                <w:rFonts w:eastAsia="仿宋_GB2312"/>
                <w:color w:val="000000"/>
                <w:kern w:val="0"/>
                <w:sz w:val="24"/>
              </w:rPr>
            </w:pPr>
          </w:p>
          <w:p>
            <w:pPr>
              <w:jc w:val="center"/>
              <w:rPr>
                <w:rFonts w:eastAsia="仿宋_GB2312"/>
                <w:color w:val="000000"/>
                <w:kern w:val="0"/>
                <w:sz w:val="24"/>
              </w:rPr>
            </w:pPr>
            <w:r>
              <w:rPr>
                <w:rFonts w:hint="eastAsia" w:eastAsia="仿宋_GB2312"/>
                <w:color w:val="000000"/>
                <w:kern w:val="0"/>
                <w:sz w:val="24"/>
              </w:rPr>
              <w:t>芒东工厂压榨车间　</w:t>
            </w:r>
          </w:p>
        </w:tc>
      </w:tr>
      <w:tr>
        <w:tblPrEx>
          <w:tblCellMar>
            <w:top w:w="0" w:type="dxa"/>
            <w:left w:w="108" w:type="dxa"/>
            <w:bottom w:w="0" w:type="dxa"/>
            <w:right w:w="108" w:type="dxa"/>
          </w:tblCellMar>
        </w:tblPrEx>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2</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磷酸库房钢柱基础浇筑</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26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3</w:t>
            </w:r>
          </w:p>
        </w:tc>
        <w:tc>
          <w:tcPr>
            <w:tcW w:w="119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磷酸罐及磷酸泵盖雨棚，房顶</w:t>
            </w:r>
          </w:p>
        </w:tc>
        <w:tc>
          <w:tcPr>
            <w:tcW w:w="261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钢架房（含柱）长10.5m*宽7m、高7m，立柱120*120*5方管6根、方管6*8（160米）、铝瓦厚0.7mm（74</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w:t>
            </w:r>
          </w:p>
        </w:tc>
        <w:tc>
          <w:tcPr>
            <w:tcW w:w="8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74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single" w:color="auto" w:sz="4" w:space="0"/>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675"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4</w:t>
            </w: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磷酸罐及磷酸泵钢架房围边</w:t>
            </w: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铝瓦δ=0.7mm围边（高1米）</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40.5</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71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5</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磷酸罐围堰制作防护栏</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围堰防护栏（长34米，高1.2米），护栏横杆及立柱无缝管φ32*3.5（76米）；扁钢25*4（72米）；）扁钢100*2（36米）；）按公司防护栏制作标准制作。</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35</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r>
        <w:tblPrEx>
          <w:tblCellMar>
            <w:top w:w="0" w:type="dxa"/>
            <w:left w:w="108" w:type="dxa"/>
            <w:bottom w:w="0" w:type="dxa"/>
            <w:right w:w="108" w:type="dxa"/>
          </w:tblCellMar>
        </w:tblPrEx>
        <w:trPr>
          <w:trHeight w:val="526"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合计</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bl>
    <w:p>
      <w:pPr>
        <w:adjustRightInd w:val="0"/>
        <w:snapToGrid w:val="0"/>
        <w:spacing w:line="360" w:lineRule="auto"/>
        <w:ind w:firstLine="640" w:firstLineChars="200"/>
        <w:rPr>
          <w:rStyle w:val="71"/>
          <w:rFonts w:ascii="宋体" w:hAnsi="宋体"/>
          <w:bCs/>
          <w:sz w:val="32"/>
          <w:szCs w:val="32"/>
        </w:rPr>
      </w:pPr>
      <w:r>
        <w:rPr>
          <w:rStyle w:val="71"/>
          <w:rFonts w:hint="eastAsia" w:ascii="宋体" w:hAnsi="宋体"/>
          <w:sz w:val="32"/>
          <w:szCs w:val="32"/>
        </w:rPr>
        <w:t>二、</w:t>
      </w:r>
      <w:r>
        <w:rPr>
          <w:rStyle w:val="71"/>
          <w:rFonts w:hint="eastAsia" w:ascii="宋体" w:hAnsi="宋体"/>
          <w:bCs/>
          <w:sz w:val="32"/>
          <w:szCs w:val="32"/>
        </w:rPr>
        <w:t>承包方资格</w:t>
      </w:r>
    </w:p>
    <w:p>
      <w:pPr>
        <w:spacing w:line="520" w:lineRule="exact"/>
        <w:ind w:firstLine="555"/>
        <w:rPr>
          <w:rStyle w:val="71"/>
          <w:rFonts w:ascii="宋体" w:hAnsi="宋体"/>
          <w:bCs/>
          <w:color w:val="000000" w:themeColor="text1"/>
          <w:sz w:val="32"/>
          <w:szCs w:val="32"/>
        </w:rPr>
      </w:pPr>
      <w:r>
        <w:rPr>
          <w:rStyle w:val="71"/>
          <w:rFonts w:hint="eastAsia" w:ascii="宋体" w:hAnsi="宋体"/>
          <w:bCs/>
          <w:color w:val="000000" w:themeColor="text1"/>
          <w:sz w:val="32"/>
          <w:szCs w:val="32"/>
        </w:rPr>
        <w:t>1.供应商资质</w:t>
      </w:r>
    </w:p>
    <w:p>
      <w:pPr>
        <w:spacing w:line="520" w:lineRule="exact"/>
        <w:ind w:firstLine="555"/>
        <w:rPr>
          <w:rStyle w:val="71"/>
          <w:rFonts w:ascii="宋体" w:hAnsi="宋体"/>
          <w:bCs/>
          <w:color w:val="000000" w:themeColor="text1"/>
          <w:sz w:val="32"/>
          <w:szCs w:val="32"/>
        </w:rPr>
      </w:pPr>
      <w:r>
        <w:rPr>
          <w:rStyle w:val="71"/>
          <w:rFonts w:hint="eastAsia" w:ascii="宋体" w:hAnsi="宋体"/>
          <w:bCs/>
          <w:color w:val="000000" w:themeColor="text1"/>
          <w:sz w:val="32"/>
          <w:szCs w:val="32"/>
        </w:rPr>
        <w:t>投标人应具备独立签订合同能力，为中华人民共和国境内注册的企业法人或其他组织或自然人。同时具有合法有效的营业执照，</w:t>
      </w:r>
      <w:r>
        <w:rPr>
          <w:rStyle w:val="71"/>
          <w:rFonts w:hint="eastAsia" w:ascii="宋体" w:hAnsi="宋体"/>
          <w:bCs/>
          <w:color w:val="000000" w:themeColor="text1"/>
          <w:sz w:val="32"/>
          <w:szCs w:val="32"/>
          <w:lang w:val="en-US" w:eastAsia="zh-CN"/>
        </w:rPr>
        <w:t>经营范围：包含钢结构制作安装内容（以供应商注册上传的有效营业执照内容为准）</w:t>
      </w:r>
      <w:r>
        <w:rPr>
          <w:rStyle w:val="71"/>
          <w:rFonts w:hint="eastAsia" w:ascii="宋体" w:hAnsi="宋体"/>
          <w:bCs/>
          <w:color w:val="FF0000"/>
          <w:sz w:val="32"/>
          <w:szCs w:val="32"/>
        </w:rPr>
        <w:t>。</w:t>
      </w:r>
    </w:p>
    <w:p>
      <w:pPr>
        <w:spacing w:line="520" w:lineRule="exact"/>
        <w:ind w:firstLine="555"/>
        <w:rPr>
          <w:rStyle w:val="71"/>
          <w:rFonts w:ascii="宋体" w:hAnsi="宋体"/>
          <w:bCs/>
          <w:color w:val="000000" w:themeColor="text1"/>
          <w:sz w:val="32"/>
          <w:szCs w:val="32"/>
        </w:rPr>
      </w:pPr>
      <w:r>
        <w:rPr>
          <w:rStyle w:val="71"/>
          <w:rFonts w:ascii="宋体" w:hAnsi="宋体"/>
          <w:bCs/>
          <w:color w:val="000000" w:themeColor="text1"/>
          <w:sz w:val="32"/>
          <w:szCs w:val="32"/>
        </w:rPr>
        <w:t>2</w:t>
      </w:r>
      <w:r>
        <w:rPr>
          <w:rStyle w:val="71"/>
          <w:rFonts w:hint="eastAsia" w:ascii="宋体" w:hAnsi="宋体"/>
          <w:bCs/>
          <w:color w:val="000000" w:themeColor="text1"/>
          <w:sz w:val="32"/>
          <w:szCs w:val="32"/>
        </w:rPr>
        <w:t>.使用“天眼查”“信用中国”“中国政府采购网”等平台查询，承包方2</w:t>
      </w:r>
      <w:r>
        <w:rPr>
          <w:rStyle w:val="71"/>
          <w:rFonts w:ascii="宋体" w:hAnsi="宋体"/>
          <w:bCs/>
          <w:color w:val="000000" w:themeColor="text1"/>
          <w:sz w:val="32"/>
          <w:szCs w:val="32"/>
        </w:rPr>
        <w:t>020</w:t>
      </w:r>
      <w:r>
        <w:rPr>
          <w:rStyle w:val="71"/>
          <w:rFonts w:hint="eastAsia" w:ascii="宋体" w:hAnsi="宋体"/>
          <w:bCs/>
          <w:color w:val="000000" w:themeColor="text1"/>
          <w:sz w:val="32"/>
          <w:szCs w:val="32"/>
        </w:rPr>
        <w:t>年6月1日至今，无经营异常情况；无严重违法失信行为记录。</w:t>
      </w:r>
    </w:p>
    <w:p>
      <w:pPr>
        <w:spacing w:line="520" w:lineRule="exact"/>
        <w:ind w:firstLine="555"/>
        <w:rPr>
          <w:rStyle w:val="71"/>
          <w:rFonts w:ascii="宋体" w:hAnsi="宋体"/>
          <w:sz w:val="32"/>
          <w:szCs w:val="32"/>
        </w:rPr>
      </w:pPr>
      <w:r>
        <w:rPr>
          <w:rStyle w:val="71"/>
          <w:rFonts w:ascii="宋体" w:hAnsi="宋体"/>
          <w:sz w:val="32"/>
          <w:szCs w:val="32"/>
        </w:rPr>
        <w:t xml:space="preserve">三：付款方式： </w:t>
      </w:r>
    </w:p>
    <w:p>
      <w:pPr>
        <w:ind w:firstLine="640" w:firstLineChars="200"/>
        <w:rPr>
          <w:rStyle w:val="71"/>
          <w:rFonts w:ascii="宋体" w:hAnsi="宋体"/>
          <w:bCs/>
          <w:sz w:val="32"/>
          <w:szCs w:val="32"/>
        </w:rPr>
      </w:pPr>
      <w:r>
        <w:rPr>
          <w:rStyle w:val="71"/>
          <w:rFonts w:ascii="宋体" w:hAnsi="宋体"/>
          <w:bCs/>
          <w:sz w:val="32"/>
          <w:szCs w:val="32"/>
        </w:rPr>
        <w:t>3.1</w:t>
      </w:r>
      <w:r>
        <w:rPr>
          <w:rStyle w:val="71"/>
          <w:rFonts w:hint="eastAsia" w:ascii="宋体" w:hAnsi="宋体"/>
          <w:bCs/>
          <w:sz w:val="32"/>
          <w:szCs w:val="32"/>
        </w:rPr>
        <w:t>本合同使用货币种类为：人民币。</w:t>
      </w:r>
    </w:p>
    <w:p>
      <w:pPr>
        <w:ind w:firstLine="640" w:firstLineChars="200"/>
        <w:rPr>
          <w:rStyle w:val="71"/>
          <w:rFonts w:ascii="宋体" w:hAnsi="宋体"/>
          <w:bCs/>
          <w:sz w:val="32"/>
          <w:szCs w:val="32"/>
        </w:rPr>
      </w:pPr>
      <w:r>
        <w:rPr>
          <w:rStyle w:val="71"/>
          <w:rFonts w:ascii="宋体" w:hAnsi="宋体"/>
          <w:bCs/>
          <w:sz w:val="32"/>
          <w:szCs w:val="32"/>
        </w:rPr>
        <w:t>3.2</w:t>
      </w:r>
      <w:r>
        <w:rPr>
          <w:rStyle w:val="71"/>
          <w:rFonts w:hint="eastAsia" w:ascii="宋体" w:hAnsi="宋体"/>
          <w:bCs/>
          <w:sz w:val="32"/>
          <w:szCs w:val="32"/>
        </w:rPr>
        <w:t>付款方式：使用银行电汇支付，</w:t>
      </w:r>
    </w:p>
    <w:p>
      <w:pPr>
        <w:spacing w:line="560" w:lineRule="exact"/>
        <w:ind w:firstLine="640" w:firstLineChars="200"/>
        <w:rPr>
          <w:rStyle w:val="71"/>
          <w:rFonts w:ascii="宋体" w:hAnsi="宋体"/>
          <w:bCs/>
          <w:sz w:val="32"/>
          <w:szCs w:val="32"/>
        </w:rPr>
      </w:pPr>
      <w:r>
        <w:rPr>
          <w:rStyle w:val="71"/>
          <w:rFonts w:ascii="宋体" w:hAnsi="宋体"/>
          <w:bCs/>
          <w:sz w:val="32"/>
          <w:szCs w:val="32"/>
        </w:rPr>
        <w:t>3.</w:t>
      </w:r>
      <w:bookmarkStart w:id="7" w:name="OLE_LINK17"/>
      <w:bookmarkStart w:id="8" w:name="OLE_LINK18"/>
      <w:r>
        <w:rPr>
          <w:rStyle w:val="71"/>
          <w:rFonts w:ascii="宋体" w:hAnsi="宋体"/>
          <w:bCs/>
          <w:sz w:val="32"/>
          <w:szCs w:val="32"/>
        </w:rPr>
        <w:t>3</w:t>
      </w:r>
      <w:r>
        <w:rPr>
          <w:rStyle w:val="71"/>
          <w:rFonts w:hint="eastAsia" w:ascii="宋体" w:hAnsi="宋体"/>
          <w:bCs/>
          <w:sz w:val="32"/>
          <w:szCs w:val="32"/>
        </w:rPr>
        <w:t>合同款项的支付</w:t>
      </w:r>
    </w:p>
    <w:p>
      <w:pPr>
        <w:spacing w:line="560" w:lineRule="exact"/>
        <w:ind w:firstLine="640" w:firstLineChars="200"/>
        <w:rPr>
          <w:rStyle w:val="71"/>
          <w:rFonts w:ascii="宋体" w:hAnsi="宋体"/>
          <w:sz w:val="32"/>
          <w:szCs w:val="32"/>
        </w:rPr>
      </w:pPr>
      <w:r>
        <w:rPr>
          <w:rStyle w:val="71"/>
          <w:rFonts w:hint="eastAsia" w:ascii="宋体" w:hAnsi="宋体"/>
          <w:bCs/>
          <w:sz w:val="32"/>
          <w:szCs w:val="32"/>
        </w:rPr>
        <w:t>3</w:t>
      </w:r>
      <w:r>
        <w:rPr>
          <w:rStyle w:val="71"/>
          <w:rFonts w:ascii="宋体" w:hAnsi="宋体"/>
          <w:bCs/>
          <w:sz w:val="32"/>
          <w:szCs w:val="32"/>
        </w:rPr>
        <w:t>.3.1</w:t>
      </w:r>
      <w:bookmarkStart w:id="9" w:name="OLE_LINK36"/>
      <w:bookmarkStart w:id="10" w:name="OLE_LINK35"/>
      <w:r>
        <w:rPr>
          <w:rStyle w:val="71"/>
          <w:rFonts w:ascii="宋体" w:hAnsi="宋体"/>
          <w:bCs/>
          <w:sz w:val="32"/>
          <w:szCs w:val="32"/>
        </w:rPr>
        <w:t xml:space="preserve"> </w:t>
      </w:r>
      <w:r>
        <w:rPr>
          <w:rStyle w:val="71"/>
          <w:rFonts w:hint="eastAsia" w:ascii="宋体" w:hAnsi="宋体"/>
          <w:bCs/>
          <w:sz w:val="32"/>
          <w:szCs w:val="32"/>
        </w:rPr>
        <w:t>乙方</w:t>
      </w:r>
      <w:r>
        <w:rPr>
          <w:rStyle w:val="71"/>
          <w:rFonts w:hint="eastAsia" w:ascii="宋体" w:hAnsi="宋体"/>
          <w:bCs/>
          <w:sz w:val="32"/>
          <w:szCs w:val="32"/>
          <w:lang w:val="en-US" w:eastAsia="zh-CN"/>
        </w:rPr>
        <w:t>施工</w:t>
      </w:r>
      <w:r>
        <w:rPr>
          <w:rStyle w:val="71"/>
          <w:rFonts w:hint="eastAsia" w:ascii="宋体" w:hAnsi="宋体"/>
          <w:sz w:val="32"/>
          <w:szCs w:val="32"/>
        </w:rPr>
        <w:t>材料进场，经甲方验收合格后，甲方向乙方支付合同总额的【30】%，</w:t>
      </w:r>
    </w:p>
    <w:p>
      <w:pPr>
        <w:spacing w:line="560" w:lineRule="exact"/>
        <w:ind w:firstLine="640" w:firstLineChars="200"/>
        <w:rPr>
          <w:rStyle w:val="71"/>
          <w:rFonts w:hint="eastAsia" w:ascii="宋体" w:hAnsi="宋体"/>
          <w:sz w:val="32"/>
          <w:szCs w:val="32"/>
        </w:rPr>
      </w:pPr>
      <w:r>
        <w:rPr>
          <w:rStyle w:val="71"/>
          <w:rFonts w:hint="eastAsia" w:ascii="宋体" w:hAnsi="宋体"/>
          <w:bCs/>
          <w:sz w:val="32"/>
          <w:szCs w:val="32"/>
        </w:rPr>
        <w:t xml:space="preserve"> </w:t>
      </w:r>
      <w:r>
        <w:rPr>
          <w:rStyle w:val="71"/>
          <w:rFonts w:ascii="宋体" w:hAnsi="宋体"/>
          <w:bCs/>
          <w:sz w:val="32"/>
          <w:szCs w:val="32"/>
        </w:rPr>
        <w:t>3</w:t>
      </w:r>
      <w:r>
        <w:rPr>
          <w:rStyle w:val="71"/>
          <w:rFonts w:hint="eastAsia" w:ascii="宋体" w:hAnsi="宋体"/>
          <w:bCs/>
          <w:sz w:val="32"/>
          <w:szCs w:val="32"/>
        </w:rPr>
        <w:t>.3.2</w:t>
      </w:r>
      <w:r>
        <w:rPr>
          <w:rStyle w:val="71"/>
          <w:rFonts w:hint="eastAsia" w:ascii="宋体" w:hAnsi="宋体"/>
          <w:sz w:val="32"/>
          <w:szCs w:val="32"/>
          <w:lang w:val="en-US" w:eastAsia="zh-CN"/>
        </w:rPr>
        <w:t>雨棚建设</w:t>
      </w:r>
      <w:r>
        <w:rPr>
          <w:rStyle w:val="71"/>
          <w:rFonts w:hint="eastAsia" w:ascii="宋体" w:hAnsi="宋体"/>
          <w:sz w:val="32"/>
          <w:szCs w:val="32"/>
        </w:rPr>
        <w:t>完毕，竣工验收合格，</w:t>
      </w:r>
      <w:r>
        <w:rPr>
          <w:rStyle w:val="71"/>
          <w:rFonts w:hint="eastAsia" w:hAnsi="宋体"/>
          <w:sz w:val="32"/>
          <w:szCs w:val="32"/>
          <w:lang w:val="en-US" w:eastAsia="zh-CN"/>
        </w:rPr>
        <w:t>雨棚</w:t>
      </w:r>
      <w:r>
        <w:rPr>
          <w:rStyle w:val="71"/>
          <w:rFonts w:hint="eastAsia" w:ascii="宋体" w:hAnsi="宋体"/>
          <w:sz w:val="32"/>
          <w:szCs w:val="32"/>
        </w:rPr>
        <w:t>经2023/2024榨季正常使用一个月后，无质量问题，甲方凭乙方开具全额X%的增值税专用发票，甲方向乙方支付合同总额的【</w:t>
      </w:r>
      <w:r>
        <w:rPr>
          <w:rStyle w:val="71"/>
          <w:rFonts w:hint="eastAsia" w:ascii="宋体" w:hAnsi="宋体"/>
          <w:sz w:val="32"/>
          <w:szCs w:val="32"/>
          <w:lang w:val="en-US" w:eastAsia="zh-CN"/>
        </w:rPr>
        <w:t>30</w:t>
      </w:r>
      <w:r>
        <w:rPr>
          <w:rStyle w:val="71"/>
          <w:rFonts w:hint="eastAsia" w:ascii="宋体" w:hAnsi="宋体"/>
          <w:sz w:val="32"/>
          <w:szCs w:val="32"/>
        </w:rPr>
        <w:t>%】。</w:t>
      </w:r>
    </w:p>
    <w:p>
      <w:pPr>
        <w:pStyle w:val="2"/>
        <w:rPr>
          <w:rFonts w:hint="default" w:eastAsia="宋体"/>
          <w:lang w:val="en-US" w:eastAsia="zh-CN"/>
        </w:rPr>
      </w:pPr>
      <w:r>
        <w:rPr>
          <w:rStyle w:val="71"/>
          <w:rFonts w:hint="eastAsia" w:hAnsi="宋体"/>
          <w:sz w:val="32"/>
          <w:szCs w:val="32"/>
          <w:lang w:val="en-US" w:eastAsia="zh-CN"/>
        </w:rPr>
        <w:t xml:space="preserve">   3.3.3雨棚</w:t>
      </w:r>
      <w:r>
        <w:rPr>
          <w:rStyle w:val="71"/>
          <w:rFonts w:hint="eastAsia" w:ascii="宋体" w:hAnsi="宋体"/>
          <w:sz w:val="32"/>
          <w:szCs w:val="32"/>
        </w:rPr>
        <w:t>经2023/2024榨季正常使用后，无质量问题，甲方向乙方支付合同总额的【</w:t>
      </w:r>
      <w:r>
        <w:rPr>
          <w:rStyle w:val="71"/>
          <w:rFonts w:hint="eastAsia" w:ascii="宋体" w:hAnsi="宋体"/>
          <w:sz w:val="32"/>
          <w:szCs w:val="32"/>
          <w:lang w:val="en-US" w:eastAsia="zh-CN"/>
        </w:rPr>
        <w:t>30</w:t>
      </w:r>
      <w:r>
        <w:rPr>
          <w:rStyle w:val="71"/>
          <w:rFonts w:hint="eastAsia" w:ascii="宋体" w:hAnsi="宋体"/>
          <w:sz w:val="32"/>
          <w:szCs w:val="32"/>
        </w:rPr>
        <w:t>%】。</w:t>
      </w:r>
    </w:p>
    <w:p>
      <w:pPr>
        <w:spacing w:line="560" w:lineRule="exact"/>
        <w:ind w:firstLine="640" w:firstLineChars="200"/>
        <w:rPr>
          <w:rStyle w:val="71"/>
          <w:rFonts w:ascii="宋体" w:hAnsi="宋体"/>
          <w:sz w:val="32"/>
          <w:szCs w:val="32"/>
        </w:rPr>
      </w:pPr>
      <w:r>
        <w:rPr>
          <w:rStyle w:val="71"/>
          <w:rFonts w:ascii="宋体" w:hAnsi="宋体"/>
          <w:bCs/>
          <w:sz w:val="32"/>
          <w:szCs w:val="32"/>
        </w:rPr>
        <w:t>3</w:t>
      </w:r>
      <w:r>
        <w:rPr>
          <w:rStyle w:val="71"/>
          <w:rFonts w:hint="eastAsia" w:ascii="宋体" w:hAnsi="宋体"/>
          <w:bCs/>
          <w:sz w:val="32"/>
          <w:szCs w:val="32"/>
        </w:rPr>
        <w:t>.3.</w:t>
      </w:r>
      <w:r>
        <w:rPr>
          <w:rStyle w:val="71"/>
          <w:rFonts w:hint="eastAsia" w:ascii="宋体" w:hAnsi="宋体"/>
          <w:bCs/>
          <w:sz w:val="32"/>
          <w:szCs w:val="32"/>
          <w:lang w:val="en-US" w:eastAsia="zh-CN"/>
        </w:rPr>
        <w:t>4</w:t>
      </w:r>
      <w:r>
        <w:rPr>
          <w:rStyle w:val="71"/>
          <w:rFonts w:hint="eastAsia" w:ascii="宋体" w:hAnsi="宋体"/>
          <w:sz w:val="32"/>
          <w:szCs w:val="32"/>
        </w:rPr>
        <w:t>剩余【10】%作为质保金，于质保期(质保期自【竣工验收之日】起算，一年【12个月】) 满且</w:t>
      </w:r>
      <w:r>
        <w:rPr>
          <w:rStyle w:val="71"/>
          <w:rFonts w:hint="eastAsia" w:ascii="宋体" w:hAnsi="宋体"/>
          <w:sz w:val="32"/>
          <w:szCs w:val="32"/>
          <w:lang w:val="en-US" w:eastAsia="zh-CN"/>
        </w:rPr>
        <w:t>雨棚</w:t>
      </w:r>
      <w:r>
        <w:rPr>
          <w:rStyle w:val="71"/>
          <w:rFonts w:hint="eastAsia" w:ascii="宋体" w:hAnsi="宋体"/>
          <w:sz w:val="32"/>
          <w:szCs w:val="32"/>
        </w:rPr>
        <w:t>无任何质量问题后，15个工作日内甲方无息一次性付完给乙方。</w:t>
      </w:r>
    </w:p>
    <w:bookmarkEnd w:id="9"/>
    <w:bookmarkEnd w:id="10"/>
    <w:p>
      <w:pPr>
        <w:spacing w:line="560" w:lineRule="exact"/>
        <w:ind w:firstLine="640" w:firstLineChars="200"/>
        <w:rPr>
          <w:rStyle w:val="71"/>
          <w:rFonts w:ascii="宋体" w:hAnsi="宋体"/>
          <w:sz w:val="32"/>
          <w:szCs w:val="32"/>
        </w:rPr>
      </w:pPr>
      <w:r>
        <w:rPr>
          <w:rStyle w:val="71"/>
          <w:rFonts w:ascii="宋体" w:hAnsi="宋体"/>
          <w:sz w:val="32"/>
          <w:szCs w:val="32"/>
        </w:rPr>
        <w:t>4</w:t>
      </w:r>
      <w:r>
        <w:rPr>
          <w:rStyle w:val="71"/>
          <w:rFonts w:hint="eastAsia" w:ascii="宋体" w:hAnsi="宋体"/>
          <w:sz w:val="32"/>
          <w:szCs w:val="32"/>
        </w:rPr>
        <w:t>.履约保证金的交付及退还</w:t>
      </w:r>
    </w:p>
    <w:p>
      <w:pPr>
        <w:spacing w:line="560" w:lineRule="exact"/>
        <w:ind w:firstLine="800" w:firstLineChars="250"/>
        <w:rPr>
          <w:rStyle w:val="71"/>
          <w:rFonts w:ascii="宋体" w:hAnsi="宋体"/>
          <w:sz w:val="32"/>
          <w:szCs w:val="32"/>
        </w:rPr>
      </w:pPr>
      <w:r>
        <w:rPr>
          <w:rStyle w:val="71"/>
          <w:rFonts w:hint="eastAsia" w:ascii="宋体" w:hAnsi="宋体"/>
          <w:sz w:val="32"/>
          <w:szCs w:val="32"/>
        </w:rPr>
        <w:t>履约保证金为合同总价的5  %，乙方收到中标通知书至合同签订前向甲方缴纳本合同履约保证金。甲方于项目竣工且验收合格后</w:t>
      </w:r>
      <w:r>
        <w:rPr>
          <w:rStyle w:val="71"/>
          <w:rFonts w:ascii="宋体" w:hAnsi="宋体"/>
          <w:sz w:val="32"/>
          <w:szCs w:val="32"/>
        </w:rPr>
        <w:t>30</w:t>
      </w:r>
      <w:r>
        <w:rPr>
          <w:rStyle w:val="71"/>
          <w:rFonts w:hint="eastAsia" w:ascii="宋体" w:hAnsi="宋体"/>
          <w:sz w:val="32"/>
          <w:szCs w:val="32"/>
        </w:rPr>
        <w:t>个工作日内将全额履约保证金无息退还给乙方。</w:t>
      </w:r>
    </w:p>
    <w:bookmarkEnd w:id="7"/>
    <w:bookmarkEnd w:id="8"/>
    <w:p>
      <w:pPr>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ind w:firstLine="2880" w:firstLineChars="800"/>
        <w:rPr>
          <w:rStyle w:val="71"/>
          <w:rFonts w:ascii="黑体" w:hAnsi="黑体" w:eastAsia="黑体" w:cs="黑体"/>
          <w:sz w:val="36"/>
          <w:szCs w:val="36"/>
        </w:rPr>
      </w:pPr>
      <w:r>
        <w:rPr>
          <w:rStyle w:val="71"/>
          <w:rFonts w:hint="eastAsia" w:ascii="黑体" w:hAnsi="黑体" w:eastAsia="黑体" w:cs="黑体"/>
          <w:sz w:val="36"/>
          <w:szCs w:val="36"/>
        </w:rPr>
        <w:t>第四章 评审方法</w:t>
      </w:r>
    </w:p>
    <w:p>
      <w:pPr>
        <w:snapToGrid w:val="0"/>
        <w:jc w:val="center"/>
        <w:rPr>
          <w:rStyle w:val="71"/>
          <w:rFonts w:ascii="宋体" w:hAnsi="宋体"/>
          <w:b/>
          <w:bCs/>
          <w:sz w:val="36"/>
          <w:szCs w:val="36"/>
        </w:rPr>
      </w:pPr>
    </w:p>
    <w:p>
      <w:pPr>
        <w:snapToGrid w:val="0"/>
        <w:ind w:firstLine="640" w:firstLineChars="200"/>
        <w:rPr>
          <w:rStyle w:val="71"/>
          <w:rFonts w:ascii="宋体" w:hAnsi="宋体"/>
          <w:bCs/>
          <w:sz w:val="32"/>
          <w:szCs w:val="32"/>
        </w:rPr>
      </w:pPr>
      <w:r>
        <w:rPr>
          <w:rStyle w:val="71"/>
          <w:rFonts w:ascii="宋体" w:hAnsi="宋体"/>
          <w:bCs/>
          <w:sz w:val="32"/>
          <w:szCs w:val="32"/>
        </w:rPr>
        <w:t>本次采购工作，对供应商的评审采用</w:t>
      </w:r>
      <w:r>
        <w:rPr>
          <w:rStyle w:val="71"/>
          <w:rFonts w:hint="eastAsia" w:ascii="宋体" w:hAnsi="宋体"/>
          <w:bCs/>
          <w:sz w:val="32"/>
          <w:szCs w:val="32"/>
        </w:rPr>
        <w:t>相同内容</w:t>
      </w:r>
      <w:r>
        <w:rPr>
          <w:rStyle w:val="71"/>
          <w:rFonts w:ascii="宋体" w:hAnsi="宋体"/>
          <w:bCs/>
          <w:sz w:val="32"/>
          <w:szCs w:val="32"/>
        </w:rPr>
        <w:t>“</w:t>
      </w:r>
      <w:r>
        <w:rPr>
          <w:rStyle w:val="71"/>
          <w:rFonts w:hint="eastAsia" w:ascii="宋体" w:hAnsi="宋体"/>
          <w:bCs/>
          <w:sz w:val="32"/>
          <w:szCs w:val="32"/>
        </w:rPr>
        <w:t>总价</w:t>
      </w:r>
      <w:r>
        <w:rPr>
          <w:rStyle w:val="71"/>
          <w:rFonts w:ascii="宋体" w:hAnsi="宋体"/>
          <w:bCs/>
          <w:sz w:val="32"/>
          <w:szCs w:val="32"/>
        </w:rPr>
        <w:t>最低价中标”。</w:t>
      </w: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pStyle w:val="2"/>
        <w:rPr>
          <w:rStyle w:val="71"/>
          <w:rFonts w:ascii="宋体" w:hAnsi="宋体"/>
          <w:b/>
          <w:bCs/>
          <w:sz w:val="36"/>
          <w:szCs w:val="28"/>
        </w:rPr>
      </w:pPr>
    </w:p>
    <w:p>
      <w:pPr>
        <w:pStyle w:val="3"/>
      </w:pPr>
    </w:p>
    <w:p>
      <w:pPr>
        <w:snapToGrid w:val="0"/>
        <w:jc w:val="center"/>
        <w:rPr>
          <w:rStyle w:val="71"/>
          <w:rFonts w:ascii="宋体" w:hAnsi="宋体"/>
          <w:b/>
          <w:bCs/>
          <w:sz w:val="36"/>
          <w:szCs w:val="28"/>
        </w:rPr>
      </w:pPr>
    </w:p>
    <w:p>
      <w:pPr>
        <w:snapToGrid w:val="0"/>
        <w:ind w:firstLine="2880" w:firstLineChars="800"/>
        <w:rPr>
          <w:rStyle w:val="71"/>
          <w:rFonts w:ascii="宋体" w:hAnsi="宋体"/>
          <w:b/>
          <w:bCs/>
          <w:sz w:val="28"/>
          <w:szCs w:val="28"/>
        </w:rPr>
      </w:pPr>
      <w:r>
        <w:rPr>
          <w:rStyle w:val="71"/>
          <w:rFonts w:hint="eastAsia" w:ascii="黑体" w:hAnsi="黑体" w:eastAsia="黑体" w:cs="黑体"/>
          <w:sz w:val="36"/>
          <w:szCs w:val="28"/>
        </w:rPr>
        <w:t>第五章 协</w:t>
      </w:r>
      <w:r>
        <w:rPr>
          <w:rStyle w:val="71"/>
          <w:rFonts w:ascii="黑体" w:hAnsi="黑体" w:eastAsia="黑体" w:cs="黑体"/>
          <w:sz w:val="36"/>
          <w:szCs w:val="28"/>
        </w:rPr>
        <w:t>议</w:t>
      </w:r>
      <w:r>
        <w:rPr>
          <w:rStyle w:val="71"/>
          <w:rFonts w:hint="eastAsia" w:ascii="黑体" w:hAnsi="黑体" w:eastAsia="黑体" w:cs="黑体"/>
          <w:sz w:val="36"/>
          <w:szCs w:val="28"/>
        </w:rPr>
        <w:t>条款</w:t>
      </w:r>
    </w:p>
    <w:p>
      <w:pPr>
        <w:widowControl w:val="0"/>
        <w:adjustRightInd w:val="0"/>
        <w:snapToGrid w:val="0"/>
        <w:spacing w:line="500" w:lineRule="exact"/>
        <w:jc w:val="center"/>
        <w:textAlignment w:val="auto"/>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ascii="仿宋_GB2312" w:hAnsi="黑体" w:eastAsia="仿宋_GB2312"/>
          <w:b/>
          <w:bCs/>
          <w:sz w:val="44"/>
          <w:szCs w:val="44"/>
        </w:rPr>
      </w:pPr>
    </w:p>
    <w:p>
      <w:pPr>
        <w:spacing w:line="500" w:lineRule="exact"/>
        <w:jc w:val="center"/>
        <w:rPr>
          <w:rFonts w:ascii="黑体" w:hAnsi="黑体" w:eastAsia="黑体"/>
          <w:sz w:val="52"/>
          <w:szCs w:val="52"/>
        </w:rPr>
      </w:pPr>
      <w:r>
        <w:rPr>
          <w:rFonts w:hint="eastAsia" w:ascii="黑体" w:hAnsi="黑体" w:eastAsia="黑体"/>
          <w:sz w:val="52"/>
          <w:szCs w:val="52"/>
        </w:rPr>
        <w:t>中粮梁河糖业有限公司</w:t>
      </w: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sz w:val="52"/>
          <w:szCs w:val="52"/>
        </w:rPr>
      </w:pPr>
    </w:p>
    <w:p>
      <w:pPr>
        <w:jc w:val="center"/>
        <w:rPr>
          <w:rFonts w:eastAsia="仿宋" w:asciiTheme="minorEastAsia" w:hAnsiTheme="minorEastAsia"/>
          <w:b/>
          <w:bCs/>
          <w:snapToGrid w:val="0"/>
          <w:sz w:val="32"/>
          <w:szCs w:val="32"/>
        </w:rPr>
      </w:pPr>
      <w:r>
        <w:rPr>
          <w:rFonts w:hint="eastAsia" w:eastAsia="仿宋" w:asciiTheme="minorEastAsia" w:hAnsiTheme="minorEastAsia"/>
          <w:b/>
          <w:bCs/>
          <w:snapToGrid w:val="0"/>
          <w:sz w:val="32"/>
          <w:szCs w:val="32"/>
        </w:rPr>
        <w:t>2</w:t>
      </w:r>
      <w:r>
        <w:rPr>
          <w:rFonts w:eastAsia="仿宋" w:asciiTheme="minorEastAsia" w:hAnsiTheme="minorEastAsia"/>
          <w:b/>
          <w:bCs/>
          <w:snapToGrid w:val="0"/>
          <w:sz w:val="32"/>
          <w:szCs w:val="32"/>
        </w:rPr>
        <w:t>023年</w:t>
      </w:r>
      <w:r>
        <w:rPr>
          <w:rFonts w:hint="eastAsia" w:eastAsia="仿宋" w:asciiTheme="minorEastAsia" w:hAnsiTheme="minorEastAsia"/>
          <w:b/>
          <w:bCs/>
          <w:snapToGrid w:val="0"/>
          <w:sz w:val="32"/>
          <w:szCs w:val="32"/>
        </w:rPr>
        <w:t>梁河糖业磷酸储罐新建雨棚项目合同（草案）</w:t>
      </w:r>
    </w:p>
    <w:p>
      <w:pPr>
        <w:jc w:val="center"/>
        <w:rPr>
          <w:rFonts w:eastAsia="仿宋" w:asciiTheme="minorEastAsia" w:hAnsiTheme="minorEastAsia"/>
          <w:b/>
          <w:bCs/>
          <w:snapToGrid w:val="0"/>
          <w:sz w:val="32"/>
          <w:szCs w:val="32"/>
        </w:rPr>
      </w:pPr>
    </w:p>
    <w:p>
      <w:pPr>
        <w:spacing w:line="500" w:lineRule="exact"/>
        <w:jc w:val="center"/>
        <w:rPr>
          <w:rFonts w:eastAsia="仿宋_GB2312"/>
          <w:color w:val="000000"/>
          <w:sz w:val="28"/>
        </w:rPr>
      </w:pPr>
    </w:p>
    <w:p>
      <w:pPr>
        <w:spacing w:line="500" w:lineRule="exact"/>
        <w:ind w:firstLine="2700" w:firstLineChars="900"/>
        <w:rPr>
          <w:rFonts w:eastAsia="仿宋_GB2312"/>
          <w:color w:val="000000"/>
          <w:sz w:val="30"/>
          <w:szCs w:val="30"/>
        </w:rPr>
      </w:pPr>
      <w:r>
        <w:rPr>
          <w:rFonts w:eastAsia="仿宋_GB2312"/>
          <w:color w:val="000000"/>
          <w:sz w:val="30"/>
          <w:szCs w:val="30"/>
        </w:rPr>
        <w:t>甲方：</w:t>
      </w:r>
      <w:r>
        <w:rPr>
          <w:rFonts w:hint="eastAsia" w:eastAsia="仿宋_GB2312"/>
          <w:color w:val="000000"/>
          <w:sz w:val="30"/>
          <w:szCs w:val="30"/>
        </w:rPr>
        <w:t>中粮梁河糖业有限公司</w:t>
      </w:r>
    </w:p>
    <w:p>
      <w:pPr>
        <w:spacing w:line="500" w:lineRule="exact"/>
        <w:ind w:firstLine="2700" w:firstLineChars="900"/>
        <w:rPr>
          <w:rFonts w:eastAsia="仿宋_GB2312"/>
          <w:color w:val="000000"/>
          <w:sz w:val="30"/>
          <w:szCs w:val="30"/>
        </w:rPr>
      </w:pPr>
      <w:r>
        <w:rPr>
          <w:rFonts w:eastAsia="仿宋_GB2312"/>
          <w:color w:val="000000"/>
          <w:sz w:val="30"/>
          <w:szCs w:val="30"/>
        </w:rPr>
        <w:t xml:space="preserve">乙方： </w:t>
      </w:r>
    </w:p>
    <w:p>
      <w:pPr>
        <w:spacing w:line="500" w:lineRule="exact"/>
        <w:ind w:firstLine="2700" w:firstLineChars="900"/>
        <w:rPr>
          <w:rFonts w:eastAsia="仿宋_GB2312"/>
          <w:color w:val="000000"/>
          <w:sz w:val="30"/>
          <w:szCs w:val="30"/>
        </w:rPr>
      </w:pPr>
      <w:r>
        <w:rPr>
          <w:rFonts w:eastAsia="仿宋_GB2312"/>
          <w:color w:val="000000"/>
          <w:sz w:val="30"/>
          <w:szCs w:val="30"/>
        </w:rPr>
        <w:t>合同编号：</w:t>
      </w:r>
    </w:p>
    <w:p>
      <w:pPr>
        <w:spacing w:line="500" w:lineRule="exact"/>
        <w:ind w:firstLine="2700" w:firstLineChars="900"/>
        <w:rPr>
          <w:rFonts w:eastAsia="仿宋_GB2312"/>
          <w:color w:val="000000"/>
          <w:sz w:val="30"/>
          <w:szCs w:val="30"/>
        </w:rPr>
      </w:pPr>
      <w:r>
        <w:rPr>
          <w:rFonts w:eastAsia="仿宋_GB2312"/>
          <w:color w:val="000000"/>
          <w:sz w:val="30"/>
          <w:szCs w:val="30"/>
        </w:rPr>
        <w:t>合同签订地点：</w:t>
      </w:r>
      <w:r>
        <w:rPr>
          <w:rFonts w:hint="eastAsia" w:eastAsia="仿宋_GB2312"/>
          <w:color w:val="000000"/>
          <w:sz w:val="30"/>
          <w:szCs w:val="30"/>
        </w:rPr>
        <w:t xml:space="preserve"> </w:t>
      </w:r>
    </w:p>
    <w:p>
      <w:pPr>
        <w:spacing w:line="500" w:lineRule="exact"/>
        <w:ind w:firstLine="2700" w:firstLineChars="900"/>
        <w:rPr>
          <w:rFonts w:eastAsia="仿宋_GB2312"/>
          <w:color w:val="000000"/>
          <w:sz w:val="30"/>
          <w:szCs w:val="30"/>
        </w:rPr>
      </w:pPr>
      <w:r>
        <w:rPr>
          <w:rFonts w:eastAsia="仿宋_GB2312"/>
          <w:color w:val="000000"/>
          <w:sz w:val="30"/>
          <w:szCs w:val="30"/>
        </w:rPr>
        <w:t>合同签订日期：</w:t>
      </w:r>
      <w:r>
        <w:rPr>
          <w:rFonts w:hint="eastAsia" w:eastAsia="仿宋_GB2312"/>
          <w:color w:val="000000"/>
          <w:sz w:val="30"/>
          <w:szCs w:val="30"/>
        </w:rPr>
        <w:t xml:space="preserve">    </w:t>
      </w:r>
      <w:r>
        <w:rPr>
          <w:rFonts w:eastAsia="仿宋_GB2312"/>
          <w:color w:val="000000"/>
          <w:sz w:val="30"/>
          <w:szCs w:val="30"/>
        </w:rPr>
        <w:t xml:space="preserve">年  月  日 </w:t>
      </w:r>
    </w:p>
    <w:p>
      <w:pPr>
        <w:spacing w:line="360" w:lineRule="auto"/>
        <w:jc w:val="center"/>
        <w:rPr>
          <w:rFonts w:eastAsia="仿宋_GB2312"/>
          <w:color w:val="000000"/>
          <w:sz w:val="28"/>
        </w:rPr>
      </w:pPr>
      <w:r>
        <w:rPr>
          <w:rFonts w:eastAsia="仿宋_GB2312"/>
          <w:color w:val="000000"/>
          <w:sz w:val="28"/>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u w:val="single"/>
        </w:rPr>
        <w:t>中粮梁河糖业公司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（以下简称甲方）与</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u w:val="single"/>
        </w:rPr>
        <w:t>XXX公司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（以下简称乙方）就乙方为</w:t>
      </w:r>
      <w:r>
        <w:rPr>
          <w:rFonts w:hint="eastAsia" w:ascii="微软雅黑" w:hAnsi="微软雅黑" w:eastAsia="微软雅黑" w:cs="微软雅黑"/>
          <w:bCs/>
          <w:color w:val="FF0000"/>
          <w:sz w:val="32"/>
          <w:szCs w:val="32"/>
          <w:u w:val="single"/>
        </w:rPr>
        <w:t>【</w:t>
      </w:r>
      <w:bookmarkStart w:id="11" w:name="OLE_LINK23"/>
      <w:bookmarkStart w:id="12" w:name="OLE_LINK22"/>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023年</w:t>
      </w:r>
      <w:r>
        <w:rPr>
          <w:rFonts w:hint="eastAsia" w:ascii="仿宋_GB2312" w:hAnsi="仿宋_GB2312" w:eastAsia="仿宋_GB2312" w:cs="仿宋_GB2312"/>
          <w:color w:val="000000"/>
          <w:sz w:val="32"/>
          <w:szCs w:val="32"/>
        </w:rPr>
        <w:t>梁河糖业磷酸储罐新建雨棚</w:t>
      </w:r>
      <w:bookmarkEnd w:id="11"/>
      <w:bookmarkEnd w:id="12"/>
      <w:r>
        <w:rPr>
          <w:rFonts w:hint="eastAsia" w:ascii="微软雅黑" w:hAnsi="微软雅黑" w:eastAsia="微软雅黑" w:cs="微软雅黑"/>
          <w:bCs/>
          <w:color w:val="FF0000"/>
          <w:sz w:val="32"/>
          <w:szCs w:val="32"/>
          <w:u w:val="single"/>
        </w:rPr>
        <w:t>】</w:t>
      </w:r>
      <w:r>
        <w:rPr>
          <w:rFonts w:hint="eastAsia" w:ascii="仿宋_GB2312" w:hAnsi="仿宋_GB2312" w:eastAsia="仿宋_GB2312" w:cs="仿宋_GB2312"/>
          <w:bCs/>
          <w:color w:val="FF0000"/>
          <w:sz w:val="32"/>
          <w:szCs w:val="32"/>
          <w:u w:val="single"/>
        </w:rPr>
        <w:t>项目</w:t>
      </w:r>
      <w:r>
        <w:rPr>
          <w:rFonts w:hint="eastAsia" w:ascii="仿宋_GB2312" w:hAnsi="仿宋_GB2312" w:eastAsia="仿宋_GB2312" w:cs="仿宋_GB2312"/>
          <w:color w:val="000000"/>
          <w:sz w:val="32"/>
          <w:szCs w:val="32"/>
        </w:rPr>
        <w:t>向甲方提供的货物及工程安装服务，经甲乙双方协商一致，签订本合同，共同遵守如下条款：</w:t>
      </w:r>
    </w:p>
    <w:p/>
    <w:p>
      <w:pPr>
        <w:adjustRightInd w:val="0"/>
        <w:snapToGrid w:val="0"/>
        <w:spacing w:line="500" w:lineRule="exact"/>
        <w:ind w:firstLine="602" w:firstLineChars="200"/>
        <w:rPr>
          <w:rFonts w:eastAsia="仿宋_GB2312"/>
          <w:b/>
          <w:color w:val="000000"/>
          <w:sz w:val="30"/>
          <w:szCs w:val="30"/>
        </w:rPr>
      </w:pPr>
      <w:r>
        <w:rPr>
          <w:rFonts w:eastAsia="仿宋_GB2312"/>
          <w:b/>
          <w:color w:val="000000"/>
          <w:sz w:val="30"/>
          <w:szCs w:val="30"/>
        </w:rPr>
        <w:t>一、合同标的</w:t>
      </w:r>
    </w:p>
    <w:p>
      <w:pPr>
        <w:adjustRightInd w:val="0"/>
        <w:snapToGrid w:val="0"/>
        <w:spacing w:line="500" w:lineRule="exact"/>
        <w:ind w:firstLine="600" w:firstLineChars="200"/>
        <w:rPr>
          <w:rFonts w:eastAsia="仿宋_GB2312"/>
          <w:color w:val="000000"/>
          <w:sz w:val="30"/>
          <w:szCs w:val="30"/>
        </w:rPr>
      </w:pPr>
      <w:r>
        <w:rPr>
          <w:rFonts w:eastAsia="仿宋_GB2312"/>
          <w:color w:val="000000"/>
          <w:sz w:val="30"/>
          <w:szCs w:val="30"/>
        </w:rPr>
        <w:t>1．本合同标的（包括设备供货及服务）。</w:t>
      </w:r>
    </w:p>
    <w:tbl>
      <w:tblPr>
        <w:tblStyle w:val="3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83"/>
        <w:gridCol w:w="1789"/>
        <w:gridCol w:w="1023"/>
        <w:gridCol w:w="1092"/>
        <w:gridCol w:w="173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序号</w:t>
            </w:r>
          </w:p>
        </w:tc>
        <w:tc>
          <w:tcPr>
            <w:tcW w:w="248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项目名称</w:t>
            </w:r>
          </w:p>
        </w:tc>
        <w:tc>
          <w:tcPr>
            <w:tcW w:w="1789" w:type="dxa"/>
          </w:tcPr>
          <w:p>
            <w:pPr>
              <w:adjustRightInd w:val="0"/>
              <w:snapToGrid w:val="0"/>
              <w:spacing w:line="340" w:lineRule="exact"/>
              <w:jc w:val="center"/>
              <w:rPr>
                <w:rFonts w:eastAsia="仿宋_GB2312"/>
                <w:spacing w:val="20"/>
                <w:sz w:val="32"/>
                <w:szCs w:val="32"/>
              </w:rPr>
            </w:pPr>
          </w:p>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规格型号</w:t>
            </w:r>
          </w:p>
        </w:tc>
        <w:tc>
          <w:tcPr>
            <w:tcW w:w="1023"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单位</w:t>
            </w:r>
          </w:p>
        </w:tc>
        <w:tc>
          <w:tcPr>
            <w:tcW w:w="109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数量</w:t>
            </w:r>
          </w:p>
        </w:tc>
        <w:tc>
          <w:tcPr>
            <w:tcW w:w="1736"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金额</w:t>
            </w:r>
          </w:p>
        </w:tc>
        <w:tc>
          <w:tcPr>
            <w:tcW w:w="1505"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1</w:t>
            </w:r>
          </w:p>
        </w:tc>
        <w:tc>
          <w:tcPr>
            <w:tcW w:w="2483"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2023</w:t>
            </w:r>
            <w:r>
              <w:rPr>
                <w:rFonts w:hint="eastAsia" w:eastAsia="仿宋_GB2312"/>
                <w:spacing w:val="20"/>
                <w:sz w:val="32"/>
                <w:szCs w:val="32"/>
              </w:rPr>
              <w:t>年梁河糖业勐养工厂压榨车间磷酸储罐新建雨棚项目</w:t>
            </w:r>
          </w:p>
        </w:tc>
        <w:tc>
          <w:tcPr>
            <w:tcW w:w="1789" w:type="dxa"/>
          </w:tcPr>
          <w:p>
            <w:pPr>
              <w:adjustRightInd w:val="0"/>
              <w:snapToGrid w:val="0"/>
              <w:spacing w:line="340" w:lineRule="exact"/>
              <w:jc w:val="center"/>
              <w:rPr>
                <w:rFonts w:hint="eastAsia" w:eastAsia="仿宋_GB2312"/>
                <w:spacing w:val="20"/>
                <w:sz w:val="32"/>
                <w:szCs w:val="32"/>
              </w:rPr>
            </w:pPr>
            <w:r>
              <w:rPr>
                <w:rFonts w:hint="eastAsia" w:eastAsia="仿宋_GB2312"/>
                <w:spacing w:val="20"/>
                <w:sz w:val="32"/>
                <w:szCs w:val="32"/>
              </w:rPr>
              <w:t>长10m*宽7m*柱高5.5m</w:t>
            </w:r>
          </w:p>
        </w:tc>
        <w:tc>
          <w:tcPr>
            <w:tcW w:w="102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w:t>
            </w:r>
          </w:p>
        </w:tc>
        <w:tc>
          <w:tcPr>
            <w:tcW w:w="1092"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1</w:t>
            </w:r>
          </w:p>
        </w:tc>
        <w:tc>
          <w:tcPr>
            <w:tcW w:w="1736" w:type="dxa"/>
            <w:vAlign w:val="center"/>
          </w:tcPr>
          <w:p>
            <w:pPr>
              <w:adjustRightInd w:val="0"/>
              <w:snapToGrid w:val="0"/>
              <w:spacing w:line="340" w:lineRule="exact"/>
              <w:jc w:val="center"/>
              <w:rPr>
                <w:rFonts w:eastAsia="仿宋_GB2312"/>
                <w:spacing w:val="20"/>
                <w:sz w:val="32"/>
                <w:szCs w:val="32"/>
              </w:rPr>
            </w:pPr>
          </w:p>
        </w:tc>
        <w:tc>
          <w:tcPr>
            <w:tcW w:w="1505" w:type="dxa"/>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2</w:t>
            </w:r>
          </w:p>
        </w:tc>
        <w:tc>
          <w:tcPr>
            <w:tcW w:w="2483" w:type="dxa"/>
            <w:vAlign w:val="center"/>
          </w:tcPr>
          <w:p>
            <w:pPr>
              <w:adjustRightInd w:val="0"/>
              <w:snapToGrid w:val="0"/>
              <w:spacing w:line="340" w:lineRule="exact"/>
              <w:rPr>
                <w:rFonts w:eastAsia="仿宋_GB2312"/>
                <w:spacing w:val="20"/>
                <w:sz w:val="32"/>
                <w:szCs w:val="32"/>
              </w:rPr>
            </w:pPr>
            <w:r>
              <w:rPr>
                <w:rFonts w:eastAsia="仿宋_GB2312"/>
                <w:spacing w:val="20"/>
                <w:sz w:val="32"/>
                <w:szCs w:val="32"/>
              </w:rPr>
              <w:t>2023</w:t>
            </w:r>
            <w:r>
              <w:rPr>
                <w:rFonts w:hint="eastAsia" w:eastAsia="仿宋_GB2312"/>
                <w:spacing w:val="20"/>
                <w:sz w:val="32"/>
                <w:szCs w:val="32"/>
              </w:rPr>
              <w:t>年梁河糖业芒东工厂压榨车间磷酸储罐新建雨棚</w:t>
            </w:r>
          </w:p>
        </w:tc>
        <w:tc>
          <w:tcPr>
            <w:tcW w:w="1789" w:type="dxa"/>
          </w:tcPr>
          <w:p>
            <w:pPr>
              <w:adjustRightInd w:val="0"/>
              <w:snapToGrid w:val="0"/>
              <w:spacing w:line="340" w:lineRule="exact"/>
              <w:jc w:val="center"/>
              <w:rPr>
                <w:rFonts w:hint="eastAsia" w:eastAsia="仿宋_GB2312"/>
                <w:spacing w:val="20"/>
                <w:sz w:val="32"/>
                <w:szCs w:val="32"/>
              </w:rPr>
            </w:pPr>
            <w:r>
              <w:rPr>
                <w:rFonts w:hint="eastAsia" w:eastAsia="仿宋_GB2312"/>
                <w:spacing w:val="20"/>
                <w:sz w:val="32"/>
                <w:szCs w:val="32"/>
              </w:rPr>
              <w:t>长10.5m*宽7m、高7m</w:t>
            </w:r>
          </w:p>
        </w:tc>
        <w:tc>
          <w:tcPr>
            <w:tcW w:w="102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w:t>
            </w:r>
          </w:p>
        </w:tc>
        <w:tc>
          <w:tcPr>
            <w:tcW w:w="109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1</w:t>
            </w:r>
          </w:p>
        </w:tc>
        <w:tc>
          <w:tcPr>
            <w:tcW w:w="1736" w:type="dxa"/>
            <w:vAlign w:val="center"/>
          </w:tcPr>
          <w:p>
            <w:pPr>
              <w:adjustRightInd w:val="0"/>
              <w:snapToGrid w:val="0"/>
              <w:spacing w:line="340" w:lineRule="exact"/>
              <w:jc w:val="center"/>
              <w:rPr>
                <w:rFonts w:eastAsia="仿宋_GB2312"/>
                <w:spacing w:val="20"/>
                <w:sz w:val="32"/>
                <w:szCs w:val="32"/>
              </w:rPr>
            </w:pPr>
          </w:p>
        </w:tc>
        <w:tc>
          <w:tcPr>
            <w:tcW w:w="1505" w:type="dxa"/>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015" w:type="dxa"/>
            <w:gridSpan w:val="2"/>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合计</w:t>
            </w:r>
          </w:p>
        </w:tc>
        <w:tc>
          <w:tcPr>
            <w:tcW w:w="1789" w:type="dxa"/>
          </w:tcPr>
          <w:p>
            <w:pPr>
              <w:adjustRightInd w:val="0"/>
              <w:snapToGrid w:val="0"/>
              <w:spacing w:line="340" w:lineRule="exact"/>
              <w:jc w:val="center"/>
              <w:rPr>
                <w:rFonts w:eastAsia="仿宋_GB2312"/>
                <w:spacing w:val="20"/>
                <w:sz w:val="32"/>
                <w:szCs w:val="32"/>
              </w:rPr>
            </w:pPr>
          </w:p>
        </w:tc>
        <w:tc>
          <w:tcPr>
            <w:tcW w:w="1023" w:type="dxa"/>
            <w:vAlign w:val="center"/>
          </w:tcPr>
          <w:p>
            <w:pPr>
              <w:adjustRightInd w:val="0"/>
              <w:snapToGrid w:val="0"/>
              <w:spacing w:line="340" w:lineRule="exact"/>
              <w:jc w:val="center"/>
              <w:rPr>
                <w:rFonts w:eastAsia="仿宋_GB2312"/>
                <w:spacing w:val="20"/>
                <w:sz w:val="32"/>
                <w:szCs w:val="32"/>
              </w:rPr>
            </w:pPr>
          </w:p>
        </w:tc>
        <w:tc>
          <w:tcPr>
            <w:tcW w:w="1092" w:type="dxa"/>
            <w:vAlign w:val="center"/>
          </w:tcPr>
          <w:p>
            <w:pPr>
              <w:adjustRightInd w:val="0"/>
              <w:snapToGrid w:val="0"/>
              <w:spacing w:line="340" w:lineRule="exact"/>
              <w:jc w:val="center"/>
              <w:rPr>
                <w:rFonts w:eastAsia="仿宋_GB2312"/>
                <w:spacing w:val="20"/>
                <w:sz w:val="32"/>
                <w:szCs w:val="32"/>
              </w:rPr>
            </w:pPr>
          </w:p>
        </w:tc>
        <w:tc>
          <w:tcPr>
            <w:tcW w:w="1736" w:type="dxa"/>
            <w:vAlign w:val="center"/>
          </w:tcPr>
          <w:p>
            <w:pPr>
              <w:adjustRightInd w:val="0"/>
              <w:snapToGrid w:val="0"/>
              <w:spacing w:line="340" w:lineRule="exact"/>
              <w:jc w:val="center"/>
              <w:rPr>
                <w:rFonts w:eastAsia="仿宋_GB2312"/>
                <w:spacing w:val="20"/>
                <w:sz w:val="32"/>
                <w:szCs w:val="32"/>
              </w:rPr>
            </w:pPr>
          </w:p>
        </w:tc>
        <w:tc>
          <w:tcPr>
            <w:tcW w:w="1505" w:type="dxa"/>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60" w:type="dxa"/>
            <w:gridSpan w:val="7"/>
          </w:tcPr>
          <w:p>
            <w:pPr>
              <w:adjustRightInd w:val="0"/>
              <w:snapToGrid w:val="0"/>
              <w:spacing w:line="340" w:lineRule="exact"/>
              <w:rPr>
                <w:rFonts w:eastAsia="仿宋_GB2312"/>
                <w:spacing w:val="20"/>
                <w:sz w:val="32"/>
                <w:szCs w:val="32"/>
              </w:rPr>
            </w:pPr>
            <w:r>
              <w:rPr>
                <w:rFonts w:eastAsia="仿宋_GB2312"/>
                <w:spacing w:val="20"/>
                <w:sz w:val="32"/>
                <w:szCs w:val="32"/>
              </w:rPr>
              <w:t>总金额</w:t>
            </w:r>
            <w:r>
              <w:rPr>
                <w:rFonts w:hint="eastAsia" w:eastAsia="仿宋_GB2312"/>
                <w:spacing w:val="20"/>
                <w:sz w:val="32"/>
                <w:szCs w:val="32"/>
              </w:rPr>
              <w:t>（含税）</w:t>
            </w:r>
            <w:r>
              <w:rPr>
                <w:rFonts w:eastAsia="仿宋_GB2312"/>
                <w:spacing w:val="2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gridSpan w:val="7"/>
          </w:tcPr>
          <w:p>
            <w:pPr>
              <w:rPr>
                <w:rFonts w:eastAsia="仿宋_GB2312"/>
                <w:color w:val="000000"/>
                <w:sz w:val="32"/>
                <w:szCs w:val="32"/>
                <w:u w:val="single"/>
              </w:rPr>
            </w:pPr>
            <w:r>
              <w:rPr>
                <w:rFonts w:hint="eastAsia" w:eastAsia="仿宋_GB2312"/>
                <w:color w:val="000000"/>
                <w:sz w:val="32"/>
                <w:szCs w:val="32"/>
              </w:rPr>
              <w:t>1、不含税金额</w:t>
            </w:r>
            <w:r>
              <w:rPr>
                <w:rFonts w:hint="eastAsia" w:eastAsia="仿宋_GB2312"/>
                <w:color w:val="000000"/>
                <w:sz w:val="32"/>
                <w:szCs w:val="32"/>
                <w:u w:val="single"/>
              </w:rPr>
              <w:t xml:space="preserve">   元，税额    元（  %增值税专用发票）。</w:t>
            </w:r>
          </w:p>
          <w:p>
            <w:pPr>
              <w:rPr>
                <w:rFonts w:eastAsia="仿宋_GB2312"/>
                <w:color w:val="000000"/>
                <w:sz w:val="30"/>
                <w:szCs w:val="30"/>
              </w:rPr>
            </w:pPr>
            <w:r>
              <w:rPr>
                <w:rFonts w:hint="eastAsia" w:eastAsia="仿宋_GB2312"/>
                <w:color w:val="000000"/>
                <w:sz w:val="32"/>
                <w:szCs w:val="32"/>
              </w:rPr>
              <w:t>2、</w:t>
            </w:r>
            <w:r>
              <w:rPr>
                <w:rFonts w:eastAsia="仿宋_GB2312"/>
                <w:color w:val="000000"/>
                <w:sz w:val="32"/>
                <w:szCs w:val="32"/>
              </w:rPr>
              <w:t>费用已包含</w:t>
            </w:r>
            <w:r>
              <w:rPr>
                <w:rFonts w:eastAsia="仿宋_GB2312"/>
                <w:color w:val="000000"/>
                <w:sz w:val="30"/>
                <w:szCs w:val="30"/>
              </w:rPr>
              <w:t>招标文件中要求的所有货物</w:t>
            </w:r>
            <w:r>
              <w:rPr>
                <w:rFonts w:hint="eastAsia" w:eastAsia="仿宋_GB2312"/>
                <w:color w:val="000000"/>
                <w:sz w:val="30"/>
                <w:szCs w:val="30"/>
              </w:rPr>
              <w:t>、设备</w:t>
            </w:r>
            <w:r>
              <w:rPr>
                <w:rFonts w:eastAsia="仿宋_GB2312"/>
                <w:color w:val="000000"/>
                <w:sz w:val="30"/>
                <w:szCs w:val="30"/>
              </w:rPr>
              <w:t>或工程内容、</w:t>
            </w:r>
            <w:r>
              <w:rPr>
                <w:rFonts w:eastAsia="仿宋_GB2312"/>
                <w:color w:val="FF0000"/>
                <w:sz w:val="30"/>
                <w:szCs w:val="30"/>
              </w:rPr>
              <w:t>运输、卸车、服务等</w:t>
            </w:r>
            <w:r>
              <w:rPr>
                <w:rFonts w:hint="eastAsia" w:eastAsia="仿宋_GB2312"/>
                <w:color w:val="FF0000"/>
                <w:sz w:val="30"/>
                <w:szCs w:val="30"/>
              </w:rPr>
              <w:t>一切</w:t>
            </w:r>
            <w:r>
              <w:rPr>
                <w:rFonts w:eastAsia="仿宋_GB2312"/>
                <w:color w:val="FF0000"/>
                <w:sz w:val="30"/>
                <w:szCs w:val="30"/>
              </w:rPr>
              <w:t>费用</w:t>
            </w:r>
            <w:r>
              <w:rPr>
                <w:rFonts w:hint="eastAsia" w:eastAsia="仿宋_GB2312"/>
                <w:color w:val="FF0000"/>
                <w:sz w:val="30"/>
                <w:szCs w:val="30"/>
              </w:rPr>
              <w:t>，</w:t>
            </w:r>
            <w:r>
              <w:rPr>
                <w:rFonts w:hint="eastAsia" w:eastAsia="仿宋_GB2312"/>
                <w:color w:val="000000"/>
                <w:sz w:val="30"/>
                <w:szCs w:val="30"/>
              </w:rPr>
              <w:t>甲方除本合同总金额外无需支付任何费用。</w:t>
            </w:r>
          </w:p>
          <w:p>
            <w:pPr>
              <w:adjustRightInd w:val="0"/>
              <w:snapToGrid w:val="0"/>
              <w:spacing w:line="480" w:lineRule="exact"/>
              <w:rPr>
                <w:rFonts w:eastAsia="仿宋_GB2312"/>
                <w:sz w:val="30"/>
                <w:szCs w:val="30"/>
              </w:rPr>
            </w:pPr>
            <w:r>
              <w:rPr>
                <w:rFonts w:hint="eastAsia" w:eastAsia="仿宋_GB2312"/>
                <w:color w:val="FF0000"/>
                <w:sz w:val="30"/>
                <w:szCs w:val="30"/>
              </w:rPr>
              <w:t>3、</w:t>
            </w:r>
            <w:r>
              <w:rPr>
                <w:rFonts w:eastAsia="仿宋_GB2312"/>
                <w:color w:val="000000"/>
                <w:sz w:val="30"/>
                <w:szCs w:val="30"/>
              </w:rPr>
              <w:t>货物或工程名称、型号</w:t>
            </w:r>
            <w:r>
              <w:rPr>
                <w:rFonts w:hint="eastAsia" w:eastAsia="仿宋_GB2312"/>
                <w:color w:val="000000"/>
                <w:sz w:val="30"/>
                <w:szCs w:val="30"/>
              </w:rPr>
              <w:t>、</w:t>
            </w:r>
            <w:r>
              <w:rPr>
                <w:rFonts w:eastAsia="仿宋_GB2312"/>
                <w:color w:val="000000"/>
                <w:sz w:val="30"/>
                <w:szCs w:val="30"/>
              </w:rPr>
              <w:t>规格</w:t>
            </w:r>
            <w:r>
              <w:rPr>
                <w:rFonts w:hint="eastAsia" w:eastAsia="仿宋_GB2312"/>
                <w:color w:val="000000"/>
                <w:sz w:val="30"/>
                <w:szCs w:val="30"/>
              </w:rPr>
              <w:t>数量</w:t>
            </w:r>
            <w:r>
              <w:rPr>
                <w:rFonts w:eastAsia="仿宋_GB2312"/>
                <w:color w:val="000000"/>
                <w:sz w:val="30"/>
                <w:szCs w:val="30"/>
              </w:rPr>
              <w:t>：详见</w:t>
            </w:r>
            <w:r>
              <w:rPr>
                <w:rFonts w:eastAsia="仿宋_GB2312"/>
                <w:sz w:val="30"/>
                <w:szCs w:val="30"/>
              </w:rPr>
              <w:t>合同附件</w:t>
            </w:r>
            <w:r>
              <w:rPr>
                <w:rFonts w:hint="eastAsia" w:eastAsia="仿宋_GB2312"/>
                <w:sz w:val="30"/>
                <w:szCs w:val="30"/>
              </w:rPr>
              <w:t>1《技术协议》。</w:t>
            </w:r>
          </w:p>
        </w:tc>
      </w:tr>
    </w:tbl>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1</w:t>
      </w:r>
      <w:r>
        <w:rPr>
          <w:rFonts w:eastAsia="仿宋_GB2312"/>
          <w:color w:val="000000"/>
          <w:sz w:val="30"/>
          <w:szCs w:val="30"/>
        </w:rPr>
        <w:t>乙方为甲方设计制造并提供系统所需的设备及材料或工程内容</w:t>
      </w:r>
      <w:r>
        <w:rPr>
          <w:rFonts w:hint="eastAsia" w:eastAsia="仿宋_GB2312"/>
          <w:color w:val="000000"/>
          <w:sz w:val="30"/>
          <w:szCs w:val="30"/>
        </w:rPr>
        <w:t>。</w:t>
      </w:r>
      <w:r>
        <w:rPr>
          <w:rFonts w:eastAsia="仿宋_GB2312"/>
          <w:color w:val="000000"/>
          <w:sz w:val="30"/>
          <w:szCs w:val="30"/>
        </w:rPr>
        <w:t>乙方的所有供货及服务必须完全满足技术规格的要求，技术规格详见</w:t>
      </w:r>
      <w:r>
        <w:rPr>
          <w:rFonts w:eastAsia="仿宋_GB2312"/>
          <w:color w:val="FF0000"/>
          <w:sz w:val="30"/>
          <w:szCs w:val="30"/>
        </w:rPr>
        <w:t>合同附件</w:t>
      </w:r>
      <w:r>
        <w:rPr>
          <w:rFonts w:hint="eastAsia" w:eastAsia="仿宋_GB2312"/>
          <w:color w:val="FF0000"/>
          <w:sz w:val="30"/>
          <w:szCs w:val="30"/>
        </w:rPr>
        <w:t>1《技术协议》</w:t>
      </w:r>
      <w:r>
        <w:rPr>
          <w:rFonts w:eastAsia="仿宋_GB2312"/>
          <w:color w:val="000000"/>
          <w:sz w:val="30"/>
          <w:szCs w:val="30"/>
        </w:rPr>
        <w:t>；</w:t>
      </w:r>
    </w:p>
    <w:p>
      <w:pPr>
        <w:spacing w:line="48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2</w:t>
      </w:r>
      <w:r>
        <w:rPr>
          <w:rFonts w:ascii="仿宋_GB2312" w:eastAsia="仿宋_GB2312"/>
          <w:color w:val="000000"/>
          <w:sz w:val="30"/>
          <w:szCs w:val="30"/>
        </w:rPr>
        <w:t xml:space="preserve"> </w:t>
      </w:r>
      <w:r>
        <w:rPr>
          <w:rFonts w:eastAsia="仿宋_GB2312"/>
          <w:color w:val="000000"/>
          <w:sz w:val="30"/>
          <w:szCs w:val="30"/>
        </w:rPr>
        <w:t>乙方向甲方提供所供设备或工程</w:t>
      </w:r>
      <w:r>
        <w:rPr>
          <w:rFonts w:hint="eastAsia" w:eastAsia="仿宋_GB2312"/>
          <w:color w:val="000000"/>
          <w:sz w:val="30"/>
          <w:szCs w:val="30"/>
        </w:rPr>
        <w:t>包含</w:t>
      </w:r>
      <w:r>
        <w:rPr>
          <w:rFonts w:eastAsia="仿宋_GB2312"/>
          <w:color w:val="000000"/>
          <w:sz w:val="30"/>
          <w:szCs w:val="30"/>
        </w:rPr>
        <w:t>以下服务：</w:t>
      </w:r>
      <w:r>
        <w:rPr>
          <w:rFonts w:hint="eastAsia" w:eastAsia="仿宋_GB2312"/>
          <w:color w:val="FF0000"/>
          <w:sz w:val="30"/>
          <w:szCs w:val="30"/>
        </w:rPr>
        <w:t>供货、</w:t>
      </w:r>
      <w:r>
        <w:rPr>
          <w:rFonts w:eastAsia="仿宋_GB2312"/>
          <w:color w:val="FF0000"/>
          <w:sz w:val="30"/>
          <w:szCs w:val="30"/>
        </w:rPr>
        <w:t>运输（含二次运输、吊卸）、</w:t>
      </w:r>
      <w:r>
        <w:rPr>
          <w:rFonts w:hint="eastAsia" w:eastAsia="仿宋_GB2312"/>
          <w:color w:val="FF0000"/>
          <w:sz w:val="30"/>
          <w:szCs w:val="30"/>
        </w:rPr>
        <w:t>装卸、</w:t>
      </w:r>
      <w:r>
        <w:rPr>
          <w:rFonts w:eastAsia="仿宋_GB2312"/>
          <w:color w:val="FF0000"/>
          <w:sz w:val="30"/>
          <w:szCs w:val="30"/>
        </w:rPr>
        <w:t>质量保证</w:t>
      </w:r>
      <w:r>
        <w:rPr>
          <w:rFonts w:hint="eastAsia" w:eastAsia="仿宋_GB2312"/>
          <w:color w:val="FF0000"/>
          <w:sz w:val="30"/>
          <w:szCs w:val="30"/>
        </w:rPr>
        <w:t>、</w:t>
      </w:r>
      <w:r>
        <w:rPr>
          <w:rFonts w:eastAsia="仿宋_GB2312"/>
          <w:color w:val="FF0000"/>
          <w:sz w:val="30"/>
          <w:szCs w:val="30"/>
        </w:rPr>
        <w:t>售后服务</w:t>
      </w:r>
      <w:r>
        <w:rPr>
          <w:rFonts w:hint="eastAsia" w:eastAsia="仿宋_GB2312"/>
          <w:color w:val="FF0000"/>
          <w:sz w:val="30"/>
          <w:szCs w:val="30"/>
        </w:rPr>
        <w:t>以及伴随服务</w:t>
      </w:r>
      <w:r>
        <w:rPr>
          <w:rFonts w:eastAsia="仿宋_GB2312"/>
          <w:color w:val="FF0000"/>
          <w:sz w:val="30"/>
          <w:szCs w:val="30"/>
        </w:rPr>
        <w:t>等</w:t>
      </w:r>
      <w:r>
        <w:rPr>
          <w:rFonts w:hint="eastAsia" w:eastAsia="仿宋_GB2312"/>
          <w:color w:val="FF0000"/>
          <w:sz w:val="30"/>
          <w:szCs w:val="30"/>
        </w:rPr>
        <w:t>、</w:t>
      </w:r>
      <w:r>
        <w:rPr>
          <w:rFonts w:hint="eastAsia" w:eastAsia="仿宋_GB2312"/>
          <w:color w:val="000000"/>
          <w:sz w:val="30"/>
          <w:szCs w:val="30"/>
        </w:rPr>
        <w:t>，伴随服务</w:t>
      </w:r>
      <w:r>
        <w:rPr>
          <w:rFonts w:hint="eastAsia" w:ascii="仿宋_GB2312" w:hAnsi="仿宋_GB2312" w:eastAsia="仿宋_GB2312" w:cs="仿宋_GB2312"/>
          <w:color w:val="000000"/>
          <w:sz w:val="32"/>
          <w:szCs w:val="32"/>
        </w:rPr>
        <w:t>包括但不限于：</w:t>
      </w:r>
      <w:r>
        <w:rPr>
          <w:rFonts w:eastAsia="仿宋_GB2312"/>
          <w:color w:val="000000"/>
          <w:sz w:val="30"/>
          <w:szCs w:val="30"/>
        </w:rPr>
        <w:t xml:space="preserve"> </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）在双方商定的一定期限内对所供货物或工程实施运行或监督或维护或修理，但前提条件是该服务并不能免除乙方在合同保证期内所承担的义务；</w:t>
      </w:r>
    </w:p>
    <w:p>
      <w:pPr>
        <w:adjustRightInd w:val="0"/>
        <w:snapToGrid w:val="0"/>
        <w:spacing w:line="480" w:lineRule="exact"/>
        <w:ind w:firstLine="600" w:firstLineChars="200"/>
        <w:rPr>
          <w:rFonts w:ascii="仿宋_GB2312" w:hAnsi="仿宋_GB2312" w:eastAsia="仿宋_GB2312" w:cs="仿宋_GB2312"/>
          <w:color w:val="000000"/>
          <w:sz w:val="32"/>
          <w:szCs w:val="32"/>
        </w:rPr>
      </w:pPr>
      <w:r>
        <w:rPr>
          <w:rFonts w:eastAsia="仿宋_GB2312"/>
          <w:color w:val="000000"/>
          <w:sz w:val="30"/>
          <w:szCs w:val="30"/>
        </w:rPr>
        <w:t>1</w:t>
      </w:r>
      <w:r>
        <w:rPr>
          <w:rFonts w:ascii="仿宋_GB2312" w:hAnsi="仿宋_GB2312" w:eastAsia="仿宋_GB2312" w:cs="仿宋_GB2312"/>
          <w:color w:val="000000"/>
          <w:sz w:val="32"/>
          <w:szCs w:val="32"/>
        </w:rPr>
        <w:t>.3乙方应对本合同承担的全部工作实施有效管理，以确保</w:t>
      </w:r>
      <w:r>
        <w:rPr>
          <w:rFonts w:hint="eastAsia" w:ascii="仿宋_GB2312" w:hAnsi="仿宋_GB2312" w:eastAsia="仿宋_GB2312" w:cs="仿宋_GB2312"/>
          <w:color w:val="000000"/>
          <w:sz w:val="32"/>
          <w:szCs w:val="32"/>
        </w:rPr>
        <w:t>工</w:t>
      </w:r>
      <w:r>
        <w:rPr>
          <w:rFonts w:ascii="仿宋_GB2312" w:hAnsi="仿宋_GB2312" w:eastAsia="仿宋_GB2312" w:cs="仿宋_GB2312"/>
          <w:color w:val="000000"/>
          <w:sz w:val="32"/>
          <w:szCs w:val="32"/>
        </w:rPr>
        <w:t>作的进度符合合同附件的要求。</w:t>
      </w:r>
      <w:r>
        <w:rPr>
          <w:rFonts w:hint="eastAsia" w:ascii="仿宋_GB2312" w:hAnsi="仿宋_GB2312" w:eastAsia="仿宋_GB2312" w:cs="仿宋_GB2312"/>
          <w:color w:val="000000"/>
          <w:sz w:val="32"/>
          <w:szCs w:val="32"/>
        </w:rPr>
        <w:t xml:space="preserve">。   </w:t>
      </w:r>
    </w:p>
    <w:p>
      <w:pPr>
        <w:adjustRightInd w:val="0"/>
        <w:snapToGrid w:val="0"/>
        <w:spacing w:line="480" w:lineRule="exact"/>
        <w:ind w:firstLine="600" w:firstLineChars="200"/>
        <w:rPr>
          <w:rFonts w:ascii="仿宋_GB2312" w:hAnsi="仿宋_GB2312" w:eastAsia="仿宋_GB2312" w:cs="仿宋_GB2312"/>
          <w:color w:val="000000"/>
          <w:sz w:val="32"/>
          <w:szCs w:val="32"/>
        </w:rPr>
      </w:pPr>
      <w:r>
        <w:rPr>
          <w:rFonts w:eastAsia="仿宋_GB2312"/>
          <w:sz w:val="30"/>
          <w:szCs w:val="30"/>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 xml:space="preserve">为保证按时保质完工，本项目乙方施工队不少于【3】人/天。            </w:t>
      </w:r>
    </w:p>
    <w:p>
      <w:pPr>
        <w:adjustRightInd w:val="0"/>
        <w:snapToGrid w:val="0"/>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3.具体的供货范围、技术规格及技术图纸、工程执行计划时间详见合同附件。 </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二、付款</w:t>
      </w:r>
    </w:p>
    <w:p>
      <w:pPr>
        <w:spacing w:line="480" w:lineRule="exact"/>
        <w:ind w:firstLine="633" w:firstLineChars="198"/>
        <w:rPr>
          <w:rFonts w:ascii="仿宋_GB2312" w:hAnsi="仿宋_GB2312" w:eastAsia="仿宋_GB2312" w:cs="仿宋_GB2312"/>
          <w:color w:val="000000"/>
          <w:sz w:val="32"/>
          <w:szCs w:val="32"/>
        </w:rPr>
      </w:pPr>
      <w:bookmarkStart w:id="13" w:name="OLE_LINK3"/>
      <w:r>
        <w:rPr>
          <w:rFonts w:ascii="仿宋_GB2312" w:hAnsi="仿宋_GB2312" w:eastAsia="仿宋_GB2312" w:cs="仿宋_GB2312"/>
          <w:color w:val="000000"/>
          <w:sz w:val="32"/>
          <w:szCs w:val="32"/>
        </w:rPr>
        <w:t>2.1、本合同使用货币种类为：人民币。</w:t>
      </w:r>
    </w:p>
    <w:p>
      <w:pPr>
        <w:spacing w:line="480" w:lineRule="exact"/>
        <w:ind w:firstLine="633" w:firstLineChars="198"/>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2.2、付款方式：</w:t>
      </w:r>
      <w:r>
        <w:rPr>
          <w:rFonts w:hint="eastAsia" w:ascii="仿宋_GB2312" w:hAnsi="仿宋_GB2312" w:eastAsia="仿宋_GB2312" w:cs="仿宋_GB2312"/>
          <w:color w:val="000000"/>
          <w:sz w:val="32"/>
          <w:szCs w:val="32"/>
        </w:rPr>
        <w:t xml:space="preserve">    银行电汇                         </w:t>
      </w:r>
    </w:p>
    <w:p>
      <w:pPr>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.3合同款项的支付：</w:t>
      </w:r>
    </w:p>
    <w:bookmarkEnd w:id="13"/>
    <w:p>
      <w:pPr>
        <w:adjustRightInd w:val="0"/>
        <w:snapToGrid w:val="0"/>
        <w:spacing w:line="4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.3合同总额（预计）：（人民币大写）XXXX（</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XXXX元）,开具税率为   %增值税专用发票。</w:t>
      </w:r>
    </w:p>
    <w:p>
      <w:pPr>
        <w:spacing w:line="480" w:lineRule="exact"/>
        <w:ind w:firstLine="633" w:firstLineChars="19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 xml:space="preserve">.3.1 </w:t>
      </w:r>
      <w:r>
        <w:rPr>
          <w:rFonts w:hint="eastAsia" w:ascii="仿宋_GB2312" w:hAnsi="仿宋_GB2312" w:eastAsia="仿宋_GB2312" w:cs="仿宋_GB2312"/>
          <w:color w:val="000000"/>
          <w:sz w:val="32"/>
          <w:szCs w:val="32"/>
        </w:rPr>
        <w:t>乙方</w:t>
      </w:r>
      <w:r>
        <w:rPr>
          <w:rFonts w:hint="eastAsia" w:ascii="仿宋_GB2312" w:hAnsi="仿宋_GB2312" w:eastAsia="仿宋_GB2312" w:cs="仿宋_GB2312"/>
          <w:color w:val="000000"/>
          <w:sz w:val="32"/>
          <w:szCs w:val="32"/>
          <w:lang w:val="en-US" w:eastAsia="zh-CN"/>
        </w:rPr>
        <w:t>施工</w:t>
      </w:r>
      <w:r>
        <w:rPr>
          <w:rFonts w:hint="eastAsia" w:ascii="仿宋_GB2312" w:hAnsi="仿宋_GB2312" w:eastAsia="仿宋_GB2312" w:cs="仿宋_GB2312"/>
          <w:color w:val="000000"/>
          <w:sz w:val="32"/>
          <w:szCs w:val="32"/>
        </w:rPr>
        <w:t>材料进场，经甲方验收合格后，甲方向乙方支付合同总额的【30】%，</w:t>
      </w:r>
    </w:p>
    <w:p>
      <w:pPr>
        <w:spacing w:line="480" w:lineRule="exact"/>
        <w:ind w:firstLine="633" w:firstLineChars="19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lang w:val="en-US" w:eastAsia="zh-CN"/>
        </w:rPr>
        <w:t>雨棚建设</w:t>
      </w:r>
      <w:r>
        <w:rPr>
          <w:rFonts w:hint="eastAsia" w:ascii="仿宋_GB2312" w:hAnsi="仿宋_GB2312" w:eastAsia="仿宋_GB2312" w:cs="仿宋_GB2312"/>
          <w:color w:val="000000"/>
          <w:sz w:val="32"/>
          <w:szCs w:val="32"/>
        </w:rPr>
        <w:t>完毕，竣工验收合格，</w:t>
      </w:r>
      <w:r>
        <w:rPr>
          <w:rFonts w:hint="eastAsia" w:ascii="仿宋_GB2312" w:hAnsi="仿宋_GB2312" w:eastAsia="仿宋_GB2312" w:cs="仿宋_GB2312"/>
          <w:color w:val="000000"/>
          <w:sz w:val="32"/>
          <w:szCs w:val="32"/>
          <w:lang w:val="en-US" w:eastAsia="zh-CN"/>
        </w:rPr>
        <w:t>雨棚</w:t>
      </w:r>
      <w:r>
        <w:rPr>
          <w:rFonts w:hint="eastAsia" w:ascii="仿宋_GB2312" w:hAnsi="仿宋_GB2312" w:eastAsia="仿宋_GB2312" w:cs="仿宋_GB2312"/>
          <w:color w:val="000000"/>
          <w:sz w:val="32"/>
          <w:szCs w:val="32"/>
        </w:rPr>
        <w:t>经2023/2024榨季正常使用一个月后，无质量问题，甲方凭乙方开具全额X%的增值税专用发票，甲方向乙方支付合同总额的【</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w:t>
      </w:r>
    </w:p>
    <w:p>
      <w:pPr>
        <w:spacing w:line="480" w:lineRule="exact"/>
        <w:ind w:firstLine="633" w:firstLineChars="198"/>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2.3.3雨棚</w:t>
      </w:r>
      <w:r>
        <w:rPr>
          <w:rFonts w:hint="eastAsia" w:ascii="仿宋_GB2312" w:hAnsi="仿宋_GB2312" w:eastAsia="仿宋_GB2312" w:cs="仿宋_GB2312"/>
          <w:color w:val="000000"/>
          <w:sz w:val="32"/>
          <w:szCs w:val="32"/>
        </w:rPr>
        <w:t>经2023/2024榨季正常使用后，无质量问题，甲方向乙方支付合同总额的【</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w:t>
      </w:r>
    </w:p>
    <w:p>
      <w:pPr>
        <w:spacing w:line="480" w:lineRule="exact"/>
        <w:ind w:firstLine="633" w:firstLineChars="19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剩余【10】%作为质保金，于质保期(质保期自【竣工验收之日】起算，一年【12个月】) 满且</w:t>
      </w:r>
      <w:r>
        <w:rPr>
          <w:rFonts w:hint="eastAsia" w:ascii="仿宋_GB2312" w:hAnsi="仿宋_GB2312" w:eastAsia="仿宋_GB2312" w:cs="仿宋_GB2312"/>
          <w:color w:val="000000"/>
          <w:sz w:val="32"/>
          <w:szCs w:val="32"/>
          <w:lang w:val="en-US" w:eastAsia="zh-CN"/>
        </w:rPr>
        <w:t>雨棚</w:t>
      </w:r>
      <w:r>
        <w:rPr>
          <w:rFonts w:hint="eastAsia" w:ascii="仿宋_GB2312" w:hAnsi="仿宋_GB2312" w:eastAsia="仿宋_GB2312" w:cs="仿宋_GB2312"/>
          <w:color w:val="000000"/>
          <w:sz w:val="32"/>
          <w:szCs w:val="32"/>
        </w:rPr>
        <w:t>无任何质量问题后，15个工作日内甲方无息一次性付完给乙方。</w:t>
      </w:r>
    </w:p>
    <w:p>
      <w:pPr>
        <w:spacing w:line="480" w:lineRule="exact"/>
        <w:ind w:firstLine="633" w:firstLineChars="19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4.履约保证金的交付及退还</w:t>
      </w:r>
    </w:p>
    <w:p>
      <w:pPr>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履约保证金为合同总价的5  %，金额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（人民币大写）XXXX元整（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XXXX元）乙方收到中标通知书至合同签订前向甲方缴纳本合同履约保证金。甲方于项目竣工且验收合格后15个工作日内将全额履约保证金无息退还给乙方。</w:t>
      </w:r>
    </w:p>
    <w:p>
      <w:pPr>
        <w:spacing w:line="560" w:lineRule="exact"/>
        <w:ind w:firstLine="800" w:firstLineChars="25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.扣除</w:t>
      </w:r>
    </w:p>
    <w:p>
      <w:pPr>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根据本合同的规定，如果乙方有赔偿和/或支付违约金的责任，则甲方有权从上述任何一笔未付款中扣除相应金额。</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三、铭牌及标准</w:t>
      </w:r>
    </w:p>
    <w:p>
      <w:pPr>
        <w:adjustRightInd w:val="0"/>
        <w:snapToGrid w:val="0"/>
        <w:spacing w:line="480" w:lineRule="exact"/>
        <w:ind w:firstLine="1280" w:firstLine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四、交货</w:t>
      </w:r>
      <w:r>
        <w:rPr>
          <w:rFonts w:hint="eastAsia" w:ascii="仿宋_GB2312" w:hAnsi="仿宋_GB2312" w:eastAsia="仿宋_GB2312" w:cs="仿宋_GB2312"/>
          <w:color w:val="000000"/>
          <w:sz w:val="32"/>
          <w:szCs w:val="32"/>
        </w:rPr>
        <w:t>及完工时间</w:t>
      </w:r>
    </w:p>
    <w:p>
      <w:pPr>
        <w:adjustRightInd w:val="0"/>
        <w:snapToGrid w:val="0"/>
        <w:spacing w:line="480" w:lineRule="exact"/>
        <w:ind w:firstLine="600" w:firstLineChars="200"/>
        <w:rPr>
          <w:rFonts w:eastAsia="仿宋_GB2312"/>
          <w:color w:val="FF0000"/>
          <w:sz w:val="30"/>
          <w:szCs w:val="30"/>
        </w:rPr>
      </w:pPr>
      <w:r>
        <w:rPr>
          <w:rFonts w:eastAsia="仿宋_GB2312"/>
          <w:color w:val="FF0000"/>
          <w:sz w:val="30"/>
          <w:szCs w:val="30"/>
        </w:rPr>
        <w:t>1．交货地点：</w:t>
      </w:r>
      <w:r>
        <w:rPr>
          <w:rFonts w:hint="eastAsia" w:eastAsia="仿宋_GB2312"/>
          <w:color w:val="FF0000"/>
          <w:sz w:val="30"/>
          <w:szCs w:val="30"/>
          <w:u w:val="single"/>
        </w:rPr>
        <w:t xml:space="preserve"> 芒东工厂压榨车间、勐养工厂压榨车间</w:t>
      </w:r>
      <w:r>
        <w:rPr>
          <w:rFonts w:eastAsia="仿宋_GB2312"/>
          <w:color w:val="FF0000"/>
          <w:sz w:val="30"/>
          <w:szCs w:val="30"/>
        </w:rPr>
        <w:t>。</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FF0000"/>
          <w:sz w:val="30"/>
          <w:szCs w:val="30"/>
        </w:rPr>
        <w:t>2.设备交货时间：</w:t>
      </w:r>
      <w:r>
        <w:rPr>
          <w:rFonts w:hint="eastAsia" w:eastAsia="仿宋_GB2312"/>
          <w:color w:val="000000"/>
          <w:sz w:val="30"/>
          <w:szCs w:val="30"/>
          <w:u w:val="single"/>
        </w:rPr>
        <w:t xml:space="preserve">   </w:t>
      </w:r>
      <w:r>
        <w:rPr>
          <w:rFonts w:eastAsia="仿宋_GB2312"/>
          <w:color w:val="000000"/>
          <w:sz w:val="30"/>
          <w:szCs w:val="30"/>
          <w:u w:val="single"/>
        </w:rPr>
        <w:t>2023</w:t>
      </w:r>
      <w:r>
        <w:rPr>
          <w:rFonts w:hint="eastAsia" w:eastAsia="仿宋_GB2312"/>
          <w:color w:val="000000"/>
          <w:sz w:val="30"/>
          <w:szCs w:val="30"/>
          <w:u w:val="single"/>
        </w:rPr>
        <w:t>年1</w:t>
      </w:r>
      <w:r>
        <w:rPr>
          <w:rFonts w:eastAsia="仿宋_GB2312"/>
          <w:color w:val="000000"/>
          <w:sz w:val="30"/>
          <w:szCs w:val="30"/>
          <w:u w:val="single"/>
        </w:rPr>
        <w:t>0</w:t>
      </w:r>
      <w:r>
        <w:rPr>
          <w:rFonts w:hint="eastAsia" w:eastAsia="仿宋_GB2312"/>
          <w:color w:val="000000"/>
          <w:sz w:val="30"/>
          <w:szCs w:val="30"/>
          <w:u w:val="single"/>
        </w:rPr>
        <w:t>月</w:t>
      </w:r>
      <w:r>
        <w:rPr>
          <w:rFonts w:eastAsia="仿宋_GB2312"/>
          <w:color w:val="000000"/>
          <w:sz w:val="30"/>
          <w:szCs w:val="30"/>
          <w:u w:val="single"/>
        </w:rPr>
        <w:t>30</w:t>
      </w:r>
      <w:r>
        <w:rPr>
          <w:rFonts w:hint="eastAsia" w:eastAsia="仿宋_GB2312"/>
          <w:color w:val="000000"/>
          <w:sz w:val="30"/>
          <w:szCs w:val="30"/>
          <w:u w:val="single"/>
        </w:rPr>
        <w:t>日前</w:t>
      </w:r>
      <w:r>
        <w:rPr>
          <w:rFonts w:eastAsia="仿宋_GB2312"/>
          <w:color w:val="000000"/>
          <w:sz w:val="30"/>
          <w:szCs w:val="30"/>
        </w:rPr>
        <w:t>。</w:t>
      </w:r>
    </w:p>
    <w:p>
      <w:pPr>
        <w:adjustRightInd w:val="0"/>
        <w:snapToGrid w:val="0"/>
        <w:spacing w:line="480" w:lineRule="exact"/>
        <w:ind w:firstLine="600"/>
        <w:rPr>
          <w:rFonts w:eastAsia="仿宋_GB2312"/>
          <w:color w:val="000000"/>
          <w:sz w:val="30"/>
          <w:szCs w:val="30"/>
        </w:rPr>
      </w:pPr>
      <w:r>
        <w:rPr>
          <w:rFonts w:eastAsia="仿宋_GB2312"/>
          <w:color w:val="000000"/>
          <w:sz w:val="30"/>
          <w:szCs w:val="30"/>
        </w:rPr>
        <w:t>3．乙方在按期收到甲方</w:t>
      </w:r>
      <w:r>
        <w:rPr>
          <w:rFonts w:hint="eastAsia" w:eastAsia="仿宋_GB2312"/>
          <w:color w:val="000000"/>
          <w:sz w:val="30"/>
          <w:szCs w:val="30"/>
          <w:lang w:val="en-US" w:eastAsia="zh-CN"/>
        </w:rPr>
        <w:t>通知</w:t>
      </w:r>
      <w:r>
        <w:rPr>
          <w:rFonts w:eastAsia="仿宋_GB2312"/>
          <w:color w:val="000000"/>
          <w:sz w:val="30"/>
          <w:szCs w:val="30"/>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rPr>
      </w:pPr>
      <w:r>
        <w:rPr>
          <w:rFonts w:hint="eastAsia" w:eastAsia="仿宋_GB2312"/>
          <w:sz w:val="30"/>
          <w:szCs w:val="30"/>
        </w:rPr>
        <w:t>4.</w:t>
      </w:r>
      <w:r>
        <w:rPr>
          <w:rFonts w:hint="eastAsia" w:eastAsia="仿宋_GB2312"/>
          <w:color w:val="FF0000"/>
          <w:sz w:val="30"/>
          <w:szCs w:val="30"/>
        </w:rPr>
        <w:t>完工</w:t>
      </w:r>
      <w:r>
        <w:rPr>
          <w:rFonts w:eastAsia="仿宋_GB2312"/>
          <w:color w:val="FF0000"/>
          <w:sz w:val="30"/>
          <w:szCs w:val="30"/>
        </w:rPr>
        <w:t>时间：</w:t>
      </w:r>
      <w:r>
        <w:rPr>
          <w:rFonts w:hint="eastAsia" w:ascii="微软雅黑" w:hAnsi="微软雅黑" w:eastAsia="微软雅黑" w:cs="微软雅黑"/>
          <w:color w:val="FF0000"/>
          <w:sz w:val="30"/>
          <w:szCs w:val="30"/>
        </w:rPr>
        <w:t>【</w:t>
      </w:r>
      <w:bookmarkStart w:id="14" w:name="OLE_LINK1"/>
      <w:bookmarkStart w:id="15" w:name="OLE_LINK2"/>
      <w:r>
        <w:rPr>
          <w:rFonts w:hint="eastAsia" w:ascii="微软雅黑" w:hAnsi="微软雅黑" w:eastAsia="微软雅黑" w:cs="微软雅黑"/>
          <w:color w:val="FF0000"/>
          <w:sz w:val="30"/>
          <w:szCs w:val="30"/>
        </w:rPr>
        <w:t>2</w:t>
      </w:r>
      <w:r>
        <w:rPr>
          <w:rFonts w:ascii="微软雅黑" w:hAnsi="微软雅黑" w:eastAsia="微软雅黑" w:cs="微软雅黑"/>
          <w:color w:val="FF0000"/>
          <w:sz w:val="30"/>
          <w:szCs w:val="30"/>
        </w:rPr>
        <w:t>023</w:t>
      </w:r>
      <w:r>
        <w:rPr>
          <w:rFonts w:hint="eastAsia" w:eastAsia="仿宋_GB2312"/>
          <w:color w:val="FF0000"/>
          <w:sz w:val="30"/>
          <w:szCs w:val="30"/>
        </w:rPr>
        <w:t xml:space="preserve">年 </w:t>
      </w:r>
      <w:r>
        <w:rPr>
          <w:rFonts w:eastAsia="仿宋_GB2312"/>
          <w:color w:val="FF0000"/>
          <w:sz w:val="30"/>
          <w:szCs w:val="30"/>
        </w:rPr>
        <w:t>11</w:t>
      </w:r>
      <w:r>
        <w:rPr>
          <w:rFonts w:hint="eastAsia" w:eastAsia="仿宋_GB2312"/>
          <w:color w:val="FF0000"/>
          <w:sz w:val="30"/>
          <w:szCs w:val="30"/>
        </w:rPr>
        <w:t xml:space="preserve">  月 </w:t>
      </w:r>
      <w:r>
        <w:rPr>
          <w:rFonts w:eastAsia="仿宋_GB2312"/>
          <w:color w:val="FF0000"/>
          <w:sz w:val="30"/>
          <w:szCs w:val="30"/>
        </w:rPr>
        <w:t>30</w:t>
      </w:r>
      <w:r>
        <w:rPr>
          <w:rFonts w:hint="eastAsia" w:eastAsia="仿宋_GB2312"/>
          <w:color w:val="FF0000"/>
          <w:sz w:val="30"/>
          <w:szCs w:val="30"/>
        </w:rPr>
        <w:t xml:space="preserve">  日前</w:t>
      </w:r>
      <w:bookmarkEnd w:id="14"/>
      <w:bookmarkEnd w:id="15"/>
      <w:r>
        <w:rPr>
          <w:rFonts w:hint="eastAsia" w:ascii="微软雅黑" w:hAnsi="微软雅黑" w:eastAsia="微软雅黑" w:cs="微软雅黑"/>
          <w:sz w:val="30"/>
          <w:szCs w:val="30"/>
        </w:rPr>
        <w:t>】</w:t>
      </w:r>
      <w:r>
        <w:rPr>
          <w:rFonts w:hint="eastAsia" w:eastAsia="仿宋_GB2312"/>
          <w:sz w:val="30"/>
          <w:szCs w:val="30"/>
        </w:rPr>
        <w:t>。</w:t>
      </w:r>
      <w:r>
        <w:rPr>
          <w:rFonts w:hint="eastAsia" w:eastAsia="仿宋_GB2312"/>
          <w:color w:val="000000"/>
          <w:sz w:val="30"/>
          <w:szCs w:val="30"/>
        </w:rPr>
        <w:t>因</w:t>
      </w:r>
      <w:r>
        <w:rPr>
          <w:rFonts w:eastAsia="仿宋_GB2312"/>
          <w:color w:val="000000"/>
          <w:sz w:val="30"/>
          <w:szCs w:val="30"/>
        </w:rPr>
        <w:t>不可抗力或经甲方同意</w:t>
      </w:r>
      <w:r>
        <w:rPr>
          <w:rFonts w:hint="eastAsia" w:eastAsia="仿宋_GB2312"/>
          <w:color w:val="000000"/>
          <w:sz w:val="30"/>
          <w:szCs w:val="30"/>
        </w:rPr>
        <w:t>，</w:t>
      </w:r>
      <w:r>
        <w:rPr>
          <w:rFonts w:eastAsia="仿宋_GB2312"/>
          <w:color w:val="000000"/>
          <w:sz w:val="30"/>
          <w:szCs w:val="30"/>
        </w:rPr>
        <w:t>工期</w:t>
      </w:r>
      <w:r>
        <w:rPr>
          <w:rFonts w:hint="eastAsia" w:eastAsia="仿宋_GB2312"/>
          <w:color w:val="000000"/>
          <w:sz w:val="30"/>
          <w:szCs w:val="30"/>
        </w:rPr>
        <w:t>可</w:t>
      </w:r>
      <w:r>
        <w:rPr>
          <w:rFonts w:eastAsia="仿宋_GB2312"/>
          <w:color w:val="000000"/>
          <w:sz w:val="30"/>
          <w:szCs w:val="30"/>
        </w:rPr>
        <w:t>顺延。</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rPr>
        <w:t>6.货物包装、发运及运输</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w:t>
      </w:r>
      <w:r>
        <w:rPr>
          <w:rFonts w:eastAsia="仿宋_GB2312"/>
          <w:color w:val="000000"/>
          <w:sz w:val="30"/>
          <w:szCs w:val="30"/>
        </w:rPr>
        <w:t>2</w:t>
      </w:r>
      <w:r>
        <w:rPr>
          <w:rFonts w:hint="eastAsia" w:eastAsia="仿宋_GB2312"/>
          <w:color w:val="000000"/>
          <w:sz w:val="30"/>
          <w:szCs w:val="30"/>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w:t>
      </w:r>
      <w:r>
        <w:rPr>
          <w:rFonts w:eastAsia="仿宋_GB2312"/>
          <w:color w:val="000000"/>
          <w:sz w:val="30"/>
          <w:szCs w:val="30"/>
        </w:rPr>
        <w:t>3</w:t>
      </w:r>
      <w:r>
        <w:rPr>
          <w:rFonts w:hint="eastAsia" w:eastAsia="仿宋_GB2312"/>
          <w:color w:val="000000"/>
          <w:sz w:val="30"/>
          <w:szCs w:val="30"/>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五、验收、质量保证</w:t>
      </w:r>
    </w:p>
    <w:p>
      <w:pPr>
        <w:adjustRightInd w:val="0"/>
        <w:snapToGrid w:val="0"/>
        <w:spacing w:line="480" w:lineRule="exact"/>
        <w:ind w:firstLine="640" w:firstLineChars="200"/>
        <w:rPr>
          <w:rFonts w:eastAsia="仿宋_GB2312"/>
          <w:color w:val="000000"/>
          <w:sz w:val="30"/>
          <w:szCs w:val="30"/>
        </w:rPr>
      </w:pPr>
      <w:r>
        <w:rPr>
          <w:rFonts w:ascii="仿宋_GB2312" w:hAnsi="仿宋_GB2312" w:eastAsia="仿宋_GB2312" w:cs="仿宋_GB2312"/>
          <w:color w:val="000000"/>
          <w:sz w:val="32"/>
          <w:szCs w:val="32"/>
        </w:rPr>
        <w:t>1</w:t>
      </w:r>
      <w:r>
        <w:rPr>
          <w:rFonts w:eastAsia="仿宋_GB2312"/>
          <w:color w:val="000000"/>
          <w:sz w:val="30"/>
          <w:szCs w:val="30"/>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2.甲方对乙方所交货物依照</w:t>
      </w:r>
      <w:r>
        <w:rPr>
          <w:rFonts w:hint="eastAsia" w:eastAsia="仿宋_GB2312"/>
          <w:color w:val="000000"/>
          <w:sz w:val="30"/>
          <w:szCs w:val="30"/>
        </w:rPr>
        <w:t>本协议</w:t>
      </w:r>
      <w:r>
        <w:rPr>
          <w:rFonts w:eastAsia="仿宋_GB2312"/>
          <w:color w:val="000000"/>
          <w:sz w:val="30"/>
          <w:szCs w:val="30"/>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更换：由乙方承担所发生的全部费用；</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贬值处理：由甲乙双方合议定价；</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4.其他验收要求见</w:t>
      </w:r>
      <w:r>
        <w:rPr>
          <w:rFonts w:hint="eastAsia" w:eastAsia="仿宋_GB2312"/>
          <w:color w:val="000000"/>
          <w:sz w:val="30"/>
          <w:szCs w:val="30"/>
        </w:rPr>
        <w:t>合同附件、</w:t>
      </w:r>
      <w:r>
        <w:rPr>
          <w:rFonts w:eastAsia="仿宋_GB2312"/>
          <w:color w:val="000000"/>
          <w:sz w:val="30"/>
          <w:szCs w:val="30"/>
        </w:rPr>
        <w:t>招标文件、投标文件。</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rPr>
        <w:t>5.</w:t>
      </w:r>
      <w:r>
        <w:rPr>
          <w:rFonts w:eastAsia="仿宋_GB2312"/>
          <w:color w:val="000000"/>
          <w:sz w:val="30"/>
          <w:szCs w:val="30"/>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六、</w:t>
      </w:r>
      <w:r>
        <w:rPr>
          <w:rFonts w:eastAsia="仿宋_GB2312"/>
          <w:b/>
          <w:color w:val="000000"/>
          <w:sz w:val="30"/>
          <w:szCs w:val="30"/>
        </w:rPr>
        <w:t>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 由于乙方原因</w:t>
      </w:r>
      <w:r>
        <w:rPr>
          <w:rFonts w:hint="eastAsia" w:eastAsia="仿宋_GB2312"/>
          <w:color w:val="000000"/>
          <w:sz w:val="30"/>
          <w:szCs w:val="30"/>
        </w:rPr>
        <w:t>项目</w:t>
      </w:r>
      <w:r>
        <w:rPr>
          <w:rFonts w:eastAsia="仿宋_GB2312"/>
          <w:color w:val="000000"/>
          <w:sz w:val="30"/>
          <w:szCs w:val="30"/>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3.乙方逾期竣工的，工期逾期&lt;10天的，乙方</w:t>
      </w:r>
      <w:r>
        <w:rPr>
          <w:rFonts w:hint="eastAsia" w:eastAsia="仿宋_GB2312"/>
          <w:color w:val="000000"/>
          <w:sz w:val="30"/>
          <w:szCs w:val="30"/>
        </w:rPr>
        <w:t>向甲方支付违</w:t>
      </w:r>
      <w:r>
        <w:rPr>
          <w:rFonts w:hint="eastAsia" w:ascii="___WRD_EMBED_SUB_72" w:hAnsi="___WRD_EMBED_SUB_72" w:eastAsia="___WRD_EMBED_SUB_72" w:cs="___WRD_EMBED_SUB_72"/>
          <w:color w:val="000000"/>
          <w:sz w:val="30"/>
          <w:szCs w:val="30"/>
        </w:rPr>
        <w:t>约金【1</w:t>
      </w:r>
      <w:r>
        <w:rPr>
          <w:rFonts w:ascii="___WRD_EMBED_SUB_72" w:hAnsi="___WRD_EMBED_SUB_72" w:eastAsia="___WRD_EMBED_SUB_72" w:cs="___WRD_EMBED_SUB_72"/>
          <w:color w:val="000000"/>
          <w:sz w:val="30"/>
          <w:szCs w:val="30"/>
        </w:rPr>
        <w:t>000</w:t>
      </w:r>
      <w:r>
        <w:rPr>
          <w:rFonts w:hint="eastAsia" w:ascii="___WRD_EMBED_SUB_72" w:hAnsi="___WRD_EMBED_SUB_72" w:eastAsia="___WRD_EMBED_SUB_72" w:cs="___WRD_EMBED_SUB_72"/>
          <w:color w:val="000000"/>
          <w:sz w:val="30"/>
          <w:szCs w:val="30"/>
        </w:rPr>
        <w:t>】</w:t>
      </w:r>
      <w:r>
        <w:rPr>
          <w:rFonts w:eastAsia="仿宋_GB2312"/>
          <w:color w:val="000000"/>
          <w:sz w:val="30"/>
          <w:szCs w:val="30"/>
        </w:rPr>
        <w:t>元/天。工期逾期≥10天的，</w:t>
      </w:r>
      <w:r>
        <w:rPr>
          <w:rFonts w:hint="eastAsia" w:eastAsia="仿宋_GB2312"/>
          <w:color w:val="000000"/>
          <w:sz w:val="30"/>
          <w:szCs w:val="30"/>
        </w:rPr>
        <w:t>10天（含）以上部分，乙方向</w:t>
      </w:r>
      <w:r>
        <w:rPr>
          <w:rFonts w:eastAsia="仿宋_GB2312"/>
          <w:color w:val="000000"/>
          <w:sz w:val="30"/>
          <w:szCs w:val="30"/>
        </w:rPr>
        <w:t>甲方</w:t>
      </w:r>
      <w:r>
        <w:rPr>
          <w:rFonts w:hint="eastAsia" w:eastAsia="仿宋_GB2312"/>
          <w:color w:val="000000"/>
          <w:sz w:val="30"/>
          <w:szCs w:val="30"/>
        </w:rPr>
        <w:t>支付</w:t>
      </w:r>
      <w:r>
        <w:rPr>
          <w:rFonts w:hint="eastAsia" w:ascii="___WRD_EMBED_SUB_72" w:hAnsi="___WRD_EMBED_SUB_72" w:eastAsia="___WRD_EMBED_SUB_72" w:cs="___WRD_EMBED_SUB_72"/>
          <w:color w:val="000000"/>
          <w:sz w:val="30"/>
          <w:szCs w:val="30"/>
        </w:rPr>
        <w:t>约金</w:t>
      </w:r>
      <w:r>
        <w:rPr>
          <w:rFonts w:eastAsia="仿宋_GB2312"/>
          <w:color w:val="000000"/>
          <w:sz w:val="30"/>
          <w:szCs w:val="30"/>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rPr>
      </w:pPr>
      <w:r>
        <w:rPr>
          <w:rFonts w:hint="eastAsia" w:eastAsia="仿宋_GB2312"/>
          <w:b/>
          <w:color w:val="000000"/>
          <w:sz w:val="30"/>
          <w:szCs w:val="30"/>
        </w:rPr>
        <w:t>七、</w:t>
      </w:r>
      <w:r>
        <w:rPr>
          <w:rFonts w:eastAsia="仿宋_GB2312"/>
          <w:b/>
          <w:color w:val="000000"/>
          <w:sz w:val="30"/>
          <w:szCs w:val="30"/>
        </w:rPr>
        <w:t>不可抗力事件处理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九、</w:t>
      </w:r>
      <w:r>
        <w:rPr>
          <w:rFonts w:eastAsia="仿宋_GB2312"/>
          <w:b/>
          <w:color w:val="000000"/>
          <w:sz w:val="30"/>
          <w:szCs w:val="30"/>
        </w:rPr>
        <w:t>合同争议的解决</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1.本合同适用法律为中华人民共和国有关法律。</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w:t>
      </w:r>
      <w:r>
        <w:rPr>
          <w:rFonts w:eastAsia="仿宋_GB2312"/>
          <w:b/>
          <w:color w:val="000000"/>
          <w:sz w:val="30"/>
          <w:szCs w:val="30"/>
        </w:rPr>
        <w:t>知识产权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乙方应保证所提供的货物或其任何一部分均不会侵犯任何第三方的专利权、商标权或著作权</w:t>
      </w:r>
      <w:r>
        <w:rPr>
          <w:rFonts w:hint="eastAsia" w:eastAsia="仿宋_GB2312"/>
          <w:color w:val="000000"/>
          <w:sz w:val="30"/>
          <w:szCs w:val="30"/>
        </w:rPr>
        <w:t>，否则承担由此给甲方造成的一切损失</w:t>
      </w:r>
      <w:r>
        <w:rPr>
          <w:rFonts w:eastAsia="仿宋_GB2312"/>
          <w:color w:val="000000"/>
          <w:sz w:val="30"/>
          <w:szCs w:val="30"/>
        </w:rPr>
        <w:t>。</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十一、</w:t>
      </w:r>
      <w:r>
        <w:rPr>
          <w:rFonts w:eastAsia="仿宋_GB2312"/>
          <w:b/>
          <w:color w:val="000000"/>
          <w:sz w:val="30"/>
          <w:szCs w:val="30"/>
        </w:rPr>
        <w:t>合同生效及其它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1.本合同由双方法定代表人或其委托代表人签字加盖合同章之日起生效</w:t>
      </w:r>
      <w:r>
        <w:rPr>
          <w:rFonts w:hint="eastAsia" w:eastAsia="仿宋_GB2312"/>
          <w:color w:val="000000"/>
          <w:sz w:val="30"/>
          <w:szCs w:val="30"/>
        </w:rPr>
        <w:t>，</w:t>
      </w:r>
      <w:r>
        <w:rPr>
          <w:rFonts w:eastAsia="仿宋_GB2312"/>
          <w:color w:val="000000"/>
          <w:sz w:val="30"/>
          <w:szCs w:val="30"/>
        </w:rPr>
        <w:t>本合同壹式</w:t>
      </w:r>
      <w:r>
        <w:rPr>
          <w:rFonts w:hint="eastAsia" w:ascii="微软雅黑" w:hAnsi="微软雅黑" w:eastAsia="微软雅黑" w:cs="微软雅黑"/>
          <w:color w:val="000000"/>
          <w:sz w:val="30"/>
          <w:szCs w:val="30"/>
        </w:rPr>
        <w:t>【肆】</w:t>
      </w:r>
      <w:r>
        <w:rPr>
          <w:rFonts w:hint="eastAsia" w:ascii="___WRD_EMBED_SUB_72" w:hAnsi="___WRD_EMBED_SUB_72" w:eastAsia="___WRD_EMBED_SUB_72" w:cs="___WRD_EMBED_SUB_72"/>
          <w:color w:val="000000"/>
          <w:sz w:val="30"/>
          <w:szCs w:val="30"/>
        </w:rPr>
        <w:t>份，甲方执【贰】份，乙方执【贰】份。</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组成本合同的文件及效力等级如下：</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．合同附件四：安全协议书</w:t>
      </w:r>
    </w:p>
    <w:p>
      <w:pPr>
        <w:adjustRightInd w:val="0"/>
        <w:snapToGrid w:val="0"/>
        <w:spacing w:line="480" w:lineRule="exact"/>
        <w:ind w:firstLine="600" w:firstLineChars="200"/>
        <w:rPr>
          <w:rFonts w:eastAsia="仿宋_GB2312"/>
          <w:color w:val="000000"/>
          <w:sz w:val="30"/>
          <w:szCs w:val="30"/>
        </w:rPr>
      </w:pPr>
    </w:p>
    <w:p>
      <w:pPr>
        <w:spacing w:line="500" w:lineRule="exact"/>
        <w:rPr>
          <w:rFonts w:eastAsia="仿宋_GB2312"/>
          <w:b/>
          <w:color w:val="000000"/>
          <w:sz w:val="30"/>
          <w:szCs w:val="30"/>
        </w:rPr>
      </w:pPr>
    </w:p>
    <w:tbl>
      <w:tblPr>
        <w:tblStyle w:val="39"/>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4763" w:type="dxa"/>
            <w:tcBorders>
              <w:bottom w:val="single" w:color="auto" w:sz="4" w:space="0"/>
            </w:tcBorders>
          </w:tcPr>
          <w:p>
            <w:pPr>
              <w:spacing w:line="480" w:lineRule="exact"/>
              <w:ind w:left="1050" w:leftChars="50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w:t>
            </w:r>
          </w:p>
          <w:p>
            <w:pPr>
              <w:spacing w:line="480" w:lineRule="exact"/>
              <w:ind w:left="1500" w:hanging="1500" w:hangingChars="500"/>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单位名称：中粮梁河糖业有限公司</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单位地址：云南省德宏州梁河县勐养镇中营村委会党良街（原勐养糖厂内）</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委托代理人：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电话号码：0692-6168776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传真号码：0692-6168776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开户行：中国农业银行股份有限公司梁河县支行营业室</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帐号：24139701040011717</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税号：91533122MA6KX49T1F</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邮编：679207</w:t>
            </w:r>
          </w:p>
          <w:p>
            <w:pPr>
              <w:adjustRightInd w:val="0"/>
              <w:snapToGrid w:val="0"/>
              <w:spacing w:line="420" w:lineRule="exact"/>
              <w:rPr>
                <w:rFonts w:eastAsia="仿宋_GB2312"/>
                <w:sz w:val="30"/>
              </w:rPr>
            </w:pPr>
            <w:r>
              <w:rPr>
                <w:rFonts w:hint="eastAsia" w:ascii="仿宋_GB2312" w:hAnsi="仿宋_GB2312" w:eastAsia="仿宋_GB2312" w:cs="仿宋_GB2312"/>
                <w:sz w:val="30"/>
                <w:szCs w:val="30"/>
              </w:rPr>
              <w:t>签订日期：       年   月    日</w:t>
            </w:r>
          </w:p>
        </w:tc>
        <w:tc>
          <w:tcPr>
            <w:tcW w:w="4830" w:type="dxa"/>
          </w:tcPr>
          <w:p>
            <w:pPr>
              <w:spacing w:line="520" w:lineRule="exact"/>
              <w:jc w:val="center"/>
              <w:rPr>
                <w:rFonts w:eastAsia="仿宋_GB2312"/>
                <w:sz w:val="30"/>
              </w:rPr>
            </w:pPr>
            <w:r>
              <w:rPr>
                <w:rFonts w:eastAsia="仿宋_GB2312"/>
                <w:sz w:val="30"/>
              </w:rPr>
              <w:t>乙方</w:t>
            </w:r>
          </w:p>
          <w:p>
            <w:pPr>
              <w:spacing w:line="520" w:lineRule="exact"/>
              <w:ind w:left="1500" w:hanging="1500" w:hangingChars="500"/>
              <w:rPr>
                <w:rFonts w:eastAsia="仿宋_GB2312"/>
                <w:sz w:val="30"/>
                <w:szCs w:val="30"/>
              </w:rPr>
            </w:pPr>
            <w:r>
              <w:rPr>
                <w:rFonts w:eastAsia="仿宋_GB2312"/>
                <w:sz w:val="30"/>
              </w:rPr>
              <w:t>单位名称：</w:t>
            </w:r>
            <w:r>
              <w:rPr>
                <w:rFonts w:eastAsia="仿宋_GB2312"/>
                <w:sz w:val="30"/>
                <w:szCs w:val="30"/>
              </w:rPr>
              <w:t xml:space="preserve"> </w:t>
            </w:r>
          </w:p>
          <w:p>
            <w:pPr>
              <w:spacing w:line="520" w:lineRule="exact"/>
              <w:ind w:left="1500" w:hanging="1500" w:hangingChars="500"/>
              <w:rPr>
                <w:rFonts w:eastAsia="仿宋_GB2312"/>
                <w:sz w:val="30"/>
              </w:rPr>
            </w:pPr>
          </w:p>
          <w:p>
            <w:pPr>
              <w:spacing w:line="520" w:lineRule="exact"/>
              <w:ind w:left="1500" w:hanging="1500" w:hangingChars="500"/>
              <w:rPr>
                <w:rFonts w:eastAsia="仿宋_GB2312"/>
                <w:sz w:val="28"/>
                <w:szCs w:val="28"/>
              </w:rPr>
            </w:pPr>
            <w:r>
              <w:rPr>
                <w:rFonts w:eastAsia="仿宋_GB2312"/>
                <w:sz w:val="30"/>
              </w:rPr>
              <w:t>单位地址：</w:t>
            </w:r>
            <w:r>
              <w:rPr>
                <w:rFonts w:eastAsia="仿宋_GB2312"/>
                <w:sz w:val="28"/>
                <w:szCs w:val="28"/>
              </w:rPr>
              <w:t xml:space="preserve"> </w:t>
            </w:r>
          </w:p>
          <w:p>
            <w:pPr>
              <w:spacing w:line="520" w:lineRule="exact"/>
              <w:rPr>
                <w:rFonts w:eastAsia="仿宋_GB2312"/>
                <w:sz w:val="30"/>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rPr>
            </w:pPr>
            <w:r>
              <w:rPr>
                <w:rFonts w:eastAsia="仿宋_GB2312"/>
                <w:sz w:val="30"/>
              </w:rPr>
              <w:t>电话号码</w:t>
            </w:r>
            <w:r>
              <w:rPr>
                <w:rFonts w:eastAsia="仿宋_GB2312"/>
                <w:sz w:val="30"/>
                <w:szCs w:val="30"/>
              </w:rPr>
              <w:t>：</w:t>
            </w:r>
          </w:p>
          <w:p>
            <w:pPr>
              <w:spacing w:line="520" w:lineRule="exact"/>
              <w:rPr>
                <w:rFonts w:eastAsia="仿宋_GB2312"/>
                <w:sz w:val="30"/>
                <w:szCs w:val="30"/>
              </w:rPr>
            </w:pPr>
            <w:r>
              <w:rPr>
                <w:rFonts w:eastAsia="仿宋_GB2312"/>
                <w:sz w:val="30"/>
              </w:rPr>
              <w:t>传真号码：</w:t>
            </w:r>
          </w:p>
          <w:p>
            <w:pPr>
              <w:spacing w:line="520" w:lineRule="exact"/>
              <w:ind w:left="1200" w:hanging="1200" w:hangingChars="400"/>
              <w:rPr>
                <w:rFonts w:eastAsia="仿宋_GB2312"/>
                <w:sz w:val="30"/>
              </w:rPr>
            </w:pPr>
            <w:r>
              <w:rPr>
                <w:rFonts w:eastAsia="仿宋_GB2312"/>
                <w:sz w:val="30"/>
              </w:rPr>
              <w:t xml:space="preserve">开户行： </w:t>
            </w:r>
          </w:p>
          <w:p>
            <w:pPr>
              <w:spacing w:line="520" w:lineRule="exact"/>
              <w:rPr>
                <w:rFonts w:eastAsia="仿宋_GB2312"/>
                <w:sz w:val="28"/>
                <w:szCs w:val="28"/>
              </w:rPr>
            </w:pPr>
            <w:r>
              <w:rPr>
                <w:rFonts w:eastAsia="仿宋_GB2312"/>
                <w:sz w:val="30"/>
              </w:rPr>
              <w:t>帐号：</w:t>
            </w:r>
          </w:p>
          <w:p>
            <w:pPr>
              <w:spacing w:line="520" w:lineRule="exact"/>
              <w:rPr>
                <w:rFonts w:eastAsia="仿宋_GB2312"/>
                <w:sz w:val="30"/>
              </w:rPr>
            </w:pPr>
            <w:r>
              <w:rPr>
                <w:rFonts w:eastAsia="仿宋_GB2312"/>
                <w:sz w:val="30"/>
              </w:rPr>
              <w:t>税号：</w:t>
            </w:r>
          </w:p>
          <w:p>
            <w:pPr>
              <w:spacing w:line="520" w:lineRule="exact"/>
              <w:rPr>
                <w:rFonts w:eastAsia="仿宋_GB2312"/>
                <w:sz w:val="30"/>
              </w:rPr>
            </w:pPr>
            <w:r>
              <w:rPr>
                <w:rFonts w:eastAsia="仿宋_GB2312"/>
                <w:sz w:val="30"/>
              </w:rPr>
              <w:t>邮编：</w:t>
            </w:r>
          </w:p>
          <w:p>
            <w:pPr>
              <w:spacing w:line="520" w:lineRule="exact"/>
              <w:rPr>
                <w:rFonts w:eastAsia="仿宋_GB2312"/>
                <w:sz w:val="30"/>
              </w:rPr>
            </w:pPr>
            <w:r>
              <w:rPr>
                <w:rFonts w:eastAsia="仿宋_GB2312"/>
                <w:sz w:val="30"/>
              </w:rPr>
              <w:t>签订日期：</w:t>
            </w:r>
            <w:r>
              <w:rPr>
                <w:rFonts w:hint="eastAsia" w:ascii="仿宋_GB2312" w:eastAsia="仿宋_GB2312"/>
                <w:sz w:val="30"/>
              </w:rPr>
              <w:t xml:space="preserve">    年   月    日</w:t>
            </w:r>
          </w:p>
        </w:tc>
      </w:tr>
    </w:tbl>
    <w:p>
      <w:pPr>
        <w:adjustRightInd w:val="0"/>
        <w:snapToGrid w:val="0"/>
        <w:spacing w:line="500" w:lineRule="exact"/>
        <w:ind w:firstLine="602" w:firstLineChars="200"/>
        <w:rPr>
          <w:rFonts w:ascii="仿宋_GB2312" w:eastAsia="仿宋_GB2312"/>
          <w:b/>
          <w:bCs/>
          <w:sz w:val="30"/>
          <w:szCs w:val="30"/>
        </w:rPr>
      </w:pPr>
    </w:p>
    <w:p>
      <w:pPr>
        <w:adjustRightInd w:val="0"/>
        <w:snapToGrid w:val="0"/>
        <w:spacing w:line="500" w:lineRule="exact"/>
        <w:rPr>
          <w:rFonts w:ascii="仿宋_GB2312" w:eastAsia="仿宋_GB2312"/>
          <w:b/>
          <w:bCs/>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keepNext/>
        <w:keepLines/>
        <w:rPr>
          <w:b/>
          <w:bCs/>
          <w:szCs w:val="21"/>
        </w:rPr>
        <w:sectPr>
          <w:headerReference r:id="rId3" w:type="default"/>
          <w:footerReference r:id="rId4" w:type="default"/>
          <w:pgSz w:w="11906" w:h="16838"/>
          <w:pgMar w:top="1418" w:right="1418" w:bottom="1418" w:left="1418" w:header="851" w:footer="992" w:gutter="0"/>
          <w:cols w:space="720" w:num="1"/>
          <w:docGrid w:linePitch="312" w:charSpace="0"/>
        </w:sectPr>
      </w:pPr>
    </w:p>
    <w:p>
      <w:pPr>
        <w:keepNext/>
        <w:keepLines/>
        <w:rPr>
          <w:b/>
          <w:bCs/>
          <w:szCs w:val="21"/>
        </w:rPr>
      </w:pPr>
      <w:r>
        <w:rPr>
          <w:rFonts w:hint="eastAsia"/>
          <w:b/>
          <w:bCs/>
          <w:szCs w:val="21"/>
        </w:rPr>
        <w:t>附件1. 技术协议</w:t>
      </w:r>
    </w:p>
    <w:p>
      <w:pPr>
        <w:keepNext/>
        <w:keepLines/>
        <w:jc w:val="center"/>
        <w:rPr>
          <w:b/>
          <w:bCs/>
          <w:sz w:val="48"/>
          <w:szCs w:val="48"/>
        </w:rPr>
      </w:pPr>
      <w:r>
        <w:rPr>
          <w:rFonts w:hint="eastAsia"/>
          <w:b/>
          <w:bCs/>
          <w:sz w:val="48"/>
          <w:szCs w:val="48"/>
        </w:rPr>
        <w:t>技术协议</w:t>
      </w:r>
    </w:p>
    <w:p>
      <w:pPr>
        <w:tabs>
          <w:tab w:val="left" w:pos="8148"/>
        </w:tabs>
        <w:rPr>
          <w:b/>
          <w:bCs/>
          <w:sz w:val="24"/>
        </w:rPr>
      </w:pPr>
      <w:r>
        <w:rPr>
          <w:b/>
          <w:bCs/>
          <w:sz w:val="24"/>
        </w:rPr>
        <w:tab/>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甲方:  中粮梁河糖业有限公司</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乙方：</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经双方充分协商，甲方委托乙方</w:t>
      </w:r>
      <w:r>
        <w:rPr>
          <w:rFonts w:hint="eastAsia" w:ascii="仿宋_GB2312" w:hAnsi="仿宋_GB2312" w:eastAsia="仿宋_GB2312" w:cs="仿宋_GB2312"/>
          <w:color w:val="FF0000"/>
          <w:sz w:val="30"/>
          <w:szCs w:val="30"/>
        </w:rPr>
        <w:t>承接</w:t>
      </w:r>
      <w:bookmarkStart w:id="16" w:name="OLE_LINK66"/>
      <w:bookmarkStart w:id="17" w:name="OLE_LINK65"/>
      <w:r>
        <w:rPr>
          <w:rStyle w:val="71"/>
          <w:rFonts w:hint="eastAsia" w:ascii="宋体" w:hAnsi="宋体" w:cs="宋体"/>
          <w:bCs/>
          <w:sz w:val="32"/>
          <w:szCs w:val="32"/>
        </w:rPr>
        <w:t>2</w:t>
      </w:r>
      <w:r>
        <w:rPr>
          <w:rFonts w:ascii="仿宋_GB2312" w:hAnsi="仿宋_GB2312" w:eastAsia="仿宋_GB2312" w:cs="仿宋_GB2312"/>
          <w:sz w:val="30"/>
          <w:szCs w:val="30"/>
        </w:rPr>
        <w:t>023年</w:t>
      </w:r>
      <w:r>
        <w:rPr>
          <w:rFonts w:hint="eastAsia" w:ascii="仿宋_GB2312" w:hAnsi="仿宋_GB2312" w:eastAsia="仿宋_GB2312" w:cs="仿宋_GB2312"/>
          <w:sz w:val="30"/>
          <w:szCs w:val="30"/>
        </w:rPr>
        <w:t>梁河糖业</w:t>
      </w:r>
      <w:bookmarkEnd w:id="16"/>
      <w:bookmarkEnd w:id="17"/>
      <w:r>
        <w:rPr>
          <w:rFonts w:hint="eastAsia" w:ascii="仿宋_GB2312" w:hAnsi="仿宋_GB2312" w:eastAsia="仿宋_GB2312" w:cs="仿宋_GB2312"/>
          <w:sz w:val="30"/>
          <w:szCs w:val="30"/>
        </w:rPr>
        <w:t>磷酸储罐新建雨棚</w:t>
      </w:r>
      <w:r>
        <w:rPr>
          <w:rFonts w:hint="eastAsia" w:ascii="仿宋_GB2312" w:hAnsi="仿宋_GB2312" w:eastAsia="仿宋_GB2312" w:cs="仿宋_GB2312"/>
          <w:color w:val="FF0000"/>
          <w:sz w:val="30"/>
          <w:szCs w:val="30"/>
        </w:rPr>
        <w:t>的供货、运输、安装、使用及售后服务</w:t>
      </w:r>
      <w:r>
        <w:rPr>
          <w:rFonts w:hint="eastAsia" w:ascii="仿宋_GB2312" w:hAnsi="仿宋_GB2312" w:eastAsia="仿宋_GB2312" w:cs="仿宋_GB2312"/>
          <w:sz w:val="30"/>
          <w:szCs w:val="30"/>
        </w:rPr>
        <w:t>。为了更好地执行合同的相关条款，特制订本技术要求，以资双方共同遵照。</w:t>
      </w:r>
    </w:p>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第一条主体设备技术参数</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pPr>
        <w:rPr>
          <w:rStyle w:val="71"/>
          <w:rFonts w:ascii="宋体" w:hAnsi="宋体"/>
          <w:bCs/>
          <w:sz w:val="32"/>
          <w:szCs w:val="32"/>
        </w:rPr>
      </w:pPr>
      <w:r>
        <w:rPr>
          <w:rFonts w:hint="eastAsia" w:ascii="仿宋_GB2312" w:hAnsi="仿宋_GB2312" w:eastAsia="仿宋_GB2312" w:cs="仿宋_GB2312"/>
          <w:b/>
          <w:color w:val="FF0000"/>
          <w:sz w:val="30"/>
          <w:szCs w:val="30"/>
        </w:rPr>
        <w:t>第二条 项目内容设备材料供货、安装范围</w:t>
      </w:r>
    </w:p>
    <w:tbl>
      <w:tblPr>
        <w:tblStyle w:val="39"/>
        <w:tblW w:w="8789" w:type="dxa"/>
        <w:tblInd w:w="108" w:type="dxa"/>
        <w:tblLayout w:type="autofit"/>
        <w:tblCellMar>
          <w:top w:w="0" w:type="dxa"/>
          <w:left w:w="108" w:type="dxa"/>
          <w:bottom w:w="0" w:type="dxa"/>
          <w:right w:w="108" w:type="dxa"/>
        </w:tblCellMar>
      </w:tblPr>
      <w:tblGrid>
        <w:gridCol w:w="539"/>
        <w:gridCol w:w="1197"/>
        <w:gridCol w:w="2612"/>
        <w:gridCol w:w="818"/>
        <w:gridCol w:w="946"/>
        <w:gridCol w:w="954"/>
        <w:gridCol w:w="872"/>
        <w:gridCol w:w="851"/>
      </w:tblGrid>
      <w:tr>
        <w:tblPrEx>
          <w:tblCellMar>
            <w:top w:w="0" w:type="dxa"/>
            <w:left w:w="108" w:type="dxa"/>
            <w:bottom w:w="0" w:type="dxa"/>
            <w:right w:w="108" w:type="dxa"/>
          </w:tblCellMar>
        </w:tblPrEx>
        <w:trPr>
          <w:trHeight w:val="72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序号</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产品名称</w:t>
            </w:r>
          </w:p>
        </w:tc>
        <w:tc>
          <w:tcPr>
            <w:tcW w:w="261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规格型号</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单位</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数量</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单价/元</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总价/元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备注</w:t>
            </w: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eastAsia="zh-CN"/>
              </w:rPr>
            </w:pPr>
            <w:r>
              <w:rPr>
                <w:rFonts w:hint="eastAsia" w:eastAsia="仿宋_GB2312"/>
                <w:color w:val="000000"/>
                <w:kern w:val="0"/>
                <w:sz w:val="24"/>
                <w:lang w:eastAsia="zh-CN"/>
              </w:rPr>
              <w:t>一</w:t>
            </w:r>
          </w:p>
        </w:tc>
        <w:tc>
          <w:tcPr>
            <w:tcW w:w="1197" w:type="dxa"/>
            <w:tcBorders>
              <w:top w:val="nil"/>
              <w:left w:val="nil"/>
              <w:bottom w:val="single" w:color="auto" w:sz="4" w:space="0"/>
              <w:right w:val="single" w:color="auto" w:sz="4" w:space="0"/>
            </w:tcBorders>
            <w:shd w:val="clear" w:color="auto" w:fill="auto"/>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勐养工厂磷酸储罐新建雨棚</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hint="eastAsia" w:eastAsia="仿宋_GB2312"/>
                <w:color w:val="000000"/>
                <w:kern w:val="0"/>
                <w:sz w:val="24"/>
              </w:rPr>
            </w:pP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51" w:type="dxa"/>
            <w:tcBorders>
              <w:top w:val="nil"/>
              <w:left w:val="nil"/>
              <w:right w:val="single" w:color="auto" w:sz="4" w:space="0"/>
            </w:tcBorders>
            <w:shd w:val="clear" w:color="auto" w:fill="auto"/>
            <w:noWrap/>
            <w:vAlign w:val="center"/>
          </w:tcPr>
          <w:p>
            <w:pPr>
              <w:jc w:val="center"/>
              <w:rPr>
                <w:rFonts w:hint="eastAsia" w:eastAsia="仿宋_GB2312"/>
                <w:color w:val="000000"/>
                <w:kern w:val="0"/>
                <w:sz w:val="24"/>
              </w:rPr>
            </w:pP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1</w:t>
            </w:r>
          </w:p>
        </w:tc>
        <w:tc>
          <w:tcPr>
            <w:tcW w:w="1197" w:type="dxa"/>
            <w:tcBorders>
              <w:top w:val="nil"/>
              <w:left w:val="nil"/>
              <w:bottom w:val="single" w:color="auto" w:sz="4" w:space="0"/>
              <w:right w:val="single" w:color="auto" w:sz="4" w:space="0"/>
            </w:tcBorders>
            <w:shd w:val="clear" w:color="auto" w:fill="auto"/>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磷酸库房钢柱基础开挖</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长0.4m，宽0.4m，深0.5m，6个，含渣土外运</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restart"/>
            <w:tcBorders>
              <w:top w:val="nil"/>
              <w:left w:val="nil"/>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勐养工厂压榨车间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r>
              <w:rPr>
                <w:rFonts w:hint="eastAsia" w:eastAsia="仿宋_GB2312"/>
                <w:color w:val="000000"/>
                <w:kern w:val="0"/>
                <w:sz w:val="24"/>
              </w:rPr>
              <w:t>　</w:t>
            </w:r>
          </w:p>
        </w:tc>
      </w:tr>
      <w:tr>
        <w:tblPrEx>
          <w:tblCellMar>
            <w:top w:w="0" w:type="dxa"/>
            <w:left w:w="108" w:type="dxa"/>
            <w:bottom w:w="0" w:type="dxa"/>
            <w:right w:w="108" w:type="dxa"/>
          </w:tblCellMar>
        </w:tblPrEx>
        <w:trPr>
          <w:trHeight w:val="6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2</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磷酸库房钢柱基础浇筑</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20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3</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磷酸罐及磷酸泵钢架房制做安装</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弓形钢架房建盖（长10m*宽7m*柱高5.5m，立柱6根，铝瓦δ0.7mm）；</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70</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76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4</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磷酸罐及磷酸泵钢架房围边</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铝瓦δ=0.7mm围边（高1米）</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40.5</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78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5</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磷酸罐围堰制作防护栏</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围堰防护栏（长34米，高1.2米），护栏横杆及立柱无缝管φ32*3.5（75米）；扁钢25*4（70米）；扁钢100*2（35米）按公司防护栏制作标准制作。</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34</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textAlignment w:val="auto"/>
              <w:rPr>
                <w:rFonts w:eastAsia="仿宋_GB2312"/>
                <w:color w:val="000000"/>
                <w:kern w:val="0"/>
                <w:sz w:val="24"/>
              </w:rPr>
            </w:pPr>
          </w:p>
        </w:tc>
      </w:tr>
      <w:tr>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hint="default" w:eastAsia="仿宋_GB2312"/>
                <w:color w:val="000000"/>
                <w:kern w:val="0"/>
                <w:sz w:val="24"/>
                <w:lang w:val="en-US" w:eastAsia="zh-CN"/>
              </w:rPr>
            </w:pP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勐养工厂小计</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51" w:type="dxa"/>
            <w:vMerge w:val="continue"/>
            <w:tcBorders>
              <w:left w:val="nil"/>
              <w:right w:val="single" w:color="auto" w:sz="4" w:space="0"/>
            </w:tcBorders>
            <w:shd w:val="clear" w:color="auto" w:fill="auto"/>
            <w:noWrap/>
            <w:vAlign w:val="center"/>
          </w:tcPr>
          <w:p>
            <w:pPr>
              <w:jc w:val="center"/>
              <w:rPr>
                <w:rFonts w:hint="eastAsia" w:eastAsia="仿宋_GB2312"/>
                <w:color w:val="000000"/>
                <w:kern w:val="0"/>
                <w:sz w:val="24"/>
              </w:rPr>
            </w:pPr>
          </w:p>
        </w:tc>
      </w:tr>
      <w:tr>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二</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芒东工厂新建磷酸储罐雨棚</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hint="eastAsia" w:eastAsia="仿宋_GB2312"/>
                <w:color w:val="000000"/>
                <w:kern w:val="0"/>
                <w:sz w:val="24"/>
              </w:rPr>
            </w:pP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hint="eastAsia" w:eastAsia="仿宋_GB2312"/>
                <w:color w:val="000000"/>
                <w:kern w:val="0"/>
                <w:sz w:val="24"/>
              </w:rPr>
            </w:pP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51" w:type="dxa"/>
            <w:vMerge w:val="restart"/>
            <w:tcBorders>
              <w:top w:val="nil"/>
              <w:left w:val="nil"/>
              <w:right w:val="single" w:color="auto" w:sz="4" w:space="0"/>
            </w:tcBorders>
            <w:shd w:val="clear" w:color="auto" w:fill="auto"/>
            <w:noWrap/>
            <w:vAlign w:val="center"/>
          </w:tcPr>
          <w:p>
            <w:pPr>
              <w:jc w:val="center"/>
              <w:textAlignment w:val="auto"/>
              <w:rPr>
                <w:rFonts w:eastAsia="仿宋_GB2312"/>
                <w:color w:val="000000"/>
                <w:kern w:val="0"/>
                <w:sz w:val="24"/>
              </w:rPr>
            </w:pPr>
            <w:r>
              <w:rPr>
                <w:sz w:val="24"/>
              </w:rPr>
              <w:pict>
                <v:line id="_x0000_s1026" o:spid="_x0000_s1026" o:spt="20" style="position:absolute;left:0pt;margin-left:-3.85pt;margin-top:-126.3pt;height:1.7pt;width:39.65pt;z-index:251660288;mso-width-relative:page;mso-height-relative:page;" fillcolor="#FFFFFF" filled="t" stroked="t" coordsize="21600,21600">
                  <v:path arrowok="t"/>
                  <v:fill on="t" color2="#FFFFFF" focussize="0,0"/>
                  <v:stroke color="#000000"/>
                  <v:imagedata o:title=""/>
                  <o:lock v:ext="edit" aspectratio="f"/>
                </v:line>
              </w:pict>
            </w: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p>
          <w:p>
            <w:pPr>
              <w:jc w:val="center"/>
              <w:rPr>
                <w:rFonts w:eastAsia="仿宋_GB2312"/>
                <w:color w:val="000000"/>
                <w:kern w:val="0"/>
                <w:sz w:val="24"/>
              </w:rPr>
            </w:pPr>
          </w:p>
          <w:p>
            <w:pPr>
              <w:jc w:val="center"/>
              <w:rPr>
                <w:rFonts w:eastAsia="仿宋_GB2312"/>
                <w:color w:val="000000"/>
                <w:kern w:val="0"/>
                <w:sz w:val="24"/>
              </w:rPr>
            </w:pPr>
          </w:p>
          <w:p>
            <w:pPr>
              <w:jc w:val="center"/>
              <w:rPr>
                <w:rFonts w:eastAsia="仿宋_GB2312"/>
                <w:color w:val="000000"/>
                <w:kern w:val="0"/>
                <w:sz w:val="24"/>
              </w:rPr>
            </w:pPr>
            <w:r>
              <w:rPr>
                <w:rFonts w:hint="eastAsia" w:eastAsia="仿宋_GB2312"/>
                <w:color w:val="000000"/>
                <w:kern w:val="0"/>
                <w:sz w:val="24"/>
              </w:rPr>
              <w:t>芒东工厂压榨车间　</w:t>
            </w:r>
          </w:p>
        </w:tc>
      </w:tr>
      <w:tr>
        <w:tblPrEx>
          <w:tblCellMar>
            <w:top w:w="0" w:type="dxa"/>
            <w:left w:w="108" w:type="dxa"/>
            <w:bottom w:w="0" w:type="dxa"/>
            <w:right w:w="108" w:type="dxa"/>
          </w:tblCellMar>
        </w:tblPrEx>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1</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磷酸库房钢柱基础开挖</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长0.4m，宽0.4m，深0.5m，6个，含渣土外运</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645"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2</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磷酸库房钢柱基础浇筑</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长0.4m，宽0.4m，深0.5m，6个</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r>
              <w:rPr>
                <w:rFonts w:ascii="Calibri" w:hAnsi="Calibri" w:eastAsia="仿宋_GB2312" w:cs="Calibri"/>
                <w:color w:val="000000"/>
                <w:kern w:val="0"/>
                <w:sz w:val="24"/>
              </w:rPr>
              <w:t>³</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0.48</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26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3</w:t>
            </w:r>
          </w:p>
        </w:tc>
        <w:tc>
          <w:tcPr>
            <w:tcW w:w="119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磷酸罐及磷酸泵盖雨棚，房顶</w:t>
            </w:r>
          </w:p>
        </w:tc>
        <w:tc>
          <w:tcPr>
            <w:tcW w:w="261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钢架房（含柱）长10.5m*宽7m、高7m，立柱120*120*5方管6根、方管6*8（160米）、铝瓦厚0.7mm（74</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w:t>
            </w:r>
          </w:p>
        </w:tc>
        <w:tc>
          <w:tcPr>
            <w:tcW w:w="8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74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675"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4</w:t>
            </w: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磷酸罐及磷酸泵钢架房围边</w:t>
            </w: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铝瓦δ=0.7mm围边（高1米）</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ascii="Segoe UI Symbol" w:hAnsi="Segoe UI Symbol" w:eastAsia="Segoe UI Symbol" w:cs="Segoe UI Symbol"/>
                <w:color w:val="000000"/>
                <w:kern w:val="0"/>
                <w:sz w:val="24"/>
              </w:rPr>
              <w:t>㎡</w:t>
            </w: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40.5</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171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lang w:val="en-US" w:eastAsia="zh-CN"/>
              </w:rPr>
            </w:pPr>
            <w:r>
              <w:rPr>
                <w:rFonts w:hint="eastAsia" w:eastAsia="仿宋_GB2312"/>
                <w:color w:val="000000"/>
                <w:kern w:val="0"/>
                <w:sz w:val="24"/>
                <w:lang w:val="en-US" w:eastAsia="zh-CN"/>
              </w:rPr>
              <w:t>5</w:t>
            </w:r>
          </w:p>
        </w:tc>
        <w:tc>
          <w:tcPr>
            <w:tcW w:w="1197"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磷酸罐围堰制作防护栏</w:t>
            </w:r>
          </w:p>
        </w:tc>
        <w:tc>
          <w:tcPr>
            <w:tcW w:w="2612" w:type="dxa"/>
            <w:tcBorders>
              <w:top w:val="nil"/>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围堰防护栏（长34米，高1.2米），护栏横杆及立柱无缝管φ32*3.5（76米）；扁钢25*4（72米）；）扁钢100*2（36米）；）按公司防护栏制作标准制作。</w:t>
            </w:r>
          </w:p>
        </w:tc>
        <w:tc>
          <w:tcPr>
            <w:tcW w:w="818"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m</w:t>
            </w:r>
          </w:p>
        </w:tc>
        <w:tc>
          <w:tcPr>
            <w:tcW w:w="946" w:type="dxa"/>
            <w:tcBorders>
              <w:top w:val="nil"/>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r>
              <w:rPr>
                <w:rFonts w:hint="eastAsia" w:eastAsia="仿宋_GB2312"/>
                <w:color w:val="000000"/>
                <w:kern w:val="0"/>
                <w:sz w:val="24"/>
              </w:rPr>
              <w:t>35</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51" w:type="dxa"/>
            <w:vMerge w:val="continue"/>
            <w:tcBorders>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r>
        <w:tblPrEx>
          <w:tblCellMar>
            <w:top w:w="0" w:type="dxa"/>
            <w:left w:w="108" w:type="dxa"/>
            <w:bottom w:w="0" w:type="dxa"/>
            <w:right w:w="108" w:type="dxa"/>
          </w:tblCellMar>
        </w:tblPrEx>
        <w:trPr>
          <w:trHeight w:val="526"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hint="default" w:eastAsia="仿宋_GB2312"/>
                <w:color w:val="000000"/>
                <w:kern w:val="0"/>
                <w:sz w:val="24"/>
                <w:lang w:val="en-US" w:eastAsia="zh-CN"/>
              </w:rPr>
            </w:pPr>
            <w:r>
              <w:rPr>
                <w:rFonts w:hint="eastAsia" w:eastAsia="仿宋_GB2312"/>
                <w:color w:val="000000"/>
                <w:kern w:val="0"/>
                <w:sz w:val="24"/>
                <w:lang w:val="en-US" w:eastAsia="zh-CN"/>
              </w:rPr>
              <w:t>芒东工厂小计</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r>
        <w:tblPrEx>
          <w:tblCellMar>
            <w:top w:w="0" w:type="dxa"/>
            <w:left w:w="108" w:type="dxa"/>
            <w:bottom w:w="0" w:type="dxa"/>
            <w:right w:w="108" w:type="dxa"/>
          </w:tblCellMar>
        </w:tblPrEx>
        <w:trPr>
          <w:trHeight w:val="526"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合计</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bl>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第三条：其他要求</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1.乙方到现场测量，按甲方指定位置进行规划。 </w:t>
      </w:r>
      <w:r>
        <w:rPr>
          <w:rFonts w:ascii="仿宋_GB2312" w:hAnsi="仿宋_GB2312" w:eastAsia="仿宋_GB2312" w:cs="仿宋_GB2312"/>
          <w:sz w:val="30"/>
          <w:szCs w:val="30"/>
        </w:rPr>
        <w:t xml:space="preserve"> </w:t>
      </w:r>
    </w:p>
    <w:p>
      <w:pPr>
        <w:spacing w:line="4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施工过程中，需要零星材料由乙方负责。</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以合同为依据，根据合同明细及设备装箱清单有关技术文件说明，对设备品种、型号、数量进行清点。</w:t>
      </w:r>
    </w:p>
    <w:p>
      <w:pPr>
        <w:spacing w:line="400" w:lineRule="exact"/>
        <w:ind w:firstLine="301" w:firstLineChars="100"/>
        <w:rPr>
          <w:rFonts w:ascii="仿宋_GB2312" w:hAnsi="仿宋_GB2312" w:eastAsia="仿宋_GB2312" w:cs="仿宋_GB2312"/>
          <w:b/>
          <w:sz w:val="30"/>
          <w:szCs w:val="30"/>
        </w:rPr>
      </w:pPr>
      <w:r>
        <w:rPr>
          <w:rFonts w:hint="eastAsia" w:ascii="仿宋_GB2312" w:hAnsi="仿宋_GB2312" w:eastAsia="仿宋_GB2312" w:cs="仿宋_GB2312"/>
          <w:b/>
          <w:sz w:val="30"/>
          <w:szCs w:val="30"/>
        </w:rPr>
        <w:t>第四条 设备验收</w:t>
      </w:r>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4.1设备验收方法</w:t>
      </w:r>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4.2收货前：乙方应对设备的质量、规格、性能、数量和重量等进行详细而全面的检验。</w:t>
      </w:r>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4.3到货后验收：设备运抵现场后，甲方将对设备的质量、规格、数量和重量进行检验，并按技术要求进行验收。</w:t>
      </w:r>
    </w:p>
    <w:p>
      <w:pPr>
        <w:spacing w:line="400" w:lineRule="exact"/>
        <w:ind w:firstLine="600" w:firstLineChars="200"/>
        <w:jc w:val="left"/>
        <w:rPr>
          <w:rFonts w:ascii="仿宋_GB2312" w:hAnsi="仿宋_GB2312" w:eastAsia="仿宋_GB2312" w:cs="仿宋_GB2312"/>
          <w:color w:val="FF0000"/>
          <w:sz w:val="30"/>
          <w:szCs w:val="30"/>
          <w:highlight w:val="yellow"/>
        </w:rPr>
      </w:pPr>
      <w:r>
        <w:rPr>
          <w:rFonts w:hint="eastAsia" w:ascii="仿宋_GB2312" w:hAnsi="仿宋_GB2312" w:eastAsia="仿宋_GB2312" w:cs="仿宋_GB2312"/>
          <w:color w:val="FF0000"/>
          <w:sz w:val="30"/>
          <w:szCs w:val="30"/>
          <w:highlight w:val="yellow"/>
        </w:rPr>
        <w:t>4.4设备竣工验收：</w:t>
      </w:r>
      <w:bookmarkStart w:id="18" w:name="OLE_LINK67"/>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4.4.1雨棚建盖规范、美观。</w:t>
      </w:r>
    </w:p>
    <w:p>
      <w:pPr>
        <w:pStyle w:val="4"/>
        <w:keepNext w:val="0"/>
        <w:keepLines w:val="0"/>
        <w:shd w:val="clear" w:color="auto" w:fill="FFFFFF"/>
        <w:spacing w:line="400" w:lineRule="exact"/>
        <w:ind w:left="0" w:right="0" w:firstLine="560" w:firstLineChars="200"/>
        <w:rPr>
          <w:rFonts w:ascii="仿宋_GB2312" w:hAnsi="仿宋_GB2312" w:eastAsia="仿宋_GB2312" w:cs="仿宋_GB2312"/>
          <w:sz w:val="30"/>
          <w:szCs w:val="30"/>
          <w:lang w:eastAsia="zh-CN"/>
        </w:rPr>
      </w:pPr>
      <w:r>
        <w:rPr>
          <w:rFonts w:ascii="仿宋_GB2312" w:hAnsi="仿宋_GB2312" w:eastAsia="仿宋_GB2312" w:cs="仿宋_GB2312"/>
          <w:b w:val="0"/>
          <w:sz w:val="30"/>
          <w:szCs w:val="30"/>
          <w:lang w:eastAsia="zh-CN"/>
        </w:rPr>
        <w:t>4.4.2</w:t>
      </w:r>
      <w:r>
        <w:rPr>
          <w:rFonts w:hint="eastAsia" w:ascii="仿宋_GB2312" w:hAnsi="仿宋_GB2312" w:eastAsia="仿宋_GB2312" w:cs="仿宋_GB2312"/>
          <w:b w:val="0"/>
          <w:bCs/>
          <w:color w:val="333333"/>
          <w:spacing w:val="0"/>
          <w:sz w:val="30"/>
          <w:szCs w:val="30"/>
          <w:shd w:val="clear" w:color="auto" w:fill="FFFFFF"/>
          <w:lang w:eastAsia="zh-CN"/>
        </w:rPr>
        <w:t xml:space="preserve"> 雨棚建盖牢固，无漏雨。</w:t>
      </w:r>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4.4.3防护栏：所有固定式平台及防护栏杆制作符合</w:t>
      </w:r>
      <w:r>
        <w:rPr>
          <w:rFonts w:hint="eastAsia"/>
          <w:sz w:val="24"/>
        </w:rPr>
        <w:t>《</w:t>
      </w:r>
      <w:r>
        <w:rPr>
          <w:rFonts w:hint="eastAsia" w:ascii="仿宋_GB2312" w:hAnsi="仿宋_GB2312" w:eastAsia="仿宋_GB2312" w:cs="仿宋_GB2312"/>
          <w:sz w:val="30"/>
          <w:szCs w:val="30"/>
        </w:rPr>
        <w:t>G</w:t>
      </w:r>
      <w:r>
        <w:rPr>
          <w:rFonts w:ascii="仿宋_GB2312" w:hAnsi="仿宋_GB2312" w:eastAsia="仿宋_GB2312" w:cs="仿宋_GB2312"/>
          <w:sz w:val="30"/>
          <w:szCs w:val="30"/>
        </w:rPr>
        <w:t>B4053.3-20</w:t>
      </w:r>
      <w:r>
        <w:rPr>
          <w:rFonts w:hint="eastAsia" w:ascii="仿宋_GB2312" w:hAnsi="仿宋_GB2312" w:eastAsia="仿宋_GB2312" w:cs="仿宋_GB2312"/>
          <w:sz w:val="30"/>
          <w:szCs w:val="30"/>
        </w:rPr>
        <w:t>固定式钢梯及平台安全要求》制作安装。</w:t>
      </w:r>
    </w:p>
    <w:p>
      <w:pPr>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4.4.4钢架及防护栏需刷漆防锈。</w:t>
      </w:r>
    </w:p>
    <w:bookmarkEnd w:id="18"/>
    <w:p>
      <w:pPr>
        <w:spacing w:line="400" w:lineRule="exact"/>
        <w:ind w:firstLine="600" w:firstLineChars="200"/>
        <w:jc w:val="left"/>
        <w:rPr>
          <w:rFonts w:ascii="仿宋_GB2312" w:hAnsi="仿宋_GB2312" w:eastAsia="仿宋_GB2312" w:cs="仿宋_GB2312"/>
          <w:color w:val="FF0000"/>
          <w:sz w:val="30"/>
          <w:szCs w:val="30"/>
          <w:highlight w:val="yellow"/>
        </w:rPr>
      </w:pPr>
      <w:r>
        <w:rPr>
          <w:rFonts w:hint="eastAsia" w:ascii="仿宋_GB2312" w:hAnsi="仿宋_GB2312" w:eastAsia="仿宋_GB2312" w:cs="仿宋_GB2312"/>
          <w:color w:val="FF0000"/>
          <w:sz w:val="30"/>
          <w:szCs w:val="30"/>
          <w:highlight w:val="yellow"/>
        </w:rPr>
        <w:t>4.5性能验收：</w:t>
      </w:r>
    </w:p>
    <w:p>
      <w:pPr>
        <w:pStyle w:val="4"/>
        <w:keepNext w:val="0"/>
        <w:keepLines w:val="0"/>
        <w:shd w:val="clear" w:color="auto" w:fill="FFFFFF"/>
        <w:spacing w:line="400" w:lineRule="exact"/>
        <w:ind w:left="0" w:right="0" w:firstLine="560" w:firstLineChars="200"/>
        <w:rPr>
          <w:rFonts w:ascii="仿宋_GB2312" w:hAnsi="仿宋_GB2312" w:eastAsia="仿宋_GB2312" w:cs="仿宋_GB2312"/>
          <w:b w:val="0"/>
          <w:bCs/>
          <w:color w:val="333333"/>
          <w:spacing w:val="0"/>
          <w:sz w:val="30"/>
          <w:szCs w:val="30"/>
          <w:shd w:val="clear" w:color="auto" w:fill="FFFFFF"/>
          <w:lang w:eastAsia="zh-CN"/>
        </w:rPr>
      </w:pPr>
      <w:r>
        <w:rPr>
          <w:rFonts w:hint="eastAsia" w:ascii="仿宋_GB2312" w:hAnsi="仿宋_GB2312" w:eastAsia="仿宋_GB2312" w:cs="仿宋_GB2312"/>
          <w:b w:val="0"/>
          <w:sz w:val="30"/>
          <w:szCs w:val="30"/>
          <w:lang w:eastAsia="zh-CN"/>
        </w:rPr>
        <w:t>4</w:t>
      </w:r>
      <w:r>
        <w:rPr>
          <w:rFonts w:hint="eastAsia" w:ascii="仿宋_GB2312" w:hAnsi="仿宋_GB2312" w:eastAsia="仿宋_GB2312" w:cs="仿宋_GB2312"/>
          <w:b w:val="0"/>
          <w:bCs/>
          <w:color w:val="333333"/>
          <w:spacing w:val="0"/>
          <w:sz w:val="30"/>
          <w:szCs w:val="30"/>
          <w:shd w:val="clear" w:color="auto" w:fill="FFFFFF"/>
          <w:lang w:eastAsia="zh-CN"/>
        </w:rPr>
        <w:t>.5.1雨棚建盖牢固，无漏雨。</w:t>
      </w:r>
    </w:p>
    <w:p>
      <w:pPr>
        <w:spacing w:line="400" w:lineRule="exact"/>
        <w:ind w:firstLine="600" w:firstLineChars="200"/>
        <w:jc w:val="left"/>
        <w:rPr>
          <w:rFonts w:ascii="仿宋_GB2312" w:hAnsi="仿宋_GB2312" w:eastAsia="仿宋_GB2312" w:cs="仿宋_GB2312"/>
          <w:bCs/>
          <w:color w:val="333333"/>
          <w:kern w:val="28"/>
          <w:sz w:val="30"/>
          <w:szCs w:val="30"/>
          <w:shd w:val="clear" w:color="auto" w:fill="FFFFFF"/>
        </w:rPr>
      </w:pPr>
      <w:r>
        <w:rPr>
          <w:rFonts w:hint="eastAsia" w:ascii="仿宋_GB2312" w:hAnsi="仿宋_GB2312" w:eastAsia="仿宋_GB2312" w:cs="仿宋_GB2312"/>
          <w:bCs/>
          <w:color w:val="333333"/>
          <w:kern w:val="28"/>
          <w:sz w:val="30"/>
          <w:szCs w:val="30"/>
          <w:shd w:val="clear" w:color="auto" w:fill="FFFFFF"/>
        </w:rPr>
        <w:t>4.</w:t>
      </w:r>
      <w:r>
        <w:rPr>
          <w:rFonts w:ascii="仿宋_GB2312" w:hAnsi="仿宋_GB2312" w:eastAsia="仿宋_GB2312" w:cs="仿宋_GB2312"/>
          <w:bCs/>
          <w:color w:val="333333"/>
          <w:kern w:val="28"/>
          <w:sz w:val="30"/>
          <w:szCs w:val="30"/>
          <w:shd w:val="clear" w:color="auto" w:fill="FFFFFF"/>
        </w:rPr>
        <w:t>5</w:t>
      </w:r>
      <w:r>
        <w:rPr>
          <w:rFonts w:hint="eastAsia" w:ascii="仿宋_GB2312" w:hAnsi="仿宋_GB2312" w:eastAsia="仿宋_GB2312" w:cs="仿宋_GB2312"/>
          <w:bCs/>
          <w:color w:val="333333"/>
          <w:kern w:val="28"/>
          <w:sz w:val="30"/>
          <w:szCs w:val="30"/>
          <w:shd w:val="clear" w:color="auto" w:fill="FFFFFF"/>
        </w:rPr>
        <w:t>.</w:t>
      </w:r>
      <w:r>
        <w:rPr>
          <w:rFonts w:ascii="仿宋_GB2312" w:hAnsi="仿宋_GB2312" w:eastAsia="仿宋_GB2312" w:cs="仿宋_GB2312"/>
          <w:bCs/>
          <w:color w:val="333333"/>
          <w:kern w:val="28"/>
          <w:sz w:val="30"/>
          <w:szCs w:val="30"/>
          <w:shd w:val="clear" w:color="auto" w:fill="FFFFFF"/>
        </w:rPr>
        <w:t>2</w:t>
      </w:r>
      <w:r>
        <w:rPr>
          <w:rFonts w:hint="eastAsia" w:ascii="仿宋_GB2312" w:hAnsi="仿宋_GB2312" w:eastAsia="仿宋_GB2312" w:cs="仿宋_GB2312"/>
          <w:sz w:val="30"/>
          <w:szCs w:val="30"/>
        </w:rPr>
        <w:t>防护栏：所有固定式平台及防护栏杆制作符合</w:t>
      </w:r>
      <w:r>
        <w:rPr>
          <w:rFonts w:hint="eastAsia"/>
          <w:sz w:val="24"/>
        </w:rPr>
        <w:t>《</w:t>
      </w:r>
      <w:r>
        <w:rPr>
          <w:rFonts w:hint="eastAsia" w:ascii="仿宋_GB2312" w:hAnsi="仿宋_GB2312" w:eastAsia="仿宋_GB2312" w:cs="仿宋_GB2312"/>
          <w:sz w:val="30"/>
          <w:szCs w:val="30"/>
        </w:rPr>
        <w:t>G</w:t>
      </w:r>
      <w:r>
        <w:rPr>
          <w:rFonts w:ascii="仿宋_GB2312" w:hAnsi="仿宋_GB2312" w:eastAsia="仿宋_GB2312" w:cs="仿宋_GB2312"/>
          <w:sz w:val="30"/>
          <w:szCs w:val="30"/>
        </w:rPr>
        <w:t>B4053.3-20</w:t>
      </w:r>
      <w:r>
        <w:rPr>
          <w:rFonts w:hint="eastAsia" w:ascii="仿宋_GB2312" w:hAnsi="仿宋_GB2312" w:eastAsia="仿宋_GB2312" w:cs="仿宋_GB2312"/>
          <w:sz w:val="30"/>
          <w:szCs w:val="30"/>
        </w:rPr>
        <w:t>固定式钢梯及平台安全要求》制作安装。</w:t>
      </w:r>
    </w:p>
    <w:p>
      <w:pPr>
        <w:spacing w:line="400" w:lineRule="exact"/>
        <w:ind w:firstLine="600" w:firstLineChars="200"/>
        <w:jc w:val="left"/>
        <w:rPr>
          <w:rFonts w:ascii="仿宋_GB2312" w:hAnsi="仿宋_GB2312" w:eastAsia="仿宋_GB2312" w:cs="仿宋_GB2312"/>
          <w:bCs/>
          <w:color w:val="333333"/>
          <w:kern w:val="28"/>
          <w:sz w:val="30"/>
          <w:szCs w:val="30"/>
          <w:shd w:val="clear" w:color="auto" w:fill="FFFFFF"/>
        </w:rPr>
      </w:pPr>
      <w:r>
        <w:rPr>
          <w:rFonts w:hint="eastAsia" w:ascii="仿宋_GB2312" w:hAnsi="仿宋_GB2312" w:eastAsia="仿宋_GB2312" w:cs="仿宋_GB2312"/>
          <w:bCs/>
          <w:color w:val="333333"/>
          <w:kern w:val="28"/>
          <w:sz w:val="30"/>
          <w:szCs w:val="30"/>
          <w:shd w:val="clear" w:color="auto" w:fill="FFFFFF"/>
        </w:rPr>
        <w:t>4.</w:t>
      </w:r>
      <w:r>
        <w:rPr>
          <w:rFonts w:ascii="仿宋_GB2312" w:hAnsi="仿宋_GB2312" w:eastAsia="仿宋_GB2312" w:cs="仿宋_GB2312"/>
          <w:bCs/>
          <w:color w:val="333333"/>
          <w:kern w:val="28"/>
          <w:sz w:val="30"/>
          <w:szCs w:val="30"/>
          <w:shd w:val="clear" w:color="auto" w:fill="FFFFFF"/>
        </w:rPr>
        <w:t>5</w:t>
      </w:r>
      <w:r>
        <w:rPr>
          <w:rFonts w:hint="eastAsia" w:ascii="仿宋_GB2312" w:hAnsi="仿宋_GB2312" w:eastAsia="仿宋_GB2312" w:cs="仿宋_GB2312"/>
          <w:bCs/>
          <w:color w:val="333333"/>
          <w:kern w:val="28"/>
          <w:sz w:val="30"/>
          <w:szCs w:val="30"/>
          <w:shd w:val="clear" w:color="auto" w:fill="FFFFFF"/>
        </w:rPr>
        <w:t>.</w:t>
      </w:r>
      <w:r>
        <w:rPr>
          <w:rFonts w:ascii="仿宋_GB2312" w:hAnsi="仿宋_GB2312" w:eastAsia="仿宋_GB2312" w:cs="仿宋_GB2312"/>
          <w:bCs/>
          <w:color w:val="333333"/>
          <w:kern w:val="28"/>
          <w:sz w:val="30"/>
          <w:szCs w:val="30"/>
          <w:shd w:val="clear" w:color="auto" w:fill="FFFFFF"/>
        </w:rPr>
        <w:t>3</w:t>
      </w:r>
      <w:r>
        <w:rPr>
          <w:rFonts w:hint="eastAsia" w:ascii="仿宋_GB2312" w:hAnsi="仿宋_GB2312" w:eastAsia="仿宋_GB2312" w:cs="仿宋_GB2312"/>
          <w:bCs/>
          <w:color w:val="333333"/>
          <w:kern w:val="28"/>
          <w:sz w:val="30"/>
          <w:szCs w:val="30"/>
          <w:shd w:val="clear" w:color="auto" w:fill="FFFFFF"/>
        </w:rPr>
        <w:t>钢架及防护栏需刷漆防锈。</w:t>
      </w:r>
    </w:p>
    <w:p>
      <w:pPr>
        <w:spacing w:line="400" w:lineRule="exact"/>
        <w:jc w:val="left"/>
        <w:rPr>
          <w:rFonts w:ascii="仿宋_GB2312" w:hAnsi="仿宋_GB2312" w:eastAsia="仿宋_GB2312" w:cs="仿宋_GB2312"/>
          <w:color w:val="FF0000"/>
          <w:sz w:val="30"/>
          <w:szCs w:val="30"/>
        </w:rPr>
      </w:pPr>
      <w:r>
        <w:rPr>
          <w:rFonts w:hint="eastAsia" w:ascii="仿宋_GB2312" w:hAnsi="仿宋_GB2312" w:eastAsia="仿宋_GB2312" w:cs="仿宋_GB2312"/>
          <w:b/>
          <w:color w:val="FF0000"/>
          <w:sz w:val="30"/>
          <w:szCs w:val="30"/>
        </w:rPr>
        <w:t>第五条 乙方的技术服务</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6.2质保期</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内属制造方面的问题，乙方负责免费维修。</w:t>
      </w:r>
    </w:p>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第七条 本协议作为《</w:t>
      </w:r>
      <w:r>
        <w:rPr>
          <w:rFonts w:hint="eastAsia" w:ascii="仿宋_GB2312" w:hAnsi="仿宋_GB2312" w:eastAsia="仿宋_GB2312" w:cs="仿宋_GB2312"/>
          <w:b/>
          <w:bCs/>
          <w:sz w:val="30"/>
          <w:szCs w:val="30"/>
        </w:rPr>
        <w:t>2</w:t>
      </w:r>
      <w:r>
        <w:rPr>
          <w:rFonts w:ascii="仿宋_GB2312" w:hAnsi="仿宋_GB2312" w:eastAsia="仿宋_GB2312" w:cs="仿宋_GB2312"/>
          <w:b/>
          <w:bCs/>
          <w:sz w:val="30"/>
          <w:szCs w:val="30"/>
        </w:rPr>
        <w:t>023年</w:t>
      </w:r>
      <w:r>
        <w:rPr>
          <w:rFonts w:hint="eastAsia" w:ascii="仿宋_GB2312" w:hAnsi="仿宋_GB2312" w:eastAsia="仿宋_GB2312" w:cs="仿宋_GB2312"/>
          <w:b/>
          <w:bCs/>
          <w:sz w:val="30"/>
          <w:szCs w:val="30"/>
        </w:rPr>
        <w:t>梁河糖业磷酸储罐新建雨棚项目合同》的</w:t>
      </w:r>
      <w:r>
        <w:rPr>
          <w:rFonts w:hint="eastAsia" w:ascii="仿宋_GB2312" w:hAnsi="仿宋_GB2312" w:eastAsia="仿宋_GB2312" w:cs="仿宋_GB2312"/>
          <w:b/>
          <w:sz w:val="30"/>
          <w:szCs w:val="30"/>
        </w:rPr>
        <w:t>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rPr>
      </w:pP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签订时间：   年   月   日           签订时间：   年   月   日</w:t>
      </w:r>
    </w:p>
    <w:p>
      <w:pPr>
        <w:rPr>
          <w:rFonts w:eastAsia="仿宋_GB2312"/>
          <w:sz w:val="30"/>
          <w:szCs w:val="30"/>
        </w:rPr>
      </w:pPr>
      <w:r>
        <w:rPr>
          <w:sz w:val="30"/>
          <w:szCs w:val="30"/>
        </w:rPr>
        <w:br w:type="page"/>
      </w:r>
      <w:r>
        <w:rPr>
          <w:rFonts w:hint="eastAsia"/>
          <w:b/>
          <w:bCs/>
          <w:szCs w:val="21"/>
        </w:rPr>
        <w:t>附件2. 廉洁合同</w:t>
      </w:r>
    </w:p>
    <w:p>
      <w:pPr>
        <w:spacing w:line="460" w:lineRule="exact"/>
        <w:rPr>
          <w:rFonts w:ascii="仿宋_GB2312" w:eastAsia="仿宋_GB2312"/>
          <w:sz w:val="30"/>
          <w:szCs w:val="30"/>
        </w:rPr>
      </w:pPr>
      <w:r>
        <w:rPr>
          <w:rFonts w:hint="eastAsia" w:ascii="仿宋_GB2312" w:eastAsia="仿宋_GB2312"/>
          <w:sz w:val="30"/>
          <w:szCs w:val="30"/>
        </w:rPr>
        <w:t>廉洁合同</w:t>
      </w:r>
    </w:p>
    <w:p>
      <w:pPr>
        <w:spacing w:line="460" w:lineRule="exact"/>
        <w:rPr>
          <w:rFonts w:ascii="仿宋_GB2312" w:eastAsia="仿宋_GB2312"/>
          <w:sz w:val="30"/>
          <w:szCs w:val="30"/>
        </w:rPr>
      </w:pPr>
      <w:r>
        <w:rPr>
          <w:rFonts w:hint="eastAsia" w:ascii="仿宋_GB2312" w:eastAsia="仿宋_GB2312"/>
          <w:sz w:val="30"/>
          <w:szCs w:val="30"/>
        </w:rPr>
        <w:t>项目名称：2</w:t>
      </w:r>
      <w:r>
        <w:rPr>
          <w:rFonts w:ascii="仿宋_GB2312" w:eastAsia="仿宋_GB2312"/>
          <w:sz w:val="30"/>
          <w:szCs w:val="30"/>
        </w:rPr>
        <w:t>023年</w:t>
      </w:r>
      <w:r>
        <w:rPr>
          <w:rFonts w:hint="eastAsia" w:ascii="仿宋_GB2312" w:eastAsia="仿宋_GB2312"/>
          <w:sz w:val="30"/>
          <w:szCs w:val="30"/>
        </w:rPr>
        <w:t>梁河糖业磷酸储罐新建雨棚项目</w:t>
      </w:r>
    </w:p>
    <w:p>
      <w:pPr>
        <w:spacing w:line="460" w:lineRule="exact"/>
        <w:rPr>
          <w:rFonts w:ascii="仿宋_GB2312" w:eastAsia="仿宋_GB2312"/>
          <w:sz w:val="30"/>
          <w:szCs w:val="30"/>
        </w:rPr>
      </w:pPr>
      <w:r>
        <w:rPr>
          <w:rFonts w:hint="eastAsia" w:ascii="仿宋_GB2312" w:eastAsia="仿宋_GB2312"/>
          <w:sz w:val="30"/>
          <w:szCs w:val="30"/>
        </w:rPr>
        <w:t>甲   方：中粮梁河糖业有限公司</w:t>
      </w:r>
    </w:p>
    <w:p>
      <w:pPr>
        <w:spacing w:line="460" w:lineRule="exact"/>
        <w:rPr>
          <w:rFonts w:ascii="仿宋_GB2312" w:eastAsia="仿宋_GB2312"/>
          <w:sz w:val="30"/>
          <w:szCs w:val="30"/>
        </w:rPr>
      </w:pPr>
      <w:r>
        <w:rPr>
          <w:rFonts w:hint="eastAsia" w:ascii="仿宋_GB2312" w:eastAsia="仿宋_GB2312"/>
          <w:sz w:val="30"/>
          <w:szCs w:val="30"/>
        </w:rPr>
        <w:t xml:space="preserve">乙   方： </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为规范中粮梁河糖业有限公司2</w:t>
      </w:r>
      <w:r>
        <w:rPr>
          <w:rFonts w:ascii="仿宋_GB2312" w:eastAsia="仿宋_GB2312"/>
          <w:sz w:val="30"/>
          <w:szCs w:val="30"/>
        </w:rPr>
        <w:t>023年</w:t>
      </w:r>
      <w:r>
        <w:rPr>
          <w:rFonts w:hint="eastAsia" w:ascii="仿宋_GB2312" w:eastAsia="仿宋_GB2312"/>
          <w:sz w:val="30"/>
          <w:szCs w:val="30"/>
        </w:rPr>
        <w:t>梁河糖业磷酸储罐新建雨棚项目采购工作，防止违法违纪事件的发生，经甲方、乙方协商同意，双方将严格执行以下条款。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（二）甲方的工作人员不得向乙方泄露采购过程中的商业秘密。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（五）甲方的工作人员在采购及执行合同过程中，必须遵守廉洁自律的其他有关规定。</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三、违约责任</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四、合同的生效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（一）本合同在双方签字/盖章后生效。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（二）本合同一式贰份，双方各执一份。</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（三）本合同在主合同授予、履行的全过程有效，并作为主合同的附件。</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监督联络方式：</w:t>
      </w:r>
    </w:p>
    <w:p>
      <w:pPr>
        <w:spacing w:line="460" w:lineRule="exact"/>
        <w:ind w:left="1500" w:hanging="1500" w:hangingChars="500"/>
        <w:rPr>
          <w:rFonts w:ascii="仿宋_GB2312" w:eastAsia="仿宋_GB2312"/>
          <w:sz w:val="30"/>
          <w:szCs w:val="30"/>
        </w:rPr>
      </w:pPr>
      <w:bookmarkStart w:id="19" w:name="_Hlk54615888"/>
      <w:r>
        <w:rPr>
          <w:rFonts w:hint="eastAsia" w:ascii="仿宋_GB2312" w:eastAsia="仿宋_GB2312"/>
          <w:sz w:val="30"/>
          <w:szCs w:val="30"/>
        </w:rPr>
        <w:t>中粮糖业纪委联系方式：办公电话  010-85017235</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通信地址：北京市朝阳区朝阳门南大街8号中粮福临门大厦9层905房间，中粮糖业纪委办公室收，邮编100020。          </w:t>
      </w:r>
    </w:p>
    <w:bookmarkEnd w:id="19"/>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甲    方：中粮梁河糖业有限公司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w:t>
      </w: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乙    方：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签字日期：___________________________________</w:t>
      </w:r>
    </w:p>
    <w:p/>
    <w:p>
      <w:pPr>
        <w:adjustRightInd w:val="0"/>
        <w:snapToGrid w:val="0"/>
        <w:spacing w:before="156" w:beforeLines="50" w:after="156" w:afterLines="50" w:line="360" w:lineRule="auto"/>
        <w:rPr>
          <w:rFonts w:ascii="仿宋_GB2312" w:eastAsia="仿宋_GB2312"/>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附件3：安全管理协议书</w:t>
      </w:r>
    </w:p>
    <w:p>
      <w:pPr>
        <w:spacing w:line="276" w:lineRule="auto"/>
        <w:ind w:firstLine="640" w:firstLineChars="200"/>
        <w:jc w:val="center"/>
        <w:rPr>
          <w:sz w:val="32"/>
          <w:szCs w:val="32"/>
        </w:rPr>
      </w:pPr>
      <w:r>
        <w:rPr>
          <w:rFonts w:hint="eastAsia"/>
          <w:sz w:val="32"/>
          <w:szCs w:val="32"/>
        </w:rPr>
        <w:t>乙类</w:t>
      </w:r>
      <w:bookmarkStart w:id="20" w:name="OLE_LINK79"/>
      <w:bookmarkStart w:id="21" w:name="OLE_LINK80"/>
      <w:r>
        <w:rPr>
          <w:rFonts w:hint="eastAsia"/>
          <w:sz w:val="32"/>
          <w:szCs w:val="32"/>
        </w:rPr>
        <w:t>承包商安全管理协议(施工单位)</w:t>
      </w:r>
      <w:bookmarkEnd w:id="20"/>
      <w:bookmarkEnd w:id="21"/>
    </w:p>
    <w:p>
      <w:pPr>
        <w:spacing w:line="276" w:lineRule="auto"/>
        <w:ind w:firstLine="640" w:firstLineChars="200"/>
        <w:jc w:val="center"/>
        <w:rPr>
          <w:sz w:val="32"/>
          <w:szCs w:val="32"/>
        </w:rPr>
      </w:pPr>
    </w:p>
    <w:p>
      <w:pPr>
        <w:spacing w:line="276" w:lineRule="auto"/>
        <w:ind w:firstLine="480" w:firstLineChars="200"/>
        <w:rPr>
          <w:sz w:val="24"/>
        </w:rPr>
      </w:pPr>
      <w:r>
        <w:rPr>
          <w:sz w:val="24"/>
        </w:rPr>
        <w:t>甲方</w:t>
      </w:r>
      <w:bookmarkStart w:id="22" w:name="_Hlk132406061"/>
      <w:r>
        <w:rPr>
          <w:sz w:val="24"/>
        </w:rPr>
        <w:t>（发包方）</w:t>
      </w:r>
      <w:bookmarkEnd w:id="22"/>
      <w:r>
        <w:rPr>
          <w:sz w:val="24"/>
        </w:rPr>
        <w:t>：</w:t>
      </w:r>
      <w:r>
        <w:rPr>
          <w:rFonts w:hint="eastAsia"/>
          <w:sz w:val="24"/>
        </w:rPr>
        <w:t>中粮梁河糖业有限公司</w:t>
      </w:r>
      <w:r>
        <w:rPr>
          <w:sz w:val="24"/>
        </w:rPr>
        <w:t xml:space="preserve">    </w:t>
      </w:r>
    </w:p>
    <w:p>
      <w:pPr>
        <w:spacing w:line="276" w:lineRule="auto"/>
        <w:ind w:firstLine="480" w:firstLineChars="200"/>
        <w:rPr>
          <w:sz w:val="24"/>
        </w:rPr>
      </w:pPr>
      <w:r>
        <w:rPr>
          <w:sz w:val="24"/>
        </w:rPr>
        <w:t xml:space="preserve">                                      </w:t>
      </w:r>
    </w:p>
    <w:p>
      <w:pPr>
        <w:spacing w:line="276" w:lineRule="auto"/>
        <w:ind w:firstLine="480" w:firstLineChars="200"/>
        <w:rPr>
          <w:sz w:val="24"/>
        </w:rPr>
      </w:pPr>
      <w:r>
        <w:rPr>
          <w:sz w:val="24"/>
        </w:rPr>
        <w:t>乙方</w:t>
      </w:r>
      <w:bookmarkStart w:id="23" w:name="_Hlk132406074"/>
      <w:r>
        <w:rPr>
          <w:sz w:val="24"/>
        </w:rPr>
        <w:t>（承包方）</w:t>
      </w:r>
      <w:bookmarkEnd w:id="23"/>
      <w:r>
        <w:rPr>
          <w:sz w:val="24"/>
        </w:rPr>
        <w:t xml:space="preserve">：                                          </w:t>
      </w:r>
    </w:p>
    <w:p>
      <w:pPr>
        <w:spacing w:line="276" w:lineRule="auto"/>
        <w:ind w:firstLine="480" w:firstLineChars="200"/>
        <w:rPr>
          <w:sz w:val="24"/>
        </w:rPr>
      </w:pPr>
    </w:p>
    <w:p>
      <w:pPr>
        <w:spacing w:line="276" w:lineRule="auto"/>
        <w:ind w:firstLine="480" w:firstLineChars="200"/>
        <w:rPr>
          <w:sz w:val="24"/>
        </w:rPr>
      </w:pPr>
      <w:bookmarkStart w:id="24" w:name="_Hlk132407100"/>
      <w:r>
        <w:rPr>
          <w:sz w:val="24"/>
        </w:rPr>
        <w:t>为加强施工项目的安全生产管理，明确</w:t>
      </w:r>
      <w:r>
        <w:rPr>
          <w:rFonts w:hint="eastAsia"/>
          <w:sz w:val="24"/>
        </w:rPr>
        <w:t>甲乙双方</w:t>
      </w:r>
      <w:r>
        <w:rPr>
          <w:sz w:val="24"/>
        </w:rPr>
        <w:t>安全责任，防止生产安全事故，</w:t>
      </w:r>
      <w:r>
        <w:rPr>
          <w:rFonts w:hint="eastAsia"/>
          <w:sz w:val="24"/>
        </w:rPr>
        <w:t>稳定运营，</w:t>
      </w:r>
      <w:r>
        <w:rPr>
          <w:sz w:val="24"/>
        </w:rPr>
        <w:t>按照《安全生产法》</w:t>
      </w:r>
      <w:r>
        <w:rPr>
          <w:rFonts w:hint="eastAsia"/>
          <w:sz w:val="24"/>
        </w:rPr>
        <w:t>《中华人民共和国特种设备安全监察条例》《起重机械安全技术规程》</w:t>
      </w:r>
      <w:r>
        <w:rPr>
          <w:sz w:val="24"/>
        </w:rPr>
        <w:t>《建设工程安全生产管理条例》《民法典》《建设工程安全生产管理条例》等法律法规的要求，甲乙双方遵循平等、自愿、公平和诚实信用的原则，就工程安全生产管理事项协商一致，订立本协议。</w:t>
      </w:r>
    </w:p>
    <w:bookmarkEnd w:id="24"/>
    <w:p>
      <w:pPr>
        <w:spacing w:line="276" w:lineRule="auto"/>
        <w:ind w:firstLine="480" w:firstLineChars="200"/>
        <w:rPr>
          <w:sz w:val="24"/>
        </w:rPr>
      </w:pPr>
      <w:bookmarkStart w:id="25" w:name="_Toc384944712"/>
      <w:bookmarkStart w:id="26" w:name="_Toc396036405"/>
      <w:bookmarkStart w:id="27" w:name="_Toc442022096"/>
      <w:bookmarkStart w:id="28" w:name="_Toc389985354"/>
      <w:bookmarkStart w:id="29" w:name="_Toc442016137"/>
      <w:bookmarkStart w:id="30" w:name="_Toc383301022"/>
      <w:bookmarkStart w:id="31" w:name="_Toc442133366"/>
      <w:bookmarkStart w:id="32" w:name="_Toc381911461"/>
      <w:bookmarkStart w:id="33" w:name="_Toc434694358"/>
      <w:bookmarkStart w:id="34" w:name="_Toc396037049"/>
      <w:bookmarkStart w:id="35" w:name="_Toc451698735"/>
      <w:r>
        <w:rPr>
          <w:sz w:val="24"/>
        </w:rPr>
        <w:t>第一条 工程概况：</w:t>
      </w:r>
      <w:bookmarkEnd w:id="25"/>
      <w:bookmarkEnd w:id="26"/>
      <w:bookmarkEnd w:id="27"/>
      <w:bookmarkEnd w:id="28"/>
      <w:bookmarkEnd w:id="29"/>
      <w:bookmarkEnd w:id="30"/>
      <w:bookmarkEnd w:id="31"/>
      <w:bookmarkEnd w:id="32"/>
      <w:bookmarkEnd w:id="33"/>
      <w:bookmarkEnd w:id="34"/>
      <w:bookmarkEnd w:id="35"/>
    </w:p>
    <w:p>
      <w:pPr>
        <w:spacing w:line="276" w:lineRule="auto"/>
        <w:ind w:firstLine="480" w:firstLineChars="200"/>
        <w:rPr>
          <w:sz w:val="24"/>
        </w:rPr>
      </w:pPr>
      <w:bookmarkStart w:id="36" w:name="_Toc384944713"/>
      <w:bookmarkStart w:id="37" w:name="_Toc434694359"/>
      <w:bookmarkStart w:id="38" w:name="_Toc381911462"/>
      <w:bookmarkStart w:id="39" w:name="_Toc451698736"/>
      <w:bookmarkStart w:id="40" w:name="_Toc442022097"/>
      <w:bookmarkStart w:id="41" w:name="_Toc442133367"/>
      <w:bookmarkStart w:id="42" w:name="_Toc383301023"/>
      <w:bookmarkStart w:id="43" w:name="_Toc396037050"/>
      <w:bookmarkStart w:id="44" w:name="_Toc442016138"/>
      <w:bookmarkStart w:id="45" w:name="_Toc389985355"/>
      <w:bookmarkStart w:id="46" w:name="_Toc396036406"/>
      <w:r>
        <w:rPr>
          <w:sz w:val="24"/>
        </w:rPr>
        <w:t>(一)项目（作业）名称：</w:t>
      </w:r>
      <w:bookmarkEnd w:id="36"/>
      <w:bookmarkEnd w:id="37"/>
      <w:bookmarkEnd w:id="38"/>
      <w:bookmarkEnd w:id="39"/>
      <w:bookmarkEnd w:id="40"/>
      <w:bookmarkEnd w:id="41"/>
      <w:bookmarkEnd w:id="42"/>
      <w:bookmarkEnd w:id="43"/>
      <w:bookmarkEnd w:id="44"/>
      <w:bookmarkEnd w:id="45"/>
      <w:bookmarkEnd w:id="46"/>
      <w:r>
        <w:rPr>
          <w:sz w:val="24"/>
        </w:rPr>
        <w:t>2023</w:t>
      </w:r>
      <w:r>
        <w:rPr>
          <w:rFonts w:hint="eastAsia"/>
          <w:sz w:val="24"/>
        </w:rPr>
        <w:t>年梁河糖业芒东、勐养工厂压榨车间磷酸储罐新建雨棚</w:t>
      </w:r>
    </w:p>
    <w:p>
      <w:pPr>
        <w:spacing w:line="276" w:lineRule="auto"/>
        <w:ind w:firstLine="480" w:firstLineChars="200"/>
        <w:rPr>
          <w:sz w:val="24"/>
        </w:rPr>
      </w:pPr>
      <w:bookmarkStart w:id="47" w:name="_Toc381911463"/>
      <w:bookmarkStart w:id="48" w:name="_Toc396036407"/>
      <w:bookmarkStart w:id="49" w:name="_Toc389985356"/>
      <w:bookmarkStart w:id="50" w:name="_Toc451698737"/>
      <w:bookmarkStart w:id="51" w:name="_Toc434694360"/>
      <w:bookmarkStart w:id="52" w:name="_Toc384944714"/>
      <w:bookmarkStart w:id="53" w:name="_Toc442016139"/>
      <w:bookmarkStart w:id="54" w:name="_Toc442022098"/>
      <w:bookmarkStart w:id="55" w:name="_Toc396037051"/>
      <w:bookmarkStart w:id="56" w:name="_Toc383301024"/>
      <w:bookmarkStart w:id="57" w:name="_Toc442133368"/>
      <w:bookmarkStart w:id="58" w:name="_Hlk132406144"/>
      <w:r>
        <w:rPr>
          <w:sz w:val="24"/>
        </w:rPr>
        <w:t>(二)项目（作业）地点与范围：</w:t>
      </w:r>
      <w:bookmarkEnd w:id="47"/>
      <w:bookmarkEnd w:id="48"/>
      <w:bookmarkEnd w:id="49"/>
      <w:bookmarkEnd w:id="50"/>
      <w:bookmarkEnd w:id="51"/>
      <w:bookmarkEnd w:id="52"/>
      <w:bookmarkEnd w:id="53"/>
      <w:bookmarkEnd w:id="54"/>
      <w:bookmarkEnd w:id="55"/>
      <w:bookmarkEnd w:id="56"/>
      <w:bookmarkEnd w:id="57"/>
      <w:r>
        <w:rPr>
          <w:rFonts w:hint="eastAsia"/>
          <w:sz w:val="24"/>
        </w:rPr>
        <w:t>芒东工厂压榨车间、勐养工厂压榨车间</w:t>
      </w:r>
    </w:p>
    <w:p>
      <w:pPr>
        <w:spacing w:line="276" w:lineRule="auto"/>
        <w:ind w:firstLine="480" w:firstLineChars="200"/>
        <w:rPr>
          <w:sz w:val="24"/>
        </w:rPr>
      </w:pPr>
      <w:bookmarkStart w:id="59" w:name="_Toc442016140"/>
      <w:bookmarkStart w:id="60" w:name="_Toc384944715"/>
      <w:bookmarkStart w:id="61" w:name="_Toc383301025"/>
      <w:bookmarkStart w:id="62" w:name="_Toc451698738"/>
      <w:bookmarkStart w:id="63" w:name="_Toc381911464"/>
      <w:bookmarkStart w:id="64" w:name="_Toc396037052"/>
      <w:bookmarkStart w:id="65" w:name="_Toc442133369"/>
      <w:bookmarkStart w:id="66" w:name="_Toc442022099"/>
      <w:bookmarkStart w:id="67" w:name="_Toc434694361"/>
      <w:bookmarkStart w:id="68" w:name="_Toc396036408"/>
      <w:bookmarkStart w:id="69" w:name="_Toc389985357"/>
      <w:r>
        <w:rPr>
          <w:sz w:val="24"/>
        </w:rPr>
        <w:t>(三)项目（作业）承包主要内容：</w:t>
      </w:r>
      <w:bookmarkEnd w:id="59"/>
      <w:bookmarkEnd w:id="60"/>
      <w:bookmarkEnd w:id="61"/>
      <w:bookmarkEnd w:id="62"/>
      <w:bookmarkEnd w:id="63"/>
      <w:bookmarkEnd w:id="64"/>
      <w:bookmarkEnd w:id="65"/>
      <w:bookmarkEnd w:id="66"/>
      <w:bookmarkEnd w:id="67"/>
      <w:bookmarkEnd w:id="68"/>
      <w:bookmarkEnd w:id="69"/>
      <w:r>
        <w:rPr>
          <w:rFonts w:hint="eastAsia"/>
          <w:sz w:val="24"/>
        </w:rPr>
        <w:t>芒东、勐养工厂压榨车间磷酸储罐新建雨棚</w:t>
      </w:r>
    </w:p>
    <w:bookmarkEnd w:id="58"/>
    <w:p>
      <w:pPr>
        <w:spacing w:line="276" w:lineRule="auto"/>
        <w:ind w:firstLine="480" w:firstLineChars="200"/>
        <w:rPr>
          <w:sz w:val="24"/>
        </w:rPr>
      </w:pPr>
      <w:bookmarkStart w:id="70" w:name="_Toc381911465"/>
      <w:bookmarkStart w:id="71" w:name="_Toc442022100"/>
      <w:bookmarkStart w:id="72" w:name="_Toc396037053"/>
      <w:bookmarkStart w:id="73" w:name="_Toc389985358"/>
      <w:bookmarkStart w:id="74" w:name="_Toc434694362"/>
      <w:bookmarkStart w:id="75" w:name="_Toc442016141"/>
      <w:bookmarkStart w:id="76" w:name="_Toc383301026"/>
      <w:bookmarkStart w:id="77" w:name="_Toc451698739"/>
      <w:bookmarkStart w:id="78" w:name="_Toc384944716"/>
      <w:bookmarkStart w:id="79" w:name="_Toc442133370"/>
      <w:bookmarkStart w:id="80" w:name="_Toc396036409"/>
      <w:r>
        <w:rPr>
          <w:sz w:val="24"/>
        </w:rPr>
        <w:t>(四)项目（作业）工期：自2023年10月30日</w:t>
      </w:r>
      <w:r>
        <w:rPr>
          <w:rFonts w:hint="eastAsia"/>
          <w:sz w:val="24"/>
        </w:rPr>
        <w:t>起，</w:t>
      </w:r>
      <w:r>
        <w:rPr>
          <w:sz w:val="24"/>
        </w:rPr>
        <w:t>至2023年11月30日</w:t>
      </w:r>
      <w:bookmarkEnd w:id="70"/>
      <w:bookmarkEnd w:id="71"/>
      <w:bookmarkEnd w:id="72"/>
      <w:bookmarkEnd w:id="73"/>
      <w:bookmarkEnd w:id="74"/>
      <w:bookmarkEnd w:id="75"/>
      <w:bookmarkEnd w:id="76"/>
      <w:bookmarkEnd w:id="77"/>
      <w:bookmarkEnd w:id="78"/>
      <w:bookmarkEnd w:id="79"/>
      <w:bookmarkEnd w:id="80"/>
      <w:r>
        <w:rPr>
          <w:rFonts w:hint="eastAsia"/>
          <w:sz w:val="24"/>
        </w:rPr>
        <w:t>止</w:t>
      </w:r>
      <w:r>
        <w:rPr>
          <w:sz w:val="24"/>
        </w:rPr>
        <w:t>。</w:t>
      </w:r>
    </w:p>
    <w:p>
      <w:pPr>
        <w:spacing w:line="276" w:lineRule="auto"/>
        <w:ind w:firstLine="480" w:firstLineChars="200"/>
        <w:rPr>
          <w:sz w:val="24"/>
        </w:rPr>
      </w:pPr>
      <w:bookmarkStart w:id="81" w:name="_Toc434694363"/>
      <w:bookmarkStart w:id="82" w:name="_Toc384944717"/>
      <w:bookmarkStart w:id="83" w:name="_Toc396037054"/>
      <w:bookmarkStart w:id="84" w:name="_Toc451698740"/>
      <w:bookmarkStart w:id="85" w:name="_Toc442022101"/>
      <w:bookmarkStart w:id="86" w:name="_Toc442016142"/>
      <w:bookmarkStart w:id="87" w:name="_Toc396036410"/>
      <w:bookmarkStart w:id="88" w:name="_Toc383301027"/>
      <w:bookmarkStart w:id="89" w:name="_Toc389985359"/>
      <w:bookmarkStart w:id="90" w:name="_Toc442133371"/>
      <w:bookmarkStart w:id="91" w:name="_Toc381911466"/>
      <w:r>
        <w:rPr>
          <w:sz w:val="24"/>
        </w:rPr>
        <w:t>第二条 承诺</w:t>
      </w:r>
      <w:bookmarkEnd w:id="81"/>
      <w:bookmarkEnd w:id="82"/>
      <w:bookmarkEnd w:id="83"/>
      <w:bookmarkEnd w:id="84"/>
      <w:bookmarkEnd w:id="85"/>
      <w:bookmarkEnd w:id="86"/>
      <w:bookmarkEnd w:id="87"/>
      <w:bookmarkEnd w:id="88"/>
      <w:bookmarkEnd w:id="89"/>
      <w:bookmarkEnd w:id="90"/>
      <w:bookmarkEnd w:id="91"/>
    </w:p>
    <w:p>
      <w:pPr>
        <w:spacing w:line="276" w:lineRule="auto"/>
        <w:ind w:firstLine="480" w:firstLineChars="200"/>
        <w:rPr>
          <w:sz w:val="24"/>
        </w:rPr>
      </w:pPr>
      <w:r>
        <w:rPr>
          <w:sz w:val="24"/>
        </w:rPr>
        <w:t>(一)甲方承诺</w:t>
      </w:r>
    </w:p>
    <w:p>
      <w:pPr>
        <w:spacing w:line="276" w:lineRule="auto"/>
        <w:ind w:firstLine="480" w:firstLineChars="200"/>
        <w:rPr>
          <w:sz w:val="24"/>
        </w:rPr>
      </w:pPr>
      <w:r>
        <w:rPr>
          <w:sz w:val="24"/>
        </w:rPr>
        <w:t>1.遵守《安全生产法》</w:t>
      </w:r>
      <w:r>
        <w:rPr>
          <w:rFonts w:hint="eastAsia"/>
          <w:sz w:val="24"/>
        </w:rPr>
        <w:t>、《中华人民共和国特种设备安全监察条例》《起重机械安全技术规程》</w:t>
      </w:r>
      <w:r>
        <w:rPr>
          <w:sz w:val="24"/>
        </w:rPr>
        <w:t>《建设工程安全生产管理条例》</w:t>
      </w:r>
      <w:bookmarkStart w:id="92" w:name="_Hlk132420073"/>
      <w:r>
        <w:rPr>
          <w:sz w:val="24"/>
        </w:rPr>
        <w:t>《民法典》</w:t>
      </w:r>
      <w:bookmarkEnd w:id="92"/>
      <w:bookmarkStart w:id="93" w:name="_Hlk132701729"/>
      <w:r>
        <w:rPr>
          <w:rFonts w:hint="eastAsia"/>
          <w:sz w:val="24"/>
        </w:rPr>
        <w:t>《中粮集团承包商与工程项目管理安全禁令》</w:t>
      </w:r>
      <w:bookmarkEnd w:id="93"/>
      <w:r>
        <w:rPr>
          <w:sz w:val="24"/>
        </w:rPr>
        <w:t>及其他有关法律、法规、规章和标准的有关规定。</w:t>
      </w:r>
    </w:p>
    <w:p>
      <w:pPr>
        <w:spacing w:line="276" w:lineRule="auto"/>
        <w:ind w:firstLine="480" w:firstLineChars="200"/>
        <w:rPr>
          <w:sz w:val="24"/>
        </w:rPr>
      </w:pPr>
      <w:r>
        <w:rPr>
          <w:sz w:val="24"/>
        </w:rPr>
        <w:t>2.遵守项目设计，不违章指挥或者强令乙方人员冒险作业。</w:t>
      </w:r>
    </w:p>
    <w:p>
      <w:pPr>
        <w:spacing w:line="276" w:lineRule="auto"/>
        <w:ind w:firstLine="480" w:firstLineChars="200"/>
        <w:rPr>
          <w:sz w:val="24"/>
        </w:rPr>
      </w:pPr>
      <w:r>
        <w:rPr>
          <w:sz w:val="24"/>
        </w:rPr>
        <w:t>3.向乙方提供甲方安全管理制度。</w:t>
      </w:r>
    </w:p>
    <w:p>
      <w:pPr>
        <w:spacing w:line="276" w:lineRule="auto"/>
        <w:ind w:firstLine="480" w:firstLineChars="200"/>
        <w:rPr>
          <w:sz w:val="24"/>
        </w:rPr>
      </w:pPr>
      <w:r>
        <w:rPr>
          <w:sz w:val="24"/>
        </w:rPr>
        <w:t>4.对可能存在危险、有害因素应向乙方告知及相关水、电、汽等管线图等基础资料。</w:t>
      </w:r>
    </w:p>
    <w:p>
      <w:pPr>
        <w:spacing w:line="276" w:lineRule="auto"/>
        <w:ind w:firstLine="480" w:firstLineChars="200"/>
        <w:rPr>
          <w:sz w:val="24"/>
        </w:rPr>
      </w:pPr>
      <w:r>
        <w:rPr>
          <w:sz w:val="24"/>
        </w:rPr>
        <w:t>5.</w:t>
      </w:r>
      <w:r>
        <w:rPr>
          <w:rFonts w:hint="eastAsia"/>
          <w:sz w:val="24"/>
        </w:rPr>
        <w:t>对乙方进行</w:t>
      </w:r>
      <w:r>
        <w:rPr>
          <w:sz w:val="24"/>
        </w:rPr>
        <w:t>进场</w:t>
      </w:r>
      <w:r>
        <w:rPr>
          <w:rFonts w:hint="eastAsia"/>
          <w:sz w:val="24"/>
        </w:rPr>
        <w:t>安全技术</w:t>
      </w:r>
      <w:r>
        <w:rPr>
          <w:sz w:val="24"/>
        </w:rPr>
        <w:t>交底，告知</w:t>
      </w:r>
      <w:r>
        <w:rPr>
          <w:rFonts w:hint="eastAsia"/>
          <w:sz w:val="24"/>
        </w:rPr>
        <w:t>甲方</w:t>
      </w:r>
      <w:r>
        <w:rPr>
          <w:sz w:val="24"/>
        </w:rPr>
        <w:t>的安全管理制度标准、作业场所安全风险、事故应急和报告要求等。</w:t>
      </w:r>
      <w:r>
        <w:rPr>
          <w:rFonts w:hint="eastAsia"/>
          <w:sz w:val="24"/>
        </w:rPr>
        <w:t>对乙方的安全奖惩情况进行告知。</w:t>
      </w:r>
    </w:p>
    <w:p>
      <w:pPr>
        <w:spacing w:line="276" w:lineRule="auto"/>
        <w:ind w:firstLine="480" w:firstLineChars="200"/>
        <w:rPr>
          <w:sz w:val="24"/>
        </w:rPr>
      </w:pPr>
      <w:r>
        <w:rPr>
          <w:sz w:val="24"/>
        </w:rPr>
        <w:t>6</w:t>
      </w:r>
      <w:bookmarkStart w:id="94" w:name="_Hlk132663326"/>
      <w:r>
        <w:rPr>
          <w:sz w:val="24"/>
        </w:rPr>
        <w:t>严格遵守甲乙双方签订的本协议。</w:t>
      </w:r>
      <w:bookmarkEnd w:id="94"/>
    </w:p>
    <w:p>
      <w:pPr>
        <w:spacing w:line="276" w:lineRule="auto"/>
        <w:ind w:firstLine="480" w:firstLineChars="200"/>
        <w:rPr>
          <w:sz w:val="24"/>
        </w:rPr>
      </w:pPr>
      <w:r>
        <w:rPr>
          <w:sz w:val="24"/>
        </w:rPr>
        <w:t>(二)乙方承诺</w:t>
      </w:r>
    </w:p>
    <w:p>
      <w:pPr>
        <w:spacing w:line="276" w:lineRule="auto"/>
        <w:ind w:firstLine="480" w:firstLineChars="200"/>
        <w:rPr>
          <w:sz w:val="24"/>
        </w:rPr>
      </w:pPr>
      <w:r>
        <w:rPr>
          <w:sz w:val="24"/>
        </w:rPr>
        <w:t>1.遵守《安全生产法》</w:t>
      </w:r>
      <w:r>
        <w:rPr>
          <w:rFonts w:hint="eastAsia"/>
          <w:sz w:val="24"/>
        </w:rPr>
        <w:t>《中华人民共和国特种设备安全监察条例》《起重机械安全技术规程》</w:t>
      </w:r>
      <w:r>
        <w:rPr>
          <w:sz w:val="24"/>
        </w:rPr>
        <w:t>《建设工程安全生产管理条例》《民法典》《建设工程安全生产管理条例》《中粮集团现场管理十项措施》</w:t>
      </w:r>
      <w:bookmarkStart w:id="95" w:name="_Hlk132700803"/>
      <w:r>
        <w:rPr>
          <w:rFonts w:hint="eastAsia"/>
          <w:sz w:val="24"/>
        </w:rPr>
        <w:t>《中粮集团承包商与工程项目管理安全禁令》</w:t>
      </w:r>
      <w:bookmarkEnd w:id="95"/>
      <w:r>
        <w:rPr>
          <w:sz w:val="24"/>
        </w:rPr>
        <w:t>《中粮糖业10条安全保命禁令》及其他有关法律、法规、规章、标准和甲方管理制度等有关规定</w:t>
      </w:r>
      <w:r>
        <w:rPr>
          <w:rFonts w:hint="eastAsia"/>
          <w:sz w:val="24"/>
        </w:rPr>
        <w:t>。</w:t>
      </w:r>
    </w:p>
    <w:p>
      <w:pPr>
        <w:spacing w:line="276" w:lineRule="auto"/>
        <w:ind w:firstLine="480" w:firstLineChars="200"/>
        <w:rPr>
          <w:sz w:val="24"/>
        </w:rPr>
      </w:pPr>
      <w:r>
        <w:rPr>
          <w:sz w:val="24"/>
        </w:rPr>
        <w:t>2.遵守工程设计,按工程设计、工程施工方案组织施工。</w:t>
      </w:r>
    </w:p>
    <w:p>
      <w:pPr>
        <w:spacing w:line="276" w:lineRule="auto"/>
        <w:ind w:firstLine="480" w:firstLineChars="200"/>
        <w:rPr>
          <w:sz w:val="24"/>
        </w:rPr>
      </w:pPr>
      <w:r>
        <w:rPr>
          <w:sz w:val="24"/>
        </w:rPr>
        <w:t>3.健全安全管理机构</w:t>
      </w:r>
      <w:r>
        <w:rPr>
          <w:rFonts w:hint="eastAsia"/>
          <w:sz w:val="24"/>
        </w:rPr>
        <w:t>、全员</w:t>
      </w:r>
      <w:r>
        <w:rPr>
          <w:sz w:val="24"/>
        </w:rPr>
        <w:t>安全生产责任制</w:t>
      </w:r>
      <w:r>
        <w:rPr>
          <w:rFonts w:hint="eastAsia"/>
          <w:sz w:val="24"/>
        </w:rPr>
        <w:t>、作业现场安全管理制度、安全操作规程和应急预案，</w:t>
      </w:r>
      <w:r>
        <w:rPr>
          <w:sz w:val="24"/>
        </w:rPr>
        <w:t>落实工作责任。配置合格的专（兼）职安全管理人员，安全管理人员外出不能正常开展工作时，须另行指派专人负责安全管理工作</w:t>
      </w:r>
      <w:r>
        <w:rPr>
          <w:rFonts w:hint="eastAsia"/>
          <w:sz w:val="24"/>
        </w:rPr>
        <w:t>，定期召开或参加甲方组织的安全会议。</w:t>
      </w:r>
    </w:p>
    <w:p>
      <w:pPr>
        <w:spacing w:line="276" w:lineRule="auto"/>
        <w:ind w:firstLine="480" w:firstLineChars="200"/>
        <w:rPr>
          <w:sz w:val="24"/>
        </w:rPr>
      </w:pPr>
      <w:r>
        <w:rPr>
          <w:sz w:val="24"/>
        </w:rPr>
        <w:t>4.在整个项目施工过程中，保持安全管理人员和项目技术人员的连续稳定，保持与承揽项目相匹配的施工资质，保证企业负责人、安全管理人员和特种作业人员持有效证件</w:t>
      </w:r>
      <w:r>
        <w:rPr>
          <w:rFonts w:hint="eastAsia"/>
          <w:sz w:val="24"/>
        </w:rPr>
        <w:t>，承担</w:t>
      </w:r>
      <w:r>
        <w:rPr>
          <w:sz w:val="24"/>
        </w:rPr>
        <w:t>资料不真实造成的后果负法律责任；若技术人员、特种作业人员</w:t>
      </w:r>
      <w:r>
        <w:rPr>
          <w:rFonts w:hint="eastAsia"/>
          <w:sz w:val="24"/>
        </w:rPr>
        <w:t>、</w:t>
      </w:r>
      <w:r>
        <w:rPr>
          <w:sz w:val="24"/>
        </w:rPr>
        <w:t>生产工艺、施工方法、作业环境和设备设施发生变化的，乙方应当书面告知甲方</w:t>
      </w:r>
      <w:r>
        <w:rPr>
          <w:rFonts w:hint="eastAsia"/>
          <w:sz w:val="24"/>
        </w:rPr>
        <w:t>并履行人员变更手续。</w:t>
      </w:r>
    </w:p>
    <w:p>
      <w:pPr>
        <w:spacing w:line="276" w:lineRule="auto"/>
        <w:ind w:firstLine="480" w:firstLineChars="200"/>
        <w:rPr>
          <w:sz w:val="24"/>
        </w:rPr>
      </w:pPr>
      <w:r>
        <w:rPr>
          <w:sz w:val="24"/>
        </w:rPr>
        <w:t>5.</w:t>
      </w:r>
      <w:r>
        <w:rPr>
          <w:rFonts w:hint="eastAsia"/>
          <w:sz w:val="24"/>
        </w:rPr>
        <w:t>不将作业项目拆包给不具备相应资质等级的作业单位或个人。</w:t>
      </w:r>
    </w:p>
    <w:p>
      <w:pPr>
        <w:spacing w:line="276" w:lineRule="auto"/>
        <w:ind w:firstLine="480" w:firstLineChars="200"/>
        <w:rPr>
          <w:sz w:val="24"/>
        </w:rPr>
      </w:pPr>
      <w:r>
        <w:rPr>
          <w:sz w:val="24"/>
        </w:rPr>
        <w:t>6.与甲方建立日常联系和协作机制,按时参加甲方组织的安全专业会议和活动。</w:t>
      </w:r>
    </w:p>
    <w:p>
      <w:pPr>
        <w:spacing w:line="276" w:lineRule="auto"/>
        <w:ind w:firstLine="480" w:firstLineChars="200"/>
        <w:rPr>
          <w:sz w:val="24"/>
        </w:rPr>
      </w:pPr>
      <w:r>
        <w:rPr>
          <w:sz w:val="24"/>
        </w:rPr>
        <w:t>7.</w:t>
      </w:r>
      <w:r>
        <w:rPr>
          <w:rFonts w:hint="eastAsia"/>
          <w:sz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rPr>
      </w:pPr>
      <w:r>
        <w:rPr>
          <w:rFonts w:hint="eastAsia"/>
          <w:sz w:val="24"/>
        </w:rPr>
        <w:t>8</w:t>
      </w:r>
      <w:r>
        <w:rPr>
          <w:sz w:val="24"/>
        </w:rPr>
        <w:t>.</w:t>
      </w:r>
      <w:r>
        <w:rPr>
          <w:rFonts w:hint="eastAsia"/>
          <w:sz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rPr>
      </w:pPr>
      <w:r>
        <w:rPr>
          <w:sz w:val="24"/>
        </w:rPr>
        <w:t>9.</w:t>
      </w:r>
      <w:r>
        <w:rPr>
          <w:rFonts w:hint="eastAsia"/>
          <w:sz w:val="24"/>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rPr>
      </w:pPr>
      <w:r>
        <w:rPr>
          <w:sz w:val="24"/>
        </w:rPr>
        <w:t>10.</w:t>
      </w:r>
      <w:r>
        <w:rPr>
          <w:rFonts w:hint="eastAsia"/>
          <w:sz w:val="24"/>
        </w:rPr>
        <w:t>作业相关的项目资料必须保密，非经甲方书面同意不能向外透露，作业完毕后，应及时退还甲方。</w:t>
      </w:r>
    </w:p>
    <w:p>
      <w:pPr>
        <w:spacing w:line="276" w:lineRule="auto"/>
        <w:ind w:firstLine="480" w:firstLineChars="200"/>
        <w:rPr>
          <w:sz w:val="24"/>
        </w:rPr>
      </w:pPr>
      <w:r>
        <w:rPr>
          <w:rFonts w:hint="eastAsia"/>
          <w:sz w:val="24"/>
        </w:rPr>
        <w:t>1</w:t>
      </w:r>
      <w:r>
        <w:rPr>
          <w:sz w:val="24"/>
        </w:rPr>
        <w:t>1.对项目施工现场的安全生产负直接责任。</w:t>
      </w:r>
    </w:p>
    <w:p>
      <w:pPr>
        <w:spacing w:line="276" w:lineRule="auto"/>
        <w:ind w:firstLine="480" w:firstLineChars="200"/>
        <w:rPr>
          <w:sz w:val="24"/>
        </w:rPr>
      </w:pPr>
      <w:r>
        <w:rPr>
          <w:rFonts w:hint="eastAsia"/>
          <w:sz w:val="24"/>
        </w:rPr>
        <w:t>1</w:t>
      </w:r>
      <w:r>
        <w:rPr>
          <w:sz w:val="24"/>
        </w:rPr>
        <w:t>2.</w:t>
      </w:r>
      <w:r>
        <w:rPr>
          <w:rFonts w:hint="eastAsia"/>
          <w:sz w:val="24"/>
        </w:rPr>
        <w:t xml:space="preserve"> 严格遵守甲乙双方签订的本协议。</w:t>
      </w:r>
    </w:p>
    <w:p>
      <w:pPr>
        <w:spacing w:line="276" w:lineRule="auto"/>
        <w:ind w:firstLine="480" w:firstLineChars="200"/>
        <w:rPr>
          <w:sz w:val="24"/>
        </w:rPr>
      </w:pPr>
      <w:bookmarkStart w:id="96" w:name="_Toc396037055"/>
      <w:bookmarkStart w:id="97" w:name="_Toc389985360"/>
      <w:bookmarkStart w:id="98" w:name="_Toc451698741"/>
      <w:bookmarkStart w:id="99" w:name="_Toc442022102"/>
      <w:bookmarkStart w:id="100" w:name="_Toc384944718"/>
      <w:bookmarkStart w:id="101" w:name="_Toc381911467"/>
      <w:bookmarkStart w:id="102" w:name="_Toc442133372"/>
      <w:bookmarkStart w:id="103" w:name="_Toc396036411"/>
      <w:bookmarkStart w:id="104" w:name="_Toc434694364"/>
      <w:bookmarkStart w:id="105" w:name="_Toc383301028"/>
      <w:bookmarkStart w:id="106" w:name="_Toc442016143"/>
      <w:r>
        <w:rPr>
          <w:sz w:val="24"/>
        </w:rPr>
        <w:t>第三条 安全投入和资金保障</w:t>
      </w:r>
      <w:bookmarkEnd w:id="96"/>
      <w:bookmarkEnd w:id="97"/>
      <w:bookmarkEnd w:id="98"/>
      <w:bookmarkEnd w:id="99"/>
      <w:bookmarkEnd w:id="100"/>
      <w:bookmarkEnd w:id="101"/>
      <w:bookmarkEnd w:id="102"/>
      <w:bookmarkEnd w:id="103"/>
      <w:bookmarkEnd w:id="104"/>
      <w:bookmarkEnd w:id="105"/>
      <w:bookmarkEnd w:id="106"/>
    </w:p>
    <w:p>
      <w:pPr>
        <w:spacing w:line="276" w:lineRule="auto"/>
        <w:ind w:firstLine="480" w:firstLineChars="200"/>
        <w:rPr>
          <w:sz w:val="24"/>
        </w:rPr>
      </w:pPr>
      <w:r>
        <w:rPr>
          <w:sz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rPr>
      </w:pPr>
      <w:r>
        <w:rPr>
          <w:sz w:val="24"/>
        </w:rPr>
        <w:t>(二)</w:t>
      </w:r>
      <w:r>
        <w:rPr>
          <w:rFonts w:hint="eastAsia"/>
          <w:sz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rPr>
      </w:pPr>
      <w:r>
        <w:rPr>
          <w:sz w:val="24"/>
        </w:rPr>
        <w:t>(三)乙方须</w:t>
      </w:r>
      <w:r>
        <w:rPr>
          <w:rFonts w:hint="eastAsia"/>
          <w:sz w:val="24"/>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rPr>
      </w:pPr>
      <w:r>
        <w:rPr>
          <w:sz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rPr>
      </w:pPr>
      <w:bookmarkStart w:id="107" w:name="_Toc389985361"/>
      <w:bookmarkStart w:id="108" w:name="_Toc384944719"/>
      <w:bookmarkStart w:id="109" w:name="_Toc396036412"/>
      <w:bookmarkStart w:id="110" w:name="_Toc442022103"/>
      <w:bookmarkStart w:id="111" w:name="_Toc442016144"/>
      <w:bookmarkStart w:id="112" w:name="_Toc396037056"/>
      <w:bookmarkStart w:id="113" w:name="_Toc381911468"/>
      <w:bookmarkStart w:id="114" w:name="_Toc451698742"/>
      <w:bookmarkStart w:id="115" w:name="_Toc383301029"/>
      <w:bookmarkStart w:id="116" w:name="_Toc434694365"/>
      <w:bookmarkStart w:id="117" w:name="_Toc442133373"/>
      <w:r>
        <w:rPr>
          <w:sz w:val="24"/>
        </w:rPr>
        <w:t>第四条 安全设施和施工条件</w:t>
      </w:r>
      <w:bookmarkEnd w:id="107"/>
      <w:bookmarkEnd w:id="108"/>
      <w:bookmarkEnd w:id="109"/>
      <w:bookmarkEnd w:id="110"/>
      <w:bookmarkEnd w:id="111"/>
      <w:bookmarkEnd w:id="112"/>
      <w:bookmarkEnd w:id="113"/>
      <w:bookmarkEnd w:id="114"/>
      <w:bookmarkEnd w:id="115"/>
      <w:bookmarkEnd w:id="116"/>
      <w:bookmarkEnd w:id="117"/>
    </w:p>
    <w:p>
      <w:pPr>
        <w:spacing w:line="276" w:lineRule="auto"/>
        <w:ind w:firstLine="480" w:firstLineChars="200"/>
        <w:rPr>
          <w:sz w:val="24"/>
        </w:rPr>
      </w:pPr>
      <w:r>
        <w:rPr>
          <w:sz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rPr>
      </w:pPr>
      <w:r>
        <w:rPr>
          <w:sz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rPr>
      </w:pPr>
      <w:r>
        <w:rPr>
          <w:sz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rPr>
      </w:pPr>
      <w:r>
        <w:rPr>
          <w:sz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rPr>
      </w:pPr>
      <w:r>
        <w:rPr>
          <w:sz w:val="24"/>
        </w:rPr>
        <w:t>(四)</w:t>
      </w:r>
      <w:r>
        <w:rPr>
          <w:rFonts w:hint="eastAsia"/>
          <w:sz w:val="24"/>
        </w:rPr>
        <w:t>乙方作业前应提交如下材料：</w:t>
      </w:r>
    </w:p>
    <w:p>
      <w:pPr>
        <w:spacing w:line="300" w:lineRule="exact"/>
        <w:ind w:firstLine="480" w:firstLineChars="200"/>
        <w:rPr>
          <w:sz w:val="24"/>
        </w:rPr>
      </w:pPr>
      <w:r>
        <w:rPr>
          <w:rFonts w:hint="eastAsia"/>
          <w:sz w:val="24"/>
        </w:rPr>
        <w:t>1. 提供一份所有作业人员花名册▲</w:t>
      </w:r>
    </w:p>
    <w:p>
      <w:pPr>
        <w:spacing w:line="300" w:lineRule="exact"/>
        <w:ind w:firstLine="480" w:firstLineChars="200"/>
        <w:rPr>
          <w:sz w:val="24"/>
        </w:rPr>
      </w:pPr>
      <w:r>
        <w:rPr>
          <w:rFonts w:hint="eastAsia"/>
          <w:sz w:val="24"/>
        </w:rPr>
        <w:t>2. 提供所有作业人员身份证（复印件）▲</w:t>
      </w:r>
    </w:p>
    <w:p>
      <w:pPr>
        <w:spacing w:line="300" w:lineRule="exact"/>
        <w:ind w:firstLine="480" w:firstLineChars="200"/>
        <w:rPr>
          <w:sz w:val="24"/>
        </w:rPr>
      </w:pPr>
      <w:r>
        <w:rPr>
          <w:rFonts w:hint="eastAsia"/>
          <w:sz w:val="24"/>
        </w:rPr>
        <w:t>3.为每一位作业人员提供一份“健康体检”表（医院体检证明）▲</w:t>
      </w:r>
    </w:p>
    <w:p>
      <w:pPr>
        <w:spacing w:line="300" w:lineRule="exact"/>
        <w:ind w:firstLine="480" w:firstLineChars="200"/>
        <w:rPr>
          <w:sz w:val="24"/>
        </w:rPr>
      </w:pPr>
      <w:r>
        <w:rPr>
          <w:rFonts w:hint="eastAsia"/>
          <w:sz w:val="24"/>
        </w:rPr>
        <w:t>4.项目经理及专职安全员并持证上岗▲</w:t>
      </w:r>
    </w:p>
    <w:p>
      <w:pPr>
        <w:spacing w:line="300" w:lineRule="exact"/>
        <w:ind w:firstLine="480" w:firstLineChars="200"/>
        <w:rPr>
          <w:sz w:val="24"/>
        </w:rPr>
      </w:pPr>
      <w:r>
        <w:rPr>
          <w:rFonts w:hint="eastAsia"/>
          <w:sz w:val="24"/>
        </w:rPr>
        <w:t>5.每一位作业人员的安全规程培训考试，合格后方可上岗▲</w:t>
      </w:r>
    </w:p>
    <w:p>
      <w:pPr>
        <w:spacing w:line="300" w:lineRule="exact"/>
        <w:ind w:firstLine="480" w:firstLineChars="200"/>
        <w:rPr>
          <w:sz w:val="24"/>
        </w:rPr>
      </w:pPr>
      <w:r>
        <w:rPr>
          <w:rFonts w:hint="eastAsia"/>
          <w:sz w:val="24"/>
        </w:rPr>
        <w:t>6.承包单位与每一位员工签订劳动合同（提供复印件）</w:t>
      </w:r>
    </w:p>
    <w:p>
      <w:pPr>
        <w:spacing w:line="300" w:lineRule="exact"/>
        <w:ind w:firstLine="480" w:firstLineChars="200"/>
        <w:rPr>
          <w:sz w:val="24"/>
        </w:rPr>
      </w:pPr>
      <w:r>
        <w:rPr>
          <w:rFonts w:hint="eastAsia"/>
          <w:sz w:val="24"/>
        </w:rPr>
        <w:t>7.为所有作业人员办理工伤保险或意外保险（提供保险凭证）▲</w:t>
      </w:r>
    </w:p>
    <w:p>
      <w:pPr>
        <w:spacing w:line="300" w:lineRule="exact"/>
        <w:ind w:firstLine="480" w:firstLineChars="200"/>
        <w:rPr>
          <w:sz w:val="24"/>
        </w:rPr>
      </w:pPr>
      <w:r>
        <w:rPr>
          <w:rFonts w:hint="eastAsia"/>
          <w:sz w:val="24"/>
        </w:rPr>
        <w:t>8.按规定缴纳安全风险抵押金▲</w:t>
      </w:r>
    </w:p>
    <w:p>
      <w:pPr>
        <w:spacing w:line="300" w:lineRule="exact"/>
        <w:ind w:firstLine="480" w:firstLineChars="200"/>
        <w:rPr>
          <w:sz w:val="24"/>
        </w:rPr>
      </w:pPr>
      <w:r>
        <w:rPr>
          <w:rFonts w:hint="eastAsia"/>
          <w:sz w:val="24"/>
        </w:rPr>
        <w:t>9.提供所有作业人员月度考勤表（进场以后执行）▲</w:t>
      </w:r>
    </w:p>
    <w:p>
      <w:pPr>
        <w:spacing w:line="300" w:lineRule="exact"/>
        <w:ind w:firstLine="480" w:firstLineChars="200"/>
        <w:rPr>
          <w:sz w:val="24"/>
        </w:rPr>
      </w:pPr>
      <w:r>
        <w:rPr>
          <w:rFonts w:hint="eastAsia"/>
          <w:sz w:val="24"/>
        </w:rPr>
        <w:t>10.提供所有作业人员劳动防护用品清单（如：安全帽、工作服、工作鞋、口罩、手套、耳塞、防护眼镜等）▲</w:t>
      </w:r>
    </w:p>
    <w:p>
      <w:pPr>
        <w:spacing w:line="300" w:lineRule="exact"/>
        <w:ind w:firstLine="480" w:firstLineChars="200"/>
        <w:rPr>
          <w:sz w:val="24"/>
        </w:rPr>
      </w:pPr>
      <w:r>
        <w:rPr>
          <w:rFonts w:hint="eastAsia"/>
          <w:sz w:val="24"/>
        </w:rPr>
        <w:t>11.提供每位员工月度安全培训记录及档案（进场以后执行）</w:t>
      </w:r>
    </w:p>
    <w:p>
      <w:pPr>
        <w:spacing w:line="300" w:lineRule="exact"/>
        <w:ind w:firstLine="480" w:firstLineChars="200"/>
        <w:rPr>
          <w:sz w:val="24"/>
        </w:rPr>
      </w:pPr>
      <w:r>
        <w:rPr>
          <w:rFonts w:hint="eastAsia"/>
          <w:sz w:val="24"/>
        </w:rPr>
        <w:t>12.提供安全生产管理办法、安全生产责任制、操作规程▲</w:t>
      </w:r>
    </w:p>
    <w:p>
      <w:pPr>
        <w:spacing w:line="300" w:lineRule="exact"/>
        <w:ind w:firstLine="480" w:firstLineChars="200"/>
        <w:rPr>
          <w:sz w:val="24"/>
        </w:rPr>
      </w:pPr>
      <w:r>
        <w:rPr>
          <w:rFonts w:hint="eastAsia"/>
          <w:sz w:val="24"/>
        </w:rPr>
        <w:t xml:space="preserve">13.提供有效的营业执照、施工资质、安全生产许可证等文件▲ </w:t>
      </w:r>
    </w:p>
    <w:p>
      <w:pPr>
        <w:spacing w:line="300" w:lineRule="exact"/>
        <w:ind w:firstLine="480" w:firstLineChars="200"/>
        <w:rPr>
          <w:sz w:val="24"/>
        </w:rPr>
      </w:pPr>
      <w:r>
        <w:rPr>
          <w:rFonts w:hint="eastAsia"/>
          <w:sz w:val="24"/>
        </w:rPr>
        <w:t>14.项目经理和安全员委托书（承包商单位有效文函）▲</w:t>
      </w:r>
    </w:p>
    <w:p>
      <w:pPr>
        <w:spacing w:line="300" w:lineRule="exact"/>
        <w:ind w:firstLine="480" w:firstLineChars="200"/>
        <w:rPr>
          <w:sz w:val="24"/>
        </w:rPr>
      </w:pPr>
      <w:r>
        <w:rPr>
          <w:rFonts w:hint="eastAsia"/>
          <w:sz w:val="24"/>
        </w:rPr>
        <w:t>15.项目安全管理组织机构图，及安全生产责任制；</w:t>
      </w:r>
    </w:p>
    <w:p>
      <w:pPr>
        <w:spacing w:line="300" w:lineRule="exact"/>
        <w:ind w:firstLine="480" w:firstLineChars="200"/>
        <w:rPr>
          <w:sz w:val="24"/>
        </w:rPr>
      </w:pPr>
      <w:r>
        <w:rPr>
          <w:rFonts w:hint="eastAsia"/>
          <w:sz w:val="24"/>
        </w:rPr>
        <w:t>16.签订外来施工作业人员的安全承诺▲（进场前签定）</w:t>
      </w:r>
    </w:p>
    <w:p>
      <w:pPr>
        <w:spacing w:line="300" w:lineRule="exact"/>
        <w:ind w:firstLine="480" w:firstLineChars="200"/>
        <w:rPr>
          <w:sz w:val="24"/>
        </w:rPr>
      </w:pPr>
      <w:r>
        <w:rPr>
          <w:rFonts w:hint="eastAsia"/>
          <w:sz w:val="24"/>
        </w:rPr>
        <w:t>17.提供现场“应急施救药品”▲(附药品清单)</w:t>
      </w:r>
    </w:p>
    <w:p>
      <w:pPr>
        <w:spacing w:line="300" w:lineRule="exact"/>
        <w:ind w:firstLine="480" w:firstLineChars="200"/>
        <w:rPr>
          <w:sz w:val="24"/>
        </w:rPr>
      </w:pPr>
      <w:r>
        <w:rPr>
          <w:rFonts w:hint="eastAsia"/>
          <w:sz w:val="24"/>
        </w:rPr>
        <w:t>18.施工项目开工申请▲</w:t>
      </w:r>
    </w:p>
    <w:p>
      <w:pPr>
        <w:spacing w:line="300" w:lineRule="exact"/>
        <w:ind w:firstLine="480" w:firstLineChars="200"/>
        <w:rPr>
          <w:sz w:val="24"/>
        </w:rPr>
      </w:pPr>
      <w:r>
        <w:rPr>
          <w:rFonts w:hint="eastAsia"/>
          <w:sz w:val="24"/>
        </w:rPr>
        <w:t>19.提供承包合同、安全协议（复印件）▲</w:t>
      </w:r>
    </w:p>
    <w:p>
      <w:pPr>
        <w:spacing w:line="300" w:lineRule="exact"/>
        <w:ind w:firstLine="480" w:firstLineChars="200"/>
        <w:rPr>
          <w:sz w:val="24"/>
        </w:rPr>
      </w:pPr>
      <w:r>
        <w:rPr>
          <w:rFonts w:hint="eastAsia"/>
          <w:sz w:val="24"/>
        </w:rPr>
        <w:t>20.提供作业工器具清单、合格证</w:t>
      </w:r>
    </w:p>
    <w:p>
      <w:pPr>
        <w:spacing w:line="300" w:lineRule="exact"/>
        <w:ind w:firstLine="480" w:firstLineChars="200"/>
        <w:rPr>
          <w:sz w:val="24"/>
        </w:rPr>
      </w:pPr>
      <w:r>
        <w:rPr>
          <w:rFonts w:hint="eastAsia"/>
          <w:sz w:val="24"/>
        </w:rPr>
        <w:t>21.特殊作业人员清单、特种作业资格证▲</w:t>
      </w:r>
    </w:p>
    <w:p>
      <w:pPr>
        <w:spacing w:line="300" w:lineRule="exact"/>
        <w:ind w:firstLine="480" w:firstLineChars="200"/>
        <w:rPr>
          <w:rFonts w:hint="eastAsia"/>
          <w:sz w:val="24"/>
        </w:rPr>
      </w:pPr>
      <w:r>
        <w:rPr>
          <w:rFonts w:hint="eastAsia"/>
          <w:sz w:val="24"/>
          <w:highlight w:val="yellow"/>
        </w:rPr>
        <w:t>2</w:t>
      </w:r>
      <w:r>
        <w:rPr>
          <w:sz w:val="24"/>
          <w:highlight w:val="yellow"/>
        </w:rPr>
        <w:t>2</w:t>
      </w:r>
      <w:r>
        <w:rPr>
          <w:rFonts w:hint="eastAsia"/>
          <w:sz w:val="24"/>
          <w:highlight w:val="yellow"/>
        </w:rPr>
        <w:t>．施工队人员必需至少有一人持安全员资质证书、方能施工。</w:t>
      </w:r>
      <w:r>
        <w:rPr>
          <w:rFonts w:hint="eastAsia"/>
          <w:sz w:val="24"/>
        </w:rPr>
        <w:t>▲</w:t>
      </w:r>
    </w:p>
    <w:p>
      <w:pPr>
        <w:spacing w:line="300" w:lineRule="exact"/>
        <w:ind w:firstLine="480" w:firstLineChars="200"/>
        <w:rPr>
          <w:rFonts w:hint="default"/>
          <w:sz w:val="24"/>
          <w:highlight w:val="yellow"/>
          <w:lang w:val="en-US" w:eastAsia="zh-CN"/>
        </w:rPr>
      </w:pPr>
      <w:r>
        <w:rPr>
          <w:rFonts w:hint="eastAsia"/>
          <w:sz w:val="24"/>
          <w:highlight w:val="yellow"/>
          <w:lang w:val="en-US" w:eastAsia="zh-CN"/>
        </w:rPr>
        <w:t>23乙方自行配备施工场地围挡</w:t>
      </w:r>
    </w:p>
    <w:p>
      <w:pPr>
        <w:spacing w:line="300" w:lineRule="exact"/>
        <w:ind w:firstLine="480" w:firstLineChars="200"/>
        <w:rPr>
          <w:sz w:val="24"/>
        </w:rPr>
      </w:pPr>
      <w:r>
        <w:rPr>
          <w:rFonts w:hint="eastAsia"/>
          <w:sz w:val="24"/>
        </w:rPr>
        <w:t>以上资料作为外包项目承包商进入招标人作业的安全管理软件资料。有注▲的为必须合格项目，否则不具备入厂作业。</w:t>
      </w:r>
    </w:p>
    <w:p>
      <w:pPr>
        <w:spacing w:line="276" w:lineRule="auto"/>
        <w:ind w:firstLine="480" w:firstLineChars="200"/>
        <w:rPr>
          <w:sz w:val="24"/>
        </w:rPr>
      </w:pPr>
      <w:r>
        <w:rPr>
          <w:sz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rPr>
      </w:pPr>
      <w:r>
        <w:rPr>
          <w:rFonts w:hint="eastAsia"/>
          <w:sz w:val="24"/>
        </w:rPr>
        <w:t>注意：不得安排未经上岗前职业健康检查的人员从事接触职业病危害的作业，不得安排有职业禁忌的人员从事其所禁忌的作业。</w:t>
      </w:r>
    </w:p>
    <w:p>
      <w:pPr>
        <w:spacing w:line="276" w:lineRule="auto"/>
        <w:ind w:firstLine="480" w:firstLineChars="200"/>
        <w:rPr>
          <w:sz w:val="24"/>
        </w:rPr>
      </w:pPr>
      <w:r>
        <w:rPr>
          <w:sz w:val="24"/>
        </w:rPr>
        <w:t>（六）</w:t>
      </w:r>
      <w:r>
        <w:rPr>
          <w:rFonts w:hint="eastAsia"/>
          <w:sz w:val="24"/>
        </w:rPr>
        <w:t>乙方在作业时必须履行好如下工作要求：</w:t>
      </w:r>
    </w:p>
    <w:p>
      <w:pPr>
        <w:spacing w:line="420" w:lineRule="exact"/>
        <w:ind w:firstLine="480" w:firstLineChars="200"/>
        <w:rPr>
          <w:sz w:val="24"/>
        </w:rPr>
      </w:pPr>
      <w:r>
        <w:rPr>
          <w:rFonts w:hint="eastAsia"/>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rPr>
      </w:pPr>
      <w:r>
        <w:rPr>
          <w:rFonts w:hint="eastAsia"/>
          <w:sz w:val="24"/>
        </w:rPr>
        <w:t>2.作业时如需拉设警戒带的，提前采购好。</w:t>
      </w:r>
    </w:p>
    <w:p>
      <w:pPr>
        <w:spacing w:line="420" w:lineRule="exact"/>
        <w:ind w:firstLine="480" w:firstLineChars="200"/>
        <w:rPr>
          <w:sz w:val="24"/>
        </w:rPr>
      </w:pPr>
      <w:r>
        <w:rPr>
          <w:rFonts w:hint="eastAsia"/>
          <w:sz w:val="24"/>
        </w:rPr>
        <w:t>3.乙方每日作业前，必须参加甲方组织的班前会（安全技术交底）活动后方可安排作业。</w:t>
      </w:r>
    </w:p>
    <w:p>
      <w:pPr>
        <w:spacing w:line="420" w:lineRule="exact"/>
        <w:ind w:firstLine="480" w:firstLineChars="200"/>
        <w:rPr>
          <w:sz w:val="24"/>
        </w:rPr>
      </w:pPr>
      <w:r>
        <w:rPr>
          <w:rFonts w:hint="eastAsia"/>
          <w:sz w:val="24"/>
        </w:rPr>
        <w:t>4.所有人员进入甲方区域前，应佩戴好安全帽，统一穿前、后有反光条的工装（有公司简称）或穿反光背心，衣冠要整齐，反光背心前、后需印有乙方公司简称，如“广西一安</w:t>
      </w:r>
      <w:r>
        <w:rPr>
          <w:sz w:val="24"/>
        </w:rPr>
        <w:t>”</w:t>
      </w:r>
      <w:r>
        <w:rPr>
          <w:rFonts w:hint="eastAsia"/>
          <w:sz w:val="24"/>
        </w:rPr>
        <w:t>、“中国建筑”等明显字眼。乙方入厂作业前应准备好2-4件红色反光衣，前、后印刷有“安全监护人”字样，供专职安全监护人穿用。</w:t>
      </w:r>
    </w:p>
    <w:p>
      <w:pPr>
        <w:spacing w:line="420" w:lineRule="exact"/>
        <w:ind w:firstLine="480" w:firstLineChars="200"/>
        <w:rPr>
          <w:sz w:val="24"/>
        </w:rPr>
      </w:pPr>
      <w:r>
        <w:rPr>
          <w:rFonts w:hint="eastAsia"/>
          <w:sz w:val="24"/>
        </w:rPr>
        <w:t>5.乙方安排进入甲方区域的工程、运输车辆必须按照甲方要求配置爆闪灯、前后录像仪、倒车语音提示、前后影像、倒车雷达、示宽灯、车辆左右和后侧张贴反光条等。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rPr>
      </w:pPr>
      <w:r>
        <w:rPr>
          <w:rFonts w:hint="eastAsia"/>
          <w:sz w:val="24"/>
        </w:rPr>
        <w:t>6.乙方禁止私自在甲方区域接施工电箱主电源，由乙方向甲方申请临时用电，甲方派人接电，电气作业人员必须穿绝缘鞋。</w:t>
      </w:r>
    </w:p>
    <w:p>
      <w:pPr>
        <w:spacing w:line="420" w:lineRule="exact"/>
        <w:ind w:firstLine="480" w:firstLineChars="200"/>
        <w:rPr>
          <w:sz w:val="24"/>
        </w:rPr>
      </w:pPr>
      <w:r>
        <w:rPr>
          <w:rFonts w:hint="eastAsia"/>
          <w:sz w:val="24"/>
        </w:rPr>
        <w:t>7.乙方人员从事气割作业，除穿戴最基本的安全帽和反光背心外，必须戴难燃手套和墨镜。</w:t>
      </w:r>
    </w:p>
    <w:p>
      <w:pPr>
        <w:spacing w:line="420" w:lineRule="exact"/>
        <w:ind w:firstLine="480" w:firstLineChars="200"/>
        <w:rPr>
          <w:sz w:val="24"/>
        </w:rPr>
      </w:pPr>
      <w:r>
        <w:rPr>
          <w:rFonts w:hint="eastAsia"/>
          <w:sz w:val="24"/>
        </w:rPr>
        <w:t>8.乙方人员从事焊接作业，必须佩戴安全帽、绝缘鞋、电焊手套、电焊面罩，作业过程中禁止穿易燃的反光衣等，作业完毕后及时穿反光衣。</w:t>
      </w:r>
    </w:p>
    <w:p>
      <w:pPr>
        <w:spacing w:line="420" w:lineRule="exact"/>
        <w:ind w:firstLine="480" w:firstLineChars="200"/>
        <w:rPr>
          <w:sz w:val="24"/>
        </w:rPr>
      </w:pPr>
      <w:r>
        <w:rPr>
          <w:rFonts w:hint="eastAsia"/>
          <w:sz w:val="24"/>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rPr>
      </w:pPr>
      <w:r>
        <w:rPr>
          <w:rFonts w:hint="eastAsia"/>
          <w:sz w:val="24"/>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rPr>
      </w:pPr>
      <w:r>
        <w:rPr>
          <w:rFonts w:hint="eastAsia"/>
          <w:sz w:val="24"/>
        </w:rPr>
        <w:t>11.氧气乙炔瓶的管理，同一地点不允许存放超过5瓶及以上，作业时氧气乙炔两者应相距5米以上，气瓶距动火点相距10米以上，同时做好防晒、防回火和防倾倒措施，气管、压力表等要符合国标要求。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rPr>
      </w:pPr>
      <w:r>
        <w:rPr>
          <w:rFonts w:hint="eastAsia"/>
          <w:sz w:val="24"/>
        </w:rPr>
        <w:t>12.砂轮机、切割、敲击、风炮机等作业必须佩戴防冲击眼镜。</w:t>
      </w:r>
    </w:p>
    <w:p>
      <w:pPr>
        <w:spacing w:line="420" w:lineRule="exact"/>
        <w:ind w:firstLine="480" w:firstLineChars="200"/>
        <w:rPr>
          <w:sz w:val="24"/>
        </w:rPr>
      </w:pPr>
      <w:r>
        <w:rPr>
          <w:rFonts w:hint="eastAsia"/>
          <w:sz w:val="24"/>
        </w:rPr>
        <w:t>13.原则上禁止开展高处抛物作业，上下梯子禁止手拿工具或其它物品。</w:t>
      </w:r>
    </w:p>
    <w:p>
      <w:pPr>
        <w:spacing w:line="420" w:lineRule="exact"/>
        <w:ind w:firstLine="480" w:firstLineChars="200"/>
        <w:rPr>
          <w:sz w:val="24"/>
        </w:rPr>
      </w:pPr>
      <w:r>
        <w:rPr>
          <w:rFonts w:hint="eastAsia"/>
          <w:sz w:val="24"/>
        </w:rPr>
        <w:t>14.现场施工用电线横跨人行通道要求悬挂高度2米以上（悬挂点必须做好绝缘措施）或做好警戒隔离措施。</w:t>
      </w:r>
    </w:p>
    <w:p>
      <w:pPr>
        <w:spacing w:line="420" w:lineRule="exact"/>
        <w:ind w:firstLine="480" w:firstLineChars="200"/>
        <w:rPr>
          <w:sz w:val="24"/>
        </w:rPr>
      </w:pPr>
      <w:r>
        <w:rPr>
          <w:rFonts w:hint="eastAsia"/>
          <w:sz w:val="24"/>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rPr>
      </w:pPr>
      <w:r>
        <w:rPr>
          <w:rFonts w:hint="eastAsia"/>
          <w:sz w:val="24"/>
        </w:rPr>
        <w:t>16.基坑开挖和物料堆放必须符合规范要求，防止出现坍塌事件。</w:t>
      </w:r>
    </w:p>
    <w:p>
      <w:pPr>
        <w:spacing w:line="420" w:lineRule="exact"/>
        <w:ind w:firstLine="480" w:firstLineChars="200"/>
        <w:rPr>
          <w:sz w:val="24"/>
        </w:rPr>
      </w:pPr>
      <w:r>
        <w:rPr>
          <w:rFonts w:hint="eastAsia"/>
          <w:sz w:val="24"/>
        </w:rPr>
        <w:t>17.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rPr>
      </w:pPr>
      <w:r>
        <w:rPr>
          <w:rFonts w:hint="eastAsia"/>
          <w:sz w:val="24"/>
        </w:rPr>
        <w:t>18.人员在厂区行走时，原则上只允许行走人行通道、斑马线和甲方指定的区域，禁止跨越隔离栏，乱走、乱跑，不得擅自进入与作业无关的区域。</w:t>
      </w:r>
    </w:p>
    <w:p>
      <w:pPr>
        <w:spacing w:line="420" w:lineRule="exact"/>
        <w:ind w:firstLine="480" w:firstLineChars="200"/>
        <w:rPr>
          <w:sz w:val="24"/>
        </w:rPr>
      </w:pPr>
      <w:r>
        <w:rPr>
          <w:rFonts w:hint="eastAsia"/>
          <w:sz w:val="24"/>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rPr>
      </w:pPr>
      <w:r>
        <w:rPr>
          <w:rFonts w:hint="eastAsia"/>
          <w:sz w:val="24"/>
        </w:rPr>
        <w:t>20.乙方施工（安装）区域的施工（安装）设备、临时用电设施、脚手架、出入通道口、楼梯口、危险有害气体或液体存放处等危险部位，应设置明显的安全警示标志、围栏，危险警示标志、围栏符合国家标准。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rPr>
      </w:pPr>
      <w:r>
        <w:rPr>
          <w:rFonts w:hint="eastAsia"/>
          <w:sz w:val="24"/>
        </w:rPr>
        <w:t>21.乙方所用工具、材料、备品备件应码放平稳，不得存在有倾翻、滚动、坠落和其它危险隐患。</w:t>
      </w:r>
    </w:p>
    <w:p>
      <w:pPr>
        <w:spacing w:line="420" w:lineRule="exact"/>
        <w:ind w:firstLine="480" w:firstLineChars="200"/>
        <w:rPr>
          <w:sz w:val="24"/>
        </w:rPr>
      </w:pPr>
      <w:r>
        <w:rPr>
          <w:rFonts w:hint="eastAsia"/>
          <w:sz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rPr>
      </w:pPr>
      <w:r>
        <w:rPr>
          <w:rFonts w:hint="eastAsia"/>
          <w:sz w:val="24"/>
        </w:rPr>
        <w:t>23.乙方作业现场发生事故的，应立即报告监理和甲方，</w:t>
      </w:r>
      <w:r>
        <w:rPr>
          <w:sz w:val="24"/>
        </w:rPr>
        <w:t>乙方应按《生产安全事故报告和调查处理条例》</w:t>
      </w:r>
      <w:r>
        <w:rPr>
          <w:rFonts w:hint="eastAsia"/>
          <w:sz w:val="24"/>
        </w:rPr>
        <w:t>等法律、法规、规章的规定报告，并按照专项应急预案或者应急处置方案立即开展事故救援</w:t>
      </w:r>
      <w:r>
        <w:rPr>
          <w:sz w:val="24"/>
        </w:rPr>
        <w:t>。</w:t>
      </w:r>
    </w:p>
    <w:p>
      <w:pPr>
        <w:spacing w:line="420" w:lineRule="exact"/>
        <w:ind w:firstLine="480" w:firstLineChars="200"/>
        <w:rPr>
          <w:sz w:val="24"/>
        </w:rPr>
      </w:pPr>
      <w:r>
        <w:rPr>
          <w:rFonts w:hint="eastAsia"/>
          <w:sz w:val="24"/>
        </w:rPr>
        <w:t>24.乙方不得随意更换项目关键人员，关键人员离开现场应提前告知甲方，并办理相关审批手续。</w:t>
      </w:r>
    </w:p>
    <w:p>
      <w:pPr>
        <w:spacing w:line="420" w:lineRule="exact"/>
        <w:ind w:firstLine="480" w:firstLineChars="200"/>
        <w:rPr>
          <w:sz w:val="24"/>
        </w:rPr>
      </w:pPr>
      <w:r>
        <w:rPr>
          <w:rFonts w:hint="eastAsia"/>
          <w:sz w:val="24"/>
        </w:rPr>
        <w:t>25.作业现场暂时停工的，乙方须做好现场安全防护工作。</w:t>
      </w:r>
    </w:p>
    <w:p>
      <w:pPr>
        <w:spacing w:line="420" w:lineRule="exact"/>
        <w:ind w:firstLine="480" w:firstLineChars="200"/>
        <w:rPr>
          <w:sz w:val="24"/>
        </w:rPr>
      </w:pPr>
      <w:r>
        <w:rPr>
          <w:rFonts w:hint="eastAsia"/>
          <w:sz w:val="24"/>
        </w:rPr>
        <w:t>26.</w:t>
      </w:r>
      <w:r>
        <w:rPr>
          <w:rFonts w:hint="eastAsia"/>
          <w:bCs/>
          <w:sz w:val="24"/>
        </w:rPr>
        <w:t>乙方在施工前，</w:t>
      </w:r>
      <w:r>
        <w:rPr>
          <w:bCs/>
          <w:sz w:val="24"/>
        </w:rPr>
        <w:t>须</w:t>
      </w:r>
      <w:r>
        <w:rPr>
          <w:rFonts w:hint="eastAsia"/>
          <w:bCs/>
          <w:sz w:val="24"/>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rPr>
      </w:pPr>
      <w:r>
        <w:rPr>
          <w:rFonts w:hint="eastAsia"/>
          <w:sz w:val="24"/>
        </w:rPr>
        <w:t>27.乙方到甲方开展的施工项目，项目各施工小组（点）人数达3-7人的要设1名现场负责人，7人以上共同作业或从事危险作业的要设1名专职安全监护人，监护人专门负责小组（点）施工安全监护。施工方</w:t>
      </w:r>
      <w:r>
        <w:rPr>
          <w:sz w:val="24"/>
        </w:rPr>
        <w:t>作业人数大于或等于</w:t>
      </w:r>
      <w:r>
        <w:rPr>
          <w:rFonts w:hint="eastAsia"/>
          <w:sz w:val="24"/>
        </w:rPr>
        <w:t>7人</w:t>
      </w:r>
      <w:r>
        <w:rPr>
          <w:sz w:val="24"/>
        </w:rPr>
        <w:t>的</w:t>
      </w:r>
      <w:r>
        <w:rPr>
          <w:rFonts w:hint="eastAsia"/>
          <w:sz w:val="24"/>
        </w:rPr>
        <w:t>必须</w:t>
      </w:r>
      <w:r>
        <w:rPr>
          <w:sz w:val="24"/>
        </w:rPr>
        <w:t>要配置专职</w:t>
      </w:r>
      <w:r>
        <w:rPr>
          <w:rFonts w:hint="eastAsia"/>
          <w:sz w:val="24"/>
        </w:rPr>
        <w:t>监护人。</w:t>
      </w:r>
    </w:p>
    <w:p>
      <w:pPr>
        <w:spacing w:line="420" w:lineRule="exact"/>
        <w:ind w:firstLine="480" w:firstLineChars="200"/>
        <w:rPr>
          <w:sz w:val="24"/>
        </w:rPr>
      </w:pPr>
      <w:r>
        <w:rPr>
          <w:rFonts w:hint="eastAsia"/>
          <w:sz w:val="24"/>
        </w:rPr>
        <w:t>28.</w:t>
      </w:r>
      <w:r>
        <w:rPr>
          <w:sz w:val="24"/>
        </w:rPr>
        <w:t>专职</w:t>
      </w:r>
      <w:r>
        <w:rPr>
          <w:rFonts w:hint="eastAsia"/>
          <w:sz w:val="24"/>
        </w:rPr>
        <w:t>监护人</w:t>
      </w:r>
      <w:r>
        <w:rPr>
          <w:sz w:val="24"/>
        </w:rPr>
        <w:t>禁止参与任何作业</w:t>
      </w:r>
      <w:r>
        <w:rPr>
          <w:rFonts w:hint="eastAsia"/>
          <w:sz w:val="24"/>
        </w:rPr>
        <w:t>活动</w:t>
      </w:r>
      <w:r>
        <w:rPr>
          <w:sz w:val="24"/>
        </w:rPr>
        <w:t>，主要履行现场安全监</w:t>
      </w:r>
      <w:r>
        <w:rPr>
          <w:rFonts w:hint="eastAsia"/>
          <w:sz w:val="24"/>
        </w:rPr>
        <w:t>护</w:t>
      </w:r>
      <w:r>
        <w:rPr>
          <w:sz w:val="24"/>
        </w:rPr>
        <w:t>职责</w:t>
      </w:r>
      <w:r>
        <w:rPr>
          <w:rFonts w:hint="eastAsia"/>
          <w:sz w:val="24"/>
        </w:rPr>
        <w:t>,专职监护人必须穿专用红色“安全监护人”反光背心</w:t>
      </w:r>
      <w:r>
        <w:rPr>
          <w:sz w:val="24"/>
        </w:rPr>
        <w:t>。</w:t>
      </w:r>
    </w:p>
    <w:p>
      <w:pPr>
        <w:spacing w:line="420" w:lineRule="exact"/>
        <w:ind w:firstLine="480" w:firstLineChars="200"/>
        <w:rPr>
          <w:sz w:val="24"/>
        </w:rPr>
      </w:pPr>
      <w:r>
        <w:rPr>
          <w:rFonts w:hint="eastAsia"/>
          <w:sz w:val="24"/>
        </w:rPr>
        <w:t>29.</w:t>
      </w:r>
      <w:r>
        <w:rPr>
          <w:rFonts w:hint="eastAsia"/>
          <w:bCs/>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rPr>
      </w:pPr>
      <w:r>
        <w:rPr>
          <w:rFonts w:hint="eastAsia"/>
          <w:sz w:val="24"/>
        </w:rPr>
        <w:t>30.其它法律、法规、标准、规范、地方文件等要求的事项。</w:t>
      </w:r>
    </w:p>
    <w:p>
      <w:pPr>
        <w:spacing w:line="276" w:lineRule="auto"/>
        <w:ind w:firstLine="480" w:firstLineChars="200"/>
        <w:rPr>
          <w:sz w:val="24"/>
        </w:rPr>
      </w:pPr>
      <w:bookmarkStart w:id="118" w:name="_Toc451698743"/>
      <w:bookmarkStart w:id="119" w:name="_Toc383301030"/>
      <w:bookmarkStart w:id="120" w:name="_Toc434694366"/>
      <w:bookmarkStart w:id="121" w:name="_Toc396036413"/>
      <w:bookmarkStart w:id="122" w:name="_Toc396037057"/>
      <w:bookmarkStart w:id="123" w:name="_Toc384944720"/>
      <w:bookmarkStart w:id="124" w:name="_Toc389985362"/>
      <w:bookmarkStart w:id="125" w:name="_Toc442022104"/>
      <w:bookmarkStart w:id="126" w:name="_Toc381911469"/>
      <w:bookmarkStart w:id="127" w:name="_Toc442133374"/>
      <w:bookmarkStart w:id="128" w:name="_Toc442016145"/>
      <w:bookmarkStart w:id="129" w:name="_Hlk132406554"/>
      <w:r>
        <w:rPr>
          <w:sz w:val="24"/>
        </w:rPr>
        <w:t>第五条 隐患排查与治理</w:t>
      </w:r>
      <w:bookmarkEnd w:id="118"/>
      <w:bookmarkEnd w:id="119"/>
      <w:bookmarkEnd w:id="120"/>
      <w:bookmarkEnd w:id="121"/>
      <w:bookmarkEnd w:id="122"/>
      <w:bookmarkEnd w:id="123"/>
      <w:bookmarkEnd w:id="124"/>
      <w:bookmarkEnd w:id="125"/>
      <w:bookmarkEnd w:id="126"/>
      <w:bookmarkEnd w:id="127"/>
      <w:bookmarkEnd w:id="128"/>
    </w:p>
    <w:p>
      <w:pPr>
        <w:spacing w:line="276" w:lineRule="auto"/>
        <w:ind w:firstLine="480" w:firstLineChars="200"/>
        <w:rPr>
          <w:sz w:val="24"/>
        </w:rPr>
      </w:pPr>
      <w:r>
        <w:rPr>
          <w:sz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rPr>
      </w:pPr>
      <w:r>
        <w:rPr>
          <w:sz w:val="24"/>
        </w:rPr>
        <w:t>(二)</w:t>
      </w:r>
      <w:r>
        <w:rPr>
          <w:rFonts w:hint="eastAsia"/>
          <w:sz w:val="24"/>
        </w:rPr>
        <w:t>乙方应组织相关单位及外包单位对其所从事的作业活动开展危险源辨识工作。</w:t>
      </w:r>
    </w:p>
    <w:p>
      <w:pPr>
        <w:spacing w:line="276" w:lineRule="auto"/>
        <w:ind w:firstLine="480" w:firstLineChars="200"/>
        <w:rPr>
          <w:sz w:val="24"/>
        </w:rPr>
      </w:pPr>
      <w:r>
        <w:rPr>
          <w:sz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rPr>
      </w:pPr>
      <w:r>
        <w:rPr>
          <w:sz w:val="24"/>
        </w:rPr>
        <w:t>(</w:t>
      </w:r>
      <w:r>
        <w:rPr>
          <w:rFonts w:hint="eastAsia"/>
          <w:sz w:val="24"/>
        </w:rPr>
        <w:t>四</w:t>
      </w:r>
      <w:r>
        <w:rPr>
          <w:sz w:val="24"/>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rPr>
      </w:pPr>
      <w:bookmarkStart w:id="130" w:name="_Toc434694367"/>
      <w:bookmarkStart w:id="131" w:name="_Toc451698744"/>
      <w:bookmarkStart w:id="132" w:name="_Toc442022105"/>
      <w:bookmarkStart w:id="133" w:name="_Toc383301031"/>
      <w:bookmarkStart w:id="134" w:name="_Toc384944721"/>
      <w:bookmarkStart w:id="135" w:name="_Toc396037058"/>
      <w:bookmarkStart w:id="136" w:name="_Toc442133375"/>
      <w:bookmarkStart w:id="137" w:name="_Toc381911470"/>
      <w:bookmarkStart w:id="138" w:name="_Toc389985363"/>
      <w:bookmarkStart w:id="139" w:name="_Toc442016146"/>
      <w:bookmarkStart w:id="140" w:name="_Toc396036414"/>
      <w:r>
        <w:rPr>
          <w:sz w:val="24"/>
        </w:rPr>
        <w:t>第六条 安全教育与培训</w:t>
      </w:r>
      <w:bookmarkEnd w:id="130"/>
      <w:bookmarkEnd w:id="131"/>
      <w:bookmarkEnd w:id="132"/>
      <w:bookmarkEnd w:id="133"/>
      <w:bookmarkEnd w:id="134"/>
      <w:bookmarkEnd w:id="135"/>
      <w:bookmarkEnd w:id="136"/>
      <w:bookmarkEnd w:id="137"/>
      <w:bookmarkEnd w:id="138"/>
      <w:bookmarkEnd w:id="139"/>
      <w:bookmarkEnd w:id="140"/>
    </w:p>
    <w:p>
      <w:pPr>
        <w:spacing w:line="276" w:lineRule="auto"/>
        <w:ind w:firstLine="480" w:firstLineChars="200"/>
        <w:rPr>
          <w:sz w:val="24"/>
        </w:rPr>
      </w:pPr>
      <w:r>
        <w:rPr>
          <w:sz w:val="24"/>
        </w:rPr>
        <w:t>(一)甲方应当对乙方的安全教育与培训工作进行指导。</w:t>
      </w:r>
    </w:p>
    <w:p>
      <w:pPr>
        <w:spacing w:line="276" w:lineRule="auto"/>
        <w:ind w:firstLine="480" w:firstLineChars="200"/>
        <w:rPr>
          <w:sz w:val="24"/>
        </w:rPr>
      </w:pPr>
      <w:r>
        <w:rPr>
          <w:sz w:val="24"/>
        </w:rPr>
        <w:t>(二)甲方应当监督检查乙方开展员工安全教育培训工作情况。</w:t>
      </w:r>
    </w:p>
    <w:p>
      <w:pPr>
        <w:spacing w:line="276" w:lineRule="auto"/>
        <w:ind w:firstLine="480" w:firstLineChars="200"/>
        <w:rPr>
          <w:sz w:val="24"/>
        </w:rPr>
      </w:pPr>
      <w:r>
        <w:rPr>
          <w:sz w:val="24"/>
        </w:rPr>
        <w:t>(三)乙方应当制定本单位的安全教育培训工作计划。</w:t>
      </w:r>
      <w:r>
        <w:rPr>
          <w:rFonts w:hint="eastAsia"/>
          <w:sz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rPr>
      </w:pPr>
      <w:r>
        <w:rPr>
          <w:sz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rPr>
      </w:pPr>
      <w:r>
        <w:rPr>
          <w:rFonts w:hint="eastAsia"/>
          <w:sz w:val="24"/>
        </w:rPr>
        <w:t>（五）乙方应加强作业现场应急管理，完善应急预案，配备现场作业所需的应急资源，并加强培训和演练。</w:t>
      </w:r>
    </w:p>
    <w:p>
      <w:pPr>
        <w:spacing w:line="276" w:lineRule="auto"/>
        <w:ind w:firstLine="480" w:firstLineChars="200"/>
        <w:rPr>
          <w:sz w:val="24"/>
        </w:rPr>
      </w:pPr>
      <w:r>
        <w:rPr>
          <w:rFonts w:hint="eastAsia"/>
          <w:sz w:val="24"/>
        </w:rPr>
        <w:t xml:space="preserve">乙方应对作业人员进行安全生产教育和培训，确保作业人员掌握本职工作所需的安全生产知识， </w:t>
      </w:r>
    </w:p>
    <w:p>
      <w:pPr>
        <w:spacing w:line="276" w:lineRule="auto"/>
        <w:ind w:firstLine="480" w:firstLineChars="200"/>
        <w:rPr>
          <w:sz w:val="24"/>
        </w:rPr>
      </w:pPr>
      <w:bookmarkStart w:id="141" w:name="_Toc442022106"/>
      <w:bookmarkStart w:id="142" w:name="_Toc389985364"/>
      <w:bookmarkStart w:id="143" w:name="_Toc451698745"/>
      <w:bookmarkStart w:id="144" w:name="_Toc442016147"/>
      <w:bookmarkStart w:id="145" w:name="_Toc442133376"/>
      <w:bookmarkStart w:id="146" w:name="_Toc381911471"/>
      <w:bookmarkStart w:id="147" w:name="_Toc383301032"/>
      <w:bookmarkStart w:id="148" w:name="_Toc396036415"/>
      <w:bookmarkStart w:id="149" w:name="_Toc434694368"/>
      <w:bookmarkStart w:id="150" w:name="_Toc384944722"/>
      <w:bookmarkStart w:id="151" w:name="_Toc396037059"/>
      <w:r>
        <w:rPr>
          <w:sz w:val="24"/>
        </w:rPr>
        <w:t>第七条 事故应急救援</w:t>
      </w:r>
      <w:bookmarkEnd w:id="141"/>
      <w:bookmarkEnd w:id="142"/>
      <w:bookmarkEnd w:id="143"/>
      <w:bookmarkEnd w:id="144"/>
      <w:bookmarkEnd w:id="145"/>
      <w:bookmarkEnd w:id="146"/>
      <w:bookmarkEnd w:id="147"/>
      <w:bookmarkEnd w:id="148"/>
      <w:bookmarkEnd w:id="149"/>
      <w:bookmarkEnd w:id="150"/>
      <w:bookmarkEnd w:id="151"/>
    </w:p>
    <w:p>
      <w:pPr>
        <w:spacing w:line="276" w:lineRule="auto"/>
        <w:ind w:firstLine="480" w:firstLineChars="200"/>
        <w:rPr>
          <w:sz w:val="24"/>
        </w:rPr>
      </w:pPr>
      <w:r>
        <w:rPr>
          <w:sz w:val="24"/>
        </w:rPr>
        <w:t>(一)应急准备。</w:t>
      </w:r>
    </w:p>
    <w:p>
      <w:pPr>
        <w:spacing w:line="276" w:lineRule="auto"/>
        <w:ind w:firstLine="480" w:firstLineChars="200"/>
        <w:rPr>
          <w:sz w:val="24"/>
        </w:rPr>
      </w:pPr>
      <w:r>
        <w:rPr>
          <w:sz w:val="24"/>
        </w:rPr>
        <w:t>1.甲方应当按照国家有关规定建立应急救援组织或者与其他应急救援组织签订救援协议，编制本单位事故应急预案，并定期组织演练。</w:t>
      </w:r>
    </w:p>
    <w:p>
      <w:pPr>
        <w:spacing w:line="276" w:lineRule="auto"/>
        <w:ind w:firstLine="480" w:firstLineChars="200"/>
        <w:rPr>
          <w:sz w:val="24"/>
        </w:rPr>
      </w:pPr>
      <w:r>
        <w:rPr>
          <w:sz w:val="24"/>
        </w:rPr>
        <w:t>2.</w:t>
      </w:r>
      <w:r>
        <w:rPr>
          <w:rFonts w:hint="eastAsia"/>
          <w:sz w:val="24"/>
        </w:rPr>
        <w:t>甲方负责向乙方如实告知根据甲方能力所知的作业场所和岗位存在的危险因素，要求乙方制订防范措施以及事故应急预案。</w:t>
      </w:r>
    </w:p>
    <w:p>
      <w:pPr>
        <w:spacing w:line="276" w:lineRule="auto"/>
        <w:ind w:firstLine="480" w:firstLineChars="200"/>
        <w:rPr>
          <w:sz w:val="24"/>
        </w:rPr>
      </w:pPr>
      <w:r>
        <w:rPr>
          <w:sz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rPr>
      </w:pPr>
      <w:r>
        <w:rPr>
          <w:sz w:val="24"/>
        </w:rPr>
        <w:t>4.乙方应当编制与项目相适应的应急预案或者应急处置预案，并与甲方的相关预案接口,并定期组织演练或者参加甲方组织的演练。</w:t>
      </w:r>
    </w:p>
    <w:p>
      <w:pPr>
        <w:spacing w:line="276" w:lineRule="auto"/>
        <w:ind w:firstLine="480" w:firstLineChars="200"/>
        <w:rPr>
          <w:sz w:val="24"/>
        </w:rPr>
      </w:pPr>
      <w:r>
        <w:rPr>
          <w:sz w:val="24"/>
        </w:rPr>
        <w:t>4.乙方配置的应急救援设备设施和器材包括：                           。</w:t>
      </w:r>
    </w:p>
    <w:p>
      <w:pPr>
        <w:spacing w:line="276" w:lineRule="auto"/>
        <w:ind w:firstLine="480" w:firstLineChars="200"/>
        <w:rPr>
          <w:sz w:val="24"/>
        </w:rPr>
      </w:pPr>
      <w:r>
        <w:rPr>
          <w:sz w:val="24"/>
        </w:rPr>
        <w:t>(二)事故报告。</w:t>
      </w:r>
    </w:p>
    <w:p>
      <w:pPr>
        <w:spacing w:line="276" w:lineRule="auto"/>
        <w:ind w:firstLine="480" w:firstLineChars="200"/>
        <w:rPr>
          <w:sz w:val="24"/>
        </w:rPr>
      </w:pPr>
      <w:r>
        <w:rPr>
          <w:sz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rPr>
      </w:pPr>
      <w:r>
        <w:rPr>
          <w:sz w:val="24"/>
        </w:rPr>
        <w:t>2.项目施工发生事故后，甲方负责人应当按照《生产安全事故报告和调查处理条例》(国务院令第493号)等法律、法规、规章的规定报告。</w:t>
      </w:r>
    </w:p>
    <w:p>
      <w:pPr>
        <w:spacing w:line="276" w:lineRule="auto"/>
        <w:ind w:firstLine="480" w:firstLineChars="200"/>
        <w:rPr>
          <w:sz w:val="24"/>
        </w:rPr>
      </w:pPr>
      <w:r>
        <w:rPr>
          <w:sz w:val="24"/>
        </w:rPr>
        <w:t>(三)事故救援。</w:t>
      </w:r>
    </w:p>
    <w:p>
      <w:pPr>
        <w:spacing w:line="276" w:lineRule="auto"/>
        <w:ind w:firstLine="480" w:firstLineChars="200"/>
        <w:rPr>
          <w:sz w:val="24"/>
        </w:rPr>
      </w:pPr>
      <w:r>
        <w:rPr>
          <w:sz w:val="24"/>
        </w:rPr>
        <w:t>1.项目施工发生事故后，乙方应当按照专项应急预案或者应急处置方案立即开展事故救援。</w:t>
      </w:r>
      <w:r>
        <w:rPr>
          <w:rFonts w:hint="eastAsia"/>
          <w:sz w:val="24"/>
        </w:rPr>
        <w:t>保护好事故现场。</w:t>
      </w:r>
    </w:p>
    <w:p>
      <w:pPr>
        <w:spacing w:line="276" w:lineRule="auto"/>
        <w:ind w:firstLine="480" w:firstLineChars="200"/>
        <w:rPr>
          <w:sz w:val="24"/>
        </w:rPr>
      </w:pPr>
      <w:r>
        <w:rPr>
          <w:sz w:val="24"/>
        </w:rPr>
        <w:t>2.项目施工发生事故后，甲方应当按照应急预案要求，立即开展应急救援，负责指挥、协调事故救援工作，充分调动甲乙双方的应急资源。</w:t>
      </w:r>
    </w:p>
    <w:p>
      <w:pPr>
        <w:spacing w:line="276" w:lineRule="auto"/>
        <w:ind w:firstLine="480" w:firstLineChars="200"/>
        <w:rPr>
          <w:sz w:val="24"/>
        </w:rPr>
      </w:pPr>
      <w:r>
        <w:rPr>
          <w:sz w:val="24"/>
        </w:rPr>
        <w:t>(四)事故处理。</w:t>
      </w:r>
    </w:p>
    <w:p>
      <w:pPr>
        <w:spacing w:line="276" w:lineRule="auto"/>
        <w:ind w:firstLine="480" w:firstLineChars="200"/>
        <w:rPr>
          <w:sz w:val="24"/>
        </w:rPr>
      </w:pPr>
      <w:r>
        <w:rPr>
          <w:sz w:val="24"/>
        </w:rPr>
        <w:t>1.</w:t>
      </w:r>
      <w:r>
        <w:rPr>
          <w:rFonts w:hint="eastAsia"/>
          <w:sz w:val="24"/>
        </w:rPr>
        <w:t xml:space="preserve"> 在发生安全事故后应积极配合甲方组织开展的对事故的相关调查。</w:t>
      </w:r>
    </w:p>
    <w:p>
      <w:pPr>
        <w:spacing w:line="276" w:lineRule="auto"/>
        <w:ind w:firstLine="480" w:firstLineChars="200"/>
        <w:rPr>
          <w:sz w:val="24"/>
        </w:rPr>
      </w:pPr>
      <w:r>
        <w:rPr>
          <w:sz w:val="24"/>
        </w:rPr>
        <w:t>2.事故调查结案后，甲乙双方根据事故调查处理结论承担各自相应责任。</w:t>
      </w:r>
    </w:p>
    <w:p>
      <w:pPr>
        <w:spacing w:line="276" w:lineRule="auto"/>
        <w:ind w:firstLine="480" w:firstLineChars="200"/>
        <w:rPr>
          <w:sz w:val="24"/>
        </w:rPr>
      </w:pPr>
      <w:r>
        <w:rPr>
          <w:sz w:val="24"/>
        </w:rPr>
        <w:t>3.甲方应当承担的经济处罚不得转嫁或者变相转嫁给乙方。</w:t>
      </w:r>
    </w:p>
    <w:p>
      <w:pPr>
        <w:spacing w:line="276" w:lineRule="auto"/>
        <w:ind w:firstLine="480" w:firstLineChars="200"/>
        <w:rPr>
          <w:sz w:val="24"/>
        </w:rPr>
      </w:pPr>
      <w:r>
        <w:rPr>
          <w:sz w:val="24"/>
        </w:rPr>
        <w:t>4.乙方对发生安全事故坚持“四不放过”原则的指导思想，不隐瞒、谎报，并在员工中开展事故分析、教育，防止同类事故的再次发生。</w:t>
      </w:r>
    </w:p>
    <w:p>
      <w:pPr>
        <w:spacing w:line="276" w:lineRule="auto"/>
        <w:ind w:firstLine="480" w:firstLineChars="200"/>
        <w:rPr>
          <w:sz w:val="24"/>
        </w:rPr>
      </w:pPr>
      <w:r>
        <w:rPr>
          <w:rFonts w:hint="eastAsia"/>
          <w:sz w:val="24"/>
        </w:rPr>
        <w:t xml:space="preserve">第八条 </w:t>
      </w:r>
      <w:r>
        <w:rPr>
          <w:sz w:val="24"/>
        </w:rPr>
        <w:t>信息沟通：甲乙双方</w:t>
      </w:r>
      <w:r>
        <w:rPr>
          <w:rFonts w:hint="eastAsia"/>
          <w:sz w:val="24"/>
        </w:rPr>
        <w:t>定期</w:t>
      </w:r>
      <w:r>
        <w:rPr>
          <w:sz w:val="24"/>
        </w:rPr>
        <w:t>召开安全沟通会议，其他安全环保重大事项应立即报告甲方或备案。</w:t>
      </w:r>
    </w:p>
    <w:p>
      <w:pPr>
        <w:spacing w:line="276" w:lineRule="auto"/>
        <w:ind w:firstLine="480" w:firstLineChars="200"/>
        <w:rPr>
          <w:sz w:val="24"/>
        </w:rPr>
      </w:pPr>
      <w:bookmarkStart w:id="152" w:name="_Toc442016148"/>
      <w:bookmarkStart w:id="153" w:name="_Toc396036416"/>
      <w:bookmarkStart w:id="154" w:name="_Toc434694369"/>
      <w:bookmarkStart w:id="155" w:name="_Toc396037060"/>
      <w:bookmarkStart w:id="156" w:name="_Toc442022107"/>
      <w:bookmarkStart w:id="157" w:name="_Toc384944723"/>
      <w:bookmarkStart w:id="158" w:name="_Toc451698746"/>
      <w:bookmarkStart w:id="159" w:name="_Toc389985365"/>
      <w:bookmarkStart w:id="160" w:name="_Toc442133377"/>
      <w:bookmarkStart w:id="161" w:name="_Toc383301033"/>
      <w:bookmarkStart w:id="162" w:name="_Toc381911472"/>
      <w:r>
        <w:rPr>
          <w:sz w:val="24"/>
        </w:rPr>
        <w:t>第</w:t>
      </w:r>
      <w:r>
        <w:rPr>
          <w:rFonts w:hint="eastAsia"/>
          <w:sz w:val="24"/>
        </w:rPr>
        <w:t>九</w:t>
      </w:r>
      <w:r>
        <w:rPr>
          <w:sz w:val="24"/>
        </w:rPr>
        <w:t>条 安全检查与考评</w:t>
      </w:r>
      <w:bookmarkEnd w:id="152"/>
      <w:bookmarkEnd w:id="153"/>
      <w:bookmarkEnd w:id="154"/>
      <w:bookmarkEnd w:id="155"/>
      <w:bookmarkEnd w:id="156"/>
      <w:bookmarkEnd w:id="157"/>
      <w:bookmarkEnd w:id="158"/>
      <w:bookmarkEnd w:id="159"/>
      <w:bookmarkEnd w:id="160"/>
      <w:bookmarkEnd w:id="161"/>
      <w:bookmarkEnd w:id="162"/>
    </w:p>
    <w:p>
      <w:pPr>
        <w:spacing w:line="276" w:lineRule="auto"/>
        <w:ind w:firstLine="480" w:firstLineChars="200"/>
        <w:rPr>
          <w:sz w:val="24"/>
        </w:rPr>
      </w:pPr>
      <w:r>
        <w:rPr>
          <w:sz w:val="24"/>
        </w:rPr>
        <w:t>1.甲方应当建立健全项目施工的安全生产考核机制，制定考核办法，对乙方进行安全生产考核。</w:t>
      </w:r>
    </w:p>
    <w:p>
      <w:pPr>
        <w:spacing w:line="276" w:lineRule="auto"/>
        <w:ind w:firstLine="480" w:firstLineChars="200"/>
        <w:rPr>
          <w:sz w:val="24"/>
        </w:rPr>
      </w:pPr>
      <w:r>
        <w:rPr>
          <w:sz w:val="24"/>
        </w:rPr>
        <w:t>2.甲方应当加强项目监督检查工作，发现乙方违反法律、法规、规章和标准的</w:t>
      </w:r>
      <w:r>
        <w:rPr>
          <w:rFonts w:hint="eastAsia"/>
          <w:sz w:val="24"/>
        </w:rPr>
        <w:t>违章违纪</w:t>
      </w:r>
      <w:r>
        <w:rPr>
          <w:sz w:val="24"/>
        </w:rPr>
        <w:t>行为，</w:t>
      </w:r>
      <w:r>
        <w:rPr>
          <w:rFonts w:hint="eastAsia"/>
          <w:sz w:val="24"/>
        </w:rPr>
        <w:t>及时进行教育，</w:t>
      </w:r>
      <w:r>
        <w:rPr>
          <w:sz w:val="24"/>
        </w:rPr>
        <w:t>有权纠正和考核，</w:t>
      </w:r>
      <w:r>
        <w:rPr>
          <w:rFonts w:hint="eastAsia"/>
          <w:sz w:val="24"/>
        </w:rPr>
        <w:t>对不听劝告、</w:t>
      </w:r>
      <w:r>
        <w:rPr>
          <w:sz w:val="24"/>
        </w:rPr>
        <w:t>直至清退出场。</w:t>
      </w:r>
    </w:p>
    <w:p>
      <w:pPr>
        <w:spacing w:line="276" w:lineRule="auto"/>
        <w:ind w:firstLine="480" w:firstLineChars="200"/>
        <w:rPr>
          <w:sz w:val="24"/>
        </w:rPr>
      </w:pPr>
      <w:r>
        <w:rPr>
          <w:sz w:val="24"/>
        </w:rPr>
        <w:t>3.</w:t>
      </w:r>
      <w:r>
        <w:rPr>
          <w:rFonts w:hint="eastAsia"/>
          <w:sz w:val="24"/>
        </w:rPr>
        <w:t>甲方审查乙方相应的作业资格证书、作业方案和外包商、作业现场的设备、设施、建（构）筑物和人员作业安全状况等。</w:t>
      </w:r>
    </w:p>
    <w:p>
      <w:pPr>
        <w:spacing w:line="276" w:lineRule="auto"/>
        <w:ind w:firstLine="480" w:firstLineChars="200"/>
        <w:rPr>
          <w:sz w:val="24"/>
        </w:rPr>
      </w:pPr>
      <w:r>
        <w:rPr>
          <w:sz w:val="24"/>
        </w:rPr>
        <w:t>4.</w:t>
      </w:r>
      <w:r>
        <w:rPr>
          <w:rFonts w:hint="eastAsia"/>
          <w:sz w:val="24"/>
        </w:rPr>
        <w:t>甲方</w:t>
      </w:r>
      <w:r>
        <w:rPr>
          <w:sz w:val="24"/>
        </w:rPr>
        <w:t>对</w:t>
      </w:r>
      <w:r>
        <w:rPr>
          <w:rFonts w:hint="eastAsia"/>
          <w:sz w:val="24"/>
        </w:rPr>
        <w:t>乙方</w:t>
      </w:r>
      <w:r>
        <w:rPr>
          <w:sz w:val="24"/>
        </w:rPr>
        <w:t>的安全生产工作统一协调、管理，</w:t>
      </w:r>
      <w:r>
        <w:rPr>
          <w:rFonts w:hint="eastAsia"/>
          <w:sz w:val="24"/>
        </w:rPr>
        <w:t>甲方有权对乙方施工作业区的设备、设施、建（构）筑物和人员作业安全状况</w:t>
      </w:r>
      <w:r>
        <w:rPr>
          <w:sz w:val="24"/>
        </w:rPr>
        <w:t>进行安全检查，发现安全问题的，应当及时督促</w:t>
      </w:r>
      <w:r>
        <w:rPr>
          <w:rFonts w:hint="eastAsia"/>
          <w:sz w:val="24"/>
        </w:rPr>
        <w:t>乙方进行</w:t>
      </w:r>
      <w:r>
        <w:rPr>
          <w:sz w:val="24"/>
        </w:rPr>
        <w:t>整改</w:t>
      </w:r>
      <w:r>
        <w:rPr>
          <w:rFonts w:hint="eastAsia"/>
          <w:sz w:val="24"/>
        </w:rPr>
        <w:t>。甲方有权</w:t>
      </w:r>
      <w:r>
        <w:rPr>
          <w:sz w:val="24"/>
        </w:rPr>
        <w:t>提出撤换</w:t>
      </w:r>
      <w:r>
        <w:rPr>
          <w:rFonts w:hint="eastAsia"/>
          <w:sz w:val="24"/>
        </w:rPr>
        <w:t>外包方</w:t>
      </w:r>
      <w:r>
        <w:rPr>
          <w:sz w:val="24"/>
        </w:rPr>
        <w:t>项目经理、安全管理负责人</w:t>
      </w:r>
      <w:r>
        <w:rPr>
          <w:rFonts w:hint="eastAsia"/>
          <w:sz w:val="24"/>
        </w:rPr>
        <w:t>。</w:t>
      </w:r>
    </w:p>
    <w:p>
      <w:pPr>
        <w:spacing w:line="276" w:lineRule="auto"/>
        <w:ind w:firstLine="480" w:firstLineChars="200"/>
        <w:rPr>
          <w:sz w:val="24"/>
        </w:rPr>
      </w:pPr>
      <w:r>
        <w:rPr>
          <w:sz w:val="24"/>
        </w:rPr>
        <w:t>5.乙方负责项目范围内的作业安全管理，制定施工方案，加强项目作业现场的日常安全检查，</w:t>
      </w:r>
      <w:r>
        <w:rPr>
          <w:rFonts w:hint="eastAsia"/>
          <w:sz w:val="24"/>
        </w:rPr>
        <w:t>做好相关记录，</w:t>
      </w:r>
      <w:r>
        <w:rPr>
          <w:sz w:val="24"/>
        </w:rPr>
        <w:t>落实各项规章制度和安全操作规程</w:t>
      </w:r>
      <w:r>
        <w:rPr>
          <w:rFonts w:hint="eastAsia"/>
          <w:sz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rPr>
      </w:pPr>
      <w:r>
        <w:rPr>
          <w:sz w:val="24"/>
        </w:rPr>
        <w:t>6.乙方应当接受甲方的监督管理，遵守甲方的有关规章制度的要求。同时，乙方有权拒绝甲方违章指挥和强令冒险作业。</w:t>
      </w:r>
    </w:p>
    <w:p>
      <w:pPr>
        <w:spacing w:line="276" w:lineRule="auto"/>
        <w:ind w:firstLine="480" w:firstLineChars="200"/>
        <w:rPr>
          <w:sz w:val="24"/>
        </w:rPr>
      </w:pPr>
      <w:r>
        <w:rPr>
          <w:sz w:val="24"/>
        </w:rPr>
        <w:t>7.乙方应当向甲方提供安全生产考核所需资料，接受甲方的考核与奖惩。</w:t>
      </w:r>
      <w:bookmarkEnd w:id="129"/>
    </w:p>
    <w:p>
      <w:pPr>
        <w:spacing w:line="276" w:lineRule="auto"/>
        <w:ind w:firstLine="480" w:firstLineChars="200"/>
        <w:rPr>
          <w:sz w:val="24"/>
        </w:rPr>
      </w:pPr>
      <w:r>
        <w:rPr>
          <w:sz w:val="24"/>
        </w:rPr>
        <w:t>（七）风险抵押金考核</w:t>
      </w:r>
    </w:p>
    <w:p>
      <w:pPr>
        <w:spacing w:line="276" w:lineRule="auto"/>
        <w:ind w:firstLine="480" w:firstLineChars="200"/>
        <w:rPr>
          <w:sz w:val="24"/>
        </w:rPr>
      </w:pPr>
      <w:r>
        <w:rPr>
          <w:sz w:val="24"/>
        </w:rPr>
        <w:t>1.乙方违反甲方各项安全管理规定的，</w:t>
      </w:r>
      <w:r>
        <w:rPr>
          <w:rFonts w:hint="eastAsia"/>
          <w:sz w:val="24"/>
        </w:rPr>
        <w:t>（如违反甲方危险作业要求、使用不安全的工具、设备、未按要求佩戴相对应的劳保防护用品、未做到工完场清或未及时搞好现场卫生、作业过程违反操作规程等），一般违规扣200元/次；严重违规（糖业1</w:t>
      </w:r>
      <w:r>
        <w:rPr>
          <w:sz w:val="24"/>
        </w:rPr>
        <w:t>0</w:t>
      </w:r>
      <w:r>
        <w:rPr>
          <w:rFonts w:hint="eastAsia"/>
          <w:sz w:val="24"/>
        </w:rPr>
        <w:t>条禁令）扣500元/次，重复违反扣1000元/次，违反《中粮集团</w:t>
      </w:r>
      <w:bookmarkStart w:id="163" w:name="_Hlk132701874"/>
      <w:r>
        <w:rPr>
          <w:rFonts w:hint="eastAsia"/>
          <w:sz w:val="24"/>
        </w:rPr>
        <w:t>承包商与工程项目管理安全</w:t>
      </w:r>
      <w:bookmarkEnd w:id="163"/>
      <w:r>
        <w:rPr>
          <w:rFonts w:hint="eastAsia"/>
          <w:sz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rPr>
      </w:pPr>
      <w:r>
        <w:rPr>
          <w:rFonts w:hint="eastAsia"/>
          <w:sz w:val="24"/>
        </w:rPr>
        <w:t>乙方发生事故罚款时，履约保证金不足，可从合同金额中扣除。</w:t>
      </w:r>
    </w:p>
    <w:p>
      <w:pPr>
        <w:spacing w:line="276" w:lineRule="auto"/>
        <w:ind w:firstLine="480" w:firstLineChars="200"/>
        <w:rPr>
          <w:sz w:val="24"/>
        </w:rPr>
      </w:pPr>
      <w:r>
        <w:rPr>
          <w:sz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rPr>
      </w:pPr>
      <w:r>
        <w:rPr>
          <w:sz w:val="24"/>
        </w:rPr>
        <w:t>3.</w:t>
      </w:r>
      <w:r>
        <w:rPr>
          <w:rFonts w:hint="eastAsia"/>
          <w:sz w:val="24"/>
        </w:rPr>
        <w:t>乙方作业过程中违反国家有关法律法规，受到行政、经济、刑事处罚的，由乙方自行承担责任。</w:t>
      </w:r>
    </w:p>
    <w:p>
      <w:pPr>
        <w:spacing w:line="276" w:lineRule="auto"/>
        <w:ind w:firstLine="480" w:firstLineChars="200"/>
        <w:rPr>
          <w:sz w:val="24"/>
        </w:rPr>
      </w:pPr>
      <w:r>
        <w:rPr>
          <w:sz w:val="24"/>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rPr>
        <w:t>项目验收结束且确认乙方无违规、事故后，甲方无息返还乙方风险抵押金。</w:t>
      </w:r>
    </w:p>
    <w:p>
      <w:pPr>
        <w:spacing w:line="276" w:lineRule="auto"/>
        <w:ind w:firstLine="480" w:firstLineChars="200"/>
        <w:rPr>
          <w:sz w:val="24"/>
        </w:rPr>
      </w:pPr>
      <w:bookmarkStart w:id="164" w:name="_Toc396036417"/>
      <w:bookmarkStart w:id="165" w:name="_Toc396037061"/>
      <w:bookmarkStart w:id="166" w:name="_Toc389985366"/>
      <w:bookmarkStart w:id="167" w:name="_Toc442016149"/>
      <w:bookmarkStart w:id="168" w:name="_Toc442022108"/>
      <w:bookmarkStart w:id="169" w:name="_Toc451698747"/>
      <w:bookmarkStart w:id="170" w:name="_Toc383301034"/>
      <w:bookmarkStart w:id="171" w:name="_Toc442133378"/>
      <w:bookmarkStart w:id="172" w:name="_Toc434694370"/>
      <w:bookmarkStart w:id="173" w:name="_Toc381911473"/>
      <w:bookmarkStart w:id="174" w:name="_Toc384944724"/>
      <w:r>
        <w:rPr>
          <w:sz w:val="24"/>
        </w:rPr>
        <w:t>第</w:t>
      </w:r>
      <w:r>
        <w:rPr>
          <w:rFonts w:hint="eastAsia"/>
          <w:sz w:val="24"/>
        </w:rPr>
        <w:t>十</w:t>
      </w:r>
      <w:r>
        <w:rPr>
          <w:sz w:val="24"/>
        </w:rPr>
        <w:t>条 违约责任</w:t>
      </w:r>
      <w:bookmarkEnd w:id="164"/>
      <w:bookmarkEnd w:id="165"/>
      <w:bookmarkEnd w:id="166"/>
      <w:bookmarkEnd w:id="167"/>
      <w:bookmarkEnd w:id="168"/>
      <w:bookmarkEnd w:id="169"/>
      <w:bookmarkEnd w:id="170"/>
      <w:bookmarkEnd w:id="171"/>
      <w:bookmarkEnd w:id="172"/>
      <w:bookmarkEnd w:id="173"/>
      <w:bookmarkEnd w:id="174"/>
    </w:p>
    <w:p>
      <w:pPr>
        <w:spacing w:line="276" w:lineRule="auto"/>
        <w:ind w:firstLine="480" w:firstLineChars="200"/>
        <w:rPr>
          <w:sz w:val="24"/>
        </w:rPr>
      </w:pPr>
      <w:r>
        <w:rPr>
          <w:sz w:val="24"/>
        </w:rPr>
        <w:t>(一)甲乙双方遵守法律、法规、规章规定的义务，并享有相应的权利。</w:t>
      </w:r>
    </w:p>
    <w:p>
      <w:pPr>
        <w:spacing w:line="276" w:lineRule="auto"/>
        <w:ind w:firstLine="480" w:firstLineChars="200"/>
        <w:rPr>
          <w:sz w:val="24"/>
        </w:rPr>
      </w:pPr>
      <w:r>
        <w:rPr>
          <w:sz w:val="24"/>
        </w:rPr>
        <w:t>(二)甲方违约</w:t>
      </w:r>
    </w:p>
    <w:p>
      <w:pPr>
        <w:spacing w:line="276" w:lineRule="auto"/>
        <w:ind w:firstLine="480" w:firstLineChars="200"/>
        <w:rPr>
          <w:sz w:val="24"/>
        </w:rPr>
      </w:pPr>
      <w:r>
        <w:rPr>
          <w:sz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rPr>
      </w:pPr>
      <w:r>
        <w:rPr>
          <w:sz w:val="24"/>
        </w:rPr>
        <w:t>1.甲方擅自压缩项目合同约定的工期，违章指挥或者强令乙方及其从业人员冒险作业的；</w:t>
      </w:r>
    </w:p>
    <w:p>
      <w:pPr>
        <w:spacing w:line="276" w:lineRule="auto"/>
        <w:ind w:firstLine="480" w:firstLineChars="200"/>
        <w:rPr>
          <w:sz w:val="24"/>
        </w:rPr>
      </w:pPr>
      <w:r>
        <w:rPr>
          <w:sz w:val="24"/>
        </w:rPr>
        <w:t>2.甲方未提供项目施工作业所必要的图纸资料，未向乙方进行技术交底的；</w:t>
      </w:r>
    </w:p>
    <w:p>
      <w:pPr>
        <w:spacing w:line="276" w:lineRule="auto"/>
        <w:ind w:firstLine="480" w:firstLineChars="200"/>
        <w:rPr>
          <w:sz w:val="24"/>
        </w:rPr>
      </w:pPr>
      <w:r>
        <w:rPr>
          <w:sz w:val="24"/>
        </w:rPr>
        <w:t>3.甲方不能提供合法的外包项目的；</w:t>
      </w:r>
    </w:p>
    <w:p>
      <w:pPr>
        <w:spacing w:line="276" w:lineRule="auto"/>
        <w:ind w:firstLine="480" w:firstLineChars="200"/>
        <w:rPr>
          <w:sz w:val="24"/>
        </w:rPr>
      </w:pPr>
      <w:r>
        <w:rPr>
          <w:sz w:val="24"/>
        </w:rPr>
        <w:t>4.甲方不能保证与外包项目有关的生产系统安全设施正常运行的；</w:t>
      </w:r>
    </w:p>
    <w:p>
      <w:pPr>
        <w:spacing w:line="276" w:lineRule="auto"/>
        <w:ind w:firstLine="480" w:firstLineChars="200"/>
        <w:rPr>
          <w:sz w:val="24"/>
        </w:rPr>
      </w:pPr>
      <w:r>
        <w:rPr>
          <w:sz w:val="24"/>
        </w:rPr>
        <w:t>5.甲方违反项目设计安排乙方施工作业的；</w:t>
      </w:r>
    </w:p>
    <w:p>
      <w:pPr>
        <w:spacing w:line="276" w:lineRule="auto"/>
        <w:ind w:firstLine="480" w:firstLineChars="200"/>
        <w:rPr>
          <w:sz w:val="24"/>
        </w:rPr>
      </w:pPr>
      <w:r>
        <w:rPr>
          <w:sz w:val="24"/>
        </w:rPr>
        <w:t>6.甲方未按照合同或者协议约定支付应当由甲方承担的项目安全生产费用的；</w:t>
      </w:r>
    </w:p>
    <w:p>
      <w:pPr>
        <w:spacing w:line="276" w:lineRule="auto"/>
        <w:ind w:firstLine="480" w:firstLineChars="200"/>
        <w:rPr>
          <w:sz w:val="24"/>
        </w:rPr>
      </w:pPr>
      <w:r>
        <w:rPr>
          <w:sz w:val="24"/>
        </w:rPr>
        <w:t>7.发生事故后，甲方未及时组织开展应急救援工作的；</w:t>
      </w:r>
    </w:p>
    <w:p>
      <w:pPr>
        <w:spacing w:line="276" w:lineRule="auto"/>
        <w:ind w:firstLine="480" w:firstLineChars="200"/>
        <w:rPr>
          <w:sz w:val="24"/>
        </w:rPr>
      </w:pPr>
      <w:r>
        <w:rPr>
          <w:sz w:val="24"/>
        </w:rPr>
        <w:t>8.甲方不履行协议义务或不按协议约定履行义务的其他情况。</w:t>
      </w:r>
    </w:p>
    <w:p>
      <w:pPr>
        <w:spacing w:line="276" w:lineRule="auto"/>
        <w:ind w:firstLine="480" w:firstLineChars="200"/>
        <w:rPr>
          <w:sz w:val="24"/>
        </w:rPr>
      </w:pPr>
      <w:r>
        <w:rPr>
          <w:sz w:val="24"/>
        </w:rPr>
        <w:t>(三)乙方违约</w:t>
      </w:r>
    </w:p>
    <w:p>
      <w:pPr>
        <w:spacing w:line="276" w:lineRule="auto"/>
        <w:ind w:firstLine="480" w:firstLineChars="200"/>
        <w:rPr>
          <w:sz w:val="24"/>
        </w:rPr>
      </w:pPr>
      <w:r>
        <w:rPr>
          <w:sz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rPr>
      </w:pPr>
      <w:r>
        <w:rPr>
          <w:sz w:val="24"/>
        </w:rPr>
        <w:t>1.乙方未按照合同或者协议约定将甲方提供的安全生产费用落实到位、专款专用的；</w:t>
      </w:r>
    </w:p>
    <w:p>
      <w:pPr>
        <w:spacing w:line="276" w:lineRule="auto"/>
        <w:ind w:firstLine="480" w:firstLineChars="200"/>
        <w:rPr>
          <w:sz w:val="24"/>
        </w:rPr>
      </w:pPr>
      <w:r>
        <w:rPr>
          <w:sz w:val="24"/>
        </w:rPr>
        <w:t>2.乙方不能保证与承揽项目规模相匹配的施工资质、技术人员、特种作业人员和设备设施的；</w:t>
      </w:r>
    </w:p>
    <w:p>
      <w:pPr>
        <w:spacing w:line="276" w:lineRule="auto"/>
        <w:ind w:firstLine="480" w:firstLineChars="200"/>
        <w:rPr>
          <w:sz w:val="24"/>
        </w:rPr>
      </w:pPr>
      <w:r>
        <w:rPr>
          <w:sz w:val="24"/>
        </w:rPr>
        <w:t>3.乙方有关资质、证照已过期的，或者安排证件已过期的各类应持证人员上岗作业的；</w:t>
      </w:r>
    </w:p>
    <w:p>
      <w:pPr>
        <w:spacing w:line="276" w:lineRule="auto"/>
        <w:ind w:firstLine="480" w:firstLineChars="200"/>
        <w:rPr>
          <w:sz w:val="24"/>
        </w:rPr>
      </w:pPr>
      <w:r>
        <w:rPr>
          <w:sz w:val="24"/>
        </w:rPr>
        <w:t>4.乙方人员违章指挥或者违章作业的；</w:t>
      </w:r>
    </w:p>
    <w:p>
      <w:pPr>
        <w:spacing w:line="276" w:lineRule="auto"/>
        <w:ind w:firstLine="480" w:firstLineChars="200"/>
        <w:rPr>
          <w:sz w:val="24"/>
        </w:rPr>
      </w:pPr>
      <w:r>
        <w:rPr>
          <w:sz w:val="24"/>
        </w:rPr>
        <w:t>5.乙方现场安全管理不到位的；</w:t>
      </w:r>
    </w:p>
    <w:p>
      <w:pPr>
        <w:spacing w:line="276" w:lineRule="auto"/>
        <w:ind w:firstLine="480" w:firstLineChars="200"/>
        <w:rPr>
          <w:sz w:val="24"/>
        </w:rPr>
      </w:pPr>
      <w:r>
        <w:rPr>
          <w:sz w:val="24"/>
        </w:rPr>
        <w:t>6.发生事故后，乙方未及时开展应急救援工作的；</w:t>
      </w:r>
    </w:p>
    <w:p>
      <w:pPr>
        <w:spacing w:line="276" w:lineRule="auto"/>
        <w:ind w:firstLine="480" w:firstLineChars="200"/>
        <w:rPr>
          <w:sz w:val="24"/>
        </w:rPr>
      </w:pPr>
      <w:r>
        <w:rPr>
          <w:sz w:val="24"/>
        </w:rPr>
        <w:t>7.乙方不履行协议义务或者未按协议约定履行义务的其他情况。</w:t>
      </w:r>
    </w:p>
    <w:p>
      <w:pPr>
        <w:spacing w:line="276" w:lineRule="auto"/>
        <w:ind w:firstLine="480" w:firstLineChars="200"/>
        <w:rPr>
          <w:sz w:val="24"/>
        </w:rPr>
      </w:pPr>
      <w:bookmarkStart w:id="175" w:name="_Toc396037062"/>
      <w:bookmarkStart w:id="176" w:name="_Toc389985367"/>
      <w:bookmarkStart w:id="177" w:name="_Toc383301035"/>
      <w:bookmarkStart w:id="178" w:name="_Toc442022109"/>
      <w:bookmarkStart w:id="179" w:name="_Toc381911474"/>
      <w:bookmarkStart w:id="180" w:name="_Toc442016150"/>
      <w:bookmarkStart w:id="181" w:name="_Toc442133379"/>
      <w:bookmarkStart w:id="182" w:name="_Toc396036418"/>
      <w:bookmarkStart w:id="183" w:name="_Toc451698748"/>
      <w:bookmarkStart w:id="184" w:name="_Toc434694371"/>
      <w:bookmarkStart w:id="185" w:name="_Toc384944725"/>
      <w:r>
        <w:rPr>
          <w:sz w:val="24"/>
        </w:rPr>
        <w:t>第十</w:t>
      </w:r>
      <w:r>
        <w:rPr>
          <w:rFonts w:hint="eastAsia"/>
          <w:sz w:val="24"/>
        </w:rPr>
        <w:t>一</w:t>
      </w:r>
      <w:r>
        <w:rPr>
          <w:sz w:val="24"/>
        </w:rPr>
        <w:t>条 补充条款</w:t>
      </w:r>
      <w:bookmarkEnd w:id="175"/>
      <w:bookmarkEnd w:id="176"/>
      <w:bookmarkEnd w:id="177"/>
      <w:bookmarkEnd w:id="178"/>
      <w:bookmarkEnd w:id="179"/>
      <w:bookmarkEnd w:id="180"/>
      <w:bookmarkEnd w:id="181"/>
      <w:bookmarkEnd w:id="182"/>
      <w:bookmarkEnd w:id="183"/>
      <w:bookmarkEnd w:id="184"/>
      <w:bookmarkEnd w:id="185"/>
    </w:p>
    <w:p>
      <w:pPr>
        <w:spacing w:line="276" w:lineRule="auto"/>
        <w:ind w:firstLine="480" w:firstLineChars="200"/>
        <w:rPr>
          <w:sz w:val="24"/>
        </w:rPr>
      </w:pPr>
      <w:r>
        <w:rPr>
          <w:sz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rPr>
      </w:pPr>
      <w:bookmarkStart w:id="186" w:name="_Toc384944726"/>
      <w:bookmarkStart w:id="187" w:name="_Toc396037063"/>
      <w:bookmarkStart w:id="188" w:name="_Toc381911475"/>
      <w:bookmarkStart w:id="189" w:name="_Toc442016151"/>
      <w:bookmarkStart w:id="190" w:name="_Toc383301036"/>
      <w:bookmarkStart w:id="191" w:name="_Toc442133380"/>
      <w:bookmarkStart w:id="192" w:name="_Toc396036419"/>
      <w:bookmarkStart w:id="193" w:name="_Toc442022110"/>
      <w:bookmarkStart w:id="194" w:name="_Toc451698749"/>
      <w:bookmarkStart w:id="195" w:name="_Toc389985368"/>
      <w:bookmarkStart w:id="196" w:name="_Toc434694372"/>
      <w:r>
        <w:rPr>
          <w:sz w:val="24"/>
        </w:rPr>
        <w:t>第十</w:t>
      </w:r>
      <w:r>
        <w:rPr>
          <w:rFonts w:hint="eastAsia"/>
          <w:sz w:val="24"/>
        </w:rPr>
        <w:t>二</w:t>
      </w:r>
      <w:r>
        <w:rPr>
          <w:sz w:val="24"/>
        </w:rPr>
        <w:t>条 协议生效</w:t>
      </w:r>
      <w:bookmarkEnd w:id="186"/>
      <w:bookmarkEnd w:id="187"/>
      <w:bookmarkEnd w:id="188"/>
      <w:bookmarkEnd w:id="189"/>
      <w:bookmarkEnd w:id="190"/>
      <w:bookmarkEnd w:id="191"/>
      <w:bookmarkEnd w:id="192"/>
      <w:bookmarkEnd w:id="193"/>
      <w:bookmarkEnd w:id="194"/>
      <w:bookmarkEnd w:id="195"/>
      <w:bookmarkEnd w:id="196"/>
    </w:p>
    <w:p>
      <w:pPr>
        <w:spacing w:line="276" w:lineRule="auto"/>
        <w:ind w:firstLine="480" w:firstLineChars="200"/>
        <w:rPr>
          <w:sz w:val="24"/>
        </w:rPr>
      </w:pPr>
      <w:r>
        <w:rPr>
          <w:sz w:val="24"/>
        </w:rPr>
        <w:t>本协议自甲乙双方签字盖章之日起生效，其时效与双方所签订项目承包合同相同。</w:t>
      </w:r>
    </w:p>
    <w:p>
      <w:pPr>
        <w:spacing w:line="276" w:lineRule="auto"/>
        <w:ind w:firstLine="480" w:firstLineChars="200"/>
        <w:rPr>
          <w:sz w:val="24"/>
        </w:rPr>
      </w:pPr>
      <w:r>
        <w:rPr>
          <w:sz w:val="24"/>
        </w:rPr>
        <w:t>甲方(盖章)：                           乙方(盖章)：</w:t>
      </w:r>
    </w:p>
    <w:p>
      <w:pPr>
        <w:spacing w:line="276" w:lineRule="auto"/>
        <w:ind w:firstLine="480" w:firstLineChars="200"/>
        <w:rPr>
          <w:sz w:val="24"/>
        </w:rPr>
      </w:pPr>
      <w:r>
        <w:rPr>
          <w:sz w:val="24"/>
        </w:rPr>
        <w:t>企业负责人(签字)：                     企业负责人(签字)：　</w:t>
      </w:r>
    </w:p>
    <w:p>
      <w:pPr>
        <w:spacing w:line="276" w:lineRule="auto"/>
        <w:ind w:firstLine="480" w:firstLineChars="200"/>
        <w:rPr>
          <w:sz w:val="24"/>
        </w:rPr>
      </w:pPr>
      <w:r>
        <w:rPr>
          <w:sz w:val="24"/>
        </w:rPr>
        <w:t xml:space="preserve">或委托代理人(签字) </w:t>
      </w:r>
      <w:r>
        <w:rPr>
          <w:rFonts w:hint="eastAsia"/>
          <w:sz w:val="24"/>
        </w:rPr>
        <w:t>：</w:t>
      </w:r>
      <w:r>
        <w:rPr>
          <w:sz w:val="24"/>
        </w:rPr>
        <w:t xml:space="preserve">                  或委托代理人(签字)：</w:t>
      </w:r>
    </w:p>
    <w:p>
      <w:pPr>
        <w:spacing w:line="276" w:lineRule="auto"/>
        <w:ind w:firstLine="480" w:firstLineChars="200"/>
        <w:rPr>
          <w:sz w:val="24"/>
        </w:rPr>
      </w:pPr>
      <w:r>
        <w:rPr>
          <w:sz w:val="24"/>
        </w:rPr>
        <w:t xml:space="preserve">联系电话：           </w:t>
      </w:r>
      <w:r>
        <w:rPr>
          <w:rFonts w:hint="eastAsia"/>
          <w:sz w:val="24"/>
        </w:rPr>
        <w:t xml:space="preserve">                 </w:t>
      </w:r>
      <w:r>
        <w:rPr>
          <w:sz w:val="24"/>
        </w:rPr>
        <w:t xml:space="preserve"> 联系电话：</w:t>
      </w:r>
    </w:p>
    <w:p>
      <w:pPr>
        <w:spacing w:line="276" w:lineRule="auto"/>
        <w:ind w:firstLine="480" w:firstLineChars="200"/>
        <w:rPr>
          <w:sz w:val="24"/>
        </w:rPr>
      </w:pPr>
      <w:r>
        <w:rPr>
          <w:sz w:val="24"/>
        </w:rPr>
        <w:t xml:space="preserve">日期：  </w:t>
      </w:r>
      <w:r>
        <w:rPr>
          <w:rFonts w:hint="eastAsia"/>
          <w:sz w:val="24"/>
        </w:rPr>
        <w:t xml:space="preserve"> </w:t>
      </w:r>
      <w:r>
        <w:rPr>
          <w:sz w:val="24"/>
        </w:rPr>
        <w:t xml:space="preserve">  年</w:t>
      </w:r>
      <w:r>
        <w:rPr>
          <w:rFonts w:hint="eastAsia"/>
          <w:sz w:val="24"/>
        </w:rPr>
        <w:t xml:space="preserve"> </w:t>
      </w:r>
      <w:r>
        <w:rPr>
          <w:sz w:val="24"/>
        </w:rPr>
        <w:t xml:space="preserve">  月  </w:t>
      </w:r>
      <w:r>
        <w:rPr>
          <w:rFonts w:hint="eastAsia"/>
          <w:sz w:val="24"/>
        </w:rPr>
        <w:t xml:space="preserve"> </w:t>
      </w:r>
      <w:r>
        <w:rPr>
          <w:sz w:val="24"/>
        </w:rPr>
        <w:t xml:space="preserve">日                日期：  </w:t>
      </w:r>
      <w:r>
        <w:rPr>
          <w:rFonts w:hint="eastAsia"/>
          <w:sz w:val="24"/>
        </w:rPr>
        <w:t xml:space="preserve">  </w:t>
      </w:r>
      <w:r>
        <w:rPr>
          <w:sz w:val="24"/>
        </w:rPr>
        <w:t xml:space="preserve">  年 </w:t>
      </w:r>
      <w:r>
        <w:rPr>
          <w:rFonts w:hint="eastAsia"/>
          <w:sz w:val="24"/>
        </w:rPr>
        <w:t xml:space="preserve"> </w:t>
      </w:r>
      <w:r>
        <w:rPr>
          <w:sz w:val="24"/>
        </w:rPr>
        <w:t xml:space="preserve"> 月 </w:t>
      </w:r>
      <w:r>
        <w:rPr>
          <w:rFonts w:hint="eastAsia"/>
          <w:sz w:val="24"/>
        </w:rPr>
        <w:t xml:space="preserve">  </w:t>
      </w:r>
      <w:r>
        <w:rPr>
          <w:sz w:val="24"/>
        </w:rPr>
        <w:t xml:space="preserve"> 日</w:t>
      </w:r>
    </w:p>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附件4：环保管理协议书</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spacing w:line="276" w:lineRule="auto"/>
        <w:jc w:val="center"/>
        <w:rPr>
          <w:sz w:val="32"/>
          <w:szCs w:val="32"/>
        </w:rPr>
      </w:pPr>
      <w:r>
        <w:rPr>
          <w:rFonts w:hint="eastAsia"/>
          <w:sz w:val="32"/>
          <w:szCs w:val="32"/>
        </w:rPr>
        <w:t>甲、乙类承包商环保管理协议</w:t>
      </w:r>
    </w:p>
    <w:p>
      <w:pPr>
        <w:spacing w:line="276" w:lineRule="auto"/>
        <w:jc w:val="center"/>
        <w:rPr>
          <w:sz w:val="32"/>
          <w:szCs w:val="32"/>
        </w:rPr>
      </w:pPr>
    </w:p>
    <w:p>
      <w:pPr>
        <w:spacing w:line="276" w:lineRule="auto"/>
        <w:ind w:firstLine="480" w:firstLineChars="200"/>
        <w:rPr>
          <w:sz w:val="24"/>
        </w:rPr>
      </w:pPr>
      <w:r>
        <w:rPr>
          <w:rFonts w:hint="eastAsia"/>
          <w:sz w:val="24"/>
        </w:rPr>
        <w:t>发包方：中粮梁河糖业有限公司     （以下称甲方）</w:t>
      </w:r>
    </w:p>
    <w:p>
      <w:pPr>
        <w:spacing w:line="276" w:lineRule="auto"/>
        <w:ind w:firstLine="480" w:firstLineChars="200"/>
        <w:rPr>
          <w:sz w:val="24"/>
        </w:rPr>
      </w:pPr>
    </w:p>
    <w:p>
      <w:pPr>
        <w:spacing w:line="276" w:lineRule="auto"/>
        <w:ind w:firstLine="480" w:firstLineChars="200"/>
        <w:rPr>
          <w:sz w:val="24"/>
        </w:rPr>
      </w:pPr>
      <w:r>
        <w:rPr>
          <w:rFonts w:hint="eastAsia"/>
          <w:sz w:val="24"/>
        </w:rPr>
        <w:t>承包方：                         （以下称乙方）</w:t>
      </w:r>
    </w:p>
    <w:p>
      <w:pPr>
        <w:spacing w:line="276" w:lineRule="auto"/>
        <w:ind w:firstLine="480" w:firstLineChars="200"/>
        <w:rPr>
          <w:sz w:val="24"/>
        </w:rPr>
      </w:pPr>
    </w:p>
    <w:p>
      <w:pPr>
        <w:spacing w:line="276" w:lineRule="auto"/>
        <w:ind w:firstLine="480" w:firstLineChars="200"/>
        <w:rPr>
          <w:sz w:val="24"/>
        </w:rPr>
      </w:pPr>
      <w:r>
        <w:rPr>
          <w:rFonts w:hint="eastAsia"/>
          <w:sz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rPr>
      </w:pPr>
      <w:r>
        <w:rPr>
          <w:rFonts w:hint="eastAsia"/>
          <w:sz w:val="24"/>
        </w:rPr>
        <w:t>第一条乙方为甲方劳务外包期间，应满足如下要求：</w:t>
      </w:r>
    </w:p>
    <w:p>
      <w:pPr>
        <w:spacing w:line="276" w:lineRule="auto"/>
        <w:ind w:firstLine="480" w:firstLineChars="200"/>
        <w:rPr>
          <w:sz w:val="24"/>
        </w:rPr>
      </w:pPr>
      <w:r>
        <w:rPr>
          <w:rFonts w:hint="eastAsia"/>
          <w:sz w:val="24"/>
        </w:rPr>
        <w:t>（一）乙方在甲方现场的所有活动必须遵守国家相关法律法规。</w:t>
      </w:r>
    </w:p>
    <w:p>
      <w:pPr>
        <w:spacing w:line="276" w:lineRule="auto"/>
        <w:ind w:firstLine="480" w:firstLineChars="200"/>
        <w:rPr>
          <w:sz w:val="24"/>
        </w:rPr>
      </w:pPr>
      <w:r>
        <w:rPr>
          <w:rFonts w:hint="eastAsia"/>
          <w:sz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rPr>
      </w:pPr>
      <w:r>
        <w:rPr>
          <w:rFonts w:hint="eastAsia"/>
          <w:sz w:val="24"/>
        </w:rPr>
        <w:t>（三）乙方在甲方厂内工作前有义务主动向甲方了解作业区域内环保管理要求。</w:t>
      </w:r>
    </w:p>
    <w:p>
      <w:pPr>
        <w:spacing w:line="276" w:lineRule="auto"/>
        <w:ind w:firstLine="480" w:firstLineChars="200"/>
        <w:rPr>
          <w:sz w:val="24"/>
        </w:rPr>
      </w:pPr>
      <w:r>
        <w:rPr>
          <w:rFonts w:hint="eastAsia"/>
          <w:sz w:val="24"/>
        </w:rPr>
        <w:t>（四）甲乙双方合同履行期间，乙方必须采取有效措施将乙方人员在劳动过程对产生环境影响的主要因 素进行有效控制。</w:t>
      </w:r>
    </w:p>
    <w:p>
      <w:pPr>
        <w:spacing w:line="276" w:lineRule="auto"/>
        <w:ind w:firstLine="480" w:firstLineChars="200"/>
        <w:rPr>
          <w:sz w:val="24"/>
        </w:rPr>
      </w:pPr>
      <w:r>
        <w:rPr>
          <w:rFonts w:hint="eastAsia"/>
          <w:sz w:val="24"/>
        </w:rPr>
        <w:t>（五）乙方人员在上岗前必须对现场作业人员进行环保教育或培训，提高现场人员的环保意识。</w:t>
      </w:r>
    </w:p>
    <w:p>
      <w:pPr>
        <w:spacing w:line="276" w:lineRule="auto"/>
        <w:ind w:firstLine="480" w:firstLineChars="200"/>
        <w:rPr>
          <w:sz w:val="24"/>
        </w:rPr>
      </w:pPr>
      <w:r>
        <w:rPr>
          <w:rFonts w:hint="eastAsia"/>
          <w:sz w:val="24"/>
        </w:rPr>
        <w:t>（六）乙方必须建立一套环境事故应急反应预案并且在甲方处备案。</w:t>
      </w:r>
    </w:p>
    <w:p>
      <w:pPr>
        <w:spacing w:line="276" w:lineRule="auto"/>
        <w:ind w:firstLine="480" w:firstLineChars="200"/>
        <w:rPr>
          <w:sz w:val="24"/>
        </w:rPr>
      </w:pPr>
      <w:r>
        <w:rPr>
          <w:rFonts w:hint="eastAsia"/>
          <w:sz w:val="24"/>
        </w:rPr>
        <w:t>（七）甲方将不定期对乙方在环境保护方面的工作落实情况进行检查，乙方应积极配合，如有检查确认的不合格项，乙方须予以整改。</w:t>
      </w:r>
    </w:p>
    <w:p>
      <w:pPr>
        <w:spacing w:line="276" w:lineRule="auto"/>
        <w:ind w:firstLine="480" w:firstLineChars="200"/>
        <w:rPr>
          <w:sz w:val="24"/>
        </w:rPr>
      </w:pPr>
      <w:r>
        <w:rPr>
          <w:rFonts w:hint="eastAsia"/>
          <w:sz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120"/>
        <w:spacing w:line="320" w:lineRule="exact"/>
        <w:ind w:firstLine="480" w:firstLineChars="200"/>
        <w:rPr>
          <w:rFonts w:cs="Times New Roman"/>
          <w:color w:val="auto"/>
          <w:kern w:val="2"/>
        </w:rPr>
      </w:pPr>
      <w:r>
        <w:rPr>
          <w:rFonts w:hint="eastAsia" w:cs="Times New Roman"/>
          <w:color w:val="auto"/>
          <w:kern w:val="2"/>
        </w:rPr>
        <w:t>1.固废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施工作业产生的固废分类定点放置并及时合法合规处置。处置时向甲方报告处置地点，提供处置单位资质。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土建施工挖出的泥土砂石等须及时填埋洒水，恢复原状。</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滤泥、白泥、环保污泥、锅炉灰渣等固废拉运处置时保持现场及路面干净，如有掉落及时清扫。</w:t>
      </w:r>
    </w:p>
    <w:p>
      <w:pPr>
        <w:pStyle w:val="120"/>
        <w:spacing w:line="320" w:lineRule="exact"/>
        <w:ind w:firstLine="480" w:firstLineChars="200"/>
        <w:rPr>
          <w:rFonts w:cs="Times New Roman"/>
          <w:color w:val="auto"/>
          <w:kern w:val="2"/>
        </w:rPr>
      </w:pPr>
      <w:r>
        <w:rPr>
          <w:rFonts w:hint="eastAsia" w:cs="Times New Roman"/>
          <w:color w:val="auto"/>
          <w:kern w:val="2"/>
        </w:rPr>
        <w:t>2</w:t>
      </w:r>
      <w:r>
        <w:rPr>
          <w:rFonts w:cs="Times New Roman"/>
          <w:color w:val="auto"/>
          <w:kern w:val="2"/>
        </w:rPr>
        <w:t>.</w:t>
      </w:r>
      <w:r>
        <w:rPr>
          <w:rFonts w:hint="eastAsia" w:cs="Times New Roman"/>
          <w:color w:val="auto"/>
          <w:kern w:val="2"/>
        </w:rPr>
        <w:t>危废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乙方在施工过程中使用有毒有害物质如油漆、涂料、机油等，应做好防泄漏储存措施，以免泄漏危害环境。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施工过程产生的废机油、废机油桶、废油漆桶、石棉废物等危险废物联系有资质的第三方进行处置。处置时向甲方报告处置地点，提供处置单位资质。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3</w:t>
      </w:r>
      <w:r>
        <w:rPr>
          <w:rFonts w:cs="Times New Roman"/>
          <w:color w:val="auto"/>
          <w:kern w:val="2"/>
        </w:rPr>
        <w:t>.</w:t>
      </w:r>
      <w:r>
        <w:rPr>
          <w:rFonts w:hint="eastAsia" w:cs="Times New Roman"/>
          <w:color w:val="auto"/>
          <w:kern w:val="2"/>
        </w:rPr>
        <w:t>噪声</w:t>
      </w:r>
    </w:p>
    <w:p>
      <w:pPr>
        <w:pStyle w:val="120"/>
        <w:spacing w:line="320" w:lineRule="exact"/>
        <w:ind w:firstLine="480" w:firstLineChars="200"/>
        <w:rPr>
          <w:rFonts w:cs="Times New Roman"/>
          <w:color w:val="auto"/>
          <w:kern w:val="2"/>
        </w:rPr>
      </w:pPr>
      <w:r>
        <w:rPr>
          <w:rFonts w:cs="Times New Roman"/>
          <w:color w:val="auto"/>
          <w:kern w:val="2"/>
        </w:rPr>
        <w:t>(1)乙方施工</w:t>
      </w:r>
      <w:r>
        <w:rPr>
          <w:rFonts w:hint="eastAsia" w:cs="Times New Roman"/>
          <w:color w:val="auto"/>
          <w:kern w:val="2"/>
        </w:rPr>
        <w:t>产生的</w:t>
      </w:r>
      <w:r>
        <w:rPr>
          <w:rFonts w:cs="Times New Roman"/>
          <w:color w:val="auto"/>
          <w:kern w:val="2"/>
        </w:rPr>
        <w:t>噪声，</w:t>
      </w:r>
      <w:r>
        <w:rPr>
          <w:rFonts w:hint="eastAsia" w:cs="Times New Roman"/>
          <w:color w:val="auto"/>
          <w:kern w:val="2"/>
        </w:rPr>
        <w:t>须</w:t>
      </w:r>
      <w:r>
        <w:rPr>
          <w:rFonts w:cs="Times New Roman"/>
          <w:color w:val="auto"/>
          <w:kern w:val="2"/>
        </w:rPr>
        <w:t>符合国家规定的施工环境噪声排放标准</w:t>
      </w:r>
      <w:r>
        <w:rPr>
          <w:rFonts w:hint="eastAsia" w:cs="Times New Roman"/>
          <w:color w:val="auto"/>
          <w:kern w:val="2"/>
        </w:rPr>
        <w:t>。同时</w:t>
      </w:r>
      <w:r>
        <w:rPr>
          <w:rFonts w:cs="Times New Roman"/>
          <w:color w:val="auto"/>
          <w:kern w:val="2"/>
        </w:rPr>
        <w:t>应采取有效措施，减轻噪声对周围生活环境的影响。</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机动车辆噪声符合国家规定的排放标准。</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3)乙方机动车辆进入</w:t>
      </w:r>
      <w:r>
        <w:rPr>
          <w:rFonts w:hint="eastAsia" w:cs="Times New Roman"/>
          <w:color w:val="auto"/>
          <w:kern w:val="2"/>
        </w:rPr>
        <w:t>甲方项目/服务</w:t>
      </w:r>
      <w:r>
        <w:rPr>
          <w:rFonts w:cs="Times New Roman"/>
          <w:color w:val="auto"/>
          <w:kern w:val="2"/>
        </w:rPr>
        <w:t>现场严禁使用喇叭。</w:t>
      </w:r>
    </w:p>
    <w:p>
      <w:pPr>
        <w:pStyle w:val="120"/>
        <w:spacing w:line="320" w:lineRule="exact"/>
        <w:ind w:firstLine="480" w:firstLineChars="200"/>
        <w:rPr>
          <w:rFonts w:cs="Times New Roman"/>
          <w:color w:val="auto"/>
          <w:kern w:val="2"/>
        </w:rPr>
      </w:pPr>
      <w:r>
        <w:rPr>
          <w:rFonts w:hint="eastAsia" w:cs="Times New Roman"/>
          <w:color w:val="auto"/>
          <w:kern w:val="2"/>
        </w:rPr>
        <w:t>4</w:t>
      </w:r>
      <w:r>
        <w:rPr>
          <w:rFonts w:cs="Times New Roman"/>
          <w:color w:val="auto"/>
          <w:kern w:val="2"/>
        </w:rPr>
        <w:t>.</w:t>
      </w:r>
      <w:r>
        <w:rPr>
          <w:rFonts w:hint="eastAsia" w:cs="Times New Roman"/>
          <w:color w:val="auto"/>
          <w:kern w:val="2"/>
        </w:rPr>
        <w:t>水</w:t>
      </w:r>
    </w:p>
    <w:p>
      <w:pPr>
        <w:pStyle w:val="120"/>
        <w:spacing w:line="320" w:lineRule="exact"/>
        <w:ind w:firstLine="480" w:firstLineChars="200"/>
        <w:rPr>
          <w:rFonts w:cs="Times New Roman"/>
          <w:color w:val="auto"/>
          <w:kern w:val="2"/>
        </w:rPr>
      </w:pPr>
      <w:r>
        <w:rPr>
          <w:rFonts w:cs="Times New Roman"/>
          <w:color w:val="auto"/>
          <w:kern w:val="2"/>
        </w:rPr>
        <w:t>(1)禁止</w:t>
      </w:r>
      <w:r>
        <w:rPr>
          <w:rFonts w:hint="eastAsia" w:cs="Times New Roman"/>
          <w:color w:val="auto"/>
          <w:kern w:val="2"/>
        </w:rPr>
        <w:t>向</w:t>
      </w:r>
      <w:r>
        <w:rPr>
          <w:rFonts w:cs="Times New Roman"/>
          <w:color w:val="auto"/>
          <w:kern w:val="2"/>
        </w:rPr>
        <w:t>施工现场周边排放油类、酸液、碱液或者</w:t>
      </w:r>
      <w:r>
        <w:rPr>
          <w:rFonts w:hint="eastAsia" w:cs="Times New Roman"/>
          <w:color w:val="auto"/>
          <w:kern w:val="2"/>
        </w:rPr>
        <w:t>有</w:t>
      </w:r>
      <w:r>
        <w:rPr>
          <w:rFonts w:cs="Times New Roman"/>
          <w:color w:val="auto"/>
          <w:kern w:val="2"/>
        </w:rPr>
        <w:t>毒废液。</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2)禁止向施工现场周边水体排放、倾倒放射性固体废物或者含有高放射性</w:t>
      </w:r>
      <w:r>
        <w:rPr>
          <w:rFonts w:hint="eastAsia" w:cs="Times New Roman"/>
          <w:color w:val="auto"/>
          <w:kern w:val="2"/>
        </w:rPr>
        <w:t>或</w:t>
      </w:r>
      <w:r>
        <w:rPr>
          <w:rFonts w:cs="Times New Roman"/>
          <w:color w:val="auto"/>
          <w:kern w:val="2"/>
        </w:rPr>
        <w:t>中放射性物质的废水。</w:t>
      </w:r>
    </w:p>
    <w:p>
      <w:pPr>
        <w:pStyle w:val="120"/>
        <w:spacing w:line="320" w:lineRule="exact"/>
        <w:ind w:firstLine="480" w:firstLineChars="200"/>
        <w:rPr>
          <w:rFonts w:cs="Times New Roman"/>
          <w:color w:val="auto"/>
          <w:kern w:val="2"/>
        </w:rPr>
      </w:pPr>
      <w:r>
        <w:rPr>
          <w:rFonts w:hint="eastAsia" w:cs="Times New Roman"/>
          <w:color w:val="auto"/>
          <w:kern w:val="2"/>
        </w:rPr>
        <w:t>5</w:t>
      </w:r>
      <w:r>
        <w:rPr>
          <w:rFonts w:cs="Times New Roman"/>
          <w:color w:val="auto"/>
          <w:kern w:val="2"/>
        </w:rPr>
        <w:t>.</w:t>
      </w:r>
      <w:r>
        <w:rPr>
          <w:rFonts w:hint="eastAsia" w:cs="Times New Roman"/>
          <w:color w:val="auto"/>
          <w:kern w:val="2"/>
        </w:rPr>
        <w:t>气</w:t>
      </w:r>
    </w:p>
    <w:p>
      <w:pPr>
        <w:pStyle w:val="120"/>
        <w:spacing w:line="320" w:lineRule="exact"/>
        <w:ind w:firstLine="480" w:firstLineChars="200"/>
        <w:rPr>
          <w:rFonts w:cs="Times New Roman"/>
          <w:color w:val="auto"/>
          <w:kern w:val="2"/>
        </w:rPr>
      </w:pPr>
      <w:r>
        <w:rPr>
          <w:rFonts w:cs="Times New Roman"/>
          <w:color w:val="auto"/>
          <w:kern w:val="2"/>
        </w:rPr>
        <w:t>(1)施工</w:t>
      </w:r>
      <w:r>
        <w:rPr>
          <w:rFonts w:hint="eastAsia" w:cs="Times New Roman"/>
          <w:color w:val="auto"/>
          <w:kern w:val="2"/>
        </w:rPr>
        <w:t>现场</w:t>
      </w:r>
      <w:r>
        <w:rPr>
          <w:rFonts w:cs="Times New Roman"/>
          <w:color w:val="auto"/>
          <w:kern w:val="2"/>
        </w:rPr>
        <w:t>禁止焚烧油毡、橡胶、塑料、皮革、垃圾以及其他产生有毒有害烟尘和恶臭气体的物质。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机动车辆尾气符合国家规定的排放标准。</w:t>
      </w:r>
    </w:p>
    <w:p>
      <w:pPr>
        <w:pStyle w:val="120"/>
        <w:spacing w:line="320" w:lineRule="exact"/>
        <w:ind w:firstLine="480" w:firstLineChars="200"/>
        <w:rPr>
          <w:rFonts w:cs="Times New Roman"/>
          <w:color w:val="auto"/>
          <w:kern w:val="2"/>
        </w:rPr>
      </w:pPr>
      <w:r>
        <w:rPr>
          <w:rFonts w:cs="Times New Roman"/>
          <w:color w:val="auto"/>
          <w:kern w:val="2"/>
        </w:rPr>
        <w:t>6.</w:t>
      </w:r>
      <w:r>
        <w:rPr>
          <w:rFonts w:hint="eastAsia" w:cs="Times New Roman"/>
          <w:color w:val="auto"/>
          <w:kern w:val="2"/>
        </w:rPr>
        <w:t>无组织排放</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容易产生扬尘的施工现场、清扫地面时须洒水，运输建筑垃圾需加盖蓬布等，以免粉尘弥漫，污染环境。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临时堆放的土方采取彩条布覆盖等措施，以防尘土飞扬。</w:t>
      </w:r>
    </w:p>
    <w:p>
      <w:pPr>
        <w:pStyle w:val="120"/>
        <w:spacing w:line="320" w:lineRule="exact"/>
        <w:ind w:firstLine="480" w:firstLineChars="200"/>
        <w:rPr>
          <w:rFonts w:cs="Times New Roman"/>
          <w:color w:val="auto"/>
          <w:kern w:val="2"/>
        </w:rPr>
      </w:pPr>
      <w:r>
        <w:rPr>
          <w:rFonts w:cs="Times New Roman"/>
          <w:color w:val="auto"/>
          <w:kern w:val="2"/>
        </w:rPr>
        <w:t>7.</w:t>
      </w:r>
      <w:r>
        <w:rPr>
          <w:rFonts w:hint="eastAsia" w:cs="Times New Roman"/>
          <w:color w:val="auto"/>
          <w:kern w:val="2"/>
        </w:rPr>
        <w:t>其它</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乙方施工／服务现场环境须遵守环境管理体系及法律法规有关作业场所的要求，场地功能划分及标识清楚，物资规范堆放和储存，保持现场的整洁有序。</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2)乙方应当合理选择和利用原材料、能源和其他资源，采用先进的生产工艺和设备，减少施工</w:t>
      </w:r>
      <w:r>
        <w:rPr>
          <w:rFonts w:hint="eastAsia" w:cs="Times New Roman"/>
          <w:color w:val="auto"/>
          <w:kern w:val="2"/>
        </w:rPr>
        <w:t>废水、废气、固废及噪声</w:t>
      </w:r>
      <w:r>
        <w:rPr>
          <w:rFonts w:cs="Times New Roman"/>
          <w:color w:val="auto"/>
          <w:kern w:val="2"/>
        </w:rPr>
        <w:t>产生。</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乙方使用的车辆必须具备国家法规和甲方所在地环保政策及相关规定的资质和要求，并在项目/服务实施过程中严格遵守法规及相关政策、规定。</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4)</w:t>
      </w:r>
      <w:r>
        <w:rPr>
          <w:rFonts w:hint="eastAsia"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5)</w:t>
      </w:r>
      <w:r>
        <w:rPr>
          <w:rFonts w:hint="eastAsia" w:cs="Times New Roman"/>
          <w:color w:val="auto"/>
          <w:kern w:val="2"/>
        </w:rPr>
        <w:t>乙方在施工现场根据区域大小合理设置1</w:t>
      </w:r>
      <w:r>
        <w:rPr>
          <w:rFonts w:cs="Times New Roman"/>
          <w:color w:val="auto"/>
          <w:kern w:val="2"/>
        </w:rPr>
        <w:t>-2</w:t>
      </w:r>
      <w:r>
        <w:rPr>
          <w:rFonts w:hint="eastAsia" w:cs="Times New Roman"/>
          <w:color w:val="auto"/>
          <w:kern w:val="2"/>
        </w:rPr>
        <w:t>个固废临时储放点，安排人员每天打扫一遍施工现场，每十天清理一次临时储放点。临时储放点设置超过</w:t>
      </w:r>
      <w:r>
        <w:rPr>
          <w:rFonts w:cs="Times New Roman"/>
          <w:color w:val="auto"/>
          <w:kern w:val="2"/>
        </w:rPr>
        <w:t>2</w:t>
      </w:r>
      <w:r>
        <w:rPr>
          <w:rFonts w:hint="eastAsia" w:cs="Times New Roman"/>
          <w:color w:val="auto"/>
          <w:kern w:val="2"/>
        </w:rPr>
        <w:t>个时须报经甲方安全环保部同意。</w:t>
      </w:r>
    </w:p>
    <w:p>
      <w:pPr>
        <w:spacing w:line="276" w:lineRule="auto"/>
        <w:ind w:firstLine="480" w:firstLineChars="200"/>
        <w:rPr>
          <w:sz w:val="24"/>
        </w:rPr>
      </w:pPr>
      <w:r>
        <w:rPr>
          <w:rFonts w:hint="eastAsia"/>
          <w:sz w:val="24"/>
        </w:rPr>
        <w:t>（九）以上对乙方的环保要求的最终解释权归甲方所有，乙方可向甲方进行咨询。</w:t>
      </w:r>
    </w:p>
    <w:p>
      <w:pPr>
        <w:spacing w:line="480" w:lineRule="exact"/>
        <w:ind w:firstLine="480" w:firstLineChars="200"/>
        <w:rPr>
          <w:sz w:val="24"/>
        </w:rPr>
      </w:pPr>
      <w:r>
        <w:rPr>
          <w:rFonts w:hint="eastAsia"/>
          <w:sz w:val="24"/>
        </w:rPr>
        <w:t>（十）考核</w:t>
      </w:r>
    </w:p>
    <w:p>
      <w:pPr>
        <w:spacing w:line="480" w:lineRule="exact"/>
        <w:ind w:firstLine="480" w:firstLineChars="200"/>
        <w:rPr>
          <w:sz w:val="24"/>
        </w:rPr>
      </w:pPr>
      <w:r>
        <w:rPr>
          <w:rFonts w:hint="eastAsia"/>
          <w:sz w:val="24"/>
        </w:rPr>
        <w:t>1.乙方未按要求每天打扫施工现场的，由甲方安排人员打扫并按7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一般固废：1000元/吨扣款；2</w:t>
      </w:r>
      <w:r>
        <w:rPr>
          <w:sz w:val="24"/>
        </w:rPr>
        <w:t>.</w:t>
      </w:r>
      <w:r>
        <w:rPr>
          <w:rFonts w:hint="eastAsia"/>
          <w:sz w:val="24"/>
        </w:rPr>
        <w:t>危险废物：100</w:t>
      </w:r>
      <w:r>
        <w:rPr>
          <w:sz w:val="24"/>
        </w:rPr>
        <w:t>00</w:t>
      </w:r>
      <w:r>
        <w:rPr>
          <w:rFonts w:hint="eastAsia"/>
          <w:sz w:val="24"/>
        </w:rPr>
        <w:t>元/吨扣款。</w:t>
      </w:r>
    </w:p>
    <w:p>
      <w:pPr>
        <w:spacing w:line="480" w:lineRule="exact"/>
        <w:ind w:firstLine="480" w:firstLineChars="200"/>
        <w:rPr>
          <w:sz w:val="24"/>
        </w:rPr>
      </w:pPr>
      <w:r>
        <w:rPr>
          <w:rFonts w:hint="eastAsia"/>
          <w:sz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rPr>
      </w:pPr>
      <w:r>
        <w:rPr>
          <w:rFonts w:hint="eastAsia"/>
          <w:sz w:val="24"/>
        </w:rPr>
        <w:t>（十一）如有未尽事宜，甲乙双方及时协商。</w:t>
      </w:r>
    </w:p>
    <w:p>
      <w:pPr>
        <w:spacing w:line="276" w:lineRule="auto"/>
        <w:ind w:firstLine="480" w:firstLineChars="200"/>
        <w:rPr>
          <w:sz w:val="24"/>
        </w:rPr>
      </w:pPr>
      <w:r>
        <w:rPr>
          <w:rFonts w:hint="eastAsia"/>
          <w:sz w:val="24"/>
        </w:rPr>
        <w:t>（十二）本协议内容自双方签订之日起开始实施。</w:t>
      </w:r>
    </w:p>
    <w:p>
      <w:pPr>
        <w:spacing w:line="276" w:lineRule="auto"/>
        <w:ind w:firstLine="480" w:firstLineChars="200"/>
        <w:rPr>
          <w:sz w:val="24"/>
        </w:rPr>
      </w:pPr>
    </w:p>
    <w:p>
      <w:pPr>
        <w:spacing w:line="276" w:lineRule="auto"/>
        <w:ind w:firstLine="480" w:firstLineChars="200"/>
        <w:rPr>
          <w:sz w:val="24"/>
        </w:rPr>
      </w:pPr>
      <w:r>
        <w:rPr>
          <w:sz w:val="24"/>
        </w:rPr>
        <w:t>甲方（盖章）：</w:t>
      </w:r>
      <w:r>
        <w:rPr>
          <w:rFonts w:hint="eastAsia"/>
          <w:sz w:val="24"/>
        </w:rPr>
        <w:t xml:space="preserve">                     </w:t>
      </w:r>
      <w:r>
        <w:rPr>
          <w:sz w:val="24"/>
        </w:rPr>
        <w:t>乙方（盖章）：</w:t>
      </w:r>
    </w:p>
    <w:p>
      <w:pPr>
        <w:spacing w:line="276" w:lineRule="auto"/>
        <w:ind w:firstLine="480" w:firstLineChars="200"/>
        <w:rPr>
          <w:sz w:val="24"/>
        </w:rPr>
      </w:pPr>
      <w:r>
        <w:rPr>
          <w:sz w:val="24"/>
        </w:rPr>
        <w:t>法人/委托代理人(签字)：</w:t>
      </w:r>
      <w:r>
        <w:rPr>
          <w:rFonts w:hint="eastAsia"/>
          <w:sz w:val="24"/>
        </w:rPr>
        <w:t xml:space="preserve">           </w:t>
      </w:r>
      <w:r>
        <w:rPr>
          <w:sz w:val="24"/>
        </w:rPr>
        <w:t>法人/委托代理人（签字）：</w:t>
      </w:r>
    </w:p>
    <w:p>
      <w:pPr>
        <w:spacing w:line="276" w:lineRule="auto"/>
        <w:ind w:firstLine="480" w:firstLineChars="200"/>
        <w:rPr>
          <w:sz w:val="24"/>
        </w:rPr>
      </w:pPr>
    </w:p>
    <w:p>
      <w:pPr>
        <w:spacing w:line="276" w:lineRule="auto"/>
        <w:ind w:firstLine="480" w:firstLineChars="200"/>
      </w:pPr>
      <w:r>
        <w:rPr>
          <w:rFonts w:hint="eastAsia"/>
          <w:sz w:val="24"/>
        </w:rPr>
        <w:t xml:space="preserve">日期：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日期：     </w:t>
      </w: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jc w:val="center"/>
        <w:rPr>
          <w:rStyle w:val="71"/>
          <w:rFonts w:ascii="宋体" w:hAnsi="宋体"/>
          <w:bCs/>
          <w:sz w:val="28"/>
          <w:szCs w:val="28"/>
        </w:rPr>
      </w:pPr>
    </w:p>
    <w:sectPr>
      <w:headerReference r:id="rId5" w:type="default"/>
      <w:footerReference r:id="rId6"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華康中楷體">
    <w:altName w:val="Microsoft JhengHei"/>
    <w:panose1 w:val="00000000000000000000"/>
    <w:charset w:val="88"/>
    <w:family w:val="modern"/>
    <w:pitch w:val="default"/>
    <w:sig w:usb0="00000000" w:usb1="00000000" w:usb2="00000010" w:usb3="00000000" w:csb0="00100000" w:csb1="00000000"/>
  </w:font>
  <w:font w:name="全真簡中楷">
    <w:altName w:val="宋体"/>
    <w:panose1 w:val="00000000000000000000"/>
    <w:charset w:val="88"/>
    <w:family w:val="modern"/>
    <w:pitch w:val="default"/>
    <w:sig w:usb0="00000000" w:usb1="00000000" w:usb2="00000010" w:usb3="00000000" w:csb0="00100000" w:csb1="00000000"/>
  </w:font>
  <w:font w:name="Univers">
    <w:altName w:val="Arial"/>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rP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71"/>
      </w:rPr>
    </w:pPr>
    <w:r>
      <w:rPr>
        <w:rStyle w:val="71"/>
        <w:sz w:val="20"/>
      </w:rPr>
      <w:pict>
        <v:shape id="自选图形 3" o:spid="_x0000_s2049" o:spt="100" style="position:absolute;left:0pt;margin-left:0pt;margin-top:0pt;height:50pt;width:50pt;visibility:hidden;z-index:251660288;mso-width-relative:page;mso-height-relative:page;" filled="f" stroked="f" coordsize="21600,216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
          <v:fill on="f" focussize="0,0"/>
          <v:stroke on="f"/>
          <v:imagedata o:title=""/>
          <o:lock v:ext="edit" selection="t"/>
        </v:shape>
      </w:pict>
    </w:r>
    <w:r>
      <w:rPr>
        <w:rStyle w:val="71"/>
        <w:sz w:val="20"/>
      </w:rPr>
      <w:pict>
        <v:line id="_x0000_s2050" o:spid="_x0000_s2050" o:spt="20" style="position:absolute;left:0pt;margin-left:0pt;margin-top:-2.75pt;height:0pt;width:477pt;z-index:251660288;mso-width-relative:page;mso-height-relative:page;"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4320" w:hanging="4320" w:hangingChars="1800"/>
      <w:jc w:val="left"/>
      <w:rPr>
        <w:rFonts w:ascii="仿宋_GB2312" w:eastAsia="仿宋_GB2312"/>
        <w:color w:val="FF0000"/>
        <w:sz w:val="24"/>
        <w:szCs w:val="24"/>
        <w:u w:val="single"/>
      </w:rPr>
    </w:pPr>
    <w:r>
      <w:rPr>
        <w:rFonts w:hint="eastAsia" w:ascii="仿宋_GB2312" w:eastAsia="仿宋_GB2312"/>
        <w:sz w:val="24"/>
        <w:szCs w:val="24"/>
      </w:rPr>
      <w:t>文件名称：2023年梁河糖业勐养、芒东磷酸储罐新建雨棚项目合同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71"/>
        <w:sz w:val="28"/>
        <w:szCs w:val="28"/>
      </w:rPr>
    </w:pPr>
    <w:r>
      <w:rPr>
        <w:sz w:val="28"/>
        <w:szCs w:val="28"/>
      </w:rPr>
      <w:drawing>
        <wp:anchor distT="0" distB="0" distL="114300" distR="114300" simplePos="0" relativeHeight="251659264" behindDoc="0" locked="0" layoutInCell="1" allowOverlap="1">
          <wp:simplePos x="0" y="0"/>
          <wp:positionH relativeFrom="page">
            <wp:posOffset>5215890</wp:posOffset>
          </wp:positionH>
          <wp:positionV relativeFrom="page">
            <wp:posOffset>483235</wp:posOffset>
          </wp:positionV>
          <wp:extent cx="1614170" cy="511810"/>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14114" cy="511892"/>
                  </a:xfrm>
                  <a:prstGeom prst="rect">
                    <a:avLst/>
                  </a:prstGeom>
                  <a:noFill/>
                  <a:ln>
                    <a:noFill/>
                  </a:ln>
                </pic:spPr>
              </pic:pic>
            </a:graphicData>
          </a:graphic>
        </wp:anchor>
      </w:drawing>
    </w:r>
  </w:p>
  <w:p>
    <w:pPr>
      <w:pStyle w:val="24"/>
      <w:jc w:val="both"/>
      <w:rPr>
        <w:rStyle w:val="71"/>
        <w:sz w:val="28"/>
        <w:szCs w:val="28"/>
      </w:rPr>
    </w:pPr>
    <w:r>
      <w:rPr>
        <w:rStyle w:val="71"/>
        <w:rFonts w:hint="eastAsia"/>
        <w:sz w:val="28"/>
        <w:szCs w:val="28"/>
      </w:rPr>
      <w:t>中粮梁河糖业有限公司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09FE6"/>
    <w:multiLevelType w:val="singleLevel"/>
    <w:tmpl w:val="F4B09FE6"/>
    <w:lvl w:ilvl="0" w:tentative="0">
      <w:start w:val="2"/>
      <w:numFmt w:val="chineseCounting"/>
      <w:suff w:val="nothing"/>
      <w:lvlText w:val="(%1）"/>
      <w:lvlJc w:val="left"/>
      <w:pPr>
        <w:textAlignment w:val="baseline"/>
      </w:pPr>
    </w:lvl>
  </w:abstractNum>
  <w:abstractNum w:abstractNumId="1">
    <w:nsid w:val="33BC7AD8"/>
    <w:multiLevelType w:val="multilevel"/>
    <w:tmpl w:val="33BC7AD8"/>
    <w:lvl w:ilvl="0" w:tentative="0">
      <w:start w:val="1"/>
      <w:numFmt w:val="japaneseCounting"/>
      <w:lvlText w:val="第%1章"/>
      <w:lvlJc w:val="left"/>
      <w:pPr>
        <w:ind w:left="3275" w:hanging="1125"/>
        <w:textAlignment w:val="baseline"/>
      </w:pPr>
    </w:lvl>
    <w:lvl w:ilvl="1" w:tentative="0">
      <w:start w:val="1"/>
      <w:numFmt w:val="lowerLetter"/>
      <w:lvlText w:val="%1)"/>
      <w:lvlJc w:val="left"/>
      <w:pPr>
        <w:ind w:left="2990" w:hanging="420"/>
        <w:textAlignment w:val="baseline"/>
      </w:pPr>
    </w:lvl>
    <w:lvl w:ilvl="2" w:tentative="0">
      <w:start w:val="1"/>
      <w:numFmt w:val="lowerRoman"/>
      <w:lvlText w:val="%1."/>
      <w:lvlJc w:val="right"/>
      <w:pPr>
        <w:ind w:left="3410" w:hanging="420"/>
        <w:textAlignment w:val="baseline"/>
      </w:pPr>
    </w:lvl>
    <w:lvl w:ilvl="3" w:tentative="0">
      <w:start w:val="1"/>
      <w:numFmt w:val="decimal"/>
      <w:lvlText w:val="%1."/>
      <w:lvlJc w:val="left"/>
      <w:pPr>
        <w:ind w:left="3830" w:hanging="420"/>
        <w:textAlignment w:val="baseline"/>
      </w:pPr>
    </w:lvl>
    <w:lvl w:ilvl="4" w:tentative="0">
      <w:start w:val="1"/>
      <w:numFmt w:val="lowerLetter"/>
      <w:lvlText w:val="%1)"/>
      <w:lvlJc w:val="left"/>
      <w:pPr>
        <w:ind w:left="4250" w:hanging="420"/>
        <w:textAlignment w:val="baseline"/>
      </w:pPr>
    </w:lvl>
    <w:lvl w:ilvl="5" w:tentative="0">
      <w:start w:val="1"/>
      <w:numFmt w:val="lowerRoman"/>
      <w:lvlText w:val="%1."/>
      <w:lvlJc w:val="right"/>
      <w:pPr>
        <w:ind w:left="4670" w:hanging="420"/>
        <w:textAlignment w:val="baseline"/>
      </w:pPr>
    </w:lvl>
    <w:lvl w:ilvl="6" w:tentative="0">
      <w:start w:val="1"/>
      <w:numFmt w:val="decimal"/>
      <w:lvlText w:val="%1."/>
      <w:lvlJc w:val="left"/>
      <w:pPr>
        <w:ind w:left="5090" w:hanging="420"/>
        <w:textAlignment w:val="baseline"/>
      </w:pPr>
    </w:lvl>
    <w:lvl w:ilvl="7" w:tentative="0">
      <w:start w:val="1"/>
      <w:numFmt w:val="lowerLetter"/>
      <w:lvlText w:val="%1)"/>
      <w:lvlJc w:val="left"/>
      <w:pPr>
        <w:ind w:left="5510" w:hanging="420"/>
        <w:textAlignment w:val="baseline"/>
      </w:pPr>
    </w:lvl>
    <w:lvl w:ilvl="8" w:tentative="0">
      <w:start w:val="1"/>
      <w:numFmt w:val="lowerRoman"/>
      <w:lvlText w:val="%1."/>
      <w:lvlJc w:val="right"/>
      <w:pPr>
        <w:ind w:left="5930" w:hanging="420"/>
        <w:textAlignment w:val="baseline"/>
      </w:pPr>
    </w:lvl>
  </w:abstractNum>
  <w:abstractNum w:abstractNumId="2">
    <w:nsid w:val="3D1C4F62"/>
    <w:multiLevelType w:val="singleLevel"/>
    <w:tmpl w:val="3D1C4F62"/>
    <w:lvl w:ilvl="0" w:tentative="0">
      <w:start w:val="5"/>
      <w:numFmt w:val="chineseCounting"/>
      <w:suff w:val="nothing"/>
      <w:lvlText w:val="%1、"/>
      <w:lvlJc w:val="left"/>
      <w:pPr>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ODgzN2I3OWI1MzliYWNjYmM0YjA2OTFmNWUyYzIifQ=="/>
  </w:docVars>
  <w:rsids>
    <w:rsidRoot w:val="003C4DD8"/>
    <w:rsid w:val="00000E8C"/>
    <w:rsid w:val="00011670"/>
    <w:rsid w:val="000168F3"/>
    <w:rsid w:val="00016AAD"/>
    <w:rsid w:val="00017C32"/>
    <w:rsid w:val="000228FB"/>
    <w:rsid w:val="00032FAE"/>
    <w:rsid w:val="0003418C"/>
    <w:rsid w:val="00035921"/>
    <w:rsid w:val="00035F75"/>
    <w:rsid w:val="000405FA"/>
    <w:rsid w:val="00041906"/>
    <w:rsid w:val="00053394"/>
    <w:rsid w:val="00064699"/>
    <w:rsid w:val="000758B1"/>
    <w:rsid w:val="000870B6"/>
    <w:rsid w:val="00094F3C"/>
    <w:rsid w:val="000A37A8"/>
    <w:rsid w:val="000B0601"/>
    <w:rsid w:val="000C39B3"/>
    <w:rsid w:val="000C4141"/>
    <w:rsid w:val="000D1E41"/>
    <w:rsid w:val="000D2126"/>
    <w:rsid w:val="000E0E84"/>
    <w:rsid w:val="000E711F"/>
    <w:rsid w:val="000F136B"/>
    <w:rsid w:val="001006BF"/>
    <w:rsid w:val="0010464A"/>
    <w:rsid w:val="00107796"/>
    <w:rsid w:val="001118E2"/>
    <w:rsid w:val="00117E75"/>
    <w:rsid w:val="00122A4A"/>
    <w:rsid w:val="00127E50"/>
    <w:rsid w:val="00143F9A"/>
    <w:rsid w:val="001440F3"/>
    <w:rsid w:val="001564C7"/>
    <w:rsid w:val="00156C02"/>
    <w:rsid w:val="001625F8"/>
    <w:rsid w:val="00163EBD"/>
    <w:rsid w:val="001729CB"/>
    <w:rsid w:val="001757F3"/>
    <w:rsid w:val="00176183"/>
    <w:rsid w:val="00181D31"/>
    <w:rsid w:val="0018652A"/>
    <w:rsid w:val="001915C1"/>
    <w:rsid w:val="001A6C30"/>
    <w:rsid w:val="001B281A"/>
    <w:rsid w:val="001B3893"/>
    <w:rsid w:val="001C161E"/>
    <w:rsid w:val="001C22D4"/>
    <w:rsid w:val="001C2A9F"/>
    <w:rsid w:val="001C39C3"/>
    <w:rsid w:val="001C3EE3"/>
    <w:rsid w:val="001D4A3D"/>
    <w:rsid w:val="001E24C9"/>
    <w:rsid w:val="001E777D"/>
    <w:rsid w:val="001F051E"/>
    <w:rsid w:val="001F20B5"/>
    <w:rsid w:val="001F2501"/>
    <w:rsid w:val="00206EF3"/>
    <w:rsid w:val="00207887"/>
    <w:rsid w:val="00211F6B"/>
    <w:rsid w:val="0021344A"/>
    <w:rsid w:val="00217EBE"/>
    <w:rsid w:val="00231EC8"/>
    <w:rsid w:val="00244231"/>
    <w:rsid w:val="002453F6"/>
    <w:rsid w:val="002478C4"/>
    <w:rsid w:val="00254A9C"/>
    <w:rsid w:val="002601C2"/>
    <w:rsid w:val="002700FB"/>
    <w:rsid w:val="002707F6"/>
    <w:rsid w:val="00273C5C"/>
    <w:rsid w:val="00294B5C"/>
    <w:rsid w:val="002962DE"/>
    <w:rsid w:val="002A15C0"/>
    <w:rsid w:val="002A75C8"/>
    <w:rsid w:val="002B064F"/>
    <w:rsid w:val="002B3DF2"/>
    <w:rsid w:val="002B41A8"/>
    <w:rsid w:val="002B5FDE"/>
    <w:rsid w:val="002C3507"/>
    <w:rsid w:val="002C6A00"/>
    <w:rsid w:val="002E48FC"/>
    <w:rsid w:val="002E5752"/>
    <w:rsid w:val="002F04AB"/>
    <w:rsid w:val="00306C01"/>
    <w:rsid w:val="00313C4A"/>
    <w:rsid w:val="00313EC8"/>
    <w:rsid w:val="003204E9"/>
    <w:rsid w:val="0033470F"/>
    <w:rsid w:val="00334E5E"/>
    <w:rsid w:val="003360CC"/>
    <w:rsid w:val="0034587A"/>
    <w:rsid w:val="00346906"/>
    <w:rsid w:val="0035534D"/>
    <w:rsid w:val="00357F82"/>
    <w:rsid w:val="003638BA"/>
    <w:rsid w:val="00363DA1"/>
    <w:rsid w:val="00373AD3"/>
    <w:rsid w:val="00377786"/>
    <w:rsid w:val="003807CA"/>
    <w:rsid w:val="0039013D"/>
    <w:rsid w:val="00391BB9"/>
    <w:rsid w:val="003946FB"/>
    <w:rsid w:val="00397CC7"/>
    <w:rsid w:val="003A0199"/>
    <w:rsid w:val="003A3FDE"/>
    <w:rsid w:val="003A4350"/>
    <w:rsid w:val="003A7FC7"/>
    <w:rsid w:val="003B58AA"/>
    <w:rsid w:val="003B5CDA"/>
    <w:rsid w:val="003C4DD8"/>
    <w:rsid w:val="003C6FFF"/>
    <w:rsid w:val="003D0239"/>
    <w:rsid w:val="003D2BA0"/>
    <w:rsid w:val="003E19FA"/>
    <w:rsid w:val="003E6120"/>
    <w:rsid w:val="003E706C"/>
    <w:rsid w:val="00403C7D"/>
    <w:rsid w:val="00410D41"/>
    <w:rsid w:val="00411118"/>
    <w:rsid w:val="00416404"/>
    <w:rsid w:val="004172F9"/>
    <w:rsid w:val="00421916"/>
    <w:rsid w:val="004228D1"/>
    <w:rsid w:val="00425A02"/>
    <w:rsid w:val="00437506"/>
    <w:rsid w:val="0045109C"/>
    <w:rsid w:val="00452D01"/>
    <w:rsid w:val="00457CC2"/>
    <w:rsid w:val="00462223"/>
    <w:rsid w:val="00464F89"/>
    <w:rsid w:val="0047121D"/>
    <w:rsid w:val="00477248"/>
    <w:rsid w:val="0048284B"/>
    <w:rsid w:val="00486A38"/>
    <w:rsid w:val="0049048D"/>
    <w:rsid w:val="0049360C"/>
    <w:rsid w:val="004954D6"/>
    <w:rsid w:val="004958BC"/>
    <w:rsid w:val="004A4BC5"/>
    <w:rsid w:val="004B21D6"/>
    <w:rsid w:val="004B652E"/>
    <w:rsid w:val="004C40B3"/>
    <w:rsid w:val="004C5564"/>
    <w:rsid w:val="004C73D9"/>
    <w:rsid w:val="004D0C9C"/>
    <w:rsid w:val="004D5350"/>
    <w:rsid w:val="004D709E"/>
    <w:rsid w:val="004D7B4F"/>
    <w:rsid w:val="004F45A4"/>
    <w:rsid w:val="004F4FFD"/>
    <w:rsid w:val="004F6C49"/>
    <w:rsid w:val="004F75AF"/>
    <w:rsid w:val="0050251D"/>
    <w:rsid w:val="005075F1"/>
    <w:rsid w:val="0051308C"/>
    <w:rsid w:val="00526718"/>
    <w:rsid w:val="0053495A"/>
    <w:rsid w:val="005351EA"/>
    <w:rsid w:val="00541865"/>
    <w:rsid w:val="005469B0"/>
    <w:rsid w:val="005513D9"/>
    <w:rsid w:val="00552453"/>
    <w:rsid w:val="00554A7B"/>
    <w:rsid w:val="00557E41"/>
    <w:rsid w:val="00565E85"/>
    <w:rsid w:val="005771B6"/>
    <w:rsid w:val="005A2413"/>
    <w:rsid w:val="005A3743"/>
    <w:rsid w:val="005B4329"/>
    <w:rsid w:val="005C0DDF"/>
    <w:rsid w:val="005D6C83"/>
    <w:rsid w:val="005F2DB1"/>
    <w:rsid w:val="0060329A"/>
    <w:rsid w:val="0060350F"/>
    <w:rsid w:val="00636AD9"/>
    <w:rsid w:val="006410A8"/>
    <w:rsid w:val="00642E47"/>
    <w:rsid w:val="0064452B"/>
    <w:rsid w:val="0065046D"/>
    <w:rsid w:val="00661CA2"/>
    <w:rsid w:val="00664728"/>
    <w:rsid w:val="00666950"/>
    <w:rsid w:val="006674D0"/>
    <w:rsid w:val="00673C51"/>
    <w:rsid w:val="00674971"/>
    <w:rsid w:val="00675247"/>
    <w:rsid w:val="006819FC"/>
    <w:rsid w:val="00683A6B"/>
    <w:rsid w:val="00691C73"/>
    <w:rsid w:val="006A20C7"/>
    <w:rsid w:val="006A28A6"/>
    <w:rsid w:val="006A3117"/>
    <w:rsid w:val="006A4282"/>
    <w:rsid w:val="006A5457"/>
    <w:rsid w:val="006B10AA"/>
    <w:rsid w:val="006B20C1"/>
    <w:rsid w:val="006B3CC9"/>
    <w:rsid w:val="006C5D65"/>
    <w:rsid w:val="007036B6"/>
    <w:rsid w:val="007110F9"/>
    <w:rsid w:val="00711D09"/>
    <w:rsid w:val="00723408"/>
    <w:rsid w:val="00733C2E"/>
    <w:rsid w:val="00742566"/>
    <w:rsid w:val="00745FA4"/>
    <w:rsid w:val="00752BA1"/>
    <w:rsid w:val="007579BB"/>
    <w:rsid w:val="007615F3"/>
    <w:rsid w:val="00761A81"/>
    <w:rsid w:val="00763FAC"/>
    <w:rsid w:val="00772F23"/>
    <w:rsid w:val="00773174"/>
    <w:rsid w:val="007760F4"/>
    <w:rsid w:val="007866EA"/>
    <w:rsid w:val="007978A9"/>
    <w:rsid w:val="007A3A61"/>
    <w:rsid w:val="007A702F"/>
    <w:rsid w:val="007B36E3"/>
    <w:rsid w:val="007B6F3C"/>
    <w:rsid w:val="007B7B66"/>
    <w:rsid w:val="007C209D"/>
    <w:rsid w:val="007C220C"/>
    <w:rsid w:val="007C3469"/>
    <w:rsid w:val="007C37C5"/>
    <w:rsid w:val="007C57C6"/>
    <w:rsid w:val="007D202C"/>
    <w:rsid w:val="007E57BF"/>
    <w:rsid w:val="007F1B83"/>
    <w:rsid w:val="007F2C87"/>
    <w:rsid w:val="0080691B"/>
    <w:rsid w:val="00810505"/>
    <w:rsid w:val="00810DFF"/>
    <w:rsid w:val="008118D1"/>
    <w:rsid w:val="00820A36"/>
    <w:rsid w:val="008253BB"/>
    <w:rsid w:val="00836B22"/>
    <w:rsid w:val="00840F7F"/>
    <w:rsid w:val="008577C8"/>
    <w:rsid w:val="00862C7B"/>
    <w:rsid w:val="0088272D"/>
    <w:rsid w:val="00883216"/>
    <w:rsid w:val="00883503"/>
    <w:rsid w:val="0089018B"/>
    <w:rsid w:val="00890364"/>
    <w:rsid w:val="00893318"/>
    <w:rsid w:val="008A1512"/>
    <w:rsid w:val="008A7529"/>
    <w:rsid w:val="008B4736"/>
    <w:rsid w:val="008B6472"/>
    <w:rsid w:val="008B73E9"/>
    <w:rsid w:val="008B741C"/>
    <w:rsid w:val="008E13E7"/>
    <w:rsid w:val="008E3D98"/>
    <w:rsid w:val="008F3889"/>
    <w:rsid w:val="0090137C"/>
    <w:rsid w:val="00901EB0"/>
    <w:rsid w:val="00902E0A"/>
    <w:rsid w:val="00904F05"/>
    <w:rsid w:val="00906724"/>
    <w:rsid w:val="009116A1"/>
    <w:rsid w:val="009164EB"/>
    <w:rsid w:val="00916835"/>
    <w:rsid w:val="00922C25"/>
    <w:rsid w:val="00945850"/>
    <w:rsid w:val="0095474D"/>
    <w:rsid w:val="009551CD"/>
    <w:rsid w:val="00960415"/>
    <w:rsid w:val="00960518"/>
    <w:rsid w:val="00966CF8"/>
    <w:rsid w:val="00972B5D"/>
    <w:rsid w:val="009731C3"/>
    <w:rsid w:val="0097518E"/>
    <w:rsid w:val="009808D8"/>
    <w:rsid w:val="0098734F"/>
    <w:rsid w:val="00990C54"/>
    <w:rsid w:val="009941CA"/>
    <w:rsid w:val="009A188F"/>
    <w:rsid w:val="009B19AE"/>
    <w:rsid w:val="009E288A"/>
    <w:rsid w:val="009F1E2F"/>
    <w:rsid w:val="009F4C49"/>
    <w:rsid w:val="009F6736"/>
    <w:rsid w:val="00A01E73"/>
    <w:rsid w:val="00A024A0"/>
    <w:rsid w:val="00A02603"/>
    <w:rsid w:val="00A04609"/>
    <w:rsid w:val="00A064CE"/>
    <w:rsid w:val="00A17D4D"/>
    <w:rsid w:val="00A232F5"/>
    <w:rsid w:val="00A243A6"/>
    <w:rsid w:val="00A25745"/>
    <w:rsid w:val="00A35D99"/>
    <w:rsid w:val="00A4064D"/>
    <w:rsid w:val="00A41DC9"/>
    <w:rsid w:val="00A5112F"/>
    <w:rsid w:val="00A617F9"/>
    <w:rsid w:val="00A635CB"/>
    <w:rsid w:val="00A65682"/>
    <w:rsid w:val="00AC2A0E"/>
    <w:rsid w:val="00AC7305"/>
    <w:rsid w:val="00AD3F42"/>
    <w:rsid w:val="00AE0DE6"/>
    <w:rsid w:val="00AE604F"/>
    <w:rsid w:val="00B05C3B"/>
    <w:rsid w:val="00B134AD"/>
    <w:rsid w:val="00B158A7"/>
    <w:rsid w:val="00B376A7"/>
    <w:rsid w:val="00B40233"/>
    <w:rsid w:val="00B447EB"/>
    <w:rsid w:val="00B46C75"/>
    <w:rsid w:val="00B531E9"/>
    <w:rsid w:val="00B65334"/>
    <w:rsid w:val="00B67640"/>
    <w:rsid w:val="00B73C29"/>
    <w:rsid w:val="00B81ECE"/>
    <w:rsid w:val="00B9103D"/>
    <w:rsid w:val="00B91ABC"/>
    <w:rsid w:val="00B927CE"/>
    <w:rsid w:val="00B9319E"/>
    <w:rsid w:val="00BB363E"/>
    <w:rsid w:val="00BC29BD"/>
    <w:rsid w:val="00BD0C6B"/>
    <w:rsid w:val="00BD527D"/>
    <w:rsid w:val="00BD5BF5"/>
    <w:rsid w:val="00BD6EAA"/>
    <w:rsid w:val="00BE2C3B"/>
    <w:rsid w:val="00BE6293"/>
    <w:rsid w:val="00BF7801"/>
    <w:rsid w:val="00C16CD9"/>
    <w:rsid w:val="00C228D7"/>
    <w:rsid w:val="00C30A9D"/>
    <w:rsid w:val="00C375AD"/>
    <w:rsid w:val="00C40355"/>
    <w:rsid w:val="00C42021"/>
    <w:rsid w:val="00C43242"/>
    <w:rsid w:val="00C51445"/>
    <w:rsid w:val="00C55EEB"/>
    <w:rsid w:val="00C634C2"/>
    <w:rsid w:val="00C736A3"/>
    <w:rsid w:val="00C76169"/>
    <w:rsid w:val="00C82476"/>
    <w:rsid w:val="00C93B13"/>
    <w:rsid w:val="00C97F99"/>
    <w:rsid w:val="00CA6718"/>
    <w:rsid w:val="00CB6858"/>
    <w:rsid w:val="00CC034D"/>
    <w:rsid w:val="00CC6114"/>
    <w:rsid w:val="00CE085A"/>
    <w:rsid w:val="00CE474B"/>
    <w:rsid w:val="00CF339A"/>
    <w:rsid w:val="00CF3EAA"/>
    <w:rsid w:val="00CF590E"/>
    <w:rsid w:val="00D00537"/>
    <w:rsid w:val="00D065CC"/>
    <w:rsid w:val="00D1745E"/>
    <w:rsid w:val="00D20C7B"/>
    <w:rsid w:val="00D612EB"/>
    <w:rsid w:val="00D63A53"/>
    <w:rsid w:val="00D678E5"/>
    <w:rsid w:val="00D7665F"/>
    <w:rsid w:val="00D7710D"/>
    <w:rsid w:val="00DA3B04"/>
    <w:rsid w:val="00DA6B29"/>
    <w:rsid w:val="00DC1EAB"/>
    <w:rsid w:val="00DC673D"/>
    <w:rsid w:val="00DC7409"/>
    <w:rsid w:val="00DD3292"/>
    <w:rsid w:val="00DE026F"/>
    <w:rsid w:val="00DE03FC"/>
    <w:rsid w:val="00E06F14"/>
    <w:rsid w:val="00E1162A"/>
    <w:rsid w:val="00E160B5"/>
    <w:rsid w:val="00E24423"/>
    <w:rsid w:val="00E35549"/>
    <w:rsid w:val="00E40F66"/>
    <w:rsid w:val="00E66094"/>
    <w:rsid w:val="00E67338"/>
    <w:rsid w:val="00E72C12"/>
    <w:rsid w:val="00E8069F"/>
    <w:rsid w:val="00E82F99"/>
    <w:rsid w:val="00E94E66"/>
    <w:rsid w:val="00E960E9"/>
    <w:rsid w:val="00EA310D"/>
    <w:rsid w:val="00EA4BD2"/>
    <w:rsid w:val="00EA63E8"/>
    <w:rsid w:val="00ED20D3"/>
    <w:rsid w:val="00ED406C"/>
    <w:rsid w:val="00ED7F8B"/>
    <w:rsid w:val="00EF204C"/>
    <w:rsid w:val="00F1376B"/>
    <w:rsid w:val="00F14131"/>
    <w:rsid w:val="00F155E2"/>
    <w:rsid w:val="00F224B4"/>
    <w:rsid w:val="00F243F3"/>
    <w:rsid w:val="00F337D5"/>
    <w:rsid w:val="00F44CB2"/>
    <w:rsid w:val="00F552DE"/>
    <w:rsid w:val="00F64743"/>
    <w:rsid w:val="00F65EEB"/>
    <w:rsid w:val="00F71A29"/>
    <w:rsid w:val="00F80788"/>
    <w:rsid w:val="00F83267"/>
    <w:rsid w:val="00F86E1A"/>
    <w:rsid w:val="00F90974"/>
    <w:rsid w:val="00F915C6"/>
    <w:rsid w:val="00F970AE"/>
    <w:rsid w:val="00FA4A40"/>
    <w:rsid w:val="00FB0554"/>
    <w:rsid w:val="00FC1A0C"/>
    <w:rsid w:val="00FC6875"/>
    <w:rsid w:val="00FD267C"/>
    <w:rsid w:val="00FE66A6"/>
    <w:rsid w:val="00FF244A"/>
    <w:rsid w:val="00FF7C30"/>
    <w:rsid w:val="1383074C"/>
    <w:rsid w:val="207E43F5"/>
    <w:rsid w:val="2E112747"/>
    <w:rsid w:val="2F1350B2"/>
    <w:rsid w:val="47172652"/>
    <w:rsid w:val="60965916"/>
    <w:rsid w:val="64A833CE"/>
    <w:rsid w:val="72576417"/>
    <w:rsid w:val="7AE04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1"/>
    <w:next w:val="5"/>
    <w:link w:val="49"/>
    <w:qFormat/>
    <w:uiPriority w:val="0"/>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6">
    <w:name w:val="heading 2"/>
    <w:basedOn w:val="1"/>
    <w:next w:val="5"/>
    <w:link w:val="50"/>
    <w:qFormat/>
    <w:uiPriority w:val="0"/>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7">
    <w:name w:val="heading 3"/>
    <w:basedOn w:val="1"/>
    <w:next w:val="5"/>
    <w:link w:val="51"/>
    <w:qFormat/>
    <w:uiPriority w:val="0"/>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3">
    <w:name w:val="heading 4"/>
    <w:basedOn w:val="1"/>
    <w:next w:val="1"/>
    <w:link w:val="52"/>
    <w:qFormat/>
    <w:uiPriority w:val="0"/>
    <w:pPr>
      <w:keepNext/>
      <w:keepLines/>
      <w:spacing w:line="532" w:lineRule="auto"/>
      <w:ind w:left="840" w:right="-240"/>
      <w:jc w:val="left"/>
      <w:textAlignment w:val="auto"/>
      <w:outlineLvl w:val="3"/>
    </w:pPr>
    <w:rPr>
      <w:i/>
      <w:spacing w:val="-2"/>
      <w:kern w:val="28"/>
      <w:sz w:val="20"/>
      <w:szCs w:val="20"/>
      <w:lang w:eastAsia="en-US"/>
    </w:rPr>
  </w:style>
  <w:style w:type="paragraph" w:styleId="8">
    <w:name w:val="heading 5"/>
    <w:basedOn w:val="1"/>
    <w:next w:val="5"/>
    <w:link w:val="53"/>
    <w:qFormat/>
    <w:uiPriority w:val="0"/>
    <w:pPr>
      <w:keepNext/>
      <w:keepLines/>
      <w:spacing w:line="532" w:lineRule="auto"/>
      <w:ind w:left="840" w:right="-240"/>
      <w:jc w:val="left"/>
      <w:textAlignment w:val="auto"/>
      <w:outlineLvl w:val="4"/>
    </w:pPr>
    <w:rPr>
      <w:b/>
      <w:i/>
      <w:spacing w:val="-2"/>
      <w:kern w:val="28"/>
      <w:sz w:val="20"/>
      <w:szCs w:val="20"/>
      <w:lang w:eastAsia="en-US"/>
    </w:rPr>
  </w:style>
  <w:style w:type="paragraph" w:styleId="9">
    <w:name w:val="heading 6"/>
    <w:basedOn w:val="1"/>
    <w:next w:val="1"/>
    <w:link w:val="54"/>
    <w:unhideWhenUsed/>
    <w:qFormat/>
    <w:uiPriority w:val="9"/>
    <w:pPr>
      <w:widowControl w:val="0"/>
      <w:autoSpaceDE w:val="0"/>
      <w:autoSpaceDN w:val="0"/>
      <w:spacing w:line="360" w:lineRule="auto"/>
      <w:ind w:left="978" w:leftChars="700" w:hanging="278"/>
      <w:jc w:val="left"/>
      <w:textAlignment w:val="auto"/>
      <w:outlineLvl w:val="5"/>
    </w:pPr>
    <w:rPr>
      <w:rFonts w:ascii="宋体" w:hAnsi="宋体" w:cs="宋体"/>
      <w:bCs/>
      <w:kern w:val="0"/>
      <w:sz w:val="24"/>
      <w:szCs w:val="20"/>
      <w:lang w:eastAsia="en-US"/>
    </w:rPr>
  </w:style>
  <w:style w:type="paragraph" w:styleId="10">
    <w:name w:val="heading 7"/>
    <w:basedOn w:val="1"/>
    <w:next w:val="1"/>
    <w:link w:val="55"/>
    <w:qFormat/>
    <w:uiPriority w:val="0"/>
    <w:pPr>
      <w:keepNext/>
      <w:keepLines/>
      <w:spacing w:before="240" w:after="64" w:line="320" w:lineRule="auto"/>
      <w:jc w:val="left"/>
      <w:textAlignment w:val="auto"/>
      <w:outlineLvl w:val="6"/>
    </w:pPr>
    <w:rPr>
      <w:b/>
      <w:bCs/>
      <w:kern w:val="0"/>
      <w:sz w:val="24"/>
      <w:lang w:eastAsia="en-US"/>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59"/>
    <w:qFormat/>
    <w:uiPriority w:val="0"/>
    <w:pPr>
      <w:widowControl w:val="0"/>
      <w:textAlignment w:val="auto"/>
    </w:pPr>
    <w:rPr>
      <w:rFonts w:ascii="宋体" w:hAnsi="Courier New" w:cs="Courier New"/>
      <w:szCs w:val="21"/>
    </w:rPr>
  </w:style>
  <w:style w:type="paragraph" w:styleId="5">
    <w:name w:val="Body Text"/>
    <w:basedOn w:val="1"/>
    <w:link w:val="48"/>
    <w:qFormat/>
    <w:uiPriority w:val="99"/>
    <w:pPr>
      <w:spacing w:line="532" w:lineRule="auto"/>
      <w:ind w:left="840" w:right="-120"/>
      <w:jc w:val="left"/>
      <w:textAlignment w:val="auto"/>
    </w:pPr>
    <w:rPr>
      <w:kern w:val="0"/>
      <w:sz w:val="20"/>
      <w:szCs w:val="20"/>
      <w:lang w:eastAsia="en-US"/>
    </w:rPr>
  </w:style>
  <w:style w:type="paragraph" w:styleId="11">
    <w:name w:val="toc 7"/>
    <w:basedOn w:val="1"/>
    <w:next w:val="1"/>
    <w:unhideWhenUsed/>
    <w:qFormat/>
    <w:uiPriority w:val="39"/>
    <w:pPr>
      <w:widowControl w:val="0"/>
      <w:ind w:left="2520" w:leftChars="1200"/>
      <w:textAlignment w:val="auto"/>
    </w:pPr>
    <w:rPr>
      <w:rFonts w:asciiTheme="minorHAnsi" w:hAnsiTheme="minorHAnsi" w:eastAsiaTheme="minorEastAsia" w:cstheme="minorBidi"/>
      <w:szCs w:val="22"/>
    </w:rPr>
  </w:style>
  <w:style w:type="paragraph" w:styleId="12">
    <w:name w:val="Normal Indent"/>
    <w:basedOn w:val="1"/>
    <w:qFormat/>
    <w:uiPriority w:val="0"/>
    <w:pPr>
      <w:ind w:left="1440" w:right="-240"/>
      <w:jc w:val="left"/>
      <w:textAlignment w:val="auto"/>
    </w:pPr>
    <w:rPr>
      <w:kern w:val="0"/>
      <w:sz w:val="20"/>
      <w:szCs w:val="20"/>
      <w:lang w:eastAsia="en-US"/>
    </w:rPr>
  </w:style>
  <w:style w:type="paragraph" w:styleId="13">
    <w:name w:val="Document Map"/>
    <w:basedOn w:val="1"/>
    <w:link w:val="56"/>
    <w:semiHidden/>
    <w:qFormat/>
    <w:uiPriority w:val="0"/>
    <w:pPr>
      <w:widowControl w:val="0"/>
      <w:shd w:val="clear" w:color="auto" w:fill="000080"/>
      <w:textAlignment w:val="auto"/>
    </w:pPr>
  </w:style>
  <w:style w:type="paragraph" w:styleId="14">
    <w:name w:val="toa heading"/>
    <w:basedOn w:val="1"/>
    <w:next w:val="1"/>
    <w:semiHidden/>
    <w:qFormat/>
    <w:uiPriority w:val="0"/>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15">
    <w:name w:val="annotation text"/>
    <w:basedOn w:val="1"/>
    <w:link w:val="57"/>
    <w:qFormat/>
    <w:uiPriority w:val="99"/>
    <w:pPr>
      <w:widowControl w:val="0"/>
      <w:jc w:val="left"/>
      <w:textAlignment w:val="auto"/>
    </w:pPr>
    <w:rPr>
      <w:rFonts w:eastAsia="PMingLiU"/>
      <w:sz w:val="24"/>
      <w:szCs w:val="20"/>
      <w:lang w:eastAsia="zh-TW"/>
    </w:rPr>
  </w:style>
  <w:style w:type="paragraph" w:styleId="16">
    <w:name w:val="Body Text Indent"/>
    <w:basedOn w:val="1"/>
    <w:link w:val="58"/>
    <w:qFormat/>
    <w:uiPriority w:val="99"/>
    <w:pPr>
      <w:spacing w:after="120"/>
      <w:ind w:left="420" w:leftChars="200"/>
      <w:jc w:val="left"/>
      <w:textAlignment w:val="auto"/>
    </w:pPr>
    <w:rPr>
      <w:kern w:val="0"/>
      <w:sz w:val="20"/>
      <w:szCs w:val="20"/>
      <w:lang w:eastAsia="en-US"/>
    </w:rPr>
  </w:style>
  <w:style w:type="paragraph" w:styleId="17">
    <w:name w:val="toc 5"/>
    <w:basedOn w:val="1"/>
    <w:next w:val="1"/>
    <w:unhideWhenUsed/>
    <w:qFormat/>
    <w:uiPriority w:val="39"/>
    <w:pPr>
      <w:widowControl w:val="0"/>
      <w:ind w:left="1680" w:leftChars="800"/>
      <w:textAlignment w:val="auto"/>
    </w:pPr>
    <w:rPr>
      <w:rFonts w:asciiTheme="minorHAnsi" w:hAnsiTheme="minorHAnsi" w:eastAsiaTheme="minorEastAsia" w:cstheme="minorBidi"/>
      <w:szCs w:val="22"/>
    </w:rPr>
  </w:style>
  <w:style w:type="paragraph" w:styleId="18">
    <w:name w:val="toc 3"/>
    <w:basedOn w:val="1"/>
    <w:next w:val="1"/>
    <w:unhideWhenUsed/>
    <w:qFormat/>
    <w:uiPriority w:val="39"/>
    <w:pPr>
      <w:tabs>
        <w:tab w:val="left" w:pos="1260"/>
        <w:tab w:val="right" w:leader="dot" w:pos="9350"/>
      </w:tabs>
      <w:spacing w:after="100" w:line="259" w:lineRule="auto"/>
      <w:ind w:left="440"/>
      <w:jc w:val="left"/>
      <w:textAlignment w:val="auto"/>
    </w:pPr>
    <w:rPr>
      <w:rFonts w:asciiTheme="minorHAnsi" w:hAnsiTheme="minorHAnsi" w:eastAsiaTheme="minorEastAsia"/>
      <w:kern w:val="0"/>
      <w:sz w:val="22"/>
      <w:szCs w:val="22"/>
    </w:rPr>
  </w:style>
  <w:style w:type="paragraph" w:styleId="19">
    <w:name w:val="toc 8"/>
    <w:basedOn w:val="1"/>
    <w:next w:val="1"/>
    <w:unhideWhenUsed/>
    <w:qFormat/>
    <w:uiPriority w:val="39"/>
    <w:pPr>
      <w:widowControl w:val="0"/>
      <w:ind w:left="2940" w:leftChars="1400"/>
      <w:textAlignment w:val="auto"/>
    </w:pPr>
    <w:rPr>
      <w:rFonts w:asciiTheme="minorHAnsi" w:hAnsiTheme="minorHAnsi" w:eastAsiaTheme="minorEastAsia" w:cstheme="minorBidi"/>
      <w:szCs w:val="22"/>
    </w:rPr>
  </w:style>
  <w:style w:type="paragraph" w:styleId="20">
    <w:name w:val="Date"/>
    <w:basedOn w:val="1"/>
    <w:next w:val="1"/>
    <w:qFormat/>
    <w:uiPriority w:val="0"/>
    <w:pPr>
      <w:ind w:left="100" w:leftChars="2500"/>
    </w:pPr>
    <w:rPr>
      <w:rFonts w:ascii="宋体" w:hAnsi="宋体"/>
      <w:color w:val="333333"/>
      <w:sz w:val="24"/>
    </w:rPr>
  </w:style>
  <w:style w:type="paragraph" w:styleId="21">
    <w:name w:val="Body Text Indent 2"/>
    <w:basedOn w:val="1"/>
    <w:link w:val="60"/>
    <w:qFormat/>
    <w:uiPriority w:val="0"/>
    <w:pPr>
      <w:widowControl w:val="0"/>
      <w:spacing w:after="120" w:line="480" w:lineRule="auto"/>
      <w:ind w:left="420" w:leftChars="200"/>
      <w:textAlignment w:val="auto"/>
    </w:pPr>
  </w:style>
  <w:style w:type="paragraph" w:styleId="22">
    <w:name w:val="Balloon Text"/>
    <w:basedOn w:val="1"/>
    <w:link w:val="61"/>
    <w:qFormat/>
    <w:uiPriority w:val="0"/>
    <w:pPr>
      <w:jc w:val="left"/>
      <w:textAlignment w:val="auto"/>
    </w:pPr>
    <w:rPr>
      <w:kern w:val="0"/>
      <w:sz w:val="16"/>
      <w:szCs w:val="16"/>
      <w:lang w:eastAsia="en-US"/>
    </w:rPr>
  </w:style>
  <w:style w:type="paragraph" w:styleId="23">
    <w:name w:val="footer"/>
    <w:basedOn w:val="1"/>
    <w:link w:val="62"/>
    <w:qFormat/>
    <w:uiPriority w:val="0"/>
    <w:pPr>
      <w:tabs>
        <w:tab w:val="center" w:pos="4153"/>
        <w:tab w:val="right" w:pos="8306"/>
      </w:tabs>
      <w:snapToGrid w:val="0"/>
      <w:jc w:val="left"/>
    </w:pPr>
    <w:rPr>
      <w:sz w:val="18"/>
      <w:szCs w:val="18"/>
    </w:rPr>
  </w:style>
  <w:style w:type="paragraph" w:styleId="24">
    <w:name w:val="header"/>
    <w:basedOn w:val="1"/>
    <w:link w:val="63"/>
    <w:qFormat/>
    <w:uiPriority w:val="99"/>
    <w:pPr>
      <w:pBdr>
        <w:bottom w:val="single" w:color="000000" w:sz="6" w:space="1"/>
      </w:pBdr>
      <w:tabs>
        <w:tab w:val="center" w:pos="4153"/>
        <w:tab w:val="right" w:pos="8306"/>
      </w:tabs>
      <w:snapToGrid w:val="0"/>
      <w:jc w:val="center"/>
    </w:pPr>
    <w:rPr>
      <w:sz w:val="18"/>
      <w:szCs w:val="18"/>
    </w:rPr>
  </w:style>
  <w:style w:type="paragraph" w:styleId="25">
    <w:name w:val="toc 1"/>
    <w:basedOn w:val="1"/>
    <w:next w:val="1"/>
    <w:uiPriority w:val="39"/>
    <w:pPr>
      <w:jc w:val="left"/>
      <w:textAlignment w:val="auto"/>
    </w:pPr>
    <w:rPr>
      <w:kern w:val="0"/>
      <w:sz w:val="20"/>
      <w:szCs w:val="20"/>
      <w:lang w:eastAsia="en-US"/>
    </w:rPr>
  </w:style>
  <w:style w:type="paragraph" w:styleId="26">
    <w:name w:val="toc 4"/>
    <w:basedOn w:val="1"/>
    <w:next w:val="1"/>
    <w:unhideWhenUsed/>
    <w:qFormat/>
    <w:uiPriority w:val="39"/>
    <w:pPr>
      <w:widowControl w:val="0"/>
      <w:ind w:left="1260" w:leftChars="600"/>
      <w:textAlignment w:val="auto"/>
    </w:pPr>
    <w:rPr>
      <w:rFonts w:asciiTheme="minorHAnsi" w:hAnsiTheme="minorHAnsi" w:eastAsiaTheme="minorEastAsia" w:cstheme="minorBidi"/>
      <w:szCs w:val="22"/>
    </w:rPr>
  </w:style>
  <w:style w:type="paragraph" w:styleId="27">
    <w:name w:val="footnote text"/>
    <w:basedOn w:val="1"/>
    <w:link w:val="135"/>
    <w:semiHidden/>
    <w:qFormat/>
    <w:uiPriority w:val="0"/>
    <w:pPr>
      <w:widowControl w:val="0"/>
      <w:snapToGrid w:val="0"/>
      <w:jc w:val="left"/>
      <w:textAlignment w:val="auto"/>
    </w:pPr>
    <w:rPr>
      <w:sz w:val="18"/>
      <w:szCs w:val="18"/>
    </w:rPr>
  </w:style>
  <w:style w:type="paragraph" w:styleId="28">
    <w:name w:val="toc 6"/>
    <w:basedOn w:val="1"/>
    <w:next w:val="1"/>
    <w:unhideWhenUsed/>
    <w:uiPriority w:val="39"/>
    <w:pPr>
      <w:widowControl w:val="0"/>
      <w:ind w:left="2100" w:leftChars="1000"/>
      <w:textAlignment w:val="auto"/>
    </w:pPr>
    <w:rPr>
      <w:rFonts w:asciiTheme="minorHAnsi" w:hAnsiTheme="minorHAnsi" w:eastAsiaTheme="minorEastAsia" w:cstheme="minorBidi"/>
      <w:szCs w:val="22"/>
    </w:rPr>
  </w:style>
  <w:style w:type="paragraph" w:styleId="29">
    <w:name w:val="Body Text Indent 3"/>
    <w:basedOn w:val="1"/>
    <w:link w:val="64"/>
    <w:uiPriority w:val="0"/>
    <w:pPr>
      <w:widowControl w:val="0"/>
      <w:spacing w:after="120"/>
      <w:ind w:left="420" w:leftChars="200"/>
      <w:textAlignment w:val="auto"/>
    </w:pPr>
    <w:rPr>
      <w:sz w:val="16"/>
      <w:szCs w:val="16"/>
    </w:rPr>
  </w:style>
  <w:style w:type="paragraph" w:styleId="30">
    <w:name w:val="toc 2"/>
    <w:basedOn w:val="1"/>
    <w:next w:val="1"/>
    <w:unhideWhenUsed/>
    <w:uiPriority w:val="39"/>
    <w:pPr>
      <w:spacing w:after="100" w:line="259" w:lineRule="auto"/>
      <w:ind w:left="220"/>
      <w:jc w:val="left"/>
      <w:textAlignment w:val="auto"/>
    </w:pPr>
    <w:rPr>
      <w:rFonts w:asciiTheme="minorHAnsi" w:hAnsiTheme="minorHAnsi" w:eastAsiaTheme="minorEastAsia"/>
      <w:kern w:val="0"/>
      <w:sz w:val="22"/>
      <w:szCs w:val="22"/>
    </w:rPr>
  </w:style>
  <w:style w:type="paragraph" w:styleId="31">
    <w:name w:val="toc 9"/>
    <w:basedOn w:val="1"/>
    <w:next w:val="1"/>
    <w:unhideWhenUsed/>
    <w:uiPriority w:val="39"/>
    <w:pPr>
      <w:widowControl w:val="0"/>
      <w:ind w:left="3360" w:leftChars="1600"/>
      <w:textAlignment w:val="auto"/>
    </w:pPr>
    <w:rPr>
      <w:rFonts w:asciiTheme="minorHAnsi" w:hAnsiTheme="minorHAnsi" w:eastAsiaTheme="minorEastAsia" w:cstheme="minorBidi"/>
      <w:szCs w:val="22"/>
    </w:rPr>
  </w:style>
  <w:style w:type="paragraph" w:styleId="32">
    <w:name w:val="Body Text 2"/>
    <w:basedOn w:val="1"/>
    <w:link w:val="65"/>
    <w:qFormat/>
    <w:uiPriority w:val="0"/>
    <w:pPr>
      <w:widowControl w:val="0"/>
      <w:adjustRightInd w:val="0"/>
      <w:spacing w:after="120" w:line="480" w:lineRule="auto"/>
    </w:pPr>
    <w:rPr>
      <w:kern w:val="0"/>
      <w:szCs w:val="20"/>
    </w:rPr>
  </w:style>
  <w:style w:type="paragraph" w:styleId="33">
    <w:name w:val="Message Header"/>
    <w:basedOn w:val="5"/>
    <w:link w:val="66"/>
    <w:uiPriority w:val="0"/>
    <w:pPr>
      <w:keepLines/>
      <w:tabs>
        <w:tab w:val="left" w:pos="1560"/>
        <w:tab w:val="left" w:pos="4920"/>
        <w:tab w:val="left" w:pos="5640"/>
      </w:tabs>
      <w:ind w:left="1560" w:hanging="720"/>
    </w:pPr>
  </w:style>
  <w:style w:type="paragraph" w:styleId="34">
    <w:name w:val="HTML Preformatted"/>
    <w:basedOn w:val="1"/>
    <w:link w:val="6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hAnsi="Arial Unicode MS" w:eastAsia="Arial Unicode MS" w:cs="Arial Unicode MS"/>
      <w:kern w:val="0"/>
      <w:sz w:val="20"/>
      <w:szCs w:val="20"/>
      <w:lang w:eastAsia="en-US"/>
    </w:rPr>
  </w:style>
  <w:style w:type="paragraph" w:styleId="35">
    <w:name w:val="Normal (Web)"/>
    <w:basedOn w:val="1"/>
    <w:uiPriority w:val="0"/>
    <w:pPr>
      <w:spacing w:before="100" w:beforeAutospacing="1" w:after="100" w:afterAutospacing="1"/>
      <w:jc w:val="left"/>
      <w:textAlignment w:val="auto"/>
    </w:pPr>
    <w:rPr>
      <w:rFonts w:ascii="宋体" w:hAnsi="宋体" w:cs="宋体"/>
      <w:color w:val="000000"/>
      <w:kern w:val="0"/>
      <w:sz w:val="24"/>
    </w:rPr>
  </w:style>
  <w:style w:type="paragraph" w:styleId="36">
    <w:name w:val="Title"/>
    <w:basedOn w:val="1"/>
    <w:next w:val="1"/>
    <w:link w:val="68"/>
    <w:qFormat/>
    <w:uiPriority w:val="0"/>
    <w:pPr>
      <w:widowControl w:val="0"/>
      <w:spacing w:before="240" w:after="60"/>
      <w:jc w:val="center"/>
      <w:textAlignment w:val="auto"/>
      <w:outlineLvl w:val="0"/>
    </w:pPr>
    <w:rPr>
      <w:rFonts w:ascii="Cambria" w:hAnsi="Cambria"/>
      <w:b/>
      <w:bCs/>
      <w:sz w:val="32"/>
      <w:szCs w:val="32"/>
    </w:rPr>
  </w:style>
  <w:style w:type="paragraph" w:styleId="37">
    <w:name w:val="annotation subject"/>
    <w:basedOn w:val="15"/>
    <w:next w:val="15"/>
    <w:link w:val="137"/>
    <w:unhideWhenUsed/>
    <w:qFormat/>
    <w:uiPriority w:val="0"/>
    <w:pPr>
      <w:autoSpaceDE w:val="0"/>
      <w:autoSpaceDN w:val="0"/>
    </w:pPr>
    <w:rPr>
      <w:rFonts w:ascii="宋体" w:hAnsi="宋体" w:eastAsia="宋体" w:cs="宋体"/>
      <w:b/>
      <w:bCs/>
      <w:kern w:val="0"/>
      <w:sz w:val="22"/>
      <w:szCs w:val="22"/>
      <w:lang w:eastAsia="en-US"/>
    </w:rPr>
  </w:style>
  <w:style w:type="paragraph" w:styleId="38">
    <w:name w:val="Body Text First Indent 2"/>
    <w:basedOn w:val="16"/>
    <w:next w:val="1"/>
    <w:link w:val="136"/>
    <w:qFormat/>
    <w:uiPriority w:val="99"/>
    <w:pPr>
      <w:widowControl w:val="0"/>
      <w:ind w:firstLine="420" w:firstLineChars="200"/>
    </w:pPr>
    <w:rPr>
      <w:rFonts w:ascii="宋体" w:hAnsi="宋体" w:cs="宋体"/>
      <w:sz w:val="22"/>
      <w:szCs w:val="2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iPriority w:val="99"/>
    <w:rPr>
      <w:color w:val="954F72"/>
      <w:u w:val="single"/>
    </w:rPr>
  </w:style>
  <w:style w:type="character" w:styleId="45">
    <w:name w:val="Emphasis"/>
    <w:qFormat/>
    <w:uiPriority w:val="0"/>
    <w:rPr>
      <w:rFonts w:hint="default" w:ascii="Arial" w:hAnsi="Arial" w:cs="Arial"/>
      <w:b/>
      <w:spacing w:val="-10"/>
      <w:sz w:val="18"/>
    </w:rPr>
  </w:style>
  <w:style w:type="character" w:styleId="46">
    <w:name w:val="Hyperlink"/>
    <w:uiPriority w:val="99"/>
    <w:rPr>
      <w:color w:val="0000FF"/>
      <w:u w:val="single"/>
    </w:rPr>
  </w:style>
  <w:style w:type="character" w:styleId="47">
    <w:name w:val="annotation reference"/>
    <w:basedOn w:val="41"/>
    <w:qFormat/>
    <w:uiPriority w:val="0"/>
    <w:rPr>
      <w:rFonts w:cs="Times New Roman"/>
      <w:sz w:val="21"/>
      <w:szCs w:val="21"/>
    </w:rPr>
  </w:style>
  <w:style w:type="character" w:customStyle="1" w:styleId="48">
    <w:name w:val="正文文本 字符"/>
    <w:basedOn w:val="41"/>
    <w:link w:val="5"/>
    <w:qFormat/>
    <w:uiPriority w:val="99"/>
    <w:rPr>
      <w:lang w:eastAsia="en-US"/>
    </w:rPr>
  </w:style>
  <w:style w:type="character" w:customStyle="1" w:styleId="49">
    <w:name w:val="标题 1 字符"/>
    <w:basedOn w:val="41"/>
    <w:link w:val="4"/>
    <w:qFormat/>
    <w:uiPriority w:val="0"/>
    <w:rPr>
      <w:rFonts w:ascii="Arial" w:hAnsi="Arial"/>
      <w:b/>
      <w:spacing w:val="-10"/>
      <w:kern w:val="28"/>
      <w:lang w:eastAsia="en-US"/>
    </w:rPr>
  </w:style>
  <w:style w:type="character" w:customStyle="1" w:styleId="50">
    <w:name w:val="标题 2 字符"/>
    <w:basedOn w:val="41"/>
    <w:link w:val="6"/>
    <w:uiPriority w:val="0"/>
    <w:rPr>
      <w:rFonts w:ascii="Arial" w:hAnsi="Arial"/>
      <w:b/>
      <w:spacing w:val="-10"/>
      <w:kern w:val="28"/>
      <w:sz w:val="18"/>
      <w:lang w:eastAsia="en-US"/>
    </w:rPr>
  </w:style>
  <w:style w:type="character" w:customStyle="1" w:styleId="51">
    <w:name w:val="标题 3 字符"/>
    <w:basedOn w:val="41"/>
    <w:link w:val="7"/>
    <w:qFormat/>
    <w:uiPriority w:val="0"/>
    <w:rPr>
      <w:rFonts w:ascii="Arial" w:hAnsi="Arial"/>
      <w:spacing w:val="-5"/>
      <w:kern w:val="28"/>
      <w:sz w:val="18"/>
      <w:lang w:eastAsia="en-US"/>
    </w:rPr>
  </w:style>
  <w:style w:type="character" w:customStyle="1" w:styleId="52">
    <w:name w:val="标题 4 字符"/>
    <w:basedOn w:val="41"/>
    <w:link w:val="3"/>
    <w:uiPriority w:val="0"/>
    <w:rPr>
      <w:i/>
      <w:spacing w:val="-2"/>
      <w:kern w:val="28"/>
      <w:lang w:eastAsia="en-US"/>
    </w:rPr>
  </w:style>
  <w:style w:type="character" w:customStyle="1" w:styleId="53">
    <w:name w:val="标题 5 字符"/>
    <w:basedOn w:val="41"/>
    <w:link w:val="8"/>
    <w:uiPriority w:val="0"/>
    <w:rPr>
      <w:b/>
      <w:i/>
      <w:spacing w:val="-2"/>
      <w:kern w:val="28"/>
      <w:lang w:eastAsia="en-US"/>
    </w:rPr>
  </w:style>
  <w:style w:type="character" w:customStyle="1" w:styleId="54">
    <w:name w:val="标题 6 字符"/>
    <w:basedOn w:val="41"/>
    <w:link w:val="9"/>
    <w:qFormat/>
    <w:uiPriority w:val="9"/>
    <w:rPr>
      <w:rFonts w:ascii="宋体" w:hAnsi="宋体" w:cs="宋体"/>
      <w:bCs/>
      <w:sz w:val="24"/>
      <w:lang w:eastAsia="en-US"/>
    </w:rPr>
  </w:style>
  <w:style w:type="character" w:customStyle="1" w:styleId="55">
    <w:name w:val="标题 7 字符"/>
    <w:basedOn w:val="41"/>
    <w:link w:val="10"/>
    <w:uiPriority w:val="0"/>
    <w:rPr>
      <w:b/>
      <w:bCs/>
      <w:sz w:val="24"/>
      <w:szCs w:val="24"/>
      <w:lang w:eastAsia="en-US"/>
    </w:rPr>
  </w:style>
  <w:style w:type="character" w:customStyle="1" w:styleId="56">
    <w:name w:val="文档结构图 字符"/>
    <w:basedOn w:val="41"/>
    <w:link w:val="13"/>
    <w:semiHidden/>
    <w:qFormat/>
    <w:uiPriority w:val="0"/>
    <w:rPr>
      <w:kern w:val="2"/>
      <w:sz w:val="21"/>
      <w:szCs w:val="24"/>
      <w:shd w:val="clear" w:color="auto" w:fill="000080"/>
    </w:rPr>
  </w:style>
  <w:style w:type="character" w:customStyle="1" w:styleId="57">
    <w:name w:val="批注文字 字符"/>
    <w:basedOn w:val="41"/>
    <w:link w:val="15"/>
    <w:qFormat/>
    <w:uiPriority w:val="99"/>
    <w:rPr>
      <w:rFonts w:eastAsia="PMingLiU"/>
      <w:kern w:val="2"/>
      <w:sz w:val="24"/>
      <w:lang w:eastAsia="zh-TW"/>
    </w:rPr>
  </w:style>
  <w:style w:type="character" w:customStyle="1" w:styleId="58">
    <w:name w:val="正文文本缩进 字符"/>
    <w:basedOn w:val="41"/>
    <w:link w:val="16"/>
    <w:qFormat/>
    <w:uiPriority w:val="99"/>
    <w:rPr>
      <w:lang w:eastAsia="en-US"/>
    </w:rPr>
  </w:style>
  <w:style w:type="character" w:customStyle="1" w:styleId="59">
    <w:name w:val="纯文本 字符"/>
    <w:basedOn w:val="41"/>
    <w:link w:val="2"/>
    <w:qFormat/>
    <w:uiPriority w:val="0"/>
    <w:rPr>
      <w:rFonts w:ascii="宋体" w:hAnsi="Courier New" w:cs="Courier New"/>
      <w:kern w:val="2"/>
      <w:sz w:val="21"/>
      <w:szCs w:val="21"/>
    </w:rPr>
  </w:style>
  <w:style w:type="character" w:customStyle="1" w:styleId="60">
    <w:name w:val="正文文本缩进 2 字符"/>
    <w:basedOn w:val="41"/>
    <w:link w:val="21"/>
    <w:uiPriority w:val="0"/>
    <w:rPr>
      <w:kern w:val="2"/>
      <w:sz w:val="21"/>
      <w:szCs w:val="24"/>
    </w:rPr>
  </w:style>
  <w:style w:type="character" w:customStyle="1" w:styleId="61">
    <w:name w:val="批注框文本 字符"/>
    <w:basedOn w:val="41"/>
    <w:link w:val="22"/>
    <w:qFormat/>
    <w:uiPriority w:val="0"/>
    <w:rPr>
      <w:sz w:val="16"/>
      <w:szCs w:val="16"/>
      <w:lang w:eastAsia="en-US"/>
    </w:rPr>
  </w:style>
  <w:style w:type="character" w:customStyle="1" w:styleId="62">
    <w:name w:val="页脚 字符"/>
    <w:basedOn w:val="41"/>
    <w:link w:val="23"/>
    <w:uiPriority w:val="0"/>
    <w:rPr>
      <w:kern w:val="2"/>
      <w:sz w:val="18"/>
      <w:szCs w:val="18"/>
    </w:rPr>
  </w:style>
  <w:style w:type="character" w:customStyle="1" w:styleId="63">
    <w:name w:val="页眉 字符"/>
    <w:basedOn w:val="41"/>
    <w:link w:val="24"/>
    <w:qFormat/>
    <w:uiPriority w:val="99"/>
    <w:rPr>
      <w:kern w:val="2"/>
      <w:sz w:val="18"/>
      <w:szCs w:val="18"/>
    </w:rPr>
  </w:style>
  <w:style w:type="character" w:customStyle="1" w:styleId="64">
    <w:name w:val="正文文本缩进 3 字符"/>
    <w:basedOn w:val="41"/>
    <w:link w:val="29"/>
    <w:qFormat/>
    <w:uiPriority w:val="0"/>
    <w:rPr>
      <w:kern w:val="2"/>
      <w:sz w:val="16"/>
      <w:szCs w:val="16"/>
    </w:rPr>
  </w:style>
  <w:style w:type="character" w:customStyle="1" w:styleId="65">
    <w:name w:val="正文文本 2 字符"/>
    <w:basedOn w:val="41"/>
    <w:link w:val="32"/>
    <w:qFormat/>
    <w:uiPriority w:val="0"/>
    <w:rPr>
      <w:sz w:val="21"/>
    </w:rPr>
  </w:style>
  <w:style w:type="character" w:customStyle="1" w:styleId="66">
    <w:name w:val="信息标题 字符"/>
    <w:basedOn w:val="41"/>
    <w:link w:val="33"/>
    <w:qFormat/>
    <w:uiPriority w:val="0"/>
    <w:rPr>
      <w:lang w:eastAsia="en-US"/>
    </w:rPr>
  </w:style>
  <w:style w:type="character" w:customStyle="1" w:styleId="67">
    <w:name w:val="HTML 预设格式 字符"/>
    <w:basedOn w:val="41"/>
    <w:link w:val="34"/>
    <w:uiPriority w:val="0"/>
    <w:rPr>
      <w:rFonts w:ascii="Arial Unicode MS" w:hAnsi="Arial Unicode MS" w:eastAsia="Arial Unicode MS" w:cs="Arial Unicode MS"/>
      <w:lang w:eastAsia="en-US"/>
    </w:rPr>
  </w:style>
  <w:style w:type="character" w:customStyle="1" w:styleId="68">
    <w:name w:val="标题 字符"/>
    <w:basedOn w:val="41"/>
    <w:link w:val="36"/>
    <w:uiPriority w:val="0"/>
    <w:rPr>
      <w:rFonts w:ascii="Cambria" w:hAnsi="Cambria"/>
      <w:b/>
      <w:bCs/>
      <w:kern w:val="2"/>
      <w:sz w:val="32"/>
      <w:szCs w:val="32"/>
    </w:rPr>
  </w:style>
  <w:style w:type="paragraph" w:customStyle="1" w:styleId="69">
    <w:name w:val="Heading2"/>
    <w:basedOn w:val="1"/>
    <w:next w:val="1"/>
    <w:uiPriority w:val="0"/>
    <w:pPr>
      <w:spacing w:before="58"/>
      <w:ind w:left="560" w:hanging="361"/>
    </w:pPr>
    <w:rPr>
      <w:rFonts w:ascii="宋体" w:hAnsi="宋体" w:cs="宋体"/>
      <w:sz w:val="30"/>
      <w:szCs w:val="30"/>
      <w:lang w:val="zh-CN" w:bidi="zh-CN"/>
    </w:rPr>
  </w:style>
  <w:style w:type="paragraph" w:customStyle="1" w:styleId="70">
    <w:name w:val="Heading3"/>
    <w:basedOn w:val="1"/>
    <w:next w:val="1"/>
    <w:uiPriority w:val="0"/>
    <w:pPr>
      <w:ind w:left="620" w:hanging="421"/>
    </w:pPr>
    <w:rPr>
      <w:rFonts w:ascii="宋体" w:hAnsi="宋体" w:cs="宋体"/>
      <w:szCs w:val="21"/>
      <w:lang w:val="zh-CN" w:bidi="zh-CN"/>
    </w:rPr>
  </w:style>
  <w:style w:type="character" w:customStyle="1" w:styleId="71">
    <w:name w:val="NormalCharacter"/>
    <w:semiHidden/>
    <w:qFormat/>
    <w:uiPriority w:val="0"/>
  </w:style>
  <w:style w:type="table" w:customStyle="1" w:styleId="72">
    <w:name w:val="TableNormal"/>
    <w:semiHidden/>
    <w:uiPriority w:val="0"/>
    <w:tblPr>
      <w:tblCellMar>
        <w:top w:w="0" w:type="dxa"/>
        <w:left w:w="0" w:type="dxa"/>
        <w:bottom w:w="0" w:type="dxa"/>
        <w:right w:w="0" w:type="dxa"/>
      </w:tblCellMar>
    </w:tblPr>
  </w:style>
  <w:style w:type="paragraph" w:customStyle="1" w:styleId="73">
    <w:name w:val="ListBullet3"/>
    <w:basedOn w:val="1"/>
    <w:qFormat/>
    <w:uiPriority w:val="0"/>
    <w:pPr>
      <w:tabs>
        <w:tab w:val="left" w:pos="1200"/>
      </w:tabs>
      <w:ind w:left="1200" w:hanging="360"/>
    </w:pPr>
  </w:style>
  <w:style w:type="paragraph" w:customStyle="1" w:styleId="74">
    <w:name w:val="BodyText"/>
    <w:basedOn w:val="1"/>
    <w:qFormat/>
    <w:uiPriority w:val="0"/>
    <w:rPr>
      <w:rFonts w:eastAsia="仿宋_GB2312"/>
      <w:color w:val="FF3300"/>
      <w:sz w:val="40"/>
      <w:szCs w:val="40"/>
      <w:lang w:val="zh-CN"/>
    </w:rPr>
  </w:style>
  <w:style w:type="table" w:customStyle="1" w:styleId="75">
    <w:name w:val="TableGrid"/>
    <w:basedOn w:val="72"/>
    <w:qFormat/>
    <w:uiPriority w:val="0"/>
  </w:style>
  <w:style w:type="paragraph" w:customStyle="1" w:styleId="76">
    <w:name w:val="179"/>
    <w:basedOn w:val="1"/>
    <w:qFormat/>
    <w:uiPriority w:val="0"/>
    <w:pPr>
      <w:ind w:firstLine="420" w:firstLineChars="200"/>
    </w:pPr>
  </w:style>
  <w:style w:type="character" w:customStyle="1" w:styleId="77">
    <w:name w:val="UserStyle_0"/>
    <w:link w:val="78"/>
    <w:qFormat/>
    <w:uiPriority w:val="0"/>
    <w:rPr>
      <w:rFonts w:ascii="宋体" w:hAnsi="宋体"/>
      <w:szCs w:val="24"/>
    </w:rPr>
  </w:style>
  <w:style w:type="paragraph" w:customStyle="1" w:styleId="78">
    <w:name w:val="UserStyle_1"/>
    <w:basedOn w:val="1"/>
    <w:link w:val="77"/>
    <w:qFormat/>
    <w:uiPriority w:val="0"/>
    <w:pPr>
      <w:ind w:left="400" w:leftChars="400" w:right="400" w:rightChars="400"/>
      <w:jc w:val="left"/>
    </w:pPr>
    <w:rPr>
      <w:rFonts w:ascii="宋体" w:hAnsi="宋体"/>
      <w:kern w:val="0"/>
      <w:sz w:val="20"/>
    </w:rPr>
  </w:style>
  <w:style w:type="paragraph" w:customStyle="1" w:styleId="79">
    <w:name w:val="UserStyle_2"/>
    <w:basedOn w:val="1"/>
    <w:uiPriority w:val="0"/>
    <w:pPr>
      <w:ind w:left="720"/>
      <w:contextualSpacing/>
    </w:pPr>
  </w:style>
  <w:style w:type="paragraph" w:customStyle="1" w:styleId="80">
    <w:name w:val="UserStyle_3"/>
    <w:basedOn w:val="1"/>
    <w:uiPriority w:val="0"/>
    <w:rPr>
      <w:rFonts w:ascii="宋体" w:hAnsi="宋体"/>
      <w:lang w:val="zh-CN" w:bidi="zh-CN"/>
    </w:rPr>
  </w:style>
  <w:style w:type="paragraph" w:styleId="81">
    <w:name w:val="List Paragraph"/>
    <w:basedOn w:val="1"/>
    <w:qFormat/>
    <w:uiPriority w:val="34"/>
    <w:pPr>
      <w:widowControl w:val="0"/>
      <w:ind w:left="720"/>
      <w:textAlignment w:val="auto"/>
    </w:pPr>
  </w:style>
  <w:style w:type="paragraph" w:customStyle="1" w:styleId="82">
    <w:name w:val="Checkboxes"/>
    <w:basedOn w:val="1"/>
    <w:uiPriority w:val="0"/>
    <w:pPr>
      <w:spacing w:before="360" w:after="360"/>
      <w:jc w:val="left"/>
      <w:textAlignment w:val="auto"/>
    </w:pPr>
    <w:rPr>
      <w:kern w:val="0"/>
      <w:sz w:val="20"/>
      <w:szCs w:val="20"/>
      <w:lang w:eastAsia="en-US"/>
    </w:rPr>
  </w:style>
  <w:style w:type="paragraph" w:customStyle="1" w:styleId="83">
    <w:name w:val="Fax Header"/>
    <w:basedOn w:val="1"/>
    <w:qFormat/>
    <w:uiPriority w:val="0"/>
    <w:pPr>
      <w:spacing w:before="240" w:after="60"/>
      <w:jc w:val="left"/>
      <w:textAlignment w:val="auto"/>
    </w:pPr>
    <w:rPr>
      <w:kern w:val="0"/>
      <w:sz w:val="20"/>
      <w:szCs w:val="20"/>
      <w:lang w:eastAsia="en-US"/>
    </w:rPr>
  </w:style>
  <w:style w:type="paragraph" w:customStyle="1" w:styleId="84">
    <w:name w:val="Document Label"/>
    <w:next w:val="1"/>
    <w:uiPriority w:val="0"/>
    <w:pPr>
      <w:spacing w:before="100" w:after="720" w:line="600" w:lineRule="exact"/>
      <w:ind w:left="840"/>
    </w:pPr>
    <w:rPr>
      <w:rFonts w:ascii="Times New Roman" w:hAnsi="Times New Roman" w:eastAsia="宋体" w:cs="Times New Roman"/>
      <w:spacing w:val="-34"/>
      <w:sz w:val="60"/>
      <w:lang w:val="en-US" w:eastAsia="en-US" w:bidi="ar-SA"/>
    </w:rPr>
  </w:style>
  <w:style w:type="paragraph" w:customStyle="1" w:styleId="85">
    <w:name w:val="Return Address"/>
    <w:basedOn w:val="1"/>
    <w:qFormat/>
    <w:uiPriority w:val="0"/>
    <w:pPr>
      <w:keepLines/>
      <w:spacing w:line="200" w:lineRule="atLeast"/>
      <w:ind w:right="-120"/>
      <w:jc w:val="left"/>
      <w:textAlignment w:val="auto"/>
    </w:pPr>
    <w:rPr>
      <w:kern w:val="0"/>
      <w:sz w:val="16"/>
      <w:szCs w:val="20"/>
      <w:lang w:eastAsia="en-US"/>
    </w:rPr>
  </w:style>
  <w:style w:type="paragraph" w:customStyle="1" w:styleId="86">
    <w:name w:val="Logo"/>
    <w:basedOn w:val="1"/>
    <w:qFormat/>
    <w:uiPriority w:val="0"/>
    <w:pPr>
      <w:jc w:val="left"/>
      <w:textAlignment w:val="auto"/>
    </w:pPr>
    <w:rPr>
      <w:kern w:val="0"/>
      <w:sz w:val="20"/>
      <w:szCs w:val="20"/>
      <w:lang w:eastAsia="en-US"/>
    </w:rPr>
  </w:style>
  <w:style w:type="paragraph" w:customStyle="1" w:styleId="87">
    <w:name w:val="Slogan"/>
    <w:basedOn w:val="1"/>
    <w:uiPriority w:val="0"/>
    <w:pPr>
      <w:shd w:val="clear" w:color="auto" w:fill="F0F0F0"/>
      <w:jc w:val="left"/>
      <w:textAlignment w:val="auto"/>
    </w:pPr>
    <w:rPr>
      <w:rFonts w:ascii="Impact" w:hAnsi="Impact"/>
      <w:caps/>
      <w:color w:val="FFFFFF"/>
      <w:spacing w:val="20"/>
      <w:kern w:val="0"/>
      <w:sz w:val="48"/>
      <w:szCs w:val="20"/>
      <w:lang w:eastAsia="en-US"/>
    </w:rPr>
  </w:style>
  <w:style w:type="paragraph" w:customStyle="1" w:styleId="88">
    <w:name w:val="Company Name"/>
    <w:basedOn w:val="1"/>
    <w:qFormat/>
    <w:uiPriority w:val="0"/>
    <w:pPr>
      <w:keepLines/>
      <w:spacing w:line="200" w:lineRule="atLeast"/>
      <w:ind w:right="-115"/>
      <w:jc w:val="left"/>
      <w:textAlignment w:val="auto"/>
    </w:pPr>
    <w:rPr>
      <w:kern w:val="0"/>
      <w:sz w:val="16"/>
      <w:szCs w:val="20"/>
      <w:lang w:eastAsia="en-US"/>
    </w:rPr>
  </w:style>
  <w:style w:type="paragraph" w:customStyle="1" w:styleId="89">
    <w:name w:val="Header Base"/>
    <w:basedOn w:val="1"/>
    <w:qFormat/>
    <w:uiPriority w:val="0"/>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90">
    <w:name w:val="Heading Base"/>
    <w:basedOn w:val="1"/>
    <w:next w:val="5"/>
    <w:qFormat/>
    <w:uiPriority w:val="0"/>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91">
    <w:name w:val="Message Header First"/>
    <w:basedOn w:val="33"/>
    <w:next w:val="33"/>
    <w:uiPriority w:val="0"/>
  </w:style>
  <w:style w:type="paragraph" w:customStyle="1" w:styleId="92">
    <w:name w:val="Message Header Last"/>
    <w:basedOn w:val="33"/>
    <w:next w:val="5"/>
    <w:qFormat/>
    <w:uiPriority w:val="0"/>
    <w:pPr>
      <w:tabs>
        <w:tab w:val="left" w:pos="1980"/>
        <w:tab w:val="left" w:pos="3510"/>
        <w:tab w:val="left" w:pos="5490"/>
        <w:tab w:val="left" w:pos="7110"/>
        <w:tab w:val="clear" w:pos="1560"/>
        <w:tab w:val="clear" w:pos="4920"/>
        <w:tab w:val="clear" w:pos="5640"/>
      </w:tabs>
      <w:spacing w:before="100" w:after="920"/>
      <w:ind w:left="840" w:firstLine="0"/>
    </w:pPr>
    <w:rPr>
      <w:spacing w:val="-6"/>
    </w:rPr>
  </w:style>
  <w:style w:type="paragraph" w:customStyle="1" w:styleId="93">
    <w:name w:val="Signature Name"/>
    <w:basedOn w:val="1"/>
    <w:next w:val="1"/>
    <w:qFormat/>
    <w:uiPriority w:val="0"/>
    <w:pPr>
      <w:keepNext/>
      <w:keepLines/>
      <w:spacing w:before="660"/>
      <w:ind w:left="840" w:right="-120"/>
      <w:jc w:val="left"/>
      <w:textAlignment w:val="auto"/>
    </w:pPr>
    <w:rPr>
      <w:kern w:val="0"/>
      <w:sz w:val="20"/>
      <w:szCs w:val="20"/>
      <w:lang w:eastAsia="en-US"/>
    </w:rPr>
  </w:style>
  <w:style w:type="character" w:customStyle="1" w:styleId="94">
    <w:name w:val="Message Header Label"/>
    <w:uiPriority w:val="0"/>
    <w:rPr>
      <w:rFonts w:hint="default" w:ascii="Arial" w:hAnsi="Arial" w:cs="Arial"/>
      <w:b/>
      <w:spacing w:val="-4"/>
      <w:sz w:val="18"/>
    </w:rPr>
  </w:style>
  <w:style w:type="character" w:customStyle="1" w:styleId="95">
    <w:name w:val="Checkbox"/>
    <w:qFormat/>
    <w:uiPriority w:val="0"/>
    <w:rPr>
      <w:spacing w:val="0"/>
      <w:sz w:val="22"/>
    </w:rPr>
  </w:style>
  <w:style w:type="paragraph" w:customStyle="1" w:styleId="96">
    <w:name w:val="灿"/>
    <w:basedOn w:val="1"/>
    <w:qFormat/>
    <w:uiPriority w:val="0"/>
    <w:pPr>
      <w:widowControl w:val="0"/>
      <w:tabs>
        <w:tab w:val="left" w:pos="2160"/>
        <w:tab w:val="left" w:pos="2520"/>
        <w:tab w:val="left" w:pos="2880"/>
        <w:tab w:val="left" w:pos="3240"/>
      </w:tabs>
      <w:textAlignment w:val="auto"/>
    </w:pPr>
    <w:rPr>
      <w:rFonts w:ascii="華康中楷體" w:hAnsi="Arial" w:eastAsia="華康中楷體"/>
      <w:snapToGrid w:val="0"/>
      <w:kern w:val="0"/>
      <w:sz w:val="24"/>
      <w:szCs w:val="20"/>
      <w:lang w:eastAsia="en-US"/>
    </w:rPr>
  </w:style>
  <w:style w:type="paragraph" w:customStyle="1" w:styleId="97">
    <w:name w:val="1. ***"/>
    <w:basedOn w:val="1"/>
    <w:uiPriority w:val="0"/>
    <w:pPr>
      <w:widowControl w:val="0"/>
      <w:autoSpaceDE w:val="0"/>
      <w:autoSpaceDN w:val="0"/>
      <w:spacing w:after="120" w:line="360" w:lineRule="auto"/>
      <w:textAlignment w:val="bottom"/>
    </w:pPr>
    <w:rPr>
      <w:b/>
      <w:spacing w:val="6"/>
      <w:sz w:val="24"/>
      <w:szCs w:val="20"/>
    </w:rPr>
  </w:style>
  <w:style w:type="character" w:customStyle="1" w:styleId="98">
    <w:name w:val="sbody1"/>
    <w:qFormat/>
    <w:uiPriority w:val="0"/>
    <w:rPr>
      <w:sz w:val="24"/>
      <w:szCs w:val="24"/>
    </w:rPr>
  </w:style>
  <w:style w:type="paragraph" w:customStyle="1" w:styleId="99">
    <w:name w:val="样式1"/>
    <w:basedOn w:val="25"/>
    <w:uiPriority w:val="0"/>
    <w:pPr>
      <w:widowControl w:val="0"/>
      <w:tabs>
        <w:tab w:val="left" w:pos="420"/>
        <w:tab w:val="right" w:leader="dot" w:pos="8296"/>
      </w:tabs>
      <w:jc w:val="both"/>
    </w:pPr>
    <w:rPr>
      <w:rFonts w:hAnsi="宋体"/>
      <w:kern w:val="2"/>
      <w:sz w:val="24"/>
      <w:szCs w:val="24"/>
      <w:lang w:eastAsia="zh-CN"/>
    </w:rPr>
  </w:style>
  <w:style w:type="paragraph" w:customStyle="1" w:styleId="100">
    <w:name w:val="Default Text"/>
    <w:basedOn w:val="1"/>
    <w:qFormat/>
    <w:uiPriority w:val="0"/>
    <w:pPr>
      <w:jc w:val="left"/>
      <w:textAlignment w:val="auto"/>
    </w:pPr>
    <w:rPr>
      <w:rFonts w:ascii="宋体"/>
      <w:b/>
      <w:snapToGrid w:val="0"/>
      <w:kern w:val="0"/>
      <w:sz w:val="24"/>
      <w:szCs w:val="20"/>
      <w:lang w:val="en-GB"/>
    </w:rPr>
  </w:style>
  <w:style w:type="paragraph" w:customStyle="1" w:styleId="101">
    <w:name w:val="Particulars Slip"/>
    <w:basedOn w:val="1"/>
    <w:qFormat/>
    <w:uiPriority w:val="0"/>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102">
    <w:name w:val="标题6"/>
    <w:qFormat/>
    <w:uiPriority w:val="0"/>
    <w:rPr>
      <w:rFonts w:eastAsia="黑体"/>
      <w:b/>
      <w:sz w:val="28"/>
    </w:rPr>
  </w:style>
  <w:style w:type="paragraph" w:customStyle="1" w:styleId="103">
    <w:name w:val="Plain Text1"/>
    <w:basedOn w:val="1"/>
    <w:qFormat/>
    <w:uiPriority w:val="0"/>
    <w:pPr>
      <w:widowControl w:val="0"/>
      <w:adjustRightInd w:val="0"/>
    </w:pPr>
    <w:rPr>
      <w:rFonts w:ascii="宋体" w:hAnsi="Courier New"/>
      <w:szCs w:val="20"/>
    </w:rPr>
  </w:style>
  <w:style w:type="paragraph" w:customStyle="1" w:styleId="104">
    <w:name w:val="正文缩进英"/>
    <w:basedOn w:val="12"/>
    <w:qFormat/>
    <w:uiPriority w:val="0"/>
    <w:pPr>
      <w:widowControl w:val="0"/>
      <w:adjustRightInd w:val="0"/>
      <w:spacing w:after="120" w:line="300" w:lineRule="auto"/>
      <w:ind w:left="0" w:right="0" w:firstLine="420"/>
      <w:jc w:val="both"/>
      <w:textAlignment w:val="baseline"/>
    </w:pPr>
    <w:rPr>
      <w:sz w:val="24"/>
      <w:lang w:eastAsia="zh-CN"/>
    </w:rPr>
  </w:style>
  <w:style w:type="paragraph" w:customStyle="1" w:styleId="105">
    <w:name w:val="Document 1"/>
    <w:qFormat/>
    <w:uiPriority w:val="0"/>
    <w:pPr>
      <w:keepNext/>
      <w:keepLines/>
      <w:tabs>
        <w:tab w:val="left" w:pos="-720"/>
      </w:tabs>
      <w:suppressAutoHyphens/>
    </w:pPr>
    <w:rPr>
      <w:rFonts w:ascii="Univers" w:hAnsi="Univers" w:eastAsia="宋体" w:cs="Times New Roman"/>
      <w:lang w:val="en-US" w:eastAsia="zh-CN" w:bidi="ar-SA"/>
    </w:rPr>
  </w:style>
  <w:style w:type="paragraph" w:customStyle="1" w:styleId="106">
    <w:name w:val="条款标题1"/>
    <w:basedOn w:val="1"/>
    <w:qFormat/>
    <w:uiPriority w:val="0"/>
    <w:pPr>
      <w:widowControl w:val="0"/>
      <w:jc w:val="center"/>
      <w:textAlignment w:val="auto"/>
    </w:pPr>
    <w:rPr>
      <w:b/>
      <w:spacing w:val="10"/>
      <w:szCs w:val="20"/>
    </w:rPr>
  </w:style>
  <w:style w:type="paragraph" w:customStyle="1" w:styleId="107">
    <w:name w:val="CM8"/>
    <w:basedOn w:val="1"/>
    <w:next w:val="1"/>
    <w:qFormat/>
    <w:uiPriority w:val="0"/>
    <w:pPr>
      <w:widowControl w:val="0"/>
      <w:autoSpaceDE w:val="0"/>
      <w:autoSpaceDN w:val="0"/>
      <w:adjustRightInd w:val="0"/>
      <w:spacing w:line="293" w:lineRule="atLeast"/>
      <w:jc w:val="left"/>
      <w:textAlignment w:val="auto"/>
    </w:pPr>
    <w:rPr>
      <w:rFonts w:ascii="Arial" w:hAnsi="Arial"/>
      <w:kern w:val="0"/>
      <w:sz w:val="24"/>
    </w:rPr>
  </w:style>
  <w:style w:type="paragraph" w:customStyle="1" w:styleId="108">
    <w:name w:val="CM9"/>
    <w:basedOn w:val="1"/>
    <w:next w:val="1"/>
    <w:qFormat/>
    <w:uiPriority w:val="0"/>
    <w:pPr>
      <w:widowControl w:val="0"/>
      <w:autoSpaceDE w:val="0"/>
      <w:autoSpaceDN w:val="0"/>
      <w:adjustRightInd w:val="0"/>
      <w:spacing w:line="283" w:lineRule="atLeast"/>
      <w:jc w:val="left"/>
      <w:textAlignment w:val="auto"/>
    </w:pPr>
    <w:rPr>
      <w:rFonts w:ascii="Arial" w:hAnsi="Arial"/>
      <w:kern w:val="0"/>
      <w:sz w:val="24"/>
    </w:rPr>
  </w:style>
  <w:style w:type="character" w:customStyle="1" w:styleId="109">
    <w:name w:val="apple-style-span"/>
    <w:basedOn w:val="41"/>
    <w:qFormat/>
    <w:uiPriority w:val="0"/>
  </w:style>
  <w:style w:type="character" w:customStyle="1" w:styleId="110">
    <w:name w:val="apple-converted-space"/>
    <w:basedOn w:val="41"/>
    <w:qFormat/>
    <w:uiPriority w:val="0"/>
  </w:style>
  <w:style w:type="paragraph" w:customStyle="1" w:styleId="111">
    <w:name w:val="Char Char Char"/>
    <w:basedOn w:val="1"/>
    <w:qFormat/>
    <w:uiPriority w:val="0"/>
    <w:pPr>
      <w:widowControl w:val="0"/>
      <w:textAlignment w:val="auto"/>
    </w:pPr>
    <w:rPr>
      <w:rFonts w:ascii="Tahoma" w:hAnsi="Tahoma" w:cs="Tahoma"/>
      <w:sz w:val="24"/>
    </w:rPr>
  </w:style>
  <w:style w:type="paragraph" w:customStyle="1" w:styleId="112">
    <w:name w:val="Normal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113">
    <w:name w:val="Char"/>
    <w:basedOn w:val="13"/>
    <w:qFormat/>
    <w:uiPriority w:val="0"/>
    <w:pPr>
      <w:adjustRightInd w:val="0"/>
      <w:snapToGrid w:val="0"/>
      <w:spacing w:line="360" w:lineRule="auto"/>
    </w:pPr>
    <w:rPr>
      <w:rFonts w:ascii="Tahoma" w:hAnsi="Tahoma"/>
      <w:sz w:val="24"/>
    </w:rPr>
  </w:style>
  <w:style w:type="paragraph" w:customStyle="1" w:styleId="114">
    <w:name w:val="条款正文"/>
    <w:basedOn w:val="1"/>
    <w:qFormat/>
    <w:uiPriority w:val="0"/>
    <w:pPr>
      <w:widowControl w:val="0"/>
      <w:adjustRightInd w:val="0"/>
      <w:snapToGrid w:val="0"/>
      <w:ind w:left="840" w:leftChars="400" w:firstLine="420" w:firstLineChars="200"/>
      <w:textAlignment w:val="auto"/>
    </w:pPr>
  </w:style>
  <w:style w:type="paragraph" w:customStyle="1" w:styleId="115">
    <w:name w:val="条款标题"/>
    <w:basedOn w:val="114"/>
    <w:qFormat/>
    <w:uiPriority w:val="0"/>
    <w:pPr>
      <w:tabs>
        <w:tab w:val="left" w:pos="840"/>
      </w:tabs>
      <w:ind w:left="0" w:leftChars="0" w:firstLine="0" w:firstLineChars="0"/>
    </w:pPr>
    <w:rPr>
      <w:b/>
    </w:rPr>
  </w:style>
  <w:style w:type="character" w:customStyle="1" w:styleId="116">
    <w:name w:val="tf"/>
    <w:basedOn w:val="41"/>
    <w:qFormat/>
    <w:uiPriority w:val="0"/>
  </w:style>
  <w:style w:type="paragraph" w:customStyle="1" w:styleId="117">
    <w:name w:val="Char Char Char Char"/>
    <w:basedOn w:val="13"/>
    <w:qFormat/>
    <w:uiPriority w:val="0"/>
    <w:pPr>
      <w:adjustRightInd w:val="0"/>
      <w:snapToGrid w:val="0"/>
      <w:spacing w:line="360" w:lineRule="auto"/>
    </w:pPr>
    <w:rPr>
      <w:rFonts w:ascii="Tahoma" w:hAnsi="Tahoma" w:cs="Tahoma"/>
      <w:sz w:val="24"/>
    </w:rPr>
  </w:style>
  <w:style w:type="paragraph" w:styleId="118">
    <w:name w:val="No Spacing"/>
    <w:link w:val="119"/>
    <w:qFormat/>
    <w:uiPriority w:val="1"/>
    <w:rPr>
      <w:rFonts w:asciiTheme="minorHAnsi" w:hAnsiTheme="minorHAnsi" w:eastAsiaTheme="minorEastAsia" w:cstheme="minorBidi"/>
      <w:sz w:val="22"/>
      <w:szCs w:val="22"/>
      <w:lang w:val="en-US" w:eastAsia="ja-JP" w:bidi="ar-SA"/>
    </w:rPr>
  </w:style>
  <w:style w:type="character" w:customStyle="1" w:styleId="119">
    <w:name w:val="无间隔 字符"/>
    <w:basedOn w:val="41"/>
    <w:link w:val="118"/>
    <w:qFormat/>
    <w:uiPriority w:val="1"/>
    <w:rPr>
      <w:rFonts w:asciiTheme="minorHAnsi" w:hAnsiTheme="minorHAnsi" w:eastAsiaTheme="minorEastAsia" w:cstheme="minorBidi"/>
      <w:sz w:val="22"/>
      <w:szCs w:val="22"/>
      <w:lang w:eastAsia="ja-JP"/>
    </w:rPr>
  </w:style>
  <w:style w:type="paragraph" w:customStyle="1" w:styleId="120">
    <w:name w:val="Default"/>
    <w:basedOn w:val="1"/>
    <w:qFormat/>
    <w:uiPriority w:val="0"/>
    <w:pPr>
      <w:autoSpaceDE w:val="0"/>
      <w:autoSpaceDN w:val="0"/>
      <w:jc w:val="left"/>
      <w:textAlignment w:val="auto"/>
    </w:pPr>
    <w:rPr>
      <w:rFonts w:ascii="宋体" w:hAnsi="宋体" w:cs="宋体"/>
      <w:color w:val="000000"/>
      <w:kern w:val="0"/>
      <w:sz w:val="24"/>
    </w:rPr>
  </w:style>
  <w:style w:type="character" w:customStyle="1" w:styleId="121">
    <w:name w:val="条标题1.1.1 Char1"/>
    <w:qFormat/>
    <w:uiPriority w:val="0"/>
    <w:rPr>
      <w:rFonts w:eastAsia="宋体"/>
      <w:b/>
      <w:sz w:val="24"/>
      <w:lang w:val="en-US" w:eastAsia="zh-CN" w:bidi="ar-SA"/>
    </w:rPr>
  </w:style>
  <w:style w:type="character" w:customStyle="1" w:styleId="122">
    <w:name w:val="Char Char2"/>
    <w:qFormat/>
    <w:uiPriority w:val="0"/>
    <w:rPr>
      <w:rFonts w:eastAsia="宋体"/>
      <w:kern w:val="2"/>
      <w:sz w:val="21"/>
      <w:szCs w:val="24"/>
      <w:lang w:val="en-US" w:eastAsia="zh-CN" w:bidi="ar-SA"/>
    </w:rPr>
  </w:style>
  <w:style w:type="character" w:customStyle="1" w:styleId="123">
    <w:name w:val="条标题1.1.1 Char"/>
    <w:qFormat/>
    <w:uiPriority w:val="0"/>
    <w:rPr>
      <w:b/>
      <w:sz w:val="24"/>
    </w:rPr>
  </w:style>
  <w:style w:type="character" w:customStyle="1" w:styleId="124">
    <w:name w:val="页眉cover Char"/>
    <w:qFormat/>
    <w:uiPriority w:val="0"/>
    <w:rPr>
      <w:rFonts w:eastAsia="宋体"/>
      <w:kern w:val="2"/>
      <w:sz w:val="18"/>
      <w:szCs w:val="18"/>
      <w:lang w:val="en-US" w:eastAsia="zh-CN" w:bidi="ar-SA"/>
    </w:rPr>
  </w:style>
  <w:style w:type="character" w:customStyle="1" w:styleId="125">
    <w:name w:val="Char Char1"/>
    <w:qFormat/>
    <w:uiPriority w:val="0"/>
    <w:rPr>
      <w:kern w:val="2"/>
      <w:sz w:val="18"/>
      <w:szCs w:val="18"/>
    </w:rPr>
  </w:style>
  <w:style w:type="character" w:customStyle="1" w:styleId="126">
    <w:name w:val="Char Char"/>
    <w:qFormat/>
    <w:uiPriority w:val="0"/>
    <w:rPr>
      <w:kern w:val="2"/>
      <w:sz w:val="18"/>
      <w:szCs w:val="18"/>
    </w:rPr>
  </w:style>
  <w:style w:type="paragraph" w:customStyle="1" w:styleId="127">
    <w:name w:val="Char Char3"/>
    <w:basedOn w:val="1"/>
    <w:qFormat/>
    <w:uiPriority w:val="0"/>
    <w:pPr>
      <w:widowControl w:val="0"/>
      <w:textAlignment w:val="auto"/>
    </w:pPr>
  </w:style>
  <w:style w:type="paragraph" w:customStyle="1" w:styleId="128">
    <w:name w:val="默认段落字体 Para Char"/>
    <w:basedOn w:val="1"/>
    <w:qFormat/>
    <w:uiPriority w:val="0"/>
    <w:pPr>
      <w:widowControl w:val="0"/>
      <w:adjustRightInd w:val="0"/>
      <w:spacing w:line="360" w:lineRule="auto"/>
      <w:textAlignment w:val="auto"/>
    </w:pPr>
    <w:rPr>
      <w:kern w:val="0"/>
      <w:sz w:val="24"/>
      <w:szCs w:val="20"/>
    </w:rPr>
  </w:style>
  <w:style w:type="character" w:customStyle="1" w:styleId="129">
    <w:name w:val="正文文本 Char1"/>
    <w:basedOn w:val="41"/>
    <w:qFormat/>
    <w:uiPriority w:val="0"/>
    <w:rPr>
      <w:kern w:val="2"/>
      <w:sz w:val="21"/>
      <w:szCs w:val="24"/>
    </w:rPr>
  </w:style>
  <w:style w:type="paragraph" w:customStyle="1" w:styleId="130">
    <w:name w:val="reader-word-layer"/>
    <w:basedOn w:val="1"/>
    <w:qFormat/>
    <w:uiPriority w:val="0"/>
    <w:pPr>
      <w:spacing w:before="100" w:beforeAutospacing="1" w:after="100" w:afterAutospacing="1"/>
      <w:jc w:val="left"/>
      <w:textAlignment w:val="auto"/>
    </w:pPr>
    <w:rPr>
      <w:rFonts w:ascii="宋体" w:cs="宋体"/>
      <w:kern w:val="0"/>
      <w:sz w:val="24"/>
    </w:rPr>
  </w:style>
  <w:style w:type="paragraph" w:customStyle="1" w:styleId="131">
    <w:name w:val="Table Paragraph"/>
    <w:basedOn w:val="1"/>
    <w:qFormat/>
    <w:uiPriority w:val="99"/>
    <w:pPr>
      <w:widowControl w:val="0"/>
      <w:autoSpaceDE w:val="0"/>
      <w:autoSpaceDN w:val="0"/>
      <w:jc w:val="left"/>
      <w:textAlignment w:val="auto"/>
    </w:pPr>
    <w:rPr>
      <w:rFonts w:ascii="宋体" w:hAnsi="宋体" w:cs="宋体"/>
      <w:kern w:val="0"/>
      <w:sz w:val="22"/>
      <w:szCs w:val="22"/>
      <w:lang w:eastAsia="en-US"/>
    </w:rPr>
  </w:style>
  <w:style w:type="paragraph" w:customStyle="1" w:styleId="132">
    <w:name w:val="样式 标题 2 + 新宋体"/>
    <w:basedOn w:val="6"/>
    <w:qFormat/>
    <w:uiPriority w:val="0"/>
    <w:pPr>
      <w:keepLines w:val="0"/>
      <w:adjustRightInd w:val="0"/>
      <w:snapToGrid w:val="0"/>
      <w:spacing w:before="240" w:after="240" w:line="360" w:lineRule="auto"/>
      <w:ind w:right="0"/>
      <w:jc w:val="center"/>
      <w:textAlignment w:val="baseline"/>
    </w:pPr>
    <w:rPr>
      <w:rFonts w:ascii="新宋体" w:hAnsi="新宋体" w:eastAsia="黑体"/>
      <w:bCs/>
      <w:color w:val="000000"/>
      <w:spacing w:val="0"/>
      <w:kern w:val="0"/>
      <w:sz w:val="30"/>
      <w:lang w:val="zh-CN" w:eastAsia="zh-CN"/>
    </w:rPr>
  </w:style>
  <w:style w:type="paragraph" w:customStyle="1" w:styleId="133">
    <w:name w:val="样式 标题 3 + 新宋体"/>
    <w:basedOn w:val="7"/>
    <w:link w:val="134"/>
    <w:qFormat/>
    <w:uiPriority w:val="0"/>
    <w:pPr>
      <w:widowControl w:val="0"/>
      <w:spacing w:line="360" w:lineRule="auto"/>
      <w:ind w:left="2041" w:right="0"/>
      <w:jc w:val="both"/>
    </w:pPr>
    <w:rPr>
      <w:rFonts w:ascii="新宋体" w:hAnsi="新宋体"/>
      <w:spacing w:val="0"/>
      <w:kern w:val="0"/>
      <w:sz w:val="21"/>
      <w:szCs w:val="32"/>
      <w:lang w:val="zh-CN" w:eastAsia="zh-CN"/>
    </w:rPr>
  </w:style>
  <w:style w:type="character" w:customStyle="1" w:styleId="134">
    <w:name w:val="样式 标题 3 + 新宋体 Char"/>
    <w:link w:val="133"/>
    <w:qFormat/>
    <w:uiPriority w:val="0"/>
    <w:rPr>
      <w:rFonts w:ascii="新宋体" w:hAnsi="新宋体"/>
      <w:sz w:val="21"/>
      <w:szCs w:val="32"/>
      <w:lang w:val="zh-CN" w:eastAsia="zh-CN"/>
    </w:rPr>
  </w:style>
  <w:style w:type="character" w:customStyle="1" w:styleId="135">
    <w:name w:val="脚注文本 字符"/>
    <w:basedOn w:val="41"/>
    <w:link w:val="27"/>
    <w:semiHidden/>
    <w:qFormat/>
    <w:uiPriority w:val="0"/>
    <w:rPr>
      <w:kern w:val="2"/>
      <w:sz w:val="18"/>
      <w:szCs w:val="18"/>
    </w:rPr>
  </w:style>
  <w:style w:type="character" w:customStyle="1" w:styleId="136">
    <w:name w:val="正文首行缩进 2 字符"/>
    <w:basedOn w:val="58"/>
    <w:link w:val="38"/>
    <w:qFormat/>
    <w:uiPriority w:val="99"/>
    <w:rPr>
      <w:rFonts w:ascii="宋体" w:hAnsi="宋体" w:cs="宋体"/>
      <w:sz w:val="22"/>
      <w:szCs w:val="22"/>
      <w:lang w:eastAsia="en-US"/>
    </w:rPr>
  </w:style>
  <w:style w:type="character" w:customStyle="1" w:styleId="137">
    <w:name w:val="批注主题 字符"/>
    <w:basedOn w:val="57"/>
    <w:link w:val="37"/>
    <w:qFormat/>
    <w:uiPriority w:val="0"/>
    <w:rPr>
      <w:rFonts w:ascii="宋体" w:hAnsi="宋体" w:eastAsia="PMingLiU" w:cs="宋体"/>
      <w:b/>
      <w:bCs/>
      <w:kern w:val="2"/>
      <w:sz w:val="22"/>
      <w:szCs w:val="22"/>
      <w:lang w:eastAsia="en-US"/>
    </w:rPr>
  </w:style>
  <w:style w:type="paragraph" w:customStyle="1" w:styleId="138">
    <w:name w:val="TOC 标题1"/>
    <w:basedOn w:val="4"/>
    <w:next w:val="1"/>
    <w:unhideWhenUsed/>
    <w:qFormat/>
    <w:uiPriority w:val="39"/>
    <w:pPr>
      <w:spacing w:before="240" w:line="259" w:lineRule="auto"/>
      <w:ind w:left="0" w:right="0"/>
      <w:outlineLvl w:val="9"/>
    </w:pPr>
    <w:rPr>
      <w:rFonts w:asciiTheme="majorHAnsi" w:hAnsiTheme="majorHAnsi" w:eastAsiaTheme="majorEastAsia" w:cstheme="majorBidi"/>
      <w:b w:val="0"/>
      <w:color w:val="2F5496" w:themeColor="accent1" w:themeShade="BF"/>
      <w:spacing w:val="0"/>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E360F-3D55-4A75-AFBB-698C00168B4E}">
  <ds:schemaRefs/>
</ds:datastoreItem>
</file>

<file path=docProps/app.xml><?xml version="1.0" encoding="utf-8"?>
<Properties xmlns="http://schemas.openxmlformats.org/officeDocument/2006/extended-properties" xmlns:vt="http://schemas.openxmlformats.org/officeDocument/2006/docPropsVTypes">
  <Template>Normal</Template>
  <Company>Aon</Company>
  <Pages>35</Pages>
  <Words>18354</Words>
  <Characters>19502</Characters>
  <Lines>150</Lines>
  <Paragraphs>42</Paragraphs>
  <TotalTime>5</TotalTime>
  <ScaleCrop>false</ScaleCrop>
  <LinksUpToDate>false</LinksUpToDate>
  <CharactersWithSpaces>20306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2021-07-20T03:45:00Z</dcterms:created>
  <dc:creator>jamesqi</dc:creator>
  <cp:lastModifiedBy>YCM</cp:lastModifiedBy>
  <dcterms:modified xsi:type="dcterms:W3CDTF">2023-09-23T11:02:25Z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9DF068171EC34CDFAC68E537D896F3C6</vt:lpwstr>
  </property>
</Properties>
</file>