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Style w:val="71"/>
          <w:rFonts w:eastAsia="黑体"/>
          <w:bCs/>
          <w:sz w:val="36"/>
        </w:rPr>
      </w:pPr>
    </w:p>
    <w:p>
      <w:pPr>
        <w:snapToGrid w:val="0"/>
        <w:jc w:val="center"/>
        <w:rPr>
          <w:rStyle w:val="71"/>
          <w:rFonts w:ascii="黑体" w:eastAsia="黑体"/>
          <w:bCs/>
          <w:sz w:val="44"/>
          <w:szCs w:val="44"/>
        </w:rPr>
      </w:pPr>
    </w:p>
    <w:p>
      <w:pPr>
        <w:snapToGrid w:val="0"/>
        <w:jc w:val="center"/>
        <w:rPr>
          <w:rStyle w:val="71"/>
          <w:rFonts w:ascii="黑体" w:eastAsia="黑体"/>
          <w:bCs/>
          <w:sz w:val="44"/>
          <w:szCs w:val="44"/>
        </w:rPr>
      </w:pPr>
    </w:p>
    <w:p>
      <w:pPr>
        <w:snapToGrid w:val="0"/>
        <w:rPr>
          <w:rStyle w:val="71"/>
          <w:rFonts w:ascii="黑体" w:eastAsia="黑体"/>
          <w:bCs/>
          <w:sz w:val="44"/>
          <w:szCs w:val="44"/>
        </w:rPr>
      </w:pPr>
    </w:p>
    <w:p>
      <w:pPr>
        <w:snapToGrid w:val="0"/>
        <w:rPr>
          <w:rStyle w:val="71"/>
          <w:rFonts w:ascii="黑体" w:eastAsia="黑体"/>
          <w:bCs/>
          <w:sz w:val="44"/>
          <w:szCs w:val="44"/>
        </w:rPr>
      </w:pPr>
    </w:p>
    <w:p>
      <w:pPr>
        <w:snapToGrid w:val="0"/>
        <w:jc w:val="center"/>
        <w:rPr>
          <w:rStyle w:val="71"/>
          <w:rFonts w:ascii="黑体" w:eastAsia="黑体"/>
          <w:bCs/>
          <w:sz w:val="44"/>
          <w:szCs w:val="44"/>
        </w:rPr>
      </w:pPr>
      <w:r>
        <w:rPr>
          <w:rStyle w:val="71"/>
          <w:rFonts w:ascii="黑体" w:eastAsia="黑体"/>
          <w:bCs/>
          <w:sz w:val="44"/>
          <w:szCs w:val="44"/>
        </w:rPr>
        <w:t>2023年</w:t>
      </w:r>
      <w:r>
        <w:rPr>
          <w:rStyle w:val="71"/>
          <w:rFonts w:hint="eastAsia" w:ascii="黑体" w:eastAsia="黑体"/>
          <w:bCs/>
          <w:sz w:val="44"/>
          <w:szCs w:val="44"/>
        </w:rPr>
        <w:t>中粮梁河糖业有限公司</w:t>
      </w:r>
    </w:p>
    <w:p>
      <w:pPr>
        <w:snapToGrid w:val="0"/>
        <w:jc w:val="center"/>
        <w:rPr>
          <w:rStyle w:val="71"/>
          <w:rFonts w:eastAsia="黑体"/>
          <w:bCs/>
          <w:sz w:val="36"/>
        </w:rPr>
      </w:pPr>
      <w:r>
        <w:rPr>
          <w:rStyle w:val="71"/>
          <w:rFonts w:ascii="黑体" w:eastAsia="黑体"/>
          <w:bCs/>
          <w:sz w:val="44"/>
          <w:szCs w:val="44"/>
        </w:rPr>
        <w:t>询比价采购文件</w:t>
      </w:r>
    </w:p>
    <w:p>
      <w:pPr>
        <w:snapToGrid w:val="0"/>
        <w:rPr>
          <w:rStyle w:val="71"/>
          <w:rFonts w:ascii="仿宋_GB2312" w:eastAsia="仿宋_GB2312"/>
          <w:bCs/>
          <w:sz w:val="28"/>
        </w:rPr>
      </w:pPr>
    </w:p>
    <w:p>
      <w:pPr>
        <w:snapToGrid w:val="0"/>
        <w:rPr>
          <w:rStyle w:val="71"/>
          <w:rFonts w:ascii="仿宋_GB2312" w:eastAsia="仿宋_GB2312"/>
          <w:bCs/>
          <w:sz w:val="28"/>
        </w:rPr>
      </w:pPr>
    </w:p>
    <w:p>
      <w:pPr>
        <w:snapToGrid w:val="0"/>
        <w:rPr>
          <w:rStyle w:val="71"/>
          <w:rFonts w:ascii="仿宋_GB2312" w:eastAsia="仿宋_GB2312"/>
          <w:bCs/>
          <w:sz w:val="28"/>
        </w:rPr>
      </w:pPr>
    </w:p>
    <w:p>
      <w:pPr>
        <w:snapToGrid w:val="0"/>
        <w:rPr>
          <w:rStyle w:val="71"/>
          <w:rFonts w:ascii="仿宋_GB2312" w:eastAsia="仿宋_GB2312"/>
          <w:bCs/>
          <w:sz w:val="28"/>
        </w:rPr>
      </w:pPr>
    </w:p>
    <w:p>
      <w:pPr>
        <w:snapToGrid w:val="0"/>
        <w:ind w:firstLine="2560" w:firstLineChars="800"/>
        <w:rPr>
          <w:rStyle w:val="71"/>
          <w:rFonts w:ascii="黑体" w:hAnsi="黑体" w:eastAsia="黑体"/>
          <w:bCs/>
          <w:sz w:val="24"/>
        </w:rPr>
      </w:pPr>
      <w:r>
        <w:rPr>
          <w:rStyle w:val="71"/>
          <w:rFonts w:ascii="黑体" w:hAnsi="黑体" w:eastAsia="黑体"/>
          <w:bCs/>
          <w:sz w:val="32"/>
        </w:rPr>
        <w:t>单位：</w:t>
      </w:r>
      <w:r>
        <w:rPr>
          <w:rStyle w:val="71"/>
          <w:rFonts w:hint="eastAsia" w:ascii="黑体" w:eastAsia="黑体"/>
          <w:bCs/>
          <w:sz w:val="32"/>
          <w:szCs w:val="44"/>
        </w:rPr>
        <w:t>中粮梁河糖业有限公司</w:t>
      </w:r>
    </w:p>
    <w:p>
      <w:pPr>
        <w:snapToGrid w:val="0"/>
        <w:rPr>
          <w:rStyle w:val="71"/>
          <w:rFonts w:ascii="仿宋_GB2312" w:eastAsia="仿宋_GB2312"/>
          <w:bCs/>
          <w:sz w:val="28"/>
        </w:rPr>
      </w:pPr>
    </w:p>
    <w:p>
      <w:pPr>
        <w:snapToGrid w:val="0"/>
        <w:rPr>
          <w:rStyle w:val="71"/>
          <w:rFonts w:ascii="仿宋_GB2312" w:eastAsia="仿宋_GB2312"/>
          <w:bCs/>
          <w:sz w:val="28"/>
        </w:rPr>
      </w:pPr>
    </w:p>
    <w:p>
      <w:pPr>
        <w:snapToGrid w:val="0"/>
        <w:rPr>
          <w:rStyle w:val="71"/>
          <w:rFonts w:ascii="仿宋_GB2312" w:eastAsia="仿宋_GB2312"/>
          <w:bCs/>
          <w:sz w:val="28"/>
        </w:rPr>
      </w:pPr>
    </w:p>
    <w:p>
      <w:pPr>
        <w:snapToGrid w:val="0"/>
        <w:rPr>
          <w:rStyle w:val="71"/>
          <w:rFonts w:ascii="仿宋_GB2312" w:eastAsia="仿宋_GB2312"/>
          <w:bCs/>
          <w:sz w:val="28"/>
        </w:rPr>
      </w:pPr>
    </w:p>
    <w:p>
      <w:pPr>
        <w:snapToGrid w:val="0"/>
        <w:rPr>
          <w:rStyle w:val="71"/>
          <w:rFonts w:ascii="黑体" w:eastAsia="黑体"/>
          <w:bCs/>
          <w:sz w:val="28"/>
          <w:szCs w:val="28"/>
        </w:rPr>
      </w:pPr>
    </w:p>
    <w:p>
      <w:pPr>
        <w:snapToGrid w:val="0"/>
        <w:rPr>
          <w:rStyle w:val="71"/>
          <w:rFonts w:ascii="黑体" w:eastAsia="黑体"/>
          <w:bCs/>
          <w:sz w:val="28"/>
          <w:szCs w:val="28"/>
        </w:rPr>
      </w:pPr>
    </w:p>
    <w:p>
      <w:pPr>
        <w:snapToGrid w:val="0"/>
        <w:ind w:firstLine="2520" w:firstLineChars="900"/>
        <w:rPr>
          <w:rStyle w:val="71"/>
          <w:rFonts w:ascii="黑体" w:eastAsia="黑体"/>
          <w:bCs/>
          <w:sz w:val="28"/>
          <w:szCs w:val="28"/>
        </w:rPr>
      </w:pPr>
    </w:p>
    <w:p>
      <w:pPr>
        <w:snapToGrid w:val="0"/>
        <w:rPr>
          <w:rStyle w:val="71"/>
          <w:rFonts w:ascii="仿宋_GB2312" w:eastAsia="仿宋_GB2312"/>
          <w:bCs/>
          <w:sz w:val="28"/>
        </w:rPr>
      </w:pPr>
    </w:p>
    <w:p>
      <w:pPr>
        <w:snapToGrid w:val="0"/>
        <w:jc w:val="center"/>
        <w:rPr>
          <w:rStyle w:val="71"/>
          <w:rFonts w:ascii="仿宋_GB2312" w:eastAsia="仿宋_GB2312"/>
          <w:b/>
          <w:bCs/>
          <w:sz w:val="44"/>
          <w:szCs w:val="44"/>
        </w:rPr>
      </w:pPr>
    </w:p>
    <w:p>
      <w:pPr>
        <w:snapToGrid w:val="0"/>
        <w:jc w:val="center"/>
        <w:rPr>
          <w:rStyle w:val="71"/>
          <w:rFonts w:ascii="黑体" w:eastAsia="黑体"/>
          <w:b/>
          <w:bCs/>
          <w:sz w:val="44"/>
          <w:szCs w:val="44"/>
        </w:rPr>
      </w:pPr>
    </w:p>
    <w:p>
      <w:pPr>
        <w:snapToGrid w:val="0"/>
        <w:jc w:val="center"/>
        <w:rPr>
          <w:rStyle w:val="71"/>
          <w:rFonts w:ascii="黑体" w:eastAsia="黑体"/>
          <w:bCs/>
          <w:sz w:val="44"/>
          <w:szCs w:val="44"/>
        </w:rPr>
      </w:pPr>
    </w:p>
    <w:p>
      <w:pPr>
        <w:snapToGrid w:val="0"/>
        <w:jc w:val="center"/>
        <w:rPr>
          <w:rStyle w:val="71"/>
          <w:rFonts w:ascii="黑体" w:eastAsia="黑体"/>
          <w:bCs/>
          <w:sz w:val="44"/>
          <w:szCs w:val="44"/>
        </w:rPr>
      </w:pPr>
    </w:p>
    <w:p>
      <w:pPr>
        <w:snapToGrid w:val="0"/>
        <w:jc w:val="center"/>
        <w:rPr>
          <w:rStyle w:val="71"/>
          <w:rFonts w:ascii="黑体" w:eastAsia="黑体"/>
          <w:bCs/>
          <w:sz w:val="44"/>
          <w:szCs w:val="44"/>
        </w:rPr>
      </w:pPr>
    </w:p>
    <w:p>
      <w:pPr>
        <w:snapToGrid w:val="0"/>
        <w:jc w:val="center"/>
        <w:rPr>
          <w:rStyle w:val="71"/>
          <w:rFonts w:ascii="黑体" w:eastAsia="黑体"/>
          <w:bCs/>
          <w:sz w:val="44"/>
          <w:szCs w:val="44"/>
        </w:rPr>
      </w:pPr>
    </w:p>
    <w:p>
      <w:pPr>
        <w:snapToGrid w:val="0"/>
        <w:jc w:val="center"/>
        <w:rPr>
          <w:rStyle w:val="71"/>
          <w:rFonts w:ascii="黑体" w:eastAsia="黑体"/>
          <w:bCs/>
          <w:sz w:val="44"/>
          <w:szCs w:val="44"/>
        </w:rPr>
      </w:pPr>
    </w:p>
    <w:p>
      <w:pPr>
        <w:snapToGrid w:val="0"/>
        <w:jc w:val="center"/>
        <w:rPr>
          <w:rStyle w:val="71"/>
          <w:rFonts w:ascii="黑体" w:eastAsia="黑体"/>
          <w:bCs/>
          <w:sz w:val="44"/>
          <w:szCs w:val="44"/>
        </w:rPr>
      </w:pPr>
      <w:r>
        <w:rPr>
          <w:rStyle w:val="71"/>
          <w:rFonts w:ascii="黑体" w:eastAsia="黑体"/>
          <w:bCs/>
          <w:sz w:val="44"/>
          <w:szCs w:val="44"/>
        </w:rPr>
        <w:br w:type="page"/>
      </w:r>
    </w:p>
    <w:p>
      <w:pPr>
        <w:snapToGrid w:val="0"/>
        <w:jc w:val="center"/>
        <w:rPr>
          <w:rStyle w:val="71"/>
          <w:rFonts w:ascii="黑体" w:eastAsia="黑体"/>
          <w:bCs/>
          <w:sz w:val="44"/>
          <w:szCs w:val="44"/>
        </w:rPr>
      </w:pPr>
      <w:r>
        <w:rPr>
          <w:rStyle w:val="71"/>
          <w:rFonts w:ascii="黑体" w:eastAsia="黑体"/>
          <w:bCs/>
          <w:sz w:val="44"/>
          <w:szCs w:val="44"/>
        </w:rPr>
        <w:t>目          录</w:t>
      </w:r>
    </w:p>
    <w:p>
      <w:pPr>
        <w:snapToGrid w:val="0"/>
        <w:jc w:val="center"/>
        <w:rPr>
          <w:rStyle w:val="71"/>
          <w:rFonts w:ascii="黑体" w:eastAsia="黑体"/>
          <w:bCs/>
          <w:sz w:val="36"/>
          <w:szCs w:val="36"/>
        </w:rPr>
      </w:pPr>
    </w:p>
    <w:p>
      <w:pPr>
        <w:snapToGrid w:val="0"/>
        <w:jc w:val="center"/>
        <w:rPr>
          <w:rStyle w:val="71"/>
          <w:rFonts w:ascii="黑体" w:eastAsia="黑体"/>
          <w:bCs/>
          <w:sz w:val="36"/>
          <w:szCs w:val="36"/>
        </w:rPr>
      </w:pPr>
    </w:p>
    <w:p>
      <w:pPr>
        <w:snapToGrid w:val="0"/>
        <w:jc w:val="center"/>
        <w:rPr>
          <w:rStyle w:val="71"/>
          <w:rFonts w:ascii="黑体" w:eastAsia="黑体"/>
          <w:bCs/>
          <w:sz w:val="36"/>
          <w:szCs w:val="36"/>
        </w:rPr>
      </w:pPr>
    </w:p>
    <w:p>
      <w:pPr>
        <w:snapToGrid w:val="0"/>
        <w:jc w:val="center"/>
        <w:rPr>
          <w:rStyle w:val="71"/>
          <w:rFonts w:ascii="黑体" w:eastAsia="黑体"/>
          <w:bCs/>
          <w:sz w:val="36"/>
          <w:szCs w:val="36"/>
        </w:rPr>
      </w:pPr>
    </w:p>
    <w:p>
      <w:pPr>
        <w:numPr>
          <w:ilvl w:val="0"/>
          <w:numId w:val="1"/>
        </w:numPr>
        <w:snapToGrid w:val="0"/>
        <w:rPr>
          <w:rStyle w:val="71"/>
          <w:rFonts w:ascii="黑体" w:eastAsia="黑体"/>
          <w:bCs/>
          <w:sz w:val="36"/>
          <w:szCs w:val="36"/>
        </w:rPr>
      </w:pPr>
      <w:r>
        <w:rPr>
          <w:rStyle w:val="71"/>
          <w:rFonts w:hint="eastAsia" w:ascii="黑体" w:eastAsia="黑体"/>
          <w:bCs/>
          <w:sz w:val="36"/>
          <w:szCs w:val="36"/>
        </w:rPr>
        <w:t xml:space="preserve">   </w:t>
      </w:r>
      <w:r>
        <w:rPr>
          <w:rStyle w:val="71"/>
          <w:rFonts w:ascii="黑体" w:eastAsia="黑体"/>
          <w:bCs/>
          <w:sz w:val="36"/>
          <w:szCs w:val="36"/>
        </w:rPr>
        <w:t>供应商须知</w:t>
      </w:r>
    </w:p>
    <w:p>
      <w:pPr>
        <w:snapToGrid w:val="0"/>
        <w:rPr>
          <w:rStyle w:val="71"/>
          <w:rFonts w:ascii="黑体" w:eastAsia="黑体"/>
          <w:bCs/>
          <w:sz w:val="36"/>
          <w:szCs w:val="36"/>
        </w:rPr>
      </w:pPr>
    </w:p>
    <w:p>
      <w:pPr>
        <w:pStyle w:val="81"/>
        <w:numPr>
          <w:ilvl w:val="0"/>
          <w:numId w:val="0"/>
        </w:numPr>
        <w:tabs>
          <w:tab w:val="left" w:pos="7005"/>
        </w:tabs>
        <w:snapToGrid w:val="0"/>
        <w:ind w:left="2150" w:leftChars="0"/>
        <w:rPr>
          <w:rStyle w:val="71"/>
          <w:rFonts w:ascii="黑体" w:eastAsia="黑体"/>
          <w:bCs/>
          <w:sz w:val="36"/>
          <w:szCs w:val="36"/>
        </w:rPr>
      </w:pPr>
      <w:r>
        <w:rPr>
          <w:rStyle w:val="71"/>
          <w:rFonts w:hint="eastAsia" w:ascii="黑体" w:eastAsia="黑体"/>
          <w:bCs/>
          <w:sz w:val="36"/>
          <w:szCs w:val="36"/>
          <w:lang w:val="en-US" w:eastAsia="zh-CN"/>
        </w:rPr>
        <w:t xml:space="preserve">第二章    </w:t>
      </w:r>
      <w:r>
        <w:rPr>
          <w:rStyle w:val="71"/>
          <w:rFonts w:hint="eastAsia" w:ascii="黑体" w:eastAsia="黑体"/>
          <w:bCs/>
          <w:sz w:val="36"/>
          <w:szCs w:val="36"/>
        </w:rPr>
        <w:t>报价说明</w:t>
      </w:r>
    </w:p>
    <w:p>
      <w:pPr>
        <w:snapToGrid w:val="0"/>
        <w:spacing w:line="560" w:lineRule="exact"/>
        <w:rPr>
          <w:rStyle w:val="71"/>
          <w:rFonts w:ascii="宋体" w:hAnsi="宋体"/>
          <w:bCs/>
          <w:sz w:val="32"/>
          <w:szCs w:val="32"/>
        </w:rPr>
      </w:pPr>
    </w:p>
    <w:p>
      <w:pPr>
        <w:pStyle w:val="81"/>
        <w:numPr>
          <w:ilvl w:val="0"/>
          <w:numId w:val="0"/>
        </w:numPr>
        <w:tabs>
          <w:tab w:val="left" w:pos="7005"/>
        </w:tabs>
        <w:snapToGrid w:val="0"/>
        <w:ind w:left="2150" w:leftChars="0"/>
        <w:rPr>
          <w:rStyle w:val="71"/>
          <w:rFonts w:ascii="黑体" w:eastAsia="黑体"/>
          <w:bCs/>
          <w:sz w:val="36"/>
          <w:szCs w:val="36"/>
        </w:rPr>
      </w:pPr>
      <w:r>
        <w:rPr>
          <w:rStyle w:val="71"/>
          <w:rFonts w:hint="eastAsia" w:ascii="黑体" w:eastAsia="黑体"/>
          <w:bCs/>
          <w:sz w:val="36"/>
          <w:szCs w:val="36"/>
          <w:lang w:val="en-US" w:eastAsia="zh-CN"/>
        </w:rPr>
        <w:t xml:space="preserve">第三章   </w:t>
      </w:r>
      <w:r>
        <w:rPr>
          <w:rStyle w:val="71"/>
          <w:rFonts w:ascii="黑体" w:eastAsia="黑体"/>
          <w:bCs/>
          <w:sz w:val="36"/>
          <w:szCs w:val="36"/>
        </w:rPr>
        <w:t xml:space="preserve"> </w:t>
      </w:r>
      <w:r>
        <w:rPr>
          <w:rStyle w:val="71"/>
          <w:rFonts w:hint="eastAsia" w:ascii="黑体" w:eastAsia="黑体"/>
          <w:bCs/>
          <w:sz w:val="36"/>
          <w:szCs w:val="36"/>
        </w:rPr>
        <w:t>项目需求</w:t>
      </w:r>
    </w:p>
    <w:p>
      <w:pPr>
        <w:snapToGrid w:val="0"/>
        <w:rPr>
          <w:rStyle w:val="71"/>
          <w:rFonts w:ascii="黑体" w:eastAsia="黑体"/>
          <w:bCs/>
          <w:sz w:val="36"/>
          <w:szCs w:val="36"/>
        </w:rPr>
      </w:pPr>
    </w:p>
    <w:p>
      <w:pPr>
        <w:snapToGrid w:val="0"/>
        <w:ind w:left="2150"/>
        <w:rPr>
          <w:rStyle w:val="71"/>
          <w:rFonts w:ascii="黑体" w:eastAsia="黑体"/>
          <w:bCs/>
          <w:sz w:val="36"/>
          <w:szCs w:val="36"/>
        </w:rPr>
      </w:pPr>
      <w:r>
        <w:rPr>
          <w:rStyle w:val="71"/>
          <w:rFonts w:ascii="黑体" w:eastAsia="黑体"/>
          <w:bCs/>
          <w:sz w:val="36"/>
          <w:szCs w:val="36"/>
        </w:rPr>
        <w:t>第</w:t>
      </w:r>
      <w:r>
        <w:rPr>
          <w:rStyle w:val="71"/>
          <w:rFonts w:hint="eastAsia" w:ascii="黑体" w:eastAsia="黑体"/>
          <w:bCs/>
          <w:sz w:val="36"/>
          <w:szCs w:val="36"/>
        </w:rPr>
        <w:t>四</w:t>
      </w:r>
      <w:r>
        <w:rPr>
          <w:rStyle w:val="71"/>
          <w:rFonts w:ascii="黑体" w:eastAsia="黑体"/>
          <w:bCs/>
          <w:sz w:val="36"/>
          <w:szCs w:val="36"/>
        </w:rPr>
        <w:t>章   评审方法</w:t>
      </w:r>
    </w:p>
    <w:p>
      <w:pPr>
        <w:snapToGrid w:val="0"/>
        <w:rPr>
          <w:rStyle w:val="71"/>
          <w:rFonts w:ascii="黑体" w:eastAsia="黑体"/>
          <w:bCs/>
          <w:sz w:val="36"/>
          <w:szCs w:val="36"/>
        </w:rPr>
      </w:pPr>
    </w:p>
    <w:p>
      <w:pPr>
        <w:snapToGrid w:val="0"/>
        <w:ind w:firstLine="2160" w:firstLineChars="600"/>
        <w:rPr>
          <w:rStyle w:val="71"/>
          <w:rFonts w:ascii="宋体" w:hAnsi="宋体" w:eastAsia="黑体"/>
          <w:bCs/>
          <w:sz w:val="28"/>
          <w:szCs w:val="28"/>
        </w:rPr>
      </w:pPr>
      <w:r>
        <w:rPr>
          <w:rStyle w:val="71"/>
          <w:rFonts w:ascii="黑体" w:eastAsia="黑体"/>
          <w:bCs/>
          <w:sz w:val="36"/>
          <w:szCs w:val="36"/>
        </w:rPr>
        <w:t>第</w:t>
      </w:r>
      <w:r>
        <w:rPr>
          <w:rStyle w:val="71"/>
          <w:rFonts w:hint="eastAsia" w:ascii="黑体" w:eastAsia="黑体"/>
          <w:bCs/>
          <w:sz w:val="36"/>
          <w:szCs w:val="36"/>
        </w:rPr>
        <w:t>五</w:t>
      </w:r>
      <w:r>
        <w:rPr>
          <w:rStyle w:val="71"/>
          <w:rFonts w:ascii="黑体" w:eastAsia="黑体"/>
          <w:bCs/>
          <w:sz w:val="36"/>
          <w:szCs w:val="36"/>
        </w:rPr>
        <w:t xml:space="preserve">章   </w:t>
      </w:r>
      <w:r>
        <w:rPr>
          <w:rStyle w:val="71"/>
          <w:rFonts w:hint="eastAsia" w:ascii="黑体" w:eastAsia="黑体"/>
          <w:bCs/>
          <w:sz w:val="36"/>
          <w:szCs w:val="36"/>
        </w:rPr>
        <w:t>合同（草案）</w:t>
      </w:r>
    </w:p>
    <w:p>
      <w:pPr>
        <w:snapToGrid w:val="0"/>
        <w:rPr>
          <w:rStyle w:val="71"/>
          <w:rFonts w:ascii="黑体" w:eastAsia="黑体"/>
          <w:bCs/>
          <w:sz w:val="36"/>
          <w:szCs w:val="36"/>
        </w:rPr>
      </w:pPr>
    </w:p>
    <w:p>
      <w:pPr>
        <w:snapToGrid w:val="0"/>
        <w:rPr>
          <w:rStyle w:val="71"/>
          <w:rFonts w:ascii="黑体" w:eastAsia="黑体"/>
          <w:b/>
          <w:bCs/>
          <w:sz w:val="36"/>
          <w:szCs w:val="36"/>
        </w:rPr>
      </w:pPr>
      <w:r>
        <w:rPr>
          <w:rStyle w:val="71"/>
          <w:rFonts w:hint="eastAsia" w:ascii="黑体" w:eastAsia="黑体"/>
          <w:b/>
          <w:bCs/>
          <w:sz w:val="36"/>
          <w:szCs w:val="36"/>
        </w:rPr>
        <w:t xml:space="preserve">          </w:t>
      </w:r>
    </w:p>
    <w:p>
      <w:pPr>
        <w:snapToGrid w:val="0"/>
        <w:rPr>
          <w:rStyle w:val="71"/>
          <w:rFonts w:ascii="黑体" w:eastAsia="黑体"/>
          <w:b/>
          <w:bCs/>
          <w:sz w:val="28"/>
        </w:rPr>
      </w:pPr>
    </w:p>
    <w:p>
      <w:pPr>
        <w:snapToGrid w:val="0"/>
        <w:rPr>
          <w:rStyle w:val="71"/>
          <w:rFonts w:ascii="黑体" w:eastAsia="黑体"/>
          <w:b/>
          <w:bCs/>
          <w:sz w:val="28"/>
        </w:rPr>
      </w:pPr>
    </w:p>
    <w:p>
      <w:pPr>
        <w:snapToGrid w:val="0"/>
        <w:rPr>
          <w:rStyle w:val="71"/>
          <w:rFonts w:ascii="黑体" w:eastAsia="黑体"/>
          <w:b/>
          <w:bCs/>
          <w:sz w:val="28"/>
        </w:rPr>
      </w:pPr>
    </w:p>
    <w:p>
      <w:pPr>
        <w:snapToGrid w:val="0"/>
        <w:rPr>
          <w:rStyle w:val="71"/>
          <w:rFonts w:ascii="宋体" w:hAnsi="宋体"/>
          <w:b/>
          <w:bCs/>
          <w:sz w:val="36"/>
          <w:szCs w:val="36"/>
        </w:rPr>
      </w:pPr>
    </w:p>
    <w:p>
      <w:pPr>
        <w:snapToGrid w:val="0"/>
        <w:jc w:val="center"/>
        <w:rPr>
          <w:rStyle w:val="71"/>
          <w:rFonts w:ascii="宋体" w:hAnsi="宋体"/>
          <w:b/>
          <w:bCs/>
          <w:sz w:val="36"/>
          <w:szCs w:val="36"/>
        </w:rPr>
      </w:pPr>
      <w:r>
        <w:rPr>
          <w:rStyle w:val="71"/>
          <w:rFonts w:ascii="宋体" w:hAnsi="宋体"/>
          <w:b/>
          <w:bCs/>
          <w:sz w:val="36"/>
          <w:szCs w:val="36"/>
        </w:rPr>
        <w:br w:type="page"/>
      </w:r>
    </w:p>
    <w:p>
      <w:pPr>
        <w:snapToGrid w:val="0"/>
        <w:jc w:val="center"/>
        <w:rPr>
          <w:rStyle w:val="71"/>
          <w:rFonts w:ascii="黑体" w:hAnsi="黑体" w:eastAsia="黑体" w:cs="黑体"/>
          <w:sz w:val="36"/>
          <w:szCs w:val="36"/>
        </w:rPr>
      </w:pPr>
      <w:r>
        <w:rPr>
          <w:rStyle w:val="71"/>
          <w:rFonts w:hint="eastAsia" w:ascii="黑体" w:hAnsi="黑体" w:eastAsia="黑体" w:cs="黑体"/>
          <w:sz w:val="36"/>
          <w:szCs w:val="36"/>
        </w:rPr>
        <w:t>第一章 供应商须知</w:t>
      </w:r>
    </w:p>
    <w:p>
      <w:p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一、</w:t>
      </w:r>
      <w:r>
        <w:rPr>
          <w:rStyle w:val="71"/>
          <w:rFonts w:hint="eastAsia" w:ascii="宋体" w:hAnsi="宋体" w:cs="宋体"/>
          <w:bCs/>
          <w:sz w:val="32"/>
          <w:szCs w:val="32"/>
          <w:lang w:eastAsia="zh-CN"/>
        </w:rPr>
        <w:t>梁河公司办公楼单元楼青工楼楼梯扶手防护栏补焊项目</w:t>
      </w:r>
      <w:r>
        <w:rPr>
          <w:rStyle w:val="71"/>
          <w:rFonts w:hint="eastAsia" w:ascii="宋体" w:hAnsi="宋体" w:cs="宋体"/>
          <w:bCs/>
          <w:sz w:val="32"/>
          <w:szCs w:val="32"/>
        </w:rPr>
        <w:t>采购询比价工作；</w:t>
      </w:r>
    </w:p>
    <w:p>
      <w:p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二、本次采购定价形式采用询比价的方式（统谈</w:t>
      </w:r>
      <w:r>
        <w:rPr>
          <w:rStyle w:val="71"/>
          <w:rFonts w:hint="eastAsia" w:ascii="宋体" w:hAnsi="宋体" w:cs="宋体"/>
          <w:bCs/>
          <w:sz w:val="32"/>
          <w:szCs w:val="32"/>
        </w:rPr>
        <w:t>统</w:t>
      </w:r>
      <w:r>
        <w:rPr>
          <w:rStyle w:val="71"/>
          <w:rFonts w:ascii="宋体" w:hAnsi="宋体" w:cs="宋体"/>
          <w:bCs/>
          <w:sz w:val="32"/>
          <w:szCs w:val="32"/>
        </w:rPr>
        <w:t>签）</w:t>
      </w:r>
      <w:r>
        <w:rPr>
          <w:rStyle w:val="71"/>
          <w:rFonts w:hint="eastAsia" w:ascii="宋体" w:hAnsi="宋体" w:cs="宋体"/>
          <w:bCs/>
          <w:sz w:val="32"/>
          <w:szCs w:val="32"/>
        </w:rPr>
        <w:t>；</w:t>
      </w:r>
    </w:p>
    <w:p>
      <w:p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三、供应商可以通过公开报名方式报名参与；</w:t>
      </w:r>
    </w:p>
    <w:p>
      <w:pPr>
        <w:snapToGrid w:val="0"/>
        <w:spacing w:line="560" w:lineRule="exact"/>
        <w:ind w:firstLine="640" w:firstLineChars="200"/>
        <w:rPr>
          <w:rStyle w:val="71"/>
          <w:rFonts w:ascii="宋体" w:hAnsi="宋体" w:cs="宋体"/>
          <w:b/>
          <w:bCs/>
          <w:sz w:val="32"/>
          <w:szCs w:val="32"/>
        </w:rPr>
      </w:pPr>
      <w:r>
        <w:rPr>
          <w:rStyle w:val="71"/>
          <w:rFonts w:ascii="宋体" w:hAnsi="宋体" w:cs="宋体"/>
          <w:bCs/>
          <w:sz w:val="32"/>
          <w:szCs w:val="32"/>
        </w:rPr>
        <w:t>四</w:t>
      </w:r>
      <w:r>
        <w:rPr>
          <w:rStyle w:val="71"/>
          <w:rFonts w:ascii="宋体" w:hAnsi="宋体" w:cs="宋体"/>
          <w:b/>
          <w:bCs/>
          <w:sz w:val="32"/>
          <w:szCs w:val="32"/>
        </w:rPr>
        <w:t>、供应商注册须在</w:t>
      </w:r>
      <w:r>
        <w:rPr>
          <w:rStyle w:val="71"/>
          <w:rFonts w:hint="eastAsia" w:ascii="宋体" w:hAnsi="宋体" w:cs="宋体"/>
          <w:b/>
          <w:bCs/>
          <w:sz w:val="32"/>
          <w:szCs w:val="32"/>
        </w:rPr>
        <w:t>询价项目发布前</w:t>
      </w:r>
      <w:r>
        <w:rPr>
          <w:rStyle w:val="71"/>
          <w:rFonts w:ascii="宋体" w:hAnsi="宋体" w:cs="宋体"/>
          <w:b/>
          <w:bCs/>
          <w:sz w:val="32"/>
          <w:szCs w:val="32"/>
        </w:rPr>
        <w:t>到中粮糖业采购平台进行注册登记，通过审核的供应商才能够在eps系统内进行查看公告等业务操作；采购平台网址：</w:t>
      </w:r>
      <w:r>
        <w:rPr>
          <w:rStyle w:val="46"/>
          <w:rFonts w:ascii="宋体" w:hAnsi="宋体" w:cs="宋体"/>
          <w:b/>
          <w:bCs/>
          <w:sz w:val="32"/>
          <w:szCs w:val="32"/>
          <w:u w:color="0000FF"/>
        </w:rPr>
        <w:t>http://eps.cofcotunhe.com</w:t>
      </w:r>
      <w:r>
        <w:rPr>
          <w:rStyle w:val="71"/>
          <w:rFonts w:ascii="宋体" w:hAnsi="宋体" w:cs="宋体"/>
          <w:b/>
          <w:bCs/>
          <w:sz w:val="32"/>
          <w:szCs w:val="32"/>
        </w:rPr>
        <w:t>；</w:t>
      </w:r>
    </w:p>
    <w:p>
      <w:p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说明：采购工作小组对报送资料初审。初审期间将对报名供应商通过天眼查、信用中国、政府采购网等网站核查供应商关联关系、信用情况及违法违规情况进行核查，对于存在不良记录或报送资料严重不符合要求的将被直接淘汰，对报送资料中非重要部分填写不完整的，审核小组以邮件或微信通知的方式通知供应商补充完善，未补充完成的视为自动放弃本次询价；请报名供应商主动与审核小组人员联系，确认资质审核结果；</w:t>
      </w:r>
    </w:p>
    <w:p>
      <w:pPr>
        <w:numPr>
          <w:ilvl w:val="0"/>
          <w:numId w:val="2"/>
        </w:num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报名截止时间及投标截止时间</w:t>
      </w:r>
    </w:p>
    <w:p>
      <w:p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供应商须在</w:t>
      </w:r>
      <w:r>
        <w:rPr>
          <w:rStyle w:val="71"/>
          <w:rFonts w:hint="eastAsia" w:ascii="宋体" w:hAnsi="宋体" w:cs="宋体"/>
          <w:bCs/>
          <w:sz w:val="32"/>
          <w:szCs w:val="32"/>
        </w:rPr>
        <w:t>项目公示发布后三天内</w:t>
      </w:r>
      <w:r>
        <w:rPr>
          <w:rStyle w:val="71"/>
          <w:rFonts w:ascii="宋体" w:hAnsi="宋体" w:cs="宋体"/>
          <w:bCs/>
          <w:sz w:val="32"/>
          <w:szCs w:val="32"/>
        </w:rPr>
        <w:t>完成报名，对于报名初审通过的供应商，须在</w:t>
      </w:r>
      <w:r>
        <w:rPr>
          <w:rStyle w:val="71"/>
          <w:rFonts w:hint="eastAsia" w:ascii="宋体" w:hAnsi="宋体" w:cs="宋体"/>
          <w:bCs/>
          <w:sz w:val="32"/>
          <w:szCs w:val="32"/>
        </w:rPr>
        <w:t>规定时间内</w:t>
      </w:r>
      <w:r>
        <w:rPr>
          <w:rStyle w:val="71"/>
          <w:rFonts w:ascii="宋体" w:hAnsi="宋体" w:cs="宋体"/>
          <w:bCs/>
          <w:sz w:val="32"/>
          <w:szCs w:val="32"/>
        </w:rPr>
        <w:t>完成报价。</w:t>
      </w:r>
    </w:p>
    <w:p>
      <w:pPr>
        <w:numPr>
          <w:ilvl w:val="0"/>
          <w:numId w:val="2"/>
        </w:num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在授标结果下发后</w:t>
      </w:r>
      <w:r>
        <w:rPr>
          <w:rStyle w:val="71"/>
          <w:rFonts w:hint="eastAsia" w:ascii="宋体" w:hAnsi="宋体" w:cs="宋体"/>
          <w:bCs/>
          <w:sz w:val="32"/>
          <w:szCs w:val="32"/>
        </w:rPr>
        <w:t>30</w:t>
      </w:r>
      <w:r>
        <w:rPr>
          <w:rStyle w:val="71"/>
          <w:rFonts w:ascii="宋体" w:hAnsi="宋体" w:cs="宋体"/>
          <w:bCs/>
          <w:sz w:val="32"/>
          <w:szCs w:val="32"/>
        </w:rPr>
        <w:t>日内中标供应商与</w:t>
      </w:r>
      <w:r>
        <w:rPr>
          <w:rStyle w:val="71"/>
          <w:rFonts w:hint="eastAsia" w:ascii="宋体" w:hAnsi="宋体" w:cs="宋体"/>
          <w:bCs/>
          <w:sz w:val="32"/>
          <w:szCs w:val="32"/>
        </w:rPr>
        <w:t>中粮梁河糖业有限公司</w:t>
      </w:r>
      <w:r>
        <w:rPr>
          <w:rStyle w:val="71"/>
          <w:rFonts w:ascii="宋体" w:hAnsi="宋体" w:cs="宋体"/>
          <w:bCs/>
          <w:sz w:val="32"/>
          <w:szCs w:val="32"/>
        </w:rPr>
        <w:t>签订合同；</w:t>
      </w:r>
    </w:p>
    <w:p>
      <w:pPr>
        <w:numPr>
          <w:ilvl w:val="0"/>
          <w:numId w:val="2"/>
        </w:num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采购监督方式</w:t>
      </w:r>
    </w:p>
    <w:p>
      <w:p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（一）中粮糖业纪检监督联系方式</w:t>
      </w:r>
    </w:p>
    <w:p>
      <w:p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办公电话：010-85017235</w:t>
      </w:r>
    </w:p>
    <w:p>
      <w:p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通讯地址：北京市朝阳区朝阳门南大街8号</w:t>
      </w:r>
      <w:r>
        <w:rPr>
          <w:rStyle w:val="71"/>
          <w:rFonts w:hint="eastAsia" w:ascii="宋体" w:hAnsi="宋体" w:cs="宋体"/>
          <w:bCs/>
          <w:sz w:val="32"/>
          <w:szCs w:val="32"/>
        </w:rPr>
        <w:t>中粮福临门大厦</w:t>
      </w:r>
      <w:r>
        <w:rPr>
          <w:rStyle w:val="71"/>
          <w:rFonts w:ascii="宋体" w:hAnsi="宋体" w:cs="宋体"/>
          <w:bCs/>
          <w:sz w:val="32"/>
          <w:szCs w:val="32"/>
        </w:rPr>
        <w:t>9层905</w:t>
      </w:r>
      <w:r>
        <w:rPr>
          <w:rStyle w:val="71"/>
          <w:rFonts w:hint="eastAsia" w:ascii="宋体" w:hAnsi="宋体" w:cs="宋体"/>
          <w:bCs/>
          <w:sz w:val="32"/>
          <w:szCs w:val="32"/>
        </w:rPr>
        <w:t>房间，中粮糖业</w:t>
      </w:r>
      <w:r>
        <w:rPr>
          <w:rStyle w:val="71"/>
          <w:rFonts w:ascii="宋体" w:hAnsi="宋体" w:cs="宋体"/>
          <w:bCs/>
          <w:sz w:val="32"/>
          <w:szCs w:val="32"/>
        </w:rPr>
        <w:t>纪委办公室收，邮编100020</w:t>
      </w:r>
      <w:r>
        <w:rPr>
          <w:rStyle w:val="71"/>
          <w:rFonts w:hint="eastAsia" w:ascii="宋体" w:hAnsi="宋体" w:cs="宋体"/>
          <w:bCs/>
          <w:sz w:val="32"/>
          <w:szCs w:val="32"/>
        </w:rPr>
        <w:t>。</w:t>
      </w:r>
      <w:r>
        <w:rPr>
          <w:rStyle w:val="71"/>
          <w:rFonts w:ascii="宋体" w:hAnsi="宋体" w:cs="宋体"/>
          <w:bCs/>
          <w:sz w:val="32"/>
          <w:szCs w:val="32"/>
        </w:rPr>
        <w:t xml:space="preserve"> </w:t>
      </w:r>
    </w:p>
    <w:p>
      <w:pPr>
        <w:numPr>
          <w:ilvl w:val="0"/>
          <w:numId w:val="3"/>
        </w:numPr>
        <w:snapToGrid w:val="0"/>
        <w:spacing w:line="560" w:lineRule="exact"/>
        <w:ind w:firstLine="640" w:firstLineChars="200"/>
        <w:rPr>
          <w:rStyle w:val="71"/>
          <w:rFonts w:ascii="宋体" w:hAnsi="宋体" w:cs="宋体"/>
          <w:bCs/>
          <w:sz w:val="32"/>
          <w:szCs w:val="32"/>
        </w:rPr>
      </w:pPr>
      <w:r>
        <w:rPr>
          <w:rStyle w:val="71"/>
          <w:rFonts w:ascii="宋体" w:hAnsi="宋体" w:cs="宋体"/>
          <w:bCs/>
          <w:sz w:val="32"/>
          <w:szCs w:val="32"/>
        </w:rPr>
        <w:t>甘蔗糖部纪委监督联系方式</w:t>
      </w:r>
    </w:p>
    <w:p>
      <w:pPr>
        <w:snapToGrid w:val="0"/>
        <w:spacing w:line="560" w:lineRule="exact"/>
        <w:ind w:firstLine="640" w:firstLineChars="200"/>
        <w:jc w:val="left"/>
        <w:rPr>
          <w:rStyle w:val="71"/>
          <w:rFonts w:ascii="宋体" w:hAnsi="宋体"/>
          <w:sz w:val="32"/>
          <w:szCs w:val="32"/>
        </w:rPr>
      </w:pPr>
      <w:r>
        <w:rPr>
          <w:rStyle w:val="71"/>
          <w:rFonts w:ascii="宋体" w:hAnsi="宋体"/>
          <w:color w:val="000000"/>
          <w:kern w:val="0"/>
          <w:sz w:val="32"/>
          <w:szCs w:val="32"/>
        </w:rPr>
        <w:t xml:space="preserve">联系电话：13909946165/15296390978 </w:t>
      </w:r>
    </w:p>
    <w:p>
      <w:pPr>
        <w:snapToGrid w:val="0"/>
        <w:spacing w:line="560" w:lineRule="exact"/>
        <w:ind w:firstLine="640" w:firstLineChars="200"/>
        <w:jc w:val="left"/>
        <w:rPr>
          <w:rStyle w:val="71"/>
          <w:rFonts w:ascii="宋体" w:hAnsi="宋体"/>
          <w:sz w:val="32"/>
          <w:szCs w:val="32"/>
        </w:rPr>
      </w:pPr>
      <w:r>
        <w:rPr>
          <w:rStyle w:val="71"/>
          <w:rFonts w:ascii="宋体" w:hAnsi="宋体"/>
          <w:color w:val="000000"/>
          <w:kern w:val="0"/>
          <w:sz w:val="32"/>
          <w:szCs w:val="32"/>
        </w:rPr>
        <w:t>通讯地址：广西壮族自治区崇左市江州区工业大道 1 号</w:t>
      </w:r>
      <w:r>
        <w:rPr>
          <w:rStyle w:val="71"/>
          <w:rFonts w:hint="eastAsia" w:ascii="宋体" w:hAnsi="宋体"/>
          <w:color w:val="000000"/>
          <w:kern w:val="0"/>
          <w:sz w:val="32"/>
          <w:szCs w:val="32"/>
        </w:rPr>
        <w:t>中粮糖业</w:t>
      </w:r>
      <w:r>
        <w:rPr>
          <w:rStyle w:val="71"/>
          <w:rFonts w:ascii="宋体" w:hAnsi="宋体"/>
          <w:color w:val="000000"/>
          <w:kern w:val="0"/>
          <w:sz w:val="32"/>
          <w:szCs w:val="32"/>
        </w:rPr>
        <w:t>甘蔗糖部党群纪检部收，邮编：532200。</w:t>
      </w:r>
    </w:p>
    <w:p>
      <w:pPr>
        <w:spacing w:line="460" w:lineRule="exact"/>
        <w:ind w:firstLine="456" w:firstLineChars="150"/>
        <w:rPr>
          <w:rFonts w:ascii="宋体" w:hAnsi="宋体"/>
          <w:w w:val="95"/>
          <w:sz w:val="32"/>
          <w:szCs w:val="32"/>
        </w:rPr>
      </w:pPr>
      <w:r>
        <w:rPr>
          <w:rFonts w:hint="eastAsia" w:ascii="宋体" w:hAnsi="宋体"/>
          <w:w w:val="95"/>
          <w:sz w:val="32"/>
          <w:szCs w:val="32"/>
        </w:rPr>
        <w:t>（三</w:t>
      </w:r>
      <w:r>
        <w:rPr>
          <w:rFonts w:ascii="宋体" w:hAnsi="宋体"/>
          <w:w w:val="95"/>
          <w:sz w:val="32"/>
          <w:szCs w:val="32"/>
        </w:rPr>
        <w:t>）</w:t>
      </w:r>
      <w:r>
        <w:rPr>
          <w:rFonts w:hint="eastAsia" w:ascii="宋体" w:hAnsi="宋体"/>
          <w:w w:val="95"/>
          <w:sz w:val="32"/>
          <w:szCs w:val="32"/>
        </w:rPr>
        <w:t>梁河糖业纪委联系方式</w:t>
      </w:r>
    </w:p>
    <w:p>
      <w:pPr>
        <w:spacing w:line="460" w:lineRule="exact"/>
        <w:ind w:firstLine="456" w:firstLineChars="150"/>
        <w:rPr>
          <w:rFonts w:ascii="宋体" w:hAnsi="宋体"/>
          <w:sz w:val="32"/>
          <w:szCs w:val="32"/>
        </w:rPr>
      </w:pPr>
      <w:r>
        <w:rPr>
          <w:rFonts w:hint="eastAsia" w:ascii="宋体" w:hAnsi="宋体"/>
          <w:w w:val="95"/>
          <w:sz w:val="32"/>
          <w:szCs w:val="32"/>
        </w:rPr>
        <w:t>联系电话 18878008387 、13308827899</w:t>
      </w:r>
    </w:p>
    <w:p>
      <w:pPr>
        <w:pStyle w:val="5"/>
        <w:spacing w:before="149" w:line="328" w:lineRule="auto"/>
        <w:ind w:left="-4" w:leftChars="-2" w:right="235" w:firstLine="608" w:firstLineChars="200"/>
        <w:rPr>
          <w:rFonts w:ascii="宋体" w:hAnsi="宋体"/>
          <w:sz w:val="32"/>
          <w:szCs w:val="32"/>
          <w:lang w:eastAsia="zh-CN"/>
        </w:rPr>
      </w:pPr>
      <w:r>
        <w:rPr>
          <w:rFonts w:hint="eastAsia" w:ascii="宋体" w:hAnsi="宋体"/>
          <w:w w:val="95"/>
          <w:sz w:val="32"/>
          <w:szCs w:val="32"/>
          <w:lang w:eastAsia="zh-CN"/>
        </w:rPr>
        <w:t>通信地址：</w:t>
      </w:r>
      <w:r>
        <w:rPr>
          <w:rFonts w:hint="eastAsia" w:ascii="宋体" w:hAnsi="宋体"/>
          <w:sz w:val="32"/>
          <w:szCs w:val="32"/>
          <w:lang w:eastAsia="zh-CN"/>
        </w:rPr>
        <w:t>云南省德宏州梁河县勐养镇中营村委会党良街（原勐养糖厂内）</w:t>
      </w:r>
      <w:r>
        <w:rPr>
          <w:rFonts w:hint="eastAsia" w:ascii="宋体" w:hAnsi="宋体"/>
          <w:w w:val="95"/>
          <w:sz w:val="32"/>
          <w:szCs w:val="32"/>
          <w:lang w:eastAsia="zh-CN"/>
        </w:rPr>
        <w:t>中粮梁河糖业有限公司</w:t>
      </w:r>
      <w:r>
        <w:rPr>
          <w:rFonts w:hint="eastAsia" w:ascii="宋体" w:hAnsi="宋体"/>
          <w:w w:val="99"/>
          <w:sz w:val="32"/>
          <w:szCs w:val="32"/>
          <w:lang w:eastAsia="zh-CN"/>
        </w:rPr>
        <w:t>纪检（</w:t>
      </w:r>
      <w:r>
        <w:rPr>
          <w:rFonts w:hint="eastAsia" w:ascii="宋体" w:hAnsi="宋体"/>
          <w:spacing w:val="1"/>
          <w:w w:val="99"/>
          <w:sz w:val="32"/>
          <w:szCs w:val="32"/>
          <w:lang w:eastAsia="zh-CN"/>
        </w:rPr>
        <w:t>收</w:t>
      </w:r>
      <w:r>
        <w:rPr>
          <w:rFonts w:hint="eastAsia" w:ascii="宋体" w:hAnsi="宋体"/>
          <w:spacing w:val="-161"/>
          <w:w w:val="99"/>
          <w:sz w:val="32"/>
          <w:szCs w:val="32"/>
          <w:lang w:eastAsia="zh-CN"/>
        </w:rPr>
        <w:t>）</w:t>
      </w:r>
      <w:r>
        <w:rPr>
          <w:rFonts w:hint="eastAsia" w:ascii="宋体" w:hAnsi="宋体"/>
          <w:w w:val="99"/>
          <w:sz w:val="32"/>
          <w:szCs w:val="32"/>
          <w:lang w:eastAsia="zh-CN"/>
        </w:rPr>
        <w:t>，邮编679207。</w:t>
      </w:r>
    </w:p>
    <w:p>
      <w:pPr>
        <w:spacing w:line="460" w:lineRule="exact"/>
        <w:ind w:left="1600" w:hanging="1600" w:hangingChars="500"/>
        <w:rPr>
          <w:rFonts w:ascii="仿宋_GB2312" w:eastAsia="仿宋_GB2312"/>
          <w:sz w:val="32"/>
          <w:szCs w:val="32"/>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p>
    <w:p>
      <w:pPr>
        <w:snapToGrid w:val="0"/>
        <w:jc w:val="center"/>
        <w:rPr>
          <w:rStyle w:val="71"/>
          <w:rFonts w:ascii="宋体" w:hAnsi="宋体"/>
          <w:b/>
          <w:bCs/>
          <w:sz w:val="36"/>
          <w:szCs w:val="36"/>
        </w:rPr>
      </w:pPr>
      <w:r>
        <w:rPr>
          <w:rStyle w:val="71"/>
          <w:rFonts w:ascii="宋体" w:hAnsi="宋体"/>
          <w:b/>
          <w:bCs/>
          <w:sz w:val="36"/>
          <w:szCs w:val="36"/>
        </w:rPr>
        <w:br w:type="page"/>
      </w:r>
    </w:p>
    <w:p>
      <w:pPr>
        <w:snapToGrid w:val="0"/>
        <w:ind w:left="2150" w:firstLine="1440" w:firstLineChars="400"/>
        <w:rPr>
          <w:rStyle w:val="71"/>
          <w:rFonts w:ascii="黑体" w:hAnsi="黑体" w:eastAsia="黑体" w:cs="黑体"/>
          <w:sz w:val="36"/>
          <w:szCs w:val="36"/>
        </w:rPr>
      </w:pPr>
      <w:r>
        <w:rPr>
          <w:rStyle w:val="71"/>
          <w:rFonts w:hint="eastAsia" w:ascii="黑体" w:hAnsi="黑体" w:eastAsia="黑体" w:cs="黑体"/>
          <w:sz w:val="36"/>
          <w:szCs w:val="36"/>
          <w:highlight w:val="lightGray"/>
        </w:rPr>
        <w:t>第二章</w:t>
      </w:r>
      <w:r>
        <w:rPr>
          <w:rStyle w:val="71"/>
          <w:rFonts w:hint="eastAsia" w:ascii="黑体" w:hAnsi="黑体" w:eastAsia="黑体" w:cs="黑体"/>
          <w:sz w:val="36"/>
          <w:szCs w:val="36"/>
        </w:rPr>
        <w:t xml:space="preserve"> 报价说明</w:t>
      </w:r>
    </w:p>
    <w:p>
      <w:pPr>
        <w:snapToGrid w:val="0"/>
        <w:rPr>
          <w:rStyle w:val="71"/>
          <w:rFonts w:ascii="宋体" w:hAnsi="宋体"/>
          <w:b/>
          <w:bCs/>
          <w:sz w:val="36"/>
          <w:szCs w:val="36"/>
        </w:rPr>
      </w:pPr>
    </w:p>
    <w:p>
      <w:pPr>
        <w:tabs>
          <w:tab w:val="left" w:pos="312"/>
        </w:tabs>
        <w:snapToGrid w:val="0"/>
        <w:spacing w:line="560" w:lineRule="exact"/>
        <w:ind w:firstLine="640" w:firstLineChars="200"/>
        <w:rPr>
          <w:rStyle w:val="71"/>
          <w:rFonts w:ascii="宋体" w:hAnsi="宋体"/>
          <w:bCs/>
          <w:sz w:val="32"/>
          <w:szCs w:val="32"/>
        </w:rPr>
      </w:pPr>
      <w:r>
        <w:rPr>
          <w:rStyle w:val="71"/>
          <w:rFonts w:hint="eastAsia" w:ascii="宋体" w:hAnsi="宋体"/>
          <w:bCs/>
          <w:sz w:val="32"/>
          <w:szCs w:val="32"/>
        </w:rPr>
        <w:t>1、</w:t>
      </w:r>
      <w:r>
        <w:rPr>
          <w:rStyle w:val="71"/>
          <w:rFonts w:ascii="宋体" w:hAnsi="宋体"/>
          <w:bCs/>
          <w:sz w:val="32"/>
          <w:szCs w:val="32"/>
        </w:rPr>
        <w:t>本次询比价有效期为30天；</w:t>
      </w:r>
    </w:p>
    <w:p>
      <w:pPr>
        <w:tabs>
          <w:tab w:val="left" w:pos="312"/>
        </w:tabs>
        <w:snapToGrid w:val="0"/>
        <w:spacing w:line="560" w:lineRule="exact"/>
        <w:ind w:firstLine="640" w:firstLineChars="200"/>
        <w:rPr>
          <w:rStyle w:val="71"/>
          <w:rFonts w:ascii="宋体" w:hAnsi="宋体"/>
          <w:bCs/>
          <w:sz w:val="32"/>
          <w:szCs w:val="32"/>
        </w:rPr>
      </w:pPr>
      <w:r>
        <w:rPr>
          <w:rStyle w:val="71"/>
          <w:rFonts w:hint="eastAsia" w:ascii="宋体" w:hAnsi="宋体"/>
          <w:bCs/>
          <w:sz w:val="32"/>
          <w:szCs w:val="32"/>
        </w:rPr>
        <w:t>2、定价方式为一票制，询价函中分项报价总和要与系统报价一致，报价已包含供货、验收、税金、安全等一切可能发生的费用。</w:t>
      </w:r>
    </w:p>
    <w:p>
      <w:pPr>
        <w:tabs>
          <w:tab w:val="left" w:pos="312"/>
        </w:tabs>
        <w:snapToGrid w:val="0"/>
        <w:spacing w:line="560" w:lineRule="exact"/>
        <w:ind w:firstLine="640" w:firstLineChars="200"/>
        <w:rPr>
          <w:rStyle w:val="71"/>
          <w:rFonts w:ascii="宋体" w:hAnsi="宋体"/>
          <w:bCs/>
          <w:sz w:val="32"/>
          <w:szCs w:val="32"/>
        </w:rPr>
      </w:pPr>
      <w:r>
        <w:rPr>
          <w:rStyle w:val="71"/>
          <w:rFonts w:hint="eastAsia" w:ascii="宋体" w:hAnsi="宋体"/>
          <w:bCs/>
          <w:sz w:val="32"/>
          <w:szCs w:val="32"/>
        </w:rPr>
        <w:t>3、报价税率按能提供的增值税专用税率填报，询价函与系统报价税率不一致时，则以系统报价税率计。</w:t>
      </w:r>
    </w:p>
    <w:p>
      <w:pPr>
        <w:spacing w:line="500" w:lineRule="exact"/>
        <w:ind w:firstLine="640" w:firstLineChars="200"/>
        <w:rPr>
          <w:rStyle w:val="71"/>
          <w:rFonts w:ascii="宋体" w:hAnsi="宋体"/>
          <w:bCs/>
          <w:sz w:val="32"/>
          <w:szCs w:val="32"/>
        </w:rPr>
      </w:pPr>
      <w:r>
        <w:rPr>
          <w:rStyle w:val="71"/>
          <w:rFonts w:ascii="宋体" w:hAnsi="宋体"/>
          <w:bCs/>
          <w:sz w:val="32"/>
          <w:szCs w:val="32"/>
        </w:rPr>
        <w:t>4</w:t>
      </w:r>
      <w:r>
        <w:rPr>
          <w:rStyle w:val="71"/>
          <w:rFonts w:hint="eastAsia" w:ascii="宋体" w:hAnsi="宋体"/>
          <w:bCs/>
          <w:sz w:val="32"/>
          <w:szCs w:val="32"/>
        </w:rPr>
        <w:t>、参与报价的承包方需于中粮采购平台设定的投标截止时间前，进行线上报价。(具体以线上ＥＰＳ系统要求为准)</w:t>
      </w:r>
    </w:p>
    <w:p>
      <w:pPr>
        <w:spacing w:line="500" w:lineRule="exact"/>
        <w:ind w:firstLine="640" w:firstLineChars="200"/>
        <w:rPr>
          <w:rStyle w:val="71"/>
          <w:rFonts w:ascii="宋体" w:hAnsi="宋体"/>
          <w:bCs/>
          <w:sz w:val="32"/>
          <w:szCs w:val="32"/>
        </w:rPr>
      </w:pPr>
      <w:r>
        <w:rPr>
          <w:rStyle w:val="71"/>
          <w:rFonts w:ascii="宋体" w:hAnsi="宋体"/>
          <w:bCs/>
          <w:sz w:val="32"/>
          <w:szCs w:val="32"/>
        </w:rPr>
        <w:t>5</w:t>
      </w:r>
      <w:r>
        <w:rPr>
          <w:rStyle w:val="71"/>
          <w:rFonts w:hint="eastAsia" w:ascii="宋体" w:hAnsi="宋体"/>
          <w:bCs/>
          <w:sz w:val="32"/>
          <w:szCs w:val="32"/>
        </w:rPr>
        <w:t>、报价形式：</w:t>
      </w:r>
      <w:r>
        <w:rPr>
          <w:rStyle w:val="71"/>
          <w:rFonts w:hint="eastAsia" w:ascii="宋体" w:hAnsi="宋体"/>
          <w:bCs/>
          <w:sz w:val="32"/>
          <w:szCs w:val="32"/>
          <w:lang w:eastAsia="zh-CN"/>
        </w:rPr>
        <w:t>一</w:t>
      </w:r>
      <w:r>
        <w:rPr>
          <w:rStyle w:val="71"/>
          <w:rFonts w:hint="eastAsia" w:ascii="宋体" w:hAnsi="宋体"/>
          <w:bCs/>
          <w:sz w:val="32"/>
          <w:szCs w:val="32"/>
        </w:rPr>
        <w:t>轮报价</w:t>
      </w:r>
    </w:p>
    <w:p>
      <w:pPr>
        <w:snapToGrid w:val="0"/>
        <w:ind w:firstLine="640" w:firstLineChars="200"/>
        <w:rPr>
          <w:rStyle w:val="71"/>
          <w:rFonts w:ascii="宋体" w:hAnsi="宋体"/>
          <w:bCs/>
          <w:sz w:val="32"/>
          <w:szCs w:val="32"/>
        </w:rPr>
      </w:pPr>
      <w:r>
        <w:rPr>
          <w:rStyle w:val="71"/>
          <w:rFonts w:ascii="宋体" w:hAnsi="宋体"/>
          <w:bCs/>
          <w:sz w:val="32"/>
          <w:szCs w:val="32"/>
        </w:rPr>
        <w:t>6</w:t>
      </w:r>
      <w:r>
        <w:rPr>
          <w:rStyle w:val="71"/>
          <w:rFonts w:hint="eastAsia" w:ascii="宋体" w:hAnsi="宋体"/>
          <w:bCs/>
          <w:sz w:val="32"/>
          <w:szCs w:val="32"/>
        </w:rPr>
        <w:t>、每个标的必须报价。</w:t>
      </w:r>
    </w:p>
    <w:p>
      <w:pPr>
        <w:tabs>
          <w:tab w:val="left" w:pos="312"/>
        </w:tabs>
        <w:snapToGrid w:val="0"/>
        <w:spacing w:line="560" w:lineRule="exact"/>
        <w:ind w:firstLine="640" w:firstLineChars="200"/>
        <w:rPr>
          <w:rStyle w:val="71"/>
          <w:rFonts w:ascii="宋体" w:hAnsi="宋体"/>
          <w:bCs/>
          <w:sz w:val="32"/>
          <w:szCs w:val="32"/>
        </w:rPr>
      </w:pPr>
      <w:r>
        <w:rPr>
          <w:rStyle w:val="71"/>
          <w:rFonts w:ascii="宋体" w:hAnsi="宋体"/>
          <w:bCs/>
          <w:sz w:val="32"/>
          <w:szCs w:val="32"/>
        </w:rPr>
        <w:t>7</w:t>
      </w:r>
      <w:r>
        <w:rPr>
          <w:rStyle w:val="71"/>
          <w:rFonts w:hint="eastAsia" w:ascii="宋体" w:hAnsi="宋体"/>
          <w:bCs/>
          <w:sz w:val="32"/>
          <w:szCs w:val="32"/>
        </w:rPr>
        <w:t>、采购单位：中粮梁河糖业有限公司。</w:t>
      </w:r>
    </w:p>
    <w:p>
      <w:pPr>
        <w:tabs>
          <w:tab w:val="left" w:pos="312"/>
        </w:tabs>
        <w:snapToGrid w:val="0"/>
        <w:spacing w:line="560" w:lineRule="exact"/>
        <w:ind w:firstLine="640" w:firstLineChars="200"/>
        <w:rPr>
          <w:rStyle w:val="71"/>
          <w:rFonts w:ascii="宋体" w:hAnsi="宋体"/>
          <w:bCs/>
          <w:sz w:val="32"/>
          <w:szCs w:val="32"/>
        </w:rPr>
      </w:pPr>
      <w:r>
        <w:rPr>
          <w:rStyle w:val="71"/>
          <w:rFonts w:ascii="宋体" w:hAnsi="宋体"/>
          <w:bCs/>
          <w:sz w:val="32"/>
          <w:szCs w:val="32"/>
        </w:rPr>
        <w:t>联系人：</w:t>
      </w:r>
      <w:r>
        <w:rPr>
          <w:rStyle w:val="71"/>
          <w:rFonts w:hint="eastAsia" w:ascii="宋体" w:hAnsi="宋体"/>
          <w:bCs/>
          <w:sz w:val="32"/>
          <w:szCs w:val="32"/>
        </w:rPr>
        <w:t>杨常茂</w:t>
      </w:r>
      <w:r>
        <w:rPr>
          <w:rStyle w:val="71"/>
          <w:rFonts w:ascii="宋体" w:hAnsi="宋体"/>
          <w:bCs/>
          <w:sz w:val="32"/>
          <w:szCs w:val="32"/>
        </w:rPr>
        <w:t xml:space="preserve">  联系电话 13987028948</w:t>
      </w: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ind w:firstLine="3200" w:firstLineChars="1000"/>
        <w:rPr>
          <w:rStyle w:val="71"/>
          <w:rFonts w:ascii="宋体" w:hAnsi="宋体"/>
          <w:bCs/>
          <w:sz w:val="32"/>
          <w:szCs w:val="32"/>
        </w:rPr>
      </w:pPr>
      <w:bookmarkStart w:id="0" w:name="OLE_LINK16"/>
      <w:bookmarkStart w:id="1" w:name="OLE_LINK15"/>
      <w:r>
        <w:rPr>
          <w:rStyle w:val="71"/>
          <w:rFonts w:hint="eastAsia" w:ascii="宋体" w:hAnsi="宋体"/>
          <w:bCs/>
          <w:sz w:val="32"/>
          <w:szCs w:val="32"/>
        </w:rPr>
        <w:t>第三章 项目需求</w:t>
      </w:r>
    </w:p>
    <w:bookmarkEnd w:id="0"/>
    <w:bookmarkEnd w:id="1"/>
    <w:p>
      <w:pPr>
        <w:spacing w:line="520" w:lineRule="exact"/>
        <w:ind w:firstLine="640" w:firstLineChars="200"/>
        <w:rPr>
          <w:rStyle w:val="71"/>
          <w:rFonts w:ascii="宋体" w:hAnsi="宋体"/>
          <w:sz w:val="32"/>
          <w:szCs w:val="32"/>
        </w:rPr>
      </w:pPr>
      <w:r>
        <w:rPr>
          <w:rStyle w:val="71"/>
          <w:rFonts w:ascii="宋体" w:hAnsi="宋体"/>
          <w:sz w:val="32"/>
          <w:szCs w:val="32"/>
        </w:rPr>
        <w:t>一</w:t>
      </w:r>
      <w:r>
        <w:rPr>
          <w:rStyle w:val="71"/>
          <w:rFonts w:hint="eastAsia" w:ascii="宋体" w:hAnsi="宋体"/>
          <w:sz w:val="32"/>
          <w:szCs w:val="32"/>
        </w:rPr>
        <w:t>、承包商工作范畴</w:t>
      </w:r>
    </w:p>
    <w:p>
      <w:pPr>
        <w:spacing w:line="520" w:lineRule="exact"/>
        <w:ind w:firstLine="640" w:firstLineChars="200"/>
        <w:rPr>
          <w:rFonts w:eastAsia="仿宋_GB2312"/>
          <w:spacing w:val="20"/>
          <w:sz w:val="32"/>
          <w:szCs w:val="32"/>
        </w:rPr>
      </w:pPr>
      <w:r>
        <w:rPr>
          <w:rStyle w:val="71"/>
          <w:rFonts w:hint="eastAsia" w:ascii="宋体" w:hAnsi="宋体"/>
          <w:bCs/>
          <w:sz w:val="32"/>
          <w:szCs w:val="32"/>
        </w:rPr>
        <w:t>对采购方</w:t>
      </w:r>
      <w:r>
        <w:rPr>
          <w:rStyle w:val="71"/>
          <w:rFonts w:hint="eastAsia" w:ascii="宋体" w:hAnsi="宋体"/>
          <w:bCs/>
          <w:sz w:val="32"/>
          <w:szCs w:val="32"/>
          <w:lang w:eastAsia="zh-CN"/>
        </w:rPr>
        <w:t>梁河公司办公楼单元楼青工楼楼梯扶手防护栏补焊项目</w:t>
      </w:r>
      <w:r>
        <w:rPr>
          <w:rStyle w:val="71"/>
          <w:rFonts w:hint="eastAsia" w:ascii="宋体" w:hAnsi="宋体"/>
          <w:bCs/>
          <w:sz w:val="32"/>
          <w:szCs w:val="32"/>
        </w:rPr>
        <w:t>（具体项目见：中粮梁河公司询价表），承包方需根据委托方要求到现场测量、</w:t>
      </w:r>
      <w:r>
        <w:rPr>
          <w:rFonts w:hint="eastAsia" w:ascii="宋体" w:hAnsi="宋体"/>
          <w:bCs/>
          <w:sz w:val="32"/>
          <w:szCs w:val="32"/>
        </w:rPr>
        <w:t>安装、</w:t>
      </w:r>
      <w:r>
        <w:rPr>
          <w:rStyle w:val="71"/>
          <w:rFonts w:hint="eastAsia" w:ascii="宋体" w:hAnsi="宋体"/>
          <w:bCs/>
          <w:sz w:val="32"/>
          <w:szCs w:val="32"/>
        </w:rPr>
        <w:t>维修</w:t>
      </w:r>
      <w:r>
        <w:rPr>
          <w:rFonts w:hint="eastAsia" w:eastAsia="仿宋_GB2312"/>
          <w:spacing w:val="20"/>
          <w:sz w:val="32"/>
          <w:szCs w:val="32"/>
        </w:rPr>
        <w:t>。</w:t>
      </w:r>
    </w:p>
    <w:p>
      <w:pPr>
        <w:spacing w:line="520" w:lineRule="exact"/>
        <w:ind w:firstLine="640" w:firstLineChars="200"/>
        <w:rPr>
          <w:rStyle w:val="71"/>
          <w:rFonts w:ascii="宋体" w:hAnsi="宋体"/>
          <w:bCs/>
          <w:sz w:val="32"/>
          <w:szCs w:val="32"/>
        </w:rPr>
      </w:pPr>
      <w:r>
        <w:rPr>
          <w:rStyle w:val="71"/>
          <w:rFonts w:hint="eastAsia" w:ascii="宋体" w:hAnsi="宋体"/>
          <w:bCs/>
          <w:sz w:val="32"/>
          <w:szCs w:val="32"/>
        </w:rPr>
        <w:t>1</w:t>
      </w:r>
      <w:r>
        <w:rPr>
          <w:rStyle w:val="71"/>
          <w:rFonts w:ascii="宋体" w:hAnsi="宋体"/>
          <w:bCs/>
          <w:sz w:val="32"/>
          <w:szCs w:val="32"/>
        </w:rPr>
        <w:t>.1</w:t>
      </w:r>
      <w:bookmarkStart w:id="2" w:name="OLE_LINK81"/>
      <w:bookmarkStart w:id="3" w:name="OLE_LINK82"/>
      <w:r>
        <w:rPr>
          <w:rStyle w:val="71"/>
          <w:rFonts w:hint="eastAsia" w:ascii="宋体" w:hAnsi="宋体"/>
          <w:bCs/>
          <w:sz w:val="32"/>
          <w:szCs w:val="32"/>
        </w:rPr>
        <w:t>项目概况：按甲方要求对</w:t>
      </w:r>
      <w:r>
        <w:rPr>
          <w:rStyle w:val="71"/>
          <w:rFonts w:hint="eastAsia" w:ascii="宋体" w:hAnsi="宋体"/>
          <w:bCs/>
          <w:sz w:val="32"/>
          <w:szCs w:val="32"/>
          <w:lang w:eastAsia="zh-CN"/>
        </w:rPr>
        <w:t>梁河公司办公楼单元楼青工楼楼梯扶手防护栏</w:t>
      </w:r>
      <w:r>
        <w:rPr>
          <w:rStyle w:val="71"/>
          <w:rFonts w:hint="eastAsia" w:ascii="宋体" w:hAnsi="宋体"/>
          <w:bCs/>
          <w:sz w:val="32"/>
          <w:szCs w:val="32"/>
          <w:lang w:val="en-US" w:eastAsia="zh-CN"/>
        </w:rPr>
        <w:t>进行</w:t>
      </w:r>
      <w:r>
        <w:rPr>
          <w:rStyle w:val="71"/>
          <w:rFonts w:hint="eastAsia" w:ascii="宋体" w:hAnsi="宋体"/>
          <w:bCs/>
          <w:sz w:val="32"/>
          <w:szCs w:val="32"/>
          <w:lang w:eastAsia="zh-CN"/>
        </w:rPr>
        <w:t>补焊</w:t>
      </w:r>
      <w:r>
        <w:rPr>
          <w:rStyle w:val="71"/>
          <w:rFonts w:hint="eastAsia" w:ascii="宋体" w:hAnsi="宋体"/>
          <w:bCs/>
          <w:sz w:val="32"/>
          <w:szCs w:val="32"/>
        </w:rPr>
        <w:t>。</w:t>
      </w:r>
    </w:p>
    <w:bookmarkEnd w:id="2"/>
    <w:bookmarkEnd w:id="3"/>
    <w:p>
      <w:pPr>
        <w:rPr>
          <w:rStyle w:val="71"/>
          <w:rFonts w:ascii="宋体" w:hAnsi="宋体"/>
          <w:bCs/>
          <w:sz w:val="32"/>
          <w:szCs w:val="32"/>
        </w:rPr>
      </w:pPr>
      <w:r>
        <w:rPr>
          <w:rStyle w:val="71"/>
          <w:rFonts w:hint="eastAsia" w:ascii="宋体" w:hAnsi="宋体"/>
          <w:bCs/>
          <w:sz w:val="32"/>
          <w:szCs w:val="32"/>
        </w:rPr>
        <w:t>1.</w:t>
      </w:r>
      <w:r>
        <w:rPr>
          <w:rStyle w:val="71"/>
          <w:rFonts w:ascii="宋体" w:hAnsi="宋体"/>
          <w:bCs/>
          <w:sz w:val="32"/>
          <w:szCs w:val="32"/>
        </w:rPr>
        <w:t>2</w:t>
      </w:r>
      <w:r>
        <w:rPr>
          <w:rStyle w:val="71"/>
          <w:rFonts w:hint="eastAsia" w:ascii="宋体" w:hAnsi="宋体"/>
          <w:bCs/>
          <w:sz w:val="32"/>
          <w:szCs w:val="32"/>
        </w:rPr>
        <w:t>具体项目见下表</w:t>
      </w:r>
    </w:p>
    <w:tbl>
      <w:tblPr>
        <w:tblStyle w:val="39"/>
        <w:tblW w:w="9708" w:type="dxa"/>
        <w:tblInd w:w="108" w:type="dxa"/>
        <w:tblLayout w:type="autofit"/>
        <w:tblCellMar>
          <w:top w:w="0" w:type="dxa"/>
          <w:left w:w="108" w:type="dxa"/>
          <w:bottom w:w="0" w:type="dxa"/>
          <w:right w:w="108" w:type="dxa"/>
        </w:tblCellMar>
      </w:tblPr>
      <w:tblGrid>
        <w:gridCol w:w="539"/>
        <w:gridCol w:w="1197"/>
        <w:gridCol w:w="2612"/>
        <w:gridCol w:w="818"/>
        <w:gridCol w:w="946"/>
        <w:gridCol w:w="954"/>
        <w:gridCol w:w="872"/>
        <w:gridCol w:w="1770"/>
      </w:tblGrid>
      <w:tr>
        <w:tblPrEx>
          <w:tblCellMar>
            <w:top w:w="0" w:type="dxa"/>
            <w:left w:w="108" w:type="dxa"/>
            <w:bottom w:w="0" w:type="dxa"/>
            <w:right w:w="108" w:type="dxa"/>
          </w:tblCellMar>
        </w:tblPrEx>
        <w:trPr>
          <w:trHeight w:val="720" w:hRule="atLeast"/>
        </w:trPr>
        <w:tc>
          <w:tcPr>
            <w:tcW w:w="53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8"/>
                <w:szCs w:val="28"/>
              </w:rPr>
            </w:pPr>
            <w:r>
              <w:rPr>
                <w:rFonts w:hint="eastAsia" w:eastAsia="仿宋_GB2312"/>
                <w:color w:val="000000"/>
                <w:kern w:val="0"/>
                <w:sz w:val="28"/>
                <w:szCs w:val="28"/>
              </w:rPr>
              <w:t>序号</w:t>
            </w:r>
          </w:p>
        </w:tc>
        <w:tc>
          <w:tcPr>
            <w:tcW w:w="1197"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8"/>
                <w:szCs w:val="28"/>
              </w:rPr>
            </w:pPr>
            <w:r>
              <w:rPr>
                <w:rFonts w:hint="eastAsia" w:eastAsia="仿宋_GB2312"/>
                <w:color w:val="000000"/>
                <w:kern w:val="0"/>
                <w:sz w:val="28"/>
                <w:szCs w:val="28"/>
              </w:rPr>
              <w:t>产品名称</w:t>
            </w:r>
          </w:p>
        </w:tc>
        <w:tc>
          <w:tcPr>
            <w:tcW w:w="2612"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8"/>
                <w:szCs w:val="28"/>
              </w:rPr>
            </w:pPr>
            <w:r>
              <w:rPr>
                <w:rFonts w:hint="eastAsia" w:eastAsia="仿宋_GB2312"/>
                <w:color w:val="000000"/>
                <w:kern w:val="0"/>
                <w:sz w:val="28"/>
                <w:szCs w:val="28"/>
              </w:rPr>
              <w:t>规格型号</w:t>
            </w:r>
          </w:p>
        </w:tc>
        <w:tc>
          <w:tcPr>
            <w:tcW w:w="818"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8"/>
                <w:szCs w:val="28"/>
              </w:rPr>
            </w:pPr>
            <w:r>
              <w:rPr>
                <w:rFonts w:hint="eastAsia" w:eastAsia="仿宋_GB2312"/>
                <w:color w:val="000000"/>
                <w:kern w:val="0"/>
                <w:sz w:val="28"/>
                <w:szCs w:val="28"/>
              </w:rPr>
              <w:t>单位</w:t>
            </w:r>
          </w:p>
        </w:tc>
        <w:tc>
          <w:tcPr>
            <w:tcW w:w="946"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8"/>
                <w:szCs w:val="28"/>
              </w:rPr>
            </w:pPr>
            <w:r>
              <w:rPr>
                <w:rFonts w:hint="eastAsia" w:eastAsia="仿宋_GB2312"/>
                <w:color w:val="000000"/>
                <w:kern w:val="0"/>
                <w:sz w:val="28"/>
                <w:szCs w:val="28"/>
              </w:rPr>
              <w:t>数量</w:t>
            </w:r>
          </w:p>
        </w:tc>
        <w:tc>
          <w:tcPr>
            <w:tcW w:w="954"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8"/>
                <w:szCs w:val="28"/>
              </w:rPr>
            </w:pPr>
            <w:r>
              <w:rPr>
                <w:rFonts w:hint="eastAsia" w:eastAsia="仿宋_GB2312"/>
                <w:color w:val="000000"/>
                <w:kern w:val="0"/>
                <w:sz w:val="28"/>
                <w:szCs w:val="28"/>
              </w:rPr>
              <w:t>单价/元</w:t>
            </w:r>
          </w:p>
        </w:tc>
        <w:tc>
          <w:tcPr>
            <w:tcW w:w="872"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8"/>
                <w:szCs w:val="28"/>
              </w:rPr>
            </w:pPr>
            <w:r>
              <w:rPr>
                <w:rFonts w:hint="eastAsia" w:eastAsia="仿宋_GB2312"/>
                <w:color w:val="000000"/>
                <w:kern w:val="0"/>
                <w:sz w:val="28"/>
                <w:szCs w:val="28"/>
              </w:rPr>
              <w:t>总价/元</w:t>
            </w:r>
          </w:p>
        </w:tc>
        <w:tc>
          <w:tcPr>
            <w:tcW w:w="1770"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8"/>
                <w:szCs w:val="28"/>
              </w:rPr>
            </w:pPr>
            <w:r>
              <w:rPr>
                <w:rFonts w:hint="eastAsia" w:eastAsia="仿宋_GB2312"/>
                <w:color w:val="000000"/>
                <w:kern w:val="0"/>
                <w:sz w:val="28"/>
                <w:szCs w:val="28"/>
              </w:rPr>
              <w:t>备注</w:t>
            </w:r>
          </w:p>
        </w:tc>
      </w:tr>
      <w:tr>
        <w:tblPrEx>
          <w:tblCellMar>
            <w:top w:w="0" w:type="dxa"/>
            <w:left w:w="108" w:type="dxa"/>
            <w:bottom w:w="0" w:type="dxa"/>
            <w:right w:w="108" w:type="dxa"/>
          </w:tblCellMar>
        </w:tblPrEx>
        <w:trPr>
          <w:trHeight w:val="990" w:hRule="atLeast"/>
        </w:trPr>
        <w:tc>
          <w:tcPr>
            <w:tcW w:w="53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eastAsia="仿宋_GB2312"/>
                <w:color w:val="000000"/>
                <w:kern w:val="0"/>
                <w:sz w:val="24"/>
                <w:lang w:eastAsia="zh-CN"/>
              </w:rPr>
            </w:pPr>
            <w:r>
              <w:rPr>
                <w:rFonts w:hint="eastAsia" w:ascii="等线" w:hAnsi="等线" w:eastAsia="等线" w:cs="等线"/>
                <w:i w:val="0"/>
                <w:iCs w:val="0"/>
                <w:color w:val="000000"/>
                <w:kern w:val="0"/>
                <w:sz w:val="22"/>
                <w:szCs w:val="22"/>
                <w:u w:val="none"/>
                <w:lang w:val="en-US" w:eastAsia="zh-CN" w:bidi="ar"/>
              </w:rPr>
              <w:t>1</w:t>
            </w:r>
          </w:p>
        </w:tc>
        <w:tc>
          <w:tcPr>
            <w:tcW w:w="11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eastAsia="仿宋_GB2312"/>
                <w:color w:val="000000"/>
                <w:kern w:val="0"/>
                <w:sz w:val="24"/>
                <w:lang w:val="en-US" w:eastAsia="zh-CN"/>
              </w:rPr>
            </w:pPr>
            <w:r>
              <w:rPr>
                <w:rFonts w:hint="eastAsia" w:ascii="等线" w:hAnsi="等线" w:eastAsia="等线" w:cs="等线"/>
                <w:i w:val="0"/>
                <w:iCs w:val="0"/>
                <w:color w:val="000000"/>
                <w:kern w:val="0"/>
                <w:sz w:val="22"/>
                <w:szCs w:val="22"/>
                <w:u w:val="none"/>
                <w:lang w:val="en-US" w:eastAsia="zh-CN" w:bidi="ar"/>
              </w:rPr>
              <w:t>阳台不锈钢安全围栏管件连接处全面补焊打磨</w:t>
            </w:r>
          </w:p>
        </w:tc>
        <w:tc>
          <w:tcPr>
            <w:tcW w:w="261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阳台围栏：长330.8M*高1.2M;主骨架为不锈钢薄壁管∮60MM*壁厚1MM，副骨架为不锈钢薄壁管∮38MM*壁厚1MM；</w:t>
            </w:r>
          </w:p>
        </w:tc>
        <w:tc>
          <w:tcPr>
            <w:tcW w:w="818"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M</w:t>
            </w:r>
          </w:p>
        </w:tc>
        <w:tc>
          <w:tcPr>
            <w:tcW w:w="94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 xml:space="preserve">330.80 </w:t>
            </w:r>
          </w:p>
        </w:tc>
        <w:tc>
          <w:tcPr>
            <w:tcW w:w="954" w:type="dxa"/>
            <w:tcBorders>
              <w:top w:val="nil"/>
              <w:left w:val="nil"/>
              <w:bottom w:val="single" w:color="auto" w:sz="4" w:space="0"/>
              <w:right w:val="single" w:color="auto" w:sz="4" w:space="0"/>
            </w:tcBorders>
            <w:shd w:val="clear" w:color="auto" w:fill="auto"/>
            <w:noWrap/>
            <w:vAlign w:val="center"/>
          </w:tcPr>
          <w:p>
            <w:pPr>
              <w:jc w:val="center"/>
              <w:textAlignment w:val="auto"/>
              <w:rPr>
                <w:rFonts w:hint="eastAsia" w:eastAsia="仿宋_GB2312"/>
                <w:color w:val="000000"/>
                <w:kern w:val="0"/>
                <w:sz w:val="24"/>
              </w:rPr>
            </w:pPr>
          </w:p>
        </w:tc>
        <w:tc>
          <w:tcPr>
            <w:tcW w:w="872" w:type="dxa"/>
            <w:tcBorders>
              <w:top w:val="nil"/>
              <w:left w:val="nil"/>
              <w:bottom w:val="single" w:color="auto" w:sz="4" w:space="0"/>
              <w:right w:val="single" w:color="auto" w:sz="4" w:space="0"/>
            </w:tcBorders>
            <w:shd w:val="clear" w:color="auto" w:fill="auto"/>
            <w:noWrap/>
            <w:vAlign w:val="center"/>
          </w:tcPr>
          <w:p>
            <w:pPr>
              <w:jc w:val="center"/>
              <w:textAlignment w:val="auto"/>
              <w:rPr>
                <w:rFonts w:hint="eastAsia" w:eastAsia="仿宋_GB2312"/>
                <w:color w:val="000000"/>
                <w:kern w:val="0"/>
                <w:sz w:val="24"/>
              </w:rPr>
            </w:pPr>
          </w:p>
        </w:tc>
        <w:tc>
          <w:tcPr>
            <w:tcW w:w="1770" w:type="dxa"/>
            <w:vMerge w:val="restart"/>
            <w:tcBorders>
              <w:top w:val="nil"/>
              <w:left w:val="nil"/>
              <w:right w:val="single" w:color="auto" w:sz="4" w:space="0"/>
            </w:tcBorders>
            <w:shd w:val="clear" w:color="auto" w:fill="auto"/>
            <w:noWrap/>
            <w:vAlign w:val="center"/>
          </w:tcPr>
          <w:p>
            <w:pPr>
              <w:jc w:val="center"/>
              <w:textAlignment w:val="auto"/>
              <w:rPr>
                <w:rFonts w:eastAsia="仿宋_GB2312"/>
                <w:color w:val="000000"/>
                <w:kern w:val="0"/>
                <w:sz w:val="24"/>
              </w:rPr>
            </w:pPr>
            <w:r>
              <w:rPr>
                <w:rFonts w:hint="eastAsia" w:eastAsia="仿宋_GB2312"/>
                <w:color w:val="000000"/>
                <w:kern w:val="0"/>
                <w:sz w:val="24"/>
                <w:lang w:val="en-US" w:eastAsia="zh-CN"/>
              </w:rPr>
              <w:t>对原焊接不牢固存在安全隐患的不锈钢围栏、围栏进行焊接加固后打磨平整</w:t>
            </w:r>
            <w:r>
              <w:rPr>
                <w:rFonts w:hint="eastAsia" w:eastAsia="仿宋_GB2312"/>
                <w:color w:val="000000"/>
                <w:kern w:val="0"/>
                <w:sz w:val="24"/>
              </w:rPr>
              <w:t>　</w:t>
            </w:r>
          </w:p>
          <w:p>
            <w:pPr>
              <w:jc w:val="center"/>
              <w:textAlignment w:val="auto"/>
              <w:rPr>
                <w:rFonts w:eastAsia="仿宋_GB2312"/>
                <w:color w:val="000000"/>
                <w:kern w:val="0"/>
                <w:sz w:val="24"/>
              </w:rPr>
            </w:pPr>
            <w:r>
              <w:rPr>
                <w:rFonts w:hint="eastAsia" w:eastAsia="仿宋_GB2312"/>
                <w:color w:val="000000"/>
                <w:kern w:val="0"/>
                <w:sz w:val="24"/>
              </w:rPr>
              <w:t>　</w:t>
            </w:r>
          </w:p>
          <w:p>
            <w:pPr>
              <w:jc w:val="center"/>
              <w:textAlignment w:val="auto"/>
              <w:rPr>
                <w:rFonts w:eastAsia="仿宋_GB2312"/>
                <w:color w:val="000000"/>
                <w:kern w:val="0"/>
                <w:sz w:val="24"/>
              </w:rPr>
            </w:pPr>
            <w:r>
              <w:rPr>
                <w:rFonts w:hint="eastAsia" w:eastAsia="仿宋_GB2312"/>
                <w:color w:val="000000"/>
                <w:kern w:val="0"/>
                <w:sz w:val="24"/>
              </w:rPr>
              <w:t>　</w:t>
            </w:r>
          </w:p>
          <w:p>
            <w:pPr>
              <w:jc w:val="center"/>
              <w:textAlignment w:val="auto"/>
              <w:rPr>
                <w:rFonts w:eastAsia="仿宋_GB2312"/>
                <w:color w:val="000000"/>
                <w:kern w:val="0"/>
                <w:sz w:val="24"/>
              </w:rPr>
            </w:pPr>
            <w:r>
              <w:rPr>
                <w:rFonts w:hint="eastAsia" w:eastAsia="仿宋_GB2312"/>
                <w:color w:val="000000"/>
                <w:kern w:val="0"/>
                <w:sz w:val="24"/>
              </w:rPr>
              <w:t>　</w:t>
            </w:r>
          </w:p>
          <w:p>
            <w:pPr>
              <w:jc w:val="center"/>
              <w:rPr>
                <w:rFonts w:eastAsia="仿宋_GB2312"/>
                <w:color w:val="000000"/>
                <w:kern w:val="0"/>
                <w:sz w:val="24"/>
              </w:rPr>
            </w:pPr>
            <w:r>
              <w:rPr>
                <w:rFonts w:hint="eastAsia" w:eastAsia="仿宋_GB2312"/>
                <w:color w:val="000000"/>
                <w:kern w:val="0"/>
                <w:sz w:val="24"/>
              </w:rPr>
              <w:t>　</w:t>
            </w:r>
          </w:p>
        </w:tc>
      </w:tr>
      <w:tr>
        <w:tblPrEx>
          <w:tblCellMar>
            <w:top w:w="0" w:type="dxa"/>
            <w:left w:w="108" w:type="dxa"/>
            <w:bottom w:w="0" w:type="dxa"/>
            <w:right w:w="108" w:type="dxa"/>
          </w:tblCellMar>
        </w:tblPrEx>
        <w:trPr>
          <w:trHeight w:val="990" w:hRule="atLeast"/>
        </w:trPr>
        <w:tc>
          <w:tcPr>
            <w:tcW w:w="53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2</w:t>
            </w:r>
          </w:p>
        </w:tc>
        <w:tc>
          <w:tcPr>
            <w:tcW w:w="11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楼梯扶手管件连接处全面补焊打磨</w:t>
            </w:r>
          </w:p>
        </w:tc>
        <w:tc>
          <w:tcPr>
            <w:tcW w:w="261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楼梯扶手：长46M*高0.85M;主骨架为不锈钢薄壁管∮60MM*壁厚1MM，副骨架为不锈钢薄壁管∮38MM*壁厚1MM；</w:t>
            </w:r>
          </w:p>
        </w:tc>
        <w:tc>
          <w:tcPr>
            <w:tcW w:w="818"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M</w:t>
            </w:r>
          </w:p>
        </w:tc>
        <w:tc>
          <w:tcPr>
            <w:tcW w:w="94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 xml:space="preserve">46.00 </w:t>
            </w:r>
          </w:p>
        </w:tc>
        <w:tc>
          <w:tcPr>
            <w:tcW w:w="954" w:type="dxa"/>
            <w:tcBorders>
              <w:top w:val="nil"/>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4"/>
              </w:rPr>
            </w:pPr>
            <w:r>
              <w:rPr>
                <w:rFonts w:hint="eastAsia" w:eastAsia="仿宋_GB2312"/>
                <w:color w:val="000000"/>
                <w:kern w:val="0"/>
                <w:sz w:val="24"/>
              </w:rPr>
              <w:t>　</w:t>
            </w:r>
          </w:p>
        </w:tc>
        <w:tc>
          <w:tcPr>
            <w:tcW w:w="872" w:type="dxa"/>
            <w:tcBorders>
              <w:top w:val="nil"/>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4"/>
              </w:rPr>
            </w:pPr>
            <w:r>
              <w:rPr>
                <w:rFonts w:hint="eastAsia" w:eastAsia="仿宋_GB2312"/>
                <w:color w:val="000000"/>
                <w:kern w:val="0"/>
                <w:sz w:val="24"/>
              </w:rPr>
              <w:t>　</w:t>
            </w:r>
          </w:p>
        </w:tc>
        <w:tc>
          <w:tcPr>
            <w:tcW w:w="1770" w:type="dxa"/>
            <w:vMerge w:val="continue"/>
            <w:tcBorders>
              <w:left w:val="nil"/>
              <w:right w:val="single" w:color="auto" w:sz="4" w:space="0"/>
            </w:tcBorders>
            <w:shd w:val="clear" w:color="auto" w:fill="auto"/>
            <w:noWrap/>
            <w:vAlign w:val="center"/>
          </w:tcPr>
          <w:p>
            <w:pPr>
              <w:jc w:val="center"/>
              <w:rPr>
                <w:rFonts w:eastAsia="仿宋_GB2312"/>
                <w:color w:val="000000"/>
                <w:kern w:val="0"/>
                <w:sz w:val="24"/>
              </w:rPr>
            </w:pPr>
          </w:p>
        </w:tc>
      </w:tr>
      <w:tr>
        <w:tblPrEx>
          <w:tblCellMar>
            <w:top w:w="0" w:type="dxa"/>
            <w:left w:w="108" w:type="dxa"/>
            <w:bottom w:w="0" w:type="dxa"/>
            <w:right w:w="108" w:type="dxa"/>
          </w:tblCellMar>
        </w:tblPrEx>
        <w:trPr>
          <w:trHeight w:val="690" w:hRule="atLeast"/>
        </w:trPr>
        <w:tc>
          <w:tcPr>
            <w:tcW w:w="53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 xml:space="preserve">3 </w:t>
            </w:r>
          </w:p>
        </w:tc>
        <w:tc>
          <w:tcPr>
            <w:tcW w:w="1197"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楼梯扶手管件连接处全面补焊打磨</w:t>
            </w:r>
          </w:p>
        </w:tc>
        <w:tc>
          <w:tcPr>
            <w:tcW w:w="261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界岭大沟边上班道路两边护栏扶手补焊：长59M*高1.2M;主骨架为不锈钢薄壁管∮60MM*壁厚1MM，副骨架为不锈钢薄壁管∮38MM*壁厚1MM；</w:t>
            </w:r>
          </w:p>
        </w:tc>
        <w:tc>
          <w:tcPr>
            <w:tcW w:w="818"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M</w:t>
            </w:r>
          </w:p>
        </w:tc>
        <w:tc>
          <w:tcPr>
            <w:tcW w:w="94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eastAsia="仿宋_GB2312"/>
                <w:color w:val="000000"/>
                <w:kern w:val="0"/>
                <w:sz w:val="24"/>
              </w:rPr>
            </w:pPr>
            <w:r>
              <w:rPr>
                <w:rFonts w:hint="eastAsia" w:ascii="等线" w:hAnsi="等线" w:eastAsia="等线" w:cs="等线"/>
                <w:i w:val="0"/>
                <w:iCs w:val="0"/>
                <w:color w:val="000000"/>
                <w:kern w:val="0"/>
                <w:sz w:val="22"/>
                <w:szCs w:val="22"/>
                <w:u w:val="none"/>
                <w:lang w:val="en-US" w:eastAsia="zh-CN" w:bidi="ar"/>
              </w:rPr>
              <w:t xml:space="preserve">59.00 </w:t>
            </w:r>
          </w:p>
        </w:tc>
        <w:tc>
          <w:tcPr>
            <w:tcW w:w="954" w:type="dxa"/>
            <w:tcBorders>
              <w:top w:val="nil"/>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4"/>
              </w:rPr>
            </w:pPr>
            <w:r>
              <w:rPr>
                <w:rFonts w:hint="eastAsia" w:eastAsia="仿宋_GB2312"/>
                <w:color w:val="000000"/>
                <w:kern w:val="0"/>
                <w:sz w:val="24"/>
              </w:rPr>
              <w:t>　</w:t>
            </w:r>
          </w:p>
        </w:tc>
        <w:tc>
          <w:tcPr>
            <w:tcW w:w="872" w:type="dxa"/>
            <w:tcBorders>
              <w:top w:val="nil"/>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4"/>
              </w:rPr>
            </w:pPr>
            <w:r>
              <w:rPr>
                <w:rFonts w:hint="eastAsia" w:eastAsia="仿宋_GB2312"/>
                <w:color w:val="000000"/>
                <w:kern w:val="0"/>
                <w:sz w:val="24"/>
              </w:rPr>
              <w:t>　</w:t>
            </w:r>
          </w:p>
        </w:tc>
        <w:tc>
          <w:tcPr>
            <w:tcW w:w="1770" w:type="dxa"/>
            <w:vMerge w:val="continue"/>
            <w:tcBorders>
              <w:left w:val="nil"/>
              <w:right w:val="single" w:color="auto" w:sz="4" w:space="0"/>
            </w:tcBorders>
            <w:shd w:val="clear" w:color="auto" w:fill="auto"/>
            <w:noWrap/>
            <w:vAlign w:val="center"/>
          </w:tcPr>
          <w:p>
            <w:pPr>
              <w:jc w:val="center"/>
              <w:rPr>
                <w:rFonts w:eastAsia="仿宋_GB2312"/>
                <w:color w:val="000000"/>
                <w:kern w:val="0"/>
                <w:sz w:val="24"/>
              </w:rPr>
            </w:pPr>
          </w:p>
        </w:tc>
      </w:tr>
      <w:tr>
        <w:tblPrEx>
          <w:tblCellMar>
            <w:top w:w="0" w:type="dxa"/>
            <w:left w:w="108" w:type="dxa"/>
            <w:bottom w:w="0" w:type="dxa"/>
            <w:right w:w="108" w:type="dxa"/>
          </w:tblCellMar>
        </w:tblPrEx>
        <w:trPr>
          <w:trHeight w:val="526" w:hRule="atLeast"/>
        </w:trPr>
        <w:tc>
          <w:tcPr>
            <w:tcW w:w="53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4"/>
              </w:rPr>
            </w:pPr>
          </w:p>
        </w:tc>
        <w:tc>
          <w:tcPr>
            <w:tcW w:w="1197" w:type="dxa"/>
            <w:tcBorders>
              <w:top w:val="single" w:color="auto" w:sz="4" w:space="0"/>
              <w:left w:val="nil"/>
              <w:bottom w:val="single" w:color="auto" w:sz="4" w:space="0"/>
              <w:right w:val="single" w:color="auto" w:sz="4" w:space="0"/>
            </w:tcBorders>
            <w:shd w:val="clear" w:color="000000" w:fill="FFFFFF"/>
            <w:vAlign w:val="center"/>
          </w:tcPr>
          <w:p>
            <w:pPr>
              <w:jc w:val="left"/>
              <w:textAlignment w:val="auto"/>
              <w:rPr>
                <w:rFonts w:eastAsia="仿宋_GB2312"/>
                <w:color w:val="000000"/>
                <w:kern w:val="0"/>
                <w:sz w:val="24"/>
              </w:rPr>
            </w:pPr>
          </w:p>
        </w:tc>
        <w:tc>
          <w:tcPr>
            <w:tcW w:w="2612" w:type="dxa"/>
            <w:tcBorders>
              <w:top w:val="single" w:color="auto" w:sz="4" w:space="0"/>
              <w:left w:val="nil"/>
              <w:bottom w:val="single" w:color="auto" w:sz="4" w:space="0"/>
              <w:right w:val="single" w:color="auto" w:sz="4" w:space="0"/>
            </w:tcBorders>
            <w:shd w:val="clear" w:color="000000" w:fill="FFFFFF"/>
            <w:vAlign w:val="center"/>
          </w:tcPr>
          <w:p>
            <w:pPr>
              <w:jc w:val="left"/>
              <w:textAlignment w:val="auto"/>
              <w:rPr>
                <w:rFonts w:eastAsia="仿宋_GB2312"/>
                <w:color w:val="000000"/>
                <w:kern w:val="0"/>
                <w:sz w:val="24"/>
              </w:rPr>
            </w:pPr>
            <w:r>
              <w:rPr>
                <w:rFonts w:hint="eastAsia" w:eastAsia="仿宋_GB2312"/>
                <w:color w:val="000000"/>
                <w:kern w:val="0"/>
                <w:sz w:val="24"/>
              </w:rPr>
              <w:t>合计</w:t>
            </w:r>
          </w:p>
        </w:tc>
        <w:tc>
          <w:tcPr>
            <w:tcW w:w="818" w:type="dxa"/>
            <w:tcBorders>
              <w:top w:val="single" w:color="auto" w:sz="4" w:space="0"/>
              <w:left w:val="nil"/>
              <w:bottom w:val="single" w:color="auto" w:sz="4" w:space="0"/>
              <w:right w:val="single" w:color="auto" w:sz="4" w:space="0"/>
            </w:tcBorders>
            <w:shd w:val="clear" w:color="000000" w:fill="FFFFFF"/>
            <w:noWrap/>
            <w:vAlign w:val="center"/>
          </w:tcPr>
          <w:p>
            <w:pPr>
              <w:jc w:val="center"/>
              <w:textAlignment w:val="auto"/>
              <w:rPr>
                <w:rFonts w:eastAsia="仿宋_GB2312"/>
                <w:color w:val="000000"/>
                <w:kern w:val="0"/>
                <w:sz w:val="24"/>
              </w:rPr>
            </w:pPr>
          </w:p>
        </w:tc>
        <w:tc>
          <w:tcPr>
            <w:tcW w:w="946" w:type="dxa"/>
            <w:tcBorders>
              <w:top w:val="single" w:color="auto" w:sz="4" w:space="0"/>
              <w:left w:val="nil"/>
              <w:bottom w:val="single" w:color="auto" w:sz="4" w:space="0"/>
              <w:right w:val="single" w:color="auto" w:sz="4" w:space="0"/>
            </w:tcBorders>
            <w:shd w:val="clear" w:color="000000" w:fill="FFFFFF"/>
            <w:noWrap/>
            <w:vAlign w:val="center"/>
          </w:tcPr>
          <w:p>
            <w:pPr>
              <w:jc w:val="center"/>
              <w:textAlignment w:val="auto"/>
              <w:rPr>
                <w:rFonts w:eastAsia="仿宋_GB2312"/>
                <w:color w:val="000000"/>
                <w:kern w:val="0"/>
                <w:sz w:val="24"/>
              </w:rPr>
            </w:pPr>
          </w:p>
        </w:tc>
        <w:tc>
          <w:tcPr>
            <w:tcW w:w="954"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4"/>
              </w:rPr>
            </w:pPr>
          </w:p>
        </w:tc>
        <w:tc>
          <w:tcPr>
            <w:tcW w:w="872"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4"/>
              </w:rPr>
            </w:pPr>
          </w:p>
        </w:tc>
        <w:tc>
          <w:tcPr>
            <w:tcW w:w="1770"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auto"/>
              <w:rPr>
                <w:rFonts w:eastAsia="仿宋_GB2312"/>
                <w:color w:val="000000"/>
                <w:kern w:val="0"/>
                <w:sz w:val="24"/>
              </w:rPr>
            </w:pPr>
          </w:p>
        </w:tc>
      </w:tr>
    </w:tbl>
    <w:p>
      <w:pPr>
        <w:adjustRightInd w:val="0"/>
        <w:snapToGrid w:val="0"/>
        <w:spacing w:line="360" w:lineRule="auto"/>
        <w:ind w:firstLine="640" w:firstLineChars="200"/>
        <w:rPr>
          <w:rStyle w:val="71"/>
          <w:rFonts w:hint="default" w:ascii="宋体" w:hAnsi="宋体" w:eastAsia="宋体"/>
          <w:sz w:val="32"/>
          <w:szCs w:val="32"/>
          <w:lang w:val="en-US" w:eastAsia="zh-CN"/>
        </w:rPr>
      </w:pPr>
      <w:r>
        <w:rPr>
          <w:rStyle w:val="71"/>
          <w:rFonts w:hint="eastAsia" w:ascii="宋体" w:hAnsi="宋体"/>
          <w:sz w:val="32"/>
          <w:szCs w:val="32"/>
          <w:lang w:val="en-US" w:eastAsia="zh-CN"/>
        </w:rPr>
        <w:t>乙方自备焊接设备及材料到场焊接，乙方在甲方工厂内施工期间，施工水电有甲方免费提供。</w:t>
      </w:r>
    </w:p>
    <w:p>
      <w:pPr>
        <w:adjustRightInd w:val="0"/>
        <w:snapToGrid w:val="0"/>
        <w:spacing w:line="360" w:lineRule="auto"/>
        <w:ind w:firstLine="640" w:firstLineChars="200"/>
        <w:rPr>
          <w:rStyle w:val="71"/>
          <w:rFonts w:ascii="宋体" w:hAnsi="宋体"/>
          <w:bCs/>
          <w:sz w:val="32"/>
          <w:szCs w:val="32"/>
        </w:rPr>
      </w:pPr>
      <w:r>
        <w:rPr>
          <w:rStyle w:val="71"/>
          <w:rFonts w:hint="eastAsia" w:ascii="宋体" w:hAnsi="宋体"/>
          <w:sz w:val="32"/>
          <w:szCs w:val="32"/>
        </w:rPr>
        <w:t>二、</w:t>
      </w:r>
      <w:r>
        <w:rPr>
          <w:rStyle w:val="71"/>
          <w:rFonts w:hint="eastAsia" w:ascii="宋体" w:hAnsi="宋体"/>
          <w:bCs/>
          <w:sz w:val="32"/>
          <w:szCs w:val="32"/>
        </w:rPr>
        <w:t>承包方资格</w:t>
      </w:r>
    </w:p>
    <w:p>
      <w:pPr>
        <w:spacing w:line="520" w:lineRule="exact"/>
        <w:ind w:firstLine="555"/>
        <w:rPr>
          <w:rStyle w:val="71"/>
          <w:rFonts w:ascii="宋体" w:hAnsi="宋体"/>
          <w:bCs/>
          <w:color w:val="000000" w:themeColor="text1"/>
          <w:sz w:val="32"/>
          <w:szCs w:val="32"/>
        </w:rPr>
      </w:pPr>
      <w:r>
        <w:rPr>
          <w:rStyle w:val="71"/>
          <w:rFonts w:hint="eastAsia" w:ascii="宋体" w:hAnsi="宋体"/>
          <w:bCs/>
          <w:color w:val="000000" w:themeColor="text1"/>
          <w:sz w:val="32"/>
          <w:szCs w:val="32"/>
        </w:rPr>
        <w:t>1.供应商资质</w:t>
      </w:r>
    </w:p>
    <w:p>
      <w:pPr>
        <w:spacing w:line="520" w:lineRule="exact"/>
        <w:ind w:firstLine="555"/>
        <w:rPr>
          <w:rStyle w:val="71"/>
          <w:rFonts w:ascii="宋体" w:hAnsi="宋体"/>
          <w:bCs/>
          <w:color w:val="000000" w:themeColor="text1"/>
          <w:sz w:val="32"/>
          <w:szCs w:val="32"/>
        </w:rPr>
      </w:pPr>
      <w:r>
        <w:rPr>
          <w:rStyle w:val="71"/>
          <w:rFonts w:hint="eastAsia" w:ascii="宋体" w:hAnsi="宋体"/>
          <w:bCs/>
          <w:color w:val="000000" w:themeColor="text1"/>
          <w:sz w:val="32"/>
          <w:szCs w:val="32"/>
        </w:rPr>
        <w:t>投标人应具备独立签订合同能力，为中华人民共和国境内注册的企业法人或其他组织或自然人。</w:t>
      </w:r>
      <w:r>
        <w:rPr>
          <w:rStyle w:val="71"/>
          <w:rFonts w:hint="eastAsia" w:ascii="宋体" w:hAnsi="宋体"/>
          <w:bCs/>
          <w:color w:val="000000" w:themeColor="text1"/>
          <w:sz w:val="32"/>
          <w:szCs w:val="32"/>
          <w:lang w:val="en-US" w:eastAsia="zh-CN"/>
        </w:rPr>
        <w:t>注册资金10万元以上</w:t>
      </w:r>
      <w:r>
        <w:rPr>
          <w:rStyle w:val="71"/>
          <w:rFonts w:hint="eastAsia" w:ascii="宋体" w:hAnsi="宋体"/>
          <w:bCs/>
          <w:color w:val="FF0000"/>
          <w:sz w:val="32"/>
          <w:szCs w:val="32"/>
        </w:rPr>
        <w:t>。</w:t>
      </w:r>
    </w:p>
    <w:p>
      <w:pPr>
        <w:spacing w:line="520" w:lineRule="exact"/>
        <w:ind w:firstLine="555"/>
        <w:rPr>
          <w:rStyle w:val="71"/>
          <w:rFonts w:ascii="宋体" w:hAnsi="宋体"/>
          <w:bCs/>
          <w:color w:val="000000" w:themeColor="text1"/>
          <w:sz w:val="32"/>
          <w:szCs w:val="32"/>
        </w:rPr>
      </w:pPr>
      <w:r>
        <w:rPr>
          <w:rStyle w:val="71"/>
          <w:rFonts w:ascii="宋体" w:hAnsi="宋体"/>
          <w:bCs/>
          <w:color w:val="000000" w:themeColor="text1"/>
          <w:sz w:val="32"/>
          <w:szCs w:val="32"/>
        </w:rPr>
        <w:t>2</w:t>
      </w:r>
      <w:r>
        <w:rPr>
          <w:rStyle w:val="71"/>
          <w:rFonts w:hint="eastAsia" w:ascii="宋体" w:hAnsi="宋体"/>
          <w:bCs/>
          <w:color w:val="000000" w:themeColor="text1"/>
          <w:sz w:val="32"/>
          <w:szCs w:val="32"/>
        </w:rPr>
        <w:t>.使用“天眼查”“信用中国”“中国政府采购网”等平台查询，承包方2</w:t>
      </w:r>
      <w:r>
        <w:rPr>
          <w:rStyle w:val="71"/>
          <w:rFonts w:ascii="宋体" w:hAnsi="宋体"/>
          <w:bCs/>
          <w:color w:val="000000" w:themeColor="text1"/>
          <w:sz w:val="32"/>
          <w:szCs w:val="32"/>
        </w:rPr>
        <w:t>020</w:t>
      </w:r>
      <w:r>
        <w:rPr>
          <w:rStyle w:val="71"/>
          <w:rFonts w:hint="eastAsia" w:ascii="宋体" w:hAnsi="宋体"/>
          <w:bCs/>
          <w:color w:val="000000" w:themeColor="text1"/>
          <w:sz w:val="32"/>
          <w:szCs w:val="32"/>
        </w:rPr>
        <w:t>年6月1日至今，无经营异常情况；无严重违法失信行为记录。</w:t>
      </w:r>
    </w:p>
    <w:p>
      <w:pPr>
        <w:spacing w:line="520" w:lineRule="exact"/>
        <w:ind w:firstLine="555"/>
        <w:rPr>
          <w:rStyle w:val="71"/>
          <w:rFonts w:ascii="宋体" w:hAnsi="宋体"/>
          <w:sz w:val="32"/>
          <w:szCs w:val="32"/>
        </w:rPr>
      </w:pPr>
      <w:r>
        <w:rPr>
          <w:rStyle w:val="71"/>
          <w:rFonts w:ascii="宋体" w:hAnsi="宋体"/>
          <w:sz w:val="32"/>
          <w:szCs w:val="32"/>
        </w:rPr>
        <w:t xml:space="preserve">三：付款方式： </w:t>
      </w:r>
    </w:p>
    <w:p>
      <w:pPr>
        <w:ind w:firstLine="640" w:firstLineChars="200"/>
        <w:rPr>
          <w:rStyle w:val="71"/>
          <w:rFonts w:ascii="宋体" w:hAnsi="宋体"/>
          <w:bCs/>
          <w:sz w:val="32"/>
          <w:szCs w:val="32"/>
        </w:rPr>
      </w:pPr>
      <w:r>
        <w:rPr>
          <w:rStyle w:val="71"/>
          <w:rFonts w:ascii="宋体" w:hAnsi="宋体"/>
          <w:bCs/>
          <w:sz w:val="32"/>
          <w:szCs w:val="32"/>
        </w:rPr>
        <w:t>3.1</w:t>
      </w:r>
      <w:r>
        <w:rPr>
          <w:rStyle w:val="71"/>
          <w:rFonts w:hint="eastAsia" w:ascii="宋体" w:hAnsi="宋体"/>
          <w:bCs/>
          <w:sz w:val="32"/>
          <w:szCs w:val="32"/>
        </w:rPr>
        <w:t>本合同使用货币种类为：人民币。</w:t>
      </w:r>
    </w:p>
    <w:p>
      <w:pPr>
        <w:ind w:firstLine="640" w:firstLineChars="200"/>
        <w:rPr>
          <w:rStyle w:val="71"/>
          <w:rFonts w:ascii="宋体" w:hAnsi="宋体"/>
          <w:bCs/>
          <w:sz w:val="32"/>
          <w:szCs w:val="32"/>
        </w:rPr>
      </w:pPr>
      <w:r>
        <w:rPr>
          <w:rStyle w:val="71"/>
          <w:rFonts w:ascii="宋体" w:hAnsi="宋体"/>
          <w:bCs/>
          <w:sz w:val="32"/>
          <w:szCs w:val="32"/>
        </w:rPr>
        <w:t>3.2</w:t>
      </w:r>
      <w:r>
        <w:rPr>
          <w:rStyle w:val="71"/>
          <w:rFonts w:hint="eastAsia" w:ascii="宋体" w:hAnsi="宋体"/>
          <w:bCs/>
          <w:sz w:val="32"/>
          <w:szCs w:val="32"/>
        </w:rPr>
        <w:t>付款方式：使用银行电汇支付，</w:t>
      </w:r>
    </w:p>
    <w:p>
      <w:pPr>
        <w:spacing w:line="560" w:lineRule="exact"/>
        <w:ind w:firstLine="640" w:firstLineChars="200"/>
        <w:rPr>
          <w:rStyle w:val="71"/>
          <w:rFonts w:ascii="宋体" w:hAnsi="宋体"/>
          <w:bCs/>
          <w:sz w:val="32"/>
          <w:szCs w:val="32"/>
        </w:rPr>
      </w:pPr>
      <w:r>
        <w:rPr>
          <w:rStyle w:val="71"/>
          <w:rFonts w:ascii="宋体" w:hAnsi="宋体"/>
          <w:bCs/>
          <w:sz w:val="32"/>
          <w:szCs w:val="32"/>
        </w:rPr>
        <w:t>3.</w:t>
      </w:r>
      <w:bookmarkStart w:id="4" w:name="OLE_LINK18"/>
      <w:bookmarkStart w:id="5" w:name="OLE_LINK17"/>
      <w:r>
        <w:rPr>
          <w:rStyle w:val="71"/>
          <w:rFonts w:ascii="宋体" w:hAnsi="宋体"/>
          <w:bCs/>
          <w:sz w:val="32"/>
          <w:szCs w:val="32"/>
        </w:rPr>
        <w:t>3</w:t>
      </w:r>
      <w:r>
        <w:rPr>
          <w:rStyle w:val="71"/>
          <w:rFonts w:hint="eastAsia" w:ascii="宋体" w:hAnsi="宋体"/>
          <w:bCs/>
          <w:sz w:val="32"/>
          <w:szCs w:val="32"/>
        </w:rPr>
        <w:t>合同款项的支付</w:t>
      </w:r>
    </w:p>
    <w:p>
      <w:pPr>
        <w:spacing w:line="560" w:lineRule="exact"/>
        <w:ind w:firstLine="640" w:firstLineChars="200"/>
        <w:rPr>
          <w:rStyle w:val="71"/>
          <w:rFonts w:hint="eastAsia" w:ascii="宋体" w:hAnsi="宋体"/>
          <w:sz w:val="32"/>
          <w:szCs w:val="32"/>
        </w:rPr>
      </w:pPr>
      <w:bookmarkStart w:id="6" w:name="OLE_LINK36"/>
      <w:bookmarkStart w:id="7" w:name="OLE_LINK35"/>
      <w:r>
        <w:rPr>
          <w:rStyle w:val="71"/>
          <w:rFonts w:hint="eastAsia" w:ascii="宋体" w:hAnsi="宋体"/>
          <w:bCs/>
          <w:sz w:val="32"/>
          <w:szCs w:val="32"/>
          <w:lang w:val="en-US" w:eastAsia="zh-CN"/>
        </w:rPr>
        <w:t>3.3.1乙方施工完毕，经甲方验收合格后，甲方凭乙方开具的全额X%增值税专用发票，支付乙方合同总额的90%</w:t>
      </w:r>
      <w:r>
        <w:rPr>
          <w:rStyle w:val="71"/>
          <w:rFonts w:hint="eastAsia" w:ascii="宋体" w:hAnsi="宋体"/>
          <w:sz w:val="32"/>
          <w:szCs w:val="32"/>
        </w:rPr>
        <w:t>。</w:t>
      </w:r>
    </w:p>
    <w:p>
      <w:pPr>
        <w:pStyle w:val="2"/>
        <w:rPr>
          <w:rFonts w:hint="default" w:eastAsia="宋体"/>
          <w:lang w:val="en-US" w:eastAsia="zh-CN"/>
        </w:rPr>
      </w:pPr>
      <w:r>
        <w:rPr>
          <w:rStyle w:val="71"/>
          <w:rFonts w:hint="eastAsia" w:hAnsi="宋体"/>
          <w:sz w:val="32"/>
          <w:szCs w:val="32"/>
          <w:lang w:val="en-US" w:eastAsia="zh-CN"/>
        </w:rPr>
        <w:t xml:space="preserve">   3.3.2剩余10%质保金，待竣工验收后一年（12个月）期满，补焊部位无质量问题验收合格后，甲方向乙方支付剩余款项</w:t>
      </w:r>
    </w:p>
    <w:bookmarkEnd w:id="6"/>
    <w:bookmarkEnd w:id="7"/>
    <w:p>
      <w:pPr>
        <w:spacing w:line="560" w:lineRule="exact"/>
        <w:ind w:firstLine="640" w:firstLineChars="200"/>
        <w:rPr>
          <w:rStyle w:val="71"/>
          <w:rFonts w:ascii="宋体" w:hAnsi="宋体"/>
          <w:sz w:val="32"/>
          <w:szCs w:val="32"/>
        </w:rPr>
      </w:pPr>
      <w:r>
        <w:rPr>
          <w:rStyle w:val="71"/>
          <w:rFonts w:ascii="宋体" w:hAnsi="宋体"/>
          <w:sz w:val="32"/>
          <w:szCs w:val="32"/>
        </w:rPr>
        <w:t>4</w:t>
      </w:r>
      <w:r>
        <w:rPr>
          <w:rStyle w:val="71"/>
          <w:rFonts w:hint="eastAsia" w:ascii="宋体" w:hAnsi="宋体"/>
          <w:sz w:val="32"/>
          <w:szCs w:val="32"/>
        </w:rPr>
        <w:t>.履约保证金的交付及退还</w:t>
      </w:r>
    </w:p>
    <w:p>
      <w:pPr>
        <w:spacing w:line="560" w:lineRule="exact"/>
        <w:ind w:firstLine="800" w:firstLineChars="250"/>
        <w:rPr>
          <w:rStyle w:val="71"/>
          <w:rFonts w:ascii="宋体" w:hAnsi="宋体"/>
          <w:sz w:val="32"/>
          <w:szCs w:val="32"/>
        </w:rPr>
      </w:pPr>
      <w:r>
        <w:rPr>
          <w:rStyle w:val="71"/>
          <w:rFonts w:hint="eastAsia" w:ascii="宋体" w:hAnsi="宋体"/>
          <w:sz w:val="32"/>
          <w:szCs w:val="32"/>
        </w:rPr>
        <w:t>履约保证金为合同总价的5 %，乙方收到中标通知书至合同签订前向甲方缴纳本合同履约保证金。甲方于项目竣工且验收合格后</w:t>
      </w:r>
      <w:r>
        <w:rPr>
          <w:rStyle w:val="71"/>
          <w:rFonts w:ascii="宋体" w:hAnsi="宋体"/>
          <w:sz w:val="32"/>
          <w:szCs w:val="32"/>
        </w:rPr>
        <w:t>30</w:t>
      </w:r>
      <w:r>
        <w:rPr>
          <w:rStyle w:val="71"/>
          <w:rFonts w:hint="eastAsia" w:ascii="宋体" w:hAnsi="宋体"/>
          <w:sz w:val="32"/>
          <w:szCs w:val="32"/>
        </w:rPr>
        <w:t>个工作日内将全额履约保证金无息退还给乙方。</w:t>
      </w:r>
    </w:p>
    <w:bookmarkEnd w:id="4"/>
    <w:bookmarkEnd w:id="5"/>
    <w:p>
      <w:pPr>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spacing w:line="560" w:lineRule="exact"/>
        <w:rPr>
          <w:rStyle w:val="71"/>
          <w:rFonts w:ascii="宋体" w:hAnsi="宋体"/>
          <w:bCs/>
          <w:sz w:val="32"/>
          <w:szCs w:val="32"/>
        </w:rPr>
      </w:pPr>
    </w:p>
    <w:p>
      <w:pPr>
        <w:snapToGrid w:val="0"/>
        <w:ind w:firstLine="2880" w:firstLineChars="800"/>
        <w:rPr>
          <w:rStyle w:val="71"/>
          <w:rFonts w:ascii="黑体" w:hAnsi="黑体" w:eastAsia="黑体" w:cs="黑体"/>
          <w:sz w:val="36"/>
          <w:szCs w:val="36"/>
        </w:rPr>
      </w:pPr>
      <w:r>
        <w:rPr>
          <w:rStyle w:val="71"/>
          <w:rFonts w:hint="eastAsia" w:ascii="黑体" w:hAnsi="黑体" w:eastAsia="黑体" w:cs="黑体"/>
          <w:sz w:val="36"/>
          <w:szCs w:val="36"/>
        </w:rPr>
        <w:t>第四章 评审方法</w:t>
      </w:r>
    </w:p>
    <w:p>
      <w:pPr>
        <w:snapToGrid w:val="0"/>
        <w:jc w:val="center"/>
        <w:rPr>
          <w:rStyle w:val="71"/>
          <w:rFonts w:ascii="宋体" w:hAnsi="宋体"/>
          <w:b/>
          <w:bCs/>
          <w:sz w:val="36"/>
          <w:szCs w:val="36"/>
        </w:rPr>
      </w:pPr>
    </w:p>
    <w:p>
      <w:pPr>
        <w:snapToGrid w:val="0"/>
        <w:ind w:firstLine="640" w:firstLineChars="200"/>
        <w:rPr>
          <w:rStyle w:val="71"/>
          <w:rFonts w:ascii="宋体" w:hAnsi="宋体"/>
          <w:bCs/>
          <w:sz w:val="32"/>
          <w:szCs w:val="32"/>
        </w:rPr>
      </w:pPr>
      <w:r>
        <w:rPr>
          <w:rStyle w:val="71"/>
          <w:rFonts w:ascii="宋体" w:hAnsi="宋体"/>
          <w:bCs/>
          <w:sz w:val="32"/>
          <w:szCs w:val="32"/>
        </w:rPr>
        <w:t>本次采购工作，对供应商的评审采用</w:t>
      </w:r>
      <w:r>
        <w:rPr>
          <w:rStyle w:val="71"/>
          <w:rFonts w:hint="eastAsia" w:ascii="宋体" w:hAnsi="宋体"/>
          <w:bCs/>
          <w:sz w:val="32"/>
          <w:szCs w:val="32"/>
        </w:rPr>
        <w:t>相同内容</w:t>
      </w:r>
      <w:r>
        <w:rPr>
          <w:rStyle w:val="71"/>
          <w:rFonts w:ascii="宋体" w:hAnsi="宋体"/>
          <w:bCs/>
          <w:sz w:val="32"/>
          <w:szCs w:val="32"/>
        </w:rPr>
        <w:t>“</w:t>
      </w:r>
      <w:r>
        <w:rPr>
          <w:rStyle w:val="71"/>
          <w:rFonts w:hint="eastAsia" w:ascii="宋体" w:hAnsi="宋体"/>
          <w:bCs/>
          <w:sz w:val="32"/>
          <w:szCs w:val="32"/>
        </w:rPr>
        <w:t>总价</w:t>
      </w:r>
      <w:r>
        <w:rPr>
          <w:rStyle w:val="71"/>
          <w:rFonts w:ascii="宋体" w:hAnsi="宋体"/>
          <w:bCs/>
          <w:sz w:val="32"/>
          <w:szCs w:val="32"/>
        </w:rPr>
        <w:t>最低价中标”。</w:t>
      </w: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snapToGrid w:val="0"/>
        <w:jc w:val="center"/>
        <w:rPr>
          <w:rStyle w:val="71"/>
          <w:rFonts w:ascii="宋体" w:hAnsi="宋体"/>
          <w:b/>
          <w:bCs/>
          <w:sz w:val="36"/>
          <w:szCs w:val="28"/>
        </w:rPr>
      </w:pPr>
    </w:p>
    <w:p>
      <w:pPr>
        <w:pStyle w:val="2"/>
        <w:rPr>
          <w:rStyle w:val="71"/>
          <w:rFonts w:ascii="宋体" w:hAnsi="宋体"/>
          <w:b/>
          <w:bCs/>
          <w:sz w:val="36"/>
          <w:szCs w:val="28"/>
        </w:rPr>
      </w:pPr>
    </w:p>
    <w:p>
      <w:pPr>
        <w:pStyle w:val="3"/>
      </w:pPr>
    </w:p>
    <w:p>
      <w:pPr>
        <w:snapToGrid w:val="0"/>
        <w:jc w:val="center"/>
        <w:rPr>
          <w:rStyle w:val="71"/>
          <w:rFonts w:ascii="宋体" w:hAnsi="宋体"/>
          <w:b/>
          <w:bCs/>
          <w:sz w:val="36"/>
          <w:szCs w:val="28"/>
        </w:rPr>
      </w:pPr>
    </w:p>
    <w:p>
      <w:pPr>
        <w:snapToGrid w:val="0"/>
        <w:ind w:firstLine="2880" w:firstLineChars="800"/>
        <w:rPr>
          <w:rStyle w:val="71"/>
          <w:rFonts w:ascii="宋体" w:hAnsi="宋体"/>
          <w:b/>
          <w:bCs/>
          <w:sz w:val="28"/>
          <w:szCs w:val="28"/>
        </w:rPr>
      </w:pPr>
      <w:r>
        <w:rPr>
          <w:rStyle w:val="71"/>
          <w:rFonts w:hint="eastAsia" w:ascii="黑体" w:hAnsi="黑体" w:eastAsia="黑体" w:cs="黑体"/>
          <w:sz w:val="36"/>
          <w:szCs w:val="28"/>
        </w:rPr>
        <w:t>第五章 协</w:t>
      </w:r>
      <w:r>
        <w:rPr>
          <w:rStyle w:val="71"/>
          <w:rFonts w:ascii="黑体" w:hAnsi="黑体" w:eastAsia="黑体" w:cs="黑体"/>
          <w:sz w:val="36"/>
          <w:szCs w:val="28"/>
        </w:rPr>
        <w:t>议</w:t>
      </w:r>
      <w:r>
        <w:rPr>
          <w:rStyle w:val="71"/>
          <w:rFonts w:hint="eastAsia" w:ascii="黑体" w:hAnsi="黑体" w:eastAsia="黑体" w:cs="黑体"/>
          <w:sz w:val="36"/>
          <w:szCs w:val="28"/>
        </w:rPr>
        <w:t>条款</w:t>
      </w:r>
    </w:p>
    <w:p>
      <w:pPr>
        <w:widowControl w:val="0"/>
        <w:adjustRightInd w:val="0"/>
        <w:snapToGrid w:val="0"/>
        <w:spacing w:line="500" w:lineRule="exact"/>
        <w:jc w:val="center"/>
        <w:textAlignment w:val="auto"/>
        <w:rPr>
          <w:rFonts w:eastAsia="仿宋_GB2312"/>
          <w:b/>
          <w:bCs/>
          <w:sz w:val="30"/>
          <w:szCs w:val="30"/>
        </w:rPr>
      </w:pPr>
    </w:p>
    <w:p>
      <w:pPr>
        <w:adjustRightInd w:val="0"/>
        <w:snapToGrid w:val="0"/>
        <w:spacing w:line="500" w:lineRule="exact"/>
        <w:jc w:val="center"/>
        <w:rPr>
          <w:rFonts w:eastAsia="仿宋_GB2312"/>
          <w:b/>
          <w:bCs/>
          <w:sz w:val="30"/>
          <w:szCs w:val="30"/>
        </w:rPr>
      </w:pPr>
    </w:p>
    <w:p>
      <w:pPr>
        <w:adjustRightInd w:val="0"/>
        <w:snapToGrid w:val="0"/>
        <w:spacing w:line="500" w:lineRule="exact"/>
        <w:jc w:val="center"/>
        <w:rPr>
          <w:rFonts w:eastAsia="仿宋_GB2312"/>
          <w:b/>
          <w:bCs/>
          <w:sz w:val="30"/>
          <w:szCs w:val="30"/>
        </w:rPr>
      </w:pPr>
    </w:p>
    <w:p>
      <w:pPr>
        <w:adjustRightInd w:val="0"/>
        <w:snapToGrid w:val="0"/>
        <w:spacing w:line="500" w:lineRule="exact"/>
        <w:jc w:val="center"/>
        <w:rPr>
          <w:rFonts w:ascii="仿宋_GB2312" w:hAnsi="黑体" w:eastAsia="仿宋_GB2312"/>
          <w:b/>
          <w:bCs/>
          <w:sz w:val="44"/>
          <w:szCs w:val="44"/>
        </w:rPr>
      </w:pPr>
    </w:p>
    <w:p>
      <w:pPr>
        <w:spacing w:line="500" w:lineRule="exact"/>
        <w:jc w:val="center"/>
        <w:rPr>
          <w:rFonts w:ascii="黑体" w:hAnsi="黑体" w:eastAsia="黑体"/>
          <w:sz w:val="52"/>
          <w:szCs w:val="52"/>
        </w:rPr>
      </w:pPr>
      <w:r>
        <w:rPr>
          <w:rFonts w:hint="eastAsia" w:ascii="黑体" w:hAnsi="黑体" w:eastAsia="黑体"/>
          <w:sz w:val="52"/>
          <w:szCs w:val="52"/>
        </w:rPr>
        <w:t>中粮梁河糖业有限公司</w:t>
      </w:r>
    </w:p>
    <w:p>
      <w:pPr>
        <w:spacing w:line="500" w:lineRule="exact"/>
        <w:jc w:val="center"/>
        <w:rPr>
          <w:rFonts w:ascii="黑体" w:hAnsi="黑体" w:eastAsia="黑体"/>
          <w:b/>
          <w:sz w:val="52"/>
          <w:szCs w:val="52"/>
        </w:rPr>
      </w:pPr>
    </w:p>
    <w:p>
      <w:pPr>
        <w:spacing w:line="500" w:lineRule="exact"/>
        <w:jc w:val="center"/>
        <w:rPr>
          <w:rFonts w:ascii="黑体" w:hAnsi="黑体" w:eastAsia="黑体"/>
          <w:b/>
          <w:sz w:val="52"/>
          <w:szCs w:val="52"/>
        </w:rPr>
      </w:pPr>
    </w:p>
    <w:p>
      <w:pPr>
        <w:spacing w:line="500" w:lineRule="exact"/>
        <w:jc w:val="center"/>
        <w:rPr>
          <w:rFonts w:ascii="黑体" w:hAnsi="黑体" w:eastAsia="黑体"/>
          <w:b/>
          <w:sz w:val="52"/>
          <w:szCs w:val="52"/>
        </w:rPr>
      </w:pPr>
    </w:p>
    <w:p>
      <w:pPr>
        <w:spacing w:line="500" w:lineRule="exact"/>
        <w:jc w:val="center"/>
        <w:rPr>
          <w:rFonts w:ascii="黑体" w:hAnsi="黑体" w:eastAsia="黑体"/>
          <w:b/>
          <w:sz w:val="52"/>
          <w:szCs w:val="52"/>
        </w:rPr>
      </w:pPr>
    </w:p>
    <w:p>
      <w:pPr>
        <w:spacing w:line="500" w:lineRule="exact"/>
        <w:jc w:val="center"/>
        <w:rPr>
          <w:rFonts w:ascii="黑体" w:hAnsi="黑体" w:eastAsia="黑体"/>
          <w:sz w:val="52"/>
          <w:szCs w:val="52"/>
        </w:rPr>
      </w:pPr>
    </w:p>
    <w:p>
      <w:pPr>
        <w:jc w:val="center"/>
        <w:rPr>
          <w:rStyle w:val="71"/>
          <w:rFonts w:hint="eastAsia" w:ascii="宋体" w:hAnsi="宋体"/>
          <w:bCs/>
          <w:sz w:val="32"/>
          <w:szCs w:val="32"/>
          <w:lang w:val="en-US" w:eastAsia="zh-CN"/>
        </w:rPr>
      </w:pPr>
      <w:r>
        <w:rPr>
          <w:rStyle w:val="71"/>
          <w:rFonts w:hint="eastAsia" w:ascii="宋体" w:hAnsi="宋体"/>
          <w:bCs/>
          <w:sz w:val="32"/>
          <w:szCs w:val="32"/>
          <w:lang w:eastAsia="zh-CN"/>
        </w:rPr>
        <w:t>梁河公司办公楼单元楼青工楼楼梯扶手防护栏补焊项目</w:t>
      </w:r>
      <w:r>
        <w:rPr>
          <w:rStyle w:val="71"/>
          <w:rFonts w:hint="eastAsia" w:ascii="宋体" w:hAnsi="宋体"/>
          <w:bCs/>
          <w:sz w:val="32"/>
          <w:szCs w:val="32"/>
          <w:lang w:val="en-US" w:eastAsia="zh-CN"/>
        </w:rPr>
        <w:t>合同</w:t>
      </w:r>
    </w:p>
    <w:p>
      <w:pPr>
        <w:jc w:val="center"/>
        <w:rPr>
          <w:rFonts w:eastAsia="仿宋" w:asciiTheme="minorEastAsia" w:hAnsiTheme="minorEastAsia"/>
          <w:b/>
          <w:bCs/>
          <w:snapToGrid w:val="0"/>
          <w:sz w:val="32"/>
          <w:szCs w:val="32"/>
        </w:rPr>
      </w:pPr>
      <w:r>
        <w:rPr>
          <w:rFonts w:hint="eastAsia" w:eastAsia="仿宋" w:asciiTheme="minorEastAsia" w:hAnsiTheme="minorEastAsia"/>
          <w:b/>
          <w:bCs/>
          <w:snapToGrid w:val="0"/>
          <w:sz w:val="32"/>
          <w:szCs w:val="32"/>
        </w:rPr>
        <w:t>（草案）</w:t>
      </w:r>
    </w:p>
    <w:p>
      <w:pPr>
        <w:jc w:val="center"/>
        <w:rPr>
          <w:rFonts w:eastAsia="仿宋" w:asciiTheme="minorEastAsia" w:hAnsiTheme="minorEastAsia"/>
          <w:b/>
          <w:bCs/>
          <w:snapToGrid w:val="0"/>
          <w:sz w:val="32"/>
          <w:szCs w:val="32"/>
        </w:rPr>
      </w:pPr>
    </w:p>
    <w:p>
      <w:pPr>
        <w:spacing w:line="500" w:lineRule="exact"/>
        <w:jc w:val="center"/>
        <w:rPr>
          <w:rFonts w:eastAsia="仿宋_GB2312"/>
          <w:color w:val="000000"/>
          <w:sz w:val="28"/>
        </w:rPr>
      </w:pPr>
    </w:p>
    <w:p>
      <w:pPr>
        <w:spacing w:line="500" w:lineRule="exact"/>
        <w:ind w:firstLine="2700" w:firstLineChars="900"/>
        <w:rPr>
          <w:rFonts w:eastAsia="仿宋_GB2312"/>
          <w:color w:val="000000"/>
          <w:sz w:val="30"/>
          <w:szCs w:val="30"/>
        </w:rPr>
      </w:pPr>
      <w:r>
        <w:rPr>
          <w:rFonts w:eastAsia="仿宋_GB2312"/>
          <w:color w:val="000000"/>
          <w:sz w:val="30"/>
          <w:szCs w:val="30"/>
        </w:rPr>
        <w:t>甲方：</w:t>
      </w:r>
      <w:r>
        <w:rPr>
          <w:rFonts w:hint="eastAsia" w:eastAsia="仿宋_GB2312"/>
          <w:color w:val="000000"/>
          <w:sz w:val="30"/>
          <w:szCs w:val="30"/>
        </w:rPr>
        <w:t>中粮梁河糖业有限公司</w:t>
      </w:r>
    </w:p>
    <w:p>
      <w:pPr>
        <w:spacing w:line="500" w:lineRule="exact"/>
        <w:ind w:firstLine="2700" w:firstLineChars="900"/>
        <w:rPr>
          <w:rFonts w:eastAsia="仿宋_GB2312"/>
          <w:color w:val="000000"/>
          <w:sz w:val="30"/>
          <w:szCs w:val="30"/>
        </w:rPr>
      </w:pPr>
      <w:r>
        <w:rPr>
          <w:rFonts w:eastAsia="仿宋_GB2312"/>
          <w:color w:val="000000"/>
          <w:sz w:val="30"/>
          <w:szCs w:val="30"/>
        </w:rPr>
        <w:t xml:space="preserve">乙方： </w:t>
      </w:r>
    </w:p>
    <w:p>
      <w:pPr>
        <w:spacing w:line="500" w:lineRule="exact"/>
        <w:ind w:firstLine="2700" w:firstLineChars="900"/>
        <w:rPr>
          <w:rFonts w:eastAsia="仿宋_GB2312"/>
          <w:color w:val="000000"/>
          <w:sz w:val="30"/>
          <w:szCs w:val="30"/>
        </w:rPr>
      </w:pPr>
      <w:r>
        <w:rPr>
          <w:rFonts w:eastAsia="仿宋_GB2312"/>
          <w:color w:val="000000"/>
          <w:sz w:val="30"/>
          <w:szCs w:val="30"/>
        </w:rPr>
        <w:t>合同编号：</w:t>
      </w:r>
    </w:p>
    <w:p>
      <w:pPr>
        <w:spacing w:line="500" w:lineRule="exact"/>
        <w:ind w:firstLine="2700" w:firstLineChars="900"/>
        <w:rPr>
          <w:rFonts w:eastAsia="仿宋_GB2312"/>
          <w:color w:val="000000"/>
          <w:sz w:val="30"/>
          <w:szCs w:val="30"/>
        </w:rPr>
      </w:pPr>
      <w:r>
        <w:rPr>
          <w:rFonts w:eastAsia="仿宋_GB2312"/>
          <w:color w:val="000000"/>
          <w:sz w:val="30"/>
          <w:szCs w:val="30"/>
        </w:rPr>
        <w:t>合同签订地点：</w:t>
      </w:r>
      <w:r>
        <w:rPr>
          <w:rFonts w:hint="eastAsia" w:eastAsia="仿宋_GB2312"/>
          <w:color w:val="000000"/>
          <w:sz w:val="30"/>
          <w:szCs w:val="30"/>
        </w:rPr>
        <w:t xml:space="preserve"> </w:t>
      </w:r>
    </w:p>
    <w:p>
      <w:pPr>
        <w:spacing w:line="500" w:lineRule="exact"/>
        <w:ind w:firstLine="2700" w:firstLineChars="900"/>
        <w:rPr>
          <w:rFonts w:eastAsia="仿宋_GB2312"/>
          <w:color w:val="000000"/>
          <w:sz w:val="30"/>
          <w:szCs w:val="30"/>
        </w:rPr>
      </w:pPr>
      <w:r>
        <w:rPr>
          <w:rFonts w:eastAsia="仿宋_GB2312"/>
          <w:color w:val="000000"/>
          <w:sz w:val="30"/>
          <w:szCs w:val="30"/>
        </w:rPr>
        <w:t>合同签订日期：</w:t>
      </w:r>
      <w:r>
        <w:rPr>
          <w:rFonts w:hint="eastAsia" w:eastAsia="仿宋_GB2312"/>
          <w:color w:val="000000"/>
          <w:sz w:val="30"/>
          <w:szCs w:val="30"/>
        </w:rPr>
        <w:t xml:space="preserve">    </w:t>
      </w:r>
      <w:r>
        <w:rPr>
          <w:rFonts w:eastAsia="仿宋_GB2312"/>
          <w:color w:val="000000"/>
          <w:sz w:val="30"/>
          <w:szCs w:val="30"/>
        </w:rPr>
        <w:t xml:space="preserve">年  月  日 </w:t>
      </w:r>
    </w:p>
    <w:p>
      <w:pPr>
        <w:spacing w:line="360" w:lineRule="auto"/>
        <w:jc w:val="center"/>
        <w:rPr>
          <w:rFonts w:eastAsia="仿宋_GB2312"/>
          <w:color w:val="000000"/>
          <w:sz w:val="28"/>
        </w:rPr>
      </w:pPr>
      <w:r>
        <w:rPr>
          <w:rFonts w:eastAsia="仿宋_GB2312"/>
          <w:color w:val="000000"/>
          <w:sz w:val="28"/>
        </w:rPr>
        <w:br w:type="page"/>
      </w:r>
    </w:p>
    <w:p>
      <w:pPr>
        <w:adjustRightInd w:val="0"/>
        <w:snapToGrid w:val="0"/>
        <w:spacing w:line="500" w:lineRule="exact"/>
        <w:ind w:firstLine="640" w:firstLineChars="200"/>
        <w:rPr>
          <w:rFonts w:ascii="仿宋_GB2312" w:hAnsi="仿宋_GB2312" w:eastAsia="仿宋_GB2312" w:cs="仿宋_GB2312"/>
          <w:color w:val="000000"/>
          <w:sz w:val="32"/>
          <w:szCs w:val="32"/>
        </w:rPr>
      </w:pPr>
      <w:r>
        <w:rPr>
          <w:rFonts w:hint="eastAsia" w:ascii="微软雅黑" w:hAnsi="微软雅黑" w:eastAsia="微软雅黑" w:cs="微软雅黑"/>
          <w:color w:val="000000"/>
          <w:sz w:val="32"/>
          <w:szCs w:val="32"/>
          <w:u w:val="single"/>
        </w:rPr>
        <w:t>【</w:t>
      </w:r>
      <w:r>
        <w:rPr>
          <w:rFonts w:hint="eastAsia" w:ascii="仿宋_GB2312" w:hAnsi="仿宋_GB2312" w:eastAsia="仿宋_GB2312" w:cs="仿宋_GB2312"/>
          <w:color w:val="000000"/>
          <w:sz w:val="32"/>
          <w:szCs w:val="32"/>
          <w:u w:val="single"/>
        </w:rPr>
        <w:t>中粮梁河糖业公司</w:t>
      </w:r>
      <w:r>
        <w:rPr>
          <w:rFonts w:hint="eastAsia" w:ascii="微软雅黑" w:hAnsi="微软雅黑" w:eastAsia="微软雅黑" w:cs="微软雅黑"/>
          <w:color w:val="000000"/>
          <w:sz w:val="32"/>
          <w:szCs w:val="32"/>
          <w:u w:val="single"/>
        </w:rPr>
        <w:t>】</w:t>
      </w:r>
      <w:r>
        <w:rPr>
          <w:rFonts w:hint="eastAsia" w:ascii="仿宋_GB2312" w:hAnsi="仿宋_GB2312" w:eastAsia="仿宋_GB2312" w:cs="仿宋_GB2312"/>
          <w:color w:val="000000"/>
          <w:sz w:val="32"/>
          <w:szCs w:val="32"/>
        </w:rPr>
        <w:t>（以下简称甲方）与</w:t>
      </w:r>
      <w:r>
        <w:rPr>
          <w:rFonts w:hint="eastAsia" w:ascii="微软雅黑" w:hAnsi="微软雅黑" w:eastAsia="微软雅黑" w:cs="微软雅黑"/>
          <w:color w:val="000000"/>
          <w:sz w:val="32"/>
          <w:szCs w:val="32"/>
        </w:rPr>
        <w:t>【</w:t>
      </w:r>
      <w:r>
        <w:rPr>
          <w:rFonts w:hint="eastAsia" w:ascii="仿宋_GB2312" w:hAnsi="仿宋_GB2312" w:eastAsia="仿宋_GB2312" w:cs="仿宋_GB2312"/>
          <w:color w:val="000000"/>
          <w:sz w:val="32"/>
          <w:szCs w:val="32"/>
          <w:u w:val="single"/>
        </w:rPr>
        <w:t>XXX公司</w:t>
      </w:r>
      <w:r>
        <w:rPr>
          <w:rFonts w:hint="eastAsia" w:ascii="微软雅黑" w:hAnsi="微软雅黑" w:eastAsia="微软雅黑" w:cs="微软雅黑"/>
          <w:color w:val="000000"/>
          <w:sz w:val="32"/>
          <w:szCs w:val="32"/>
          <w:u w:val="single"/>
        </w:rPr>
        <w:t>】</w:t>
      </w:r>
      <w:r>
        <w:rPr>
          <w:rFonts w:hint="eastAsia" w:ascii="仿宋_GB2312" w:hAnsi="仿宋_GB2312" w:eastAsia="仿宋_GB2312" w:cs="仿宋_GB2312"/>
          <w:color w:val="000000"/>
          <w:sz w:val="32"/>
          <w:szCs w:val="32"/>
        </w:rPr>
        <w:t>（以下简称乙方）就乙方为</w:t>
      </w:r>
      <w:r>
        <w:rPr>
          <w:rFonts w:hint="eastAsia" w:ascii="微软雅黑" w:hAnsi="微软雅黑" w:eastAsia="微软雅黑" w:cs="微软雅黑"/>
          <w:bCs/>
          <w:color w:val="FF0000"/>
          <w:sz w:val="32"/>
          <w:szCs w:val="32"/>
          <w:u w:val="single"/>
        </w:rPr>
        <w:t>【</w:t>
      </w:r>
      <w:r>
        <w:rPr>
          <w:rStyle w:val="71"/>
          <w:rFonts w:hint="eastAsia" w:ascii="宋体" w:hAnsi="宋体"/>
          <w:bCs/>
          <w:sz w:val="32"/>
          <w:szCs w:val="32"/>
          <w:lang w:eastAsia="zh-CN"/>
        </w:rPr>
        <w:t>梁河公司办公楼单元楼青工楼楼梯扶手防护栏补焊项目</w:t>
      </w:r>
      <w:r>
        <w:rPr>
          <w:rFonts w:hint="eastAsia" w:ascii="微软雅黑" w:hAnsi="微软雅黑" w:eastAsia="微软雅黑" w:cs="微软雅黑"/>
          <w:bCs/>
          <w:color w:val="FF0000"/>
          <w:sz w:val="32"/>
          <w:szCs w:val="32"/>
          <w:u w:val="single"/>
        </w:rPr>
        <w:t>】</w:t>
      </w:r>
      <w:r>
        <w:rPr>
          <w:rFonts w:hint="eastAsia" w:ascii="仿宋_GB2312" w:hAnsi="仿宋_GB2312" w:eastAsia="仿宋_GB2312" w:cs="仿宋_GB2312"/>
          <w:color w:val="000000"/>
          <w:sz w:val="32"/>
          <w:szCs w:val="32"/>
        </w:rPr>
        <w:t>向甲方提供的工程</w:t>
      </w:r>
      <w:r>
        <w:rPr>
          <w:rFonts w:hint="eastAsia" w:ascii="仿宋_GB2312" w:hAnsi="仿宋_GB2312" w:eastAsia="仿宋_GB2312" w:cs="仿宋_GB2312"/>
          <w:color w:val="000000"/>
          <w:sz w:val="32"/>
          <w:szCs w:val="32"/>
          <w:lang w:val="en-US" w:eastAsia="zh-CN"/>
        </w:rPr>
        <w:t>施工</w:t>
      </w:r>
      <w:r>
        <w:rPr>
          <w:rFonts w:hint="eastAsia" w:ascii="仿宋_GB2312" w:hAnsi="仿宋_GB2312" w:eastAsia="仿宋_GB2312" w:cs="仿宋_GB2312"/>
          <w:color w:val="000000"/>
          <w:sz w:val="32"/>
          <w:szCs w:val="32"/>
        </w:rPr>
        <w:t>服务，经甲乙双方协商一致，签订本合同，共同遵守如下条款：</w:t>
      </w:r>
    </w:p>
    <w:p/>
    <w:p>
      <w:pPr>
        <w:adjustRightInd w:val="0"/>
        <w:snapToGrid w:val="0"/>
        <w:spacing w:line="500" w:lineRule="exact"/>
        <w:ind w:firstLine="602" w:firstLineChars="200"/>
        <w:rPr>
          <w:rFonts w:eastAsia="仿宋_GB2312"/>
          <w:b/>
          <w:color w:val="000000"/>
          <w:sz w:val="30"/>
          <w:szCs w:val="30"/>
        </w:rPr>
      </w:pPr>
      <w:r>
        <w:rPr>
          <w:rFonts w:eastAsia="仿宋_GB2312"/>
          <w:b/>
          <w:color w:val="000000"/>
          <w:sz w:val="30"/>
          <w:szCs w:val="30"/>
        </w:rPr>
        <w:t>一、合同标的</w:t>
      </w:r>
    </w:p>
    <w:p>
      <w:pPr>
        <w:adjustRightInd w:val="0"/>
        <w:snapToGrid w:val="0"/>
        <w:spacing w:line="500" w:lineRule="exact"/>
        <w:ind w:firstLine="600" w:firstLineChars="200"/>
        <w:rPr>
          <w:rFonts w:eastAsia="仿宋_GB2312"/>
          <w:color w:val="000000"/>
          <w:sz w:val="30"/>
          <w:szCs w:val="30"/>
        </w:rPr>
      </w:pPr>
      <w:r>
        <w:rPr>
          <w:rFonts w:eastAsia="仿宋_GB2312"/>
          <w:color w:val="000000"/>
          <w:sz w:val="30"/>
          <w:szCs w:val="30"/>
        </w:rPr>
        <w:t>1．本合同标的（包括设备供货及服务）。</w:t>
      </w:r>
    </w:p>
    <w:tbl>
      <w:tblPr>
        <w:tblStyle w:val="39"/>
        <w:tblW w:w="10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2483"/>
        <w:gridCol w:w="1789"/>
        <w:gridCol w:w="1023"/>
        <w:gridCol w:w="1092"/>
        <w:gridCol w:w="1736"/>
        <w:gridCol w:w="1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adjustRightInd w:val="0"/>
              <w:snapToGrid w:val="0"/>
              <w:spacing w:line="340" w:lineRule="exact"/>
              <w:jc w:val="center"/>
              <w:rPr>
                <w:rFonts w:eastAsia="仿宋_GB2312"/>
                <w:spacing w:val="20"/>
                <w:sz w:val="32"/>
                <w:szCs w:val="32"/>
              </w:rPr>
            </w:pPr>
            <w:r>
              <w:rPr>
                <w:rFonts w:eastAsia="仿宋_GB2312"/>
                <w:spacing w:val="20"/>
                <w:sz w:val="32"/>
                <w:szCs w:val="32"/>
              </w:rPr>
              <w:t>序号</w:t>
            </w:r>
          </w:p>
        </w:tc>
        <w:tc>
          <w:tcPr>
            <w:tcW w:w="2483" w:type="dxa"/>
            <w:vAlign w:val="center"/>
          </w:tcPr>
          <w:p>
            <w:pPr>
              <w:adjustRightInd w:val="0"/>
              <w:snapToGrid w:val="0"/>
              <w:spacing w:line="340" w:lineRule="exact"/>
              <w:jc w:val="center"/>
              <w:rPr>
                <w:rFonts w:eastAsia="仿宋_GB2312"/>
                <w:spacing w:val="20"/>
                <w:sz w:val="32"/>
                <w:szCs w:val="32"/>
              </w:rPr>
            </w:pPr>
            <w:r>
              <w:rPr>
                <w:rFonts w:hint="eastAsia" w:eastAsia="仿宋_GB2312"/>
                <w:spacing w:val="20"/>
                <w:sz w:val="32"/>
                <w:szCs w:val="32"/>
              </w:rPr>
              <w:t>项目名称</w:t>
            </w:r>
          </w:p>
        </w:tc>
        <w:tc>
          <w:tcPr>
            <w:tcW w:w="1789" w:type="dxa"/>
          </w:tcPr>
          <w:p>
            <w:pPr>
              <w:adjustRightInd w:val="0"/>
              <w:snapToGrid w:val="0"/>
              <w:spacing w:line="340" w:lineRule="exact"/>
              <w:jc w:val="center"/>
              <w:rPr>
                <w:rFonts w:eastAsia="仿宋_GB2312"/>
                <w:spacing w:val="20"/>
                <w:sz w:val="32"/>
                <w:szCs w:val="32"/>
              </w:rPr>
            </w:pPr>
          </w:p>
          <w:p>
            <w:pPr>
              <w:adjustRightInd w:val="0"/>
              <w:snapToGrid w:val="0"/>
              <w:spacing w:line="340" w:lineRule="exact"/>
              <w:jc w:val="center"/>
              <w:rPr>
                <w:rFonts w:eastAsia="仿宋_GB2312"/>
                <w:spacing w:val="20"/>
                <w:sz w:val="32"/>
                <w:szCs w:val="32"/>
              </w:rPr>
            </w:pPr>
            <w:r>
              <w:rPr>
                <w:rFonts w:hint="eastAsia" w:eastAsia="仿宋_GB2312"/>
                <w:spacing w:val="20"/>
                <w:sz w:val="32"/>
                <w:szCs w:val="32"/>
              </w:rPr>
              <w:t>规格型号</w:t>
            </w:r>
          </w:p>
        </w:tc>
        <w:tc>
          <w:tcPr>
            <w:tcW w:w="1023" w:type="dxa"/>
            <w:vAlign w:val="center"/>
          </w:tcPr>
          <w:p>
            <w:pPr>
              <w:adjustRightInd w:val="0"/>
              <w:snapToGrid w:val="0"/>
              <w:spacing w:line="340" w:lineRule="exact"/>
              <w:jc w:val="center"/>
              <w:rPr>
                <w:rFonts w:eastAsia="仿宋_GB2312"/>
                <w:spacing w:val="20"/>
                <w:sz w:val="32"/>
                <w:szCs w:val="32"/>
              </w:rPr>
            </w:pPr>
            <w:r>
              <w:rPr>
                <w:rFonts w:eastAsia="仿宋_GB2312"/>
                <w:spacing w:val="20"/>
                <w:sz w:val="32"/>
                <w:szCs w:val="32"/>
              </w:rPr>
              <w:t>单位</w:t>
            </w:r>
          </w:p>
        </w:tc>
        <w:tc>
          <w:tcPr>
            <w:tcW w:w="1092" w:type="dxa"/>
            <w:vAlign w:val="center"/>
          </w:tcPr>
          <w:p>
            <w:pPr>
              <w:adjustRightInd w:val="0"/>
              <w:snapToGrid w:val="0"/>
              <w:spacing w:line="340" w:lineRule="exact"/>
              <w:jc w:val="center"/>
              <w:rPr>
                <w:rFonts w:eastAsia="仿宋_GB2312"/>
                <w:spacing w:val="20"/>
                <w:sz w:val="32"/>
                <w:szCs w:val="32"/>
              </w:rPr>
            </w:pPr>
            <w:r>
              <w:rPr>
                <w:rFonts w:eastAsia="仿宋_GB2312"/>
                <w:spacing w:val="20"/>
                <w:sz w:val="32"/>
                <w:szCs w:val="32"/>
              </w:rPr>
              <w:t>数量</w:t>
            </w:r>
          </w:p>
        </w:tc>
        <w:tc>
          <w:tcPr>
            <w:tcW w:w="1736" w:type="dxa"/>
            <w:vAlign w:val="center"/>
          </w:tcPr>
          <w:p>
            <w:pPr>
              <w:adjustRightInd w:val="0"/>
              <w:snapToGrid w:val="0"/>
              <w:spacing w:line="340" w:lineRule="exact"/>
              <w:jc w:val="center"/>
              <w:rPr>
                <w:rFonts w:eastAsia="仿宋_GB2312"/>
                <w:spacing w:val="20"/>
                <w:sz w:val="32"/>
                <w:szCs w:val="32"/>
              </w:rPr>
            </w:pPr>
            <w:r>
              <w:rPr>
                <w:rFonts w:hint="eastAsia" w:eastAsia="仿宋_GB2312"/>
                <w:spacing w:val="20"/>
                <w:sz w:val="32"/>
                <w:szCs w:val="32"/>
              </w:rPr>
              <w:t>金额</w:t>
            </w:r>
          </w:p>
        </w:tc>
        <w:tc>
          <w:tcPr>
            <w:tcW w:w="1505" w:type="dxa"/>
            <w:vAlign w:val="center"/>
          </w:tcPr>
          <w:p>
            <w:pPr>
              <w:adjustRightInd w:val="0"/>
              <w:snapToGrid w:val="0"/>
              <w:spacing w:line="340" w:lineRule="exact"/>
              <w:jc w:val="center"/>
              <w:rPr>
                <w:rFonts w:eastAsia="仿宋_GB2312"/>
                <w:spacing w:val="20"/>
                <w:sz w:val="32"/>
                <w:szCs w:val="32"/>
              </w:rPr>
            </w:pPr>
            <w:r>
              <w:rPr>
                <w:rFonts w:eastAsia="仿宋_GB2312"/>
                <w:spacing w:val="2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adjustRightInd w:val="0"/>
              <w:snapToGrid w:val="0"/>
              <w:spacing w:line="340" w:lineRule="exact"/>
              <w:jc w:val="center"/>
              <w:rPr>
                <w:rFonts w:eastAsia="仿宋_GB2312"/>
                <w:spacing w:val="20"/>
                <w:sz w:val="32"/>
                <w:szCs w:val="32"/>
              </w:rPr>
            </w:pPr>
            <w:r>
              <w:rPr>
                <w:rFonts w:eastAsia="仿宋_GB2312"/>
                <w:spacing w:val="20"/>
                <w:sz w:val="32"/>
                <w:szCs w:val="32"/>
              </w:rPr>
              <w:t>1</w:t>
            </w:r>
          </w:p>
        </w:tc>
        <w:tc>
          <w:tcPr>
            <w:tcW w:w="2483" w:type="dxa"/>
            <w:vAlign w:val="center"/>
          </w:tcPr>
          <w:p>
            <w:pPr>
              <w:adjustRightInd w:val="0"/>
              <w:snapToGrid w:val="0"/>
              <w:spacing w:line="340" w:lineRule="exact"/>
              <w:jc w:val="center"/>
              <w:rPr>
                <w:rFonts w:eastAsia="仿宋_GB2312"/>
                <w:spacing w:val="20"/>
                <w:sz w:val="32"/>
                <w:szCs w:val="32"/>
              </w:rPr>
            </w:pPr>
            <w:r>
              <w:rPr>
                <w:rFonts w:hint="eastAsia" w:eastAsia="仿宋_GB2312"/>
                <w:spacing w:val="20"/>
                <w:sz w:val="32"/>
                <w:szCs w:val="32"/>
                <w:lang w:eastAsia="zh-CN"/>
              </w:rPr>
              <w:t>梁河公司办公楼单元楼青工楼楼梯扶手防护栏补焊项目</w:t>
            </w:r>
          </w:p>
        </w:tc>
        <w:tc>
          <w:tcPr>
            <w:tcW w:w="1789" w:type="dxa"/>
          </w:tcPr>
          <w:p>
            <w:pPr>
              <w:adjustRightInd w:val="0"/>
              <w:snapToGrid w:val="0"/>
              <w:spacing w:line="340" w:lineRule="exact"/>
              <w:jc w:val="center"/>
              <w:rPr>
                <w:rFonts w:hint="eastAsia" w:eastAsia="仿宋_GB2312"/>
                <w:spacing w:val="20"/>
                <w:sz w:val="32"/>
                <w:szCs w:val="32"/>
              </w:rPr>
            </w:pPr>
          </w:p>
        </w:tc>
        <w:tc>
          <w:tcPr>
            <w:tcW w:w="1023" w:type="dxa"/>
            <w:vAlign w:val="center"/>
          </w:tcPr>
          <w:p>
            <w:pPr>
              <w:adjustRightInd w:val="0"/>
              <w:snapToGrid w:val="0"/>
              <w:spacing w:line="340" w:lineRule="exact"/>
              <w:jc w:val="center"/>
              <w:rPr>
                <w:rFonts w:eastAsia="仿宋_GB2312"/>
                <w:spacing w:val="20"/>
                <w:sz w:val="32"/>
                <w:szCs w:val="32"/>
              </w:rPr>
            </w:pPr>
            <w:r>
              <w:rPr>
                <w:rFonts w:hint="eastAsia" w:eastAsia="仿宋_GB2312"/>
                <w:spacing w:val="20"/>
                <w:sz w:val="32"/>
                <w:szCs w:val="32"/>
              </w:rPr>
              <w:t>项</w:t>
            </w:r>
          </w:p>
        </w:tc>
        <w:tc>
          <w:tcPr>
            <w:tcW w:w="1092" w:type="dxa"/>
            <w:vAlign w:val="center"/>
          </w:tcPr>
          <w:p>
            <w:pPr>
              <w:adjustRightInd w:val="0"/>
              <w:snapToGrid w:val="0"/>
              <w:spacing w:line="340" w:lineRule="exact"/>
              <w:jc w:val="center"/>
              <w:rPr>
                <w:rFonts w:eastAsia="仿宋_GB2312"/>
                <w:spacing w:val="20"/>
                <w:sz w:val="32"/>
                <w:szCs w:val="32"/>
              </w:rPr>
            </w:pPr>
            <w:r>
              <w:rPr>
                <w:rFonts w:hint="eastAsia" w:eastAsia="仿宋_GB2312"/>
                <w:spacing w:val="20"/>
                <w:sz w:val="32"/>
                <w:szCs w:val="32"/>
              </w:rPr>
              <w:t>1</w:t>
            </w:r>
          </w:p>
        </w:tc>
        <w:tc>
          <w:tcPr>
            <w:tcW w:w="1736" w:type="dxa"/>
            <w:vAlign w:val="center"/>
          </w:tcPr>
          <w:p>
            <w:pPr>
              <w:adjustRightInd w:val="0"/>
              <w:snapToGrid w:val="0"/>
              <w:spacing w:line="340" w:lineRule="exact"/>
              <w:jc w:val="center"/>
              <w:rPr>
                <w:rFonts w:eastAsia="仿宋_GB2312"/>
                <w:spacing w:val="20"/>
                <w:sz w:val="32"/>
                <w:szCs w:val="32"/>
              </w:rPr>
            </w:pPr>
          </w:p>
        </w:tc>
        <w:tc>
          <w:tcPr>
            <w:tcW w:w="1505" w:type="dxa"/>
            <w:vAlign w:val="center"/>
          </w:tcPr>
          <w:p>
            <w:pPr>
              <w:adjustRightInd w:val="0"/>
              <w:snapToGrid w:val="0"/>
              <w:spacing w:line="340" w:lineRule="exact"/>
              <w:jc w:val="center"/>
              <w:rPr>
                <w:rFonts w:eastAsia="仿宋_GB2312"/>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3015" w:type="dxa"/>
            <w:gridSpan w:val="2"/>
            <w:vAlign w:val="center"/>
          </w:tcPr>
          <w:p>
            <w:pPr>
              <w:adjustRightInd w:val="0"/>
              <w:snapToGrid w:val="0"/>
              <w:spacing w:line="340" w:lineRule="exact"/>
              <w:jc w:val="center"/>
              <w:rPr>
                <w:rFonts w:eastAsia="仿宋_GB2312"/>
                <w:spacing w:val="20"/>
                <w:sz w:val="32"/>
                <w:szCs w:val="32"/>
              </w:rPr>
            </w:pPr>
            <w:r>
              <w:rPr>
                <w:rFonts w:hint="eastAsia" w:eastAsia="仿宋_GB2312"/>
                <w:spacing w:val="20"/>
                <w:sz w:val="32"/>
                <w:szCs w:val="32"/>
              </w:rPr>
              <w:t>合计</w:t>
            </w:r>
          </w:p>
        </w:tc>
        <w:tc>
          <w:tcPr>
            <w:tcW w:w="1789" w:type="dxa"/>
          </w:tcPr>
          <w:p>
            <w:pPr>
              <w:adjustRightInd w:val="0"/>
              <w:snapToGrid w:val="0"/>
              <w:spacing w:line="340" w:lineRule="exact"/>
              <w:jc w:val="center"/>
              <w:rPr>
                <w:rFonts w:eastAsia="仿宋_GB2312"/>
                <w:spacing w:val="20"/>
                <w:sz w:val="32"/>
                <w:szCs w:val="32"/>
              </w:rPr>
            </w:pPr>
          </w:p>
        </w:tc>
        <w:tc>
          <w:tcPr>
            <w:tcW w:w="1023" w:type="dxa"/>
            <w:vAlign w:val="center"/>
          </w:tcPr>
          <w:p>
            <w:pPr>
              <w:adjustRightInd w:val="0"/>
              <w:snapToGrid w:val="0"/>
              <w:spacing w:line="340" w:lineRule="exact"/>
              <w:jc w:val="center"/>
              <w:rPr>
                <w:rFonts w:eastAsia="仿宋_GB2312"/>
                <w:spacing w:val="20"/>
                <w:sz w:val="32"/>
                <w:szCs w:val="32"/>
              </w:rPr>
            </w:pPr>
          </w:p>
        </w:tc>
        <w:tc>
          <w:tcPr>
            <w:tcW w:w="1092" w:type="dxa"/>
            <w:vAlign w:val="center"/>
          </w:tcPr>
          <w:p>
            <w:pPr>
              <w:adjustRightInd w:val="0"/>
              <w:snapToGrid w:val="0"/>
              <w:spacing w:line="340" w:lineRule="exact"/>
              <w:jc w:val="center"/>
              <w:rPr>
                <w:rFonts w:eastAsia="仿宋_GB2312"/>
                <w:spacing w:val="20"/>
                <w:sz w:val="32"/>
                <w:szCs w:val="32"/>
              </w:rPr>
            </w:pPr>
          </w:p>
        </w:tc>
        <w:tc>
          <w:tcPr>
            <w:tcW w:w="1736" w:type="dxa"/>
            <w:vAlign w:val="center"/>
          </w:tcPr>
          <w:p>
            <w:pPr>
              <w:adjustRightInd w:val="0"/>
              <w:snapToGrid w:val="0"/>
              <w:spacing w:line="340" w:lineRule="exact"/>
              <w:jc w:val="center"/>
              <w:rPr>
                <w:rFonts w:eastAsia="仿宋_GB2312"/>
                <w:spacing w:val="20"/>
                <w:sz w:val="32"/>
                <w:szCs w:val="32"/>
              </w:rPr>
            </w:pPr>
          </w:p>
        </w:tc>
        <w:tc>
          <w:tcPr>
            <w:tcW w:w="1505" w:type="dxa"/>
            <w:vAlign w:val="center"/>
          </w:tcPr>
          <w:p>
            <w:pPr>
              <w:adjustRightInd w:val="0"/>
              <w:snapToGrid w:val="0"/>
              <w:spacing w:line="340" w:lineRule="exact"/>
              <w:jc w:val="center"/>
              <w:rPr>
                <w:rFonts w:eastAsia="仿宋_GB2312"/>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0160" w:type="dxa"/>
            <w:gridSpan w:val="7"/>
          </w:tcPr>
          <w:p>
            <w:pPr>
              <w:adjustRightInd w:val="0"/>
              <w:snapToGrid w:val="0"/>
              <w:spacing w:line="340" w:lineRule="exact"/>
              <w:rPr>
                <w:rFonts w:eastAsia="仿宋_GB2312"/>
                <w:spacing w:val="20"/>
                <w:sz w:val="32"/>
                <w:szCs w:val="32"/>
              </w:rPr>
            </w:pPr>
            <w:r>
              <w:rPr>
                <w:rFonts w:eastAsia="仿宋_GB2312"/>
                <w:spacing w:val="20"/>
                <w:sz w:val="32"/>
                <w:szCs w:val="32"/>
              </w:rPr>
              <w:t>总金额</w:t>
            </w:r>
            <w:r>
              <w:rPr>
                <w:rFonts w:hint="eastAsia" w:eastAsia="仿宋_GB2312"/>
                <w:spacing w:val="20"/>
                <w:sz w:val="32"/>
                <w:szCs w:val="32"/>
              </w:rPr>
              <w:t>（含税）</w:t>
            </w:r>
            <w:r>
              <w:rPr>
                <w:rFonts w:eastAsia="仿宋_GB2312"/>
                <w:spacing w:val="20"/>
                <w:sz w:val="32"/>
                <w:szCs w:val="32"/>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60" w:type="dxa"/>
            <w:gridSpan w:val="7"/>
          </w:tcPr>
          <w:p>
            <w:pPr>
              <w:rPr>
                <w:rFonts w:eastAsia="仿宋_GB2312"/>
                <w:color w:val="000000"/>
                <w:sz w:val="32"/>
                <w:szCs w:val="32"/>
                <w:u w:val="single"/>
              </w:rPr>
            </w:pPr>
            <w:r>
              <w:rPr>
                <w:rFonts w:hint="eastAsia" w:eastAsia="仿宋_GB2312"/>
                <w:color w:val="000000"/>
                <w:sz w:val="32"/>
                <w:szCs w:val="32"/>
              </w:rPr>
              <w:t>1、不含税金额</w:t>
            </w:r>
            <w:r>
              <w:rPr>
                <w:rFonts w:hint="eastAsia" w:eastAsia="仿宋_GB2312"/>
                <w:color w:val="000000"/>
                <w:sz w:val="32"/>
                <w:szCs w:val="32"/>
                <w:u w:val="single"/>
              </w:rPr>
              <w:t xml:space="preserve">   元，税额    元（  %增值税专用发票）。</w:t>
            </w:r>
          </w:p>
          <w:p>
            <w:pPr>
              <w:rPr>
                <w:rFonts w:eastAsia="仿宋_GB2312"/>
                <w:color w:val="000000"/>
                <w:sz w:val="30"/>
                <w:szCs w:val="30"/>
              </w:rPr>
            </w:pPr>
            <w:r>
              <w:rPr>
                <w:rFonts w:hint="eastAsia" w:eastAsia="仿宋_GB2312"/>
                <w:color w:val="000000"/>
                <w:sz w:val="32"/>
                <w:szCs w:val="32"/>
              </w:rPr>
              <w:t>2、</w:t>
            </w:r>
            <w:r>
              <w:rPr>
                <w:rFonts w:eastAsia="仿宋_GB2312"/>
                <w:color w:val="000000"/>
                <w:sz w:val="32"/>
                <w:szCs w:val="32"/>
              </w:rPr>
              <w:t>费用已包含</w:t>
            </w:r>
            <w:r>
              <w:rPr>
                <w:rFonts w:eastAsia="仿宋_GB2312"/>
                <w:color w:val="000000"/>
                <w:sz w:val="30"/>
                <w:szCs w:val="30"/>
              </w:rPr>
              <w:t>招标文件中要求的所有工程内容、</w:t>
            </w:r>
            <w:r>
              <w:rPr>
                <w:rFonts w:hint="eastAsia" w:eastAsia="仿宋_GB2312"/>
                <w:color w:val="000000"/>
                <w:sz w:val="30"/>
                <w:szCs w:val="30"/>
              </w:rPr>
              <w:t>甲方除本合同总金额外无需支付任何费用。</w:t>
            </w:r>
          </w:p>
          <w:p>
            <w:pPr>
              <w:adjustRightInd w:val="0"/>
              <w:snapToGrid w:val="0"/>
              <w:spacing w:line="480" w:lineRule="exact"/>
              <w:rPr>
                <w:rFonts w:eastAsia="仿宋_GB2312"/>
                <w:sz w:val="30"/>
                <w:szCs w:val="30"/>
              </w:rPr>
            </w:pPr>
            <w:r>
              <w:rPr>
                <w:rFonts w:hint="eastAsia" w:eastAsia="仿宋_GB2312"/>
                <w:color w:val="FF0000"/>
                <w:sz w:val="30"/>
                <w:szCs w:val="30"/>
              </w:rPr>
              <w:t>3、</w:t>
            </w:r>
            <w:r>
              <w:rPr>
                <w:rFonts w:hint="eastAsia" w:eastAsia="仿宋_GB2312"/>
                <w:color w:val="000000"/>
                <w:sz w:val="30"/>
                <w:szCs w:val="30"/>
                <w:lang w:val="en-US" w:eastAsia="zh-CN"/>
              </w:rPr>
              <w:t>施工质量</w:t>
            </w:r>
            <w:r>
              <w:rPr>
                <w:rFonts w:eastAsia="仿宋_GB2312"/>
                <w:color w:val="000000"/>
                <w:sz w:val="30"/>
                <w:szCs w:val="30"/>
              </w:rPr>
              <w:t>：详见</w:t>
            </w:r>
            <w:r>
              <w:rPr>
                <w:rFonts w:eastAsia="仿宋_GB2312"/>
                <w:sz w:val="30"/>
                <w:szCs w:val="30"/>
              </w:rPr>
              <w:t>合同附件</w:t>
            </w:r>
            <w:r>
              <w:rPr>
                <w:rFonts w:hint="eastAsia" w:eastAsia="仿宋_GB2312"/>
                <w:sz w:val="30"/>
                <w:szCs w:val="30"/>
              </w:rPr>
              <w:t>1《技术协议》。</w:t>
            </w:r>
          </w:p>
        </w:tc>
      </w:tr>
    </w:tbl>
    <w:p>
      <w:pPr>
        <w:spacing w:line="480" w:lineRule="exact"/>
        <w:ind w:firstLine="600" w:firstLineChars="200"/>
        <w:rPr>
          <w:rFonts w:eastAsia="仿宋_GB2312"/>
          <w:color w:val="000000"/>
          <w:sz w:val="30"/>
          <w:szCs w:val="30"/>
        </w:rPr>
      </w:pPr>
      <w:r>
        <w:rPr>
          <w:rFonts w:eastAsia="仿宋_GB2312"/>
          <w:color w:val="000000"/>
          <w:sz w:val="30"/>
          <w:szCs w:val="30"/>
        </w:rPr>
        <w:t>1.</w:t>
      </w:r>
      <w:r>
        <w:rPr>
          <w:rFonts w:hint="eastAsia" w:eastAsia="仿宋_GB2312"/>
          <w:color w:val="000000"/>
          <w:sz w:val="30"/>
          <w:szCs w:val="30"/>
        </w:rPr>
        <w:t>2</w:t>
      </w:r>
      <w:r>
        <w:rPr>
          <w:rFonts w:ascii="仿宋_GB2312" w:eastAsia="仿宋_GB2312"/>
          <w:color w:val="000000"/>
          <w:sz w:val="30"/>
          <w:szCs w:val="30"/>
        </w:rPr>
        <w:t xml:space="preserve"> </w:t>
      </w:r>
      <w:r>
        <w:rPr>
          <w:rFonts w:eastAsia="仿宋_GB2312"/>
          <w:color w:val="000000"/>
          <w:sz w:val="30"/>
          <w:szCs w:val="30"/>
        </w:rPr>
        <w:t>乙方向甲方提供所供设备或工程</w:t>
      </w:r>
      <w:r>
        <w:rPr>
          <w:rFonts w:hint="eastAsia" w:eastAsia="仿宋_GB2312"/>
          <w:color w:val="000000"/>
          <w:sz w:val="30"/>
          <w:szCs w:val="30"/>
        </w:rPr>
        <w:t>包含</w:t>
      </w:r>
      <w:r>
        <w:rPr>
          <w:rFonts w:eastAsia="仿宋_GB2312"/>
          <w:color w:val="000000"/>
          <w:sz w:val="30"/>
          <w:szCs w:val="30"/>
        </w:rPr>
        <w:t>以下服务：</w:t>
      </w:r>
      <w:r>
        <w:rPr>
          <w:rFonts w:hint="eastAsia" w:eastAsia="仿宋_GB2312"/>
          <w:color w:val="000000"/>
          <w:sz w:val="30"/>
          <w:szCs w:val="30"/>
          <w:lang w:val="en-US" w:eastAsia="zh-CN"/>
        </w:rPr>
        <w:t>焊接</w:t>
      </w:r>
      <w:r>
        <w:rPr>
          <w:rFonts w:hint="eastAsia" w:eastAsia="仿宋_GB2312"/>
          <w:color w:val="FF0000"/>
          <w:sz w:val="30"/>
          <w:szCs w:val="30"/>
          <w:lang w:val="en-US" w:eastAsia="zh-CN"/>
        </w:rPr>
        <w:t>施工、</w:t>
      </w:r>
      <w:r>
        <w:rPr>
          <w:rFonts w:eastAsia="仿宋_GB2312"/>
          <w:color w:val="FF0000"/>
          <w:sz w:val="30"/>
          <w:szCs w:val="30"/>
        </w:rPr>
        <w:t>质量保证</w:t>
      </w:r>
      <w:r>
        <w:rPr>
          <w:rFonts w:hint="eastAsia" w:eastAsia="仿宋_GB2312"/>
          <w:color w:val="FF0000"/>
          <w:sz w:val="30"/>
          <w:szCs w:val="30"/>
          <w:lang w:eastAsia="zh-CN"/>
        </w:rPr>
        <w:t>。</w:t>
      </w:r>
      <w:r>
        <w:rPr>
          <w:rFonts w:hint="eastAsia" w:eastAsia="仿宋_GB2312"/>
          <w:color w:val="FF0000"/>
          <w:sz w:val="30"/>
          <w:szCs w:val="30"/>
          <w:lang w:val="en-US" w:eastAsia="zh-CN"/>
        </w:rPr>
        <w:t>验收</w:t>
      </w:r>
      <w:r>
        <w:rPr>
          <w:rFonts w:eastAsia="仿宋_GB2312"/>
          <w:color w:val="FF0000"/>
          <w:sz w:val="30"/>
          <w:szCs w:val="30"/>
        </w:rPr>
        <w:t>等</w:t>
      </w:r>
      <w:r>
        <w:rPr>
          <w:rFonts w:hint="eastAsia" w:eastAsia="仿宋_GB2312"/>
          <w:color w:val="FF0000"/>
          <w:sz w:val="30"/>
          <w:szCs w:val="30"/>
        </w:rPr>
        <w:t>、</w:t>
      </w:r>
      <w:r>
        <w:rPr>
          <w:rFonts w:hint="eastAsia" w:eastAsia="仿宋_GB2312"/>
          <w:color w:val="000000"/>
          <w:sz w:val="30"/>
          <w:szCs w:val="30"/>
        </w:rPr>
        <w:t>，伴随服务</w:t>
      </w:r>
      <w:r>
        <w:rPr>
          <w:rFonts w:hint="eastAsia" w:ascii="仿宋_GB2312" w:hAnsi="仿宋_GB2312" w:eastAsia="仿宋_GB2312" w:cs="仿宋_GB2312"/>
          <w:color w:val="000000"/>
          <w:sz w:val="32"/>
          <w:szCs w:val="32"/>
        </w:rPr>
        <w:t>包括但不限于：</w:t>
      </w:r>
      <w:r>
        <w:rPr>
          <w:rFonts w:eastAsia="仿宋_GB2312"/>
          <w:color w:val="000000"/>
          <w:sz w:val="30"/>
          <w:szCs w:val="30"/>
        </w:rPr>
        <w:t xml:space="preserve"> </w:t>
      </w:r>
    </w:p>
    <w:p>
      <w:pPr>
        <w:spacing w:line="4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焊接施工人员及工具</w:t>
      </w:r>
      <w:r>
        <w:rPr>
          <w:rFonts w:hint="eastAsia" w:ascii="仿宋_GB2312" w:hAnsi="仿宋_GB2312" w:eastAsia="仿宋_GB2312" w:cs="仿宋_GB2312"/>
          <w:color w:val="000000"/>
          <w:sz w:val="32"/>
          <w:szCs w:val="32"/>
        </w:rPr>
        <w:t>；</w:t>
      </w:r>
    </w:p>
    <w:p>
      <w:pPr>
        <w:spacing w:line="4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焊接施工所需的焊接材料</w:t>
      </w:r>
      <w:r>
        <w:rPr>
          <w:rFonts w:hint="eastAsia" w:ascii="仿宋_GB2312" w:hAnsi="仿宋_GB2312" w:eastAsia="仿宋_GB2312" w:cs="仿宋_GB2312"/>
          <w:color w:val="000000"/>
          <w:sz w:val="32"/>
          <w:szCs w:val="32"/>
        </w:rPr>
        <w:t>；</w:t>
      </w:r>
    </w:p>
    <w:p>
      <w:pPr>
        <w:spacing w:line="47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）在双方商定的一定期限内对工程</w:t>
      </w:r>
      <w:r>
        <w:rPr>
          <w:rFonts w:hint="eastAsia" w:ascii="仿宋_GB2312" w:hAnsi="仿宋_GB2312" w:eastAsia="仿宋_GB2312" w:cs="仿宋_GB2312"/>
          <w:color w:val="000000"/>
          <w:sz w:val="32"/>
          <w:szCs w:val="32"/>
          <w:lang w:val="en-US" w:eastAsia="zh-CN"/>
        </w:rPr>
        <w:t>质量</w:t>
      </w:r>
      <w:r>
        <w:rPr>
          <w:rFonts w:hint="eastAsia" w:ascii="仿宋_GB2312" w:hAnsi="仿宋_GB2312" w:eastAsia="仿宋_GB2312" w:cs="仿宋_GB2312"/>
          <w:color w:val="000000"/>
          <w:sz w:val="32"/>
          <w:szCs w:val="32"/>
        </w:rPr>
        <w:t>实施运行或监督或维护或修理，但前提条件是该服务并不能免除乙方在合同保证期内所承担的义务；</w:t>
      </w:r>
    </w:p>
    <w:p>
      <w:pPr>
        <w:adjustRightInd w:val="0"/>
        <w:snapToGrid w:val="0"/>
        <w:spacing w:line="480" w:lineRule="exact"/>
        <w:ind w:firstLine="600" w:firstLineChars="200"/>
        <w:rPr>
          <w:rFonts w:ascii="仿宋_GB2312" w:hAnsi="仿宋_GB2312" w:eastAsia="仿宋_GB2312" w:cs="仿宋_GB2312"/>
          <w:color w:val="000000"/>
          <w:sz w:val="32"/>
          <w:szCs w:val="32"/>
        </w:rPr>
      </w:pPr>
      <w:r>
        <w:rPr>
          <w:rFonts w:eastAsia="仿宋_GB2312"/>
          <w:color w:val="000000"/>
          <w:sz w:val="30"/>
          <w:szCs w:val="30"/>
        </w:rPr>
        <w:t>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3</w:t>
      </w:r>
      <w:r>
        <w:rPr>
          <w:rFonts w:ascii="仿宋_GB2312" w:hAnsi="仿宋_GB2312" w:eastAsia="仿宋_GB2312" w:cs="仿宋_GB2312"/>
          <w:color w:val="000000"/>
          <w:sz w:val="32"/>
          <w:szCs w:val="32"/>
        </w:rPr>
        <w:t>乙方应对本合同承担的全部工作实施有效管理，以确保</w:t>
      </w:r>
      <w:r>
        <w:rPr>
          <w:rFonts w:hint="eastAsia" w:ascii="仿宋_GB2312" w:hAnsi="仿宋_GB2312" w:eastAsia="仿宋_GB2312" w:cs="仿宋_GB2312"/>
          <w:color w:val="000000"/>
          <w:sz w:val="32"/>
          <w:szCs w:val="32"/>
        </w:rPr>
        <w:t>工</w:t>
      </w:r>
      <w:r>
        <w:rPr>
          <w:rFonts w:ascii="仿宋_GB2312" w:hAnsi="仿宋_GB2312" w:eastAsia="仿宋_GB2312" w:cs="仿宋_GB2312"/>
          <w:color w:val="000000"/>
          <w:sz w:val="32"/>
          <w:szCs w:val="32"/>
        </w:rPr>
        <w:t>作的进度符合合同附件的要求。</w:t>
      </w:r>
    </w:p>
    <w:p>
      <w:pPr>
        <w:spacing w:line="47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乙方在甲方工厂内施工期间，施工水电有甲方免费提供。</w:t>
      </w:r>
      <w:r>
        <w:rPr>
          <w:rFonts w:hint="eastAsia" w:ascii="仿宋_GB2312" w:hAnsi="仿宋_GB2312" w:eastAsia="仿宋_GB2312" w:cs="仿宋_GB2312"/>
          <w:color w:val="000000"/>
          <w:sz w:val="32"/>
          <w:szCs w:val="32"/>
        </w:rPr>
        <w:t xml:space="preserve">  </w:t>
      </w:r>
    </w:p>
    <w:p>
      <w:pPr>
        <w:spacing w:line="47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为保证按时保质完工，本项目乙方施工队不少于【</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 xml:space="preserve">】人/天。            </w:t>
      </w:r>
    </w:p>
    <w:p>
      <w:pPr>
        <w:spacing w:line="47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二、付款</w:t>
      </w:r>
    </w:p>
    <w:p>
      <w:pPr>
        <w:adjustRightInd w:val="0"/>
        <w:snapToGrid w:val="0"/>
        <w:spacing w:line="4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.1本合同使用货币种类为：人民币。</w:t>
      </w:r>
    </w:p>
    <w:p>
      <w:pPr>
        <w:adjustRightInd w:val="0"/>
        <w:snapToGrid w:val="0"/>
        <w:spacing w:line="4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.2付款方式：使用银行电汇支付，</w:t>
      </w:r>
    </w:p>
    <w:p>
      <w:pPr>
        <w:adjustRightInd w:val="0"/>
        <w:snapToGrid w:val="0"/>
        <w:spacing w:line="4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.3合同款项的支付</w:t>
      </w:r>
    </w:p>
    <w:p>
      <w:pPr>
        <w:adjustRightInd w:val="0"/>
        <w:snapToGrid w:val="0"/>
        <w:spacing w:line="4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2.3.1乙方施工完毕，经甲方验收合格后，甲方凭乙方开具的全额X%增值税专用发票，支付乙方合同总额的90%</w:t>
      </w:r>
      <w:r>
        <w:rPr>
          <w:rFonts w:hint="eastAsia" w:ascii="仿宋_GB2312" w:hAnsi="仿宋_GB2312" w:eastAsia="仿宋_GB2312" w:cs="仿宋_GB2312"/>
          <w:color w:val="000000"/>
          <w:sz w:val="32"/>
          <w:szCs w:val="32"/>
        </w:rPr>
        <w:t>。</w:t>
      </w:r>
    </w:p>
    <w:p>
      <w:pPr>
        <w:adjustRightInd w:val="0"/>
        <w:snapToGrid w:val="0"/>
        <w:spacing w:line="48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2.3.2剩余10%质保金</w:t>
      </w:r>
      <w:bookmarkStart w:id="188" w:name="_GoBack"/>
      <w:bookmarkEnd w:id="188"/>
      <w:r>
        <w:rPr>
          <w:rFonts w:hint="eastAsia" w:ascii="仿宋_GB2312" w:hAnsi="仿宋_GB2312" w:eastAsia="仿宋_GB2312" w:cs="仿宋_GB2312"/>
          <w:color w:val="000000"/>
          <w:sz w:val="32"/>
          <w:szCs w:val="32"/>
          <w:lang w:val="en-US" w:eastAsia="zh-CN"/>
        </w:rPr>
        <w:t>，待竣工验收后一年（12个月）期满，补焊部位无质量问题验收合格后，甲方向乙方支付剩余款项</w:t>
      </w:r>
    </w:p>
    <w:p>
      <w:pPr>
        <w:adjustRightInd w:val="0"/>
        <w:snapToGrid w:val="0"/>
        <w:spacing w:line="4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4.履约保证金的交付及退还</w:t>
      </w:r>
    </w:p>
    <w:p>
      <w:pPr>
        <w:spacing w:line="560" w:lineRule="exact"/>
        <w:ind w:firstLine="800" w:firstLineChars="2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履约保证金为合同总价的5  %，金额</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（人民币大写）XXXX元整（</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XXXX元）乙方收到中标通知书至合同签订前向甲方缴纳本合同履约保证金。甲方于项目竣工且验收合格后15个工作日内将全额履约保证金无息退还给乙方。</w:t>
      </w:r>
    </w:p>
    <w:p>
      <w:pPr>
        <w:spacing w:line="560" w:lineRule="exact"/>
        <w:ind w:firstLine="800" w:firstLineChars="25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.扣除</w:t>
      </w:r>
    </w:p>
    <w:p>
      <w:pPr>
        <w:spacing w:line="560" w:lineRule="exact"/>
        <w:ind w:firstLine="800" w:firstLineChars="2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根据本合同的规定，如果乙方有赔偿和/或支付违约金的责任，则甲方有权从上述任何一笔未付款中扣除相应金额。</w:t>
      </w:r>
    </w:p>
    <w:p>
      <w:pPr>
        <w:adjustRightInd w:val="0"/>
        <w:snapToGrid w:val="0"/>
        <w:spacing w:line="48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三、铭牌及标准</w:t>
      </w:r>
    </w:p>
    <w:p>
      <w:pPr>
        <w:adjustRightInd w:val="0"/>
        <w:snapToGrid w:val="0"/>
        <w:spacing w:line="480" w:lineRule="exact"/>
        <w:ind w:firstLine="1280" w:firstLineChars="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adjustRightInd w:val="0"/>
        <w:snapToGrid w:val="0"/>
        <w:spacing w:line="48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四、交货</w:t>
      </w:r>
      <w:r>
        <w:rPr>
          <w:rFonts w:hint="eastAsia" w:ascii="仿宋_GB2312" w:hAnsi="仿宋_GB2312" w:eastAsia="仿宋_GB2312" w:cs="仿宋_GB2312"/>
          <w:color w:val="000000"/>
          <w:sz w:val="32"/>
          <w:szCs w:val="32"/>
        </w:rPr>
        <w:t>及完工时间</w:t>
      </w:r>
    </w:p>
    <w:p>
      <w:pPr>
        <w:adjustRightInd w:val="0"/>
        <w:snapToGrid w:val="0"/>
        <w:spacing w:line="480" w:lineRule="exact"/>
        <w:ind w:firstLine="600" w:firstLineChars="200"/>
        <w:rPr>
          <w:rFonts w:eastAsia="仿宋_GB2312"/>
          <w:color w:val="FF0000"/>
          <w:sz w:val="30"/>
          <w:szCs w:val="30"/>
        </w:rPr>
      </w:pPr>
      <w:r>
        <w:rPr>
          <w:rFonts w:eastAsia="仿宋_GB2312"/>
          <w:color w:val="FF0000"/>
          <w:sz w:val="30"/>
          <w:szCs w:val="30"/>
        </w:rPr>
        <w:t>1．交货地点：</w:t>
      </w:r>
      <w:r>
        <w:rPr>
          <w:rFonts w:hint="eastAsia" w:eastAsia="仿宋_GB2312"/>
          <w:color w:val="FF0000"/>
          <w:sz w:val="30"/>
          <w:szCs w:val="30"/>
          <w:u w:val="single"/>
        </w:rPr>
        <w:t xml:space="preserve"> </w:t>
      </w:r>
      <w:r>
        <w:rPr>
          <w:rFonts w:hint="eastAsia" w:eastAsia="仿宋_GB2312"/>
          <w:color w:val="FF0000"/>
          <w:sz w:val="30"/>
          <w:szCs w:val="30"/>
          <w:u w:val="single"/>
          <w:lang w:val="en-US" w:eastAsia="zh-CN"/>
        </w:rPr>
        <w:t>中粮梁河糖业勐养工厂</w:t>
      </w:r>
      <w:r>
        <w:rPr>
          <w:rFonts w:eastAsia="仿宋_GB2312"/>
          <w:color w:val="FF0000"/>
          <w:sz w:val="30"/>
          <w:szCs w:val="30"/>
        </w:rPr>
        <w:t>。</w:t>
      </w:r>
    </w:p>
    <w:p>
      <w:pPr>
        <w:adjustRightInd w:val="0"/>
        <w:snapToGrid w:val="0"/>
        <w:spacing w:line="480" w:lineRule="exact"/>
        <w:ind w:firstLine="600" w:firstLineChars="200"/>
        <w:rPr>
          <w:rFonts w:eastAsia="仿宋_GB2312"/>
          <w:color w:val="000000"/>
          <w:sz w:val="30"/>
          <w:szCs w:val="30"/>
        </w:rPr>
      </w:pPr>
      <w:r>
        <w:rPr>
          <w:rFonts w:hint="eastAsia" w:eastAsia="仿宋_GB2312"/>
          <w:color w:val="FF0000"/>
          <w:sz w:val="30"/>
          <w:szCs w:val="30"/>
        </w:rPr>
        <w:t>2.设备交货时间：</w:t>
      </w:r>
      <w:r>
        <w:rPr>
          <w:rFonts w:hint="eastAsia" w:eastAsia="仿宋_GB2312"/>
          <w:color w:val="000000"/>
          <w:sz w:val="30"/>
          <w:szCs w:val="30"/>
          <w:u w:val="single"/>
          <w:lang w:val="en-US" w:eastAsia="zh-CN"/>
        </w:rPr>
        <w:t>合同签订后3天内人员入厂施工</w:t>
      </w:r>
      <w:r>
        <w:rPr>
          <w:rFonts w:eastAsia="仿宋_GB2312"/>
          <w:color w:val="000000"/>
          <w:sz w:val="30"/>
          <w:szCs w:val="30"/>
        </w:rPr>
        <w:t>。</w:t>
      </w:r>
    </w:p>
    <w:p>
      <w:pPr>
        <w:adjustRightInd w:val="0"/>
        <w:snapToGrid w:val="0"/>
        <w:spacing w:line="500" w:lineRule="exact"/>
        <w:ind w:firstLine="600" w:firstLineChars="200"/>
        <w:rPr>
          <w:rFonts w:eastAsia="仿宋_GB2312"/>
          <w:color w:val="000000"/>
          <w:sz w:val="30"/>
          <w:szCs w:val="30"/>
        </w:rPr>
      </w:pPr>
      <w:r>
        <w:rPr>
          <w:rFonts w:hint="eastAsia" w:eastAsia="仿宋_GB2312"/>
          <w:sz w:val="30"/>
          <w:szCs w:val="30"/>
          <w:lang w:val="en-US" w:eastAsia="zh-CN"/>
        </w:rPr>
        <w:t>3</w:t>
      </w:r>
      <w:r>
        <w:rPr>
          <w:rFonts w:hint="eastAsia" w:eastAsia="仿宋_GB2312"/>
          <w:sz w:val="30"/>
          <w:szCs w:val="30"/>
        </w:rPr>
        <w:t>.</w:t>
      </w:r>
      <w:r>
        <w:rPr>
          <w:rFonts w:hint="eastAsia" w:eastAsia="仿宋_GB2312"/>
          <w:color w:val="FF0000"/>
          <w:sz w:val="30"/>
          <w:szCs w:val="30"/>
        </w:rPr>
        <w:t>完工</w:t>
      </w:r>
      <w:r>
        <w:rPr>
          <w:rFonts w:eastAsia="仿宋_GB2312"/>
          <w:color w:val="FF0000"/>
          <w:sz w:val="30"/>
          <w:szCs w:val="30"/>
        </w:rPr>
        <w:t>时间：</w:t>
      </w:r>
      <w:r>
        <w:rPr>
          <w:rFonts w:hint="eastAsia" w:ascii="微软雅黑" w:hAnsi="微软雅黑" w:eastAsia="微软雅黑" w:cs="微软雅黑"/>
          <w:color w:val="FF0000"/>
          <w:sz w:val="30"/>
          <w:szCs w:val="30"/>
        </w:rPr>
        <w:t>【</w:t>
      </w:r>
      <w:bookmarkStart w:id="8" w:name="OLE_LINK1"/>
      <w:bookmarkStart w:id="9" w:name="OLE_LINK2"/>
      <w:r>
        <w:rPr>
          <w:rFonts w:hint="eastAsia" w:ascii="微软雅黑" w:hAnsi="微软雅黑" w:eastAsia="微软雅黑" w:cs="微软雅黑"/>
          <w:color w:val="FF0000"/>
          <w:sz w:val="30"/>
          <w:szCs w:val="30"/>
        </w:rPr>
        <w:t>2</w:t>
      </w:r>
      <w:r>
        <w:rPr>
          <w:rFonts w:ascii="微软雅黑" w:hAnsi="微软雅黑" w:eastAsia="微软雅黑" w:cs="微软雅黑"/>
          <w:color w:val="FF0000"/>
          <w:sz w:val="30"/>
          <w:szCs w:val="30"/>
        </w:rPr>
        <w:t>023</w:t>
      </w:r>
      <w:r>
        <w:rPr>
          <w:rFonts w:hint="eastAsia" w:eastAsia="仿宋_GB2312"/>
          <w:color w:val="FF0000"/>
          <w:sz w:val="30"/>
          <w:szCs w:val="30"/>
        </w:rPr>
        <w:t xml:space="preserve">年 </w:t>
      </w:r>
      <w:r>
        <w:rPr>
          <w:rFonts w:eastAsia="仿宋_GB2312"/>
          <w:color w:val="FF0000"/>
          <w:sz w:val="30"/>
          <w:szCs w:val="30"/>
        </w:rPr>
        <w:t>1</w:t>
      </w:r>
      <w:r>
        <w:rPr>
          <w:rFonts w:hint="eastAsia" w:eastAsia="仿宋_GB2312"/>
          <w:color w:val="FF0000"/>
          <w:sz w:val="30"/>
          <w:szCs w:val="30"/>
          <w:lang w:val="en-US" w:eastAsia="zh-CN"/>
        </w:rPr>
        <w:t>0</w:t>
      </w:r>
      <w:r>
        <w:rPr>
          <w:rFonts w:hint="eastAsia" w:eastAsia="仿宋_GB2312"/>
          <w:color w:val="FF0000"/>
          <w:sz w:val="30"/>
          <w:szCs w:val="30"/>
        </w:rPr>
        <w:t xml:space="preserve">  月 </w:t>
      </w:r>
      <w:r>
        <w:rPr>
          <w:rFonts w:hint="eastAsia" w:eastAsia="仿宋_GB2312"/>
          <w:color w:val="FF0000"/>
          <w:sz w:val="30"/>
          <w:szCs w:val="30"/>
          <w:lang w:val="en-US" w:eastAsia="zh-CN"/>
        </w:rPr>
        <w:t>25</w:t>
      </w:r>
      <w:r>
        <w:rPr>
          <w:rFonts w:hint="eastAsia" w:eastAsia="仿宋_GB2312"/>
          <w:color w:val="FF0000"/>
          <w:sz w:val="30"/>
          <w:szCs w:val="30"/>
        </w:rPr>
        <w:t xml:space="preserve"> 日前</w:t>
      </w:r>
      <w:bookmarkEnd w:id="8"/>
      <w:bookmarkEnd w:id="9"/>
      <w:r>
        <w:rPr>
          <w:rFonts w:hint="eastAsia" w:ascii="微软雅黑" w:hAnsi="微软雅黑" w:eastAsia="微软雅黑" w:cs="微软雅黑"/>
          <w:sz w:val="30"/>
          <w:szCs w:val="30"/>
        </w:rPr>
        <w:t>】</w:t>
      </w:r>
      <w:r>
        <w:rPr>
          <w:rFonts w:hint="eastAsia" w:eastAsia="仿宋_GB2312"/>
          <w:sz w:val="30"/>
          <w:szCs w:val="30"/>
        </w:rPr>
        <w:t>。</w:t>
      </w:r>
      <w:r>
        <w:rPr>
          <w:rFonts w:hint="eastAsia" w:eastAsia="仿宋_GB2312"/>
          <w:color w:val="000000"/>
          <w:sz w:val="30"/>
          <w:szCs w:val="30"/>
        </w:rPr>
        <w:t>因</w:t>
      </w:r>
      <w:r>
        <w:rPr>
          <w:rFonts w:eastAsia="仿宋_GB2312"/>
          <w:color w:val="000000"/>
          <w:sz w:val="30"/>
          <w:szCs w:val="30"/>
        </w:rPr>
        <w:t>不可抗力或经甲方同意</w:t>
      </w:r>
      <w:r>
        <w:rPr>
          <w:rFonts w:hint="eastAsia" w:eastAsia="仿宋_GB2312"/>
          <w:color w:val="000000"/>
          <w:sz w:val="30"/>
          <w:szCs w:val="30"/>
        </w:rPr>
        <w:t>，</w:t>
      </w:r>
      <w:r>
        <w:rPr>
          <w:rFonts w:eastAsia="仿宋_GB2312"/>
          <w:color w:val="000000"/>
          <w:sz w:val="30"/>
          <w:szCs w:val="30"/>
        </w:rPr>
        <w:t>工期</w:t>
      </w:r>
      <w:r>
        <w:rPr>
          <w:rFonts w:hint="eastAsia" w:eastAsia="仿宋_GB2312"/>
          <w:color w:val="000000"/>
          <w:sz w:val="30"/>
          <w:szCs w:val="30"/>
        </w:rPr>
        <w:t>可</w:t>
      </w:r>
      <w:r>
        <w:rPr>
          <w:rFonts w:eastAsia="仿宋_GB2312"/>
          <w:color w:val="000000"/>
          <w:sz w:val="30"/>
          <w:szCs w:val="30"/>
        </w:rPr>
        <w:t>顺延。</w:t>
      </w:r>
    </w:p>
    <w:p>
      <w:pPr>
        <w:adjustRightInd w:val="0"/>
        <w:snapToGrid w:val="0"/>
        <w:spacing w:line="480" w:lineRule="exact"/>
        <w:ind w:firstLine="600" w:firstLineChars="200"/>
        <w:rPr>
          <w:rFonts w:eastAsia="仿宋_GB2312"/>
          <w:color w:val="000000"/>
          <w:sz w:val="30"/>
          <w:szCs w:val="30"/>
        </w:rPr>
      </w:pPr>
      <w:r>
        <w:rPr>
          <w:rFonts w:hint="eastAsia" w:eastAsia="仿宋_GB2312"/>
          <w:color w:val="000000"/>
          <w:sz w:val="30"/>
          <w:szCs w:val="30"/>
          <w:lang w:val="en-US" w:eastAsia="zh-CN"/>
        </w:rPr>
        <w:t>4</w:t>
      </w:r>
      <w:r>
        <w:rPr>
          <w:rFonts w:eastAsia="仿宋_GB2312"/>
          <w:color w:val="000000"/>
          <w:sz w:val="30"/>
          <w:szCs w:val="30"/>
        </w:rPr>
        <w:t>.</w:t>
      </w:r>
      <w:r>
        <w:rPr>
          <w:rFonts w:hint="eastAsia" w:eastAsia="仿宋_GB2312"/>
          <w:color w:val="000000"/>
          <w:sz w:val="30"/>
          <w:szCs w:val="30"/>
          <w:lang w:val="en-US" w:eastAsia="zh-CN"/>
        </w:rPr>
        <w:t>焊接材料设备</w:t>
      </w:r>
      <w:r>
        <w:rPr>
          <w:rFonts w:eastAsia="仿宋_GB2312"/>
          <w:color w:val="000000"/>
          <w:sz w:val="30"/>
          <w:szCs w:val="30"/>
        </w:rPr>
        <w:t>运输费用已含在合同总价款内由乙方承担。因运输过程造成的货物损坏或丢失，均由乙方负责修复或补齐，且交货期不能影响工期。</w:t>
      </w:r>
    </w:p>
    <w:p>
      <w:pPr>
        <w:adjustRightInd w:val="0"/>
        <w:snapToGrid w:val="0"/>
        <w:spacing w:line="480" w:lineRule="exact"/>
        <w:ind w:firstLine="602" w:firstLineChars="200"/>
        <w:rPr>
          <w:rFonts w:eastAsia="仿宋_GB2312"/>
          <w:b/>
          <w:color w:val="000000"/>
          <w:sz w:val="30"/>
          <w:szCs w:val="30"/>
        </w:rPr>
      </w:pPr>
      <w:r>
        <w:rPr>
          <w:rFonts w:hint="eastAsia" w:eastAsia="仿宋_GB2312"/>
          <w:b/>
          <w:color w:val="000000"/>
          <w:sz w:val="30"/>
          <w:szCs w:val="30"/>
        </w:rPr>
        <w:t>五、验收、质量保证</w:t>
      </w:r>
    </w:p>
    <w:p>
      <w:pPr>
        <w:adjustRightInd w:val="0"/>
        <w:snapToGrid w:val="0"/>
        <w:spacing w:line="480" w:lineRule="exact"/>
        <w:ind w:firstLine="600" w:firstLineChars="200"/>
        <w:rPr>
          <w:rFonts w:hint="default" w:ascii="仿宋_GB2312" w:hAnsi="仿宋_GB2312" w:eastAsia="仿宋_GB2312" w:cs="仿宋_GB2312"/>
          <w:color w:val="000000"/>
          <w:sz w:val="32"/>
          <w:szCs w:val="32"/>
          <w:lang w:val="en-US" w:eastAsia="zh-CN"/>
        </w:rPr>
      </w:pPr>
      <w:r>
        <w:rPr>
          <w:rFonts w:hint="eastAsia" w:eastAsia="仿宋_GB2312"/>
          <w:color w:val="000000"/>
          <w:sz w:val="30"/>
          <w:szCs w:val="30"/>
          <w:lang w:val="en-US" w:eastAsia="zh-CN"/>
        </w:rPr>
        <w:t>1.乙方接到甲方通知后，及时组织人员、设备进厂施工，施工人员需持有操作证书。</w:t>
      </w:r>
    </w:p>
    <w:p>
      <w:pPr>
        <w:adjustRightInd w:val="0"/>
        <w:snapToGrid w:val="0"/>
        <w:spacing w:line="480" w:lineRule="exact"/>
        <w:ind w:firstLine="600" w:firstLineChars="200"/>
        <w:rPr>
          <w:rFonts w:hint="eastAsia" w:eastAsia="仿宋_GB2312"/>
          <w:color w:val="000000"/>
          <w:sz w:val="30"/>
          <w:szCs w:val="30"/>
          <w:lang w:val="en-US" w:eastAsia="zh-CN"/>
        </w:rPr>
      </w:pPr>
      <w:r>
        <w:rPr>
          <w:rFonts w:hint="eastAsia" w:eastAsia="仿宋_GB2312"/>
          <w:color w:val="000000"/>
          <w:sz w:val="30"/>
          <w:szCs w:val="30"/>
          <w:lang w:val="en-US" w:eastAsia="zh-CN"/>
        </w:rPr>
        <w:t>2</w:t>
      </w:r>
      <w:r>
        <w:rPr>
          <w:rFonts w:eastAsia="仿宋_GB2312"/>
          <w:color w:val="000000"/>
          <w:sz w:val="30"/>
          <w:szCs w:val="30"/>
        </w:rPr>
        <w:t>.</w:t>
      </w:r>
      <w:r>
        <w:rPr>
          <w:rFonts w:hint="eastAsia" w:eastAsia="仿宋_GB2312"/>
          <w:color w:val="000000"/>
          <w:sz w:val="30"/>
          <w:szCs w:val="30"/>
          <w:lang w:val="en-US" w:eastAsia="zh-CN"/>
        </w:rPr>
        <w:t>乙方在焊接完毕后，需将焊接部位打磨清理干净，不得有夹渣、毛刺等。</w:t>
      </w:r>
    </w:p>
    <w:p>
      <w:pPr>
        <w:pStyle w:val="2"/>
        <w:rPr>
          <w:rFonts w:hint="default"/>
          <w:lang w:val="en-US" w:eastAsia="zh-CN"/>
        </w:rPr>
      </w:pPr>
      <w:r>
        <w:rPr>
          <w:rFonts w:hint="eastAsia" w:eastAsia="仿宋_GB2312"/>
          <w:color w:val="000000"/>
          <w:sz w:val="30"/>
          <w:szCs w:val="30"/>
          <w:lang w:val="en-US" w:eastAsia="zh-CN"/>
        </w:rPr>
        <w:t xml:space="preserve">    3.乙方保证所有加焊的焊点牢固，不得有缺焊、漏焊等影响强度的缺陷。</w:t>
      </w:r>
    </w:p>
    <w:p>
      <w:pPr>
        <w:adjustRightInd w:val="0"/>
        <w:snapToGrid w:val="0"/>
        <w:spacing w:line="480" w:lineRule="exact"/>
        <w:ind w:firstLine="600" w:firstLineChars="200"/>
        <w:rPr>
          <w:rFonts w:hint="default" w:eastAsia="仿宋_GB2312"/>
          <w:color w:val="000000"/>
          <w:sz w:val="30"/>
          <w:szCs w:val="30"/>
          <w:lang w:val="en-US" w:eastAsia="zh-CN"/>
        </w:rPr>
      </w:pPr>
      <w:r>
        <w:rPr>
          <w:rFonts w:hint="eastAsia" w:eastAsia="仿宋_GB2312"/>
          <w:color w:val="000000"/>
          <w:sz w:val="30"/>
          <w:szCs w:val="30"/>
          <w:lang w:val="en-US" w:eastAsia="zh-CN"/>
        </w:rPr>
        <w:t>4.乙方根据原护栏材料，选择正确的焊接材料及施工工艺，确保焊接质量。</w:t>
      </w:r>
    </w:p>
    <w:p>
      <w:pPr>
        <w:adjustRightInd w:val="0"/>
        <w:snapToGrid w:val="0"/>
        <w:spacing w:line="480" w:lineRule="exact"/>
        <w:ind w:firstLine="600" w:firstLineChars="200"/>
        <w:rPr>
          <w:rFonts w:eastAsia="仿宋_GB2312"/>
          <w:color w:val="000000"/>
          <w:sz w:val="30"/>
          <w:szCs w:val="30"/>
        </w:rPr>
      </w:pPr>
      <w:r>
        <w:rPr>
          <w:rFonts w:hint="eastAsia" w:eastAsia="仿宋_GB2312"/>
          <w:color w:val="000000"/>
          <w:sz w:val="30"/>
          <w:szCs w:val="30"/>
          <w:lang w:val="en-US" w:eastAsia="zh-CN"/>
        </w:rPr>
        <w:t>5.如焊接质量达不到安全要求，乙方必须及时安排重新补焊，在补焊期间，施工费有乙方自行负责</w:t>
      </w:r>
      <w:r>
        <w:rPr>
          <w:rFonts w:eastAsia="仿宋_GB2312"/>
          <w:color w:val="000000"/>
          <w:sz w:val="30"/>
          <w:szCs w:val="30"/>
        </w:rPr>
        <w:t>。</w:t>
      </w:r>
    </w:p>
    <w:p>
      <w:pPr>
        <w:adjustRightInd w:val="0"/>
        <w:snapToGrid w:val="0"/>
        <w:spacing w:line="480" w:lineRule="exact"/>
        <w:ind w:firstLine="600" w:firstLineChars="200"/>
        <w:rPr>
          <w:rFonts w:eastAsia="仿宋_GB2312"/>
          <w:color w:val="000000"/>
          <w:sz w:val="30"/>
          <w:szCs w:val="30"/>
        </w:rPr>
      </w:pPr>
      <w:r>
        <w:rPr>
          <w:rFonts w:hint="eastAsia" w:eastAsia="仿宋_GB2312"/>
          <w:color w:val="000000"/>
          <w:sz w:val="30"/>
          <w:szCs w:val="30"/>
          <w:lang w:val="en-US" w:eastAsia="zh-CN"/>
        </w:rPr>
        <w:t>6</w:t>
      </w:r>
      <w:r>
        <w:rPr>
          <w:rFonts w:hint="eastAsia" w:eastAsia="仿宋_GB2312"/>
          <w:color w:val="000000"/>
          <w:sz w:val="30"/>
          <w:szCs w:val="30"/>
        </w:rPr>
        <w:t>.</w:t>
      </w:r>
      <w:r>
        <w:rPr>
          <w:rFonts w:eastAsia="仿宋_GB2312"/>
          <w:color w:val="000000"/>
          <w:sz w:val="30"/>
          <w:szCs w:val="30"/>
        </w:rPr>
        <w:t xml:space="preserve"> 如在</w:t>
      </w:r>
      <w:r>
        <w:rPr>
          <w:rFonts w:hint="eastAsia" w:eastAsia="仿宋_GB2312"/>
          <w:color w:val="000000"/>
          <w:sz w:val="30"/>
          <w:szCs w:val="30"/>
          <w:lang w:val="en-US" w:eastAsia="zh-CN"/>
        </w:rPr>
        <w:t>质保期内补焊部位</w:t>
      </w:r>
      <w:r>
        <w:rPr>
          <w:rFonts w:eastAsia="仿宋_GB2312"/>
          <w:color w:val="000000"/>
          <w:sz w:val="30"/>
          <w:szCs w:val="30"/>
        </w:rPr>
        <w:t>发生质量问题，乙方在接到甲方通知后按所承诺的时间内到达甲方现场处理，乙方应对货物出现的所有质量及安全问题负责处理解决。</w:t>
      </w:r>
    </w:p>
    <w:p>
      <w:pPr>
        <w:adjustRightInd w:val="0"/>
        <w:snapToGrid w:val="0"/>
        <w:spacing w:line="480" w:lineRule="exact"/>
        <w:ind w:firstLine="602" w:firstLineChars="200"/>
        <w:rPr>
          <w:rFonts w:eastAsia="仿宋_GB2312"/>
          <w:b/>
          <w:color w:val="000000"/>
          <w:sz w:val="30"/>
          <w:szCs w:val="30"/>
        </w:rPr>
      </w:pPr>
      <w:r>
        <w:rPr>
          <w:rFonts w:hint="eastAsia" w:eastAsia="仿宋_GB2312"/>
          <w:b/>
          <w:color w:val="000000"/>
          <w:sz w:val="30"/>
          <w:szCs w:val="30"/>
        </w:rPr>
        <w:t>六、</w:t>
      </w:r>
      <w:r>
        <w:rPr>
          <w:rFonts w:eastAsia="仿宋_GB2312"/>
          <w:b/>
          <w:color w:val="000000"/>
          <w:sz w:val="30"/>
          <w:szCs w:val="30"/>
        </w:rPr>
        <w:t>违约责任</w:t>
      </w:r>
    </w:p>
    <w:p>
      <w:pPr>
        <w:adjustRightInd w:val="0"/>
        <w:snapToGrid w:val="0"/>
        <w:spacing w:line="480" w:lineRule="exact"/>
        <w:ind w:firstLine="600" w:firstLineChars="200"/>
        <w:rPr>
          <w:rFonts w:eastAsia="仿宋_GB2312"/>
          <w:color w:val="000000"/>
          <w:sz w:val="30"/>
          <w:szCs w:val="30"/>
        </w:rPr>
      </w:pPr>
      <w:r>
        <w:rPr>
          <w:rFonts w:eastAsia="仿宋_GB2312"/>
          <w:color w:val="000000"/>
          <w:sz w:val="30"/>
          <w:szCs w:val="30"/>
        </w:rPr>
        <w:t>1. 由于乙方原因</w:t>
      </w:r>
      <w:r>
        <w:rPr>
          <w:rFonts w:hint="eastAsia" w:eastAsia="仿宋_GB2312"/>
          <w:color w:val="000000"/>
          <w:sz w:val="30"/>
          <w:szCs w:val="30"/>
        </w:rPr>
        <w:t>项目</w:t>
      </w:r>
      <w:r>
        <w:rPr>
          <w:rFonts w:eastAsia="仿宋_GB2312"/>
          <w:color w:val="000000"/>
          <w:sz w:val="30"/>
          <w:szCs w:val="30"/>
        </w:rPr>
        <w:t>质量未达约定要求，乙方应无条件返工，返工费用和因此而造成的经济损失由乙方承担，由此工期延误的，乙方还应按本条第3款承担逾期违约责任。</w:t>
      </w:r>
    </w:p>
    <w:p>
      <w:pPr>
        <w:adjustRightInd w:val="0"/>
        <w:snapToGrid w:val="0"/>
        <w:spacing w:line="480" w:lineRule="exact"/>
        <w:ind w:firstLine="600" w:firstLineChars="200"/>
        <w:rPr>
          <w:rFonts w:eastAsia="仿宋_GB2312"/>
          <w:color w:val="000000"/>
          <w:sz w:val="30"/>
          <w:szCs w:val="30"/>
        </w:rPr>
      </w:pPr>
      <w:r>
        <w:rPr>
          <w:rFonts w:eastAsia="仿宋_GB2312"/>
          <w:color w:val="000000"/>
          <w:sz w:val="30"/>
          <w:szCs w:val="30"/>
        </w:rPr>
        <w:t>2. 因乙方施工管理不善导致的人身损害或财产损失等安全问题，造成的经济损失由乙方承担。</w:t>
      </w:r>
    </w:p>
    <w:p>
      <w:pPr>
        <w:adjustRightInd w:val="0"/>
        <w:snapToGrid w:val="0"/>
        <w:spacing w:line="480" w:lineRule="exact"/>
        <w:ind w:firstLine="600" w:firstLineChars="200"/>
        <w:rPr>
          <w:rFonts w:eastAsia="仿宋_GB2312"/>
          <w:color w:val="000000"/>
          <w:sz w:val="30"/>
          <w:szCs w:val="30"/>
        </w:rPr>
      </w:pPr>
      <w:r>
        <w:rPr>
          <w:rFonts w:eastAsia="仿宋_GB2312"/>
          <w:color w:val="000000"/>
          <w:sz w:val="30"/>
          <w:szCs w:val="30"/>
        </w:rPr>
        <w:t>3.乙方逾期竣工的，工期逾期&lt;10天的，乙方</w:t>
      </w:r>
      <w:r>
        <w:rPr>
          <w:rFonts w:hint="eastAsia" w:eastAsia="仿宋_GB2312"/>
          <w:color w:val="000000"/>
          <w:sz w:val="30"/>
          <w:szCs w:val="30"/>
        </w:rPr>
        <w:t>向甲方支付违</w:t>
      </w:r>
      <w:r>
        <w:rPr>
          <w:rFonts w:hint="eastAsia" w:ascii="___WRD_EMBED_SUB_72" w:hAnsi="___WRD_EMBED_SUB_72" w:eastAsia="___WRD_EMBED_SUB_72" w:cs="___WRD_EMBED_SUB_72"/>
          <w:color w:val="000000"/>
          <w:sz w:val="30"/>
          <w:szCs w:val="30"/>
        </w:rPr>
        <w:t>约金【</w:t>
      </w:r>
      <w:r>
        <w:rPr>
          <w:rFonts w:hint="eastAsia" w:ascii="___WRD_EMBED_SUB_72" w:hAnsi="___WRD_EMBED_SUB_72" w:eastAsia="___WRD_EMBED_SUB_72" w:cs="___WRD_EMBED_SUB_72"/>
          <w:color w:val="000000"/>
          <w:sz w:val="30"/>
          <w:szCs w:val="30"/>
          <w:lang w:val="en-US" w:eastAsia="zh-CN"/>
        </w:rPr>
        <w:t>500</w:t>
      </w:r>
      <w:r>
        <w:rPr>
          <w:rFonts w:hint="eastAsia" w:ascii="___WRD_EMBED_SUB_72" w:hAnsi="___WRD_EMBED_SUB_72" w:eastAsia="___WRD_EMBED_SUB_72" w:cs="___WRD_EMBED_SUB_72"/>
          <w:color w:val="000000"/>
          <w:sz w:val="30"/>
          <w:szCs w:val="30"/>
        </w:rPr>
        <w:t>】</w:t>
      </w:r>
      <w:r>
        <w:rPr>
          <w:rFonts w:eastAsia="仿宋_GB2312"/>
          <w:color w:val="000000"/>
          <w:sz w:val="30"/>
          <w:szCs w:val="30"/>
        </w:rPr>
        <w:t>元/天。工期逾期≥10天的，</w:t>
      </w:r>
      <w:r>
        <w:rPr>
          <w:rFonts w:hint="eastAsia" w:eastAsia="仿宋_GB2312"/>
          <w:color w:val="000000"/>
          <w:sz w:val="30"/>
          <w:szCs w:val="30"/>
        </w:rPr>
        <w:t>10天（含）以上部分，乙方向</w:t>
      </w:r>
      <w:r>
        <w:rPr>
          <w:rFonts w:eastAsia="仿宋_GB2312"/>
          <w:color w:val="000000"/>
          <w:sz w:val="30"/>
          <w:szCs w:val="30"/>
        </w:rPr>
        <w:t>甲方</w:t>
      </w:r>
      <w:r>
        <w:rPr>
          <w:rFonts w:hint="eastAsia" w:eastAsia="仿宋_GB2312"/>
          <w:color w:val="000000"/>
          <w:sz w:val="30"/>
          <w:szCs w:val="30"/>
        </w:rPr>
        <w:t>支付</w:t>
      </w:r>
      <w:r>
        <w:rPr>
          <w:rFonts w:hint="eastAsia" w:ascii="___WRD_EMBED_SUB_72" w:hAnsi="___WRD_EMBED_SUB_72" w:eastAsia="___WRD_EMBED_SUB_72" w:cs="___WRD_EMBED_SUB_72"/>
          <w:color w:val="000000"/>
          <w:sz w:val="30"/>
          <w:szCs w:val="30"/>
        </w:rPr>
        <w:t>约金</w:t>
      </w:r>
      <w:r>
        <w:rPr>
          <w:rFonts w:hint="eastAsia" w:ascii="___WRD_EMBED_SUB_72" w:hAnsi="___WRD_EMBED_SUB_72" w:eastAsia="___WRD_EMBED_SUB_72" w:cs="___WRD_EMBED_SUB_72"/>
          <w:color w:val="000000"/>
          <w:sz w:val="30"/>
          <w:szCs w:val="30"/>
          <w:lang w:val="en-US" w:eastAsia="zh-CN"/>
        </w:rPr>
        <w:t>2</w:t>
      </w:r>
      <w:r>
        <w:rPr>
          <w:rFonts w:eastAsia="仿宋_GB2312"/>
          <w:color w:val="000000"/>
          <w:sz w:val="30"/>
          <w:szCs w:val="30"/>
        </w:rPr>
        <w:t>000元/天。逾期≥15天，甲方有权单方解除合同，双方据实结算，乙方应按合同总价的20%支付甲方违约金，并赔偿由此造成的甲方所有损失。</w:t>
      </w:r>
    </w:p>
    <w:p>
      <w:pPr>
        <w:adjustRightInd w:val="0"/>
        <w:snapToGrid w:val="0"/>
        <w:spacing w:line="480" w:lineRule="exact"/>
        <w:ind w:firstLine="602" w:firstLineChars="200"/>
        <w:rPr>
          <w:rFonts w:ascii="黑体" w:hAnsi="黑体" w:eastAsia="黑体" w:cs="仿宋_GB2312"/>
          <w:b/>
          <w:color w:val="000000"/>
          <w:sz w:val="32"/>
          <w:szCs w:val="32"/>
        </w:rPr>
      </w:pPr>
      <w:r>
        <w:rPr>
          <w:rFonts w:hint="eastAsia" w:eastAsia="仿宋_GB2312"/>
          <w:b/>
          <w:color w:val="000000"/>
          <w:sz w:val="30"/>
          <w:szCs w:val="30"/>
        </w:rPr>
        <w:t>七、</w:t>
      </w:r>
      <w:r>
        <w:rPr>
          <w:rFonts w:eastAsia="仿宋_GB2312"/>
          <w:b/>
          <w:color w:val="000000"/>
          <w:sz w:val="30"/>
          <w:szCs w:val="30"/>
        </w:rPr>
        <w:t>不可抗力事件处理</w:t>
      </w:r>
    </w:p>
    <w:p>
      <w:pPr>
        <w:adjustRightInd w:val="0"/>
        <w:snapToGrid w:val="0"/>
        <w:spacing w:line="480" w:lineRule="exact"/>
        <w:ind w:firstLine="600" w:firstLineChars="200"/>
        <w:rPr>
          <w:rFonts w:eastAsia="仿宋_GB2312"/>
          <w:color w:val="000000"/>
          <w:sz w:val="30"/>
          <w:szCs w:val="30"/>
        </w:rPr>
      </w:pPr>
      <w:r>
        <w:rPr>
          <w:rFonts w:eastAsia="仿宋_GB2312"/>
          <w:color w:val="000000"/>
          <w:sz w:val="30"/>
          <w:szCs w:val="30"/>
        </w:rPr>
        <w:t>1.在合同有效期限内，任何一方因不可抗力事件导致不能履行合同，则合同履行期可延长，其延长期与不可抗力影响期相同。由于不可抗力事件导致合同根本目的不能实现时，一方可解除合同。</w:t>
      </w:r>
    </w:p>
    <w:p>
      <w:pPr>
        <w:adjustRightInd w:val="0"/>
        <w:snapToGrid w:val="0"/>
        <w:spacing w:line="480" w:lineRule="exact"/>
        <w:ind w:firstLine="600" w:firstLineChars="200"/>
        <w:rPr>
          <w:rFonts w:eastAsia="仿宋_GB2312"/>
          <w:color w:val="000000"/>
          <w:sz w:val="30"/>
          <w:szCs w:val="30"/>
        </w:rPr>
      </w:pPr>
      <w:r>
        <w:rPr>
          <w:rFonts w:eastAsia="仿宋_GB2312"/>
          <w:color w:val="000000"/>
          <w:sz w:val="30"/>
          <w:szCs w:val="30"/>
        </w:rPr>
        <w:t>2.不可抗力事件发生后，应立即通知对方，并寄送有关权威机构出具的证明。</w:t>
      </w:r>
    </w:p>
    <w:p>
      <w:pPr>
        <w:adjustRightInd w:val="0"/>
        <w:snapToGrid w:val="0"/>
        <w:spacing w:line="480" w:lineRule="exact"/>
        <w:ind w:firstLine="600" w:firstLineChars="200"/>
        <w:rPr>
          <w:rFonts w:eastAsia="仿宋_GB2312"/>
          <w:color w:val="000000"/>
          <w:sz w:val="30"/>
          <w:szCs w:val="30"/>
        </w:rPr>
      </w:pPr>
      <w:r>
        <w:rPr>
          <w:rFonts w:eastAsia="仿宋_GB2312"/>
          <w:color w:val="000000"/>
          <w:sz w:val="30"/>
          <w:szCs w:val="30"/>
        </w:rPr>
        <w:t>3.不可抗力事件延续25天以上，双方应通过友好协商，确定是否继续履行合同。</w:t>
      </w:r>
    </w:p>
    <w:p>
      <w:pPr>
        <w:adjustRightInd w:val="0"/>
        <w:snapToGrid w:val="0"/>
        <w:spacing w:line="480" w:lineRule="exact"/>
        <w:ind w:firstLine="602" w:firstLineChars="200"/>
        <w:rPr>
          <w:rFonts w:eastAsia="仿宋_GB2312"/>
          <w:b/>
          <w:color w:val="000000"/>
          <w:sz w:val="30"/>
          <w:szCs w:val="30"/>
        </w:rPr>
      </w:pPr>
      <w:r>
        <w:rPr>
          <w:rFonts w:hint="eastAsia" w:eastAsia="仿宋_GB2312"/>
          <w:b/>
          <w:color w:val="000000"/>
          <w:sz w:val="30"/>
          <w:szCs w:val="30"/>
        </w:rPr>
        <w:t>九、</w:t>
      </w:r>
      <w:r>
        <w:rPr>
          <w:rFonts w:eastAsia="仿宋_GB2312"/>
          <w:b/>
          <w:color w:val="000000"/>
          <w:sz w:val="30"/>
          <w:szCs w:val="30"/>
        </w:rPr>
        <w:t>合同争议的解决</w:t>
      </w:r>
    </w:p>
    <w:p>
      <w:pPr>
        <w:adjustRightInd w:val="0"/>
        <w:snapToGrid w:val="0"/>
        <w:spacing w:line="480" w:lineRule="exact"/>
        <w:ind w:firstLine="600" w:firstLineChars="200"/>
        <w:rPr>
          <w:rFonts w:eastAsia="仿宋_GB2312"/>
          <w:color w:val="000000"/>
          <w:sz w:val="30"/>
          <w:szCs w:val="30"/>
        </w:rPr>
      </w:pPr>
      <w:r>
        <w:rPr>
          <w:rFonts w:eastAsia="仿宋_GB2312"/>
          <w:color w:val="000000"/>
          <w:sz w:val="30"/>
          <w:szCs w:val="30"/>
        </w:rPr>
        <w:t>1.本合同适用法律为中华人民共和国有关法律。</w:t>
      </w:r>
    </w:p>
    <w:p>
      <w:pPr>
        <w:adjustRightInd w:val="0"/>
        <w:snapToGrid w:val="0"/>
        <w:spacing w:line="480" w:lineRule="exact"/>
        <w:ind w:firstLine="600" w:firstLineChars="200"/>
        <w:rPr>
          <w:rFonts w:eastAsia="仿宋_GB2312"/>
          <w:color w:val="000000"/>
          <w:sz w:val="30"/>
          <w:szCs w:val="30"/>
        </w:rPr>
      </w:pPr>
      <w:r>
        <w:rPr>
          <w:rFonts w:eastAsia="仿宋_GB2312"/>
          <w:color w:val="000000"/>
          <w:sz w:val="30"/>
          <w:szCs w:val="30"/>
        </w:rPr>
        <w:t>2.凡与本合同有关的一切争议，双方应友好协商解决，协商不能达成一致时，应向甲方所在地人民法院提起诉讼。诉讼费、律师代理费、交通费等相关费用由违约方承担。</w:t>
      </w:r>
    </w:p>
    <w:p>
      <w:pPr>
        <w:adjustRightInd w:val="0"/>
        <w:snapToGrid w:val="0"/>
        <w:spacing w:line="480" w:lineRule="exact"/>
        <w:ind w:firstLine="602" w:firstLineChars="200"/>
        <w:rPr>
          <w:rFonts w:eastAsia="仿宋_GB2312"/>
          <w:b/>
          <w:color w:val="000000"/>
          <w:sz w:val="30"/>
          <w:szCs w:val="30"/>
        </w:rPr>
      </w:pPr>
      <w:r>
        <w:rPr>
          <w:rFonts w:hint="eastAsia" w:eastAsia="仿宋_GB2312"/>
          <w:b/>
          <w:color w:val="000000"/>
          <w:sz w:val="30"/>
          <w:szCs w:val="30"/>
        </w:rPr>
        <w:t>十、</w:t>
      </w:r>
      <w:r>
        <w:rPr>
          <w:rFonts w:eastAsia="仿宋_GB2312"/>
          <w:b/>
          <w:color w:val="000000"/>
          <w:sz w:val="30"/>
          <w:szCs w:val="30"/>
        </w:rPr>
        <w:t>合同生效及其它</w:t>
      </w:r>
    </w:p>
    <w:p>
      <w:pPr>
        <w:adjustRightInd w:val="0"/>
        <w:snapToGrid w:val="0"/>
        <w:spacing w:line="480" w:lineRule="exact"/>
        <w:ind w:firstLine="600" w:firstLineChars="200"/>
        <w:rPr>
          <w:rFonts w:eastAsia="仿宋_GB2312"/>
          <w:color w:val="000000"/>
          <w:sz w:val="30"/>
          <w:szCs w:val="30"/>
        </w:rPr>
      </w:pPr>
      <w:r>
        <w:rPr>
          <w:rFonts w:eastAsia="仿宋_GB2312"/>
          <w:color w:val="000000"/>
          <w:sz w:val="30"/>
          <w:szCs w:val="30"/>
        </w:rPr>
        <w:t>1.本合同由双方法定代表人或其委托代表人签字加盖合同章之日起生效</w:t>
      </w:r>
      <w:r>
        <w:rPr>
          <w:rFonts w:hint="eastAsia" w:eastAsia="仿宋_GB2312"/>
          <w:color w:val="000000"/>
          <w:sz w:val="30"/>
          <w:szCs w:val="30"/>
        </w:rPr>
        <w:t>，</w:t>
      </w:r>
      <w:r>
        <w:rPr>
          <w:rFonts w:eastAsia="仿宋_GB2312"/>
          <w:color w:val="000000"/>
          <w:sz w:val="30"/>
          <w:szCs w:val="30"/>
        </w:rPr>
        <w:t>本合同壹式</w:t>
      </w:r>
      <w:r>
        <w:rPr>
          <w:rFonts w:hint="eastAsia" w:ascii="微软雅黑" w:hAnsi="微软雅黑" w:eastAsia="微软雅黑" w:cs="微软雅黑"/>
          <w:color w:val="000000"/>
          <w:sz w:val="30"/>
          <w:szCs w:val="30"/>
        </w:rPr>
        <w:t>【肆】</w:t>
      </w:r>
      <w:r>
        <w:rPr>
          <w:rFonts w:hint="eastAsia" w:ascii="___WRD_EMBED_SUB_72" w:hAnsi="___WRD_EMBED_SUB_72" w:eastAsia="___WRD_EMBED_SUB_72" w:cs="___WRD_EMBED_SUB_72"/>
          <w:color w:val="000000"/>
          <w:sz w:val="30"/>
          <w:szCs w:val="30"/>
        </w:rPr>
        <w:t>份，甲方执【贰】份，乙方执【贰】份。</w:t>
      </w:r>
    </w:p>
    <w:p>
      <w:pPr>
        <w:adjustRightInd w:val="0"/>
        <w:snapToGrid w:val="0"/>
        <w:spacing w:line="480" w:lineRule="exact"/>
        <w:ind w:firstLine="600" w:firstLineChars="200"/>
        <w:rPr>
          <w:rFonts w:eastAsia="仿宋_GB2312"/>
          <w:color w:val="000000"/>
          <w:sz w:val="30"/>
          <w:szCs w:val="30"/>
        </w:rPr>
      </w:pPr>
      <w:r>
        <w:rPr>
          <w:rFonts w:eastAsia="仿宋_GB2312"/>
          <w:color w:val="000000"/>
          <w:sz w:val="30"/>
          <w:szCs w:val="30"/>
        </w:rPr>
        <w:t>2.没有另一方的事先同意，合同任何一方不得将合同项下的任何权利和义务转让给第三方。</w:t>
      </w:r>
    </w:p>
    <w:p>
      <w:pPr>
        <w:adjustRightInd w:val="0"/>
        <w:snapToGrid w:val="0"/>
        <w:spacing w:line="480" w:lineRule="exact"/>
        <w:ind w:firstLine="600" w:firstLineChars="200"/>
        <w:rPr>
          <w:rFonts w:eastAsia="仿宋_GB2312"/>
          <w:color w:val="000000"/>
          <w:sz w:val="30"/>
          <w:szCs w:val="30"/>
        </w:rPr>
      </w:pPr>
      <w:r>
        <w:rPr>
          <w:rFonts w:eastAsia="仿宋_GB2312"/>
          <w:color w:val="000000"/>
          <w:sz w:val="30"/>
          <w:szCs w:val="30"/>
        </w:rPr>
        <w:t>3.合同履行中，如需修改或补充合同内容（但不能对本合同的内容作实质的改变），由双方协商另签署书面修改或补充协议并作为主合同不可分割的一部分。</w:t>
      </w:r>
    </w:p>
    <w:p>
      <w:pPr>
        <w:adjustRightInd w:val="0"/>
        <w:snapToGrid w:val="0"/>
        <w:spacing w:line="480" w:lineRule="exact"/>
        <w:ind w:firstLine="602" w:firstLineChars="200"/>
        <w:rPr>
          <w:rFonts w:eastAsia="仿宋_GB2312"/>
          <w:b/>
          <w:color w:val="000000"/>
          <w:sz w:val="30"/>
          <w:szCs w:val="30"/>
        </w:rPr>
      </w:pPr>
      <w:r>
        <w:rPr>
          <w:rFonts w:hint="eastAsia" w:eastAsia="仿宋_GB2312"/>
          <w:b/>
          <w:color w:val="000000"/>
          <w:sz w:val="30"/>
          <w:szCs w:val="30"/>
        </w:rPr>
        <w:t>十</w:t>
      </w:r>
      <w:r>
        <w:rPr>
          <w:rFonts w:hint="eastAsia" w:eastAsia="仿宋_GB2312"/>
          <w:b/>
          <w:color w:val="000000"/>
          <w:sz w:val="30"/>
          <w:szCs w:val="30"/>
          <w:lang w:eastAsia="zh-CN"/>
        </w:rPr>
        <w:t>一</w:t>
      </w:r>
      <w:r>
        <w:rPr>
          <w:rFonts w:hint="eastAsia" w:eastAsia="仿宋_GB2312"/>
          <w:b/>
          <w:color w:val="000000"/>
          <w:sz w:val="30"/>
          <w:szCs w:val="30"/>
        </w:rPr>
        <w:t>、组成合同的文件</w:t>
      </w:r>
    </w:p>
    <w:p>
      <w:pPr>
        <w:adjustRightInd w:val="0"/>
        <w:snapToGrid w:val="0"/>
        <w:spacing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组成本合同的文件及效力等级如下：</w:t>
      </w:r>
    </w:p>
    <w:p>
      <w:pPr>
        <w:adjustRightInd w:val="0"/>
        <w:snapToGrid w:val="0"/>
        <w:spacing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1．合同</w:t>
      </w:r>
    </w:p>
    <w:p>
      <w:pPr>
        <w:adjustRightInd w:val="0"/>
        <w:snapToGrid w:val="0"/>
        <w:spacing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．合同附件二：廉洁协议书</w:t>
      </w:r>
    </w:p>
    <w:p>
      <w:pPr>
        <w:adjustRightInd w:val="0"/>
        <w:snapToGrid w:val="0"/>
        <w:spacing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．合同附件三：环保协议书</w:t>
      </w:r>
    </w:p>
    <w:p>
      <w:pPr>
        <w:adjustRightInd w:val="0"/>
        <w:snapToGrid w:val="0"/>
        <w:spacing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．合同附件四：安全协议书</w:t>
      </w:r>
    </w:p>
    <w:p>
      <w:pPr>
        <w:adjustRightInd w:val="0"/>
        <w:snapToGrid w:val="0"/>
        <w:spacing w:line="480" w:lineRule="exact"/>
        <w:ind w:firstLine="600" w:firstLineChars="200"/>
        <w:rPr>
          <w:rFonts w:eastAsia="仿宋_GB2312"/>
          <w:color w:val="000000"/>
          <w:sz w:val="30"/>
          <w:szCs w:val="30"/>
        </w:rPr>
      </w:pPr>
    </w:p>
    <w:p>
      <w:pPr>
        <w:spacing w:line="500" w:lineRule="exact"/>
        <w:rPr>
          <w:rFonts w:eastAsia="仿宋_GB2312"/>
          <w:b/>
          <w:color w:val="000000"/>
          <w:sz w:val="30"/>
          <w:szCs w:val="30"/>
        </w:rPr>
      </w:pPr>
    </w:p>
    <w:tbl>
      <w:tblPr>
        <w:tblStyle w:val="39"/>
        <w:tblpPr w:leftFromText="180" w:rightFromText="180" w:vertAnchor="text" w:horzAnchor="margin" w:tblpXSpec="center" w:tblpY="2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3"/>
        <w:gridCol w:w="4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3" w:hRule="atLeast"/>
        </w:trPr>
        <w:tc>
          <w:tcPr>
            <w:tcW w:w="4763" w:type="dxa"/>
            <w:tcBorders>
              <w:bottom w:val="single" w:color="auto" w:sz="4" w:space="0"/>
            </w:tcBorders>
          </w:tcPr>
          <w:p>
            <w:pPr>
              <w:spacing w:line="480" w:lineRule="exact"/>
              <w:ind w:left="1050" w:leftChars="500"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甲方</w:t>
            </w:r>
          </w:p>
          <w:p>
            <w:pPr>
              <w:spacing w:line="480" w:lineRule="exact"/>
              <w:ind w:left="1500" w:hanging="1500" w:hangingChars="500"/>
              <w:rPr>
                <w:rFonts w:ascii="仿宋_GB2312" w:hAnsi="仿宋_GB2312" w:eastAsia="仿宋_GB2312" w:cs="仿宋_GB2312"/>
                <w:sz w:val="30"/>
                <w:szCs w:val="30"/>
              </w:rPr>
            </w:pPr>
            <w:r>
              <w:rPr>
                <w:rFonts w:hint="eastAsia" w:ascii="仿宋_GB2312" w:hAnsi="仿宋_GB2312" w:eastAsia="仿宋_GB2312" w:cs="仿宋_GB2312"/>
                <w:sz w:val="30"/>
                <w:szCs w:val="30"/>
              </w:rPr>
              <w:t>单位名称：中粮梁河糖业有限公司</w:t>
            </w:r>
          </w:p>
          <w:p>
            <w:pPr>
              <w:spacing w:line="48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单位地址：云南省德宏州梁河县勐养镇中营村委会党良街（原勐养糖厂内）</w:t>
            </w:r>
          </w:p>
          <w:p>
            <w:pPr>
              <w:spacing w:line="48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法定代表人：</w:t>
            </w:r>
          </w:p>
          <w:p>
            <w:pPr>
              <w:spacing w:line="48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委托代理人：</w:t>
            </w:r>
          </w:p>
          <w:p>
            <w:pPr>
              <w:spacing w:line="48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电话号码：0692-6168776</w:t>
            </w:r>
          </w:p>
          <w:p>
            <w:pPr>
              <w:spacing w:line="48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传真号码：0692-6168776</w:t>
            </w:r>
          </w:p>
          <w:p>
            <w:pPr>
              <w:spacing w:line="48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开户行：中国农业银行股份有限公司梁河县支行营业室</w:t>
            </w:r>
          </w:p>
          <w:p>
            <w:pPr>
              <w:spacing w:line="48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帐号：24139701040011717</w:t>
            </w:r>
          </w:p>
          <w:p>
            <w:pPr>
              <w:spacing w:line="48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税号：91533122MA6KX49T1F</w:t>
            </w:r>
          </w:p>
          <w:p>
            <w:pPr>
              <w:spacing w:line="48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邮编：679207</w:t>
            </w:r>
          </w:p>
          <w:p>
            <w:pPr>
              <w:adjustRightInd w:val="0"/>
              <w:snapToGrid w:val="0"/>
              <w:spacing w:line="420" w:lineRule="exact"/>
              <w:rPr>
                <w:rFonts w:eastAsia="仿宋_GB2312"/>
                <w:sz w:val="30"/>
              </w:rPr>
            </w:pPr>
            <w:r>
              <w:rPr>
                <w:rFonts w:hint="eastAsia" w:ascii="仿宋_GB2312" w:hAnsi="仿宋_GB2312" w:eastAsia="仿宋_GB2312" w:cs="仿宋_GB2312"/>
                <w:sz w:val="30"/>
                <w:szCs w:val="30"/>
              </w:rPr>
              <w:t>签订日期：       年   月    日</w:t>
            </w:r>
          </w:p>
        </w:tc>
        <w:tc>
          <w:tcPr>
            <w:tcW w:w="4830" w:type="dxa"/>
          </w:tcPr>
          <w:p>
            <w:pPr>
              <w:spacing w:line="520" w:lineRule="exact"/>
              <w:jc w:val="center"/>
              <w:rPr>
                <w:rFonts w:eastAsia="仿宋_GB2312"/>
                <w:sz w:val="30"/>
              </w:rPr>
            </w:pPr>
            <w:r>
              <w:rPr>
                <w:rFonts w:eastAsia="仿宋_GB2312"/>
                <w:sz w:val="30"/>
              </w:rPr>
              <w:t>乙方</w:t>
            </w:r>
          </w:p>
          <w:p>
            <w:pPr>
              <w:spacing w:line="520" w:lineRule="exact"/>
              <w:ind w:left="1500" w:hanging="1500" w:hangingChars="500"/>
              <w:rPr>
                <w:rFonts w:eastAsia="仿宋_GB2312"/>
                <w:sz w:val="30"/>
                <w:szCs w:val="30"/>
              </w:rPr>
            </w:pPr>
            <w:r>
              <w:rPr>
                <w:rFonts w:eastAsia="仿宋_GB2312"/>
                <w:sz w:val="30"/>
              </w:rPr>
              <w:t>单位名称：</w:t>
            </w:r>
            <w:r>
              <w:rPr>
                <w:rFonts w:eastAsia="仿宋_GB2312"/>
                <w:sz w:val="30"/>
                <w:szCs w:val="30"/>
              </w:rPr>
              <w:t xml:space="preserve"> </w:t>
            </w:r>
          </w:p>
          <w:p>
            <w:pPr>
              <w:spacing w:line="520" w:lineRule="exact"/>
              <w:ind w:left="1500" w:hanging="1500" w:hangingChars="500"/>
              <w:rPr>
                <w:rFonts w:eastAsia="仿宋_GB2312"/>
                <w:sz w:val="30"/>
              </w:rPr>
            </w:pPr>
          </w:p>
          <w:p>
            <w:pPr>
              <w:spacing w:line="520" w:lineRule="exact"/>
              <w:ind w:left="1500" w:hanging="1500" w:hangingChars="500"/>
              <w:rPr>
                <w:rFonts w:eastAsia="仿宋_GB2312"/>
                <w:sz w:val="28"/>
                <w:szCs w:val="28"/>
              </w:rPr>
            </w:pPr>
            <w:r>
              <w:rPr>
                <w:rFonts w:eastAsia="仿宋_GB2312"/>
                <w:sz w:val="30"/>
              </w:rPr>
              <w:t>单位地址：</w:t>
            </w:r>
            <w:r>
              <w:rPr>
                <w:rFonts w:eastAsia="仿宋_GB2312"/>
                <w:sz w:val="28"/>
                <w:szCs w:val="28"/>
              </w:rPr>
              <w:t xml:space="preserve"> </w:t>
            </w:r>
          </w:p>
          <w:p>
            <w:pPr>
              <w:spacing w:line="520" w:lineRule="exact"/>
              <w:rPr>
                <w:rFonts w:eastAsia="仿宋_GB2312"/>
                <w:sz w:val="30"/>
              </w:rPr>
            </w:pPr>
          </w:p>
          <w:p>
            <w:pPr>
              <w:spacing w:line="520" w:lineRule="exact"/>
              <w:rPr>
                <w:rFonts w:eastAsia="仿宋_GB2312"/>
                <w:sz w:val="30"/>
              </w:rPr>
            </w:pPr>
            <w:r>
              <w:rPr>
                <w:rFonts w:eastAsia="仿宋_GB2312"/>
                <w:sz w:val="30"/>
              </w:rPr>
              <w:t>法定代表人：</w:t>
            </w:r>
          </w:p>
          <w:p>
            <w:pPr>
              <w:spacing w:line="520" w:lineRule="exact"/>
              <w:rPr>
                <w:rFonts w:eastAsia="仿宋_GB2312"/>
                <w:sz w:val="30"/>
              </w:rPr>
            </w:pPr>
            <w:r>
              <w:rPr>
                <w:rFonts w:eastAsia="仿宋_GB2312"/>
                <w:sz w:val="30"/>
              </w:rPr>
              <w:t>委托代理人：</w:t>
            </w:r>
          </w:p>
          <w:p>
            <w:pPr>
              <w:spacing w:line="520" w:lineRule="exact"/>
              <w:rPr>
                <w:rFonts w:eastAsia="仿宋_GB2312"/>
                <w:sz w:val="30"/>
                <w:szCs w:val="30"/>
              </w:rPr>
            </w:pPr>
            <w:r>
              <w:rPr>
                <w:rFonts w:eastAsia="仿宋_GB2312"/>
                <w:sz w:val="30"/>
              </w:rPr>
              <w:t>电话号码</w:t>
            </w:r>
            <w:r>
              <w:rPr>
                <w:rFonts w:eastAsia="仿宋_GB2312"/>
                <w:sz w:val="30"/>
                <w:szCs w:val="30"/>
              </w:rPr>
              <w:t>：</w:t>
            </w:r>
          </w:p>
          <w:p>
            <w:pPr>
              <w:spacing w:line="520" w:lineRule="exact"/>
              <w:rPr>
                <w:rFonts w:eastAsia="仿宋_GB2312"/>
                <w:sz w:val="30"/>
                <w:szCs w:val="30"/>
              </w:rPr>
            </w:pPr>
            <w:r>
              <w:rPr>
                <w:rFonts w:eastAsia="仿宋_GB2312"/>
                <w:sz w:val="30"/>
              </w:rPr>
              <w:t>传真号码：</w:t>
            </w:r>
          </w:p>
          <w:p>
            <w:pPr>
              <w:spacing w:line="520" w:lineRule="exact"/>
              <w:ind w:left="1200" w:hanging="1200" w:hangingChars="400"/>
              <w:rPr>
                <w:rFonts w:eastAsia="仿宋_GB2312"/>
                <w:sz w:val="30"/>
              </w:rPr>
            </w:pPr>
            <w:r>
              <w:rPr>
                <w:rFonts w:eastAsia="仿宋_GB2312"/>
                <w:sz w:val="30"/>
              </w:rPr>
              <w:t xml:space="preserve">开户行： </w:t>
            </w:r>
          </w:p>
          <w:p>
            <w:pPr>
              <w:spacing w:line="520" w:lineRule="exact"/>
              <w:rPr>
                <w:rFonts w:eastAsia="仿宋_GB2312"/>
                <w:sz w:val="28"/>
                <w:szCs w:val="28"/>
              </w:rPr>
            </w:pPr>
            <w:r>
              <w:rPr>
                <w:rFonts w:eastAsia="仿宋_GB2312"/>
                <w:sz w:val="30"/>
              </w:rPr>
              <w:t>帐号：</w:t>
            </w:r>
          </w:p>
          <w:p>
            <w:pPr>
              <w:spacing w:line="520" w:lineRule="exact"/>
              <w:rPr>
                <w:rFonts w:eastAsia="仿宋_GB2312"/>
                <w:sz w:val="30"/>
              </w:rPr>
            </w:pPr>
            <w:r>
              <w:rPr>
                <w:rFonts w:eastAsia="仿宋_GB2312"/>
                <w:sz w:val="30"/>
              </w:rPr>
              <w:t>税号：</w:t>
            </w:r>
          </w:p>
          <w:p>
            <w:pPr>
              <w:spacing w:line="520" w:lineRule="exact"/>
              <w:rPr>
                <w:rFonts w:eastAsia="仿宋_GB2312"/>
                <w:sz w:val="30"/>
              </w:rPr>
            </w:pPr>
            <w:r>
              <w:rPr>
                <w:rFonts w:eastAsia="仿宋_GB2312"/>
                <w:sz w:val="30"/>
              </w:rPr>
              <w:t>邮编：</w:t>
            </w:r>
          </w:p>
          <w:p>
            <w:pPr>
              <w:spacing w:line="520" w:lineRule="exact"/>
              <w:rPr>
                <w:rFonts w:eastAsia="仿宋_GB2312"/>
                <w:sz w:val="30"/>
              </w:rPr>
            </w:pPr>
            <w:r>
              <w:rPr>
                <w:rFonts w:eastAsia="仿宋_GB2312"/>
                <w:sz w:val="30"/>
              </w:rPr>
              <w:t>签订日期：</w:t>
            </w:r>
            <w:r>
              <w:rPr>
                <w:rFonts w:hint="eastAsia" w:ascii="仿宋_GB2312" w:eastAsia="仿宋_GB2312"/>
                <w:sz w:val="30"/>
              </w:rPr>
              <w:t xml:space="preserve">    年   月    日</w:t>
            </w:r>
          </w:p>
        </w:tc>
      </w:tr>
    </w:tbl>
    <w:p>
      <w:pPr>
        <w:adjustRightInd w:val="0"/>
        <w:snapToGrid w:val="0"/>
        <w:spacing w:line="500" w:lineRule="exact"/>
        <w:ind w:firstLine="602" w:firstLineChars="200"/>
        <w:rPr>
          <w:rFonts w:ascii="仿宋_GB2312" w:eastAsia="仿宋_GB2312"/>
          <w:b/>
          <w:bCs/>
          <w:sz w:val="30"/>
          <w:szCs w:val="30"/>
        </w:rPr>
      </w:pPr>
    </w:p>
    <w:p>
      <w:pPr>
        <w:adjustRightInd w:val="0"/>
        <w:snapToGrid w:val="0"/>
        <w:spacing w:line="500" w:lineRule="exact"/>
        <w:rPr>
          <w:rFonts w:ascii="仿宋_GB2312" w:eastAsia="仿宋_GB2312"/>
          <w:b/>
          <w:bCs/>
          <w:sz w:val="30"/>
          <w:szCs w:val="30"/>
        </w:rPr>
      </w:pPr>
    </w:p>
    <w:p>
      <w:pPr>
        <w:adjustRightInd w:val="0"/>
        <w:snapToGrid w:val="0"/>
        <w:spacing w:line="500" w:lineRule="exact"/>
        <w:rPr>
          <w:rFonts w:ascii="仿宋_GB2312" w:eastAsia="仿宋_GB2312"/>
          <w:b/>
          <w:bCs/>
          <w:color w:val="000000"/>
          <w:sz w:val="30"/>
          <w:szCs w:val="30"/>
        </w:rPr>
      </w:pPr>
    </w:p>
    <w:p>
      <w:pPr>
        <w:adjustRightInd w:val="0"/>
        <w:snapToGrid w:val="0"/>
        <w:spacing w:line="500" w:lineRule="exact"/>
        <w:rPr>
          <w:rFonts w:ascii="仿宋_GB2312" w:eastAsia="仿宋_GB2312"/>
          <w:b/>
          <w:bCs/>
          <w:color w:val="000000"/>
          <w:sz w:val="30"/>
          <w:szCs w:val="30"/>
        </w:rPr>
      </w:pPr>
    </w:p>
    <w:p>
      <w:pPr>
        <w:adjustRightInd w:val="0"/>
        <w:snapToGrid w:val="0"/>
        <w:spacing w:line="500" w:lineRule="exact"/>
        <w:rPr>
          <w:rFonts w:ascii="仿宋_GB2312" w:eastAsia="仿宋_GB2312"/>
          <w:b/>
          <w:bCs/>
          <w:color w:val="000000"/>
          <w:sz w:val="30"/>
          <w:szCs w:val="30"/>
        </w:rPr>
      </w:pPr>
    </w:p>
    <w:p>
      <w:pPr>
        <w:adjustRightInd w:val="0"/>
        <w:snapToGrid w:val="0"/>
        <w:spacing w:line="500" w:lineRule="exact"/>
        <w:rPr>
          <w:rFonts w:ascii="仿宋_GB2312" w:eastAsia="仿宋_GB2312"/>
          <w:b/>
          <w:bCs/>
          <w:color w:val="000000"/>
          <w:sz w:val="30"/>
          <w:szCs w:val="30"/>
        </w:rPr>
      </w:pPr>
    </w:p>
    <w:p>
      <w:pPr>
        <w:adjustRightInd w:val="0"/>
        <w:snapToGrid w:val="0"/>
        <w:spacing w:line="500" w:lineRule="exact"/>
        <w:rPr>
          <w:rFonts w:ascii="仿宋_GB2312" w:eastAsia="仿宋_GB2312"/>
          <w:b/>
          <w:bCs/>
          <w:color w:val="000000"/>
          <w:sz w:val="30"/>
          <w:szCs w:val="30"/>
        </w:rPr>
      </w:pPr>
    </w:p>
    <w:p>
      <w:pPr>
        <w:keepNext/>
        <w:keepLines/>
        <w:rPr>
          <w:b/>
          <w:bCs/>
          <w:szCs w:val="21"/>
        </w:rPr>
        <w:sectPr>
          <w:headerReference r:id="rId3" w:type="default"/>
          <w:footerReference r:id="rId4" w:type="default"/>
          <w:pgSz w:w="11906" w:h="16838"/>
          <w:pgMar w:top="1418" w:right="1418" w:bottom="1418" w:left="1418" w:header="851" w:footer="992" w:gutter="0"/>
          <w:cols w:space="720" w:num="1"/>
          <w:docGrid w:linePitch="312" w:charSpace="0"/>
        </w:sectPr>
      </w:pPr>
    </w:p>
    <w:p>
      <w:pPr>
        <w:rPr>
          <w:rFonts w:eastAsia="仿宋_GB2312"/>
          <w:sz w:val="30"/>
          <w:szCs w:val="30"/>
        </w:rPr>
      </w:pPr>
      <w:r>
        <w:rPr>
          <w:rFonts w:hint="eastAsia"/>
          <w:b/>
          <w:bCs/>
          <w:szCs w:val="21"/>
        </w:rPr>
        <w:t>附件2. 廉洁合同</w:t>
      </w:r>
    </w:p>
    <w:p>
      <w:pPr>
        <w:spacing w:line="460" w:lineRule="exact"/>
        <w:ind w:firstLine="3300" w:firstLineChars="1100"/>
        <w:rPr>
          <w:rFonts w:ascii="仿宋_GB2312" w:eastAsia="仿宋_GB2312"/>
          <w:sz w:val="30"/>
          <w:szCs w:val="30"/>
        </w:rPr>
      </w:pPr>
      <w:r>
        <w:rPr>
          <w:rFonts w:hint="eastAsia" w:ascii="仿宋_GB2312" w:eastAsia="仿宋_GB2312"/>
          <w:sz w:val="30"/>
          <w:szCs w:val="30"/>
        </w:rPr>
        <w:t>廉洁合同</w:t>
      </w:r>
    </w:p>
    <w:p>
      <w:pPr>
        <w:spacing w:line="460" w:lineRule="exact"/>
        <w:rPr>
          <w:rFonts w:ascii="仿宋_GB2312" w:eastAsia="仿宋_GB2312"/>
          <w:sz w:val="30"/>
          <w:szCs w:val="30"/>
        </w:rPr>
      </w:pPr>
      <w:r>
        <w:rPr>
          <w:rFonts w:hint="eastAsia" w:ascii="仿宋_GB2312" w:eastAsia="仿宋_GB2312"/>
          <w:sz w:val="30"/>
          <w:szCs w:val="30"/>
        </w:rPr>
        <w:t>项目名称：</w:t>
      </w:r>
      <w:r>
        <w:rPr>
          <w:rStyle w:val="71"/>
          <w:rFonts w:hint="eastAsia" w:ascii="宋体" w:hAnsi="宋体"/>
          <w:bCs/>
          <w:sz w:val="32"/>
          <w:szCs w:val="32"/>
          <w:lang w:eastAsia="zh-CN"/>
        </w:rPr>
        <w:t>梁河公司办公楼单元楼青工楼楼梯扶手防护栏补焊项目</w:t>
      </w:r>
    </w:p>
    <w:p>
      <w:pPr>
        <w:spacing w:line="460" w:lineRule="exact"/>
        <w:rPr>
          <w:rFonts w:ascii="仿宋_GB2312" w:eastAsia="仿宋_GB2312"/>
          <w:sz w:val="30"/>
          <w:szCs w:val="30"/>
        </w:rPr>
      </w:pPr>
      <w:r>
        <w:rPr>
          <w:rFonts w:hint="eastAsia" w:ascii="仿宋_GB2312" w:eastAsia="仿宋_GB2312"/>
          <w:sz w:val="30"/>
          <w:szCs w:val="30"/>
        </w:rPr>
        <w:t>甲   方：中粮梁河糖业有限公司</w:t>
      </w:r>
    </w:p>
    <w:p>
      <w:pPr>
        <w:spacing w:line="460" w:lineRule="exact"/>
        <w:rPr>
          <w:rFonts w:ascii="仿宋_GB2312" w:eastAsia="仿宋_GB2312"/>
          <w:sz w:val="30"/>
          <w:szCs w:val="30"/>
        </w:rPr>
      </w:pPr>
      <w:r>
        <w:rPr>
          <w:rFonts w:hint="eastAsia" w:ascii="仿宋_GB2312" w:eastAsia="仿宋_GB2312"/>
          <w:sz w:val="30"/>
          <w:szCs w:val="30"/>
        </w:rPr>
        <w:t xml:space="preserve">乙   方： </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为规范中粮梁河糖业有限公司2</w:t>
      </w:r>
      <w:r>
        <w:rPr>
          <w:rFonts w:ascii="仿宋_GB2312" w:eastAsia="仿宋_GB2312"/>
          <w:sz w:val="30"/>
          <w:szCs w:val="30"/>
        </w:rPr>
        <w:t>023年</w:t>
      </w:r>
      <w:r>
        <w:rPr>
          <w:rFonts w:hint="eastAsia" w:ascii="仿宋_GB2312" w:eastAsia="仿宋_GB2312"/>
          <w:sz w:val="30"/>
          <w:szCs w:val="30"/>
        </w:rPr>
        <w:t>梁河糖业磷酸储罐新建雨棚项目采购工作，防止违法违纪事件的发生，经甲方、乙方协商同意，双方将严格执行以下条款。</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一、甲方的权利和义务</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（一）甲方的工作人员有责任向乙方介绍本单位有关廉洁从业的制度、规定。甲方的纪检监察人员有权对双方在采购及合同执行过程中的廉洁情况进行监督。</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（二）甲方的工作人员不得向乙方泄露采购过程中的商业秘密。</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三）甲方的工作人员在采购过程中以及合同执行过程中，不得以任何形式向乙方索取贿赂、收受回扣及好处费等；不得接受乙方馈赠的有价证券和贵重物品；不得让乙方报销任何费用；不得参加对执行公务有影响的娱乐活动和宴请；不得向乙方介绍家属或亲友从事与该项目有关的材料、设备供应和该项目分包等经济活动；不得要求乙方为其装修房子；不得要求乙方为亲属安排出境和国内旅游等；不得借婚丧嫁娶之机收受乙方的钱（含有价证券）、物。</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（四）对乙方主动给予的钱（含有价证券）、物，甲方的工作人员要坚决谢绝，无法拒绝的要在两周内上交甲方的纪检监察部门或上级纪检监察部门。</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（五）甲方的工作人员在采购及执行合同过程中，必须遵守廉洁自律的其他有关规定。</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二、乙方的权利和义务</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（一）乙方的纪检监察人员有权对双方在采购及合同执行过程中的廉洁从业情况进行监督，并积极配合甲方纪检监察工作人员就有关违纪问题进行调查取证。</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（二）乙方有权了解甲方在廉洁从业方面的各项制度和规定，并主动配合甲方遵守执行。</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（三）乙方的工作人员不得以任何方式向甲方的工作人员了解采购过程中的商业秘密。</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四）乙方的工作人员在投标过程及中标后的合同执行过程中，不得向甲方的工作人员行贿、提供回扣或其他好处费等；不得向甲方的工作人员馈赠有价证券和贵重物品；不得给甲方的工作人员报销任何费用；不得为甲方的工作人员购置或长期无偿提供交通工具、通讯工具、家电、办公用品等；不得邀请甲方的工作人员参加对执行公务有影响的娱乐活动和宴请；不得接受甲方的工作人员介绍的家属或亲友从事与该项目有关的材料、设备供应或该项目分包等经济活动；不得为甲方的工作人员装修房子；不得为甲方的工作人员的亲属安排出境和国内旅游等；不得借婚丧嫁娶之机向甲方的工作人员赠送钱（含有价证券）、物。</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（五）乙方发现甲方的工作人员有不廉洁的行为，必须在48小时内署名报告甲方的纪检监察人员或有关领导。</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三、违约责任</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（一）甲方的工作人员违反廉洁责任，经调查属实的，甲方将依据党纪、公司有关规定对当事人进行严肃处理，对涉嫌犯罪人员移送司法机关。</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二）乙方工作人员违反廉洁责任，经调查属实，甲方及其代理机构有权退回其投标；对中标的乙方，甲方及其代理机构有权撤销中标决定，或一次性扣罚与其签订合同总价款的0.5~10%直至终止合同执行，由此造成的经济损失由乙方承担。在今后项目中，中粮屯河股份有限公司系统各企业不再考虑与乙方的合作。</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四、合同的生效</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（一）本合同在双方签字/盖章后生效。</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（二）本合同一式贰份，双方各执一份。</w:t>
      </w:r>
    </w:p>
    <w:p>
      <w:pPr>
        <w:spacing w:line="460" w:lineRule="exact"/>
        <w:ind w:firstLine="600" w:firstLineChars="200"/>
        <w:rPr>
          <w:rFonts w:ascii="仿宋_GB2312" w:eastAsia="仿宋_GB2312"/>
          <w:sz w:val="30"/>
          <w:szCs w:val="30"/>
        </w:rPr>
      </w:pPr>
      <w:r>
        <w:rPr>
          <w:rFonts w:hint="eastAsia" w:ascii="仿宋_GB2312" w:eastAsia="仿宋_GB2312"/>
          <w:sz w:val="30"/>
          <w:szCs w:val="30"/>
        </w:rPr>
        <w:t>（三）本合同在主合同授予、履行的全过程有效，并作为主合同的附件。</w:t>
      </w:r>
    </w:p>
    <w:p>
      <w:pPr>
        <w:spacing w:line="460" w:lineRule="exact"/>
        <w:ind w:left="1500" w:hanging="1500" w:hangingChars="500"/>
        <w:rPr>
          <w:rFonts w:ascii="仿宋_GB2312" w:eastAsia="仿宋_GB2312"/>
          <w:sz w:val="30"/>
          <w:szCs w:val="30"/>
        </w:rPr>
      </w:pPr>
      <w:r>
        <w:rPr>
          <w:rFonts w:hint="eastAsia" w:ascii="仿宋_GB2312" w:eastAsia="仿宋_GB2312"/>
          <w:sz w:val="30"/>
          <w:szCs w:val="30"/>
        </w:rPr>
        <w:t>监督联络方式：</w:t>
      </w:r>
    </w:p>
    <w:p>
      <w:pPr>
        <w:spacing w:line="460" w:lineRule="exact"/>
        <w:ind w:left="1500" w:hanging="1500" w:hangingChars="500"/>
        <w:rPr>
          <w:rFonts w:ascii="仿宋_GB2312" w:eastAsia="仿宋_GB2312"/>
          <w:sz w:val="30"/>
          <w:szCs w:val="30"/>
        </w:rPr>
      </w:pPr>
      <w:bookmarkStart w:id="10" w:name="_Hlk54615888"/>
      <w:r>
        <w:rPr>
          <w:rFonts w:hint="eastAsia" w:ascii="仿宋_GB2312" w:eastAsia="仿宋_GB2312"/>
          <w:sz w:val="30"/>
          <w:szCs w:val="30"/>
        </w:rPr>
        <w:t>中粮糖业纪委联系方式：办公电话  010-85017235</w:t>
      </w:r>
    </w:p>
    <w:p>
      <w:pPr>
        <w:spacing w:line="460" w:lineRule="exact"/>
        <w:ind w:left="1500" w:hanging="1500" w:hangingChars="500"/>
        <w:rPr>
          <w:rFonts w:ascii="仿宋_GB2312" w:eastAsia="仿宋_GB2312"/>
          <w:sz w:val="30"/>
          <w:szCs w:val="30"/>
        </w:rPr>
      </w:pPr>
      <w:r>
        <w:rPr>
          <w:rFonts w:hint="eastAsia" w:ascii="仿宋_GB2312" w:eastAsia="仿宋_GB2312"/>
          <w:sz w:val="30"/>
          <w:szCs w:val="30"/>
        </w:rPr>
        <w:t xml:space="preserve">通信地址：北京市朝阳区朝阳门南大街8号中粮福临门大厦9层905房间，中粮糖业纪委办公室收，邮编100020。          </w:t>
      </w:r>
    </w:p>
    <w:bookmarkEnd w:id="10"/>
    <w:p>
      <w:pPr>
        <w:spacing w:line="460" w:lineRule="exact"/>
        <w:ind w:left="1500" w:hanging="1500" w:hangingChars="500"/>
        <w:rPr>
          <w:rFonts w:ascii="仿宋_GB2312" w:eastAsia="仿宋_GB2312"/>
          <w:sz w:val="30"/>
          <w:szCs w:val="30"/>
        </w:rPr>
      </w:pPr>
    </w:p>
    <w:p>
      <w:pPr>
        <w:spacing w:line="460" w:lineRule="exact"/>
        <w:ind w:left="1500" w:hanging="1500" w:hangingChars="500"/>
        <w:rPr>
          <w:rFonts w:ascii="仿宋_GB2312" w:eastAsia="仿宋_GB2312"/>
          <w:sz w:val="30"/>
          <w:szCs w:val="30"/>
        </w:rPr>
      </w:pPr>
    </w:p>
    <w:p>
      <w:pPr>
        <w:spacing w:line="460" w:lineRule="exact"/>
        <w:ind w:left="1500" w:hanging="1500" w:hangingChars="500"/>
        <w:rPr>
          <w:rFonts w:ascii="仿宋_GB2312" w:eastAsia="仿宋_GB2312"/>
          <w:sz w:val="30"/>
          <w:szCs w:val="30"/>
        </w:rPr>
      </w:pPr>
    </w:p>
    <w:p>
      <w:pPr>
        <w:spacing w:line="460" w:lineRule="exact"/>
        <w:ind w:left="1500" w:hanging="1500" w:hangingChars="500"/>
        <w:rPr>
          <w:rFonts w:ascii="仿宋_GB2312" w:eastAsia="仿宋_GB2312"/>
          <w:sz w:val="30"/>
          <w:szCs w:val="30"/>
        </w:rPr>
      </w:pPr>
      <w:r>
        <w:rPr>
          <w:rFonts w:hint="eastAsia" w:ascii="仿宋_GB2312" w:eastAsia="仿宋_GB2312"/>
          <w:sz w:val="30"/>
          <w:szCs w:val="30"/>
        </w:rPr>
        <w:t xml:space="preserve">甲    方：中粮梁河糖业有限公司  </w:t>
      </w:r>
    </w:p>
    <w:p>
      <w:pPr>
        <w:spacing w:line="460" w:lineRule="exact"/>
        <w:ind w:left="1500" w:hanging="1500" w:hangingChars="500"/>
        <w:rPr>
          <w:rFonts w:ascii="仿宋_GB2312" w:eastAsia="仿宋_GB2312"/>
          <w:sz w:val="30"/>
          <w:szCs w:val="30"/>
        </w:rPr>
      </w:pPr>
      <w:r>
        <w:rPr>
          <w:rFonts w:hint="eastAsia" w:ascii="仿宋_GB2312" w:eastAsia="仿宋_GB2312"/>
          <w:sz w:val="30"/>
          <w:szCs w:val="30"/>
        </w:rPr>
        <w:t>法定代表人（或授权代表）签字：______________</w:t>
      </w:r>
    </w:p>
    <w:p>
      <w:pPr>
        <w:spacing w:line="460" w:lineRule="exact"/>
        <w:ind w:left="1500" w:hanging="1500" w:hangingChars="500"/>
        <w:rPr>
          <w:rFonts w:ascii="仿宋_GB2312" w:eastAsia="仿宋_GB2312"/>
          <w:sz w:val="30"/>
          <w:szCs w:val="30"/>
        </w:rPr>
      </w:pPr>
      <w:r>
        <w:rPr>
          <w:rFonts w:hint="eastAsia" w:ascii="仿宋_GB2312" w:eastAsia="仿宋_GB2312"/>
          <w:sz w:val="30"/>
          <w:szCs w:val="30"/>
        </w:rPr>
        <w:t>签字日期：__________________________________</w:t>
      </w:r>
    </w:p>
    <w:p>
      <w:pPr>
        <w:spacing w:line="460" w:lineRule="exact"/>
        <w:ind w:left="1500" w:hanging="1500" w:hangingChars="500"/>
        <w:rPr>
          <w:rFonts w:ascii="仿宋_GB2312" w:eastAsia="仿宋_GB2312"/>
          <w:sz w:val="30"/>
          <w:szCs w:val="30"/>
        </w:rPr>
      </w:pPr>
    </w:p>
    <w:p>
      <w:pPr>
        <w:spacing w:line="460" w:lineRule="exact"/>
        <w:ind w:left="1500" w:hanging="1500" w:hangingChars="500"/>
        <w:rPr>
          <w:rFonts w:ascii="仿宋_GB2312" w:eastAsia="仿宋_GB2312"/>
          <w:sz w:val="30"/>
          <w:szCs w:val="30"/>
        </w:rPr>
      </w:pPr>
      <w:r>
        <w:rPr>
          <w:rFonts w:hint="eastAsia" w:ascii="仿宋_GB2312" w:eastAsia="仿宋_GB2312"/>
          <w:sz w:val="30"/>
          <w:szCs w:val="30"/>
        </w:rPr>
        <w:t xml:space="preserve">乙    方：                                        </w:t>
      </w:r>
    </w:p>
    <w:p>
      <w:pPr>
        <w:spacing w:line="460" w:lineRule="exact"/>
        <w:ind w:left="1500" w:hanging="1500" w:hangingChars="500"/>
        <w:rPr>
          <w:rFonts w:ascii="仿宋_GB2312" w:eastAsia="仿宋_GB2312"/>
          <w:sz w:val="30"/>
          <w:szCs w:val="30"/>
        </w:rPr>
      </w:pPr>
      <w:r>
        <w:rPr>
          <w:rFonts w:hint="eastAsia" w:ascii="仿宋_GB2312" w:eastAsia="仿宋_GB2312"/>
          <w:sz w:val="30"/>
          <w:szCs w:val="30"/>
        </w:rPr>
        <w:t>法定代表人（或授权代表）签字：_______________</w:t>
      </w:r>
    </w:p>
    <w:p>
      <w:pPr>
        <w:spacing w:line="460" w:lineRule="exact"/>
        <w:ind w:left="1500" w:hanging="1500" w:hangingChars="500"/>
        <w:rPr>
          <w:rFonts w:ascii="仿宋_GB2312" w:eastAsia="仿宋_GB2312"/>
          <w:sz w:val="30"/>
          <w:szCs w:val="30"/>
        </w:rPr>
      </w:pPr>
      <w:r>
        <w:rPr>
          <w:rFonts w:hint="eastAsia" w:ascii="仿宋_GB2312" w:eastAsia="仿宋_GB2312"/>
          <w:sz w:val="30"/>
          <w:szCs w:val="30"/>
        </w:rPr>
        <w:t>签字日期：___________________________________</w:t>
      </w:r>
    </w:p>
    <w:p/>
    <w:p>
      <w:pPr>
        <w:adjustRightInd w:val="0"/>
        <w:snapToGrid w:val="0"/>
        <w:spacing w:before="156" w:beforeLines="50" w:after="156" w:afterLines="50" w:line="360" w:lineRule="auto"/>
        <w:rPr>
          <w:rFonts w:ascii="仿宋_GB2312" w:eastAsia="仿宋_GB2312"/>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r>
        <w:rPr>
          <w:rFonts w:hint="eastAsia" w:eastAsia="仿宋" w:asciiTheme="minorEastAsia" w:hAnsiTheme="minorEastAsia"/>
          <w:snapToGrid w:val="0"/>
          <w:sz w:val="24"/>
        </w:rPr>
        <w:t>附件3：安全管理协议书</w:t>
      </w:r>
    </w:p>
    <w:p>
      <w:pPr>
        <w:spacing w:line="276" w:lineRule="auto"/>
        <w:ind w:firstLine="640" w:firstLineChars="200"/>
        <w:jc w:val="center"/>
        <w:rPr>
          <w:sz w:val="32"/>
          <w:szCs w:val="32"/>
        </w:rPr>
      </w:pPr>
      <w:r>
        <w:rPr>
          <w:rFonts w:hint="eastAsia"/>
          <w:sz w:val="32"/>
          <w:szCs w:val="32"/>
        </w:rPr>
        <w:t>乙类</w:t>
      </w:r>
      <w:bookmarkStart w:id="11" w:name="OLE_LINK80"/>
      <w:bookmarkStart w:id="12" w:name="OLE_LINK79"/>
      <w:r>
        <w:rPr>
          <w:rFonts w:hint="eastAsia"/>
          <w:sz w:val="32"/>
          <w:szCs w:val="32"/>
        </w:rPr>
        <w:t>承包商安全管理协议(施工单位)</w:t>
      </w:r>
      <w:bookmarkEnd w:id="11"/>
      <w:bookmarkEnd w:id="12"/>
    </w:p>
    <w:p>
      <w:pPr>
        <w:spacing w:line="276" w:lineRule="auto"/>
        <w:ind w:firstLine="640" w:firstLineChars="200"/>
        <w:jc w:val="center"/>
        <w:rPr>
          <w:sz w:val="32"/>
          <w:szCs w:val="32"/>
        </w:rPr>
      </w:pPr>
    </w:p>
    <w:p>
      <w:pPr>
        <w:spacing w:line="276" w:lineRule="auto"/>
        <w:ind w:firstLine="480" w:firstLineChars="200"/>
        <w:rPr>
          <w:sz w:val="24"/>
        </w:rPr>
      </w:pPr>
      <w:r>
        <w:rPr>
          <w:sz w:val="24"/>
        </w:rPr>
        <w:t>甲方</w:t>
      </w:r>
      <w:bookmarkStart w:id="13" w:name="_Hlk132406061"/>
      <w:r>
        <w:rPr>
          <w:sz w:val="24"/>
        </w:rPr>
        <w:t>（发包方）</w:t>
      </w:r>
      <w:bookmarkEnd w:id="13"/>
      <w:r>
        <w:rPr>
          <w:sz w:val="24"/>
        </w:rPr>
        <w:t>：</w:t>
      </w:r>
      <w:r>
        <w:rPr>
          <w:rFonts w:hint="eastAsia"/>
          <w:sz w:val="24"/>
        </w:rPr>
        <w:t>中粮梁河糖业有限公司</w:t>
      </w:r>
      <w:r>
        <w:rPr>
          <w:sz w:val="24"/>
        </w:rPr>
        <w:t xml:space="preserve">    </w:t>
      </w:r>
    </w:p>
    <w:p>
      <w:pPr>
        <w:spacing w:line="276" w:lineRule="auto"/>
        <w:ind w:firstLine="480" w:firstLineChars="200"/>
        <w:rPr>
          <w:sz w:val="24"/>
        </w:rPr>
      </w:pPr>
      <w:r>
        <w:rPr>
          <w:sz w:val="24"/>
        </w:rPr>
        <w:t xml:space="preserve">                                      </w:t>
      </w:r>
    </w:p>
    <w:p>
      <w:pPr>
        <w:spacing w:line="276" w:lineRule="auto"/>
        <w:ind w:firstLine="480" w:firstLineChars="200"/>
        <w:rPr>
          <w:sz w:val="24"/>
        </w:rPr>
      </w:pPr>
      <w:r>
        <w:rPr>
          <w:sz w:val="24"/>
        </w:rPr>
        <w:t>乙方</w:t>
      </w:r>
      <w:bookmarkStart w:id="14" w:name="_Hlk132406074"/>
      <w:r>
        <w:rPr>
          <w:sz w:val="24"/>
        </w:rPr>
        <w:t>（承包方）</w:t>
      </w:r>
      <w:bookmarkEnd w:id="14"/>
      <w:r>
        <w:rPr>
          <w:sz w:val="24"/>
        </w:rPr>
        <w:t xml:space="preserve">：                                          </w:t>
      </w:r>
    </w:p>
    <w:p>
      <w:pPr>
        <w:spacing w:line="276" w:lineRule="auto"/>
        <w:ind w:firstLine="480" w:firstLineChars="200"/>
        <w:rPr>
          <w:sz w:val="24"/>
        </w:rPr>
      </w:pPr>
    </w:p>
    <w:p>
      <w:pPr>
        <w:spacing w:line="276" w:lineRule="auto"/>
        <w:ind w:firstLine="480" w:firstLineChars="200"/>
        <w:rPr>
          <w:sz w:val="24"/>
        </w:rPr>
      </w:pPr>
      <w:bookmarkStart w:id="15" w:name="_Hlk132407100"/>
      <w:r>
        <w:rPr>
          <w:sz w:val="24"/>
        </w:rPr>
        <w:t>为加强施工项目的安全生产管理，明确</w:t>
      </w:r>
      <w:r>
        <w:rPr>
          <w:rFonts w:hint="eastAsia"/>
          <w:sz w:val="24"/>
        </w:rPr>
        <w:t>甲乙双方</w:t>
      </w:r>
      <w:r>
        <w:rPr>
          <w:sz w:val="24"/>
        </w:rPr>
        <w:t>安全责任，防止生产安全事故，</w:t>
      </w:r>
      <w:r>
        <w:rPr>
          <w:rFonts w:hint="eastAsia"/>
          <w:sz w:val="24"/>
        </w:rPr>
        <w:t>稳定运营，</w:t>
      </w:r>
      <w:r>
        <w:rPr>
          <w:sz w:val="24"/>
        </w:rPr>
        <w:t>按照《安全生产法》</w:t>
      </w:r>
      <w:r>
        <w:rPr>
          <w:rFonts w:hint="eastAsia"/>
          <w:sz w:val="24"/>
        </w:rPr>
        <w:t>《中华人民共和国特种设备安全监察条例》《起重机械安全技术规程》</w:t>
      </w:r>
      <w:r>
        <w:rPr>
          <w:sz w:val="24"/>
        </w:rPr>
        <w:t>《建设工程安全生产管理条例》《民法典》《建设工程安全生产管理条例》等法律法规的要求，甲乙双方遵循平等、自愿、公平和诚实信用的原则，就工程安全生产管理事项协商一致，订立本协议。</w:t>
      </w:r>
    </w:p>
    <w:bookmarkEnd w:id="15"/>
    <w:p>
      <w:pPr>
        <w:spacing w:line="276" w:lineRule="auto"/>
        <w:ind w:firstLine="480" w:firstLineChars="200"/>
        <w:rPr>
          <w:sz w:val="24"/>
        </w:rPr>
      </w:pPr>
      <w:bookmarkStart w:id="16" w:name="_Toc381911461"/>
      <w:bookmarkStart w:id="17" w:name="_Toc434694358"/>
      <w:bookmarkStart w:id="18" w:name="_Toc442016137"/>
      <w:bookmarkStart w:id="19" w:name="_Toc384944712"/>
      <w:bookmarkStart w:id="20" w:name="_Toc442022096"/>
      <w:bookmarkStart w:id="21" w:name="_Toc396036405"/>
      <w:bookmarkStart w:id="22" w:name="_Toc383301022"/>
      <w:bookmarkStart w:id="23" w:name="_Toc442133366"/>
      <w:bookmarkStart w:id="24" w:name="_Toc389985354"/>
      <w:bookmarkStart w:id="25" w:name="_Toc396037049"/>
      <w:bookmarkStart w:id="26" w:name="_Toc451698735"/>
      <w:r>
        <w:rPr>
          <w:sz w:val="24"/>
        </w:rPr>
        <w:t>第一条 工程概况：</w:t>
      </w:r>
      <w:bookmarkEnd w:id="16"/>
      <w:bookmarkEnd w:id="17"/>
      <w:bookmarkEnd w:id="18"/>
      <w:bookmarkEnd w:id="19"/>
      <w:bookmarkEnd w:id="20"/>
      <w:bookmarkEnd w:id="21"/>
      <w:bookmarkEnd w:id="22"/>
      <w:bookmarkEnd w:id="23"/>
      <w:bookmarkEnd w:id="24"/>
      <w:bookmarkEnd w:id="25"/>
      <w:bookmarkEnd w:id="26"/>
    </w:p>
    <w:p>
      <w:pPr>
        <w:spacing w:line="276" w:lineRule="auto"/>
        <w:ind w:firstLine="480" w:firstLineChars="200"/>
        <w:rPr>
          <w:sz w:val="24"/>
        </w:rPr>
      </w:pPr>
      <w:bookmarkStart w:id="27" w:name="_Toc434694359"/>
      <w:bookmarkStart w:id="28" w:name="_Toc381911462"/>
      <w:bookmarkStart w:id="29" w:name="_Toc451698736"/>
      <w:bookmarkStart w:id="30" w:name="_Toc384944713"/>
      <w:bookmarkStart w:id="31" w:name="_Toc442022097"/>
      <w:bookmarkStart w:id="32" w:name="_Toc442133367"/>
      <w:bookmarkStart w:id="33" w:name="_Toc396037050"/>
      <w:bookmarkStart w:id="34" w:name="_Toc389985355"/>
      <w:bookmarkStart w:id="35" w:name="_Toc383301023"/>
      <w:bookmarkStart w:id="36" w:name="_Toc442016138"/>
      <w:bookmarkStart w:id="37" w:name="_Toc396036406"/>
      <w:r>
        <w:rPr>
          <w:sz w:val="24"/>
        </w:rPr>
        <w:t>(一)项目（作业）名称：</w:t>
      </w:r>
      <w:bookmarkEnd w:id="27"/>
      <w:bookmarkEnd w:id="28"/>
      <w:bookmarkEnd w:id="29"/>
      <w:bookmarkEnd w:id="30"/>
      <w:bookmarkEnd w:id="31"/>
      <w:bookmarkEnd w:id="32"/>
      <w:bookmarkEnd w:id="33"/>
      <w:bookmarkEnd w:id="34"/>
      <w:bookmarkEnd w:id="35"/>
      <w:bookmarkEnd w:id="36"/>
      <w:bookmarkEnd w:id="37"/>
      <w:r>
        <w:rPr>
          <w:rFonts w:hint="eastAsia"/>
          <w:sz w:val="24"/>
          <w:lang w:eastAsia="zh-CN"/>
        </w:rPr>
        <w:t>梁河公司办公楼单元楼青工楼楼梯扶手防护栏补焊项目</w:t>
      </w:r>
    </w:p>
    <w:p>
      <w:pPr>
        <w:spacing w:line="276" w:lineRule="auto"/>
        <w:ind w:firstLine="480" w:firstLineChars="200"/>
        <w:rPr>
          <w:rFonts w:hint="default" w:eastAsia="宋体"/>
          <w:sz w:val="24"/>
          <w:lang w:val="en-US" w:eastAsia="zh-CN"/>
        </w:rPr>
      </w:pPr>
      <w:bookmarkStart w:id="38" w:name="_Toc381911463"/>
      <w:bookmarkStart w:id="39" w:name="_Toc442016139"/>
      <w:bookmarkStart w:id="40" w:name="_Toc434694360"/>
      <w:bookmarkStart w:id="41" w:name="_Toc451698737"/>
      <w:bookmarkStart w:id="42" w:name="_Toc389985356"/>
      <w:bookmarkStart w:id="43" w:name="_Toc396036407"/>
      <w:bookmarkStart w:id="44" w:name="_Toc442133368"/>
      <w:bookmarkStart w:id="45" w:name="_Toc384944714"/>
      <w:bookmarkStart w:id="46" w:name="_Toc383301024"/>
      <w:bookmarkStart w:id="47" w:name="_Toc442022098"/>
      <w:bookmarkStart w:id="48" w:name="_Toc396037051"/>
      <w:bookmarkStart w:id="49" w:name="_Hlk132406144"/>
      <w:r>
        <w:rPr>
          <w:sz w:val="24"/>
        </w:rPr>
        <w:t>(二)项目（作业）地点与范围：</w:t>
      </w:r>
      <w:bookmarkEnd w:id="38"/>
      <w:bookmarkEnd w:id="39"/>
      <w:bookmarkEnd w:id="40"/>
      <w:bookmarkEnd w:id="41"/>
      <w:bookmarkEnd w:id="42"/>
      <w:bookmarkEnd w:id="43"/>
      <w:bookmarkEnd w:id="44"/>
      <w:bookmarkEnd w:id="45"/>
      <w:bookmarkEnd w:id="46"/>
      <w:bookmarkEnd w:id="47"/>
      <w:bookmarkEnd w:id="48"/>
      <w:r>
        <w:rPr>
          <w:rFonts w:hint="eastAsia"/>
          <w:sz w:val="24"/>
          <w:lang w:val="en-US" w:eastAsia="zh-CN"/>
        </w:rPr>
        <w:t>梁河糖业勐养工厂</w:t>
      </w:r>
    </w:p>
    <w:p>
      <w:pPr>
        <w:spacing w:line="276" w:lineRule="auto"/>
        <w:ind w:firstLine="480" w:firstLineChars="200"/>
        <w:rPr>
          <w:sz w:val="24"/>
        </w:rPr>
      </w:pPr>
      <w:bookmarkStart w:id="50" w:name="_Toc396037052"/>
      <w:bookmarkStart w:id="51" w:name="_Toc389985357"/>
      <w:bookmarkStart w:id="52" w:name="_Toc396036408"/>
      <w:bookmarkStart w:id="53" w:name="_Toc384944715"/>
      <w:bookmarkStart w:id="54" w:name="_Toc434694361"/>
      <w:bookmarkStart w:id="55" w:name="_Toc442016140"/>
      <w:bookmarkStart w:id="56" w:name="_Toc383301025"/>
      <w:bookmarkStart w:id="57" w:name="_Toc381911464"/>
      <w:bookmarkStart w:id="58" w:name="_Toc442133369"/>
      <w:bookmarkStart w:id="59" w:name="_Toc451698738"/>
      <w:bookmarkStart w:id="60" w:name="_Toc442022099"/>
      <w:r>
        <w:rPr>
          <w:sz w:val="24"/>
        </w:rPr>
        <w:t>(三)项目（作业）承包主要内容：</w:t>
      </w:r>
      <w:bookmarkEnd w:id="50"/>
      <w:bookmarkEnd w:id="51"/>
      <w:bookmarkEnd w:id="52"/>
      <w:bookmarkEnd w:id="53"/>
      <w:bookmarkEnd w:id="54"/>
      <w:bookmarkEnd w:id="55"/>
      <w:bookmarkEnd w:id="56"/>
      <w:bookmarkEnd w:id="57"/>
      <w:bookmarkEnd w:id="58"/>
      <w:bookmarkEnd w:id="59"/>
      <w:bookmarkEnd w:id="60"/>
      <w:r>
        <w:rPr>
          <w:rFonts w:hint="eastAsia"/>
          <w:sz w:val="24"/>
        </w:rPr>
        <w:t>芒东、勐养工厂压榨车间磷酸储罐新建雨棚</w:t>
      </w:r>
    </w:p>
    <w:bookmarkEnd w:id="49"/>
    <w:p>
      <w:pPr>
        <w:spacing w:line="276" w:lineRule="auto"/>
        <w:ind w:firstLine="480" w:firstLineChars="200"/>
        <w:rPr>
          <w:sz w:val="24"/>
        </w:rPr>
      </w:pPr>
      <w:bookmarkStart w:id="61" w:name="_Toc442022100"/>
      <w:bookmarkStart w:id="62" w:name="_Toc434694362"/>
      <w:bookmarkStart w:id="63" w:name="_Toc383301026"/>
      <w:bookmarkStart w:id="64" w:name="_Toc442133370"/>
      <w:bookmarkStart w:id="65" w:name="_Toc396037053"/>
      <w:bookmarkStart w:id="66" w:name="_Toc384944716"/>
      <w:bookmarkStart w:id="67" w:name="_Toc389985358"/>
      <w:bookmarkStart w:id="68" w:name="_Toc442016141"/>
      <w:bookmarkStart w:id="69" w:name="_Toc396036409"/>
      <w:bookmarkStart w:id="70" w:name="_Toc381911465"/>
      <w:bookmarkStart w:id="71" w:name="_Toc451698739"/>
      <w:r>
        <w:rPr>
          <w:sz w:val="24"/>
        </w:rPr>
        <w:t>(四)项目（作业）工期：自</w:t>
      </w:r>
      <w:r>
        <w:rPr>
          <w:rFonts w:hint="eastAsia"/>
          <w:sz w:val="24"/>
          <w:lang w:val="en-US" w:eastAsia="zh-CN"/>
        </w:rPr>
        <w:t>入厂之日</w:t>
      </w:r>
      <w:r>
        <w:rPr>
          <w:rFonts w:hint="eastAsia"/>
          <w:sz w:val="24"/>
        </w:rPr>
        <w:t>起，</w:t>
      </w:r>
      <w:r>
        <w:rPr>
          <w:sz w:val="24"/>
        </w:rPr>
        <w:t>至</w:t>
      </w:r>
      <w:r>
        <w:rPr>
          <w:rFonts w:hint="eastAsia"/>
          <w:sz w:val="24"/>
          <w:lang w:val="en-US" w:eastAsia="zh-CN"/>
        </w:rPr>
        <w:t>全部人员退场之</w:t>
      </w:r>
      <w:r>
        <w:rPr>
          <w:sz w:val="24"/>
        </w:rPr>
        <w:t>日</w:t>
      </w:r>
      <w:bookmarkEnd w:id="61"/>
      <w:bookmarkEnd w:id="62"/>
      <w:bookmarkEnd w:id="63"/>
      <w:bookmarkEnd w:id="64"/>
      <w:bookmarkEnd w:id="65"/>
      <w:bookmarkEnd w:id="66"/>
      <w:bookmarkEnd w:id="67"/>
      <w:bookmarkEnd w:id="68"/>
      <w:bookmarkEnd w:id="69"/>
      <w:bookmarkEnd w:id="70"/>
      <w:bookmarkEnd w:id="71"/>
      <w:r>
        <w:rPr>
          <w:rFonts w:hint="eastAsia"/>
          <w:sz w:val="24"/>
        </w:rPr>
        <w:t>止</w:t>
      </w:r>
      <w:r>
        <w:rPr>
          <w:sz w:val="24"/>
        </w:rPr>
        <w:t>。</w:t>
      </w:r>
    </w:p>
    <w:p>
      <w:pPr>
        <w:spacing w:line="276" w:lineRule="auto"/>
        <w:ind w:firstLine="480" w:firstLineChars="200"/>
        <w:rPr>
          <w:sz w:val="24"/>
        </w:rPr>
      </w:pPr>
      <w:bookmarkStart w:id="72" w:name="_Toc383301027"/>
      <w:bookmarkStart w:id="73" w:name="_Toc396036410"/>
      <w:bookmarkStart w:id="74" w:name="_Toc389985359"/>
      <w:bookmarkStart w:id="75" w:name="_Toc442022101"/>
      <w:bookmarkStart w:id="76" w:name="_Toc451698740"/>
      <w:bookmarkStart w:id="77" w:name="_Toc442016142"/>
      <w:bookmarkStart w:id="78" w:name="_Toc384944717"/>
      <w:bookmarkStart w:id="79" w:name="_Toc434694363"/>
      <w:bookmarkStart w:id="80" w:name="_Toc442133371"/>
      <w:bookmarkStart w:id="81" w:name="_Toc396037054"/>
      <w:bookmarkStart w:id="82" w:name="_Toc381911466"/>
      <w:r>
        <w:rPr>
          <w:sz w:val="24"/>
        </w:rPr>
        <w:t>第二条 承诺</w:t>
      </w:r>
      <w:bookmarkEnd w:id="72"/>
      <w:bookmarkEnd w:id="73"/>
      <w:bookmarkEnd w:id="74"/>
      <w:bookmarkEnd w:id="75"/>
      <w:bookmarkEnd w:id="76"/>
      <w:bookmarkEnd w:id="77"/>
      <w:bookmarkEnd w:id="78"/>
      <w:bookmarkEnd w:id="79"/>
      <w:bookmarkEnd w:id="80"/>
      <w:bookmarkEnd w:id="81"/>
      <w:bookmarkEnd w:id="82"/>
    </w:p>
    <w:p>
      <w:pPr>
        <w:spacing w:line="276" w:lineRule="auto"/>
        <w:ind w:firstLine="480" w:firstLineChars="200"/>
        <w:rPr>
          <w:sz w:val="24"/>
        </w:rPr>
      </w:pPr>
      <w:r>
        <w:rPr>
          <w:sz w:val="24"/>
        </w:rPr>
        <w:t>(一)甲方承诺</w:t>
      </w:r>
    </w:p>
    <w:p>
      <w:pPr>
        <w:spacing w:line="276" w:lineRule="auto"/>
        <w:ind w:firstLine="480" w:firstLineChars="200"/>
        <w:rPr>
          <w:sz w:val="24"/>
        </w:rPr>
      </w:pPr>
      <w:r>
        <w:rPr>
          <w:sz w:val="24"/>
        </w:rPr>
        <w:t>1.遵守《安全生产法》</w:t>
      </w:r>
      <w:r>
        <w:rPr>
          <w:rFonts w:hint="eastAsia"/>
          <w:sz w:val="24"/>
        </w:rPr>
        <w:t>、《中华人民共和国特种设备安全监察条例》《起重机械安全技术规程》</w:t>
      </w:r>
      <w:r>
        <w:rPr>
          <w:sz w:val="24"/>
        </w:rPr>
        <w:t>《建设工程安全生产管理条例》</w:t>
      </w:r>
      <w:bookmarkStart w:id="83" w:name="_Hlk132420073"/>
      <w:r>
        <w:rPr>
          <w:sz w:val="24"/>
        </w:rPr>
        <w:t>《民法典》</w:t>
      </w:r>
      <w:bookmarkEnd w:id="83"/>
      <w:bookmarkStart w:id="84" w:name="_Hlk132701729"/>
      <w:r>
        <w:rPr>
          <w:rFonts w:hint="eastAsia"/>
          <w:sz w:val="24"/>
        </w:rPr>
        <w:t>《中粮集团承包商与工程项目管理安全禁令》</w:t>
      </w:r>
      <w:bookmarkEnd w:id="84"/>
      <w:r>
        <w:rPr>
          <w:sz w:val="24"/>
        </w:rPr>
        <w:t>及其他有关法律、法规、规章和标准的有关规定。</w:t>
      </w:r>
    </w:p>
    <w:p>
      <w:pPr>
        <w:spacing w:line="276" w:lineRule="auto"/>
        <w:ind w:firstLine="480" w:firstLineChars="200"/>
        <w:rPr>
          <w:sz w:val="24"/>
        </w:rPr>
      </w:pPr>
      <w:r>
        <w:rPr>
          <w:sz w:val="24"/>
        </w:rPr>
        <w:t>2.遵守项目设计，不违章指挥或者强令乙方人员冒险作业。</w:t>
      </w:r>
    </w:p>
    <w:p>
      <w:pPr>
        <w:spacing w:line="276" w:lineRule="auto"/>
        <w:ind w:firstLine="480" w:firstLineChars="200"/>
        <w:rPr>
          <w:sz w:val="24"/>
        </w:rPr>
      </w:pPr>
      <w:r>
        <w:rPr>
          <w:sz w:val="24"/>
        </w:rPr>
        <w:t>3.向乙方提供甲方安全管理制度。</w:t>
      </w:r>
    </w:p>
    <w:p>
      <w:pPr>
        <w:spacing w:line="276" w:lineRule="auto"/>
        <w:ind w:firstLine="480" w:firstLineChars="200"/>
        <w:rPr>
          <w:sz w:val="24"/>
        </w:rPr>
      </w:pPr>
      <w:r>
        <w:rPr>
          <w:sz w:val="24"/>
        </w:rPr>
        <w:t>4.对可能存在危险、有害因素应向乙方告知及相关水、电、汽等管线图等基础资料。</w:t>
      </w:r>
    </w:p>
    <w:p>
      <w:pPr>
        <w:spacing w:line="276" w:lineRule="auto"/>
        <w:ind w:firstLine="480" w:firstLineChars="200"/>
        <w:rPr>
          <w:sz w:val="24"/>
        </w:rPr>
      </w:pPr>
      <w:r>
        <w:rPr>
          <w:sz w:val="24"/>
        </w:rPr>
        <w:t>5.</w:t>
      </w:r>
      <w:r>
        <w:rPr>
          <w:rFonts w:hint="eastAsia"/>
          <w:sz w:val="24"/>
        </w:rPr>
        <w:t>对乙方进行</w:t>
      </w:r>
      <w:r>
        <w:rPr>
          <w:sz w:val="24"/>
        </w:rPr>
        <w:t>进场</w:t>
      </w:r>
      <w:r>
        <w:rPr>
          <w:rFonts w:hint="eastAsia"/>
          <w:sz w:val="24"/>
        </w:rPr>
        <w:t>安全技术</w:t>
      </w:r>
      <w:r>
        <w:rPr>
          <w:sz w:val="24"/>
        </w:rPr>
        <w:t>交底，告知</w:t>
      </w:r>
      <w:r>
        <w:rPr>
          <w:rFonts w:hint="eastAsia"/>
          <w:sz w:val="24"/>
        </w:rPr>
        <w:t>甲方</w:t>
      </w:r>
      <w:r>
        <w:rPr>
          <w:sz w:val="24"/>
        </w:rPr>
        <w:t>的安全管理制度标准、作业场所安全风险、事故应急和报告要求等。</w:t>
      </w:r>
      <w:r>
        <w:rPr>
          <w:rFonts w:hint="eastAsia"/>
          <w:sz w:val="24"/>
        </w:rPr>
        <w:t>对乙方的安全奖惩情况进行告知。</w:t>
      </w:r>
    </w:p>
    <w:p>
      <w:pPr>
        <w:spacing w:line="276" w:lineRule="auto"/>
        <w:ind w:firstLine="480" w:firstLineChars="200"/>
        <w:rPr>
          <w:sz w:val="24"/>
        </w:rPr>
      </w:pPr>
      <w:r>
        <w:rPr>
          <w:sz w:val="24"/>
        </w:rPr>
        <w:t>6</w:t>
      </w:r>
      <w:bookmarkStart w:id="85" w:name="_Hlk132663326"/>
      <w:r>
        <w:rPr>
          <w:sz w:val="24"/>
        </w:rPr>
        <w:t>严格遵守甲乙双方签订的本协议。</w:t>
      </w:r>
      <w:bookmarkEnd w:id="85"/>
    </w:p>
    <w:p>
      <w:pPr>
        <w:spacing w:line="276" w:lineRule="auto"/>
        <w:ind w:firstLine="480" w:firstLineChars="200"/>
        <w:rPr>
          <w:sz w:val="24"/>
        </w:rPr>
      </w:pPr>
      <w:r>
        <w:rPr>
          <w:sz w:val="24"/>
        </w:rPr>
        <w:t>(二)乙方承诺</w:t>
      </w:r>
    </w:p>
    <w:p>
      <w:pPr>
        <w:spacing w:line="276" w:lineRule="auto"/>
        <w:ind w:firstLine="480" w:firstLineChars="200"/>
        <w:rPr>
          <w:sz w:val="24"/>
        </w:rPr>
      </w:pPr>
      <w:r>
        <w:rPr>
          <w:sz w:val="24"/>
        </w:rPr>
        <w:t>1.遵守《安全生产法》</w:t>
      </w:r>
      <w:r>
        <w:rPr>
          <w:rFonts w:hint="eastAsia"/>
          <w:sz w:val="24"/>
        </w:rPr>
        <w:t>《中华人民共和国特种设备安全监察条例》《起重机械安全技术规程》</w:t>
      </w:r>
      <w:r>
        <w:rPr>
          <w:sz w:val="24"/>
        </w:rPr>
        <w:t>《建设工程安全生产管理条例》《民法典》《建设工程安全生产管理条例》《中粮集团现场管理十项措施》</w:t>
      </w:r>
      <w:bookmarkStart w:id="86" w:name="_Hlk132700803"/>
      <w:r>
        <w:rPr>
          <w:rFonts w:hint="eastAsia"/>
          <w:sz w:val="24"/>
        </w:rPr>
        <w:t>《中粮集团承包商与工程项目管理安全禁令》</w:t>
      </w:r>
      <w:bookmarkEnd w:id="86"/>
      <w:r>
        <w:rPr>
          <w:sz w:val="24"/>
        </w:rPr>
        <w:t>《中粮糖业10条安全保命禁令》及其他有关法律、法规、规章、标准和甲方管理制度等有关规定</w:t>
      </w:r>
      <w:r>
        <w:rPr>
          <w:rFonts w:hint="eastAsia"/>
          <w:sz w:val="24"/>
        </w:rPr>
        <w:t>。</w:t>
      </w:r>
    </w:p>
    <w:p>
      <w:pPr>
        <w:spacing w:line="276" w:lineRule="auto"/>
        <w:ind w:firstLine="480" w:firstLineChars="200"/>
        <w:rPr>
          <w:sz w:val="24"/>
        </w:rPr>
      </w:pPr>
      <w:r>
        <w:rPr>
          <w:sz w:val="24"/>
        </w:rPr>
        <w:t>2.遵守工程设计,按工程设计、工程施工方案组织施工。</w:t>
      </w:r>
    </w:p>
    <w:p>
      <w:pPr>
        <w:spacing w:line="276" w:lineRule="auto"/>
        <w:ind w:firstLine="480" w:firstLineChars="200"/>
        <w:rPr>
          <w:sz w:val="24"/>
        </w:rPr>
      </w:pPr>
      <w:r>
        <w:rPr>
          <w:sz w:val="24"/>
        </w:rPr>
        <w:t>3.健全安全管理机构</w:t>
      </w:r>
      <w:r>
        <w:rPr>
          <w:rFonts w:hint="eastAsia"/>
          <w:sz w:val="24"/>
        </w:rPr>
        <w:t>、全员</w:t>
      </w:r>
      <w:r>
        <w:rPr>
          <w:sz w:val="24"/>
        </w:rPr>
        <w:t>安全生产责任制</w:t>
      </w:r>
      <w:r>
        <w:rPr>
          <w:rFonts w:hint="eastAsia"/>
          <w:sz w:val="24"/>
        </w:rPr>
        <w:t>、作业现场安全管理制度、安全操作规程和应急预案，</w:t>
      </w:r>
      <w:r>
        <w:rPr>
          <w:sz w:val="24"/>
        </w:rPr>
        <w:t>落实工作责任。配置合格的专（兼）职安全管理人员，安全管理人员外出不能正常开展工作时，须另行指派专人负责安全管理工作</w:t>
      </w:r>
      <w:r>
        <w:rPr>
          <w:rFonts w:hint="eastAsia"/>
          <w:sz w:val="24"/>
        </w:rPr>
        <w:t>，定期召开或参加甲方组织的安全会议。</w:t>
      </w:r>
    </w:p>
    <w:p>
      <w:pPr>
        <w:spacing w:line="276" w:lineRule="auto"/>
        <w:ind w:firstLine="480" w:firstLineChars="200"/>
        <w:rPr>
          <w:sz w:val="24"/>
        </w:rPr>
      </w:pPr>
      <w:r>
        <w:rPr>
          <w:sz w:val="24"/>
        </w:rPr>
        <w:t>4.在整个项目施工过程中，保持安全管理人员和项目技术人员的连续稳定，保持与承揽项目相匹配的施工资质，保证企业负责人、安全管理人员和特种作业人员持有效证件</w:t>
      </w:r>
      <w:r>
        <w:rPr>
          <w:rFonts w:hint="eastAsia"/>
          <w:sz w:val="24"/>
        </w:rPr>
        <w:t>，承担</w:t>
      </w:r>
      <w:r>
        <w:rPr>
          <w:sz w:val="24"/>
        </w:rPr>
        <w:t>资料不真实造成的后果负法律责任；若技术人员、特种作业人员</w:t>
      </w:r>
      <w:r>
        <w:rPr>
          <w:rFonts w:hint="eastAsia"/>
          <w:sz w:val="24"/>
        </w:rPr>
        <w:t>、</w:t>
      </w:r>
      <w:r>
        <w:rPr>
          <w:sz w:val="24"/>
        </w:rPr>
        <w:t>生产工艺、施工方法、作业环境和设备设施发生变化的，乙方应当书面告知甲方</w:t>
      </w:r>
      <w:r>
        <w:rPr>
          <w:rFonts w:hint="eastAsia"/>
          <w:sz w:val="24"/>
        </w:rPr>
        <w:t>并履行人员变更手续。</w:t>
      </w:r>
    </w:p>
    <w:p>
      <w:pPr>
        <w:spacing w:line="276" w:lineRule="auto"/>
        <w:ind w:firstLine="480" w:firstLineChars="200"/>
        <w:rPr>
          <w:sz w:val="24"/>
        </w:rPr>
      </w:pPr>
      <w:r>
        <w:rPr>
          <w:sz w:val="24"/>
        </w:rPr>
        <w:t>5.</w:t>
      </w:r>
      <w:r>
        <w:rPr>
          <w:rFonts w:hint="eastAsia"/>
          <w:sz w:val="24"/>
        </w:rPr>
        <w:t>不将作业项目拆包给不具备相应资质等级的作业单位或个人。</w:t>
      </w:r>
    </w:p>
    <w:p>
      <w:pPr>
        <w:spacing w:line="276" w:lineRule="auto"/>
        <w:ind w:firstLine="480" w:firstLineChars="200"/>
        <w:rPr>
          <w:sz w:val="24"/>
        </w:rPr>
      </w:pPr>
      <w:r>
        <w:rPr>
          <w:sz w:val="24"/>
        </w:rPr>
        <w:t>6.与甲方建立日常联系和协作机制,按时参加甲方组织的安全专业会议和活动。</w:t>
      </w:r>
    </w:p>
    <w:p>
      <w:pPr>
        <w:spacing w:line="276" w:lineRule="auto"/>
        <w:ind w:firstLine="480" w:firstLineChars="200"/>
        <w:rPr>
          <w:sz w:val="24"/>
        </w:rPr>
      </w:pPr>
      <w:r>
        <w:rPr>
          <w:sz w:val="24"/>
        </w:rPr>
        <w:t>7.</w:t>
      </w:r>
      <w:r>
        <w:rPr>
          <w:rFonts w:hint="eastAsia"/>
          <w:sz w:val="24"/>
        </w:rPr>
        <w:t>因自身原因作业人员不足，无法按时完成甲方工作任务，为不影响作业工期，甲方有权自行或委托第三方代为执行上述工作，所产生的费用由乙方负责。</w:t>
      </w:r>
    </w:p>
    <w:p>
      <w:pPr>
        <w:spacing w:line="276" w:lineRule="auto"/>
        <w:ind w:firstLine="480" w:firstLineChars="200"/>
        <w:rPr>
          <w:sz w:val="24"/>
        </w:rPr>
      </w:pPr>
      <w:r>
        <w:rPr>
          <w:rFonts w:hint="eastAsia"/>
          <w:sz w:val="24"/>
        </w:rPr>
        <w:t>8</w:t>
      </w:r>
      <w:r>
        <w:rPr>
          <w:sz w:val="24"/>
        </w:rPr>
        <w:t>.</w:t>
      </w:r>
      <w:r>
        <w:rPr>
          <w:rFonts w:hint="eastAsia"/>
          <w:sz w:val="24"/>
        </w:rPr>
        <w:t>过程中违反本协议规定或国家有关法律法规，甲方有权决定单方面终止与乙方之间的项目合同及本协议，而无需承担任何提前解除合同的责任。由此给甲方造成损失的，乙方应给予甲方赔偿且甲方有权向乙方主张项目总金额30%的违约金。</w:t>
      </w:r>
    </w:p>
    <w:p>
      <w:pPr>
        <w:spacing w:line="276" w:lineRule="auto"/>
        <w:ind w:firstLine="480" w:firstLineChars="200"/>
        <w:rPr>
          <w:sz w:val="24"/>
        </w:rPr>
      </w:pPr>
      <w:r>
        <w:rPr>
          <w:sz w:val="24"/>
        </w:rPr>
        <w:t>9.</w:t>
      </w:r>
      <w:r>
        <w:rPr>
          <w:rFonts w:hint="eastAsia"/>
          <w:sz w:val="24"/>
        </w:rPr>
        <w:t>进行职业病诊断、鉴定时，乙方负责处理职业病诊断、鉴定事宜，并如实提供职业病诊断、鉴定所需的劳动者职业史和职业危害接触史等资料。</w:t>
      </w:r>
    </w:p>
    <w:p>
      <w:pPr>
        <w:spacing w:line="276" w:lineRule="auto"/>
        <w:ind w:firstLine="480" w:firstLineChars="200"/>
        <w:rPr>
          <w:sz w:val="24"/>
        </w:rPr>
      </w:pPr>
      <w:r>
        <w:rPr>
          <w:sz w:val="24"/>
        </w:rPr>
        <w:t>10.</w:t>
      </w:r>
      <w:r>
        <w:rPr>
          <w:rFonts w:hint="eastAsia"/>
          <w:sz w:val="24"/>
        </w:rPr>
        <w:t>作业相关的项目资料必须保密，非经甲方书面同意不能向外透露，作业完毕后，应及时退还甲方。</w:t>
      </w:r>
    </w:p>
    <w:p>
      <w:pPr>
        <w:spacing w:line="276" w:lineRule="auto"/>
        <w:ind w:firstLine="480" w:firstLineChars="200"/>
        <w:rPr>
          <w:sz w:val="24"/>
        </w:rPr>
      </w:pPr>
      <w:r>
        <w:rPr>
          <w:rFonts w:hint="eastAsia"/>
          <w:sz w:val="24"/>
        </w:rPr>
        <w:t>1</w:t>
      </w:r>
      <w:r>
        <w:rPr>
          <w:sz w:val="24"/>
        </w:rPr>
        <w:t>1.对项目施工现场的安全生产负直接责任。</w:t>
      </w:r>
    </w:p>
    <w:p>
      <w:pPr>
        <w:spacing w:line="276" w:lineRule="auto"/>
        <w:ind w:firstLine="480" w:firstLineChars="200"/>
        <w:rPr>
          <w:sz w:val="24"/>
        </w:rPr>
      </w:pPr>
      <w:r>
        <w:rPr>
          <w:rFonts w:hint="eastAsia"/>
          <w:sz w:val="24"/>
        </w:rPr>
        <w:t>1</w:t>
      </w:r>
      <w:r>
        <w:rPr>
          <w:sz w:val="24"/>
        </w:rPr>
        <w:t>2.</w:t>
      </w:r>
      <w:r>
        <w:rPr>
          <w:rFonts w:hint="eastAsia"/>
          <w:sz w:val="24"/>
        </w:rPr>
        <w:t xml:space="preserve"> 严格遵守甲乙双方签订的本协议。</w:t>
      </w:r>
    </w:p>
    <w:p>
      <w:pPr>
        <w:spacing w:line="276" w:lineRule="auto"/>
        <w:ind w:firstLine="480" w:firstLineChars="200"/>
        <w:rPr>
          <w:sz w:val="24"/>
        </w:rPr>
      </w:pPr>
      <w:bookmarkStart w:id="87" w:name="_Toc396036411"/>
      <w:bookmarkStart w:id="88" w:name="_Toc384944718"/>
      <w:bookmarkStart w:id="89" w:name="_Toc381911467"/>
      <w:bookmarkStart w:id="90" w:name="_Toc434694364"/>
      <w:bookmarkStart w:id="91" w:name="_Toc389985360"/>
      <w:bookmarkStart w:id="92" w:name="_Toc442022102"/>
      <w:bookmarkStart w:id="93" w:name="_Toc442133372"/>
      <w:bookmarkStart w:id="94" w:name="_Toc396037055"/>
      <w:bookmarkStart w:id="95" w:name="_Toc383301028"/>
      <w:bookmarkStart w:id="96" w:name="_Toc442016143"/>
      <w:bookmarkStart w:id="97" w:name="_Toc451698741"/>
      <w:r>
        <w:rPr>
          <w:sz w:val="24"/>
        </w:rPr>
        <w:t>第三条 安全投入和资金保障</w:t>
      </w:r>
      <w:bookmarkEnd w:id="87"/>
      <w:bookmarkEnd w:id="88"/>
      <w:bookmarkEnd w:id="89"/>
      <w:bookmarkEnd w:id="90"/>
      <w:bookmarkEnd w:id="91"/>
      <w:bookmarkEnd w:id="92"/>
      <w:bookmarkEnd w:id="93"/>
      <w:bookmarkEnd w:id="94"/>
      <w:bookmarkEnd w:id="95"/>
      <w:bookmarkEnd w:id="96"/>
      <w:bookmarkEnd w:id="97"/>
    </w:p>
    <w:p>
      <w:pPr>
        <w:spacing w:line="276" w:lineRule="auto"/>
        <w:ind w:firstLine="480" w:firstLineChars="200"/>
        <w:rPr>
          <w:sz w:val="24"/>
        </w:rPr>
      </w:pPr>
      <w:r>
        <w:rPr>
          <w:sz w:val="24"/>
        </w:rPr>
        <w:t>(一)甲方是项目安全投入的责任主体，负责完善和改进项目安全生产条件的资金保障，向乙方提供保障施工作业所需的安全投入，已包含在甲方支付给乙方的合同款中。</w:t>
      </w:r>
    </w:p>
    <w:p>
      <w:pPr>
        <w:spacing w:line="276" w:lineRule="auto"/>
        <w:ind w:firstLine="480" w:firstLineChars="200"/>
        <w:rPr>
          <w:sz w:val="24"/>
        </w:rPr>
      </w:pPr>
      <w:r>
        <w:rPr>
          <w:sz w:val="24"/>
        </w:rPr>
        <w:t>(二)</w:t>
      </w:r>
      <w:r>
        <w:rPr>
          <w:rFonts w:hint="eastAsia"/>
          <w:sz w:val="24"/>
        </w:rPr>
        <w:t>乙方缴纳的项目合同履约保证金可同时用作风险抵押金，作为安全、环保风险抵押金使用。用于甲方对乙方的安全管理。当乙方发生未履新安全管理责任或者造成安全事故时，甲方可以根据协议扣除部分或全部安全管理风险押金。</w:t>
      </w:r>
    </w:p>
    <w:p>
      <w:pPr>
        <w:spacing w:line="276" w:lineRule="auto"/>
        <w:ind w:firstLine="480" w:firstLineChars="200"/>
        <w:rPr>
          <w:sz w:val="24"/>
        </w:rPr>
      </w:pPr>
      <w:r>
        <w:rPr>
          <w:sz w:val="24"/>
        </w:rPr>
        <w:t>(三)乙方须</w:t>
      </w:r>
      <w:r>
        <w:rPr>
          <w:rFonts w:hint="eastAsia"/>
          <w:sz w:val="24"/>
        </w:rPr>
        <w:t>和参与施工人员签订符合《民法典》要求的用工合同或劳务合同，负责为外包人员购买用工期间的工伤保险或人身意外伤害保险（购买金额不低于100万），并将购买保单复印件交甲方备案。</w:t>
      </w:r>
    </w:p>
    <w:p>
      <w:pPr>
        <w:spacing w:line="276" w:lineRule="auto"/>
        <w:ind w:firstLine="480" w:firstLineChars="200"/>
        <w:rPr>
          <w:sz w:val="24"/>
        </w:rPr>
      </w:pPr>
      <w:r>
        <w:rPr>
          <w:sz w:val="24"/>
        </w:rPr>
        <w:t>(四)乙方应当按照相关法律、法规、规章和标准的有关规定和本协议，保证安全生产投入落实到位、专款专用，不断完善和改进项目现场安全生产条件。甲方监督乙方将各项安全投入落实到位，乙方不落实的由甲方先期垫付。</w:t>
      </w:r>
    </w:p>
    <w:p>
      <w:pPr>
        <w:spacing w:line="276" w:lineRule="auto"/>
        <w:ind w:firstLine="480" w:firstLineChars="200"/>
        <w:rPr>
          <w:sz w:val="24"/>
        </w:rPr>
      </w:pPr>
      <w:bookmarkStart w:id="98" w:name="_Toc396037056"/>
      <w:bookmarkStart w:id="99" w:name="_Toc396036412"/>
      <w:bookmarkStart w:id="100" w:name="_Toc451698742"/>
      <w:bookmarkStart w:id="101" w:name="_Toc383301029"/>
      <w:bookmarkStart w:id="102" w:name="_Toc434694365"/>
      <w:bookmarkStart w:id="103" w:name="_Toc381911468"/>
      <w:bookmarkStart w:id="104" w:name="_Toc384944719"/>
      <w:bookmarkStart w:id="105" w:name="_Toc389985361"/>
      <w:bookmarkStart w:id="106" w:name="_Toc442022103"/>
      <w:bookmarkStart w:id="107" w:name="_Toc442016144"/>
      <w:bookmarkStart w:id="108" w:name="_Toc442133373"/>
      <w:r>
        <w:rPr>
          <w:sz w:val="24"/>
        </w:rPr>
        <w:t>第四条 安全设施和施工条件</w:t>
      </w:r>
      <w:bookmarkEnd w:id="98"/>
      <w:bookmarkEnd w:id="99"/>
      <w:bookmarkEnd w:id="100"/>
      <w:bookmarkEnd w:id="101"/>
      <w:bookmarkEnd w:id="102"/>
      <w:bookmarkEnd w:id="103"/>
      <w:bookmarkEnd w:id="104"/>
      <w:bookmarkEnd w:id="105"/>
      <w:bookmarkEnd w:id="106"/>
      <w:bookmarkEnd w:id="107"/>
      <w:bookmarkEnd w:id="108"/>
    </w:p>
    <w:p>
      <w:pPr>
        <w:spacing w:line="276" w:lineRule="auto"/>
        <w:ind w:firstLine="480" w:firstLineChars="200"/>
        <w:rPr>
          <w:sz w:val="24"/>
        </w:rPr>
      </w:pPr>
      <w:r>
        <w:rPr>
          <w:sz w:val="24"/>
        </w:rPr>
        <w:t xml:space="preserve">(一)甲方应当保证提供给外包项目有关的生产系统安全设施正常运行，保证外包项目具备法律、法规、规章和标准规定的安全生产条件。 </w:t>
      </w:r>
    </w:p>
    <w:p>
      <w:pPr>
        <w:spacing w:line="276" w:lineRule="auto"/>
        <w:ind w:firstLine="480" w:firstLineChars="200"/>
        <w:rPr>
          <w:sz w:val="24"/>
        </w:rPr>
      </w:pPr>
      <w:r>
        <w:rPr>
          <w:sz w:val="24"/>
        </w:rPr>
        <w:t>(二)甲方应当为乙方提供安全生产所必要的施工作业条件。除不可抗力外，甲方未向乙方提供安全生产所必要的施工作业条件，由此给乙方造成有关生产进度、经济等方面损失的，由甲方承担责任。</w:t>
      </w:r>
    </w:p>
    <w:p>
      <w:pPr>
        <w:spacing w:line="276" w:lineRule="auto"/>
        <w:ind w:firstLine="480" w:firstLineChars="200"/>
        <w:rPr>
          <w:sz w:val="24"/>
        </w:rPr>
      </w:pPr>
      <w:r>
        <w:rPr>
          <w:sz w:val="24"/>
        </w:rPr>
        <w:t>(三)甲方应当向乙方提供现有生产系统，以及与项目安全生产相关的勘察、设计、风险评价、检测检验和应急救援等资料，并保证资料的真实、完整和有效；同时，应当告知乙方项目施工作业过程中可能存在的主要危险有害因素，以及在紧急情况下应当采取的应急措施，对项目施工进行书面和现场的技术交底。</w:t>
      </w:r>
    </w:p>
    <w:p>
      <w:pPr>
        <w:spacing w:line="276" w:lineRule="auto"/>
        <w:ind w:firstLine="480" w:firstLineChars="200"/>
        <w:rPr>
          <w:sz w:val="24"/>
        </w:rPr>
      </w:pPr>
      <w:r>
        <w:rPr>
          <w:sz w:val="24"/>
        </w:rPr>
        <w:t>甲方提供乙方图纸资料的日期(包括图纸的绘制时间)、名称和数量清单，技术交底的时间、负责人、参加人员等记录资料，应当在本协议的附件1(《技术交底记录文件》)中予以明确。</w:t>
      </w:r>
    </w:p>
    <w:p>
      <w:pPr>
        <w:spacing w:line="276" w:lineRule="auto"/>
        <w:ind w:firstLine="480" w:firstLineChars="200"/>
        <w:rPr>
          <w:sz w:val="24"/>
        </w:rPr>
      </w:pPr>
      <w:r>
        <w:rPr>
          <w:sz w:val="24"/>
        </w:rPr>
        <w:t>(四)</w:t>
      </w:r>
      <w:r>
        <w:rPr>
          <w:rFonts w:hint="eastAsia"/>
          <w:sz w:val="24"/>
        </w:rPr>
        <w:t>乙方作业前应提交如下材料：</w:t>
      </w:r>
    </w:p>
    <w:p>
      <w:pPr>
        <w:spacing w:line="300" w:lineRule="exact"/>
        <w:ind w:firstLine="480" w:firstLineChars="200"/>
        <w:rPr>
          <w:sz w:val="24"/>
        </w:rPr>
      </w:pPr>
      <w:r>
        <w:rPr>
          <w:rFonts w:hint="eastAsia"/>
          <w:sz w:val="24"/>
        </w:rPr>
        <w:t>1. 提供一份所有作业人员花名册▲</w:t>
      </w:r>
    </w:p>
    <w:p>
      <w:pPr>
        <w:spacing w:line="300" w:lineRule="exact"/>
        <w:ind w:firstLine="480" w:firstLineChars="200"/>
        <w:rPr>
          <w:sz w:val="24"/>
        </w:rPr>
      </w:pPr>
      <w:r>
        <w:rPr>
          <w:rFonts w:hint="eastAsia"/>
          <w:sz w:val="24"/>
        </w:rPr>
        <w:t>2. 提供所有作业人员身份证（复印件）▲</w:t>
      </w:r>
    </w:p>
    <w:p>
      <w:pPr>
        <w:spacing w:line="300" w:lineRule="exact"/>
        <w:ind w:firstLine="480" w:firstLineChars="200"/>
        <w:rPr>
          <w:sz w:val="24"/>
        </w:rPr>
      </w:pPr>
      <w:r>
        <w:rPr>
          <w:rFonts w:hint="eastAsia"/>
          <w:sz w:val="24"/>
        </w:rPr>
        <w:t>3.为每一位作业人员提供一份“健康体检”表（医院体检证明）▲</w:t>
      </w:r>
    </w:p>
    <w:p>
      <w:pPr>
        <w:spacing w:line="300" w:lineRule="exact"/>
        <w:ind w:firstLine="480" w:firstLineChars="200"/>
        <w:rPr>
          <w:sz w:val="24"/>
        </w:rPr>
      </w:pPr>
      <w:r>
        <w:rPr>
          <w:rFonts w:hint="eastAsia"/>
          <w:sz w:val="24"/>
        </w:rPr>
        <w:t>4.项目经理及专职安全员并持证上岗▲</w:t>
      </w:r>
    </w:p>
    <w:p>
      <w:pPr>
        <w:spacing w:line="300" w:lineRule="exact"/>
        <w:ind w:firstLine="480" w:firstLineChars="200"/>
        <w:rPr>
          <w:sz w:val="24"/>
        </w:rPr>
      </w:pPr>
      <w:r>
        <w:rPr>
          <w:rFonts w:hint="eastAsia"/>
          <w:sz w:val="24"/>
        </w:rPr>
        <w:t>5.每一位作业人员的安全规程培训考试，合格后方可上岗▲</w:t>
      </w:r>
    </w:p>
    <w:p>
      <w:pPr>
        <w:spacing w:line="300" w:lineRule="exact"/>
        <w:ind w:firstLine="480" w:firstLineChars="200"/>
        <w:rPr>
          <w:sz w:val="24"/>
        </w:rPr>
      </w:pPr>
      <w:r>
        <w:rPr>
          <w:rFonts w:hint="eastAsia"/>
          <w:sz w:val="24"/>
        </w:rPr>
        <w:t>6.承包单位与每一位员工签订劳动合同（提供复印件）</w:t>
      </w:r>
    </w:p>
    <w:p>
      <w:pPr>
        <w:spacing w:line="300" w:lineRule="exact"/>
        <w:ind w:firstLine="480" w:firstLineChars="200"/>
        <w:rPr>
          <w:sz w:val="24"/>
        </w:rPr>
      </w:pPr>
      <w:r>
        <w:rPr>
          <w:rFonts w:hint="eastAsia"/>
          <w:sz w:val="24"/>
        </w:rPr>
        <w:t>7.为所有作业人员办理工伤保险或意外保险（提供保险凭证）▲</w:t>
      </w:r>
    </w:p>
    <w:p>
      <w:pPr>
        <w:spacing w:line="300" w:lineRule="exact"/>
        <w:ind w:firstLine="480" w:firstLineChars="200"/>
        <w:rPr>
          <w:sz w:val="24"/>
        </w:rPr>
      </w:pPr>
      <w:r>
        <w:rPr>
          <w:rFonts w:hint="eastAsia"/>
          <w:sz w:val="24"/>
        </w:rPr>
        <w:t>8.按规定缴纳安全风险抵押金▲</w:t>
      </w:r>
    </w:p>
    <w:p>
      <w:pPr>
        <w:spacing w:line="300" w:lineRule="exact"/>
        <w:ind w:firstLine="480" w:firstLineChars="200"/>
        <w:rPr>
          <w:sz w:val="24"/>
        </w:rPr>
      </w:pPr>
      <w:r>
        <w:rPr>
          <w:rFonts w:hint="eastAsia"/>
          <w:sz w:val="24"/>
        </w:rPr>
        <w:t>9.提供所有作业人员月度考勤表（进场以后执行）▲</w:t>
      </w:r>
    </w:p>
    <w:p>
      <w:pPr>
        <w:spacing w:line="300" w:lineRule="exact"/>
        <w:ind w:firstLine="480" w:firstLineChars="200"/>
        <w:rPr>
          <w:sz w:val="24"/>
        </w:rPr>
      </w:pPr>
      <w:r>
        <w:rPr>
          <w:rFonts w:hint="eastAsia"/>
          <w:sz w:val="24"/>
        </w:rPr>
        <w:t>10.提供所有作业人员劳动防护用品清单（如：安全帽、工作服、工作鞋、口罩、手套、耳塞、防护眼镜等）▲</w:t>
      </w:r>
    </w:p>
    <w:p>
      <w:pPr>
        <w:spacing w:line="300" w:lineRule="exact"/>
        <w:ind w:firstLine="480" w:firstLineChars="200"/>
        <w:rPr>
          <w:sz w:val="24"/>
        </w:rPr>
      </w:pPr>
      <w:r>
        <w:rPr>
          <w:rFonts w:hint="eastAsia"/>
          <w:sz w:val="24"/>
        </w:rPr>
        <w:t>11.提供每位员工月度安全培训记录及档案（进场以后执行）</w:t>
      </w:r>
    </w:p>
    <w:p>
      <w:pPr>
        <w:spacing w:line="300" w:lineRule="exact"/>
        <w:ind w:firstLine="480" w:firstLineChars="200"/>
        <w:rPr>
          <w:sz w:val="24"/>
        </w:rPr>
      </w:pPr>
      <w:r>
        <w:rPr>
          <w:rFonts w:hint="eastAsia"/>
          <w:sz w:val="24"/>
        </w:rPr>
        <w:t>12.提供安全生产管理办法、安全生产责任制、操作规程▲</w:t>
      </w:r>
    </w:p>
    <w:p>
      <w:pPr>
        <w:spacing w:line="300" w:lineRule="exact"/>
        <w:ind w:firstLine="480" w:firstLineChars="200"/>
        <w:rPr>
          <w:sz w:val="24"/>
        </w:rPr>
      </w:pPr>
      <w:r>
        <w:rPr>
          <w:rFonts w:hint="eastAsia"/>
          <w:sz w:val="24"/>
        </w:rPr>
        <w:t xml:space="preserve">13.提供有效的营业执照、施工资质、安全生产许可证等文件▲ </w:t>
      </w:r>
    </w:p>
    <w:p>
      <w:pPr>
        <w:spacing w:line="300" w:lineRule="exact"/>
        <w:ind w:firstLine="480" w:firstLineChars="200"/>
        <w:rPr>
          <w:sz w:val="24"/>
        </w:rPr>
      </w:pPr>
      <w:r>
        <w:rPr>
          <w:rFonts w:hint="eastAsia"/>
          <w:sz w:val="24"/>
        </w:rPr>
        <w:t>14.项目经理和安全员委托书（承包商单位有效文函）▲</w:t>
      </w:r>
    </w:p>
    <w:p>
      <w:pPr>
        <w:spacing w:line="300" w:lineRule="exact"/>
        <w:ind w:firstLine="480" w:firstLineChars="200"/>
        <w:rPr>
          <w:sz w:val="24"/>
        </w:rPr>
      </w:pPr>
      <w:r>
        <w:rPr>
          <w:rFonts w:hint="eastAsia"/>
          <w:sz w:val="24"/>
        </w:rPr>
        <w:t>15.项目安全管理组织机构图，及安全生产责任制；</w:t>
      </w:r>
    </w:p>
    <w:p>
      <w:pPr>
        <w:spacing w:line="300" w:lineRule="exact"/>
        <w:ind w:firstLine="480" w:firstLineChars="200"/>
        <w:rPr>
          <w:sz w:val="24"/>
        </w:rPr>
      </w:pPr>
      <w:r>
        <w:rPr>
          <w:rFonts w:hint="eastAsia"/>
          <w:sz w:val="24"/>
        </w:rPr>
        <w:t>16.签订外来施工作业人员的安全承诺▲（进场前签定）</w:t>
      </w:r>
    </w:p>
    <w:p>
      <w:pPr>
        <w:spacing w:line="300" w:lineRule="exact"/>
        <w:ind w:firstLine="480" w:firstLineChars="200"/>
        <w:rPr>
          <w:sz w:val="24"/>
        </w:rPr>
      </w:pPr>
      <w:r>
        <w:rPr>
          <w:rFonts w:hint="eastAsia"/>
          <w:sz w:val="24"/>
        </w:rPr>
        <w:t>17.提供现场“应急施救药品”▲(附药品清单)</w:t>
      </w:r>
    </w:p>
    <w:p>
      <w:pPr>
        <w:spacing w:line="300" w:lineRule="exact"/>
        <w:ind w:firstLine="480" w:firstLineChars="200"/>
        <w:rPr>
          <w:sz w:val="24"/>
        </w:rPr>
      </w:pPr>
      <w:r>
        <w:rPr>
          <w:rFonts w:hint="eastAsia"/>
          <w:sz w:val="24"/>
        </w:rPr>
        <w:t>18.施工项目开工申请▲</w:t>
      </w:r>
    </w:p>
    <w:p>
      <w:pPr>
        <w:spacing w:line="300" w:lineRule="exact"/>
        <w:ind w:firstLine="480" w:firstLineChars="200"/>
        <w:rPr>
          <w:sz w:val="24"/>
        </w:rPr>
      </w:pPr>
      <w:r>
        <w:rPr>
          <w:rFonts w:hint="eastAsia"/>
          <w:sz w:val="24"/>
        </w:rPr>
        <w:t>19.提供承包合同、安全协议（复印件）▲</w:t>
      </w:r>
    </w:p>
    <w:p>
      <w:pPr>
        <w:spacing w:line="300" w:lineRule="exact"/>
        <w:ind w:firstLine="480" w:firstLineChars="200"/>
        <w:rPr>
          <w:sz w:val="24"/>
        </w:rPr>
      </w:pPr>
      <w:r>
        <w:rPr>
          <w:rFonts w:hint="eastAsia"/>
          <w:sz w:val="24"/>
        </w:rPr>
        <w:t>20.提供作业工器具清单、合格证</w:t>
      </w:r>
    </w:p>
    <w:p>
      <w:pPr>
        <w:spacing w:line="300" w:lineRule="exact"/>
        <w:ind w:firstLine="480" w:firstLineChars="200"/>
        <w:rPr>
          <w:sz w:val="24"/>
        </w:rPr>
      </w:pPr>
      <w:r>
        <w:rPr>
          <w:rFonts w:hint="eastAsia"/>
          <w:sz w:val="24"/>
        </w:rPr>
        <w:t>21.特殊作业人员清单、特种作业资格证▲</w:t>
      </w:r>
    </w:p>
    <w:p>
      <w:pPr>
        <w:spacing w:line="300" w:lineRule="exact"/>
        <w:ind w:firstLine="480" w:firstLineChars="200"/>
        <w:rPr>
          <w:rFonts w:hint="eastAsia"/>
          <w:sz w:val="24"/>
        </w:rPr>
      </w:pPr>
      <w:r>
        <w:rPr>
          <w:rFonts w:hint="eastAsia"/>
          <w:sz w:val="24"/>
          <w:highlight w:val="yellow"/>
        </w:rPr>
        <w:t>2</w:t>
      </w:r>
      <w:r>
        <w:rPr>
          <w:sz w:val="24"/>
          <w:highlight w:val="yellow"/>
        </w:rPr>
        <w:t>2</w:t>
      </w:r>
      <w:r>
        <w:rPr>
          <w:rFonts w:hint="eastAsia"/>
          <w:sz w:val="24"/>
          <w:highlight w:val="yellow"/>
        </w:rPr>
        <w:t>．施工队人员必需至少有一人持安全员资质证书、方能施工。</w:t>
      </w:r>
      <w:r>
        <w:rPr>
          <w:rFonts w:hint="eastAsia"/>
          <w:sz w:val="24"/>
        </w:rPr>
        <w:t>▲</w:t>
      </w:r>
    </w:p>
    <w:p>
      <w:pPr>
        <w:spacing w:line="300" w:lineRule="exact"/>
        <w:ind w:firstLine="480" w:firstLineChars="200"/>
        <w:rPr>
          <w:rFonts w:hint="default"/>
          <w:sz w:val="24"/>
          <w:highlight w:val="yellow"/>
          <w:lang w:val="en-US" w:eastAsia="zh-CN"/>
        </w:rPr>
      </w:pPr>
      <w:r>
        <w:rPr>
          <w:rFonts w:hint="eastAsia"/>
          <w:sz w:val="24"/>
          <w:highlight w:val="yellow"/>
          <w:lang w:val="en-US" w:eastAsia="zh-CN"/>
        </w:rPr>
        <w:t>23乙方自行配备施工场地围挡</w:t>
      </w:r>
    </w:p>
    <w:p>
      <w:pPr>
        <w:spacing w:line="300" w:lineRule="exact"/>
        <w:ind w:firstLine="480" w:firstLineChars="200"/>
        <w:rPr>
          <w:sz w:val="24"/>
        </w:rPr>
      </w:pPr>
      <w:r>
        <w:rPr>
          <w:rFonts w:hint="eastAsia"/>
          <w:sz w:val="24"/>
        </w:rPr>
        <w:t>以上资料作为外包项目承包商进入招标人作业的安全管理软件资料。有注▲的为必须合格项目，否则不具备入厂作业。</w:t>
      </w:r>
    </w:p>
    <w:p>
      <w:pPr>
        <w:spacing w:line="276" w:lineRule="auto"/>
        <w:ind w:firstLine="480" w:firstLineChars="200"/>
        <w:rPr>
          <w:sz w:val="24"/>
        </w:rPr>
      </w:pPr>
      <w:r>
        <w:rPr>
          <w:sz w:val="24"/>
        </w:rPr>
        <w:t>（五）乙方应当制定项目施工方案。包括：施工负责人、施工步骤（实施的具体内容）、施工进度，明确作业过程可能发生的风险分析及防控措施和应急处置方案，经甲方审核批准后，须对作业人员进行三级安全教育及危险、有危害因素告知，明确告知作业过程的各种风险及防控措施，提升作业人员的安全意识及应急处理能力。特种作业人员及特种设备作业人员必须具备相应合格有效的特种作业资质。现场公示告知风险分析及防控措施和应急处置方案。</w:t>
      </w:r>
    </w:p>
    <w:p>
      <w:pPr>
        <w:spacing w:line="276" w:lineRule="auto"/>
        <w:ind w:firstLine="480" w:firstLineChars="200"/>
        <w:rPr>
          <w:sz w:val="24"/>
        </w:rPr>
      </w:pPr>
      <w:r>
        <w:rPr>
          <w:rFonts w:hint="eastAsia"/>
          <w:sz w:val="24"/>
        </w:rPr>
        <w:t>注意：不得安排未经上岗前职业健康检查的人员从事接触职业病危害的作业，不得安排有职业禁忌的人员从事其所禁忌的作业。</w:t>
      </w:r>
    </w:p>
    <w:p>
      <w:pPr>
        <w:spacing w:line="276" w:lineRule="auto"/>
        <w:ind w:firstLine="480" w:firstLineChars="200"/>
        <w:rPr>
          <w:sz w:val="24"/>
        </w:rPr>
      </w:pPr>
      <w:r>
        <w:rPr>
          <w:sz w:val="24"/>
        </w:rPr>
        <w:t>（六）</w:t>
      </w:r>
      <w:r>
        <w:rPr>
          <w:rFonts w:hint="eastAsia"/>
          <w:sz w:val="24"/>
        </w:rPr>
        <w:t>乙方在作业时必须履行好如下工作要求：</w:t>
      </w:r>
    </w:p>
    <w:p>
      <w:pPr>
        <w:spacing w:line="420" w:lineRule="exact"/>
        <w:ind w:firstLine="480" w:firstLineChars="200"/>
        <w:rPr>
          <w:sz w:val="24"/>
        </w:rPr>
      </w:pPr>
      <w:r>
        <w:rPr>
          <w:rFonts w:hint="eastAsia"/>
          <w:sz w:val="24"/>
        </w:rPr>
        <w:t>1.乙方携带的工具、设备设施必须符合国家法律法规、规范等安全要求（如室外电箱为防水型、主电缆要有火线、零线和地线之分、接地线为黄绿相间颜色、箱门要有跨接线、符合一机一闸一漏保箱门能正常关门和上锁管理、禁止使用无生产合格证的花线、各类电缆禁止出现破损、砂轮机要有防护罩、电焊机必须完好无损，电线进出端禁止裸露，焊机各类线禁止使用铝线，地线只能搭接在焊点附近，做到双线到焊件上，禁止将防护栏杆和固定钢构等作为地线、切割机必须有可靠的防护罩和接地等措施）</w:t>
      </w:r>
    </w:p>
    <w:p>
      <w:pPr>
        <w:spacing w:line="420" w:lineRule="exact"/>
        <w:ind w:firstLine="480" w:firstLineChars="200"/>
        <w:rPr>
          <w:sz w:val="24"/>
        </w:rPr>
      </w:pPr>
      <w:r>
        <w:rPr>
          <w:rFonts w:hint="eastAsia"/>
          <w:sz w:val="24"/>
        </w:rPr>
        <w:t>2.作业时如需拉设警戒带的，提前采购好。</w:t>
      </w:r>
    </w:p>
    <w:p>
      <w:pPr>
        <w:spacing w:line="420" w:lineRule="exact"/>
        <w:ind w:firstLine="480" w:firstLineChars="200"/>
        <w:rPr>
          <w:sz w:val="24"/>
        </w:rPr>
      </w:pPr>
      <w:r>
        <w:rPr>
          <w:rFonts w:hint="eastAsia"/>
          <w:sz w:val="24"/>
        </w:rPr>
        <w:t>3.乙方每日作业前，必须参加甲方组织的班前会（安全技术交底）活动后方可安排作业。</w:t>
      </w:r>
    </w:p>
    <w:p>
      <w:pPr>
        <w:spacing w:line="420" w:lineRule="exact"/>
        <w:ind w:firstLine="480" w:firstLineChars="200"/>
        <w:rPr>
          <w:sz w:val="24"/>
        </w:rPr>
      </w:pPr>
      <w:r>
        <w:rPr>
          <w:rFonts w:hint="eastAsia"/>
          <w:sz w:val="24"/>
        </w:rPr>
        <w:t>4.所有人员进入甲方区域前，应佩戴好安全帽，统一穿前、后有反光条的工装（有公司简称）或穿反光背心，衣冠要整齐，反光背心前、后需印有乙方公司简称，如“广西一安</w:t>
      </w:r>
      <w:r>
        <w:rPr>
          <w:sz w:val="24"/>
        </w:rPr>
        <w:t>”</w:t>
      </w:r>
      <w:r>
        <w:rPr>
          <w:rFonts w:hint="eastAsia"/>
          <w:sz w:val="24"/>
        </w:rPr>
        <w:t>、“中国建筑”等明显字眼。乙方入厂作业前应准备好2-4件红色反光衣，前、后印刷有“安全监护人”字样，供专职安全监护人穿用。</w:t>
      </w:r>
    </w:p>
    <w:p>
      <w:pPr>
        <w:spacing w:line="420" w:lineRule="exact"/>
        <w:ind w:firstLine="480" w:firstLineChars="200"/>
        <w:rPr>
          <w:sz w:val="24"/>
        </w:rPr>
      </w:pPr>
      <w:r>
        <w:rPr>
          <w:rFonts w:hint="eastAsia"/>
          <w:sz w:val="24"/>
        </w:rPr>
        <w:t>5.乙方安排进入甲方区域的工程、运输车辆必须按照甲方要求配置爆闪灯、前后录像仪、倒车语音提示、前后影像、倒车雷达、示宽灯、车辆左右和后侧张贴反光条等。</w:t>
      </w:r>
    </w:p>
    <w:p>
      <w:pPr>
        <w:spacing w:line="420" w:lineRule="exact"/>
        <w:ind w:firstLine="480" w:firstLineChars="200"/>
        <w:rPr>
          <w:sz w:val="24"/>
        </w:rPr>
      </w:pPr>
      <w:r>
        <w:rPr>
          <w:rFonts w:hint="eastAsia"/>
          <w:sz w:val="24"/>
        </w:rPr>
        <w:t>6.乙方禁止私自在甲方区域接施工电箱主电源，由乙方向甲方申请临时用电，甲方派人接电，电气作业人员必须穿绝缘鞋。</w:t>
      </w:r>
    </w:p>
    <w:p>
      <w:pPr>
        <w:spacing w:line="420" w:lineRule="exact"/>
        <w:ind w:firstLine="480" w:firstLineChars="200"/>
        <w:rPr>
          <w:sz w:val="24"/>
        </w:rPr>
      </w:pPr>
      <w:r>
        <w:rPr>
          <w:rFonts w:hint="eastAsia"/>
          <w:sz w:val="24"/>
        </w:rPr>
        <w:t>7.乙方人员从事气割作业，除穿戴最基本的安全帽和反光背心外，必须戴难燃手套和墨镜。</w:t>
      </w:r>
    </w:p>
    <w:p>
      <w:pPr>
        <w:spacing w:line="420" w:lineRule="exact"/>
        <w:ind w:firstLine="480" w:firstLineChars="200"/>
        <w:rPr>
          <w:sz w:val="24"/>
        </w:rPr>
      </w:pPr>
      <w:r>
        <w:rPr>
          <w:rFonts w:hint="eastAsia"/>
          <w:sz w:val="24"/>
        </w:rPr>
        <w:t>8.乙方人员从事焊接作业，必须佩戴安全帽、绝缘鞋、电焊手套、电焊面罩，作业过程中禁止穿易燃的反光衣等，作业完毕后及时穿反光衣。</w:t>
      </w:r>
    </w:p>
    <w:p>
      <w:pPr>
        <w:spacing w:line="420" w:lineRule="exact"/>
        <w:ind w:firstLine="480" w:firstLineChars="200"/>
        <w:rPr>
          <w:sz w:val="24"/>
        </w:rPr>
      </w:pPr>
      <w:r>
        <w:rPr>
          <w:rFonts w:hint="eastAsia"/>
          <w:sz w:val="24"/>
        </w:rPr>
        <w:t>9.从事高处、临边作业必须佩戴安全带并挂好，没有条件要创造条件。搭设的脚手架必须符合规范等安全要求，原则上禁止使用竹、木头等易断材质作为搭设材料（锅炉炉膛除外），脚手架上的踏板必须铺满并固定好。</w:t>
      </w:r>
    </w:p>
    <w:p>
      <w:pPr>
        <w:spacing w:line="420" w:lineRule="exact"/>
        <w:ind w:firstLine="480" w:firstLineChars="200"/>
        <w:rPr>
          <w:sz w:val="24"/>
        </w:rPr>
      </w:pPr>
      <w:r>
        <w:rPr>
          <w:rFonts w:hint="eastAsia"/>
          <w:sz w:val="24"/>
        </w:rPr>
        <w:t>10.从事吊装、有限空间、高处、临时用电、动火作业等危险作业时，必须按照甲方要求开展作业许可，原则禁止从事交叉作业。提前准备好作业人员相关信息报备甲方备案成功后方可安排从事危险作业。从事吊装作业禁止用手扶吊件，如有需要必须使用专用工具（如绳、专用工具等）。</w:t>
      </w:r>
    </w:p>
    <w:p>
      <w:pPr>
        <w:spacing w:line="420" w:lineRule="exact"/>
        <w:ind w:firstLine="480" w:firstLineChars="200"/>
        <w:rPr>
          <w:sz w:val="24"/>
        </w:rPr>
      </w:pPr>
      <w:r>
        <w:rPr>
          <w:rFonts w:hint="eastAsia"/>
          <w:sz w:val="24"/>
        </w:rPr>
        <w:t>11.氧气乙炔瓶的管理，同一地点不允许存放超过5瓶及以上，作业时氧气乙炔两者应相距5米以上，气瓶距动火点相距10米以上，同时做好防晒、防回火和防倾倒措施，气管、压力表等要符合国标要求。</w:t>
      </w:r>
    </w:p>
    <w:p>
      <w:pPr>
        <w:spacing w:line="420" w:lineRule="exact"/>
        <w:ind w:firstLine="480" w:firstLineChars="200"/>
        <w:rPr>
          <w:sz w:val="24"/>
        </w:rPr>
      </w:pPr>
      <w:r>
        <w:rPr>
          <w:rFonts w:hint="eastAsia"/>
          <w:sz w:val="24"/>
        </w:rPr>
        <w:t>12.砂轮机、切割、敲击、风炮机等作业必须佩戴防冲击眼镜。</w:t>
      </w:r>
    </w:p>
    <w:p>
      <w:pPr>
        <w:spacing w:line="420" w:lineRule="exact"/>
        <w:ind w:firstLine="480" w:firstLineChars="200"/>
        <w:rPr>
          <w:sz w:val="24"/>
        </w:rPr>
      </w:pPr>
      <w:r>
        <w:rPr>
          <w:rFonts w:hint="eastAsia"/>
          <w:sz w:val="24"/>
        </w:rPr>
        <w:t>13.原则上禁止开展高处抛物作业，上下梯子禁止手拿工具或其它物品。</w:t>
      </w:r>
    </w:p>
    <w:p>
      <w:pPr>
        <w:spacing w:line="420" w:lineRule="exact"/>
        <w:ind w:firstLine="480" w:firstLineChars="200"/>
        <w:rPr>
          <w:sz w:val="24"/>
        </w:rPr>
      </w:pPr>
      <w:r>
        <w:rPr>
          <w:rFonts w:hint="eastAsia"/>
          <w:sz w:val="24"/>
        </w:rPr>
        <w:t>14.现场施工用电线横跨人行通道要求悬挂高度2米以上（悬挂点必须做好绝缘措施）或做好警戒隔离措施。</w:t>
      </w:r>
    </w:p>
    <w:p>
      <w:pPr>
        <w:spacing w:line="420" w:lineRule="exact"/>
        <w:ind w:firstLine="480" w:firstLineChars="200"/>
        <w:rPr>
          <w:sz w:val="24"/>
        </w:rPr>
      </w:pPr>
      <w:r>
        <w:rPr>
          <w:rFonts w:hint="eastAsia"/>
          <w:sz w:val="24"/>
        </w:rPr>
        <w:t>15.乙方须为作业人员统一配发符合国家或行业标准的劳动防护用品，并监督按照规则标准，正确佩戴、使用。乙方负责其工作人员按标准佩戴、使用劳动防护用品。除电焊、电工作业要求穿绝缘鞋外，其他人员进入施工现场禁止穿拖鞋、凉鞋、高跟鞋，应选择与工种相适应的鞋子，如存在高能量物体冲击砸伤足部的危险作业应穿保护足趾安全鞋、存在锐利物的作业场所应穿防刺穿鞋、涉及酸、碱、化学药品等作业应穿耐化学品的工业用橡胶靴或模压塑料靴。具体详见《GBT 29510 个体防护装备配备基本要求》。</w:t>
      </w:r>
    </w:p>
    <w:p>
      <w:pPr>
        <w:spacing w:line="420" w:lineRule="exact"/>
        <w:ind w:firstLine="480" w:firstLineChars="200"/>
        <w:rPr>
          <w:sz w:val="24"/>
        </w:rPr>
      </w:pPr>
      <w:r>
        <w:rPr>
          <w:rFonts w:hint="eastAsia"/>
          <w:sz w:val="24"/>
        </w:rPr>
        <w:t>16.基坑开挖和物料堆放必须符合规范要求，防止出现坍塌事件。</w:t>
      </w:r>
    </w:p>
    <w:p>
      <w:pPr>
        <w:spacing w:line="420" w:lineRule="exact"/>
        <w:ind w:firstLine="480" w:firstLineChars="200"/>
        <w:rPr>
          <w:sz w:val="24"/>
        </w:rPr>
      </w:pPr>
      <w:r>
        <w:rPr>
          <w:rFonts w:hint="eastAsia"/>
          <w:sz w:val="24"/>
        </w:rPr>
        <w:t>17.凡未经确认的线路、管道、容器一律视为有电、有压力、正在运行。不得挪用或者擅自拆除、停用消防设施、器材，不得埋压圈占、遮挡消防栓、不得占用防火间距，不得占用、堵塞、封闭疏散通道、安全出口与消防车通道。</w:t>
      </w:r>
    </w:p>
    <w:p>
      <w:pPr>
        <w:spacing w:line="420" w:lineRule="exact"/>
        <w:ind w:firstLine="480" w:firstLineChars="200"/>
        <w:rPr>
          <w:sz w:val="24"/>
        </w:rPr>
      </w:pPr>
      <w:r>
        <w:rPr>
          <w:rFonts w:hint="eastAsia"/>
          <w:sz w:val="24"/>
        </w:rPr>
        <w:t>18.人员在厂区行走时，原则上只允许行走人行通道、斑马线和甲方指定的区域，禁止跨越隔离栏，乱走、乱跑，不得擅自进入与作业无关的区域。</w:t>
      </w:r>
    </w:p>
    <w:p>
      <w:pPr>
        <w:spacing w:line="420" w:lineRule="exact"/>
        <w:ind w:firstLine="480" w:firstLineChars="200"/>
        <w:rPr>
          <w:sz w:val="24"/>
        </w:rPr>
      </w:pPr>
      <w:r>
        <w:rPr>
          <w:rFonts w:hint="eastAsia"/>
          <w:sz w:val="24"/>
        </w:rPr>
        <w:t>19.乙方要按规定的路线进出，不得擅自进入与作业无关的区域。乙方完成当日作业后应做到人走场地清，确保安全文明作业。作业人员原则上必须穿长裤（涉水作业和仓储搬运等特定作业做好其它安全措施除外），禁止裸体作业。</w:t>
      </w:r>
    </w:p>
    <w:p>
      <w:pPr>
        <w:spacing w:line="420" w:lineRule="exact"/>
        <w:ind w:firstLine="480" w:firstLineChars="200"/>
        <w:rPr>
          <w:sz w:val="24"/>
        </w:rPr>
      </w:pPr>
      <w:r>
        <w:rPr>
          <w:rFonts w:hint="eastAsia"/>
          <w:sz w:val="24"/>
        </w:rPr>
        <w:t>20.乙方施工（安装）区域的施工（安装）设备、临时用电设施、脚手架、出入通道口、楼梯口、危险有害气体或液体存放处等危险部位，应设置明显的安全警示标志、围栏，危险警示标志、围栏符合国家标准。</w:t>
      </w:r>
    </w:p>
    <w:p>
      <w:pPr>
        <w:spacing w:line="420" w:lineRule="exact"/>
        <w:ind w:firstLine="480" w:firstLineChars="200"/>
        <w:rPr>
          <w:sz w:val="24"/>
        </w:rPr>
      </w:pPr>
      <w:r>
        <w:rPr>
          <w:rFonts w:hint="eastAsia"/>
          <w:sz w:val="24"/>
        </w:rPr>
        <w:t>21.乙方所用工具、材料、备品备件应码放平稳，不得存在有倾翻、滚动、坠落和其它危险隐患。</w:t>
      </w:r>
    </w:p>
    <w:p>
      <w:pPr>
        <w:spacing w:line="420" w:lineRule="exact"/>
        <w:ind w:firstLine="480" w:firstLineChars="200"/>
        <w:rPr>
          <w:sz w:val="24"/>
        </w:rPr>
      </w:pPr>
      <w:r>
        <w:rPr>
          <w:rFonts w:hint="eastAsia"/>
          <w:sz w:val="24"/>
        </w:rPr>
        <w:t>22.乙方缴纳的履约保证金同时作为安全、环保风险抵押金使用，乙方发生事故罚款时，履约保证金不足，可从合同金额中扣除。项目验收结束且确认乙方无违规、事故后，甲方无息返还乙方风险抵押金。若乙方发生安全事故或违规，甲方根据事故或违规考核情况，按本协议第二条扣罚部分或全部风险抵押金。</w:t>
      </w:r>
    </w:p>
    <w:p>
      <w:pPr>
        <w:spacing w:line="420" w:lineRule="exact"/>
        <w:ind w:firstLine="480" w:firstLineChars="200"/>
        <w:rPr>
          <w:sz w:val="24"/>
        </w:rPr>
      </w:pPr>
      <w:r>
        <w:rPr>
          <w:rFonts w:hint="eastAsia"/>
          <w:sz w:val="24"/>
        </w:rPr>
        <w:t>23.乙方作业现场发生事故的，应立即报告监理和甲方，</w:t>
      </w:r>
      <w:r>
        <w:rPr>
          <w:sz w:val="24"/>
        </w:rPr>
        <w:t>乙方应按《生产安全事故报告和调查处理条例》</w:t>
      </w:r>
      <w:r>
        <w:rPr>
          <w:rFonts w:hint="eastAsia"/>
          <w:sz w:val="24"/>
        </w:rPr>
        <w:t>等法律、法规、规章的规定报告，并按照专项应急预案或者应急处置方案立即开展事故救援</w:t>
      </w:r>
      <w:r>
        <w:rPr>
          <w:sz w:val="24"/>
        </w:rPr>
        <w:t>。</w:t>
      </w:r>
    </w:p>
    <w:p>
      <w:pPr>
        <w:spacing w:line="420" w:lineRule="exact"/>
        <w:ind w:firstLine="480" w:firstLineChars="200"/>
        <w:rPr>
          <w:sz w:val="24"/>
        </w:rPr>
      </w:pPr>
      <w:r>
        <w:rPr>
          <w:rFonts w:hint="eastAsia"/>
          <w:sz w:val="24"/>
        </w:rPr>
        <w:t>24.乙方不得随意更换项目关键人员，关键人员离开现场应提前告知甲方，并办理相关审批手续。</w:t>
      </w:r>
    </w:p>
    <w:p>
      <w:pPr>
        <w:spacing w:line="420" w:lineRule="exact"/>
        <w:ind w:firstLine="480" w:firstLineChars="200"/>
        <w:rPr>
          <w:sz w:val="24"/>
        </w:rPr>
      </w:pPr>
      <w:r>
        <w:rPr>
          <w:rFonts w:hint="eastAsia"/>
          <w:sz w:val="24"/>
        </w:rPr>
        <w:t>25.作业现场暂时停工的，乙方须做好现场安全防护工作。</w:t>
      </w:r>
    </w:p>
    <w:p>
      <w:pPr>
        <w:spacing w:line="420" w:lineRule="exact"/>
        <w:ind w:firstLine="480" w:firstLineChars="200"/>
        <w:rPr>
          <w:sz w:val="24"/>
        </w:rPr>
      </w:pPr>
      <w:r>
        <w:rPr>
          <w:rFonts w:hint="eastAsia"/>
          <w:sz w:val="24"/>
        </w:rPr>
        <w:t>26.</w:t>
      </w:r>
      <w:r>
        <w:rPr>
          <w:rFonts w:hint="eastAsia"/>
          <w:bCs/>
          <w:sz w:val="24"/>
        </w:rPr>
        <w:t>乙方在施工前，</w:t>
      </w:r>
      <w:r>
        <w:rPr>
          <w:bCs/>
          <w:sz w:val="24"/>
        </w:rPr>
        <w:t>须</w:t>
      </w:r>
      <w:r>
        <w:rPr>
          <w:rFonts w:hint="eastAsia"/>
          <w:bCs/>
          <w:sz w:val="24"/>
        </w:rPr>
        <w:t>提前为施工人员办理好出入卡、门禁卡等，配合甲方做好治安及文明出入工作。乙方人员每日到甲方区域作业前应主动与甲方对接人员报告经同意后方可开展作业，当日作业结束后，应主动向甲方对接人报备当日作业结束并安全离开作业区域。</w:t>
      </w:r>
    </w:p>
    <w:p>
      <w:pPr>
        <w:spacing w:line="420" w:lineRule="exact"/>
        <w:ind w:firstLine="480" w:firstLineChars="200"/>
        <w:rPr>
          <w:sz w:val="24"/>
        </w:rPr>
      </w:pPr>
      <w:r>
        <w:rPr>
          <w:rFonts w:hint="eastAsia"/>
          <w:sz w:val="24"/>
        </w:rPr>
        <w:t>27.乙方到甲方开展的施工项目，项目各施工小组（点）人数达3-7人的要设1名现场负责人，7人以上共同作业或从事危险作业的要设1名专职安全监护人，监护人专门负责小组（点）施工安全监护。施工方</w:t>
      </w:r>
      <w:r>
        <w:rPr>
          <w:sz w:val="24"/>
        </w:rPr>
        <w:t>作业人数大于或等于</w:t>
      </w:r>
      <w:r>
        <w:rPr>
          <w:rFonts w:hint="eastAsia"/>
          <w:sz w:val="24"/>
        </w:rPr>
        <w:t>7人</w:t>
      </w:r>
      <w:r>
        <w:rPr>
          <w:sz w:val="24"/>
        </w:rPr>
        <w:t>的</w:t>
      </w:r>
      <w:r>
        <w:rPr>
          <w:rFonts w:hint="eastAsia"/>
          <w:sz w:val="24"/>
        </w:rPr>
        <w:t>必须</w:t>
      </w:r>
      <w:r>
        <w:rPr>
          <w:sz w:val="24"/>
        </w:rPr>
        <w:t>要配置专职</w:t>
      </w:r>
      <w:r>
        <w:rPr>
          <w:rFonts w:hint="eastAsia"/>
          <w:sz w:val="24"/>
        </w:rPr>
        <w:t>监护人。</w:t>
      </w:r>
    </w:p>
    <w:p>
      <w:pPr>
        <w:spacing w:line="420" w:lineRule="exact"/>
        <w:ind w:firstLine="480" w:firstLineChars="200"/>
        <w:rPr>
          <w:sz w:val="24"/>
        </w:rPr>
      </w:pPr>
      <w:r>
        <w:rPr>
          <w:rFonts w:hint="eastAsia"/>
          <w:sz w:val="24"/>
        </w:rPr>
        <w:t>28.</w:t>
      </w:r>
      <w:r>
        <w:rPr>
          <w:sz w:val="24"/>
        </w:rPr>
        <w:t>专职</w:t>
      </w:r>
      <w:r>
        <w:rPr>
          <w:rFonts w:hint="eastAsia"/>
          <w:sz w:val="24"/>
        </w:rPr>
        <w:t>监护人</w:t>
      </w:r>
      <w:r>
        <w:rPr>
          <w:sz w:val="24"/>
        </w:rPr>
        <w:t>禁止参与任何作业</w:t>
      </w:r>
      <w:r>
        <w:rPr>
          <w:rFonts w:hint="eastAsia"/>
          <w:sz w:val="24"/>
        </w:rPr>
        <w:t>活动</w:t>
      </w:r>
      <w:r>
        <w:rPr>
          <w:sz w:val="24"/>
        </w:rPr>
        <w:t>，主要履行现场安全监</w:t>
      </w:r>
      <w:r>
        <w:rPr>
          <w:rFonts w:hint="eastAsia"/>
          <w:sz w:val="24"/>
        </w:rPr>
        <w:t>护</w:t>
      </w:r>
      <w:r>
        <w:rPr>
          <w:sz w:val="24"/>
        </w:rPr>
        <w:t>职责</w:t>
      </w:r>
      <w:r>
        <w:rPr>
          <w:rFonts w:hint="eastAsia"/>
          <w:sz w:val="24"/>
        </w:rPr>
        <w:t>,专职监护人必须穿专用红色“安全监护人”反光背心</w:t>
      </w:r>
      <w:r>
        <w:rPr>
          <w:sz w:val="24"/>
        </w:rPr>
        <w:t>。</w:t>
      </w:r>
    </w:p>
    <w:p>
      <w:pPr>
        <w:spacing w:line="420" w:lineRule="exact"/>
        <w:ind w:firstLine="480" w:firstLineChars="200"/>
        <w:rPr>
          <w:sz w:val="24"/>
        </w:rPr>
      </w:pPr>
      <w:r>
        <w:rPr>
          <w:rFonts w:hint="eastAsia"/>
          <w:sz w:val="24"/>
        </w:rPr>
        <w:t>29.</w:t>
      </w:r>
      <w:r>
        <w:rPr>
          <w:rFonts w:hint="eastAsia"/>
          <w:bCs/>
          <w:sz w:val="24"/>
        </w:rPr>
        <w:t>乙方必须设置安全管理员及卫生专员，每日负责做好作业区域内的安全、文明施工工作，做到有轮必有罩、有轴必有套、梯台必有栏、井沟必有盖及工完场清等，营造良好的安全、文明工作环境。</w:t>
      </w:r>
    </w:p>
    <w:p>
      <w:pPr>
        <w:spacing w:line="420" w:lineRule="exact"/>
        <w:ind w:firstLine="480" w:firstLineChars="200"/>
        <w:rPr>
          <w:sz w:val="24"/>
        </w:rPr>
      </w:pPr>
      <w:r>
        <w:rPr>
          <w:rFonts w:hint="eastAsia"/>
          <w:sz w:val="24"/>
        </w:rPr>
        <w:t>30.其它法律、法规、标准、规范、地方文件等要求的事项。</w:t>
      </w:r>
    </w:p>
    <w:p>
      <w:pPr>
        <w:spacing w:line="276" w:lineRule="auto"/>
        <w:ind w:firstLine="480" w:firstLineChars="200"/>
        <w:rPr>
          <w:sz w:val="24"/>
        </w:rPr>
      </w:pPr>
      <w:bookmarkStart w:id="109" w:name="_Toc434694366"/>
      <w:bookmarkStart w:id="110" w:name="_Toc396036413"/>
      <w:bookmarkStart w:id="111" w:name="_Toc451698743"/>
      <w:bookmarkStart w:id="112" w:name="_Toc396037057"/>
      <w:bookmarkStart w:id="113" w:name="_Toc383301030"/>
      <w:bookmarkStart w:id="114" w:name="_Toc384944720"/>
      <w:bookmarkStart w:id="115" w:name="_Toc389985362"/>
      <w:bookmarkStart w:id="116" w:name="_Toc442022104"/>
      <w:bookmarkStart w:id="117" w:name="_Toc381911469"/>
      <w:bookmarkStart w:id="118" w:name="_Toc442133374"/>
      <w:bookmarkStart w:id="119" w:name="_Toc442016145"/>
      <w:bookmarkStart w:id="120" w:name="_Hlk132406554"/>
      <w:r>
        <w:rPr>
          <w:sz w:val="24"/>
        </w:rPr>
        <w:t>第五条 隐患排查与治理</w:t>
      </w:r>
      <w:bookmarkEnd w:id="109"/>
      <w:bookmarkEnd w:id="110"/>
      <w:bookmarkEnd w:id="111"/>
      <w:bookmarkEnd w:id="112"/>
      <w:bookmarkEnd w:id="113"/>
      <w:bookmarkEnd w:id="114"/>
      <w:bookmarkEnd w:id="115"/>
      <w:bookmarkEnd w:id="116"/>
      <w:bookmarkEnd w:id="117"/>
      <w:bookmarkEnd w:id="118"/>
      <w:bookmarkEnd w:id="119"/>
    </w:p>
    <w:p>
      <w:pPr>
        <w:spacing w:line="276" w:lineRule="auto"/>
        <w:ind w:firstLine="480" w:firstLineChars="200"/>
        <w:rPr>
          <w:sz w:val="24"/>
        </w:rPr>
      </w:pPr>
      <w:r>
        <w:rPr>
          <w:sz w:val="24"/>
        </w:rPr>
        <w:t>（一）甲方应当建立健全事故隐患排查治理和建档、监控等项制度，对项目现场进行隐患排查并督促乙方整改，定期对隐患排查治理情况进行统计分析与报告。</w:t>
      </w:r>
    </w:p>
    <w:p>
      <w:pPr>
        <w:spacing w:line="276" w:lineRule="auto"/>
        <w:ind w:firstLine="480" w:firstLineChars="200"/>
        <w:rPr>
          <w:sz w:val="24"/>
        </w:rPr>
      </w:pPr>
      <w:r>
        <w:rPr>
          <w:sz w:val="24"/>
        </w:rPr>
        <w:t>(二)</w:t>
      </w:r>
      <w:r>
        <w:rPr>
          <w:rFonts w:hint="eastAsia"/>
          <w:sz w:val="24"/>
        </w:rPr>
        <w:t>乙方应组织相关单位及外包单位对其所从事的作业活动开展危险源辨识工作。</w:t>
      </w:r>
    </w:p>
    <w:p>
      <w:pPr>
        <w:spacing w:line="276" w:lineRule="auto"/>
        <w:ind w:firstLine="480" w:firstLineChars="200"/>
        <w:rPr>
          <w:sz w:val="24"/>
        </w:rPr>
      </w:pPr>
      <w:r>
        <w:rPr>
          <w:sz w:val="24"/>
        </w:rPr>
        <w:t>(三)乙方应当定期排查并及时治理项目作业范围内的事故隐患（包括甲方人员排查及要求整改的事故隐患），建立台账，做好相关记录，并及时向甲方报告。</w:t>
      </w:r>
    </w:p>
    <w:p>
      <w:pPr>
        <w:spacing w:line="276" w:lineRule="auto"/>
        <w:ind w:firstLine="480" w:firstLineChars="200"/>
        <w:rPr>
          <w:sz w:val="24"/>
        </w:rPr>
      </w:pPr>
      <w:r>
        <w:rPr>
          <w:sz w:val="24"/>
        </w:rPr>
        <w:t>(</w:t>
      </w:r>
      <w:r>
        <w:rPr>
          <w:rFonts w:hint="eastAsia"/>
          <w:sz w:val="24"/>
        </w:rPr>
        <w:t>四</w:t>
      </w:r>
      <w:r>
        <w:rPr>
          <w:sz w:val="24"/>
        </w:rPr>
        <w:t>)乙方在项目作业范围内发现重大事故隐患后不能立即治理的，应当采取必要的防范措施，并及时书面报告甲方协商解决，消除事故隐患。</w:t>
      </w:r>
    </w:p>
    <w:p>
      <w:pPr>
        <w:spacing w:line="276" w:lineRule="auto"/>
        <w:ind w:firstLine="480" w:firstLineChars="200"/>
        <w:rPr>
          <w:sz w:val="24"/>
        </w:rPr>
      </w:pPr>
      <w:bookmarkStart w:id="121" w:name="_Toc451698744"/>
      <w:bookmarkStart w:id="122" w:name="_Toc442022105"/>
      <w:bookmarkStart w:id="123" w:name="_Toc434694367"/>
      <w:bookmarkStart w:id="124" w:name="_Toc383301031"/>
      <w:bookmarkStart w:id="125" w:name="_Toc384944721"/>
      <w:bookmarkStart w:id="126" w:name="_Toc442133375"/>
      <w:bookmarkStart w:id="127" w:name="_Toc442016146"/>
      <w:bookmarkStart w:id="128" w:name="_Toc396037058"/>
      <w:bookmarkStart w:id="129" w:name="_Toc396036414"/>
      <w:bookmarkStart w:id="130" w:name="_Toc381911470"/>
      <w:bookmarkStart w:id="131" w:name="_Toc389985363"/>
      <w:r>
        <w:rPr>
          <w:sz w:val="24"/>
        </w:rPr>
        <w:t>第六条 安全教育与培训</w:t>
      </w:r>
      <w:bookmarkEnd w:id="121"/>
      <w:bookmarkEnd w:id="122"/>
      <w:bookmarkEnd w:id="123"/>
      <w:bookmarkEnd w:id="124"/>
      <w:bookmarkEnd w:id="125"/>
      <w:bookmarkEnd w:id="126"/>
      <w:bookmarkEnd w:id="127"/>
      <w:bookmarkEnd w:id="128"/>
      <w:bookmarkEnd w:id="129"/>
      <w:bookmarkEnd w:id="130"/>
      <w:bookmarkEnd w:id="131"/>
    </w:p>
    <w:p>
      <w:pPr>
        <w:spacing w:line="276" w:lineRule="auto"/>
        <w:ind w:firstLine="480" w:firstLineChars="200"/>
        <w:rPr>
          <w:sz w:val="24"/>
        </w:rPr>
      </w:pPr>
      <w:r>
        <w:rPr>
          <w:sz w:val="24"/>
        </w:rPr>
        <w:t>(一)甲方应当对乙方的安全教育与培训工作进行指导。</w:t>
      </w:r>
    </w:p>
    <w:p>
      <w:pPr>
        <w:spacing w:line="276" w:lineRule="auto"/>
        <w:ind w:firstLine="480" w:firstLineChars="200"/>
        <w:rPr>
          <w:sz w:val="24"/>
        </w:rPr>
      </w:pPr>
      <w:r>
        <w:rPr>
          <w:sz w:val="24"/>
        </w:rPr>
        <w:t>(二)甲方应当监督检查乙方开展员工安全教育培训工作情况。</w:t>
      </w:r>
    </w:p>
    <w:p>
      <w:pPr>
        <w:spacing w:line="276" w:lineRule="auto"/>
        <w:ind w:firstLine="480" w:firstLineChars="200"/>
        <w:rPr>
          <w:sz w:val="24"/>
        </w:rPr>
      </w:pPr>
      <w:r>
        <w:rPr>
          <w:sz w:val="24"/>
        </w:rPr>
        <w:t>(三)乙方应当制定本单位的安全教育培训工作计划。</w:t>
      </w:r>
      <w:r>
        <w:rPr>
          <w:rFonts w:hint="eastAsia"/>
          <w:sz w:val="24"/>
        </w:rPr>
        <w:t>在作业项目开工前必须对参加作业人员进行安全教育培训和考试，保证从业人员掌握必需的安全生产知识、提高安全生产技能和应急逃生知识，同时对本单位员工开展“三级”安全教育。</w:t>
      </w:r>
    </w:p>
    <w:p>
      <w:pPr>
        <w:spacing w:line="276" w:lineRule="auto"/>
        <w:ind w:firstLine="480" w:firstLineChars="200"/>
        <w:rPr>
          <w:sz w:val="24"/>
        </w:rPr>
      </w:pPr>
      <w:r>
        <w:rPr>
          <w:sz w:val="24"/>
        </w:rPr>
        <w:t>(四)乙方应当按照相关法律、法规、规章和标准对本单位从业人员进行安全教育培训，保证从业人员掌握必需的安全生产知识、操作技能和应急逃生知识。</w:t>
      </w:r>
    </w:p>
    <w:p>
      <w:pPr>
        <w:spacing w:line="276" w:lineRule="auto"/>
        <w:ind w:firstLine="480" w:firstLineChars="200"/>
        <w:rPr>
          <w:sz w:val="24"/>
        </w:rPr>
      </w:pPr>
      <w:r>
        <w:rPr>
          <w:rFonts w:hint="eastAsia"/>
          <w:sz w:val="24"/>
        </w:rPr>
        <w:t>（五）乙方应加强作业现场应急管理，完善应急预案，配备现场作业所需的应急资源，并加强培训和演练。</w:t>
      </w:r>
    </w:p>
    <w:p>
      <w:pPr>
        <w:spacing w:line="276" w:lineRule="auto"/>
        <w:ind w:firstLine="480" w:firstLineChars="200"/>
        <w:rPr>
          <w:sz w:val="24"/>
        </w:rPr>
      </w:pPr>
      <w:r>
        <w:rPr>
          <w:rFonts w:hint="eastAsia"/>
          <w:sz w:val="24"/>
        </w:rPr>
        <w:t xml:space="preserve">乙方应对作业人员进行安全生产教育和培训，确保作业人员掌握本职工作所需的安全生产知识， </w:t>
      </w:r>
    </w:p>
    <w:p>
      <w:pPr>
        <w:spacing w:line="276" w:lineRule="auto"/>
        <w:ind w:firstLine="480" w:firstLineChars="200"/>
        <w:rPr>
          <w:sz w:val="24"/>
        </w:rPr>
      </w:pPr>
      <w:bookmarkStart w:id="132" w:name="_Toc442022106"/>
      <w:bookmarkStart w:id="133" w:name="_Toc389985364"/>
      <w:bookmarkStart w:id="134" w:name="_Toc451698745"/>
      <w:bookmarkStart w:id="135" w:name="_Toc442016147"/>
      <w:bookmarkStart w:id="136" w:name="_Toc384944722"/>
      <w:bookmarkStart w:id="137" w:name="_Toc396037059"/>
      <w:bookmarkStart w:id="138" w:name="_Toc383301032"/>
      <w:bookmarkStart w:id="139" w:name="_Toc434694368"/>
      <w:bookmarkStart w:id="140" w:name="_Toc381911471"/>
      <w:bookmarkStart w:id="141" w:name="_Toc442133376"/>
      <w:bookmarkStart w:id="142" w:name="_Toc396036415"/>
      <w:r>
        <w:rPr>
          <w:sz w:val="24"/>
        </w:rPr>
        <w:t>第七条 事故应急救援</w:t>
      </w:r>
      <w:bookmarkEnd w:id="132"/>
      <w:bookmarkEnd w:id="133"/>
      <w:bookmarkEnd w:id="134"/>
      <w:bookmarkEnd w:id="135"/>
      <w:bookmarkEnd w:id="136"/>
      <w:bookmarkEnd w:id="137"/>
      <w:bookmarkEnd w:id="138"/>
      <w:bookmarkEnd w:id="139"/>
      <w:bookmarkEnd w:id="140"/>
      <w:bookmarkEnd w:id="141"/>
      <w:bookmarkEnd w:id="142"/>
    </w:p>
    <w:p>
      <w:pPr>
        <w:spacing w:line="276" w:lineRule="auto"/>
        <w:ind w:firstLine="480" w:firstLineChars="200"/>
        <w:rPr>
          <w:sz w:val="24"/>
        </w:rPr>
      </w:pPr>
      <w:r>
        <w:rPr>
          <w:sz w:val="24"/>
        </w:rPr>
        <w:t>(一)应急准备。</w:t>
      </w:r>
    </w:p>
    <w:p>
      <w:pPr>
        <w:spacing w:line="276" w:lineRule="auto"/>
        <w:ind w:firstLine="480" w:firstLineChars="200"/>
        <w:rPr>
          <w:sz w:val="24"/>
        </w:rPr>
      </w:pPr>
      <w:r>
        <w:rPr>
          <w:sz w:val="24"/>
        </w:rPr>
        <w:t>1.甲方应当按照国家有关规定建立应急救援组织或者与其他应急救援组织签订救援协议，编制本单位事故应急预案，并定期组织演练。</w:t>
      </w:r>
    </w:p>
    <w:p>
      <w:pPr>
        <w:spacing w:line="276" w:lineRule="auto"/>
        <w:ind w:firstLine="480" w:firstLineChars="200"/>
        <w:rPr>
          <w:sz w:val="24"/>
        </w:rPr>
      </w:pPr>
      <w:r>
        <w:rPr>
          <w:sz w:val="24"/>
        </w:rPr>
        <w:t>2.</w:t>
      </w:r>
      <w:r>
        <w:rPr>
          <w:rFonts w:hint="eastAsia"/>
          <w:sz w:val="24"/>
        </w:rPr>
        <w:t>甲方负责向乙方如实告知根据甲方能力所知的作业场所和岗位存在的危险因素，要求乙方制订防范措施以及事故应急预案。</w:t>
      </w:r>
    </w:p>
    <w:p>
      <w:pPr>
        <w:spacing w:line="276" w:lineRule="auto"/>
        <w:ind w:firstLine="480" w:firstLineChars="200"/>
        <w:rPr>
          <w:sz w:val="24"/>
        </w:rPr>
      </w:pPr>
      <w:r>
        <w:rPr>
          <w:sz w:val="24"/>
        </w:rPr>
        <w:t>3.甲方配置的应急救援设备设施和器材包括： 项目现场及附近车间的消防器材、正压式空气呼吸器、防毒面具、担架、应急通风机、四合一气体检测仪、应急药箱、救援绳等。</w:t>
      </w:r>
    </w:p>
    <w:p>
      <w:pPr>
        <w:spacing w:line="276" w:lineRule="auto"/>
        <w:ind w:firstLine="480" w:firstLineChars="200"/>
        <w:rPr>
          <w:sz w:val="24"/>
        </w:rPr>
      </w:pPr>
      <w:r>
        <w:rPr>
          <w:sz w:val="24"/>
        </w:rPr>
        <w:t>4.乙方应当编制与项目相适应的应急预案或者应急处置预案，并与甲方的相关预案接口,并定期组织演练或者参加甲方组织的演练。</w:t>
      </w:r>
    </w:p>
    <w:p>
      <w:pPr>
        <w:spacing w:line="276" w:lineRule="auto"/>
        <w:ind w:firstLine="480" w:firstLineChars="200"/>
        <w:rPr>
          <w:sz w:val="24"/>
        </w:rPr>
      </w:pPr>
      <w:r>
        <w:rPr>
          <w:sz w:val="24"/>
        </w:rPr>
        <w:t>4.乙方配置的应急救援设备设施和器材包括：                           。</w:t>
      </w:r>
    </w:p>
    <w:p>
      <w:pPr>
        <w:spacing w:line="276" w:lineRule="auto"/>
        <w:ind w:firstLine="480" w:firstLineChars="200"/>
        <w:rPr>
          <w:sz w:val="24"/>
        </w:rPr>
      </w:pPr>
      <w:r>
        <w:rPr>
          <w:sz w:val="24"/>
        </w:rPr>
        <w:t>(二)事故报告。</w:t>
      </w:r>
    </w:p>
    <w:p>
      <w:pPr>
        <w:spacing w:line="276" w:lineRule="auto"/>
        <w:ind w:firstLine="480" w:firstLineChars="200"/>
        <w:rPr>
          <w:sz w:val="24"/>
        </w:rPr>
      </w:pPr>
      <w:r>
        <w:rPr>
          <w:sz w:val="24"/>
        </w:rPr>
        <w:t>1.项目施工发生事故后，事故现场有关人员应当立即向乙方项目负责人报告；乙方项目负责人接到报告后，应当及时向甲乙双方的负责人报告。</w:t>
      </w:r>
    </w:p>
    <w:p>
      <w:pPr>
        <w:spacing w:line="276" w:lineRule="auto"/>
        <w:ind w:firstLine="480" w:firstLineChars="200"/>
        <w:rPr>
          <w:sz w:val="24"/>
        </w:rPr>
      </w:pPr>
      <w:r>
        <w:rPr>
          <w:sz w:val="24"/>
        </w:rPr>
        <w:t>2.项目施工发生事故后，甲方负责人应当按照《生产安全事故报告和调查处理条例》(国务院令第493号)等法律、法规、规章的规定报告。</w:t>
      </w:r>
    </w:p>
    <w:p>
      <w:pPr>
        <w:spacing w:line="276" w:lineRule="auto"/>
        <w:ind w:firstLine="480" w:firstLineChars="200"/>
        <w:rPr>
          <w:sz w:val="24"/>
        </w:rPr>
      </w:pPr>
      <w:r>
        <w:rPr>
          <w:sz w:val="24"/>
        </w:rPr>
        <w:t>(三)事故救援。</w:t>
      </w:r>
    </w:p>
    <w:p>
      <w:pPr>
        <w:spacing w:line="276" w:lineRule="auto"/>
        <w:ind w:firstLine="480" w:firstLineChars="200"/>
        <w:rPr>
          <w:sz w:val="24"/>
        </w:rPr>
      </w:pPr>
      <w:r>
        <w:rPr>
          <w:sz w:val="24"/>
        </w:rPr>
        <w:t>1.项目施工发生事故后，乙方应当按照专项应急预案或者应急处置方案立即开展事故救援。</w:t>
      </w:r>
      <w:r>
        <w:rPr>
          <w:rFonts w:hint="eastAsia"/>
          <w:sz w:val="24"/>
        </w:rPr>
        <w:t>保护好事故现场。</w:t>
      </w:r>
    </w:p>
    <w:p>
      <w:pPr>
        <w:spacing w:line="276" w:lineRule="auto"/>
        <w:ind w:firstLine="480" w:firstLineChars="200"/>
        <w:rPr>
          <w:sz w:val="24"/>
        </w:rPr>
      </w:pPr>
      <w:r>
        <w:rPr>
          <w:sz w:val="24"/>
        </w:rPr>
        <w:t>2.项目施工发生事故后，甲方应当按照应急预案要求，立即开展应急救援，负责指挥、协调事故救援工作，充分调动甲乙双方的应急资源。</w:t>
      </w:r>
    </w:p>
    <w:p>
      <w:pPr>
        <w:spacing w:line="276" w:lineRule="auto"/>
        <w:ind w:firstLine="480" w:firstLineChars="200"/>
        <w:rPr>
          <w:sz w:val="24"/>
        </w:rPr>
      </w:pPr>
      <w:r>
        <w:rPr>
          <w:sz w:val="24"/>
        </w:rPr>
        <w:t>(四)事故处理。</w:t>
      </w:r>
    </w:p>
    <w:p>
      <w:pPr>
        <w:spacing w:line="276" w:lineRule="auto"/>
        <w:ind w:firstLine="480" w:firstLineChars="200"/>
        <w:rPr>
          <w:sz w:val="24"/>
        </w:rPr>
      </w:pPr>
      <w:r>
        <w:rPr>
          <w:sz w:val="24"/>
        </w:rPr>
        <w:t>1.</w:t>
      </w:r>
      <w:r>
        <w:rPr>
          <w:rFonts w:hint="eastAsia"/>
          <w:sz w:val="24"/>
        </w:rPr>
        <w:t xml:space="preserve"> 在发生安全事故后应积极配合甲方组织开展的对事故的相关调查。</w:t>
      </w:r>
    </w:p>
    <w:p>
      <w:pPr>
        <w:spacing w:line="276" w:lineRule="auto"/>
        <w:ind w:firstLine="480" w:firstLineChars="200"/>
        <w:rPr>
          <w:sz w:val="24"/>
        </w:rPr>
      </w:pPr>
      <w:r>
        <w:rPr>
          <w:sz w:val="24"/>
        </w:rPr>
        <w:t>2.事故调查结案后，甲乙双方根据事故调查处理结论承担各自相应责任。</w:t>
      </w:r>
    </w:p>
    <w:p>
      <w:pPr>
        <w:spacing w:line="276" w:lineRule="auto"/>
        <w:ind w:firstLine="480" w:firstLineChars="200"/>
        <w:rPr>
          <w:sz w:val="24"/>
        </w:rPr>
      </w:pPr>
      <w:r>
        <w:rPr>
          <w:sz w:val="24"/>
        </w:rPr>
        <w:t>3.甲方应当承担的经济处罚不得转嫁或者变相转嫁给乙方。</w:t>
      </w:r>
    </w:p>
    <w:p>
      <w:pPr>
        <w:spacing w:line="276" w:lineRule="auto"/>
        <w:ind w:firstLine="480" w:firstLineChars="200"/>
        <w:rPr>
          <w:sz w:val="24"/>
        </w:rPr>
      </w:pPr>
      <w:r>
        <w:rPr>
          <w:sz w:val="24"/>
        </w:rPr>
        <w:t>4.乙方对发生安全事故坚持“四不放过”原则的指导思想，不隐瞒、谎报，并在员工中开展事故分析、教育，防止同类事故的再次发生。</w:t>
      </w:r>
    </w:p>
    <w:p>
      <w:pPr>
        <w:spacing w:line="276" w:lineRule="auto"/>
        <w:ind w:firstLine="480" w:firstLineChars="200"/>
        <w:rPr>
          <w:sz w:val="24"/>
        </w:rPr>
      </w:pPr>
      <w:r>
        <w:rPr>
          <w:rFonts w:hint="eastAsia"/>
          <w:sz w:val="24"/>
        </w:rPr>
        <w:t xml:space="preserve">第八条 </w:t>
      </w:r>
      <w:r>
        <w:rPr>
          <w:sz w:val="24"/>
        </w:rPr>
        <w:t>信息沟通：甲乙双方</w:t>
      </w:r>
      <w:r>
        <w:rPr>
          <w:rFonts w:hint="eastAsia"/>
          <w:sz w:val="24"/>
        </w:rPr>
        <w:t>定期</w:t>
      </w:r>
      <w:r>
        <w:rPr>
          <w:sz w:val="24"/>
        </w:rPr>
        <w:t>召开安全沟通会议，其他安全环保重大事项应立即报告甲方或备案。</w:t>
      </w:r>
    </w:p>
    <w:p>
      <w:pPr>
        <w:spacing w:line="276" w:lineRule="auto"/>
        <w:ind w:firstLine="480" w:firstLineChars="200"/>
        <w:rPr>
          <w:sz w:val="24"/>
        </w:rPr>
      </w:pPr>
      <w:bookmarkStart w:id="143" w:name="_Toc396037060"/>
      <w:bookmarkStart w:id="144" w:name="_Toc434694369"/>
      <w:bookmarkStart w:id="145" w:name="_Toc451698746"/>
      <w:bookmarkStart w:id="146" w:name="_Toc442016148"/>
      <w:bookmarkStart w:id="147" w:name="_Toc442022107"/>
      <w:bookmarkStart w:id="148" w:name="_Toc384944723"/>
      <w:bookmarkStart w:id="149" w:name="_Toc396036416"/>
      <w:bookmarkStart w:id="150" w:name="_Toc389985365"/>
      <w:bookmarkStart w:id="151" w:name="_Toc442133377"/>
      <w:bookmarkStart w:id="152" w:name="_Toc381911472"/>
      <w:bookmarkStart w:id="153" w:name="_Toc383301033"/>
      <w:r>
        <w:rPr>
          <w:sz w:val="24"/>
        </w:rPr>
        <w:t>第</w:t>
      </w:r>
      <w:r>
        <w:rPr>
          <w:rFonts w:hint="eastAsia"/>
          <w:sz w:val="24"/>
        </w:rPr>
        <w:t>九</w:t>
      </w:r>
      <w:r>
        <w:rPr>
          <w:sz w:val="24"/>
        </w:rPr>
        <w:t>条 安全检查与考评</w:t>
      </w:r>
      <w:bookmarkEnd w:id="143"/>
      <w:bookmarkEnd w:id="144"/>
      <w:bookmarkEnd w:id="145"/>
      <w:bookmarkEnd w:id="146"/>
      <w:bookmarkEnd w:id="147"/>
      <w:bookmarkEnd w:id="148"/>
      <w:bookmarkEnd w:id="149"/>
      <w:bookmarkEnd w:id="150"/>
      <w:bookmarkEnd w:id="151"/>
      <w:bookmarkEnd w:id="152"/>
      <w:bookmarkEnd w:id="153"/>
    </w:p>
    <w:p>
      <w:pPr>
        <w:spacing w:line="276" w:lineRule="auto"/>
        <w:ind w:firstLine="480" w:firstLineChars="200"/>
        <w:rPr>
          <w:sz w:val="24"/>
        </w:rPr>
      </w:pPr>
      <w:r>
        <w:rPr>
          <w:sz w:val="24"/>
        </w:rPr>
        <w:t>1.甲方应当建立健全项目施工的安全生产考核机制，制定考核办法，对乙方进行安全生产考核。</w:t>
      </w:r>
    </w:p>
    <w:p>
      <w:pPr>
        <w:spacing w:line="276" w:lineRule="auto"/>
        <w:ind w:firstLine="480" w:firstLineChars="200"/>
        <w:rPr>
          <w:sz w:val="24"/>
        </w:rPr>
      </w:pPr>
      <w:r>
        <w:rPr>
          <w:sz w:val="24"/>
        </w:rPr>
        <w:t>2.甲方应当加强项目监督检查工作，发现乙方违反法律、法规、规章和标准的</w:t>
      </w:r>
      <w:r>
        <w:rPr>
          <w:rFonts w:hint="eastAsia"/>
          <w:sz w:val="24"/>
        </w:rPr>
        <w:t>违章违纪</w:t>
      </w:r>
      <w:r>
        <w:rPr>
          <w:sz w:val="24"/>
        </w:rPr>
        <w:t>行为，</w:t>
      </w:r>
      <w:r>
        <w:rPr>
          <w:rFonts w:hint="eastAsia"/>
          <w:sz w:val="24"/>
        </w:rPr>
        <w:t>及时进行教育，</w:t>
      </w:r>
      <w:r>
        <w:rPr>
          <w:sz w:val="24"/>
        </w:rPr>
        <w:t>有权纠正和考核，</w:t>
      </w:r>
      <w:r>
        <w:rPr>
          <w:rFonts w:hint="eastAsia"/>
          <w:sz w:val="24"/>
        </w:rPr>
        <w:t>对不听劝告、</w:t>
      </w:r>
      <w:r>
        <w:rPr>
          <w:sz w:val="24"/>
        </w:rPr>
        <w:t>直至清退出场。</w:t>
      </w:r>
    </w:p>
    <w:p>
      <w:pPr>
        <w:spacing w:line="276" w:lineRule="auto"/>
        <w:ind w:firstLine="480" w:firstLineChars="200"/>
        <w:rPr>
          <w:sz w:val="24"/>
        </w:rPr>
      </w:pPr>
      <w:r>
        <w:rPr>
          <w:sz w:val="24"/>
        </w:rPr>
        <w:t>3.</w:t>
      </w:r>
      <w:r>
        <w:rPr>
          <w:rFonts w:hint="eastAsia"/>
          <w:sz w:val="24"/>
        </w:rPr>
        <w:t>甲方审查乙方相应的作业资格证书、作业方案和外包商、作业现场的设备、设施、建（构）筑物和人员作业安全状况等。</w:t>
      </w:r>
    </w:p>
    <w:p>
      <w:pPr>
        <w:spacing w:line="276" w:lineRule="auto"/>
        <w:ind w:firstLine="480" w:firstLineChars="200"/>
        <w:rPr>
          <w:sz w:val="24"/>
        </w:rPr>
      </w:pPr>
      <w:r>
        <w:rPr>
          <w:sz w:val="24"/>
        </w:rPr>
        <w:t>4.</w:t>
      </w:r>
      <w:r>
        <w:rPr>
          <w:rFonts w:hint="eastAsia"/>
          <w:sz w:val="24"/>
        </w:rPr>
        <w:t>甲方</w:t>
      </w:r>
      <w:r>
        <w:rPr>
          <w:sz w:val="24"/>
        </w:rPr>
        <w:t>对</w:t>
      </w:r>
      <w:r>
        <w:rPr>
          <w:rFonts w:hint="eastAsia"/>
          <w:sz w:val="24"/>
        </w:rPr>
        <w:t>乙方</w:t>
      </w:r>
      <w:r>
        <w:rPr>
          <w:sz w:val="24"/>
        </w:rPr>
        <w:t>的安全生产工作统一协调、管理，</w:t>
      </w:r>
      <w:r>
        <w:rPr>
          <w:rFonts w:hint="eastAsia"/>
          <w:sz w:val="24"/>
        </w:rPr>
        <w:t>甲方有权对乙方施工作业区的设备、设施、建（构）筑物和人员作业安全状况</w:t>
      </w:r>
      <w:r>
        <w:rPr>
          <w:sz w:val="24"/>
        </w:rPr>
        <w:t>进行安全检查，发现安全问题的，应当及时督促</w:t>
      </w:r>
      <w:r>
        <w:rPr>
          <w:rFonts w:hint="eastAsia"/>
          <w:sz w:val="24"/>
        </w:rPr>
        <w:t>乙方进行</w:t>
      </w:r>
      <w:r>
        <w:rPr>
          <w:sz w:val="24"/>
        </w:rPr>
        <w:t>整改</w:t>
      </w:r>
      <w:r>
        <w:rPr>
          <w:rFonts w:hint="eastAsia"/>
          <w:sz w:val="24"/>
        </w:rPr>
        <w:t>。甲方有权</w:t>
      </w:r>
      <w:r>
        <w:rPr>
          <w:sz w:val="24"/>
        </w:rPr>
        <w:t>提出撤换</w:t>
      </w:r>
      <w:r>
        <w:rPr>
          <w:rFonts w:hint="eastAsia"/>
          <w:sz w:val="24"/>
        </w:rPr>
        <w:t>外包方</w:t>
      </w:r>
      <w:r>
        <w:rPr>
          <w:sz w:val="24"/>
        </w:rPr>
        <w:t>项目经理、安全管理负责人</w:t>
      </w:r>
      <w:r>
        <w:rPr>
          <w:rFonts w:hint="eastAsia"/>
          <w:sz w:val="24"/>
        </w:rPr>
        <w:t>。</w:t>
      </w:r>
    </w:p>
    <w:p>
      <w:pPr>
        <w:spacing w:line="276" w:lineRule="auto"/>
        <w:ind w:firstLine="480" w:firstLineChars="200"/>
        <w:rPr>
          <w:sz w:val="24"/>
        </w:rPr>
      </w:pPr>
      <w:r>
        <w:rPr>
          <w:sz w:val="24"/>
        </w:rPr>
        <w:t>5.乙方负责项目范围内的作业安全管理，制定施工方案，加强项目作业现场的日常安全检查，</w:t>
      </w:r>
      <w:r>
        <w:rPr>
          <w:rFonts w:hint="eastAsia"/>
          <w:sz w:val="24"/>
        </w:rPr>
        <w:t>做好相关记录，</w:t>
      </w:r>
      <w:r>
        <w:rPr>
          <w:sz w:val="24"/>
        </w:rPr>
        <w:t>落实各项规章制度和安全操作规程</w:t>
      </w:r>
      <w:r>
        <w:rPr>
          <w:rFonts w:hint="eastAsia"/>
          <w:sz w:val="24"/>
        </w:rPr>
        <w:t>，消除人的不安全行为和物的不安全状态。在项目作业范围内发现重大事故隐患后不能立即治理的，应当采取必要的防范措施，并及时书面报告甲方协商解决，消除事故隐患。</w:t>
      </w:r>
    </w:p>
    <w:p>
      <w:pPr>
        <w:spacing w:line="276" w:lineRule="auto"/>
        <w:ind w:firstLine="480" w:firstLineChars="200"/>
        <w:rPr>
          <w:sz w:val="24"/>
        </w:rPr>
      </w:pPr>
      <w:r>
        <w:rPr>
          <w:sz w:val="24"/>
        </w:rPr>
        <w:t>6.乙方应当接受甲方的监督管理，遵守甲方的有关规章制度的要求。同时，乙方有权拒绝甲方违章指挥和强令冒险作业。</w:t>
      </w:r>
    </w:p>
    <w:p>
      <w:pPr>
        <w:spacing w:line="276" w:lineRule="auto"/>
        <w:ind w:firstLine="480" w:firstLineChars="200"/>
        <w:rPr>
          <w:sz w:val="24"/>
        </w:rPr>
      </w:pPr>
      <w:r>
        <w:rPr>
          <w:sz w:val="24"/>
        </w:rPr>
        <w:t>7.乙方应当向甲方提供安全生产考核所需资料，接受甲方的考核与奖惩。</w:t>
      </w:r>
      <w:bookmarkEnd w:id="120"/>
    </w:p>
    <w:p>
      <w:pPr>
        <w:spacing w:line="276" w:lineRule="auto"/>
        <w:ind w:firstLine="480" w:firstLineChars="200"/>
        <w:rPr>
          <w:sz w:val="24"/>
        </w:rPr>
      </w:pPr>
      <w:r>
        <w:rPr>
          <w:sz w:val="24"/>
        </w:rPr>
        <w:t>（七）风险抵押金考核</w:t>
      </w:r>
    </w:p>
    <w:p>
      <w:pPr>
        <w:spacing w:line="276" w:lineRule="auto"/>
        <w:ind w:firstLine="480" w:firstLineChars="200"/>
        <w:rPr>
          <w:sz w:val="24"/>
        </w:rPr>
      </w:pPr>
      <w:r>
        <w:rPr>
          <w:sz w:val="24"/>
        </w:rPr>
        <w:t>1.乙方违反甲方各项安全管理规定的，</w:t>
      </w:r>
      <w:r>
        <w:rPr>
          <w:rFonts w:hint="eastAsia"/>
          <w:sz w:val="24"/>
        </w:rPr>
        <w:t>（如违反甲方危险作业要求、使用不安全的工具、设备、未按要求佩戴相对应的劳保防护用品、未做到工完场清或未及时搞好现场卫生、作业过程违反操作规程等），一般违规扣200元/次；严重违规（糖业1</w:t>
      </w:r>
      <w:r>
        <w:rPr>
          <w:sz w:val="24"/>
        </w:rPr>
        <w:t>0</w:t>
      </w:r>
      <w:r>
        <w:rPr>
          <w:rFonts w:hint="eastAsia"/>
          <w:sz w:val="24"/>
        </w:rPr>
        <w:t>条禁令）扣500元/次，重复违反扣1000元/次，违反《中粮集团</w:t>
      </w:r>
      <w:bookmarkStart w:id="154" w:name="_Hlk132701874"/>
      <w:r>
        <w:rPr>
          <w:rFonts w:hint="eastAsia"/>
          <w:sz w:val="24"/>
        </w:rPr>
        <w:t>承包商与工程项目管理安全</w:t>
      </w:r>
      <w:bookmarkEnd w:id="154"/>
      <w:r>
        <w:rPr>
          <w:rFonts w:hint="eastAsia"/>
          <w:sz w:val="24"/>
        </w:rPr>
        <w:t>禁令》和中粮集团承包商与工程项目安全管理严重违规应当停工整顿的情形，由甲方作停工整顿处理，停工所造成的损失由乙方负责，由乙方到甲方财务部缴纳违章处罚金额，未按时足额缴纳处罚金额的，待甲方组织内部专家验收合格后方可支付相应进度款。</w:t>
      </w:r>
    </w:p>
    <w:p>
      <w:pPr>
        <w:spacing w:line="276" w:lineRule="auto"/>
        <w:ind w:firstLine="480" w:firstLineChars="200"/>
        <w:rPr>
          <w:sz w:val="24"/>
        </w:rPr>
      </w:pPr>
      <w:r>
        <w:rPr>
          <w:rFonts w:hint="eastAsia"/>
          <w:sz w:val="24"/>
        </w:rPr>
        <w:t>乙方发生事故罚款时，履约保证金不足，可从合同金额中扣除。</w:t>
      </w:r>
    </w:p>
    <w:p>
      <w:pPr>
        <w:spacing w:line="276" w:lineRule="auto"/>
        <w:ind w:firstLine="480" w:firstLineChars="200"/>
        <w:rPr>
          <w:sz w:val="24"/>
        </w:rPr>
      </w:pPr>
      <w:r>
        <w:rPr>
          <w:sz w:val="24"/>
        </w:rPr>
        <w:t>2.对安全管理漏洞及事故隐患未能限期整改，必要时进行停工整顿。由于乙方作业活动中严重违反甲方安全管理制度，对甲方造成严重影响的已未遂事故时，甲方有权单方解除合同，并要求乙方承担由此给甲方造成的实际损失的赔偿责任。</w:t>
      </w:r>
    </w:p>
    <w:p>
      <w:pPr>
        <w:spacing w:line="276" w:lineRule="auto"/>
        <w:ind w:firstLine="480" w:firstLineChars="200"/>
        <w:rPr>
          <w:sz w:val="24"/>
        </w:rPr>
      </w:pPr>
      <w:r>
        <w:rPr>
          <w:sz w:val="24"/>
        </w:rPr>
        <w:t>3.</w:t>
      </w:r>
      <w:r>
        <w:rPr>
          <w:rFonts w:hint="eastAsia"/>
          <w:sz w:val="24"/>
        </w:rPr>
        <w:t>乙方作业过程中违反国家有关法律法规，受到行政、经济、刑事处罚的，由乙方自行承担责任。</w:t>
      </w:r>
    </w:p>
    <w:p>
      <w:pPr>
        <w:spacing w:line="276" w:lineRule="auto"/>
        <w:ind w:firstLine="480" w:firstLineChars="200"/>
        <w:rPr>
          <w:sz w:val="24"/>
        </w:rPr>
      </w:pPr>
      <w:r>
        <w:rPr>
          <w:sz w:val="24"/>
        </w:rPr>
        <w:t>4.乙方施工现场发生重伤1-2人责任事故，甲方扣罚该项目风险抵押金总额的20％（1人）、60%（2人）；若乙方施工现场发生死亡1人及以上或重伤3人及以上责任事故，甲方扣罚该项目全部风险抵押金。</w:t>
      </w:r>
      <w:r>
        <w:rPr>
          <w:rFonts w:hint="eastAsia"/>
          <w:sz w:val="24"/>
        </w:rPr>
        <w:t>项目验收结束且确认乙方无违规、事故后，甲方无息返还乙方风险抵押金。</w:t>
      </w:r>
    </w:p>
    <w:p>
      <w:pPr>
        <w:spacing w:line="276" w:lineRule="auto"/>
        <w:ind w:firstLine="480" w:firstLineChars="200"/>
        <w:rPr>
          <w:sz w:val="24"/>
        </w:rPr>
      </w:pPr>
      <w:bookmarkStart w:id="155" w:name="_Toc442016149"/>
      <w:bookmarkStart w:id="156" w:name="_Toc442022108"/>
      <w:bookmarkStart w:id="157" w:name="_Toc396036417"/>
      <w:bookmarkStart w:id="158" w:name="_Toc396037061"/>
      <w:bookmarkStart w:id="159" w:name="_Toc389985366"/>
      <w:bookmarkStart w:id="160" w:name="_Toc384944724"/>
      <w:bookmarkStart w:id="161" w:name="_Toc442133378"/>
      <w:bookmarkStart w:id="162" w:name="_Toc383301034"/>
      <w:bookmarkStart w:id="163" w:name="_Toc451698747"/>
      <w:bookmarkStart w:id="164" w:name="_Toc434694370"/>
      <w:bookmarkStart w:id="165" w:name="_Toc381911473"/>
      <w:r>
        <w:rPr>
          <w:sz w:val="24"/>
        </w:rPr>
        <w:t>第</w:t>
      </w:r>
      <w:r>
        <w:rPr>
          <w:rFonts w:hint="eastAsia"/>
          <w:sz w:val="24"/>
        </w:rPr>
        <w:t>十</w:t>
      </w:r>
      <w:r>
        <w:rPr>
          <w:sz w:val="24"/>
        </w:rPr>
        <w:t>条 违约责任</w:t>
      </w:r>
      <w:bookmarkEnd w:id="155"/>
      <w:bookmarkEnd w:id="156"/>
      <w:bookmarkEnd w:id="157"/>
      <w:bookmarkEnd w:id="158"/>
      <w:bookmarkEnd w:id="159"/>
      <w:bookmarkEnd w:id="160"/>
      <w:bookmarkEnd w:id="161"/>
      <w:bookmarkEnd w:id="162"/>
      <w:bookmarkEnd w:id="163"/>
      <w:bookmarkEnd w:id="164"/>
      <w:bookmarkEnd w:id="165"/>
    </w:p>
    <w:p>
      <w:pPr>
        <w:spacing w:line="276" w:lineRule="auto"/>
        <w:ind w:firstLine="480" w:firstLineChars="200"/>
        <w:rPr>
          <w:sz w:val="24"/>
        </w:rPr>
      </w:pPr>
      <w:r>
        <w:rPr>
          <w:sz w:val="24"/>
        </w:rPr>
        <w:t>(一)甲乙双方遵守法律、法规、规章规定的义务，并享有相应的权利。</w:t>
      </w:r>
    </w:p>
    <w:p>
      <w:pPr>
        <w:spacing w:line="276" w:lineRule="auto"/>
        <w:ind w:firstLine="480" w:firstLineChars="200"/>
        <w:rPr>
          <w:sz w:val="24"/>
        </w:rPr>
      </w:pPr>
      <w:r>
        <w:rPr>
          <w:sz w:val="24"/>
        </w:rPr>
        <w:t>(二)甲方违约</w:t>
      </w:r>
    </w:p>
    <w:p>
      <w:pPr>
        <w:spacing w:line="276" w:lineRule="auto"/>
        <w:ind w:firstLine="480" w:firstLineChars="200"/>
        <w:rPr>
          <w:sz w:val="24"/>
        </w:rPr>
      </w:pPr>
      <w:r>
        <w:rPr>
          <w:sz w:val="24"/>
        </w:rPr>
        <w:t>当发生下列情况之一的，甲方承担违约责任，依法赔偿给乙方造成的经济损失；因违约造成生产安全事故的，按照相关法律、法规、规章的规定，甲方依法承担相应责任：</w:t>
      </w:r>
    </w:p>
    <w:p>
      <w:pPr>
        <w:spacing w:line="276" w:lineRule="auto"/>
        <w:ind w:firstLine="480" w:firstLineChars="200"/>
        <w:rPr>
          <w:sz w:val="24"/>
        </w:rPr>
      </w:pPr>
      <w:r>
        <w:rPr>
          <w:sz w:val="24"/>
        </w:rPr>
        <w:t>1.甲方擅自压缩项目合同约定的工期，违章指挥或者强令乙方及其从业人员冒险作业的；</w:t>
      </w:r>
    </w:p>
    <w:p>
      <w:pPr>
        <w:spacing w:line="276" w:lineRule="auto"/>
        <w:ind w:firstLine="480" w:firstLineChars="200"/>
        <w:rPr>
          <w:sz w:val="24"/>
        </w:rPr>
      </w:pPr>
      <w:r>
        <w:rPr>
          <w:sz w:val="24"/>
        </w:rPr>
        <w:t>2.甲方未提供项目施工作业所必要的图纸资料，未向乙方进行技术交底的；</w:t>
      </w:r>
    </w:p>
    <w:p>
      <w:pPr>
        <w:spacing w:line="276" w:lineRule="auto"/>
        <w:ind w:firstLine="480" w:firstLineChars="200"/>
        <w:rPr>
          <w:sz w:val="24"/>
        </w:rPr>
      </w:pPr>
      <w:r>
        <w:rPr>
          <w:sz w:val="24"/>
        </w:rPr>
        <w:t>3.甲方不能提供合法的外包项目的；</w:t>
      </w:r>
    </w:p>
    <w:p>
      <w:pPr>
        <w:spacing w:line="276" w:lineRule="auto"/>
        <w:ind w:firstLine="480" w:firstLineChars="200"/>
        <w:rPr>
          <w:sz w:val="24"/>
        </w:rPr>
      </w:pPr>
      <w:r>
        <w:rPr>
          <w:sz w:val="24"/>
        </w:rPr>
        <w:t>4.甲方不能保证与外包项目有关的生产系统安全设施正常运行的；</w:t>
      </w:r>
    </w:p>
    <w:p>
      <w:pPr>
        <w:spacing w:line="276" w:lineRule="auto"/>
        <w:ind w:firstLine="480" w:firstLineChars="200"/>
        <w:rPr>
          <w:sz w:val="24"/>
        </w:rPr>
      </w:pPr>
      <w:r>
        <w:rPr>
          <w:sz w:val="24"/>
        </w:rPr>
        <w:t>5.甲方违反项目设计安排乙方施工作业的；</w:t>
      </w:r>
    </w:p>
    <w:p>
      <w:pPr>
        <w:spacing w:line="276" w:lineRule="auto"/>
        <w:ind w:firstLine="480" w:firstLineChars="200"/>
        <w:rPr>
          <w:sz w:val="24"/>
        </w:rPr>
      </w:pPr>
      <w:r>
        <w:rPr>
          <w:sz w:val="24"/>
        </w:rPr>
        <w:t>6.甲方未按照合同或者协议约定支付应当由甲方承担的项目安全生产费用的；</w:t>
      </w:r>
    </w:p>
    <w:p>
      <w:pPr>
        <w:spacing w:line="276" w:lineRule="auto"/>
        <w:ind w:firstLine="480" w:firstLineChars="200"/>
        <w:rPr>
          <w:sz w:val="24"/>
        </w:rPr>
      </w:pPr>
      <w:r>
        <w:rPr>
          <w:sz w:val="24"/>
        </w:rPr>
        <w:t>7.发生事故后，甲方未及时组织开展应急救援工作的；</w:t>
      </w:r>
    </w:p>
    <w:p>
      <w:pPr>
        <w:spacing w:line="276" w:lineRule="auto"/>
        <w:ind w:firstLine="480" w:firstLineChars="200"/>
        <w:rPr>
          <w:sz w:val="24"/>
        </w:rPr>
      </w:pPr>
      <w:r>
        <w:rPr>
          <w:sz w:val="24"/>
        </w:rPr>
        <w:t>8.甲方不履行协议义务或不按协议约定履行义务的其他情况。</w:t>
      </w:r>
    </w:p>
    <w:p>
      <w:pPr>
        <w:spacing w:line="276" w:lineRule="auto"/>
        <w:ind w:firstLine="480" w:firstLineChars="200"/>
        <w:rPr>
          <w:sz w:val="24"/>
        </w:rPr>
      </w:pPr>
      <w:r>
        <w:rPr>
          <w:sz w:val="24"/>
        </w:rPr>
        <w:t>(三)乙方违约</w:t>
      </w:r>
    </w:p>
    <w:p>
      <w:pPr>
        <w:spacing w:line="276" w:lineRule="auto"/>
        <w:ind w:firstLine="480" w:firstLineChars="200"/>
        <w:rPr>
          <w:sz w:val="24"/>
        </w:rPr>
      </w:pPr>
      <w:r>
        <w:rPr>
          <w:sz w:val="24"/>
        </w:rPr>
        <w:t>当发生下列情况之一的，乙方承担违约责任，依法赔偿给甲方造成的损失；因违约造成生产安全事故的，按照相关法律、法规、规章的规定，依法承担相应责任：</w:t>
      </w:r>
    </w:p>
    <w:p>
      <w:pPr>
        <w:spacing w:line="276" w:lineRule="auto"/>
        <w:ind w:firstLine="480" w:firstLineChars="200"/>
        <w:rPr>
          <w:sz w:val="24"/>
        </w:rPr>
      </w:pPr>
      <w:r>
        <w:rPr>
          <w:sz w:val="24"/>
        </w:rPr>
        <w:t>1.乙方未按照合同或者协议约定将甲方提供的安全生产费用落实到位、专款专用的；</w:t>
      </w:r>
    </w:p>
    <w:p>
      <w:pPr>
        <w:spacing w:line="276" w:lineRule="auto"/>
        <w:ind w:firstLine="480" w:firstLineChars="200"/>
        <w:rPr>
          <w:sz w:val="24"/>
        </w:rPr>
      </w:pPr>
      <w:r>
        <w:rPr>
          <w:sz w:val="24"/>
        </w:rPr>
        <w:t>2.乙方不能保证与承揽项目规模相匹配的施工资质、技术人员、特种作业人员和设备设施的；</w:t>
      </w:r>
    </w:p>
    <w:p>
      <w:pPr>
        <w:spacing w:line="276" w:lineRule="auto"/>
        <w:ind w:firstLine="480" w:firstLineChars="200"/>
        <w:rPr>
          <w:sz w:val="24"/>
        </w:rPr>
      </w:pPr>
      <w:r>
        <w:rPr>
          <w:sz w:val="24"/>
        </w:rPr>
        <w:t>3.乙方有关资质、证照已过期的，或者安排证件已过期的各类应持证人员上岗作业的；</w:t>
      </w:r>
    </w:p>
    <w:p>
      <w:pPr>
        <w:spacing w:line="276" w:lineRule="auto"/>
        <w:ind w:firstLine="480" w:firstLineChars="200"/>
        <w:rPr>
          <w:sz w:val="24"/>
        </w:rPr>
      </w:pPr>
      <w:r>
        <w:rPr>
          <w:sz w:val="24"/>
        </w:rPr>
        <w:t>4.乙方人员违章指挥或者违章作业的；</w:t>
      </w:r>
    </w:p>
    <w:p>
      <w:pPr>
        <w:spacing w:line="276" w:lineRule="auto"/>
        <w:ind w:firstLine="480" w:firstLineChars="200"/>
        <w:rPr>
          <w:sz w:val="24"/>
        </w:rPr>
      </w:pPr>
      <w:r>
        <w:rPr>
          <w:sz w:val="24"/>
        </w:rPr>
        <w:t>5.乙方现场安全管理不到位的；</w:t>
      </w:r>
    </w:p>
    <w:p>
      <w:pPr>
        <w:spacing w:line="276" w:lineRule="auto"/>
        <w:ind w:firstLine="480" w:firstLineChars="200"/>
        <w:rPr>
          <w:sz w:val="24"/>
        </w:rPr>
      </w:pPr>
      <w:r>
        <w:rPr>
          <w:sz w:val="24"/>
        </w:rPr>
        <w:t>6.发生事故后，乙方未及时开展应急救援工作的；</w:t>
      </w:r>
    </w:p>
    <w:p>
      <w:pPr>
        <w:spacing w:line="276" w:lineRule="auto"/>
        <w:ind w:firstLine="480" w:firstLineChars="200"/>
        <w:rPr>
          <w:sz w:val="24"/>
        </w:rPr>
      </w:pPr>
      <w:r>
        <w:rPr>
          <w:sz w:val="24"/>
        </w:rPr>
        <w:t>7.乙方不履行协议义务或者未按协议约定履行义务的其他情况。</w:t>
      </w:r>
    </w:p>
    <w:p>
      <w:pPr>
        <w:spacing w:line="276" w:lineRule="auto"/>
        <w:ind w:firstLine="480" w:firstLineChars="200"/>
        <w:rPr>
          <w:sz w:val="24"/>
        </w:rPr>
      </w:pPr>
      <w:bookmarkStart w:id="166" w:name="_Toc383301035"/>
      <w:bookmarkStart w:id="167" w:name="_Toc442022109"/>
      <w:bookmarkStart w:id="168" w:name="_Toc396037062"/>
      <w:bookmarkStart w:id="169" w:name="_Toc389985367"/>
      <w:bookmarkStart w:id="170" w:name="_Toc451698748"/>
      <w:bookmarkStart w:id="171" w:name="_Toc384944725"/>
      <w:bookmarkStart w:id="172" w:name="_Toc396036418"/>
      <w:bookmarkStart w:id="173" w:name="_Toc381911474"/>
      <w:bookmarkStart w:id="174" w:name="_Toc442016150"/>
      <w:bookmarkStart w:id="175" w:name="_Toc442133379"/>
      <w:bookmarkStart w:id="176" w:name="_Toc434694371"/>
      <w:r>
        <w:rPr>
          <w:sz w:val="24"/>
        </w:rPr>
        <w:t>第十</w:t>
      </w:r>
      <w:r>
        <w:rPr>
          <w:rFonts w:hint="eastAsia"/>
          <w:sz w:val="24"/>
        </w:rPr>
        <w:t>一</w:t>
      </w:r>
      <w:r>
        <w:rPr>
          <w:sz w:val="24"/>
        </w:rPr>
        <w:t>条 补充条款</w:t>
      </w:r>
      <w:bookmarkEnd w:id="166"/>
      <w:bookmarkEnd w:id="167"/>
      <w:bookmarkEnd w:id="168"/>
      <w:bookmarkEnd w:id="169"/>
      <w:bookmarkEnd w:id="170"/>
      <w:bookmarkEnd w:id="171"/>
      <w:bookmarkEnd w:id="172"/>
      <w:bookmarkEnd w:id="173"/>
      <w:bookmarkEnd w:id="174"/>
      <w:bookmarkEnd w:id="175"/>
      <w:bookmarkEnd w:id="176"/>
    </w:p>
    <w:p>
      <w:pPr>
        <w:spacing w:line="276" w:lineRule="auto"/>
        <w:ind w:firstLine="480" w:firstLineChars="200"/>
        <w:rPr>
          <w:sz w:val="24"/>
        </w:rPr>
      </w:pPr>
      <w:r>
        <w:rPr>
          <w:sz w:val="24"/>
        </w:rPr>
        <w:t xml:space="preserve">甲乙双方在遵守有关法律、法规、规章和标准的前提下，结合项目施工实际，经协商一致后，可对以上条款内容进行补充但不得相悖，补充条款与本协议其他条款具有同等法律效力。 </w:t>
      </w:r>
    </w:p>
    <w:p>
      <w:pPr>
        <w:spacing w:line="276" w:lineRule="auto"/>
        <w:ind w:firstLine="480" w:firstLineChars="200"/>
        <w:rPr>
          <w:sz w:val="24"/>
        </w:rPr>
      </w:pPr>
      <w:bookmarkStart w:id="177" w:name="_Toc381911475"/>
      <w:bookmarkStart w:id="178" w:name="_Toc384944726"/>
      <w:bookmarkStart w:id="179" w:name="_Toc396037063"/>
      <w:bookmarkStart w:id="180" w:name="_Toc389985368"/>
      <w:bookmarkStart w:id="181" w:name="_Toc442133380"/>
      <w:bookmarkStart w:id="182" w:name="_Toc383301036"/>
      <w:bookmarkStart w:id="183" w:name="_Toc442022110"/>
      <w:bookmarkStart w:id="184" w:name="_Toc451698749"/>
      <w:bookmarkStart w:id="185" w:name="_Toc434694372"/>
      <w:bookmarkStart w:id="186" w:name="_Toc396036419"/>
      <w:bookmarkStart w:id="187" w:name="_Toc442016151"/>
      <w:r>
        <w:rPr>
          <w:sz w:val="24"/>
        </w:rPr>
        <w:t>第十</w:t>
      </w:r>
      <w:r>
        <w:rPr>
          <w:rFonts w:hint="eastAsia"/>
          <w:sz w:val="24"/>
        </w:rPr>
        <w:t>二</w:t>
      </w:r>
      <w:r>
        <w:rPr>
          <w:sz w:val="24"/>
        </w:rPr>
        <w:t>条 协议生效</w:t>
      </w:r>
      <w:bookmarkEnd w:id="177"/>
      <w:bookmarkEnd w:id="178"/>
      <w:bookmarkEnd w:id="179"/>
      <w:bookmarkEnd w:id="180"/>
      <w:bookmarkEnd w:id="181"/>
      <w:bookmarkEnd w:id="182"/>
      <w:bookmarkEnd w:id="183"/>
      <w:bookmarkEnd w:id="184"/>
      <w:bookmarkEnd w:id="185"/>
      <w:bookmarkEnd w:id="186"/>
      <w:bookmarkEnd w:id="187"/>
    </w:p>
    <w:p>
      <w:pPr>
        <w:spacing w:line="276" w:lineRule="auto"/>
        <w:ind w:firstLine="480" w:firstLineChars="200"/>
        <w:rPr>
          <w:sz w:val="24"/>
        </w:rPr>
      </w:pPr>
      <w:r>
        <w:rPr>
          <w:sz w:val="24"/>
        </w:rPr>
        <w:t>本协议自甲乙双方签字盖章之日起生效，其时效与双方所签订项目承包合同相同。</w:t>
      </w:r>
    </w:p>
    <w:p>
      <w:pPr>
        <w:spacing w:line="276" w:lineRule="auto"/>
        <w:ind w:firstLine="480" w:firstLineChars="200"/>
        <w:rPr>
          <w:sz w:val="24"/>
        </w:rPr>
      </w:pPr>
      <w:r>
        <w:rPr>
          <w:sz w:val="24"/>
        </w:rPr>
        <w:t>甲方(盖章)：                           乙方(盖章)：</w:t>
      </w:r>
    </w:p>
    <w:p>
      <w:pPr>
        <w:spacing w:line="276" w:lineRule="auto"/>
        <w:ind w:firstLine="480" w:firstLineChars="200"/>
        <w:rPr>
          <w:sz w:val="24"/>
        </w:rPr>
      </w:pPr>
      <w:r>
        <w:rPr>
          <w:sz w:val="24"/>
        </w:rPr>
        <w:t>企业负责人(签字)：                     企业负责人(签字)：　</w:t>
      </w:r>
    </w:p>
    <w:p>
      <w:pPr>
        <w:spacing w:line="276" w:lineRule="auto"/>
        <w:ind w:firstLine="480" w:firstLineChars="200"/>
        <w:rPr>
          <w:sz w:val="24"/>
        </w:rPr>
      </w:pPr>
      <w:r>
        <w:rPr>
          <w:sz w:val="24"/>
        </w:rPr>
        <w:t xml:space="preserve">或委托代理人(签字) </w:t>
      </w:r>
      <w:r>
        <w:rPr>
          <w:rFonts w:hint="eastAsia"/>
          <w:sz w:val="24"/>
        </w:rPr>
        <w:t>：</w:t>
      </w:r>
      <w:r>
        <w:rPr>
          <w:sz w:val="24"/>
        </w:rPr>
        <w:t xml:space="preserve">                  或委托代理人(签字)：</w:t>
      </w:r>
    </w:p>
    <w:p>
      <w:pPr>
        <w:spacing w:line="276" w:lineRule="auto"/>
        <w:ind w:firstLine="480" w:firstLineChars="200"/>
        <w:rPr>
          <w:sz w:val="24"/>
        </w:rPr>
      </w:pPr>
      <w:r>
        <w:rPr>
          <w:sz w:val="24"/>
        </w:rPr>
        <w:t xml:space="preserve">联系电话：           </w:t>
      </w:r>
      <w:r>
        <w:rPr>
          <w:rFonts w:hint="eastAsia"/>
          <w:sz w:val="24"/>
        </w:rPr>
        <w:t xml:space="preserve">                 </w:t>
      </w:r>
      <w:r>
        <w:rPr>
          <w:sz w:val="24"/>
        </w:rPr>
        <w:t xml:space="preserve"> 联系电话：</w:t>
      </w:r>
    </w:p>
    <w:p>
      <w:pPr>
        <w:spacing w:line="276" w:lineRule="auto"/>
        <w:ind w:firstLine="480" w:firstLineChars="200"/>
        <w:rPr>
          <w:sz w:val="24"/>
        </w:rPr>
      </w:pPr>
      <w:r>
        <w:rPr>
          <w:sz w:val="24"/>
        </w:rPr>
        <w:t xml:space="preserve">日期：  </w:t>
      </w:r>
      <w:r>
        <w:rPr>
          <w:rFonts w:hint="eastAsia"/>
          <w:sz w:val="24"/>
        </w:rPr>
        <w:t xml:space="preserve"> </w:t>
      </w:r>
      <w:r>
        <w:rPr>
          <w:sz w:val="24"/>
        </w:rPr>
        <w:t xml:space="preserve">  年</w:t>
      </w:r>
      <w:r>
        <w:rPr>
          <w:rFonts w:hint="eastAsia"/>
          <w:sz w:val="24"/>
        </w:rPr>
        <w:t xml:space="preserve"> </w:t>
      </w:r>
      <w:r>
        <w:rPr>
          <w:sz w:val="24"/>
        </w:rPr>
        <w:t xml:space="preserve">  月  </w:t>
      </w:r>
      <w:r>
        <w:rPr>
          <w:rFonts w:hint="eastAsia"/>
          <w:sz w:val="24"/>
        </w:rPr>
        <w:t xml:space="preserve"> </w:t>
      </w:r>
      <w:r>
        <w:rPr>
          <w:sz w:val="24"/>
        </w:rPr>
        <w:t xml:space="preserve">日                日期：  </w:t>
      </w:r>
      <w:r>
        <w:rPr>
          <w:rFonts w:hint="eastAsia"/>
          <w:sz w:val="24"/>
        </w:rPr>
        <w:t xml:space="preserve">  </w:t>
      </w:r>
      <w:r>
        <w:rPr>
          <w:sz w:val="24"/>
        </w:rPr>
        <w:t xml:space="preserve">  年 </w:t>
      </w:r>
      <w:r>
        <w:rPr>
          <w:rFonts w:hint="eastAsia"/>
          <w:sz w:val="24"/>
        </w:rPr>
        <w:t xml:space="preserve"> </w:t>
      </w:r>
      <w:r>
        <w:rPr>
          <w:sz w:val="24"/>
        </w:rPr>
        <w:t xml:space="preserve"> 月 </w:t>
      </w:r>
      <w:r>
        <w:rPr>
          <w:rFonts w:hint="eastAsia"/>
          <w:sz w:val="24"/>
        </w:rPr>
        <w:t xml:space="preserve">  </w:t>
      </w:r>
      <w:r>
        <w:rPr>
          <w:sz w:val="24"/>
        </w:rPr>
        <w:t xml:space="preserve"> 日</w:t>
      </w:r>
    </w:p>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r>
        <w:rPr>
          <w:rFonts w:hint="eastAsia" w:eastAsia="仿宋" w:asciiTheme="minorEastAsia" w:hAnsiTheme="minorEastAsia"/>
          <w:snapToGrid w:val="0"/>
          <w:sz w:val="24"/>
        </w:rPr>
        <w:t>附件4：环保管理协议书</w:t>
      </w: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spacing w:line="276" w:lineRule="auto"/>
        <w:jc w:val="center"/>
        <w:rPr>
          <w:sz w:val="32"/>
          <w:szCs w:val="32"/>
        </w:rPr>
      </w:pPr>
      <w:r>
        <w:rPr>
          <w:rFonts w:hint="eastAsia"/>
          <w:sz w:val="32"/>
          <w:szCs w:val="32"/>
        </w:rPr>
        <w:t>甲、乙类承包商环保管理协议</w:t>
      </w:r>
    </w:p>
    <w:p>
      <w:pPr>
        <w:spacing w:line="276" w:lineRule="auto"/>
        <w:jc w:val="center"/>
        <w:rPr>
          <w:sz w:val="32"/>
          <w:szCs w:val="32"/>
        </w:rPr>
      </w:pPr>
    </w:p>
    <w:p>
      <w:pPr>
        <w:spacing w:line="276" w:lineRule="auto"/>
        <w:ind w:firstLine="480" w:firstLineChars="200"/>
        <w:rPr>
          <w:sz w:val="24"/>
        </w:rPr>
      </w:pPr>
      <w:r>
        <w:rPr>
          <w:rFonts w:hint="eastAsia"/>
          <w:sz w:val="24"/>
        </w:rPr>
        <w:t>发包方：中粮梁河糖业有限公司     （以下称甲方）</w:t>
      </w:r>
    </w:p>
    <w:p>
      <w:pPr>
        <w:spacing w:line="276" w:lineRule="auto"/>
        <w:ind w:firstLine="480" w:firstLineChars="200"/>
        <w:rPr>
          <w:sz w:val="24"/>
        </w:rPr>
      </w:pPr>
    </w:p>
    <w:p>
      <w:pPr>
        <w:spacing w:line="276" w:lineRule="auto"/>
        <w:ind w:firstLine="480" w:firstLineChars="200"/>
        <w:rPr>
          <w:sz w:val="24"/>
        </w:rPr>
      </w:pPr>
      <w:r>
        <w:rPr>
          <w:rFonts w:hint="eastAsia"/>
          <w:sz w:val="24"/>
        </w:rPr>
        <w:t>承包方：                         （以下称乙方）</w:t>
      </w:r>
    </w:p>
    <w:p>
      <w:pPr>
        <w:spacing w:line="276" w:lineRule="auto"/>
        <w:ind w:firstLine="480" w:firstLineChars="200"/>
        <w:rPr>
          <w:sz w:val="24"/>
        </w:rPr>
      </w:pPr>
    </w:p>
    <w:p>
      <w:pPr>
        <w:spacing w:line="276" w:lineRule="auto"/>
        <w:ind w:firstLine="480" w:firstLineChars="200"/>
        <w:rPr>
          <w:sz w:val="24"/>
        </w:rPr>
      </w:pPr>
      <w:r>
        <w:rPr>
          <w:rFonts w:hint="eastAsia"/>
          <w:sz w:val="24"/>
        </w:rPr>
        <w:t>为做好甲方在劳务外包期间厂区及周边环境保护工作，减少作业对厂区环境的污染，认真贯彻执行环境保护等有关法律法规，结合本单位实际情况，经甲乙双方同意特签订环境保护协议如下：</w:t>
      </w:r>
    </w:p>
    <w:p>
      <w:pPr>
        <w:spacing w:line="276" w:lineRule="auto"/>
        <w:ind w:firstLine="480" w:firstLineChars="200"/>
        <w:rPr>
          <w:sz w:val="24"/>
        </w:rPr>
      </w:pPr>
      <w:r>
        <w:rPr>
          <w:rFonts w:hint="eastAsia"/>
          <w:sz w:val="24"/>
        </w:rPr>
        <w:t>第一条乙方为甲方劳务外包期间，应满足如下要求：</w:t>
      </w:r>
    </w:p>
    <w:p>
      <w:pPr>
        <w:spacing w:line="276" w:lineRule="auto"/>
        <w:ind w:firstLine="480" w:firstLineChars="200"/>
        <w:rPr>
          <w:sz w:val="24"/>
        </w:rPr>
      </w:pPr>
      <w:r>
        <w:rPr>
          <w:rFonts w:hint="eastAsia"/>
          <w:sz w:val="24"/>
        </w:rPr>
        <w:t>（一）乙方在甲方现场的所有活动必须遵守国家相关法律法规。</w:t>
      </w:r>
    </w:p>
    <w:p>
      <w:pPr>
        <w:spacing w:line="276" w:lineRule="auto"/>
        <w:ind w:firstLine="480" w:firstLineChars="200"/>
        <w:rPr>
          <w:sz w:val="24"/>
        </w:rPr>
      </w:pPr>
      <w:r>
        <w:rPr>
          <w:rFonts w:hint="eastAsia"/>
          <w:sz w:val="24"/>
        </w:rPr>
        <w:t>（二）乙方进入甲方厂内必须对因施工或其他生产行为可能对环境造成的污染应采取积极预防并不断改进的措施，确保污染物达标排放，同时应做出持续改进 的承诺。</w:t>
      </w:r>
    </w:p>
    <w:p>
      <w:pPr>
        <w:spacing w:line="276" w:lineRule="auto"/>
        <w:ind w:firstLine="480" w:firstLineChars="200"/>
        <w:rPr>
          <w:sz w:val="24"/>
        </w:rPr>
      </w:pPr>
      <w:r>
        <w:rPr>
          <w:rFonts w:hint="eastAsia"/>
          <w:sz w:val="24"/>
        </w:rPr>
        <w:t>（三）乙方在甲方厂内工作前有义务主动向甲方了解作业区域内环保管理要求。</w:t>
      </w:r>
    </w:p>
    <w:p>
      <w:pPr>
        <w:spacing w:line="276" w:lineRule="auto"/>
        <w:ind w:firstLine="480" w:firstLineChars="200"/>
        <w:rPr>
          <w:sz w:val="24"/>
        </w:rPr>
      </w:pPr>
      <w:r>
        <w:rPr>
          <w:rFonts w:hint="eastAsia"/>
          <w:sz w:val="24"/>
        </w:rPr>
        <w:t>（四）甲乙双方合同履行期间，乙方必须采取有效措施将乙方人员在劳动过程对产生环境影响的主要因 素进行有效控制。</w:t>
      </w:r>
    </w:p>
    <w:p>
      <w:pPr>
        <w:spacing w:line="276" w:lineRule="auto"/>
        <w:ind w:firstLine="480" w:firstLineChars="200"/>
        <w:rPr>
          <w:sz w:val="24"/>
        </w:rPr>
      </w:pPr>
      <w:r>
        <w:rPr>
          <w:rFonts w:hint="eastAsia"/>
          <w:sz w:val="24"/>
        </w:rPr>
        <w:t>（五）乙方人员在上岗前必须对现场作业人员进行环保教育或培训，提高现场人员的环保意识。</w:t>
      </w:r>
    </w:p>
    <w:p>
      <w:pPr>
        <w:spacing w:line="276" w:lineRule="auto"/>
        <w:ind w:firstLine="480" w:firstLineChars="200"/>
        <w:rPr>
          <w:sz w:val="24"/>
        </w:rPr>
      </w:pPr>
      <w:r>
        <w:rPr>
          <w:rFonts w:hint="eastAsia"/>
          <w:sz w:val="24"/>
        </w:rPr>
        <w:t>（六）乙方必须建立一套环境事故应急反应预案并且在甲方处备案。</w:t>
      </w:r>
    </w:p>
    <w:p>
      <w:pPr>
        <w:spacing w:line="276" w:lineRule="auto"/>
        <w:ind w:firstLine="480" w:firstLineChars="200"/>
        <w:rPr>
          <w:sz w:val="24"/>
        </w:rPr>
      </w:pPr>
      <w:r>
        <w:rPr>
          <w:rFonts w:hint="eastAsia"/>
          <w:sz w:val="24"/>
        </w:rPr>
        <w:t>（七）甲方将不定期对乙方在环境保护方面的工作落实情况进行检查，乙方应积极配合，如有检查确认的不合格项，乙方须予以整改。</w:t>
      </w:r>
    </w:p>
    <w:p>
      <w:pPr>
        <w:spacing w:line="276" w:lineRule="auto"/>
        <w:ind w:firstLine="480" w:firstLineChars="200"/>
        <w:rPr>
          <w:sz w:val="24"/>
        </w:rPr>
      </w:pPr>
      <w:r>
        <w:rPr>
          <w:rFonts w:hint="eastAsia"/>
          <w:sz w:val="24"/>
        </w:rPr>
        <w:t>（八）乙方在环境保护工作落实期间如遇突发问题,甲方应予以积极协助和指导。乙方在整个劳务外包期间,始终具有履行环境保护工作的责任和义务。甲方负责检查、指导和监督，乙方在作业过程必须做好如下工作要求：</w:t>
      </w:r>
    </w:p>
    <w:p>
      <w:pPr>
        <w:pStyle w:val="120"/>
        <w:spacing w:line="320" w:lineRule="exact"/>
        <w:ind w:firstLine="480" w:firstLineChars="200"/>
        <w:rPr>
          <w:rFonts w:cs="Times New Roman"/>
          <w:color w:val="auto"/>
          <w:kern w:val="2"/>
        </w:rPr>
      </w:pPr>
      <w:r>
        <w:rPr>
          <w:rFonts w:hint="eastAsia" w:cs="Times New Roman"/>
          <w:color w:val="auto"/>
          <w:kern w:val="2"/>
        </w:rPr>
        <w:t>1.固废</w:t>
      </w:r>
    </w:p>
    <w:p>
      <w:pPr>
        <w:pStyle w:val="120"/>
        <w:spacing w:line="320" w:lineRule="exact"/>
        <w:ind w:firstLine="480" w:firstLineChars="200"/>
        <w:rPr>
          <w:rFonts w:cs="Times New Roman"/>
          <w:color w:val="auto"/>
          <w:kern w:val="2"/>
        </w:rPr>
      </w:pPr>
      <w:r>
        <w:rPr>
          <w:rFonts w:cs="Times New Roman"/>
          <w:color w:val="auto"/>
          <w:kern w:val="2"/>
        </w:rPr>
        <w:t>(1)</w:t>
      </w:r>
      <w:r>
        <w:rPr>
          <w:rFonts w:hint="eastAsia" w:cs="Times New Roman"/>
          <w:color w:val="auto"/>
          <w:kern w:val="2"/>
        </w:rPr>
        <w:t>施工作业产生的固废分类定点放置并及时合法合规处置。处置时向甲方报告处置地点，提供处置单位资质。</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2)</w:t>
      </w:r>
      <w:r>
        <w:rPr>
          <w:rFonts w:hint="eastAsia" w:cs="Times New Roman"/>
          <w:color w:val="auto"/>
          <w:kern w:val="2"/>
        </w:rPr>
        <w:t>土建施工挖出的泥土砂石等须及时填埋洒水，恢复原状。</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3)</w:t>
      </w:r>
      <w:r>
        <w:rPr>
          <w:rFonts w:hint="eastAsia" w:cs="Times New Roman"/>
          <w:color w:val="auto"/>
          <w:kern w:val="2"/>
        </w:rPr>
        <w:t>滤泥、白泥、环保污泥、锅炉灰渣等固废拉运处置时保持现场及路面干净，如有掉落及时清扫。</w:t>
      </w:r>
    </w:p>
    <w:p>
      <w:pPr>
        <w:pStyle w:val="120"/>
        <w:spacing w:line="320" w:lineRule="exact"/>
        <w:ind w:firstLine="480" w:firstLineChars="200"/>
        <w:rPr>
          <w:rFonts w:cs="Times New Roman"/>
          <w:color w:val="auto"/>
          <w:kern w:val="2"/>
        </w:rPr>
      </w:pPr>
      <w:r>
        <w:rPr>
          <w:rFonts w:hint="eastAsia" w:cs="Times New Roman"/>
          <w:color w:val="auto"/>
          <w:kern w:val="2"/>
        </w:rPr>
        <w:t>2</w:t>
      </w:r>
      <w:r>
        <w:rPr>
          <w:rFonts w:cs="Times New Roman"/>
          <w:color w:val="auto"/>
          <w:kern w:val="2"/>
        </w:rPr>
        <w:t>.</w:t>
      </w:r>
      <w:r>
        <w:rPr>
          <w:rFonts w:hint="eastAsia" w:cs="Times New Roman"/>
          <w:color w:val="auto"/>
          <w:kern w:val="2"/>
        </w:rPr>
        <w:t>危废</w:t>
      </w:r>
    </w:p>
    <w:p>
      <w:pPr>
        <w:pStyle w:val="120"/>
        <w:spacing w:line="320" w:lineRule="exact"/>
        <w:ind w:firstLine="480" w:firstLineChars="200"/>
        <w:rPr>
          <w:rFonts w:cs="Times New Roman"/>
          <w:color w:val="auto"/>
          <w:kern w:val="2"/>
        </w:rPr>
      </w:pPr>
      <w:r>
        <w:rPr>
          <w:rFonts w:cs="Times New Roman"/>
          <w:color w:val="auto"/>
          <w:kern w:val="2"/>
        </w:rPr>
        <w:t>(1)</w:t>
      </w:r>
      <w:r>
        <w:rPr>
          <w:rFonts w:hint="eastAsia" w:cs="Times New Roman"/>
          <w:color w:val="auto"/>
          <w:kern w:val="2"/>
        </w:rPr>
        <w:t>乙方在施工过程中使用有毒有害物质如油漆、涂料、机油等，应做好防泄漏储存措施，以免泄漏危害环境。</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2)</w:t>
      </w:r>
      <w:r>
        <w:rPr>
          <w:rFonts w:hint="eastAsia" w:cs="Times New Roman"/>
          <w:color w:val="auto"/>
          <w:kern w:val="2"/>
        </w:rPr>
        <w:t>施工过程产生的废机油、废机油桶、废油漆桶、石棉废物等危险废物联系有资质的第三方进行处置。处置时向甲方报告处置地点，提供处置单位资质。</w:t>
      </w:r>
    </w:p>
    <w:p>
      <w:pPr>
        <w:pStyle w:val="120"/>
        <w:spacing w:line="320" w:lineRule="exact"/>
        <w:ind w:firstLine="480" w:firstLineChars="200"/>
        <w:rPr>
          <w:rFonts w:cs="Times New Roman"/>
          <w:color w:val="auto"/>
          <w:kern w:val="2"/>
        </w:rPr>
      </w:pPr>
      <w:r>
        <w:rPr>
          <w:rFonts w:hint="eastAsia" w:cs="Times New Roman"/>
          <w:color w:val="auto"/>
          <w:kern w:val="2"/>
        </w:rPr>
        <w:t>3</w:t>
      </w:r>
      <w:r>
        <w:rPr>
          <w:rFonts w:cs="Times New Roman"/>
          <w:color w:val="auto"/>
          <w:kern w:val="2"/>
        </w:rPr>
        <w:t>.</w:t>
      </w:r>
      <w:r>
        <w:rPr>
          <w:rFonts w:hint="eastAsia" w:cs="Times New Roman"/>
          <w:color w:val="auto"/>
          <w:kern w:val="2"/>
        </w:rPr>
        <w:t>噪声</w:t>
      </w:r>
    </w:p>
    <w:p>
      <w:pPr>
        <w:pStyle w:val="120"/>
        <w:spacing w:line="320" w:lineRule="exact"/>
        <w:ind w:firstLine="480" w:firstLineChars="200"/>
        <w:rPr>
          <w:rFonts w:cs="Times New Roman"/>
          <w:color w:val="auto"/>
          <w:kern w:val="2"/>
        </w:rPr>
      </w:pPr>
      <w:r>
        <w:rPr>
          <w:rFonts w:cs="Times New Roman"/>
          <w:color w:val="auto"/>
          <w:kern w:val="2"/>
        </w:rPr>
        <w:t>(1)乙方施工</w:t>
      </w:r>
      <w:r>
        <w:rPr>
          <w:rFonts w:hint="eastAsia" w:cs="Times New Roman"/>
          <w:color w:val="auto"/>
          <w:kern w:val="2"/>
        </w:rPr>
        <w:t>产生的</w:t>
      </w:r>
      <w:r>
        <w:rPr>
          <w:rFonts w:cs="Times New Roman"/>
          <w:color w:val="auto"/>
          <w:kern w:val="2"/>
        </w:rPr>
        <w:t>噪声，</w:t>
      </w:r>
      <w:r>
        <w:rPr>
          <w:rFonts w:hint="eastAsia" w:cs="Times New Roman"/>
          <w:color w:val="auto"/>
          <w:kern w:val="2"/>
        </w:rPr>
        <w:t>须</w:t>
      </w:r>
      <w:r>
        <w:rPr>
          <w:rFonts w:cs="Times New Roman"/>
          <w:color w:val="auto"/>
          <w:kern w:val="2"/>
        </w:rPr>
        <w:t>符合国家规定的施工环境噪声排放标准</w:t>
      </w:r>
      <w:r>
        <w:rPr>
          <w:rFonts w:hint="eastAsia" w:cs="Times New Roman"/>
          <w:color w:val="auto"/>
          <w:kern w:val="2"/>
        </w:rPr>
        <w:t>。同时</w:t>
      </w:r>
      <w:r>
        <w:rPr>
          <w:rFonts w:cs="Times New Roman"/>
          <w:color w:val="auto"/>
          <w:kern w:val="2"/>
        </w:rPr>
        <w:t>应采取有效措施，减轻噪声对周围生活环境的影响。</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2)</w:t>
      </w:r>
      <w:r>
        <w:rPr>
          <w:rFonts w:hint="eastAsia" w:cs="Times New Roman"/>
          <w:color w:val="auto"/>
          <w:kern w:val="2"/>
        </w:rPr>
        <w:t>乙方应</w:t>
      </w:r>
      <w:r>
        <w:rPr>
          <w:rFonts w:cs="Times New Roman"/>
          <w:color w:val="auto"/>
          <w:kern w:val="2"/>
        </w:rPr>
        <w:t>加强机动车辆维修和保养，</w:t>
      </w:r>
      <w:r>
        <w:rPr>
          <w:rFonts w:hint="eastAsia" w:cs="Times New Roman"/>
          <w:color w:val="auto"/>
          <w:kern w:val="2"/>
        </w:rPr>
        <w:t>机动车辆噪声符合国家规定的排放标准。</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3)乙方机动车辆进入</w:t>
      </w:r>
      <w:r>
        <w:rPr>
          <w:rFonts w:hint="eastAsia" w:cs="Times New Roman"/>
          <w:color w:val="auto"/>
          <w:kern w:val="2"/>
        </w:rPr>
        <w:t>甲方项目/服务</w:t>
      </w:r>
      <w:r>
        <w:rPr>
          <w:rFonts w:cs="Times New Roman"/>
          <w:color w:val="auto"/>
          <w:kern w:val="2"/>
        </w:rPr>
        <w:t>现场严禁使用喇叭。</w:t>
      </w:r>
    </w:p>
    <w:p>
      <w:pPr>
        <w:pStyle w:val="120"/>
        <w:spacing w:line="320" w:lineRule="exact"/>
        <w:ind w:firstLine="480" w:firstLineChars="200"/>
        <w:rPr>
          <w:rFonts w:cs="Times New Roman"/>
          <w:color w:val="auto"/>
          <w:kern w:val="2"/>
        </w:rPr>
      </w:pPr>
      <w:r>
        <w:rPr>
          <w:rFonts w:hint="eastAsia" w:cs="Times New Roman"/>
          <w:color w:val="auto"/>
          <w:kern w:val="2"/>
        </w:rPr>
        <w:t>4</w:t>
      </w:r>
      <w:r>
        <w:rPr>
          <w:rFonts w:cs="Times New Roman"/>
          <w:color w:val="auto"/>
          <w:kern w:val="2"/>
        </w:rPr>
        <w:t>.</w:t>
      </w:r>
      <w:r>
        <w:rPr>
          <w:rFonts w:hint="eastAsia" w:cs="Times New Roman"/>
          <w:color w:val="auto"/>
          <w:kern w:val="2"/>
        </w:rPr>
        <w:t>水</w:t>
      </w:r>
    </w:p>
    <w:p>
      <w:pPr>
        <w:pStyle w:val="120"/>
        <w:spacing w:line="320" w:lineRule="exact"/>
        <w:ind w:firstLine="480" w:firstLineChars="200"/>
        <w:rPr>
          <w:rFonts w:cs="Times New Roman"/>
          <w:color w:val="auto"/>
          <w:kern w:val="2"/>
        </w:rPr>
      </w:pPr>
      <w:r>
        <w:rPr>
          <w:rFonts w:cs="Times New Roman"/>
          <w:color w:val="auto"/>
          <w:kern w:val="2"/>
        </w:rPr>
        <w:t>(1)禁止</w:t>
      </w:r>
      <w:r>
        <w:rPr>
          <w:rFonts w:hint="eastAsia" w:cs="Times New Roman"/>
          <w:color w:val="auto"/>
          <w:kern w:val="2"/>
        </w:rPr>
        <w:t>向</w:t>
      </w:r>
      <w:r>
        <w:rPr>
          <w:rFonts w:cs="Times New Roman"/>
          <w:color w:val="auto"/>
          <w:kern w:val="2"/>
        </w:rPr>
        <w:t>施工现场周边排放油类、酸液、碱液或者</w:t>
      </w:r>
      <w:r>
        <w:rPr>
          <w:rFonts w:hint="eastAsia" w:cs="Times New Roman"/>
          <w:color w:val="auto"/>
          <w:kern w:val="2"/>
        </w:rPr>
        <w:t>有</w:t>
      </w:r>
      <w:r>
        <w:rPr>
          <w:rFonts w:cs="Times New Roman"/>
          <w:color w:val="auto"/>
          <w:kern w:val="2"/>
        </w:rPr>
        <w:t>毒废液。</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2)禁止向施工现场周边水体排放、倾倒放射性固体废物或者含有高放射性</w:t>
      </w:r>
      <w:r>
        <w:rPr>
          <w:rFonts w:hint="eastAsia" w:cs="Times New Roman"/>
          <w:color w:val="auto"/>
          <w:kern w:val="2"/>
        </w:rPr>
        <w:t>或</w:t>
      </w:r>
      <w:r>
        <w:rPr>
          <w:rFonts w:cs="Times New Roman"/>
          <w:color w:val="auto"/>
          <w:kern w:val="2"/>
        </w:rPr>
        <w:t>中放射性物质的废水。</w:t>
      </w:r>
    </w:p>
    <w:p>
      <w:pPr>
        <w:pStyle w:val="120"/>
        <w:spacing w:line="320" w:lineRule="exact"/>
        <w:ind w:firstLine="480" w:firstLineChars="200"/>
        <w:rPr>
          <w:rFonts w:cs="Times New Roman"/>
          <w:color w:val="auto"/>
          <w:kern w:val="2"/>
        </w:rPr>
      </w:pPr>
      <w:r>
        <w:rPr>
          <w:rFonts w:hint="eastAsia" w:cs="Times New Roman"/>
          <w:color w:val="auto"/>
          <w:kern w:val="2"/>
        </w:rPr>
        <w:t>5</w:t>
      </w:r>
      <w:r>
        <w:rPr>
          <w:rFonts w:cs="Times New Roman"/>
          <w:color w:val="auto"/>
          <w:kern w:val="2"/>
        </w:rPr>
        <w:t>.</w:t>
      </w:r>
      <w:r>
        <w:rPr>
          <w:rFonts w:hint="eastAsia" w:cs="Times New Roman"/>
          <w:color w:val="auto"/>
          <w:kern w:val="2"/>
        </w:rPr>
        <w:t>气</w:t>
      </w:r>
    </w:p>
    <w:p>
      <w:pPr>
        <w:pStyle w:val="120"/>
        <w:spacing w:line="320" w:lineRule="exact"/>
        <w:ind w:firstLine="480" w:firstLineChars="200"/>
        <w:rPr>
          <w:rFonts w:cs="Times New Roman"/>
          <w:color w:val="auto"/>
          <w:kern w:val="2"/>
        </w:rPr>
      </w:pPr>
      <w:r>
        <w:rPr>
          <w:rFonts w:cs="Times New Roman"/>
          <w:color w:val="auto"/>
          <w:kern w:val="2"/>
        </w:rPr>
        <w:t>(1)施工</w:t>
      </w:r>
      <w:r>
        <w:rPr>
          <w:rFonts w:hint="eastAsia" w:cs="Times New Roman"/>
          <w:color w:val="auto"/>
          <w:kern w:val="2"/>
        </w:rPr>
        <w:t>现场</w:t>
      </w:r>
      <w:r>
        <w:rPr>
          <w:rFonts w:cs="Times New Roman"/>
          <w:color w:val="auto"/>
          <w:kern w:val="2"/>
        </w:rPr>
        <w:t>禁止焚烧油毡、橡胶、塑料、皮革、垃圾以及其他产生有毒有害烟尘和恶臭气体的物质。</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2)</w:t>
      </w:r>
      <w:r>
        <w:rPr>
          <w:rFonts w:hint="eastAsia" w:cs="Times New Roman"/>
          <w:color w:val="auto"/>
          <w:kern w:val="2"/>
        </w:rPr>
        <w:t>乙方应</w:t>
      </w:r>
      <w:r>
        <w:rPr>
          <w:rFonts w:cs="Times New Roman"/>
          <w:color w:val="auto"/>
          <w:kern w:val="2"/>
        </w:rPr>
        <w:t>加强机动车辆维修和保养，</w:t>
      </w:r>
      <w:r>
        <w:rPr>
          <w:rFonts w:hint="eastAsia" w:cs="Times New Roman"/>
          <w:color w:val="auto"/>
          <w:kern w:val="2"/>
        </w:rPr>
        <w:t>机动车辆尾气符合国家规定的排放标准。</w:t>
      </w:r>
    </w:p>
    <w:p>
      <w:pPr>
        <w:pStyle w:val="120"/>
        <w:spacing w:line="320" w:lineRule="exact"/>
        <w:ind w:firstLine="480" w:firstLineChars="200"/>
        <w:rPr>
          <w:rFonts w:cs="Times New Roman"/>
          <w:color w:val="auto"/>
          <w:kern w:val="2"/>
        </w:rPr>
      </w:pPr>
      <w:r>
        <w:rPr>
          <w:rFonts w:cs="Times New Roman"/>
          <w:color w:val="auto"/>
          <w:kern w:val="2"/>
        </w:rPr>
        <w:t>6.</w:t>
      </w:r>
      <w:r>
        <w:rPr>
          <w:rFonts w:hint="eastAsia" w:cs="Times New Roman"/>
          <w:color w:val="auto"/>
          <w:kern w:val="2"/>
        </w:rPr>
        <w:t>无组织排放</w:t>
      </w:r>
    </w:p>
    <w:p>
      <w:pPr>
        <w:pStyle w:val="120"/>
        <w:spacing w:line="320" w:lineRule="exact"/>
        <w:ind w:firstLine="480" w:firstLineChars="200"/>
        <w:rPr>
          <w:rFonts w:cs="Times New Roman"/>
          <w:color w:val="auto"/>
          <w:kern w:val="2"/>
        </w:rPr>
      </w:pPr>
      <w:r>
        <w:rPr>
          <w:rFonts w:cs="Times New Roman"/>
          <w:color w:val="auto"/>
          <w:kern w:val="2"/>
        </w:rPr>
        <w:t>(1)</w:t>
      </w:r>
      <w:r>
        <w:rPr>
          <w:rFonts w:hint="eastAsia" w:cs="Times New Roman"/>
          <w:color w:val="auto"/>
          <w:kern w:val="2"/>
        </w:rPr>
        <w:t>容易产生扬尘的施工现场、清扫地面时须洒水，运输建筑垃圾需加盖蓬布等，以免粉尘弥漫，污染环境。</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2)</w:t>
      </w:r>
      <w:r>
        <w:rPr>
          <w:rFonts w:hint="eastAsia" w:cs="Times New Roman"/>
          <w:color w:val="auto"/>
          <w:kern w:val="2"/>
        </w:rPr>
        <w:t>临时堆放的土方采取彩条布覆盖等措施，以防尘土飞扬。</w:t>
      </w:r>
    </w:p>
    <w:p>
      <w:pPr>
        <w:pStyle w:val="120"/>
        <w:spacing w:line="320" w:lineRule="exact"/>
        <w:ind w:firstLine="480" w:firstLineChars="200"/>
        <w:rPr>
          <w:rFonts w:cs="Times New Roman"/>
          <w:color w:val="auto"/>
          <w:kern w:val="2"/>
        </w:rPr>
      </w:pPr>
      <w:r>
        <w:rPr>
          <w:rFonts w:cs="Times New Roman"/>
          <w:color w:val="auto"/>
          <w:kern w:val="2"/>
        </w:rPr>
        <w:t>7.</w:t>
      </w:r>
      <w:r>
        <w:rPr>
          <w:rFonts w:hint="eastAsia" w:cs="Times New Roman"/>
          <w:color w:val="auto"/>
          <w:kern w:val="2"/>
        </w:rPr>
        <w:t>其它</w:t>
      </w:r>
    </w:p>
    <w:p>
      <w:pPr>
        <w:pStyle w:val="120"/>
        <w:spacing w:line="320" w:lineRule="exact"/>
        <w:ind w:firstLine="480" w:firstLineChars="200"/>
        <w:rPr>
          <w:rFonts w:cs="Times New Roman"/>
          <w:color w:val="auto"/>
          <w:kern w:val="2"/>
        </w:rPr>
      </w:pPr>
      <w:r>
        <w:rPr>
          <w:rFonts w:cs="Times New Roman"/>
          <w:color w:val="auto"/>
          <w:kern w:val="2"/>
        </w:rPr>
        <w:t>(1)</w:t>
      </w:r>
      <w:r>
        <w:rPr>
          <w:rFonts w:hint="eastAsia" w:cs="Times New Roman"/>
          <w:color w:val="auto"/>
          <w:kern w:val="2"/>
        </w:rPr>
        <w:t>乙方施工／服务现场环境须遵守环境管理体系及法律法规有关作业场所的要求，场地功能划分及标识清楚，物资规范堆放和储存，保持现场的整洁有序。</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2)乙方应当合理选择和利用原材料、能源和其他资源，采用先进的生产工艺和设备，减少施工</w:t>
      </w:r>
      <w:r>
        <w:rPr>
          <w:rFonts w:hint="eastAsia" w:cs="Times New Roman"/>
          <w:color w:val="auto"/>
          <w:kern w:val="2"/>
        </w:rPr>
        <w:t>废水、废气、固废及噪声</w:t>
      </w:r>
      <w:r>
        <w:rPr>
          <w:rFonts w:cs="Times New Roman"/>
          <w:color w:val="auto"/>
          <w:kern w:val="2"/>
        </w:rPr>
        <w:t>产生。</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3)</w:t>
      </w:r>
      <w:r>
        <w:rPr>
          <w:rFonts w:hint="eastAsia" w:cs="Times New Roman"/>
          <w:color w:val="auto"/>
          <w:kern w:val="2"/>
        </w:rPr>
        <w:t>乙方使用的车辆必须具备国家法规和甲方所在地环保政策及相关规定的资质和要求，并在项目/服务实施过程中严格遵守法规及相关政策、规定。</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4)</w:t>
      </w:r>
      <w:r>
        <w:rPr>
          <w:rFonts w:hint="eastAsia" w:cs="Times New Roman"/>
          <w:color w:val="auto"/>
          <w:kern w:val="2"/>
        </w:rPr>
        <w:t>乙方车辆上路前应当规范装载、严禁超载，并清洗干净车轮、车身。对运输货物做好防尘、防洒落、防渗漏、防倾覆等措施，运输洒落时及时清扫，保持现场环境清洁卫生，杜绝环保污染隐患。造成他人人身、财产损害或环保赔偿的，乙方应当依法承担法律责任或赔偿责任。</w:t>
      </w:r>
    </w:p>
    <w:p>
      <w:pPr>
        <w:pStyle w:val="120"/>
        <w:spacing w:line="320" w:lineRule="exact"/>
        <w:ind w:firstLine="480" w:firstLineChars="200"/>
        <w:rPr>
          <w:rFonts w:cs="Times New Roman"/>
          <w:color w:val="auto"/>
          <w:kern w:val="2"/>
        </w:rPr>
      </w:pPr>
      <w:r>
        <w:rPr>
          <w:rFonts w:hint="eastAsia" w:cs="Times New Roman"/>
          <w:color w:val="auto"/>
          <w:kern w:val="2"/>
        </w:rPr>
        <w:t>(</w:t>
      </w:r>
      <w:r>
        <w:rPr>
          <w:rFonts w:cs="Times New Roman"/>
          <w:color w:val="auto"/>
          <w:kern w:val="2"/>
        </w:rPr>
        <w:t>5)</w:t>
      </w:r>
      <w:r>
        <w:rPr>
          <w:rFonts w:hint="eastAsia" w:cs="Times New Roman"/>
          <w:color w:val="auto"/>
          <w:kern w:val="2"/>
        </w:rPr>
        <w:t>乙方在施工现场根据区域大小合理设置1</w:t>
      </w:r>
      <w:r>
        <w:rPr>
          <w:rFonts w:cs="Times New Roman"/>
          <w:color w:val="auto"/>
          <w:kern w:val="2"/>
        </w:rPr>
        <w:t>-2</w:t>
      </w:r>
      <w:r>
        <w:rPr>
          <w:rFonts w:hint="eastAsia" w:cs="Times New Roman"/>
          <w:color w:val="auto"/>
          <w:kern w:val="2"/>
        </w:rPr>
        <w:t>个固废临时储放点，安排人员每天打扫一遍施工现场，每十天清理一次临时储放点。临时储放点设置超过</w:t>
      </w:r>
      <w:r>
        <w:rPr>
          <w:rFonts w:cs="Times New Roman"/>
          <w:color w:val="auto"/>
          <w:kern w:val="2"/>
        </w:rPr>
        <w:t>2</w:t>
      </w:r>
      <w:r>
        <w:rPr>
          <w:rFonts w:hint="eastAsia" w:cs="Times New Roman"/>
          <w:color w:val="auto"/>
          <w:kern w:val="2"/>
        </w:rPr>
        <w:t>个时须报经甲方安全环保部同意。</w:t>
      </w:r>
    </w:p>
    <w:p>
      <w:pPr>
        <w:spacing w:line="276" w:lineRule="auto"/>
        <w:ind w:firstLine="480" w:firstLineChars="200"/>
        <w:rPr>
          <w:sz w:val="24"/>
        </w:rPr>
      </w:pPr>
      <w:r>
        <w:rPr>
          <w:rFonts w:hint="eastAsia"/>
          <w:sz w:val="24"/>
        </w:rPr>
        <w:t>（九）以上对乙方的环保要求的最终解释权归甲方所有，乙方可向甲方进行咨询。</w:t>
      </w:r>
    </w:p>
    <w:p>
      <w:pPr>
        <w:spacing w:line="480" w:lineRule="exact"/>
        <w:ind w:firstLine="480" w:firstLineChars="200"/>
        <w:rPr>
          <w:sz w:val="24"/>
        </w:rPr>
      </w:pPr>
      <w:r>
        <w:rPr>
          <w:rFonts w:hint="eastAsia"/>
          <w:sz w:val="24"/>
        </w:rPr>
        <w:t>（十）考核</w:t>
      </w:r>
    </w:p>
    <w:p>
      <w:pPr>
        <w:spacing w:line="480" w:lineRule="exact"/>
        <w:ind w:firstLine="480" w:firstLineChars="200"/>
        <w:rPr>
          <w:sz w:val="24"/>
        </w:rPr>
      </w:pPr>
      <w:r>
        <w:rPr>
          <w:rFonts w:hint="eastAsia"/>
          <w:sz w:val="24"/>
        </w:rPr>
        <w:t>1.乙方未按要求每天打扫施工现场的，由甲方安排人员打扫并按7</w:t>
      </w:r>
      <w:r>
        <w:rPr>
          <w:sz w:val="24"/>
        </w:rPr>
        <w:t>0</w:t>
      </w:r>
      <w:r>
        <w:rPr>
          <w:rFonts w:hint="eastAsia"/>
          <w:sz w:val="24"/>
        </w:rPr>
        <w:t>元/人/小时扣款；施工作业产生的固废未及时合法处置的，由甲方联系第三方合法处置并按以下标准考核乙方：1</w:t>
      </w:r>
      <w:r>
        <w:rPr>
          <w:sz w:val="24"/>
        </w:rPr>
        <w:t>.</w:t>
      </w:r>
      <w:r>
        <w:rPr>
          <w:rFonts w:hint="eastAsia"/>
          <w:sz w:val="24"/>
        </w:rPr>
        <w:t>一般固废：1000元/吨扣款；2</w:t>
      </w:r>
      <w:r>
        <w:rPr>
          <w:sz w:val="24"/>
        </w:rPr>
        <w:t>.</w:t>
      </w:r>
      <w:r>
        <w:rPr>
          <w:rFonts w:hint="eastAsia"/>
          <w:sz w:val="24"/>
        </w:rPr>
        <w:t>危险废物：100</w:t>
      </w:r>
      <w:r>
        <w:rPr>
          <w:sz w:val="24"/>
        </w:rPr>
        <w:t>00</w:t>
      </w:r>
      <w:r>
        <w:rPr>
          <w:rFonts w:hint="eastAsia"/>
          <w:sz w:val="24"/>
        </w:rPr>
        <w:t>元/吨扣款。</w:t>
      </w:r>
    </w:p>
    <w:p>
      <w:pPr>
        <w:spacing w:line="480" w:lineRule="exact"/>
        <w:ind w:firstLine="480" w:firstLineChars="200"/>
        <w:rPr>
          <w:sz w:val="24"/>
        </w:rPr>
      </w:pPr>
      <w:r>
        <w:rPr>
          <w:rFonts w:hint="eastAsia"/>
          <w:sz w:val="24"/>
        </w:rPr>
        <w:t>2.乙方违反甲方各项环保管理规定的，第一次扣200元、第二次扣500元、第三次扣1000元。累计违规四次以上的，第四次起每次扣2000元，视情况作停工整顿处理，停工所造成的损失由乙方负责。</w:t>
      </w:r>
    </w:p>
    <w:p>
      <w:pPr>
        <w:spacing w:line="480" w:lineRule="exact"/>
        <w:ind w:firstLine="480" w:firstLineChars="200"/>
        <w:rPr>
          <w:sz w:val="24"/>
        </w:rPr>
      </w:pPr>
      <w:r>
        <w:rPr>
          <w:rFonts w:hint="eastAsia"/>
          <w:sz w:val="24"/>
        </w:rPr>
        <w:t>3.若因乙方责任导致当地居民上访或当地环保管理部门对甲方提出整改、整顿或处罚的，将由乙方自行承担所有责任，并负责赔偿甲方由此带来的经济损失。</w:t>
      </w:r>
    </w:p>
    <w:p>
      <w:pPr>
        <w:spacing w:line="276" w:lineRule="auto"/>
        <w:ind w:firstLine="480" w:firstLineChars="200"/>
        <w:rPr>
          <w:sz w:val="24"/>
        </w:rPr>
      </w:pPr>
      <w:r>
        <w:rPr>
          <w:rFonts w:hint="eastAsia"/>
          <w:sz w:val="24"/>
        </w:rPr>
        <w:t>（十一）如有未尽事宜，甲乙双方及时协商。</w:t>
      </w:r>
    </w:p>
    <w:p>
      <w:pPr>
        <w:spacing w:line="276" w:lineRule="auto"/>
        <w:ind w:firstLine="480" w:firstLineChars="200"/>
        <w:rPr>
          <w:sz w:val="24"/>
        </w:rPr>
      </w:pPr>
      <w:r>
        <w:rPr>
          <w:rFonts w:hint="eastAsia"/>
          <w:sz w:val="24"/>
        </w:rPr>
        <w:t>（十二）本协议内容自双方签订之日起开始实施。</w:t>
      </w:r>
    </w:p>
    <w:p>
      <w:pPr>
        <w:spacing w:line="276" w:lineRule="auto"/>
        <w:ind w:firstLine="480" w:firstLineChars="200"/>
        <w:rPr>
          <w:sz w:val="24"/>
        </w:rPr>
      </w:pPr>
    </w:p>
    <w:p>
      <w:pPr>
        <w:spacing w:line="276" w:lineRule="auto"/>
        <w:ind w:firstLine="480" w:firstLineChars="200"/>
        <w:rPr>
          <w:sz w:val="24"/>
        </w:rPr>
      </w:pPr>
      <w:r>
        <w:rPr>
          <w:sz w:val="24"/>
        </w:rPr>
        <w:t>甲方（盖章）：</w:t>
      </w:r>
      <w:r>
        <w:rPr>
          <w:rFonts w:hint="eastAsia"/>
          <w:sz w:val="24"/>
        </w:rPr>
        <w:t xml:space="preserve">                     </w:t>
      </w:r>
      <w:r>
        <w:rPr>
          <w:sz w:val="24"/>
        </w:rPr>
        <w:t>乙方（盖章）：</w:t>
      </w:r>
    </w:p>
    <w:p>
      <w:pPr>
        <w:spacing w:line="276" w:lineRule="auto"/>
        <w:ind w:firstLine="480" w:firstLineChars="200"/>
        <w:rPr>
          <w:sz w:val="24"/>
        </w:rPr>
      </w:pPr>
      <w:r>
        <w:rPr>
          <w:sz w:val="24"/>
        </w:rPr>
        <w:t>法人/委托代理人(签字)：</w:t>
      </w:r>
      <w:r>
        <w:rPr>
          <w:rFonts w:hint="eastAsia"/>
          <w:sz w:val="24"/>
        </w:rPr>
        <w:t xml:space="preserve">           </w:t>
      </w:r>
      <w:r>
        <w:rPr>
          <w:sz w:val="24"/>
        </w:rPr>
        <w:t>法人/委托代理人（签字）：</w:t>
      </w:r>
    </w:p>
    <w:p>
      <w:pPr>
        <w:spacing w:line="276" w:lineRule="auto"/>
        <w:ind w:firstLine="480" w:firstLineChars="200"/>
        <w:rPr>
          <w:sz w:val="24"/>
        </w:rPr>
      </w:pPr>
    </w:p>
    <w:p>
      <w:pPr>
        <w:spacing w:line="276" w:lineRule="auto"/>
        <w:ind w:firstLine="480" w:firstLineChars="200"/>
      </w:pPr>
      <w:r>
        <w:rPr>
          <w:rFonts w:hint="eastAsia"/>
          <w:sz w:val="24"/>
        </w:rPr>
        <w:t xml:space="preserve">日期：     </w:t>
      </w:r>
      <w:r>
        <w:rPr>
          <w:sz w:val="24"/>
        </w:rPr>
        <w:t>年</w:t>
      </w:r>
      <w:r>
        <w:rPr>
          <w:rFonts w:hint="eastAsia"/>
          <w:sz w:val="24"/>
        </w:rPr>
        <w:t xml:space="preserve">   </w:t>
      </w:r>
      <w:r>
        <w:rPr>
          <w:sz w:val="24"/>
        </w:rPr>
        <w:t>月</w:t>
      </w:r>
      <w:r>
        <w:rPr>
          <w:rFonts w:hint="eastAsia"/>
          <w:sz w:val="24"/>
        </w:rPr>
        <w:t xml:space="preserve">   </w:t>
      </w:r>
      <w:r>
        <w:rPr>
          <w:sz w:val="24"/>
        </w:rPr>
        <w:t>日</w:t>
      </w:r>
      <w:r>
        <w:rPr>
          <w:rFonts w:hint="eastAsia"/>
          <w:sz w:val="24"/>
        </w:rPr>
        <w:t xml:space="preserve">           日期：     </w:t>
      </w:r>
      <w:r>
        <w:rPr>
          <w:sz w:val="24"/>
        </w:rPr>
        <w:t>年</w:t>
      </w:r>
      <w:r>
        <w:rPr>
          <w:rFonts w:hint="eastAsia"/>
          <w:sz w:val="24"/>
        </w:rPr>
        <w:t xml:space="preserve">    </w:t>
      </w:r>
      <w:r>
        <w:rPr>
          <w:sz w:val="24"/>
        </w:rPr>
        <w:t>月</w:t>
      </w:r>
      <w:r>
        <w:rPr>
          <w:rFonts w:hint="eastAsia"/>
          <w:sz w:val="24"/>
        </w:rPr>
        <w:t xml:space="preserve">    </w:t>
      </w:r>
      <w:r>
        <w:rPr>
          <w:sz w:val="24"/>
        </w:rPr>
        <w:t>日</w:t>
      </w: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adjustRightInd w:val="0"/>
        <w:snapToGrid w:val="0"/>
        <w:spacing w:line="276" w:lineRule="auto"/>
        <w:rPr>
          <w:rFonts w:eastAsia="仿宋" w:asciiTheme="minorEastAsia" w:hAnsiTheme="minorEastAsia"/>
          <w:snapToGrid w:val="0"/>
          <w:sz w:val="24"/>
        </w:rPr>
      </w:pPr>
    </w:p>
    <w:p>
      <w:pPr>
        <w:jc w:val="center"/>
        <w:rPr>
          <w:rStyle w:val="71"/>
          <w:rFonts w:ascii="宋体" w:hAnsi="宋体"/>
          <w:bCs/>
          <w:sz w:val="28"/>
          <w:szCs w:val="28"/>
        </w:rPr>
      </w:pPr>
    </w:p>
    <w:sectPr>
      <w:headerReference r:id="rId5" w:type="default"/>
      <w:footerReference r:id="rId6"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auto"/>
    <w:pitch w:val="default"/>
    <w:sig w:usb0="00000000" w:usb1="00000000" w:usb2="00000010" w:usb3="00000000" w:csb0="00100000" w:csb1="00000000"/>
  </w:font>
  <w:font w:name="Arial Unicode MS">
    <w:altName w:val="宋体"/>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Impact">
    <w:panose1 w:val="020B0806030902050204"/>
    <w:charset w:val="00"/>
    <w:family w:val="swiss"/>
    <w:pitch w:val="default"/>
    <w:sig w:usb0="00000287" w:usb1="00000000" w:usb2="00000000" w:usb3="00000000" w:csb0="2000009F" w:csb1="DFD70000"/>
  </w:font>
  <w:font w:name="華康中楷體">
    <w:altName w:val="Microsoft JhengHei"/>
    <w:panose1 w:val="00000000000000000000"/>
    <w:charset w:val="88"/>
    <w:family w:val="modern"/>
    <w:pitch w:val="default"/>
    <w:sig w:usb0="00000000" w:usb1="00000000" w:usb2="00000010" w:usb3="00000000" w:csb0="00100000" w:csb1="00000000"/>
  </w:font>
  <w:font w:name="全真簡中楷">
    <w:altName w:val="宋体"/>
    <w:panose1 w:val="00000000000000000000"/>
    <w:charset w:val="88"/>
    <w:family w:val="modern"/>
    <w:pitch w:val="default"/>
    <w:sig w:usb0="00000000" w:usb1="00000000" w:usb2="00000010" w:usb3="00000000" w:csb0="00100000" w:csb1="00000000"/>
  </w:font>
  <w:font w:name="Univers">
    <w:altName w:val="Arial"/>
    <w:panose1 w:val="00000000000000000000"/>
    <w:charset w:val="00"/>
    <w:family w:val="swiss"/>
    <w:pitch w:val="default"/>
    <w:sig w:usb0="00000000" w:usb1="00000000" w:usb2="00000000" w:usb3="00000000" w:csb0="0000000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___WRD_EMBED_SUB_72">
    <w:altName w:val="宋体"/>
    <w:panose1 w:val="00000000000000000000"/>
    <w:charset w:val="86"/>
    <w:family w:val="modern"/>
    <w:pitch w:val="default"/>
    <w:sig w:usb0="00000000" w:usb1="00000000" w:usb2="00000010" w:usb3="00000000" w:csb0="00040000" w:csb1="00000000"/>
  </w:font>
  <w:font w:name="Microsoft JhengHei UI">
    <w:panose1 w:val="020B0604030504040204"/>
    <w:charset w:val="88"/>
    <w:family w:val="auto"/>
    <w:pitch w:val="default"/>
    <w:sig w:usb0="0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sz w:val="18"/>
        <w:szCs w:val="18"/>
      </w:rP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36</w:t>
    </w:r>
    <w:r>
      <w:fldChar w:fldCharType="end"/>
    </w:r>
    <w:r>
      <w:rPr>
        <w:rFonts w:hint="eastAsia"/>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Style w:val="71"/>
      </w:rPr>
    </w:pPr>
    <w:r>
      <w:rPr>
        <w:rStyle w:val="71"/>
        <w:sz w:val="20"/>
      </w:rPr>
      <w:pict>
        <v:shape id="自选图形 3" o:spid="_x0000_s2049" o:spt="100" style="position:absolute;left:0pt;margin-left:0pt;margin-top:0pt;height:50pt;width:50pt;visibility:hidden;z-index:251660288;mso-width-relative:page;mso-height-relative:page;" filled="f" stroked="f" coordsize="21600,216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Y/denPAAAABQEAAA8AAAAAAAAA&#10;AQAgAAAAIgAAAGRycy9kb3ducmV2LnhtbFBLAQIUABQAAAAIAIdO4kBNIUqB4QEAAO4DAAAOAAAA&#10;AAAAAAEAIAAAAB4BAABkcnMvZTJvRG9jLnhtbFBLBQYAAAAABgAGAFkBAABxBQAAAAA=&#10;" adj="">
          <v:fill on="f" focussize="0,0"/>
          <v:stroke on="f"/>
          <v:imagedata o:title=""/>
          <o:lock v:ext="edit" selection="t"/>
        </v:shape>
      </w:pict>
    </w:r>
    <w:r>
      <w:rPr>
        <w:rStyle w:val="71"/>
        <w:sz w:val="20"/>
      </w:rPr>
      <w:pict>
        <v:line id="_x0000_s2050" o:spid="_x0000_s2050" o:spt="20" style="position:absolute;left:0pt;margin-left:0pt;margin-top:-2.75pt;height:0pt;width:477pt;z-index:251660288;mso-width-relative:page;mso-height-relative:page;" coordsize="21600,21600" o:gfxdata="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c5HWedQAAAAG&#10;AQAADwAAAAAAAAABACAAAAAiAAAAZHJzL2Rvd25yZXYueG1sUEsBAhQAFAAAAAgAh07iQKWidqDn&#10;AQAA2wMAAA4AAAAAAAAAAQAgAAAAIwEAAGRycy9lMm9Eb2MueG1sUEsFBgAAAAAGAAYAWQEAAHwF&#10;AAAAAA==&#10;">
          <v:path arrowok="t"/>
          <v:fill focussize="0,0"/>
          <v:stroke/>
          <v:imagedata o:title=""/>
          <o:lock v:ext="edit"/>
        </v:lin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left="4320" w:hanging="4320" w:hangingChars="1800"/>
      <w:jc w:val="left"/>
      <w:rPr>
        <w:rFonts w:ascii="仿宋_GB2312" w:eastAsia="仿宋_GB2312"/>
        <w:color w:val="FF0000"/>
        <w:sz w:val="24"/>
        <w:szCs w:val="24"/>
        <w:u w:val="single"/>
      </w:rPr>
    </w:pPr>
    <w:r>
      <w:rPr>
        <w:rFonts w:hint="eastAsia" w:ascii="仿宋_GB2312" w:eastAsia="仿宋_GB2312"/>
        <w:sz w:val="24"/>
        <w:szCs w:val="24"/>
      </w:rPr>
      <w:t>文件名称：</w:t>
    </w:r>
    <w:r>
      <w:rPr>
        <w:rFonts w:hint="eastAsia" w:ascii="仿宋_GB2312" w:eastAsia="仿宋_GB2312"/>
        <w:sz w:val="24"/>
        <w:szCs w:val="24"/>
        <w:lang w:eastAsia="zh-CN"/>
      </w:rPr>
      <w:t>梁河公司办公楼单元楼青工楼楼梯扶手防护栏补焊项目</w:t>
    </w:r>
    <w:r>
      <w:rPr>
        <w:rFonts w:hint="eastAsia" w:ascii="仿宋_GB2312" w:eastAsia="仿宋_GB2312"/>
        <w:sz w:val="24"/>
        <w:szCs w:val="24"/>
      </w:rPr>
      <w:t>合同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Style w:val="71"/>
        <w:sz w:val="28"/>
        <w:szCs w:val="28"/>
      </w:rPr>
    </w:pPr>
    <w:r>
      <w:rPr>
        <w:sz w:val="28"/>
        <w:szCs w:val="28"/>
      </w:rPr>
      <w:drawing>
        <wp:anchor distT="0" distB="0" distL="114300" distR="114300" simplePos="0" relativeHeight="251659264" behindDoc="0" locked="0" layoutInCell="1" allowOverlap="1">
          <wp:simplePos x="0" y="0"/>
          <wp:positionH relativeFrom="page">
            <wp:posOffset>5215890</wp:posOffset>
          </wp:positionH>
          <wp:positionV relativeFrom="page">
            <wp:posOffset>483235</wp:posOffset>
          </wp:positionV>
          <wp:extent cx="1614170" cy="511810"/>
          <wp:effectExtent l="0" t="0" r="0" b="0"/>
          <wp:wrapNone/>
          <wp:docPr id="9" name="图片 9" descr="d:\Documents\ECOFCO\1688849874342527_1970325073519976\Cache\Image\2023-03\微信图片_20230121121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Documents\ECOFCO\1688849874342527_1970325073519976\Cache\Image\2023-03\微信图片_20230121121624.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614114" cy="511892"/>
                  </a:xfrm>
                  <a:prstGeom prst="rect">
                    <a:avLst/>
                  </a:prstGeom>
                  <a:noFill/>
                  <a:ln>
                    <a:noFill/>
                  </a:ln>
                </pic:spPr>
              </pic:pic>
            </a:graphicData>
          </a:graphic>
        </wp:anchor>
      </w:drawing>
    </w:r>
  </w:p>
  <w:p>
    <w:pPr>
      <w:pStyle w:val="24"/>
      <w:jc w:val="both"/>
      <w:rPr>
        <w:rStyle w:val="71"/>
        <w:sz w:val="28"/>
        <w:szCs w:val="28"/>
      </w:rPr>
    </w:pPr>
    <w:r>
      <w:rPr>
        <w:rStyle w:val="71"/>
        <w:rFonts w:hint="eastAsia"/>
        <w:sz w:val="28"/>
        <w:szCs w:val="28"/>
      </w:rPr>
      <w:t>中粮梁河糖业有限公司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B09FE6"/>
    <w:multiLevelType w:val="singleLevel"/>
    <w:tmpl w:val="F4B09FE6"/>
    <w:lvl w:ilvl="0" w:tentative="0">
      <w:start w:val="2"/>
      <w:numFmt w:val="chineseCounting"/>
      <w:suff w:val="nothing"/>
      <w:lvlText w:val="(%1）"/>
      <w:lvlJc w:val="left"/>
      <w:pPr>
        <w:textAlignment w:val="baseline"/>
      </w:pPr>
    </w:lvl>
  </w:abstractNum>
  <w:abstractNum w:abstractNumId="1">
    <w:nsid w:val="33BC7AD8"/>
    <w:multiLevelType w:val="multilevel"/>
    <w:tmpl w:val="33BC7AD8"/>
    <w:lvl w:ilvl="0" w:tentative="0">
      <w:start w:val="1"/>
      <w:numFmt w:val="japaneseCounting"/>
      <w:lvlText w:val="第%1章"/>
      <w:lvlJc w:val="left"/>
      <w:pPr>
        <w:ind w:left="3275" w:hanging="1125"/>
        <w:textAlignment w:val="baseline"/>
      </w:pPr>
    </w:lvl>
    <w:lvl w:ilvl="1" w:tentative="0">
      <w:start w:val="1"/>
      <w:numFmt w:val="lowerLetter"/>
      <w:lvlText w:val="%1)"/>
      <w:lvlJc w:val="left"/>
      <w:pPr>
        <w:ind w:left="2990" w:hanging="420"/>
        <w:textAlignment w:val="baseline"/>
      </w:pPr>
    </w:lvl>
    <w:lvl w:ilvl="2" w:tentative="0">
      <w:start w:val="1"/>
      <w:numFmt w:val="lowerRoman"/>
      <w:lvlText w:val="%1."/>
      <w:lvlJc w:val="right"/>
      <w:pPr>
        <w:ind w:left="3410" w:hanging="420"/>
        <w:textAlignment w:val="baseline"/>
      </w:pPr>
    </w:lvl>
    <w:lvl w:ilvl="3" w:tentative="0">
      <w:start w:val="1"/>
      <w:numFmt w:val="decimal"/>
      <w:lvlText w:val="%1."/>
      <w:lvlJc w:val="left"/>
      <w:pPr>
        <w:ind w:left="3830" w:hanging="420"/>
        <w:textAlignment w:val="baseline"/>
      </w:pPr>
    </w:lvl>
    <w:lvl w:ilvl="4" w:tentative="0">
      <w:start w:val="1"/>
      <w:numFmt w:val="lowerLetter"/>
      <w:lvlText w:val="%1)"/>
      <w:lvlJc w:val="left"/>
      <w:pPr>
        <w:ind w:left="4250" w:hanging="420"/>
        <w:textAlignment w:val="baseline"/>
      </w:pPr>
    </w:lvl>
    <w:lvl w:ilvl="5" w:tentative="0">
      <w:start w:val="1"/>
      <w:numFmt w:val="lowerRoman"/>
      <w:lvlText w:val="%1."/>
      <w:lvlJc w:val="right"/>
      <w:pPr>
        <w:ind w:left="4670" w:hanging="420"/>
        <w:textAlignment w:val="baseline"/>
      </w:pPr>
    </w:lvl>
    <w:lvl w:ilvl="6" w:tentative="0">
      <w:start w:val="1"/>
      <w:numFmt w:val="decimal"/>
      <w:lvlText w:val="%1."/>
      <w:lvlJc w:val="left"/>
      <w:pPr>
        <w:ind w:left="5090" w:hanging="420"/>
        <w:textAlignment w:val="baseline"/>
      </w:pPr>
    </w:lvl>
    <w:lvl w:ilvl="7" w:tentative="0">
      <w:start w:val="1"/>
      <w:numFmt w:val="lowerLetter"/>
      <w:lvlText w:val="%1)"/>
      <w:lvlJc w:val="left"/>
      <w:pPr>
        <w:ind w:left="5510" w:hanging="420"/>
        <w:textAlignment w:val="baseline"/>
      </w:pPr>
    </w:lvl>
    <w:lvl w:ilvl="8" w:tentative="0">
      <w:start w:val="1"/>
      <w:numFmt w:val="lowerRoman"/>
      <w:lvlText w:val="%1."/>
      <w:lvlJc w:val="right"/>
      <w:pPr>
        <w:ind w:left="5930" w:hanging="420"/>
        <w:textAlignment w:val="baseline"/>
      </w:pPr>
    </w:lvl>
  </w:abstractNum>
  <w:abstractNum w:abstractNumId="2">
    <w:nsid w:val="3D1C4F62"/>
    <w:multiLevelType w:val="singleLevel"/>
    <w:tmpl w:val="3D1C4F62"/>
    <w:lvl w:ilvl="0" w:tentative="0">
      <w:start w:val="5"/>
      <w:numFmt w:val="chineseCounting"/>
      <w:suff w:val="nothing"/>
      <w:lvlText w:val="%1、"/>
      <w:lvlJc w:val="left"/>
      <w:pPr>
        <w:textAlignment w:val="baseline"/>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hdrShapeDefaults>
    <o:shapelayout v:ext="edit">
      <o:idmap v:ext="edit" data="2"/>
    </o:shapelayout>
  </w:hdrShapeDefaults>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c3ODgzN2I3OWI1MzliYWNjYmM0YjA2OTFmNWUyYzIifQ=="/>
  </w:docVars>
  <w:rsids>
    <w:rsidRoot w:val="003C4DD8"/>
    <w:rsid w:val="00000E8C"/>
    <w:rsid w:val="00011670"/>
    <w:rsid w:val="000168F3"/>
    <w:rsid w:val="00016AAD"/>
    <w:rsid w:val="00017C32"/>
    <w:rsid w:val="000228FB"/>
    <w:rsid w:val="00032FAE"/>
    <w:rsid w:val="0003418C"/>
    <w:rsid w:val="00035921"/>
    <w:rsid w:val="00035F75"/>
    <w:rsid w:val="000405FA"/>
    <w:rsid w:val="00041906"/>
    <w:rsid w:val="00053394"/>
    <w:rsid w:val="00064699"/>
    <w:rsid w:val="000758B1"/>
    <w:rsid w:val="000870B6"/>
    <w:rsid w:val="00094F3C"/>
    <w:rsid w:val="000A37A8"/>
    <w:rsid w:val="000B0601"/>
    <w:rsid w:val="000C39B3"/>
    <w:rsid w:val="000C4141"/>
    <w:rsid w:val="000D1E41"/>
    <w:rsid w:val="000D2126"/>
    <w:rsid w:val="000E0E84"/>
    <w:rsid w:val="000E711F"/>
    <w:rsid w:val="000F136B"/>
    <w:rsid w:val="001006BF"/>
    <w:rsid w:val="0010464A"/>
    <w:rsid w:val="00107796"/>
    <w:rsid w:val="001118E2"/>
    <w:rsid w:val="00117E75"/>
    <w:rsid w:val="00122A4A"/>
    <w:rsid w:val="00127E50"/>
    <w:rsid w:val="00143F9A"/>
    <w:rsid w:val="001440F3"/>
    <w:rsid w:val="001564C7"/>
    <w:rsid w:val="00156C02"/>
    <w:rsid w:val="001625F8"/>
    <w:rsid w:val="00163EBD"/>
    <w:rsid w:val="001729CB"/>
    <w:rsid w:val="001757F3"/>
    <w:rsid w:val="00176183"/>
    <w:rsid w:val="00181D31"/>
    <w:rsid w:val="0018652A"/>
    <w:rsid w:val="001915C1"/>
    <w:rsid w:val="001A6C30"/>
    <w:rsid w:val="001B281A"/>
    <w:rsid w:val="001B3893"/>
    <w:rsid w:val="001C161E"/>
    <w:rsid w:val="001C22D4"/>
    <w:rsid w:val="001C2A9F"/>
    <w:rsid w:val="001C39C3"/>
    <w:rsid w:val="001C3EE3"/>
    <w:rsid w:val="001D4A3D"/>
    <w:rsid w:val="001E24C9"/>
    <w:rsid w:val="001E777D"/>
    <w:rsid w:val="001F051E"/>
    <w:rsid w:val="001F20B5"/>
    <w:rsid w:val="001F2501"/>
    <w:rsid w:val="00206EF3"/>
    <w:rsid w:val="00207887"/>
    <w:rsid w:val="00211F6B"/>
    <w:rsid w:val="0021344A"/>
    <w:rsid w:val="00217EBE"/>
    <w:rsid w:val="00231EC8"/>
    <w:rsid w:val="00244231"/>
    <w:rsid w:val="002453F6"/>
    <w:rsid w:val="002478C4"/>
    <w:rsid w:val="00254A9C"/>
    <w:rsid w:val="002601C2"/>
    <w:rsid w:val="002700FB"/>
    <w:rsid w:val="002707F6"/>
    <w:rsid w:val="00273C5C"/>
    <w:rsid w:val="00294B5C"/>
    <w:rsid w:val="002962DE"/>
    <w:rsid w:val="002A15C0"/>
    <w:rsid w:val="002A75C8"/>
    <w:rsid w:val="002B064F"/>
    <w:rsid w:val="002B3DF2"/>
    <w:rsid w:val="002B41A8"/>
    <w:rsid w:val="002B5FDE"/>
    <w:rsid w:val="002C3507"/>
    <w:rsid w:val="002C6A00"/>
    <w:rsid w:val="002E48FC"/>
    <w:rsid w:val="002E5752"/>
    <w:rsid w:val="002F04AB"/>
    <w:rsid w:val="00306C01"/>
    <w:rsid w:val="00313C4A"/>
    <w:rsid w:val="00313EC8"/>
    <w:rsid w:val="003204E9"/>
    <w:rsid w:val="0033470F"/>
    <w:rsid w:val="00334E5E"/>
    <w:rsid w:val="003360CC"/>
    <w:rsid w:val="0034587A"/>
    <w:rsid w:val="00346906"/>
    <w:rsid w:val="0035534D"/>
    <w:rsid w:val="00357F82"/>
    <w:rsid w:val="003638BA"/>
    <w:rsid w:val="00363DA1"/>
    <w:rsid w:val="00373AD3"/>
    <w:rsid w:val="00377786"/>
    <w:rsid w:val="003807CA"/>
    <w:rsid w:val="0039013D"/>
    <w:rsid w:val="00391BB9"/>
    <w:rsid w:val="003946FB"/>
    <w:rsid w:val="00397CC7"/>
    <w:rsid w:val="003A0199"/>
    <w:rsid w:val="003A3FDE"/>
    <w:rsid w:val="003A4350"/>
    <w:rsid w:val="003A7FC7"/>
    <w:rsid w:val="003B58AA"/>
    <w:rsid w:val="003B5CDA"/>
    <w:rsid w:val="003C4DD8"/>
    <w:rsid w:val="003C6FFF"/>
    <w:rsid w:val="003D0239"/>
    <w:rsid w:val="003D2BA0"/>
    <w:rsid w:val="003E19FA"/>
    <w:rsid w:val="003E6120"/>
    <w:rsid w:val="003E706C"/>
    <w:rsid w:val="00403C7D"/>
    <w:rsid w:val="00410D41"/>
    <w:rsid w:val="00411118"/>
    <w:rsid w:val="00416404"/>
    <w:rsid w:val="004172F9"/>
    <w:rsid w:val="00421916"/>
    <w:rsid w:val="004228D1"/>
    <w:rsid w:val="00425A02"/>
    <w:rsid w:val="00437506"/>
    <w:rsid w:val="0045109C"/>
    <w:rsid w:val="00452D01"/>
    <w:rsid w:val="00457CC2"/>
    <w:rsid w:val="00462223"/>
    <w:rsid w:val="00464F89"/>
    <w:rsid w:val="0047121D"/>
    <w:rsid w:val="00477248"/>
    <w:rsid w:val="0048284B"/>
    <w:rsid w:val="00486A38"/>
    <w:rsid w:val="0049048D"/>
    <w:rsid w:val="0049360C"/>
    <w:rsid w:val="004954D6"/>
    <w:rsid w:val="004958BC"/>
    <w:rsid w:val="004A4BC5"/>
    <w:rsid w:val="004B21D6"/>
    <w:rsid w:val="004B652E"/>
    <w:rsid w:val="004C40B3"/>
    <w:rsid w:val="004C5564"/>
    <w:rsid w:val="004C73D9"/>
    <w:rsid w:val="004D0C9C"/>
    <w:rsid w:val="004D5350"/>
    <w:rsid w:val="004D709E"/>
    <w:rsid w:val="004D7B4F"/>
    <w:rsid w:val="004F45A4"/>
    <w:rsid w:val="004F4FFD"/>
    <w:rsid w:val="004F6C49"/>
    <w:rsid w:val="004F75AF"/>
    <w:rsid w:val="0050251D"/>
    <w:rsid w:val="005075F1"/>
    <w:rsid w:val="0051308C"/>
    <w:rsid w:val="00526718"/>
    <w:rsid w:val="0053495A"/>
    <w:rsid w:val="005351EA"/>
    <w:rsid w:val="00541865"/>
    <w:rsid w:val="005469B0"/>
    <w:rsid w:val="005513D9"/>
    <w:rsid w:val="00552453"/>
    <w:rsid w:val="00554A7B"/>
    <w:rsid w:val="00557E41"/>
    <w:rsid w:val="00565E85"/>
    <w:rsid w:val="005771B6"/>
    <w:rsid w:val="005A2413"/>
    <w:rsid w:val="005A3743"/>
    <w:rsid w:val="005B4329"/>
    <w:rsid w:val="005C0DDF"/>
    <w:rsid w:val="005D6C83"/>
    <w:rsid w:val="005F2DB1"/>
    <w:rsid w:val="0060329A"/>
    <w:rsid w:val="0060350F"/>
    <w:rsid w:val="00636AD9"/>
    <w:rsid w:val="006410A8"/>
    <w:rsid w:val="00642E47"/>
    <w:rsid w:val="0064452B"/>
    <w:rsid w:val="0065046D"/>
    <w:rsid w:val="00661CA2"/>
    <w:rsid w:val="00664728"/>
    <w:rsid w:val="00666950"/>
    <w:rsid w:val="006674D0"/>
    <w:rsid w:val="00673C51"/>
    <w:rsid w:val="00674971"/>
    <w:rsid w:val="00675247"/>
    <w:rsid w:val="006819FC"/>
    <w:rsid w:val="00683A6B"/>
    <w:rsid w:val="00691C73"/>
    <w:rsid w:val="006A20C7"/>
    <w:rsid w:val="006A28A6"/>
    <w:rsid w:val="006A3117"/>
    <w:rsid w:val="006A4282"/>
    <w:rsid w:val="006A5457"/>
    <w:rsid w:val="006B10AA"/>
    <w:rsid w:val="006B20C1"/>
    <w:rsid w:val="006B3CC9"/>
    <w:rsid w:val="006C5D65"/>
    <w:rsid w:val="007036B6"/>
    <w:rsid w:val="007110F9"/>
    <w:rsid w:val="00711D09"/>
    <w:rsid w:val="00723408"/>
    <w:rsid w:val="00733C2E"/>
    <w:rsid w:val="00742566"/>
    <w:rsid w:val="00745FA4"/>
    <w:rsid w:val="00752BA1"/>
    <w:rsid w:val="007579BB"/>
    <w:rsid w:val="007615F3"/>
    <w:rsid w:val="00761A81"/>
    <w:rsid w:val="00763FAC"/>
    <w:rsid w:val="00772F23"/>
    <w:rsid w:val="00773174"/>
    <w:rsid w:val="007760F4"/>
    <w:rsid w:val="007866EA"/>
    <w:rsid w:val="007978A9"/>
    <w:rsid w:val="007A3A61"/>
    <w:rsid w:val="007A702F"/>
    <w:rsid w:val="007B36E3"/>
    <w:rsid w:val="007B6F3C"/>
    <w:rsid w:val="007B7B66"/>
    <w:rsid w:val="007C209D"/>
    <w:rsid w:val="007C220C"/>
    <w:rsid w:val="007C3469"/>
    <w:rsid w:val="007C37C5"/>
    <w:rsid w:val="007C57C6"/>
    <w:rsid w:val="007D202C"/>
    <w:rsid w:val="007E57BF"/>
    <w:rsid w:val="007F1B83"/>
    <w:rsid w:val="007F2C87"/>
    <w:rsid w:val="0080691B"/>
    <w:rsid w:val="00810505"/>
    <w:rsid w:val="00810DFF"/>
    <w:rsid w:val="008118D1"/>
    <w:rsid w:val="00820A36"/>
    <w:rsid w:val="008253BB"/>
    <w:rsid w:val="00836B22"/>
    <w:rsid w:val="00840F7F"/>
    <w:rsid w:val="008577C8"/>
    <w:rsid w:val="00862C7B"/>
    <w:rsid w:val="0088272D"/>
    <w:rsid w:val="00883216"/>
    <w:rsid w:val="00883503"/>
    <w:rsid w:val="0089018B"/>
    <w:rsid w:val="00890364"/>
    <w:rsid w:val="00893318"/>
    <w:rsid w:val="008A1512"/>
    <w:rsid w:val="008A7529"/>
    <w:rsid w:val="008B4736"/>
    <w:rsid w:val="008B6472"/>
    <w:rsid w:val="008B73E9"/>
    <w:rsid w:val="008B741C"/>
    <w:rsid w:val="008E13E7"/>
    <w:rsid w:val="008E3D98"/>
    <w:rsid w:val="008F3889"/>
    <w:rsid w:val="0090137C"/>
    <w:rsid w:val="00901EB0"/>
    <w:rsid w:val="00902E0A"/>
    <w:rsid w:val="00904F05"/>
    <w:rsid w:val="00906724"/>
    <w:rsid w:val="009116A1"/>
    <w:rsid w:val="009164EB"/>
    <w:rsid w:val="00916835"/>
    <w:rsid w:val="00922C25"/>
    <w:rsid w:val="00945850"/>
    <w:rsid w:val="0095474D"/>
    <w:rsid w:val="009551CD"/>
    <w:rsid w:val="00960415"/>
    <w:rsid w:val="00960518"/>
    <w:rsid w:val="00966CF8"/>
    <w:rsid w:val="00972B5D"/>
    <w:rsid w:val="009731C3"/>
    <w:rsid w:val="0097518E"/>
    <w:rsid w:val="009808D8"/>
    <w:rsid w:val="0098734F"/>
    <w:rsid w:val="00990C54"/>
    <w:rsid w:val="009941CA"/>
    <w:rsid w:val="009A188F"/>
    <w:rsid w:val="009B19AE"/>
    <w:rsid w:val="009E288A"/>
    <w:rsid w:val="009F1E2F"/>
    <w:rsid w:val="009F4C49"/>
    <w:rsid w:val="009F6736"/>
    <w:rsid w:val="00A01E73"/>
    <w:rsid w:val="00A024A0"/>
    <w:rsid w:val="00A02603"/>
    <w:rsid w:val="00A04609"/>
    <w:rsid w:val="00A064CE"/>
    <w:rsid w:val="00A17D4D"/>
    <w:rsid w:val="00A232F5"/>
    <w:rsid w:val="00A243A6"/>
    <w:rsid w:val="00A25745"/>
    <w:rsid w:val="00A35D99"/>
    <w:rsid w:val="00A4064D"/>
    <w:rsid w:val="00A41DC9"/>
    <w:rsid w:val="00A5112F"/>
    <w:rsid w:val="00A617F9"/>
    <w:rsid w:val="00A635CB"/>
    <w:rsid w:val="00A65682"/>
    <w:rsid w:val="00AC2A0E"/>
    <w:rsid w:val="00AC7305"/>
    <w:rsid w:val="00AD3F42"/>
    <w:rsid w:val="00AE0DE6"/>
    <w:rsid w:val="00AE604F"/>
    <w:rsid w:val="00B05C3B"/>
    <w:rsid w:val="00B134AD"/>
    <w:rsid w:val="00B158A7"/>
    <w:rsid w:val="00B376A7"/>
    <w:rsid w:val="00B40233"/>
    <w:rsid w:val="00B447EB"/>
    <w:rsid w:val="00B46C75"/>
    <w:rsid w:val="00B531E9"/>
    <w:rsid w:val="00B65334"/>
    <w:rsid w:val="00B67640"/>
    <w:rsid w:val="00B73C29"/>
    <w:rsid w:val="00B81ECE"/>
    <w:rsid w:val="00B9103D"/>
    <w:rsid w:val="00B91ABC"/>
    <w:rsid w:val="00B927CE"/>
    <w:rsid w:val="00B9319E"/>
    <w:rsid w:val="00BB363E"/>
    <w:rsid w:val="00BC29BD"/>
    <w:rsid w:val="00BD0C6B"/>
    <w:rsid w:val="00BD527D"/>
    <w:rsid w:val="00BD5BF5"/>
    <w:rsid w:val="00BD6EAA"/>
    <w:rsid w:val="00BE2C3B"/>
    <w:rsid w:val="00BE6293"/>
    <w:rsid w:val="00BF7801"/>
    <w:rsid w:val="00C16CD9"/>
    <w:rsid w:val="00C228D7"/>
    <w:rsid w:val="00C30A9D"/>
    <w:rsid w:val="00C375AD"/>
    <w:rsid w:val="00C40355"/>
    <w:rsid w:val="00C42021"/>
    <w:rsid w:val="00C43242"/>
    <w:rsid w:val="00C51445"/>
    <w:rsid w:val="00C55EEB"/>
    <w:rsid w:val="00C634C2"/>
    <w:rsid w:val="00C736A3"/>
    <w:rsid w:val="00C76169"/>
    <w:rsid w:val="00C82476"/>
    <w:rsid w:val="00C93B13"/>
    <w:rsid w:val="00C97F99"/>
    <w:rsid w:val="00CA6718"/>
    <w:rsid w:val="00CB6858"/>
    <w:rsid w:val="00CC034D"/>
    <w:rsid w:val="00CC6114"/>
    <w:rsid w:val="00CE085A"/>
    <w:rsid w:val="00CE474B"/>
    <w:rsid w:val="00CF339A"/>
    <w:rsid w:val="00CF3EAA"/>
    <w:rsid w:val="00CF590E"/>
    <w:rsid w:val="00D00537"/>
    <w:rsid w:val="00D065CC"/>
    <w:rsid w:val="00D1745E"/>
    <w:rsid w:val="00D20C7B"/>
    <w:rsid w:val="00D612EB"/>
    <w:rsid w:val="00D63A53"/>
    <w:rsid w:val="00D678E5"/>
    <w:rsid w:val="00D7665F"/>
    <w:rsid w:val="00D7710D"/>
    <w:rsid w:val="00DA3B04"/>
    <w:rsid w:val="00DA6B29"/>
    <w:rsid w:val="00DC1EAB"/>
    <w:rsid w:val="00DC673D"/>
    <w:rsid w:val="00DC7409"/>
    <w:rsid w:val="00DD3292"/>
    <w:rsid w:val="00DE026F"/>
    <w:rsid w:val="00DE03FC"/>
    <w:rsid w:val="00E06F14"/>
    <w:rsid w:val="00E1162A"/>
    <w:rsid w:val="00E160B5"/>
    <w:rsid w:val="00E24423"/>
    <w:rsid w:val="00E35549"/>
    <w:rsid w:val="00E40F66"/>
    <w:rsid w:val="00E66094"/>
    <w:rsid w:val="00E67338"/>
    <w:rsid w:val="00E72C12"/>
    <w:rsid w:val="00E8069F"/>
    <w:rsid w:val="00E82F99"/>
    <w:rsid w:val="00E94E66"/>
    <w:rsid w:val="00E960E9"/>
    <w:rsid w:val="00EA310D"/>
    <w:rsid w:val="00EA4BD2"/>
    <w:rsid w:val="00EA63E8"/>
    <w:rsid w:val="00ED20D3"/>
    <w:rsid w:val="00ED406C"/>
    <w:rsid w:val="00ED7F8B"/>
    <w:rsid w:val="00EF204C"/>
    <w:rsid w:val="00F1376B"/>
    <w:rsid w:val="00F14131"/>
    <w:rsid w:val="00F155E2"/>
    <w:rsid w:val="00F224B4"/>
    <w:rsid w:val="00F243F3"/>
    <w:rsid w:val="00F337D5"/>
    <w:rsid w:val="00F44CB2"/>
    <w:rsid w:val="00F552DE"/>
    <w:rsid w:val="00F64743"/>
    <w:rsid w:val="00F65EEB"/>
    <w:rsid w:val="00F71A29"/>
    <w:rsid w:val="00F80788"/>
    <w:rsid w:val="00F83267"/>
    <w:rsid w:val="00F86E1A"/>
    <w:rsid w:val="00F90974"/>
    <w:rsid w:val="00F915C6"/>
    <w:rsid w:val="00F970AE"/>
    <w:rsid w:val="00FA4A40"/>
    <w:rsid w:val="00FB0554"/>
    <w:rsid w:val="00FC1A0C"/>
    <w:rsid w:val="00FC6875"/>
    <w:rsid w:val="00FD267C"/>
    <w:rsid w:val="00FE66A6"/>
    <w:rsid w:val="00FF244A"/>
    <w:rsid w:val="00FF7C30"/>
    <w:rsid w:val="01105819"/>
    <w:rsid w:val="1383074C"/>
    <w:rsid w:val="1F154CE7"/>
    <w:rsid w:val="207E43F5"/>
    <w:rsid w:val="2ADA66CC"/>
    <w:rsid w:val="2E112747"/>
    <w:rsid w:val="2F1350B2"/>
    <w:rsid w:val="46FA5CD4"/>
    <w:rsid w:val="47172652"/>
    <w:rsid w:val="4B3D2633"/>
    <w:rsid w:val="60965916"/>
    <w:rsid w:val="623E0D13"/>
    <w:rsid w:val="64A833CE"/>
    <w:rsid w:val="72576417"/>
    <w:rsid w:val="795804B5"/>
    <w:rsid w:val="7AE04772"/>
    <w:rsid w:val="7C3C5E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styleId="4">
    <w:name w:val="heading 1"/>
    <w:basedOn w:val="1"/>
    <w:next w:val="5"/>
    <w:link w:val="49"/>
    <w:qFormat/>
    <w:uiPriority w:val="0"/>
    <w:pPr>
      <w:keepNext/>
      <w:keepLines/>
      <w:spacing w:line="532" w:lineRule="auto"/>
      <w:ind w:left="840" w:right="-240"/>
      <w:jc w:val="left"/>
      <w:textAlignment w:val="auto"/>
      <w:outlineLvl w:val="0"/>
    </w:pPr>
    <w:rPr>
      <w:rFonts w:ascii="Arial" w:hAnsi="Arial"/>
      <w:b/>
      <w:spacing w:val="-10"/>
      <w:kern w:val="28"/>
      <w:sz w:val="20"/>
      <w:szCs w:val="20"/>
      <w:lang w:eastAsia="en-US"/>
    </w:rPr>
  </w:style>
  <w:style w:type="paragraph" w:styleId="6">
    <w:name w:val="heading 2"/>
    <w:basedOn w:val="1"/>
    <w:next w:val="5"/>
    <w:link w:val="50"/>
    <w:qFormat/>
    <w:uiPriority w:val="0"/>
    <w:pPr>
      <w:keepNext/>
      <w:keepLines/>
      <w:spacing w:line="532" w:lineRule="auto"/>
      <w:ind w:left="840" w:right="-240"/>
      <w:jc w:val="left"/>
      <w:textAlignment w:val="auto"/>
      <w:outlineLvl w:val="1"/>
    </w:pPr>
    <w:rPr>
      <w:rFonts w:ascii="Arial" w:hAnsi="Arial"/>
      <w:b/>
      <w:spacing w:val="-10"/>
      <w:kern w:val="28"/>
      <w:sz w:val="18"/>
      <w:szCs w:val="20"/>
      <w:lang w:eastAsia="en-US"/>
    </w:rPr>
  </w:style>
  <w:style w:type="paragraph" w:styleId="7">
    <w:name w:val="heading 3"/>
    <w:basedOn w:val="1"/>
    <w:next w:val="5"/>
    <w:link w:val="51"/>
    <w:qFormat/>
    <w:uiPriority w:val="0"/>
    <w:pPr>
      <w:keepNext/>
      <w:keepLines/>
      <w:spacing w:line="532" w:lineRule="auto"/>
      <w:ind w:left="840" w:right="-240"/>
      <w:jc w:val="left"/>
      <w:textAlignment w:val="auto"/>
      <w:outlineLvl w:val="2"/>
    </w:pPr>
    <w:rPr>
      <w:rFonts w:ascii="Arial" w:hAnsi="Arial"/>
      <w:spacing w:val="-5"/>
      <w:kern w:val="28"/>
      <w:sz w:val="18"/>
      <w:szCs w:val="20"/>
      <w:lang w:eastAsia="en-US"/>
    </w:rPr>
  </w:style>
  <w:style w:type="paragraph" w:styleId="3">
    <w:name w:val="heading 4"/>
    <w:basedOn w:val="1"/>
    <w:next w:val="1"/>
    <w:link w:val="52"/>
    <w:qFormat/>
    <w:uiPriority w:val="0"/>
    <w:pPr>
      <w:keepNext/>
      <w:keepLines/>
      <w:spacing w:line="532" w:lineRule="auto"/>
      <w:ind w:left="840" w:right="-240"/>
      <w:jc w:val="left"/>
      <w:textAlignment w:val="auto"/>
      <w:outlineLvl w:val="3"/>
    </w:pPr>
    <w:rPr>
      <w:i/>
      <w:spacing w:val="-2"/>
      <w:kern w:val="28"/>
      <w:sz w:val="20"/>
      <w:szCs w:val="20"/>
      <w:lang w:eastAsia="en-US"/>
    </w:rPr>
  </w:style>
  <w:style w:type="paragraph" w:styleId="8">
    <w:name w:val="heading 5"/>
    <w:basedOn w:val="1"/>
    <w:next w:val="5"/>
    <w:link w:val="53"/>
    <w:qFormat/>
    <w:uiPriority w:val="0"/>
    <w:pPr>
      <w:keepNext/>
      <w:keepLines/>
      <w:spacing w:line="532" w:lineRule="auto"/>
      <w:ind w:left="840" w:right="-240"/>
      <w:jc w:val="left"/>
      <w:textAlignment w:val="auto"/>
      <w:outlineLvl w:val="4"/>
    </w:pPr>
    <w:rPr>
      <w:b/>
      <w:i/>
      <w:spacing w:val="-2"/>
      <w:kern w:val="28"/>
      <w:sz w:val="20"/>
      <w:szCs w:val="20"/>
      <w:lang w:eastAsia="en-US"/>
    </w:rPr>
  </w:style>
  <w:style w:type="paragraph" w:styleId="9">
    <w:name w:val="heading 6"/>
    <w:basedOn w:val="1"/>
    <w:next w:val="1"/>
    <w:link w:val="54"/>
    <w:unhideWhenUsed/>
    <w:qFormat/>
    <w:uiPriority w:val="9"/>
    <w:pPr>
      <w:widowControl w:val="0"/>
      <w:autoSpaceDE w:val="0"/>
      <w:autoSpaceDN w:val="0"/>
      <w:spacing w:line="360" w:lineRule="auto"/>
      <w:ind w:left="978" w:leftChars="700" w:hanging="278"/>
      <w:jc w:val="left"/>
      <w:textAlignment w:val="auto"/>
      <w:outlineLvl w:val="5"/>
    </w:pPr>
    <w:rPr>
      <w:rFonts w:ascii="宋体" w:hAnsi="宋体" w:cs="宋体"/>
      <w:bCs/>
      <w:kern w:val="0"/>
      <w:sz w:val="24"/>
      <w:szCs w:val="20"/>
      <w:lang w:eastAsia="en-US"/>
    </w:rPr>
  </w:style>
  <w:style w:type="paragraph" w:styleId="10">
    <w:name w:val="heading 7"/>
    <w:basedOn w:val="1"/>
    <w:next w:val="1"/>
    <w:link w:val="55"/>
    <w:qFormat/>
    <w:uiPriority w:val="0"/>
    <w:pPr>
      <w:keepNext/>
      <w:keepLines/>
      <w:spacing w:before="240" w:after="64" w:line="320" w:lineRule="auto"/>
      <w:jc w:val="left"/>
      <w:textAlignment w:val="auto"/>
      <w:outlineLvl w:val="6"/>
    </w:pPr>
    <w:rPr>
      <w:b/>
      <w:bCs/>
      <w:kern w:val="0"/>
      <w:sz w:val="24"/>
      <w:lang w:eastAsia="en-US"/>
    </w:rPr>
  </w:style>
  <w:style w:type="character" w:default="1" w:styleId="41">
    <w:name w:val="Default Paragraph Font"/>
    <w:semiHidden/>
    <w:unhideWhenUsed/>
    <w:qFormat/>
    <w:uiPriority w:val="1"/>
  </w:style>
  <w:style w:type="table" w:default="1" w:styleId="39">
    <w:name w:val="Normal Table"/>
    <w:semiHidden/>
    <w:unhideWhenUsed/>
    <w:uiPriority w:val="99"/>
    <w:tblPr>
      <w:tblCellMar>
        <w:top w:w="0" w:type="dxa"/>
        <w:left w:w="108" w:type="dxa"/>
        <w:bottom w:w="0" w:type="dxa"/>
        <w:right w:w="108" w:type="dxa"/>
      </w:tblCellMar>
    </w:tblPr>
  </w:style>
  <w:style w:type="paragraph" w:styleId="2">
    <w:name w:val="Plain Text"/>
    <w:basedOn w:val="1"/>
    <w:next w:val="3"/>
    <w:link w:val="59"/>
    <w:qFormat/>
    <w:uiPriority w:val="0"/>
    <w:pPr>
      <w:widowControl w:val="0"/>
      <w:textAlignment w:val="auto"/>
    </w:pPr>
    <w:rPr>
      <w:rFonts w:ascii="宋体" w:hAnsi="Courier New" w:cs="Courier New"/>
      <w:szCs w:val="21"/>
    </w:rPr>
  </w:style>
  <w:style w:type="paragraph" w:styleId="5">
    <w:name w:val="Body Text"/>
    <w:basedOn w:val="1"/>
    <w:link w:val="48"/>
    <w:qFormat/>
    <w:uiPriority w:val="99"/>
    <w:pPr>
      <w:spacing w:line="532" w:lineRule="auto"/>
      <w:ind w:left="840" w:right="-120"/>
      <w:jc w:val="left"/>
      <w:textAlignment w:val="auto"/>
    </w:pPr>
    <w:rPr>
      <w:kern w:val="0"/>
      <w:sz w:val="20"/>
      <w:szCs w:val="20"/>
      <w:lang w:eastAsia="en-US"/>
    </w:rPr>
  </w:style>
  <w:style w:type="paragraph" w:styleId="11">
    <w:name w:val="toc 7"/>
    <w:basedOn w:val="1"/>
    <w:next w:val="1"/>
    <w:unhideWhenUsed/>
    <w:qFormat/>
    <w:uiPriority w:val="39"/>
    <w:pPr>
      <w:widowControl w:val="0"/>
      <w:ind w:left="2520" w:leftChars="1200"/>
      <w:textAlignment w:val="auto"/>
    </w:pPr>
    <w:rPr>
      <w:rFonts w:asciiTheme="minorHAnsi" w:hAnsiTheme="minorHAnsi" w:eastAsiaTheme="minorEastAsia" w:cstheme="minorBidi"/>
      <w:szCs w:val="22"/>
    </w:rPr>
  </w:style>
  <w:style w:type="paragraph" w:styleId="12">
    <w:name w:val="Normal Indent"/>
    <w:basedOn w:val="1"/>
    <w:qFormat/>
    <w:uiPriority w:val="0"/>
    <w:pPr>
      <w:ind w:left="1440" w:right="-240"/>
      <w:jc w:val="left"/>
      <w:textAlignment w:val="auto"/>
    </w:pPr>
    <w:rPr>
      <w:kern w:val="0"/>
      <w:sz w:val="20"/>
      <w:szCs w:val="20"/>
      <w:lang w:eastAsia="en-US"/>
    </w:rPr>
  </w:style>
  <w:style w:type="paragraph" w:styleId="13">
    <w:name w:val="Document Map"/>
    <w:basedOn w:val="1"/>
    <w:link w:val="56"/>
    <w:semiHidden/>
    <w:qFormat/>
    <w:uiPriority w:val="0"/>
    <w:pPr>
      <w:widowControl w:val="0"/>
      <w:shd w:val="clear" w:color="auto" w:fill="000080"/>
      <w:textAlignment w:val="auto"/>
    </w:pPr>
  </w:style>
  <w:style w:type="paragraph" w:styleId="14">
    <w:name w:val="toa heading"/>
    <w:basedOn w:val="1"/>
    <w:next w:val="1"/>
    <w:semiHidden/>
    <w:qFormat/>
    <w:uiPriority w:val="0"/>
    <w:pPr>
      <w:tabs>
        <w:tab w:val="left" w:pos="-720"/>
        <w:tab w:val="left" w:pos="9000"/>
        <w:tab w:val="right" w:pos="9360"/>
      </w:tabs>
      <w:suppressAutoHyphens/>
      <w:textAlignment w:val="auto"/>
    </w:pPr>
    <w:rPr>
      <w:rFonts w:ascii="Arial" w:hAnsi="Arial"/>
      <w:spacing w:val="-2"/>
      <w:kern w:val="0"/>
      <w:sz w:val="20"/>
      <w:szCs w:val="20"/>
      <w:lang w:val="en-GB" w:eastAsia="en-US"/>
    </w:rPr>
  </w:style>
  <w:style w:type="paragraph" w:styleId="15">
    <w:name w:val="annotation text"/>
    <w:basedOn w:val="1"/>
    <w:link w:val="57"/>
    <w:qFormat/>
    <w:uiPriority w:val="99"/>
    <w:pPr>
      <w:widowControl w:val="0"/>
      <w:jc w:val="left"/>
      <w:textAlignment w:val="auto"/>
    </w:pPr>
    <w:rPr>
      <w:rFonts w:eastAsia="PMingLiU"/>
      <w:sz w:val="24"/>
      <w:szCs w:val="20"/>
      <w:lang w:eastAsia="zh-TW"/>
    </w:rPr>
  </w:style>
  <w:style w:type="paragraph" w:styleId="16">
    <w:name w:val="Body Text Indent"/>
    <w:basedOn w:val="1"/>
    <w:link w:val="58"/>
    <w:qFormat/>
    <w:uiPriority w:val="99"/>
    <w:pPr>
      <w:spacing w:after="120"/>
      <w:ind w:left="420" w:leftChars="200"/>
      <w:jc w:val="left"/>
      <w:textAlignment w:val="auto"/>
    </w:pPr>
    <w:rPr>
      <w:kern w:val="0"/>
      <w:sz w:val="20"/>
      <w:szCs w:val="20"/>
      <w:lang w:eastAsia="en-US"/>
    </w:rPr>
  </w:style>
  <w:style w:type="paragraph" w:styleId="17">
    <w:name w:val="toc 5"/>
    <w:basedOn w:val="1"/>
    <w:next w:val="1"/>
    <w:unhideWhenUsed/>
    <w:qFormat/>
    <w:uiPriority w:val="39"/>
    <w:pPr>
      <w:widowControl w:val="0"/>
      <w:ind w:left="1680" w:leftChars="800"/>
      <w:textAlignment w:val="auto"/>
    </w:pPr>
    <w:rPr>
      <w:rFonts w:asciiTheme="minorHAnsi" w:hAnsiTheme="minorHAnsi" w:eastAsiaTheme="minorEastAsia" w:cstheme="minorBidi"/>
      <w:szCs w:val="22"/>
    </w:rPr>
  </w:style>
  <w:style w:type="paragraph" w:styleId="18">
    <w:name w:val="toc 3"/>
    <w:basedOn w:val="1"/>
    <w:next w:val="1"/>
    <w:unhideWhenUsed/>
    <w:qFormat/>
    <w:uiPriority w:val="39"/>
    <w:pPr>
      <w:tabs>
        <w:tab w:val="left" w:pos="1260"/>
        <w:tab w:val="right" w:leader="dot" w:pos="9350"/>
      </w:tabs>
      <w:spacing w:after="100" w:line="259" w:lineRule="auto"/>
      <w:ind w:left="440"/>
      <w:jc w:val="left"/>
      <w:textAlignment w:val="auto"/>
    </w:pPr>
    <w:rPr>
      <w:rFonts w:asciiTheme="minorHAnsi" w:hAnsiTheme="minorHAnsi" w:eastAsiaTheme="minorEastAsia"/>
      <w:kern w:val="0"/>
      <w:sz w:val="22"/>
      <w:szCs w:val="22"/>
    </w:rPr>
  </w:style>
  <w:style w:type="paragraph" w:styleId="19">
    <w:name w:val="toc 8"/>
    <w:basedOn w:val="1"/>
    <w:next w:val="1"/>
    <w:unhideWhenUsed/>
    <w:qFormat/>
    <w:uiPriority w:val="39"/>
    <w:pPr>
      <w:widowControl w:val="0"/>
      <w:ind w:left="2940" w:leftChars="1400"/>
      <w:textAlignment w:val="auto"/>
    </w:pPr>
    <w:rPr>
      <w:rFonts w:asciiTheme="minorHAnsi" w:hAnsiTheme="minorHAnsi" w:eastAsiaTheme="minorEastAsia" w:cstheme="minorBidi"/>
      <w:szCs w:val="22"/>
    </w:rPr>
  </w:style>
  <w:style w:type="paragraph" w:styleId="20">
    <w:name w:val="Date"/>
    <w:basedOn w:val="1"/>
    <w:next w:val="1"/>
    <w:qFormat/>
    <w:uiPriority w:val="0"/>
    <w:pPr>
      <w:ind w:left="100" w:leftChars="2500"/>
    </w:pPr>
    <w:rPr>
      <w:rFonts w:ascii="宋体" w:hAnsi="宋体"/>
      <w:color w:val="333333"/>
      <w:sz w:val="24"/>
    </w:rPr>
  </w:style>
  <w:style w:type="paragraph" w:styleId="21">
    <w:name w:val="Body Text Indent 2"/>
    <w:basedOn w:val="1"/>
    <w:link w:val="60"/>
    <w:qFormat/>
    <w:uiPriority w:val="0"/>
    <w:pPr>
      <w:widowControl w:val="0"/>
      <w:spacing w:after="120" w:line="480" w:lineRule="auto"/>
      <w:ind w:left="420" w:leftChars="200"/>
      <w:textAlignment w:val="auto"/>
    </w:pPr>
  </w:style>
  <w:style w:type="paragraph" w:styleId="22">
    <w:name w:val="Balloon Text"/>
    <w:basedOn w:val="1"/>
    <w:link w:val="61"/>
    <w:qFormat/>
    <w:uiPriority w:val="0"/>
    <w:pPr>
      <w:jc w:val="left"/>
      <w:textAlignment w:val="auto"/>
    </w:pPr>
    <w:rPr>
      <w:kern w:val="0"/>
      <w:sz w:val="16"/>
      <w:szCs w:val="16"/>
      <w:lang w:eastAsia="en-US"/>
    </w:rPr>
  </w:style>
  <w:style w:type="paragraph" w:styleId="23">
    <w:name w:val="footer"/>
    <w:basedOn w:val="1"/>
    <w:link w:val="62"/>
    <w:qFormat/>
    <w:uiPriority w:val="0"/>
    <w:pPr>
      <w:tabs>
        <w:tab w:val="center" w:pos="4153"/>
        <w:tab w:val="right" w:pos="8306"/>
      </w:tabs>
      <w:snapToGrid w:val="0"/>
      <w:jc w:val="left"/>
    </w:pPr>
    <w:rPr>
      <w:sz w:val="18"/>
      <w:szCs w:val="18"/>
    </w:rPr>
  </w:style>
  <w:style w:type="paragraph" w:styleId="24">
    <w:name w:val="header"/>
    <w:basedOn w:val="1"/>
    <w:link w:val="63"/>
    <w:qFormat/>
    <w:uiPriority w:val="99"/>
    <w:pPr>
      <w:pBdr>
        <w:bottom w:val="single" w:color="000000" w:sz="6" w:space="1"/>
      </w:pBdr>
      <w:tabs>
        <w:tab w:val="center" w:pos="4153"/>
        <w:tab w:val="right" w:pos="8306"/>
      </w:tabs>
      <w:snapToGrid w:val="0"/>
      <w:jc w:val="center"/>
    </w:pPr>
    <w:rPr>
      <w:sz w:val="18"/>
      <w:szCs w:val="18"/>
    </w:rPr>
  </w:style>
  <w:style w:type="paragraph" w:styleId="25">
    <w:name w:val="toc 1"/>
    <w:basedOn w:val="1"/>
    <w:next w:val="1"/>
    <w:uiPriority w:val="39"/>
    <w:pPr>
      <w:jc w:val="left"/>
      <w:textAlignment w:val="auto"/>
    </w:pPr>
    <w:rPr>
      <w:kern w:val="0"/>
      <w:sz w:val="20"/>
      <w:szCs w:val="20"/>
      <w:lang w:eastAsia="en-US"/>
    </w:rPr>
  </w:style>
  <w:style w:type="paragraph" w:styleId="26">
    <w:name w:val="toc 4"/>
    <w:basedOn w:val="1"/>
    <w:next w:val="1"/>
    <w:unhideWhenUsed/>
    <w:qFormat/>
    <w:uiPriority w:val="39"/>
    <w:pPr>
      <w:widowControl w:val="0"/>
      <w:ind w:left="1260" w:leftChars="600"/>
      <w:textAlignment w:val="auto"/>
    </w:pPr>
    <w:rPr>
      <w:rFonts w:asciiTheme="minorHAnsi" w:hAnsiTheme="minorHAnsi" w:eastAsiaTheme="minorEastAsia" w:cstheme="minorBidi"/>
      <w:szCs w:val="22"/>
    </w:rPr>
  </w:style>
  <w:style w:type="paragraph" w:styleId="27">
    <w:name w:val="footnote text"/>
    <w:basedOn w:val="1"/>
    <w:link w:val="135"/>
    <w:semiHidden/>
    <w:qFormat/>
    <w:uiPriority w:val="0"/>
    <w:pPr>
      <w:widowControl w:val="0"/>
      <w:snapToGrid w:val="0"/>
      <w:jc w:val="left"/>
      <w:textAlignment w:val="auto"/>
    </w:pPr>
    <w:rPr>
      <w:sz w:val="18"/>
      <w:szCs w:val="18"/>
    </w:rPr>
  </w:style>
  <w:style w:type="paragraph" w:styleId="28">
    <w:name w:val="toc 6"/>
    <w:basedOn w:val="1"/>
    <w:next w:val="1"/>
    <w:unhideWhenUsed/>
    <w:qFormat/>
    <w:uiPriority w:val="39"/>
    <w:pPr>
      <w:widowControl w:val="0"/>
      <w:ind w:left="2100" w:leftChars="1000"/>
      <w:textAlignment w:val="auto"/>
    </w:pPr>
    <w:rPr>
      <w:rFonts w:asciiTheme="minorHAnsi" w:hAnsiTheme="minorHAnsi" w:eastAsiaTheme="minorEastAsia" w:cstheme="minorBidi"/>
      <w:szCs w:val="22"/>
    </w:rPr>
  </w:style>
  <w:style w:type="paragraph" w:styleId="29">
    <w:name w:val="Body Text Indent 3"/>
    <w:basedOn w:val="1"/>
    <w:link w:val="64"/>
    <w:qFormat/>
    <w:uiPriority w:val="0"/>
    <w:pPr>
      <w:widowControl w:val="0"/>
      <w:spacing w:after="120"/>
      <w:ind w:left="420" w:leftChars="200"/>
      <w:textAlignment w:val="auto"/>
    </w:pPr>
    <w:rPr>
      <w:sz w:val="16"/>
      <w:szCs w:val="16"/>
    </w:rPr>
  </w:style>
  <w:style w:type="paragraph" w:styleId="30">
    <w:name w:val="toc 2"/>
    <w:basedOn w:val="1"/>
    <w:next w:val="1"/>
    <w:unhideWhenUsed/>
    <w:qFormat/>
    <w:uiPriority w:val="39"/>
    <w:pPr>
      <w:spacing w:after="100" w:line="259" w:lineRule="auto"/>
      <w:ind w:left="220"/>
      <w:jc w:val="left"/>
      <w:textAlignment w:val="auto"/>
    </w:pPr>
    <w:rPr>
      <w:rFonts w:asciiTheme="minorHAnsi" w:hAnsiTheme="minorHAnsi" w:eastAsiaTheme="minorEastAsia"/>
      <w:kern w:val="0"/>
      <w:sz w:val="22"/>
      <w:szCs w:val="22"/>
    </w:rPr>
  </w:style>
  <w:style w:type="paragraph" w:styleId="31">
    <w:name w:val="toc 9"/>
    <w:basedOn w:val="1"/>
    <w:next w:val="1"/>
    <w:unhideWhenUsed/>
    <w:qFormat/>
    <w:uiPriority w:val="39"/>
    <w:pPr>
      <w:widowControl w:val="0"/>
      <w:ind w:left="3360" w:leftChars="1600"/>
      <w:textAlignment w:val="auto"/>
    </w:pPr>
    <w:rPr>
      <w:rFonts w:asciiTheme="minorHAnsi" w:hAnsiTheme="minorHAnsi" w:eastAsiaTheme="minorEastAsia" w:cstheme="minorBidi"/>
      <w:szCs w:val="22"/>
    </w:rPr>
  </w:style>
  <w:style w:type="paragraph" w:styleId="32">
    <w:name w:val="Body Text 2"/>
    <w:basedOn w:val="1"/>
    <w:link w:val="65"/>
    <w:qFormat/>
    <w:uiPriority w:val="0"/>
    <w:pPr>
      <w:widowControl w:val="0"/>
      <w:adjustRightInd w:val="0"/>
      <w:spacing w:after="120" w:line="480" w:lineRule="auto"/>
    </w:pPr>
    <w:rPr>
      <w:kern w:val="0"/>
      <w:szCs w:val="20"/>
    </w:rPr>
  </w:style>
  <w:style w:type="paragraph" w:styleId="33">
    <w:name w:val="Message Header"/>
    <w:basedOn w:val="5"/>
    <w:link w:val="66"/>
    <w:qFormat/>
    <w:uiPriority w:val="0"/>
    <w:pPr>
      <w:keepLines/>
      <w:tabs>
        <w:tab w:val="left" w:pos="1560"/>
        <w:tab w:val="left" w:pos="4920"/>
        <w:tab w:val="left" w:pos="5640"/>
      </w:tabs>
      <w:ind w:left="1560" w:hanging="720"/>
    </w:pPr>
  </w:style>
  <w:style w:type="paragraph" w:styleId="34">
    <w:name w:val="HTML Preformatted"/>
    <w:basedOn w:val="1"/>
    <w:link w:val="6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auto"/>
    </w:pPr>
    <w:rPr>
      <w:rFonts w:ascii="Arial Unicode MS" w:hAnsi="Arial Unicode MS" w:eastAsia="Arial Unicode MS" w:cs="Arial Unicode MS"/>
      <w:kern w:val="0"/>
      <w:sz w:val="20"/>
      <w:szCs w:val="20"/>
      <w:lang w:eastAsia="en-US"/>
    </w:rPr>
  </w:style>
  <w:style w:type="paragraph" w:styleId="35">
    <w:name w:val="Normal (Web)"/>
    <w:basedOn w:val="1"/>
    <w:qFormat/>
    <w:uiPriority w:val="0"/>
    <w:pPr>
      <w:spacing w:before="100" w:beforeAutospacing="1" w:after="100" w:afterAutospacing="1"/>
      <w:jc w:val="left"/>
      <w:textAlignment w:val="auto"/>
    </w:pPr>
    <w:rPr>
      <w:rFonts w:ascii="宋体" w:hAnsi="宋体" w:cs="宋体"/>
      <w:color w:val="000000"/>
      <w:kern w:val="0"/>
      <w:sz w:val="24"/>
    </w:rPr>
  </w:style>
  <w:style w:type="paragraph" w:styleId="36">
    <w:name w:val="Title"/>
    <w:basedOn w:val="1"/>
    <w:next w:val="1"/>
    <w:link w:val="68"/>
    <w:qFormat/>
    <w:uiPriority w:val="0"/>
    <w:pPr>
      <w:widowControl w:val="0"/>
      <w:spacing w:before="240" w:after="60"/>
      <w:jc w:val="center"/>
      <w:textAlignment w:val="auto"/>
      <w:outlineLvl w:val="0"/>
    </w:pPr>
    <w:rPr>
      <w:rFonts w:ascii="Cambria" w:hAnsi="Cambria"/>
      <w:b/>
      <w:bCs/>
      <w:sz w:val="32"/>
      <w:szCs w:val="32"/>
    </w:rPr>
  </w:style>
  <w:style w:type="paragraph" w:styleId="37">
    <w:name w:val="annotation subject"/>
    <w:basedOn w:val="15"/>
    <w:next w:val="15"/>
    <w:link w:val="137"/>
    <w:unhideWhenUsed/>
    <w:qFormat/>
    <w:uiPriority w:val="0"/>
    <w:pPr>
      <w:autoSpaceDE w:val="0"/>
      <w:autoSpaceDN w:val="0"/>
    </w:pPr>
    <w:rPr>
      <w:rFonts w:ascii="宋体" w:hAnsi="宋体" w:eastAsia="宋体" w:cs="宋体"/>
      <w:b/>
      <w:bCs/>
      <w:kern w:val="0"/>
      <w:sz w:val="22"/>
      <w:szCs w:val="22"/>
      <w:lang w:eastAsia="en-US"/>
    </w:rPr>
  </w:style>
  <w:style w:type="paragraph" w:styleId="38">
    <w:name w:val="Body Text First Indent 2"/>
    <w:basedOn w:val="16"/>
    <w:next w:val="1"/>
    <w:link w:val="136"/>
    <w:qFormat/>
    <w:uiPriority w:val="99"/>
    <w:pPr>
      <w:widowControl w:val="0"/>
      <w:ind w:firstLine="420" w:firstLineChars="200"/>
    </w:pPr>
    <w:rPr>
      <w:rFonts w:ascii="宋体" w:hAnsi="宋体" w:cs="宋体"/>
      <w:sz w:val="22"/>
      <w:szCs w:val="22"/>
    </w:rPr>
  </w:style>
  <w:style w:type="table" w:styleId="40">
    <w:name w:val="Table Grid"/>
    <w:basedOn w:val="3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FollowedHyperlink"/>
    <w:qFormat/>
    <w:uiPriority w:val="99"/>
    <w:rPr>
      <w:color w:val="954F72"/>
      <w:u w:val="single"/>
    </w:rPr>
  </w:style>
  <w:style w:type="character" w:styleId="45">
    <w:name w:val="Emphasis"/>
    <w:qFormat/>
    <w:uiPriority w:val="0"/>
    <w:rPr>
      <w:rFonts w:hint="default" w:ascii="Arial" w:hAnsi="Arial" w:cs="Arial"/>
      <w:b/>
      <w:spacing w:val="-10"/>
      <w:sz w:val="18"/>
    </w:rPr>
  </w:style>
  <w:style w:type="character" w:styleId="46">
    <w:name w:val="Hyperlink"/>
    <w:qFormat/>
    <w:uiPriority w:val="99"/>
    <w:rPr>
      <w:color w:val="0000FF"/>
      <w:u w:val="single"/>
    </w:rPr>
  </w:style>
  <w:style w:type="character" w:styleId="47">
    <w:name w:val="annotation reference"/>
    <w:basedOn w:val="41"/>
    <w:qFormat/>
    <w:uiPriority w:val="0"/>
    <w:rPr>
      <w:rFonts w:cs="Times New Roman"/>
      <w:sz w:val="21"/>
      <w:szCs w:val="21"/>
    </w:rPr>
  </w:style>
  <w:style w:type="character" w:customStyle="1" w:styleId="48">
    <w:name w:val="正文文本 字符"/>
    <w:basedOn w:val="41"/>
    <w:link w:val="5"/>
    <w:qFormat/>
    <w:uiPriority w:val="99"/>
    <w:rPr>
      <w:lang w:eastAsia="en-US"/>
    </w:rPr>
  </w:style>
  <w:style w:type="character" w:customStyle="1" w:styleId="49">
    <w:name w:val="标题 1 字符"/>
    <w:basedOn w:val="41"/>
    <w:link w:val="4"/>
    <w:qFormat/>
    <w:uiPriority w:val="0"/>
    <w:rPr>
      <w:rFonts w:ascii="Arial" w:hAnsi="Arial"/>
      <w:b/>
      <w:spacing w:val="-10"/>
      <w:kern w:val="28"/>
      <w:lang w:eastAsia="en-US"/>
    </w:rPr>
  </w:style>
  <w:style w:type="character" w:customStyle="1" w:styleId="50">
    <w:name w:val="标题 2 字符"/>
    <w:basedOn w:val="41"/>
    <w:link w:val="6"/>
    <w:qFormat/>
    <w:uiPriority w:val="0"/>
    <w:rPr>
      <w:rFonts w:ascii="Arial" w:hAnsi="Arial"/>
      <w:b/>
      <w:spacing w:val="-10"/>
      <w:kern w:val="28"/>
      <w:sz w:val="18"/>
      <w:lang w:eastAsia="en-US"/>
    </w:rPr>
  </w:style>
  <w:style w:type="character" w:customStyle="1" w:styleId="51">
    <w:name w:val="标题 3 字符"/>
    <w:basedOn w:val="41"/>
    <w:link w:val="7"/>
    <w:qFormat/>
    <w:uiPriority w:val="0"/>
    <w:rPr>
      <w:rFonts w:ascii="Arial" w:hAnsi="Arial"/>
      <w:spacing w:val="-5"/>
      <w:kern w:val="28"/>
      <w:sz w:val="18"/>
      <w:lang w:eastAsia="en-US"/>
    </w:rPr>
  </w:style>
  <w:style w:type="character" w:customStyle="1" w:styleId="52">
    <w:name w:val="标题 4 字符"/>
    <w:basedOn w:val="41"/>
    <w:link w:val="3"/>
    <w:qFormat/>
    <w:uiPriority w:val="0"/>
    <w:rPr>
      <w:i/>
      <w:spacing w:val="-2"/>
      <w:kern w:val="28"/>
      <w:lang w:eastAsia="en-US"/>
    </w:rPr>
  </w:style>
  <w:style w:type="character" w:customStyle="1" w:styleId="53">
    <w:name w:val="标题 5 字符"/>
    <w:basedOn w:val="41"/>
    <w:link w:val="8"/>
    <w:qFormat/>
    <w:uiPriority w:val="0"/>
    <w:rPr>
      <w:b/>
      <w:i/>
      <w:spacing w:val="-2"/>
      <w:kern w:val="28"/>
      <w:lang w:eastAsia="en-US"/>
    </w:rPr>
  </w:style>
  <w:style w:type="character" w:customStyle="1" w:styleId="54">
    <w:name w:val="标题 6 字符"/>
    <w:basedOn w:val="41"/>
    <w:link w:val="9"/>
    <w:qFormat/>
    <w:uiPriority w:val="9"/>
    <w:rPr>
      <w:rFonts w:ascii="宋体" w:hAnsi="宋体" w:cs="宋体"/>
      <w:bCs/>
      <w:sz w:val="24"/>
      <w:lang w:eastAsia="en-US"/>
    </w:rPr>
  </w:style>
  <w:style w:type="character" w:customStyle="1" w:styleId="55">
    <w:name w:val="标题 7 字符"/>
    <w:basedOn w:val="41"/>
    <w:link w:val="10"/>
    <w:qFormat/>
    <w:uiPriority w:val="0"/>
    <w:rPr>
      <w:b/>
      <w:bCs/>
      <w:sz w:val="24"/>
      <w:szCs w:val="24"/>
      <w:lang w:eastAsia="en-US"/>
    </w:rPr>
  </w:style>
  <w:style w:type="character" w:customStyle="1" w:styleId="56">
    <w:name w:val="文档结构图 字符"/>
    <w:basedOn w:val="41"/>
    <w:link w:val="13"/>
    <w:semiHidden/>
    <w:qFormat/>
    <w:uiPriority w:val="0"/>
    <w:rPr>
      <w:kern w:val="2"/>
      <w:sz w:val="21"/>
      <w:szCs w:val="24"/>
      <w:shd w:val="clear" w:color="auto" w:fill="000080"/>
    </w:rPr>
  </w:style>
  <w:style w:type="character" w:customStyle="1" w:styleId="57">
    <w:name w:val="批注文字 字符"/>
    <w:basedOn w:val="41"/>
    <w:link w:val="15"/>
    <w:qFormat/>
    <w:uiPriority w:val="99"/>
    <w:rPr>
      <w:rFonts w:eastAsia="PMingLiU"/>
      <w:kern w:val="2"/>
      <w:sz w:val="24"/>
      <w:lang w:eastAsia="zh-TW"/>
    </w:rPr>
  </w:style>
  <w:style w:type="character" w:customStyle="1" w:styleId="58">
    <w:name w:val="正文文本缩进 字符"/>
    <w:basedOn w:val="41"/>
    <w:link w:val="16"/>
    <w:qFormat/>
    <w:uiPriority w:val="99"/>
    <w:rPr>
      <w:lang w:eastAsia="en-US"/>
    </w:rPr>
  </w:style>
  <w:style w:type="character" w:customStyle="1" w:styleId="59">
    <w:name w:val="纯文本 字符"/>
    <w:basedOn w:val="41"/>
    <w:link w:val="2"/>
    <w:qFormat/>
    <w:uiPriority w:val="0"/>
    <w:rPr>
      <w:rFonts w:ascii="宋体" w:hAnsi="Courier New" w:cs="Courier New"/>
      <w:kern w:val="2"/>
      <w:sz w:val="21"/>
      <w:szCs w:val="21"/>
    </w:rPr>
  </w:style>
  <w:style w:type="character" w:customStyle="1" w:styleId="60">
    <w:name w:val="正文文本缩进 2 字符"/>
    <w:basedOn w:val="41"/>
    <w:link w:val="21"/>
    <w:qFormat/>
    <w:uiPriority w:val="0"/>
    <w:rPr>
      <w:kern w:val="2"/>
      <w:sz w:val="21"/>
      <w:szCs w:val="24"/>
    </w:rPr>
  </w:style>
  <w:style w:type="character" w:customStyle="1" w:styleId="61">
    <w:name w:val="批注框文本 字符"/>
    <w:basedOn w:val="41"/>
    <w:link w:val="22"/>
    <w:qFormat/>
    <w:uiPriority w:val="0"/>
    <w:rPr>
      <w:sz w:val="16"/>
      <w:szCs w:val="16"/>
      <w:lang w:eastAsia="en-US"/>
    </w:rPr>
  </w:style>
  <w:style w:type="character" w:customStyle="1" w:styleId="62">
    <w:name w:val="页脚 字符"/>
    <w:basedOn w:val="41"/>
    <w:link w:val="23"/>
    <w:qFormat/>
    <w:uiPriority w:val="0"/>
    <w:rPr>
      <w:kern w:val="2"/>
      <w:sz w:val="18"/>
      <w:szCs w:val="18"/>
    </w:rPr>
  </w:style>
  <w:style w:type="character" w:customStyle="1" w:styleId="63">
    <w:name w:val="页眉 字符"/>
    <w:basedOn w:val="41"/>
    <w:link w:val="24"/>
    <w:qFormat/>
    <w:uiPriority w:val="99"/>
    <w:rPr>
      <w:kern w:val="2"/>
      <w:sz w:val="18"/>
      <w:szCs w:val="18"/>
    </w:rPr>
  </w:style>
  <w:style w:type="character" w:customStyle="1" w:styleId="64">
    <w:name w:val="正文文本缩进 3 字符"/>
    <w:basedOn w:val="41"/>
    <w:link w:val="29"/>
    <w:qFormat/>
    <w:uiPriority w:val="0"/>
    <w:rPr>
      <w:kern w:val="2"/>
      <w:sz w:val="16"/>
      <w:szCs w:val="16"/>
    </w:rPr>
  </w:style>
  <w:style w:type="character" w:customStyle="1" w:styleId="65">
    <w:name w:val="正文文本 2 字符"/>
    <w:basedOn w:val="41"/>
    <w:link w:val="32"/>
    <w:qFormat/>
    <w:uiPriority w:val="0"/>
    <w:rPr>
      <w:sz w:val="21"/>
    </w:rPr>
  </w:style>
  <w:style w:type="character" w:customStyle="1" w:styleId="66">
    <w:name w:val="信息标题 字符"/>
    <w:basedOn w:val="41"/>
    <w:link w:val="33"/>
    <w:qFormat/>
    <w:uiPriority w:val="0"/>
    <w:rPr>
      <w:lang w:eastAsia="en-US"/>
    </w:rPr>
  </w:style>
  <w:style w:type="character" w:customStyle="1" w:styleId="67">
    <w:name w:val="HTML 预设格式 字符"/>
    <w:basedOn w:val="41"/>
    <w:link w:val="34"/>
    <w:qFormat/>
    <w:uiPriority w:val="0"/>
    <w:rPr>
      <w:rFonts w:ascii="Arial Unicode MS" w:hAnsi="Arial Unicode MS" w:eastAsia="Arial Unicode MS" w:cs="Arial Unicode MS"/>
      <w:lang w:eastAsia="en-US"/>
    </w:rPr>
  </w:style>
  <w:style w:type="character" w:customStyle="1" w:styleId="68">
    <w:name w:val="标题 字符"/>
    <w:basedOn w:val="41"/>
    <w:link w:val="36"/>
    <w:qFormat/>
    <w:uiPriority w:val="0"/>
    <w:rPr>
      <w:rFonts w:ascii="Cambria" w:hAnsi="Cambria"/>
      <w:b/>
      <w:bCs/>
      <w:kern w:val="2"/>
      <w:sz w:val="32"/>
      <w:szCs w:val="32"/>
    </w:rPr>
  </w:style>
  <w:style w:type="paragraph" w:customStyle="1" w:styleId="69">
    <w:name w:val="Heading2"/>
    <w:basedOn w:val="1"/>
    <w:next w:val="1"/>
    <w:qFormat/>
    <w:uiPriority w:val="0"/>
    <w:pPr>
      <w:spacing w:before="58"/>
      <w:ind w:left="560" w:hanging="361"/>
    </w:pPr>
    <w:rPr>
      <w:rFonts w:ascii="宋体" w:hAnsi="宋体" w:cs="宋体"/>
      <w:sz w:val="30"/>
      <w:szCs w:val="30"/>
      <w:lang w:val="zh-CN" w:bidi="zh-CN"/>
    </w:rPr>
  </w:style>
  <w:style w:type="paragraph" w:customStyle="1" w:styleId="70">
    <w:name w:val="Heading3"/>
    <w:basedOn w:val="1"/>
    <w:next w:val="1"/>
    <w:qFormat/>
    <w:uiPriority w:val="0"/>
    <w:pPr>
      <w:ind w:left="620" w:hanging="421"/>
    </w:pPr>
    <w:rPr>
      <w:rFonts w:ascii="宋体" w:hAnsi="宋体" w:cs="宋体"/>
      <w:szCs w:val="21"/>
      <w:lang w:val="zh-CN" w:bidi="zh-CN"/>
    </w:rPr>
  </w:style>
  <w:style w:type="character" w:customStyle="1" w:styleId="71">
    <w:name w:val="NormalCharacter"/>
    <w:semiHidden/>
    <w:qFormat/>
    <w:uiPriority w:val="0"/>
  </w:style>
  <w:style w:type="table" w:customStyle="1" w:styleId="72">
    <w:name w:val="TableNormal"/>
    <w:semiHidden/>
    <w:qFormat/>
    <w:uiPriority w:val="0"/>
    <w:tblPr>
      <w:tblCellMar>
        <w:top w:w="0" w:type="dxa"/>
        <w:left w:w="0" w:type="dxa"/>
        <w:bottom w:w="0" w:type="dxa"/>
        <w:right w:w="0" w:type="dxa"/>
      </w:tblCellMar>
    </w:tblPr>
  </w:style>
  <w:style w:type="paragraph" w:customStyle="1" w:styleId="73">
    <w:name w:val="ListBullet3"/>
    <w:basedOn w:val="1"/>
    <w:qFormat/>
    <w:uiPriority w:val="0"/>
    <w:pPr>
      <w:tabs>
        <w:tab w:val="left" w:pos="1200"/>
      </w:tabs>
      <w:ind w:left="1200" w:hanging="360"/>
    </w:pPr>
  </w:style>
  <w:style w:type="paragraph" w:customStyle="1" w:styleId="74">
    <w:name w:val="BodyText"/>
    <w:basedOn w:val="1"/>
    <w:qFormat/>
    <w:uiPriority w:val="0"/>
    <w:rPr>
      <w:rFonts w:eastAsia="仿宋_GB2312"/>
      <w:color w:val="FF3300"/>
      <w:sz w:val="40"/>
      <w:szCs w:val="40"/>
      <w:lang w:val="zh-CN"/>
    </w:rPr>
  </w:style>
  <w:style w:type="table" w:customStyle="1" w:styleId="75">
    <w:name w:val="TableGrid"/>
    <w:basedOn w:val="72"/>
    <w:qFormat/>
    <w:uiPriority w:val="0"/>
  </w:style>
  <w:style w:type="paragraph" w:customStyle="1" w:styleId="76">
    <w:name w:val="179"/>
    <w:basedOn w:val="1"/>
    <w:qFormat/>
    <w:uiPriority w:val="0"/>
    <w:pPr>
      <w:ind w:firstLine="420" w:firstLineChars="200"/>
    </w:pPr>
  </w:style>
  <w:style w:type="character" w:customStyle="1" w:styleId="77">
    <w:name w:val="UserStyle_0"/>
    <w:link w:val="78"/>
    <w:qFormat/>
    <w:uiPriority w:val="0"/>
    <w:rPr>
      <w:rFonts w:ascii="宋体" w:hAnsi="宋体"/>
      <w:szCs w:val="24"/>
    </w:rPr>
  </w:style>
  <w:style w:type="paragraph" w:customStyle="1" w:styleId="78">
    <w:name w:val="UserStyle_1"/>
    <w:basedOn w:val="1"/>
    <w:link w:val="77"/>
    <w:qFormat/>
    <w:uiPriority w:val="0"/>
    <w:pPr>
      <w:ind w:left="400" w:leftChars="400" w:right="400" w:rightChars="400"/>
      <w:jc w:val="left"/>
    </w:pPr>
    <w:rPr>
      <w:rFonts w:ascii="宋体" w:hAnsi="宋体"/>
      <w:kern w:val="0"/>
      <w:sz w:val="20"/>
    </w:rPr>
  </w:style>
  <w:style w:type="paragraph" w:customStyle="1" w:styleId="79">
    <w:name w:val="UserStyle_2"/>
    <w:basedOn w:val="1"/>
    <w:qFormat/>
    <w:uiPriority w:val="0"/>
    <w:pPr>
      <w:ind w:left="720"/>
      <w:contextualSpacing/>
    </w:pPr>
  </w:style>
  <w:style w:type="paragraph" w:customStyle="1" w:styleId="80">
    <w:name w:val="UserStyle_3"/>
    <w:basedOn w:val="1"/>
    <w:qFormat/>
    <w:uiPriority w:val="0"/>
    <w:rPr>
      <w:rFonts w:ascii="宋体" w:hAnsi="宋体"/>
      <w:lang w:val="zh-CN" w:bidi="zh-CN"/>
    </w:rPr>
  </w:style>
  <w:style w:type="paragraph" w:styleId="81">
    <w:name w:val="List Paragraph"/>
    <w:basedOn w:val="1"/>
    <w:qFormat/>
    <w:uiPriority w:val="34"/>
    <w:pPr>
      <w:widowControl w:val="0"/>
      <w:ind w:left="720"/>
      <w:textAlignment w:val="auto"/>
    </w:pPr>
  </w:style>
  <w:style w:type="paragraph" w:customStyle="1" w:styleId="82">
    <w:name w:val="Checkboxes"/>
    <w:basedOn w:val="1"/>
    <w:qFormat/>
    <w:uiPriority w:val="0"/>
    <w:pPr>
      <w:spacing w:before="360" w:after="360"/>
      <w:jc w:val="left"/>
      <w:textAlignment w:val="auto"/>
    </w:pPr>
    <w:rPr>
      <w:kern w:val="0"/>
      <w:sz w:val="20"/>
      <w:szCs w:val="20"/>
      <w:lang w:eastAsia="en-US"/>
    </w:rPr>
  </w:style>
  <w:style w:type="paragraph" w:customStyle="1" w:styleId="83">
    <w:name w:val="Fax Header"/>
    <w:basedOn w:val="1"/>
    <w:qFormat/>
    <w:uiPriority w:val="0"/>
    <w:pPr>
      <w:spacing w:before="240" w:after="60"/>
      <w:jc w:val="left"/>
      <w:textAlignment w:val="auto"/>
    </w:pPr>
    <w:rPr>
      <w:kern w:val="0"/>
      <w:sz w:val="20"/>
      <w:szCs w:val="20"/>
      <w:lang w:eastAsia="en-US"/>
    </w:rPr>
  </w:style>
  <w:style w:type="paragraph" w:customStyle="1" w:styleId="84">
    <w:name w:val="Document Label"/>
    <w:next w:val="1"/>
    <w:qFormat/>
    <w:uiPriority w:val="0"/>
    <w:pPr>
      <w:spacing w:before="100" w:after="720" w:line="600" w:lineRule="exact"/>
      <w:ind w:left="840"/>
    </w:pPr>
    <w:rPr>
      <w:rFonts w:ascii="Times New Roman" w:hAnsi="Times New Roman" w:eastAsia="宋体" w:cs="Times New Roman"/>
      <w:spacing w:val="-34"/>
      <w:sz w:val="60"/>
      <w:lang w:val="en-US" w:eastAsia="en-US" w:bidi="ar-SA"/>
    </w:rPr>
  </w:style>
  <w:style w:type="paragraph" w:customStyle="1" w:styleId="85">
    <w:name w:val="Return Address"/>
    <w:basedOn w:val="1"/>
    <w:qFormat/>
    <w:uiPriority w:val="0"/>
    <w:pPr>
      <w:keepLines/>
      <w:spacing w:line="200" w:lineRule="atLeast"/>
      <w:ind w:right="-120"/>
      <w:jc w:val="left"/>
      <w:textAlignment w:val="auto"/>
    </w:pPr>
    <w:rPr>
      <w:kern w:val="0"/>
      <w:sz w:val="16"/>
      <w:szCs w:val="20"/>
      <w:lang w:eastAsia="en-US"/>
    </w:rPr>
  </w:style>
  <w:style w:type="paragraph" w:customStyle="1" w:styleId="86">
    <w:name w:val="Logo"/>
    <w:basedOn w:val="1"/>
    <w:qFormat/>
    <w:uiPriority w:val="0"/>
    <w:pPr>
      <w:jc w:val="left"/>
      <w:textAlignment w:val="auto"/>
    </w:pPr>
    <w:rPr>
      <w:kern w:val="0"/>
      <w:sz w:val="20"/>
      <w:szCs w:val="20"/>
      <w:lang w:eastAsia="en-US"/>
    </w:rPr>
  </w:style>
  <w:style w:type="paragraph" w:customStyle="1" w:styleId="87">
    <w:name w:val="Slogan"/>
    <w:basedOn w:val="1"/>
    <w:qFormat/>
    <w:uiPriority w:val="0"/>
    <w:pPr>
      <w:shd w:val="clear" w:color="auto" w:fill="F0F0F0"/>
      <w:jc w:val="left"/>
      <w:textAlignment w:val="auto"/>
    </w:pPr>
    <w:rPr>
      <w:rFonts w:ascii="Impact" w:hAnsi="Impact"/>
      <w:caps/>
      <w:color w:val="FFFFFF"/>
      <w:spacing w:val="20"/>
      <w:kern w:val="0"/>
      <w:sz w:val="48"/>
      <w:szCs w:val="20"/>
      <w:lang w:eastAsia="en-US"/>
    </w:rPr>
  </w:style>
  <w:style w:type="paragraph" w:customStyle="1" w:styleId="88">
    <w:name w:val="Company Name"/>
    <w:basedOn w:val="1"/>
    <w:qFormat/>
    <w:uiPriority w:val="0"/>
    <w:pPr>
      <w:keepLines/>
      <w:spacing w:line="200" w:lineRule="atLeast"/>
      <w:ind w:right="-115"/>
      <w:jc w:val="left"/>
      <w:textAlignment w:val="auto"/>
    </w:pPr>
    <w:rPr>
      <w:kern w:val="0"/>
      <w:sz w:val="16"/>
      <w:szCs w:val="20"/>
      <w:lang w:eastAsia="en-US"/>
    </w:rPr>
  </w:style>
  <w:style w:type="paragraph" w:customStyle="1" w:styleId="89">
    <w:name w:val="Header Base"/>
    <w:basedOn w:val="1"/>
    <w:qFormat/>
    <w:uiPriority w:val="0"/>
    <w:pPr>
      <w:keepLines/>
      <w:tabs>
        <w:tab w:val="left" w:pos="-1080"/>
        <w:tab w:val="center" w:pos="4320"/>
        <w:tab w:val="right" w:pos="9480"/>
      </w:tabs>
      <w:ind w:left="-1080" w:right="-840"/>
      <w:jc w:val="left"/>
      <w:textAlignment w:val="auto"/>
    </w:pPr>
    <w:rPr>
      <w:rFonts w:ascii="Arial" w:hAnsi="Arial"/>
      <w:kern w:val="0"/>
      <w:sz w:val="20"/>
      <w:szCs w:val="20"/>
      <w:lang w:eastAsia="en-US"/>
    </w:rPr>
  </w:style>
  <w:style w:type="paragraph" w:customStyle="1" w:styleId="90">
    <w:name w:val="Heading Base"/>
    <w:basedOn w:val="1"/>
    <w:next w:val="5"/>
    <w:qFormat/>
    <w:uiPriority w:val="0"/>
    <w:pPr>
      <w:keepNext/>
      <w:keepLines/>
      <w:spacing w:line="532" w:lineRule="auto"/>
      <w:ind w:left="840" w:right="-240"/>
      <w:jc w:val="left"/>
      <w:textAlignment w:val="auto"/>
    </w:pPr>
    <w:rPr>
      <w:rFonts w:ascii="Arial" w:hAnsi="Arial"/>
      <w:spacing w:val="-10"/>
      <w:kern w:val="28"/>
      <w:sz w:val="20"/>
      <w:szCs w:val="20"/>
      <w:lang w:eastAsia="en-US"/>
    </w:rPr>
  </w:style>
  <w:style w:type="paragraph" w:customStyle="1" w:styleId="91">
    <w:name w:val="Message Header First"/>
    <w:basedOn w:val="33"/>
    <w:next w:val="33"/>
    <w:qFormat/>
    <w:uiPriority w:val="0"/>
  </w:style>
  <w:style w:type="paragraph" w:customStyle="1" w:styleId="92">
    <w:name w:val="Message Header Last"/>
    <w:basedOn w:val="33"/>
    <w:next w:val="5"/>
    <w:qFormat/>
    <w:uiPriority w:val="0"/>
    <w:pPr>
      <w:tabs>
        <w:tab w:val="left" w:pos="1980"/>
        <w:tab w:val="left" w:pos="3510"/>
        <w:tab w:val="left" w:pos="5490"/>
        <w:tab w:val="left" w:pos="7110"/>
        <w:tab w:val="clear" w:pos="1560"/>
        <w:tab w:val="clear" w:pos="4920"/>
        <w:tab w:val="clear" w:pos="5640"/>
      </w:tabs>
      <w:spacing w:before="100" w:after="920"/>
      <w:ind w:left="840" w:firstLine="0"/>
    </w:pPr>
    <w:rPr>
      <w:spacing w:val="-6"/>
    </w:rPr>
  </w:style>
  <w:style w:type="paragraph" w:customStyle="1" w:styleId="93">
    <w:name w:val="Signature Name"/>
    <w:basedOn w:val="1"/>
    <w:next w:val="1"/>
    <w:qFormat/>
    <w:uiPriority w:val="0"/>
    <w:pPr>
      <w:keepNext/>
      <w:keepLines/>
      <w:spacing w:before="660"/>
      <w:ind w:left="840" w:right="-120"/>
      <w:jc w:val="left"/>
      <w:textAlignment w:val="auto"/>
    </w:pPr>
    <w:rPr>
      <w:kern w:val="0"/>
      <w:sz w:val="20"/>
      <w:szCs w:val="20"/>
      <w:lang w:eastAsia="en-US"/>
    </w:rPr>
  </w:style>
  <w:style w:type="character" w:customStyle="1" w:styleId="94">
    <w:name w:val="Message Header Label"/>
    <w:qFormat/>
    <w:uiPriority w:val="0"/>
    <w:rPr>
      <w:rFonts w:hint="default" w:ascii="Arial" w:hAnsi="Arial" w:cs="Arial"/>
      <w:b/>
      <w:spacing w:val="-4"/>
      <w:sz w:val="18"/>
    </w:rPr>
  </w:style>
  <w:style w:type="character" w:customStyle="1" w:styleId="95">
    <w:name w:val="Checkbox"/>
    <w:qFormat/>
    <w:uiPriority w:val="0"/>
    <w:rPr>
      <w:spacing w:val="0"/>
      <w:sz w:val="22"/>
    </w:rPr>
  </w:style>
  <w:style w:type="paragraph" w:customStyle="1" w:styleId="96">
    <w:name w:val="灿"/>
    <w:basedOn w:val="1"/>
    <w:qFormat/>
    <w:uiPriority w:val="0"/>
    <w:pPr>
      <w:widowControl w:val="0"/>
      <w:tabs>
        <w:tab w:val="left" w:pos="2160"/>
        <w:tab w:val="left" w:pos="2520"/>
        <w:tab w:val="left" w:pos="2880"/>
        <w:tab w:val="left" w:pos="3240"/>
      </w:tabs>
      <w:textAlignment w:val="auto"/>
    </w:pPr>
    <w:rPr>
      <w:rFonts w:ascii="華康中楷體" w:hAnsi="Arial" w:eastAsia="華康中楷體"/>
      <w:snapToGrid w:val="0"/>
      <w:kern w:val="0"/>
      <w:sz w:val="24"/>
      <w:szCs w:val="20"/>
      <w:lang w:eastAsia="en-US"/>
    </w:rPr>
  </w:style>
  <w:style w:type="paragraph" w:customStyle="1" w:styleId="97">
    <w:name w:val="1. ***"/>
    <w:basedOn w:val="1"/>
    <w:qFormat/>
    <w:uiPriority w:val="0"/>
    <w:pPr>
      <w:widowControl w:val="0"/>
      <w:autoSpaceDE w:val="0"/>
      <w:autoSpaceDN w:val="0"/>
      <w:spacing w:after="120" w:line="360" w:lineRule="auto"/>
      <w:textAlignment w:val="bottom"/>
    </w:pPr>
    <w:rPr>
      <w:b/>
      <w:spacing w:val="6"/>
      <w:sz w:val="24"/>
      <w:szCs w:val="20"/>
    </w:rPr>
  </w:style>
  <w:style w:type="character" w:customStyle="1" w:styleId="98">
    <w:name w:val="sbody1"/>
    <w:qFormat/>
    <w:uiPriority w:val="0"/>
    <w:rPr>
      <w:sz w:val="24"/>
      <w:szCs w:val="24"/>
    </w:rPr>
  </w:style>
  <w:style w:type="paragraph" w:customStyle="1" w:styleId="99">
    <w:name w:val="样式1"/>
    <w:basedOn w:val="25"/>
    <w:qFormat/>
    <w:uiPriority w:val="0"/>
    <w:pPr>
      <w:widowControl w:val="0"/>
      <w:tabs>
        <w:tab w:val="left" w:pos="420"/>
        <w:tab w:val="right" w:leader="dot" w:pos="8296"/>
      </w:tabs>
      <w:jc w:val="both"/>
    </w:pPr>
    <w:rPr>
      <w:rFonts w:hAnsi="宋体"/>
      <w:kern w:val="2"/>
      <w:sz w:val="24"/>
      <w:szCs w:val="24"/>
      <w:lang w:eastAsia="zh-CN"/>
    </w:rPr>
  </w:style>
  <w:style w:type="paragraph" w:customStyle="1" w:styleId="100">
    <w:name w:val="Default Text"/>
    <w:basedOn w:val="1"/>
    <w:qFormat/>
    <w:uiPriority w:val="0"/>
    <w:pPr>
      <w:jc w:val="left"/>
      <w:textAlignment w:val="auto"/>
    </w:pPr>
    <w:rPr>
      <w:rFonts w:ascii="宋体"/>
      <w:b/>
      <w:snapToGrid w:val="0"/>
      <w:kern w:val="0"/>
      <w:sz w:val="24"/>
      <w:szCs w:val="20"/>
      <w:lang w:val="en-GB"/>
    </w:rPr>
  </w:style>
  <w:style w:type="paragraph" w:customStyle="1" w:styleId="101">
    <w:name w:val="Particulars Slip"/>
    <w:basedOn w:val="1"/>
    <w:qFormat/>
    <w:uiPriority w:val="0"/>
    <w:pPr>
      <w:widowControl w:val="0"/>
      <w:tabs>
        <w:tab w:val="left" w:pos="2160"/>
        <w:tab w:val="left" w:pos="2520"/>
        <w:tab w:val="left" w:pos="2880"/>
        <w:tab w:val="left" w:pos="3240"/>
        <w:tab w:val="left" w:pos="3600"/>
        <w:tab w:val="left" w:pos="3960"/>
      </w:tabs>
      <w:textAlignment w:val="auto"/>
    </w:pPr>
    <w:rPr>
      <w:rFonts w:ascii="全真簡中楷" w:eastAsia="全真簡中楷"/>
      <w:snapToGrid w:val="0"/>
      <w:kern w:val="0"/>
      <w:sz w:val="28"/>
      <w:szCs w:val="20"/>
      <w:lang w:val="en-GB" w:eastAsia="en-US"/>
    </w:rPr>
  </w:style>
  <w:style w:type="character" w:customStyle="1" w:styleId="102">
    <w:name w:val="标题6"/>
    <w:qFormat/>
    <w:uiPriority w:val="0"/>
    <w:rPr>
      <w:rFonts w:eastAsia="黑体"/>
      <w:b/>
      <w:sz w:val="28"/>
    </w:rPr>
  </w:style>
  <w:style w:type="paragraph" w:customStyle="1" w:styleId="103">
    <w:name w:val="Plain Text1"/>
    <w:basedOn w:val="1"/>
    <w:qFormat/>
    <w:uiPriority w:val="0"/>
    <w:pPr>
      <w:widowControl w:val="0"/>
      <w:adjustRightInd w:val="0"/>
    </w:pPr>
    <w:rPr>
      <w:rFonts w:ascii="宋体" w:hAnsi="Courier New"/>
      <w:szCs w:val="20"/>
    </w:rPr>
  </w:style>
  <w:style w:type="paragraph" w:customStyle="1" w:styleId="104">
    <w:name w:val="正文缩进英"/>
    <w:basedOn w:val="12"/>
    <w:qFormat/>
    <w:uiPriority w:val="0"/>
    <w:pPr>
      <w:widowControl w:val="0"/>
      <w:adjustRightInd w:val="0"/>
      <w:spacing w:after="120" w:line="300" w:lineRule="auto"/>
      <w:ind w:left="0" w:right="0" w:firstLine="420"/>
      <w:jc w:val="both"/>
      <w:textAlignment w:val="baseline"/>
    </w:pPr>
    <w:rPr>
      <w:sz w:val="24"/>
      <w:lang w:eastAsia="zh-CN"/>
    </w:rPr>
  </w:style>
  <w:style w:type="paragraph" w:customStyle="1" w:styleId="105">
    <w:name w:val="Document 1"/>
    <w:qFormat/>
    <w:uiPriority w:val="0"/>
    <w:pPr>
      <w:keepNext/>
      <w:keepLines/>
      <w:tabs>
        <w:tab w:val="left" w:pos="-720"/>
      </w:tabs>
      <w:suppressAutoHyphens/>
    </w:pPr>
    <w:rPr>
      <w:rFonts w:ascii="Univers" w:hAnsi="Univers" w:eastAsia="宋体" w:cs="Times New Roman"/>
      <w:lang w:val="en-US" w:eastAsia="zh-CN" w:bidi="ar-SA"/>
    </w:rPr>
  </w:style>
  <w:style w:type="paragraph" w:customStyle="1" w:styleId="106">
    <w:name w:val="条款标题1"/>
    <w:basedOn w:val="1"/>
    <w:qFormat/>
    <w:uiPriority w:val="0"/>
    <w:pPr>
      <w:widowControl w:val="0"/>
      <w:jc w:val="center"/>
      <w:textAlignment w:val="auto"/>
    </w:pPr>
    <w:rPr>
      <w:b/>
      <w:spacing w:val="10"/>
      <w:szCs w:val="20"/>
    </w:rPr>
  </w:style>
  <w:style w:type="paragraph" w:customStyle="1" w:styleId="107">
    <w:name w:val="CM8"/>
    <w:basedOn w:val="1"/>
    <w:next w:val="1"/>
    <w:qFormat/>
    <w:uiPriority w:val="0"/>
    <w:pPr>
      <w:widowControl w:val="0"/>
      <w:autoSpaceDE w:val="0"/>
      <w:autoSpaceDN w:val="0"/>
      <w:adjustRightInd w:val="0"/>
      <w:spacing w:line="293" w:lineRule="atLeast"/>
      <w:jc w:val="left"/>
      <w:textAlignment w:val="auto"/>
    </w:pPr>
    <w:rPr>
      <w:rFonts w:ascii="Arial" w:hAnsi="Arial"/>
      <w:kern w:val="0"/>
      <w:sz w:val="24"/>
    </w:rPr>
  </w:style>
  <w:style w:type="paragraph" w:customStyle="1" w:styleId="108">
    <w:name w:val="CM9"/>
    <w:basedOn w:val="1"/>
    <w:next w:val="1"/>
    <w:qFormat/>
    <w:uiPriority w:val="0"/>
    <w:pPr>
      <w:widowControl w:val="0"/>
      <w:autoSpaceDE w:val="0"/>
      <w:autoSpaceDN w:val="0"/>
      <w:adjustRightInd w:val="0"/>
      <w:spacing w:line="283" w:lineRule="atLeast"/>
      <w:jc w:val="left"/>
      <w:textAlignment w:val="auto"/>
    </w:pPr>
    <w:rPr>
      <w:rFonts w:ascii="Arial" w:hAnsi="Arial"/>
      <w:kern w:val="0"/>
      <w:sz w:val="24"/>
    </w:rPr>
  </w:style>
  <w:style w:type="character" w:customStyle="1" w:styleId="109">
    <w:name w:val="apple-style-span"/>
    <w:basedOn w:val="41"/>
    <w:qFormat/>
    <w:uiPriority w:val="0"/>
  </w:style>
  <w:style w:type="character" w:customStyle="1" w:styleId="110">
    <w:name w:val="apple-converted-space"/>
    <w:basedOn w:val="41"/>
    <w:qFormat/>
    <w:uiPriority w:val="0"/>
  </w:style>
  <w:style w:type="paragraph" w:customStyle="1" w:styleId="111">
    <w:name w:val="Char Char Char"/>
    <w:basedOn w:val="1"/>
    <w:qFormat/>
    <w:uiPriority w:val="0"/>
    <w:pPr>
      <w:widowControl w:val="0"/>
      <w:textAlignment w:val="auto"/>
    </w:pPr>
    <w:rPr>
      <w:rFonts w:ascii="Tahoma" w:hAnsi="Tahoma" w:cs="Tahoma"/>
      <w:sz w:val="24"/>
    </w:rPr>
  </w:style>
  <w:style w:type="paragraph" w:customStyle="1" w:styleId="112">
    <w:name w:val="Normal1"/>
    <w:qFormat/>
    <w:uiPriority w:val="0"/>
    <w:pPr>
      <w:widowControl w:val="0"/>
      <w:adjustRightInd w:val="0"/>
      <w:spacing w:line="0" w:lineRule="atLeast"/>
      <w:textAlignment w:val="baseline"/>
    </w:pPr>
    <w:rPr>
      <w:rFonts w:ascii="宋体" w:hAnsi="Times New Roman" w:eastAsia="宋体" w:cs="Times New Roman"/>
      <w:sz w:val="34"/>
      <w:lang w:val="en-US" w:eastAsia="zh-CN" w:bidi="ar-SA"/>
    </w:rPr>
  </w:style>
  <w:style w:type="paragraph" w:customStyle="1" w:styleId="113">
    <w:name w:val="Char"/>
    <w:basedOn w:val="13"/>
    <w:qFormat/>
    <w:uiPriority w:val="0"/>
    <w:pPr>
      <w:adjustRightInd w:val="0"/>
      <w:snapToGrid w:val="0"/>
      <w:spacing w:line="360" w:lineRule="auto"/>
    </w:pPr>
    <w:rPr>
      <w:rFonts w:ascii="Tahoma" w:hAnsi="Tahoma"/>
      <w:sz w:val="24"/>
    </w:rPr>
  </w:style>
  <w:style w:type="paragraph" w:customStyle="1" w:styleId="114">
    <w:name w:val="条款正文"/>
    <w:basedOn w:val="1"/>
    <w:qFormat/>
    <w:uiPriority w:val="0"/>
    <w:pPr>
      <w:widowControl w:val="0"/>
      <w:adjustRightInd w:val="0"/>
      <w:snapToGrid w:val="0"/>
      <w:ind w:left="840" w:leftChars="400" w:firstLine="420" w:firstLineChars="200"/>
      <w:textAlignment w:val="auto"/>
    </w:pPr>
  </w:style>
  <w:style w:type="paragraph" w:customStyle="1" w:styleId="115">
    <w:name w:val="条款标题"/>
    <w:basedOn w:val="114"/>
    <w:qFormat/>
    <w:uiPriority w:val="0"/>
    <w:pPr>
      <w:tabs>
        <w:tab w:val="left" w:pos="840"/>
      </w:tabs>
      <w:ind w:left="0" w:leftChars="0" w:firstLine="0" w:firstLineChars="0"/>
    </w:pPr>
    <w:rPr>
      <w:b/>
    </w:rPr>
  </w:style>
  <w:style w:type="character" w:customStyle="1" w:styleId="116">
    <w:name w:val="tf"/>
    <w:basedOn w:val="41"/>
    <w:qFormat/>
    <w:uiPriority w:val="0"/>
  </w:style>
  <w:style w:type="paragraph" w:customStyle="1" w:styleId="117">
    <w:name w:val="Char Char Char Char"/>
    <w:basedOn w:val="13"/>
    <w:qFormat/>
    <w:uiPriority w:val="0"/>
    <w:pPr>
      <w:adjustRightInd w:val="0"/>
      <w:snapToGrid w:val="0"/>
      <w:spacing w:line="360" w:lineRule="auto"/>
    </w:pPr>
    <w:rPr>
      <w:rFonts w:ascii="Tahoma" w:hAnsi="Tahoma" w:cs="Tahoma"/>
      <w:sz w:val="24"/>
    </w:rPr>
  </w:style>
  <w:style w:type="paragraph" w:styleId="118">
    <w:name w:val="No Spacing"/>
    <w:link w:val="119"/>
    <w:qFormat/>
    <w:uiPriority w:val="1"/>
    <w:rPr>
      <w:rFonts w:asciiTheme="minorHAnsi" w:hAnsiTheme="minorHAnsi" w:eastAsiaTheme="minorEastAsia" w:cstheme="minorBidi"/>
      <w:sz w:val="22"/>
      <w:szCs w:val="22"/>
      <w:lang w:val="en-US" w:eastAsia="ja-JP" w:bidi="ar-SA"/>
    </w:rPr>
  </w:style>
  <w:style w:type="character" w:customStyle="1" w:styleId="119">
    <w:name w:val="无间隔 字符"/>
    <w:basedOn w:val="41"/>
    <w:link w:val="118"/>
    <w:qFormat/>
    <w:uiPriority w:val="1"/>
    <w:rPr>
      <w:rFonts w:asciiTheme="minorHAnsi" w:hAnsiTheme="minorHAnsi" w:eastAsiaTheme="minorEastAsia" w:cstheme="minorBidi"/>
      <w:sz w:val="22"/>
      <w:szCs w:val="22"/>
      <w:lang w:eastAsia="ja-JP"/>
    </w:rPr>
  </w:style>
  <w:style w:type="paragraph" w:customStyle="1" w:styleId="120">
    <w:name w:val="Default"/>
    <w:basedOn w:val="1"/>
    <w:qFormat/>
    <w:uiPriority w:val="0"/>
    <w:pPr>
      <w:autoSpaceDE w:val="0"/>
      <w:autoSpaceDN w:val="0"/>
      <w:jc w:val="left"/>
      <w:textAlignment w:val="auto"/>
    </w:pPr>
    <w:rPr>
      <w:rFonts w:ascii="宋体" w:hAnsi="宋体" w:cs="宋体"/>
      <w:color w:val="000000"/>
      <w:kern w:val="0"/>
      <w:sz w:val="24"/>
    </w:rPr>
  </w:style>
  <w:style w:type="character" w:customStyle="1" w:styleId="121">
    <w:name w:val="条标题1.1.1 Char1"/>
    <w:qFormat/>
    <w:uiPriority w:val="0"/>
    <w:rPr>
      <w:rFonts w:eastAsia="宋体"/>
      <w:b/>
      <w:sz w:val="24"/>
      <w:lang w:val="en-US" w:eastAsia="zh-CN" w:bidi="ar-SA"/>
    </w:rPr>
  </w:style>
  <w:style w:type="character" w:customStyle="1" w:styleId="122">
    <w:name w:val="Char Char2"/>
    <w:qFormat/>
    <w:uiPriority w:val="0"/>
    <w:rPr>
      <w:rFonts w:eastAsia="宋体"/>
      <w:kern w:val="2"/>
      <w:sz w:val="21"/>
      <w:szCs w:val="24"/>
      <w:lang w:val="en-US" w:eastAsia="zh-CN" w:bidi="ar-SA"/>
    </w:rPr>
  </w:style>
  <w:style w:type="character" w:customStyle="1" w:styleId="123">
    <w:name w:val="条标题1.1.1 Char"/>
    <w:qFormat/>
    <w:uiPriority w:val="0"/>
    <w:rPr>
      <w:b/>
      <w:sz w:val="24"/>
    </w:rPr>
  </w:style>
  <w:style w:type="character" w:customStyle="1" w:styleId="124">
    <w:name w:val="页眉cover Char"/>
    <w:qFormat/>
    <w:uiPriority w:val="0"/>
    <w:rPr>
      <w:rFonts w:eastAsia="宋体"/>
      <w:kern w:val="2"/>
      <w:sz w:val="18"/>
      <w:szCs w:val="18"/>
      <w:lang w:val="en-US" w:eastAsia="zh-CN" w:bidi="ar-SA"/>
    </w:rPr>
  </w:style>
  <w:style w:type="character" w:customStyle="1" w:styleId="125">
    <w:name w:val="Char Char1"/>
    <w:qFormat/>
    <w:uiPriority w:val="0"/>
    <w:rPr>
      <w:kern w:val="2"/>
      <w:sz w:val="18"/>
      <w:szCs w:val="18"/>
    </w:rPr>
  </w:style>
  <w:style w:type="character" w:customStyle="1" w:styleId="126">
    <w:name w:val="Char Char"/>
    <w:qFormat/>
    <w:uiPriority w:val="0"/>
    <w:rPr>
      <w:kern w:val="2"/>
      <w:sz w:val="18"/>
      <w:szCs w:val="18"/>
    </w:rPr>
  </w:style>
  <w:style w:type="paragraph" w:customStyle="1" w:styleId="127">
    <w:name w:val="Char Char3"/>
    <w:basedOn w:val="1"/>
    <w:qFormat/>
    <w:uiPriority w:val="0"/>
    <w:pPr>
      <w:widowControl w:val="0"/>
      <w:textAlignment w:val="auto"/>
    </w:pPr>
  </w:style>
  <w:style w:type="paragraph" w:customStyle="1" w:styleId="128">
    <w:name w:val="默认段落字体 Para Char"/>
    <w:basedOn w:val="1"/>
    <w:qFormat/>
    <w:uiPriority w:val="0"/>
    <w:pPr>
      <w:widowControl w:val="0"/>
      <w:adjustRightInd w:val="0"/>
      <w:spacing w:line="360" w:lineRule="auto"/>
      <w:textAlignment w:val="auto"/>
    </w:pPr>
    <w:rPr>
      <w:kern w:val="0"/>
      <w:sz w:val="24"/>
      <w:szCs w:val="20"/>
    </w:rPr>
  </w:style>
  <w:style w:type="character" w:customStyle="1" w:styleId="129">
    <w:name w:val="正文文本 Char1"/>
    <w:basedOn w:val="41"/>
    <w:qFormat/>
    <w:uiPriority w:val="0"/>
    <w:rPr>
      <w:kern w:val="2"/>
      <w:sz w:val="21"/>
      <w:szCs w:val="24"/>
    </w:rPr>
  </w:style>
  <w:style w:type="paragraph" w:customStyle="1" w:styleId="130">
    <w:name w:val="reader-word-layer"/>
    <w:basedOn w:val="1"/>
    <w:qFormat/>
    <w:uiPriority w:val="0"/>
    <w:pPr>
      <w:spacing w:before="100" w:beforeAutospacing="1" w:after="100" w:afterAutospacing="1"/>
      <w:jc w:val="left"/>
      <w:textAlignment w:val="auto"/>
    </w:pPr>
    <w:rPr>
      <w:rFonts w:ascii="宋体" w:cs="宋体"/>
      <w:kern w:val="0"/>
      <w:sz w:val="24"/>
    </w:rPr>
  </w:style>
  <w:style w:type="paragraph" w:customStyle="1" w:styleId="131">
    <w:name w:val="Table Paragraph"/>
    <w:basedOn w:val="1"/>
    <w:qFormat/>
    <w:uiPriority w:val="99"/>
    <w:pPr>
      <w:widowControl w:val="0"/>
      <w:autoSpaceDE w:val="0"/>
      <w:autoSpaceDN w:val="0"/>
      <w:jc w:val="left"/>
      <w:textAlignment w:val="auto"/>
    </w:pPr>
    <w:rPr>
      <w:rFonts w:ascii="宋体" w:hAnsi="宋体" w:cs="宋体"/>
      <w:kern w:val="0"/>
      <w:sz w:val="22"/>
      <w:szCs w:val="22"/>
      <w:lang w:eastAsia="en-US"/>
    </w:rPr>
  </w:style>
  <w:style w:type="paragraph" w:customStyle="1" w:styleId="132">
    <w:name w:val="样式 标题 2 + 新宋体"/>
    <w:basedOn w:val="6"/>
    <w:qFormat/>
    <w:uiPriority w:val="0"/>
    <w:pPr>
      <w:keepLines w:val="0"/>
      <w:adjustRightInd w:val="0"/>
      <w:snapToGrid w:val="0"/>
      <w:spacing w:before="240" w:after="240" w:line="360" w:lineRule="auto"/>
      <w:ind w:right="0"/>
      <w:jc w:val="center"/>
      <w:textAlignment w:val="baseline"/>
    </w:pPr>
    <w:rPr>
      <w:rFonts w:ascii="新宋体" w:hAnsi="新宋体" w:eastAsia="黑体"/>
      <w:bCs/>
      <w:color w:val="000000"/>
      <w:spacing w:val="0"/>
      <w:kern w:val="0"/>
      <w:sz w:val="30"/>
      <w:lang w:val="zh-CN" w:eastAsia="zh-CN"/>
    </w:rPr>
  </w:style>
  <w:style w:type="paragraph" w:customStyle="1" w:styleId="133">
    <w:name w:val="样式 标题 3 + 新宋体"/>
    <w:basedOn w:val="7"/>
    <w:link w:val="134"/>
    <w:qFormat/>
    <w:uiPriority w:val="0"/>
    <w:pPr>
      <w:widowControl w:val="0"/>
      <w:spacing w:line="360" w:lineRule="auto"/>
      <w:ind w:left="2041" w:right="0"/>
      <w:jc w:val="both"/>
    </w:pPr>
    <w:rPr>
      <w:rFonts w:ascii="新宋体" w:hAnsi="新宋体"/>
      <w:spacing w:val="0"/>
      <w:kern w:val="0"/>
      <w:sz w:val="21"/>
      <w:szCs w:val="32"/>
      <w:lang w:val="zh-CN" w:eastAsia="zh-CN"/>
    </w:rPr>
  </w:style>
  <w:style w:type="character" w:customStyle="1" w:styleId="134">
    <w:name w:val="样式 标题 3 + 新宋体 Char"/>
    <w:link w:val="133"/>
    <w:qFormat/>
    <w:uiPriority w:val="0"/>
    <w:rPr>
      <w:rFonts w:ascii="新宋体" w:hAnsi="新宋体"/>
      <w:sz w:val="21"/>
      <w:szCs w:val="32"/>
      <w:lang w:val="zh-CN" w:eastAsia="zh-CN"/>
    </w:rPr>
  </w:style>
  <w:style w:type="character" w:customStyle="1" w:styleId="135">
    <w:name w:val="脚注文本 字符"/>
    <w:basedOn w:val="41"/>
    <w:link w:val="27"/>
    <w:semiHidden/>
    <w:qFormat/>
    <w:uiPriority w:val="0"/>
    <w:rPr>
      <w:kern w:val="2"/>
      <w:sz w:val="18"/>
      <w:szCs w:val="18"/>
    </w:rPr>
  </w:style>
  <w:style w:type="character" w:customStyle="1" w:styleId="136">
    <w:name w:val="正文首行缩进 2 字符"/>
    <w:basedOn w:val="58"/>
    <w:link w:val="38"/>
    <w:qFormat/>
    <w:uiPriority w:val="99"/>
    <w:rPr>
      <w:rFonts w:ascii="宋体" w:hAnsi="宋体" w:cs="宋体"/>
      <w:sz w:val="22"/>
      <w:szCs w:val="22"/>
      <w:lang w:eastAsia="en-US"/>
    </w:rPr>
  </w:style>
  <w:style w:type="character" w:customStyle="1" w:styleId="137">
    <w:name w:val="批注主题 字符"/>
    <w:basedOn w:val="57"/>
    <w:link w:val="37"/>
    <w:qFormat/>
    <w:uiPriority w:val="0"/>
    <w:rPr>
      <w:rFonts w:ascii="宋体" w:hAnsi="宋体" w:eastAsia="PMingLiU" w:cs="宋体"/>
      <w:b/>
      <w:bCs/>
      <w:kern w:val="2"/>
      <w:sz w:val="22"/>
      <w:szCs w:val="22"/>
      <w:lang w:eastAsia="en-US"/>
    </w:rPr>
  </w:style>
  <w:style w:type="paragraph" w:customStyle="1" w:styleId="138">
    <w:name w:val="TOC 标题1"/>
    <w:basedOn w:val="4"/>
    <w:next w:val="1"/>
    <w:unhideWhenUsed/>
    <w:qFormat/>
    <w:uiPriority w:val="39"/>
    <w:pPr>
      <w:spacing w:before="240" w:line="259" w:lineRule="auto"/>
      <w:ind w:left="0" w:right="0"/>
      <w:outlineLvl w:val="9"/>
    </w:pPr>
    <w:rPr>
      <w:rFonts w:asciiTheme="majorHAnsi" w:hAnsiTheme="majorHAnsi" w:eastAsiaTheme="majorEastAsia" w:cstheme="majorBidi"/>
      <w:b w:val="0"/>
      <w:color w:val="2F5496" w:themeColor="accent1" w:themeShade="BF"/>
      <w:spacing w:val="0"/>
      <w:kern w:val="0"/>
      <w:sz w:val="32"/>
      <w:szCs w:val="32"/>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1E360F-3D55-4A75-AFBB-698C00168B4E}">
  <ds:schemaRefs/>
</ds:datastoreItem>
</file>

<file path=docProps/app.xml><?xml version="1.0" encoding="utf-8"?>
<Properties xmlns="http://schemas.openxmlformats.org/officeDocument/2006/extended-properties" xmlns:vt="http://schemas.openxmlformats.org/officeDocument/2006/docPropsVTypes">
  <Template>Normal</Template>
  <Company>Aon</Company>
  <Pages>30</Pages>
  <Words>16066</Words>
  <Characters>16795</Characters>
  <Lines>150</Lines>
  <Paragraphs>42</Paragraphs>
  <TotalTime>14</TotalTime>
  <ScaleCrop>false</ScaleCrop>
  <LinksUpToDate>false</LinksUpToDate>
  <CharactersWithSpaces>17392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2021-07-20T03:45:00Z</dcterms:created>
  <dc:creator>jamesqi</dc:creator>
  <cp:lastModifiedBy>YCM</cp:lastModifiedBy>
  <dcterms:modified xsi:type="dcterms:W3CDTF">2023-09-28T10:09:53Z</dcterms:modified>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9DF068171EC34CDFAC68E537D896F3C6</vt:lpwstr>
  </property>
</Properties>
</file>