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Style w:val="71"/>
          <w:rFonts w:eastAsia="黑体"/>
          <w:bCs/>
          <w:sz w:val="36"/>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p>
    <w:p>
      <w:pPr>
        <w:snapToGrid w:val="0"/>
        <w:rPr>
          <w:rStyle w:val="71"/>
          <w:rFonts w:ascii="黑体" w:eastAsia="黑体"/>
          <w:bCs/>
          <w:sz w:val="44"/>
          <w:szCs w:val="44"/>
        </w:rPr>
      </w:pPr>
    </w:p>
    <w:p>
      <w:pPr>
        <w:snapToGrid w:val="0"/>
        <w:rPr>
          <w:rStyle w:val="71"/>
          <w:rFonts w:ascii="黑体" w:eastAsia="黑体"/>
          <w:bCs/>
          <w:sz w:val="44"/>
          <w:szCs w:val="44"/>
        </w:rPr>
      </w:pPr>
    </w:p>
    <w:p>
      <w:pPr>
        <w:snapToGrid w:val="0"/>
        <w:jc w:val="center"/>
        <w:rPr>
          <w:rStyle w:val="71"/>
          <w:rFonts w:ascii="黑体" w:eastAsia="黑体"/>
          <w:bCs/>
          <w:sz w:val="44"/>
          <w:szCs w:val="44"/>
        </w:rPr>
      </w:pPr>
      <w:r>
        <w:rPr>
          <w:rStyle w:val="71"/>
          <w:rFonts w:hint="eastAsia" w:ascii="黑体" w:eastAsia="黑体"/>
          <w:bCs/>
          <w:sz w:val="44"/>
          <w:szCs w:val="44"/>
        </w:rPr>
        <w:t>2023年梁河糖业勐养工厂制炼车间</w:t>
      </w:r>
    </w:p>
    <w:p>
      <w:pPr>
        <w:snapToGrid w:val="0"/>
        <w:jc w:val="center"/>
        <w:rPr>
          <w:rStyle w:val="71"/>
          <w:rFonts w:ascii="黑体" w:eastAsia="黑体"/>
          <w:bCs/>
          <w:sz w:val="44"/>
          <w:szCs w:val="44"/>
        </w:rPr>
      </w:pPr>
      <w:r>
        <w:rPr>
          <w:rStyle w:val="71"/>
          <w:rFonts w:hint="eastAsia" w:ascii="黑体" w:eastAsia="黑体"/>
          <w:bCs/>
          <w:sz w:val="44"/>
          <w:szCs w:val="44"/>
        </w:rPr>
        <w:t>P25TK-1离心机大修</w:t>
      </w:r>
    </w:p>
    <w:p>
      <w:pPr>
        <w:snapToGrid w:val="0"/>
        <w:jc w:val="center"/>
        <w:rPr>
          <w:rStyle w:val="71"/>
          <w:rFonts w:eastAsia="黑体"/>
          <w:bCs/>
          <w:sz w:val="36"/>
        </w:rPr>
      </w:pPr>
      <w:r>
        <w:rPr>
          <w:rStyle w:val="71"/>
          <w:rFonts w:ascii="黑体" w:eastAsia="黑体"/>
          <w:bCs/>
          <w:sz w:val="44"/>
          <w:szCs w:val="44"/>
        </w:rPr>
        <w:t>询比价采购文件</w:t>
      </w: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仿宋_GB2312" w:eastAsia="仿宋_GB2312"/>
          <w:bCs/>
          <w:sz w:val="28"/>
        </w:rPr>
      </w:pPr>
    </w:p>
    <w:p>
      <w:pPr>
        <w:snapToGrid w:val="0"/>
        <w:rPr>
          <w:rStyle w:val="71"/>
          <w:rFonts w:ascii="黑体" w:eastAsia="黑体"/>
          <w:bCs/>
          <w:sz w:val="28"/>
          <w:szCs w:val="28"/>
        </w:rPr>
      </w:pPr>
    </w:p>
    <w:p>
      <w:pPr>
        <w:snapToGrid w:val="0"/>
        <w:rPr>
          <w:rStyle w:val="71"/>
          <w:rFonts w:ascii="黑体" w:eastAsia="黑体"/>
          <w:bCs/>
          <w:sz w:val="28"/>
          <w:szCs w:val="28"/>
        </w:rPr>
      </w:pPr>
    </w:p>
    <w:p>
      <w:pPr>
        <w:spacing w:line="276" w:lineRule="auto"/>
        <w:jc w:val="center"/>
        <w:rPr>
          <w:rFonts w:ascii="仿宋_GB2312" w:eastAsia="仿宋_GB2312" w:hAnsiTheme="minorEastAsia"/>
          <w:snapToGrid w:val="0"/>
          <w:sz w:val="32"/>
          <w:szCs w:val="32"/>
        </w:rPr>
      </w:pPr>
      <w:r>
        <w:rPr>
          <w:rFonts w:hint="eastAsia" w:ascii="仿宋_GB2312" w:eastAsia="仿宋_GB2312" w:hAnsiTheme="minorEastAsia"/>
          <w:snapToGrid w:val="0"/>
          <w:sz w:val="32"/>
          <w:szCs w:val="32"/>
        </w:rPr>
        <w:t>采购组织：</w:t>
      </w:r>
      <w:r>
        <w:rPr>
          <w:rFonts w:hint="eastAsia" w:ascii="仿宋_GB2312" w:eastAsia="仿宋_GB2312" w:hAnsiTheme="minorEastAsia"/>
          <w:snapToGrid w:val="0"/>
          <w:sz w:val="32"/>
          <w:szCs w:val="32"/>
          <w:u w:val="single"/>
        </w:rPr>
        <w:t xml:space="preserve"> 中粮梁河糖业有限公司（盖单位公章）</w:t>
      </w:r>
    </w:p>
    <w:p>
      <w:pPr>
        <w:spacing w:line="276" w:lineRule="auto"/>
        <w:jc w:val="center"/>
        <w:rPr>
          <w:rFonts w:ascii="仿宋_GB2312" w:eastAsia="仿宋_GB2312" w:hAnsiTheme="minorEastAsia"/>
          <w:snapToGrid w:val="0"/>
          <w:sz w:val="32"/>
          <w:szCs w:val="32"/>
        </w:rPr>
      </w:pPr>
    </w:p>
    <w:p>
      <w:pPr>
        <w:spacing w:line="276" w:lineRule="auto"/>
        <w:jc w:val="center"/>
        <w:rPr>
          <w:rFonts w:ascii="仿宋_GB2312" w:eastAsia="仿宋_GB2312" w:hAnsiTheme="minorEastAsia"/>
          <w:snapToGrid w:val="0"/>
          <w:sz w:val="32"/>
          <w:szCs w:val="32"/>
        </w:rPr>
      </w:pPr>
      <w:r>
        <w:rPr>
          <w:rFonts w:hint="eastAsia" w:ascii="仿宋_GB2312" w:eastAsia="仿宋_GB2312" w:hAnsiTheme="minorEastAsia"/>
          <w:snapToGrid w:val="0"/>
          <w:sz w:val="32"/>
          <w:szCs w:val="32"/>
          <w:u w:val="single"/>
          <w:shd w:val="clear" w:color="auto" w:fill="FFFF00"/>
        </w:rPr>
        <w:t xml:space="preserve"> 2023 </w:t>
      </w:r>
      <w:r>
        <w:rPr>
          <w:rFonts w:hint="eastAsia" w:ascii="仿宋_GB2312" w:eastAsia="仿宋_GB2312" w:hAnsiTheme="minorEastAsia"/>
          <w:snapToGrid w:val="0"/>
          <w:sz w:val="32"/>
          <w:szCs w:val="32"/>
        </w:rPr>
        <w:t xml:space="preserve">年 </w:t>
      </w:r>
      <w:r>
        <w:rPr>
          <w:rFonts w:hint="eastAsia" w:ascii="仿宋_GB2312" w:eastAsia="仿宋_GB2312" w:hAnsiTheme="minorEastAsia"/>
          <w:snapToGrid w:val="0"/>
          <w:sz w:val="32"/>
          <w:szCs w:val="32"/>
          <w:lang w:val="en-US" w:eastAsia="zh-CN"/>
        </w:rPr>
        <w:t>9</w:t>
      </w:r>
      <w:r>
        <w:rPr>
          <w:rFonts w:hint="eastAsia" w:ascii="仿宋_GB2312" w:eastAsia="仿宋_GB2312" w:hAnsiTheme="minorEastAsia"/>
          <w:snapToGrid w:val="0"/>
          <w:sz w:val="32"/>
          <w:szCs w:val="32"/>
        </w:rPr>
        <w:t xml:space="preserve"> 月 </w:t>
      </w:r>
      <w:r>
        <w:rPr>
          <w:rFonts w:hint="eastAsia" w:ascii="仿宋_GB2312" w:eastAsia="仿宋_GB2312" w:hAnsiTheme="minorEastAsia"/>
          <w:snapToGrid w:val="0"/>
          <w:sz w:val="32"/>
          <w:szCs w:val="32"/>
          <w:lang w:val="en-US" w:eastAsia="zh-CN"/>
        </w:rPr>
        <w:t>23</w:t>
      </w:r>
      <w:r>
        <w:rPr>
          <w:rFonts w:hint="eastAsia" w:ascii="仿宋_GB2312" w:eastAsia="仿宋_GB2312" w:hAnsiTheme="minorEastAsia"/>
          <w:snapToGrid w:val="0"/>
          <w:sz w:val="32"/>
          <w:szCs w:val="32"/>
        </w:rPr>
        <w:t xml:space="preserve"> 日</w:t>
      </w:r>
    </w:p>
    <w:p>
      <w:pPr>
        <w:spacing w:line="276" w:lineRule="auto"/>
        <w:rPr>
          <w:rFonts w:ascii="仿宋_GB2312" w:eastAsia="仿宋_GB2312" w:hAnsiTheme="minorEastAsia"/>
          <w:snapToGrid w:val="0"/>
          <w:sz w:val="32"/>
          <w:szCs w:val="32"/>
        </w:rPr>
      </w:pPr>
    </w:p>
    <w:p>
      <w:pPr>
        <w:snapToGrid w:val="0"/>
        <w:ind w:firstLine="2520" w:firstLineChars="900"/>
        <w:rPr>
          <w:rStyle w:val="71"/>
          <w:rFonts w:ascii="黑体" w:eastAsia="黑体"/>
          <w:bCs/>
          <w:sz w:val="28"/>
          <w:szCs w:val="28"/>
        </w:rPr>
      </w:pPr>
    </w:p>
    <w:p>
      <w:pPr>
        <w:snapToGrid w:val="0"/>
        <w:rPr>
          <w:rStyle w:val="71"/>
          <w:rFonts w:ascii="仿宋_GB2312" w:eastAsia="仿宋_GB2312"/>
          <w:bCs/>
          <w:sz w:val="28"/>
        </w:rPr>
      </w:pPr>
    </w:p>
    <w:p>
      <w:pPr>
        <w:snapToGrid w:val="0"/>
        <w:jc w:val="center"/>
        <w:rPr>
          <w:rStyle w:val="71"/>
          <w:rFonts w:ascii="仿宋_GB2312" w:eastAsia="仿宋_GB2312"/>
          <w:b/>
          <w:bCs/>
          <w:sz w:val="44"/>
          <w:szCs w:val="44"/>
        </w:rPr>
      </w:pPr>
    </w:p>
    <w:p>
      <w:pPr>
        <w:snapToGrid w:val="0"/>
        <w:jc w:val="center"/>
        <w:rPr>
          <w:rStyle w:val="71"/>
          <w:rFonts w:ascii="黑体" w:eastAsia="黑体"/>
          <w:b/>
          <w:bCs/>
          <w:sz w:val="44"/>
          <w:szCs w:val="44"/>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p>
    <w:p>
      <w:pPr>
        <w:snapToGrid w:val="0"/>
        <w:jc w:val="center"/>
        <w:rPr>
          <w:rStyle w:val="71"/>
          <w:rFonts w:ascii="黑体" w:eastAsia="黑体"/>
          <w:bCs/>
          <w:sz w:val="44"/>
          <w:szCs w:val="44"/>
        </w:rPr>
      </w:pPr>
      <w:r>
        <w:rPr>
          <w:rStyle w:val="71"/>
          <w:rFonts w:ascii="黑体" w:eastAsia="黑体"/>
          <w:bCs/>
          <w:sz w:val="44"/>
          <w:szCs w:val="44"/>
        </w:rPr>
        <w:t>目          录</w:t>
      </w:r>
    </w:p>
    <w:p>
      <w:pPr>
        <w:snapToGrid w:val="0"/>
        <w:jc w:val="center"/>
        <w:rPr>
          <w:rStyle w:val="71"/>
          <w:rFonts w:ascii="黑体" w:eastAsia="黑体"/>
          <w:bCs/>
          <w:sz w:val="36"/>
          <w:szCs w:val="36"/>
        </w:rPr>
      </w:pPr>
    </w:p>
    <w:p>
      <w:pPr>
        <w:snapToGrid w:val="0"/>
        <w:jc w:val="center"/>
        <w:rPr>
          <w:rStyle w:val="71"/>
          <w:rFonts w:ascii="黑体" w:eastAsia="黑体"/>
          <w:bCs/>
          <w:sz w:val="36"/>
          <w:szCs w:val="36"/>
        </w:rPr>
      </w:pPr>
    </w:p>
    <w:p>
      <w:pPr>
        <w:snapToGrid w:val="0"/>
        <w:jc w:val="center"/>
        <w:rPr>
          <w:rStyle w:val="71"/>
          <w:rFonts w:ascii="黑体" w:eastAsia="黑体"/>
          <w:bCs/>
          <w:sz w:val="36"/>
          <w:szCs w:val="36"/>
        </w:rPr>
      </w:pPr>
    </w:p>
    <w:p>
      <w:pPr>
        <w:snapToGrid w:val="0"/>
        <w:jc w:val="center"/>
        <w:rPr>
          <w:rStyle w:val="71"/>
          <w:rFonts w:ascii="黑体" w:eastAsia="黑体"/>
          <w:bCs/>
          <w:sz w:val="36"/>
          <w:szCs w:val="36"/>
        </w:rPr>
      </w:pPr>
    </w:p>
    <w:p>
      <w:pPr>
        <w:numPr>
          <w:ilvl w:val="0"/>
          <w:numId w:val="1"/>
        </w:numPr>
        <w:snapToGrid w:val="0"/>
        <w:rPr>
          <w:rStyle w:val="71"/>
          <w:rFonts w:ascii="黑体" w:eastAsia="黑体"/>
          <w:bCs/>
          <w:sz w:val="36"/>
          <w:szCs w:val="36"/>
        </w:rPr>
      </w:pPr>
      <w:r>
        <w:rPr>
          <w:rStyle w:val="71"/>
          <w:rFonts w:ascii="黑体" w:eastAsia="黑体"/>
          <w:bCs/>
          <w:sz w:val="36"/>
          <w:szCs w:val="36"/>
        </w:rPr>
        <w:t>供应商须知</w:t>
      </w:r>
    </w:p>
    <w:p>
      <w:pPr>
        <w:snapToGrid w:val="0"/>
        <w:rPr>
          <w:rStyle w:val="71"/>
          <w:rFonts w:ascii="黑体" w:eastAsia="黑体"/>
          <w:bCs/>
          <w:sz w:val="36"/>
          <w:szCs w:val="36"/>
        </w:rPr>
      </w:pPr>
    </w:p>
    <w:p>
      <w:pPr>
        <w:pStyle w:val="81"/>
        <w:numPr>
          <w:ilvl w:val="0"/>
          <w:numId w:val="1"/>
        </w:numPr>
        <w:tabs>
          <w:tab w:val="left" w:pos="7005"/>
        </w:tabs>
        <w:snapToGrid w:val="0"/>
        <w:rPr>
          <w:rStyle w:val="71"/>
          <w:rFonts w:ascii="黑体" w:eastAsia="黑体"/>
          <w:bCs/>
          <w:sz w:val="36"/>
          <w:szCs w:val="36"/>
        </w:rPr>
      </w:pPr>
      <w:r>
        <w:rPr>
          <w:rStyle w:val="71"/>
          <w:rFonts w:hint="eastAsia" w:ascii="黑体" w:eastAsia="黑体"/>
          <w:bCs/>
          <w:sz w:val="36"/>
          <w:szCs w:val="36"/>
        </w:rPr>
        <w:t>报价说明</w:t>
      </w:r>
    </w:p>
    <w:p>
      <w:pPr>
        <w:snapToGrid w:val="0"/>
        <w:spacing w:line="560" w:lineRule="exact"/>
        <w:rPr>
          <w:rStyle w:val="71"/>
          <w:rFonts w:ascii="宋体" w:hAnsi="宋体"/>
          <w:bCs/>
          <w:sz w:val="32"/>
          <w:szCs w:val="32"/>
        </w:rPr>
      </w:pPr>
    </w:p>
    <w:p>
      <w:pPr>
        <w:pStyle w:val="81"/>
        <w:numPr>
          <w:ilvl w:val="0"/>
          <w:numId w:val="1"/>
        </w:numPr>
        <w:tabs>
          <w:tab w:val="left" w:pos="7005"/>
        </w:tabs>
        <w:snapToGrid w:val="0"/>
        <w:rPr>
          <w:rStyle w:val="71"/>
          <w:rFonts w:ascii="黑体" w:eastAsia="黑体"/>
          <w:bCs/>
          <w:sz w:val="36"/>
          <w:szCs w:val="36"/>
        </w:rPr>
      </w:pPr>
      <w:r>
        <w:rPr>
          <w:rStyle w:val="71"/>
          <w:rFonts w:hint="eastAsia" w:ascii="黑体" w:eastAsia="黑体"/>
          <w:bCs/>
          <w:sz w:val="36"/>
          <w:szCs w:val="36"/>
        </w:rPr>
        <w:t>项目需求</w:t>
      </w:r>
    </w:p>
    <w:p>
      <w:pPr>
        <w:snapToGrid w:val="0"/>
        <w:rPr>
          <w:rStyle w:val="71"/>
          <w:rFonts w:ascii="黑体" w:eastAsia="黑体"/>
          <w:bCs/>
          <w:sz w:val="36"/>
          <w:szCs w:val="36"/>
        </w:rPr>
      </w:pPr>
    </w:p>
    <w:p>
      <w:pPr>
        <w:snapToGrid w:val="0"/>
        <w:ind w:left="2150"/>
        <w:rPr>
          <w:rStyle w:val="71"/>
          <w:rFonts w:ascii="黑体" w:eastAsia="黑体"/>
          <w:bCs/>
          <w:sz w:val="36"/>
          <w:szCs w:val="36"/>
        </w:rPr>
      </w:pPr>
      <w:r>
        <w:rPr>
          <w:rStyle w:val="71"/>
          <w:rFonts w:ascii="黑体" w:eastAsia="黑体"/>
          <w:bCs/>
          <w:sz w:val="36"/>
          <w:szCs w:val="36"/>
        </w:rPr>
        <w:t>第</w:t>
      </w:r>
      <w:r>
        <w:rPr>
          <w:rStyle w:val="71"/>
          <w:rFonts w:hint="eastAsia" w:ascii="黑体" w:eastAsia="黑体"/>
          <w:bCs/>
          <w:sz w:val="36"/>
          <w:szCs w:val="36"/>
        </w:rPr>
        <w:t>四</w:t>
      </w:r>
      <w:r>
        <w:rPr>
          <w:rStyle w:val="71"/>
          <w:rFonts w:ascii="黑体" w:eastAsia="黑体"/>
          <w:bCs/>
          <w:sz w:val="36"/>
          <w:szCs w:val="36"/>
        </w:rPr>
        <w:t>章   评审方法</w:t>
      </w:r>
    </w:p>
    <w:p>
      <w:pPr>
        <w:snapToGrid w:val="0"/>
        <w:rPr>
          <w:rStyle w:val="71"/>
          <w:rFonts w:ascii="黑体" w:eastAsia="黑体"/>
          <w:bCs/>
          <w:sz w:val="36"/>
          <w:szCs w:val="36"/>
        </w:rPr>
      </w:pPr>
    </w:p>
    <w:p>
      <w:pPr>
        <w:snapToGrid w:val="0"/>
        <w:ind w:firstLine="2160" w:firstLineChars="600"/>
        <w:rPr>
          <w:rStyle w:val="71"/>
          <w:rFonts w:ascii="宋体" w:hAnsi="宋体" w:eastAsia="黑体"/>
          <w:bCs/>
          <w:sz w:val="28"/>
          <w:szCs w:val="28"/>
        </w:rPr>
      </w:pPr>
      <w:r>
        <w:rPr>
          <w:rStyle w:val="71"/>
          <w:rFonts w:ascii="黑体" w:eastAsia="黑体"/>
          <w:bCs/>
          <w:sz w:val="36"/>
          <w:szCs w:val="36"/>
        </w:rPr>
        <w:t>第</w:t>
      </w:r>
      <w:r>
        <w:rPr>
          <w:rStyle w:val="71"/>
          <w:rFonts w:hint="eastAsia" w:ascii="黑体" w:eastAsia="黑体"/>
          <w:bCs/>
          <w:sz w:val="36"/>
          <w:szCs w:val="36"/>
        </w:rPr>
        <w:t>五</w:t>
      </w:r>
      <w:r>
        <w:rPr>
          <w:rStyle w:val="71"/>
          <w:rFonts w:ascii="黑体" w:eastAsia="黑体"/>
          <w:bCs/>
          <w:sz w:val="36"/>
          <w:szCs w:val="36"/>
        </w:rPr>
        <w:t xml:space="preserve">章   </w:t>
      </w:r>
      <w:r>
        <w:rPr>
          <w:rStyle w:val="71"/>
          <w:rFonts w:hint="eastAsia" w:ascii="黑体" w:eastAsia="黑体"/>
          <w:bCs/>
          <w:sz w:val="36"/>
          <w:szCs w:val="36"/>
        </w:rPr>
        <w:t>合同（草案）</w:t>
      </w:r>
    </w:p>
    <w:p>
      <w:pPr>
        <w:snapToGrid w:val="0"/>
        <w:rPr>
          <w:rStyle w:val="71"/>
          <w:rFonts w:ascii="黑体" w:eastAsia="黑体"/>
          <w:bCs/>
          <w:sz w:val="36"/>
          <w:szCs w:val="36"/>
        </w:rPr>
      </w:pPr>
    </w:p>
    <w:p>
      <w:pPr>
        <w:snapToGrid w:val="0"/>
        <w:rPr>
          <w:rStyle w:val="71"/>
          <w:rFonts w:ascii="黑体" w:eastAsia="黑体"/>
          <w:b/>
          <w:bCs/>
          <w:sz w:val="36"/>
          <w:szCs w:val="36"/>
        </w:rPr>
      </w:pPr>
    </w:p>
    <w:p>
      <w:pPr>
        <w:snapToGrid w:val="0"/>
        <w:rPr>
          <w:rStyle w:val="71"/>
          <w:rFonts w:ascii="黑体" w:eastAsia="黑体"/>
          <w:b/>
          <w:bCs/>
          <w:sz w:val="28"/>
        </w:rPr>
      </w:pPr>
    </w:p>
    <w:p>
      <w:pPr>
        <w:snapToGrid w:val="0"/>
        <w:rPr>
          <w:rStyle w:val="71"/>
          <w:rFonts w:ascii="黑体" w:eastAsia="黑体"/>
          <w:b/>
          <w:bCs/>
          <w:sz w:val="28"/>
        </w:rPr>
      </w:pPr>
    </w:p>
    <w:p>
      <w:pPr>
        <w:snapToGrid w:val="0"/>
        <w:rPr>
          <w:rStyle w:val="71"/>
          <w:rFonts w:ascii="黑体" w:eastAsia="黑体"/>
          <w:b/>
          <w:bCs/>
          <w:sz w:val="28"/>
        </w:rPr>
      </w:pPr>
    </w:p>
    <w:p>
      <w:pPr>
        <w:snapToGrid w:val="0"/>
        <w:rPr>
          <w:rStyle w:val="71"/>
          <w:rFonts w:ascii="宋体" w:hAnsi="宋体"/>
          <w:b/>
          <w:bCs/>
          <w:sz w:val="36"/>
          <w:szCs w:val="36"/>
        </w:rPr>
      </w:pPr>
    </w:p>
    <w:p>
      <w:pPr>
        <w:snapToGrid w:val="0"/>
        <w:jc w:val="center"/>
        <w:rPr>
          <w:rStyle w:val="71"/>
          <w:rFonts w:ascii="宋体" w:hAnsi="宋体"/>
          <w:b/>
          <w:bCs/>
          <w:sz w:val="36"/>
          <w:szCs w:val="36"/>
        </w:rPr>
      </w:pPr>
      <w:r>
        <w:rPr>
          <w:rStyle w:val="71"/>
          <w:rFonts w:ascii="宋体" w:hAnsi="宋体"/>
          <w:b/>
          <w:bCs/>
          <w:sz w:val="36"/>
          <w:szCs w:val="36"/>
        </w:rPr>
        <w:br w:type="page"/>
      </w:r>
    </w:p>
    <w:p>
      <w:pPr>
        <w:snapToGrid w:val="0"/>
        <w:jc w:val="center"/>
        <w:rPr>
          <w:rStyle w:val="71"/>
          <w:rFonts w:ascii="黑体" w:hAnsi="黑体" w:eastAsia="黑体" w:cs="黑体"/>
          <w:sz w:val="36"/>
          <w:szCs w:val="36"/>
        </w:rPr>
      </w:pPr>
    </w:p>
    <w:p>
      <w:pPr>
        <w:pStyle w:val="81"/>
        <w:numPr>
          <w:ilvl w:val="0"/>
          <w:numId w:val="2"/>
        </w:numPr>
        <w:snapToGrid w:val="0"/>
        <w:jc w:val="center"/>
        <w:rPr>
          <w:rStyle w:val="71"/>
          <w:rFonts w:ascii="黑体" w:hAnsi="黑体" w:eastAsia="黑体" w:cs="黑体"/>
          <w:sz w:val="36"/>
          <w:szCs w:val="36"/>
        </w:rPr>
      </w:pPr>
      <w:r>
        <w:rPr>
          <w:rStyle w:val="71"/>
          <w:rFonts w:hint="eastAsia" w:ascii="黑体" w:hAnsi="黑体" w:eastAsia="黑体" w:cs="黑体"/>
          <w:sz w:val="36"/>
          <w:szCs w:val="36"/>
        </w:rPr>
        <w:t>供应商须知</w:t>
      </w:r>
    </w:p>
    <w:p>
      <w:pPr>
        <w:pStyle w:val="81"/>
        <w:snapToGrid w:val="0"/>
        <w:ind w:left="1260"/>
        <w:rPr>
          <w:rStyle w:val="71"/>
          <w:rFonts w:ascii="黑体" w:hAnsi="黑体" w:eastAsia="黑体" w:cs="黑体"/>
          <w:sz w:val="36"/>
          <w:szCs w:val="36"/>
        </w:rPr>
      </w:pP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一、</w:t>
      </w:r>
      <w:r>
        <w:rPr>
          <w:rFonts w:hint="eastAsia" w:ascii="仿宋_GB2312" w:hAnsi="宋体" w:eastAsia="仿宋_GB2312" w:cs="宋体"/>
          <w:bCs/>
          <w:sz w:val="32"/>
          <w:szCs w:val="32"/>
        </w:rPr>
        <w:t>梁河糖业2023年梁河糖业勐养工厂制炼车间P25TK-1离心机大修</w:t>
      </w:r>
      <w:r>
        <w:rPr>
          <w:rStyle w:val="71"/>
          <w:rFonts w:hint="eastAsia" w:ascii="仿宋_GB2312" w:hAnsi="宋体" w:eastAsia="仿宋_GB2312" w:cs="宋体"/>
          <w:bCs/>
          <w:sz w:val="32"/>
          <w:szCs w:val="32"/>
        </w:rPr>
        <w:t>采购询比价工作；</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二、本次采购定价形式采用询比价的方式（统谈统签）；</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三、供应商可以通过公开报名方式报名参与；</w:t>
      </w:r>
    </w:p>
    <w:p>
      <w:pPr>
        <w:snapToGrid w:val="0"/>
        <w:spacing w:line="560" w:lineRule="exact"/>
        <w:ind w:firstLine="640" w:firstLineChars="200"/>
        <w:rPr>
          <w:rStyle w:val="71"/>
          <w:rFonts w:ascii="仿宋_GB2312" w:hAnsi="宋体" w:eastAsia="仿宋_GB2312" w:cs="宋体"/>
          <w:b/>
          <w:bCs/>
          <w:sz w:val="32"/>
          <w:szCs w:val="32"/>
        </w:rPr>
      </w:pPr>
      <w:r>
        <w:rPr>
          <w:rStyle w:val="71"/>
          <w:rFonts w:hint="eastAsia" w:ascii="仿宋_GB2312" w:hAnsi="宋体" w:eastAsia="仿宋_GB2312" w:cs="宋体"/>
          <w:bCs/>
          <w:sz w:val="32"/>
          <w:szCs w:val="32"/>
        </w:rPr>
        <w:t>四</w:t>
      </w:r>
      <w:r>
        <w:rPr>
          <w:rStyle w:val="71"/>
          <w:rFonts w:hint="eastAsia" w:ascii="仿宋_GB2312" w:hAnsi="宋体" w:eastAsia="仿宋_GB2312" w:cs="宋体"/>
          <w:b/>
          <w:bCs/>
          <w:sz w:val="32"/>
          <w:szCs w:val="32"/>
        </w:rPr>
        <w:t>、供应商注册须在询价项目发布前到中粮糖业采购平台进行注册登记，通过审核的供应商才能够在eps系统内进行查看公告等业务操作；采购平台网址：</w:t>
      </w:r>
      <w:r>
        <w:rPr>
          <w:rStyle w:val="46"/>
          <w:rFonts w:hint="eastAsia" w:ascii="仿宋_GB2312" w:hAnsi="宋体" w:eastAsia="仿宋_GB2312" w:cs="宋体"/>
          <w:b/>
          <w:bCs/>
          <w:sz w:val="32"/>
          <w:szCs w:val="32"/>
          <w:u w:color="0000FF"/>
        </w:rPr>
        <w:t>http://eps.cofcotunhe.com</w:t>
      </w:r>
      <w:r>
        <w:rPr>
          <w:rStyle w:val="71"/>
          <w:rFonts w:hint="eastAsia" w:ascii="仿宋_GB2312" w:hAnsi="宋体" w:eastAsia="仿宋_GB2312" w:cs="宋体"/>
          <w:b/>
          <w:bCs/>
          <w:sz w:val="32"/>
          <w:szCs w:val="32"/>
        </w:rPr>
        <w:t>；</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说明：采购工作小组对报送资料初审。初审期间将对报名供应商通过天眼查、信用中国、政府采购网等网站核查供应商关联关系、信用情况及违法违规情况进行核查，对于存在不良记录或报送资料严重不符合要求的将被直接淘汰，对报送资料中非重要部分填写不完整的，审核小组以邮件或微信通知的方式通知供应商补充完善，未补充完成的视为自动放弃本次询价；请报名供应商主动与审核小组人员联系，确认资质审核结果；</w:t>
      </w:r>
    </w:p>
    <w:p>
      <w:pPr>
        <w:numPr>
          <w:ilvl w:val="0"/>
          <w:numId w:val="3"/>
        </w:num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报名截止时间及投标截止时间</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供应商须在项目公示发布后三天内完成报名，对于报名初审通过的供应商，须在规定时间内完成报价。</w:t>
      </w:r>
    </w:p>
    <w:p>
      <w:pPr>
        <w:numPr>
          <w:ilvl w:val="0"/>
          <w:numId w:val="3"/>
        </w:num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在授标结果下发后30日内中标供应商与中粮梁河糖业有限公司签订合同；</w:t>
      </w:r>
    </w:p>
    <w:p>
      <w:pPr>
        <w:numPr>
          <w:ilvl w:val="0"/>
          <w:numId w:val="3"/>
        </w:num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采购监督方式</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（一）中粮糖业纪检监督联系方式</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办公电话：010-85017235</w:t>
      </w:r>
    </w:p>
    <w:p>
      <w:p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通讯地址：北京市朝阳区朝阳门南大街8号中粮福临门大厦9层905房间，中粮糖业纪委办公室收，邮编100020。</w:t>
      </w:r>
    </w:p>
    <w:p>
      <w:pPr>
        <w:numPr>
          <w:ilvl w:val="0"/>
          <w:numId w:val="4"/>
        </w:numPr>
        <w:snapToGrid w:val="0"/>
        <w:spacing w:line="560" w:lineRule="exact"/>
        <w:ind w:firstLine="640" w:firstLineChars="200"/>
        <w:rPr>
          <w:rStyle w:val="71"/>
          <w:rFonts w:ascii="仿宋_GB2312" w:hAnsi="宋体" w:eastAsia="仿宋_GB2312" w:cs="宋体"/>
          <w:bCs/>
          <w:sz w:val="32"/>
          <w:szCs w:val="32"/>
        </w:rPr>
      </w:pPr>
      <w:r>
        <w:rPr>
          <w:rStyle w:val="71"/>
          <w:rFonts w:hint="eastAsia" w:ascii="仿宋_GB2312" w:hAnsi="宋体" w:eastAsia="仿宋_GB2312" w:cs="宋体"/>
          <w:bCs/>
          <w:sz w:val="32"/>
          <w:szCs w:val="32"/>
        </w:rPr>
        <w:t>甘蔗糖部纪委监督联系方式</w:t>
      </w:r>
    </w:p>
    <w:p>
      <w:pPr>
        <w:snapToGrid w:val="0"/>
        <w:spacing w:line="560" w:lineRule="exact"/>
        <w:ind w:firstLine="640" w:firstLineChars="200"/>
        <w:jc w:val="left"/>
        <w:rPr>
          <w:rStyle w:val="71"/>
          <w:rFonts w:ascii="仿宋_GB2312" w:hAnsi="宋体" w:eastAsia="仿宋_GB2312"/>
          <w:sz w:val="32"/>
          <w:szCs w:val="32"/>
        </w:rPr>
      </w:pPr>
      <w:r>
        <w:rPr>
          <w:rStyle w:val="71"/>
          <w:rFonts w:hint="eastAsia" w:ascii="仿宋_GB2312" w:hAnsi="宋体" w:eastAsia="仿宋_GB2312"/>
          <w:color w:val="000000"/>
          <w:kern w:val="0"/>
          <w:sz w:val="32"/>
          <w:szCs w:val="32"/>
        </w:rPr>
        <w:t xml:space="preserve">联系电话：13909946165/15296390978 </w:t>
      </w:r>
    </w:p>
    <w:p>
      <w:pPr>
        <w:snapToGrid w:val="0"/>
        <w:spacing w:line="560" w:lineRule="exact"/>
        <w:ind w:firstLine="640" w:firstLineChars="200"/>
        <w:jc w:val="left"/>
        <w:rPr>
          <w:rStyle w:val="71"/>
          <w:rFonts w:ascii="仿宋_GB2312" w:hAnsi="宋体" w:eastAsia="仿宋_GB2312"/>
          <w:sz w:val="32"/>
          <w:szCs w:val="32"/>
        </w:rPr>
      </w:pPr>
      <w:r>
        <w:rPr>
          <w:rStyle w:val="71"/>
          <w:rFonts w:hint="eastAsia" w:ascii="仿宋_GB2312" w:hAnsi="宋体" w:eastAsia="仿宋_GB2312"/>
          <w:color w:val="000000"/>
          <w:kern w:val="0"/>
          <w:sz w:val="32"/>
          <w:szCs w:val="32"/>
        </w:rPr>
        <w:t>通讯地址：广西壮族自治区崇左市江州区工业大道 1 号中粮糖业甘蔗糖部党群纪检部收，邮编：532200。</w:t>
      </w:r>
    </w:p>
    <w:p>
      <w:pPr>
        <w:spacing w:line="460" w:lineRule="exact"/>
        <w:ind w:firstLine="456" w:firstLineChars="150"/>
        <w:rPr>
          <w:rFonts w:ascii="仿宋_GB2312" w:hAnsi="宋体" w:eastAsia="仿宋_GB2312"/>
          <w:w w:val="95"/>
          <w:sz w:val="32"/>
          <w:szCs w:val="32"/>
        </w:rPr>
      </w:pPr>
      <w:r>
        <w:rPr>
          <w:rFonts w:hint="eastAsia" w:ascii="仿宋_GB2312" w:hAnsi="宋体" w:eastAsia="仿宋_GB2312"/>
          <w:w w:val="95"/>
          <w:sz w:val="32"/>
          <w:szCs w:val="32"/>
        </w:rPr>
        <w:t>（三）梁河糖业纪委联系方式</w:t>
      </w:r>
    </w:p>
    <w:p>
      <w:pPr>
        <w:spacing w:line="460" w:lineRule="exact"/>
        <w:ind w:firstLine="456" w:firstLineChars="150"/>
        <w:rPr>
          <w:rFonts w:ascii="仿宋_GB2312" w:hAnsi="宋体" w:eastAsia="仿宋_GB2312"/>
          <w:sz w:val="32"/>
          <w:szCs w:val="32"/>
        </w:rPr>
      </w:pPr>
      <w:r>
        <w:rPr>
          <w:rFonts w:hint="eastAsia" w:ascii="仿宋_GB2312" w:hAnsi="宋体" w:eastAsia="仿宋_GB2312"/>
          <w:w w:val="95"/>
          <w:sz w:val="32"/>
          <w:szCs w:val="32"/>
        </w:rPr>
        <w:t>联系电话 18878008387 、13308827899</w:t>
      </w:r>
    </w:p>
    <w:p>
      <w:pPr>
        <w:pStyle w:val="3"/>
        <w:spacing w:before="149" w:line="328" w:lineRule="auto"/>
        <w:ind w:left="-4" w:leftChars="-2" w:right="235" w:firstLine="608" w:firstLineChars="200"/>
        <w:rPr>
          <w:rFonts w:ascii="仿宋_GB2312" w:hAnsi="宋体" w:eastAsia="仿宋_GB2312"/>
          <w:sz w:val="32"/>
          <w:szCs w:val="32"/>
          <w:lang w:eastAsia="zh-CN"/>
        </w:rPr>
      </w:pPr>
      <w:r>
        <w:rPr>
          <w:rFonts w:hint="eastAsia" w:ascii="仿宋_GB2312" w:hAnsi="宋体" w:eastAsia="仿宋_GB2312"/>
          <w:w w:val="95"/>
          <w:sz w:val="32"/>
          <w:szCs w:val="32"/>
          <w:lang w:eastAsia="zh-CN"/>
        </w:rPr>
        <w:t>通信地址：</w:t>
      </w:r>
      <w:r>
        <w:rPr>
          <w:rFonts w:hint="eastAsia" w:ascii="仿宋_GB2312" w:hAnsi="宋体" w:eastAsia="仿宋_GB2312"/>
          <w:sz w:val="32"/>
          <w:szCs w:val="32"/>
          <w:lang w:eastAsia="zh-CN"/>
        </w:rPr>
        <w:t>云南省德宏州梁河县勐养镇中营村委会党良街（原勐养糖厂内）</w:t>
      </w:r>
      <w:r>
        <w:rPr>
          <w:rFonts w:hint="eastAsia" w:ascii="仿宋_GB2312" w:hAnsi="宋体" w:eastAsia="仿宋_GB2312"/>
          <w:w w:val="95"/>
          <w:sz w:val="32"/>
          <w:szCs w:val="32"/>
          <w:lang w:eastAsia="zh-CN"/>
        </w:rPr>
        <w:t>中粮梁河糖业有限公司</w:t>
      </w:r>
      <w:r>
        <w:rPr>
          <w:rFonts w:hint="eastAsia" w:ascii="仿宋_GB2312" w:hAnsi="宋体" w:eastAsia="仿宋_GB2312"/>
          <w:w w:val="99"/>
          <w:sz w:val="32"/>
          <w:szCs w:val="32"/>
          <w:lang w:eastAsia="zh-CN"/>
        </w:rPr>
        <w:t>纪检（</w:t>
      </w:r>
      <w:r>
        <w:rPr>
          <w:rFonts w:hint="eastAsia" w:ascii="仿宋_GB2312" w:hAnsi="宋体" w:eastAsia="仿宋_GB2312"/>
          <w:spacing w:val="1"/>
          <w:w w:val="99"/>
          <w:sz w:val="32"/>
          <w:szCs w:val="32"/>
          <w:lang w:eastAsia="zh-CN"/>
        </w:rPr>
        <w:t>收</w:t>
      </w:r>
      <w:r>
        <w:rPr>
          <w:rFonts w:hint="eastAsia" w:ascii="仿宋_GB2312" w:hAnsi="宋体" w:eastAsia="仿宋_GB2312"/>
          <w:spacing w:val="-161"/>
          <w:w w:val="99"/>
          <w:sz w:val="32"/>
          <w:szCs w:val="32"/>
          <w:lang w:eastAsia="zh-CN"/>
        </w:rPr>
        <w:t>）</w:t>
      </w:r>
      <w:r>
        <w:rPr>
          <w:rFonts w:hint="eastAsia" w:ascii="仿宋_GB2312" w:hAnsi="宋体" w:eastAsia="仿宋_GB2312"/>
          <w:w w:val="99"/>
          <w:sz w:val="32"/>
          <w:szCs w:val="32"/>
          <w:lang w:eastAsia="zh-CN"/>
        </w:rPr>
        <w:t>，邮编679207。</w:t>
      </w:r>
    </w:p>
    <w:p>
      <w:pPr>
        <w:spacing w:line="460" w:lineRule="exact"/>
        <w:ind w:left="1500" w:hanging="1500" w:hangingChars="500"/>
        <w:rPr>
          <w:rFonts w:ascii="仿宋_GB2312" w:eastAsia="仿宋_GB2312"/>
          <w:sz w:val="30"/>
          <w:szCs w:val="30"/>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p>
    <w:p>
      <w:pPr>
        <w:snapToGrid w:val="0"/>
        <w:jc w:val="center"/>
        <w:rPr>
          <w:rStyle w:val="71"/>
          <w:rFonts w:ascii="宋体" w:hAnsi="宋体"/>
          <w:b/>
          <w:bCs/>
          <w:sz w:val="36"/>
          <w:szCs w:val="36"/>
        </w:rPr>
      </w:pPr>
      <w:r>
        <w:rPr>
          <w:rStyle w:val="71"/>
          <w:rFonts w:ascii="宋体" w:hAnsi="宋体"/>
          <w:b/>
          <w:bCs/>
          <w:sz w:val="36"/>
          <w:szCs w:val="36"/>
        </w:rPr>
        <w:br w:type="page"/>
      </w:r>
    </w:p>
    <w:p>
      <w:pPr>
        <w:snapToGrid w:val="0"/>
        <w:ind w:left="2150" w:firstLine="1285" w:firstLineChars="400"/>
        <w:rPr>
          <w:rStyle w:val="71"/>
          <w:rFonts w:ascii="仿宋_GB2312" w:hAnsi="黑体" w:eastAsia="仿宋_GB2312" w:cs="黑体"/>
          <w:b/>
          <w:bCs/>
          <w:sz w:val="32"/>
          <w:szCs w:val="32"/>
        </w:rPr>
      </w:pPr>
    </w:p>
    <w:p>
      <w:pPr>
        <w:snapToGrid w:val="0"/>
        <w:ind w:left="2150" w:firstLine="1285" w:firstLineChars="400"/>
        <w:rPr>
          <w:rStyle w:val="71"/>
          <w:rFonts w:ascii="仿宋_GB2312" w:hAnsi="黑体" w:eastAsia="仿宋_GB2312" w:cs="黑体"/>
          <w:sz w:val="32"/>
          <w:szCs w:val="32"/>
        </w:rPr>
      </w:pPr>
      <w:r>
        <w:rPr>
          <w:rStyle w:val="71"/>
          <w:rFonts w:hint="eastAsia" w:ascii="仿宋_GB2312" w:hAnsi="黑体" w:eastAsia="仿宋_GB2312" w:cs="黑体"/>
          <w:b/>
          <w:bCs/>
          <w:sz w:val="32"/>
          <w:szCs w:val="32"/>
        </w:rPr>
        <w:t>第二章</w:t>
      </w:r>
      <w:r>
        <w:rPr>
          <w:rStyle w:val="71"/>
          <w:rFonts w:hint="eastAsia" w:ascii="仿宋_GB2312" w:hAnsi="黑体" w:eastAsia="仿宋_GB2312" w:cs="黑体"/>
          <w:sz w:val="32"/>
          <w:szCs w:val="32"/>
        </w:rPr>
        <w:t>报价说明</w:t>
      </w:r>
    </w:p>
    <w:p>
      <w:pPr>
        <w:snapToGrid w:val="0"/>
        <w:rPr>
          <w:rStyle w:val="71"/>
          <w:rFonts w:ascii="仿宋_GB2312" w:hAnsi="宋体" w:eastAsia="仿宋_GB2312"/>
          <w:b/>
          <w:bCs/>
          <w:sz w:val="32"/>
          <w:szCs w:val="32"/>
        </w:rPr>
      </w:pPr>
    </w:p>
    <w:p>
      <w:pPr>
        <w:tabs>
          <w:tab w:val="left" w:pos="312"/>
        </w:tabs>
        <w:snapToGrid w:val="0"/>
        <w:spacing w:line="56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1、本次询比价有效期为30天；</w:t>
      </w:r>
    </w:p>
    <w:p>
      <w:pPr>
        <w:tabs>
          <w:tab w:val="left" w:pos="312"/>
        </w:tabs>
        <w:snapToGrid w:val="0"/>
        <w:spacing w:line="56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2、定价方式为一票制，询价函中分项报价总和要与系统报价一致，报价已包含供货、验收、税金、安全等一切可能发生的费用。</w:t>
      </w:r>
    </w:p>
    <w:p>
      <w:pPr>
        <w:tabs>
          <w:tab w:val="left" w:pos="312"/>
        </w:tabs>
        <w:snapToGrid w:val="0"/>
        <w:spacing w:line="56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3、报价税率按能提供的增值税专用税率填报，询价函与系统报价税率不一致时，则以系统报价税率计。</w:t>
      </w:r>
    </w:p>
    <w:p>
      <w:pPr>
        <w:spacing w:line="50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4、参与报价的承包方需于中粮采购平台设定的投标截止时间前，进行线上报价。(具体以线上ＥＰＳ系统要求为准)</w:t>
      </w:r>
    </w:p>
    <w:p>
      <w:pPr>
        <w:spacing w:line="50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5、报价形式：二轮报价</w:t>
      </w:r>
    </w:p>
    <w:p>
      <w:pPr>
        <w:snapToGrid w:val="0"/>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6、每个标的必须报价。</w:t>
      </w:r>
    </w:p>
    <w:p>
      <w:pPr>
        <w:tabs>
          <w:tab w:val="left" w:pos="312"/>
        </w:tabs>
        <w:snapToGrid w:val="0"/>
        <w:spacing w:line="56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7、采购单位：中粮梁河糖业有限公司。</w:t>
      </w:r>
    </w:p>
    <w:p>
      <w:pPr>
        <w:tabs>
          <w:tab w:val="left" w:pos="312"/>
        </w:tabs>
        <w:snapToGrid w:val="0"/>
        <w:spacing w:line="56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联系人：杨常茂联系电话 13987028948</w:t>
      </w:r>
    </w:p>
    <w:p>
      <w:pPr>
        <w:snapToGrid w:val="0"/>
        <w:spacing w:line="560" w:lineRule="exact"/>
        <w:rPr>
          <w:rStyle w:val="71"/>
          <w:rFonts w:ascii="仿宋_GB2312" w:hAnsi="宋体" w:eastAsia="仿宋_GB2312"/>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ind w:firstLine="3200" w:firstLineChars="1000"/>
        <w:rPr>
          <w:rStyle w:val="71"/>
          <w:rFonts w:ascii="宋体" w:hAnsi="宋体"/>
          <w:bCs/>
          <w:sz w:val="32"/>
          <w:szCs w:val="32"/>
        </w:rPr>
      </w:pPr>
      <w:bookmarkStart w:id="0" w:name="OLE_LINK15"/>
      <w:bookmarkStart w:id="1" w:name="OLE_LINK16"/>
      <w:r>
        <w:rPr>
          <w:rStyle w:val="71"/>
          <w:rFonts w:hint="eastAsia" w:ascii="宋体" w:hAnsi="宋体"/>
          <w:bCs/>
          <w:sz w:val="32"/>
          <w:szCs w:val="32"/>
        </w:rPr>
        <w:t>第三章 项目需求</w:t>
      </w:r>
    </w:p>
    <w:bookmarkEnd w:id="0"/>
    <w:bookmarkEnd w:id="1"/>
    <w:p>
      <w:pPr>
        <w:spacing w:line="520" w:lineRule="exact"/>
        <w:ind w:firstLine="640" w:firstLineChars="200"/>
        <w:rPr>
          <w:rStyle w:val="71"/>
          <w:rFonts w:ascii="仿宋_GB2312" w:hAnsi="宋体" w:eastAsia="仿宋_GB2312"/>
          <w:sz w:val="32"/>
          <w:szCs w:val="32"/>
        </w:rPr>
      </w:pPr>
      <w:r>
        <w:rPr>
          <w:rStyle w:val="71"/>
          <w:rFonts w:hint="eastAsia" w:ascii="仿宋_GB2312" w:hAnsi="宋体" w:eastAsia="仿宋_GB2312"/>
          <w:sz w:val="32"/>
          <w:szCs w:val="32"/>
        </w:rPr>
        <w:t>一、承包商工作范畴</w:t>
      </w:r>
    </w:p>
    <w:p>
      <w:pPr>
        <w:spacing w:line="52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对采购方</w:t>
      </w:r>
      <w:bookmarkStart w:id="2" w:name="OLE_LINK14"/>
      <w:bookmarkStart w:id="3" w:name="OLE_LINK13"/>
      <w:bookmarkStart w:id="4" w:name="OLE_LINK34"/>
      <w:r>
        <w:rPr>
          <w:rFonts w:hint="eastAsia" w:ascii="仿宋_GB2312" w:eastAsia="仿宋_GB2312"/>
          <w:spacing w:val="20"/>
          <w:sz w:val="32"/>
          <w:szCs w:val="32"/>
        </w:rPr>
        <w:t>2023年梁河糖业勐养工厂制炼车间P25TK-1离心机大修项目</w:t>
      </w:r>
      <w:bookmarkEnd w:id="2"/>
      <w:bookmarkEnd w:id="3"/>
      <w:bookmarkEnd w:id="4"/>
      <w:r>
        <w:rPr>
          <w:rStyle w:val="71"/>
          <w:rFonts w:hint="eastAsia" w:ascii="仿宋_GB2312" w:hAnsi="宋体" w:eastAsia="仿宋_GB2312"/>
          <w:bCs/>
          <w:sz w:val="32"/>
          <w:szCs w:val="32"/>
        </w:rPr>
        <w:t>（具体项目见：中粮梁河公司询价表），承包方需根据委托方要求到现场拆卸、维修、安装、调试。</w:t>
      </w:r>
    </w:p>
    <w:p>
      <w:pPr>
        <w:spacing w:line="520" w:lineRule="exact"/>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1.1</w:t>
      </w:r>
      <w:bookmarkStart w:id="5" w:name="OLE_LINK81"/>
      <w:bookmarkStart w:id="6" w:name="OLE_LINK82"/>
      <w:r>
        <w:rPr>
          <w:rStyle w:val="71"/>
          <w:rFonts w:hint="eastAsia" w:ascii="仿宋_GB2312" w:hAnsi="宋体" w:eastAsia="仿宋_GB2312"/>
          <w:bCs/>
          <w:sz w:val="32"/>
          <w:szCs w:val="32"/>
        </w:rPr>
        <w:t>项目概况：按甲方要求对勐养工厂</w:t>
      </w:r>
      <w:r>
        <w:rPr>
          <w:rFonts w:hint="eastAsia" w:ascii="仿宋_GB2312" w:eastAsia="仿宋_GB2312"/>
          <w:spacing w:val="20"/>
          <w:sz w:val="32"/>
          <w:szCs w:val="32"/>
        </w:rPr>
        <w:t>P25TK-1离心机维修</w:t>
      </w:r>
      <w:r>
        <w:rPr>
          <w:rStyle w:val="71"/>
          <w:rFonts w:hint="eastAsia" w:ascii="仿宋_GB2312" w:hAnsi="宋体" w:eastAsia="仿宋_GB2312"/>
          <w:bCs/>
          <w:sz w:val="32"/>
          <w:szCs w:val="32"/>
        </w:rPr>
        <w:t>。</w:t>
      </w:r>
    </w:p>
    <w:bookmarkEnd w:id="5"/>
    <w:bookmarkEnd w:id="6"/>
    <w:p>
      <w:pPr>
        <w:adjustRightInd w:val="0"/>
        <w:snapToGrid w:val="0"/>
        <w:spacing w:line="360" w:lineRule="auto"/>
        <w:ind w:firstLine="640" w:firstLineChars="200"/>
        <w:rPr>
          <w:rStyle w:val="71"/>
          <w:rFonts w:ascii="仿宋_GB2312" w:hAnsi="宋体" w:eastAsia="仿宋_GB2312"/>
          <w:bCs/>
          <w:sz w:val="32"/>
          <w:szCs w:val="32"/>
        </w:rPr>
      </w:pPr>
      <w:r>
        <w:rPr>
          <w:rStyle w:val="71"/>
          <w:rFonts w:hint="eastAsia" w:ascii="仿宋_GB2312" w:hAnsi="宋体" w:eastAsia="仿宋_GB2312"/>
          <w:bCs/>
          <w:sz w:val="32"/>
          <w:szCs w:val="32"/>
        </w:rPr>
        <w:t>1.2具体项目见下表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125"/>
        <w:gridCol w:w="1948"/>
        <w:gridCol w:w="621"/>
        <w:gridCol w:w="621"/>
        <w:gridCol w:w="809"/>
        <w:gridCol w:w="80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产品名称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规格型号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单价</w:t>
            </w:r>
            <w:r>
              <w:rPr>
                <w:rFonts w:ascii="仿宋" w:hAnsi="仿宋" w:eastAsia="仿宋"/>
                <w:color w:val="000000"/>
                <w:kern w:val="0"/>
                <w:sz w:val="28"/>
                <w:szCs w:val="28"/>
              </w:rPr>
              <w:t>/</w:t>
            </w:r>
            <w:r>
              <w:rPr>
                <w:rFonts w:hint="eastAsia" w:ascii="仿宋" w:hAnsi="仿宋" w:eastAsia="仿宋"/>
                <w:color w:val="000000"/>
                <w:kern w:val="0"/>
                <w:sz w:val="28"/>
                <w:szCs w:val="28"/>
              </w:rPr>
              <w:t>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总价</w:t>
            </w:r>
            <w:r>
              <w:rPr>
                <w:rFonts w:ascii="仿宋" w:hAnsi="仿宋" w:eastAsia="仿宋"/>
                <w:color w:val="000000"/>
                <w:kern w:val="0"/>
                <w:sz w:val="28"/>
                <w:szCs w:val="28"/>
              </w:rPr>
              <w:t>/</w:t>
            </w:r>
            <w:r>
              <w:rPr>
                <w:rFonts w:hint="eastAsia" w:ascii="仿宋" w:hAnsi="仿宋" w:eastAsia="仿宋"/>
                <w:color w:val="000000"/>
                <w:kern w:val="0"/>
                <w:sz w:val="28"/>
                <w:szCs w:val="28"/>
              </w:rPr>
              <w:t>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电机检查及清洗</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ascii="仿宋" w:hAnsi="仿宋" w:eastAsia="仿宋"/>
                <w:color w:val="000000"/>
                <w:kern w:val="0"/>
                <w:sz w:val="28"/>
                <w:szCs w:val="28"/>
              </w:rPr>
              <w:t>P25TK-1</w:t>
            </w:r>
            <w:r>
              <w:rPr>
                <w:rFonts w:hint="eastAsia" w:ascii="仿宋" w:hAnsi="仿宋" w:eastAsia="仿宋"/>
                <w:color w:val="000000"/>
                <w:kern w:val="0"/>
                <w:sz w:val="28"/>
                <w:szCs w:val="28"/>
              </w:rPr>
              <w:t>电机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轴承更换</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ascii="仿宋" w:hAnsi="仿宋" w:eastAsia="仿宋"/>
                <w:color w:val="000000"/>
                <w:kern w:val="0"/>
                <w:sz w:val="28"/>
                <w:szCs w:val="28"/>
              </w:rPr>
              <w:t>N6335  LRJ4-1/z2MC3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套</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甲方提供乙方安装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3</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气动蝶阀</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ascii="仿宋" w:hAnsi="仿宋" w:eastAsia="仿宋"/>
                <w:color w:val="000000"/>
                <w:kern w:val="0"/>
                <w:sz w:val="28"/>
                <w:szCs w:val="28"/>
              </w:rPr>
              <w:t>DN350  PN16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分蜜机入料阀含执行器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4</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调试喇叭罩升降器及更换铲刀片</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ascii="仿宋" w:hAnsi="仿宋" w:eastAsia="仿宋"/>
                <w:color w:val="000000"/>
                <w:kern w:val="0"/>
                <w:sz w:val="28"/>
                <w:szCs w:val="28"/>
              </w:rPr>
              <w:t>P25TK-1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套</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5</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hint="eastAsia" w:ascii="仿宋" w:hAnsi="仿宋" w:eastAsia="仿宋"/>
                <w:color w:val="000000"/>
                <w:kern w:val="0"/>
                <w:sz w:val="28"/>
                <w:szCs w:val="28"/>
              </w:rPr>
              <w:t>更换电磁阀及压缩空气管</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kern w:val="0"/>
                <w:sz w:val="28"/>
                <w:szCs w:val="28"/>
              </w:rPr>
            </w:pPr>
            <w:r>
              <w:rPr>
                <w:rFonts w:ascii="仿宋" w:hAnsi="仿宋" w:eastAsia="仿宋"/>
                <w:color w:val="000000"/>
                <w:kern w:val="0"/>
                <w:sz w:val="28"/>
                <w:szCs w:val="28"/>
              </w:rPr>
              <w:t>P25TK-1</w:t>
            </w:r>
            <w:r>
              <w:rPr>
                <w:rFonts w:hint="eastAsia" w:ascii="仿宋" w:hAnsi="仿宋" w:eastAsia="仿宋"/>
                <w:color w:val="000000"/>
                <w:kern w:val="0"/>
                <w:sz w:val="28"/>
                <w:szCs w:val="28"/>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套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ascii="仿宋" w:hAnsi="仿宋" w:eastAsia="仿宋"/>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kern w:val="0"/>
                <w:sz w:val="28"/>
                <w:szCs w:val="28"/>
              </w:rPr>
            </w:pPr>
            <w:r>
              <w:rPr>
                <w:rFonts w:hint="eastAsia" w:ascii="仿宋" w:hAnsi="仿宋" w:eastAsia="仿宋"/>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6</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rPr>
                <w:rFonts w:eastAsia="仿宋_GB2312"/>
                <w:color w:val="000000"/>
                <w:kern w:val="0"/>
                <w:sz w:val="28"/>
                <w:szCs w:val="28"/>
              </w:rPr>
            </w:pPr>
            <w:r>
              <w:rPr>
                <w:rFonts w:hint="eastAsia" w:eastAsia="仿宋_GB2312"/>
                <w:color w:val="000000"/>
                <w:kern w:val="0"/>
                <w:sz w:val="28"/>
                <w:szCs w:val="28"/>
              </w:rPr>
              <w:t>合计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　</w:t>
            </w:r>
          </w:p>
        </w:tc>
      </w:tr>
    </w:tbl>
    <w:p>
      <w:pPr>
        <w:adjustRightInd w:val="0"/>
        <w:snapToGrid w:val="0"/>
        <w:spacing w:line="360" w:lineRule="auto"/>
        <w:rPr>
          <w:rStyle w:val="71"/>
          <w:rFonts w:ascii="宋体" w:hAnsi="宋体"/>
          <w:sz w:val="32"/>
          <w:szCs w:val="32"/>
        </w:rPr>
      </w:pPr>
    </w:p>
    <w:p>
      <w:pPr>
        <w:adjustRightInd w:val="0"/>
        <w:snapToGrid w:val="0"/>
        <w:spacing w:line="360" w:lineRule="auto"/>
        <w:rPr>
          <w:rStyle w:val="71"/>
          <w:rFonts w:ascii="仿宋_GB2312" w:hAnsi="宋体" w:eastAsia="仿宋_GB2312"/>
          <w:bCs/>
          <w:sz w:val="32"/>
          <w:szCs w:val="32"/>
        </w:rPr>
      </w:pPr>
      <w:r>
        <w:rPr>
          <w:rStyle w:val="71"/>
          <w:rFonts w:hint="eastAsia" w:ascii="仿宋_GB2312" w:hAnsi="宋体" w:eastAsia="仿宋_GB2312"/>
          <w:sz w:val="32"/>
          <w:szCs w:val="32"/>
        </w:rPr>
        <w:t>二、</w:t>
      </w:r>
      <w:r>
        <w:rPr>
          <w:rStyle w:val="71"/>
          <w:rFonts w:hint="eastAsia" w:ascii="仿宋_GB2312" w:hAnsi="宋体" w:eastAsia="仿宋_GB2312"/>
          <w:bCs/>
          <w:sz w:val="32"/>
          <w:szCs w:val="32"/>
        </w:rPr>
        <w:t>承包方资格</w:t>
      </w:r>
    </w:p>
    <w:p>
      <w:pPr>
        <w:spacing w:line="520" w:lineRule="exact"/>
        <w:ind w:firstLine="555"/>
        <w:rPr>
          <w:rStyle w:val="71"/>
          <w:rFonts w:ascii="仿宋_GB2312" w:hAnsi="宋体" w:eastAsia="仿宋_GB2312"/>
          <w:bCs/>
          <w:sz w:val="32"/>
          <w:szCs w:val="32"/>
        </w:rPr>
      </w:pPr>
      <w:r>
        <w:rPr>
          <w:rStyle w:val="71"/>
          <w:rFonts w:hint="eastAsia" w:ascii="仿宋_GB2312" w:hAnsi="宋体" w:eastAsia="仿宋_GB2312"/>
          <w:bCs/>
          <w:sz w:val="32"/>
          <w:szCs w:val="32"/>
        </w:rPr>
        <w:t>1.供应商资质</w:t>
      </w:r>
    </w:p>
    <w:p>
      <w:pPr>
        <w:spacing w:line="520" w:lineRule="exact"/>
        <w:ind w:firstLine="555"/>
        <w:rPr>
          <w:rStyle w:val="71"/>
          <w:rFonts w:ascii="仿宋_GB2312" w:hAnsi="仿宋" w:eastAsia="仿宋_GB2312"/>
          <w:bCs/>
          <w:sz w:val="32"/>
          <w:szCs w:val="32"/>
        </w:rPr>
      </w:pPr>
      <w:r>
        <w:rPr>
          <w:rStyle w:val="71"/>
          <w:rFonts w:hint="eastAsia" w:ascii="仿宋_GB2312" w:hAnsi="仿宋" w:eastAsia="仿宋_GB2312"/>
          <w:bCs/>
          <w:sz w:val="32"/>
          <w:szCs w:val="32"/>
        </w:rPr>
        <w:t>投标人应具备独立签订合同能力，为中华人民共和国境内注册的企业法人或其他组织或自然人。同时具有合法有效的营业执照，注册资金50万元以上，</w:t>
      </w:r>
      <w:r>
        <w:rPr>
          <w:rStyle w:val="71"/>
          <w:rFonts w:hint="eastAsia" w:ascii="仿宋_GB2312" w:hAnsi="仿宋" w:eastAsia="仿宋_GB2312"/>
          <w:bCs/>
          <w:sz w:val="32"/>
          <w:szCs w:val="32"/>
          <w:highlight w:val="red"/>
        </w:rPr>
        <w:t>2</w:t>
      </w:r>
      <w:r>
        <w:rPr>
          <w:rStyle w:val="71"/>
          <w:rFonts w:ascii="仿宋_GB2312" w:hAnsi="仿宋" w:eastAsia="仿宋_GB2312"/>
          <w:bCs/>
          <w:sz w:val="32"/>
          <w:szCs w:val="32"/>
          <w:highlight w:val="red"/>
        </w:rPr>
        <w:t>018</w:t>
      </w:r>
      <w:r>
        <w:rPr>
          <w:rStyle w:val="71"/>
          <w:rFonts w:hint="eastAsia" w:ascii="仿宋_GB2312" w:hAnsi="仿宋" w:eastAsia="仿宋_GB2312"/>
          <w:bCs/>
          <w:sz w:val="32"/>
          <w:szCs w:val="32"/>
          <w:highlight w:val="red"/>
        </w:rPr>
        <w:t>年</w:t>
      </w:r>
      <w:r>
        <w:rPr>
          <w:rStyle w:val="71"/>
          <w:rFonts w:hint="eastAsia" w:ascii="仿宋_GB2312" w:hAnsi="仿宋" w:eastAsia="仿宋_GB2312"/>
          <w:bCs/>
          <w:sz w:val="32"/>
          <w:szCs w:val="32"/>
          <w:highlight w:val="red"/>
          <w:lang w:val="en-US" w:eastAsia="zh-CN"/>
        </w:rPr>
        <w:t>6月1日</w:t>
      </w:r>
      <w:r>
        <w:rPr>
          <w:rStyle w:val="71"/>
          <w:rFonts w:hint="eastAsia" w:ascii="仿宋_GB2312" w:hAnsi="仿宋" w:eastAsia="仿宋_GB2312"/>
          <w:bCs/>
          <w:sz w:val="32"/>
          <w:szCs w:val="32"/>
          <w:highlight w:val="red"/>
        </w:rPr>
        <w:t>以来具有离心机维修、供货业绩</w:t>
      </w:r>
      <w:r>
        <w:rPr>
          <w:rStyle w:val="71"/>
          <w:rFonts w:hint="eastAsia" w:ascii="仿宋_GB2312" w:hAnsi="仿宋" w:eastAsia="仿宋_GB2312"/>
          <w:bCs/>
          <w:sz w:val="32"/>
          <w:szCs w:val="32"/>
          <w:highlight w:val="red"/>
          <w:lang w:eastAsia="zh-CN"/>
        </w:rPr>
        <w:t>（</w:t>
      </w:r>
      <w:bookmarkStart w:id="7" w:name="OLE_LINK5"/>
      <w:bookmarkStart w:id="8" w:name="OLE_LINK4"/>
      <w:r>
        <w:rPr>
          <w:rStyle w:val="71"/>
          <w:rFonts w:hint="eastAsia" w:ascii="仿宋_GB2312" w:hAnsi="仿宋" w:eastAsia="仿宋_GB2312"/>
          <w:bCs/>
          <w:sz w:val="32"/>
          <w:szCs w:val="32"/>
          <w:highlight w:val="red"/>
          <w:lang w:eastAsia="zh-CN"/>
        </w:rPr>
        <w:t>供应商报名时在EPS系统补充文件处上传</w:t>
      </w:r>
      <w:bookmarkEnd w:id="7"/>
      <w:bookmarkEnd w:id="8"/>
      <w:r>
        <w:rPr>
          <w:rStyle w:val="71"/>
          <w:rFonts w:hint="eastAsia" w:ascii="仿宋_GB2312" w:hAnsi="仿宋" w:eastAsia="仿宋_GB2312"/>
          <w:bCs/>
          <w:sz w:val="32"/>
          <w:szCs w:val="32"/>
          <w:highlight w:val="red"/>
          <w:lang w:eastAsia="zh-CN"/>
        </w:rPr>
        <w:t>业绩表并加盖公章</w:t>
      </w:r>
      <w:r>
        <w:rPr>
          <w:rStyle w:val="71"/>
          <w:rFonts w:hint="eastAsia" w:ascii="仿宋_GB2312" w:hAnsi="仿宋" w:eastAsia="仿宋_GB2312"/>
          <w:bCs/>
          <w:sz w:val="32"/>
          <w:szCs w:val="32"/>
          <w:highlight w:val="red"/>
        </w:rPr>
        <w:t>。</w:t>
      </w:r>
    </w:p>
    <w:p>
      <w:pPr>
        <w:spacing w:line="520" w:lineRule="exact"/>
        <w:ind w:firstLine="555"/>
        <w:rPr>
          <w:rStyle w:val="71"/>
          <w:rFonts w:hint="eastAsia" w:ascii="仿宋_GB2312" w:hAnsi="仿宋" w:eastAsia="仿宋_GB2312"/>
          <w:bCs/>
          <w:sz w:val="32"/>
          <w:szCs w:val="32"/>
        </w:rPr>
      </w:pPr>
      <w:r>
        <w:rPr>
          <w:rStyle w:val="71"/>
          <w:rFonts w:hint="eastAsia" w:ascii="仿宋_GB2312" w:hAnsi="仿宋" w:eastAsia="仿宋_GB2312"/>
          <w:bCs/>
          <w:sz w:val="32"/>
          <w:szCs w:val="32"/>
        </w:rPr>
        <w:t>2.使用“天眼查”“信用中国”“中国政府采购网”等平台查询，承包方2020年6月1日至今，无经营异常情况；无严重违法失信行为记录。</w:t>
      </w:r>
    </w:p>
    <w:p>
      <w:pPr>
        <w:spacing w:line="520" w:lineRule="exact"/>
        <w:ind w:firstLine="555"/>
        <w:rPr>
          <w:rStyle w:val="71"/>
          <w:rFonts w:hint="eastAsia" w:ascii="仿宋_GB2312" w:hAnsi="仿宋" w:eastAsia="仿宋_GB2312"/>
          <w:bCs/>
          <w:sz w:val="32"/>
          <w:szCs w:val="32"/>
        </w:rPr>
      </w:pPr>
      <w:r>
        <w:rPr>
          <w:rStyle w:val="71"/>
          <w:rFonts w:hint="eastAsia" w:ascii="仿宋_GB2312" w:hAnsi="仿宋" w:eastAsia="仿宋_GB2312"/>
          <w:bCs/>
          <w:sz w:val="32"/>
          <w:szCs w:val="32"/>
        </w:rPr>
        <w:t>3.不接受联合体投标。</w:t>
      </w:r>
    </w:p>
    <w:p>
      <w:pPr>
        <w:spacing w:line="520" w:lineRule="exact"/>
        <w:ind w:firstLine="555"/>
        <w:rPr>
          <w:rStyle w:val="71"/>
          <w:rFonts w:ascii="仿宋_GB2312" w:hAnsi="仿宋" w:eastAsia="仿宋_GB2312"/>
          <w:sz w:val="32"/>
          <w:szCs w:val="32"/>
        </w:rPr>
      </w:pPr>
      <w:r>
        <w:rPr>
          <w:rStyle w:val="71"/>
          <w:rFonts w:hint="eastAsia" w:ascii="仿宋_GB2312" w:hAnsi="仿宋" w:eastAsia="仿宋_GB2312"/>
          <w:sz w:val="32"/>
          <w:szCs w:val="32"/>
        </w:rPr>
        <w:t>三：付款方式：</w:t>
      </w:r>
    </w:p>
    <w:p>
      <w:pPr>
        <w:ind w:firstLine="640" w:firstLineChars="200"/>
        <w:rPr>
          <w:rStyle w:val="71"/>
          <w:rFonts w:ascii="仿宋_GB2312" w:hAnsi="仿宋" w:eastAsia="仿宋_GB2312"/>
          <w:bCs/>
          <w:sz w:val="32"/>
          <w:szCs w:val="32"/>
        </w:rPr>
      </w:pPr>
      <w:r>
        <w:rPr>
          <w:rStyle w:val="71"/>
          <w:rFonts w:hint="eastAsia" w:ascii="仿宋_GB2312" w:hAnsi="仿宋" w:eastAsia="仿宋_GB2312"/>
          <w:bCs/>
          <w:sz w:val="32"/>
          <w:szCs w:val="32"/>
        </w:rPr>
        <w:t>3.1本合同使用货币种类为：人民币。</w:t>
      </w:r>
    </w:p>
    <w:p>
      <w:pPr>
        <w:ind w:firstLine="640" w:firstLineChars="200"/>
        <w:rPr>
          <w:rStyle w:val="71"/>
          <w:rFonts w:ascii="仿宋_GB2312" w:hAnsi="仿宋" w:eastAsia="仿宋_GB2312"/>
          <w:bCs/>
          <w:sz w:val="32"/>
          <w:szCs w:val="32"/>
        </w:rPr>
      </w:pPr>
      <w:r>
        <w:rPr>
          <w:rStyle w:val="71"/>
          <w:rFonts w:hint="eastAsia" w:ascii="仿宋_GB2312" w:hAnsi="仿宋" w:eastAsia="仿宋_GB2312"/>
          <w:bCs/>
          <w:sz w:val="32"/>
          <w:szCs w:val="32"/>
        </w:rPr>
        <w:t>3.2付款方式：使用银行电汇支付，</w:t>
      </w:r>
    </w:p>
    <w:p>
      <w:pPr>
        <w:spacing w:line="560" w:lineRule="exact"/>
        <w:ind w:firstLine="640" w:firstLineChars="200"/>
        <w:rPr>
          <w:rStyle w:val="71"/>
          <w:rFonts w:ascii="仿宋_GB2312" w:hAnsi="仿宋" w:eastAsia="仿宋_GB2312"/>
          <w:bCs/>
          <w:sz w:val="32"/>
          <w:szCs w:val="32"/>
        </w:rPr>
      </w:pPr>
      <w:r>
        <w:rPr>
          <w:rStyle w:val="71"/>
          <w:rFonts w:hint="eastAsia" w:ascii="仿宋_GB2312" w:hAnsi="仿宋" w:eastAsia="仿宋_GB2312"/>
          <w:bCs/>
          <w:sz w:val="32"/>
          <w:szCs w:val="32"/>
        </w:rPr>
        <w:t>3.</w:t>
      </w:r>
      <w:bookmarkStart w:id="9" w:name="OLE_LINK18"/>
      <w:bookmarkStart w:id="10" w:name="OLE_LINK17"/>
      <w:r>
        <w:rPr>
          <w:rStyle w:val="71"/>
          <w:rFonts w:hint="eastAsia" w:ascii="仿宋_GB2312" w:hAnsi="仿宋" w:eastAsia="仿宋_GB2312"/>
          <w:bCs/>
          <w:sz w:val="32"/>
          <w:szCs w:val="32"/>
        </w:rPr>
        <w:t>3合同款项的支付</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Style w:val="71"/>
          <w:rFonts w:hint="eastAsia" w:ascii="仿宋_GB2312" w:hAnsi="宋体" w:eastAsia="仿宋_GB2312"/>
          <w:bCs/>
          <w:sz w:val="32"/>
          <w:szCs w:val="32"/>
        </w:rPr>
        <w:t>3.3.1</w:t>
      </w:r>
      <w:bookmarkStart w:id="11" w:name="OLE_LINK35"/>
      <w:bookmarkStart w:id="12" w:name="OLE_LINK36"/>
      <w:r>
        <w:rPr>
          <w:rFonts w:hint="eastAsia" w:ascii="仿宋_GB2312" w:eastAsia="仿宋_GB2312"/>
          <w:color w:val="000000" w:themeColor="text1"/>
          <w:sz w:val="32"/>
          <w:szCs w:val="32"/>
          <w14:textFill>
            <w14:solidFill>
              <w14:schemeClr w14:val="tx1"/>
            </w14:solidFill>
          </w14:textFill>
        </w:rPr>
        <w:t>乙方</w:t>
      </w:r>
      <w:r>
        <w:rPr>
          <w:rFonts w:hint="eastAsia" w:ascii="仿宋_GB2312" w:eastAsia="仿宋_GB2312"/>
          <w:bCs/>
          <w:color w:val="000000" w:themeColor="text1"/>
          <w:sz w:val="32"/>
          <w:szCs w:val="32"/>
          <w14:textFill>
            <w14:solidFill>
              <w14:schemeClr w14:val="tx1"/>
            </w14:solidFill>
          </w14:textFill>
        </w:rPr>
        <w:t>设备材料进场，经甲方验收合格后，甲方向乙方支付合同总额的</w:t>
      </w:r>
      <w:r>
        <w:rPr>
          <w:rFonts w:hint="eastAsia" w:ascii="仿宋_GB2312" w:hAnsi="微软雅黑" w:eastAsia="仿宋_GB2312" w:cs="微软雅黑"/>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30</w:t>
      </w:r>
      <w:r>
        <w:rPr>
          <w:rFonts w:hint="eastAsia" w:ascii="仿宋_GB2312" w:hAnsi="微软雅黑" w:eastAsia="仿宋_GB2312" w:cs="微软雅黑"/>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bCs/>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3.3.2</w:t>
      </w:r>
      <w:r>
        <w:rPr>
          <w:rFonts w:hint="eastAsia" w:ascii="仿宋_GB2312" w:eastAsia="仿宋_GB2312"/>
          <w:bCs/>
          <w:color w:val="000000" w:themeColor="text1"/>
          <w:sz w:val="32"/>
          <w:szCs w:val="32"/>
          <w14:textFill>
            <w14:solidFill>
              <w14:schemeClr w14:val="tx1"/>
            </w14:solidFill>
          </w14:textFill>
        </w:rPr>
        <w:t>设备安装调试完毕，竣工验收合格，设备经2023/2024榨季正常使用一个月后，无质量问题，甲方凭乙方开具全额X%的增值税专用发票，甲方向乙方支付合同总额的</w:t>
      </w:r>
      <w:r>
        <w:rPr>
          <w:rFonts w:hint="eastAsia" w:ascii="仿宋_GB2312" w:hAnsi="微软雅黑" w:eastAsia="仿宋_GB2312" w:cs="微软雅黑"/>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30%</w:t>
      </w:r>
      <w:r>
        <w:rPr>
          <w:rFonts w:hint="eastAsia" w:ascii="仿宋_GB2312" w:hAnsi="微软雅黑" w:eastAsia="仿宋_GB2312" w:cs="微软雅黑"/>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3.3.3 设备使用至</w:t>
      </w:r>
      <w:r>
        <w:rPr>
          <w:rFonts w:hint="eastAsia" w:ascii="仿宋_GB2312" w:eastAsia="仿宋_GB2312"/>
          <w:bCs/>
          <w:color w:val="000000" w:themeColor="text1"/>
          <w:sz w:val="32"/>
          <w:szCs w:val="32"/>
          <w14:textFill>
            <w14:solidFill>
              <w14:schemeClr w14:val="tx1"/>
            </w14:solidFill>
          </w14:textFill>
        </w:rPr>
        <w:t>2023/2024榨季结束， 无质量问题验收合格,甲方向乙方支付合同总额的</w:t>
      </w:r>
      <w:r>
        <w:rPr>
          <w:rFonts w:hint="eastAsia" w:ascii="仿宋_GB2312" w:hAnsi="微软雅黑" w:eastAsia="仿宋_GB2312" w:cs="微软雅黑"/>
          <w:bCs/>
          <w:color w:val="000000" w:themeColor="text1"/>
          <w:sz w:val="32"/>
          <w:szCs w:val="32"/>
          <w14:textFill>
            <w14:solidFill>
              <w14:schemeClr w14:val="tx1"/>
            </w14:solidFill>
          </w14:textFill>
        </w:rPr>
        <w:t>【30】</w:t>
      </w:r>
      <w:r>
        <w:rPr>
          <w:rFonts w:hint="eastAsia" w:ascii="仿宋_GB2312" w:eastAsia="仿宋_GB2312"/>
          <w:bCs/>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3.3.4</w:t>
      </w:r>
      <w:r>
        <w:rPr>
          <w:rFonts w:hint="eastAsia" w:ascii="仿宋_GB2312" w:eastAsia="仿宋_GB2312"/>
          <w:bCs/>
          <w:color w:val="000000" w:themeColor="text1"/>
          <w:sz w:val="32"/>
          <w:szCs w:val="32"/>
          <w14:textFill>
            <w14:solidFill>
              <w14:schemeClr w14:val="tx1"/>
            </w14:solidFill>
          </w14:textFill>
        </w:rPr>
        <w:t>剩余【10】%作为质保金，于质保期(质保期自【竣工验收之日】起算，一年【12个月】) 满且设备无任何质量问题后，</w:t>
      </w:r>
      <w:r>
        <w:rPr>
          <w:rFonts w:ascii="仿宋_GB2312" w:eastAsia="仿宋_GB2312"/>
          <w:bCs/>
          <w:color w:val="000000" w:themeColor="text1"/>
          <w:sz w:val="32"/>
          <w:szCs w:val="32"/>
          <w14:textFill>
            <w14:solidFill>
              <w14:schemeClr w14:val="tx1"/>
            </w14:solidFill>
          </w14:textFill>
        </w:rPr>
        <w:t>30</w:t>
      </w:r>
      <w:r>
        <w:rPr>
          <w:rFonts w:hint="eastAsia" w:ascii="仿宋_GB2312" w:eastAsia="仿宋_GB2312"/>
          <w:bCs/>
          <w:color w:val="000000" w:themeColor="text1"/>
          <w:sz w:val="32"/>
          <w:szCs w:val="32"/>
          <w14:textFill>
            <w14:solidFill>
              <w14:schemeClr w14:val="tx1"/>
            </w14:solidFill>
          </w14:textFill>
        </w:rPr>
        <w:t>个工作日内甲方无息一次性付完给乙方。</w:t>
      </w:r>
    </w:p>
    <w:bookmarkEnd w:id="11"/>
    <w:bookmarkEnd w:id="12"/>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4.履约保证金的交付及退还</w:t>
      </w:r>
    </w:p>
    <w:p>
      <w:pPr>
        <w:spacing w:line="560" w:lineRule="exact"/>
        <w:ind w:firstLine="800" w:firstLineChars="25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履约保证金为合同总价的5  %，乙方收到中标通知书至合同签订前向甲方缴纳本合同履约保证金。甲方于项目竣工且验收合格后</w:t>
      </w:r>
      <w:r>
        <w:rPr>
          <w:rFonts w:ascii="仿宋_GB2312" w:eastAsia="仿宋_GB2312"/>
          <w:bCs/>
          <w:color w:val="000000" w:themeColor="text1"/>
          <w:sz w:val="32"/>
          <w:szCs w:val="32"/>
          <w:highlight w:val="green"/>
          <w14:textFill>
            <w14:solidFill>
              <w14:schemeClr w14:val="tx1"/>
            </w14:solidFill>
          </w14:textFill>
        </w:rPr>
        <w:t>30</w:t>
      </w:r>
      <w:r>
        <w:rPr>
          <w:rFonts w:hint="eastAsia" w:ascii="仿宋_GB2312" w:eastAsia="仿宋_GB2312"/>
          <w:bCs/>
          <w:color w:val="000000" w:themeColor="text1"/>
          <w:sz w:val="32"/>
          <w:szCs w:val="32"/>
          <w14:textFill>
            <w14:solidFill>
              <w14:schemeClr w14:val="tx1"/>
            </w14:solidFill>
          </w14:textFill>
        </w:rPr>
        <w:t>个工作日内将全额履约保证金无息退还给乙方。</w:t>
      </w:r>
    </w:p>
    <w:bookmarkEnd w:id="9"/>
    <w:bookmarkEnd w:id="10"/>
    <w:p>
      <w:pPr>
        <w:rPr>
          <w:rStyle w:val="71"/>
          <w:rFonts w:ascii="仿宋_GB2312" w:hAnsi="宋体" w:eastAsia="仿宋_GB2312"/>
          <w:bCs/>
          <w:sz w:val="32"/>
          <w:szCs w:val="32"/>
        </w:rPr>
      </w:pPr>
    </w:p>
    <w:p>
      <w:pPr>
        <w:snapToGrid w:val="0"/>
        <w:spacing w:line="560" w:lineRule="exact"/>
        <w:rPr>
          <w:rStyle w:val="71"/>
          <w:rFonts w:ascii="仿宋_GB2312" w:hAnsi="宋体" w:eastAsia="仿宋_GB2312"/>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spacing w:line="560" w:lineRule="exact"/>
        <w:rPr>
          <w:rStyle w:val="71"/>
          <w:rFonts w:ascii="宋体" w:hAnsi="宋体"/>
          <w:bCs/>
          <w:sz w:val="32"/>
          <w:szCs w:val="32"/>
        </w:rPr>
      </w:pPr>
    </w:p>
    <w:p>
      <w:pPr>
        <w:snapToGrid w:val="0"/>
        <w:ind w:firstLine="2880" w:firstLineChars="800"/>
        <w:rPr>
          <w:rStyle w:val="71"/>
          <w:rFonts w:ascii="黑体" w:hAnsi="黑体" w:eastAsia="黑体" w:cs="黑体"/>
          <w:sz w:val="36"/>
          <w:szCs w:val="36"/>
        </w:rPr>
      </w:pPr>
      <w:r>
        <w:rPr>
          <w:rStyle w:val="71"/>
          <w:rFonts w:hint="eastAsia" w:ascii="黑体" w:hAnsi="黑体" w:eastAsia="黑体" w:cs="黑体"/>
          <w:sz w:val="36"/>
          <w:szCs w:val="36"/>
        </w:rPr>
        <w:t>第四章 评审方法</w:t>
      </w:r>
    </w:p>
    <w:p>
      <w:pPr>
        <w:snapToGrid w:val="0"/>
        <w:jc w:val="center"/>
        <w:rPr>
          <w:rStyle w:val="71"/>
          <w:rFonts w:ascii="宋体" w:hAnsi="宋体"/>
          <w:b/>
          <w:bCs/>
          <w:sz w:val="36"/>
          <w:szCs w:val="36"/>
        </w:rPr>
      </w:pPr>
    </w:p>
    <w:p>
      <w:pPr>
        <w:snapToGrid w:val="0"/>
        <w:ind w:firstLine="640" w:firstLineChars="200"/>
        <w:rPr>
          <w:rStyle w:val="71"/>
          <w:rFonts w:ascii="宋体" w:hAnsi="宋体"/>
          <w:bCs/>
          <w:sz w:val="32"/>
          <w:szCs w:val="32"/>
        </w:rPr>
      </w:pPr>
      <w:r>
        <w:rPr>
          <w:rStyle w:val="71"/>
          <w:rFonts w:ascii="宋体" w:hAnsi="宋体"/>
          <w:bCs/>
          <w:sz w:val="32"/>
          <w:szCs w:val="32"/>
        </w:rPr>
        <w:t>本次采购工作，对供应商的评审采用</w:t>
      </w:r>
      <w:r>
        <w:rPr>
          <w:rStyle w:val="71"/>
          <w:rFonts w:hint="eastAsia" w:ascii="宋体" w:hAnsi="宋体"/>
          <w:bCs/>
          <w:sz w:val="32"/>
          <w:szCs w:val="32"/>
        </w:rPr>
        <w:t>相同内容</w:t>
      </w:r>
      <w:r>
        <w:rPr>
          <w:rStyle w:val="71"/>
          <w:rFonts w:ascii="宋体" w:hAnsi="宋体"/>
          <w:bCs/>
          <w:sz w:val="32"/>
          <w:szCs w:val="32"/>
        </w:rPr>
        <w:t>“</w:t>
      </w:r>
      <w:r>
        <w:rPr>
          <w:rStyle w:val="71"/>
          <w:rFonts w:hint="eastAsia" w:ascii="宋体" w:hAnsi="宋体"/>
          <w:bCs/>
          <w:sz w:val="32"/>
          <w:szCs w:val="32"/>
        </w:rPr>
        <w:t>总价</w:t>
      </w:r>
      <w:r>
        <w:rPr>
          <w:rStyle w:val="71"/>
          <w:rFonts w:ascii="宋体" w:hAnsi="宋体"/>
          <w:bCs/>
          <w:sz w:val="32"/>
          <w:szCs w:val="32"/>
        </w:rPr>
        <w:t>最低价中标”。</w:t>
      </w: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jc w:val="center"/>
        <w:rPr>
          <w:rStyle w:val="71"/>
          <w:rFonts w:ascii="宋体" w:hAnsi="宋体"/>
          <w:b/>
          <w:bCs/>
          <w:sz w:val="36"/>
          <w:szCs w:val="28"/>
        </w:rPr>
      </w:pPr>
    </w:p>
    <w:p>
      <w:pPr>
        <w:snapToGrid w:val="0"/>
        <w:rPr>
          <w:rStyle w:val="71"/>
          <w:rFonts w:ascii="宋体" w:hAnsi="宋体"/>
          <w:b/>
          <w:bCs/>
          <w:sz w:val="36"/>
          <w:szCs w:val="28"/>
        </w:rPr>
      </w:pPr>
    </w:p>
    <w:p>
      <w:pPr>
        <w:snapToGrid w:val="0"/>
        <w:ind w:firstLine="2520" w:firstLineChars="700"/>
        <w:rPr>
          <w:rStyle w:val="71"/>
          <w:rFonts w:ascii="宋体" w:hAnsi="宋体"/>
          <w:b/>
          <w:bCs/>
          <w:sz w:val="28"/>
          <w:szCs w:val="28"/>
        </w:rPr>
      </w:pPr>
      <w:r>
        <w:rPr>
          <w:rStyle w:val="71"/>
          <w:rFonts w:hint="eastAsia" w:ascii="黑体" w:hAnsi="黑体" w:eastAsia="黑体" w:cs="黑体"/>
          <w:sz w:val="36"/>
          <w:szCs w:val="28"/>
        </w:rPr>
        <w:t>第五章 协</w:t>
      </w:r>
      <w:r>
        <w:rPr>
          <w:rStyle w:val="71"/>
          <w:rFonts w:ascii="黑体" w:hAnsi="黑体" w:eastAsia="黑体" w:cs="黑体"/>
          <w:sz w:val="36"/>
          <w:szCs w:val="28"/>
        </w:rPr>
        <w:t>议</w:t>
      </w:r>
      <w:r>
        <w:rPr>
          <w:rStyle w:val="71"/>
          <w:rFonts w:hint="eastAsia" w:ascii="黑体" w:hAnsi="黑体" w:eastAsia="黑体" w:cs="黑体"/>
          <w:sz w:val="36"/>
          <w:szCs w:val="28"/>
        </w:rPr>
        <w:t>条款</w:t>
      </w:r>
    </w:p>
    <w:p>
      <w:pPr>
        <w:widowControl w:val="0"/>
        <w:adjustRightInd w:val="0"/>
        <w:snapToGrid w:val="0"/>
        <w:spacing w:line="500" w:lineRule="exact"/>
        <w:jc w:val="center"/>
        <w:textAlignment w:val="auto"/>
        <w:rPr>
          <w:rFonts w:eastAsia="仿宋_GB2312"/>
          <w:b/>
          <w:bCs/>
          <w:sz w:val="30"/>
          <w:szCs w:val="30"/>
        </w:rPr>
      </w:pPr>
    </w:p>
    <w:p>
      <w:pPr>
        <w:adjustRightInd w:val="0"/>
        <w:snapToGrid w:val="0"/>
        <w:spacing w:line="500" w:lineRule="exact"/>
        <w:jc w:val="center"/>
        <w:rPr>
          <w:rFonts w:eastAsia="仿宋_GB2312"/>
          <w:b/>
          <w:bCs/>
          <w:sz w:val="30"/>
          <w:szCs w:val="30"/>
        </w:rPr>
      </w:pPr>
    </w:p>
    <w:p>
      <w:pPr>
        <w:adjustRightInd w:val="0"/>
        <w:snapToGrid w:val="0"/>
        <w:spacing w:line="500" w:lineRule="exact"/>
        <w:jc w:val="center"/>
        <w:rPr>
          <w:rFonts w:eastAsia="仿宋_GB2312"/>
          <w:b/>
          <w:bCs/>
          <w:sz w:val="30"/>
          <w:szCs w:val="30"/>
        </w:rPr>
      </w:pPr>
    </w:p>
    <w:p>
      <w:pPr>
        <w:adjustRightInd w:val="0"/>
        <w:snapToGrid w:val="0"/>
        <w:spacing w:line="500" w:lineRule="exact"/>
        <w:jc w:val="both"/>
        <w:rPr>
          <w:rFonts w:ascii="仿宋_GB2312" w:hAnsi="黑体" w:eastAsia="仿宋_GB2312"/>
          <w:b/>
          <w:bCs/>
          <w:sz w:val="44"/>
          <w:szCs w:val="44"/>
        </w:rPr>
      </w:pPr>
    </w:p>
    <w:p>
      <w:pPr>
        <w:adjustRightInd w:val="0"/>
        <w:snapToGrid w:val="0"/>
        <w:spacing w:line="500" w:lineRule="exact"/>
        <w:jc w:val="center"/>
        <w:rPr>
          <w:rFonts w:ascii="仿宋_GB2312" w:hAnsi="黑体" w:eastAsia="仿宋_GB2312"/>
          <w:b/>
          <w:bCs/>
          <w:sz w:val="44"/>
          <w:szCs w:val="44"/>
        </w:rPr>
      </w:pPr>
    </w:p>
    <w:p>
      <w:pPr>
        <w:spacing w:line="500" w:lineRule="exact"/>
        <w:jc w:val="center"/>
        <w:rPr>
          <w:rFonts w:ascii="黑体" w:hAnsi="黑体" w:eastAsia="黑体"/>
          <w:sz w:val="44"/>
          <w:szCs w:val="44"/>
        </w:rPr>
      </w:pPr>
      <w:r>
        <w:rPr>
          <w:rFonts w:hint="eastAsia" w:ascii="黑体" w:hAnsi="黑体" w:eastAsia="黑体"/>
          <w:sz w:val="44"/>
          <w:szCs w:val="44"/>
        </w:rPr>
        <w:t>中粮梁河糖业有限公司</w:t>
      </w:r>
    </w:p>
    <w:p>
      <w:pPr>
        <w:spacing w:line="500" w:lineRule="exact"/>
        <w:jc w:val="center"/>
        <w:rPr>
          <w:rFonts w:ascii="黑体" w:hAnsi="黑体" w:eastAsia="黑体"/>
          <w:b/>
          <w:sz w:val="52"/>
          <w:szCs w:val="52"/>
        </w:rPr>
      </w:pPr>
    </w:p>
    <w:p>
      <w:pPr>
        <w:spacing w:line="500" w:lineRule="exact"/>
        <w:jc w:val="center"/>
        <w:rPr>
          <w:rFonts w:ascii="黑体" w:hAnsi="黑体" w:eastAsia="黑体"/>
          <w:b/>
          <w:sz w:val="52"/>
          <w:szCs w:val="52"/>
        </w:rPr>
      </w:pPr>
    </w:p>
    <w:p>
      <w:pPr>
        <w:spacing w:line="500" w:lineRule="exact"/>
        <w:jc w:val="center"/>
        <w:rPr>
          <w:rFonts w:ascii="黑体" w:hAnsi="黑体" w:eastAsia="黑体"/>
          <w:b/>
          <w:sz w:val="52"/>
          <w:szCs w:val="52"/>
        </w:rPr>
      </w:pPr>
    </w:p>
    <w:p>
      <w:pPr>
        <w:spacing w:line="500" w:lineRule="exact"/>
        <w:jc w:val="center"/>
        <w:rPr>
          <w:rFonts w:ascii="黑体" w:hAnsi="黑体" w:eastAsia="黑体"/>
          <w:b/>
          <w:sz w:val="52"/>
          <w:szCs w:val="52"/>
        </w:rPr>
      </w:pPr>
    </w:p>
    <w:p>
      <w:pPr>
        <w:spacing w:line="500" w:lineRule="exact"/>
        <w:jc w:val="center"/>
        <w:rPr>
          <w:rFonts w:ascii="黑体" w:hAnsi="黑体" w:eastAsia="黑体"/>
          <w:sz w:val="52"/>
          <w:szCs w:val="52"/>
        </w:rPr>
      </w:pPr>
    </w:p>
    <w:p>
      <w:pPr>
        <w:spacing w:line="276" w:lineRule="auto"/>
        <w:jc w:val="center"/>
        <w:rPr>
          <w:rFonts w:eastAsia="仿宋" w:asciiTheme="minorEastAsia" w:hAnsiTheme="minorEastAsia"/>
          <w:b/>
          <w:bCs/>
          <w:snapToGrid w:val="0"/>
          <w:sz w:val="32"/>
          <w:szCs w:val="32"/>
        </w:rPr>
      </w:pPr>
      <w:r>
        <w:rPr>
          <w:rFonts w:hint="eastAsia" w:eastAsia="仿宋" w:asciiTheme="minorEastAsia" w:hAnsiTheme="minorEastAsia"/>
          <w:b/>
          <w:bCs/>
          <w:snapToGrid w:val="0"/>
          <w:sz w:val="32"/>
          <w:szCs w:val="32"/>
        </w:rPr>
        <w:t>2023年梁河糖业勐养工厂制炼车间P25TK-1</w:t>
      </w:r>
    </w:p>
    <w:p>
      <w:pPr>
        <w:spacing w:line="276" w:lineRule="auto"/>
        <w:jc w:val="center"/>
        <w:rPr>
          <w:rFonts w:eastAsia="仿宋" w:asciiTheme="minorEastAsia" w:hAnsiTheme="minorEastAsia"/>
          <w:snapToGrid w:val="0"/>
          <w:sz w:val="24"/>
        </w:rPr>
      </w:pPr>
      <w:r>
        <w:rPr>
          <w:rFonts w:hint="eastAsia" w:eastAsia="仿宋" w:asciiTheme="minorEastAsia" w:hAnsiTheme="minorEastAsia"/>
          <w:b/>
          <w:bCs/>
          <w:snapToGrid w:val="0"/>
          <w:sz w:val="32"/>
          <w:szCs w:val="32"/>
        </w:rPr>
        <w:t>离心机大修项目合同（草案）</w:t>
      </w:r>
    </w:p>
    <w:p>
      <w:pPr>
        <w:jc w:val="center"/>
        <w:rPr>
          <w:rFonts w:eastAsia="仿宋" w:asciiTheme="minorEastAsia" w:hAnsiTheme="minorEastAsia"/>
          <w:b/>
          <w:bCs/>
          <w:snapToGrid w:val="0"/>
          <w:sz w:val="32"/>
          <w:szCs w:val="32"/>
        </w:rPr>
      </w:pPr>
    </w:p>
    <w:p>
      <w:pPr>
        <w:spacing w:line="500" w:lineRule="exact"/>
        <w:jc w:val="center"/>
        <w:rPr>
          <w:rFonts w:eastAsia="仿宋_GB2312"/>
          <w:color w:val="000000"/>
          <w:sz w:val="28"/>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p>
    <w:p>
      <w:pPr>
        <w:spacing w:line="500" w:lineRule="exact"/>
        <w:ind w:firstLine="2700" w:firstLineChars="900"/>
        <w:rPr>
          <w:rFonts w:eastAsia="仿宋_GB2312"/>
          <w:color w:val="000000"/>
          <w:sz w:val="30"/>
          <w:szCs w:val="30"/>
        </w:rPr>
      </w:pPr>
      <w:r>
        <w:rPr>
          <w:rFonts w:eastAsia="仿宋_GB2312"/>
          <w:color w:val="000000"/>
          <w:sz w:val="30"/>
          <w:szCs w:val="30"/>
        </w:rPr>
        <w:t>甲方：</w:t>
      </w:r>
    </w:p>
    <w:p>
      <w:pPr>
        <w:spacing w:line="500" w:lineRule="exact"/>
        <w:ind w:firstLine="2700" w:firstLineChars="900"/>
        <w:rPr>
          <w:rFonts w:eastAsia="仿宋_GB2312"/>
          <w:color w:val="000000"/>
          <w:sz w:val="30"/>
          <w:szCs w:val="30"/>
        </w:rPr>
      </w:pPr>
      <w:r>
        <w:rPr>
          <w:rFonts w:eastAsia="仿宋_GB2312"/>
          <w:color w:val="000000"/>
          <w:sz w:val="30"/>
          <w:szCs w:val="30"/>
        </w:rPr>
        <w:t>乙方：</w:t>
      </w:r>
    </w:p>
    <w:p>
      <w:pPr>
        <w:spacing w:line="500" w:lineRule="exact"/>
        <w:ind w:firstLine="2700" w:firstLineChars="900"/>
        <w:rPr>
          <w:rFonts w:eastAsia="仿宋_GB2312"/>
          <w:color w:val="000000"/>
          <w:sz w:val="30"/>
          <w:szCs w:val="30"/>
        </w:rPr>
      </w:pPr>
      <w:r>
        <w:rPr>
          <w:rFonts w:eastAsia="仿宋_GB2312"/>
          <w:color w:val="000000"/>
          <w:sz w:val="30"/>
          <w:szCs w:val="30"/>
        </w:rPr>
        <w:t>合同编号：</w:t>
      </w:r>
    </w:p>
    <w:p>
      <w:pPr>
        <w:spacing w:line="500" w:lineRule="exact"/>
        <w:ind w:firstLine="2700" w:firstLineChars="900"/>
        <w:rPr>
          <w:rFonts w:eastAsia="仿宋_GB2312"/>
          <w:color w:val="000000"/>
          <w:sz w:val="30"/>
          <w:szCs w:val="30"/>
        </w:rPr>
      </w:pPr>
      <w:r>
        <w:rPr>
          <w:rFonts w:eastAsia="仿宋_GB2312"/>
          <w:color w:val="000000"/>
          <w:sz w:val="30"/>
          <w:szCs w:val="30"/>
        </w:rPr>
        <w:t>合同签订地点：</w:t>
      </w:r>
    </w:p>
    <w:p>
      <w:pPr>
        <w:spacing w:line="500" w:lineRule="exact"/>
        <w:ind w:firstLine="2700" w:firstLineChars="900"/>
        <w:rPr>
          <w:rFonts w:eastAsia="仿宋_GB2312"/>
          <w:color w:val="000000"/>
          <w:sz w:val="30"/>
          <w:szCs w:val="30"/>
        </w:rPr>
      </w:pPr>
      <w:r>
        <w:rPr>
          <w:rFonts w:eastAsia="仿宋_GB2312"/>
          <w:color w:val="000000"/>
          <w:sz w:val="30"/>
          <w:szCs w:val="30"/>
        </w:rPr>
        <w:t>合同签订日期：</w:t>
      </w:r>
      <w:r>
        <w:rPr>
          <w:rFonts w:hint="eastAsia" w:eastAsia="仿宋_GB2312"/>
          <w:color w:val="000000"/>
          <w:sz w:val="30"/>
          <w:szCs w:val="30"/>
        </w:rPr>
        <w:t xml:space="preserve">   </w:t>
      </w:r>
      <w:r>
        <w:rPr>
          <w:rFonts w:eastAsia="仿宋_GB2312"/>
          <w:color w:val="000000"/>
          <w:sz w:val="30"/>
          <w:szCs w:val="30"/>
        </w:rPr>
        <w:t>年</w:t>
      </w:r>
      <w:r>
        <w:rPr>
          <w:rFonts w:hint="eastAsia" w:eastAsia="仿宋_GB2312"/>
          <w:color w:val="000000"/>
          <w:sz w:val="30"/>
          <w:szCs w:val="30"/>
        </w:rPr>
        <w:t xml:space="preserve">  </w:t>
      </w:r>
      <w:r>
        <w:rPr>
          <w:rFonts w:eastAsia="仿宋_GB2312"/>
          <w:color w:val="000000"/>
          <w:sz w:val="30"/>
          <w:szCs w:val="30"/>
        </w:rPr>
        <w:t>月</w:t>
      </w:r>
      <w:r>
        <w:rPr>
          <w:rFonts w:hint="eastAsia" w:eastAsia="仿宋_GB2312"/>
          <w:color w:val="000000"/>
          <w:sz w:val="30"/>
          <w:szCs w:val="30"/>
        </w:rPr>
        <w:t xml:space="preserve">  </w:t>
      </w:r>
      <w:r>
        <w:rPr>
          <w:rFonts w:eastAsia="仿宋_GB2312"/>
          <w:color w:val="000000"/>
          <w:sz w:val="30"/>
          <w:szCs w:val="30"/>
        </w:rPr>
        <w:t>日</w:t>
      </w:r>
    </w:p>
    <w:p>
      <w:pPr>
        <w:spacing w:line="360" w:lineRule="auto"/>
        <w:jc w:val="center"/>
        <w:rPr>
          <w:rFonts w:eastAsia="仿宋_GB2312"/>
          <w:color w:val="000000"/>
          <w:sz w:val="28"/>
        </w:rPr>
      </w:pPr>
      <w:r>
        <w:rPr>
          <w:rFonts w:eastAsia="仿宋_GB2312"/>
          <w:color w:val="000000"/>
          <w:sz w:val="28"/>
        </w:rPr>
        <w:br w:type="page"/>
      </w:r>
    </w:p>
    <w:p>
      <w:pPr>
        <w:adjustRightInd w:val="0"/>
        <w:snapToGrid w:val="0"/>
        <w:spacing w:line="500" w:lineRule="exact"/>
        <w:ind w:firstLine="640" w:firstLineChars="200"/>
        <w:rPr>
          <w:rFonts w:ascii="仿宋_GB2312" w:hAnsi="仿宋_GB2312" w:eastAsia="仿宋_GB2312" w:cs="仿宋_GB2312"/>
          <w:color w:val="000000"/>
          <w:sz w:val="32"/>
          <w:szCs w:val="32"/>
        </w:rPr>
      </w:pPr>
      <w:r>
        <w:rPr>
          <w:rFonts w:hint="eastAsia" w:ascii="仿宋_GB2312" w:hAnsi="微软雅黑" w:eastAsia="仿宋_GB2312" w:cs="微软雅黑"/>
          <w:color w:val="000000"/>
          <w:sz w:val="32"/>
          <w:szCs w:val="32"/>
          <w:u w:val="single"/>
        </w:rPr>
        <w:t>【</w:t>
      </w:r>
      <w:r>
        <w:rPr>
          <w:rFonts w:hint="eastAsia" w:ascii="仿宋_GB2312" w:hAnsi="仿宋_GB2312" w:eastAsia="仿宋_GB2312" w:cs="仿宋_GB2312"/>
          <w:color w:val="000000"/>
          <w:sz w:val="32"/>
          <w:szCs w:val="32"/>
          <w:u w:val="single"/>
        </w:rPr>
        <w:t>中粮梁河糖业公司</w:t>
      </w:r>
      <w:r>
        <w:rPr>
          <w:rFonts w:hint="eastAsia" w:ascii="仿宋_GB2312" w:hAnsi="微软雅黑" w:eastAsia="仿宋_GB2312" w:cs="微软雅黑"/>
          <w:color w:val="000000"/>
          <w:sz w:val="32"/>
          <w:szCs w:val="32"/>
          <w:u w:val="single"/>
        </w:rPr>
        <w:t>】</w:t>
      </w:r>
      <w:r>
        <w:rPr>
          <w:rFonts w:hint="eastAsia" w:ascii="仿宋_GB2312" w:hAnsi="仿宋_GB2312" w:eastAsia="仿宋_GB2312" w:cs="仿宋_GB2312"/>
          <w:color w:val="000000"/>
          <w:sz w:val="32"/>
          <w:szCs w:val="32"/>
        </w:rPr>
        <w:t>（以下简称甲方）与</w:t>
      </w:r>
      <w:r>
        <w:rPr>
          <w:rFonts w:hint="eastAsia" w:ascii="仿宋_GB2312" w:hAnsi="微软雅黑" w:eastAsia="仿宋_GB2312" w:cs="微软雅黑"/>
          <w:color w:val="000000"/>
          <w:sz w:val="32"/>
          <w:szCs w:val="32"/>
        </w:rPr>
        <w:t>【</w:t>
      </w:r>
      <w:r>
        <w:rPr>
          <w:rFonts w:hint="eastAsia" w:ascii="仿宋_GB2312" w:hAnsi="仿宋_GB2312" w:eastAsia="仿宋_GB2312" w:cs="仿宋_GB2312"/>
          <w:color w:val="000000"/>
          <w:sz w:val="32"/>
          <w:szCs w:val="32"/>
          <w:u w:val="single"/>
        </w:rPr>
        <w:t>XXX公司</w:t>
      </w:r>
      <w:r>
        <w:rPr>
          <w:rFonts w:hint="eastAsia" w:ascii="仿宋_GB2312" w:hAnsi="微软雅黑" w:eastAsia="仿宋_GB2312" w:cs="微软雅黑"/>
          <w:color w:val="000000"/>
          <w:sz w:val="32"/>
          <w:szCs w:val="32"/>
          <w:u w:val="single"/>
        </w:rPr>
        <w:t>】</w:t>
      </w:r>
      <w:r>
        <w:rPr>
          <w:rFonts w:hint="eastAsia" w:ascii="仿宋_GB2312" w:hAnsi="仿宋_GB2312" w:eastAsia="仿宋_GB2312" w:cs="仿宋_GB2312"/>
          <w:color w:val="000000"/>
          <w:sz w:val="32"/>
          <w:szCs w:val="32"/>
        </w:rPr>
        <w:t>（以下简称乙方）就乙方为</w:t>
      </w:r>
      <w:r>
        <w:rPr>
          <w:rFonts w:hint="eastAsia" w:ascii="仿宋_GB2312" w:hAnsi="微软雅黑" w:eastAsia="仿宋_GB2312" w:cs="微软雅黑"/>
          <w:bCs/>
          <w:color w:val="FF0000"/>
          <w:sz w:val="32"/>
          <w:szCs w:val="32"/>
          <w:u w:val="single"/>
        </w:rPr>
        <w:t>【</w:t>
      </w:r>
      <w:bookmarkStart w:id="13" w:name="OLE_LINK22"/>
      <w:bookmarkStart w:id="14" w:name="OLE_LINK23"/>
      <w:r>
        <w:rPr>
          <w:rFonts w:hint="eastAsia" w:ascii="仿宋_GB2312" w:eastAsia="仿宋_GB2312"/>
          <w:spacing w:val="20"/>
          <w:sz w:val="32"/>
          <w:szCs w:val="32"/>
        </w:rPr>
        <w:t>2023年梁河糖业勐养工厂制炼车间P25TK-1离心机大修</w:t>
      </w:r>
      <w:bookmarkEnd w:id="13"/>
      <w:bookmarkEnd w:id="14"/>
      <w:r>
        <w:rPr>
          <w:rFonts w:hint="eastAsia" w:ascii="仿宋_GB2312" w:hAnsi="微软雅黑" w:eastAsia="仿宋_GB2312" w:cs="微软雅黑"/>
          <w:bCs/>
          <w:color w:val="FF0000"/>
          <w:sz w:val="32"/>
          <w:szCs w:val="32"/>
          <w:u w:val="single"/>
        </w:rPr>
        <w:t>】</w:t>
      </w:r>
      <w:r>
        <w:rPr>
          <w:rFonts w:hint="eastAsia" w:ascii="仿宋_GB2312" w:hAnsi="仿宋_GB2312" w:eastAsia="仿宋_GB2312" w:cs="仿宋_GB2312"/>
          <w:bCs/>
          <w:color w:val="FF0000"/>
          <w:sz w:val="32"/>
          <w:szCs w:val="32"/>
          <w:u w:val="single"/>
        </w:rPr>
        <w:t>项目</w:t>
      </w:r>
      <w:r>
        <w:rPr>
          <w:rFonts w:hint="eastAsia" w:ascii="仿宋_GB2312" w:hAnsi="仿宋_GB2312" w:eastAsia="仿宋_GB2312" w:cs="仿宋_GB2312"/>
          <w:color w:val="000000"/>
          <w:sz w:val="32"/>
          <w:szCs w:val="32"/>
        </w:rPr>
        <w:t>向甲方提供的货物及工程安装服务，经甲乙双方协商一致，签订本合同，共同遵守如下条款：</w:t>
      </w:r>
    </w:p>
    <w:p>
      <w:pPr>
        <w:rPr>
          <w:rFonts w:ascii="仿宋_GB2312" w:eastAsia="仿宋_GB2312"/>
        </w:rPr>
      </w:pPr>
    </w:p>
    <w:p>
      <w:pPr>
        <w:adjustRightInd w:val="0"/>
        <w:snapToGrid w:val="0"/>
        <w:spacing w:line="500" w:lineRule="exact"/>
        <w:ind w:firstLine="602" w:firstLineChars="200"/>
        <w:rPr>
          <w:rFonts w:eastAsia="仿宋_GB2312"/>
          <w:b/>
          <w:color w:val="000000"/>
          <w:sz w:val="30"/>
          <w:szCs w:val="30"/>
        </w:rPr>
      </w:pPr>
      <w:r>
        <w:rPr>
          <w:rFonts w:eastAsia="仿宋_GB2312"/>
          <w:b/>
          <w:color w:val="000000"/>
          <w:sz w:val="30"/>
          <w:szCs w:val="30"/>
        </w:rPr>
        <w:t>一、合同标的</w:t>
      </w:r>
    </w:p>
    <w:p>
      <w:pPr>
        <w:adjustRightInd w:val="0"/>
        <w:snapToGrid w:val="0"/>
        <w:spacing w:line="500" w:lineRule="exact"/>
        <w:ind w:firstLine="600" w:firstLineChars="200"/>
        <w:rPr>
          <w:rFonts w:eastAsia="仿宋_GB2312"/>
          <w:color w:val="000000"/>
          <w:sz w:val="30"/>
          <w:szCs w:val="30"/>
        </w:rPr>
      </w:pPr>
      <w:r>
        <w:rPr>
          <w:rFonts w:eastAsia="仿宋_GB2312"/>
          <w:color w:val="000000"/>
          <w:sz w:val="30"/>
          <w:szCs w:val="30"/>
        </w:rPr>
        <w:t>1．本合同标的（包括设备供货及服务）。</w:t>
      </w:r>
    </w:p>
    <w:tbl>
      <w:tblPr>
        <w:tblStyle w:val="39"/>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98"/>
        <w:gridCol w:w="1701"/>
        <w:gridCol w:w="1559"/>
        <w:gridCol w:w="1560"/>
        <w:gridCol w:w="127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序号</w:t>
            </w:r>
          </w:p>
        </w:tc>
        <w:tc>
          <w:tcPr>
            <w:tcW w:w="2298"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1701" w:type="dxa"/>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规格型号</w:t>
            </w:r>
          </w:p>
        </w:tc>
        <w:tc>
          <w:tcPr>
            <w:tcW w:w="1559"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单位</w:t>
            </w:r>
          </w:p>
        </w:tc>
        <w:tc>
          <w:tcPr>
            <w:tcW w:w="1560"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数量</w:t>
            </w:r>
          </w:p>
        </w:tc>
        <w:tc>
          <w:tcPr>
            <w:tcW w:w="1275"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金额</w:t>
            </w:r>
          </w:p>
        </w:tc>
        <w:tc>
          <w:tcPr>
            <w:tcW w:w="1418" w:type="dxa"/>
            <w:vAlign w:val="center"/>
          </w:tcPr>
          <w:p>
            <w:pPr>
              <w:adjustRightInd w:val="0"/>
              <w:snapToGrid w:val="0"/>
              <w:spacing w:line="34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w:t>
            </w:r>
          </w:p>
        </w:tc>
        <w:tc>
          <w:tcPr>
            <w:tcW w:w="2298" w:type="dxa"/>
            <w:vAlign w:val="center"/>
          </w:tcPr>
          <w:p>
            <w:pPr>
              <w:adjustRightInd w:val="0"/>
              <w:snapToGrid w:val="0"/>
              <w:spacing w:line="340" w:lineRule="exact"/>
              <w:jc w:val="center"/>
              <w:rPr>
                <w:rFonts w:ascii="仿宋_GB2312" w:eastAsia="仿宋_GB2312"/>
                <w:color w:val="FF0000"/>
                <w:sz w:val="28"/>
                <w:szCs w:val="28"/>
              </w:rPr>
            </w:pPr>
            <w:r>
              <w:rPr>
                <w:rFonts w:hint="eastAsia" w:ascii="仿宋_GB2312" w:eastAsia="仿宋_GB2312"/>
                <w:spacing w:val="20"/>
                <w:sz w:val="28"/>
                <w:szCs w:val="28"/>
              </w:rPr>
              <w:t>2023年梁河糖业勐养工厂制炼车间P25TK-1离心机大修项目</w:t>
            </w:r>
          </w:p>
        </w:tc>
        <w:tc>
          <w:tcPr>
            <w:tcW w:w="1701" w:type="dxa"/>
          </w:tcPr>
          <w:p>
            <w:pPr>
              <w:adjustRightInd w:val="0"/>
              <w:snapToGrid w:val="0"/>
              <w:spacing w:line="340" w:lineRule="exact"/>
              <w:jc w:val="center"/>
              <w:rPr>
                <w:rFonts w:ascii="仿宋_GB2312" w:eastAsia="仿宋_GB2312"/>
                <w:sz w:val="28"/>
                <w:szCs w:val="28"/>
              </w:rPr>
            </w:pPr>
          </w:p>
        </w:tc>
        <w:tc>
          <w:tcPr>
            <w:tcW w:w="1559" w:type="dxa"/>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项</w:t>
            </w:r>
          </w:p>
        </w:tc>
        <w:tc>
          <w:tcPr>
            <w:tcW w:w="1560" w:type="dxa"/>
            <w:vAlign w:val="center"/>
          </w:tcPr>
          <w:p>
            <w:pPr>
              <w:adjustRightInd w:val="0"/>
              <w:snapToGrid w:val="0"/>
              <w:spacing w:line="340" w:lineRule="exact"/>
              <w:jc w:val="center"/>
              <w:rPr>
                <w:rFonts w:ascii="仿宋_GB2312" w:eastAsia="仿宋_GB2312"/>
                <w:sz w:val="28"/>
                <w:szCs w:val="28"/>
              </w:rPr>
            </w:pPr>
            <w:r>
              <w:rPr>
                <w:rFonts w:hint="eastAsia" w:ascii="仿宋_GB2312" w:eastAsia="仿宋_GB2312"/>
                <w:sz w:val="28"/>
                <w:szCs w:val="28"/>
              </w:rPr>
              <w:t>1</w:t>
            </w:r>
          </w:p>
        </w:tc>
        <w:tc>
          <w:tcPr>
            <w:tcW w:w="1275" w:type="dxa"/>
            <w:vAlign w:val="center"/>
          </w:tcPr>
          <w:p>
            <w:pPr>
              <w:adjustRightInd w:val="0"/>
              <w:snapToGrid w:val="0"/>
              <w:spacing w:line="340" w:lineRule="exact"/>
              <w:jc w:val="center"/>
              <w:rPr>
                <w:rFonts w:ascii="仿宋_GB2312" w:eastAsia="仿宋_GB2312"/>
                <w:color w:val="FF0000"/>
                <w:sz w:val="28"/>
                <w:szCs w:val="28"/>
              </w:rPr>
            </w:pPr>
          </w:p>
        </w:tc>
        <w:tc>
          <w:tcPr>
            <w:tcW w:w="1418" w:type="dxa"/>
            <w:vAlign w:val="center"/>
          </w:tcPr>
          <w:p>
            <w:pPr>
              <w:adjustRightInd w:val="0"/>
              <w:snapToGrid w:val="0"/>
              <w:spacing w:line="340" w:lineRule="exact"/>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pPr>
              <w:adjustRightInd w:val="0"/>
              <w:snapToGrid w:val="0"/>
              <w:spacing w:line="340" w:lineRule="exact"/>
              <w:jc w:val="center"/>
              <w:rPr>
                <w:rFonts w:ascii="仿宋_GB2312" w:eastAsia="仿宋_GB2312"/>
                <w:sz w:val="28"/>
                <w:szCs w:val="28"/>
              </w:rPr>
            </w:pPr>
          </w:p>
        </w:tc>
        <w:tc>
          <w:tcPr>
            <w:tcW w:w="2298" w:type="dxa"/>
            <w:vAlign w:val="center"/>
          </w:tcPr>
          <w:p>
            <w:pPr>
              <w:adjustRightInd w:val="0"/>
              <w:snapToGrid w:val="0"/>
              <w:spacing w:line="340" w:lineRule="exact"/>
              <w:jc w:val="center"/>
              <w:rPr>
                <w:rFonts w:ascii="仿宋_GB2312" w:eastAsia="仿宋_GB2312"/>
                <w:color w:val="FF0000"/>
                <w:sz w:val="28"/>
                <w:szCs w:val="28"/>
              </w:rPr>
            </w:pPr>
          </w:p>
          <w:p>
            <w:pPr>
              <w:adjustRightInd w:val="0"/>
              <w:snapToGrid w:val="0"/>
              <w:spacing w:line="340" w:lineRule="exact"/>
              <w:jc w:val="center"/>
              <w:rPr>
                <w:rFonts w:ascii="仿宋_GB2312" w:eastAsia="仿宋_GB2312"/>
                <w:color w:val="FF0000"/>
                <w:sz w:val="28"/>
                <w:szCs w:val="28"/>
              </w:rPr>
            </w:pPr>
          </w:p>
        </w:tc>
        <w:tc>
          <w:tcPr>
            <w:tcW w:w="1701" w:type="dxa"/>
          </w:tcPr>
          <w:p>
            <w:pPr>
              <w:adjustRightInd w:val="0"/>
              <w:snapToGrid w:val="0"/>
              <w:spacing w:line="340" w:lineRule="exact"/>
              <w:jc w:val="center"/>
              <w:rPr>
                <w:rFonts w:ascii="仿宋_GB2312" w:eastAsia="仿宋_GB2312"/>
                <w:sz w:val="28"/>
                <w:szCs w:val="28"/>
              </w:rPr>
            </w:pPr>
          </w:p>
        </w:tc>
        <w:tc>
          <w:tcPr>
            <w:tcW w:w="1559" w:type="dxa"/>
            <w:vAlign w:val="center"/>
          </w:tcPr>
          <w:p>
            <w:pPr>
              <w:adjustRightInd w:val="0"/>
              <w:snapToGrid w:val="0"/>
              <w:spacing w:line="340" w:lineRule="exact"/>
              <w:jc w:val="center"/>
              <w:rPr>
                <w:rFonts w:ascii="仿宋_GB2312" w:eastAsia="仿宋_GB2312"/>
                <w:sz w:val="28"/>
                <w:szCs w:val="28"/>
              </w:rPr>
            </w:pPr>
          </w:p>
        </w:tc>
        <w:tc>
          <w:tcPr>
            <w:tcW w:w="1560" w:type="dxa"/>
            <w:vAlign w:val="center"/>
          </w:tcPr>
          <w:p>
            <w:pPr>
              <w:adjustRightInd w:val="0"/>
              <w:snapToGrid w:val="0"/>
              <w:spacing w:line="340" w:lineRule="exact"/>
              <w:jc w:val="center"/>
              <w:rPr>
                <w:rFonts w:ascii="仿宋_GB2312" w:eastAsia="仿宋_GB2312"/>
                <w:sz w:val="28"/>
                <w:szCs w:val="28"/>
              </w:rPr>
            </w:pPr>
          </w:p>
        </w:tc>
        <w:tc>
          <w:tcPr>
            <w:tcW w:w="1275" w:type="dxa"/>
            <w:vAlign w:val="center"/>
          </w:tcPr>
          <w:p>
            <w:pPr>
              <w:adjustRightInd w:val="0"/>
              <w:snapToGrid w:val="0"/>
              <w:spacing w:line="340" w:lineRule="exact"/>
              <w:jc w:val="center"/>
              <w:rPr>
                <w:rFonts w:ascii="仿宋_GB2312" w:eastAsia="仿宋_GB2312"/>
                <w:color w:val="FF0000"/>
                <w:sz w:val="28"/>
                <w:szCs w:val="28"/>
              </w:rPr>
            </w:pPr>
          </w:p>
        </w:tc>
        <w:tc>
          <w:tcPr>
            <w:tcW w:w="1418" w:type="dxa"/>
            <w:vAlign w:val="center"/>
          </w:tcPr>
          <w:p>
            <w:pPr>
              <w:adjustRightInd w:val="0"/>
              <w:snapToGrid w:val="0"/>
              <w:spacing w:line="340" w:lineRule="exact"/>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30" w:type="dxa"/>
            <w:gridSpan w:val="2"/>
            <w:vAlign w:val="center"/>
          </w:tcPr>
          <w:p>
            <w:pPr>
              <w:adjustRightInd w:val="0"/>
              <w:snapToGrid w:val="0"/>
              <w:spacing w:line="34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合计</w:t>
            </w:r>
          </w:p>
        </w:tc>
        <w:tc>
          <w:tcPr>
            <w:tcW w:w="1701" w:type="dxa"/>
          </w:tcPr>
          <w:p>
            <w:pPr>
              <w:adjustRightInd w:val="0"/>
              <w:snapToGrid w:val="0"/>
              <w:spacing w:line="340" w:lineRule="exact"/>
              <w:jc w:val="center"/>
              <w:rPr>
                <w:rFonts w:ascii="仿宋_GB2312" w:hAnsi="仿宋_GB2312" w:eastAsia="仿宋_GB2312" w:cs="仿宋_GB2312"/>
                <w:color w:val="000000"/>
                <w:sz w:val="28"/>
                <w:szCs w:val="28"/>
              </w:rPr>
            </w:pPr>
          </w:p>
        </w:tc>
        <w:tc>
          <w:tcPr>
            <w:tcW w:w="1559" w:type="dxa"/>
            <w:vAlign w:val="center"/>
          </w:tcPr>
          <w:p>
            <w:pPr>
              <w:adjustRightInd w:val="0"/>
              <w:snapToGrid w:val="0"/>
              <w:spacing w:line="340" w:lineRule="exact"/>
              <w:jc w:val="center"/>
              <w:rPr>
                <w:rFonts w:ascii="仿宋_GB2312" w:hAnsi="仿宋_GB2312" w:eastAsia="仿宋_GB2312" w:cs="仿宋_GB2312"/>
                <w:color w:val="000000"/>
                <w:sz w:val="28"/>
                <w:szCs w:val="28"/>
              </w:rPr>
            </w:pPr>
          </w:p>
        </w:tc>
        <w:tc>
          <w:tcPr>
            <w:tcW w:w="1560" w:type="dxa"/>
            <w:vAlign w:val="center"/>
          </w:tcPr>
          <w:p>
            <w:pPr>
              <w:adjustRightInd w:val="0"/>
              <w:snapToGrid w:val="0"/>
              <w:spacing w:line="340" w:lineRule="exact"/>
              <w:jc w:val="center"/>
              <w:rPr>
                <w:rFonts w:ascii="仿宋_GB2312" w:hAnsi="仿宋_GB2312" w:eastAsia="仿宋_GB2312" w:cs="仿宋_GB2312"/>
                <w:color w:val="000000"/>
                <w:sz w:val="28"/>
                <w:szCs w:val="28"/>
              </w:rPr>
            </w:pPr>
          </w:p>
        </w:tc>
        <w:tc>
          <w:tcPr>
            <w:tcW w:w="1275" w:type="dxa"/>
            <w:vAlign w:val="center"/>
          </w:tcPr>
          <w:p>
            <w:pPr>
              <w:adjustRightInd w:val="0"/>
              <w:snapToGrid w:val="0"/>
              <w:spacing w:line="340" w:lineRule="exact"/>
              <w:jc w:val="center"/>
              <w:rPr>
                <w:rFonts w:ascii="仿宋_GB2312" w:hAnsi="仿宋_GB2312" w:eastAsia="仿宋_GB2312" w:cs="仿宋_GB2312"/>
                <w:color w:val="000000"/>
                <w:sz w:val="28"/>
                <w:szCs w:val="28"/>
              </w:rPr>
            </w:pPr>
          </w:p>
        </w:tc>
        <w:tc>
          <w:tcPr>
            <w:tcW w:w="1418" w:type="dxa"/>
            <w:vAlign w:val="center"/>
          </w:tcPr>
          <w:p>
            <w:pPr>
              <w:adjustRightInd w:val="0"/>
              <w:snapToGrid w:val="0"/>
              <w:spacing w:line="340" w:lineRule="exact"/>
              <w:jc w:val="center"/>
              <w:rPr>
                <w:rFonts w:ascii="仿宋_GB2312"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343" w:type="dxa"/>
            <w:gridSpan w:val="7"/>
          </w:tcPr>
          <w:p>
            <w:pPr>
              <w:adjustRightInd w:val="0"/>
              <w:snapToGrid w:val="0"/>
              <w:spacing w:line="340" w:lineRule="exact"/>
              <w:rPr>
                <w:rFonts w:ascii="仿宋_GB2312" w:eastAsia="仿宋_GB2312"/>
                <w:color w:val="FF0000"/>
                <w:sz w:val="28"/>
                <w:szCs w:val="28"/>
              </w:rPr>
            </w:pPr>
            <w:r>
              <w:rPr>
                <w:rFonts w:hint="eastAsia" w:ascii="仿宋_GB2312" w:eastAsia="仿宋_GB2312"/>
                <w:color w:val="000000"/>
                <w:sz w:val="28"/>
                <w:szCs w:val="28"/>
              </w:rPr>
              <w:t>总金额（含税）大写: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3" w:type="dxa"/>
            <w:gridSpan w:val="7"/>
          </w:tcPr>
          <w:p>
            <w:pPr>
              <w:rPr>
                <w:rFonts w:ascii="仿宋_GB2312" w:eastAsia="仿宋_GB2312"/>
                <w:color w:val="000000"/>
                <w:sz w:val="28"/>
                <w:szCs w:val="28"/>
                <w:u w:val="single"/>
              </w:rPr>
            </w:pPr>
            <w:r>
              <w:rPr>
                <w:rFonts w:hint="eastAsia" w:ascii="仿宋_GB2312" w:eastAsia="仿宋_GB2312"/>
                <w:color w:val="000000"/>
                <w:sz w:val="28"/>
                <w:szCs w:val="28"/>
              </w:rPr>
              <w:t>1、不含税金额</w:t>
            </w:r>
            <w:r>
              <w:rPr>
                <w:rFonts w:hint="eastAsia" w:ascii="仿宋_GB2312" w:eastAsia="仿宋_GB2312"/>
                <w:color w:val="000000"/>
                <w:sz w:val="28"/>
                <w:szCs w:val="28"/>
                <w:u w:val="single"/>
              </w:rPr>
              <w:t xml:space="preserve">   元，税额    元（  %增值税专用发票）。</w:t>
            </w:r>
          </w:p>
          <w:p>
            <w:pPr>
              <w:rPr>
                <w:rFonts w:ascii="仿宋_GB2312" w:eastAsia="仿宋_GB2312"/>
                <w:color w:val="000000"/>
                <w:sz w:val="28"/>
                <w:szCs w:val="28"/>
              </w:rPr>
            </w:pPr>
            <w:r>
              <w:rPr>
                <w:rFonts w:hint="eastAsia" w:ascii="仿宋_GB2312" w:eastAsia="仿宋_GB2312"/>
                <w:color w:val="000000"/>
                <w:sz w:val="28"/>
                <w:szCs w:val="28"/>
              </w:rPr>
              <w:t>2、费用已包含招标文件中要求的所有货物、设备或工程内容、运输、卸车、安装检测、试运行、验收、服务等一切费用，甲方除本合同总金额外无需支付任何费用。</w:t>
            </w:r>
          </w:p>
          <w:p>
            <w:pPr>
              <w:adjustRightInd w:val="0"/>
              <w:snapToGrid w:val="0"/>
              <w:spacing w:line="480" w:lineRule="exact"/>
              <w:rPr>
                <w:rFonts w:ascii="仿宋_GB2312" w:eastAsia="仿宋_GB2312"/>
                <w:sz w:val="28"/>
                <w:szCs w:val="28"/>
              </w:rPr>
            </w:pPr>
            <w:r>
              <w:rPr>
                <w:rFonts w:hint="eastAsia" w:ascii="仿宋_GB2312" w:eastAsia="仿宋_GB2312"/>
                <w:color w:val="FF0000"/>
                <w:sz w:val="28"/>
                <w:szCs w:val="28"/>
              </w:rPr>
              <w:t>3、</w:t>
            </w:r>
            <w:r>
              <w:rPr>
                <w:rFonts w:hint="eastAsia" w:ascii="仿宋_GB2312" w:eastAsia="仿宋_GB2312"/>
                <w:color w:val="000000"/>
                <w:sz w:val="28"/>
                <w:szCs w:val="28"/>
              </w:rPr>
              <w:t>货物或工程名称、型号、规格数量：详见</w:t>
            </w:r>
            <w:r>
              <w:rPr>
                <w:rFonts w:hint="eastAsia" w:ascii="仿宋_GB2312" w:eastAsia="仿宋_GB2312"/>
                <w:sz w:val="28"/>
                <w:szCs w:val="28"/>
              </w:rPr>
              <w:t>合同附件1《技术协议》。</w:t>
            </w:r>
          </w:p>
        </w:tc>
      </w:tr>
    </w:tbl>
    <w:p>
      <w:pPr>
        <w:adjustRightInd w:val="0"/>
        <w:snapToGrid w:val="0"/>
        <w:spacing w:line="480" w:lineRule="exact"/>
        <w:ind w:firstLine="600" w:firstLineChars="200"/>
        <w:rPr>
          <w:rFonts w:eastAsia="仿宋_GB2312"/>
          <w:color w:val="000000"/>
          <w:sz w:val="30"/>
          <w:szCs w:val="30"/>
        </w:rPr>
      </w:pPr>
    </w:p>
    <w:p>
      <w:pPr>
        <w:adjustRightInd w:val="0"/>
        <w:snapToGrid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1.1乙方为甲方设计制造并提供系统所需的设备及材料或工程内容。乙方的所有供货及服务必须完全满足技术规格的要求，技术规格详见</w:t>
      </w:r>
      <w:r>
        <w:rPr>
          <w:rFonts w:hint="eastAsia" w:ascii="仿宋_GB2312" w:eastAsia="仿宋_GB2312"/>
          <w:color w:val="FF0000"/>
          <w:sz w:val="32"/>
          <w:szCs w:val="32"/>
        </w:rPr>
        <w:t>合同附件1《技术协议》</w:t>
      </w:r>
      <w:r>
        <w:rPr>
          <w:rFonts w:hint="eastAsia" w:ascii="仿宋_GB2312" w:eastAsia="仿宋_GB2312"/>
          <w:color w:val="000000"/>
          <w:sz w:val="32"/>
          <w:szCs w:val="32"/>
        </w:rPr>
        <w:t>；</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 乙方向甲方提供所供设备或工程包含以下服务：设计、供货、运输（含二次运输、吊卸）、装卸、安装调试、测试验收的服务、质量保证、售后服务以及伴随服务等，伴随服务</w:t>
      </w:r>
      <w:r>
        <w:rPr>
          <w:rFonts w:hint="eastAsia" w:ascii="仿宋_GB2312" w:hAnsi="仿宋_GB2312" w:eastAsia="仿宋_GB2312" w:cs="仿宋_GB2312"/>
          <w:color w:val="000000"/>
          <w:sz w:val="32"/>
          <w:szCs w:val="32"/>
        </w:rPr>
        <w:t>包括但不限于：</w:t>
      </w:r>
    </w:p>
    <w:p>
      <w:pPr>
        <w:spacing w:line="47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（1）实施或监督所供货物或工程的现场组装施工和试运行；</w:t>
      </w:r>
    </w:p>
    <w:p>
      <w:pPr>
        <w:spacing w:line="47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（2）提供货物或工程组装和维修所需的工具；</w:t>
      </w:r>
    </w:p>
    <w:p>
      <w:pPr>
        <w:spacing w:line="47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（3）为所供货物或工程的重要配件提供详细的技术资料，包括规格说明文件等；</w:t>
      </w:r>
    </w:p>
    <w:p>
      <w:pPr>
        <w:spacing w:line="47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（4）在双方商定的一定期限内对所供货物或工程实施运行或监督或维护或修理，但前提条件是该服务并不能免除乙方在合同保证期内所承担的义务；</w:t>
      </w:r>
    </w:p>
    <w:p>
      <w:pPr>
        <w:spacing w:line="480" w:lineRule="exact"/>
        <w:ind w:firstLine="640" w:firstLineChars="200"/>
        <w:rPr>
          <w:rFonts w:ascii="仿宋_GB2312" w:eastAsia="仿宋_GB2312"/>
          <w:color w:val="000000"/>
          <w:sz w:val="30"/>
          <w:szCs w:val="30"/>
        </w:rPr>
      </w:pPr>
      <w:r>
        <w:rPr>
          <w:rFonts w:hint="eastAsia" w:ascii="仿宋_GB2312" w:hAnsi="仿宋_GB2312" w:eastAsia="仿宋_GB2312" w:cs="仿宋_GB2312"/>
          <w:color w:val="000000"/>
          <w:sz w:val="32"/>
          <w:szCs w:val="32"/>
        </w:rPr>
        <w:t>（5）在甲方项目现场就所供货物的组装、试运行、运行、维护和修理。</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1.3乙方应对本合同项下其承担的全部工作实施有效管理，以确保</w:t>
      </w:r>
      <w:r>
        <w:rPr>
          <w:rFonts w:hint="eastAsia" w:eastAsia="仿宋_GB2312"/>
          <w:color w:val="000000"/>
          <w:sz w:val="30"/>
          <w:szCs w:val="30"/>
        </w:rPr>
        <w:t>工</w:t>
      </w:r>
      <w:r>
        <w:rPr>
          <w:rFonts w:eastAsia="仿宋_GB2312"/>
          <w:color w:val="000000"/>
          <w:sz w:val="30"/>
          <w:szCs w:val="30"/>
        </w:rPr>
        <w:t>作的进度符合合同附件的要求。</w:t>
      </w:r>
    </w:p>
    <w:p>
      <w:pPr>
        <w:adjustRightInd w:val="0"/>
        <w:snapToGrid w:val="0"/>
        <w:spacing w:line="480" w:lineRule="exact"/>
        <w:ind w:firstLine="600" w:firstLineChars="200"/>
        <w:rPr>
          <w:rFonts w:eastAsia="仿宋_GB2312"/>
          <w:sz w:val="30"/>
          <w:szCs w:val="30"/>
        </w:rPr>
      </w:pPr>
      <w:r>
        <w:rPr>
          <w:rFonts w:eastAsia="仿宋_GB2312"/>
          <w:sz w:val="30"/>
          <w:szCs w:val="30"/>
        </w:rPr>
        <w:t>2.</w:t>
      </w:r>
      <w:r>
        <w:rPr>
          <w:rFonts w:hint="eastAsia" w:eastAsia="仿宋_GB2312"/>
          <w:color w:val="000000"/>
          <w:sz w:val="30"/>
          <w:szCs w:val="30"/>
        </w:rPr>
        <w:t>为保证按时保质完工，本项目乙方施工队不少于</w:t>
      </w:r>
      <w:r>
        <w:rPr>
          <w:rFonts w:hint="eastAsia" w:ascii="微软雅黑" w:hAnsi="微软雅黑" w:eastAsia="微软雅黑" w:cs="微软雅黑"/>
          <w:color w:val="000000"/>
          <w:sz w:val="30"/>
          <w:szCs w:val="30"/>
        </w:rPr>
        <w:t>【3】</w:t>
      </w:r>
      <w:r>
        <w:rPr>
          <w:rFonts w:hint="eastAsia" w:eastAsia="仿宋_GB2312"/>
          <w:color w:val="000000"/>
          <w:sz w:val="30"/>
          <w:szCs w:val="30"/>
        </w:rPr>
        <w:t>人/天。</w:t>
      </w:r>
    </w:p>
    <w:p>
      <w:pPr>
        <w:adjustRightInd w:val="0"/>
        <w:snapToGrid w:val="0"/>
        <w:spacing w:line="500" w:lineRule="exact"/>
        <w:ind w:firstLine="600" w:firstLineChars="200"/>
        <w:rPr>
          <w:rFonts w:eastAsia="仿宋_GB2312"/>
          <w:color w:val="000000"/>
          <w:sz w:val="30"/>
          <w:szCs w:val="30"/>
        </w:rPr>
      </w:pPr>
      <w:r>
        <w:rPr>
          <w:rFonts w:eastAsia="仿宋_GB2312"/>
          <w:color w:val="000000"/>
          <w:sz w:val="30"/>
          <w:szCs w:val="30"/>
        </w:rPr>
        <w:t>3.具体的供货范围、技术规格详见合同附件。</w:t>
      </w:r>
    </w:p>
    <w:p>
      <w:pPr>
        <w:adjustRightInd w:val="0"/>
        <w:snapToGrid w:val="0"/>
        <w:spacing w:line="480" w:lineRule="exact"/>
        <w:ind w:firstLine="602" w:firstLineChars="200"/>
        <w:rPr>
          <w:rFonts w:eastAsia="仿宋_GB2312"/>
          <w:b/>
          <w:color w:val="000000"/>
          <w:sz w:val="30"/>
          <w:szCs w:val="30"/>
        </w:rPr>
      </w:pPr>
      <w:r>
        <w:rPr>
          <w:rFonts w:eastAsia="仿宋_GB2312"/>
          <w:b/>
          <w:color w:val="000000"/>
          <w:sz w:val="30"/>
          <w:szCs w:val="30"/>
        </w:rPr>
        <w:t>二、付款</w:t>
      </w:r>
    </w:p>
    <w:p>
      <w:pPr>
        <w:spacing w:line="480" w:lineRule="exact"/>
        <w:ind w:firstLine="594" w:firstLineChars="198"/>
        <w:rPr>
          <w:rFonts w:ascii="仿宋_GB2312" w:eastAsia="仿宋_GB2312"/>
          <w:color w:val="000000"/>
          <w:sz w:val="30"/>
          <w:szCs w:val="30"/>
        </w:rPr>
      </w:pPr>
      <w:r>
        <w:rPr>
          <w:rFonts w:hint="eastAsia" w:ascii="仿宋_GB2312" w:eastAsia="仿宋_GB2312"/>
          <w:color w:val="000000"/>
          <w:sz w:val="30"/>
          <w:szCs w:val="30"/>
        </w:rPr>
        <w:t>2.1、本合同使用货币种类为：人民币。</w:t>
      </w:r>
    </w:p>
    <w:p>
      <w:pPr>
        <w:spacing w:line="480" w:lineRule="exact"/>
        <w:ind w:firstLine="594" w:firstLineChars="198"/>
        <w:rPr>
          <w:rFonts w:ascii="仿宋_GB2312" w:eastAsia="仿宋_GB2312"/>
          <w:color w:val="000000"/>
          <w:sz w:val="30"/>
          <w:szCs w:val="30"/>
        </w:rPr>
      </w:pPr>
      <w:r>
        <w:rPr>
          <w:rFonts w:hint="eastAsia" w:ascii="仿宋_GB2312" w:eastAsia="仿宋_GB2312"/>
          <w:color w:val="000000"/>
          <w:sz w:val="30"/>
          <w:szCs w:val="30"/>
        </w:rPr>
        <w:t>2.2、付款方式：</w:t>
      </w:r>
      <w:r>
        <w:rPr>
          <w:rFonts w:hint="eastAsia" w:ascii="仿宋_GB2312" w:eastAsia="仿宋_GB2312"/>
          <w:color w:val="000000"/>
          <w:sz w:val="30"/>
          <w:szCs w:val="30"/>
          <w:u w:val="single"/>
        </w:rPr>
        <w:t xml:space="preserve">    银行电汇                         </w:t>
      </w:r>
    </w:p>
    <w:p>
      <w:pPr>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2.3合同款项的支付：</w:t>
      </w:r>
    </w:p>
    <w:p>
      <w:pPr>
        <w:adjustRightInd w:val="0"/>
        <w:snapToGrid w:val="0"/>
        <w:spacing w:line="440" w:lineRule="exact"/>
        <w:ind w:firstLine="600" w:firstLineChars="200"/>
        <w:rPr>
          <w:rFonts w:ascii="仿宋_GB2312" w:eastAsia="仿宋_GB2312"/>
          <w:bCs/>
          <w:sz w:val="30"/>
          <w:szCs w:val="30"/>
        </w:rPr>
      </w:pPr>
      <w:r>
        <w:rPr>
          <w:rFonts w:hint="eastAsia" w:ascii="仿宋_GB2312" w:eastAsia="仿宋_GB2312"/>
          <w:bCs/>
          <w:color w:val="000000" w:themeColor="text1"/>
          <w:sz w:val="30"/>
          <w:szCs w:val="30"/>
          <w14:textFill>
            <w14:solidFill>
              <w14:schemeClr w14:val="tx1"/>
            </w14:solidFill>
          </w14:textFill>
        </w:rPr>
        <w:t>2.3.1合同总额（预计）：（人民币大写）XXXX（￥XXXX元）,开具税率为   %增值税专用发票。</w:t>
      </w:r>
    </w:p>
    <w:p>
      <w:pPr>
        <w:spacing w:line="560" w:lineRule="exact"/>
        <w:ind w:firstLine="600" w:firstLineChars="200"/>
        <w:rPr>
          <w:rStyle w:val="71"/>
          <w:rFonts w:ascii="仿宋_GB2312" w:hAnsi="宋体" w:eastAsia="仿宋_GB2312"/>
          <w:bCs/>
          <w:sz w:val="30"/>
          <w:szCs w:val="30"/>
        </w:rPr>
      </w:pPr>
      <w:r>
        <w:rPr>
          <w:rStyle w:val="71"/>
          <w:rFonts w:hint="eastAsia" w:ascii="仿宋_GB2312" w:hAnsi="宋体" w:eastAsia="仿宋_GB2312"/>
          <w:bCs/>
          <w:sz w:val="30"/>
          <w:szCs w:val="30"/>
        </w:rPr>
        <w:t>3合同款项的支付</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Style w:val="71"/>
          <w:rFonts w:hint="eastAsia" w:ascii="仿宋_GB2312" w:hAnsi="宋体" w:eastAsia="仿宋_GB2312"/>
          <w:bCs/>
          <w:sz w:val="30"/>
          <w:szCs w:val="30"/>
        </w:rPr>
        <w:t xml:space="preserve">3.3.1 </w:t>
      </w:r>
      <w:r>
        <w:rPr>
          <w:rFonts w:hint="eastAsia" w:ascii="仿宋_GB2312" w:eastAsia="仿宋_GB2312"/>
          <w:color w:val="000000" w:themeColor="text1"/>
          <w:sz w:val="30"/>
          <w:szCs w:val="30"/>
          <w14:textFill>
            <w14:solidFill>
              <w14:schemeClr w14:val="tx1"/>
            </w14:solidFill>
          </w14:textFill>
        </w:rPr>
        <w:t>乙方</w:t>
      </w:r>
      <w:r>
        <w:rPr>
          <w:rFonts w:hint="eastAsia" w:ascii="仿宋_GB2312" w:eastAsia="仿宋_GB2312"/>
          <w:bCs/>
          <w:color w:val="000000" w:themeColor="text1"/>
          <w:sz w:val="30"/>
          <w:szCs w:val="30"/>
          <w14:textFill>
            <w14:solidFill>
              <w14:schemeClr w14:val="tx1"/>
            </w14:solidFill>
          </w14:textFill>
        </w:rPr>
        <w:t>设备材料进场，经甲方验收合格后，甲方向乙方支付合同总额的</w:t>
      </w:r>
      <w:r>
        <w:rPr>
          <w:rFonts w:hint="eastAsia" w:ascii="仿宋_GB2312" w:hAnsi="微软雅黑" w:eastAsia="仿宋_GB2312" w:cs="微软雅黑"/>
          <w:bCs/>
          <w:color w:val="000000" w:themeColor="text1"/>
          <w:sz w:val="30"/>
          <w:szCs w:val="30"/>
          <w14:textFill>
            <w14:solidFill>
              <w14:schemeClr w14:val="tx1"/>
            </w14:solidFill>
          </w14:textFill>
        </w:rPr>
        <w:t>【</w:t>
      </w:r>
      <w:r>
        <w:rPr>
          <w:rFonts w:hint="eastAsia" w:ascii="仿宋_GB2312" w:eastAsia="仿宋_GB2312"/>
          <w:bCs/>
          <w:color w:val="000000" w:themeColor="text1"/>
          <w:sz w:val="30"/>
          <w:szCs w:val="30"/>
          <w14:textFill>
            <w14:solidFill>
              <w14:schemeClr w14:val="tx1"/>
            </w14:solidFill>
          </w14:textFill>
        </w:rPr>
        <w:t>30</w:t>
      </w:r>
      <w:r>
        <w:rPr>
          <w:rFonts w:hint="eastAsia" w:ascii="仿宋_GB2312" w:hAnsi="微软雅黑" w:eastAsia="仿宋_GB2312" w:cs="微软雅黑"/>
          <w:bCs/>
          <w:color w:val="000000" w:themeColor="text1"/>
          <w:sz w:val="30"/>
          <w:szCs w:val="30"/>
          <w14:textFill>
            <w14:solidFill>
              <w14:schemeClr w14:val="tx1"/>
            </w14:solidFill>
          </w14:textFill>
        </w:rPr>
        <w:t>】</w:t>
      </w:r>
      <w:r>
        <w:rPr>
          <w:rFonts w:hint="eastAsia" w:ascii="仿宋_GB2312" w:eastAsia="仿宋_GB2312"/>
          <w:bCs/>
          <w:color w:val="000000" w:themeColor="text1"/>
          <w:sz w:val="30"/>
          <w:szCs w:val="30"/>
          <w14:textFill>
            <w14:solidFill>
              <w14:schemeClr w14:val="tx1"/>
            </w14:solidFill>
          </w14:textFill>
        </w:rPr>
        <w:t>%，金额：（人民币大写）XXXX元整（￥XXXX元）。</w:t>
      </w:r>
    </w:p>
    <w:p>
      <w:pPr>
        <w:spacing w:line="560" w:lineRule="exact"/>
        <w:ind w:firstLine="600" w:firstLineChars="200"/>
        <w:rPr>
          <w:rFonts w:ascii="仿宋_GB2312" w:eastAsia="仿宋_GB2312"/>
          <w:bCs/>
          <w:color w:val="000000" w:themeColor="text1"/>
          <w:kern w:val="0"/>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3.3.2</w:t>
      </w:r>
      <w:r>
        <w:rPr>
          <w:rFonts w:hint="eastAsia" w:ascii="仿宋_GB2312" w:eastAsia="仿宋_GB2312"/>
          <w:bCs/>
          <w:color w:val="000000" w:themeColor="text1"/>
          <w:sz w:val="30"/>
          <w:szCs w:val="30"/>
          <w14:textFill>
            <w14:solidFill>
              <w14:schemeClr w14:val="tx1"/>
            </w14:solidFill>
          </w14:textFill>
        </w:rPr>
        <w:t>设备安装调试完毕，竣工验收合格，设备经2023/2024榨季正常使用一个月后，无质量问题，甲方凭乙方开具全额X%的增值税专用发票，甲方向乙方支付合同总额的</w:t>
      </w:r>
      <w:r>
        <w:rPr>
          <w:rFonts w:hint="eastAsia" w:ascii="仿宋_GB2312" w:hAnsi="微软雅黑" w:eastAsia="仿宋_GB2312" w:cs="微软雅黑"/>
          <w:bCs/>
          <w:color w:val="000000" w:themeColor="text1"/>
          <w:sz w:val="30"/>
          <w:szCs w:val="30"/>
          <w14:textFill>
            <w14:solidFill>
              <w14:schemeClr w14:val="tx1"/>
            </w14:solidFill>
          </w14:textFill>
        </w:rPr>
        <w:t>【</w:t>
      </w:r>
      <w:r>
        <w:rPr>
          <w:rFonts w:hint="eastAsia" w:ascii="仿宋_GB2312" w:eastAsia="仿宋_GB2312"/>
          <w:bCs/>
          <w:color w:val="000000" w:themeColor="text1"/>
          <w:sz w:val="30"/>
          <w:szCs w:val="30"/>
          <w14:textFill>
            <w14:solidFill>
              <w14:schemeClr w14:val="tx1"/>
            </w14:solidFill>
          </w14:textFill>
        </w:rPr>
        <w:t>30%</w:t>
      </w:r>
      <w:r>
        <w:rPr>
          <w:rFonts w:hint="eastAsia" w:ascii="仿宋_GB2312" w:hAnsi="微软雅黑" w:eastAsia="仿宋_GB2312" w:cs="微软雅黑"/>
          <w:bCs/>
          <w:color w:val="000000" w:themeColor="text1"/>
          <w:sz w:val="30"/>
          <w:szCs w:val="30"/>
          <w14:textFill>
            <w14:solidFill>
              <w14:schemeClr w14:val="tx1"/>
            </w14:solidFill>
          </w14:textFill>
        </w:rPr>
        <w:t>】</w:t>
      </w:r>
      <w:r>
        <w:rPr>
          <w:rFonts w:hint="eastAsia" w:ascii="仿宋_GB2312" w:eastAsia="仿宋_GB2312"/>
          <w:bCs/>
          <w:color w:val="000000" w:themeColor="text1"/>
          <w:sz w:val="30"/>
          <w:szCs w:val="30"/>
          <w14:textFill>
            <w14:solidFill>
              <w14:schemeClr w14:val="tx1"/>
            </w14:solidFill>
          </w14:textFill>
        </w:rPr>
        <w:t>金额：（人民币大写）XXXX元整（￥XXXX元）。</w:t>
      </w:r>
    </w:p>
    <w:p>
      <w:pPr>
        <w:spacing w:line="560" w:lineRule="exact"/>
        <w:ind w:firstLine="600" w:firstLineChars="2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3.3.3 设备使用至</w:t>
      </w:r>
      <w:r>
        <w:rPr>
          <w:rFonts w:hint="eastAsia" w:ascii="仿宋_GB2312" w:eastAsia="仿宋_GB2312"/>
          <w:bCs/>
          <w:color w:val="000000" w:themeColor="text1"/>
          <w:sz w:val="30"/>
          <w:szCs w:val="30"/>
          <w14:textFill>
            <w14:solidFill>
              <w14:schemeClr w14:val="tx1"/>
            </w14:solidFill>
          </w14:textFill>
        </w:rPr>
        <w:t>2023/2024榨季结束， 无质量问题验收合格,甲方向乙方支付合同总额的</w:t>
      </w:r>
      <w:r>
        <w:rPr>
          <w:rFonts w:hint="eastAsia" w:ascii="仿宋_GB2312" w:hAnsi="微软雅黑" w:eastAsia="仿宋_GB2312" w:cs="微软雅黑"/>
          <w:bCs/>
          <w:color w:val="000000" w:themeColor="text1"/>
          <w:sz w:val="30"/>
          <w:szCs w:val="30"/>
          <w14:textFill>
            <w14:solidFill>
              <w14:schemeClr w14:val="tx1"/>
            </w14:solidFill>
          </w14:textFill>
        </w:rPr>
        <w:t>【30】</w:t>
      </w:r>
      <w:r>
        <w:rPr>
          <w:rFonts w:hint="eastAsia" w:ascii="仿宋_GB2312" w:eastAsia="仿宋_GB2312"/>
          <w:bCs/>
          <w:color w:val="000000" w:themeColor="text1"/>
          <w:sz w:val="30"/>
          <w:szCs w:val="30"/>
          <w14:textFill>
            <w14:solidFill>
              <w14:schemeClr w14:val="tx1"/>
            </w14:solidFill>
          </w14:textFill>
        </w:rPr>
        <w:t>%。金额：（人民币大写）XXXX元整（￥XXXX元）</w:t>
      </w:r>
    </w:p>
    <w:p>
      <w:pPr>
        <w:spacing w:line="560" w:lineRule="exact"/>
        <w:ind w:firstLine="600" w:firstLineChars="2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3.3.4</w:t>
      </w:r>
      <w:r>
        <w:rPr>
          <w:rFonts w:hint="eastAsia" w:ascii="仿宋_GB2312" w:eastAsia="仿宋_GB2312"/>
          <w:bCs/>
          <w:color w:val="000000" w:themeColor="text1"/>
          <w:sz w:val="30"/>
          <w:szCs w:val="30"/>
          <w14:textFill>
            <w14:solidFill>
              <w14:schemeClr w14:val="tx1"/>
            </w14:solidFill>
          </w14:textFill>
        </w:rPr>
        <w:t>剩余【10】%作为质保金，于质保期(质保期自【竣工验收之日】起算，一年【12个月】) 满且设备无任何质量问题后，15个工作日内甲方无息一次性付完给乙方，金额：（人民币大写）XXXX元整（￥XXXX元）。</w:t>
      </w:r>
    </w:p>
    <w:p>
      <w:pPr>
        <w:spacing w:line="560" w:lineRule="exact"/>
        <w:ind w:firstLine="600" w:firstLineChars="20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4.履约保证金的交付及退还</w:t>
      </w:r>
    </w:p>
    <w:p>
      <w:pPr>
        <w:spacing w:line="560" w:lineRule="exact"/>
        <w:ind w:firstLine="750" w:firstLineChars="25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履约保证金为合同总价的5  %，金额：（人民币大写）XXXX元整（￥XXXX元）乙方收到中标通知书至合同签订前向甲方缴纳本合同履约保证金。甲方于项目竣工且验收合格后</w:t>
      </w:r>
      <w:r>
        <w:rPr>
          <w:rFonts w:ascii="仿宋_GB2312" w:eastAsia="仿宋_GB2312"/>
          <w:bCs/>
          <w:color w:val="000000" w:themeColor="text1"/>
          <w:sz w:val="30"/>
          <w:szCs w:val="30"/>
          <w14:textFill>
            <w14:solidFill>
              <w14:schemeClr w14:val="tx1"/>
            </w14:solidFill>
          </w14:textFill>
        </w:rPr>
        <w:t>30</w:t>
      </w:r>
      <w:r>
        <w:rPr>
          <w:rFonts w:hint="eastAsia" w:ascii="仿宋_GB2312" w:eastAsia="仿宋_GB2312"/>
          <w:bCs/>
          <w:color w:val="000000" w:themeColor="text1"/>
          <w:sz w:val="30"/>
          <w:szCs w:val="30"/>
          <w14:textFill>
            <w14:solidFill>
              <w14:schemeClr w14:val="tx1"/>
            </w14:solidFill>
          </w14:textFill>
        </w:rPr>
        <w:t>个工作日内将全额履约保证金无息退还给乙方。</w:t>
      </w:r>
    </w:p>
    <w:p>
      <w:pPr>
        <w:spacing w:line="560" w:lineRule="exact"/>
        <w:ind w:firstLine="750" w:firstLineChars="25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4.扣除</w:t>
      </w:r>
    </w:p>
    <w:p>
      <w:pPr>
        <w:spacing w:line="560" w:lineRule="exact"/>
        <w:ind w:firstLine="750" w:firstLineChars="250"/>
        <w:rPr>
          <w:rFonts w:ascii="仿宋_GB2312" w:eastAsia="仿宋_GB2312"/>
          <w:bCs/>
          <w:color w:val="000000" w:themeColor="text1"/>
          <w:sz w:val="30"/>
          <w:szCs w:val="30"/>
          <w14:textFill>
            <w14:solidFill>
              <w14:schemeClr w14:val="tx1"/>
            </w14:solidFill>
          </w14:textFill>
        </w:rPr>
      </w:pPr>
      <w:r>
        <w:rPr>
          <w:rFonts w:hint="eastAsia" w:ascii="仿宋_GB2312" w:eastAsia="仿宋_GB2312"/>
          <w:bCs/>
          <w:color w:val="000000" w:themeColor="text1"/>
          <w:sz w:val="30"/>
          <w:szCs w:val="30"/>
          <w14:textFill>
            <w14:solidFill>
              <w14:schemeClr w14:val="tx1"/>
            </w14:solidFill>
          </w14:textFill>
        </w:rPr>
        <w:t>根据本合同的规定，如果乙方有赔偿和/或支付违约金的责任，则甲方有权从上述任何一笔未付款中扣除相应金额。</w:t>
      </w:r>
    </w:p>
    <w:p>
      <w:pPr>
        <w:adjustRightInd w:val="0"/>
        <w:snapToGrid w:val="0"/>
        <w:spacing w:line="48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三、铭牌及标准</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1.铭牌</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铭牌至少应该有下列内容（包括但不限于此）：设备名称、规格型号、制作厂家、主要技术参数、出厂年份、 出厂编号等。</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2．标准：本合同所指的货物或工程及服务应符合相关国家行业标准、制造国国家标准及本合同约定标准。</w:t>
      </w:r>
    </w:p>
    <w:p>
      <w:pPr>
        <w:adjustRightInd w:val="0"/>
        <w:snapToGrid w:val="0"/>
        <w:spacing w:line="48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四、交货及完工时间</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1．交货地点：</w:t>
      </w:r>
      <w:r>
        <w:rPr>
          <w:rFonts w:hint="eastAsia" w:ascii="仿宋_GB2312" w:eastAsia="仿宋_GB2312"/>
          <w:color w:val="000000"/>
          <w:sz w:val="30"/>
          <w:szCs w:val="30"/>
          <w:u w:val="single"/>
        </w:rPr>
        <w:t>勐养工厂制炼车间。</w:t>
      </w:r>
    </w:p>
    <w:p>
      <w:pPr>
        <w:adjustRightInd w:val="0"/>
        <w:snapToGrid w:val="0"/>
        <w:spacing w:line="480" w:lineRule="exact"/>
        <w:ind w:firstLine="600" w:firstLineChars="200"/>
        <w:rPr>
          <w:rFonts w:hint="default" w:ascii="仿宋_GB2312" w:eastAsia="仿宋_GB2312"/>
          <w:color w:val="000000"/>
          <w:sz w:val="30"/>
          <w:szCs w:val="30"/>
          <w:lang w:val="en-US" w:eastAsia="zh-CN"/>
        </w:rPr>
      </w:pPr>
      <w:r>
        <w:rPr>
          <w:rFonts w:hint="eastAsia" w:ascii="仿宋_GB2312" w:eastAsia="仿宋_GB2312"/>
          <w:color w:val="000000"/>
          <w:sz w:val="30"/>
          <w:szCs w:val="30"/>
        </w:rPr>
        <w:t>2.设备交货时间：</w:t>
      </w:r>
      <w:r>
        <w:rPr>
          <w:rFonts w:hint="eastAsia" w:ascii="仿宋_GB2312" w:eastAsia="仿宋_GB2312"/>
          <w:color w:val="000000"/>
          <w:sz w:val="30"/>
          <w:szCs w:val="30"/>
          <w:lang w:val="en-US" w:eastAsia="zh-CN"/>
        </w:rPr>
        <w:t>签订合同后30天内</w:t>
      </w:r>
      <w:bookmarkStart w:id="200" w:name="_GoBack"/>
      <w:bookmarkEnd w:id="200"/>
    </w:p>
    <w:p>
      <w:pPr>
        <w:adjustRightInd w:val="0"/>
        <w:snapToGrid w:val="0"/>
        <w:spacing w:line="480" w:lineRule="exact"/>
        <w:ind w:firstLine="600"/>
        <w:rPr>
          <w:rFonts w:ascii="仿宋_GB2312" w:eastAsia="仿宋_GB2312"/>
          <w:color w:val="000000"/>
          <w:sz w:val="30"/>
          <w:szCs w:val="30"/>
        </w:rPr>
      </w:pPr>
      <w:r>
        <w:rPr>
          <w:rFonts w:hint="eastAsia" w:ascii="仿宋_GB2312" w:eastAsia="仿宋_GB2312"/>
          <w:color w:val="000000"/>
          <w:sz w:val="30"/>
          <w:szCs w:val="30"/>
        </w:rPr>
        <w:t>3．乙方在按期收到甲方预付款后，按本合同第一条要求的交货时间将货物运至合同交货地点卸货后（连同货物清单）交于甲方。</w:t>
      </w:r>
    </w:p>
    <w:p>
      <w:pPr>
        <w:adjustRightInd w:val="0"/>
        <w:snapToGrid w:val="0"/>
        <w:spacing w:line="500" w:lineRule="exact"/>
        <w:ind w:firstLine="600" w:firstLineChars="200"/>
        <w:rPr>
          <w:rFonts w:ascii="仿宋_GB2312" w:eastAsia="仿宋_GB2312"/>
          <w:color w:val="000000"/>
          <w:sz w:val="30"/>
          <w:szCs w:val="30"/>
        </w:rPr>
      </w:pPr>
      <w:r>
        <w:rPr>
          <w:rFonts w:hint="eastAsia" w:ascii="仿宋_GB2312" w:eastAsia="仿宋_GB2312"/>
          <w:sz w:val="30"/>
          <w:szCs w:val="30"/>
        </w:rPr>
        <w:t>4.完工时间：</w:t>
      </w:r>
      <w:r>
        <w:rPr>
          <w:rFonts w:hint="eastAsia" w:ascii="仿宋_GB2312" w:hAnsi="微软雅黑" w:eastAsia="仿宋_GB2312" w:cs="微软雅黑"/>
          <w:sz w:val="30"/>
          <w:szCs w:val="30"/>
        </w:rPr>
        <w:t>【</w:t>
      </w:r>
      <w:r>
        <w:rPr>
          <w:rFonts w:ascii="仿宋_GB2312" w:eastAsia="仿宋_GB2312"/>
          <w:color w:val="FF0000"/>
          <w:sz w:val="30"/>
          <w:szCs w:val="30"/>
        </w:rPr>
        <w:t>2023</w:t>
      </w:r>
      <w:r>
        <w:rPr>
          <w:rFonts w:hint="eastAsia" w:ascii="仿宋_GB2312" w:eastAsia="仿宋_GB2312"/>
          <w:color w:val="FF0000"/>
          <w:sz w:val="30"/>
          <w:szCs w:val="30"/>
        </w:rPr>
        <w:t>年</w:t>
      </w:r>
      <w:r>
        <w:rPr>
          <w:rFonts w:ascii="仿宋_GB2312" w:eastAsia="仿宋_GB2312"/>
          <w:color w:val="FF0000"/>
          <w:sz w:val="30"/>
          <w:szCs w:val="30"/>
        </w:rPr>
        <w:t>11</w:t>
      </w:r>
      <w:r>
        <w:rPr>
          <w:rFonts w:hint="eastAsia" w:ascii="仿宋_GB2312" w:eastAsia="仿宋_GB2312"/>
          <w:color w:val="FF0000"/>
          <w:sz w:val="30"/>
          <w:szCs w:val="30"/>
        </w:rPr>
        <w:t>月</w:t>
      </w:r>
      <w:r>
        <w:rPr>
          <w:rFonts w:hint="eastAsia" w:ascii="仿宋_GB2312" w:eastAsia="仿宋_GB2312"/>
          <w:color w:val="FF0000"/>
          <w:sz w:val="30"/>
          <w:szCs w:val="30"/>
          <w:lang w:val="en-US" w:eastAsia="zh-CN"/>
        </w:rPr>
        <w:t>30</w:t>
      </w:r>
      <w:r>
        <w:rPr>
          <w:rFonts w:hint="eastAsia" w:ascii="仿宋_GB2312" w:eastAsia="仿宋_GB2312"/>
          <w:color w:val="FF0000"/>
          <w:sz w:val="30"/>
          <w:szCs w:val="30"/>
        </w:rPr>
        <w:t>日前</w:t>
      </w:r>
      <w:r>
        <w:rPr>
          <w:rFonts w:hint="eastAsia" w:ascii="仿宋_GB2312" w:hAnsi="微软雅黑" w:eastAsia="仿宋_GB2312" w:cs="微软雅黑"/>
          <w:sz w:val="30"/>
          <w:szCs w:val="30"/>
        </w:rPr>
        <w:t>】</w:t>
      </w:r>
      <w:r>
        <w:rPr>
          <w:rFonts w:hint="eastAsia" w:ascii="仿宋_GB2312" w:eastAsia="仿宋_GB2312"/>
          <w:sz w:val="30"/>
          <w:szCs w:val="30"/>
        </w:rPr>
        <w:t>。</w:t>
      </w:r>
      <w:r>
        <w:rPr>
          <w:rFonts w:hint="eastAsia" w:ascii="仿宋_GB2312" w:eastAsia="仿宋_GB2312"/>
          <w:color w:val="000000"/>
          <w:sz w:val="30"/>
          <w:szCs w:val="30"/>
        </w:rPr>
        <w:t>因不可抗力或经甲方同意，工期可顺延。</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5.运输费用已含在合同总价款内由乙方承担。因运输过程造成的货物损坏或丢失，均由乙方负责修复或补齐，且交货期不能影响工期。</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6.货物包装、发运及运输</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6.1乙方应在货物发运前对其进行满足于运输距离、防潮、防震、防锈和防破损装卸要求的包装，以保证货物安全运输到达甲方指定地点。</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6.2使用说明书、随配附件和工具以及清单等一并附于货物内。</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6.3货物在交货前发生的不可预见的风险均由乙方负责。</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6.4乙方在货物发运手续办理完毕后24小时内或货到前48小时通知甲方，以准备接货。</w:t>
      </w:r>
    </w:p>
    <w:p>
      <w:pPr>
        <w:adjustRightInd w:val="0"/>
        <w:snapToGrid w:val="0"/>
        <w:spacing w:line="48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五、验收、质量保证</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hAnsi="仿宋_GB2312" w:eastAsia="仿宋_GB2312" w:cs="仿宋_GB2312"/>
          <w:color w:val="000000"/>
          <w:sz w:val="30"/>
          <w:szCs w:val="30"/>
        </w:rPr>
        <w:t>1</w:t>
      </w:r>
      <w:r>
        <w:rPr>
          <w:rFonts w:hint="eastAsia" w:ascii="仿宋_GB2312" w:eastAsia="仿宋_GB2312"/>
          <w:color w:val="000000"/>
          <w:sz w:val="30"/>
          <w:szCs w:val="30"/>
        </w:rPr>
        <w:t>.乙方交货前应对产品做出全面检查和对验收文件进行整理列出清单，作为甲方收货验收和使用的技术条件依据，检验的结果证明文件应随货物交甲方。</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2.甲方对乙方所交货物依照本协议技术规格要求和国家（设备制造国）有关标准进行现场验收，性能达到技术要求的，给予签收。验收不合格的不予签收，后果由乙方负责。</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3.甲方应在货到指定地点安装调试完毕之日起五个工作日内验收完毕，并作出验收结果报告。验收时乙方必须在现场。</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 乙方提供货物的质量保证按招标文件的规定执行。在保证期内因货物本身的质量问题发生故障，乙方应负责免费修理和更换零部件。对达不到技术要求的，根据实际情况，经双方协商，可按以下办法处理：</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更换：由乙方承担所发生的全部费用；</w:t>
      </w:r>
    </w:p>
    <w:p>
      <w:pPr>
        <w:adjustRightInd w:val="0"/>
        <w:snapToGrid w:val="0"/>
        <w:spacing w:line="4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贬值处理：由甲乙双方合议定价；</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退货处理：乙方应退还甲方支付的货物款，同时应承担该货物的直接费用(运输、保险、检验及银行手续费等)。</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4.其他验收要求见</w:t>
      </w:r>
      <w:r>
        <w:rPr>
          <w:rFonts w:hint="eastAsia" w:eastAsia="仿宋_GB2312"/>
          <w:color w:val="000000"/>
          <w:sz w:val="30"/>
          <w:szCs w:val="30"/>
        </w:rPr>
        <w:t>合同附件、</w:t>
      </w:r>
      <w:r>
        <w:rPr>
          <w:rFonts w:eastAsia="仿宋_GB2312"/>
          <w:color w:val="000000"/>
          <w:sz w:val="30"/>
          <w:szCs w:val="30"/>
        </w:rPr>
        <w:t>招标文件、投标文件。</w:t>
      </w:r>
    </w:p>
    <w:p>
      <w:pPr>
        <w:adjustRightInd w:val="0"/>
        <w:snapToGrid w:val="0"/>
        <w:spacing w:line="480" w:lineRule="exact"/>
        <w:ind w:firstLine="600" w:firstLineChars="200"/>
        <w:rPr>
          <w:rFonts w:eastAsia="仿宋_GB2312"/>
          <w:color w:val="000000"/>
          <w:sz w:val="30"/>
          <w:szCs w:val="30"/>
        </w:rPr>
      </w:pPr>
      <w:r>
        <w:rPr>
          <w:rFonts w:hint="eastAsia" w:eastAsia="仿宋_GB2312"/>
          <w:color w:val="000000"/>
          <w:sz w:val="30"/>
          <w:szCs w:val="30"/>
        </w:rPr>
        <w:t>5.</w:t>
      </w:r>
      <w:r>
        <w:rPr>
          <w:rFonts w:eastAsia="仿宋_GB2312"/>
          <w:color w:val="000000"/>
          <w:sz w:val="30"/>
          <w:szCs w:val="30"/>
        </w:rPr>
        <w:t>如在使用过程中发生质量问题，乙方在接到甲方通知后按所承诺的时间内到达甲方现场处理，乙方应对货物出现的所有质量及安全问题负责处理解决。</w:t>
      </w:r>
    </w:p>
    <w:p>
      <w:pPr>
        <w:adjustRightInd w:val="0"/>
        <w:snapToGrid w:val="0"/>
        <w:spacing w:line="480" w:lineRule="exact"/>
        <w:ind w:firstLine="602" w:firstLineChars="200"/>
        <w:rPr>
          <w:rFonts w:eastAsia="仿宋_GB2312"/>
          <w:b/>
          <w:color w:val="000000"/>
          <w:sz w:val="30"/>
          <w:szCs w:val="30"/>
        </w:rPr>
      </w:pPr>
      <w:r>
        <w:rPr>
          <w:rFonts w:hint="eastAsia" w:eastAsia="仿宋_GB2312"/>
          <w:b/>
          <w:color w:val="000000"/>
          <w:sz w:val="30"/>
          <w:szCs w:val="30"/>
        </w:rPr>
        <w:t>六、</w:t>
      </w:r>
      <w:r>
        <w:rPr>
          <w:rFonts w:eastAsia="仿宋_GB2312"/>
          <w:b/>
          <w:color w:val="000000"/>
          <w:sz w:val="30"/>
          <w:szCs w:val="30"/>
        </w:rPr>
        <w:t>违约责任</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1. 由于乙方原因</w:t>
      </w:r>
      <w:r>
        <w:rPr>
          <w:rFonts w:hint="eastAsia" w:eastAsia="仿宋_GB2312"/>
          <w:color w:val="000000"/>
          <w:sz w:val="30"/>
          <w:szCs w:val="30"/>
        </w:rPr>
        <w:t>项目</w:t>
      </w:r>
      <w:r>
        <w:rPr>
          <w:rFonts w:eastAsia="仿宋_GB2312"/>
          <w:color w:val="000000"/>
          <w:sz w:val="30"/>
          <w:szCs w:val="30"/>
        </w:rPr>
        <w:t>质量未达约定要求，乙方应无条件返工，返工费用和因此而造成的经济损失由乙方承担，由此工期延误的，乙方还应按本条第3款承担逾期违约责任。</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2. 因乙方施工管理不善导致的人身损害或财产损失等安全问题，造成的经济损失由乙方承担。</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3.乙方逾期竣工的，工期逾期&lt;10天的，乙方</w:t>
      </w:r>
      <w:r>
        <w:rPr>
          <w:rFonts w:hint="eastAsia" w:eastAsia="仿宋_GB2312"/>
          <w:color w:val="000000"/>
          <w:sz w:val="30"/>
          <w:szCs w:val="30"/>
        </w:rPr>
        <w:t>向甲方支付违</w:t>
      </w:r>
      <w:r>
        <w:rPr>
          <w:rFonts w:hint="eastAsia" w:ascii="___WRD_EMBED_SUB_72" w:hAnsi="___WRD_EMBED_SUB_72" w:eastAsia="___WRD_EMBED_SUB_72" w:cs="___WRD_EMBED_SUB_72"/>
          <w:color w:val="000000"/>
          <w:sz w:val="30"/>
          <w:szCs w:val="30"/>
        </w:rPr>
        <w:t>约金【1</w:t>
      </w:r>
      <w:r>
        <w:rPr>
          <w:rFonts w:ascii="___WRD_EMBED_SUB_72" w:hAnsi="___WRD_EMBED_SUB_72" w:eastAsia="___WRD_EMBED_SUB_72" w:cs="___WRD_EMBED_SUB_72"/>
          <w:color w:val="000000"/>
          <w:sz w:val="30"/>
          <w:szCs w:val="30"/>
        </w:rPr>
        <w:t>000</w:t>
      </w:r>
      <w:r>
        <w:rPr>
          <w:rFonts w:hint="eastAsia" w:ascii="___WRD_EMBED_SUB_72" w:hAnsi="___WRD_EMBED_SUB_72" w:eastAsia="___WRD_EMBED_SUB_72" w:cs="___WRD_EMBED_SUB_72"/>
          <w:color w:val="000000"/>
          <w:sz w:val="30"/>
          <w:szCs w:val="30"/>
        </w:rPr>
        <w:t>】</w:t>
      </w:r>
      <w:r>
        <w:rPr>
          <w:rFonts w:eastAsia="仿宋_GB2312"/>
          <w:color w:val="000000"/>
          <w:sz w:val="30"/>
          <w:szCs w:val="30"/>
        </w:rPr>
        <w:t>元/天。工期逾期≥10天的，</w:t>
      </w:r>
      <w:r>
        <w:rPr>
          <w:rFonts w:hint="eastAsia" w:eastAsia="仿宋_GB2312"/>
          <w:color w:val="000000"/>
          <w:sz w:val="30"/>
          <w:szCs w:val="30"/>
        </w:rPr>
        <w:t>10天（含）以上部分，乙方向</w:t>
      </w:r>
      <w:r>
        <w:rPr>
          <w:rFonts w:eastAsia="仿宋_GB2312"/>
          <w:color w:val="000000"/>
          <w:sz w:val="30"/>
          <w:szCs w:val="30"/>
        </w:rPr>
        <w:t>甲方</w:t>
      </w:r>
      <w:r>
        <w:rPr>
          <w:rFonts w:hint="eastAsia" w:eastAsia="仿宋_GB2312"/>
          <w:color w:val="000000"/>
          <w:sz w:val="30"/>
          <w:szCs w:val="30"/>
        </w:rPr>
        <w:t>支付</w:t>
      </w:r>
      <w:r>
        <w:rPr>
          <w:rFonts w:hint="eastAsia" w:ascii="___WRD_EMBED_SUB_72" w:hAnsi="___WRD_EMBED_SUB_72" w:eastAsia="___WRD_EMBED_SUB_72" w:cs="___WRD_EMBED_SUB_72"/>
          <w:color w:val="000000"/>
          <w:sz w:val="30"/>
          <w:szCs w:val="30"/>
        </w:rPr>
        <w:t>约金</w:t>
      </w:r>
      <w:r>
        <w:rPr>
          <w:rFonts w:eastAsia="仿宋_GB2312"/>
          <w:color w:val="000000"/>
          <w:sz w:val="30"/>
          <w:szCs w:val="30"/>
        </w:rPr>
        <w:t>4000元/天。逾期≥15天，甲方有权单方解除合同，双方据实结算，乙方应按合同总价的20%支付甲方违约金，并赔偿由此造成的甲方所有损失。</w:t>
      </w:r>
    </w:p>
    <w:p>
      <w:pPr>
        <w:adjustRightInd w:val="0"/>
        <w:snapToGrid w:val="0"/>
        <w:spacing w:line="480" w:lineRule="exact"/>
        <w:ind w:firstLine="602" w:firstLineChars="200"/>
        <w:rPr>
          <w:rFonts w:ascii="黑体" w:hAnsi="黑体" w:eastAsia="黑体" w:cs="仿宋_GB2312"/>
          <w:b/>
          <w:color w:val="000000"/>
          <w:sz w:val="32"/>
          <w:szCs w:val="32"/>
        </w:rPr>
      </w:pPr>
      <w:r>
        <w:rPr>
          <w:rFonts w:hint="eastAsia" w:eastAsia="仿宋_GB2312"/>
          <w:b/>
          <w:color w:val="000000"/>
          <w:sz w:val="30"/>
          <w:szCs w:val="30"/>
        </w:rPr>
        <w:t>七、</w:t>
      </w:r>
      <w:r>
        <w:rPr>
          <w:rFonts w:eastAsia="仿宋_GB2312"/>
          <w:b/>
          <w:color w:val="000000"/>
          <w:sz w:val="30"/>
          <w:szCs w:val="30"/>
        </w:rPr>
        <w:t>不可抗力事件处理</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1.在合同有效期限内，任何一方因不可抗力事件导致不能履行合同，则合同履行期可延长，其延长期与不可抗力影响期相同。由于不可抗力事件导致合同根本目的不能实现时，一方可解除合同。</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2.不可抗力事件发生后，应立即通知对方，并寄送有关权威机构出具的证明。</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3.不可抗力事件延续25天以上，双方应通过友好协商，确定是否继续履行合同。</w:t>
      </w:r>
    </w:p>
    <w:p>
      <w:pPr>
        <w:adjustRightInd w:val="0"/>
        <w:snapToGrid w:val="0"/>
        <w:spacing w:line="480" w:lineRule="exact"/>
        <w:ind w:firstLine="602" w:firstLineChars="200"/>
        <w:rPr>
          <w:rFonts w:eastAsia="仿宋_GB2312"/>
          <w:b/>
          <w:color w:val="000000"/>
          <w:sz w:val="30"/>
          <w:szCs w:val="30"/>
        </w:rPr>
      </w:pPr>
      <w:r>
        <w:rPr>
          <w:rFonts w:hint="eastAsia" w:eastAsia="仿宋_GB2312"/>
          <w:b/>
          <w:color w:val="000000"/>
          <w:sz w:val="30"/>
          <w:szCs w:val="30"/>
        </w:rPr>
        <w:t>九、</w:t>
      </w:r>
      <w:r>
        <w:rPr>
          <w:rFonts w:eastAsia="仿宋_GB2312"/>
          <w:b/>
          <w:color w:val="000000"/>
          <w:sz w:val="30"/>
          <w:szCs w:val="30"/>
        </w:rPr>
        <w:t>合同争议的解决</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1.本合同适用法律为中华人民共和国有关法律。</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2.凡与本合同有关的一切争议，双方应友好协商解决，协商不能达成一致时，应向甲方所在地人民法院提起诉讼。诉讼费、律师代理费、交通费等相关费用由违约方承担。</w:t>
      </w:r>
    </w:p>
    <w:p>
      <w:pPr>
        <w:adjustRightInd w:val="0"/>
        <w:snapToGrid w:val="0"/>
        <w:spacing w:line="480" w:lineRule="exact"/>
        <w:ind w:firstLine="602" w:firstLineChars="200"/>
        <w:rPr>
          <w:rFonts w:eastAsia="仿宋_GB2312"/>
          <w:b/>
          <w:color w:val="000000"/>
          <w:sz w:val="30"/>
          <w:szCs w:val="30"/>
        </w:rPr>
      </w:pPr>
      <w:r>
        <w:rPr>
          <w:rFonts w:hint="eastAsia" w:eastAsia="仿宋_GB2312"/>
          <w:b/>
          <w:color w:val="000000"/>
          <w:sz w:val="30"/>
          <w:szCs w:val="30"/>
        </w:rPr>
        <w:t>十、</w:t>
      </w:r>
      <w:r>
        <w:rPr>
          <w:rFonts w:eastAsia="仿宋_GB2312"/>
          <w:b/>
          <w:color w:val="000000"/>
          <w:sz w:val="30"/>
          <w:szCs w:val="30"/>
        </w:rPr>
        <w:t>知识产权</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乙方应保证所提供的货物或其任何一部分均不会侵犯任何第三方的专利权、商标权或著作权</w:t>
      </w:r>
      <w:r>
        <w:rPr>
          <w:rFonts w:hint="eastAsia" w:eastAsia="仿宋_GB2312"/>
          <w:color w:val="000000"/>
          <w:sz w:val="30"/>
          <w:szCs w:val="30"/>
        </w:rPr>
        <w:t>，否则承担由此给甲方造成的一切损失</w:t>
      </w:r>
      <w:r>
        <w:rPr>
          <w:rFonts w:eastAsia="仿宋_GB2312"/>
          <w:color w:val="000000"/>
          <w:sz w:val="30"/>
          <w:szCs w:val="30"/>
        </w:rPr>
        <w:t>。</w:t>
      </w:r>
    </w:p>
    <w:p>
      <w:pPr>
        <w:adjustRightInd w:val="0"/>
        <w:snapToGrid w:val="0"/>
        <w:spacing w:line="480" w:lineRule="exact"/>
        <w:ind w:firstLine="602" w:firstLineChars="200"/>
        <w:rPr>
          <w:rFonts w:eastAsia="仿宋_GB2312"/>
          <w:b/>
          <w:color w:val="000000"/>
          <w:sz w:val="30"/>
          <w:szCs w:val="30"/>
        </w:rPr>
      </w:pPr>
      <w:r>
        <w:rPr>
          <w:rFonts w:hint="eastAsia" w:eastAsia="仿宋_GB2312"/>
          <w:b/>
          <w:color w:val="000000"/>
          <w:sz w:val="30"/>
          <w:szCs w:val="30"/>
        </w:rPr>
        <w:t>十一、</w:t>
      </w:r>
      <w:r>
        <w:rPr>
          <w:rFonts w:eastAsia="仿宋_GB2312"/>
          <w:b/>
          <w:color w:val="000000"/>
          <w:sz w:val="30"/>
          <w:szCs w:val="30"/>
        </w:rPr>
        <w:t>合同生效及其它</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1.本合同由双方法定代表人或其委托代表人签字加盖合同章之日起生效</w:t>
      </w:r>
      <w:r>
        <w:rPr>
          <w:rFonts w:hint="eastAsia" w:eastAsia="仿宋_GB2312"/>
          <w:color w:val="000000"/>
          <w:sz w:val="30"/>
          <w:szCs w:val="30"/>
        </w:rPr>
        <w:t>，</w:t>
      </w:r>
      <w:r>
        <w:rPr>
          <w:rFonts w:eastAsia="仿宋_GB2312"/>
          <w:color w:val="000000"/>
          <w:sz w:val="30"/>
          <w:szCs w:val="30"/>
        </w:rPr>
        <w:t>本合同壹式</w:t>
      </w:r>
      <w:r>
        <w:rPr>
          <w:rFonts w:hint="eastAsia" w:ascii="微软雅黑" w:hAnsi="微软雅黑" w:eastAsia="微软雅黑" w:cs="微软雅黑"/>
          <w:color w:val="000000"/>
          <w:sz w:val="30"/>
          <w:szCs w:val="30"/>
        </w:rPr>
        <w:t>【肆】</w:t>
      </w:r>
      <w:r>
        <w:rPr>
          <w:rFonts w:hint="eastAsia" w:ascii="___WRD_EMBED_SUB_72" w:hAnsi="___WRD_EMBED_SUB_72" w:eastAsia="___WRD_EMBED_SUB_72" w:cs="___WRD_EMBED_SUB_72"/>
          <w:color w:val="000000"/>
          <w:sz w:val="30"/>
          <w:szCs w:val="30"/>
        </w:rPr>
        <w:t>份，甲方执【贰】份，乙方执【贰】份。</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2.没有另一方的事先同意，合同任何一方不得将合同项下的任何权利和义务转让给第三方。</w:t>
      </w:r>
    </w:p>
    <w:p>
      <w:pPr>
        <w:adjustRightInd w:val="0"/>
        <w:snapToGrid w:val="0"/>
        <w:spacing w:line="480" w:lineRule="exact"/>
        <w:ind w:firstLine="600" w:firstLineChars="200"/>
        <w:rPr>
          <w:rFonts w:eastAsia="仿宋_GB2312"/>
          <w:color w:val="000000"/>
          <w:sz w:val="30"/>
          <w:szCs w:val="30"/>
        </w:rPr>
      </w:pPr>
      <w:r>
        <w:rPr>
          <w:rFonts w:eastAsia="仿宋_GB2312"/>
          <w:color w:val="000000"/>
          <w:sz w:val="30"/>
          <w:szCs w:val="30"/>
        </w:rPr>
        <w:t>3.合同履行中，如需修改或补充合同内容（但不能对本合同的内容作实质的改变），由双方协商另签署书面修改或补充协议并作为主合同不可分割的一部分。</w:t>
      </w:r>
    </w:p>
    <w:p>
      <w:pPr>
        <w:adjustRightInd w:val="0"/>
        <w:snapToGrid w:val="0"/>
        <w:spacing w:line="480" w:lineRule="exact"/>
        <w:ind w:firstLine="602" w:firstLineChars="200"/>
        <w:rPr>
          <w:rFonts w:eastAsia="仿宋_GB2312"/>
          <w:b/>
          <w:color w:val="000000"/>
          <w:sz w:val="30"/>
          <w:szCs w:val="30"/>
        </w:rPr>
      </w:pPr>
      <w:r>
        <w:rPr>
          <w:rFonts w:hint="eastAsia" w:eastAsia="仿宋_GB2312"/>
          <w:b/>
          <w:color w:val="000000"/>
          <w:sz w:val="30"/>
          <w:szCs w:val="30"/>
        </w:rPr>
        <w:t>十二、组成合同的文件</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组成本合同的文件及效力等级如下：</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2．合同附件一：技术协议书</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．合同附件二：廉洁协议书</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．合同附件三：环保协议书</w:t>
      </w:r>
    </w:p>
    <w:p>
      <w:pPr>
        <w:adjustRightInd w:val="0"/>
        <w:snapToGrid w:val="0"/>
        <w:spacing w:line="4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．合同附件四：安全协议书</w:t>
      </w:r>
    </w:p>
    <w:p>
      <w:pPr>
        <w:adjustRightInd w:val="0"/>
        <w:snapToGrid w:val="0"/>
        <w:spacing w:line="480" w:lineRule="exact"/>
        <w:ind w:firstLine="600" w:firstLineChars="200"/>
        <w:rPr>
          <w:rFonts w:eastAsia="仿宋_GB2312"/>
          <w:sz w:val="30"/>
          <w:szCs w:val="30"/>
        </w:rPr>
      </w:pPr>
      <w:r>
        <w:rPr>
          <w:rFonts w:hint="eastAsia" w:eastAsia="仿宋_GB2312"/>
          <w:sz w:val="30"/>
          <w:szCs w:val="30"/>
        </w:rPr>
        <w:t xml:space="preserve">6. </w:t>
      </w:r>
      <w:r>
        <w:rPr>
          <w:rFonts w:eastAsia="仿宋_GB2312"/>
          <w:sz w:val="30"/>
          <w:szCs w:val="30"/>
        </w:rPr>
        <w:t>合同附件</w:t>
      </w:r>
      <w:r>
        <w:rPr>
          <w:rFonts w:hint="eastAsia" w:eastAsia="仿宋_GB2312"/>
          <w:sz w:val="30"/>
          <w:szCs w:val="30"/>
        </w:rPr>
        <w:t>五</w:t>
      </w:r>
      <w:r>
        <w:rPr>
          <w:rFonts w:eastAsia="仿宋_GB2312"/>
          <w:sz w:val="30"/>
          <w:szCs w:val="30"/>
        </w:rPr>
        <w:t>：</w:t>
      </w:r>
      <w:r>
        <w:rPr>
          <w:rFonts w:hint="eastAsia" w:eastAsia="仿宋_GB2312"/>
          <w:sz w:val="30"/>
          <w:szCs w:val="30"/>
        </w:rPr>
        <w:t>设备安装质量规范要求（如有）</w:t>
      </w:r>
    </w:p>
    <w:p>
      <w:pPr>
        <w:adjustRightInd w:val="0"/>
        <w:snapToGrid w:val="0"/>
        <w:spacing w:line="480" w:lineRule="exact"/>
        <w:ind w:firstLine="600" w:firstLineChars="200"/>
        <w:rPr>
          <w:rFonts w:eastAsia="仿宋_GB2312"/>
          <w:color w:val="000000"/>
          <w:sz w:val="30"/>
          <w:szCs w:val="30"/>
        </w:rPr>
      </w:pPr>
    </w:p>
    <w:p>
      <w:pPr>
        <w:spacing w:line="500" w:lineRule="exact"/>
        <w:rPr>
          <w:rFonts w:eastAsia="仿宋_GB2312"/>
          <w:b/>
          <w:color w:val="000000"/>
          <w:sz w:val="30"/>
          <w:szCs w:val="30"/>
        </w:rPr>
      </w:pPr>
    </w:p>
    <w:tbl>
      <w:tblPr>
        <w:tblStyle w:val="39"/>
        <w:tblpPr w:leftFromText="180" w:rightFromText="180" w:vertAnchor="text" w:horzAnchor="margin" w:tblpXSpec="center" w:tblpY="2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3"/>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4763" w:type="dxa"/>
            <w:tcBorders>
              <w:bottom w:val="single" w:color="auto" w:sz="4" w:space="0"/>
            </w:tcBorders>
          </w:tcPr>
          <w:p>
            <w:pPr>
              <w:spacing w:line="480" w:lineRule="exact"/>
              <w:ind w:left="1050" w:leftChars="50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甲方</w:t>
            </w:r>
          </w:p>
          <w:p>
            <w:pPr>
              <w:spacing w:line="480" w:lineRule="exact"/>
              <w:ind w:left="1500" w:hanging="1500" w:hangingChars="500"/>
              <w:rPr>
                <w:rFonts w:ascii="仿宋_GB2312" w:hAnsi="仿宋_GB2312" w:eastAsia="仿宋_GB2312" w:cs="仿宋_GB2312"/>
                <w:sz w:val="30"/>
                <w:szCs w:val="30"/>
              </w:rPr>
            </w:pPr>
            <w:r>
              <w:rPr>
                <w:rFonts w:hint="eastAsia" w:ascii="仿宋_GB2312" w:hAnsi="仿宋_GB2312" w:eastAsia="仿宋_GB2312" w:cs="仿宋_GB2312"/>
                <w:sz w:val="30"/>
                <w:szCs w:val="30"/>
              </w:rPr>
              <w:t>单位名称：中粮梁河糖业有限公司</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单位地址：云南省德宏州梁河县勐养镇中营村委会党良街（原勐养糖厂内）</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委托代理人：</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电话号码：0692-6168776</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传真号码：0692-6168776</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开户行：中国农业银行股份有限公司梁河县支行营业室</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帐号：24139701040011717</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税号：91533122MA6KX49T1F</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邮编：679207</w:t>
            </w:r>
          </w:p>
          <w:p>
            <w:pPr>
              <w:adjustRightInd w:val="0"/>
              <w:snapToGrid w:val="0"/>
              <w:spacing w:line="420" w:lineRule="exact"/>
              <w:rPr>
                <w:rFonts w:eastAsia="仿宋_GB2312"/>
                <w:sz w:val="30"/>
              </w:rPr>
            </w:pPr>
            <w:r>
              <w:rPr>
                <w:rFonts w:hint="eastAsia" w:ascii="仿宋_GB2312" w:hAnsi="仿宋_GB2312" w:eastAsia="仿宋_GB2312" w:cs="仿宋_GB2312"/>
                <w:sz w:val="30"/>
                <w:szCs w:val="30"/>
              </w:rPr>
              <w:t>签订日期：       年   月    日</w:t>
            </w:r>
          </w:p>
        </w:tc>
        <w:tc>
          <w:tcPr>
            <w:tcW w:w="4830" w:type="dxa"/>
          </w:tcPr>
          <w:p>
            <w:pPr>
              <w:spacing w:line="520" w:lineRule="exact"/>
              <w:jc w:val="center"/>
              <w:rPr>
                <w:rFonts w:eastAsia="仿宋_GB2312"/>
                <w:sz w:val="30"/>
              </w:rPr>
            </w:pPr>
            <w:r>
              <w:rPr>
                <w:rFonts w:eastAsia="仿宋_GB2312"/>
                <w:sz w:val="30"/>
              </w:rPr>
              <w:t>乙方</w:t>
            </w:r>
          </w:p>
          <w:p>
            <w:pPr>
              <w:spacing w:line="520" w:lineRule="exact"/>
              <w:ind w:left="1500" w:hanging="1500" w:hangingChars="500"/>
              <w:rPr>
                <w:rFonts w:eastAsia="仿宋_GB2312"/>
                <w:sz w:val="30"/>
                <w:szCs w:val="30"/>
              </w:rPr>
            </w:pPr>
            <w:r>
              <w:rPr>
                <w:rFonts w:eastAsia="仿宋_GB2312"/>
                <w:sz w:val="30"/>
              </w:rPr>
              <w:t>单位名称：</w:t>
            </w:r>
          </w:p>
          <w:p>
            <w:pPr>
              <w:spacing w:line="520" w:lineRule="exact"/>
              <w:ind w:left="1500" w:hanging="1500" w:hangingChars="500"/>
              <w:rPr>
                <w:rFonts w:eastAsia="仿宋_GB2312"/>
                <w:sz w:val="30"/>
              </w:rPr>
            </w:pPr>
          </w:p>
          <w:p>
            <w:pPr>
              <w:spacing w:line="520" w:lineRule="exact"/>
              <w:ind w:left="1500" w:hanging="1500" w:hangingChars="500"/>
              <w:rPr>
                <w:rFonts w:eastAsia="仿宋_GB2312"/>
                <w:sz w:val="28"/>
                <w:szCs w:val="28"/>
              </w:rPr>
            </w:pPr>
            <w:r>
              <w:rPr>
                <w:rFonts w:eastAsia="仿宋_GB2312"/>
                <w:sz w:val="30"/>
              </w:rPr>
              <w:t>单位地址：</w:t>
            </w:r>
          </w:p>
          <w:p>
            <w:pPr>
              <w:spacing w:line="520" w:lineRule="exact"/>
              <w:rPr>
                <w:rFonts w:eastAsia="仿宋_GB2312"/>
                <w:sz w:val="30"/>
              </w:rPr>
            </w:pPr>
          </w:p>
          <w:p>
            <w:pPr>
              <w:spacing w:line="520" w:lineRule="exact"/>
              <w:rPr>
                <w:rFonts w:eastAsia="仿宋_GB2312"/>
                <w:sz w:val="30"/>
              </w:rPr>
            </w:pPr>
            <w:r>
              <w:rPr>
                <w:rFonts w:eastAsia="仿宋_GB2312"/>
                <w:sz w:val="30"/>
              </w:rPr>
              <w:t>法定代表人：</w:t>
            </w:r>
          </w:p>
          <w:p>
            <w:pPr>
              <w:spacing w:line="520" w:lineRule="exact"/>
              <w:rPr>
                <w:rFonts w:eastAsia="仿宋_GB2312"/>
                <w:sz w:val="30"/>
              </w:rPr>
            </w:pPr>
            <w:r>
              <w:rPr>
                <w:rFonts w:eastAsia="仿宋_GB2312"/>
                <w:sz w:val="30"/>
              </w:rPr>
              <w:t>委托代理人：</w:t>
            </w:r>
          </w:p>
          <w:p>
            <w:pPr>
              <w:spacing w:line="520" w:lineRule="exact"/>
              <w:rPr>
                <w:rFonts w:eastAsia="仿宋_GB2312"/>
                <w:sz w:val="30"/>
                <w:szCs w:val="30"/>
              </w:rPr>
            </w:pPr>
            <w:r>
              <w:rPr>
                <w:rFonts w:eastAsia="仿宋_GB2312"/>
                <w:sz w:val="30"/>
              </w:rPr>
              <w:t>电话号码</w:t>
            </w:r>
            <w:r>
              <w:rPr>
                <w:rFonts w:eastAsia="仿宋_GB2312"/>
                <w:sz w:val="30"/>
                <w:szCs w:val="30"/>
              </w:rPr>
              <w:t>：</w:t>
            </w:r>
          </w:p>
          <w:p>
            <w:pPr>
              <w:spacing w:line="520" w:lineRule="exact"/>
              <w:rPr>
                <w:rFonts w:eastAsia="仿宋_GB2312"/>
                <w:sz w:val="30"/>
                <w:szCs w:val="30"/>
              </w:rPr>
            </w:pPr>
            <w:r>
              <w:rPr>
                <w:rFonts w:eastAsia="仿宋_GB2312"/>
                <w:sz w:val="30"/>
              </w:rPr>
              <w:t>传真号码：</w:t>
            </w:r>
          </w:p>
          <w:p>
            <w:pPr>
              <w:spacing w:line="520" w:lineRule="exact"/>
              <w:ind w:left="1200" w:hanging="1200" w:hangingChars="400"/>
              <w:rPr>
                <w:rFonts w:eastAsia="仿宋_GB2312"/>
                <w:sz w:val="30"/>
              </w:rPr>
            </w:pPr>
            <w:r>
              <w:rPr>
                <w:rFonts w:eastAsia="仿宋_GB2312"/>
                <w:sz w:val="30"/>
              </w:rPr>
              <w:t>开户行：</w:t>
            </w:r>
          </w:p>
          <w:p>
            <w:pPr>
              <w:spacing w:line="520" w:lineRule="exact"/>
              <w:rPr>
                <w:rFonts w:eastAsia="仿宋_GB2312"/>
                <w:sz w:val="28"/>
                <w:szCs w:val="28"/>
              </w:rPr>
            </w:pPr>
            <w:r>
              <w:rPr>
                <w:rFonts w:eastAsia="仿宋_GB2312"/>
                <w:sz w:val="30"/>
              </w:rPr>
              <w:t>帐号：</w:t>
            </w:r>
          </w:p>
          <w:p>
            <w:pPr>
              <w:spacing w:line="520" w:lineRule="exact"/>
              <w:rPr>
                <w:rFonts w:eastAsia="仿宋_GB2312"/>
                <w:sz w:val="30"/>
              </w:rPr>
            </w:pPr>
            <w:r>
              <w:rPr>
                <w:rFonts w:eastAsia="仿宋_GB2312"/>
                <w:sz w:val="30"/>
              </w:rPr>
              <w:t>税号：</w:t>
            </w:r>
          </w:p>
          <w:p>
            <w:pPr>
              <w:spacing w:line="520" w:lineRule="exact"/>
              <w:rPr>
                <w:rFonts w:eastAsia="仿宋_GB2312"/>
                <w:sz w:val="30"/>
              </w:rPr>
            </w:pPr>
            <w:r>
              <w:rPr>
                <w:rFonts w:eastAsia="仿宋_GB2312"/>
                <w:sz w:val="30"/>
              </w:rPr>
              <w:t>邮编：</w:t>
            </w:r>
          </w:p>
          <w:p>
            <w:pPr>
              <w:spacing w:line="520" w:lineRule="exact"/>
              <w:rPr>
                <w:rFonts w:eastAsia="仿宋_GB2312"/>
                <w:sz w:val="30"/>
              </w:rPr>
            </w:pPr>
            <w:r>
              <w:rPr>
                <w:rFonts w:eastAsia="仿宋_GB2312"/>
                <w:sz w:val="30"/>
              </w:rPr>
              <w:t>签订日期：</w:t>
            </w:r>
            <w:r>
              <w:rPr>
                <w:rFonts w:hint="eastAsia" w:ascii="仿宋_GB2312" w:eastAsia="仿宋_GB2312"/>
                <w:sz w:val="30"/>
              </w:rPr>
              <w:t xml:space="preserve">    年   月    日</w:t>
            </w:r>
          </w:p>
        </w:tc>
      </w:tr>
    </w:tbl>
    <w:p>
      <w:pPr>
        <w:adjustRightInd w:val="0"/>
        <w:snapToGrid w:val="0"/>
        <w:spacing w:line="500" w:lineRule="exact"/>
        <w:ind w:firstLine="602" w:firstLineChars="200"/>
        <w:rPr>
          <w:rFonts w:ascii="仿宋_GB2312" w:eastAsia="仿宋_GB2312"/>
          <w:b/>
          <w:bCs/>
          <w:sz w:val="30"/>
          <w:szCs w:val="30"/>
        </w:rPr>
      </w:pPr>
    </w:p>
    <w:p>
      <w:pPr>
        <w:adjustRightInd w:val="0"/>
        <w:snapToGrid w:val="0"/>
        <w:spacing w:line="500" w:lineRule="exact"/>
        <w:rPr>
          <w:rFonts w:ascii="仿宋_GB2312" w:eastAsia="仿宋_GB2312"/>
          <w:b/>
          <w:bCs/>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adjustRightInd w:val="0"/>
        <w:snapToGrid w:val="0"/>
        <w:spacing w:line="500" w:lineRule="exact"/>
        <w:rPr>
          <w:rFonts w:ascii="仿宋_GB2312" w:eastAsia="仿宋_GB2312"/>
          <w:b/>
          <w:bCs/>
          <w:color w:val="000000"/>
          <w:sz w:val="30"/>
          <w:szCs w:val="30"/>
        </w:rPr>
      </w:pPr>
    </w:p>
    <w:p>
      <w:pPr>
        <w:keepNext/>
        <w:keepLines/>
        <w:rPr>
          <w:b/>
          <w:bCs/>
          <w:szCs w:val="21"/>
        </w:rPr>
        <w:sectPr>
          <w:headerReference r:id="rId3" w:type="default"/>
          <w:footerReference r:id="rId4" w:type="default"/>
          <w:pgSz w:w="11906" w:h="16838"/>
          <w:pgMar w:top="1418" w:right="1418" w:bottom="1418" w:left="1418" w:header="851" w:footer="992" w:gutter="0"/>
          <w:cols w:space="720" w:num="1"/>
          <w:docGrid w:linePitch="312" w:charSpace="0"/>
        </w:sectPr>
      </w:pPr>
    </w:p>
    <w:p>
      <w:pPr>
        <w:keepNext/>
        <w:keepLines/>
        <w:rPr>
          <w:b/>
          <w:bCs/>
          <w:szCs w:val="21"/>
        </w:rPr>
      </w:pPr>
      <w:r>
        <w:rPr>
          <w:rFonts w:hint="eastAsia"/>
          <w:b/>
          <w:bCs/>
          <w:szCs w:val="21"/>
        </w:rPr>
        <w:t>附件1. 技术协议</w:t>
      </w:r>
    </w:p>
    <w:p>
      <w:pPr>
        <w:keepNext/>
        <w:keepLines/>
        <w:jc w:val="center"/>
        <w:rPr>
          <w:b/>
          <w:bCs/>
          <w:sz w:val="48"/>
          <w:szCs w:val="48"/>
        </w:rPr>
      </w:pPr>
      <w:r>
        <w:rPr>
          <w:rFonts w:hint="eastAsia"/>
          <w:b/>
          <w:bCs/>
          <w:sz w:val="48"/>
          <w:szCs w:val="48"/>
        </w:rPr>
        <w:t>技术协议</w:t>
      </w:r>
    </w:p>
    <w:p>
      <w:pPr>
        <w:tabs>
          <w:tab w:val="left" w:pos="8148"/>
        </w:tabs>
        <w:rPr>
          <w:b/>
          <w:bCs/>
          <w:sz w:val="24"/>
        </w:rPr>
      </w:pPr>
      <w:r>
        <w:rPr>
          <w:b/>
          <w:bCs/>
          <w:sz w:val="24"/>
        </w:rPr>
        <w:tab/>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甲方:  中粮梁河糖业有限公司</w:t>
      </w:r>
    </w:p>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经双方充分协商，甲方委托乙方</w:t>
      </w:r>
      <w:r>
        <w:rPr>
          <w:rFonts w:hint="eastAsia" w:ascii="仿宋_GB2312" w:hAnsi="仿宋_GB2312" w:eastAsia="仿宋_GB2312" w:cs="仿宋_GB2312"/>
          <w:color w:val="FF0000"/>
          <w:sz w:val="32"/>
          <w:szCs w:val="32"/>
        </w:rPr>
        <w:t>承接</w:t>
      </w:r>
      <w:bookmarkStart w:id="15" w:name="OLE_LINK65"/>
      <w:bookmarkStart w:id="16" w:name="OLE_LINK66"/>
      <w:r>
        <w:rPr>
          <w:rFonts w:hint="eastAsia" w:ascii="仿宋_GB2312" w:eastAsia="仿宋_GB2312"/>
          <w:spacing w:val="20"/>
          <w:sz w:val="32"/>
          <w:szCs w:val="32"/>
        </w:rPr>
        <w:t>2023年梁河糖业勐养工厂制炼车间P25TK-1离心机大修</w:t>
      </w:r>
      <w:r>
        <w:rPr>
          <w:rFonts w:hint="eastAsia" w:ascii="仿宋_GB2312" w:hAnsi="仿宋_GB2312" w:eastAsia="仿宋_GB2312" w:cs="仿宋_GB2312"/>
          <w:color w:val="FF0000"/>
          <w:sz w:val="32"/>
          <w:szCs w:val="32"/>
        </w:rPr>
        <w:t>项目</w:t>
      </w:r>
      <w:bookmarkEnd w:id="15"/>
      <w:bookmarkEnd w:id="16"/>
      <w:r>
        <w:rPr>
          <w:rFonts w:hint="eastAsia" w:ascii="仿宋_GB2312" w:hAnsi="仿宋_GB2312" w:eastAsia="仿宋_GB2312" w:cs="仿宋_GB2312"/>
          <w:color w:val="FF0000"/>
          <w:sz w:val="32"/>
          <w:szCs w:val="32"/>
        </w:rPr>
        <w:t>的供货及运输、安装、调试</w:t>
      </w:r>
      <w:r>
        <w:rPr>
          <w:rFonts w:hint="eastAsia" w:ascii="仿宋_GB2312" w:hAnsi="仿宋_GB2312" w:eastAsia="仿宋_GB2312" w:cs="仿宋_GB2312"/>
          <w:sz w:val="32"/>
          <w:szCs w:val="32"/>
        </w:rPr>
        <w:t>。为了更好地执行合同的相关条款，特制订本技术要求，以资双方共同遵照。</w:t>
      </w:r>
    </w:p>
    <w:p>
      <w:pPr>
        <w:spacing w:line="4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第一条主体设备技术参数</w:t>
      </w:r>
    </w:p>
    <w:p>
      <w:pPr>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无。</w:t>
      </w:r>
    </w:p>
    <w:p>
      <w:pPr>
        <w:spacing w:line="400" w:lineRule="exact"/>
        <w:rPr>
          <w:rFonts w:ascii="仿宋_GB2312" w:hAnsi="仿宋_GB2312" w:eastAsia="仿宋_GB2312" w:cs="仿宋_GB2312"/>
          <w:b/>
          <w:sz w:val="30"/>
          <w:szCs w:val="30"/>
        </w:rPr>
      </w:pPr>
      <w:r>
        <w:rPr>
          <w:rFonts w:hint="eastAsia" w:ascii="仿宋_GB2312" w:hAnsi="仿宋_GB2312" w:eastAsia="仿宋_GB2312" w:cs="仿宋_GB2312"/>
          <w:b/>
          <w:color w:val="FF0000"/>
          <w:sz w:val="30"/>
          <w:szCs w:val="30"/>
        </w:rPr>
        <w:t>第二条 项目内容设备材料供货、安装范围</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313"/>
        <w:gridCol w:w="2143"/>
        <w:gridCol w:w="636"/>
        <w:gridCol w:w="636"/>
        <w:gridCol w:w="814"/>
        <w:gridCol w:w="81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bookmarkStart w:id="17" w:name="OLE_LINK28"/>
            <w:bookmarkStart w:id="18" w:name="OLE_LINK29"/>
            <w:r>
              <w:rPr>
                <w:rFonts w:hint="eastAsia" w:eastAsia="仿宋_GB2312"/>
                <w:color w:val="000000"/>
                <w:kern w:val="0"/>
                <w:sz w:val="28"/>
                <w:szCs w:val="28"/>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产品名称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规格型号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单价</w:t>
            </w:r>
            <w:r>
              <w:rPr>
                <w:rFonts w:eastAsia="仿宋_GB2312"/>
                <w:color w:val="000000"/>
                <w:kern w:val="0"/>
                <w:sz w:val="28"/>
                <w:szCs w:val="28"/>
              </w:rPr>
              <w:t>/</w:t>
            </w:r>
            <w:r>
              <w:rPr>
                <w:rFonts w:hint="eastAsia" w:eastAsia="仿宋_GB2312"/>
                <w:color w:val="000000"/>
                <w:kern w:val="0"/>
                <w:sz w:val="28"/>
                <w:szCs w:val="28"/>
              </w:rPr>
              <w:t>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总价</w:t>
            </w:r>
            <w:r>
              <w:rPr>
                <w:rFonts w:eastAsia="仿宋_GB2312"/>
                <w:color w:val="000000"/>
                <w:kern w:val="0"/>
                <w:sz w:val="28"/>
                <w:szCs w:val="28"/>
              </w:rPr>
              <w:t>/</w:t>
            </w:r>
            <w:r>
              <w:rPr>
                <w:rFonts w:hint="eastAsia" w:eastAsia="仿宋_GB2312"/>
                <w:color w:val="000000"/>
                <w:kern w:val="0"/>
                <w:sz w:val="28"/>
                <w:szCs w:val="28"/>
              </w:rPr>
              <w:t>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电机检查及清洗</w:t>
            </w:r>
          </w:p>
        </w:tc>
        <w:tc>
          <w:tcPr>
            <w:tcW w:w="0" w:type="auto"/>
            <w:tcBorders>
              <w:top w:val="single" w:color="auto" w:sz="4" w:space="0"/>
              <w:left w:val="single" w:color="auto" w:sz="4" w:space="0"/>
              <w:bottom w:val="single" w:color="auto" w:sz="4" w:space="0"/>
              <w:right w:val="single" w:color="auto" w:sz="4" w:space="0"/>
            </w:tcBorders>
            <w:vAlign w:val="center"/>
          </w:tcPr>
          <w:p>
            <w:pPr>
              <w:rPr>
                <w:rFonts w:eastAsia="仿宋_GB2312"/>
                <w:color w:val="000000"/>
                <w:kern w:val="0"/>
                <w:sz w:val="28"/>
                <w:szCs w:val="28"/>
              </w:rPr>
            </w:pPr>
            <w:r>
              <w:rPr>
                <w:rFonts w:eastAsia="仿宋_GB2312"/>
                <w:color w:val="000000"/>
                <w:kern w:val="0"/>
                <w:sz w:val="28"/>
                <w:szCs w:val="28"/>
              </w:rPr>
              <w:t>P25TK-1</w:t>
            </w:r>
            <w:r>
              <w:rPr>
                <w:rFonts w:hint="eastAsia" w:eastAsia="仿宋_GB2312"/>
                <w:color w:val="000000"/>
                <w:kern w:val="0"/>
                <w:sz w:val="28"/>
                <w:szCs w:val="28"/>
              </w:rPr>
              <w:t>电机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eastAsia="仿宋_GB2312"/>
                <w:color w:val="000000"/>
                <w:kern w:val="0"/>
                <w:sz w:val="28"/>
                <w:szCs w:val="28"/>
              </w:rPr>
            </w:pPr>
            <w:r>
              <w:rPr>
                <w:rFonts w:hint="eastAsia" w:eastAsia="仿宋_GB2312"/>
                <w:color w:val="000000"/>
                <w:kern w:val="0"/>
                <w:sz w:val="28"/>
                <w:szCs w:val="28"/>
              </w:rPr>
              <w:t>轴承更换</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N6335  LRJ4-1/z2MC3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套</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甲方提供乙方安装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气动蝶阀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DN350  PN16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分蜜机入料阀含执行器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eastAsia="仿宋_GB2312"/>
                <w:color w:val="000000"/>
                <w:kern w:val="0"/>
                <w:sz w:val="28"/>
                <w:szCs w:val="28"/>
              </w:rPr>
            </w:pPr>
            <w:r>
              <w:rPr>
                <w:rFonts w:hint="eastAsia" w:eastAsia="仿宋_GB2312"/>
                <w:color w:val="000000"/>
                <w:kern w:val="0"/>
                <w:sz w:val="28"/>
                <w:szCs w:val="28"/>
              </w:rPr>
              <w:t>调试喇叭罩升降器及更换铲刀片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P25TK-1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套</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eastAsia="仿宋_GB2312"/>
                <w:color w:val="000000"/>
                <w:kern w:val="0"/>
                <w:sz w:val="28"/>
                <w:szCs w:val="28"/>
              </w:rPr>
            </w:pPr>
            <w:r>
              <w:rPr>
                <w:rFonts w:hint="eastAsia" w:eastAsia="仿宋_GB2312"/>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eastAsia="仿宋_GB2312"/>
                <w:color w:val="000000"/>
                <w:kern w:val="0"/>
                <w:sz w:val="28"/>
                <w:szCs w:val="28"/>
              </w:rPr>
            </w:pPr>
            <w:r>
              <w:rPr>
                <w:rFonts w:hint="eastAsia" w:eastAsia="仿宋_GB2312"/>
                <w:color w:val="000000"/>
                <w:kern w:val="0"/>
                <w:sz w:val="28"/>
                <w:szCs w:val="28"/>
              </w:rPr>
              <w:t>更换电磁阀及压缩空气管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P25TK-1</w:t>
            </w:r>
            <w:r>
              <w:rPr>
                <w:rFonts w:hint="eastAsia" w:eastAsia="仿宋_GB2312"/>
                <w:color w:val="000000"/>
                <w:kern w:val="0"/>
                <w:sz w:val="28"/>
                <w:szCs w:val="28"/>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套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eastAsia="仿宋_GB2312"/>
                <w:color w:val="000000"/>
                <w:kern w:val="0"/>
                <w:sz w:val="28"/>
                <w:szCs w:val="28"/>
              </w:rPr>
              <w:t>6</w:t>
            </w:r>
          </w:p>
        </w:tc>
        <w:tc>
          <w:tcPr>
            <w:tcW w:w="0" w:type="auto"/>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小计</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8"/>
                <w:szCs w:val="28"/>
              </w:rPr>
            </w:pPr>
            <w:r>
              <w:rPr>
                <w:rFonts w:hint="eastAsia" w:eastAsia="仿宋_GB2312"/>
                <w:color w:val="000000"/>
                <w:kern w:val="0"/>
                <w:sz w:val="28"/>
                <w:szCs w:val="28"/>
              </w:rPr>
              <w:t>　</w:t>
            </w:r>
          </w:p>
        </w:tc>
      </w:tr>
      <w:bookmarkEnd w:id="17"/>
      <w:bookmarkEnd w:id="18"/>
    </w:tbl>
    <w:p>
      <w:pPr>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第三条：其他要求</w:t>
      </w:r>
      <w:r>
        <w:rPr>
          <w:rFonts w:hint="eastAsia" w:ascii="仿宋_GB2312" w:hAnsi="仿宋_GB2312" w:eastAsia="仿宋_GB2312" w:cs="仿宋_GB2312"/>
          <w:color w:val="FF0000"/>
          <w:sz w:val="30"/>
          <w:szCs w:val="30"/>
          <w:highlight w:val="yellow"/>
        </w:rPr>
        <w:t>根据项目要求填写</w:t>
      </w:r>
    </w:p>
    <w:p>
      <w:pPr>
        <w:spacing w:line="400" w:lineRule="exact"/>
        <w:ind w:firstLine="602" w:firstLineChars="200"/>
        <w:rPr>
          <w:rFonts w:ascii="仿宋_GB2312" w:hAnsi="仿宋_GB2312" w:eastAsia="仿宋_GB2312" w:cs="仿宋_GB2312"/>
          <w:b/>
          <w:sz w:val="30"/>
          <w:szCs w:val="30"/>
          <w:highlight w:val="yellow"/>
        </w:rPr>
      </w:pPr>
    </w:p>
    <w:p>
      <w:pPr>
        <w:pStyle w:val="81"/>
        <w:numPr>
          <w:ilvl w:val="0"/>
          <w:numId w:val="5"/>
        </w:numPr>
        <w:spacing w:line="360" w:lineRule="auto"/>
        <w:rPr>
          <w:rFonts w:ascii="仿宋_GB2312" w:eastAsia="仿宋_GB2312" w:hAnsiTheme="minorEastAsia"/>
          <w:snapToGrid w:val="0"/>
          <w:sz w:val="30"/>
          <w:szCs w:val="30"/>
        </w:rPr>
      </w:pPr>
      <w:r>
        <w:rPr>
          <w:rFonts w:hint="eastAsia" w:ascii="仿宋_GB2312" w:eastAsia="仿宋_GB2312" w:hAnsiTheme="minorEastAsia"/>
          <w:snapToGrid w:val="0"/>
          <w:sz w:val="30"/>
          <w:szCs w:val="30"/>
        </w:rPr>
        <w:t>分蜜机运行平稳，物料正常情况下无异常抖动。</w:t>
      </w:r>
    </w:p>
    <w:p>
      <w:pPr>
        <w:pStyle w:val="81"/>
        <w:numPr>
          <w:ilvl w:val="0"/>
          <w:numId w:val="5"/>
        </w:numPr>
        <w:spacing w:line="360" w:lineRule="auto"/>
        <w:rPr>
          <w:rFonts w:ascii="仿宋_GB2312" w:hAnsi="仿宋" w:eastAsia="仿宋_GB2312" w:cs="仿宋_GB2312"/>
          <w:b/>
          <w:sz w:val="30"/>
          <w:szCs w:val="30"/>
        </w:rPr>
      </w:pPr>
      <w:r>
        <w:rPr>
          <w:rFonts w:hint="eastAsia" w:ascii="仿宋_GB2312" w:eastAsia="仿宋_GB2312" w:hAnsiTheme="minorEastAsia"/>
          <w:snapToGrid w:val="0"/>
          <w:sz w:val="30"/>
          <w:szCs w:val="30"/>
        </w:rPr>
        <w:t>气动阀开关灵活，密封性能良好。</w:t>
      </w:r>
    </w:p>
    <w:p>
      <w:pPr>
        <w:spacing w:line="400" w:lineRule="exact"/>
        <w:ind w:firstLine="602" w:firstLineChars="200"/>
        <w:rPr>
          <w:rFonts w:ascii="仿宋_GB2312" w:hAnsi="仿宋_GB2312" w:eastAsia="仿宋_GB2312" w:cs="仿宋_GB2312"/>
          <w:b/>
          <w:sz w:val="30"/>
          <w:szCs w:val="30"/>
          <w:highlight w:val="yellow"/>
        </w:rPr>
      </w:pPr>
    </w:p>
    <w:p>
      <w:pPr>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第四条 设备验收</w:t>
      </w:r>
    </w:p>
    <w:p>
      <w:pPr>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4.1设备验收方法</w:t>
      </w:r>
    </w:p>
    <w:p>
      <w:pPr>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4.2收货前：乙方应对设备的质量、规格、性能、数量和重量等进行详细而全面的检验，出具一份证明设备符合规定的证书，该证书将作为申请付款凭据的一部分，但有关质量、规格性能、数量或重量的检验不应视为最终检验。</w:t>
      </w:r>
    </w:p>
    <w:p>
      <w:pPr>
        <w:spacing w:line="400" w:lineRule="exact"/>
        <w:ind w:firstLine="420"/>
        <w:rPr>
          <w:rFonts w:ascii="仿宋_GB2312" w:hAnsi="仿宋_GB2312" w:eastAsia="仿宋_GB2312" w:cs="仿宋_GB2312"/>
          <w:sz w:val="30"/>
          <w:szCs w:val="30"/>
        </w:rPr>
      </w:pPr>
      <w:r>
        <w:rPr>
          <w:rFonts w:hint="eastAsia" w:ascii="仿宋_GB2312" w:hAnsi="仿宋_GB2312" w:eastAsia="仿宋_GB2312" w:cs="仿宋_GB2312"/>
          <w:sz w:val="30"/>
          <w:szCs w:val="30"/>
        </w:rPr>
        <w:t>4.3到货后验收：设备运抵现场后，甲方将对设备的质量、规格、数量和重量进行检验，并按技术要求进行验收。</w:t>
      </w:r>
    </w:p>
    <w:p>
      <w:pPr>
        <w:spacing w:line="400" w:lineRule="exact"/>
        <w:ind w:firstLine="420"/>
        <w:rPr>
          <w:rFonts w:ascii="仿宋_GB2312" w:hAnsi="仿宋_GB2312" w:eastAsia="仿宋_GB2312" w:cs="仿宋_GB2312"/>
          <w:color w:val="FF0000"/>
          <w:sz w:val="30"/>
          <w:szCs w:val="30"/>
          <w:highlight w:val="yellow"/>
        </w:rPr>
      </w:pPr>
      <w:r>
        <w:rPr>
          <w:rFonts w:hint="eastAsia" w:ascii="仿宋_GB2312" w:hAnsi="仿宋_GB2312" w:eastAsia="仿宋_GB2312" w:cs="仿宋_GB2312"/>
          <w:color w:val="FF0000"/>
          <w:sz w:val="30"/>
          <w:szCs w:val="30"/>
          <w:highlight w:val="yellow"/>
        </w:rPr>
        <w:t>4.4设备竣工验收：</w:t>
      </w:r>
      <w:bookmarkStart w:id="19" w:name="OLE_LINK67"/>
      <w:r>
        <w:rPr>
          <w:rFonts w:hint="eastAsia" w:ascii="仿宋_GB2312" w:hAnsi="仿宋" w:eastAsia="仿宋_GB2312" w:cs="仿宋_GB2312"/>
          <w:sz w:val="30"/>
          <w:szCs w:val="30"/>
        </w:rPr>
        <w:t>分蜜机整体安装规范。</w:t>
      </w:r>
      <w:bookmarkEnd w:id="19"/>
    </w:p>
    <w:p>
      <w:pPr>
        <w:spacing w:line="360" w:lineRule="auto"/>
        <w:ind w:firstLine="420"/>
        <w:rPr>
          <w:rFonts w:ascii="仿宋_GB2312" w:hAnsi="仿宋" w:eastAsia="仿宋_GB2312" w:cs="仿宋_GB2312"/>
          <w:color w:val="FF0000"/>
          <w:sz w:val="30"/>
          <w:szCs w:val="30"/>
        </w:rPr>
      </w:pPr>
      <w:r>
        <w:rPr>
          <w:rFonts w:hint="eastAsia" w:ascii="仿宋_GB2312" w:hAnsi="仿宋_GB2312" w:eastAsia="仿宋_GB2312" w:cs="仿宋_GB2312"/>
          <w:color w:val="FF0000"/>
          <w:sz w:val="30"/>
          <w:szCs w:val="30"/>
          <w:highlight w:val="yellow"/>
        </w:rPr>
        <w:t>4.5性能验收：</w:t>
      </w:r>
      <w:r>
        <w:rPr>
          <w:rFonts w:hint="eastAsia" w:ascii="仿宋_GB2312" w:eastAsia="仿宋_GB2312" w:hAnsiTheme="minorEastAsia"/>
          <w:snapToGrid w:val="0"/>
          <w:sz w:val="30"/>
          <w:szCs w:val="30"/>
        </w:rPr>
        <w:t>分蜜机运行平稳，物料正常情况下无异常抖动（</w:t>
      </w:r>
      <w:r>
        <w:rPr>
          <w:rFonts w:hint="eastAsia" w:ascii="仿宋_GB2312" w:eastAsia="仿宋_GB2312" w:hAnsiTheme="minorEastAsia"/>
          <w:snapToGrid w:val="0"/>
          <w:color w:val="FF0000"/>
          <w:sz w:val="30"/>
          <w:szCs w:val="30"/>
          <w:highlight w:val="green"/>
        </w:rPr>
        <w:t>设备抖动值不超报警上限值</w:t>
      </w:r>
      <w:r>
        <w:rPr>
          <w:rFonts w:hint="eastAsia" w:ascii="仿宋_GB2312" w:eastAsia="仿宋_GB2312" w:hAnsiTheme="minorEastAsia"/>
          <w:snapToGrid w:val="0"/>
          <w:sz w:val="30"/>
          <w:szCs w:val="30"/>
        </w:rPr>
        <w:t>），气动阀开关灵活，密封性能良好。</w:t>
      </w:r>
      <w:r>
        <w:rPr>
          <w:rFonts w:hint="eastAsia" w:ascii="仿宋_GB2312" w:eastAsia="仿宋_GB2312" w:hAnsiTheme="minorEastAsia"/>
          <w:snapToGrid w:val="0"/>
          <w:sz w:val="30"/>
          <w:szCs w:val="30"/>
          <w:highlight w:val="green"/>
        </w:rPr>
        <w:t>物料正常情况下若设备抖动值超过报警上限值，将扣除合同总金额1</w:t>
      </w:r>
      <w:r>
        <w:rPr>
          <w:rFonts w:ascii="仿宋_GB2312" w:eastAsia="仿宋_GB2312" w:hAnsiTheme="minorEastAsia"/>
          <w:snapToGrid w:val="0"/>
          <w:sz w:val="30"/>
          <w:szCs w:val="30"/>
          <w:highlight w:val="green"/>
        </w:rPr>
        <w:t>0%</w:t>
      </w:r>
      <w:r>
        <w:rPr>
          <w:rFonts w:hint="eastAsia" w:ascii="仿宋_GB2312" w:eastAsia="仿宋_GB2312" w:hAnsiTheme="minorEastAsia"/>
          <w:snapToGrid w:val="0"/>
          <w:sz w:val="30"/>
          <w:szCs w:val="30"/>
          <w:highlight w:val="green"/>
        </w:rPr>
        <w:t>的费用。</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b/>
          <w:sz w:val="30"/>
          <w:szCs w:val="30"/>
        </w:rPr>
        <w:t>第五条 乙方的技术服务</w:t>
      </w:r>
    </w:p>
    <w:p>
      <w:pPr>
        <w:tabs>
          <w:tab w:val="left" w:pos="0"/>
        </w:tabs>
        <w:adjustRightInd w:val="0"/>
        <w:snapToGrid w:val="0"/>
        <w:spacing w:after="50" w:line="360" w:lineRule="auto"/>
        <w:ind w:firstLine="525" w:firstLineChars="175"/>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乙方向甲方提供如下的技术资料。设备出厂时，必须随机交付技术资料，其内容包括：设备供货清单、阀门合格证及设备装箱清单（一份）。</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b/>
          <w:sz w:val="30"/>
          <w:szCs w:val="30"/>
        </w:rPr>
        <w:t>第六条 乙方的免费技术服务</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6.1甲方对乙方提供的设备有疑问的，乙方负责24小时内给予答复及派人处理。</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6.2质保期内属制造方面的问题，乙方负责免费维修。</w:t>
      </w:r>
    </w:p>
    <w:p>
      <w:pPr>
        <w:spacing w:line="360" w:lineRule="auto"/>
        <w:rPr>
          <w:rFonts w:ascii="仿宋_GB2312" w:hAnsi="仿宋_GB2312" w:eastAsia="仿宋_GB2312" w:cs="仿宋_GB2312"/>
          <w:b/>
          <w:sz w:val="30"/>
          <w:szCs w:val="30"/>
        </w:rPr>
      </w:pPr>
      <w:r>
        <w:rPr>
          <w:rFonts w:hint="eastAsia" w:ascii="仿宋_GB2312" w:hAnsi="仿宋_GB2312" w:eastAsia="仿宋_GB2312" w:cs="仿宋_GB2312"/>
          <w:b/>
          <w:sz w:val="30"/>
          <w:szCs w:val="30"/>
        </w:rPr>
        <w:t>第七条 本协议作为《</w:t>
      </w:r>
      <w:r>
        <w:rPr>
          <w:rFonts w:hint="eastAsia" w:ascii="仿宋_GB2312" w:eastAsia="仿宋_GB2312" w:hAnsiTheme="minorEastAsia"/>
          <w:b/>
          <w:bCs/>
          <w:snapToGrid w:val="0"/>
          <w:sz w:val="30"/>
          <w:szCs w:val="30"/>
          <w:u w:val="single"/>
        </w:rPr>
        <w:t>2</w:t>
      </w:r>
      <w:bookmarkStart w:id="20" w:name="OLE_LINK76"/>
      <w:bookmarkStart w:id="21" w:name="OLE_LINK75"/>
      <w:r>
        <w:rPr>
          <w:rFonts w:hint="eastAsia" w:ascii="仿宋_GB2312" w:eastAsia="仿宋_GB2312" w:hAnsiTheme="minorEastAsia"/>
          <w:b/>
          <w:bCs/>
          <w:snapToGrid w:val="0"/>
          <w:sz w:val="30"/>
          <w:szCs w:val="30"/>
          <w:u w:val="single"/>
        </w:rPr>
        <w:t>023年梁河糖业勐养工厂加热自控系统改造</w:t>
      </w:r>
      <w:r>
        <w:rPr>
          <w:rFonts w:hint="eastAsia" w:ascii="仿宋_GB2312" w:hAnsi="仿宋_GB2312" w:eastAsia="仿宋_GB2312" w:cs="仿宋_GB2312"/>
          <w:b/>
          <w:sz w:val="30"/>
          <w:szCs w:val="30"/>
        </w:rPr>
        <w:t>项目</w:t>
      </w:r>
      <w:bookmarkEnd w:id="20"/>
      <w:bookmarkEnd w:id="21"/>
      <w:r>
        <w:rPr>
          <w:rFonts w:hint="eastAsia" w:ascii="仿宋_GB2312" w:hAnsi="仿宋_GB2312" w:eastAsia="仿宋_GB2312" w:cs="仿宋_GB2312"/>
          <w:b/>
          <w:color w:val="FF0000"/>
          <w:sz w:val="30"/>
          <w:szCs w:val="30"/>
        </w:rPr>
        <w:t>合同》</w:t>
      </w:r>
      <w:r>
        <w:rPr>
          <w:rFonts w:hint="eastAsia" w:ascii="仿宋_GB2312" w:hAnsi="仿宋_GB2312" w:eastAsia="仿宋_GB2312" w:cs="仿宋_GB2312"/>
          <w:b/>
          <w:sz w:val="30"/>
          <w:szCs w:val="30"/>
        </w:rPr>
        <w:t>的附件，与购销合同具有同等的法律效力。本协议一式肆份，双方各执贰份；本协议自双方签字、盖章之日起生效。</w:t>
      </w:r>
    </w:p>
    <w:p>
      <w:pPr>
        <w:spacing w:line="360" w:lineRule="auto"/>
        <w:rPr>
          <w:rFonts w:ascii="仿宋_GB2312" w:hAnsi="仿宋_GB2312" w:eastAsia="仿宋_GB2312" w:cs="仿宋_GB2312"/>
          <w:sz w:val="30"/>
          <w:szCs w:val="30"/>
        </w:rPr>
      </w:pPr>
    </w:p>
    <w:p>
      <w:pPr>
        <w:spacing w:line="400" w:lineRule="exact"/>
        <w:ind w:firstLine="420" w:firstLineChars="140"/>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甲方：                              </w:t>
            </w:r>
            <w:r>
              <w:rPr>
                <w:rFonts w:ascii="仿宋_GB2312" w:hAnsi="仿宋_GB2312" w:eastAsia="仿宋_GB2312" w:cs="仿宋_GB2312"/>
                <w:sz w:val="30"/>
                <w:szCs w:val="30"/>
              </w:rPr>
              <w:tab/>
            </w:r>
            <w:r>
              <w:rPr>
                <w:rFonts w:hint="eastAsia" w:ascii="仿宋_GB2312" w:hAnsi="仿宋_GB2312" w:eastAsia="仿宋_GB2312" w:cs="仿宋_GB2312"/>
                <w:sz w:val="30"/>
                <w:szCs w:val="30"/>
              </w:rPr>
              <w:t xml:space="preserve">                    </w:t>
            </w:r>
          </w:p>
        </w:tc>
        <w:tc>
          <w:tcPr>
            <w:tcW w:w="4927" w:type="dxa"/>
          </w:tcPr>
          <w:p>
            <w:pPr>
              <w:widowControl w:val="0"/>
              <w:tabs>
                <w:tab w:val="left" w:pos="4678"/>
              </w:tabs>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乙方：</w:t>
            </w:r>
          </w:p>
          <w:p>
            <w:pPr>
              <w:widowControl w:val="0"/>
              <w:tabs>
                <w:tab w:val="left" w:pos="4678"/>
              </w:tabs>
              <w:spacing w:line="400" w:lineRule="exact"/>
              <w:rPr>
                <w:rFonts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line="400" w:lineRule="exact"/>
              <w:rPr>
                <w:rFonts w:ascii="仿宋_GB2312" w:hAnsi="仿宋_GB2312" w:eastAsia="仿宋_GB2312" w:cs="仿宋_GB2312"/>
                <w:sz w:val="30"/>
                <w:szCs w:val="30"/>
              </w:rPr>
            </w:pPr>
          </w:p>
          <w:p>
            <w:pPr>
              <w:widowControl w:val="0"/>
              <w:tabs>
                <w:tab w:val="left" w:pos="4678"/>
              </w:tabs>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w:t>
            </w:r>
          </w:p>
        </w:tc>
        <w:tc>
          <w:tcPr>
            <w:tcW w:w="4927" w:type="dxa"/>
          </w:tcPr>
          <w:p>
            <w:pPr>
              <w:widowControl w:val="0"/>
              <w:tabs>
                <w:tab w:val="left" w:pos="4678"/>
              </w:tabs>
              <w:spacing w:line="400" w:lineRule="exact"/>
              <w:rPr>
                <w:rFonts w:ascii="仿宋_GB2312" w:hAnsi="仿宋_GB2312" w:eastAsia="仿宋_GB2312" w:cs="仿宋_GB2312"/>
                <w:sz w:val="30"/>
                <w:szCs w:val="30"/>
              </w:rPr>
            </w:pPr>
          </w:p>
          <w:p>
            <w:pPr>
              <w:widowControl w:val="0"/>
              <w:tabs>
                <w:tab w:val="left" w:pos="4678"/>
              </w:tabs>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line="400" w:lineRule="exact"/>
              <w:rPr>
                <w:rFonts w:ascii="仿宋_GB2312" w:hAnsi="仿宋_GB2312" w:eastAsia="仿宋_GB2312" w:cs="仿宋_GB2312"/>
                <w:sz w:val="30"/>
                <w:szCs w:val="30"/>
              </w:rPr>
            </w:pPr>
          </w:p>
        </w:tc>
        <w:tc>
          <w:tcPr>
            <w:tcW w:w="4927" w:type="dxa"/>
          </w:tcPr>
          <w:p>
            <w:pPr>
              <w:widowControl w:val="0"/>
              <w:tabs>
                <w:tab w:val="left" w:pos="4678"/>
              </w:tabs>
              <w:spacing w:line="400" w:lineRule="exact"/>
              <w:rPr>
                <w:rFonts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line="400" w:lineRule="exact"/>
              <w:rPr>
                <w:rFonts w:ascii="仿宋_GB2312" w:hAnsi="仿宋_GB2312" w:eastAsia="仿宋_GB2312" w:cs="仿宋_GB2312"/>
                <w:sz w:val="30"/>
                <w:szCs w:val="30"/>
              </w:rPr>
            </w:pPr>
          </w:p>
        </w:tc>
        <w:tc>
          <w:tcPr>
            <w:tcW w:w="4927" w:type="dxa"/>
          </w:tcPr>
          <w:p>
            <w:pPr>
              <w:widowControl w:val="0"/>
              <w:tabs>
                <w:tab w:val="left" w:pos="4678"/>
              </w:tabs>
              <w:spacing w:line="400" w:lineRule="exact"/>
              <w:rPr>
                <w:rFonts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before="120" w:line="34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签订时间：   年   月   日         </w:t>
            </w:r>
          </w:p>
        </w:tc>
        <w:tc>
          <w:tcPr>
            <w:tcW w:w="4927" w:type="dxa"/>
          </w:tcPr>
          <w:p>
            <w:pPr>
              <w:widowControl w:val="0"/>
              <w:jc w:val="left"/>
              <w:rPr>
                <w:rFonts w:eastAsia="仿宋_GB2312"/>
                <w:sz w:val="30"/>
                <w:szCs w:val="30"/>
              </w:rPr>
            </w:pPr>
            <w:r>
              <w:rPr>
                <w:rFonts w:hint="eastAsia" w:ascii="仿宋_GB2312" w:hAnsi="仿宋_GB2312" w:eastAsia="仿宋_GB2312" w:cs="仿宋_GB2312"/>
                <w:sz w:val="30"/>
                <w:szCs w:val="30"/>
              </w:rPr>
              <w:t>签订时间：   年   月   日</w:t>
            </w:r>
          </w:p>
        </w:tc>
      </w:tr>
    </w:tbl>
    <w:p>
      <w:r>
        <w:br w:type="page"/>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Pr>
          <w:p>
            <w:pPr>
              <w:widowControl w:val="0"/>
              <w:tabs>
                <w:tab w:val="left" w:pos="4678"/>
              </w:tabs>
              <w:spacing w:before="120" w:line="340" w:lineRule="exact"/>
              <w:rPr>
                <w:rFonts w:ascii="仿宋_GB2312" w:hAnsi="仿宋_GB2312" w:eastAsia="仿宋_GB2312" w:cs="仿宋_GB2312"/>
                <w:sz w:val="30"/>
                <w:szCs w:val="30"/>
              </w:rPr>
            </w:pPr>
          </w:p>
        </w:tc>
        <w:tc>
          <w:tcPr>
            <w:tcW w:w="4927" w:type="dxa"/>
          </w:tcPr>
          <w:p>
            <w:pPr>
              <w:widowControl w:val="0"/>
              <w:jc w:val="left"/>
              <w:rPr>
                <w:rFonts w:ascii="仿宋_GB2312" w:hAnsi="仿宋_GB2312" w:eastAsia="仿宋_GB2312" w:cs="仿宋_GB2312"/>
                <w:sz w:val="30"/>
                <w:szCs w:val="30"/>
              </w:rPr>
            </w:pPr>
          </w:p>
        </w:tc>
      </w:tr>
    </w:tbl>
    <w:p>
      <w:pPr>
        <w:rPr>
          <w:rFonts w:eastAsia="仿宋_GB2312"/>
          <w:sz w:val="30"/>
          <w:szCs w:val="30"/>
        </w:rPr>
      </w:pPr>
      <w:r>
        <w:rPr>
          <w:rFonts w:hint="eastAsia"/>
          <w:b/>
          <w:bCs/>
          <w:szCs w:val="21"/>
        </w:rPr>
        <w:t>附件2. 廉洁合同</w:t>
      </w:r>
    </w:p>
    <w:p>
      <w:pPr>
        <w:spacing w:line="500" w:lineRule="exact"/>
        <w:jc w:val="center"/>
        <w:rPr>
          <w:sz w:val="30"/>
          <w:szCs w:val="30"/>
        </w:rPr>
      </w:pPr>
      <w:r>
        <w:rPr>
          <w:rFonts w:hint="eastAsia"/>
          <w:b/>
          <w:bCs/>
          <w:sz w:val="48"/>
          <w:szCs w:val="48"/>
        </w:rPr>
        <w:t>廉洁合同</w:t>
      </w:r>
    </w:p>
    <w:p>
      <w:pPr>
        <w:spacing w:line="460" w:lineRule="exact"/>
        <w:rPr>
          <w:rFonts w:ascii="仿宋_GB2312" w:eastAsia="仿宋_GB2312"/>
          <w:sz w:val="30"/>
          <w:szCs w:val="30"/>
        </w:rPr>
      </w:pPr>
      <w:r>
        <w:rPr>
          <w:rFonts w:hint="eastAsia" w:ascii="仿宋_GB2312" w:eastAsia="仿宋_GB2312"/>
          <w:sz w:val="30"/>
          <w:szCs w:val="30"/>
        </w:rPr>
        <w:t>项目名称：</w:t>
      </w:r>
      <w:r>
        <w:rPr>
          <w:rFonts w:eastAsia="仿宋_GB2312"/>
          <w:spacing w:val="20"/>
          <w:sz w:val="32"/>
          <w:szCs w:val="32"/>
        </w:rPr>
        <w:t>2023</w:t>
      </w:r>
      <w:r>
        <w:rPr>
          <w:rFonts w:hint="eastAsia" w:eastAsia="仿宋_GB2312"/>
          <w:spacing w:val="20"/>
          <w:sz w:val="32"/>
          <w:szCs w:val="32"/>
        </w:rPr>
        <w:t>年梁河糖业勐养工厂制炼车间</w:t>
      </w:r>
      <w:r>
        <w:rPr>
          <w:rFonts w:eastAsia="仿宋_GB2312"/>
          <w:spacing w:val="20"/>
          <w:sz w:val="32"/>
          <w:szCs w:val="32"/>
        </w:rPr>
        <w:t>P25TK-1</w:t>
      </w:r>
      <w:r>
        <w:rPr>
          <w:rFonts w:hint="eastAsia" w:eastAsia="仿宋_GB2312"/>
          <w:spacing w:val="20"/>
          <w:sz w:val="32"/>
          <w:szCs w:val="32"/>
        </w:rPr>
        <w:t>离心机大修</w:t>
      </w:r>
    </w:p>
    <w:p>
      <w:pPr>
        <w:spacing w:line="460" w:lineRule="exact"/>
        <w:rPr>
          <w:rFonts w:ascii="仿宋_GB2312" w:eastAsia="仿宋_GB2312"/>
          <w:sz w:val="30"/>
          <w:szCs w:val="30"/>
        </w:rPr>
      </w:pPr>
      <w:r>
        <w:rPr>
          <w:rFonts w:hint="eastAsia" w:ascii="仿宋_GB2312" w:eastAsia="仿宋_GB2312"/>
          <w:sz w:val="30"/>
          <w:szCs w:val="30"/>
        </w:rPr>
        <w:t>甲   方：中粮梁河糖业有限公司</w:t>
      </w:r>
    </w:p>
    <w:p>
      <w:pPr>
        <w:spacing w:line="460" w:lineRule="exact"/>
        <w:rPr>
          <w:rFonts w:ascii="仿宋_GB2312" w:eastAsia="仿宋_GB2312"/>
          <w:sz w:val="30"/>
          <w:szCs w:val="30"/>
        </w:rPr>
      </w:pPr>
      <w:r>
        <w:rPr>
          <w:rFonts w:hint="eastAsia" w:ascii="仿宋_GB2312" w:eastAsia="仿宋_GB2312"/>
          <w:sz w:val="30"/>
          <w:szCs w:val="30"/>
        </w:rPr>
        <w:t xml:space="preserve">乙   方： </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为规范中粮梁河糖业有限公司</w:t>
      </w:r>
      <w:r>
        <w:rPr>
          <w:rFonts w:eastAsia="仿宋_GB2312"/>
          <w:spacing w:val="20"/>
          <w:sz w:val="32"/>
          <w:szCs w:val="32"/>
        </w:rPr>
        <w:t>2023</w:t>
      </w:r>
      <w:r>
        <w:rPr>
          <w:rFonts w:hint="eastAsia" w:eastAsia="仿宋_GB2312"/>
          <w:spacing w:val="20"/>
          <w:sz w:val="32"/>
          <w:szCs w:val="32"/>
        </w:rPr>
        <w:t>年梁河糖业勐养工厂制炼车间</w:t>
      </w:r>
      <w:r>
        <w:rPr>
          <w:rFonts w:eastAsia="仿宋_GB2312"/>
          <w:spacing w:val="20"/>
          <w:sz w:val="32"/>
          <w:szCs w:val="32"/>
        </w:rPr>
        <w:t>P25TK-1</w:t>
      </w:r>
      <w:r>
        <w:rPr>
          <w:rFonts w:hint="eastAsia" w:eastAsia="仿宋_GB2312"/>
          <w:spacing w:val="20"/>
          <w:sz w:val="32"/>
          <w:szCs w:val="32"/>
        </w:rPr>
        <w:t>离心机大修</w:t>
      </w:r>
      <w:r>
        <w:rPr>
          <w:rFonts w:hint="eastAsia" w:ascii="仿宋_GB2312" w:eastAsia="仿宋_GB2312"/>
          <w:sz w:val="30"/>
          <w:szCs w:val="30"/>
        </w:rPr>
        <w:t>的项目采购工作，防止违法违纪事件的发生，经甲方、乙方协商同意，双方将严格执行以下条款。</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一、甲方的权利和义务</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（一）甲方的工作人员有责任向乙方介绍本单位有关廉洁从业的制度、规定。甲方的纪检监察人员有权对双方在采购及合同执行过程中的廉洁情况进行监督。</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（二）甲方的工作人员不得向乙方泄露采购过程中的商业秘密。</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（四）对乙方主动给予的钱（含有价证券）、物，甲方的工作人员要坚决谢绝，无法拒绝的要在两周内上交甲方的纪检监察部门或上级纪检监察部门。</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（五）甲方的工作人员在采购及执行合同过程中，必须遵守廉洁自律的其他有关规定。</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二、乙方的权利和义务</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（一）乙方的纪检监察人员有权对双方在采购及合同执行过程中的廉洁从业情况进行监督，并积极配合甲方纪检监察工作人员就有关违纪问题进行调查取证。</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（二）乙方有权了解甲方在廉洁从业方面的各项制度和规定，并主动配合甲方遵守执行。</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（三）乙方的工作人员不得以任何方式向甲方的工作人员了解采购过程中的商业秘密。</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（五）乙方发现甲方的工作人员有不廉洁的行为，必须在48小时内署名报告甲方的纪检监察人员或有关领导。</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三、违约责任</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（一）甲方的工作人员违反廉洁责任，经调查属实的，甲方将依据党纪、公司有关规定对当事人进行严肃处理，对涉嫌犯罪人员移送司法机关。</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四、合同的生效</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（一）本合同在双方签字/盖章后生效。</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（二）本合同一式贰份，双方各执一份。</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（三）本合同在主合同授予、履行的全过程有效，并作为主合同的附件。</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监督联络方式：</w:t>
      </w:r>
    </w:p>
    <w:p>
      <w:pPr>
        <w:spacing w:line="460" w:lineRule="exact"/>
        <w:ind w:left="1500" w:hanging="1500" w:hangingChars="500"/>
        <w:rPr>
          <w:rFonts w:ascii="仿宋_GB2312" w:eastAsia="仿宋_GB2312"/>
          <w:sz w:val="30"/>
          <w:szCs w:val="30"/>
        </w:rPr>
      </w:pPr>
      <w:bookmarkStart w:id="22" w:name="_Hlk54615888"/>
      <w:r>
        <w:rPr>
          <w:rFonts w:hint="eastAsia" w:ascii="仿宋_GB2312" w:eastAsia="仿宋_GB2312"/>
          <w:sz w:val="30"/>
          <w:szCs w:val="30"/>
        </w:rPr>
        <w:t>中粮糖业纪委联系方式：办公电话  010-85017235</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 xml:space="preserve">通信地址：北京市朝阳区朝阳门南大街8号中粮福临门大厦9层905房间，中粮糖业纪委办公室收，邮编100020。          </w:t>
      </w:r>
    </w:p>
    <w:bookmarkEnd w:id="22"/>
    <w:p>
      <w:pPr>
        <w:spacing w:line="460" w:lineRule="exact"/>
        <w:ind w:left="1500" w:hanging="1500" w:hangingChars="500"/>
        <w:rPr>
          <w:rFonts w:ascii="仿宋_GB2312" w:eastAsia="仿宋_GB2312"/>
          <w:sz w:val="30"/>
          <w:szCs w:val="30"/>
        </w:rPr>
      </w:pPr>
    </w:p>
    <w:p>
      <w:pPr>
        <w:spacing w:line="460" w:lineRule="exact"/>
        <w:ind w:left="1500" w:hanging="1500" w:hangingChars="500"/>
        <w:rPr>
          <w:rFonts w:ascii="仿宋_GB2312" w:eastAsia="仿宋_GB2312"/>
          <w:sz w:val="30"/>
          <w:szCs w:val="30"/>
        </w:rPr>
      </w:pPr>
    </w:p>
    <w:p>
      <w:pPr>
        <w:spacing w:line="460" w:lineRule="exact"/>
        <w:ind w:left="1500" w:hanging="1500" w:hangingChars="500"/>
        <w:rPr>
          <w:rFonts w:ascii="仿宋_GB2312" w:eastAsia="仿宋_GB2312"/>
          <w:sz w:val="30"/>
          <w:szCs w:val="30"/>
        </w:rPr>
      </w:pP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 xml:space="preserve">甲    方：中粮梁河糖业有限公司  </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法定代表人（或授权代表）签字：______________</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签字日期：__________________________________</w:t>
      </w:r>
    </w:p>
    <w:p>
      <w:pPr>
        <w:spacing w:line="460" w:lineRule="exact"/>
        <w:ind w:left="1500" w:hanging="1500" w:hangingChars="500"/>
        <w:rPr>
          <w:rFonts w:ascii="仿宋_GB2312" w:eastAsia="仿宋_GB2312"/>
          <w:sz w:val="30"/>
          <w:szCs w:val="30"/>
        </w:rPr>
      </w:pP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 xml:space="preserve">乙    方：                                        </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法定代表人（或授权代表）签字：_______________</w:t>
      </w:r>
    </w:p>
    <w:p>
      <w:pPr>
        <w:spacing w:line="460" w:lineRule="exact"/>
        <w:ind w:left="1500" w:hanging="1500" w:hangingChars="500"/>
        <w:rPr>
          <w:rFonts w:ascii="仿宋_GB2312" w:eastAsia="仿宋_GB2312"/>
          <w:sz w:val="30"/>
          <w:szCs w:val="30"/>
        </w:rPr>
      </w:pPr>
      <w:r>
        <w:rPr>
          <w:rFonts w:hint="eastAsia" w:ascii="仿宋_GB2312" w:eastAsia="仿宋_GB2312"/>
          <w:sz w:val="30"/>
          <w:szCs w:val="30"/>
        </w:rPr>
        <w:t>签字日期：___________________________________</w:t>
      </w:r>
    </w:p>
    <w:p/>
    <w:p>
      <w:pPr>
        <w:adjustRightInd w:val="0"/>
        <w:snapToGrid w:val="0"/>
        <w:spacing w:before="156" w:beforeLines="50" w:after="156" w:afterLines="50" w:line="360" w:lineRule="auto"/>
        <w:rPr>
          <w:rFonts w:ascii="仿宋_GB2312" w:eastAsia="仿宋_GB2312"/>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r>
        <w:rPr>
          <w:rFonts w:hint="eastAsia" w:eastAsia="仿宋" w:asciiTheme="minorEastAsia" w:hAnsiTheme="minorEastAsia"/>
          <w:snapToGrid w:val="0"/>
          <w:sz w:val="24"/>
        </w:rPr>
        <w:t>附件3：安全管理协议书</w:t>
      </w:r>
    </w:p>
    <w:p>
      <w:pPr>
        <w:spacing w:line="276" w:lineRule="auto"/>
        <w:ind w:firstLine="640" w:firstLineChars="200"/>
        <w:jc w:val="center"/>
        <w:rPr>
          <w:sz w:val="32"/>
          <w:szCs w:val="32"/>
        </w:rPr>
      </w:pPr>
      <w:r>
        <w:rPr>
          <w:rFonts w:hint="eastAsia"/>
          <w:sz w:val="32"/>
          <w:szCs w:val="32"/>
        </w:rPr>
        <w:t>乙类</w:t>
      </w:r>
      <w:bookmarkStart w:id="23" w:name="OLE_LINK80"/>
      <w:bookmarkStart w:id="24" w:name="OLE_LINK79"/>
      <w:r>
        <w:rPr>
          <w:rFonts w:hint="eastAsia"/>
          <w:sz w:val="32"/>
          <w:szCs w:val="32"/>
        </w:rPr>
        <w:t>承包商安全管理协议(施工单位)</w:t>
      </w:r>
      <w:bookmarkEnd w:id="23"/>
      <w:bookmarkEnd w:id="24"/>
    </w:p>
    <w:p>
      <w:pPr>
        <w:spacing w:line="276" w:lineRule="auto"/>
        <w:ind w:firstLine="640" w:firstLineChars="200"/>
        <w:jc w:val="center"/>
        <w:rPr>
          <w:sz w:val="32"/>
          <w:szCs w:val="32"/>
        </w:rPr>
      </w:pPr>
    </w:p>
    <w:p>
      <w:pPr>
        <w:spacing w:line="276" w:lineRule="auto"/>
        <w:ind w:firstLine="480" w:firstLineChars="200"/>
        <w:rPr>
          <w:sz w:val="24"/>
        </w:rPr>
      </w:pPr>
      <w:r>
        <w:rPr>
          <w:sz w:val="24"/>
        </w:rPr>
        <w:t>甲方</w:t>
      </w:r>
      <w:bookmarkStart w:id="25" w:name="_Hlk132406061"/>
      <w:r>
        <w:rPr>
          <w:sz w:val="24"/>
        </w:rPr>
        <w:t>（发包方）</w:t>
      </w:r>
      <w:bookmarkEnd w:id="25"/>
      <w:r>
        <w:rPr>
          <w:sz w:val="24"/>
        </w:rPr>
        <w:t>：</w:t>
      </w:r>
    </w:p>
    <w:p>
      <w:pPr>
        <w:spacing w:line="276" w:lineRule="auto"/>
        <w:ind w:firstLine="480" w:firstLineChars="200"/>
        <w:rPr>
          <w:sz w:val="24"/>
        </w:rPr>
      </w:pPr>
    </w:p>
    <w:p>
      <w:pPr>
        <w:spacing w:line="276" w:lineRule="auto"/>
        <w:ind w:firstLine="480" w:firstLineChars="200"/>
        <w:rPr>
          <w:sz w:val="24"/>
        </w:rPr>
      </w:pPr>
      <w:r>
        <w:rPr>
          <w:sz w:val="24"/>
        </w:rPr>
        <w:t>乙方</w:t>
      </w:r>
      <w:bookmarkStart w:id="26" w:name="_Hlk132406074"/>
      <w:r>
        <w:rPr>
          <w:sz w:val="24"/>
        </w:rPr>
        <w:t>（承包方）</w:t>
      </w:r>
      <w:bookmarkEnd w:id="26"/>
      <w:r>
        <w:rPr>
          <w:sz w:val="24"/>
        </w:rPr>
        <w:t>：</w:t>
      </w:r>
    </w:p>
    <w:p>
      <w:pPr>
        <w:spacing w:line="276" w:lineRule="auto"/>
        <w:ind w:firstLine="480" w:firstLineChars="200"/>
        <w:rPr>
          <w:sz w:val="24"/>
        </w:rPr>
      </w:pPr>
    </w:p>
    <w:p>
      <w:pPr>
        <w:spacing w:line="276" w:lineRule="auto"/>
        <w:ind w:firstLine="480" w:firstLineChars="200"/>
        <w:rPr>
          <w:sz w:val="24"/>
        </w:rPr>
      </w:pPr>
      <w:bookmarkStart w:id="27" w:name="_Hlk132407100"/>
      <w:r>
        <w:rPr>
          <w:sz w:val="24"/>
        </w:rPr>
        <w:t>为加强施工项目的安全生产管理，明确</w:t>
      </w:r>
      <w:r>
        <w:rPr>
          <w:rFonts w:hint="eastAsia"/>
          <w:sz w:val="24"/>
        </w:rPr>
        <w:t>甲乙双方</w:t>
      </w:r>
      <w:r>
        <w:rPr>
          <w:sz w:val="24"/>
        </w:rPr>
        <w:t>安全责任，防止生产安全事故，</w:t>
      </w:r>
      <w:r>
        <w:rPr>
          <w:rFonts w:hint="eastAsia"/>
          <w:sz w:val="24"/>
        </w:rPr>
        <w:t>稳定运营，</w:t>
      </w:r>
      <w:r>
        <w:rPr>
          <w:sz w:val="24"/>
        </w:rPr>
        <w:t>按照《安全生产法》《民法典》《建设工程安全生产管理条例》等法律法规的要求，甲乙双方遵循平等、自愿、公平和诚实信用的原则，就工程安全生产管理事项协商一致，订立本协议。</w:t>
      </w:r>
    </w:p>
    <w:bookmarkEnd w:id="27"/>
    <w:p>
      <w:pPr>
        <w:spacing w:line="276" w:lineRule="auto"/>
        <w:ind w:firstLine="480" w:firstLineChars="200"/>
        <w:rPr>
          <w:sz w:val="24"/>
        </w:rPr>
      </w:pPr>
      <w:bookmarkStart w:id="28" w:name="_Toc389985354"/>
      <w:bookmarkStart w:id="29" w:name="_Toc442016137"/>
      <w:bookmarkStart w:id="30" w:name="_Toc451698735"/>
      <w:bookmarkStart w:id="31" w:name="_Toc434694358"/>
      <w:bookmarkStart w:id="32" w:name="_Toc442133366"/>
      <w:bookmarkStart w:id="33" w:name="_Toc383301022"/>
      <w:bookmarkStart w:id="34" w:name="_Toc396036405"/>
      <w:bookmarkStart w:id="35" w:name="_Toc384944712"/>
      <w:bookmarkStart w:id="36" w:name="_Toc396037049"/>
      <w:bookmarkStart w:id="37" w:name="_Toc381911461"/>
      <w:bookmarkStart w:id="38" w:name="_Toc442022096"/>
      <w:r>
        <w:rPr>
          <w:sz w:val="24"/>
        </w:rPr>
        <w:t>第一条工程概况：</w:t>
      </w:r>
      <w:bookmarkEnd w:id="28"/>
      <w:bookmarkEnd w:id="29"/>
      <w:bookmarkEnd w:id="30"/>
      <w:bookmarkEnd w:id="31"/>
      <w:bookmarkEnd w:id="32"/>
      <w:bookmarkEnd w:id="33"/>
      <w:bookmarkEnd w:id="34"/>
      <w:bookmarkEnd w:id="35"/>
      <w:bookmarkEnd w:id="36"/>
      <w:bookmarkEnd w:id="37"/>
      <w:bookmarkEnd w:id="38"/>
    </w:p>
    <w:p>
      <w:pPr>
        <w:spacing w:line="276" w:lineRule="auto"/>
        <w:ind w:firstLine="480" w:firstLineChars="200"/>
        <w:rPr>
          <w:rFonts w:ascii="宋体" w:hAnsi="宋体"/>
          <w:sz w:val="24"/>
        </w:rPr>
      </w:pPr>
      <w:bookmarkStart w:id="39" w:name="_Toc442016138"/>
      <w:bookmarkStart w:id="40" w:name="_Toc434694359"/>
      <w:bookmarkStart w:id="41" w:name="_Toc442022097"/>
      <w:bookmarkStart w:id="42" w:name="_Toc384944713"/>
      <w:bookmarkStart w:id="43" w:name="_Toc381911462"/>
      <w:bookmarkStart w:id="44" w:name="_Toc451698736"/>
      <w:bookmarkStart w:id="45" w:name="_Toc389985355"/>
      <w:bookmarkStart w:id="46" w:name="_Toc396037050"/>
      <w:bookmarkStart w:id="47" w:name="_Toc442133367"/>
      <w:bookmarkStart w:id="48" w:name="_Toc383301023"/>
      <w:bookmarkStart w:id="49" w:name="_Toc396036406"/>
      <w:r>
        <w:rPr>
          <w:sz w:val="24"/>
        </w:rPr>
        <w:t>(一)项目（作业）名称：</w:t>
      </w:r>
      <w:bookmarkEnd w:id="39"/>
      <w:bookmarkEnd w:id="40"/>
      <w:bookmarkEnd w:id="41"/>
      <w:bookmarkEnd w:id="42"/>
      <w:bookmarkEnd w:id="43"/>
      <w:bookmarkEnd w:id="44"/>
      <w:bookmarkEnd w:id="45"/>
      <w:bookmarkEnd w:id="46"/>
      <w:bookmarkEnd w:id="47"/>
      <w:bookmarkEnd w:id="48"/>
      <w:bookmarkEnd w:id="49"/>
      <w:r>
        <w:rPr>
          <w:rFonts w:hint="eastAsia" w:ascii="宋体" w:hAnsi="宋体"/>
          <w:snapToGrid w:val="0"/>
          <w:sz w:val="24"/>
          <w:u w:val="single"/>
        </w:rPr>
        <w:t>2023年梁河糖业勐养工厂制炼车间P25TK-1离心机大修</w:t>
      </w:r>
    </w:p>
    <w:p>
      <w:pPr>
        <w:spacing w:line="276" w:lineRule="auto"/>
        <w:ind w:firstLine="480" w:firstLineChars="200"/>
        <w:rPr>
          <w:sz w:val="24"/>
        </w:rPr>
      </w:pPr>
      <w:bookmarkStart w:id="50" w:name="_Toc442133368"/>
      <w:bookmarkStart w:id="51" w:name="_Toc381911463"/>
      <w:bookmarkStart w:id="52" w:name="_Toc384944714"/>
      <w:bookmarkStart w:id="53" w:name="_Toc383301024"/>
      <w:bookmarkStart w:id="54" w:name="_Toc396036407"/>
      <w:bookmarkStart w:id="55" w:name="_Toc389985356"/>
      <w:bookmarkStart w:id="56" w:name="_Toc396037051"/>
      <w:bookmarkStart w:id="57" w:name="_Toc442016139"/>
      <w:bookmarkStart w:id="58" w:name="_Toc434694360"/>
      <w:bookmarkStart w:id="59" w:name="_Toc442022098"/>
      <w:bookmarkStart w:id="60" w:name="_Toc451698737"/>
      <w:bookmarkStart w:id="61" w:name="_Hlk132406144"/>
      <w:r>
        <w:rPr>
          <w:sz w:val="24"/>
        </w:rPr>
        <w:t>(二)项目（作业）地点与范围：</w:t>
      </w:r>
      <w:bookmarkEnd w:id="50"/>
      <w:bookmarkEnd w:id="51"/>
      <w:bookmarkEnd w:id="52"/>
      <w:bookmarkEnd w:id="53"/>
      <w:bookmarkEnd w:id="54"/>
      <w:bookmarkEnd w:id="55"/>
      <w:bookmarkEnd w:id="56"/>
      <w:bookmarkEnd w:id="57"/>
      <w:bookmarkEnd w:id="58"/>
      <w:bookmarkEnd w:id="59"/>
      <w:bookmarkEnd w:id="60"/>
    </w:p>
    <w:p>
      <w:pPr>
        <w:spacing w:line="276" w:lineRule="auto"/>
        <w:ind w:firstLine="480" w:firstLineChars="200"/>
        <w:rPr>
          <w:sz w:val="24"/>
        </w:rPr>
      </w:pPr>
      <w:bookmarkStart w:id="62" w:name="_Toc451698738"/>
      <w:bookmarkStart w:id="63" w:name="_Toc384944715"/>
      <w:bookmarkStart w:id="64" w:name="_Toc396036408"/>
      <w:bookmarkStart w:id="65" w:name="_Toc434694361"/>
      <w:bookmarkStart w:id="66" w:name="_Toc396037052"/>
      <w:bookmarkStart w:id="67" w:name="_Toc442022099"/>
      <w:bookmarkStart w:id="68" w:name="_Toc442016140"/>
      <w:bookmarkStart w:id="69" w:name="_Toc442133369"/>
      <w:bookmarkStart w:id="70" w:name="_Toc381911464"/>
      <w:bookmarkStart w:id="71" w:name="_Toc383301025"/>
      <w:bookmarkStart w:id="72" w:name="_Toc389985357"/>
      <w:r>
        <w:rPr>
          <w:sz w:val="24"/>
        </w:rPr>
        <w:t>(三)项目（作业）承包主要内容：</w:t>
      </w:r>
      <w:bookmarkEnd w:id="62"/>
      <w:bookmarkEnd w:id="63"/>
      <w:bookmarkEnd w:id="64"/>
      <w:bookmarkEnd w:id="65"/>
      <w:bookmarkEnd w:id="66"/>
      <w:bookmarkEnd w:id="67"/>
      <w:bookmarkEnd w:id="68"/>
      <w:bookmarkEnd w:id="69"/>
      <w:bookmarkEnd w:id="70"/>
      <w:bookmarkEnd w:id="71"/>
      <w:bookmarkEnd w:id="72"/>
    </w:p>
    <w:bookmarkEnd w:id="61"/>
    <w:p>
      <w:pPr>
        <w:spacing w:line="276" w:lineRule="auto"/>
        <w:ind w:firstLine="480" w:firstLineChars="200"/>
        <w:rPr>
          <w:sz w:val="24"/>
        </w:rPr>
      </w:pPr>
      <w:bookmarkStart w:id="73" w:name="_Toc384944716"/>
      <w:bookmarkStart w:id="74" w:name="_Toc381911465"/>
      <w:bookmarkStart w:id="75" w:name="_Toc383301026"/>
      <w:bookmarkStart w:id="76" w:name="_Toc389985358"/>
      <w:bookmarkStart w:id="77" w:name="_Toc442016141"/>
      <w:bookmarkStart w:id="78" w:name="_Toc442022100"/>
      <w:bookmarkStart w:id="79" w:name="_Toc396036409"/>
      <w:bookmarkStart w:id="80" w:name="_Toc434694362"/>
      <w:bookmarkStart w:id="81" w:name="_Toc396037053"/>
      <w:bookmarkStart w:id="82" w:name="_Toc442133370"/>
      <w:bookmarkStart w:id="83" w:name="_Toc451698739"/>
      <w:r>
        <w:rPr>
          <w:sz w:val="24"/>
        </w:rPr>
        <w:t>(四)项目（作业）工期：自</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起，</w:t>
      </w:r>
      <w:r>
        <w:rPr>
          <w:sz w:val="24"/>
        </w:rPr>
        <w:t>至</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bookmarkEnd w:id="73"/>
      <w:bookmarkEnd w:id="74"/>
      <w:bookmarkEnd w:id="75"/>
      <w:bookmarkEnd w:id="76"/>
      <w:bookmarkEnd w:id="77"/>
      <w:bookmarkEnd w:id="78"/>
      <w:bookmarkEnd w:id="79"/>
      <w:bookmarkEnd w:id="80"/>
      <w:bookmarkEnd w:id="81"/>
      <w:bookmarkEnd w:id="82"/>
      <w:bookmarkEnd w:id="83"/>
      <w:r>
        <w:rPr>
          <w:rFonts w:hint="eastAsia"/>
          <w:sz w:val="24"/>
        </w:rPr>
        <w:t>止</w:t>
      </w:r>
      <w:r>
        <w:rPr>
          <w:sz w:val="24"/>
        </w:rPr>
        <w:t>。</w:t>
      </w:r>
    </w:p>
    <w:p>
      <w:pPr>
        <w:spacing w:line="276" w:lineRule="auto"/>
        <w:ind w:firstLine="480" w:firstLineChars="200"/>
        <w:rPr>
          <w:sz w:val="24"/>
        </w:rPr>
      </w:pPr>
      <w:bookmarkStart w:id="84" w:name="_Toc451698740"/>
      <w:bookmarkStart w:id="85" w:name="_Toc384944717"/>
      <w:bookmarkStart w:id="86" w:name="_Toc434694363"/>
      <w:bookmarkStart w:id="87" w:name="_Toc389985359"/>
      <w:bookmarkStart w:id="88" w:name="_Toc381911466"/>
      <w:bookmarkStart w:id="89" w:name="_Toc442022101"/>
      <w:bookmarkStart w:id="90" w:name="_Toc442133371"/>
      <w:bookmarkStart w:id="91" w:name="_Toc442016142"/>
      <w:bookmarkStart w:id="92" w:name="_Toc383301027"/>
      <w:bookmarkStart w:id="93" w:name="_Toc396037054"/>
      <w:bookmarkStart w:id="94" w:name="_Toc396036410"/>
      <w:r>
        <w:rPr>
          <w:sz w:val="24"/>
        </w:rPr>
        <w:t>第二条承诺</w:t>
      </w:r>
      <w:bookmarkEnd w:id="84"/>
      <w:bookmarkEnd w:id="85"/>
      <w:bookmarkEnd w:id="86"/>
      <w:bookmarkEnd w:id="87"/>
      <w:bookmarkEnd w:id="88"/>
      <w:bookmarkEnd w:id="89"/>
      <w:bookmarkEnd w:id="90"/>
      <w:bookmarkEnd w:id="91"/>
      <w:bookmarkEnd w:id="92"/>
      <w:bookmarkEnd w:id="93"/>
      <w:bookmarkEnd w:id="94"/>
    </w:p>
    <w:p>
      <w:pPr>
        <w:spacing w:line="276" w:lineRule="auto"/>
        <w:ind w:firstLine="480" w:firstLineChars="200"/>
        <w:rPr>
          <w:sz w:val="24"/>
        </w:rPr>
      </w:pPr>
      <w:r>
        <w:rPr>
          <w:sz w:val="24"/>
        </w:rPr>
        <w:t>(一)甲方承诺</w:t>
      </w:r>
    </w:p>
    <w:p>
      <w:pPr>
        <w:spacing w:line="276" w:lineRule="auto"/>
        <w:ind w:firstLine="480" w:firstLineChars="200"/>
        <w:rPr>
          <w:sz w:val="24"/>
        </w:rPr>
      </w:pPr>
      <w:r>
        <w:rPr>
          <w:sz w:val="24"/>
        </w:rPr>
        <w:t>1.遵守《安全生产法》《建设工程安全生产管理条例》</w:t>
      </w:r>
      <w:bookmarkStart w:id="95" w:name="_Hlk132420073"/>
      <w:r>
        <w:rPr>
          <w:sz w:val="24"/>
        </w:rPr>
        <w:t>《民法典》</w:t>
      </w:r>
      <w:bookmarkEnd w:id="95"/>
      <w:bookmarkStart w:id="96" w:name="_Hlk132701729"/>
      <w:r>
        <w:rPr>
          <w:rFonts w:hint="eastAsia"/>
          <w:sz w:val="24"/>
        </w:rPr>
        <w:t>《中粮集团承包商与工程项目管理安全禁令》</w:t>
      </w:r>
      <w:bookmarkEnd w:id="96"/>
      <w:r>
        <w:rPr>
          <w:sz w:val="24"/>
        </w:rPr>
        <w:t>及其他有关法律、法规、规章和标准的有关规定。</w:t>
      </w:r>
    </w:p>
    <w:p>
      <w:pPr>
        <w:spacing w:line="276" w:lineRule="auto"/>
        <w:ind w:firstLine="480" w:firstLineChars="200"/>
        <w:rPr>
          <w:sz w:val="24"/>
        </w:rPr>
      </w:pPr>
      <w:r>
        <w:rPr>
          <w:sz w:val="24"/>
        </w:rPr>
        <w:t>2.遵守项目设计，不违章指挥或者强令乙方人员冒险作业。</w:t>
      </w:r>
    </w:p>
    <w:p>
      <w:pPr>
        <w:spacing w:line="276" w:lineRule="auto"/>
        <w:ind w:firstLine="480" w:firstLineChars="200"/>
        <w:rPr>
          <w:sz w:val="24"/>
        </w:rPr>
      </w:pPr>
      <w:r>
        <w:rPr>
          <w:sz w:val="24"/>
        </w:rPr>
        <w:t>3.向乙方提供甲方安全管理制度。</w:t>
      </w:r>
    </w:p>
    <w:p>
      <w:pPr>
        <w:spacing w:line="276" w:lineRule="auto"/>
        <w:ind w:firstLine="480" w:firstLineChars="200"/>
        <w:rPr>
          <w:sz w:val="24"/>
        </w:rPr>
      </w:pPr>
      <w:r>
        <w:rPr>
          <w:sz w:val="24"/>
        </w:rPr>
        <w:t>4.对可能存在危险、有害因素应向乙方告知及相关水、电、汽等管线图等基础资料。</w:t>
      </w:r>
    </w:p>
    <w:p>
      <w:pPr>
        <w:spacing w:line="276" w:lineRule="auto"/>
        <w:ind w:firstLine="480" w:firstLineChars="200"/>
        <w:rPr>
          <w:sz w:val="24"/>
        </w:rPr>
      </w:pPr>
      <w:r>
        <w:rPr>
          <w:sz w:val="24"/>
        </w:rPr>
        <w:t>5.</w:t>
      </w:r>
      <w:r>
        <w:rPr>
          <w:rFonts w:hint="eastAsia"/>
          <w:sz w:val="24"/>
        </w:rPr>
        <w:t>对乙方进行</w:t>
      </w:r>
      <w:r>
        <w:rPr>
          <w:sz w:val="24"/>
        </w:rPr>
        <w:t>进场</w:t>
      </w:r>
      <w:r>
        <w:rPr>
          <w:rFonts w:hint="eastAsia"/>
          <w:sz w:val="24"/>
        </w:rPr>
        <w:t>安全技术</w:t>
      </w:r>
      <w:r>
        <w:rPr>
          <w:sz w:val="24"/>
        </w:rPr>
        <w:t>交底，告知</w:t>
      </w:r>
      <w:r>
        <w:rPr>
          <w:rFonts w:hint="eastAsia"/>
          <w:sz w:val="24"/>
        </w:rPr>
        <w:t>甲方</w:t>
      </w:r>
      <w:r>
        <w:rPr>
          <w:sz w:val="24"/>
        </w:rPr>
        <w:t>的安全管理制度标准、作业场所安全风险、事故应急和报告要求等。</w:t>
      </w:r>
      <w:r>
        <w:rPr>
          <w:rFonts w:hint="eastAsia"/>
          <w:sz w:val="24"/>
        </w:rPr>
        <w:t>对乙方的安全奖惩情况进行告知。</w:t>
      </w:r>
    </w:p>
    <w:p>
      <w:pPr>
        <w:spacing w:line="276" w:lineRule="auto"/>
        <w:ind w:firstLine="480" w:firstLineChars="200"/>
        <w:rPr>
          <w:sz w:val="24"/>
        </w:rPr>
      </w:pPr>
      <w:r>
        <w:rPr>
          <w:sz w:val="24"/>
        </w:rPr>
        <w:t>6</w:t>
      </w:r>
      <w:bookmarkStart w:id="97" w:name="_Hlk132663326"/>
      <w:r>
        <w:rPr>
          <w:sz w:val="24"/>
        </w:rPr>
        <w:t>严格遵守甲乙双方签订的本协议。</w:t>
      </w:r>
      <w:bookmarkEnd w:id="97"/>
    </w:p>
    <w:p>
      <w:pPr>
        <w:spacing w:line="276" w:lineRule="auto"/>
        <w:ind w:firstLine="480" w:firstLineChars="200"/>
        <w:rPr>
          <w:sz w:val="24"/>
        </w:rPr>
      </w:pPr>
      <w:r>
        <w:rPr>
          <w:sz w:val="24"/>
        </w:rPr>
        <w:t>(二)乙方承诺</w:t>
      </w:r>
    </w:p>
    <w:p>
      <w:pPr>
        <w:spacing w:line="276" w:lineRule="auto"/>
        <w:ind w:firstLine="480" w:firstLineChars="200"/>
        <w:rPr>
          <w:sz w:val="24"/>
        </w:rPr>
      </w:pPr>
      <w:r>
        <w:rPr>
          <w:sz w:val="24"/>
        </w:rPr>
        <w:t>1.遵守《安全生产法》《民法典》《建设工程安全生产管理条例》《中粮集团现场管理十项措施》</w:t>
      </w:r>
      <w:bookmarkStart w:id="98" w:name="_Hlk132700803"/>
      <w:r>
        <w:rPr>
          <w:rFonts w:hint="eastAsia"/>
          <w:sz w:val="24"/>
        </w:rPr>
        <w:t>《中粮集团承包商与工程项目管理安全禁令》</w:t>
      </w:r>
      <w:bookmarkEnd w:id="98"/>
      <w:r>
        <w:rPr>
          <w:sz w:val="24"/>
        </w:rPr>
        <w:t>《中粮糖业10条安全保命禁令》及其他有关法律、法规、规章、标准和甲方管理制度等有关规定</w:t>
      </w:r>
      <w:r>
        <w:rPr>
          <w:rFonts w:hint="eastAsia"/>
          <w:sz w:val="24"/>
        </w:rPr>
        <w:t>。</w:t>
      </w:r>
    </w:p>
    <w:p>
      <w:pPr>
        <w:spacing w:line="276" w:lineRule="auto"/>
        <w:ind w:firstLine="480" w:firstLineChars="200"/>
        <w:rPr>
          <w:sz w:val="24"/>
        </w:rPr>
      </w:pPr>
      <w:r>
        <w:rPr>
          <w:sz w:val="24"/>
        </w:rPr>
        <w:t>2.遵守工程设计,按工程设计、工程施工方案组织施工。</w:t>
      </w:r>
    </w:p>
    <w:p>
      <w:pPr>
        <w:spacing w:line="276" w:lineRule="auto"/>
        <w:ind w:firstLine="480" w:firstLineChars="200"/>
        <w:rPr>
          <w:sz w:val="24"/>
        </w:rPr>
      </w:pPr>
      <w:r>
        <w:rPr>
          <w:sz w:val="24"/>
        </w:rPr>
        <w:t>3.健全安全管理机构</w:t>
      </w:r>
      <w:r>
        <w:rPr>
          <w:rFonts w:hint="eastAsia"/>
          <w:sz w:val="24"/>
        </w:rPr>
        <w:t>、全员</w:t>
      </w:r>
      <w:r>
        <w:rPr>
          <w:sz w:val="24"/>
        </w:rPr>
        <w:t>安全生产责任制</w:t>
      </w:r>
      <w:r>
        <w:rPr>
          <w:rFonts w:hint="eastAsia"/>
          <w:sz w:val="24"/>
        </w:rPr>
        <w:t>、作业现场安全管理制度、安全操作规程和应急预案，</w:t>
      </w:r>
      <w:r>
        <w:rPr>
          <w:sz w:val="24"/>
        </w:rPr>
        <w:t>落实工作责任。配置合格的专（兼）职安全管理人员，安全管理人员外出不能正常开展工作时，须另行指派专人负责安全管理工作</w:t>
      </w:r>
      <w:r>
        <w:rPr>
          <w:rFonts w:hint="eastAsia"/>
          <w:sz w:val="24"/>
        </w:rPr>
        <w:t>，定期召开或参加甲方组织的安全会议。</w:t>
      </w:r>
    </w:p>
    <w:p>
      <w:pPr>
        <w:spacing w:line="276" w:lineRule="auto"/>
        <w:ind w:firstLine="480" w:firstLineChars="200"/>
        <w:rPr>
          <w:sz w:val="24"/>
        </w:rPr>
      </w:pPr>
      <w:r>
        <w:rPr>
          <w:sz w:val="24"/>
        </w:rPr>
        <w:t>4.在整个项目施工过程中，保持安全管理人员和项目技术人员的连续稳定，保持与承揽项目相匹配的施工资质，保证企业负责人、安全管理人员和特种作业人员持有效证件</w:t>
      </w:r>
      <w:r>
        <w:rPr>
          <w:rFonts w:hint="eastAsia"/>
          <w:sz w:val="24"/>
        </w:rPr>
        <w:t>，承担</w:t>
      </w:r>
      <w:r>
        <w:rPr>
          <w:sz w:val="24"/>
        </w:rPr>
        <w:t>资料不真实造成的后果负法律责任；若技术人员、特种作业人员</w:t>
      </w:r>
      <w:r>
        <w:rPr>
          <w:rFonts w:hint="eastAsia"/>
          <w:sz w:val="24"/>
        </w:rPr>
        <w:t>、</w:t>
      </w:r>
      <w:r>
        <w:rPr>
          <w:sz w:val="24"/>
        </w:rPr>
        <w:t>生产工艺、施工方法、作业环境和设备设施发生变化的，乙方应当书面告知甲方</w:t>
      </w:r>
      <w:r>
        <w:rPr>
          <w:rFonts w:hint="eastAsia"/>
          <w:sz w:val="24"/>
        </w:rPr>
        <w:t>并履行人员变更手续。</w:t>
      </w:r>
    </w:p>
    <w:p>
      <w:pPr>
        <w:spacing w:line="276" w:lineRule="auto"/>
        <w:ind w:firstLine="480" w:firstLineChars="200"/>
        <w:rPr>
          <w:sz w:val="24"/>
        </w:rPr>
      </w:pPr>
      <w:r>
        <w:rPr>
          <w:sz w:val="24"/>
        </w:rPr>
        <w:t>5.</w:t>
      </w:r>
      <w:r>
        <w:rPr>
          <w:rFonts w:hint="eastAsia"/>
          <w:sz w:val="24"/>
        </w:rPr>
        <w:t>不将作业项目拆包给不具备相应资质等级的作业单位或个人。</w:t>
      </w:r>
    </w:p>
    <w:p>
      <w:pPr>
        <w:spacing w:line="276" w:lineRule="auto"/>
        <w:ind w:firstLine="480" w:firstLineChars="200"/>
        <w:rPr>
          <w:sz w:val="24"/>
        </w:rPr>
      </w:pPr>
      <w:r>
        <w:rPr>
          <w:sz w:val="24"/>
        </w:rPr>
        <w:t>6.与甲方建立日常联系和协作机制,按时参加甲方组织的安全专业会议和活动。</w:t>
      </w:r>
    </w:p>
    <w:p>
      <w:pPr>
        <w:spacing w:line="276" w:lineRule="auto"/>
        <w:ind w:firstLine="480" w:firstLineChars="200"/>
        <w:rPr>
          <w:sz w:val="24"/>
        </w:rPr>
      </w:pPr>
      <w:r>
        <w:rPr>
          <w:sz w:val="24"/>
        </w:rPr>
        <w:t>7.</w:t>
      </w:r>
      <w:r>
        <w:rPr>
          <w:rFonts w:hint="eastAsia"/>
          <w:sz w:val="24"/>
        </w:rPr>
        <w:t>因自身原因作业人员不足，无法按时完成甲方工作任务，为不影响作业工期，甲方有权自行或委托第三方代为执行上述工作，所产生的费用由乙方负责。</w:t>
      </w:r>
    </w:p>
    <w:p>
      <w:pPr>
        <w:spacing w:line="276" w:lineRule="auto"/>
        <w:ind w:firstLine="480" w:firstLineChars="200"/>
        <w:rPr>
          <w:sz w:val="24"/>
        </w:rPr>
      </w:pPr>
      <w:r>
        <w:rPr>
          <w:rFonts w:hint="eastAsia"/>
          <w:sz w:val="24"/>
        </w:rPr>
        <w:t>8</w:t>
      </w:r>
      <w:r>
        <w:rPr>
          <w:sz w:val="24"/>
        </w:rPr>
        <w:t>.</w:t>
      </w:r>
      <w:r>
        <w:rPr>
          <w:rFonts w:hint="eastAsia"/>
          <w:sz w:val="24"/>
        </w:rPr>
        <w:t>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spacing w:line="276" w:lineRule="auto"/>
        <w:ind w:firstLine="480" w:firstLineChars="200"/>
        <w:rPr>
          <w:sz w:val="24"/>
        </w:rPr>
      </w:pPr>
      <w:r>
        <w:rPr>
          <w:sz w:val="24"/>
        </w:rPr>
        <w:t>9.</w:t>
      </w:r>
      <w:r>
        <w:rPr>
          <w:rFonts w:hint="eastAsia"/>
          <w:sz w:val="24"/>
        </w:rPr>
        <w:t>进行职业病诊断、鉴定时，乙方负责处理职业病诊断、鉴定事宜，并如实提供职业病诊断、鉴定所需的劳动者职业史和职业危害接触史等资料。</w:t>
      </w:r>
    </w:p>
    <w:p>
      <w:pPr>
        <w:spacing w:line="276" w:lineRule="auto"/>
        <w:ind w:firstLine="480" w:firstLineChars="200"/>
        <w:rPr>
          <w:sz w:val="24"/>
        </w:rPr>
      </w:pPr>
      <w:r>
        <w:rPr>
          <w:sz w:val="24"/>
        </w:rPr>
        <w:t>10.</w:t>
      </w:r>
      <w:r>
        <w:rPr>
          <w:rFonts w:hint="eastAsia"/>
          <w:sz w:val="24"/>
        </w:rPr>
        <w:t>作业相关的项目资料必须保密，非经甲方书面同意不能向外透露，作业完毕后，应及时退还甲方。</w:t>
      </w:r>
    </w:p>
    <w:p>
      <w:pPr>
        <w:spacing w:line="276" w:lineRule="auto"/>
        <w:ind w:firstLine="480" w:firstLineChars="200"/>
        <w:rPr>
          <w:sz w:val="24"/>
        </w:rPr>
      </w:pPr>
      <w:r>
        <w:rPr>
          <w:rFonts w:hint="eastAsia"/>
          <w:sz w:val="24"/>
        </w:rPr>
        <w:t>1</w:t>
      </w:r>
      <w:r>
        <w:rPr>
          <w:sz w:val="24"/>
        </w:rPr>
        <w:t>1.对项目施工现场的安全生产负直接责任。</w:t>
      </w:r>
    </w:p>
    <w:p>
      <w:pPr>
        <w:spacing w:line="276" w:lineRule="auto"/>
        <w:ind w:firstLine="480" w:firstLineChars="200"/>
        <w:rPr>
          <w:sz w:val="24"/>
        </w:rPr>
      </w:pPr>
      <w:r>
        <w:rPr>
          <w:rFonts w:hint="eastAsia"/>
          <w:sz w:val="24"/>
        </w:rPr>
        <w:t>1</w:t>
      </w:r>
      <w:r>
        <w:rPr>
          <w:sz w:val="24"/>
        </w:rPr>
        <w:t>2.</w:t>
      </w:r>
      <w:r>
        <w:rPr>
          <w:rFonts w:hint="eastAsia"/>
          <w:sz w:val="24"/>
        </w:rPr>
        <w:t>严格遵守甲乙双方签订的本协议。</w:t>
      </w:r>
    </w:p>
    <w:p>
      <w:pPr>
        <w:spacing w:line="276" w:lineRule="auto"/>
        <w:ind w:firstLine="480" w:firstLineChars="200"/>
        <w:rPr>
          <w:sz w:val="24"/>
        </w:rPr>
      </w:pPr>
      <w:bookmarkStart w:id="99" w:name="_Toc381911467"/>
      <w:bookmarkStart w:id="100" w:name="_Toc442016143"/>
      <w:bookmarkStart w:id="101" w:name="_Toc451698741"/>
      <w:bookmarkStart w:id="102" w:name="_Toc434694364"/>
      <w:bookmarkStart w:id="103" w:name="_Toc396036411"/>
      <w:bookmarkStart w:id="104" w:name="_Toc442133372"/>
      <w:bookmarkStart w:id="105" w:name="_Toc442022102"/>
      <w:bookmarkStart w:id="106" w:name="_Toc389985360"/>
      <w:bookmarkStart w:id="107" w:name="_Toc383301028"/>
      <w:bookmarkStart w:id="108" w:name="_Toc384944718"/>
      <w:bookmarkStart w:id="109" w:name="_Toc396037055"/>
      <w:r>
        <w:rPr>
          <w:sz w:val="24"/>
        </w:rPr>
        <w:t>第三条安全投入和资金保障</w:t>
      </w:r>
      <w:bookmarkEnd w:id="99"/>
      <w:bookmarkEnd w:id="100"/>
      <w:bookmarkEnd w:id="101"/>
      <w:bookmarkEnd w:id="102"/>
      <w:bookmarkEnd w:id="103"/>
      <w:bookmarkEnd w:id="104"/>
      <w:bookmarkEnd w:id="105"/>
      <w:bookmarkEnd w:id="106"/>
      <w:bookmarkEnd w:id="107"/>
      <w:bookmarkEnd w:id="108"/>
      <w:bookmarkEnd w:id="109"/>
    </w:p>
    <w:p>
      <w:pPr>
        <w:spacing w:line="276" w:lineRule="auto"/>
        <w:ind w:firstLine="480" w:firstLineChars="200"/>
        <w:rPr>
          <w:sz w:val="24"/>
        </w:rPr>
      </w:pPr>
      <w:r>
        <w:rPr>
          <w:sz w:val="24"/>
        </w:rPr>
        <w:t>(一)甲方是项目安全投入的责任主体，负责完善和改进项目安全生产条件的资金保障，向乙方提供保障施工作业所需的安全投入，已包含在甲方支付给乙方的合同款中。</w:t>
      </w:r>
    </w:p>
    <w:p>
      <w:pPr>
        <w:spacing w:line="276" w:lineRule="auto"/>
        <w:ind w:firstLine="480" w:firstLineChars="200"/>
        <w:rPr>
          <w:sz w:val="24"/>
        </w:rPr>
      </w:pPr>
      <w:r>
        <w:rPr>
          <w:sz w:val="24"/>
        </w:rPr>
        <w:t>(二)</w:t>
      </w:r>
      <w:r>
        <w:rPr>
          <w:rFonts w:hint="eastAsia"/>
          <w:sz w:val="24"/>
        </w:rPr>
        <w:t>乙方缴纳的项目合同履约保证金可同时用作风险抵押金，作为安全、环保风险抵押金使用。用于甲方对乙方的安全管理。当乙方发生未履新安全管理责任或者造成安全事故时，甲方可以根据协议扣除部分或全部安全管理风险押金。</w:t>
      </w:r>
    </w:p>
    <w:p>
      <w:pPr>
        <w:spacing w:line="276" w:lineRule="auto"/>
        <w:ind w:firstLine="480" w:firstLineChars="200"/>
        <w:rPr>
          <w:sz w:val="24"/>
        </w:rPr>
      </w:pPr>
      <w:r>
        <w:rPr>
          <w:sz w:val="24"/>
        </w:rPr>
        <w:t>(三)乙方须</w:t>
      </w:r>
      <w:r>
        <w:rPr>
          <w:rFonts w:hint="eastAsia"/>
          <w:sz w:val="24"/>
        </w:rPr>
        <w:t>和参与施工人员签订符合《民法典》要求的用工合同或劳务合同，负责为外包人员购买用工期间的工伤保险或人身意外伤害保险（购买金额不低于100万），并将购买保单复印件交甲方备案。</w:t>
      </w:r>
    </w:p>
    <w:p>
      <w:pPr>
        <w:spacing w:line="276" w:lineRule="auto"/>
        <w:ind w:firstLine="480" w:firstLineChars="200"/>
        <w:rPr>
          <w:sz w:val="24"/>
        </w:rPr>
      </w:pPr>
      <w:r>
        <w:rPr>
          <w:sz w:val="24"/>
        </w:rPr>
        <w:t>(四)乙方应当按照相关法律、法规、规章和标准的有关规定和本协议，保证安全生产投入落实到位、专款专用，不断完善和改进项目现场安全生产条件。甲方监督乙方将各项安全投入落实到位，乙方不落实的由甲方先期垫付。</w:t>
      </w:r>
    </w:p>
    <w:p>
      <w:pPr>
        <w:spacing w:line="276" w:lineRule="auto"/>
        <w:ind w:firstLine="480" w:firstLineChars="200"/>
        <w:rPr>
          <w:sz w:val="24"/>
        </w:rPr>
      </w:pPr>
      <w:bookmarkStart w:id="110" w:name="_Toc442016144"/>
      <w:bookmarkStart w:id="111" w:name="_Toc396036412"/>
      <w:bookmarkStart w:id="112" w:name="_Toc442133373"/>
      <w:bookmarkStart w:id="113" w:name="_Toc381911468"/>
      <w:bookmarkStart w:id="114" w:name="_Toc396037056"/>
      <w:bookmarkStart w:id="115" w:name="_Toc384944719"/>
      <w:bookmarkStart w:id="116" w:name="_Toc383301029"/>
      <w:bookmarkStart w:id="117" w:name="_Toc451698742"/>
      <w:bookmarkStart w:id="118" w:name="_Toc442022103"/>
      <w:bookmarkStart w:id="119" w:name="_Toc434694365"/>
      <w:bookmarkStart w:id="120" w:name="_Toc389985361"/>
      <w:r>
        <w:rPr>
          <w:sz w:val="24"/>
        </w:rPr>
        <w:t>第四条安全设施和施工条件</w:t>
      </w:r>
      <w:bookmarkEnd w:id="110"/>
      <w:bookmarkEnd w:id="111"/>
      <w:bookmarkEnd w:id="112"/>
      <w:bookmarkEnd w:id="113"/>
      <w:bookmarkEnd w:id="114"/>
      <w:bookmarkEnd w:id="115"/>
      <w:bookmarkEnd w:id="116"/>
      <w:bookmarkEnd w:id="117"/>
      <w:bookmarkEnd w:id="118"/>
      <w:bookmarkEnd w:id="119"/>
      <w:bookmarkEnd w:id="120"/>
    </w:p>
    <w:p>
      <w:pPr>
        <w:spacing w:line="276" w:lineRule="auto"/>
        <w:ind w:firstLine="480" w:firstLineChars="200"/>
        <w:rPr>
          <w:sz w:val="24"/>
        </w:rPr>
      </w:pPr>
      <w:r>
        <w:rPr>
          <w:sz w:val="24"/>
        </w:rPr>
        <w:t>(一)甲方应当保证提供给外包项目有关的生产系统安全设施正常运行，保证外包项目具备法律、法规、规章和标准规定的安全生产条件。</w:t>
      </w:r>
    </w:p>
    <w:p>
      <w:pPr>
        <w:spacing w:line="276" w:lineRule="auto"/>
        <w:ind w:firstLine="480" w:firstLineChars="200"/>
        <w:rPr>
          <w:sz w:val="24"/>
        </w:rPr>
      </w:pPr>
      <w:r>
        <w:rPr>
          <w:sz w:val="24"/>
        </w:rPr>
        <w:t>(二)甲方应当为乙方提供安全生产所必要的施工作业条件。除不可抗力外，甲方未向乙方提供安全生产所必要的施工作业条件，由此给乙方造成有关生产进度、经济等方面损失的，由甲方承担责任。</w:t>
      </w:r>
    </w:p>
    <w:p>
      <w:pPr>
        <w:spacing w:line="276" w:lineRule="auto"/>
        <w:ind w:firstLine="480" w:firstLineChars="200"/>
        <w:rPr>
          <w:sz w:val="24"/>
        </w:rPr>
      </w:pPr>
      <w:r>
        <w:rPr>
          <w:sz w:val="24"/>
        </w:rPr>
        <w:t>(三)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pPr>
        <w:spacing w:line="276" w:lineRule="auto"/>
        <w:ind w:firstLine="480" w:firstLineChars="200"/>
        <w:rPr>
          <w:sz w:val="24"/>
        </w:rPr>
      </w:pPr>
      <w:r>
        <w:rPr>
          <w:sz w:val="24"/>
        </w:rPr>
        <w:t>甲方提供乙方图纸资料的日期(包括图纸的绘制时间)、名称和数量清单，技术交底的时间、负责人、参加人员等记录资料，应当在本协议的附件1(《技术交底记录文件》)中予以明确。</w:t>
      </w:r>
    </w:p>
    <w:p>
      <w:pPr>
        <w:spacing w:line="276" w:lineRule="auto"/>
        <w:ind w:firstLine="480" w:firstLineChars="200"/>
        <w:rPr>
          <w:sz w:val="24"/>
        </w:rPr>
      </w:pPr>
      <w:r>
        <w:rPr>
          <w:sz w:val="24"/>
        </w:rPr>
        <w:t>(四)</w:t>
      </w:r>
      <w:r>
        <w:rPr>
          <w:rFonts w:hint="eastAsia"/>
          <w:sz w:val="24"/>
        </w:rPr>
        <w:t>乙方作业前应提交如下材料：</w:t>
      </w:r>
    </w:p>
    <w:p>
      <w:pPr>
        <w:spacing w:line="300" w:lineRule="exact"/>
        <w:ind w:firstLine="480" w:firstLineChars="200"/>
        <w:rPr>
          <w:sz w:val="24"/>
        </w:rPr>
      </w:pPr>
      <w:r>
        <w:rPr>
          <w:rFonts w:hint="eastAsia"/>
          <w:sz w:val="24"/>
        </w:rPr>
        <w:t>1. 提供一份所有作业人员花名册▲</w:t>
      </w:r>
    </w:p>
    <w:p>
      <w:pPr>
        <w:spacing w:line="300" w:lineRule="exact"/>
        <w:ind w:firstLine="480" w:firstLineChars="200"/>
        <w:rPr>
          <w:sz w:val="24"/>
        </w:rPr>
      </w:pPr>
      <w:r>
        <w:rPr>
          <w:rFonts w:hint="eastAsia"/>
          <w:sz w:val="24"/>
        </w:rPr>
        <w:t>2. 提供所有作业人员身份证（复印件）▲</w:t>
      </w:r>
    </w:p>
    <w:p>
      <w:pPr>
        <w:spacing w:line="300" w:lineRule="exact"/>
        <w:ind w:firstLine="480" w:firstLineChars="200"/>
        <w:rPr>
          <w:sz w:val="24"/>
        </w:rPr>
      </w:pPr>
      <w:r>
        <w:rPr>
          <w:rFonts w:hint="eastAsia"/>
          <w:sz w:val="24"/>
        </w:rPr>
        <w:t>3.为每一位作业人员提供一份“健康体检”表（医院体检证明）▲</w:t>
      </w:r>
    </w:p>
    <w:p>
      <w:pPr>
        <w:spacing w:line="300" w:lineRule="exact"/>
        <w:ind w:firstLine="480" w:firstLineChars="200"/>
        <w:rPr>
          <w:sz w:val="24"/>
        </w:rPr>
      </w:pPr>
      <w:r>
        <w:rPr>
          <w:rFonts w:hint="eastAsia"/>
          <w:sz w:val="24"/>
        </w:rPr>
        <w:t>4.项目经理及专职安全员并持证上岗▲</w:t>
      </w:r>
    </w:p>
    <w:p>
      <w:pPr>
        <w:spacing w:line="300" w:lineRule="exact"/>
        <w:ind w:firstLine="480" w:firstLineChars="200"/>
        <w:rPr>
          <w:sz w:val="24"/>
        </w:rPr>
      </w:pPr>
      <w:r>
        <w:rPr>
          <w:rFonts w:hint="eastAsia"/>
          <w:sz w:val="24"/>
        </w:rPr>
        <w:t>5.每一位作业人员的安全规程培训考试，合格后方可上岗▲</w:t>
      </w:r>
    </w:p>
    <w:p>
      <w:pPr>
        <w:spacing w:line="300" w:lineRule="exact"/>
        <w:ind w:firstLine="480" w:firstLineChars="200"/>
        <w:rPr>
          <w:sz w:val="24"/>
        </w:rPr>
      </w:pPr>
      <w:r>
        <w:rPr>
          <w:rFonts w:hint="eastAsia"/>
          <w:sz w:val="24"/>
        </w:rPr>
        <w:t>6.承包单位与每一位员工签订劳动合同（提供复印件）</w:t>
      </w:r>
    </w:p>
    <w:p>
      <w:pPr>
        <w:spacing w:line="300" w:lineRule="exact"/>
        <w:ind w:firstLine="480" w:firstLineChars="200"/>
        <w:rPr>
          <w:sz w:val="24"/>
        </w:rPr>
      </w:pPr>
      <w:r>
        <w:rPr>
          <w:rFonts w:hint="eastAsia"/>
          <w:sz w:val="24"/>
        </w:rPr>
        <w:t>7.为所有作业人员办理工伤保险或意外保险（提供保险凭证）▲</w:t>
      </w:r>
    </w:p>
    <w:p>
      <w:pPr>
        <w:spacing w:line="300" w:lineRule="exact"/>
        <w:ind w:firstLine="480" w:firstLineChars="200"/>
        <w:rPr>
          <w:sz w:val="24"/>
        </w:rPr>
      </w:pPr>
      <w:r>
        <w:rPr>
          <w:rFonts w:hint="eastAsia"/>
          <w:sz w:val="24"/>
        </w:rPr>
        <w:t>8.按规定缴纳安全风险抵押金▲</w:t>
      </w:r>
    </w:p>
    <w:p>
      <w:pPr>
        <w:spacing w:line="300" w:lineRule="exact"/>
        <w:ind w:firstLine="480" w:firstLineChars="200"/>
        <w:rPr>
          <w:sz w:val="24"/>
        </w:rPr>
      </w:pPr>
      <w:r>
        <w:rPr>
          <w:rFonts w:hint="eastAsia"/>
          <w:sz w:val="24"/>
        </w:rPr>
        <w:t>9.提供所有作业人员月度考勤表（进场以后执行）▲</w:t>
      </w:r>
    </w:p>
    <w:p>
      <w:pPr>
        <w:spacing w:line="300" w:lineRule="exact"/>
        <w:ind w:firstLine="480" w:firstLineChars="200"/>
        <w:rPr>
          <w:sz w:val="24"/>
        </w:rPr>
      </w:pPr>
      <w:r>
        <w:rPr>
          <w:rFonts w:hint="eastAsia"/>
          <w:sz w:val="24"/>
        </w:rPr>
        <w:t>10.提供所有作业人员劳动防护用品清单（如：安全帽、工作服、工作鞋、口罩、手套、耳塞、防护眼镜等）▲</w:t>
      </w:r>
    </w:p>
    <w:p>
      <w:pPr>
        <w:spacing w:line="300" w:lineRule="exact"/>
        <w:ind w:firstLine="480" w:firstLineChars="200"/>
        <w:rPr>
          <w:sz w:val="24"/>
        </w:rPr>
      </w:pPr>
      <w:r>
        <w:rPr>
          <w:rFonts w:hint="eastAsia"/>
          <w:sz w:val="24"/>
        </w:rPr>
        <w:t>11.提供每位员工月度安全培训记录及档案（进场以后执行）</w:t>
      </w:r>
    </w:p>
    <w:p>
      <w:pPr>
        <w:spacing w:line="300" w:lineRule="exact"/>
        <w:ind w:firstLine="480" w:firstLineChars="200"/>
        <w:rPr>
          <w:sz w:val="24"/>
        </w:rPr>
      </w:pPr>
      <w:r>
        <w:rPr>
          <w:rFonts w:hint="eastAsia"/>
          <w:sz w:val="24"/>
        </w:rPr>
        <w:t>12.提供安全生产管理办法、安全生产责任制、操作规程▲</w:t>
      </w:r>
    </w:p>
    <w:p>
      <w:pPr>
        <w:spacing w:line="300" w:lineRule="exact"/>
        <w:ind w:firstLine="480" w:firstLineChars="200"/>
        <w:rPr>
          <w:sz w:val="24"/>
        </w:rPr>
      </w:pPr>
      <w:r>
        <w:rPr>
          <w:rFonts w:hint="eastAsia"/>
          <w:sz w:val="24"/>
        </w:rPr>
        <w:t>13.提供有效的营业执照、施工资质、安全生产许可证等文件▲</w:t>
      </w:r>
    </w:p>
    <w:p>
      <w:pPr>
        <w:spacing w:line="300" w:lineRule="exact"/>
        <w:ind w:firstLine="480" w:firstLineChars="200"/>
        <w:rPr>
          <w:sz w:val="24"/>
        </w:rPr>
      </w:pPr>
      <w:r>
        <w:rPr>
          <w:rFonts w:hint="eastAsia"/>
          <w:sz w:val="24"/>
        </w:rPr>
        <w:t>14.项目经理和安全员委托书（承包商单位有效文函）▲</w:t>
      </w:r>
    </w:p>
    <w:p>
      <w:pPr>
        <w:spacing w:line="300" w:lineRule="exact"/>
        <w:ind w:firstLine="480" w:firstLineChars="200"/>
        <w:rPr>
          <w:sz w:val="24"/>
        </w:rPr>
      </w:pPr>
      <w:r>
        <w:rPr>
          <w:rFonts w:hint="eastAsia"/>
          <w:sz w:val="24"/>
        </w:rPr>
        <w:t>15.项目安全管理组织机构图，及安全生产责任制；</w:t>
      </w:r>
    </w:p>
    <w:p>
      <w:pPr>
        <w:spacing w:line="300" w:lineRule="exact"/>
        <w:ind w:firstLine="480" w:firstLineChars="200"/>
        <w:rPr>
          <w:sz w:val="24"/>
        </w:rPr>
      </w:pPr>
      <w:r>
        <w:rPr>
          <w:rFonts w:hint="eastAsia"/>
          <w:sz w:val="24"/>
        </w:rPr>
        <w:t>16.签订外来施工作业人员的安全承诺▲（进场前签定）</w:t>
      </w:r>
    </w:p>
    <w:p>
      <w:pPr>
        <w:spacing w:line="300" w:lineRule="exact"/>
        <w:ind w:firstLine="480" w:firstLineChars="200"/>
        <w:rPr>
          <w:sz w:val="24"/>
        </w:rPr>
      </w:pPr>
      <w:r>
        <w:rPr>
          <w:rFonts w:hint="eastAsia"/>
          <w:sz w:val="24"/>
        </w:rPr>
        <w:t>17.提供现场“应急施救药品”▲(附药品清单)</w:t>
      </w:r>
    </w:p>
    <w:p>
      <w:pPr>
        <w:spacing w:line="300" w:lineRule="exact"/>
        <w:ind w:firstLine="480" w:firstLineChars="200"/>
        <w:rPr>
          <w:sz w:val="24"/>
        </w:rPr>
      </w:pPr>
      <w:r>
        <w:rPr>
          <w:rFonts w:hint="eastAsia"/>
          <w:sz w:val="24"/>
        </w:rPr>
        <w:t>18.施工项目开工申请▲</w:t>
      </w:r>
    </w:p>
    <w:p>
      <w:pPr>
        <w:spacing w:line="300" w:lineRule="exact"/>
        <w:ind w:firstLine="480" w:firstLineChars="200"/>
        <w:rPr>
          <w:sz w:val="24"/>
        </w:rPr>
      </w:pPr>
      <w:r>
        <w:rPr>
          <w:rFonts w:hint="eastAsia"/>
          <w:sz w:val="24"/>
        </w:rPr>
        <w:t>19.提供承包合同、安全协议（复印件）▲</w:t>
      </w:r>
    </w:p>
    <w:p>
      <w:pPr>
        <w:spacing w:line="300" w:lineRule="exact"/>
        <w:ind w:firstLine="480" w:firstLineChars="200"/>
        <w:rPr>
          <w:sz w:val="24"/>
        </w:rPr>
      </w:pPr>
      <w:r>
        <w:rPr>
          <w:rFonts w:hint="eastAsia"/>
          <w:sz w:val="24"/>
        </w:rPr>
        <w:t>20.提供作业工器具清单、合格证</w:t>
      </w:r>
    </w:p>
    <w:p>
      <w:pPr>
        <w:spacing w:line="300" w:lineRule="exact"/>
        <w:ind w:firstLine="480" w:firstLineChars="200"/>
        <w:rPr>
          <w:sz w:val="24"/>
        </w:rPr>
      </w:pPr>
      <w:r>
        <w:rPr>
          <w:rFonts w:hint="eastAsia"/>
          <w:sz w:val="24"/>
        </w:rPr>
        <w:t>21.特殊作业人员清单、特种作业资格证▲</w:t>
      </w:r>
    </w:p>
    <w:p>
      <w:pPr>
        <w:spacing w:line="300" w:lineRule="exact"/>
        <w:ind w:firstLine="480" w:firstLineChars="200"/>
        <w:rPr>
          <w:rFonts w:hint="eastAsia"/>
          <w:sz w:val="24"/>
        </w:rPr>
      </w:pPr>
      <w:r>
        <w:rPr>
          <w:rFonts w:hint="eastAsia"/>
          <w:sz w:val="24"/>
          <w:highlight w:val="yellow"/>
        </w:rPr>
        <w:t>2</w:t>
      </w:r>
      <w:r>
        <w:rPr>
          <w:sz w:val="24"/>
          <w:highlight w:val="yellow"/>
        </w:rPr>
        <w:t>2</w:t>
      </w:r>
      <w:r>
        <w:rPr>
          <w:rFonts w:hint="eastAsia"/>
          <w:sz w:val="24"/>
          <w:highlight w:val="yellow"/>
        </w:rPr>
        <w:t>．施工队人员必需至少有一人持安全员资质证书、方能施工。</w:t>
      </w:r>
      <w:r>
        <w:rPr>
          <w:rFonts w:hint="eastAsia"/>
          <w:sz w:val="24"/>
        </w:rPr>
        <w:t>▲</w:t>
      </w:r>
    </w:p>
    <w:p>
      <w:pPr>
        <w:spacing w:line="300" w:lineRule="exact"/>
        <w:ind w:firstLine="480" w:firstLineChars="200"/>
        <w:rPr>
          <w:rFonts w:hint="default"/>
          <w:sz w:val="24"/>
          <w:highlight w:val="yellow"/>
          <w:lang w:val="en-US" w:eastAsia="zh-CN"/>
        </w:rPr>
      </w:pPr>
      <w:r>
        <w:rPr>
          <w:rFonts w:hint="eastAsia"/>
          <w:sz w:val="24"/>
          <w:highlight w:val="yellow"/>
          <w:lang w:val="en-US" w:eastAsia="zh-CN"/>
        </w:rPr>
        <w:t>23乙方自行配备施工场地围挡</w:t>
      </w:r>
    </w:p>
    <w:p>
      <w:pPr>
        <w:spacing w:line="300" w:lineRule="exact"/>
        <w:ind w:firstLine="460" w:firstLineChars="192"/>
        <w:rPr>
          <w:rFonts w:hint="eastAsia"/>
          <w:sz w:val="24"/>
        </w:rPr>
      </w:pPr>
    </w:p>
    <w:p>
      <w:pPr>
        <w:spacing w:line="300" w:lineRule="exact"/>
        <w:ind w:firstLine="460" w:firstLineChars="192"/>
        <w:rPr>
          <w:sz w:val="24"/>
        </w:rPr>
      </w:pPr>
      <w:r>
        <w:rPr>
          <w:rFonts w:hint="eastAsia"/>
          <w:sz w:val="24"/>
        </w:rPr>
        <w:t>以上资料作为外包项目承包商进入招标人作业的安全管理软件资料。有注▲的为必须合格项目，否则不具备入厂作业</w:t>
      </w:r>
    </w:p>
    <w:p>
      <w:pPr>
        <w:spacing w:line="276" w:lineRule="auto"/>
        <w:ind w:firstLine="480" w:firstLineChars="200"/>
        <w:rPr>
          <w:sz w:val="24"/>
        </w:rPr>
      </w:pPr>
      <w:r>
        <w:rPr>
          <w:sz w:val="24"/>
        </w:rPr>
        <w:t>（五）乙方应当制定项目施工方案。包括：施工负责人、施工步骤（实施的具体内容）、施工进度，明确作业过程可能发生的风险分析及防控措施和应急处置方案，经甲方审核批准后，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pPr>
        <w:spacing w:line="276" w:lineRule="auto"/>
        <w:ind w:firstLine="480" w:firstLineChars="200"/>
        <w:rPr>
          <w:sz w:val="24"/>
        </w:rPr>
      </w:pPr>
      <w:r>
        <w:rPr>
          <w:rFonts w:hint="eastAsia"/>
          <w:sz w:val="24"/>
        </w:rPr>
        <w:t>注意：不得安排未经上岗前职业健康检查的人员从事接触职业病危害的作业，不得安排有职业禁忌的人员从事其所禁忌的作业。</w:t>
      </w:r>
    </w:p>
    <w:p>
      <w:pPr>
        <w:spacing w:line="276" w:lineRule="auto"/>
        <w:ind w:firstLine="480" w:firstLineChars="200"/>
        <w:rPr>
          <w:sz w:val="24"/>
        </w:rPr>
      </w:pPr>
      <w:r>
        <w:rPr>
          <w:sz w:val="24"/>
        </w:rPr>
        <w:t>（六）</w:t>
      </w:r>
      <w:r>
        <w:rPr>
          <w:rFonts w:hint="eastAsia"/>
          <w:sz w:val="24"/>
        </w:rPr>
        <w:t>乙方在作业时必须履行好如下工作要求：</w:t>
      </w:r>
    </w:p>
    <w:p>
      <w:pPr>
        <w:spacing w:line="420" w:lineRule="exact"/>
        <w:ind w:firstLine="480" w:firstLineChars="200"/>
        <w:rPr>
          <w:sz w:val="24"/>
        </w:rPr>
      </w:pPr>
      <w:r>
        <w:rPr>
          <w:rFonts w:hint="eastAsia"/>
          <w:sz w:val="24"/>
        </w:rPr>
        <w:t>1.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pPr>
        <w:spacing w:line="420" w:lineRule="exact"/>
        <w:ind w:firstLine="480" w:firstLineChars="200"/>
        <w:rPr>
          <w:sz w:val="24"/>
        </w:rPr>
      </w:pPr>
      <w:r>
        <w:rPr>
          <w:rFonts w:hint="eastAsia"/>
          <w:sz w:val="24"/>
        </w:rPr>
        <w:t>2.作业时如需拉设警戒带的，提前采购好。</w:t>
      </w:r>
    </w:p>
    <w:p>
      <w:pPr>
        <w:spacing w:line="420" w:lineRule="exact"/>
        <w:ind w:firstLine="480" w:firstLineChars="200"/>
        <w:rPr>
          <w:sz w:val="24"/>
        </w:rPr>
      </w:pPr>
      <w:r>
        <w:rPr>
          <w:rFonts w:hint="eastAsia"/>
          <w:sz w:val="24"/>
        </w:rPr>
        <w:t>3.乙方每日作业前，必须参加甲方组织的班前会（安全技术交底）活动后方可安排作业。</w:t>
      </w:r>
    </w:p>
    <w:p>
      <w:pPr>
        <w:spacing w:line="420" w:lineRule="exact"/>
        <w:ind w:firstLine="480" w:firstLineChars="200"/>
        <w:rPr>
          <w:sz w:val="24"/>
        </w:rPr>
      </w:pPr>
      <w:r>
        <w:rPr>
          <w:rFonts w:hint="eastAsia"/>
          <w:sz w:val="24"/>
        </w:rPr>
        <w:t>4.所有人员进入甲方区域前，应佩戴好安全帽，统一穿前、后有反光条的工装（有公司简称）或穿反光背心，衣冠要整齐，反光背心前、后需印有乙方公司简称，如“广西一安</w:t>
      </w:r>
      <w:r>
        <w:rPr>
          <w:sz w:val="24"/>
        </w:rPr>
        <w:t>”</w:t>
      </w:r>
      <w:r>
        <w:rPr>
          <w:rFonts w:hint="eastAsia"/>
          <w:sz w:val="24"/>
        </w:rPr>
        <w:t>、“中国建筑”等明显字眼。乙方入厂作业前应准备好2-4件红色反光衣，前、后印刷有“安全监护人”字样，供专职安全监护人穿用。</w:t>
      </w:r>
    </w:p>
    <w:p>
      <w:pPr>
        <w:spacing w:line="420" w:lineRule="exact"/>
        <w:ind w:firstLine="480" w:firstLineChars="200"/>
        <w:rPr>
          <w:sz w:val="24"/>
        </w:rPr>
      </w:pPr>
      <w:r>
        <w:rPr>
          <w:rFonts w:hint="eastAsia"/>
          <w:sz w:val="24"/>
        </w:rPr>
        <w:t>5.乙方安排进入甲方区域的工程、运输车辆必须按照甲方要求配置爆闪灯、前后录像仪、倒车语音提示、前后影像、倒车雷达、示宽灯、车辆左右和后侧张贴反光条等。</w:t>
      </w:r>
    </w:p>
    <w:p>
      <w:pPr>
        <w:spacing w:line="420" w:lineRule="exact"/>
        <w:ind w:firstLine="480" w:firstLineChars="200"/>
        <w:rPr>
          <w:sz w:val="24"/>
        </w:rPr>
      </w:pPr>
      <w:r>
        <w:rPr>
          <w:rFonts w:hint="eastAsia"/>
          <w:sz w:val="24"/>
        </w:rPr>
        <w:t>6.乙方禁止私自在甲方区域接施工电箱主电源，由乙方向甲方申请临时用电，甲方派人接电，电气作业人员必须穿绝缘鞋。</w:t>
      </w:r>
    </w:p>
    <w:p>
      <w:pPr>
        <w:spacing w:line="420" w:lineRule="exact"/>
        <w:ind w:firstLine="480" w:firstLineChars="200"/>
        <w:rPr>
          <w:sz w:val="24"/>
        </w:rPr>
      </w:pPr>
      <w:r>
        <w:rPr>
          <w:rFonts w:hint="eastAsia"/>
          <w:sz w:val="24"/>
        </w:rPr>
        <w:t>7.乙方人员从事气割作业，除穿戴最基本的安全帽和反光背心外，必须戴难燃手套和墨镜。</w:t>
      </w:r>
    </w:p>
    <w:p>
      <w:pPr>
        <w:spacing w:line="420" w:lineRule="exact"/>
        <w:ind w:firstLine="480" w:firstLineChars="200"/>
        <w:rPr>
          <w:sz w:val="24"/>
        </w:rPr>
      </w:pPr>
      <w:r>
        <w:rPr>
          <w:rFonts w:hint="eastAsia"/>
          <w:sz w:val="24"/>
        </w:rPr>
        <w:t>8.乙方人员从事焊接作业，必须佩戴安全帽、绝缘鞋、电焊手套、电焊面罩，作业过程中禁止穿易燃的反光衣等，作业完毕后及时穿反光衣。</w:t>
      </w:r>
    </w:p>
    <w:p>
      <w:pPr>
        <w:spacing w:line="420" w:lineRule="exact"/>
        <w:ind w:firstLine="480" w:firstLineChars="200"/>
        <w:rPr>
          <w:sz w:val="24"/>
        </w:rPr>
      </w:pPr>
      <w:r>
        <w:rPr>
          <w:rFonts w:hint="eastAsia"/>
          <w:sz w:val="24"/>
        </w:rPr>
        <w:t>9.从事高处、临边作业必须佩戴安全带并挂好，没有条件要创造条件。搭设的脚手架必须符合规范等安全要求，原则上禁止使用竹、木头等易断材质作为搭设材料（锅炉炉膛除外），脚手架上的踏板必须铺满并固定好。</w:t>
      </w:r>
    </w:p>
    <w:p>
      <w:pPr>
        <w:spacing w:line="420" w:lineRule="exact"/>
        <w:ind w:firstLine="480" w:firstLineChars="200"/>
        <w:rPr>
          <w:sz w:val="24"/>
        </w:rPr>
      </w:pPr>
      <w:r>
        <w:rPr>
          <w:rFonts w:hint="eastAsia"/>
          <w:sz w:val="24"/>
        </w:rPr>
        <w:t>10.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pPr>
        <w:spacing w:line="420" w:lineRule="exact"/>
        <w:ind w:firstLine="480" w:firstLineChars="200"/>
        <w:rPr>
          <w:sz w:val="24"/>
        </w:rPr>
      </w:pPr>
      <w:r>
        <w:rPr>
          <w:rFonts w:hint="eastAsia"/>
          <w:sz w:val="24"/>
        </w:rPr>
        <w:t>11.氧气乙炔瓶的管理，同一地点不允许存放超过5瓶及以上，作业时氧气乙炔两者应相距5米以上，气瓶距动火点相距10米以上，同时做好防晒、防回火和防倾倒措施，气管、压力表等要符合国标要求。</w:t>
      </w:r>
    </w:p>
    <w:p>
      <w:pPr>
        <w:spacing w:line="420" w:lineRule="exact"/>
        <w:ind w:firstLine="480" w:firstLineChars="200"/>
        <w:rPr>
          <w:sz w:val="24"/>
        </w:rPr>
      </w:pPr>
      <w:r>
        <w:rPr>
          <w:rFonts w:hint="eastAsia"/>
          <w:sz w:val="24"/>
        </w:rPr>
        <w:t>12.砂轮机、切割、敲击、风炮机等作业必须佩戴防冲击眼镜。</w:t>
      </w:r>
    </w:p>
    <w:p>
      <w:pPr>
        <w:spacing w:line="420" w:lineRule="exact"/>
        <w:ind w:firstLine="480" w:firstLineChars="200"/>
        <w:rPr>
          <w:sz w:val="24"/>
        </w:rPr>
      </w:pPr>
      <w:r>
        <w:rPr>
          <w:rFonts w:hint="eastAsia"/>
          <w:sz w:val="24"/>
        </w:rPr>
        <w:t>13.原则上禁止开展高处抛物作业，上下梯子禁止手拿工具或其它物品。</w:t>
      </w:r>
    </w:p>
    <w:p>
      <w:pPr>
        <w:spacing w:line="420" w:lineRule="exact"/>
        <w:ind w:firstLine="480" w:firstLineChars="200"/>
        <w:rPr>
          <w:sz w:val="24"/>
        </w:rPr>
      </w:pPr>
      <w:r>
        <w:rPr>
          <w:rFonts w:hint="eastAsia"/>
          <w:sz w:val="24"/>
        </w:rPr>
        <w:t>14.现场施工用电线横跨人行通道要求悬挂高度2米以上（悬挂点必须做好绝缘措施）或做好警戒隔离措施。</w:t>
      </w:r>
    </w:p>
    <w:p>
      <w:pPr>
        <w:spacing w:line="420" w:lineRule="exact"/>
        <w:ind w:firstLine="480" w:firstLineChars="200"/>
        <w:rPr>
          <w:sz w:val="24"/>
        </w:rPr>
      </w:pPr>
      <w:r>
        <w:rPr>
          <w:rFonts w:hint="eastAsia"/>
          <w:sz w:val="24"/>
        </w:rPr>
        <w:t>15.乙方须为作业人员统一配发符合国家或行业标准的劳动防护用品，并监督按照规则标准，正确佩戴、使用。乙方负责其工作人员按标准佩戴、使用劳动防护用品。除电焊、电工作业要求穿绝缘鞋外，其他人员进入施工现场禁止穿拖鞋、凉鞋、高跟鞋，应选择与工种相适应的鞋子，如存在高能量物体冲击砸伤足部的危险作业应穿保护足趾安全鞋、存在锐利物的作业场所应穿防刺穿鞋、涉及酸、碱、化学药品等作业应穿耐化学品的工业用橡胶靴或模压塑料靴。具体详见《GBT 29510 个体防护装备配备基本要求》。</w:t>
      </w:r>
    </w:p>
    <w:p>
      <w:pPr>
        <w:spacing w:line="420" w:lineRule="exact"/>
        <w:ind w:firstLine="480" w:firstLineChars="200"/>
        <w:rPr>
          <w:sz w:val="24"/>
        </w:rPr>
      </w:pPr>
      <w:r>
        <w:rPr>
          <w:rFonts w:hint="eastAsia"/>
          <w:sz w:val="24"/>
        </w:rPr>
        <w:t>16.基坑开挖和物料堆放必须符合规范要求，防止出现坍塌事件。</w:t>
      </w:r>
    </w:p>
    <w:p>
      <w:pPr>
        <w:spacing w:line="420" w:lineRule="exact"/>
        <w:ind w:firstLine="480" w:firstLineChars="200"/>
        <w:rPr>
          <w:sz w:val="24"/>
        </w:rPr>
      </w:pPr>
      <w:r>
        <w:rPr>
          <w:rFonts w:hint="eastAsia"/>
          <w:sz w:val="24"/>
        </w:rPr>
        <w:t>17.凡未经确认的线路、管道、容器一律视为有电、有压力、正在运行。不得挪用或者擅自拆除、停用消防设施、器材，不得埋压圈占、遮挡消防栓、不得占用防火间距，不得占用、堵塞、封闭疏散通道、安全出口与消防车通道。</w:t>
      </w:r>
    </w:p>
    <w:p>
      <w:pPr>
        <w:spacing w:line="420" w:lineRule="exact"/>
        <w:ind w:firstLine="480" w:firstLineChars="200"/>
        <w:rPr>
          <w:sz w:val="24"/>
        </w:rPr>
      </w:pPr>
      <w:r>
        <w:rPr>
          <w:rFonts w:hint="eastAsia"/>
          <w:sz w:val="24"/>
        </w:rPr>
        <w:t>18.人员在厂区行走时，原则上只允许行走人行通道、斑马线和甲方指定的区域，禁止跨越隔离栏，乱走、乱跑，不得擅自进入与作业无关的区域。</w:t>
      </w:r>
    </w:p>
    <w:p>
      <w:pPr>
        <w:spacing w:line="420" w:lineRule="exact"/>
        <w:ind w:firstLine="480" w:firstLineChars="200"/>
        <w:rPr>
          <w:sz w:val="24"/>
        </w:rPr>
      </w:pPr>
      <w:r>
        <w:rPr>
          <w:rFonts w:hint="eastAsia"/>
          <w:sz w:val="24"/>
        </w:rPr>
        <w:t>19.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pPr>
        <w:spacing w:line="420" w:lineRule="exact"/>
        <w:ind w:firstLine="480" w:firstLineChars="200"/>
        <w:rPr>
          <w:sz w:val="24"/>
        </w:rPr>
      </w:pPr>
      <w:r>
        <w:rPr>
          <w:rFonts w:hint="eastAsia"/>
          <w:sz w:val="24"/>
        </w:rPr>
        <w:t>20.乙方施工（安装）区域的施工（安装）设备、临时用电设施、脚手架、出入通道口、楼梯口、危险有害气体或液体存放处等危险部位，应设置明显的安全警示标志、围栏，危险警示标志、围栏符合国家标准。</w:t>
      </w:r>
    </w:p>
    <w:p>
      <w:pPr>
        <w:spacing w:line="420" w:lineRule="exact"/>
        <w:ind w:firstLine="480" w:firstLineChars="200"/>
        <w:rPr>
          <w:sz w:val="24"/>
        </w:rPr>
      </w:pPr>
      <w:r>
        <w:rPr>
          <w:rFonts w:hint="eastAsia"/>
          <w:sz w:val="24"/>
        </w:rPr>
        <w:t>21.乙方所用工具、材料、备品备件应码放平稳，不得存在有倾翻、滚动、坠落和其它危险隐患。</w:t>
      </w:r>
    </w:p>
    <w:p>
      <w:pPr>
        <w:spacing w:line="420" w:lineRule="exact"/>
        <w:ind w:firstLine="480" w:firstLineChars="200"/>
        <w:rPr>
          <w:sz w:val="24"/>
        </w:rPr>
      </w:pPr>
      <w:r>
        <w:rPr>
          <w:rFonts w:hint="eastAsia"/>
          <w:sz w:val="24"/>
        </w:rPr>
        <w:t>22.乙方缴纳的履约保证金同时作为安全、环保风险抵押金使用，乙方发生事故罚款时，履约保证金不足，可从合同金额中扣除。项目验收结束且确认乙方无违规、事故后，甲方无息返还乙方风险抵押金。若乙方发生安全事故或违规，甲方根据事故或违规考核情况，按本协议第二条扣罚部分或全部风险抵押金。</w:t>
      </w:r>
    </w:p>
    <w:p>
      <w:pPr>
        <w:spacing w:line="420" w:lineRule="exact"/>
        <w:ind w:firstLine="480" w:firstLineChars="200"/>
        <w:rPr>
          <w:sz w:val="24"/>
        </w:rPr>
      </w:pPr>
      <w:r>
        <w:rPr>
          <w:rFonts w:hint="eastAsia"/>
          <w:sz w:val="24"/>
        </w:rPr>
        <w:t>23.乙方作业现场发生事故的，应立即报告监理和甲方，</w:t>
      </w:r>
      <w:r>
        <w:rPr>
          <w:sz w:val="24"/>
        </w:rPr>
        <w:t>乙方应按《生产安全事故报告和调查处理条例》</w:t>
      </w:r>
      <w:r>
        <w:rPr>
          <w:rFonts w:hint="eastAsia"/>
          <w:sz w:val="24"/>
        </w:rPr>
        <w:t>等法律、法规、规章的规定报告，并按照专项应急预案或者应急处置方案立即开展事故救援</w:t>
      </w:r>
      <w:r>
        <w:rPr>
          <w:sz w:val="24"/>
        </w:rPr>
        <w:t>。</w:t>
      </w:r>
    </w:p>
    <w:p>
      <w:pPr>
        <w:spacing w:line="420" w:lineRule="exact"/>
        <w:ind w:firstLine="480" w:firstLineChars="200"/>
        <w:rPr>
          <w:sz w:val="24"/>
        </w:rPr>
      </w:pPr>
      <w:r>
        <w:rPr>
          <w:rFonts w:hint="eastAsia"/>
          <w:sz w:val="24"/>
        </w:rPr>
        <w:t>24.乙方不得随意更换项目关键人员，关键人员离开现场应提前告知甲方，并办理相关审批手续。</w:t>
      </w:r>
    </w:p>
    <w:p>
      <w:pPr>
        <w:spacing w:line="420" w:lineRule="exact"/>
        <w:ind w:firstLine="480" w:firstLineChars="200"/>
        <w:rPr>
          <w:sz w:val="24"/>
        </w:rPr>
      </w:pPr>
      <w:r>
        <w:rPr>
          <w:rFonts w:hint="eastAsia"/>
          <w:sz w:val="24"/>
        </w:rPr>
        <w:t>25.作业现场暂时停工的，乙方须做好现场安全防护工作。</w:t>
      </w:r>
    </w:p>
    <w:p>
      <w:pPr>
        <w:spacing w:line="420" w:lineRule="exact"/>
        <w:ind w:firstLine="480" w:firstLineChars="200"/>
        <w:rPr>
          <w:sz w:val="24"/>
        </w:rPr>
      </w:pPr>
      <w:r>
        <w:rPr>
          <w:rFonts w:hint="eastAsia"/>
          <w:sz w:val="24"/>
        </w:rPr>
        <w:t>26.</w:t>
      </w:r>
      <w:r>
        <w:rPr>
          <w:rFonts w:hint="eastAsia"/>
          <w:bCs/>
          <w:sz w:val="24"/>
        </w:rPr>
        <w:t>乙方在施工前，</w:t>
      </w:r>
      <w:r>
        <w:rPr>
          <w:bCs/>
          <w:sz w:val="24"/>
        </w:rPr>
        <w:t>须</w:t>
      </w:r>
      <w:r>
        <w:rPr>
          <w:rFonts w:hint="eastAsia"/>
          <w:bCs/>
          <w:sz w:val="24"/>
        </w:rPr>
        <w:t>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pPr>
        <w:spacing w:line="420" w:lineRule="exact"/>
        <w:ind w:firstLine="480" w:firstLineChars="200"/>
        <w:rPr>
          <w:sz w:val="24"/>
        </w:rPr>
      </w:pPr>
      <w:r>
        <w:rPr>
          <w:rFonts w:hint="eastAsia"/>
          <w:sz w:val="24"/>
        </w:rPr>
        <w:t>27.乙方到甲方开展的施工项目，项目各施工小组（点）人数达3-7人的要设1名现场负责人，7人以上共同作业或从事危险作业的要设1名专职安全监护人，监护人专门负责小组（点）施工安全监护。施工方</w:t>
      </w:r>
      <w:r>
        <w:rPr>
          <w:sz w:val="24"/>
        </w:rPr>
        <w:t>作业人数大于或等于</w:t>
      </w:r>
      <w:r>
        <w:rPr>
          <w:rFonts w:hint="eastAsia"/>
          <w:sz w:val="24"/>
        </w:rPr>
        <w:t>7人</w:t>
      </w:r>
      <w:r>
        <w:rPr>
          <w:sz w:val="24"/>
        </w:rPr>
        <w:t>的</w:t>
      </w:r>
      <w:r>
        <w:rPr>
          <w:rFonts w:hint="eastAsia"/>
          <w:sz w:val="24"/>
        </w:rPr>
        <w:t>必须</w:t>
      </w:r>
      <w:r>
        <w:rPr>
          <w:sz w:val="24"/>
        </w:rPr>
        <w:t>要配置专职</w:t>
      </w:r>
      <w:r>
        <w:rPr>
          <w:rFonts w:hint="eastAsia"/>
          <w:sz w:val="24"/>
        </w:rPr>
        <w:t>监护人。</w:t>
      </w:r>
    </w:p>
    <w:p>
      <w:pPr>
        <w:spacing w:line="420" w:lineRule="exact"/>
        <w:ind w:firstLine="480" w:firstLineChars="200"/>
        <w:rPr>
          <w:sz w:val="24"/>
        </w:rPr>
      </w:pPr>
      <w:r>
        <w:rPr>
          <w:rFonts w:hint="eastAsia"/>
          <w:sz w:val="24"/>
        </w:rPr>
        <w:t>28.</w:t>
      </w:r>
      <w:r>
        <w:rPr>
          <w:sz w:val="24"/>
        </w:rPr>
        <w:t>专职</w:t>
      </w:r>
      <w:r>
        <w:rPr>
          <w:rFonts w:hint="eastAsia"/>
          <w:sz w:val="24"/>
        </w:rPr>
        <w:t>监护人</w:t>
      </w:r>
      <w:r>
        <w:rPr>
          <w:sz w:val="24"/>
        </w:rPr>
        <w:t>禁止参与任何作业</w:t>
      </w:r>
      <w:r>
        <w:rPr>
          <w:rFonts w:hint="eastAsia"/>
          <w:sz w:val="24"/>
        </w:rPr>
        <w:t>活动</w:t>
      </w:r>
      <w:r>
        <w:rPr>
          <w:sz w:val="24"/>
        </w:rPr>
        <w:t>，主要履行现场安全监</w:t>
      </w:r>
      <w:r>
        <w:rPr>
          <w:rFonts w:hint="eastAsia"/>
          <w:sz w:val="24"/>
        </w:rPr>
        <w:t>护</w:t>
      </w:r>
      <w:r>
        <w:rPr>
          <w:sz w:val="24"/>
        </w:rPr>
        <w:t>职责</w:t>
      </w:r>
      <w:r>
        <w:rPr>
          <w:rFonts w:hint="eastAsia"/>
          <w:sz w:val="24"/>
        </w:rPr>
        <w:t>,专职监护人必须穿专用红色“安全监护人”反光背心</w:t>
      </w:r>
      <w:r>
        <w:rPr>
          <w:sz w:val="24"/>
        </w:rPr>
        <w:t>。</w:t>
      </w:r>
    </w:p>
    <w:p>
      <w:pPr>
        <w:spacing w:line="420" w:lineRule="exact"/>
        <w:ind w:firstLine="480" w:firstLineChars="200"/>
        <w:rPr>
          <w:sz w:val="24"/>
        </w:rPr>
      </w:pPr>
      <w:r>
        <w:rPr>
          <w:rFonts w:hint="eastAsia"/>
          <w:sz w:val="24"/>
        </w:rPr>
        <w:t>29.</w:t>
      </w:r>
      <w:r>
        <w:rPr>
          <w:rFonts w:hint="eastAsia"/>
          <w:bCs/>
          <w:sz w:val="24"/>
        </w:rPr>
        <w:t>乙方必须设置安全管理员及卫生专员，每日负责做好作业区域内的安全、文明施工工作，做到有轮必有罩、有轴必有套、梯台必有栏、井沟必有盖及工完场清等，营造良好的安全、文明工作环境。</w:t>
      </w:r>
    </w:p>
    <w:p>
      <w:pPr>
        <w:spacing w:line="420" w:lineRule="exact"/>
        <w:ind w:firstLine="480" w:firstLineChars="200"/>
        <w:rPr>
          <w:sz w:val="24"/>
        </w:rPr>
      </w:pPr>
      <w:r>
        <w:rPr>
          <w:rFonts w:hint="eastAsia"/>
          <w:sz w:val="24"/>
        </w:rPr>
        <w:t>30.其它法律、法规、标准、规范、地方文件等要求的事项。</w:t>
      </w:r>
    </w:p>
    <w:p>
      <w:pPr>
        <w:spacing w:line="276" w:lineRule="auto"/>
        <w:ind w:firstLine="480" w:firstLineChars="200"/>
        <w:rPr>
          <w:sz w:val="24"/>
        </w:rPr>
      </w:pPr>
      <w:bookmarkStart w:id="121" w:name="_Toc389985362"/>
      <w:bookmarkStart w:id="122" w:name="_Toc442022104"/>
      <w:bookmarkStart w:id="123" w:name="_Toc442016145"/>
      <w:bookmarkStart w:id="124" w:name="_Toc451698743"/>
      <w:bookmarkStart w:id="125" w:name="_Toc383301030"/>
      <w:bookmarkStart w:id="126" w:name="_Toc434694366"/>
      <w:bookmarkStart w:id="127" w:name="_Toc396036413"/>
      <w:bookmarkStart w:id="128" w:name="_Toc381911469"/>
      <w:bookmarkStart w:id="129" w:name="_Toc442133374"/>
      <w:bookmarkStart w:id="130" w:name="_Toc384944720"/>
      <w:bookmarkStart w:id="131" w:name="_Toc396037057"/>
      <w:bookmarkStart w:id="132" w:name="_Hlk132406554"/>
      <w:r>
        <w:rPr>
          <w:sz w:val="24"/>
        </w:rPr>
        <w:t>第五条隐患排查与治理</w:t>
      </w:r>
      <w:bookmarkEnd w:id="121"/>
      <w:bookmarkEnd w:id="122"/>
      <w:bookmarkEnd w:id="123"/>
      <w:bookmarkEnd w:id="124"/>
      <w:bookmarkEnd w:id="125"/>
      <w:bookmarkEnd w:id="126"/>
      <w:bookmarkEnd w:id="127"/>
      <w:bookmarkEnd w:id="128"/>
      <w:bookmarkEnd w:id="129"/>
      <w:bookmarkEnd w:id="130"/>
      <w:bookmarkEnd w:id="131"/>
    </w:p>
    <w:p>
      <w:pPr>
        <w:spacing w:line="276" w:lineRule="auto"/>
        <w:ind w:firstLine="480" w:firstLineChars="200"/>
        <w:rPr>
          <w:sz w:val="24"/>
        </w:rPr>
      </w:pPr>
      <w:r>
        <w:rPr>
          <w:sz w:val="24"/>
        </w:rPr>
        <w:t>（一）甲方应当建立健全事故隐患排查治理和建档、监控等项制度，对项目现场进行隐患排查并督促乙方整改，定期对隐患排查治理情况进行统计分析与报告。</w:t>
      </w:r>
    </w:p>
    <w:p>
      <w:pPr>
        <w:spacing w:line="276" w:lineRule="auto"/>
        <w:ind w:firstLine="480" w:firstLineChars="200"/>
        <w:rPr>
          <w:sz w:val="24"/>
        </w:rPr>
      </w:pPr>
      <w:r>
        <w:rPr>
          <w:sz w:val="24"/>
        </w:rPr>
        <w:t>(二)</w:t>
      </w:r>
      <w:r>
        <w:rPr>
          <w:rFonts w:hint="eastAsia"/>
          <w:sz w:val="24"/>
        </w:rPr>
        <w:t>乙方应组织相关单位及外包单位对其所从事的作业活动开展危险源辨识工作。</w:t>
      </w:r>
    </w:p>
    <w:p>
      <w:pPr>
        <w:spacing w:line="276" w:lineRule="auto"/>
        <w:ind w:firstLine="480" w:firstLineChars="200"/>
        <w:rPr>
          <w:sz w:val="24"/>
        </w:rPr>
      </w:pPr>
      <w:r>
        <w:rPr>
          <w:sz w:val="24"/>
        </w:rPr>
        <w:t>(三)乙方应当定期排查并及时治理项目作业范围内的事故隐患（包括甲方人员排查及要求整改的事故隐患），建立台账，做好相关记录，并及时向甲方报告。</w:t>
      </w:r>
    </w:p>
    <w:p>
      <w:pPr>
        <w:spacing w:line="276" w:lineRule="auto"/>
        <w:ind w:firstLine="480" w:firstLineChars="200"/>
        <w:rPr>
          <w:sz w:val="24"/>
        </w:rPr>
      </w:pPr>
      <w:r>
        <w:rPr>
          <w:sz w:val="24"/>
        </w:rPr>
        <w:t>(</w:t>
      </w:r>
      <w:r>
        <w:rPr>
          <w:rFonts w:hint="eastAsia"/>
          <w:sz w:val="24"/>
        </w:rPr>
        <w:t>四</w:t>
      </w:r>
      <w:r>
        <w:rPr>
          <w:sz w:val="24"/>
        </w:rPr>
        <w:t>)乙方在项目作业范围内发现重大事故隐患后不能立即治理的，应当采取必要的防范措施，并及时书面报告甲方协商解决，消除事故隐患。</w:t>
      </w:r>
    </w:p>
    <w:p>
      <w:pPr>
        <w:spacing w:line="276" w:lineRule="auto"/>
        <w:ind w:firstLine="480" w:firstLineChars="200"/>
        <w:rPr>
          <w:sz w:val="24"/>
        </w:rPr>
      </w:pPr>
      <w:bookmarkStart w:id="133" w:name="_Toc442022105"/>
      <w:bookmarkStart w:id="134" w:name="_Toc396037058"/>
      <w:bookmarkStart w:id="135" w:name="_Toc381911470"/>
      <w:bookmarkStart w:id="136" w:name="_Toc442133375"/>
      <w:bookmarkStart w:id="137" w:name="_Toc384944721"/>
      <w:bookmarkStart w:id="138" w:name="_Toc389985363"/>
      <w:bookmarkStart w:id="139" w:name="_Toc383301031"/>
      <w:bookmarkStart w:id="140" w:name="_Toc396036414"/>
      <w:bookmarkStart w:id="141" w:name="_Toc442016146"/>
      <w:bookmarkStart w:id="142" w:name="_Toc434694367"/>
      <w:bookmarkStart w:id="143" w:name="_Toc451698744"/>
      <w:r>
        <w:rPr>
          <w:sz w:val="24"/>
        </w:rPr>
        <w:t>第六条安全教育与培训</w:t>
      </w:r>
      <w:bookmarkEnd w:id="133"/>
      <w:bookmarkEnd w:id="134"/>
      <w:bookmarkEnd w:id="135"/>
      <w:bookmarkEnd w:id="136"/>
      <w:bookmarkEnd w:id="137"/>
      <w:bookmarkEnd w:id="138"/>
      <w:bookmarkEnd w:id="139"/>
      <w:bookmarkEnd w:id="140"/>
      <w:bookmarkEnd w:id="141"/>
      <w:bookmarkEnd w:id="142"/>
      <w:bookmarkEnd w:id="143"/>
    </w:p>
    <w:p>
      <w:pPr>
        <w:spacing w:line="276" w:lineRule="auto"/>
        <w:ind w:firstLine="480" w:firstLineChars="200"/>
        <w:rPr>
          <w:sz w:val="24"/>
        </w:rPr>
      </w:pPr>
      <w:r>
        <w:rPr>
          <w:sz w:val="24"/>
        </w:rPr>
        <w:t>(一)甲方应当对乙方的安全教育与培训工作进行指导。</w:t>
      </w:r>
    </w:p>
    <w:p>
      <w:pPr>
        <w:spacing w:line="276" w:lineRule="auto"/>
        <w:ind w:firstLine="480" w:firstLineChars="200"/>
        <w:rPr>
          <w:sz w:val="24"/>
        </w:rPr>
      </w:pPr>
      <w:r>
        <w:rPr>
          <w:sz w:val="24"/>
        </w:rPr>
        <w:t>(二)甲方应当监督检查乙方开展员工安全教育培训工作情况。</w:t>
      </w:r>
    </w:p>
    <w:p>
      <w:pPr>
        <w:spacing w:line="276" w:lineRule="auto"/>
        <w:ind w:firstLine="480" w:firstLineChars="200"/>
        <w:rPr>
          <w:sz w:val="24"/>
        </w:rPr>
      </w:pPr>
      <w:r>
        <w:rPr>
          <w:sz w:val="24"/>
        </w:rPr>
        <w:t>(三)乙方应当制定本单位的安全教育培训工作计划。</w:t>
      </w:r>
      <w:r>
        <w:rPr>
          <w:rFonts w:hint="eastAsia"/>
          <w:sz w:val="24"/>
        </w:rPr>
        <w:t>在作业项目开工前必须对参加作业人员进行安全教育培训和考试，保证从业人员掌握必需的安全生产知识、提高安全生产技能和应急逃生知识，同时对本单位员工开展“三级”安全教育。</w:t>
      </w:r>
    </w:p>
    <w:p>
      <w:pPr>
        <w:spacing w:line="276" w:lineRule="auto"/>
        <w:ind w:firstLine="480" w:firstLineChars="200"/>
        <w:rPr>
          <w:sz w:val="24"/>
        </w:rPr>
      </w:pPr>
      <w:r>
        <w:rPr>
          <w:sz w:val="24"/>
        </w:rPr>
        <w:t>(四)乙方应当按照相关法律、法规、规章和标准对本单位从业人员进行安全教育培训，保证从业人员掌握必需的安全生产知识、操作技能和应急逃生知识。</w:t>
      </w:r>
    </w:p>
    <w:p>
      <w:pPr>
        <w:spacing w:line="276" w:lineRule="auto"/>
        <w:ind w:firstLine="480" w:firstLineChars="200"/>
        <w:rPr>
          <w:sz w:val="24"/>
        </w:rPr>
      </w:pPr>
      <w:r>
        <w:rPr>
          <w:rFonts w:hint="eastAsia"/>
          <w:sz w:val="24"/>
        </w:rPr>
        <w:t>（五）乙方应加强作业现场应急管理，完善应急预案，配备现场作业所需的应急资源，并加强培训和演练。</w:t>
      </w:r>
    </w:p>
    <w:p>
      <w:pPr>
        <w:spacing w:line="276" w:lineRule="auto"/>
        <w:ind w:firstLine="480" w:firstLineChars="200"/>
        <w:rPr>
          <w:sz w:val="24"/>
        </w:rPr>
      </w:pPr>
      <w:r>
        <w:rPr>
          <w:rFonts w:hint="eastAsia"/>
          <w:sz w:val="24"/>
        </w:rPr>
        <w:t>乙方应对作业人员进行安全生产教育和培训，确保作业人员掌握本职工作所需的安全生产知识，</w:t>
      </w:r>
    </w:p>
    <w:p>
      <w:pPr>
        <w:spacing w:line="276" w:lineRule="auto"/>
        <w:ind w:firstLine="480" w:firstLineChars="200"/>
        <w:rPr>
          <w:sz w:val="24"/>
        </w:rPr>
      </w:pPr>
      <w:bookmarkStart w:id="144" w:name="_Toc442016147"/>
      <w:bookmarkStart w:id="145" w:name="_Toc451698745"/>
      <w:bookmarkStart w:id="146" w:name="_Toc381911471"/>
      <w:bookmarkStart w:id="147" w:name="_Toc442133376"/>
      <w:bookmarkStart w:id="148" w:name="_Toc434694368"/>
      <w:bookmarkStart w:id="149" w:name="_Toc384944722"/>
      <w:bookmarkStart w:id="150" w:name="_Toc396036415"/>
      <w:bookmarkStart w:id="151" w:name="_Toc396037059"/>
      <w:bookmarkStart w:id="152" w:name="_Toc442022106"/>
      <w:bookmarkStart w:id="153" w:name="_Toc383301032"/>
      <w:bookmarkStart w:id="154" w:name="_Toc389985364"/>
      <w:r>
        <w:rPr>
          <w:sz w:val="24"/>
        </w:rPr>
        <w:t>第七条事故应急救援</w:t>
      </w:r>
      <w:bookmarkEnd w:id="144"/>
      <w:bookmarkEnd w:id="145"/>
      <w:bookmarkEnd w:id="146"/>
      <w:bookmarkEnd w:id="147"/>
      <w:bookmarkEnd w:id="148"/>
      <w:bookmarkEnd w:id="149"/>
      <w:bookmarkEnd w:id="150"/>
      <w:bookmarkEnd w:id="151"/>
      <w:bookmarkEnd w:id="152"/>
      <w:bookmarkEnd w:id="153"/>
      <w:bookmarkEnd w:id="154"/>
    </w:p>
    <w:p>
      <w:pPr>
        <w:spacing w:line="276" w:lineRule="auto"/>
        <w:ind w:firstLine="480" w:firstLineChars="200"/>
        <w:rPr>
          <w:sz w:val="24"/>
        </w:rPr>
      </w:pPr>
      <w:r>
        <w:rPr>
          <w:sz w:val="24"/>
        </w:rPr>
        <w:t>(一)应急准备。</w:t>
      </w:r>
    </w:p>
    <w:p>
      <w:pPr>
        <w:spacing w:line="276" w:lineRule="auto"/>
        <w:ind w:firstLine="480" w:firstLineChars="200"/>
        <w:rPr>
          <w:sz w:val="24"/>
        </w:rPr>
      </w:pPr>
      <w:r>
        <w:rPr>
          <w:sz w:val="24"/>
        </w:rPr>
        <w:t>1.甲方应当按照国家有关规定建立应急救援组织或者与其他应急救援组织签订救援协议，编制本单位事故应急预案，并定期组织演练。</w:t>
      </w:r>
    </w:p>
    <w:p>
      <w:pPr>
        <w:spacing w:line="276" w:lineRule="auto"/>
        <w:ind w:firstLine="480" w:firstLineChars="200"/>
        <w:rPr>
          <w:sz w:val="24"/>
        </w:rPr>
      </w:pPr>
      <w:r>
        <w:rPr>
          <w:sz w:val="24"/>
        </w:rPr>
        <w:t>2.</w:t>
      </w:r>
      <w:r>
        <w:rPr>
          <w:rFonts w:hint="eastAsia"/>
          <w:sz w:val="24"/>
        </w:rPr>
        <w:t>甲方负责向乙方如实告知根据甲方能力所知的作业场所和岗位存在的危险因素，要求乙方制订防范措施以及事故应急预案。</w:t>
      </w:r>
    </w:p>
    <w:p>
      <w:pPr>
        <w:spacing w:line="276" w:lineRule="auto"/>
        <w:ind w:firstLine="480" w:firstLineChars="200"/>
        <w:rPr>
          <w:sz w:val="24"/>
        </w:rPr>
      </w:pPr>
      <w:r>
        <w:rPr>
          <w:sz w:val="24"/>
        </w:rPr>
        <w:t>3.甲方配置的应急救援设备设施和器材包括：项目现场及附近车间的消防器材、正压式空气呼吸器、防毒面具、担架、应急通风机、四合一气体检测仪、应急药箱、救援绳等。</w:t>
      </w:r>
    </w:p>
    <w:p>
      <w:pPr>
        <w:spacing w:line="276" w:lineRule="auto"/>
        <w:ind w:firstLine="480" w:firstLineChars="200"/>
        <w:rPr>
          <w:sz w:val="24"/>
        </w:rPr>
      </w:pPr>
      <w:r>
        <w:rPr>
          <w:sz w:val="24"/>
        </w:rPr>
        <w:t>4.乙方应当编制与项目相适应的应急预案或者应急处置预案，并与甲方的相关预案接口,并定期组织演练或者参加甲方组织的演练。</w:t>
      </w:r>
    </w:p>
    <w:p>
      <w:pPr>
        <w:spacing w:line="276" w:lineRule="auto"/>
        <w:ind w:firstLine="480" w:firstLineChars="200"/>
        <w:rPr>
          <w:sz w:val="24"/>
        </w:rPr>
      </w:pPr>
      <w:r>
        <w:rPr>
          <w:sz w:val="24"/>
        </w:rPr>
        <w:t>4.乙方配置的应急救援设备设施和器材包括：。</w:t>
      </w:r>
    </w:p>
    <w:p>
      <w:pPr>
        <w:spacing w:line="276" w:lineRule="auto"/>
        <w:ind w:firstLine="480" w:firstLineChars="200"/>
        <w:rPr>
          <w:sz w:val="24"/>
        </w:rPr>
      </w:pPr>
      <w:r>
        <w:rPr>
          <w:sz w:val="24"/>
        </w:rPr>
        <w:t>(二)事故报告。</w:t>
      </w:r>
    </w:p>
    <w:p>
      <w:pPr>
        <w:spacing w:line="276" w:lineRule="auto"/>
        <w:ind w:firstLine="480" w:firstLineChars="200"/>
        <w:rPr>
          <w:sz w:val="24"/>
        </w:rPr>
      </w:pPr>
      <w:r>
        <w:rPr>
          <w:sz w:val="24"/>
        </w:rPr>
        <w:t>1.项目施工发生事故后，事故现场有关人员应当立即向乙方项目负责人报告；乙方项目负责人接到报告后，应当及时向甲乙双方的负责人报告。</w:t>
      </w:r>
    </w:p>
    <w:p>
      <w:pPr>
        <w:spacing w:line="276" w:lineRule="auto"/>
        <w:ind w:firstLine="480" w:firstLineChars="200"/>
        <w:rPr>
          <w:sz w:val="24"/>
        </w:rPr>
      </w:pPr>
      <w:r>
        <w:rPr>
          <w:sz w:val="24"/>
        </w:rPr>
        <w:t>2.项目施工发生事故后，甲方负责人应当按照《生产安全事故报告和调查处理条例》(国务院令第493号)等法律、法规、规章的规定报告。</w:t>
      </w:r>
    </w:p>
    <w:p>
      <w:pPr>
        <w:spacing w:line="276" w:lineRule="auto"/>
        <w:ind w:firstLine="480" w:firstLineChars="200"/>
        <w:rPr>
          <w:sz w:val="24"/>
        </w:rPr>
      </w:pPr>
      <w:r>
        <w:rPr>
          <w:sz w:val="24"/>
        </w:rPr>
        <w:t>(三)事故救援。</w:t>
      </w:r>
    </w:p>
    <w:p>
      <w:pPr>
        <w:spacing w:line="276" w:lineRule="auto"/>
        <w:ind w:firstLine="480" w:firstLineChars="200"/>
        <w:rPr>
          <w:sz w:val="24"/>
        </w:rPr>
      </w:pPr>
      <w:r>
        <w:rPr>
          <w:sz w:val="24"/>
        </w:rPr>
        <w:t>1.项目施工发生事故后，乙方应当按照专项应急预案或者应急处置方案立即开展事故救援。</w:t>
      </w:r>
      <w:r>
        <w:rPr>
          <w:rFonts w:hint="eastAsia"/>
          <w:sz w:val="24"/>
        </w:rPr>
        <w:t>保护好事故现场。</w:t>
      </w:r>
    </w:p>
    <w:p>
      <w:pPr>
        <w:spacing w:line="276" w:lineRule="auto"/>
        <w:ind w:firstLine="480" w:firstLineChars="200"/>
        <w:rPr>
          <w:sz w:val="24"/>
        </w:rPr>
      </w:pPr>
      <w:r>
        <w:rPr>
          <w:sz w:val="24"/>
        </w:rPr>
        <w:t>2.项目施工发生事故后，甲方应当按照应急预案要求，立即开展应急救援，负责指挥、协调事故救援工作，充分调动甲乙双方的应急资源。</w:t>
      </w:r>
    </w:p>
    <w:p>
      <w:pPr>
        <w:spacing w:line="276" w:lineRule="auto"/>
        <w:ind w:firstLine="480" w:firstLineChars="200"/>
        <w:rPr>
          <w:sz w:val="24"/>
        </w:rPr>
      </w:pPr>
      <w:r>
        <w:rPr>
          <w:sz w:val="24"/>
        </w:rPr>
        <w:t>(四)事故处理。</w:t>
      </w:r>
    </w:p>
    <w:p>
      <w:pPr>
        <w:spacing w:line="276" w:lineRule="auto"/>
        <w:ind w:firstLine="480" w:firstLineChars="200"/>
        <w:rPr>
          <w:sz w:val="24"/>
        </w:rPr>
      </w:pPr>
      <w:r>
        <w:rPr>
          <w:sz w:val="24"/>
        </w:rPr>
        <w:t>1.</w:t>
      </w:r>
      <w:r>
        <w:rPr>
          <w:rFonts w:hint="eastAsia"/>
          <w:sz w:val="24"/>
        </w:rPr>
        <w:t>在发生安全事故后应积极配合甲方组织开展的对事故的相关调查。</w:t>
      </w:r>
    </w:p>
    <w:p>
      <w:pPr>
        <w:spacing w:line="276" w:lineRule="auto"/>
        <w:ind w:firstLine="480" w:firstLineChars="200"/>
        <w:rPr>
          <w:sz w:val="24"/>
        </w:rPr>
      </w:pPr>
      <w:r>
        <w:rPr>
          <w:sz w:val="24"/>
        </w:rPr>
        <w:t>2.事故调查结案后，甲乙双方根据事故调查处理结论承担各自相应责任。</w:t>
      </w:r>
    </w:p>
    <w:p>
      <w:pPr>
        <w:spacing w:line="276" w:lineRule="auto"/>
        <w:ind w:firstLine="480" w:firstLineChars="200"/>
        <w:rPr>
          <w:sz w:val="24"/>
        </w:rPr>
      </w:pPr>
      <w:r>
        <w:rPr>
          <w:sz w:val="24"/>
        </w:rPr>
        <w:t>3.甲方应当承担的经济处罚不得转嫁或者变相转嫁给乙方。</w:t>
      </w:r>
    </w:p>
    <w:p>
      <w:pPr>
        <w:spacing w:line="276" w:lineRule="auto"/>
        <w:ind w:firstLine="480" w:firstLineChars="200"/>
        <w:rPr>
          <w:sz w:val="24"/>
        </w:rPr>
      </w:pPr>
      <w:r>
        <w:rPr>
          <w:sz w:val="24"/>
        </w:rPr>
        <w:t>4.乙方对发生安全事故坚持“四不放过”原则的指导思想，不隐瞒、谎报，并在员工中开展事故分析、教育，防止同类事故的再次发生。</w:t>
      </w:r>
    </w:p>
    <w:p>
      <w:pPr>
        <w:spacing w:line="276" w:lineRule="auto"/>
        <w:ind w:firstLine="480" w:firstLineChars="200"/>
        <w:rPr>
          <w:sz w:val="24"/>
        </w:rPr>
      </w:pPr>
      <w:r>
        <w:rPr>
          <w:rFonts w:hint="eastAsia"/>
          <w:sz w:val="24"/>
        </w:rPr>
        <w:t>第八条</w:t>
      </w:r>
      <w:r>
        <w:rPr>
          <w:sz w:val="24"/>
        </w:rPr>
        <w:t>信息沟通：甲乙双方</w:t>
      </w:r>
      <w:r>
        <w:rPr>
          <w:rFonts w:hint="eastAsia"/>
          <w:sz w:val="24"/>
        </w:rPr>
        <w:t>定期</w:t>
      </w:r>
      <w:r>
        <w:rPr>
          <w:sz w:val="24"/>
        </w:rPr>
        <w:t>召开安全沟通会议，其他安全环保重大事项应立即报告甲方或备案。</w:t>
      </w:r>
    </w:p>
    <w:p>
      <w:pPr>
        <w:spacing w:line="276" w:lineRule="auto"/>
        <w:ind w:firstLine="480" w:firstLineChars="200"/>
        <w:rPr>
          <w:sz w:val="24"/>
        </w:rPr>
      </w:pPr>
      <w:bookmarkStart w:id="155" w:name="_Toc389985365"/>
      <w:bookmarkStart w:id="156" w:name="_Toc383301033"/>
      <w:bookmarkStart w:id="157" w:name="_Toc442016148"/>
      <w:bookmarkStart w:id="158" w:name="_Toc442133377"/>
      <w:bookmarkStart w:id="159" w:name="_Toc381911472"/>
      <w:bookmarkStart w:id="160" w:name="_Toc384944723"/>
      <w:bookmarkStart w:id="161" w:name="_Toc396036416"/>
      <w:bookmarkStart w:id="162" w:name="_Toc442022107"/>
      <w:bookmarkStart w:id="163" w:name="_Toc451698746"/>
      <w:bookmarkStart w:id="164" w:name="_Toc434694369"/>
      <w:bookmarkStart w:id="165" w:name="_Toc396037060"/>
      <w:r>
        <w:rPr>
          <w:sz w:val="24"/>
        </w:rPr>
        <w:t>第</w:t>
      </w:r>
      <w:r>
        <w:rPr>
          <w:rFonts w:hint="eastAsia"/>
          <w:sz w:val="24"/>
        </w:rPr>
        <w:t>九</w:t>
      </w:r>
      <w:r>
        <w:rPr>
          <w:sz w:val="24"/>
        </w:rPr>
        <w:t>条安全检查与考评</w:t>
      </w:r>
      <w:bookmarkEnd w:id="155"/>
      <w:bookmarkEnd w:id="156"/>
      <w:bookmarkEnd w:id="157"/>
      <w:bookmarkEnd w:id="158"/>
      <w:bookmarkEnd w:id="159"/>
      <w:bookmarkEnd w:id="160"/>
      <w:bookmarkEnd w:id="161"/>
      <w:bookmarkEnd w:id="162"/>
      <w:bookmarkEnd w:id="163"/>
      <w:bookmarkEnd w:id="164"/>
      <w:bookmarkEnd w:id="165"/>
    </w:p>
    <w:p>
      <w:pPr>
        <w:spacing w:line="276" w:lineRule="auto"/>
        <w:ind w:firstLine="480" w:firstLineChars="200"/>
        <w:rPr>
          <w:sz w:val="24"/>
        </w:rPr>
      </w:pPr>
      <w:r>
        <w:rPr>
          <w:sz w:val="24"/>
        </w:rPr>
        <w:t>1.甲方应当建立健全项目施工的安全生产考核机制，制定考核办法，对乙方进行安全生产考核。</w:t>
      </w:r>
    </w:p>
    <w:p>
      <w:pPr>
        <w:spacing w:line="276" w:lineRule="auto"/>
        <w:ind w:firstLine="480" w:firstLineChars="200"/>
        <w:rPr>
          <w:sz w:val="24"/>
        </w:rPr>
      </w:pPr>
      <w:r>
        <w:rPr>
          <w:sz w:val="24"/>
        </w:rPr>
        <w:t>2.甲方应当加强项目监督检查工作，发现乙方违反法律、法规、规章和标准的</w:t>
      </w:r>
      <w:r>
        <w:rPr>
          <w:rFonts w:hint="eastAsia"/>
          <w:sz w:val="24"/>
        </w:rPr>
        <w:t>违章违纪</w:t>
      </w:r>
      <w:r>
        <w:rPr>
          <w:sz w:val="24"/>
        </w:rPr>
        <w:t>行为，</w:t>
      </w:r>
      <w:r>
        <w:rPr>
          <w:rFonts w:hint="eastAsia"/>
          <w:sz w:val="24"/>
        </w:rPr>
        <w:t>及时进行教育，</w:t>
      </w:r>
      <w:r>
        <w:rPr>
          <w:sz w:val="24"/>
        </w:rPr>
        <w:t>有权纠正和考核，</w:t>
      </w:r>
      <w:r>
        <w:rPr>
          <w:rFonts w:hint="eastAsia"/>
          <w:sz w:val="24"/>
        </w:rPr>
        <w:t>对不听劝告、</w:t>
      </w:r>
      <w:r>
        <w:rPr>
          <w:sz w:val="24"/>
        </w:rPr>
        <w:t>直至清退出场。</w:t>
      </w:r>
    </w:p>
    <w:p>
      <w:pPr>
        <w:spacing w:line="276" w:lineRule="auto"/>
        <w:ind w:firstLine="480" w:firstLineChars="200"/>
        <w:rPr>
          <w:sz w:val="24"/>
        </w:rPr>
      </w:pPr>
      <w:r>
        <w:rPr>
          <w:sz w:val="24"/>
        </w:rPr>
        <w:t>3.</w:t>
      </w:r>
      <w:r>
        <w:rPr>
          <w:rFonts w:hint="eastAsia"/>
          <w:sz w:val="24"/>
        </w:rPr>
        <w:t>甲方审查乙方相应的作业资格证书、作业方案和外包商、作业现场的设备、设施、建（构）筑物和人员作业安全状况等。</w:t>
      </w:r>
    </w:p>
    <w:p>
      <w:pPr>
        <w:spacing w:line="276" w:lineRule="auto"/>
        <w:ind w:firstLine="480" w:firstLineChars="200"/>
        <w:rPr>
          <w:sz w:val="24"/>
        </w:rPr>
      </w:pPr>
      <w:r>
        <w:rPr>
          <w:sz w:val="24"/>
        </w:rPr>
        <w:t>4.</w:t>
      </w:r>
      <w:r>
        <w:rPr>
          <w:rFonts w:hint="eastAsia"/>
          <w:sz w:val="24"/>
        </w:rPr>
        <w:t>甲方</w:t>
      </w:r>
      <w:r>
        <w:rPr>
          <w:sz w:val="24"/>
        </w:rPr>
        <w:t>对</w:t>
      </w:r>
      <w:r>
        <w:rPr>
          <w:rFonts w:hint="eastAsia"/>
          <w:sz w:val="24"/>
        </w:rPr>
        <w:t>乙方</w:t>
      </w:r>
      <w:r>
        <w:rPr>
          <w:sz w:val="24"/>
        </w:rPr>
        <w:t>的安全生产工作统一协调、管理，</w:t>
      </w:r>
      <w:r>
        <w:rPr>
          <w:rFonts w:hint="eastAsia"/>
          <w:sz w:val="24"/>
        </w:rPr>
        <w:t>甲方有权对乙方施工作业区的设备、设施、建（构）筑物和人员作业安全状况</w:t>
      </w:r>
      <w:r>
        <w:rPr>
          <w:sz w:val="24"/>
        </w:rPr>
        <w:t>进行安全检查，发现安全问题的，应当及时督促</w:t>
      </w:r>
      <w:r>
        <w:rPr>
          <w:rFonts w:hint="eastAsia"/>
          <w:sz w:val="24"/>
        </w:rPr>
        <w:t>乙方进行</w:t>
      </w:r>
      <w:r>
        <w:rPr>
          <w:sz w:val="24"/>
        </w:rPr>
        <w:t>整改</w:t>
      </w:r>
      <w:r>
        <w:rPr>
          <w:rFonts w:hint="eastAsia"/>
          <w:sz w:val="24"/>
        </w:rPr>
        <w:t>。甲方有权</w:t>
      </w:r>
      <w:r>
        <w:rPr>
          <w:sz w:val="24"/>
        </w:rPr>
        <w:t>提出撤换</w:t>
      </w:r>
      <w:r>
        <w:rPr>
          <w:rFonts w:hint="eastAsia"/>
          <w:sz w:val="24"/>
        </w:rPr>
        <w:t>外包方</w:t>
      </w:r>
      <w:r>
        <w:rPr>
          <w:sz w:val="24"/>
        </w:rPr>
        <w:t>项目经理、安全管理负责人</w:t>
      </w:r>
      <w:r>
        <w:rPr>
          <w:rFonts w:hint="eastAsia"/>
          <w:sz w:val="24"/>
        </w:rPr>
        <w:t>。</w:t>
      </w:r>
    </w:p>
    <w:p>
      <w:pPr>
        <w:spacing w:line="276" w:lineRule="auto"/>
        <w:ind w:firstLine="480" w:firstLineChars="200"/>
        <w:rPr>
          <w:sz w:val="24"/>
        </w:rPr>
      </w:pPr>
      <w:r>
        <w:rPr>
          <w:sz w:val="24"/>
        </w:rPr>
        <w:t>5.乙方负责项目范围内的作业安全管理，制定施工方案，加强项目作业现场的日常安全检查，</w:t>
      </w:r>
      <w:r>
        <w:rPr>
          <w:rFonts w:hint="eastAsia"/>
          <w:sz w:val="24"/>
        </w:rPr>
        <w:t>做好相关记录，</w:t>
      </w:r>
      <w:r>
        <w:rPr>
          <w:sz w:val="24"/>
        </w:rPr>
        <w:t>落实各项规章制度和安全操作规程</w:t>
      </w:r>
      <w:r>
        <w:rPr>
          <w:rFonts w:hint="eastAsia"/>
          <w:sz w:val="24"/>
        </w:rPr>
        <w:t>，消除人的不安全行为和物的不安全状态。在项目作业范围内发现重大事故隐患后不能立即治理的，应当采取必要的防范措施，并及时书面报告甲方协商解决，消除事故隐患。</w:t>
      </w:r>
    </w:p>
    <w:p>
      <w:pPr>
        <w:spacing w:line="276" w:lineRule="auto"/>
        <w:ind w:firstLine="480" w:firstLineChars="200"/>
        <w:rPr>
          <w:sz w:val="24"/>
        </w:rPr>
      </w:pPr>
      <w:r>
        <w:rPr>
          <w:sz w:val="24"/>
        </w:rPr>
        <w:t>6.乙方应当接受甲方的监督管理，遵守甲方的有关规章制度的要求。同时，乙方有权拒绝甲方违章指挥和强令冒险作业。</w:t>
      </w:r>
    </w:p>
    <w:p>
      <w:pPr>
        <w:spacing w:line="276" w:lineRule="auto"/>
        <w:ind w:firstLine="480" w:firstLineChars="200"/>
        <w:rPr>
          <w:sz w:val="24"/>
        </w:rPr>
      </w:pPr>
      <w:r>
        <w:rPr>
          <w:sz w:val="24"/>
        </w:rPr>
        <w:t>7.乙方应当向甲方提供安全生产考核所需资料，接受甲方的考核与奖惩。</w:t>
      </w:r>
      <w:bookmarkEnd w:id="132"/>
    </w:p>
    <w:p>
      <w:pPr>
        <w:spacing w:line="276" w:lineRule="auto"/>
        <w:ind w:firstLine="480" w:firstLineChars="200"/>
        <w:rPr>
          <w:sz w:val="24"/>
        </w:rPr>
      </w:pPr>
      <w:r>
        <w:rPr>
          <w:sz w:val="24"/>
        </w:rPr>
        <w:t>（七）风险抵押金考核</w:t>
      </w:r>
    </w:p>
    <w:p>
      <w:pPr>
        <w:spacing w:line="276" w:lineRule="auto"/>
        <w:ind w:firstLine="480" w:firstLineChars="200"/>
        <w:rPr>
          <w:sz w:val="24"/>
        </w:rPr>
      </w:pPr>
      <w:r>
        <w:rPr>
          <w:sz w:val="24"/>
        </w:rPr>
        <w:t>1.乙方违反甲方各项安全管理规定的，</w:t>
      </w:r>
      <w:r>
        <w:rPr>
          <w:rFonts w:hint="eastAsia"/>
          <w:sz w:val="24"/>
        </w:rPr>
        <w:t>（如违反甲方危险作业要求、使用不安全的工具、设备、未按要求佩戴相对应的劳保防护用品、未做到工完场清或未及时搞好现场卫生、作业过程违反操作规程等），一般违规扣200元/次；严重违规（糖业1</w:t>
      </w:r>
      <w:r>
        <w:rPr>
          <w:sz w:val="24"/>
        </w:rPr>
        <w:t>0</w:t>
      </w:r>
      <w:r>
        <w:rPr>
          <w:rFonts w:hint="eastAsia"/>
          <w:sz w:val="24"/>
        </w:rPr>
        <w:t>条禁令）扣500元/次，重复违反扣1000元/次，违反《中粮集团</w:t>
      </w:r>
      <w:bookmarkStart w:id="166" w:name="_Hlk132701874"/>
      <w:r>
        <w:rPr>
          <w:rFonts w:hint="eastAsia"/>
          <w:sz w:val="24"/>
        </w:rPr>
        <w:t>承包商与工程项目管理安全</w:t>
      </w:r>
      <w:bookmarkEnd w:id="166"/>
      <w:r>
        <w:rPr>
          <w:rFonts w:hint="eastAsia"/>
          <w:sz w:val="24"/>
        </w:rPr>
        <w:t>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p>
    <w:p>
      <w:pPr>
        <w:spacing w:line="276" w:lineRule="auto"/>
        <w:ind w:firstLine="480" w:firstLineChars="200"/>
        <w:rPr>
          <w:sz w:val="24"/>
        </w:rPr>
      </w:pPr>
      <w:r>
        <w:rPr>
          <w:rFonts w:hint="eastAsia"/>
          <w:sz w:val="24"/>
        </w:rPr>
        <w:t>乙方发生事故罚款时，履约保证金不足，可从合同金额中扣除。</w:t>
      </w:r>
    </w:p>
    <w:p>
      <w:pPr>
        <w:spacing w:line="276" w:lineRule="auto"/>
        <w:ind w:firstLine="480" w:firstLineChars="200"/>
        <w:rPr>
          <w:sz w:val="24"/>
        </w:rPr>
      </w:pPr>
      <w:r>
        <w:rPr>
          <w:sz w:val="24"/>
        </w:rPr>
        <w:t>2.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pPr>
        <w:spacing w:line="276" w:lineRule="auto"/>
        <w:ind w:firstLine="480" w:firstLineChars="200"/>
        <w:rPr>
          <w:sz w:val="24"/>
        </w:rPr>
      </w:pPr>
      <w:r>
        <w:rPr>
          <w:sz w:val="24"/>
        </w:rPr>
        <w:t>3.</w:t>
      </w:r>
      <w:r>
        <w:rPr>
          <w:rFonts w:hint="eastAsia"/>
          <w:sz w:val="24"/>
        </w:rPr>
        <w:t>乙方作业过程中违反国家有关法律法规，受到行政、经济、刑事处罚的，由乙方自行承担责任。</w:t>
      </w:r>
    </w:p>
    <w:p>
      <w:pPr>
        <w:spacing w:line="276" w:lineRule="auto"/>
        <w:ind w:firstLine="480" w:firstLineChars="200"/>
        <w:rPr>
          <w:sz w:val="24"/>
        </w:rPr>
      </w:pPr>
      <w:r>
        <w:rPr>
          <w:sz w:val="24"/>
        </w:rPr>
        <w:t>4.乙方施工现场发生重伤1-2人责任事故，甲方扣罚该项目风险抵押金总额的20％（1人）、60%（2人）；若乙方施工现场发生死亡1人及以上或重伤3人及以上责任事故，甲方扣罚该项目全部风险抵押金。</w:t>
      </w:r>
      <w:r>
        <w:rPr>
          <w:rFonts w:hint="eastAsia"/>
          <w:sz w:val="24"/>
        </w:rPr>
        <w:t>项目验收结束且确认乙方无违规、事故后，甲方无息返还乙方风险抵押金。</w:t>
      </w:r>
    </w:p>
    <w:p>
      <w:pPr>
        <w:spacing w:line="276" w:lineRule="auto"/>
        <w:ind w:firstLine="480" w:firstLineChars="200"/>
        <w:rPr>
          <w:sz w:val="24"/>
        </w:rPr>
      </w:pPr>
      <w:bookmarkStart w:id="167" w:name="_Toc434694370"/>
      <w:bookmarkStart w:id="168" w:name="_Toc381911473"/>
      <w:bookmarkStart w:id="169" w:name="_Toc383301034"/>
      <w:bookmarkStart w:id="170" w:name="_Toc389985366"/>
      <w:bookmarkStart w:id="171" w:name="_Toc384944724"/>
      <w:bookmarkStart w:id="172" w:name="_Toc442022108"/>
      <w:bookmarkStart w:id="173" w:name="_Toc442016149"/>
      <w:bookmarkStart w:id="174" w:name="_Toc442133378"/>
      <w:bookmarkStart w:id="175" w:name="_Toc396037061"/>
      <w:bookmarkStart w:id="176" w:name="_Toc396036417"/>
      <w:bookmarkStart w:id="177" w:name="_Toc451698747"/>
      <w:r>
        <w:rPr>
          <w:sz w:val="24"/>
        </w:rPr>
        <w:t>第</w:t>
      </w:r>
      <w:r>
        <w:rPr>
          <w:rFonts w:hint="eastAsia"/>
          <w:sz w:val="24"/>
        </w:rPr>
        <w:t>十</w:t>
      </w:r>
      <w:r>
        <w:rPr>
          <w:sz w:val="24"/>
        </w:rPr>
        <w:t>条违约责任</w:t>
      </w:r>
      <w:bookmarkEnd w:id="167"/>
      <w:bookmarkEnd w:id="168"/>
      <w:bookmarkEnd w:id="169"/>
      <w:bookmarkEnd w:id="170"/>
      <w:bookmarkEnd w:id="171"/>
      <w:bookmarkEnd w:id="172"/>
      <w:bookmarkEnd w:id="173"/>
      <w:bookmarkEnd w:id="174"/>
      <w:bookmarkEnd w:id="175"/>
      <w:bookmarkEnd w:id="176"/>
      <w:bookmarkEnd w:id="177"/>
    </w:p>
    <w:p>
      <w:pPr>
        <w:spacing w:line="276" w:lineRule="auto"/>
        <w:ind w:firstLine="480" w:firstLineChars="200"/>
        <w:rPr>
          <w:sz w:val="24"/>
        </w:rPr>
      </w:pPr>
      <w:r>
        <w:rPr>
          <w:sz w:val="24"/>
        </w:rPr>
        <w:t>(一)甲乙双方遵守法律、法规、规章规定的义务，并享有相应的权利。</w:t>
      </w:r>
    </w:p>
    <w:p>
      <w:pPr>
        <w:spacing w:line="276" w:lineRule="auto"/>
        <w:ind w:firstLine="480" w:firstLineChars="200"/>
        <w:rPr>
          <w:sz w:val="24"/>
        </w:rPr>
      </w:pPr>
      <w:r>
        <w:rPr>
          <w:sz w:val="24"/>
        </w:rPr>
        <w:t>(二)甲方违约</w:t>
      </w:r>
    </w:p>
    <w:p>
      <w:pPr>
        <w:spacing w:line="276" w:lineRule="auto"/>
        <w:ind w:firstLine="480" w:firstLineChars="200"/>
        <w:rPr>
          <w:sz w:val="24"/>
        </w:rPr>
      </w:pPr>
      <w:r>
        <w:rPr>
          <w:sz w:val="24"/>
        </w:rPr>
        <w:t>当发生下列情况之一的，甲方承担违约责任，依法赔偿给乙方造成的经济损失；因违约造成生产安全事故的，按照相关法律、法规、规章的规定，甲方依法承担相应责任：</w:t>
      </w:r>
    </w:p>
    <w:p>
      <w:pPr>
        <w:spacing w:line="276" w:lineRule="auto"/>
        <w:ind w:firstLine="480" w:firstLineChars="200"/>
        <w:rPr>
          <w:sz w:val="24"/>
        </w:rPr>
      </w:pPr>
      <w:r>
        <w:rPr>
          <w:sz w:val="24"/>
        </w:rPr>
        <w:t>1.甲方擅自压缩项目合同约定的工期，违章指挥或者强令乙方及其从业人员冒险作业的；</w:t>
      </w:r>
    </w:p>
    <w:p>
      <w:pPr>
        <w:spacing w:line="276" w:lineRule="auto"/>
        <w:ind w:firstLine="480" w:firstLineChars="200"/>
        <w:rPr>
          <w:sz w:val="24"/>
        </w:rPr>
      </w:pPr>
      <w:r>
        <w:rPr>
          <w:sz w:val="24"/>
        </w:rPr>
        <w:t>2.甲方未提供项目施工作业所必要的图纸资料，未向乙方进行技术交底的；</w:t>
      </w:r>
    </w:p>
    <w:p>
      <w:pPr>
        <w:spacing w:line="276" w:lineRule="auto"/>
        <w:ind w:firstLine="480" w:firstLineChars="200"/>
        <w:rPr>
          <w:sz w:val="24"/>
        </w:rPr>
      </w:pPr>
      <w:r>
        <w:rPr>
          <w:sz w:val="24"/>
        </w:rPr>
        <w:t>3.甲方不能提供合法的外包项目的；</w:t>
      </w:r>
    </w:p>
    <w:p>
      <w:pPr>
        <w:spacing w:line="276" w:lineRule="auto"/>
        <w:ind w:firstLine="480" w:firstLineChars="200"/>
        <w:rPr>
          <w:sz w:val="24"/>
        </w:rPr>
      </w:pPr>
      <w:r>
        <w:rPr>
          <w:sz w:val="24"/>
        </w:rPr>
        <w:t>4.甲方不能保证与外包项目有关的生产系统安全设施正常运行的；</w:t>
      </w:r>
    </w:p>
    <w:p>
      <w:pPr>
        <w:spacing w:line="276" w:lineRule="auto"/>
        <w:ind w:firstLine="480" w:firstLineChars="200"/>
        <w:rPr>
          <w:sz w:val="24"/>
        </w:rPr>
      </w:pPr>
      <w:r>
        <w:rPr>
          <w:sz w:val="24"/>
        </w:rPr>
        <w:t>5.甲方违反项目设计安排乙方施工作业的；</w:t>
      </w:r>
    </w:p>
    <w:p>
      <w:pPr>
        <w:spacing w:line="276" w:lineRule="auto"/>
        <w:ind w:firstLine="480" w:firstLineChars="200"/>
        <w:rPr>
          <w:sz w:val="24"/>
        </w:rPr>
      </w:pPr>
      <w:r>
        <w:rPr>
          <w:sz w:val="24"/>
        </w:rPr>
        <w:t>6.甲方未按照合同或者协议约定支付应当由甲方承担的项目安全生产费用的；</w:t>
      </w:r>
    </w:p>
    <w:p>
      <w:pPr>
        <w:spacing w:line="276" w:lineRule="auto"/>
        <w:ind w:firstLine="480" w:firstLineChars="200"/>
        <w:rPr>
          <w:sz w:val="24"/>
        </w:rPr>
      </w:pPr>
      <w:r>
        <w:rPr>
          <w:sz w:val="24"/>
        </w:rPr>
        <w:t>7.发生事故后，甲方未及时组织开展应急救援工作的；</w:t>
      </w:r>
    </w:p>
    <w:p>
      <w:pPr>
        <w:spacing w:line="276" w:lineRule="auto"/>
        <w:ind w:firstLine="480" w:firstLineChars="200"/>
        <w:rPr>
          <w:sz w:val="24"/>
        </w:rPr>
      </w:pPr>
      <w:r>
        <w:rPr>
          <w:sz w:val="24"/>
        </w:rPr>
        <w:t>8.甲方不履行协议义务或不按协议约定履行义务的其他情况。</w:t>
      </w:r>
    </w:p>
    <w:p>
      <w:pPr>
        <w:spacing w:line="276" w:lineRule="auto"/>
        <w:ind w:firstLine="480" w:firstLineChars="200"/>
        <w:rPr>
          <w:sz w:val="24"/>
        </w:rPr>
      </w:pPr>
      <w:r>
        <w:rPr>
          <w:sz w:val="24"/>
        </w:rPr>
        <w:t>(三)乙方违约</w:t>
      </w:r>
    </w:p>
    <w:p>
      <w:pPr>
        <w:spacing w:line="276" w:lineRule="auto"/>
        <w:ind w:firstLine="480" w:firstLineChars="200"/>
        <w:rPr>
          <w:sz w:val="24"/>
        </w:rPr>
      </w:pPr>
      <w:r>
        <w:rPr>
          <w:sz w:val="24"/>
        </w:rPr>
        <w:t>当发生下列情况之一的，乙方承担违约责任，依法赔偿给甲方造成的损失；因违约造成生产安全事故的，按照相关法律、法规、规章的规定，依法承担相应责任：</w:t>
      </w:r>
    </w:p>
    <w:p>
      <w:pPr>
        <w:spacing w:line="276" w:lineRule="auto"/>
        <w:ind w:firstLine="480" w:firstLineChars="200"/>
        <w:rPr>
          <w:sz w:val="24"/>
        </w:rPr>
      </w:pPr>
      <w:r>
        <w:rPr>
          <w:sz w:val="24"/>
        </w:rPr>
        <w:t>1.乙方未按照合同或者协议约定将甲方提供的安全生产费用落实到位、专款专用的；</w:t>
      </w:r>
    </w:p>
    <w:p>
      <w:pPr>
        <w:spacing w:line="276" w:lineRule="auto"/>
        <w:ind w:firstLine="480" w:firstLineChars="200"/>
        <w:rPr>
          <w:sz w:val="24"/>
        </w:rPr>
      </w:pPr>
      <w:r>
        <w:rPr>
          <w:sz w:val="24"/>
        </w:rPr>
        <w:t>2.乙方不能保证与承揽项目规模相匹配的施工资质、技术人员、特种作业人员和设备设施的；</w:t>
      </w:r>
    </w:p>
    <w:p>
      <w:pPr>
        <w:spacing w:line="276" w:lineRule="auto"/>
        <w:ind w:firstLine="480" w:firstLineChars="200"/>
        <w:rPr>
          <w:sz w:val="24"/>
        </w:rPr>
      </w:pPr>
      <w:r>
        <w:rPr>
          <w:sz w:val="24"/>
        </w:rPr>
        <w:t>3.乙方有关资质、证照已过期的，或者安排证件已过期的各类应持证人员上岗作业的；</w:t>
      </w:r>
    </w:p>
    <w:p>
      <w:pPr>
        <w:spacing w:line="276" w:lineRule="auto"/>
        <w:ind w:firstLine="480" w:firstLineChars="200"/>
        <w:rPr>
          <w:sz w:val="24"/>
        </w:rPr>
      </w:pPr>
      <w:r>
        <w:rPr>
          <w:sz w:val="24"/>
        </w:rPr>
        <w:t>4.乙方人员违章指挥或者违章作业的；</w:t>
      </w:r>
    </w:p>
    <w:p>
      <w:pPr>
        <w:spacing w:line="276" w:lineRule="auto"/>
        <w:ind w:firstLine="480" w:firstLineChars="200"/>
        <w:rPr>
          <w:sz w:val="24"/>
        </w:rPr>
      </w:pPr>
      <w:r>
        <w:rPr>
          <w:sz w:val="24"/>
        </w:rPr>
        <w:t>5.乙方现场安全管理不到位的；</w:t>
      </w:r>
    </w:p>
    <w:p>
      <w:pPr>
        <w:spacing w:line="276" w:lineRule="auto"/>
        <w:ind w:firstLine="480" w:firstLineChars="200"/>
        <w:rPr>
          <w:sz w:val="24"/>
        </w:rPr>
      </w:pPr>
      <w:r>
        <w:rPr>
          <w:sz w:val="24"/>
        </w:rPr>
        <w:t>6.发生事故后，乙方未及时开展应急救援工作的；</w:t>
      </w:r>
    </w:p>
    <w:p>
      <w:pPr>
        <w:spacing w:line="276" w:lineRule="auto"/>
        <w:ind w:firstLine="480" w:firstLineChars="200"/>
        <w:rPr>
          <w:sz w:val="24"/>
        </w:rPr>
      </w:pPr>
      <w:r>
        <w:rPr>
          <w:sz w:val="24"/>
        </w:rPr>
        <w:t>7.乙方不履行协议义务或者未按协议约定履行义务的其他情况。</w:t>
      </w:r>
    </w:p>
    <w:p>
      <w:pPr>
        <w:spacing w:line="276" w:lineRule="auto"/>
        <w:ind w:firstLine="480" w:firstLineChars="200"/>
        <w:rPr>
          <w:sz w:val="24"/>
        </w:rPr>
      </w:pPr>
      <w:bookmarkStart w:id="178" w:name="_Toc434694371"/>
      <w:bookmarkStart w:id="179" w:name="_Toc396037062"/>
      <w:bookmarkStart w:id="180" w:name="_Toc383301035"/>
      <w:bookmarkStart w:id="181" w:name="_Toc381911474"/>
      <w:bookmarkStart w:id="182" w:name="_Toc442016150"/>
      <w:bookmarkStart w:id="183" w:name="_Toc384944725"/>
      <w:bookmarkStart w:id="184" w:name="_Toc442133379"/>
      <w:bookmarkStart w:id="185" w:name="_Toc389985367"/>
      <w:bookmarkStart w:id="186" w:name="_Toc442022109"/>
      <w:bookmarkStart w:id="187" w:name="_Toc451698748"/>
      <w:bookmarkStart w:id="188" w:name="_Toc396036418"/>
      <w:r>
        <w:rPr>
          <w:sz w:val="24"/>
        </w:rPr>
        <w:t>第十</w:t>
      </w:r>
      <w:r>
        <w:rPr>
          <w:rFonts w:hint="eastAsia"/>
          <w:sz w:val="24"/>
        </w:rPr>
        <w:t>一</w:t>
      </w:r>
      <w:r>
        <w:rPr>
          <w:sz w:val="24"/>
        </w:rPr>
        <w:t>条补充条款</w:t>
      </w:r>
      <w:bookmarkEnd w:id="178"/>
      <w:bookmarkEnd w:id="179"/>
      <w:bookmarkEnd w:id="180"/>
      <w:bookmarkEnd w:id="181"/>
      <w:bookmarkEnd w:id="182"/>
      <w:bookmarkEnd w:id="183"/>
      <w:bookmarkEnd w:id="184"/>
      <w:bookmarkEnd w:id="185"/>
      <w:bookmarkEnd w:id="186"/>
      <w:bookmarkEnd w:id="187"/>
      <w:bookmarkEnd w:id="188"/>
    </w:p>
    <w:p>
      <w:pPr>
        <w:spacing w:line="276" w:lineRule="auto"/>
        <w:ind w:firstLine="480" w:firstLineChars="200"/>
        <w:rPr>
          <w:sz w:val="24"/>
        </w:rPr>
      </w:pPr>
      <w:r>
        <w:rPr>
          <w:sz w:val="24"/>
        </w:rPr>
        <w:t>甲乙双方在遵守有关法律、法规、规章和标准的前提下，结合项目施工实际，经协商一致后，可对以上条款内容进行补充但不得相悖，补充条款与本协议其他条款具有同等法律效力。</w:t>
      </w:r>
    </w:p>
    <w:p>
      <w:pPr>
        <w:spacing w:line="276" w:lineRule="auto"/>
        <w:ind w:firstLine="480" w:firstLineChars="200"/>
        <w:rPr>
          <w:sz w:val="24"/>
        </w:rPr>
      </w:pPr>
      <w:bookmarkStart w:id="189" w:name="_Toc384944726"/>
      <w:bookmarkStart w:id="190" w:name="_Toc442016151"/>
      <w:bookmarkStart w:id="191" w:name="_Toc383301036"/>
      <w:bookmarkStart w:id="192" w:name="_Toc389985368"/>
      <w:bookmarkStart w:id="193" w:name="_Toc434694372"/>
      <w:bookmarkStart w:id="194" w:name="_Toc381911475"/>
      <w:bookmarkStart w:id="195" w:name="_Toc396037063"/>
      <w:bookmarkStart w:id="196" w:name="_Toc396036419"/>
      <w:bookmarkStart w:id="197" w:name="_Toc442133380"/>
      <w:bookmarkStart w:id="198" w:name="_Toc442022110"/>
      <w:bookmarkStart w:id="199" w:name="_Toc451698749"/>
      <w:r>
        <w:rPr>
          <w:sz w:val="24"/>
        </w:rPr>
        <w:t>第十</w:t>
      </w:r>
      <w:r>
        <w:rPr>
          <w:rFonts w:hint="eastAsia"/>
          <w:sz w:val="24"/>
        </w:rPr>
        <w:t>二</w:t>
      </w:r>
      <w:r>
        <w:rPr>
          <w:sz w:val="24"/>
        </w:rPr>
        <w:t>条协议生效</w:t>
      </w:r>
      <w:bookmarkEnd w:id="189"/>
      <w:bookmarkEnd w:id="190"/>
      <w:bookmarkEnd w:id="191"/>
      <w:bookmarkEnd w:id="192"/>
      <w:bookmarkEnd w:id="193"/>
      <w:bookmarkEnd w:id="194"/>
      <w:bookmarkEnd w:id="195"/>
      <w:bookmarkEnd w:id="196"/>
      <w:bookmarkEnd w:id="197"/>
      <w:bookmarkEnd w:id="198"/>
      <w:bookmarkEnd w:id="199"/>
    </w:p>
    <w:p>
      <w:pPr>
        <w:spacing w:line="276" w:lineRule="auto"/>
        <w:ind w:firstLine="480" w:firstLineChars="200"/>
        <w:rPr>
          <w:sz w:val="24"/>
        </w:rPr>
      </w:pPr>
      <w:r>
        <w:rPr>
          <w:sz w:val="24"/>
        </w:rPr>
        <w:t>本协议自甲乙双方签字盖章之日起生效，其时效与双方所签订项目承包合同相同。</w:t>
      </w:r>
    </w:p>
    <w:p>
      <w:pPr>
        <w:spacing w:line="276" w:lineRule="auto"/>
        <w:ind w:firstLine="480" w:firstLineChars="200"/>
        <w:rPr>
          <w:sz w:val="24"/>
        </w:rPr>
      </w:pPr>
      <w:r>
        <w:rPr>
          <w:sz w:val="24"/>
        </w:rPr>
        <w:t>甲方(盖章)：</w:t>
      </w:r>
      <w:r>
        <w:rPr>
          <w:rFonts w:hint="eastAsia"/>
          <w:sz w:val="24"/>
        </w:rPr>
        <w:t xml:space="preserve">                         </w:t>
      </w:r>
      <w:r>
        <w:rPr>
          <w:sz w:val="24"/>
        </w:rPr>
        <w:t>乙方(盖章)：</w:t>
      </w:r>
    </w:p>
    <w:p>
      <w:pPr>
        <w:spacing w:line="276" w:lineRule="auto"/>
        <w:ind w:firstLine="480" w:firstLineChars="200"/>
        <w:rPr>
          <w:sz w:val="24"/>
        </w:rPr>
      </w:pPr>
      <w:r>
        <w:rPr>
          <w:sz w:val="24"/>
        </w:rPr>
        <w:t>企业负责人(签字)：</w:t>
      </w:r>
      <w:r>
        <w:rPr>
          <w:rFonts w:hint="eastAsia"/>
          <w:sz w:val="24"/>
        </w:rPr>
        <w:t xml:space="preserve">                   </w:t>
      </w:r>
      <w:r>
        <w:rPr>
          <w:sz w:val="24"/>
        </w:rPr>
        <w:t>企业负责人(签字)：　</w:t>
      </w:r>
    </w:p>
    <w:p>
      <w:pPr>
        <w:spacing w:line="276" w:lineRule="auto"/>
        <w:ind w:firstLine="480" w:firstLineChars="200"/>
        <w:rPr>
          <w:sz w:val="24"/>
        </w:rPr>
      </w:pPr>
      <w:r>
        <w:rPr>
          <w:sz w:val="24"/>
        </w:rPr>
        <w:t xml:space="preserve">或委托代理人(签字) </w:t>
      </w:r>
      <w:r>
        <w:rPr>
          <w:rFonts w:hint="eastAsia"/>
          <w:sz w:val="24"/>
        </w:rPr>
        <w:t xml:space="preserve">：                </w:t>
      </w:r>
      <w:r>
        <w:rPr>
          <w:sz w:val="24"/>
        </w:rPr>
        <w:t>或委托代理人(签字)：</w:t>
      </w:r>
    </w:p>
    <w:p>
      <w:pPr>
        <w:spacing w:line="276" w:lineRule="auto"/>
        <w:ind w:firstLine="480" w:firstLineChars="200"/>
        <w:rPr>
          <w:sz w:val="24"/>
        </w:rPr>
      </w:pPr>
      <w:r>
        <w:rPr>
          <w:sz w:val="24"/>
        </w:rPr>
        <w:t>联系电话：</w:t>
      </w:r>
      <w:r>
        <w:rPr>
          <w:rFonts w:hint="eastAsia"/>
          <w:sz w:val="24"/>
        </w:rPr>
        <w:t xml:space="preserve">                          </w:t>
      </w:r>
      <w:r>
        <w:rPr>
          <w:sz w:val="24"/>
        </w:rPr>
        <w:t>联系电话：</w:t>
      </w:r>
    </w:p>
    <w:p>
      <w:pPr>
        <w:spacing w:line="276" w:lineRule="auto"/>
        <w:ind w:firstLine="480" w:firstLineChars="200"/>
        <w:rPr>
          <w:sz w:val="24"/>
        </w:rPr>
      </w:pP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日期：</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r>
        <w:rPr>
          <w:rFonts w:hint="eastAsia" w:eastAsia="仿宋" w:asciiTheme="minorEastAsia" w:hAnsiTheme="minorEastAsia"/>
          <w:snapToGrid w:val="0"/>
          <w:sz w:val="24"/>
        </w:rPr>
        <w:t>附件4：环保管理协议书</w:t>
      </w: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spacing w:line="276" w:lineRule="auto"/>
        <w:jc w:val="center"/>
        <w:rPr>
          <w:sz w:val="32"/>
          <w:szCs w:val="32"/>
        </w:rPr>
      </w:pPr>
      <w:r>
        <w:rPr>
          <w:rFonts w:hint="eastAsia"/>
          <w:sz w:val="32"/>
          <w:szCs w:val="32"/>
        </w:rPr>
        <w:t>甲、乙类承包商环保管理协议</w:t>
      </w:r>
    </w:p>
    <w:p>
      <w:pPr>
        <w:spacing w:line="276" w:lineRule="auto"/>
        <w:jc w:val="center"/>
        <w:rPr>
          <w:sz w:val="32"/>
          <w:szCs w:val="32"/>
        </w:rPr>
      </w:pPr>
    </w:p>
    <w:p>
      <w:pPr>
        <w:spacing w:line="276" w:lineRule="auto"/>
        <w:ind w:firstLine="480" w:firstLineChars="200"/>
        <w:rPr>
          <w:sz w:val="24"/>
        </w:rPr>
      </w:pPr>
      <w:r>
        <w:rPr>
          <w:rFonts w:hint="eastAsia"/>
          <w:sz w:val="24"/>
        </w:rPr>
        <w:t>发包方：（以下称甲方）</w:t>
      </w:r>
    </w:p>
    <w:p>
      <w:pPr>
        <w:spacing w:line="276" w:lineRule="auto"/>
        <w:ind w:firstLine="480" w:firstLineChars="200"/>
        <w:rPr>
          <w:sz w:val="24"/>
        </w:rPr>
      </w:pPr>
    </w:p>
    <w:p>
      <w:pPr>
        <w:spacing w:line="276" w:lineRule="auto"/>
        <w:ind w:firstLine="480" w:firstLineChars="200"/>
        <w:rPr>
          <w:sz w:val="24"/>
        </w:rPr>
      </w:pPr>
      <w:r>
        <w:rPr>
          <w:rFonts w:hint="eastAsia"/>
          <w:sz w:val="24"/>
        </w:rPr>
        <w:t>承包方：（以下称乙方）</w:t>
      </w:r>
    </w:p>
    <w:p>
      <w:pPr>
        <w:spacing w:line="276" w:lineRule="auto"/>
        <w:ind w:firstLine="480" w:firstLineChars="200"/>
        <w:rPr>
          <w:sz w:val="24"/>
        </w:rPr>
      </w:pPr>
    </w:p>
    <w:p>
      <w:pPr>
        <w:spacing w:line="276" w:lineRule="auto"/>
        <w:ind w:firstLine="480" w:firstLineChars="200"/>
        <w:rPr>
          <w:sz w:val="24"/>
        </w:rPr>
      </w:pPr>
      <w:r>
        <w:rPr>
          <w:rFonts w:hint="eastAsia"/>
          <w:sz w:val="24"/>
        </w:rPr>
        <w:t>为做好甲方在劳务外包期间厂区及周边环境保护工作，减少作业对厂区环境的污染，认真贯彻执行环境保护等有关法律法规，结合本单位实际情况，经甲乙双方同意特签订环境保护协议如下：</w:t>
      </w:r>
    </w:p>
    <w:p>
      <w:pPr>
        <w:spacing w:line="276" w:lineRule="auto"/>
        <w:ind w:firstLine="480" w:firstLineChars="200"/>
        <w:rPr>
          <w:sz w:val="24"/>
        </w:rPr>
      </w:pPr>
      <w:r>
        <w:rPr>
          <w:rFonts w:hint="eastAsia"/>
          <w:sz w:val="24"/>
        </w:rPr>
        <w:t>第一条乙方为甲方劳务外包期间，应满足如下要求：</w:t>
      </w:r>
    </w:p>
    <w:p>
      <w:pPr>
        <w:spacing w:line="276" w:lineRule="auto"/>
        <w:ind w:firstLine="480" w:firstLineChars="200"/>
        <w:rPr>
          <w:sz w:val="24"/>
        </w:rPr>
      </w:pPr>
      <w:r>
        <w:rPr>
          <w:rFonts w:hint="eastAsia"/>
          <w:sz w:val="24"/>
        </w:rPr>
        <w:t>（一）乙方在甲方现场的所有活动必须遵守国家相关法律法规。</w:t>
      </w:r>
    </w:p>
    <w:p>
      <w:pPr>
        <w:spacing w:line="276" w:lineRule="auto"/>
        <w:ind w:firstLine="480" w:firstLineChars="200"/>
        <w:rPr>
          <w:sz w:val="24"/>
        </w:rPr>
      </w:pPr>
      <w:r>
        <w:rPr>
          <w:rFonts w:hint="eastAsia"/>
          <w:sz w:val="24"/>
        </w:rPr>
        <w:t>（二）乙方进入甲方厂内必须对因施工或其他生产行为可能对环境造成的污染应采取积极预防并不断改进的措施，确保污染物达标排放，同时应做出持续改进的承诺。</w:t>
      </w:r>
    </w:p>
    <w:p>
      <w:pPr>
        <w:spacing w:line="276" w:lineRule="auto"/>
        <w:ind w:firstLine="480" w:firstLineChars="200"/>
        <w:rPr>
          <w:sz w:val="24"/>
        </w:rPr>
      </w:pPr>
      <w:r>
        <w:rPr>
          <w:rFonts w:hint="eastAsia"/>
          <w:sz w:val="24"/>
        </w:rPr>
        <w:t>（三）乙方在甲方厂内工作前有义务主动向甲方了解作业区域内环保管理要求。</w:t>
      </w:r>
    </w:p>
    <w:p>
      <w:pPr>
        <w:spacing w:line="276" w:lineRule="auto"/>
        <w:ind w:firstLine="480" w:firstLineChars="200"/>
        <w:rPr>
          <w:sz w:val="24"/>
        </w:rPr>
      </w:pPr>
      <w:r>
        <w:rPr>
          <w:rFonts w:hint="eastAsia"/>
          <w:sz w:val="24"/>
        </w:rPr>
        <w:t>（四）甲乙双方合同履行期间，乙方必须采取有效措施将乙方人员在劳动过程对产生环境影响的主要因素进行有效控制。</w:t>
      </w:r>
    </w:p>
    <w:p>
      <w:pPr>
        <w:spacing w:line="276" w:lineRule="auto"/>
        <w:ind w:firstLine="480" w:firstLineChars="200"/>
        <w:rPr>
          <w:sz w:val="24"/>
        </w:rPr>
      </w:pPr>
      <w:r>
        <w:rPr>
          <w:rFonts w:hint="eastAsia"/>
          <w:sz w:val="24"/>
        </w:rPr>
        <w:t>（五）乙方人员在上岗前必须对现场作业人员进行环保教育或培训，提高现场人员的环保意识。</w:t>
      </w:r>
    </w:p>
    <w:p>
      <w:pPr>
        <w:spacing w:line="276" w:lineRule="auto"/>
        <w:ind w:firstLine="480" w:firstLineChars="200"/>
        <w:rPr>
          <w:sz w:val="24"/>
        </w:rPr>
      </w:pPr>
      <w:r>
        <w:rPr>
          <w:rFonts w:hint="eastAsia"/>
          <w:sz w:val="24"/>
        </w:rPr>
        <w:t>（六）乙方必须建立一套环境事故应急反应预案并且在甲方处备案。</w:t>
      </w:r>
    </w:p>
    <w:p>
      <w:pPr>
        <w:spacing w:line="276" w:lineRule="auto"/>
        <w:ind w:firstLine="480" w:firstLineChars="200"/>
        <w:rPr>
          <w:sz w:val="24"/>
        </w:rPr>
      </w:pPr>
      <w:r>
        <w:rPr>
          <w:rFonts w:hint="eastAsia"/>
          <w:sz w:val="24"/>
        </w:rPr>
        <w:t>（七）甲方将不定期对乙方在环境保护方面的工作落实情况进行检查，乙方应积极配合，如有检查确认的不合格项，乙方须予以整改。</w:t>
      </w:r>
    </w:p>
    <w:p>
      <w:pPr>
        <w:spacing w:line="276" w:lineRule="auto"/>
        <w:ind w:firstLine="480" w:firstLineChars="200"/>
        <w:rPr>
          <w:sz w:val="24"/>
        </w:rPr>
      </w:pPr>
      <w:r>
        <w:rPr>
          <w:rFonts w:hint="eastAsia"/>
          <w:sz w:val="24"/>
        </w:rPr>
        <w:t>（八）乙方在环境保护工作落实期间如遇突发问题,甲方应予以积极协助和指导。乙方在整个劳务外包期间,始终具有履行环境保护工作的责任和义务。甲方负责检查、指导和监督，乙方在作业过程必须做好如下工作要求：</w:t>
      </w:r>
    </w:p>
    <w:p>
      <w:pPr>
        <w:pStyle w:val="120"/>
        <w:spacing w:line="320" w:lineRule="exact"/>
        <w:ind w:firstLine="480" w:firstLineChars="200"/>
        <w:rPr>
          <w:rFonts w:cs="Times New Roman"/>
          <w:color w:val="auto"/>
          <w:kern w:val="2"/>
        </w:rPr>
      </w:pPr>
      <w:r>
        <w:rPr>
          <w:rFonts w:hint="eastAsia" w:cs="Times New Roman"/>
          <w:color w:val="auto"/>
          <w:kern w:val="2"/>
        </w:rPr>
        <w:t>1.固废</w:t>
      </w:r>
    </w:p>
    <w:p>
      <w:pPr>
        <w:pStyle w:val="120"/>
        <w:spacing w:line="320" w:lineRule="exact"/>
        <w:ind w:firstLine="480" w:firstLineChars="200"/>
        <w:rPr>
          <w:rFonts w:cs="Times New Roman"/>
          <w:color w:val="auto"/>
          <w:kern w:val="2"/>
        </w:rPr>
      </w:pPr>
      <w:r>
        <w:rPr>
          <w:rFonts w:cs="Times New Roman"/>
          <w:color w:val="auto"/>
          <w:kern w:val="2"/>
        </w:rPr>
        <w:t>(1)</w:t>
      </w:r>
      <w:r>
        <w:rPr>
          <w:rFonts w:hint="eastAsia" w:cs="Times New Roman"/>
          <w:color w:val="auto"/>
          <w:kern w:val="2"/>
        </w:rPr>
        <w:t>施工作业产生的固废分类定点放置并及时合法合规处置。处置时向甲方报告处置地点，提供处置单位资质。</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w:t>
      </w:r>
      <w:r>
        <w:rPr>
          <w:rFonts w:hint="eastAsia" w:cs="Times New Roman"/>
          <w:color w:val="auto"/>
          <w:kern w:val="2"/>
        </w:rPr>
        <w:t>土建施工挖出的泥土砂石等须及时填埋洒水，恢复原状。</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3)</w:t>
      </w:r>
      <w:r>
        <w:rPr>
          <w:rFonts w:hint="eastAsia" w:cs="Times New Roman"/>
          <w:color w:val="auto"/>
          <w:kern w:val="2"/>
        </w:rPr>
        <w:t>滤泥、白泥、环保污泥、锅炉灰渣等固废拉运处置时保持现场及路面干净，如有掉落及时清扫。</w:t>
      </w:r>
    </w:p>
    <w:p>
      <w:pPr>
        <w:pStyle w:val="120"/>
        <w:spacing w:line="320" w:lineRule="exact"/>
        <w:ind w:firstLine="480" w:firstLineChars="200"/>
        <w:rPr>
          <w:rFonts w:cs="Times New Roman"/>
          <w:color w:val="auto"/>
          <w:kern w:val="2"/>
        </w:rPr>
      </w:pPr>
      <w:r>
        <w:rPr>
          <w:rFonts w:hint="eastAsia" w:cs="Times New Roman"/>
          <w:color w:val="auto"/>
          <w:kern w:val="2"/>
        </w:rPr>
        <w:t>2</w:t>
      </w:r>
      <w:r>
        <w:rPr>
          <w:rFonts w:cs="Times New Roman"/>
          <w:color w:val="auto"/>
          <w:kern w:val="2"/>
        </w:rPr>
        <w:t>.</w:t>
      </w:r>
      <w:r>
        <w:rPr>
          <w:rFonts w:hint="eastAsia" w:cs="Times New Roman"/>
          <w:color w:val="auto"/>
          <w:kern w:val="2"/>
        </w:rPr>
        <w:t>危废</w:t>
      </w:r>
    </w:p>
    <w:p>
      <w:pPr>
        <w:pStyle w:val="120"/>
        <w:spacing w:line="320" w:lineRule="exact"/>
        <w:ind w:firstLine="480" w:firstLineChars="200"/>
        <w:rPr>
          <w:rFonts w:cs="Times New Roman"/>
          <w:color w:val="auto"/>
          <w:kern w:val="2"/>
        </w:rPr>
      </w:pPr>
      <w:r>
        <w:rPr>
          <w:rFonts w:cs="Times New Roman"/>
          <w:color w:val="auto"/>
          <w:kern w:val="2"/>
        </w:rPr>
        <w:t>(1)</w:t>
      </w:r>
      <w:r>
        <w:rPr>
          <w:rFonts w:hint="eastAsia" w:cs="Times New Roman"/>
          <w:color w:val="auto"/>
          <w:kern w:val="2"/>
        </w:rPr>
        <w:t>乙方在施工过程中使用有毒有害物质如油漆、涂料、机油等，应做好防泄漏储存措施，以免泄漏危害环境。</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w:t>
      </w:r>
      <w:r>
        <w:rPr>
          <w:rFonts w:hint="eastAsia" w:cs="Times New Roman"/>
          <w:color w:val="auto"/>
          <w:kern w:val="2"/>
        </w:rPr>
        <w:t>施工过程产生的废机油、废机油桶、废油漆桶、石棉废物等危险废物联系有资质的第三方进行处置。处置时向甲方报告处置地点，提供处置单位资质。</w:t>
      </w:r>
    </w:p>
    <w:p>
      <w:pPr>
        <w:pStyle w:val="120"/>
        <w:spacing w:line="320" w:lineRule="exact"/>
        <w:ind w:firstLine="480" w:firstLineChars="200"/>
        <w:rPr>
          <w:rFonts w:cs="Times New Roman"/>
          <w:color w:val="auto"/>
          <w:kern w:val="2"/>
        </w:rPr>
      </w:pPr>
      <w:r>
        <w:rPr>
          <w:rFonts w:hint="eastAsia" w:cs="Times New Roman"/>
          <w:color w:val="auto"/>
          <w:kern w:val="2"/>
        </w:rPr>
        <w:t>3</w:t>
      </w:r>
      <w:r>
        <w:rPr>
          <w:rFonts w:cs="Times New Roman"/>
          <w:color w:val="auto"/>
          <w:kern w:val="2"/>
        </w:rPr>
        <w:t>.</w:t>
      </w:r>
      <w:r>
        <w:rPr>
          <w:rFonts w:hint="eastAsia" w:cs="Times New Roman"/>
          <w:color w:val="auto"/>
          <w:kern w:val="2"/>
        </w:rPr>
        <w:t>噪声</w:t>
      </w:r>
    </w:p>
    <w:p>
      <w:pPr>
        <w:pStyle w:val="120"/>
        <w:spacing w:line="320" w:lineRule="exact"/>
        <w:ind w:firstLine="480" w:firstLineChars="200"/>
        <w:rPr>
          <w:rFonts w:cs="Times New Roman"/>
          <w:color w:val="auto"/>
          <w:kern w:val="2"/>
        </w:rPr>
      </w:pPr>
      <w:r>
        <w:rPr>
          <w:rFonts w:cs="Times New Roman"/>
          <w:color w:val="auto"/>
          <w:kern w:val="2"/>
        </w:rPr>
        <w:t>(1)乙方施工</w:t>
      </w:r>
      <w:r>
        <w:rPr>
          <w:rFonts w:hint="eastAsia" w:cs="Times New Roman"/>
          <w:color w:val="auto"/>
          <w:kern w:val="2"/>
        </w:rPr>
        <w:t>产生的</w:t>
      </w:r>
      <w:r>
        <w:rPr>
          <w:rFonts w:cs="Times New Roman"/>
          <w:color w:val="auto"/>
          <w:kern w:val="2"/>
        </w:rPr>
        <w:t>噪声，</w:t>
      </w:r>
      <w:r>
        <w:rPr>
          <w:rFonts w:hint="eastAsia" w:cs="Times New Roman"/>
          <w:color w:val="auto"/>
          <w:kern w:val="2"/>
        </w:rPr>
        <w:t>须</w:t>
      </w:r>
      <w:r>
        <w:rPr>
          <w:rFonts w:cs="Times New Roman"/>
          <w:color w:val="auto"/>
          <w:kern w:val="2"/>
        </w:rPr>
        <w:t>符合国家规定的施工环境噪声排放标准</w:t>
      </w:r>
      <w:r>
        <w:rPr>
          <w:rFonts w:hint="eastAsia" w:cs="Times New Roman"/>
          <w:color w:val="auto"/>
          <w:kern w:val="2"/>
        </w:rPr>
        <w:t>。同时</w:t>
      </w:r>
      <w:r>
        <w:rPr>
          <w:rFonts w:cs="Times New Roman"/>
          <w:color w:val="auto"/>
          <w:kern w:val="2"/>
        </w:rPr>
        <w:t>应采取有效措施，减轻噪声对周围生活环境的影响。</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w:t>
      </w:r>
      <w:r>
        <w:rPr>
          <w:rFonts w:hint="eastAsia" w:cs="Times New Roman"/>
          <w:color w:val="auto"/>
          <w:kern w:val="2"/>
        </w:rPr>
        <w:t>乙方应</w:t>
      </w:r>
      <w:r>
        <w:rPr>
          <w:rFonts w:cs="Times New Roman"/>
          <w:color w:val="auto"/>
          <w:kern w:val="2"/>
        </w:rPr>
        <w:t>加强机动车辆维修和保养，</w:t>
      </w:r>
      <w:r>
        <w:rPr>
          <w:rFonts w:hint="eastAsia" w:cs="Times New Roman"/>
          <w:color w:val="auto"/>
          <w:kern w:val="2"/>
        </w:rPr>
        <w:t>机动车辆噪声符合国家规定的排放标准。</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3)乙方机动车辆进入</w:t>
      </w:r>
      <w:r>
        <w:rPr>
          <w:rFonts w:hint="eastAsia" w:cs="Times New Roman"/>
          <w:color w:val="auto"/>
          <w:kern w:val="2"/>
        </w:rPr>
        <w:t>甲方项目/服务</w:t>
      </w:r>
      <w:r>
        <w:rPr>
          <w:rFonts w:cs="Times New Roman"/>
          <w:color w:val="auto"/>
          <w:kern w:val="2"/>
        </w:rPr>
        <w:t>现场严禁使用喇叭。</w:t>
      </w:r>
    </w:p>
    <w:p>
      <w:pPr>
        <w:pStyle w:val="120"/>
        <w:spacing w:line="320" w:lineRule="exact"/>
        <w:ind w:firstLine="480" w:firstLineChars="200"/>
        <w:rPr>
          <w:rFonts w:cs="Times New Roman"/>
          <w:color w:val="auto"/>
          <w:kern w:val="2"/>
        </w:rPr>
      </w:pPr>
      <w:r>
        <w:rPr>
          <w:rFonts w:hint="eastAsia" w:cs="Times New Roman"/>
          <w:color w:val="auto"/>
          <w:kern w:val="2"/>
        </w:rPr>
        <w:t>4</w:t>
      </w:r>
      <w:r>
        <w:rPr>
          <w:rFonts w:cs="Times New Roman"/>
          <w:color w:val="auto"/>
          <w:kern w:val="2"/>
        </w:rPr>
        <w:t>.</w:t>
      </w:r>
      <w:r>
        <w:rPr>
          <w:rFonts w:hint="eastAsia" w:cs="Times New Roman"/>
          <w:color w:val="auto"/>
          <w:kern w:val="2"/>
        </w:rPr>
        <w:t>水</w:t>
      </w:r>
    </w:p>
    <w:p>
      <w:pPr>
        <w:pStyle w:val="120"/>
        <w:spacing w:line="320" w:lineRule="exact"/>
        <w:ind w:firstLine="480" w:firstLineChars="200"/>
        <w:rPr>
          <w:rFonts w:cs="Times New Roman"/>
          <w:color w:val="auto"/>
          <w:kern w:val="2"/>
        </w:rPr>
      </w:pPr>
      <w:r>
        <w:rPr>
          <w:rFonts w:cs="Times New Roman"/>
          <w:color w:val="auto"/>
          <w:kern w:val="2"/>
        </w:rPr>
        <w:t>(1)禁止</w:t>
      </w:r>
      <w:r>
        <w:rPr>
          <w:rFonts w:hint="eastAsia" w:cs="Times New Roman"/>
          <w:color w:val="auto"/>
          <w:kern w:val="2"/>
        </w:rPr>
        <w:t>向</w:t>
      </w:r>
      <w:r>
        <w:rPr>
          <w:rFonts w:cs="Times New Roman"/>
          <w:color w:val="auto"/>
          <w:kern w:val="2"/>
        </w:rPr>
        <w:t>施工现场周边排放油类、酸液、碱液或者</w:t>
      </w:r>
      <w:r>
        <w:rPr>
          <w:rFonts w:hint="eastAsia" w:cs="Times New Roman"/>
          <w:color w:val="auto"/>
          <w:kern w:val="2"/>
        </w:rPr>
        <w:t>有</w:t>
      </w:r>
      <w:r>
        <w:rPr>
          <w:rFonts w:cs="Times New Roman"/>
          <w:color w:val="auto"/>
          <w:kern w:val="2"/>
        </w:rPr>
        <w:t>毒废液。</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2)禁止向施工现场周边水体排放、倾倒放射性固体废物或者含有高放射性</w:t>
      </w:r>
      <w:r>
        <w:rPr>
          <w:rFonts w:hint="eastAsia" w:cs="Times New Roman"/>
          <w:color w:val="auto"/>
          <w:kern w:val="2"/>
        </w:rPr>
        <w:t>或</w:t>
      </w:r>
      <w:r>
        <w:rPr>
          <w:rFonts w:cs="Times New Roman"/>
          <w:color w:val="auto"/>
          <w:kern w:val="2"/>
        </w:rPr>
        <w:t>中放射性物质的废水。</w:t>
      </w:r>
    </w:p>
    <w:p>
      <w:pPr>
        <w:pStyle w:val="120"/>
        <w:spacing w:line="320" w:lineRule="exact"/>
        <w:ind w:firstLine="480" w:firstLineChars="200"/>
        <w:rPr>
          <w:rFonts w:cs="Times New Roman"/>
          <w:color w:val="auto"/>
          <w:kern w:val="2"/>
        </w:rPr>
      </w:pPr>
      <w:r>
        <w:rPr>
          <w:rFonts w:hint="eastAsia" w:cs="Times New Roman"/>
          <w:color w:val="auto"/>
          <w:kern w:val="2"/>
        </w:rPr>
        <w:t>5</w:t>
      </w:r>
      <w:r>
        <w:rPr>
          <w:rFonts w:cs="Times New Roman"/>
          <w:color w:val="auto"/>
          <w:kern w:val="2"/>
        </w:rPr>
        <w:t>.</w:t>
      </w:r>
      <w:r>
        <w:rPr>
          <w:rFonts w:hint="eastAsia" w:cs="Times New Roman"/>
          <w:color w:val="auto"/>
          <w:kern w:val="2"/>
        </w:rPr>
        <w:t>气</w:t>
      </w:r>
    </w:p>
    <w:p>
      <w:pPr>
        <w:pStyle w:val="120"/>
        <w:spacing w:line="320" w:lineRule="exact"/>
        <w:ind w:firstLine="480" w:firstLineChars="200"/>
        <w:rPr>
          <w:rFonts w:cs="Times New Roman"/>
          <w:color w:val="auto"/>
          <w:kern w:val="2"/>
        </w:rPr>
      </w:pPr>
      <w:r>
        <w:rPr>
          <w:rFonts w:cs="Times New Roman"/>
          <w:color w:val="auto"/>
          <w:kern w:val="2"/>
        </w:rPr>
        <w:t>(1)施工</w:t>
      </w:r>
      <w:r>
        <w:rPr>
          <w:rFonts w:hint="eastAsia" w:cs="Times New Roman"/>
          <w:color w:val="auto"/>
          <w:kern w:val="2"/>
        </w:rPr>
        <w:t>现场</w:t>
      </w:r>
      <w:r>
        <w:rPr>
          <w:rFonts w:cs="Times New Roman"/>
          <w:color w:val="auto"/>
          <w:kern w:val="2"/>
        </w:rPr>
        <w:t>禁止焚烧油毡、橡胶、塑料、皮革、垃圾以及其他产生有毒有害烟尘和恶臭气体的物质。</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w:t>
      </w:r>
      <w:r>
        <w:rPr>
          <w:rFonts w:hint="eastAsia" w:cs="Times New Roman"/>
          <w:color w:val="auto"/>
          <w:kern w:val="2"/>
        </w:rPr>
        <w:t>乙方应</w:t>
      </w:r>
      <w:r>
        <w:rPr>
          <w:rFonts w:cs="Times New Roman"/>
          <w:color w:val="auto"/>
          <w:kern w:val="2"/>
        </w:rPr>
        <w:t>加强机动车辆维修和保养，</w:t>
      </w:r>
      <w:r>
        <w:rPr>
          <w:rFonts w:hint="eastAsia" w:cs="Times New Roman"/>
          <w:color w:val="auto"/>
          <w:kern w:val="2"/>
        </w:rPr>
        <w:t>机动车辆尾气符合国家规定的排放标准。</w:t>
      </w:r>
    </w:p>
    <w:p>
      <w:pPr>
        <w:pStyle w:val="120"/>
        <w:spacing w:line="320" w:lineRule="exact"/>
        <w:ind w:firstLine="480" w:firstLineChars="200"/>
        <w:rPr>
          <w:rFonts w:cs="Times New Roman"/>
          <w:color w:val="auto"/>
          <w:kern w:val="2"/>
        </w:rPr>
      </w:pPr>
      <w:r>
        <w:rPr>
          <w:rFonts w:cs="Times New Roman"/>
          <w:color w:val="auto"/>
          <w:kern w:val="2"/>
        </w:rPr>
        <w:t>6.</w:t>
      </w:r>
      <w:r>
        <w:rPr>
          <w:rFonts w:hint="eastAsia" w:cs="Times New Roman"/>
          <w:color w:val="auto"/>
          <w:kern w:val="2"/>
        </w:rPr>
        <w:t>无组织排放</w:t>
      </w:r>
    </w:p>
    <w:p>
      <w:pPr>
        <w:pStyle w:val="120"/>
        <w:spacing w:line="320" w:lineRule="exact"/>
        <w:ind w:firstLine="480" w:firstLineChars="200"/>
        <w:rPr>
          <w:rFonts w:cs="Times New Roman"/>
          <w:color w:val="auto"/>
          <w:kern w:val="2"/>
        </w:rPr>
      </w:pPr>
      <w:r>
        <w:rPr>
          <w:rFonts w:cs="Times New Roman"/>
          <w:color w:val="auto"/>
          <w:kern w:val="2"/>
        </w:rPr>
        <w:t>(1)</w:t>
      </w:r>
      <w:r>
        <w:rPr>
          <w:rFonts w:hint="eastAsia" w:cs="Times New Roman"/>
          <w:color w:val="auto"/>
          <w:kern w:val="2"/>
        </w:rPr>
        <w:t>容易产生扬尘的施工现场、清扫地面时须洒水，运输建筑垃圾需加盖蓬布等，以免粉尘弥漫，污染环境。</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w:t>
      </w:r>
      <w:r>
        <w:rPr>
          <w:rFonts w:hint="eastAsia" w:cs="Times New Roman"/>
          <w:color w:val="auto"/>
          <w:kern w:val="2"/>
        </w:rPr>
        <w:t>临时堆放的土方采取彩条布覆盖等措施，以防尘土飞扬。</w:t>
      </w:r>
    </w:p>
    <w:p>
      <w:pPr>
        <w:pStyle w:val="120"/>
        <w:spacing w:line="320" w:lineRule="exact"/>
        <w:ind w:firstLine="480" w:firstLineChars="200"/>
        <w:rPr>
          <w:rFonts w:cs="Times New Roman"/>
          <w:color w:val="auto"/>
          <w:kern w:val="2"/>
        </w:rPr>
      </w:pPr>
      <w:r>
        <w:rPr>
          <w:rFonts w:cs="Times New Roman"/>
          <w:color w:val="auto"/>
          <w:kern w:val="2"/>
        </w:rPr>
        <w:t>7.</w:t>
      </w:r>
      <w:r>
        <w:rPr>
          <w:rFonts w:hint="eastAsia" w:cs="Times New Roman"/>
          <w:color w:val="auto"/>
          <w:kern w:val="2"/>
        </w:rPr>
        <w:t>其它</w:t>
      </w:r>
    </w:p>
    <w:p>
      <w:pPr>
        <w:pStyle w:val="120"/>
        <w:spacing w:line="320" w:lineRule="exact"/>
        <w:ind w:firstLine="480" w:firstLineChars="200"/>
        <w:rPr>
          <w:rFonts w:cs="Times New Roman"/>
          <w:color w:val="auto"/>
          <w:kern w:val="2"/>
        </w:rPr>
      </w:pPr>
      <w:r>
        <w:rPr>
          <w:rFonts w:cs="Times New Roman"/>
          <w:color w:val="auto"/>
          <w:kern w:val="2"/>
        </w:rPr>
        <w:t>(1)</w:t>
      </w:r>
      <w:r>
        <w:rPr>
          <w:rFonts w:hint="eastAsia" w:cs="Times New Roman"/>
          <w:color w:val="auto"/>
          <w:kern w:val="2"/>
        </w:rPr>
        <w:t>乙方施工／服务现场环境须遵守环境管理体系及法律法规有关作业场所的要求，场地功能划分及标识清楚，物资规范堆放和储存，保持现场的整洁有序。</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2)乙方应当合理选择和利用原材料、能源和其他资源，采用先进的生产工艺和设备，减少施工</w:t>
      </w:r>
      <w:r>
        <w:rPr>
          <w:rFonts w:hint="eastAsia" w:cs="Times New Roman"/>
          <w:color w:val="auto"/>
          <w:kern w:val="2"/>
        </w:rPr>
        <w:t>废水、废气、固废及噪声</w:t>
      </w:r>
      <w:r>
        <w:rPr>
          <w:rFonts w:cs="Times New Roman"/>
          <w:color w:val="auto"/>
          <w:kern w:val="2"/>
        </w:rPr>
        <w:t>产生。</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3)</w:t>
      </w:r>
      <w:r>
        <w:rPr>
          <w:rFonts w:hint="eastAsia" w:cs="Times New Roman"/>
          <w:color w:val="auto"/>
          <w:kern w:val="2"/>
        </w:rPr>
        <w:t>乙方使用的车辆必须具备国家法规和甲方所在地环保政策及相关规定的资质和要求，并在项目/服务实施过程中严格遵守法规及相关政策、规定。</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4)</w:t>
      </w:r>
      <w:r>
        <w:rPr>
          <w:rFonts w:hint="eastAsia" w:cs="Times New Roman"/>
          <w:color w:val="auto"/>
          <w:kern w:val="2"/>
        </w:rPr>
        <w:t>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pPr>
        <w:pStyle w:val="120"/>
        <w:spacing w:line="320" w:lineRule="exact"/>
        <w:ind w:firstLine="480" w:firstLineChars="200"/>
        <w:rPr>
          <w:rFonts w:cs="Times New Roman"/>
          <w:color w:val="auto"/>
          <w:kern w:val="2"/>
        </w:rPr>
      </w:pPr>
      <w:r>
        <w:rPr>
          <w:rFonts w:hint="eastAsia" w:cs="Times New Roman"/>
          <w:color w:val="auto"/>
          <w:kern w:val="2"/>
        </w:rPr>
        <w:t>(</w:t>
      </w:r>
      <w:r>
        <w:rPr>
          <w:rFonts w:cs="Times New Roman"/>
          <w:color w:val="auto"/>
          <w:kern w:val="2"/>
        </w:rPr>
        <w:t>5)</w:t>
      </w:r>
      <w:r>
        <w:rPr>
          <w:rFonts w:hint="eastAsia" w:cs="Times New Roman"/>
          <w:color w:val="auto"/>
          <w:kern w:val="2"/>
        </w:rPr>
        <w:t>乙方在施工现场根据区域大小合理设置1</w:t>
      </w:r>
      <w:r>
        <w:rPr>
          <w:rFonts w:cs="Times New Roman"/>
          <w:color w:val="auto"/>
          <w:kern w:val="2"/>
        </w:rPr>
        <w:t>-2</w:t>
      </w:r>
      <w:r>
        <w:rPr>
          <w:rFonts w:hint="eastAsia" w:cs="Times New Roman"/>
          <w:color w:val="auto"/>
          <w:kern w:val="2"/>
        </w:rPr>
        <w:t>个固废临时储放点，安排人员每天打扫一遍施工现场，每十天清理一次临时储放点。临时储放点设置超过</w:t>
      </w:r>
      <w:r>
        <w:rPr>
          <w:rFonts w:cs="Times New Roman"/>
          <w:color w:val="auto"/>
          <w:kern w:val="2"/>
        </w:rPr>
        <w:t>2</w:t>
      </w:r>
      <w:r>
        <w:rPr>
          <w:rFonts w:hint="eastAsia" w:cs="Times New Roman"/>
          <w:color w:val="auto"/>
          <w:kern w:val="2"/>
        </w:rPr>
        <w:t>个时须报经甲方安全环保部同意。</w:t>
      </w:r>
    </w:p>
    <w:p>
      <w:pPr>
        <w:spacing w:line="276" w:lineRule="auto"/>
        <w:ind w:firstLine="480" w:firstLineChars="200"/>
        <w:rPr>
          <w:sz w:val="24"/>
        </w:rPr>
      </w:pPr>
      <w:r>
        <w:rPr>
          <w:rFonts w:hint="eastAsia"/>
          <w:sz w:val="24"/>
        </w:rPr>
        <w:t>（九）以上对乙方的环保要求的最终解释权归甲方所有，乙方可向甲方进行咨询。</w:t>
      </w:r>
    </w:p>
    <w:p>
      <w:pPr>
        <w:spacing w:line="480" w:lineRule="exact"/>
        <w:ind w:firstLine="480" w:firstLineChars="200"/>
        <w:rPr>
          <w:sz w:val="24"/>
        </w:rPr>
      </w:pPr>
      <w:r>
        <w:rPr>
          <w:rFonts w:hint="eastAsia"/>
          <w:sz w:val="24"/>
        </w:rPr>
        <w:t>（十）考核</w:t>
      </w:r>
    </w:p>
    <w:p>
      <w:pPr>
        <w:spacing w:line="480" w:lineRule="exact"/>
        <w:ind w:firstLine="480" w:firstLineChars="200"/>
        <w:rPr>
          <w:sz w:val="24"/>
        </w:rPr>
      </w:pPr>
      <w:r>
        <w:rPr>
          <w:rFonts w:hint="eastAsia"/>
          <w:sz w:val="24"/>
        </w:rPr>
        <w:t>1.乙方未按要求每天打扫施工现场的，由甲方安排人员打扫并按7</w:t>
      </w:r>
      <w:r>
        <w:rPr>
          <w:sz w:val="24"/>
        </w:rPr>
        <w:t>0</w:t>
      </w:r>
      <w:r>
        <w:rPr>
          <w:rFonts w:hint="eastAsia"/>
          <w:sz w:val="24"/>
        </w:rPr>
        <w:t>元/人/小时扣款；施工作业产生的固废未及时合法处置的，由甲方联系第三方合法处置并按以下标准考核乙方：1</w:t>
      </w:r>
      <w:r>
        <w:rPr>
          <w:sz w:val="24"/>
        </w:rPr>
        <w:t>.</w:t>
      </w:r>
      <w:r>
        <w:rPr>
          <w:rFonts w:hint="eastAsia"/>
          <w:sz w:val="24"/>
        </w:rPr>
        <w:t>一般固废：1000元/吨扣款；2</w:t>
      </w:r>
      <w:r>
        <w:rPr>
          <w:sz w:val="24"/>
        </w:rPr>
        <w:t>.</w:t>
      </w:r>
      <w:r>
        <w:rPr>
          <w:rFonts w:hint="eastAsia"/>
          <w:sz w:val="24"/>
        </w:rPr>
        <w:t>危险废物：100</w:t>
      </w:r>
      <w:r>
        <w:rPr>
          <w:sz w:val="24"/>
        </w:rPr>
        <w:t>00</w:t>
      </w:r>
      <w:r>
        <w:rPr>
          <w:rFonts w:hint="eastAsia"/>
          <w:sz w:val="24"/>
        </w:rPr>
        <w:t>元/吨扣款。</w:t>
      </w:r>
    </w:p>
    <w:p>
      <w:pPr>
        <w:spacing w:line="480" w:lineRule="exact"/>
        <w:ind w:firstLine="480" w:firstLineChars="200"/>
        <w:rPr>
          <w:sz w:val="24"/>
        </w:rPr>
      </w:pPr>
      <w:r>
        <w:rPr>
          <w:rFonts w:hint="eastAsia"/>
          <w:sz w:val="24"/>
        </w:rPr>
        <w:t>2.乙方违反甲方各项环保管理规定的，第一次扣200元、第二次扣500元、第三次扣1000元。累计违规四次以上的，第四次起每次扣2000元，视情况作停工整顿处理，停工所造成的损失由乙方负责。</w:t>
      </w:r>
    </w:p>
    <w:p>
      <w:pPr>
        <w:spacing w:line="480" w:lineRule="exact"/>
        <w:ind w:firstLine="480" w:firstLineChars="200"/>
        <w:rPr>
          <w:sz w:val="24"/>
        </w:rPr>
      </w:pPr>
      <w:r>
        <w:rPr>
          <w:rFonts w:hint="eastAsia"/>
          <w:sz w:val="24"/>
        </w:rPr>
        <w:t>3.若因乙方责任导致当地居民上访或当地环保管理部门对甲方提出整改、整顿或处罚的，将由乙方自行承担所有责任，并负责赔偿甲方由此带来的经济损失。</w:t>
      </w:r>
    </w:p>
    <w:p>
      <w:pPr>
        <w:spacing w:line="276" w:lineRule="auto"/>
        <w:ind w:firstLine="480" w:firstLineChars="200"/>
        <w:rPr>
          <w:sz w:val="24"/>
        </w:rPr>
      </w:pPr>
      <w:r>
        <w:rPr>
          <w:rFonts w:hint="eastAsia"/>
          <w:sz w:val="24"/>
        </w:rPr>
        <w:t>（十一）如有未尽事宜，甲乙双方及时协商。</w:t>
      </w:r>
    </w:p>
    <w:p>
      <w:pPr>
        <w:spacing w:line="276" w:lineRule="auto"/>
        <w:ind w:firstLine="480" w:firstLineChars="200"/>
        <w:rPr>
          <w:sz w:val="24"/>
        </w:rPr>
      </w:pPr>
      <w:r>
        <w:rPr>
          <w:rFonts w:hint="eastAsia"/>
          <w:sz w:val="24"/>
        </w:rPr>
        <w:t>（十二）本协议内容自双方签订之日起开始实施。</w:t>
      </w: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p>
    <w:p>
      <w:pPr>
        <w:spacing w:line="276" w:lineRule="auto"/>
        <w:ind w:firstLine="480" w:firstLineChars="200"/>
        <w:rPr>
          <w:sz w:val="24"/>
        </w:rPr>
      </w:pPr>
      <w:r>
        <w:rPr>
          <w:sz w:val="24"/>
        </w:rPr>
        <w:t>甲方（盖章）：</w:t>
      </w:r>
      <w:r>
        <w:rPr>
          <w:rFonts w:hint="eastAsia"/>
          <w:sz w:val="24"/>
        </w:rPr>
        <w:t xml:space="preserve">                          </w:t>
      </w:r>
      <w:r>
        <w:rPr>
          <w:sz w:val="24"/>
        </w:rPr>
        <w:t>乙方（盖章）：</w:t>
      </w:r>
    </w:p>
    <w:p>
      <w:pPr>
        <w:spacing w:line="276" w:lineRule="auto"/>
        <w:ind w:firstLine="480" w:firstLineChars="200"/>
        <w:rPr>
          <w:sz w:val="24"/>
        </w:rPr>
      </w:pPr>
      <w:r>
        <w:rPr>
          <w:sz w:val="24"/>
        </w:rPr>
        <w:t>法人/委托代理人(签字)：</w:t>
      </w:r>
      <w:r>
        <w:rPr>
          <w:rFonts w:hint="eastAsia"/>
          <w:sz w:val="24"/>
        </w:rPr>
        <w:t xml:space="preserve">                 </w:t>
      </w:r>
      <w:r>
        <w:rPr>
          <w:sz w:val="24"/>
        </w:rPr>
        <w:t>法人/委托代理人（签字）：</w:t>
      </w:r>
    </w:p>
    <w:p>
      <w:pPr>
        <w:spacing w:line="276" w:lineRule="auto"/>
        <w:ind w:firstLine="480" w:firstLineChars="200"/>
        <w:rPr>
          <w:sz w:val="24"/>
        </w:rPr>
      </w:pPr>
    </w:p>
    <w:p>
      <w:pPr>
        <w:spacing w:line="276" w:lineRule="auto"/>
        <w:ind w:firstLine="480" w:firstLineChars="200"/>
      </w:pPr>
      <w:r>
        <w:rPr>
          <w:rFonts w:hint="eastAsia"/>
          <w:sz w:val="24"/>
        </w:rPr>
        <w:t xml:space="preserve">日期：    </w:t>
      </w: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日期：    </w:t>
      </w:r>
      <w:r>
        <w:rPr>
          <w:sz w:val="24"/>
        </w:rPr>
        <w:t>年</w:t>
      </w:r>
      <w:r>
        <w:rPr>
          <w:rFonts w:hint="eastAsia"/>
          <w:sz w:val="24"/>
        </w:rPr>
        <w:t xml:space="preserve">    </w:t>
      </w:r>
      <w:r>
        <w:rPr>
          <w:sz w:val="24"/>
        </w:rPr>
        <w:t>月</w:t>
      </w:r>
      <w:r>
        <w:rPr>
          <w:rFonts w:hint="eastAsia"/>
          <w:sz w:val="24"/>
        </w:rPr>
        <w:t xml:space="preserve">    </w:t>
      </w:r>
      <w:r>
        <w:rPr>
          <w:sz w:val="24"/>
        </w:rPr>
        <w:t>日</w:t>
      </w: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adjustRightInd w:val="0"/>
        <w:snapToGrid w:val="0"/>
        <w:spacing w:line="276" w:lineRule="auto"/>
        <w:rPr>
          <w:rFonts w:eastAsia="仿宋" w:asciiTheme="minorEastAsia" w:hAnsiTheme="minorEastAsia"/>
          <w:snapToGrid w:val="0"/>
          <w:sz w:val="24"/>
        </w:rPr>
      </w:pPr>
    </w:p>
    <w:p>
      <w:pPr>
        <w:rPr>
          <w:rStyle w:val="71"/>
          <w:rFonts w:ascii="宋体" w:hAnsi="宋体"/>
          <w:bCs/>
          <w:sz w:val="28"/>
          <w:szCs w:val="28"/>
        </w:rPr>
      </w:pPr>
    </w:p>
    <w:sectPr>
      <w:headerReference r:id="rId5" w:type="default"/>
      <w:footerReference r:id="rId6"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Impact">
    <w:panose1 w:val="020B0806030902050204"/>
    <w:charset w:val="00"/>
    <w:family w:val="swiss"/>
    <w:pitch w:val="default"/>
    <w:sig w:usb0="00000287" w:usb1="00000000" w:usb2="00000000" w:usb3="00000000" w:csb0="2000009F" w:csb1="DFD70000"/>
  </w:font>
  <w:font w:name="華康中楷體">
    <w:altName w:val="Microsoft JhengHei"/>
    <w:panose1 w:val="00000000000000000000"/>
    <w:charset w:val="88"/>
    <w:family w:val="modern"/>
    <w:pitch w:val="default"/>
    <w:sig w:usb0="00000000" w:usb1="00000000" w:usb2="00000010" w:usb3="00000000" w:csb0="00100000" w:csb1="00000000"/>
  </w:font>
  <w:font w:name="全真簡中楷">
    <w:altName w:val="宋体"/>
    <w:panose1 w:val="00000000000000000000"/>
    <w:charset w:val="88"/>
    <w:family w:val="modern"/>
    <w:pitch w:val="default"/>
    <w:sig w:usb0="00000000" w:usb1="00000000" w:usb2="00000010" w:usb3="00000000" w:csb0="00100000" w:csb1="00000000"/>
  </w:font>
  <w:font w:name="Univers">
    <w:altName w:val="Arial"/>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72">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sz w:val="18"/>
        <w:szCs w:val="18"/>
      </w:rPr>
      <w:t>17</w:t>
    </w:r>
    <w:r>
      <w:rPr>
        <w:rFonts w:hint="eastAsia"/>
      </w:rPr>
      <w:fldChar w:fldCharType="end"/>
    </w:r>
    <w:r>
      <w:rPr>
        <w:rFonts w:hint="eastAsia"/>
      </w:rPr>
      <w:t>页共</w:t>
    </w:r>
    <w:r>
      <w:fldChar w:fldCharType="begin"/>
    </w:r>
    <w:r>
      <w:instrText xml:space="preserve"> NUMPAGES  \* MERGEFORMAT </w:instrText>
    </w:r>
    <w:r>
      <w:fldChar w:fldCharType="separate"/>
    </w:r>
    <w:r>
      <w:t>35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71"/>
      </w:rPr>
    </w:pPr>
    <w:r>
      <w:rPr>
        <w:rStyle w:val="71"/>
        <w:sz w:val="20"/>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1"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noFill/>
                      <a:ln>
                        <a:noFill/>
                      </a:ln>
                    </wps:spPr>
                    <wps:bodyPr rot="0" vert="horz" wrap="square" lIns="91440" tIns="45720" rIns="91440" bIns="45720" anchor="t" anchorCtr="0" upright="1">
                      <a:noAutofit/>
                    </wps:bodyPr>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Y/&#10;denPAAAABQEAAA8AAAAAAAAAAQAgAAAAIgAAAGRycy9kb3ducmV2LnhtbFBLAQIUABQAAAAIAIdO&#10;4kDmTnzILAIAAFoEAAAOAAAAAAAAAAEAIAAAAB4BAABkcnMvZTJvRG9jLnhtbFBLBQYAAAAABgAG&#10;AFkBAAC8BQAAAAA=&#10;">
              <v:fill on="f" focussize="0,0"/>
              <v:stroke on="f"/>
              <v:imagedata o:title=""/>
              <o:lock v:ext="edit" selection="t" aspectratio="f"/>
            </v:shape>
          </w:pict>
        </mc:Fallback>
      </mc:AlternateContent>
    </w:r>
    <w:r>
      <w:rPr>
        <w:rStyle w:val="71"/>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6057900" cy="0"/>
              <wp:effectExtent l="0" t="0" r="0" b="0"/>
              <wp:wrapNone/>
              <wp:docPr id="3" name="直线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2.75pt;height:0pt;width:477pt;z-index:251660288;mso-width-relative:page;mso-height-relative:page;" filled="f" stroked="t" coordsize="21600,21600" o:gfxdata="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kdZ51AAAAAYBAAAPAAAA&#10;AAAAAAEAIAAAACIAAABkcnMvZG93bnJldi54bWxQSwECFAAUAAAACACHTuJABRf4weABAADPAwAA&#10;DgAAAAAAAAABACAAAAAjAQAAZHJzL2Uyb0RvYy54bWxQSwUGAAAAAAYABgBZAQAAdQU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left"/>
      <w:rPr>
        <w:rFonts w:ascii="仿宋_GB2312" w:eastAsia="仿宋_GB2312"/>
        <w:color w:val="FF0000"/>
        <w:sz w:val="24"/>
        <w:szCs w:val="24"/>
        <w:u w:val="single"/>
      </w:rPr>
    </w:pPr>
    <w:r>
      <w:rPr>
        <w:rFonts w:hint="eastAsia" w:ascii="仿宋_GB2312" w:eastAsia="仿宋_GB2312"/>
        <w:sz w:val="24"/>
        <w:szCs w:val="24"/>
      </w:rPr>
      <w:t>文件名称：中粮糖业甘蔗糖部2023年梁河糖业勐养工厂制炼车间P25TK-1离心机大修项目合同模板</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71"/>
        <w:sz w:val="28"/>
        <w:szCs w:val="28"/>
      </w:rPr>
    </w:pPr>
    <w:r>
      <w:rPr>
        <w:sz w:val="28"/>
        <w:szCs w:val="28"/>
      </w:rPr>
      <w:drawing>
        <wp:anchor distT="0" distB="0" distL="114300" distR="114300" simplePos="0" relativeHeight="251659264" behindDoc="0" locked="0" layoutInCell="1" allowOverlap="1">
          <wp:simplePos x="0" y="0"/>
          <wp:positionH relativeFrom="page">
            <wp:posOffset>5215890</wp:posOffset>
          </wp:positionH>
          <wp:positionV relativeFrom="page">
            <wp:posOffset>483235</wp:posOffset>
          </wp:positionV>
          <wp:extent cx="1614170" cy="511810"/>
          <wp:effectExtent l="0" t="0" r="0" b="0"/>
          <wp:wrapNone/>
          <wp:docPr id="9" name="图片 9" descr="d:\Documents\ECOFCO\1688849874342527_1970325073519976\Cache\Image\2023-03\微信图片_20230121121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Documents\ECOFCO\1688849874342527_1970325073519976\Cache\Image\2023-03\微信图片_202301211216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614114" cy="511892"/>
                  </a:xfrm>
                  <a:prstGeom prst="rect">
                    <a:avLst/>
                  </a:prstGeom>
                  <a:noFill/>
                  <a:ln>
                    <a:noFill/>
                  </a:ln>
                </pic:spPr>
              </pic:pic>
            </a:graphicData>
          </a:graphic>
        </wp:anchor>
      </w:drawing>
    </w:r>
  </w:p>
  <w:p>
    <w:pPr>
      <w:pStyle w:val="24"/>
      <w:jc w:val="both"/>
      <w:rPr>
        <w:rStyle w:val="71"/>
        <w:sz w:val="28"/>
        <w:szCs w:val="28"/>
      </w:rPr>
    </w:pPr>
    <w:r>
      <w:rPr>
        <w:rStyle w:val="71"/>
        <w:rFonts w:hint="eastAsia"/>
        <w:sz w:val="28"/>
        <w:szCs w:val="28"/>
      </w:rPr>
      <w:t>中粮梁河糖业有限公司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09FE6"/>
    <w:multiLevelType w:val="singleLevel"/>
    <w:tmpl w:val="F4B09FE6"/>
    <w:lvl w:ilvl="0" w:tentative="0">
      <w:start w:val="2"/>
      <w:numFmt w:val="chineseCounting"/>
      <w:suff w:val="nothing"/>
      <w:lvlText w:val="(%1）"/>
      <w:lvlJc w:val="left"/>
      <w:pPr>
        <w:textAlignment w:val="baseline"/>
      </w:pPr>
    </w:lvl>
  </w:abstractNum>
  <w:abstractNum w:abstractNumId="1">
    <w:nsid w:val="1E625C60"/>
    <w:multiLevelType w:val="multilevel"/>
    <w:tmpl w:val="1E625C60"/>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3BC7AD8"/>
    <w:multiLevelType w:val="multilevel"/>
    <w:tmpl w:val="33BC7AD8"/>
    <w:lvl w:ilvl="0" w:tentative="0">
      <w:start w:val="1"/>
      <w:numFmt w:val="japaneseCounting"/>
      <w:lvlText w:val="第%1章"/>
      <w:lvlJc w:val="left"/>
      <w:pPr>
        <w:ind w:left="3275" w:hanging="1125"/>
        <w:textAlignment w:val="baseline"/>
      </w:pPr>
    </w:lvl>
    <w:lvl w:ilvl="1" w:tentative="0">
      <w:start w:val="1"/>
      <w:numFmt w:val="lowerLetter"/>
      <w:lvlText w:val="%1)"/>
      <w:lvlJc w:val="left"/>
      <w:pPr>
        <w:ind w:left="2990" w:hanging="420"/>
        <w:textAlignment w:val="baseline"/>
      </w:pPr>
    </w:lvl>
    <w:lvl w:ilvl="2" w:tentative="0">
      <w:start w:val="1"/>
      <w:numFmt w:val="lowerRoman"/>
      <w:lvlText w:val="%1."/>
      <w:lvlJc w:val="right"/>
      <w:pPr>
        <w:ind w:left="3410" w:hanging="420"/>
        <w:textAlignment w:val="baseline"/>
      </w:pPr>
    </w:lvl>
    <w:lvl w:ilvl="3" w:tentative="0">
      <w:start w:val="1"/>
      <w:numFmt w:val="decimal"/>
      <w:lvlText w:val="%1."/>
      <w:lvlJc w:val="left"/>
      <w:pPr>
        <w:ind w:left="3830" w:hanging="420"/>
        <w:textAlignment w:val="baseline"/>
      </w:pPr>
    </w:lvl>
    <w:lvl w:ilvl="4" w:tentative="0">
      <w:start w:val="1"/>
      <w:numFmt w:val="lowerLetter"/>
      <w:lvlText w:val="%1)"/>
      <w:lvlJc w:val="left"/>
      <w:pPr>
        <w:ind w:left="4250" w:hanging="420"/>
        <w:textAlignment w:val="baseline"/>
      </w:pPr>
    </w:lvl>
    <w:lvl w:ilvl="5" w:tentative="0">
      <w:start w:val="1"/>
      <w:numFmt w:val="lowerRoman"/>
      <w:lvlText w:val="%1."/>
      <w:lvlJc w:val="right"/>
      <w:pPr>
        <w:ind w:left="4670" w:hanging="420"/>
        <w:textAlignment w:val="baseline"/>
      </w:pPr>
    </w:lvl>
    <w:lvl w:ilvl="6" w:tentative="0">
      <w:start w:val="1"/>
      <w:numFmt w:val="decimal"/>
      <w:lvlText w:val="%1."/>
      <w:lvlJc w:val="left"/>
      <w:pPr>
        <w:ind w:left="5090" w:hanging="420"/>
        <w:textAlignment w:val="baseline"/>
      </w:pPr>
    </w:lvl>
    <w:lvl w:ilvl="7" w:tentative="0">
      <w:start w:val="1"/>
      <w:numFmt w:val="lowerLetter"/>
      <w:lvlText w:val="%1)"/>
      <w:lvlJc w:val="left"/>
      <w:pPr>
        <w:ind w:left="5510" w:hanging="420"/>
        <w:textAlignment w:val="baseline"/>
      </w:pPr>
    </w:lvl>
    <w:lvl w:ilvl="8" w:tentative="0">
      <w:start w:val="1"/>
      <w:numFmt w:val="lowerRoman"/>
      <w:lvlText w:val="%1."/>
      <w:lvlJc w:val="right"/>
      <w:pPr>
        <w:ind w:left="5930" w:hanging="420"/>
        <w:textAlignment w:val="baseline"/>
      </w:pPr>
    </w:lvl>
  </w:abstractNum>
  <w:abstractNum w:abstractNumId="3">
    <w:nsid w:val="3D1C4F62"/>
    <w:multiLevelType w:val="singleLevel"/>
    <w:tmpl w:val="3D1C4F62"/>
    <w:lvl w:ilvl="0" w:tentative="0">
      <w:start w:val="5"/>
      <w:numFmt w:val="chineseCounting"/>
      <w:suff w:val="nothing"/>
      <w:lvlText w:val="%1、"/>
      <w:lvlJc w:val="left"/>
      <w:pPr>
        <w:textAlignment w:val="baseline"/>
      </w:pPr>
    </w:lvl>
  </w:abstractNum>
  <w:abstractNum w:abstractNumId="4">
    <w:nsid w:val="7F5D687D"/>
    <w:multiLevelType w:val="multilevel"/>
    <w:tmpl w:val="7F5D687D"/>
    <w:lvl w:ilvl="0" w:tentative="0">
      <w:start w:val="1"/>
      <w:numFmt w:val="decimal"/>
      <w:lvlText w:val="%1."/>
      <w:lvlJc w:val="left"/>
      <w:pPr>
        <w:ind w:left="1052" w:hanging="450"/>
      </w:pPr>
      <w:rPr>
        <w:rFonts w:hint="default" w:hAnsi="仿宋_GB2312" w:cs="仿宋_GB2312"/>
        <w:b/>
      </w:rPr>
    </w:lvl>
    <w:lvl w:ilvl="1" w:tentative="0">
      <w:start w:val="1"/>
      <w:numFmt w:val="lowerLetter"/>
      <w:lvlText w:val="%2)"/>
      <w:lvlJc w:val="left"/>
      <w:pPr>
        <w:ind w:left="1482" w:hanging="440"/>
      </w:pPr>
    </w:lvl>
    <w:lvl w:ilvl="2" w:tentative="0">
      <w:start w:val="1"/>
      <w:numFmt w:val="lowerRoman"/>
      <w:lvlText w:val="%3."/>
      <w:lvlJc w:val="right"/>
      <w:pPr>
        <w:ind w:left="1922" w:hanging="440"/>
      </w:pPr>
    </w:lvl>
    <w:lvl w:ilvl="3" w:tentative="0">
      <w:start w:val="1"/>
      <w:numFmt w:val="decimal"/>
      <w:lvlText w:val="%4."/>
      <w:lvlJc w:val="left"/>
      <w:pPr>
        <w:ind w:left="2362" w:hanging="440"/>
      </w:pPr>
    </w:lvl>
    <w:lvl w:ilvl="4" w:tentative="0">
      <w:start w:val="1"/>
      <w:numFmt w:val="lowerLetter"/>
      <w:lvlText w:val="%5)"/>
      <w:lvlJc w:val="left"/>
      <w:pPr>
        <w:ind w:left="2802" w:hanging="440"/>
      </w:pPr>
    </w:lvl>
    <w:lvl w:ilvl="5" w:tentative="0">
      <w:start w:val="1"/>
      <w:numFmt w:val="lowerRoman"/>
      <w:lvlText w:val="%6."/>
      <w:lvlJc w:val="right"/>
      <w:pPr>
        <w:ind w:left="3242" w:hanging="440"/>
      </w:pPr>
    </w:lvl>
    <w:lvl w:ilvl="6" w:tentative="0">
      <w:start w:val="1"/>
      <w:numFmt w:val="decimal"/>
      <w:lvlText w:val="%7."/>
      <w:lvlJc w:val="left"/>
      <w:pPr>
        <w:ind w:left="3682" w:hanging="440"/>
      </w:pPr>
    </w:lvl>
    <w:lvl w:ilvl="7" w:tentative="0">
      <w:start w:val="1"/>
      <w:numFmt w:val="lowerLetter"/>
      <w:lvlText w:val="%8)"/>
      <w:lvlJc w:val="left"/>
      <w:pPr>
        <w:ind w:left="4122" w:hanging="440"/>
      </w:pPr>
    </w:lvl>
    <w:lvl w:ilvl="8" w:tentative="0">
      <w:start w:val="1"/>
      <w:numFmt w:val="lowerRoman"/>
      <w:lvlText w:val="%9."/>
      <w:lvlJc w:val="right"/>
      <w:pPr>
        <w:ind w:left="4562" w:hanging="44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3ODgzN2I3OWI1MzliYWNjYmM0YjA2OTFmNWUyYzIifQ=="/>
  </w:docVars>
  <w:rsids>
    <w:rsidRoot w:val="003C4DD8"/>
    <w:rsid w:val="00000E8C"/>
    <w:rsid w:val="000168F3"/>
    <w:rsid w:val="000228FB"/>
    <w:rsid w:val="00035921"/>
    <w:rsid w:val="00035F75"/>
    <w:rsid w:val="000405FA"/>
    <w:rsid w:val="00053394"/>
    <w:rsid w:val="00064699"/>
    <w:rsid w:val="000870B6"/>
    <w:rsid w:val="000A37A8"/>
    <w:rsid w:val="000B0601"/>
    <w:rsid w:val="000C39B3"/>
    <w:rsid w:val="000D1E41"/>
    <w:rsid w:val="000D2126"/>
    <w:rsid w:val="000E0E84"/>
    <w:rsid w:val="000F136B"/>
    <w:rsid w:val="0010464A"/>
    <w:rsid w:val="00107796"/>
    <w:rsid w:val="00111B6F"/>
    <w:rsid w:val="001170F6"/>
    <w:rsid w:val="00117E75"/>
    <w:rsid w:val="00122A4A"/>
    <w:rsid w:val="00127E50"/>
    <w:rsid w:val="00143F9A"/>
    <w:rsid w:val="001440F3"/>
    <w:rsid w:val="001564C7"/>
    <w:rsid w:val="001625F8"/>
    <w:rsid w:val="00163EBD"/>
    <w:rsid w:val="001729CB"/>
    <w:rsid w:val="00176183"/>
    <w:rsid w:val="00181D31"/>
    <w:rsid w:val="0018652A"/>
    <w:rsid w:val="001A6C30"/>
    <w:rsid w:val="001B281A"/>
    <w:rsid w:val="001B3893"/>
    <w:rsid w:val="001C22D4"/>
    <w:rsid w:val="001C39C3"/>
    <w:rsid w:val="001C3EE3"/>
    <w:rsid w:val="001E24C9"/>
    <w:rsid w:val="001F20B5"/>
    <w:rsid w:val="001F2501"/>
    <w:rsid w:val="00203E01"/>
    <w:rsid w:val="00206EF3"/>
    <w:rsid w:val="00207887"/>
    <w:rsid w:val="0021344A"/>
    <w:rsid w:val="00217EBE"/>
    <w:rsid w:val="00231EC8"/>
    <w:rsid w:val="00244231"/>
    <w:rsid w:val="002453F6"/>
    <w:rsid w:val="002700FB"/>
    <w:rsid w:val="002707F6"/>
    <w:rsid w:val="00273C5C"/>
    <w:rsid w:val="002962DE"/>
    <w:rsid w:val="002A75C8"/>
    <w:rsid w:val="002B3DF2"/>
    <w:rsid w:val="002C3507"/>
    <w:rsid w:val="002C6A00"/>
    <w:rsid w:val="002E48FC"/>
    <w:rsid w:val="002F04AB"/>
    <w:rsid w:val="00306C01"/>
    <w:rsid w:val="00313C4A"/>
    <w:rsid w:val="003204E9"/>
    <w:rsid w:val="00331E19"/>
    <w:rsid w:val="003360CC"/>
    <w:rsid w:val="00346906"/>
    <w:rsid w:val="00357F82"/>
    <w:rsid w:val="003807CA"/>
    <w:rsid w:val="003946FB"/>
    <w:rsid w:val="00397CC7"/>
    <w:rsid w:val="003A4350"/>
    <w:rsid w:val="003A7C73"/>
    <w:rsid w:val="003A7FC7"/>
    <w:rsid w:val="003B58AA"/>
    <w:rsid w:val="003B5CDA"/>
    <w:rsid w:val="003C4DD8"/>
    <w:rsid w:val="003C6FFF"/>
    <w:rsid w:val="003D2BA0"/>
    <w:rsid w:val="003E19FA"/>
    <w:rsid w:val="003E706C"/>
    <w:rsid w:val="00403C7D"/>
    <w:rsid w:val="00410D41"/>
    <w:rsid w:val="00411118"/>
    <w:rsid w:val="00416404"/>
    <w:rsid w:val="00421916"/>
    <w:rsid w:val="004228D1"/>
    <w:rsid w:val="00452D01"/>
    <w:rsid w:val="00457CC2"/>
    <w:rsid w:val="00462223"/>
    <w:rsid w:val="0049048D"/>
    <w:rsid w:val="0049360C"/>
    <w:rsid w:val="004A0244"/>
    <w:rsid w:val="004A4BC5"/>
    <w:rsid w:val="004B652E"/>
    <w:rsid w:val="004C73D9"/>
    <w:rsid w:val="004D0C9C"/>
    <w:rsid w:val="004D2046"/>
    <w:rsid w:val="004F45A4"/>
    <w:rsid w:val="004F75AF"/>
    <w:rsid w:val="0050416E"/>
    <w:rsid w:val="005075F1"/>
    <w:rsid w:val="0051308C"/>
    <w:rsid w:val="00526718"/>
    <w:rsid w:val="00526BC3"/>
    <w:rsid w:val="0053495A"/>
    <w:rsid w:val="005351EA"/>
    <w:rsid w:val="00541865"/>
    <w:rsid w:val="005513D9"/>
    <w:rsid w:val="00561781"/>
    <w:rsid w:val="00565E85"/>
    <w:rsid w:val="00571F91"/>
    <w:rsid w:val="005A2413"/>
    <w:rsid w:val="005A3743"/>
    <w:rsid w:val="005E2320"/>
    <w:rsid w:val="0060329A"/>
    <w:rsid w:val="0060350F"/>
    <w:rsid w:val="006410A8"/>
    <w:rsid w:val="00661CA2"/>
    <w:rsid w:val="00664728"/>
    <w:rsid w:val="00666950"/>
    <w:rsid w:val="006674D0"/>
    <w:rsid w:val="00683A6B"/>
    <w:rsid w:val="0068580C"/>
    <w:rsid w:val="00691C73"/>
    <w:rsid w:val="00695F82"/>
    <w:rsid w:val="006A20C7"/>
    <w:rsid w:val="006A3117"/>
    <w:rsid w:val="006A4282"/>
    <w:rsid w:val="006A5457"/>
    <w:rsid w:val="006B10AA"/>
    <w:rsid w:val="006B3CC9"/>
    <w:rsid w:val="007036B6"/>
    <w:rsid w:val="007110F9"/>
    <w:rsid w:val="00711D09"/>
    <w:rsid w:val="00723408"/>
    <w:rsid w:val="00733C2E"/>
    <w:rsid w:val="00745FA4"/>
    <w:rsid w:val="007579BB"/>
    <w:rsid w:val="007615F3"/>
    <w:rsid w:val="0077158F"/>
    <w:rsid w:val="00772F23"/>
    <w:rsid w:val="00773174"/>
    <w:rsid w:val="007978A9"/>
    <w:rsid w:val="007A1C1C"/>
    <w:rsid w:val="007A3A61"/>
    <w:rsid w:val="007A702F"/>
    <w:rsid w:val="007B6F3C"/>
    <w:rsid w:val="007B7A33"/>
    <w:rsid w:val="007C37C5"/>
    <w:rsid w:val="007C3C72"/>
    <w:rsid w:val="007C57C6"/>
    <w:rsid w:val="007D202C"/>
    <w:rsid w:val="007D5C9A"/>
    <w:rsid w:val="00820A36"/>
    <w:rsid w:val="008253BB"/>
    <w:rsid w:val="00840F7F"/>
    <w:rsid w:val="008577C8"/>
    <w:rsid w:val="00862C7B"/>
    <w:rsid w:val="00883216"/>
    <w:rsid w:val="00883503"/>
    <w:rsid w:val="0089018B"/>
    <w:rsid w:val="00890364"/>
    <w:rsid w:val="00893318"/>
    <w:rsid w:val="008A1512"/>
    <w:rsid w:val="008A7529"/>
    <w:rsid w:val="008B4736"/>
    <w:rsid w:val="008B73E9"/>
    <w:rsid w:val="008F3889"/>
    <w:rsid w:val="0090137C"/>
    <w:rsid w:val="00906724"/>
    <w:rsid w:val="009116A1"/>
    <w:rsid w:val="00916835"/>
    <w:rsid w:val="00922172"/>
    <w:rsid w:val="00951526"/>
    <w:rsid w:val="009551CD"/>
    <w:rsid w:val="00960415"/>
    <w:rsid w:val="00972B5D"/>
    <w:rsid w:val="009731C3"/>
    <w:rsid w:val="009808D8"/>
    <w:rsid w:val="0098734F"/>
    <w:rsid w:val="009941CA"/>
    <w:rsid w:val="009A188F"/>
    <w:rsid w:val="009E288A"/>
    <w:rsid w:val="009F1E2F"/>
    <w:rsid w:val="009F4C49"/>
    <w:rsid w:val="009F6736"/>
    <w:rsid w:val="00A01E73"/>
    <w:rsid w:val="00A024A0"/>
    <w:rsid w:val="00A064CE"/>
    <w:rsid w:val="00A17D4D"/>
    <w:rsid w:val="00A232F5"/>
    <w:rsid w:val="00A41DC9"/>
    <w:rsid w:val="00A4789F"/>
    <w:rsid w:val="00A5112F"/>
    <w:rsid w:val="00A617F9"/>
    <w:rsid w:val="00AA5B17"/>
    <w:rsid w:val="00AC2A0E"/>
    <w:rsid w:val="00AC7305"/>
    <w:rsid w:val="00AD3783"/>
    <w:rsid w:val="00AE604F"/>
    <w:rsid w:val="00AF3FDE"/>
    <w:rsid w:val="00B05C3B"/>
    <w:rsid w:val="00B158A7"/>
    <w:rsid w:val="00B2747B"/>
    <w:rsid w:val="00B447EB"/>
    <w:rsid w:val="00B46C75"/>
    <w:rsid w:val="00B65334"/>
    <w:rsid w:val="00B67640"/>
    <w:rsid w:val="00B73C29"/>
    <w:rsid w:val="00B81ECE"/>
    <w:rsid w:val="00B9103D"/>
    <w:rsid w:val="00B927CE"/>
    <w:rsid w:val="00B9319E"/>
    <w:rsid w:val="00BC29BD"/>
    <w:rsid w:val="00BD0C6B"/>
    <w:rsid w:val="00BD527D"/>
    <w:rsid w:val="00BD5BF5"/>
    <w:rsid w:val="00BD6EAA"/>
    <w:rsid w:val="00BE2C3B"/>
    <w:rsid w:val="00C228D7"/>
    <w:rsid w:val="00C30A9D"/>
    <w:rsid w:val="00C40355"/>
    <w:rsid w:val="00C42021"/>
    <w:rsid w:val="00C43242"/>
    <w:rsid w:val="00C51445"/>
    <w:rsid w:val="00C61E81"/>
    <w:rsid w:val="00C634C2"/>
    <w:rsid w:val="00C7284A"/>
    <w:rsid w:val="00C736A3"/>
    <w:rsid w:val="00C73BE6"/>
    <w:rsid w:val="00C82476"/>
    <w:rsid w:val="00C93B13"/>
    <w:rsid w:val="00C97F99"/>
    <w:rsid w:val="00CA6718"/>
    <w:rsid w:val="00CB6858"/>
    <w:rsid w:val="00CE66E2"/>
    <w:rsid w:val="00CF339A"/>
    <w:rsid w:val="00CF3EAA"/>
    <w:rsid w:val="00CF590E"/>
    <w:rsid w:val="00D00537"/>
    <w:rsid w:val="00D065CC"/>
    <w:rsid w:val="00D1745E"/>
    <w:rsid w:val="00D628E2"/>
    <w:rsid w:val="00D63A53"/>
    <w:rsid w:val="00D678E5"/>
    <w:rsid w:val="00D7206E"/>
    <w:rsid w:val="00D7665F"/>
    <w:rsid w:val="00DA3B04"/>
    <w:rsid w:val="00DB5A16"/>
    <w:rsid w:val="00DC1EAB"/>
    <w:rsid w:val="00DC7409"/>
    <w:rsid w:val="00DE03FC"/>
    <w:rsid w:val="00E06F14"/>
    <w:rsid w:val="00E1162A"/>
    <w:rsid w:val="00E1409E"/>
    <w:rsid w:val="00E160B5"/>
    <w:rsid w:val="00E24423"/>
    <w:rsid w:val="00E67338"/>
    <w:rsid w:val="00E75AD2"/>
    <w:rsid w:val="00E8069F"/>
    <w:rsid w:val="00E94E66"/>
    <w:rsid w:val="00E960E9"/>
    <w:rsid w:val="00EA310D"/>
    <w:rsid w:val="00EA4BD2"/>
    <w:rsid w:val="00ED20D3"/>
    <w:rsid w:val="00ED406C"/>
    <w:rsid w:val="00ED7F8B"/>
    <w:rsid w:val="00EE24ED"/>
    <w:rsid w:val="00EE4F57"/>
    <w:rsid w:val="00F1376B"/>
    <w:rsid w:val="00F14131"/>
    <w:rsid w:val="00F155E2"/>
    <w:rsid w:val="00F224B4"/>
    <w:rsid w:val="00F243F3"/>
    <w:rsid w:val="00F337D5"/>
    <w:rsid w:val="00F44CB2"/>
    <w:rsid w:val="00F453F7"/>
    <w:rsid w:val="00F552DE"/>
    <w:rsid w:val="00F65EEB"/>
    <w:rsid w:val="00F67C05"/>
    <w:rsid w:val="00F71A29"/>
    <w:rsid w:val="00F83267"/>
    <w:rsid w:val="00F86E1A"/>
    <w:rsid w:val="00F90974"/>
    <w:rsid w:val="00F915C6"/>
    <w:rsid w:val="00F91A3F"/>
    <w:rsid w:val="00F970AE"/>
    <w:rsid w:val="00FB0554"/>
    <w:rsid w:val="00FC1A0C"/>
    <w:rsid w:val="00FC6875"/>
    <w:rsid w:val="00FD267C"/>
    <w:rsid w:val="00FE1D3D"/>
    <w:rsid w:val="00FE66A6"/>
    <w:rsid w:val="00FF244A"/>
    <w:rsid w:val="27DA7E10"/>
    <w:rsid w:val="28F96D0F"/>
    <w:rsid w:val="35494B7A"/>
    <w:rsid w:val="364F61C0"/>
    <w:rsid w:val="3E3963F4"/>
    <w:rsid w:val="42196C7A"/>
    <w:rsid w:val="47172652"/>
    <w:rsid w:val="53B87662"/>
    <w:rsid w:val="624562DE"/>
    <w:rsid w:val="72DB13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name="footnote text"/>
    <w:lsdException w:qFormat="1" w:unhideWhenUsed="0" w:uiPriority="99" w:semiHidden="0"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99"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3"/>
    <w:link w:val="49"/>
    <w:qFormat/>
    <w:uiPriority w:val="0"/>
    <w:pPr>
      <w:keepNext/>
      <w:keepLines/>
      <w:spacing w:line="532" w:lineRule="auto"/>
      <w:ind w:left="840" w:right="-240"/>
      <w:jc w:val="left"/>
      <w:textAlignment w:val="auto"/>
      <w:outlineLvl w:val="0"/>
    </w:pPr>
    <w:rPr>
      <w:rFonts w:ascii="Arial" w:hAnsi="Arial"/>
      <w:b/>
      <w:spacing w:val="-10"/>
      <w:kern w:val="28"/>
      <w:sz w:val="20"/>
      <w:szCs w:val="20"/>
      <w:lang w:eastAsia="en-US"/>
    </w:rPr>
  </w:style>
  <w:style w:type="paragraph" w:styleId="4">
    <w:name w:val="heading 2"/>
    <w:basedOn w:val="1"/>
    <w:next w:val="3"/>
    <w:link w:val="50"/>
    <w:qFormat/>
    <w:uiPriority w:val="0"/>
    <w:pPr>
      <w:keepNext/>
      <w:keepLines/>
      <w:spacing w:line="532" w:lineRule="auto"/>
      <w:ind w:left="840" w:right="-240"/>
      <w:jc w:val="left"/>
      <w:textAlignment w:val="auto"/>
      <w:outlineLvl w:val="1"/>
    </w:pPr>
    <w:rPr>
      <w:rFonts w:ascii="Arial" w:hAnsi="Arial"/>
      <w:b/>
      <w:spacing w:val="-10"/>
      <w:kern w:val="28"/>
      <w:sz w:val="18"/>
      <w:szCs w:val="20"/>
      <w:lang w:eastAsia="en-US"/>
    </w:rPr>
  </w:style>
  <w:style w:type="paragraph" w:styleId="5">
    <w:name w:val="heading 3"/>
    <w:basedOn w:val="1"/>
    <w:next w:val="3"/>
    <w:link w:val="51"/>
    <w:qFormat/>
    <w:uiPriority w:val="0"/>
    <w:pPr>
      <w:keepNext/>
      <w:keepLines/>
      <w:spacing w:line="532" w:lineRule="auto"/>
      <w:ind w:left="840" w:right="-240"/>
      <w:jc w:val="left"/>
      <w:textAlignment w:val="auto"/>
      <w:outlineLvl w:val="2"/>
    </w:pPr>
    <w:rPr>
      <w:rFonts w:ascii="Arial" w:hAnsi="Arial"/>
      <w:spacing w:val="-5"/>
      <w:kern w:val="28"/>
      <w:sz w:val="18"/>
      <w:szCs w:val="20"/>
      <w:lang w:eastAsia="en-US"/>
    </w:rPr>
  </w:style>
  <w:style w:type="paragraph" w:styleId="6">
    <w:name w:val="heading 4"/>
    <w:basedOn w:val="1"/>
    <w:next w:val="3"/>
    <w:link w:val="52"/>
    <w:qFormat/>
    <w:uiPriority w:val="0"/>
    <w:pPr>
      <w:keepNext/>
      <w:keepLines/>
      <w:spacing w:line="532" w:lineRule="auto"/>
      <w:ind w:left="840" w:right="-240"/>
      <w:jc w:val="left"/>
      <w:textAlignment w:val="auto"/>
      <w:outlineLvl w:val="3"/>
    </w:pPr>
    <w:rPr>
      <w:i/>
      <w:spacing w:val="-2"/>
      <w:kern w:val="28"/>
      <w:sz w:val="20"/>
      <w:szCs w:val="20"/>
      <w:lang w:eastAsia="en-US"/>
    </w:rPr>
  </w:style>
  <w:style w:type="paragraph" w:styleId="7">
    <w:name w:val="heading 5"/>
    <w:basedOn w:val="1"/>
    <w:next w:val="3"/>
    <w:link w:val="53"/>
    <w:qFormat/>
    <w:uiPriority w:val="0"/>
    <w:pPr>
      <w:keepNext/>
      <w:keepLines/>
      <w:spacing w:line="532" w:lineRule="auto"/>
      <w:ind w:left="840" w:right="-240"/>
      <w:jc w:val="left"/>
      <w:textAlignment w:val="auto"/>
      <w:outlineLvl w:val="4"/>
    </w:pPr>
    <w:rPr>
      <w:b/>
      <w:i/>
      <w:spacing w:val="-2"/>
      <w:kern w:val="28"/>
      <w:sz w:val="20"/>
      <w:szCs w:val="20"/>
      <w:lang w:eastAsia="en-US"/>
    </w:rPr>
  </w:style>
  <w:style w:type="paragraph" w:styleId="8">
    <w:name w:val="heading 6"/>
    <w:basedOn w:val="1"/>
    <w:next w:val="1"/>
    <w:link w:val="54"/>
    <w:unhideWhenUsed/>
    <w:qFormat/>
    <w:uiPriority w:val="9"/>
    <w:pPr>
      <w:widowControl w:val="0"/>
      <w:autoSpaceDE w:val="0"/>
      <w:autoSpaceDN w:val="0"/>
      <w:spacing w:line="360" w:lineRule="auto"/>
      <w:ind w:left="978" w:leftChars="700" w:hanging="278"/>
      <w:jc w:val="left"/>
      <w:textAlignment w:val="auto"/>
      <w:outlineLvl w:val="5"/>
    </w:pPr>
    <w:rPr>
      <w:rFonts w:ascii="宋体" w:hAnsi="宋体" w:cs="宋体"/>
      <w:bCs/>
      <w:kern w:val="0"/>
      <w:sz w:val="24"/>
      <w:szCs w:val="20"/>
      <w:lang w:eastAsia="en-US"/>
    </w:rPr>
  </w:style>
  <w:style w:type="paragraph" w:styleId="9">
    <w:name w:val="heading 7"/>
    <w:basedOn w:val="1"/>
    <w:next w:val="1"/>
    <w:link w:val="55"/>
    <w:qFormat/>
    <w:uiPriority w:val="0"/>
    <w:pPr>
      <w:keepNext/>
      <w:keepLines/>
      <w:spacing w:before="240" w:after="64" w:line="320" w:lineRule="auto"/>
      <w:jc w:val="left"/>
      <w:textAlignment w:val="auto"/>
      <w:outlineLvl w:val="6"/>
    </w:pPr>
    <w:rPr>
      <w:b/>
      <w:bCs/>
      <w:kern w:val="0"/>
      <w:sz w:val="24"/>
      <w:lang w:eastAsia="en-US"/>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3">
    <w:name w:val="Body Text"/>
    <w:basedOn w:val="1"/>
    <w:link w:val="48"/>
    <w:qFormat/>
    <w:uiPriority w:val="99"/>
    <w:pPr>
      <w:spacing w:line="532" w:lineRule="auto"/>
      <w:ind w:left="840" w:right="-120"/>
      <w:jc w:val="left"/>
      <w:textAlignment w:val="auto"/>
    </w:pPr>
    <w:rPr>
      <w:kern w:val="0"/>
      <w:sz w:val="20"/>
      <w:szCs w:val="20"/>
      <w:lang w:eastAsia="en-US"/>
    </w:rPr>
  </w:style>
  <w:style w:type="paragraph" w:styleId="10">
    <w:name w:val="toc 7"/>
    <w:basedOn w:val="1"/>
    <w:next w:val="1"/>
    <w:unhideWhenUsed/>
    <w:uiPriority w:val="39"/>
    <w:pPr>
      <w:widowControl w:val="0"/>
      <w:ind w:left="2520" w:leftChars="1200"/>
      <w:textAlignment w:val="auto"/>
    </w:pPr>
    <w:rPr>
      <w:rFonts w:asciiTheme="minorHAnsi" w:hAnsiTheme="minorHAnsi" w:eastAsiaTheme="minorEastAsia" w:cstheme="minorBidi"/>
      <w:szCs w:val="22"/>
    </w:rPr>
  </w:style>
  <w:style w:type="paragraph" w:styleId="11">
    <w:name w:val="Normal Indent"/>
    <w:basedOn w:val="1"/>
    <w:uiPriority w:val="0"/>
    <w:pPr>
      <w:ind w:left="1440" w:right="-240"/>
      <w:jc w:val="left"/>
      <w:textAlignment w:val="auto"/>
    </w:pPr>
    <w:rPr>
      <w:kern w:val="0"/>
      <w:sz w:val="20"/>
      <w:szCs w:val="20"/>
      <w:lang w:eastAsia="en-US"/>
    </w:rPr>
  </w:style>
  <w:style w:type="paragraph" w:styleId="12">
    <w:name w:val="Document Map"/>
    <w:basedOn w:val="1"/>
    <w:link w:val="56"/>
    <w:semiHidden/>
    <w:uiPriority w:val="0"/>
    <w:pPr>
      <w:widowControl w:val="0"/>
      <w:shd w:val="clear" w:color="auto" w:fill="000080"/>
      <w:textAlignment w:val="auto"/>
    </w:pPr>
  </w:style>
  <w:style w:type="paragraph" w:styleId="13">
    <w:name w:val="toa heading"/>
    <w:basedOn w:val="1"/>
    <w:next w:val="1"/>
    <w:semiHidden/>
    <w:uiPriority w:val="0"/>
    <w:pPr>
      <w:tabs>
        <w:tab w:val="left" w:pos="-720"/>
        <w:tab w:val="left" w:pos="9000"/>
        <w:tab w:val="right" w:pos="9360"/>
      </w:tabs>
      <w:suppressAutoHyphens/>
      <w:textAlignment w:val="auto"/>
    </w:pPr>
    <w:rPr>
      <w:rFonts w:ascii="Arial" w:hAnsi="Arial"/>
      <w:spacing w:val="-2"/>
      <w:kern w:val="0"/>
      <w:sz w:val="20"/>
      <w:szCs w:val="20"/>
      <w:lang w:val="en-GB" w:eastAsia="en-US"/>
    </w:rPr>
  </w:style>
  <w:style w:type="paragraph" w:styleId="14">
    <w:name w:val="annotation text"/>
    <w:basedOn w:val="1"/>
    <w:link w:val="57"/>
    <w:qFormat/>
    <w:uiPriority w:val="99"/>
    <w:pPr>
      <w:widowControl w:val="0"/>
      <w:jc w:val="left"/>
      <w:textAlignment w:val="auto"/>
    </w:pPr>
    <w:rPr>
      <w:rFonts w:eastAsia="PMingLiU"/>
      <w:sz w:val="24"/>
      <w:szCs w:val="20"/>
      <w:lang w:eastAsia="zh-TW"/>
    </w:rPr>
  </w:style>
  <w:style w:type="paragraph" w:styleId="15">
    <w:name w:val="Body Text Indent"/>
    <w:basedOn w:val="1"/>
    <w:link w:val="58"/>
    <w:uiPriority w:val="99"/>
    <w:pPr>
      <w:spacing w:after="120"/>
      <w:ind w:left="420" w:leftChars="200"/>
      <w:jc w:val="left"/>
      <w:textAlignment w:val="auto"/>
    </w:pPr>
    <w:rPr>
      <w:kern w:val="0"/>
      <w:sz w:val="20"/>
      <w:szCs w:val="20"/>
      <w:lang w:eastAsia="en-US"/>
    </w:rPr>
  </w:style>
  <w:style w:type="paragraph" w:styleId="16">
    <w:name w:val="toc 5"/>
    <w:basedOn w:val="1"/>
    <w:next w:val="1"/>
    <w:unhideWhenUsed/>
    <w:uiPriority w:val="39"/>
    <w:pPr>
      <w:widowControl w:val="0"/>
      <w:ind w:left="1680" w:leftChars="800"/>
      <w:textAlignment w:val="auto"/>
    </w:pPr>
    <w:rPr>
      <w:rFonts w:asciiTheme="minorHAnsi" w:hAnsiTheme="minorHAnsi" w:eastAsiaTheme="minorEastAsia" w:cstheme="minorBidi"/>
      <w:szCs w:val="22"/>
    </w:rPr>
  </w:style>
  <w:style w:type="paragraph" w:styleId="17">
    <w:name w:val="toc 3"/>
    <w:basedOn w:val="1"/>
    <w:next w:val="1"/>
    <w:unhideWhenUsed/>
    <w:uiPriority w:val="39"/>
    <w:pPr>
      <w:tabs>
        <w:tab w:val="left" w:pos="1260"/>
        <w:tab w:val="right" w:leader="dot" w:pos="9350"/>
      </w:tabs>
      <w:spacing w:after="100" w:line="259" w:lineRule="auto"/>
      <w:ind w:left="440"/>
      <w:jc w:val="left"/>
      <w:textAlignment w:val="auto"/>
    </w:pPr>
    <w:rPr>
      <w:rFonts w:asciiTheme="minorHAnsi" w:hAnsiTheme="minorHAnsi" w:eastAsiaTheme="minorEastAsia"/>
      <w:kern w:val="0"/>
      <w:sz w:val="22"/>
      <w:szCs w:val="22"/>
    </w:rPr>
  </w:style>
  <w:style w:type="paragraph" w:styleId="18">
    <w:name w:val="Plain Text"/>
    <w:basedOn w:val="1"/>
    <w:next w:val="6"/>
    <w:link w:val="59"/>
    <w:uiPriority w:val="0"/>
    <w:pPr>
      <w:widowControl w:val="0"/>
      <w:textAlignment w:val="auto"/>
    </w:pPr>
    <w:rPr>
      <w:rFonts w:ascii="宋体" w:hAnsi="Courier New" w:cs="Courier New"/>
      <w:szCs w:val="21"/>
    </w:rPr>
  </w:style>
  <w:style w:type="paragraph" w:styleId="19">
    <w:name w:val="toc 8"/>
    <w:basedOn w:val="1"/>
    <w:next w:val="1"/>
    <w:unhideWhenUsed/>
    <w:uiPriority w:val="39"/>
    <w:pPr>
      <w:widowControl w:val="0"/>
      <w:ind w:left="2940" w:leftChars="1400"/>
      <w:textAlignment w:val="auto"/>
    </w:pPr>
    <w:rPr>
      <w:rFonts w:asciiTheme="minorHAnsi" w:hAnsiTheme="minorHAnsi" w:eastAsiaTheme="minorEastAsia" w:cstheme="minorBidi"/>
      <w:szCs w:val="22"/>
    </w:rPr>
  </w:style>
  <w:style w:type="paragraph" w:styleId="20">
    <w:name w:val="Date"/>
    <w:basedOn w:val="1"/>
    <w:next w:val="1"/>
    <w:uiPriority w:val="0"/>
    <w:pPr>
      <w:ind w:left="100" w:leftChars="2500"/>
    </w:pPr>
    <w:rPr>
      <w:rFonts w:ascii="宋体" w:hAnsi="宋体"/>
      <w:color w:val="333333"/>
      <w:sz w:val="24"/>
    </w:rPr>
  </w:style>
  <w:style w:type="paragraph" w:styleId="21">
    <w:name w:val="Body Text Indent 2"/>
    <w:basedOn w:val="1"/>
    <w:link w:val="60"/>
    <w:uiPriority w:val="0"/>
    <w:pPr>
      <w:widowControl w:val="0"/>
      <w:spacing w:after="120" w:line="480" w:lineRule="auto"/>
      <w:ind w:left="420" w:leftChars="200"/>
      <w:textAlignment w:val="auto"/>
    </w:pPr>
  </w:style>
  <w:style w:type="paragraph" w:styleId="22">
    <w:name w:val="Balloon Text"/>
    <w:basedOn w:val="1"/>
    <w:link w:val="61"/>
    <w:uiPriority w:val="0"/>
    <w:pPr>
      <w:jc w:val="left"/>
      <w:textAlignment w:val="auto"/>
    </w:pPr>
    <w:rPr>
      <w:kern w:val="0"/>
      <w:sz w:val="16"/>
      <w:szCs w:val="16"/>
      <w:lang w:eastAsia="en-US"/>
    </w:rPr>
  </w:style>
  <w:style w:type="paragraph" w:styleId="23">
    <w:name w:val="footer"/>
    <w:basedOn w:val="1"/>
    <w:link w:val="62"/>
    <w:uiPriority w:val="0"/>
    <w:pPr>
      <w:tabs>
        <w:tab w:val="center" w:pos="4153"/>
        <w:tab w:val="right" w:pos="8306"/>
      </w:tabs>
      <w:snapToGrid w:val="0"/>
      <w:jc w:val="left"/>
    </w:pPr>
    <w:rPr>
      <w:sz w:val="18"/>
      <w:szCs w:val="18"/>
    </w:rPr>
  </w:style>
  <w:style w:type="paragraph" w:styleId="24">
    <w:name w:val="header"/>
    <w:basedOn w:val="1"/>
    <w:link w:val="63"/>
    <w:uiPriority w:val="99"/>
    <w:pPr>
      <w:pBdr>
        <w:bottom w:val="single" w:color="000000" w:sz="6" w:space="1"/>
      </w:pBdr>
      <w:tabs>
        <w:tab w:val="center" w:pos="4153"/>
        <w:tab w:val="right" w:pos="8306"/>
      </w:tabs>
      <w:snapToGrid w:val="0"/>
      <w:jc w:val="center"/>
    </w:pPr>
    <w:rPr>
      <w:sz w:val="18"/>
      <w:szCs w:val="18"/>
    </w:rPr>
  </w:style>
  <w:style w:type="paragraph" w:styleId="25">
    <w:name w:val="toc 1"/>
    <w:basedOn w:val="1"/>
    <w:next w:val="1"/>
    <w:uiPriority w:val="39"/>
    <w:pPr>
      <w:jc w:val="left"/>
      <w:textAlignment w:val="auto"/>
    </w:pPr>
    <w:rPr>
      <w:kern w:val="0"/>
      <w:sz w:val="20"/>
      <w:szCs w:val="20"/>
      <w:lang w:eastAsia="en-US"/>
    </w:rPr>
  </w:style>
  <w:style w:type="paragraph" w:styleId="26">
    <w:name w:val="toc 4"/>
    <w:basedOn w:val="1"/>
    <w:next w:val="1"/>
    <w:unhideWhenUsed/>
    <w:uiPriority w:val="39"/>
    <w:pPr>
      <w:widowControl w:val="0"/>
      <w:ind w:left="1260" w:leftChars="600"/>
      <w:textAlignment w:val="auto"/>
    </w:pPr>
    <w:rPr>
      <w:rFonts w:asciiTheme="minorHAnsi" w:hAnsiTheme="minorHAnsi" w:eastAsiaTheme="minorEastAsia" w:cstheme="minorBidi"/>
      <w:szCs w:val="22"/>
    </w:rPr>
  </w:style>
  <w:style w:type="paragraph" w:styleId="27">
    <w:name w:val="footnote text"/>
    <w:basedOn w:val="1"/>
    <w:link w:val="135"/>
    <w:semiHidden/>
    <w:uiPriority w:val="0"/>
    <w:pPr>
      <w:widowControl w:val="0"/>
      <w:snapToGrid w:val="0"/>
      <w:jc w:val="left"/>
      <w:textAlignment w:val="auto"/>
    </w:pPr>
    <w:rPr>
      <w:sz w:val="18"/>
      <w:szCs w:val="18"/>
    </w:rPr>
  </w:style>
  <w:style w:type="paragraph" w:styleId="28">
    <w:name w:val="toc 6"/>
    <w:basedOn w:val="1"/>
    <w:next w:val="1"/>
    <w:unhideWhenUsed/>
    <w:uiPriority w:val="39"/>
    <w:pPr>
      <w:widowControl w:val="0"/>
      <w:ind w:left="2100" w:leftChars="1000"/>
      <w:textAlignment w:val="auto"/>
    </w:pPr>
    <w:rPr>
      <w:rFonts w:asciiTheme="minorHAnsi" w:hAnsiTheme="minorHAnsi" w:eastAsiaTheme="minorEastAsia" w:cstheme="minorBidi"/>
      <w:szCs w:val="22"/>
    </w:rPr>
  </w:style>
  <w:style w:type="paragraph" w:styleId="29">
    <w:name w:val="Body Text Indent 3"/>
    <w:basedOn w:val="1"/>
    <w:link w:val="64"/>
    <w:uiPriority w:val="0"/>
    <w:pPr>
      <w:widowControl w:val="0"/>
      <w:spacing w:after="120"/>
      <w:ind w:left="420" w:leftChars="200"/>
      <w:textAlignment w:val="auto"/>
    </w:pPr>
    <w:rPr>
      <w:sz w:val="16"/>
      <w:szCs w:val="16"/>
    </w:rPr>
  </w:style>
  <w:style w:type="paragraph" w:styleId="30">
    <w:name w:val="toc 2"/>
    <w:basedOn w:val="1"/>
    <w:next w:val="1"/>
    <w:unhideWhenUsed/>
    <w:uiPriority w:val="39"/>
    <w:pPr>
      <w:spacing w:after="100" w:line="259" w:lineRule="auto"/>
      <w:ind w:left="220"/>
      <w:jc w:val="left"/>
      <w:textAlignment w:val="auto"/>
    </w:pPr>
    <w:rPr>
      <w:rFonts w:asciiTheme="minorHAnsi" w:hAnsiTheme="minorHAnsi" w:eastAsiaTheme="minorEastAsia"/>
      <w:kern w:val="0"/>
      <w:sz w:val="22"/>
      <w:szCs w:val="22"/>
    </w:rPr>
  </w:style>
  <w:style w:type="paragraph" w:styleId="31">
    <w:name w:val="toc 9"/>
    <w:basedOn w:val="1"/>
    <w:next w:val="1"/>
    <w:unhideWhenUsed/>
    <w:uiPriority w:val="39"/>
    <w:pPr>
      <w:widowControl w:val="0"/>
      <w:ind w:left="3360" w:leftChars="1600"/>
      <w:textAlignment w:val="auto"/>
    </w:pPr>
    <w:rPr>
      <w:rFonts w:asciiTheme="minorHAnsi" w:hAnsiTheme="minorHAnsi" w:eastAsiaTheme="minorEastAsia" w:cstheme="minorBidi"/>
      <w:szCs w:val="22"/>
    </w:rPr>
  </w:style>
  <w:style w:type="paragraph" w:styleId="32">
    <w:name w:val="Body Text 2"/>
    <w:basedOn w:val="1"/>
    <w:link w:val="65"/>
    <w:uiPriority w:val="0"/>
    <w:pPr>
      <w:widowControl w:val="0"/>
      <w:adjustRightInd w:val="0"/>
      <w:spacing w:after="120" w:line="480" w:lineRule="auto"/>
    </w:pPr>
    <w:rPr>
      <w:kern w:val="0"/>
      <w:szCs w:val="20"/>
    </w:rPr>
  </w:style>
  <w:style w:type="paragraph" w:styleId="33">
    <w:name w:val="Message Header"/>
    <w:basedOn w:val="3"/>
    <w:link w:val="66"/>
    <w:uiPriority w:val="0"/>
    <w:pPr>
      <w:keepLines/>
      <w:tabs>
        <w:tab w:val="left" w:pos="1560"/>
        <w:tab w:val="left" w:pos="4920"/>
        <w:tab w:val="left" w:pos="5640"/>
      </w:tabs>
      <w:ind w:left="1560" w:hanging="720"/>
    </w:pPr>
  </w:style>
  <w:style w:type="paragraph" w:styleId="34">
    <w:name w:val="HTML Preformatted"/>
    <w:basedOn w:val="1"/>
    <w:link w:val="67"/>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Arial Unicode MS" w:hAnsi="Arial Unicode MS" w:eastAsia="Arial Unicode MS" w:cs="Arial Unicode MS"/>
      <w:kern w:val="0"/>
      <w:sz w:val="20"/>
      <w:szCs w:val="20"/>
      <w:lang w:eastAsia="en-US"/>
    </w:rPr>
  </w:style>
  <w:style w:type="paragraph" w:styleId="35">
    <w:name w:val="Normal (Web)"/>
    <w:basedOn w:val="1"/>
    <w:uiPriority w:val="0"/>
    <w:pPr>
      <w:spacing w:before="100" w:beforeAutospacing="1" w:after="100" w:afterAutospacing="1"/>
      <w:jc w:val="left"/>
      <w:textAlignment w:val="auto"/>
    </w:pPr>
    <w:rPr>
      <w:rFonts w:ascii="宋体" w:hAnsi="宋体" w:cs="宋体"/>
      <w:color w:val="000000"/>
      <w:kern w:val="0"/>
      <w:sz w:val="24"/>
    </w:rPr>
  </w:style>
  <w:style w:type="paragraph" w:styleId="36">
    <w:name w:val="Title"/>
    <w:basedOn w:val="1"/>
    <w:next w:val="1"/>
    <w:link w:val="68"/>
    <w:qFormat/>
    <w:uiPriority w:val="0"/>
    <w:pPr>
      <w:widowControl w:val="0"/>
      <w:spacing w:before="240" w:after="60"/>
      <w:jc w:val="center"/>
      <w:textAlignment w:val="auto"/>
      <w:outlineLvl w:val="0"/>
    </w:pPr>
    <w:rPr>
      <w:rFonts w:ascii="Cambria" w:hAnsi="Cambria"/>
      <w:b/>
      <w:bCs/>
      <w:sz w:val="32"/>
      <w:szCs w:val="32"/>
    </w:rPr>
  </w:style>
  <w:style w:type="paragraph" w:styleId="37">
    <w:name w:val="annotation subject"/>
    <w:basedOn w:val="14"/>
    <w:next w:val="14"/>
    <w:link w:val="137"/>
    <w:unhideWhenUsed/>
    <w:uiPriority w:val="0"/>
    <w:pPr>
      <w:autoSpaceDE w:val="0"/>
      <w:autoSpaceDN w:val="0"/>
    </w:pPr>
    <w:rPr>
      <w:rFonts w:ascii="宋体" w:hAnsi="宋体" w:eastAsia="宋体" w:cs="宋体"/>
      <w:b/>
      <w:bCs/>
      <w:kern w:val="0"/>
      <w:sz w:val="22"/>
      <w:szCs w:val="22"/>
      <w:lang w:eastAsia="en-US"/>
    </w:rPr>
  </w:style>
  <w:style w:type="paragraph" w:styleId="38">
    <w:name w:val="Body Text First Indent 2"/>
    <w:basedOn w:val="15"/>
    <w:next w:val="1"/>
    <w:link w:val="136"/>
    <w:qFormat/>
    <w:uiPriority w:val="99"/>
    <w:pPr>
      <w:widowControl w:val="0"/>
      <w:ind w:firstLine="420" w:firstLineChars="200"/>
    </w:pPr>
    <w:rPr>
      <w:rFonts w:ascii="宋体" w:hAnsi="宋体" w:cs="宋体"/>
      <w:sz w:val="22"/>
      <w:szCs w:val="2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uiPriority w:val="0"/>
  </w:style>
  <w:style w:type="character" w:styleId="44">
    <w:name w:val="FollowedHyperlink"/>
    <w:uiPriority w:val="99"/>
    <w:rPr>
      <w:color w:val="954F72"/>
      <w:u w:val="single"/>
    </w:rPr>
  </w:style>
  <w:style w:type="character" w:styleId="45">
    <w:name w:val="Emphasis"/>
    <w:qFormat/>
    <w:uiPriority w:val="0"/>
    <w:rPr>
      <w:rFonts w:hint="default" w:ascii="Arial" w:hAnsi="Arial" w:cs="Arial"/>
      <w:b/>
      <w:spacing w:val="-10"/>
      <w:sz w:val="18"/>
    </w:rPr>
  </w:style>
  <w:style w:type="character" w:styleId="46">
    <w:name w:val="Hyperlink"/>
    <w:uiPriority w:val="99"/>
    <w:rPr>
      <w:color w:val="0000FF"/>
      <w:u w:val="single"/>
    </w:rPr>
  </w:style>
  <w:style w:type="character" w:styleId="47">
    <w:name w:val="annotation reference"/>
    <w:basedOn w:val="41"/>
    <w:qFormat/>
    <w:uiPriority w:val="0"/>
    <w:rPr>
      <w:rFonts w:cs="Times New Roman"/>
      <w:sz w:val="21"/>
      <w:szCs w:val="21"/>
    </w:rPr>
  </w:style>
  <w:style w:type="character" w:customStyle="1" w:styleId="48">
    <w:name w:val="正文文本 字符"/>
    <w:basedOn w:val="41"/>
    <w:link w:val="3"/>
    <w:qFormat/>
    <w:uiPriority w:val="99"/>
    <w:rPr>
      <w:lang w:eastAsia="en-US"/>
    </w:rPr>
  </w:style>
  <w:style w:type="character" w:customStyle="1" w:styleId="49">
    <w:name w:val="标题 1 字符"/>
    <w:basedOn w:val="41"/>
    <w:link w:val="2"/>
    <w:uiPriority w:val="0"/>
    <w:rPr>
      <w:rFonts w:ascii="Arial" w:hAnsi="Arial"/>
      <w:b/>
      <w:spacing w:val="-10"/>
      <w:kern w:val="28"/>
      <w:lang w:eastAsia="en-US"/>
    </w:rPr>
  </w:style>
  <w:style w:type="character" w:customStyle="1" w:styleId="50">
    <w:name w:val="标题 2 字符"/>
    <w:basedOn w:val="41"/>
    <w:link w:val="4"/>
    <w:uiPriority w:val="0"/>
    <w:rPr>
      <w:rFonts w:ascii="Arial" w:hAnsi="Arial"/>
      <w:b/>
      <w:spacing w:val="-10"/>
      <w:kern w:val="28"/>
      <w:sz w:val="18"/>
      <w:lang w:eastAsia="en-US"/>
    </w:rPr>
  </w:style>
  <w:style w:type="character" w:customStyle="1" w:styleId="51">
    <w:name w:val="标题 3 字符"/>
    <w:basedOn w:val="41"/>
    <w:link w:val="5"/>
    <w:uiPriority w:val="0"/>
    <w:rPr>
      <w:rFonts w:ascii="Arial" w:hAnsi="Arial"/>
      <w:spacing w:val="-5"/>
      <w:kern w:val="28"/>
      <w:sz w:val="18"/>
      <w:lang w:eastAsia="en-US"/>
    </w:rPr>
  </w:style>
  <w:style w:type="character" w:customStyle="1" w:styleId="52">
    <w:name w:val="标题 4 字符"/>
    <w:basedOn w:val="41"/>
    <w:link w:val="6"/>
    <w:uiPriority w:val="0"/>
    <w:rPr>
      <w:i/>
      <w:spacing w:val="-2"/>
      <w:kern w:val="28"/>
      <w:lang w:eastAsia="en-US"/>
    </w:rPr>
  </w:style>
  <w:style w:type="character" w:customStyle="1" w:styleId="53">
    <w:name w:val="标题 5 字符"/>
    <w:basedOn w:val="41"/>
    <w:link w:val="7"/>
    <w:uiPriority w:val="0"/>
    <w:rPr>
      <w:b/>
      <w:i/>
      <w:spacing w:val="-2"/>
      <w:kern w:val="28"/>
      <w:lang w:eastAsia="en-US"/>
    </w:rPr>
  </w:style>
  <w:style w:type="character" w:customStyle="1" w:styleId="54">
    <w:name w:val="标题 6 字符"/>
    <w:basedOn w:val="41"/>
    <w:link w:val="8"/>
    <w:uiPriority w:val="9"/>
    <w:rPr>
      <w:rFonts w:ascii="宋体" w:hAnsi="宋体" w:cs="宋体"/>
      <w:bCs/>
      <w:sz w:val="24"/>
      <w:lang w:eastAsia="en-US"/>
    </w:rPr>
  </w:style>
  <w:style w:type="character" w:customStyle="1" w:styleId="55">
    <w:name w:val="标题 7 字符"/>
    <w:basedOn w:val="41"/>
    <w:link w:val="9"/>
    <w:uiPriority w:val="0"/>
    <w:rPr>
      <w:b/>
      <w:bCs/>
      <w:sz w:val="24"/>
      <w:szCs w:val="24"/>
      <w:lang w:eastAsia="en-US"/>
    </w:rPr>
  </w:style>
  <w:style w:type="character" w:customStyle="1" w:styleId="56">
    <w:name w:val="文档结构图 字符"/>
    <w:basedOn w:val="41"/>
    <w:link w:val="12"/>
    <w:semiHidden/>
    <w:uiPriority w:val="0"/>
    <w:rPr>
      <w:kern w:val="2"/>
      <w:sz w:val="21"/>
      <w:szCs w:val="24"/>
      <w:shd w:val="clear" w:color="auto" w:fill="000080"/>
    </w:rPr>
  </w:style>
  <w:style w:type="character" w:customStyle="1" w:styleId="57">
    <w:name w:val="批注文字 字符"/>
    <w:basedOn w:val="41"/>
    <w:link w:val="14"/>
    <w:qFormat/>
    <w:uiPriority w:val="99"/>
    <w:rPr>
      <w:rFonts w:eastAsia="PMingLiU"/>
      <w:kern w:val="2"/>
      <w:sz w:val="24"/>
      <w:lang w:eastAsia="zh-TW"/>
    </w:rPr>
  </w:style>
  <w:style w:type="character" w:customStyle="1" w:styleId="58">
    <w:name w:val="正文文本缩进 字符"/>
    <w:basedOn w:val="41"/>
    <w:link w:val="15"/>
    <w:uiPriority w:val="99"/>
    <w:rPr>
      <w:lang w:eastAsia="en-US"/>
    </w:rPr>
  </w:style>
  <w:style w:type="character" w:customStyle="1" w:styleId="59">
    <w:name w:val="纯文本 字符"/>
    <w:basedOn w:val="41"/>
    <w:link w:val="18"/>
    <w:uiPriority w:val="0"/>
    <w:rPr>
      <w:rFonts w:ascii="宋体" w:hAnsi="Courier New" w:cs="Courier New"/>
      <w:kern w:val="2"/>
      <w:sz w:val="21"/>
      <w:szCs w:val="21"/>
    </w:rPr>
  </w:style>
  <w:style w:type="character" w:customStyle="1" w:styleId="60">
    <w:name w:val="正文文本缩进 2 字符"/>
    <w:basedOn w:val="41"/>
    <w:link w:val="21"/>
    <w:uiPriority w:val="0"/>
    <w:rPr>
      <w:kern w:val="2"/>
      <w:sz w:val="21"/>
      <w:szCs w:val="24"/>
    </w:rPr>
  </w:style>
  <w:style w:type="character" w:customStyle="1" w:styleId="61">
    <w:name w:val="批注框文本 字符"/>
    <w:basedOn w:val="41"/>
    <w:link w:val="22"/>
    <w:uiPriority w:val="0"/>
    <w:rPr>
      <w:sz w:val="16"/>
      <w:szCs w:val="16"/>
      <w:lang w:eastAsia="en-US"/>
    </w:rPr>
  </w:style>
  <w:style w:type="character" w:customStyle="1" w:styleId="62">
    <w:name w:val="页脚 字符"/>
    <w:basedOn w:val="41"/>
    <w:link w:val="23"/>
    <w:uiPriority w:val="0"/>
    <w:rPr>
      <w:kern w:val="2"/>
      <w:sz w:val="18"/>
      <w:szCs w:val="18"/>
    </w:rPr>
  </w:style>
  <w:style w:type="character" w:customStyle="1" w:styleId="63">
    <w:name w:val="页眉 字符"/>
    <w:basedOn w:val="41"/>
    <w:link w:val="24"/>
    <w:uiPriority w:val="99"/>
    <w:rPr>
      <w:kern w:val="2"/>
      <w:sz w:val="18"/>
      <w:szCs w:val="18"/>
    </w:rPr>
  </w:style>
  <w:style w:type="character" w:customStyle="1" w:styleId="64">
    <w:name w:val="正文文本缩进 3 字符"/>
    <w:basedOn w:val="41"/>
    <w:link w:val="29"/>
    <w:uiPriority w:val="0"/>
    <w:rPr>
      <w:kern w:val="2"/>
      <w:sz w:val="16"/>
      <w:szCs w:val="16"/>
    </w:rPr>
  </w:style>
  <w:style w:type="character" w:customStyle="1" w:styleId="65">
    <w:name w:val="正文文本 2 字符"/>
    <w:basedOn w:val="41"/>
    <w:link w:val="32"/>
    <w:uiPriority w:val="0"/>
    <w:rPr>
      <w:sz w:val="21"/>
    </w:rPr>
  </w:style>
  <w:style w:type="character" w:customStyle="1" w:styleId="66">
    <w:name w:val="信息标题 字符"/>
    <w:basedOn w:val="41"/>
    <w:link w:val="33"/>
    <w:uiPriority w:val="0"/>
    <w:rPr>
      <w:lang w:eastAsia="en-US"/>
    </w:rPr>
  </w:style>
  <w:style w:type="character" w:customStyle="1" w:styleId="67">
    <w:name w:val="HTML 预设格式 字符"/>
    <w:basedOn w:val="41"/>
    <w:link w:val="34"/>
    <w:uiPriority w:val="0"/>
    <w:rPr>
      <w:rFonts w:ascii="Arial Unicode MS" w:hAnsi="Arial Unicode MS" w:eastAsia="Arial Unicode MS" w:cs="Arial Unicode MS"/>
      <w:lang w:eastAsia="en-US"/>
    </w:rPr>
  </w:style>
  <w:style w:type="character" w:customStyle="1" w:styleId="68">
    <w:name w:val="标题 字符"/>
    <w:basedOn w:val="41"/>
    <w:link w:val="36"/>
    <w:uiPriority w:val="0"/>
    <w:rPr>
      <w:rFonts w:ascii="Cambria" w:hAnsi="Cambria"/>
      <w:b/>
      <w:bCs/>
      <w:kern w:val="2"/>
      <w:sz w:val="32"/>
      <w:szCs w:val="32"/>
    </w:rPr>
  </w:style>
  <w:style w:type="paragraph" w:customStyle="1" w:styleId="69">
    <w:name w:val="Heading2"/>
    <w:basedOn w:val="1"/>
    <w:next w:val="1"/>
    <w:uiPriority w:val="0"/>
    <w:pPr>
      <w:spacing w:before="58"/>
      <w:ind w:left="560" w:hanging="361"/>
    </w:pPr>
    <w:rPr>
      <w:rFonts w:ascii="宋体" w:hAnsi="宋体" w:cs="宋体"/>
      <w:sz w:val="30"/>
      <w:szCs w:val="30"/>
      <w:lang w:val="zh-CN" w:bidi="zh-CN"/>
    </w:rPr>
  </w:style>
  <w:style w:type="paragraph" w:customStyle="1" w:styleId="70">
    <w:name w:val="Heading3"/>
    <w:basedOn w:val="1"/>
    <w:next w:val="1"/>
    <w:uiPriority w:val="0"/>
    <w:pPr>
      <w:ind w:left="620" w:hanging="421"/>
    </w:pPr>
    <w:rPr>
      <w:rFonts w:ascii="宋体" w:hAnsi="宋体" w:cs="宋体"/>
      <w:szCs w:val="21"/>
      <w:lang w:val="zh-CN" w:bidi="zh-CN"/>
    </w:rPr>
  </w:style>
  <w:style w:type="character" w:customStyle="1" w:styleId="71">
    <w:name w:val="NormalCharacter"/>
    <w:semiHidden/>
    <w:uiPriority w:val="0"/>
  </w:style>
  <w:style w:type="table" w:customStyle="1" w:styleId="72">
    <w:name w:val="TableNormal"/>
    <w:semiHidden/>
    <w:uiPriority w:val="0"/>
    <w:tblPr>
      <w:tblCellMar>
        <w:top w:w="0" w:type="dxa"/>
        <w:left w:w="0" w:type="dxa"/>
        <w:bottom w:w="0" w:type="dxa"/>
        <w:right w:w="0" w:type="dxa"/>
      </w:tblCellMar>
    </w:tblPr>
  </w:style>
  <w:style w:type="paragraph" w:customStyle="1" w:styleId="73">
    <w:name w:val="ListBullet3"/>
    <w:basedOn w:val="1"/>
    <w:uiPriority w:val="0"/>
    <w:pPr>
      <w:tabs>
        <w:tab w:val="left" w:pos="1200"/>
      </w:tabs>
      <w:ind w:left="1200" w:hanging="360"/>
    </w:pPr>
  </w:style>
  <w:style w:type="paragraph" w:customStyle="1" w:styleId="74">
    <w:name w:val="BodyText"/>
    <w:basedOn w:val="1"/>
    <w:uiPriority w:val="0"/>
    <w:rPr>
      <w:rFonts w:eastAsia="仿宋_GB2312"/>
      <w:color w:val="FF3300"/>
      <w:sz w:val="40"/>
      <w:szCs w:val="40"/>
      <w:lang w:val="zh-CN"/>
    </w:rPr>
  </w:style>
  <w:style w:type="table" w:customStyle="1" w:styleId="75">
    <w:name w:val="TableGrid"/>
    <w:basedOn w:val="72"/>
    <w:uiPriority w:val="0"/>
  </w:style>
  <w:style w:type="paragraph" w:customStyle="1" w:styleId="76">
    <w:name w:val="179"/>
    <w:basedOn w:val="1"/>
    <w:uiPriority w:val="0"/>
    <w:pPr>
      <w:ind w:firstLine="420" w:firstLineChars="200"/>
    </w:pPr>
  </w:style>
  <w:style w:type="character" w:customStyle="1" w:styleId="77">
    <w:name w:val="UserStyle_0"/>
    <w:link w:val="78"/>
    <w:uiPriority w:val="0"/>
    <w:rPr>
      <w:rFonts w:ascii="宋体" w:hAnsi="宋体"/>
      <w:szCs w:val="24"/>
    </w:rPr>
  </w:style>
  <w:style w:type="paragraph" w:customStyle="1" w:styleId="78">
    <w:name w:val="UserStyle_1"/>
    <w:basedOn w:val="1"/>
    <w:link w:val="77"/>
    <w:uiPriority w:val="0"/>
    <w:pPr>
      <w:ind w:left="400" w:leftChars="400" w:right="400" w:rightChars="400"/>
      <w:jc w:val="left"/>
    </w:pPr>
    <w:rPr>
      <w:rFonts w:ascii="宋体" w:hAnsi="宋体"/>
      <w:kern w:val="0"/>
      <w:sz w:val="20"/>
    </w:rPr>
  </w:style>
  <w:style w:type="paragraph" w:customStyle="1" w:styleId="79">
    <w:name w:val="UserStyle_2"/>
    <w:basedOn w:val="1"/>
    <w:uiPriority w:val="0"/>
    <w:pPr>
      <w:ind w:left="720"/>
      <w:contextualSpacing/>
    </w:pPr>
  </w:style>
  <w:style w:type="paragraph" w:customStyle="1" w:styleId="80">
    <w:name w:val="UserStyle_3"/>
    <w:basedOn w:val="1"/>
    <w:uiPriority w:val="0"/>
    <w:rPr>
      <w:rFonts w:ascii="宋体" w:hAnsi="宋体"/>
      <w:lang w:val="zh-CN" w:bidi="zh-CN"/>
    </w:rPr>
  </w:style>
  <w:style w:type="paragraph" w:styleId="81">
    <w:name w:val="List Paragraph"/>
    <w:basedOn w:val="1"/>
    <w:qFormat/>
    <w:uiPriority w:val="34"/>
    <w:pPr>
      <w:widowControl w:val="0"/>
      <w:ind w:left="720"/>
      <w:textAlignment w:val="auto"/>
    </w:pPr>
  </w:style>
  <w:style w:type="paragraph" w:customStyle="1" w:styleId="82">
    <w:name w:val="Checkboxes"/>
    <w:basedOn w:val="1"/>
    <w:uiPriority w:val="0"/>
    <w:pPr>
      <w:spacing w:before="360" w:after="360"/>
      <w:jc w:val="left"/>
      <w:textAlignment w:val="auto"/>
    </w:pPr>
    <w:rPr>
      <w:kern w:val="0"/>
      <w:sz w:val="20"/>
      <w:szCs w:val="20"/>
      <w:lang w:eastAsia="en-US"/>
    </w:rPr>
  </w:style>
  <w:style w:type="paragraph" w:customStyle="1" w:styleId="83">
    <w:name w:val="Fax Header"/>
    <w:basedOn w:val="1"/>
    <w:uiPriority w:val="0"/>
    <w:pPr>
      <w:spacing w:before="240" w:after="60"/>
      <w:jc w:val="left"/>
      <w:textAlignment w:val="auto"/>
    </w:pPr>
    <w:rPr>
      <w:kern w:val="0"/>
      <w:sz w:val="20"/>
      <w:szCs w:val="20"/>
      <w:lang w:eastAsia="en-US"/>
    </w:rPr>
  </w:style>
  <w:style w:type="paragraph" w:customStyle="1" w:styleId="84">
    <w:name w:val="Document Label"/>
    <w:next w:val="1"/>
    <w:uiPriority w:val="0"/>
    <w:pPr>
      <w:spacing w:before="100" w:after="720" w:line="600" w:lineRule="exact"/>
      <w:ind w:left="840"/>
    </w:pPr>
    <w:rPr>
      <w:rFonts w:ascii="Times New Roman" w:hAnsi="Times New Roman" w:eastAsia="宋体" w:cs="Times New Roman"/>
      <w:spacing w:val="-34"/>
      <w:sz w:val="60"/>
      <w:lang w:val="en-US" w:eastAsia="en-US" w:bidi="ar-SA"/>
    </w:rPr>
  </w:style>
  <w:style w:type="paragraph" w:customStyle="1" w:styleId="85">
    <w:name w:val="Return Address"/>
    <w:basedOn w:val="1"/>
    <w:uiPriority w:val="0"/>
    <w:pPr>
      <w:keepLines/>
      <w:spacing w:line="200" w:lineRule="atLeast"/>
      <w:ind w:right="-120"/>
      <w:jc w:val="left"/>
      <w:textAlignment w:val="auto"/>
    </w:pPr>
    <w:rPr>
      <w:kern w:val="0"/>
      <w:sz w:val="16"/>
      <w:szCs w:val="20"/>
      <w:lang w:eastAsia="en-US"/>
    </w:rPr>
  </w:style>
  <w:style w:type="paragraph" w:customStyle="1" w:styleId="86">
    <w:name w:val="Logo"/>
    <w:basedOn w:val="1"/>
    <w:uiPriority w:val="0"/>
    <w:pPr>
      <w:jc w:val="left"/>
      <w:textAlignment w:val="auto"/>
    </w:pPr>
    <w:rPr>
      <w:kern w:val="0"/>
      <w:sz w:val="20"/>
      <w:szCs w:val="20"/>
      <w:lang w:eastAsia="en-US"/>
    </w:rPr>
  </w:style>
  <w:style w:type="paragraph" w:customStyle="1" w:styleId="87">
    <w:name w:val="Slogan"/>
    <w:basedOn w:val="1"/>
    <w:uiPriority w:val="0"/>
    <w:pPr>
      <w:shd w:val="clear" w:color="auto" w:fill="F0F0F0"/>
      <w:jc w:val="left"/>
      <w:textAlignment w:val="auto"/>
    </w:pPr>
    <w:rPr>
      <w:rFonts w:ascii="Impact" w:hAnsi="Impact"/>
      <w:caps/>
      <w:color w:val="FFFFFF"/>
      <w:spacing w:val="20"/>
      <w:kern w:val="0"/>
      <w:sz w:val="48"/>
      <w:szCs w:val="20"/>
      <w:lang w:eastAsia="en-US"/>
    </w:rPr>
  </w:style>
  <w:style w:type="paragraph" w:customStyle="1" w:styleId="88">
    <w:name w:val="Company Name"/>
    <w:basedOn w:val="1"/>
    <w:uiPriority w:val="0"/>
    <w:pPr>
      <w:keepLines/>
      <w:spacing w:line="200" w:lineRule="atLeast"/>
      <w:ind w:right="-115"/>
      <w:jc w:val="left"/>
      <w:textAlignment w:val="auto"/>
    </w:pPr>
    <w:rPr>
      <w:kern w:val="0"/>
      <w:sz w:val="16"/>
      <w:szCs w:val="20"/>
      <w:lang w:eastAsia="en-US"/>
    </w:rPr>
  </w:style>
  <w:style w:type="paragraph" w:customStyle="1" w:styleId="89">
    <w:name w:val="Header Base"/>
    <w:basedOn w:val="1"/>
    <w:uiPriority w:val="0"/>
    <w:pPr>
      <w:keepLines/>
      <w:tabs>
        <w:tab w:val="left" w:pos="-1080"/>
        <w:tab w:val="center" w:pos="4320"/>
        <w:tab w:val="right" w:pos="9480"/>
      </w:tabs>
      <w:ind w:left="-1080" w:right="-840"/>
      <w:jc w:val="left"/>
      <w:textAlignment w:val="auto"/>
    </w:pPr>
    <w:rPr>
      <w:rFonts w:ascii="Arial" w:hAnsi="Arial"/>
      <w:kern w:val="0"/>
      <w:sz w:val="20"/>
      <w:szCs w:val="20"/>
      <w:lang w:eastAsia="en-US"/>
    </w:rPr>
  </w:style>
  <w:style w:type="paragraph" w:customStyle="1" w:styleId="90">
    <w:name w:val="Heading Base"/>
    <w:basedOn w:val="1"/>
    <w:next w:val="3"/>
    <w:uiPriority w:val="0"/>
    <w:pPr>
      <w:keepNext/>
      <w:keepLines/>
      <w:spacing w:line="532" w:lineRule="auto"/>
      <w:ind w:left="840" w:right="-240"/>
      <w:jc w:val="left"/>
      <w:textAlignment w:val="auto"/>
    </w:pPr>
    <w:rPr>
      <w:rFonts w:ascii="Arial" w:hAnsi="Arial"/>
      <w:spacing w:val="-10"/>
      <w:kern w:val="28"/>
      <w:sz w:val="20"/>
      <w:szCs w:val="20"/>
      <w:lang w:eastAsia="en-US"/>
    </w:rPr>
  </w:style>
  <w:style w:type="paragraph" w:customStyle="1" w:styleId="91">
    <w:name w:val="Message Header First"/>
    <w:basedOn w:val="33"/>
    <w:next w:val="33"/>
    <w:uiPriority w:val="0"/>
  </w:style>
  <w:style w:type="paragraph" w:customStyle="1" w:styleId="92">
    <w:name w:val="Message Header Last"/>
    <w:basedOn w:val="33"/>
    <w:next w:val="3"/>
    <w:uiPriority w:val="0"/>
    <w:pPr>
      <w:tabs>
        <w:tab w:val="left" w:pos="1980"/>
        <w:tab w:val="left" w:pos="3510"/>
        <w:tab w:val="left" w:pos="5490"/>
        <w:tab w:val="left" w:pos="7110"/>
        <w:tab w:val="clear" w:pos="1560"/>
        <w:tab w:val="clear" w:pos="4920"/>
        <w:tab w:val="clear" w:pos="5640"/>
      </w:tabs>
      <w:spacing w:before="100" w:after="920"/>
      <w:ind w:left="840" w:firstLine="0"/>
    </w:pPr>
    <w:rPr>
      <w:spacing w:val="-6"/>
    </w:rPr>
  </w:style>
  <w:style w:type="paragraph" w:customStyle="1" w:styleId="93">
    <w:name w:val="Signature Name"/>
    <w:basedOn w:val="1"/>
    <w:next w:val="1"/>
    <w:uiPriority w:val="0"/>
    <w:pPr>
      <w:keepNext/>
      <w:keepLines/>
      <w:spacing w:before="660"/>
      <w:ind w:left="840" w:right="-120"/>
      <w:jc w:val="left"/>
      <w:textAlignment w:val="auto"/>
    </w:pPr>
    <w:rPr>
      <w:kern w:val="0"/>
      <w:sz w:val="20"/>
      <w:szCs w:val="20"/>
      <w:lang w:eastAsia="en-US"/>
    </w:rPr>
  </w:style>
  <w:style w:type="character" w:customStyle="1" w:styleId="94">
    <w:name w:val="Message Header Label"/>
    <w:uiPriority w:val="0"/>
    <w:rPr>
      <w:rFonts w:hint="default" w:ascii="Arial" w:hAnsi="Arial" w:cs="Arial"/>
      <w:b/>
      <w:spacing w:val="-4"/>
      <w:sz w:val="18"/>
    </w:rPr>
  </w:style>
  <w:style w:type="character" w:customStyle="1" w:styleId="95">
    <w:name w:val="Checkbox"/>
    <w:uiPriority w:val="0"/>
    <w:rPr>
      <w:spacing w:val="0"/>
      <w:sz w:val="22"/>
    </w:rPr>
  </w:style>
  <w:style w:type="paragraph" w:customStyle="1" w:styleId="96">
    <w:name w:val="灿"/>
    <w:basedOn w:val="1"/>
    <w:uiPriority w:val="0"/>
    <w:pPr>
      <w:widowControl w:val="0"/>
      <w:tabs>
        <w:tab w:val="left" w:pos="2160"/>
        <w:tab w:val="left" w:pos="2520"/>
        <w:tab w:val="left" w:pos="2880"/>
        <w:tab w:val="left" w:pos="3240"/>
      </w:tabs>
      <w:textAlignment w:val="auto"/>
    </w:pPr>
    <w:rPr>
      <w:rFonts w:ascii="華康中楷體" w:hAnsi="Arial" w:eastAsia="華康中楷體"/>
      <w:snapToGrid w:val="0"/>
      <w:kern w:val="0"/>
      <w:sz w:val="24"/>
      <w:szCs w:val="20"/>
      <w:lang w:eastAsia="en-US"/>
    </w:rPr>
  </w:style>
  <w:style w:type="paragraph" w:customStyle="1" w:styleId="97">
    <w:name w:val="1. ***"/>
    <w:basedOn w:val="1"/>
    <w:uiPriority w:val="0"/>
    <w:pPr>
      <w:widowControl w:val="0"/>
      <w:autoSpaceDE w:val="0"/>
      <w:autoSpaceDN w:val="0"/>
      <w:spacing w:after="120" w:line="360" w:lineRule="auto"/>
      <w:textAlignment w:val="bottom"/>
    </w:pPr>
    <w:rPr>
      <w:b/>
      <w:spacing w:val="6"/>
      <w:sz w:val="24"/>
      <w:szCs w:val="20"/>
    </w:rPr>
  </w:style>
  <w:style w:type="character" w:customStyle="1" w:styleId="98">
    <w:name w:val="sbody1"/>
    <w:uiPriority w:val="0"/>
    <w:rPr>
      <w:sz w:val="24"/>
      <w:szCs w:val="24"/>
    </w:rPr>
  </w:style>
  <w:style w:type="paragraph" w:customStyle="1" w:styleId="99">
    <w:name w:val="样式1"/>
    <w:basedOn w:val="25"/>
    <w:uiPriority w:val="0"/>
    <w:pPr>
      <w:widowControl w:val="0"/>
      <w:tabs>
        <w:tab w:val="left" w:pos="420"/>
        <w:tab w:val="right" w:leader="dot" w:pos="8296"/>
      </w:tabs>
      <w:jc w:val="both"/>
    </w:pPr>
    <w:rPr>
      <w:rFonts w:hAnsi="宋体"/>
      <w:kern w:val="2"/>
      <w:sz w:val="24"/>
      <w:szCs w:val="24"/>
      <w:lang w:eastAsia="zh-CN"/>
    </w:rPr>
  </w:style>
  <w:style w:type="paragraph" w:customStyle="1" w:styleId="100">
    <w:name w:val="Default Text"/>
    <w:basedOn w:val="1"/>
    <w:uiPriority w:val="0"/>
    <w:pPr>
      <w:jc w:val="left"/>
      <w:textAlignment w:val="auto"/>
    </w:pPr>
    <w:rPr>
      <w:rFonts w:ascii="宋体"/>
      <w:b/>
      <w:snapToGrid w:val="0"/>
      <w:kern w:val="0"/>
      <w:sz w:val="24"/>
      <w:szCs w:val="20"/>
      <w:lang w:val="en-GB"/>
    </w:rPr>
  </w:style>
  <w:style w:type="paragraph" w:customStyle="1" w:styleId="101">
    <w:name w:val="Particulars Slip"/>
    <w:basedOn w:val="1"/>
    <w:uiPriority w:val="0"/>
    <w:pPr>
      <w:widowControl w:val="0"/>
      <w:tabs>
        <w:tab w:val="left" w:pos="2160"/>
        <w:tab w:val="left" w:pos="2520"/>
        <w:tab w:val="left" w:pos="2880"/>
        <w:tab w:val="left" w:pos="3240"/>
        <w:tab w:val="left" w:pos="3600"/>
        <w:tab w:val="left" w:pos="3960"/>
      </w:tabs>
      <w:textAlignment w:val="auto"/>
    </w:pPr>
    <w:rPr>
      <w:rFonts w:ascii="全真簡中楷" w:eastAsia="全真簡中楷"/>
      <w:snapToGrid w:val="0"/>
      <w:kern w:val="0"/>
      <w:sz w:val="28"/>
      <w:szCs w:val="20"/>
      <w:lang w:val="en-GB" w:eastAsia="en-US"/>
    </w:rPr>
  </w:style>
  <w:style w:type="character" w:customStyle="1" w:styleId="102">
    <w:name w:val="标题6"/>
    <w:uiPriority w:val="0"/>
    <w:rPr>
      <w:rFonts w:eastAsia="黑体"/>
      <w:b/>
      <w:sz w:val="28"/>
    </w:rPr>
  </w:style>
  <w:style w:type="paragraph" w:customStyle="1" w:styleId="103">
    <w:name w:val="Plain Text1"/>
    <w:basedOn w:val="1"/>
    <w:uiPriority w:val="0"/>
    <w:pPr>
      <w:widowControl w:val="0"/>
      <w:adjustRightInd w:val="0"/>
    </w:pPr>
    <w:rPr>
      <w:rFonts w:ascii="宋体" w:hAnsi="Courier New"/>
      <w:szCs w:val="20"/>
    </w:rPr>
  </w:style>
  <w:style w:type="paragraph" w:customStyle="1" w:styleId="104">
    <w:name w:val="正文缩进英"/>
    <w:basedOn w:val="11"/>
    <w:uiPriority w:val="0"/>
    <w:pPr>
      <w:widowControl w:val="0"/>
      <w:adjustRightInd w:val="0"/>
      <w:spacing w:after="120" w:line="300" w:lineRule="auto"/>
      <w:ind w:left="0" w:right="0" w:firstLine="420"/>
      <w:jc w:val="both"/>
      <w:textAlignment w:val="baseline"/>
    </w:pPr>
    <w:rPr>
      <w:sz w:val="24"/>
      <w:lang w:eastAsia="zh-CN"/>
    </w:rPr>
  </w:style>
  <w:style w:type="paragraph" w:customStyle="1" w:styleId="105">
    <w:name w:val="Document 1"/>
    <w:uiPriority w:val="0"/>
    <w:pPr>
      <w:keepNext/>
      <w:keepLines/>
      <w:tabs>
        <w:tab w:val="left" w:pos="-720"/>
      </w:tabs>
      <w:suppressAutoHyphens/>
    </w:pPr>
    <w:rPr>
      <w:rFonts w:ascii="Univers" w:hAnsi="Univers" w:eastAsia="宋体" w:cs="Times New Roman"/>
      <w:lang w:val="en-US" w:eastAsia="zh-CN" w:bidi="ar-SA"/>
    </w:rPr>
  </w:style>
  <w:style w:type="paragraph" w:customStyle="1" w:styleId="106">
    <w:name w:val="条款标题1"/>
    <w:basedOn w:val="1"/>
    <w:uiPriority w:val="0"/>
    <w:pPr>
      <w:widowControl w:val="0"/>
      <w:jc w:val="center"/>
      <w:textAlignment w:val="auto"/>
    </w:pPr>
    <w:rPr>
      <w:b/>
      <w:spacing w:val="10"/>
      <w:szCs w:val="20"/>
    </w:rPr>
  </w:style>
  <w:style w:type="paragraph" w:customStyle="1" w:styleId="107">
    <w:name w:val="CM8"/>
    <w:basedOn w:val="1"/>
    <w:next w:val="1"/>
    <w:uiPriority w:val="0"/>
    <w:pPr>
      <w:widowControl w:val="0"/>
      <w:autoSpaceDE w:val="0"/>
      <w:autoSpaceDN w:val="0"/>
      <w:adjustRightInd w:val="0"/>
      <w:spacing w:line="293" w:lineRule="atLeast"/>
      <w:jc w:val="left"/>
      <w:textAlignment w:val="auto"/>
    </w:pPr>
    <w:rPr>
      <w:rFonts w:ascii="Arial" w:hAnsi="Arial"/>
      <w:kern w:val="0"/>
      <w:sz w:val="24"/>
    </w:rPr>
  </w:style>
  <w:style w:type="paragraph" w:customStyle="1" w:styleId="108">
    <w:name w:val="CM9"/>
    <w:basedOn w:val="1"/>
    <w:next w:val="1"/>
    <w:uiPriority w:val="0"/>
    <w:pPr>
      <w:widowControl w:val="0"/>
      <w:autoSpaceDE w:val="0"/>
      <w:autoSpaceDN w:val="0"/>
      <w:adjustRightInd w:val="0"/>
      <w:spacing w:line="283" w:lineRule="atLeast"/>
      <w:jc w:val="left"/>
      <w:textAlignment w:val="auto"/>
    </w:pPr>
    <w:rPr>
      <w:rFonts w:ascii="Arial" w:hAnsi="Arial"/>
      <w:kern w:val="0"/>
      <w:sz w:val="24"/>
    </w:rPr>
  </w:style>
  <w:style w:type="character" w:customStyle="1" w:styleId="109">
    <w:name w:val="apple-style-span"/>
    <w:basedOn w:val="41"/>
    <w:uiPriority w:val="0"/>
  </w:style>
  <w:style w:type="character" w:customStyle="1" w:styleId="110">
    <w:name w:val="apple-converted-space"/>
    <w:basedOn w:val="41"/>
    <w:uiPriority w:val="0"/>
  </w:style>
  <w:style w:type="paragraph" w:customStyle="1" w:styleId="111">
    <w:name w:val="Char Char Char"/>
    <w:basedOn w:val="1"/>
    <w:uiPriority w:val="0"/>
    <w:pPr>
      <w:widowControl w:val="0"/>
      <w:textAlignment w:val="auto"/>
    </w:pPr>
    <w:rPr>
      <w:rFonts w:ascii="Tahoma" w:hAnsi="Tahoma" w:cs="Tahoma"/>
      <w:sz w:val="24"/>
    </w:rPr>
  </w:style>
  <w:style w:type="paragraph" w:customStyle="1" w:styleId="112">
    <w:name w:val="Normal1"/>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113">
    <w:name w:val="Char"/>
    <w:basedOn w:val="12"/>
    <w:uiPriority w:val="0"/>
    <w:pPr>
      <w:adjustRightInd w:val="0"/>
      <w:snapToGrid w:val="0"/>
      <w:spacing w:line="360" w:lineRule="auto"/>
    </w:pPr>
    <w:rPr>
      <w:rFonts w:ascii="Tahoma" w:hAnsi="Tahoma"/>
      <w:sz w:val="24"/>
    </w:rPr>
  </w:style>
  <w:style w:type="paragraph" w:customStyle="1" w:styleId="114">
    <w:name w:val="条款正文"/>
    <w:basedOn w:val="1"/>
    <w:qFormat/>
    <w:uiPriority w:val="0"/>
    <w:pPr>
      <w:widowControl w:val="0"/>
      <w:adjustRightInd w:val="0"/>
      <w:snapToGrid w:val="0"/>
      <w:ind w:left="840" w:leftChars="400" w:firstLine="420" w:firstLineChars="200"/>
      <w:textAlignment w:val="auto"/>
    </w:pPr>
  </w:style>
  <w:style w:type="paragraph" w:customStyle="1" w:styleId="115">
    <w:name w:val="条款标题"/>
    <w:basedOn w:val="114"/>
    <w:qFormat/>
    <w:uiPriority w:val="0"/>
    <w:pPr>
      <w:tabs>
        <w:tab w:val="left" w:pos="840"/>
      </w:tabs>
      <w:ind w:left="0" w:leftChars="0" w:firstLine="0" w:firstLineChars="0"/>
    </w:pPr>
    <w:rPr>
      <w:b/>
    </w:rPr>
  </w:style>
  <w:style w:type="character" w:customStyle="1" w:styleId="116">
    <w:name w:val="tf"/>
    <w:basedOn w:val="41"/>
    <w:uiPriority w:val="0"/>
  </w:style>
  <w:style w:type="paragraph" w:customStyle="1" w:styleId="117">
    <w:name w:val="Char Char Char Char"/>
    <w:basedOn w:val="12"/>
    <w:uiPriority w:val="0"/>
    <w:pPr>
      <w:adjustRightInd w:val="0"/>
      <w:snapToGrid w:val="0"/>
      <w:spacing w:line="360" w:lineRule="auto"/>
    </w:pPr>
    <w:rPr>
      <w:rFonts w:ascii="Tahoma" w:hAnsi="Tahoma" w:cs="Tahoma"/>
      <w:sz w:val="24"/>
    </w:rPr>
  </w:style>
  <w:style w:type="paragraph" w:styleId="118">
    <w:name w:val="No Spacing"/>
    <w:link w:val="119"/>
    <w:qFormat/>
    <w:uiPriority w:val="1"/>
    <w:rPr>
      <w:rFonts w:asciiTheme="minorHAnsi" w:hAnsiTheme="minorHAnsi" w:eastAsiaTheme="minorEastAsia" w:cstheme="minorBidi"/>
      <w:sz w:val="22"/>
      <w:szCs w:val="22"/>
      <w:lang w:val="en-US" w:eastAsia="ja-JP" w:bidi="ar-SA"/>
    </w:rPr>
  </w:style>
  <w:style w:type="character" w:customStyle="1" w:styleId="119">
    <w:name w:val="无间隔 字符"/>
    <w:basedOn w:val="41"/>
    <w:link w:val="118"/>
    <w:uiPriority w:val="1"/>
    <w:rPr>
      <w:rFonts w:asciiTheme="minorHAnsi" w:hAnsiTheme="minorHAnsi" w:eastAsiaTheme="minorEastAsia" w:cstheme="minorBidi"/>
      <w:sz w:val="22"/>
      <w:szCs w:val="22"/>
      <w:lang w:eastAsia="ja-JP"/>
    </w:rPr>
  </w:style>
  <w:style w:type="paragraph" w:customStyle="1" w:styleId="120">
    <w:name w:val="Default"/>
    <w:basedOn w:val="1"/>
    <w:qFormat/>
    <w:uiPriority w:val="0"/>
    <w:pPr>
      <w:autoSpaceDE w:val="0"/>
      <w:autoSpaceDN w:val="0"/>
      <w:jc w:val="left"/>
      <w:textAlignment w:val="auto"/>
    </w:pPr>
    <w:rPr>
      <w:rFonts w:ascii="宋体" w:hAnsi="宋体" w:cs="宋体"/>
      <w:color w:val="000000"/>
      <w:kern w:val="0"/>
      <w:sz w:val="24"/>
    </w:rPr>
  </w:style>
  <w:style w:type="character" w:customStyle="1" w:styleId="121">
    <w:name w:val="条标题1.1.1 Char1"/>
    <w:uiPriority w:val="0"/>
    <w:rPr>
      <w:rFonts w:eastAsia="宋体"/>
      <w:b/>
      <w:sz w:val="24"/>
      <w:lang w:val="en-US" w:eastAsia="zh-CN" w:bidi="ar-SA"/>
    </w:rPr>
  </w:style>
  <w:style w:type="character" w:customStyle="1" w:styleId="122">
    <w:name w:val="Char Char2"/>
    <w:uiPriority w:val="0"/>
    <w:rPr>
      <w:rFonts w:eastAsia="宋体"/>
      <w:kern w:val="2"/>
      <w:sz w:val="21"/>
      <w:szCs w:val="24"/>
      <w:lang w:val="en-US" w:eastAsia="zh-CN" w:bidi="ar-SA"/>
    </w:rPr>
  </w:style>
  <w:style w:type="character" w:customStyle="1" w:styleId="123">
    <w:name w:val="条标题1.1.1 Char"/>
    <w:uiPriority w:val="0"/>
    <w:rPr>
      <w:b/>
      <w:sz w:val="24"/>
    </w:rPr>
  </w:style>
  <w:style w:type="character" w:customStyle="1" w:styleId="124">
    <w:name w:val="页眉cover Char"/>
    <w:uiPriority w:val="0"/>
    <w:rPr>
      <w:rFonts w:eastAsia="宋体"/>
      <w:kern w:val="2"/>
      <w:sz w:val="18"/>
      <w:szCs w:val="18"/>
      <w:lang w:val="en-US" w:eastAsia="zh-CN" w:bidi="ar-SA"/>
    </w:rPr>
  </w:style>
  <w:style w:type="character" w:customStyle="1" w:styleId="125">
    <w:name w:val="Char Char1"/>
    <w:uiPriority w:val="0"/>
    <w:rPr>
      <w:kern w:val="2"/>
      <w:sz w:val="18"/>
      <w:szCs w:val="18"/>
    </w:rPr>
  </w:style>
  <w:style w:type="character" w:customStyle="1" w:styleId="126">
    <w:name w:val="Char Char"/>
    <w:uiPriority w:val="0"/>
    <w:rPr>
      <w:kern w:val="2"/>
      <w:sz w:val="18"/>
      <w:szCs w:val="18"/>
    </w:rPr>
  </w:style>
  <w:style w:type="paragraph" w:customStyle="1" w:styleId="127">
    <w:name w:val="Char Char3"/>
    <w:basedOn w:val="1"/>
    <w:uiPriority w:val="0"/>
    <w:pPr>
      <w:widowControl w:val="0"/>
      <w:textAlignment w:val="auto"/>
    </w:pPr>
  </w:style>
  <w:style w:type="paragraph" w:customStyle="1" w:styleId="128">
    <w:name w:val="默认段落字体 Para Char"/>
    <w:basedOn w:val="1"/>
    <w:uiPriority w:val="0"/>
    <w:pPr>
      <w:widowControl w:val="0"/>
      <w:adjustRightInd w:val="0"/>
      <w:spacing w:line="360" w:lineRule="auto"/>
      <w:textAlignment w:val="auto"/>
    </w:pPr>
    <w:rPr>
      <w:kern w:val="0"/>
      <w:sz w:val="24"/>
      <w:szCs w:val="20"/>
    </w:rPr>
  </w:style>
  <w:style w:type="character" w:customStyle="1" w:styleId="129">
    <w:name w:val="正文文本 Char1"/>
    <w:basedOn w:val="41"/>
    <w:uiPriority w:val="0"/>
    <w:rPr>
      <w:kern w:val="2"/>
      <w:sz w:val="21"/>
      <w:szCs w:val="24"/>
    </w:rPr>
  </w:style>
  <w:style w:type="paragraph" w:customStyle="1" w:styleId="130">
    <w:name w:val="reader-word-layer"/>
    <w:basedOn w:val="1"/>
    <w:qFormat/>
    <w:uiPriority w:val="0"/>
    <w:pPr>
      <w:spacing w:before="100" w:beforeAutospacing="1" w:after="100" w:afterAutospacing="1"/>
      <w:jc w:val="left"/>
      <w:textAlignment w:val="auto"/>
    </w:pPr>
    <w:rPr>
      <w:rFonts w:ascii="宋体" w:cs="宋体"/>
      <w:kern w:val="0"/>
      <w:sz w:val="24"/>
    </w:rPr>
  </w:style>
  <w:style w:type="paragraph" w:customStyle="1" w:styleId="131">
    <w:name w:val="Table Paragraph"/>
    <w:basedOn w:val="1"/>
    <w:qFormat/>
    <w:uiPriority w:val="99"/>
    <w:pPr>
      <w:widowControl w:val="0"/>
      <w:autoSpaceDE w:val="0"/>
      <w:autoSpaceDN w:val="0"/>
      <w:jc w:val="left"/>
      <w:textAlignment w:val="auto"/>
    </w:pPr>
    <w:rPr>
      <w:rFonts w:ascii="宋体" w:hAnsi="宋体" w:cs="宋体"/>
      <w:kern w:val="0"/>
      <w:sz w:val="22"/>
      <w:szCs w:val="22"/>
      <w:lang w:eastAsia="en-US"/>
    </w:rPr>
  </w:style>
  <w:style w:type="paragraph" w:customStyle="1" w:styleId="132">
    <w:name w:val="样式 标题 2 + 新宋体"/>
    <w:basedOn w:val="4"/>
    <w:uiPriority w:val="0"/>
    <w:pPr>
      <w:keepLines w:val="0"/>
      <w:adjustRightInd w:val="0"/>
      <w:snapToGrid w:val="0"/>
      <w:spacing w:before="240" w:after="240" w:line="360" w:lineRule="auto"/>
      <w:ind w:left="840" w:right="0"/>
      <w:jc w:val="center"/>
      <w:textAlignment w:val="baseline"/>
    </w:pPr>
    <w:rPr>
      <w:rFonts w:ascii="新宋体" w:hAnsi="新宋体" w:eastAsia="黑体"/>
      <w:bCs/>
      <w:color w:val="000000"/>
      <w:spacing w:val="0"/>
      <w:kern w:val="0"/>
      <w:sz w:val="30"/>
    </w:rPr>
  </w:style>
  <w:style w:type="paragraph" w:customStyle="1" w:styleId="133">
    <w:name w:val="样式 标题 3 + 新宋体"/>
    <w:basedOn w:val="5"/>
    <w:link w:val="134"/>
    <w:uiPriority w:val="0"/>
    <w:pPr>
      <w:widowControl w:val="0"/>
      <w:spacing w:line="360" w:lineRule="auto"/>
      <w:ind w:left="2041" w:right="0"/>
      <w:jc w:val="both"/>
    </w:pPr>
    <w:rPr>
      <w:rFonts w:ascii="新宋体" w:hAnsi="新宋体"/>
      <w:spacing w:val="0"/>
      <w:kern w:val="0"/>
      <w:sz w:val="21"/>
      <w:szCs w:val="32"/>
    </w:rPr>
  </w:style>
  <w:style w:type="character" w:customStyle="1" w:styleId="134">
    <w:name w:val="样式 标题 3 + 新宋体 Char"/>
    <w:link w:val="133"/>
    <w:uiPriority w:val="0"/>
    <w:rPr>
      <w:rFonts w:ascii="新宋体" w:hAnsi="新宋体"/>
      <w:sz w:val="21"/>
      <w:szCs w:val="32"/>
    </w:rPr>
  </w:style>
  <w:style w:type="character" w:customStyle="1" w:styleId="135">
    <w:name w:val="脚注文本 字符"/>
    <w:basedOn w:val="41"/>
    <w:link w:val="27"/>
    <w:semiHidden/>
    <w:uiPriority w:val="0"/>
    <w:rPr>
      <w:kern w:val="2"/>
      <w:sz w:val="18"/>
      <w:szCs w:val="18"/>
    </w:rPr>
  </w:style>
  <w:style w:type="character" w:customStyle="1" w:styleId="136">
    <w:name w:val="正文首行缩进 2 字符"/>
    <w:basedOn w:val="58"/>
    <w:link w:val="38"/>
    <w:qFormat/>
    <w:uiPriority w:val="99"/>
    <w:rPr>
      <w:rFonts w:ascii="宋体" w:hAnsi="宋体" w:cs="宋体"/>
      <w:sz w:val="22"/>
      <w:szCs w:val="22"/>
      <w:lang w:eastAsia="en-US"/>
    </w:rPr>
  </w:style>
  <w:style w:type="character" w:customStyle="1" w:styleId="137">
    <w:name w:val="批注主题 字符"/>
    <w:basedOn w:val="57"/>
    <w:link w:val="37"/>
    <w:uiPriority w:val="0"/>
    <w:rPr>
      <w:rFonts w:ascii="宋体" w:hAnsi="宋体" w:eastAsia="PMingLiU" w:cs="宋体"/>
      <w:b/>
      <w:bCs/>
      <w:kern w:val="2"/>
      <w:sz w:val="22"/>
      <w:szCs w:val="22"/>
      <w:lang w:eastAsia="en-US"/>
    </w:rPr>
  </w:style>
  <w:style w:type="paragraph" w:customStyle="1" w:styleId="138">
    <w:name w:val="TOC Heading"/>
    <w:basedOn w:val="2"/>
    <w:next w:val="1"/>
    <w:unhideWhenUsed/>
    <w:qFormat/>
    <w:uiPriority w:val="39"/>
    <w:pPr>
      <w:spacing w:before="240" w:line="259" w:lineRule="auto"/>
      <w:ind w:left="0" w:right="0"/>
      <w:outlineLvl w:val="9"/>
    </w:pPr>
    <w:rPr>
      <w:rFonts w:asciiTheme="majorHAnsi" w:hAnsiTheme="majorHAnsi" w:eastAsiaTheme="majorEastAsia" w:cstheme="majorBidi"/>
      <w:b w:val="0"/>
      <w:color w:val="2F5597" w:themeColor="accent1" w:themeShade="BF"/>
      <w:spacing w:val="0"/>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3D72B-4686-457A-B89C-45379C7E6748}">
  <ds:schemaRefs/>
</ds:datastoreItem>
</file>

<file path=docProps/app.xml><?xml version="1.0" encoding="utf-8"?>
<Properties xmlns="http://schemas.openxmlformats.org/officeDocument/2006/extended-properties" xmlns:vt="http://schemas.openxmlformats.org/officeDocument/2006/docPropsVTypes">
  <Template>Normal</Template>
  <Company>Aon</Company>
  <Pages>35</Pages>
  <Words>17808</Words>
  <Characters>18763</Characters>
  <Lines>142</Lines>
  <Paragraphs>40</Paragraphs>
  <TotalTime>3</TotalTime>
  <ScaleCrop>false</ScaleCrop>
  <LinksUpToDate>false</LinksUpToDate>
  <CharactersWithSpaces>19326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2023-09-13T03:52:00Z</dcterms:created>
  <dc:creator>jamesqi</dc:creator>
  <cp:lastModifiedBy>YCM</cp:lastModifiedBy>
  <dcterms:modified xsi:type="dcterms:W3CDTF">2023-09-23T11:04:38Z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9DF068171EC34CDFAC68E537D896F3C6</vt:lpwstr>
  </property>
</Properties>
</file>