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1"/>
          <w:szCs w:val="21"/>
        </w:rPr>
      </w:pPr>
    </w:p>
    <w:p>
      <w:pPr>
        <w:jc w:val="center"/>
        <w:rPr>
          <w:rFonts w:hint="eastAsia" w:ascii="宋体" w:hAnsi="宋体" w:eastAsia="宋体" w:cs="宋体"/>
          <w:sz w:val="40"/>
          <w:szCs w:val="40"/>
        </w:rPr>
      </w:pPr>
    </w:p>
    <w:p>
      <w:pPr>
        <w:jc w:val="center"/>
        <w:rPr>
          <w:rFonts w:hint="eastAsia" w:ascii="宋体" w:hAnsi="宋体" w:eastAsia="宋体" w:cs="宋体"/>
          <w:b/>
          <w:sz w:val="52"/>
          <w:szCs w:val="52"/>
        </w:rPr>
      </w:pPr>
      <w:r>
        <w:rPr>
          <w:rFonts w:hint="eastAsia" w:ascii="宋体" w:hAnsi="宋体" w:eastAsia="宋体" w:cs="宋体"/>
          <w:b/>
          <w:sz w:val="52"/>
          <w:szCs w:val="52"/>
        </w:rPr>
        <w:t>中粮糖业辽宁有限公司</w:t>
      </w:r>
    </w:p>
    <w:p>
      <w:pPr>
        <w:jc w:val="center"/>
        <w:rPr>
          <w:rFonts w:hint="eastAsia" w:ascii="宋体" w:hAnsi="宋体" w:eastAsia="宋体" w:cs="宋体"/>
          <w:sz w:val="52"/>
          <w:szCs w:val="52"/>
        </w:rPr>
      </w:pPr>
    </w:p>
    <w:p>
      <w:pPr>
        <w:jc w:val="center"/>
        <w:rPr>
          <w:rFonts w:hint="eastAsia" w:ascii="宋体" w:hAnsi="宋体" w:eastAsia="宋体" w:cs="宋体"/>
          <w:sz w:val="52"/>
          <w:szCs w:val="52"/>
          <w:lang w:val="en-US" w:eastAsia="zh-CN"/>
        </w:rPr>
      </w:pPr>
      <w:r>
        <w:rPr>
          <w:rFonts w:hint="eastAsia" w:ascii="宋体" w:hAnsi="宋体" w:eastAsia="宋体" w:cs="宋体"/>
          <w:sz w:val="52"/>
          <w:szCs w:val="52"/>
        </w:rPr>
        <w:t>项目名称：</w:t>
      </w:r>
      <w:r>
        <w:rPr>
          <w:rFonts w:hint="eastAsia" w:ascii="宋体" w:hAnsi="宋体" w:eastAsia="宋体" w:cs="宋体"/>
          <w:sz w:val="52"/>
          <w:szCs w:val="52"/>
          <w:lang w:val="en-US" w:eastAsia="zh-CN"/>
        </w:rPr>
        <w:t>规划用电项目安全评价“三同时”报告编制服务</w:t>
      </w:r>
    </w:p>
    <w:p>
      <w:pPr>
        <w:rPr>
          <w:rFonts w:hint="eastAsia" w:ascii="宋体" w:hAnsi="宋体" w:eastAsia="宋体" w:cs="宋体"/>
          <w:b/>
          <w:sz w:val="52"/>
          <w:szCs w:val="52"/>
        </w:rPr>
      </w:pPr>
    </w:p>
    <w:p>
      <w:pPr>
        <w:rPr>
          <w:rFonts w:hint="eastAsia" w:ascii="宋体" w:hAnsi="宋体" w:eastAsia="宋体" w:cs="宋体"/>
          <w:b/>
          <w:sz w:val="52"/>
          <w:szCs w:val="52"/>
        </w:rPr>
      </w:pPr>
    </w:p>
    <w:p>
      <w:pPr>
        <w:rPr>
          <w:rFonts w:hint="eastAsia" w:ascii="宋体" w:hAnsi="宋体" w:eastAsia="宋体" w:cs="宋体"/>
          <w:b/>
          <w:sz w:val="52"/>
          <w:szCs w:val="52"/>
        </w:rPr>
      </w:pPr>
    </w:p>
    <w:p>
      <w:pPr>
        <w:jc w:val="center"/>
        <w:rPr>
          <w:rFonts w:hint="eastAsia" w:ascii="宋体" w:hAnsi="宋体" w:eastAsia="宋体" w:cs="宋体"/>
          <w:b/>
          <w:sz w:val="52"/>
          <w:szCs w:val="52"/>
        </w:rPr>
      </w:pPr>
      <w:r>
        <w:rPr>
          <w:rFonts w:hint="eastAsia" w:ascii="宋体" w:hAnsi="宋体" w:eastAsia="宋体" w:cs="宋体"/>
          <w:b/>
          <w:sz w:val="52"/>
          <w:szCs w:val="52"/>
          <w:lang w:val="en-US" w:eastAsia="zh-CN"/>
        </w:rPr>
        <w:t>询  比</w:t>
      </w:r>
      <w:r>
        <w:rPr>
          <w:rFonts w:hint="eastAsia" w:ascii="宋体" w:hAnsi="宋体" w:eastAsia="宋体" w:cs="宋体"/>
          <w:b/>
          <w:sz w:val="52"/>
          <w:szCs w:val="52"/>
        </w:rPr>
        <w:t xml:space="preserve"> 文  件</w:t>
      </w:r>
    </w:p>
    <w:p>
      <w:pPr>
        <w:rPr>
          <w:rFonts w:hint="eastAsia" w:ascii="宋体" w:hAnsi="宋体" w:eastAsia="宋体" w:cs="宋体"/>
          <w:b/>
          <w:sz w:val="40"/>
          <w:szCs w:val="40"/>
        </w:rPr>
      </w:pPr>
      <w:r>
        <w:rPr>
          <w:rFonts w:hint="eastAsia" w:ascii="宋体" w:hAnsi="宋体" w:eastAsia="宋体" w:cs="宋体"/>
          <w:b/>
          <w:sz w:val="40"/>
          <w:szCs w:val="40"/>
        </w:rPr>
        <w:t xml:space="preserve">                           </w:t>
      </w: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rPr>
          <w:rFonts w:hint="eastAsia" w:ascii="宋体" w:hAnsi="宋体" w:eastAsia="宋体" w:cs="宋体"/>
          <w:b/>
          <w:sz w:val="40"/>
          <w:szCs w:val="40"/>
        </w:rPr>
      </w:pPr>
    </w:p>
    <w:p>
      <w:pPr>
        <w:tabs>
          <w:tab w:val="center" w:pos="4155"/>
          <w:tab w:val="right" w:pos="8306"/>
        </w:tabs>
        <w:jc w:val="left"/>
        <w:rPr>
          <w:rFonts w:hint="eastAsia" w:ascii="宋体" w:hAnsi="宋体" w:eastAsia="宋体" w:cs="宋体"/>
          <w:b/>
          <w:sz w:val="40"/>
          <w:szCs w:val="40"/>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
          <w:sz w:val="40"/>
          <w:szCs w:val="40"/>
        </w:rPr>
        <w:tab/>
      </w:r>
      <w:r>
        <w:rPr>
          <w:rFonts w:hint="eastAsia" w:ascii="宋体" w:hAnsi="宋体" w:eastAsia="宋体" w:cs="宋体"/>
          <w:b/>
          <w:sz w:val="40"/>
          <w:szCs w:val="40"/>
        </w:rPr>
        <w:t>二〇二</w:t>
      </w:r>
      <w:r>
        <w:rPr>
          <w:rFonts w:hint="eastAsia" w:ascii="宋体" w:hAnsi="宋体" w:eastAsia="宋体" w:cs="宋体"/>
          <w:b/>
          <w:sz w:val="40"/>
          <w:szCs w:val="40"/>
          <w:lang w:val="en-US" w:eastAsia="zh-CN"/>
        </w:rPr>
        <w:t>三</w:t>
      </w:r>
      <w:r>
        <w:rPr>
          <w:rFonts w:hint="eastAsia" w:ascii="宋体" w:hAnsi="宋体" w:eastAsia="宋体" w:cs="宋体"/>
          <w:b/>
          <w:sz w:val="40"/>
          <w:szCs w:val="40"/>
        </w:rPr>
        <w:t>年</w:t>
      </w:r>
      <w:r>
        <w:rPr>
          <w:rFonts w:hint="eastAsia" w:ascii="宋体" w:hAnsi="宋体" w:eastAsia="宋体" w:cs="宋体"/>
          <w:b/>
          <w:sz w:val="40"/>
          <w:szCs w:val="40"/>
          <w:u w:val="single"/>
          <w:lang w:val="en-US" w:eastAsia="zh-CN"/>
        </w:rPr>
        <w:t>十</w:t>
      </w:r>
      <w:r>
        <w:rPr>
          <w:rFonts w:hint="eastAsia" w:ascii="宋体" w:hAnsi="宋体" w:eastAsia="宋体" w:cs="宋体"/>
          <w:b/>
          <w:sz w:val="40"/>
          <w:szCs w:val="40"/>
        </w:rPr>
        <w:t>月</w:t>
      </w:r>
    </w:p>
    <w:p>
      <w:pPr>
        <w:jc w:val="center"/>
        <w:rPr>
          <w:rFonts w:hint="eastAsia" w:ascii="宋体" w:hAnsi="宋体" w:eastAsia="宋体" w:cs="宋体"/>
          <w:b/>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第一部分  采购项目需求</w:t>
      </w:r>
    </w:p>
    <w:p>
      <w:pPr>
        <w:spacing w:line="500" w:lineRule="exact"/>
        <w:rPr>
          <w:rFonts w:hint="eastAsia" w:ascii="宋体" w:hAnsi="宋体" w:eastAsia="宋体" w:cs="宋体"/>
          <w:b/>
          <w:sz w:val="21"/>
          <w:szCs w:val="21"/>
        </w:rPr>
      </w:pPr>
    </w:p>
    <w:p>
      <w:pPr>
        <w:adjustRightInd w:val="0"/>
        <w:snapToGrid w:val="0"/>
        <w:spacing w:line="360" w:lineRule="auto"/>
        <w:ind w:firstLine="482" w:firstLineChars="200"/>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一、服务概况</w:t>
      </w:r>
    </w:p>
    <w:p>
      <w:pPr>
        <w:adjustRightInd w:val="0"/>
        <w:snapToGrid w:val="0"/>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服务名称：《规划用电项目》安全预评价、安全设施设计专篇、安全验收评价报告编制服务项目</w:t>
      </w:r>
    </w:p>
    <w:p>
      <w:pPr>
        <w:adjustRightInd w:val="0"/>
        <w:snapToGrid w:val="0"/>
        <w:spacing w:line="360" w:lineRule="auto"/>
        <w:ind w:firstLine="482" w:firstLineChars="200"/>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二、服务要求</w:t>
      </w:r>
    </w:p>
    <w:p>
      <w:pPr>
        <w:adjustRightInd w:val="0"/>
        <w:snapToGrid w:val="0"/>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完成中粮糖业辽宁有限公司《规划用电项目》安全预评价、安全设施设计专篇、安全验收评价报告，并通过专家评审              </w:t>
      </w:r>
    </w:p>
    <w:p>
      <w:pPr>
        <w:adjustRightInd w:val="0"/>
        <w:snapToGrid w:val="0"/>
        <w:spacing w:line="360" w:lineRule="auto"/>
        <w:ind w:firstLine="482" w:firstLineChars="200"/>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三、参与投标资质要求</w:t>
      </w:r>
    </w:p>
    <w:p>
      <w:pPr>
        <w:adjustRightInd w:val="0"/>
        <w:snapToGrid w:val="0"/>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1.投标单位具有安全评价机构资质证书。</w:t>
      </w:r>
    </w:p>
    <w:p>
      <w:pPr>
        <w:adjustRightInd w:val="0"/>
        <w:snapToGrid w:val="0"/>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2.投标单位应具有一级安全评价师至少一人。</w:t>
      </w:r>
    </w:p>
    <w:p>
      <w:pPr>
        <w:adjustRightInd w:val="0"/>
        <w:snapToGrid w:val="0"/>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3.投标单位上一年度完成安全评价报告并通过专家评审的项目不少于5项。</w:t>
      </w:r>
    </w:p>
    <w:p>
      <w:pPr>
        <w:adjustRightInd w:val="0"/>
        <w:snapToGrid w:val="0"/>
        <w:spacing w:line="360" w:lineRule="auto"/>
        <w:ind w:firstLine="482" w:firstLineChars="200"/>
        <w:rPr>
          <w:rFonts w:hint="default" w:ascii="Times New Roman" w:hAnsi="Times New Roman"/>
          <w:b/>
          <w:bCs/>
          <w:sz w:val="24"/>
          <w:szCs w:val="24"/>
          <w:lang w:val="en-US" w:eastAsia="zh-CN"/>
        </w:rPr>
      </w:pPr>
      <w:r>
        <w:rPr>
          <w:rFonts w:hint="eastAsia" w:ascii="Times New Roman" w:hAnsi="Times New Roman"/>
          <w:b/>
          <w:bCs/>
          <w:sz w:val="24"/>
          <w:szCs w:val="24"/>
          <w:lang w:val="en-US" w:eastAsia="zh-CN"/>
        </w:rPr>
        <w:t>四、投标要求</w:t>
      </w:r>
    </w:p>
    <w:p>
      <w:pPr>
        <w:adjustRightInd w:val="0"/>
        <w:snapToGrid w:val="0"/>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1.报告编制人员应为安全评价师，具有3年以上安全评价服务从业经历，上一年度由编制人本人编制通过专家评审的安全评价报告不少于2篇。中标单位履行服务期间如需更换编制人，需与甲方协商，未经甲方同意不得更换编制人。</w:t>
      </w:r>
    </w:p>
    <w:p>
      <w:pPr>
        <w:adjustRightInd w:val="0"/>
        <w:snapToGrid w:val="0"/>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 2.中标单位编制报告前，需派遣编制人本人到甲方现场了解项目相关情况。 </w:t>
      </w:r>
    </w:p>
    <w:p>
      <w:pPr>
        <w:adjustRightInd w:val="0"/>
        <w:snapToGrid w:val="0"/>
        <w:spacing w:line="360" w:lineRule="auto"/>
        <w:ind w:firstLine="482" w:firstLineChars="200"/>
        <w:rPr>
          <w:rFonts w:hint="eastAsia" w:ascii="Times New Roman" w:hAnsi="Times New Roman"/>
          <w:sz w:val="24"/>
          <w:szCs w:val="24"/>
          <w:lang w:val="en-US" w:eastAsia="zh-CN"/>
        </w:rPr>
      </w:pPr>
      <w:r>
        <w:rPr>
          <w:rFonts w:hint="eastAsia" w:ascii="Times New Roman" w:hAnsi="Times New Roman"/>
          <w:b/>
          <w:bCs/>
          <w:sz w:val="24"/>
          <w:szCs w:val="24"/>
          <w:lang w:val="en-US" w:eastAsia="zh-CN"/>
        </w:rPr>
        <w:t>五、定价方式：</w:t>
      </w:r>
      <w:r>
        <w:rPr>
          <w:rFonts w:hint="eastAsia" w:ascii="Times New Roman" w:hAnsi="Times New Roman"/>
          <w:sz w:val="24"/>
          <w:szCs w:val="24"/>
          <w:lang w:val="en-US" w:eastAsia="zh-CN"/>
        </w:rPr>
        <w:t>询比</w:t>
      </w:r>
    </w:p>
    <w:p>
      <w:pPr>
        <w:adjustRightInd w:val="0"/>
        <w:snapToGrid w:val="0"/>
        <w:spacing w:line="360" w:lineRule="auto"/>
        <w:ind w:firstLine="482" w:firstLineChars="200"/>
        <w:rPr>
          <w:rFonts w:hint="eastAsia" w:ascii="Times New Roman" w:hAnsi="Times New Roman"/>
          <w:sz w:val="24"/>
          <w:szCs w:val="24"/>
          <w:lang w:val="en-US" w:eastAsia="zh-CN"/>
        </w:rPr>
      </w:pPr>
      <w:r>
        <w:rPr>
          <w:rFonts w:hint="eastAsia" w:ascii="Times New Roman" w:hAnsi="Times New Roman"/>
          <w:b/>
          <w:bCs/>
          <w:sz w:val="24"/>
          <w:szCs w:val="24"/>
          <w:lang w:val="en-US" w:eastAsia="zh-CN"/>
        </w:rPr>
        <w:t>六、定标方式：</w:t>
      </w:r>
      <w:r>
        <w:rPr>
          <w:rFonts w:hint="eastAsia" w:ascii="Times New Roman" w:hAnsi="Times New Roman"/>
          <w:sz w:val="24"/>
          <w:szCs w:val="24"/>
          <w:lang w:val="en-US" w:eastAsia="zh-CN"/>
        </w:rPr>
        <w:t>总价低价中标</w:t>
      </w: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2" w:firstLineChars="200"/>
        <w:rPr>
          <w:rFonts w:hint="eastAsia" w:ascii="宋体" w:hAnsi="宋体" w:eastAsia="宋体" w:cs="宋体"/>
          <w:b/>
          <w:color w:val="000000" w:themeColor="text1"/>
          <w:sz w:val="21"/>
          <w:szCs w:val="21"/>
          <w:highlight w:val="yellow"/>
          <w14:textFill>
            <w14:solidFill>
              <w14:schemeClr w14:val="tx1"/>
            </w14:solidFill>
          </w14:textFill>
        </w:rPr>
      </w:pPr>
    </w:p>
    <w:p>
      <w:pPr>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w:t>
      </w:r>
    </w:p>
    <w:p>
      <w:pPr>
        <w:jc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合同主要条款</w:t>
      </w:r>
    </w:p>
    <w:p>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甲方委托乙方</w:t>
      </w:r>
      <w:r>
        <w:rPr>
          <w:rFonts w:hint="eastAsia" w:ascii="Times New Roman" w:hAnsi="Times New Roman"/>
          <w:sz w:val="24"/>
          <w:szCs w:val="24"/>
        </w:rPr>
        <w:t>对</w:t>
      </w:r>
      <w:r>
        <w:rPr>
          <w:rFonts w:hint="eastAsia" w:ascii="Times New Roman"/>
          <w:sz w:val="24"/>
          <w:szCs w:val="24"/>
          <w:u w:val="single"/>
        </w:rPr>
        <w:t xml:space="preserve">  </w:t>
      </w:r>
      <w:r>
        <w:rPr>
          <w:rFonts w:hint="eastAsia" w:ascii="Times New Roman"/>
          <w:sz w:val="24"/>
          <w:szCs w:val="24"/>
          <w:u w:val="single"/>
          <w:lang w:eastAsia="zh-CN"/>
        </w:rPr>
        <w:t>规划用电项目安全评价“三同时”报告编制服务</w:t>
      </w:r>
      <w:r>
        <w:rPr>
          <w:rFonts w:hint="eastAsia" w:ascii="Times New Roman"/>
          <w:sz w:val="24"/>
          <w:szCs w:val="24"/>
          <w:u w:val="single"/>
        </w:rPr>
        <w:t xml:space="preserve">  </w:t>
      </w:r>
      <w:r>
        <w:rPr>
          <w:rFonts w:ascii="Times New Roman"/>
          <w:sz w:val="24"/>
          <w:szCs w:val="24"/>
        </w:rPr>
        <w:t>项目</w:t>
      </w:r>
      <w:r>
        <w:rPr>
          <w:rFonts w:ascii="Times New Roman" w:hAnsi="Times New Roman"/>
          <w:sz w:val="24"/>
          <w:szCs w:val="24"/>
        </w:rPr>
        <w:t>进行专项技术服务，双方经过平等协商，在真实、充分地表达各自意愿的基础上，根据《中华人民共和国</w:t>
      </w:r>
      <w:r>
        <w:rPr>
          <w:rFonts w:hint="eastAsia" w:ascii="Times New Roman" w:hAnsi="Times New Roman"/>
          <w:sz w:val="24"/>
          <w:szCs w:val="24"/>
          <w:lang w:val="en-US" w:eastAsia="zh-CN"/>
        </w:rPr>
        <w:t>民法典</w:t>
      </w:r>
      <w:r>
        <w:rPr>
          <w:rFonts w:ascii="Times New Roman" w:hAnsi="Times New Roman"/>
          <w:sz w:val="24"/>
          <w:szCs w:val="24"/>
        </w:rPr>
        <w:t>》的规定，达成如下协议，并由双方共同恪守。</w:t>
      </w:r>
    </w:p>
    <w:p>
      <w:pPr>
        <w:adjustRightInd w:val="0"/>
        <w:snapToGrid w:val="0"/>
        <w:spacing w:line="360" w:lineRule="auto"/>
        <w:ind w:firstLine="482" w:firstLineChars="200"/>
        <w:rPr>
          <w:rFonts w:hint="eastAsia" w:ascii="Times New Roman" w:hAnsi="Times New Roman"/>
          <w:b/>
          <w:bCs/>
          <w:sz w:val="24"/>
          <w:szCs w:val="24"/>
        </w:rPr>
      </w:pPr>
      <w:r>
        <w:rPr>
          <w:rFonts w:hint="eastAsia" w:ascii="Times New Roman" w:hAnsi="Times New Roman"/>
          <w:b/>
          <w:bCs/>
          <w:sz w:val="24"/>
          <w:szCs w:val="24"/>
        </w:rPr>
        <w:t>第一条：服务内容及要求</w:t>
      </w:r>
    </w:p>
    <w:p>
      <w:pPr>
        <w:numPr>
          <w:ilvl w:val="0"/>
          <w:numId w:val="1"/>
        </w:num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服务内容</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对中粮糖业辽宁有限公司</w:t>
      </w:r>
      <w:r>
        <w:rPr>
          <w:rFonts w:hint="eastAsia" w:ascii="Times New Roman"/>
          <w:sz w:val="24"/>
          <w:szCs w:val="24"/>
          <w:u w:val="single"/>
          <w:lang w:eastAsia="zh-CN"/>
        </w:rPr>
        <w:t>规划用电项目安全评价“三同时”报告编制服务</w:t>
      </w:r>
      <w:r>
        <w:rPr>
          <w:rFonts w:hint="eastAsia" w:ascii="Times New Roman" w:hAnsi="Times New Roman"/>
          <w:sz w:val="24"/>
          <w:szCs w:val="24"/>
        </w:rPr>
        <w:t>的安全生产条件和设施综合分析报告、安全专篇报告、安全验收报告。</w:t>
      </w:r>
    </w:p>
    <w:p>
      <w:pPr>
        <w:numPr>
          <w:ilvl w:val="0"/>
          <w:numId w:val="1"/>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服务要求</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完成中粮糖业辽宁有限公司</w:t>
      </w:r>
      <w:r>
        <w:rPr>
          <w:rFonts w:hint="eastAsia" w:ascii="Times New Roman"/>
          <w:sz w:val="24"/>
          <w:szCs w:val="24"/>
          <w:u w:val="single"/>
          <w:lang w:eastAsia="zh-CN"/>
        </w:rPr>
        <w:t>规划用电项目安全评价“三同时”报告编制服务</w:t>
      </w:r>
      <w:r>
        <w:rPr>
          <w:rFonts w:hint="eastAsia" w:ascii="Times New Roman" w:hAnsi="Times New Roman"/>
          <w:sz w:val="24"/>
          <w:szCs w:val="24"/>
        </w:rPr>
        <w:t>的安全生产条件和设施综合分析报告、安全专篇报告、安全验收报告，并通过专家评审。</w:t>
      </w:r>
    </w:p>
    <w:p>
      <w:pPr>
        <w:numPr>
          <w:ilvl w:val="0"/>
          <w:numId w:val="1"/>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服务方式</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为中粮糖业辽宁有限公司</w:t>
      </w:r>
      <w:r>
        <w:rPr>
          <w:rFonts w:hint="eastAsia" w:ascii="Times New Roman"/>
          <w:sz w:val="24"/>
          <w:szCs w:val="24"/>
          <w:u w:val="single"/>
          <w:lang w:eastAsia="zh-CN"/>
        </w:rPr>
        <w:t>规划用电项目安全评价“三同时”报告编制服务</w:t>
      </w:r>
      <w:r>
        <w:rPr>
          <w:rFonts w:hint="eastAsia" w:ascii="Times New Roman" w:hAnsi="Times New Roman"/>
          <w:sz w:val="24"/>
          <w:szCs w:val="24"/>
        </w:rPr>
        <w:t>的安全生产条件和设施综合分析报告、安全专篇报告、安全验收报告各出具正式报告各二本。</w:t>
      </w:r>
    </w:p>
    <w:p>
      <w:pPr>
        <w:numPr>
          <w:ilvl w:val="0"/>
          <w:numId w:val="1"/>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时间要求</w:t>
      </w:r>
    </w:p>
    <w:p>
      <w:pPr>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每项工作自甲方按照乙方资料清单提供全部资料之日起</w:t>
      </w:r>
      <w:r>
        <w:rPr>
          <w:rFonts w:hint="eastAsia" w:ascii="Times New Roman" w:hAnsi="Times New Roman"/>
          <w:sz w:val="24"/>
          <w:szCs w:val="24"/>
          <w:u w:val="single"/>
        </w:rPr>
        <w:t xml:space="preserve"> </w:t>
      </w:r>
      <w:r>
        <w:rPr>
          <w:rFonts w:ascii="Times New Roman" w:hAnsi="Times New Roman"/>
          <w:sz w:val="24"/>
          <w:szCs w:val="24"/>
          <w:u w:val="single"/>
        </w:rPr>
        <w:t>30</w:t>
      </w:r>
      <w:r>
        <w:rPr>
          <w:rFonts w:hint="eastAsia" w:ascii="Times New Roman" w:hAnsi="Times New Roman"/>
          <w:sz w:val="24"/>
          <w:szCs w:val="24"/>
          <w:u w:val="single"/>
        </w:rPr>
        <w:t xml:space="preserve"> </w:t>
      </w:r>
      <w:r>
        <w:rPr>
          <w:rFonts w:hint="eastAsia" w:ascii="Times New Roman" w:hAnsi="Times New Roman"/>
          <w:sz w:val="24"/>
          <w:szCs w:val="24"/>
        </w:rPr>
        <w:t>日（工作日）内出具报告。</w:t>
      </w:r>
    </w:p>
    <w:p>
      <w:pPr>
        <w:adjustRightInd w:val="0"/>
        <w:snapToGrid w:val="0"/>
        <w:spacing w:line="360" w:lineRule="auto"/>
        <w:ind w:left="420" w:leftChars="200"/>
        <w:rPr>
          <w:rFonts w:hint="eastAsia" w:ascii="Times New Roman" w:hAnsi="Times New Roman"/>
          <w:b/>
          <w:bCs/>
          <w:sz w:val="24"/>
          <w:szCs w:val="24"/>
        </w:rPr>
      </w:pPr>
      <w:r>
        <w:rPr>
          <w:rFonts w:hint="eastAsia" w:ascii="Times New Roman" w:hAnsi="Times New Roman"/>
          <w:b/>
          <w:bCs/>
          <w:sz w:val="24"/>
          <w:szCs w:val="24"/>
        </w:rPr>
        <w:t>第二条：服务费用</w:t>
      </w:r>
    </w:p>
    <w:p>
      <w:pPr>
        <w:numPr>
          <w:ilvl w:val="0"/>
          <w:numId w:val="2"/>
        </w:numPr>
        <w:tabs>
          <w:tab w:val="clear" w:pos="312"/>
        </w:tabs>
        <w:adjustRightInd w:val="0"/>
        <w:snapToGrid w:val="0"/>
        <w:spacing w:line="360" w:lineRule="auto"/>
        <w:ind w:left="420" w:leftChars="200"/>
        <w:rPr>
          <w:rFonts w:hint="eastAsia" w:ascii="Times New Roman" w:hAnsi="Times New Roman"/>
          <w:sz w:val="24"/>
          <w:szCs w:val="24"/>
        </w:rPr>
      </w:pPr>
      <w:r>
        <w:rPr>
          <w:rFonts w:hint="eastAsia" w:ascii="Times New Roman" w:hAnsi="Times New Roman"/>
          <w:sz w:val="24"/>
          <w:szCs w:val="24"/>
        </w:rPr>
        <w:t>服务费共计</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Times New Roman" w:hAnsi="Times New Roman"/>
          <w:sz w:val="24"/>
          <w:szCs w:val="24"/>
        </w:rPr>
        <w:t>元（大写：人民币</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元 </w:t>
      </w:r>
      <w:r>
        <w:rPr>
          <w:rFonts w:hint="eastAsia" w:ascii="Times New Roman" w:hAnsi="Times New Roman"/>
          <w:sz w:val="24"/>
          <w:szCs w:val="24"/>
        </w:rPr>
        <w:t>），甲方分次付款。</w:t>
      </w:r>
    </w:p>
    <w:p>
      <w:pPr>
        <w:adjustRightInd w:val="0"/>
        <w:snapToGrid w:val="0"/>
        <w:spacing w:line="360" w:lineRule="auto"/>
        <w:ind w:firstLine="480" w:firstLineChars="200"/>
        <w:rPr>
          <w:rFonts w:ascii="Times New Roman" w:hAnsi="Times New Roman"/>
          <w:sz w:val="24"/>
          <w:szCs w:val="24"/>
        </w:rPr>
      </w:pPr>
      <w:r>
        <w:rPr>
          <w:rFonts w:hint="eastAsia" w:ascii="宋体" w:hAnsi="宋体"/>
          <w:sz w:val="24"/>
          <w:szCs w:val="24"/>
        </w:rPr>
        <w:t>①</w:t>
      </w:r>
      <w:r>
        <w:rPr>
          <w:rFonts w:hint="eastAsia" w:ascii="Times New Roman" w:hAnsi="Times New Roman"/>
          <w:sz w:val="24"/>
          <w:szCs w:val="24"/>
        </w:rPr>
        <w:t>安全生产条件和设施综合分析报告合同额为人民币壹万伍仟元整（</w:t>
      </w:r>
      <w:r>
        <w:rPr>
          <w:rFonts w:hint="eastAsia" w:ascii="宋体" w:hAnsi="宋体"/>
          <w:sz w:val="24"/>
          <w:szCs w:val="24"/>
        </w:rPr>
        <w:t>￥</w:t>
      </w:r>
      <w:r>
        <w:rPr>
          <w:rFonts w:hint="eastAsia" w:ascii="Times New Roman" w:hAnsi="Times New Roman"/>
          <w:sz w:val="24"/>
          <w:szCs w:val="24"/>
          <w:lang w:val="en-US" w:eastAsia="zh-CN"/>
        </w:rPr>
        <w:t xml:space="preserve">  </w:t>
      </w:r>
      <w:r>
        <w:rPr>
          <w:rFonts w:hint="eastAsia" w:ascii="Times New Roman" w:hAnsi="Times New Roman"/>
          <w:sz w:val="24"/>
          <w:szCs w:val="24"/>
        </w:rPr>
        <w:t>元）；</w:t>
      </w:r>
    </w:p>
    <w:p>
      <w:pPr>
        <w:adjustRightInd w:val="0"/>
        <w:snapToGrid w:val="0"/>
        <w:spacing w:line="360" w:lineRule="auto"/>
        <w:ind w:left="420"/>
        <w:rPr>
          <w:rFonts w:hint="eastAsia" w:ascii="Times New Roman" w:hAnsi="Times New Roman"/>
          <w:sz w:val="24"/>
          <w:szCs w:val="24"/>
        </w:rPr>
      </w:pPr>
      <w:r>
        <w:rPr>
          <w:rFonts w:hint="eastAsia" w:ascii="宋体" w:hAnsi="宋体"/>
          <w:sz w:val="24"/>
          <w:szCs w:val="24"/>
        </w:rPr>
        <w:t>②</w:t>
      </w:r>
      <w:r>
        <w:rPr>
          <w:rFonts w:hint="eastAsia" w:ascii="Times New Roman" w:hAnsi="Times New Roman"/>
          <w:sz w:val="24"/>
          <w:szCs w:val="24"/>
        </w:rPr>
        <w:t>安全专篇报告合同额为人民币叁万元整（</w:t>
      </w:r>
      <w:r>
        <w:rPr>
          <w:rFonts w:hint="eastAsia" w:ascii="宋体" w:hAnsi="宋体"/>
          <w:sz w:val="24"/>
          <w:szCs w:val="24"/>
        </w:rPr>
        <w:t>￥</w:t>
      </w:r>
      <w:r>
        <w:rPr>
          <w:rFonts w:hint="eastAsia" w:ascii="宋体" w:hAnsi="宋体"/>
          <w:sz w:val="24"/>
          <w:szCs w:val="24"/>
          <w:lang w:val="en-US" w:eastAsia="zh-CN"/>
        </w:rPr>
        <w:t xml:space="preserve">  </w:t>
      </w:r>
      <w:r>
        <w:rPr>
          <w:rFonts w:hint="eastAsia" w:ascii="Times New Roman" w:hAnsi="Times New Roman"/>
          <w:sz w:val="24"/>
          <w:szCs w:val="24"/>
        </w:rPr>
        <w:t>元）；</w:t>
      </w:r>
    </w:p>
    <w:p>
      <w:pPr>
        <w:adjustRightInd w:val="0"/>
        <w:snapToGrid w:val="0"/>
        <w:spacing w:line="360" w:lineRule="auto"/>
        <w:ind w:left="420"/>
        <w:rPr>
          <w:rFonts w:hint="eastAsia" w:ascii="Times New Roman" w:hAnsi="Times New Roman"/>
          <w:sz w:val="24"/>
          <w:szCs w:val="24"/>
        </w:rPr>
      </w:pPr>
      <w:r>
        <w:rPr>
          <w:rFonts w:hint="eastAsia" w:ascii="宋体" w:hAnsi="宋体"/>
          <w:sz w:val="24"/>
          <w:szCs w:val="24"/>
        </w:rPr>
        <w:t>③</w:t>
      </w:r>
      <w:r>
        <w:rPr>
          <w:rFonts w:hint="eastAsia" w:ascii="Times New Roman" w:hAnsi="Times New Roman"/>
          <w:sz w:val="24"/>
          <w:szCs w:val="24"/>
        </w:rPr>
        <w:t>安全验收报告合同额为人民币壹万伍仟元整（</w:t>
      </w:r>
      <w:r>
        <w:rPr>
          <w:rFonts w:hint="eastAsia" w:ascii="宋体" w:hAnsi="宋体"/>
          <w:sz w:val="24"/>
          <w:szCs w:val="24"/>
        </w:rPr>
        <w:t>￥</w:t>
      </w:r>
      <w:r>
        <w:rPr>
          <w:rFonts w:hint="eastAsia" w:ascii="Times New Roman" w:hAnsi="Times New Roman"/>
          <w:sz w:val="24"/>
          <w:szCs w:val="24"/>
          <w:lang w:val="en-US" w:eastAsia="zh-CN"/>
        </w:rPr>
        <w:t xml:space="preserve">   </w:t>
      </w:r>
      <w:r>
        <w:rPr>
          <w:rFonts w:hint="eastAsia" w:ascii="Times New Roman" w:hAnsi="Times New Roman"/>
          <w:sz w:val="24"/>
          <w:szCs w:val="24"/>
        </w:rPr>
        <w:t>元）。</w:t>
      </w:r>
    </w:p>
    <w:p>
      <w:pPr>
        <w:numPr>
          <w:ilvl w:val="0"/>
          <w:numId w:val="2"/>
        </w:numPr>
        <w:tabs>
          <w:tab w:val="clear" w:pos="312"/>
        </w:tabs>
        <w:adjustRightInd w:val="0"/>
        <w:snapToGrid w:val="0"/>
        <w:spacing w:line="360" w:lineRule="auto"/>
        <w:ind w:left="420" w:leftChars="200"/>
        <w:rPr>
          <w:rFonts w:hint="eastAsia" w:ascii="Times New Roman" w:hAnsi="Times New Roman"/>
          <w:sz w:val="24"/>
          <w:szCs w:val="24"/>
        </w:rPr>
      </w:pPr>
      <w:r>
        <w:rPr>
          <w:rFonts w:hint="eastAsia" w:ascii="Times New Roman" w:hAnsi="Times New Roman"/>
          <w:sz w:val="24"/>
          <w:szCs w:val="24"/>
        </w:rPr>
        <w:t>【付款方式】每项工作完成后</w:t>
      </w:r>
      <w:r>
        <w:rPr>
          <w:rFonts w:hint="eastAsia" w:ascii="Times New Roman" w:hAnsi="Times New Roman"/>
          <w:sz w:val="24"/>
          <w:szCs w:val="24"/>
          <w:lang w:eastAsia="zh-CN"/>
        </w:rPr>
        <w:t>，</w:t>
      </w:r>
      <w:r>
        <w:rPr>
          <w:rFonts w:hint="eastAsia" w:ascii="Times New Roman" w:hAnsi="Times New Roman"/>
          <w:sz w:val="24"/>
          <w:szCs w:val="24"/>
          <w:lang w:val="en-US" w:eastAsia="zh-CN"/>
        </w:rPr>
        <w:t>出具相应合格报告，甲方</w:t>
      </w:r>
      <w:r>
        <w:rPr>
          <w:rFonts w:hint="eastAsia" w:ascii="Times New Roman" w:hAnsi="Times New Roman"/>
          <w:sz w:val="24"/>
          <w:szCs w:val="24"/>
        </w:rPr>
        <w:t>付清本项工作</w:t>
      </w:r>
      <w:r>
        <w:rPr>
          <w:rFonts w:hint="eastAsia" w:ascii="Times New Roman" w:hAnsi="Times New Roman"/>
          <w:sz w:val="24"/>
          <w:szCs w:val="24"/>
          <w:lang w:val="en-US" w:eastAsia="zh-CN"/>
        </w:rPr>
        <w:t>全</w:t>
      </w:r>
      <w:r>
        <w:rPr>
          <w:rFonts w:hint="eastAsia" w:ascii="Times New Roman" w:hAnsi="Times New Roman"/>
          <w:sz w:val="24"/>
          <w:szCs w:val="24"/>
        </w:rPr>
        <w:t>款。乙方提供</w:t>
      </w:r>
      <w:r>
        <w:rPr>
          <w:rFonts w:hint="eastAsia" w:ascii="Times New Roman" w:hAnsi="Times New Roman"/>
          <w:sz w:val="24"/>
          <w:szCs w:val="24"/>
          <w:u w:val="single"/>
          <w:lang w:val="en-US" w:eastAsia="zh-CN"/>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w:t>
      </w:r>
      <w:r>
        <w:rPr>
          <w:rFonts w:hint="eastAsia" w:ascii="Times New Roman" w:hAnsi="Times New Roman"/>
          <w:sz w:val="24"/>
          <w:szCs w:val="24"/>
        </w:rPr>
        <w:t>增值税发票，甲方应在收到发票后</w:t>
      </w:r>
      <w:r>
        <w:rPr>
          <w:rFonts w:hint="eastAsia" w:ascii="Times New Roman" w:hAnsi="Times New Roman"/>
          <w:sz w:val="24"/>
          <w:szCs w:val="24"/>
          <w:lang w:val="en-US" w:eastAsia="zh-CN"/>
        </w:rPr>
        <w:t>次月</w:t>
      </w:r>
      <w:r>
        <w:rPr>
          <w:rFonts w:hint="eastAsia" w:ascii="Times New Roman" w:hAnsi="Times New Roman"/>
          <w:sz w:val="24"/>
          <w:szCs w:val="24"/>
        </w:rPr>
        <w:t>内付款。</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第三条：甲方权利和义务</w:t>
      </w:r>
    </w:p>
    <w:p>
      <w:pPr>
        <w:numPr>
          <w:ilvl w:val="0"/>
          <w:numId w:val="3"/>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安排一名人员与乙方进行业务沟通。</w:t>
      </w:r>
    </w:p>
    <w:p>
      <w:pPr>
        <w:numPr>
          <w:ilvl w:val="0"/>
          <w:numId w:val="3"/>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按照乙方提供的资料清单提供资料，并配合乙方及其人员的工作。</w:t>
      </w:r>
    </w:p>
    <w:p>
      <w:pPr>
        <w:numPr>
          <w:ilvl w:val="0"/>
          <w:numId w:val="3"/>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为乙方提供现场收集资料、了解情况的便利。</w:t>
      </w:r>
    </w:p>
    <w:p>
      <w:pPr>
        <w:numPr>
          <w:ilvl w:val="0"/>
          <w:numId w:val="3"/>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按照合同约定支付服务费用。</w:t>
      </w:r>
    </w:p>
    <w:p>
      <w:pPr>
        <w:numPr>
          <w:ilvl w:val="0"/>
          <w:numId w:val="3"/>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有权要求乙方告知项目进展情况。</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第四条：乙方权利和义务</w:t>
      </w:r>
    </w:p>
    <w:p>
      <w:pPr>
        <w:numPr>
          <w:ilvl w:val="0"/>
          <w:numId w:val="4"/>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安排一名人员与甲方进行业务沟通。</w:t>
      </w:r>
    </w:p>
    <w:p>
      <w:pPr>
        <w:numPr>
          <w:ilvl w:val="0"/>
          <w:numId w:val="4"/>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按照合同的约定及甲方的要求编制报告，按照相关部门的要求修改。</w:t>
      </w:r>
    </w:p>
    <w:p>
      <w:pPr>
        <w:numPr>
          <w:ilvl w:val="0"/>
          <w:numId w:val="4"/>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在甲方现场遵守甲方各项管理规定及现场人员的管理。</w:t>
      </w:r>
    </w:p>
    <w:p>
      <w:pPr>
        <w:numPr>
          <w:ilvl w:val="0"/>
          <w:numId w:val="4"/>
        </w:numPr>
        <w:tabs>
          <w:tab w:val="clear" w:pos="312"/>
        </w:tabs>
        <w:adjustRightInd w:val="0"/>
        <w:snapToGrid w:val="0"/>
        <w:spacing w:line="360" w:lineRule="auto"/>
        <w:ind w:firstLine="480" w:firstLineChars="200"/>
        <w:rPr>
          <w:rFonts w:hint="eastAsia" w:ascii="Times New Roman" w:hAnsi="Times New Roman"/>
          <w:color w:val="000000"/>
          <w:sz w:val="24"/>
          <w:szCs w:val="24"/>
        </w:rPr>
      </w:pPr>
      <w:r>
        <w:rPr>
          <w:rFonts w:hint="eastAsia" w:ascii="宋体" w:cs="宋体"/>
          <w:color w:val="000000"/>
          <w:kern w:val="0"/>
          <w:sz w:val="24"/>
        </w:rPr>
        <w:t>乙方人员在甲方现场工作过程中应遵守甲方规章制度，因乙方过错造成任何人身、财产损失的，由乙方承担由此造成的一切责任。</w:t>
      </w:r>
    </w:p>
    <w:p>
      <w:pPr>
        <w:adjustRightInd w:val="0"/>
        <w:snapToGrid w:val="0"/>
        <w:spacing w:line="360" w:lineRule="auto"/>
        <w:ind w:firstLine="480" w:firstLineChars="200"/>
        <w:rPr>
          <w:rFonts w:hint="eastAsia" w:ascii="Times New Roman" w:hAnsi="Times New Roman"/>
          <w:color w:val="FF0000"/>
          <w:sz w:val="24"/>
          <w:szCs w:val="24"/>
        </w:rPr>
      </w:pPr>
      <w:r>
        <w:rPr>
          <w:rFonts w:hint="eastAsia" w:ascii="宋体" w:cs="宋体"/>
          <w:color w:val="000000"/>
          <w:kern w:val="0"/>
          <w:sz w:val="24"/>
        </w:rPr>
        <w:t>5.因乙方制定技术服务方案不完善而不能顺利完成本项目，造成服务项目增加，产生额外费用由乙方支付。</w:t>
      </w:r>
    </w:p>
    <w:p>
      <w:pPr>
        <w:adjustRightInd w:val="0"/>
        <w:snapToGrid w:val="0"/>
        <w:spacing w:line="360" w:lineRule="auto"/>
        <w:ind w:firstLine="482" w:firstLineChars="200"/>
        <w:rPr>
          <w:rFonts w:hint="eastAsia" w:ascii="Times New Roman" w:hAnsi="Times New Roman"/>
          <w:b/>
          <w:bCs/>
          <w:sz w:val="24"/>
          <w:szCs w:val="24"/>
        </w:rPr>
      </w:pPr>
      <w:r>
        <w:rPr>
          <w:rFonts w:hint="eastAsia" w:ascii="Times New Roman" w:hAnsi="Times New Roman"/>
          <w:b/>
          <w:bCs/>
          <w:sz w:val="24"/>
          <w:szCs w:val="24"/>
        </w:rPr>
        <w:t>第五条：保密责任</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甲乙双方在履行合同中知晓的一切保密信息，应予以严格保密，该保密责任人包括甲乙双方工作人员及参与到此项目中的第三方人员，甲乙双方对保密义务承担连带责任，如发生泄密事件，受害方有权直接请求合同另一方承担赔偿责任；保密期限为此等保密信息被公开之日。</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第六条：项目验收</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甲方对项目验收标准为：由乙方出具的安全条件和设施综合分析报告、安全专篇报告、安全验收报告通过专家评审，不符合验收标准的，乙方应无偿无条件的进行修改，直至验收合格。</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第七条：违约责任</w:t>
      </w:r>
    </w:p>
    <w:p>
      <w:pPr>
        <w:numPr>
          <w:ilvl w:val="0"/>
          <w:numId w:val="5"/>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因甲方过错未按照合同约定付款的，按照逾期未付款金额的3</w:t>
      </w:r>
      <w:r>
        <w:rPr>
          <w:rFonts w:ascii="Times New Roman" w:hAnsi="Times New Roman"/>
          <w:sz w:val="24"/>
          <w:szCs w:val="24"/>
        </w:rPr>
        <w:t>%</w:t>
      </w:r>
      <w:r>
        <w:rPr>
          <w:rFonts w:hint="eastAsia" w:ascii="Times New Roman" w:hAnsi="Times New Roman"/>
          <w:sz w:val="24"/>
          <w:szCs w:val="24"/>
        </w:rPr>
        <w:t>/日支付违约金。</w:t>
      </w:r>
    </w:p>
    <w:p>
      <w:pPr>
        <w:numPr>
          <w:ilvl w:val="0"/>
          <w:numId w:val="5"/>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因乙方原因未在约定时间完成阶段性工作或未按时提交报告送审的，按照合同总额的3</w:t>
      </w:r>
      <w:r>
        <w:rPr>
          <w:rFonts w:ascii="Times New Roman" w:hAnsi="Times New Roman"/>
          <w:sz w:val="24"/>
          <w:szCs w:val="24"/>
        </w:rPr>
        <w:t>%</w:t>
      </w:r>
      <w:r>
        <w:rPr>
          <w:rFonts w:hint="eastAsia" w:ascii="Times New Roman" w:hAnsi="Times New Roman"/>
          <w:sz w:val="24"/>
          <w:szCs w:val="24"/>
        </w:rPr>
        <w:t>/日支付违约金；乙方逾期超过【十五】日，甲方有权单方解除合同，此种情况下如乙方造成其他损失，解除合同不影响其赔偿甲方相关损失。</w:t>
      </w:r>
    </w:p>
    <w:p>
      <w:pPr>
        <w:numPr>
          <w:ilvl w:val="0"/>
          <w:numId w:val="5"/>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因甲方原因造成的合同延期，时间相应予以顺延；因乙方原因造成的逾期，不论何种情形均按照本条第2款执行。</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b/>
          <w:bCs/>
          <w:sz w:val="24"/>
          <w:szCs w:val="24"/>
        </w:rPr>
        <w:t>第八条：合同的解除</w:t>
      </w:r>
    </w:p>
    <w:p>
      <w:pPr>
        <w:numPr>
          <w:ilvl w:val="0"/>
          <w:numId w:val="6"/>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乙方未按照合同约定履行义务，经催告后【十五】日仍不履行并对甲方工作造成实质影响的，甲方有权单方解除合同，合同</w:t>
      </w:r>
      <w:r>
        <w:rPr>
          <w:rFonts w:ascii="Times New Roman" w:hAnsi="Times New Roman"/>
          <w:sz w:val="24"/>
          <w:szCs w:val="24"/>
        </w:rPr>
        <w:t>自解除通知到达乙方时即行解除，甲方对</w:t>
      </w:r>
      <w:r>
        <w:rPr>
          <w:rFonts w:hint="eastAsia" w:ascii="Times New Roman" w:hAnsi="Times New Roman"/>
          <w:sz w:val="24"/>
          <w:szCs w:val="24"/>
        </w:rPr>
        <w:t>已完成的服务费用不予支付，且有权要求乙方支付合同总额的20%作为违约金；如前述情形给甲方造成其他损失，解除合同不影响甲方要求赔偿相关损失。</w:t>
      </w:r>
    </w:p>
    <w:p>
      <w:pPr>
        <w:numPr>
          <w:ilvl w:val="0"/>
          <w:numId w:val="6"/>
        </w:numPr>
        <w:tabs>
          <w:tab w:val="clear" w:pos="312"/>
        </w:tabs>
        <w:adjustRightInd w:val="0"/>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甲方未按照合同约定支付相应进度款项，经乙方催告后在【十五】日内无正当理由仍不支付的，乙方有权单方解除合同，且有权要求甲方支付合同总额的20%作为违约金。</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第九条：不可抗力</w:t>
      </w:r>
    </w:p>
    <w:p>
      <w:pPr>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合同履行中，如发生法定的不可抗力事件，遭受方应在不可抗力事件发生十日内提交正是合规的书面报告，合同向对方据此可不追究违约等相关责任；不可抗力持续三十日以上的，任意一方可提出解除合同，双方另行商议。</w:t>
      </w:r>
    </w:p>
    <w:p>
      <w:pPr>
        <w:adjustRightInd w:val="0"/>
        <w:snapToGrid w:val="0"/>
        <w:spacing w:line="360" w:lineRule="auto"/>
        <w:ind w:firstLine="480"/>
        <w:rPr>
          <w:rFonts w:hint="eastAsia" w:ascii="Times New Roman" w:hAnsi="Times New Roman"/>
          <w:b/>
          <w:bCs/>
          <w:sz w:val="24"/>
          <w:szCs w:val="24"/>
        </w:rPr>
      </w:pPr>
      <w:r>
        <w:rPr>
          <w:rFonts w:hint="eastAsia" w:ascii="Times New Roman" w:hAnsi="Times New Roman"/>
          <w:b/>
          <w:bCs/>
          <w:sz w:val="24"/>
          <w:szCs w:val="24"/>
        </w:rPr>
        <w:t>第十条：其他约定</w:t>
      </w:r>
    </w:p>
    <w:p>
      <w:pPr>
        <w:numPr>
          <w:ilvl w:val="0"/>
          <w:numId w:val="7"/>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合同履行中如发生争议，任意一方可诉至合同签订地人民法院解决；诉讼费、律师费等相关费用由违约方承担。</w:t>
      </w:r>
    </w:p>
    <w:p>
      <w:pPr>
        <w:numPr>
          <w:ilvl w:val="0"/>
          <w:numId w:val="7"/>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合同未尽事宜或履行中内容变更，双方可签订补充协议约定。</w:t>
      </w:r>
    </w:p>
    <w:p>
      <w:pPr>
        <w:numPr>
          <w:ilvl w:val="0"/>
          <w:numId w:val="7"/>
        </w:numPr>
        <w:tabs>
          <w:tab w:val="clear" w:pos="312"/>
        </w:tabs>
        <w:adjustRightInd w:val="0"/>
        <w:snapToGrid w:val="0"/>
        <w:spacing w:line="360" w:lineRule="auto"/>
        <w:ind w:firstLine="480"/>
        <w:rPr>
          <w:rFonts w:hint="eastAsia" w:ascii="Times New Roman" w:hAnsi="Times New Roman"/>
          <w:sz w:val="24"/>
          <w:szCs w:val="24"/>
        </w:rPr>
      </w:pPr>
      <w:r>
        <w:rPr>
          <w:rFonts w:hint="eastAsia" w:ascii="Times New Roman" w:hAnsi="Times New Roman"/>
          <w:sz w:val="24"/>
          <w:szCs w:val="24"/>
        </w:rPr>
        <w:t>本合同自双方盖章后生效，一式【3】份，具有同等效力。</w:t>
      </w:r>
      <w:r>
        <w:rPr>
          <w:rFonts w:hint="eastAsia" w:ascii="宋体" w:hAnsi="宋体" w:eastAsia="宋体" w:cs="宋体"/>
          <w:bCs/>
          <w:sz w:val="21"/>
          <w:szCs w:val="21"/>
        </w:rPr>
        <w:t>传真或扫描件（能证明信息真实）有效。</w:t>
      </w:r>
    </w:p>
    <w:p>
      <w:pPr>
        <w:numPr>
          <w:ilvl w:val="0"/>
          <w:numId w:val="7"/>
        </w:numPr>
        <w:tabs>
          <w:tab w:val="clear" w:pos="312"/>
        </w:tabs>
        <w:adjustRightInd w:val="0"/>
        <w:snapToGrid w:val="0"/>
        <w:spacing w:line="360" w:lineRule="auto"/>
        <w:ind w:firstLine="480"/>
        <w:rPr>
          <w:rFonts w:hint="eastAsia" w:ascii="宋体" w:hAnsi="宋体" w:eastAsia="宋体" w:cs="宋体"/>
          <w:b/>
          <w:bCs/>
          <w:sz w:val="21"/>
          <w:szCs w:val="21"/>
        </w:rPr>
      </w:pPr>
      <w:r>
        <w:rPr>
          <w:rFonts w:hint="eastAsia" w:ascii="Times New Roman" w:hAnsi="Times New Roman"/>
          <w:sz w:val="24"/>
          <w:szCs w:val="24"/>
        </w:rPr>
        <w:t>与本合同有关的相关资料作为附件，与合同具有同等效力。</w:t>
      </w:r>
      <w:r>
        <w:rPr>
          <w:rFonts w:hint="eastAsia" w:ascii="宋体" w:hAnsi="宋体" w:eastAsia="宋体" w:cs="宋体"/>
          <w:sz w:val="21"/>
          <w:szCs w:val="21"/>
        </w:rPr>
        <w:t xml:space="preserve">    </w:t>
      </w:r>
    </w:p>
    <w:p>
      <w:pPr>
        <w:spacing w:line="360" w:lineRule="auto"/>
        <w:rPr>
          <w:rFonts w:hint="eastAsia" w:ascii="Times New Roman" w:hAnsi="Times New Roman"/>
          <w:sz w:val="24"/>
          <w:szCs w:val="24"/>
        </w:rPr>
      </w:pPr>
      <w:r>
        <w:rPr>
          <w:rFonts w:hint="eastAsia" w:ascii="宋体" w:hAnsi="宋体" w:eastAsia="宋体" w:cs="宋体"/>
          <w:b/>
          <w:bCs/>
          <w:sz w:val="21"/>
          <w:szCs w:val="21"/>
          <w:lang w:val="en-US" w:eastAsia="zh-CN"/>
        </w:rPr>
        <w:t>第</w:t>
      </w:r>
      <w:r>
        <w:rPr>
          <w:rFonts w:hint="eastAsia" w:ascii="Times New Roman" w:hAnsi="Times New Roman"/>
          <w:sz w:val="24"/>
          <w:szCs w:val="24"/>
          <w:lang w:val="en-US" w:eastAsia="zh-CN"/>
        </w:rPr>
        <w:t>十一条</w:t>
      </w:r>
      <w:r>
        <w:rPr>
          <w:rFonts w:hint="eastAsia" w:ascii="Times New Roman" w:hAnsi="Times New Roman"/>
          <w:sz w:val="24"/>
          <w:szCs w:val="24"/>
        </w:rPr>
        <w:t>、廉洁条款：</w:t>
      </w:r>
      <w:r>
        <w:rPr>
          <w:rFonts w:hint="eastAsia" w:ascii="Times New Roman" w:hAnsi="Times New Roman"/>
          <w:sz w:val="24"/>
          <w:szCs w:val="24"/>
          <w:lang w:eastAsia="zh-CN"/>
        </w:rPr>
        <w:t>甲乙</w:t>
      </w:r>
      <w:r>
        <w:rPr>
          <w:rFonts w:hint="eastAsia" w:ascii="Times New Roman" w:hAnsi="Times New Roman"/>
          <w:sz w:val="24"/>
          <w:szCs w:val="24"/>
        </w:rPr>
        <w:t>双方及其员工不得向对方及其员工实施商业贿赂行为，包括但不限于给予回扣、礼品、馈赠、娱乐、招待等行为；</w:t>
      </w:r>
      <w:r>
        <w:rPr>
          <w:rFonts w:hint="eastAsia" w:ascii="Times New Roman" w:hAnsi="Times New Roman"/>
          <w:sz w:val="24"/>
          <w:szCs w:val="24"/>
          <w:lang w:eastAsia="zh-CN"/>
        </w:rPr>
        <w:t>甲乙</w:t>
      </w:r>
      <w:r>
        <w:rPr>
          <w:rFonts w:hint="eastAsia" w:ascii="Times New Roman" w:hAnsi="Times New Roman"/>
          <w:sz w:val="24"/>
          <w:szCs w:val="24"/>
        </w:rPr>
        <w:t>双方及其员工不得向对方及其员工索要财物；</w:t>
      </w:r>
      <w:r>
        <w:rPr>
          <w:rFonts w:hint="eastAsia" w:ascii="Times New Roman" w:hAnsi="Times New Roman"/>
          <w:sz w:val="24"/>
          <w:szCs w:val="24"/>
          <w:lang w:eastAsia="zh-CN"/>
        </w:rPr>
        <w:t>甲方</w:t>
      </w:r>
      <w:r>
        <w:rPr>
          <w:rFonts w:hint="eastAsia" w:ascii="Times New Roman" w:hAnsi="Times New Roman"/>
          <w:sz w:val="24"/>
          <w:szCs w:val="24"/>
        </w:rPr>
        <w:t>发现</w:t>
      </w:r>
      <w:r>
        <w:rPr>
          <w:rFonts w:hint="eastAsia" w:ascii="Times New Roman" w:hAnsi="Times New Roman"/>
          <w:sz w:val="24"/>
          <w:szCs w:val="24"/>
          <w:lang w:eastAsia="zh-CN"/>
        </w:rPr>
        <w:t>乙方</w:t>
      </w:r>
      <w:r>
        <w:rPr>
          <w:rFonts w:hint="eastAsia" w:ascii="Times New Roman" w:hAnsi="Times New Roman"/>
          <w:sz w:val="24"/>
          <w:szCs w:val="24"/>
        </w:rPr>
        <w:t>或</w:t>
      </w:r>
      <w:r>
        <w:rPr>
          <w:rFonts w:hint="eastAsia" w:ascii="Times New Roman" w:hAnsi="Times New Roman"/>
          <w:sz w:val="24"/>
          <w:szCs w:val="24"/>
          <w:lang w:eastAsia="zh-CN"/>
        </w:rPr>
        <w:t>乙方</w:t>
      </w:r>
      <w:r>
        <w:rPr>
          <w:rFonts w:hint="eastAsia" w:ascii="Times New Roman" w:hAnsi="Times New Roman"/>
          <w:sz w:val="24"/>
          <w:szCs w:val="24"/>
        </w:rPr>
        <w:t>员工向</w:t>
      </w:r>
      <w:r>
        <w:rPr>
          <w:rFonts w:hint="eastAsia" w:ascii="Times New Roman" w:hAnsi="Times New Roman"/>
          <w:sz w:val="24"/>
          <w:szCs w:val="24"/>
          <w:lang w:eastAsia="zh-CN"/>
        </w:rPr>
        <w:t>甲方</w:t>
      </w:r>
      <w:r>
        <w:rPr>
          <w:rFonts w:hint="eastAsia" w:ascii="Times New Roman" w:hAnsi="Times New Roman"/>
          <w:sz w:val="24"/>
          <w:szCs w:val="24"/>
        </w:rPr>
        <w:t>或</w:t>
      </w:r>
      <w:r>
        <w:rPr>
          <w:rFonts w:hint="eastAsia" w:ascii="Times New Roman" w:hAnsi="Times New Roman"/>
          <w:sz w:val="24"/>
          <w:szCs w:val="24"/>
          <w:lang w:eastAsia="zh-CN"/>
        </w:rPr>
        <w:t>甲方</w:t>
      </w:r>
      <w:r>
        <w:rPr>
          <w:rFonts w:hint="eastAsia" w:ascii="Times New Roman" w:hAnsi="Times New Roman"/>
          <w:sz w:val="24"/>
          <w:szCs w:val="24"/>
        </w:rPr>
        <w:t>员工实施前两款行为的，</w:t>
      </w:r>
      <w:r>
        <w:rPr>
          <w:rFonts w:hint="eastAsia" w:ascii="Times New Roman" w:hAnsi="Times New Roman"/>
          <w:sz w:val="24"/>
          <w:szCs w:val="24"/>
          <w:lang w:eastAsia="zh-CN"/>
        </w:rPr>
        <w:t>甲方</w:t>
      </w:r>
      <w:r>
        <w:rPr>
          <w:rFonts w:hint="eastAsia" w:ascii="Times New Roman" w:hAnsi="Times New Roman"/>
          <w:sz w:val="24"/>
          <w:szCs w:val="24"/>
        </w:rPr>
        <w:t>有权单方解除本合同，同时</w:t>
      </w:r>
      <w:r>
        <w:rPr>
          <w:rFonts w:hint="eastAsia" w:ascii="Times New Roman" w:hAnsi="Times New Roman"/>
          <w:sz w:val="24"/>
          <w:szCs w:val="24"/>
          <w:lang w:eastAsia="zh-CN"/>
        </w:rPr>
        <w:t>乙方</w:t>
      </w:r>
      <w:r>
        <w:rPr>
          <w:rFonts w:hint="eastAsia" w:ascii="Times New Roman" w:hAnsi="Times New Roman"/>
          <w:sz w:val="24"/>
          <w:szCs w:val="24"/>
        </w:rPr>
        <w:t>应向</w:t>
      </w:r>
      <w:r>
        <w:rPr>
          <w:rFonts w:hint="eastAsia" w:ascii="Times New Roman" w:hAnsi="Times New Roman"/>
          <w:sz w:val="24"/>
          <w:szCs w:val="24"/>
          <w:lang w:eastAsia="zh-CN"/>
        </w:rPr>
        <w:t>甲方</w:t>
      </w:r>
      <w:r>
        <w:rPr>
          <w:rFonts w:hint="eastAsia" w:ascii="Times New Roman" w:hAnsi="Times New Roman"/>
          <w:sz w:val="24"/>
          <w:szCs w:val="24"/>
        </w:rPr>
        <w:t>支付合同总金额10%的违约金；</w:t>
      </w:r>
      <w:r>
        <w:rPr>
          <w:rFonts w:hint="eastAsia" w:ascii="Times New Roman" w:hAnsi="Times New Roman"/>
          <w:sz w:val="24"/>
          <w:szCs w:val="24"/>
          <w:lang w:eastAsia="zh-CN"/>
        </w:rPr>
        <w:t>乙方</w:t>
      </w:r>
      <w:r>
        <w:rPr>
          <w:rFonts w:hint="eastAsia" w:ascii="Times New Roman" w:hAnsi="Times New Roman"/>
          <w:sz w:val="24"/>
          <w:szCs w:val="24"/>
        </w:rPr>
        <w:t>发现</w:t>
      </w:r>
      <w:r>
        <w:rPr>
          <w:rFonts w:hint="eastAsia" w:ascii="Times New Roman" w:hAnsi="Times New Roman"/>
          <w:sz w:val="24"/>
          <w:szCs w:val="24"/>
          <w:lang w:eastAsia="zh-CN"/>
        </w:rPr>
        <w:t>甲方</w:t>
      </w:r>
      <w:r>
        <w:rPr>
          <w:rFonts w:hint="eastAsia" w:ascii="Times New Roman" w:hAnsi="Times New Roman"/>
          <w:sz w:val="24"/>
          <w:szCs w:val="24"/>
        </w:rPr>
        <w:t>或</w:t>
      </w:r>
      <w:r>
        <w:rPr>
          <w:rFonts w:hint="eastAsia" w:ascii="Times New Roman" w:hAnsi="Times New Roman"/>
          <w:sz w:val="24"/>
          <w:szCs w:val="24"/>
          <w:lang w:eastAsia="zh-CN"/>
        </w:rPr>
        <w:t>甲方</w:t>
      </w:r>
      <w:r>
        <w:rPr>
          <w:rFonts w:hint="eastAsia" w:ascii="Times New Roman" w:hAnsi="Times New Roman"/>
          <w:sz w:val="24"/>
          <w:szCs w:val="24"/>
        </w:rPr>
        <w:t>员工向</w:t>
      </w:r>
      <w:r>
        <w:rPr>
          <w:rFonts w:hint="eastAsia" w:ascii="Times New Roman" w:hAnsi="Times New Roman"/>
          <w:sz w:val="24"/>
          <w:szCs w:val="24"/>
          <w:lang w:eastAsia="zh-CN"/>
        </w:rPr>
        <w:t>乙方</w:t>
      </w:r>
      <w:r>
        <w:rPr>
          <w:rFonts w:hint="eastAsia" w:ascii="Times New Roman" w:hAnsi="Times New Roman"/>
          <w:sz w:val="24"/>
          <w:szCs w:val="24"/>
        </w:rPr>
        <w:t>或</w:t>
      </w:r>
      <w:r>
        <w:rPr>
          <w:rFonts w:hint="eastAsia" w:ascii="Times New Roman" w:hAnsi="Times New Roman"/>
          <w:sz w:val="24"/>
          <w:szCs w:val="24"/>
          <w:lang w:eastAsia="zh-CN"/>
        </w:rPr>
        <w:t>乙方</w:t>
      </w:r>
      <w:r>
        <w:rPr>
          <w:rFonts w:hint="eastAsia" w:ascii="Times New Roman" w:hAnsi="Times New Roman"/>
          <w:sz w:val="24"/>
          <w:szCs w:val="24"/>
        </w:rPr>
        <w:t>员工实施前两款行为的，应通过邮箱：thjjb@cofco.com；电话：010-85017235向</w:t>
      </w:r>
      <w:r>
        <w:rPr>
          <w:rFonts w:hint="eastAsia" w:ascii="Times New Roman" w:hAnsi="Times New Roman"/>
          <w:sz w:val="24"/>
          <w:szCs w:val="24"/>
          <w:lang w:eastAsia="zh-CN"/>
        </w:rPr>
        <w:t>甲方</w:t>
      </w:r>
      <w:r>
        <w:rPr>
          <w:rFonts w:hint="eastAsia" w:ascii="Times New Roman" w:hAnsi="Times New Roman"/>
          <w:sz w:val="24"/>
          <w:szCs w:val="24"/>
        </w:rPr>
        <w:t>予以举报，如</w:t>
      </w:r>
      <w:r>
        <w:rPr>
          <w:rFonts w:hint="eastAsia" w:ascii="Times New Roman" w:hAnsi="Times New Roman"/>
          <w:sz w:val="24"/>
          <w:szCs w:val="24"/>
          <w:lang w:eastAsia="zh-CN"/>
        </w:rPr>
        <w:t>乙方</w:t>
      </w:r>
      <w:r>
        <w:rPr>
          <w:rFonts w:hint="eastAsia" w:ascii="Times New Roman" w:hAnsi="Times New Roman"/>
          <w:sz w:val="24"/>
          <w:szCs w:val="24"/>
        </w:rPr>
        <w:t>不予举报的，</w:t>
      </w:r>
      <w:r>
        <w:rPr>
          <w:rFonts w:hint="eastAsia" w:ascii="Times New Roman" w:hAnsi="Times New Roman"/>
          <w:sz w:val="24"/>
          <w:szCs w:val="24"/>
          <w:lang w:eastAsia="zh-CN"/>
        </w:rPr>
        <w:t>甲方</w:t>
      </w:r>
      <w:r>
        <w:rPr>
          <w:rFonts w:hint="eastAsia" w:ascii="Times New Roman" w:hAnsi="Times New Roman"/>
          <w:sz w:val="24"/>
          <w:szCs w:val="24"/>
        </w:rPr>
        <w:t>发现后有权单方解除本合同。</w:t>
      </w:r>
    </w:p>
    <w:tbl>
      <w:tblPr>
        <w:tblStyle w:val="7"/>
        <w:tblW w:w="10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45"/>
        <w:gridCol w:w="428"/>
        <w:gridCol w:w="571"/>
        <w:gridCol w:w="234"/>
        <w:gridCol w:w="1343"/>
        <w:gridCol w:w="340"/>
        <w:gridCol w:w="1233"/>
        <w:gridCol w:w="1345"/>
        <w:gridCol w:w="337"/>
        <w:gridCol w:w="672"/>
        <w:gridCol w:w="260"/>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5157"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乙方</w:t>
            </w:r>
          </w:p>
        </w:tc>
        <w:tc>
          <w:tcPr>
            <w:tcW w:w="340" w:type="dxa"/>
            <w:vMerge w:val="restart"/>
            <w:tcBorders>
              <w:top w:val="nil"/>
              <w:left w:val="nil"/>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u w:val="single"/>
              </w:rPr>
            </w:pPr>
          </w:p>
        </w:tc>
        <w:tc>
          <w:tcPr>
            <w:tcW w:w="5102" w:type="dxa"/>
            <w:gridSpan w:val="6"/>
            <w:tcBorders>
              <w:top w:val="single" w:color="auto" w:sz="4" w:space="0"/>
              <w:left w:val="nil"/>
              <w:bottom w:val="nil"/>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921" w:type="dxa"/>
            <w:gridSpan w:val="5"/>
            <w:tcBorders>
              <w:top w:val="single" w:color="auto" w:sz="4" w:space="0"/>
              <w:left w:val="nil"/>
              <w:bottom w:val="single" w:color="auto" w:sz="4" w:space="0"/>
              <w:right w:val="single" w:color="auto" w:sz="4" w:space="0"/>
            </w:tcBorders>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869" w:type="dxa"/>
            <w:gridSpan w:val="5"/>
            <w:tcBorders>
              <w:top w:val="single" w:color="auto" w:sz="4" w:space="0"/>
              <w:left w:val="nil"/>
              <w:bottom w:val="nil"/>
              <w:right w:val="single" w:color="auto" w:sz="4" w:space="0"/>
            </w:tcBorders>
          </w:tcPr>
          <w:p>
            <w:pPr>
              <w:widowControl/>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中粮糖业辽宁有限公司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1773"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571"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邮编</w:t>
            </w:r>
          </w:p>
        </w:tc>
        <w:tc>
          <w:tcPr>
            <w:tcW w:w="1577"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1682"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辽宁营口仙人岛经济开发区</w:t>
            </w:r>
          </w:p>
        </w:tc>
        <w:tc>
          <w:tcPr>
            <w:tcW w:w="672"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邮编</w:t>
            </w:r>
          </w:p>
        </w:tc>
        <w:tc>
          <w:tcPr>
            <w:tcW w:w="1515" w:type="dxa"/>
            <w:gridSpan w:val="2"/>
            <w:tcBorders>
              <w:top w:val="single" w:color="auto" w:sz="4" w:space="0"/>
              <w:left w:val="nil"/>
              <w:bottom w:val="single" w:color="auto" w:sz="4" w:space="0"/>
              <w:right w:val="single" w:color="auto" w:sz="4" w:space="0"/>
            </w:tcBorders>
            <w:vAlign w:val="center"/>
          </w:tcPr>
          <w:p>
            <w:pPr>
              <w:spacing w:line="340" w:lineRule="exact"/>
              <w:ind w:left="-57" w:right="-57"/>
              <w:rPr>
                <w:rFonts w:hint="eastAsia" w:ascii="宋体" w:hAnsi="宋体" w:eastAsia="宋体" w:cs="宋体"/>
                <w:sz w:val="21"/>
                <w:szCs w:val="21"/>
              </w:rPr>
            </w:pPr>
            <w:r>
              <w:rPr>
                <w:rFonts w:hint="eastAsia" w:ascii="宋体" w:hAnsi="宋体" w:eastAsia="宋体" w:cs="宋体"/>
                <w:sz w:val="21"/>
                <w:szCs w:val="21"/>
              </w:rPr>
              <w:t>115009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电话</w:t>
            </w:r>
          </w:p>
        </w:tc>
        <w:tc>
          <w:tcPr>
            <w:tcW w:w="1773"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571" w:type="dxa"/>
            <w:tcBorders>
              <w:top w:val="single" w:color="auto" w:sz="4" w:space="0"/>
              <w:left w:val="nil"/>
              <w:bottom w:val="nil"/>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传真</w:t>
            </w:r>
          </w:p>
        </w:tc>
        <w:tc>
          <w:tcPr>
            <w:tcW w:w="1577"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电   话</w:t>
            </w:r>
          </w:p>
        </w:tc>
        <w:tc>
          <w:tcPr>
            <w:tcW w:w="1682" w:type="dxa"/>
            <w:gridSpan w:val="2"/>
            <w:tcBorders>
              <w:top w:val="single" w:color="auto" w:sz="4" w:space="0"/>
              <w:left w:val="nil"/>
              <w:bottom w:val="single" w:color="auto" w:sz="4" w:space="0"/>
              <w:right w:val="single" w:color="auto" w:sz="4" w:space="0"/>
            </w:tcBorders>
            <w:vAlign w:val="center"/>
          </w:tcPr>
          <w:p>
            <w:pPr>
              <w:spacing w:line="340" w:lineRule="exact"/>
              <w:ind w:right="-57"/>
              <w:rPr>
                <w:rFonts w:hint="default" w:ascii="宋体" w:hAnsi="宋体" w:eastAsia="宋体" w:cs="宋体"/>
                <w:sz w:val="21"/>
                <w:szCs w:val="21"/>
                <w:lang w:val="en-US" w:eastAsia="zh-CN"/>
              </w:rPr>
            </w:pPr>
            <w:r>
              <w:rPr>
                <w:rFonts w:hint="eastAsia" w:ascii="宋体" w:hAnsi="宋体" w:eastAsia="宋体" w:cs="宋体"/>
                <w:sz w:val="21"/>
                <w:szCs w:val="21"/>
              </w:rPr>
              <w:t>0417－65730</w:t>
            </w:r>
            <w:r>
              <w:rPr>
                <w:rFonts w:hint="eastAsia" w:ascii="宋体" w:hAnsi="宋体" w:eastAsia="宋体" w:cs="宋体"/>
                <w:sz w:val="21"/>
                <w:szCs w:val="21"/>
                <w:lang w:val="en-US" w:eastAsia="zh-CN"/>
              </w:rPr>
              <w:t>15</w:t>
            </w:r>
          </w:p>
        </w:tc>
        <w:tc>
          <w:tcPr>
            <w:tcW w:w="672"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传真</w:t>
            </w:r>
          </w:p>
        </w:tc>
        <w:tc>
          <w:tcPr>
            <w:tcW w:w="1515" w:type="dxa"/>
            <w:gridSpan w:val="2"/>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0417-65730</w:t>
            </w:r>
            <w:r>
              <w:rPr>
                <w:rFonts w:hint="eastAsia" w:ascii="宋体" w:hAnsi="宋体" w:eastAsia="宋体" w:cs="宋体"/>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3869"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中国工商银行营口经济技术开发区支行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帐    号</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帐    号</w:t>
            </w:r>
          </w:p>
        </w:tc>
        <w:tc>
          <w:tcPr>
            <w:tcW w:w="3869"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0709001819223086193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税    号</w:t>
            </w:r>
          </w:p>
        </w:tc>
        <w:tc>
          <w:tcPr>
            <w:tcW w:w="3921" w:type="dxa"/>
            <w:gridSpan w:val="5"/>
            <w:tcBorders>
              <w:top w:val="single" w:color="auto" w:sz="4" w:space="0"/>
              <w:left w:val="nil"/>
              <w:bottom w:val="single" w:color="auto" w:sz="4" w:space="0"/>
              <w:right w:val="single" w:color="auto" w:sz="4" w:space="0"/>
            </w:tcBorders>
            <w:vAlign w:val="center"/>
          </w:tcPr>
          <w:p>
            <w:pPr>
              <w:spacing w:line="340" w:lineRule="exact"/>
              <w:ind w:left="-57" w:right="-57"/>
              <w:jc w:val="left"/>
              <w:rPr>
                <w:rFonts w:hint="eastAsia" w:ascii="宋体" w:hAnsi="宋体" w:eastAsia="宋体" w:cs="宋体"/>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税    号</w:t>
            </w:r>
          </w:p>
        </w:tc>
        <w:tc>
          <w:tcPr>
            <w:tcW w:w="3869" w:type="dxa"/>
            <w:gridSpan w:val="5"/>
            <w:tcBorders>
              <w:top w:val="single" w:color="auto" w:sz="4" w:space="0"/>
              <w:left w:val="nil"/>
              <w:bottom w:val="nil"/>
              <w:right w:val="single" w:color="auto" w:sz="4" w:space="0"/>
            </w:tcBorders>
            <w:vAlign w:val="center"/>
          </w:tcPr>
          <w:p>
            <w:pPr>
              <w:spacing w:line="340" w:lineRule="exact"/>
              <w:ind w:left="-57" w:right="-57"/>
              <w:jc w:val="left"/>
              <w:rPr>
                <w:rFonts w:hint="eastAsia" w:ascii="宋体" w:hAnsi="宋体" w:eastAsia="宋体" w:cs="宋体"/>
                <w:sz w:val="21"/>
                <w:szCs w:val="21"/>
              </w:rPr>
            </w:pPr>
            <w:r>
              <w:rPr>
                <w:rFonts w:hint="eastAsia" w:ascii="宋体" w:hAnsi="宋体" w:eastAsia="宋体" w:cs="宋体"/>
                <w:sz w:val="21"/>
                <w:szCs w:val="21"/>
              </w:rPr>
              <w:t>91210881558152425D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法    定</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表 人</w:t>
            </w:r>
          </w:p>
        </w:tc>
        <w:tc>
          <w:tcPr>
            <w:tcW w:w="134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1233" w:type="dxa"/>
            <w:gridSpan w:val="3"/>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委    托</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理 人</w:t>
            </w:r>
          </w:p>
        </w:tc>
        <w:tc>
          <w:tcPr>
            <w:tcW w:w="134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color w:val="000000"/>
                <w:sz w:val="21"/>
                <w:szCs w:val="21"/>
              </w:rPr>
            </w:pPr>
          </w:p>
        </w:tc>
        <w:tc>
          <w:tcPr>
            <w:tcW w:w="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u w:val="single"/>
              </w:rPr>
            </w:pPr>
          </w:p>
        </w:tc>
        <w:tc>
          <w:tcPr>
            <w:tcW w:w="1233"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法    定</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表 人</w:t>
            </w:r>
          </w:p>
        </w:tc>
        <w:tc>
          <w:tcPr>
            <w:tcW w:w="134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c>
          <w:tcPr>
            <w:tcW w:w="1269" w:type="dxa"/>
            <w:gridSpan w:val="3"/>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委    托</w:t>
            </w:r>
          </w:p>
          <w:p>
            <w:pPr>
              <w:spacing w:line="340" w:lineRule="exact"/>
              <w:ind w:left="-57" w:right="-57"/>
              <w:jc w:val="center"/>
              <w:rPr>
                <w:rFonts w:hint="eastAsia" w:ascii="宋体" w:hAnsi="宋体" w:eastAsia="宋体" w:cs="宋体"/>
                <w:sz w:val="21"/>
                <w:szCs w:val="21"/>
              </w:rPr>
            </w:pPr>
            <w:r>
              <w:rPr>
                <w:rFonts w:hint="eastAsia" w:ascii="宋体" w:hAnsi="宋体" w:eastAsia="宋体" w:cs="宋体"/>
                <w:sz w:val="21"/>
                <w:szCs w:val="21"/>
              </w:rPr>
              <w:t>代 理 人</w:t>
            </w:r>
          </w:p>
        </w:tc>
        <w:tc>
          <w:tcPr>
            <w:tcW w:w="1255" w:type="dxa"/>
            <w:tcBorders>
              <w:top w:val="single" w:color="auto" w:sz="4" w:space="0"/>
              <w:left w:val="nil"/>
              <w:bottom w:val="single" w:color="auto" w:sz="4" w:space="0"/>
              <w:right w:val="single" w:color="auto" w:sz="4" w:space="0"/>
            </w:tcBorders>
            <w:vAlign w:val="center"/>
          </w:tcPr>
          <w:p>
            <w:pPr>
              <w:spacing w:line="340" w:lineRule="exact"/>
              <w:ind w:left="-57" w:right="-57"/>
              <w:jc w:val="cente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spacing w:line="360" w:lineRule="auto"/>
        <w:rPr>
          <w:rFonts w:hint="eastAsia" w:ascii="宋体" w:hAnsi="宋体" w:eastAsia="宋体" w:cs="宋体"/>
          <w:sz w:val="21"/>
          <w:szCs w:val="21"/>
        </w:rPr>
      </w:pPr>
      <w:bookmarkStart w:id="0" w:name="_GoBack"/>
      <w:bookmarkEnd w:id="0"/>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第三部分 中粮糖业采购监督联系方式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一、中粮糖业纪检监督联系方式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地址：北京市朝阳区朝阳门南大街8号9层904室监察部/ 新疆乌鲁木齐市黄河路2号招商大厦20楼监察部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电话：010-85017235</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二、采购项目监督人员联系方式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姓名：于鑫淼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联系电话：0417-6562810</w:t>
      </w:r>
    </w:p>
    <w:p>
      <w:pPr>
        <w:spacing w:before="34" w:line="254" w:lineRule="auto"/>
        <w:ind w:left="1279" w:right="5573"/>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jc w:val="center"/>
        <w:rPr>
          <w:rFonts w:hint="eastAsia" w:ascii="宋体" w:hAnsi="宋体" w:eastAsia="宋体" w:cs="宋体"/>
          <w:sz w:val="21"/>
          <w:szCs w:val="21"/>
        </w:rPr>
      </w:pPr>
    </w:p>
    <w:p>
      <w:pPr>
        <w:spacing w:line="360" w:lineRule="auto"/>
        <w:rPr>
          <w:rFonts w:hint="eastAsia" w:ascii="宋体" w:hAnsi="宋体" w:eastAsia="宋体" w:cs="宋体"/>
          <w:b/>
          <w:bCs/>
          <w:color w:val="000000" w:themeColor="text1"/>
          <w:sz w:val="21"/>
          <w:szCs w:val="21"/>
          <w14:textFill>
            <w14:solidFill>
              <w14:schemeClr w14:val="tx1"/>
            </w14:solidFill>
          </w14:textFill>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第四部分 采购投标文件</w:t>
      </w: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一、授权委托书</w:t>
      </w:r>
    </w:p>
    <w:p>
      <w:pPr>
        <w:jc w:val="center"/>
        <w:rPr>
          <w:rFonts w:hint="eastAsia" w:ascii="宋体" w:hAnsi="宋体" w:eastAsia="宋体" w:cs="宋体"/>
          <w:b/>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住所：</w:t>
      </w:r>
    </w:p>
    <w:p>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代理人：</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日出生，身份证号码：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单位职工，现住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授权事项：</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1、委托人委托代理人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代表委托人参加</w:t>
      </w:r>
      <w:r>
        <w:rPr>
          <w:rFonts w:hint="eastAsia" w:ascii="宋体" w:hAnsi="宋体" w:eastAsia="宋体" w:cs="宋体"/>
          <w:b/>
          <w:sz w:val="21"/>
          <w:szCs w:val="21"/>
        </w:rPr>
        <w:t>中粮糖业辽宁有限公司</w:t>
      </w:r>
      <w:r>
        <w:rPr>
          <w:rFonts w:hint="eastAsia" w:ascii="宋体" w:hAnsi="宋体" w:eastAsia="宋体" w:cs="宋体"/>
          <w:sz w:val="21"/>
          <w:szCs w:val="21"/>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2、如果委托人中标，代理人以委托人的名义与</w:t>
      </w:r>
      <w:r>
        <w:rPr>
          <w:rFonts w:hint="eastAsia" w:ascii="宋体" w:hAnsi="宋体" w:eastAsia="宋体" w:cs="宋体"/>
          <w:b/>
          <w:sz w:val="21"/>
          <w:szCs w:val="21"/>
        </w:rPr>
        <w:t>中粮糖业辽宁有限公司</w:t>
      </w:r>
      <w:r>
        <w:rPr>
          <w:rFonts w:hint="eastAsia" w:ascii="宋体" w:hAnsi="宋体" w:eastAsia="宋体" w:cs="宋体"/>
          <w:sz w:val="21"/>
          <w:szCs w:val="21"/>
        </w:rPr>
        <w:t>签订合同，并办理合同履行过程中的一切相关事宜。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本公司对代理人的上述代理行为均予以认可并承担责任。</w:t>
      </w:r>
    </w:p>
    <w:p>
      <w:pPr>
        <w:spacing w:line="440" w:lineRule="exact"/>
        <w:ind w:right="560"/>
        <w:rPr>
          <w:rFonts w:hint="eastAsia" w:ascii="宋体" w:hAnsi="宋体" w:eastAsia="宋体" w:cs="宋体"/>
          <w:sz w:val="21"/>
          <w:szCs w:val="21"/>
        </w:rPr>
      </w:pPr>
      <w:r>
        <w:rPr>
          <w:rFonts w:hint="eastAsia" w:ascii="宋体" w:hAnsi="宋体" w:eastAsia="宋体" w:cs="宋体"/>
          <w:sz w:val="21"/>
          <w:szCs w:val="21"/>
        </w:rPr>
        <w:t>授权期限：本授权委托书自授权之日起生效。</w:t>
      </w:r>
    </w:p>
    <w:p>
      <w:pPr>
        <w:spacing w:line="440" w:lineRule="exact"/>
        <w:ind w:right="560"/>
        <w:jc w:val="right"/>
        <w:rPr>
          <w:rFonts w:hint="eastAsia" w:ascii="宋体" w:hAnsi="宋体" w:eastAsia="宋体" w:cs="宋体"/>
          <w:sz w:val="21"/>
          <w:szCs w:val="21"/>
        </w:rPr>
      </w:pPr>
    </w:p>
    <w:p>
      <w:pPr>
        <w:spacing w:line="440" w:lineRule="exact"/>
        <w:ind w:right="560"/>
        <w:jc w:val="center"/>
        <w:rPr>
          <w:rFonts w:hint="eastAsia" w:ascii="宋体" w:hAnsi="宋体" w:eastAsia="宋体" w:cs="宋体"/>
          <w:sz w:val="21"/>
          <w:szCs w:val="21"/>
        </w:rPr>
      </w:pPr>
      <w:r>
        <w:rPr>
          <w:rFonts w:hint="eastAsia" w:ascii="宋体" w:hAnsi="宋体" w:eastAsia="宋体" w:cs="宋体"/>
          <w:sz w:val="21"/>
          <w:szCs w:val="21"/>
        </w:rPr>
        <w:t>代理人身份证（正、反面）粘贴处：</w:t>
      </w:r>
    </w:p>
    <w:p>
      <w:pPr>
        <w:spacing w:line="440" w:lineRule="exact"/>
        <w:ind w:right="480" w:firstLine="3360" w:firstLineChars="1600"/>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ind w:right="1440"/>
        <w:jc w:val="center"/>
        <w:rPr>
          <w:rFonts w:hint="eastAsia" w:ascii="宋体" w:hAnsi="宋体" w:eastAsia="宋体" w:cs="宋体"/>
          <w:sz w:val="21"/>
          <w:szCs w:val="21"/>
        </w:rPr>
      </w:pPr>
      <w:r>
        <w:rPr>
          <w:rFonts w:hint="eastAsia" w:ascii="宋体" w:hAnsi="宋体" w:eastAsia="宋体" w:cs="宋体"/>
          <w:sz w:val="21"/>
          <w:szCs w:val="21"/>
        </w:rPr>
        <w:t xml:space="preserve">                  法定代表人（或负责人）：</w:t>
      </w:r>
    </w:p>
    <w:p>
      <w:pPr>
        <w:spacing w:line="440" w:lineRule="exact"/>
        <w:ind w:right="986"/>
        <w:jc w:val="center"/>
        <w:rPr>
          <w:rFonts w:hint="eastAsia" w:ascii="宋体" w:hAnsi="宋体" w:eastAsia="宋体" w:cs="宋体"/>
          <w:sz w:val="21"/>
          <w:szCs w:val="21"/>
        </w:rPr>
      </w:pPr>
      <w:r>
        <w:rPr>
          <w:rFonts w:hint="eastAsia" w:ascii="宋体" w:hAnsi="宋体" w:eastAsia="宋体" w:cs="宋体"/>
          <w:sz w:val="21"/>
          <w:szCs w:val="21"/>
        </w:rPr>
        <w:t xml:space="preserve">                               委托授权时间：       年      月        日</w:t>
      </w:r>
    </w:p>
    <w:p>
      <w:pPr>
        <w:spacing w:line="440" w:lineRule="exact"/>
        <w:ind w:right="986"/>
        <w:jc w:val="center"/>
        <w:rPr>
          <w:rFonts w:hint="eastAsia" w:ascii="宋体" w:hAnsi="宋体" w:eastAsia="宋体" w:cs="宋体"/>
          <w:sz w:val="21"/>
          <w:szCs w:val="21"/>
        </w:rPr>
      </w:pPr>
    </w:p>
    <w:p>
      <w:pPr>
        <w:spacing w:line="440" w:lineRule="exact"/>
        <w:ind w:right="986"/>
        <w:jc w:val="center"/>
        <w:rPr>
          <w:rFonts w:hint="eastAsia" w:ascii="宋体" w:hAnsi="宋体" w:eastAsia="宋体" w:cs="宋体"/>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二、质量承诺书</w:t>
      </w:r>
    </w:p>
    <w:p>
      <w:pPr>
        <w:rPr>
          <w:rFonts w:hint="eastAsia" w:ascii="宋体" w:hAnsi="宋体" w:eastAsia="宋体" w:cs="宋体"/>
          <w:sz w:val="21"/>
          <w:szCs w:val="21"/>
        </w:rPr>
      </w:pP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为积极配合贵公司进行的中粮糖业辽宁有限公司</w:t>
      </w:r>
      <w:r>
        <w:rPr>
          <w:rFonts w:hint="eastAsia" w:cs="宋体"/>
          <w:sz w:val="21"/>
          <w:szCs w:val="21"/>
          <w:highlight w:val="none"/>
          <w:lang w:val="en-US" w:eastAsia="zh-CN" w:bidi="ar-SA"/>
        </w:rPr>
        <w:t>规划用电项目</w:t>
      </w:r>
      <w:r>
        <w:rPr>
          <w:rFonts w:hint="eastAsia" w:ascii="宋体" w:hAnsi="宋体" w:eastAsia="宋体" w:cs="宋体"/>
          <w:sz w:val="21"/>
          <w:szCs w:val="21"/>
          <w:highlight w:val="none"/>
          <w:lang w:val="en-US" w:eastAsia="zh-CN" w:bidi="ar-SA"/>
        </w:rPr>
        <w:t>安全评价“三同时”报告编制服务</w:t>
      </w:r>
      <w:r>
        <w:rPr>
          <w:rFonts w:hint="eastAsia" w:ascii="宋体" w:hAnsi="宋体" w:eastAsia="宋体" w:cs="宋体"/>
          <w:sz w:val="21"/>
          <w:szCs w:val="21"/>
          <w:highlight w:val="none"/>
          <w:lang w:val="en-US" w:bidi="ar-SA"/>
        </w:rPr>
        <w:t>项目</w:t>
      </w:r>
      <w:r>
        <w:rPr>
          <w:rFonts w:hint="eastAsia" w:ascii="宋体" w:hAnsi="宋体" w:eastAsia="宋体" w:cs="宋体"/>
          <w:sz w:val="21"/>
          <w:szCs w:val="21"/>
          <w:lang w:val="en-US" w:bidi="ar-SA"/>
        </w:rPr>
        <w:t>采购工作，保证产品质量，我们特向贵公司承诺如下事项：</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3. 我公司严格执行供应商应尽义务，做到送货及时，货物质量优质，货物装箱整齐方便运输。</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4.我公司承诺保证为贵公司所供之货，货源充足，不发生断货拒供现象。</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投标人单位（公章）：</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三、廉洁承诺书</w:t>
      </w:r>
    </w:p>
    <w:p>
      <w:pPr>
        <w:spacing w:line="254" w:lineRule="auto"/>
        <w:rPr>
          <w:rFonts w:hint="eastAsia" w:ascii="宋体" w:hAnsi="宋体" w:eastAsia="宋体" w:cs="宋体"/>
          <w:sz w:val="21"/>
          <w:szCs w:val="21"/>
        </w:rPr>
      </w:pPr>
    </w:p>
    <w:p>
      <w:pPr>
        <w:pStyle w:val="3"/>
        <w:spacing w:before="57"/>
        <w:ind w:left="640"/>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w:t>
      </w:r>
      <w:r>
        <w:rPr>
          <w:rFonts w:hint="eastAsia" w:cs="宋体"/>
          <w:sz w:val="21"/>
          <w:szCs w:val="21"/>
          <w:lang w:val="en-US" w:eastAsia="zh-CN" w:bidi="ar-SA"/>
        </w:rPr>
        <w:t>规划用电项目</w:t>
      </w:r>
      <w:r>
        <w:rPr>
          <w:rFonts w:hint="eastAsia" w:ascii="宋体" w:hAnsi="宋体" w:eastAsia="宋体" w:cs="宋体"/>
          <w:sz w:val="21"/>
          <w:szCs w:val="21"/>
          <w:lang w:val="en-US" w:eastAsia="zh-CN" w:bidi="ar-SA"/>
        </w:rPr>
        <w:t>安全评价“三同时”报告编制服务项目</w:t>
      </w:r>
      <w:r>
        <w:rPr>
          <w:rFonts w:hint="eastAsia" w:ascii="宋体" w:hAnsi="宋体" w:eastAsia="宋体" w:cs="宋体"/>
          <w:sz w:val="21"/>
          <w:szCs w:val="21"/>
          <w:lang w:val="en-US" w:bidi="ar-SA"/>
        </w:rPr>
        <w:t>采购工作，有效遏制不公平竞争和违规违纪问题的发生，确保招标工作的公平、公正、公开，我们特向贵公司承诺如下事项：</w:t>
      </w:r>
    </w:p>
    <w:p>
      <w:pPr>
        <w:pStyle w:val="14"/>
        <w:tabs>
          <w:tab w:val="left" w:pos="1616"/>
        </w:tabs>
        <w:spacing w:before="3" w:after="0" w:line="364" w:lineRule="auto"/>
        <w:ind w:left="1278" w:right="637"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1.自觉遵守国家法律法规及中粮屯河公司有关廉政建设制度。</w:t>
      </w:r>
    </w:p>
    <w:p>
      <w:pPr>
        <w:pStyle w:val="14"/>
        <w:tabs>
          <w:tab w:val="left" w:pos="1605"/>
        </w:tabs>
        <w:spacing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2.不使用不正当手段妨碍、排挤其它投标单位或串通投标。</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3.按照</w:t>
      </w:r>
      <w:r>
        <w:rPr>
          <w:rFonts w:hint="eastAsia" w:cs="宋体"/>
          <w:sz w:val="21"/>
          <w:szCs w:val="21"/>
          <w:lang w:val="en-US" w:eastAsia="zh-CN" w:bidi="ar-SA"/>
        </w:rPr>
        <w:t>询比文件</w:t>
      </w:r>
      <w:r>
        <w:rPr>
          <w:rFonts w:hint="eastAsia" w:ascii="宋体" w:hAnsi="宋体" w:eastAsia="宋体" w:cs="宋体"/>
          <w:sz w:val="21"/>
          <w:szCs w:val="21"/>
          <w:lang w:val="en-US" w:bidi="ar-SA"/>
        </w:rPr>
        <w:t>规定的方式进行投标，不隐瞒本单位投标资质的真实情况，投标资质符合规定；保证不会以其他人名义投标或者以其他方式弄虚作假，骗取中标。</w:t>
      </w:r>
    </w:p>
    <w:p>
      <w:pPr>
        <w:pStyle w:val="14"/>
        <w:tabs>
          <w:tab w:val="left" w:pos="1605"/>
        </w:tabs>
        <w:spacing w:before="3"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4.不将主体、关键性工作进行分包（包括贴牌生产、转包等）。</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4"/>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6.不向贵公司涉及招标的部门及个人支付好处费、介绍费；购置或提供通讯工具、交通工具、电脑等。</w:t>
      </w:r>
    </w:p>
    <w:p>
      <w:pPr>
        <w:pStyle w:val="14"/>
        <w:tabs>
          <w:tab w:val="left" w:pos="1616"/>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7.一旦发现相关人员在招标过程中有索要财物等不廉洁行为，坚决予以抵制，并及时向贵公司纪检监察部举报（举报电话：***）。</w:t>
      </w:r>
    </w:p>
    <w:p>
      <w:pPr>
        <w:pStyle w:val="14"/>
        <w:tabs>
          <w:tab w:val="left" w:pos="1605"/>
        </w:tabs>
        <w:spacing w:before="3" w:after="0" w:line="364" w:lineRule="auto"/>
        <w:ind w:left="1278" w:right="939"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8.我方自愿将本承诺书作为投标文件及合同的附件， 具有同等的法律效力。</w:t>
      </w:r>
    </w:p>
    <w:p>
      <w:pPr>
        <w:pStyle w:val="14"/>
        <w:tabs>
          <w:tab w:val="left" w:pos="1605"/>
        </w:tabs>
        <w:spacing w:after="0" w:line="364" w:lineRule="auto"/>
        <w:ind w:left="1278" w:right="934"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9.若违反上述承诺或违反有关法律法规及贵公司有关规定，我方自愿永久放弃参与贵公司的所有业务往来，并承担贵公司制度规定的一切法律责任。</w:t>
      </w:r>
    </w:p>
    <w:p>
      <w:pPr>
        <w:pStyle w:val="14"/>
        <w:tabs>
          <w:tab w:val="left" w:pos="1763"/>
        </w:tabs>
        <w:spacing w:before="3" w:after="0"/>
        <w:ind w:left="1278" w:right="0"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10本承诺书自签署之日起生效。</w:t>
      </w:r>
    </w:p>
    <w:p>
      <w:pPr>
        <w:pStyle w:val="3"/>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投标单位（公章）：</w:t>
      </w:r>
    </w:p>
    <w:p>
      <w:pPr>
        <w:pStyle w:val="3"/>
        <w:spacing w:before="214"/>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ind w:firstLine="5670" w:firstLineChars="27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tabs>
          <w:tab w:val="left" w:pos="3775"/>
        </w:tabs>
        <w:bidi w:val="0"/>
        <w:jc w:val="left"/>
        <w:rPr>
          <w:rFonts w:hint="eastAsia" w:ascii="宋体" w:hAnsi="宋体" w:eastAsia="宋体" w:cs="宋体"/>
          <w:sz w:val="21"/>
          <w:szCs w:val="21"/>
          <w:lang w:val="en-US" w:eastAsia="zh-CN"/>
        </w:rPr>
        <w:sectPr>
          <w:pgSz w:w="11910" w:h="16840"/>
          <w:pgMar w:top="1980" w:right="1160" w:bottom="1160" w:left="1160" w:header="720" w:footer="720" w:gutter="0"/>
          <w:cols w:space="720" w:num="1"/>
        </w:sect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四、报价单</w:t>
      </w:r>
    </w:p>
    <w:p>
      <w:pPr>
        <w:widowControl/>
        <w:numPr>
          <w:ilvl w:val="0"/>
          <w:numId w:val="8"/>
        </w:numPr>
        <w:adjustRightInd w:val="0"/>
        <w:snapToGrid w:val="0"/>
        <w:spacing w:after="20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根据你公司中粮糖业辽宁有限公司</w:t>
      </w:r>
      <w:r>
        <w:rPr>
          <w:rFonts w:hint="eastAsia" w:ascii="宋体" w:hAnsi="宋体" w:eastAsia="宋体" w:cs="宋体"/>
          <w:sz w:val="21"/>
          <w:szCs w:val="21"/>
          <w:highlight w:val="none"/>
          <w:lang w:val="en-US" w:eastAsia="zh-CN"/>
        </w:rPr>
        <w:t>规划用电项目安全评价“三同时”报告编制服务项目</w:t>
      </w:r>
      <w:r>
        <w:rPr>
          <w:rFonts w:hint="eastAsia" w:ascii="宋体" w:hAnsi="宋体" w:eastAsia="宋体" w:cs="宋体"/>
          <w:sz w:val="21"/>
          <w:szCs w:val="21"/>
          <w:lang w:eastAsia="zh-CN"/>
        </w:rPr>
        <w:t>询比文件</w:t>
      </w:r>
      <w:r>
        <w:rPr>
          <w:rFonts w:hint="eastAsia" w:ascii="宋体" w:hAnsi="宋体" w:eastAsia="宋体" w:cs="宋体"/>
          <w:sz w:val="21"/>
          <w:szCs w:val="21"/>
        </w:rPr>
        <w:t>，遵照《中华人民共和国招标投标法》等有关规定，经研究上述</w:t>
      </w:r>
      <w:r>
        <w:rPr>
          <w:rFonts w:hint="eastAsia" w:ascii="宋体" w:hAnsi="宋体" w:eastAsia="宋体" w:cs="宋体"/>
          <w:sz w:val="21"/>
          <w:szCs w:val="21"/>
          <w:lang w:eastAsia="zh-CN"/>
        </w:rPr>
        <w:t>询比文件</w:t>
      </w:r>
      <w:r>
        <w:rPr>
          <w:rFonts w:hint="eastAsia" w:ascii="宋体" w:hAnsi="宋体" w:eastAsia="宋体" w:cs="宋体"/>
          <w:sz w:val="21"/>
          <w:szCs w:val="21"/>
        </w:rPr>
        <w:t>的投标须知、合同条款、服务标准及其他有关文件后，我方报价如下</w:t>
      </w:r>
    </w:p>
    <w:tbl>
      <w:tblPr>
        <w:tblStyle w:val="7"/>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施工名称及部位</w:t>
            </w: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1616"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12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规划用电项目“三同时”报告编制服务项目</w:t>
            </w:r>
          </w:p>
        </w:tc>
        <w:tc>
          <w:tcPr>
            <w:tcW w:w="1542" w:type="dxa"/>
            <w:vAlign w:val="center"/>
          </w:tcPr>
          <w:p>
            <w:pPr>
              <w:tabs>
                <w:tab w:val="left" w:pos="5760"/>
              </w:tabs>
              <w:spacing w:line="30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安全评价“三同时”详情见询比文件</w:t>
            </w:r>
          </w:p>
        </w:tc>
        <w:tc>
          <w:tcPr>
            <w:tcW w:w="1616"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369" w:type="dxa"/>
            <w:vAlign w:val="center"/>
          </w:tcPr>
          <w:p>
            <w:pPr>
              <w:tabs>
                <w:tab w:val="left" w:pos="5760"/>
              </w:tabs>
              <w:spacing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税率</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bl>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2、我方已详细审核并认同全部</w:t>
      </w:r>
      <w:r>
        <w:rPr>
          <w:rFonts w:hint="eastAsia" w:ascii="宋体" w:hAnsi="宋体" w:eastAsia="宋体" w:cs="宋体"/>
          <w:sz w:val="21"/>
          <w:szCs w:val="21"/>
          <w:lang w:eastAsia="zh-CN"/>
        </w:rPr>
        <w:t>询比文件</w:t>
      </w:r>
      <w:r>
        <w:rPr>
          <w:rFonts w:hint="eastAsia" w:ascii="宋体" w:hAnsi="宋体" w:eastAsia="宋体" w:cs="宋体"/>
          <w:sz w:val="21"/>
          <w:szCs w:val="21"/>
        </w:rPr>
        <w:t>，包括修改文件（如有时）及有关附件。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3、一旦我方中标，我方保证按</w:t>
      </w:r>
      <w:r>
        <w:rPr>
          <w:rFonts w:hint="eastAsia" w:ascii="宋体" w:hAnsi="宋体" w:eastAsia="宋体" w:cs="宋体"/>
          <w:sz w:val="21"/>
          <w:szCs w:val="21"/>
          <w:lang w:eastAsia="zh-CN"/>
        </w:rPr>
        <w:t>询比文件</w:t>
      </w:r>
      <w:r>
        <w:rPr>
          <w:rFonts w:hint="eastAsia" w:ascii="宋体" w:hAnsi="宋体" w:eastAsia="宋体" w:cs="宋体"/>
          <w:sz w:val="21"/>
          <w:szCs w:val="21"/>
        </w:rPr>
        <w:t>及合同规定完成跟踪审计任务。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4、我方同意所提交的投标文件在</w:t>
      </w:r>
      <w:r>
        <w:rPr>
          <w:rFonts w:hint="eastAsia" w:ascii="宋体" w:hAnsi="宋体" w:eastAsia="宋体" w:cs="宋体"/>
          <w:sz w:val="21"/>
          <w:szCs w:val="21"/>
          <w:lang w:eastAsia="zh-CN"/>
        </w:rPr>
        <w:t>询比文件</w:t>
      </w:r>
      <w:r>
        <w:rPr>
          <w:rFonts w:hint="eastAsia" w:ascii="宋体" w:hAnsi="宋体" w:eastAsia="宋体" w:cs="宋体"/>
          <w:sz w:val="21"/>
          <w:szCs w:val="21"/>
        </w:rPr>
        <w:t>中规定的投标有效期内有效，在此期间内如果中标，我方将受此约束。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投 标 人：                               （盖章）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单位地址：                                                  </w:t>
      </w:r>
    </w:p>
    <w:p>
      <w:pPr>
        <w:spacing w:line="40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spacing w:line="40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日期：      年     月     日</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报价明细一览表</w:t>
      </w:r>
    </w:p>
    <w:tbl>
      <w:tblPr>
        <w:tblStyle w:val="7"/>
        <w:tblW w:w="9887" w:type="dxa"/>
        <w:tblInd w:w="93" w:type="dxa"/>
        <w:tblLayout w:type="autofit"/>
        <w:tblCellMar>
          <w:top w:w="0" w:type="dxa"/>
          <w:left w:w="108" w:type="dxa"/>
          <w:bottom w:w="0" w:type="dxa"/>
          <w:right w:w="108" w:type="dxa"/>
        </w:tblCellMar>
      </w:tblPr>
      <w:tblGrid>
        <w:gridCol w:w="814"/>
        <w:gridCol w:w="2718"/>
        <w:gridCol w:w="1766"/>
        <w:gridCol w:w="814"/>
        <w:gridCol w:w="1195"/>
        <w:gridCol w:w="814"/>
        <w:gridCol w:w="1766"/>
      </w:tblGrid>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71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项目</w:t>
            </w:r>
            <w:r>
              <w:rPr>
                <w:rFonts w:hint="eastAsia" w:ascii="宋体" w:hAnsi="宋体" w:eastAsia="宋体" w:cs="宋体"/>
                <w:color w:val="000000"/>
                <w:kern w:val="0"/>
                <w:sz w:val="21"/>
                <w:szCs w:val="21"/>
                <w:lang w:val="en-US" w:eastAsia="zh-CN"/>
              </w:rPr>
              <w:t>名称</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型号</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119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安全预评价</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安全设施设计</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安全验收评价</w:t>
            </w: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bl>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rPr>
          <w:rFonts w:hint="eastAsia" w:ascii="宋体" w:hAnsi="宋体" w:eastAsia="宋体" w:cs="宋体"/>
          <w:b/>
          <w:bCs/>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val="en-US" w:eastAsia="zh-CN"/>
      </w:rPr>
      <w:t>询比</w:t>
    </w:r>
    <w:r>
      <w:rPr>
        <w:rFonts w:hint="eastAsia"/>
      </w:rPr>
      <w:t>文件</w:t>
    </w:r>
  </w:p>
  <w:p>
    <w:pPr>
      <w:pStyle w:val="5"/>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1C679"/>
    <w:multiLevelType w:val="singleLevel"/>
    <w:tmpl w:val="9761C679"/>
    <w:lvl w:ilvl="0" w:tentative="0">
      <w:start w:val="1"/>
      <w:numFmt w:val="decimal"/>
      <w:lvlText w:val="%1."/>
      <w:lvlJc w:val="left"/>
      <w:pPr>
        <w:tabs>
          <w:tab w:val="left" w:pos="312"/>
        </w:tabs>
      </w:pPr>
    </w:lvl>
  </w:abstractNum>
  <w:abstractNum w:abstractNumId="1">
    <w:nsid w:val="B106D675"/>
    <w:multiLevelType w:val="singleLevel"/>
    <w:tmpl w:val="B106D675"/>
    <w:lvl w:ilvl="0" w:tentative="0">
      <w:start w:val="1"/>
      <w:numFmt w:val="decimal"/>
      <w:lvlText w:val="%1."/>
      <w:lvlJc w:val="left"/>
      <w:pPr>
        <w:tabs>
          <w:tab w:val="left" w:pos="312"/>
        </w:tabs>
      </w:pPr>
    </w:lvl>
  </w:abstractNum>
  <w:abstractNum w:abstractNumId="2">
    <w:nsid w:val="B89B5EAC"/>
    <w:multiLevelType w:val="singleLevel"/>
    <w:tmpl w:val="B89B5EAC"/>
    <w:lvl w:ilvl="0" w:tentative="0">
      <w:start w:val="1"/>
      <w:numFmt w:val="decimal"/>
      <w:lvlText w:val="%1."/>
      <w:lvlJc w:val="left"/>
      <w:pPr>
        <w:tabs>
          <w:tab w:val="left" w:pos="312"/>
        </w:tabs>
      </w:pPr>
    </w:lvl>
  </w:abstractNum>
  <w:abstractNum w:abstractNumId="3">
    <w:nsid w:val="BD4E8E0C"/>
    <w:multiLevelType w:val="singleLevel"/>
    <w:tmpl w:val="BD4E8E0C"/>
    <w:lvl w:ilvl="0" w:tentative="0">
      <w:start w:val="1"/>
      <w:numFmt w:val="decimal"/>
      <w:suff w:val="nothing"/>
      <w:lvlText w:val="%1、"/>
      <w:lvlJc w:val="left"/>
    </w:lvl>
  </w:abstractNum>
  <w:abstractNum w:abstractNumId="4">
    <w:nsid w:val="E3092E79"/>
    <w:multiLevelType w:val="singleLevel"/>
    <w:tmpl w:val="E3092E79"/>
    <w:lvl w:ilvl="0" w:tentative="0">
      <w:start w:val="1"/>
      <w:numFmt w:val="decimal"/>
      <w:lvlText w:val="%1."/>
      <w:lvlJc w:val="left"/>
      <w:pPr>
        <w:tabs>
          <w:tab w:val="left" w:pos="312"/>
        </w:tabs>
      </w:pPr>
    </w:lvl>
  </w:abstractNum>
  <w:abstractNum w:abstractNumId="5">
    <w:nsid w:val="FD03D8AA"/>
    <w:multiLevelType w:val="singleLevel"/>
    <w:tmpl w:val="FD03D8AA"/>
    <w:lvl w:ilvl="0" w:tentative="0">
      <w:start w:val="1"/>
      <w:numFmt w:val="decimal"/>
      <w:lvlText w:val="%1."/>
      <w:lvlJc w:val="left"/>
      <w:pPr>
        <w:tabs>
          <w:tab w:val="left" w:pos="312"/>
        </w:tabs>
      </w:pPr>
      <w:rPr>
        <w:rFonts w:hint="default"/>
        <w:b w:val="0"/>
        <w:bCs w:val="0"/>
        <w:sz w:val="20"/>
        <w:szCs w:val="20"/>
      </w:rPr>
    </w:lvl>
  </w:abstractNum>
  <w:abstractNum w:abstractNumId="6">
    <w:nsid w:val="1EBE648D"/>
    <w:multiLevelType w:val="singleLevel"/>
    <w:tmpl w:val="1EBE648D"/>
    <w:lvl w:ilvl="0" w:tentative="0">
      <w:start w:val="1"/>
      <w:numFmt w:val="decimal"/>
      <w:lvlText w:val="%1."/>
      <w:lvlJc w:val="left"/>
      <w:pPr>
        <w:tabs>
          <w:tab w:val="left" w:pos="312"/>
        </w:tabs>
      </w:pPr>
    </w:lvl>
  </w:abstractNum>
  <w:abstractNum w:abstractNumId="7">
    <w:nsid w:val="2037C6CB"/>
    <w:multiLevelType w:val="singleLevel"/>
    <w:tmpl w:val="2037C6CB"/>
    <w:lvl w:ilvl="0" w:tentative="0">
      <w:start w:val="1"/>
      <w:numFmt w:val="decimal"/>
      <w:lvlText w:val="%1."/>
      <w:lvlJc w:val="left"/>
      <w:pPr>
        <w:tabs>
          <w:tab w:val="left" w:pos="312"/>
        </w:tabs>
      </w:pPr>
    </w:lvl>
  </w:abstractNum>
  <w:num w:numId="1">
    <w:abstractNumId w:val="0"/>
  </w:num>
  <w:num w:numId="2">
    <w:abstractNumId w:val="2"/>
  </w:num>
  <w:num w:numId="3">
    <w:abstractNumId w:val="7"/>
  </w:num>
  <w:num w:numId="4">
    <w:abstractNumId w:val="6"/>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TlhMDZlNjU5MzE5YTYxNTAzYTA1NTEwZmZkMTAifQ=="/>
  </w:docVars>
  <w:rsids>
    <w:rsidRoot w:val="00A273AC"/>
    <w:rsid w:val="00082E8B"/>
    <w:rsid w:val="000E458A"/>
    <w:rsid w:val="00247A7A"/>
    <w:rsid w:val="00320591"/>
    <w:rsid w:val="00465611"/>
    <w:rsid w:val="005552CC"/>
    <w:rsid w:val="00585E57"/>
    <w:rsid w:val="005D10EF"/>
    <w:rsid w:val="006D6FDC"/>
    <w:rsid w:val="00735329"/>
    <w:rsid w:val="007C03FE"/>
    <w:rsid w:val="008077E6"/>
    <w:rsid w:val="008C6D86"/>
    <w:rsid w:val="008D42BA"/>
    <w:rsid w:val="00927731"/>
    <w:rsid w:val="009343A9"/>
    <w:rsid w:val="00980E93"/>
    <w:rsid w:val="00A273AC"/>
    <w:rsid w:val="00AE64E4"/>
    <w:rsid w:val="00B85DB9"/>
    <w:rsid w:val="00B96CDD"/>
    <w:rsid w:val="00C34266"/>
    <w:rsid w:val="00C44375"/>
    <w:rsid w:val="00DE4AE6"/>
    <w:rsid w:val="00DF4F74"/>
    <w:rsid w:val="00E15B04"/>
    <w:rsid w:val="00E66582"/>
    <w:rsid w:val="00EF4AF8"/>
    <w:rsid w:val="00F07992"/>
    <w:rsid w:val="072F4BF4"/>
    <w:rsid w:val="107751D7"/>
    <w:rsid w:val="12521AED"/>
    <w:rsid w:val="13B2145C"/>
    <w:rsid w:val="13C96C1E"/>
    <w:rsid w:val="19031395"/>
    <w:rsid w:val="19F80D3F"/>
    <w:rsid w:val="1BE10510"/>
    <w:rsid w:val="1C7803F2"/>
    <w:rsid w:val="220B60EE"/>
    <w:rsid w:val="24644F93"/>
    <w:rsid w:val="2A374397"/>
    <w:rsid w:val="2B7472D5"/>
    <w:rsid w:val="366B6C5A"/>
    <w:rsid w:val="38742F2D"/>
    <w:rsid w:val="3A331955"/>
    <w:rsid w:val="4ACA5782"/>
    <w:rsid w:val="621804FD"/>
    <w:rsid w:val="6B305F2C"/>
    <w:rsid w:val="7212685E"/>
    <w:rsid w:val="7832776D"/>
    <w:rsid w:val="78A513E9"/>
    <w:rsid w:val="7ADA278A"/>
    <w:rsid w:val="7BBC226F"/>
    <w:rsid w:val="7EE9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rPr>
  </w:style>
  <w:style w:type="table" w:styleId="8">
    <w:name w:val="Table Grid"/>
    <w:basedOn w:val="7"/>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1 字符"/>
    <w:basedOn w:val="9"/>
    <w:link w:val="2"/>
    <w:qFormat/>
    <w:uiPriority w:val="0"/>
    <w:rPr>
      <w:b/>
      <w:bCs/>
      <w:kern w:val="44"/>
      <w:sz w:val="44"/>
      <w:szCs w:val="44"/>
    </w:rPr>
  </w:style>
  <w:style w:type="character" w:customStyle="1" w:styleId="13">
    <w:name w:val="正文文本 字符"/>
    <w:basedOn w:val="9"/>
    <w:link w:val="3"/>
    <w:qFormat/>
    <w:uiPriority w:val="1"/>
    <w:rPr>
      <w:rFonts w:ascii="宋体" w:hAnsi="宋体" w:eastAsia="宋体" w:cs="宋体"/>
      <w:kern w:val="0"/>
      <w:sz w:val="32"/>
      <w:szCs w:val="32"/>
      <w:lang w:val="zh-CN" w:bidi="zh-CN"/>
    </w:rPr>
  </w:style>
  <w:style w:type="paragraph" w:styleId="14">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 w:type="paragraph" w:customStyle="1" w:styleId="15">
    <w:name w:val="列出段落"/>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FFDEA-571E-49BB-A3A6-C8924EA83712}">
  <ds:schemaRefs/>
</ds:datastoreItem>
</file>

<file path=docProps/app.xml><?xml version="1.0" encoding="utf-8"?>
<Properties xmlns="http://schemas.openxmlformats.org/officeDocument/2006/extended-properties" xmlns:vt="http://schemas.openxmlformats.org/officeDocument/2006/docPropsVTypes">
  <Template>Normal</Template>
  <Pages>12</Pages>
  <Words>5398</Words>
  <Characters>5547</Characters>
  <Lines>79</Lines>
  <Paragraphs>22</Paragraphs>
  <TotalTime>2</TotalTime>
  <ScaleCrop>false</ScaleCrop>
  <LinksUpToDate>false</LinksUpToDate>
  <CharactersWithSpaces>6324</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陶源</cp:lastModifiedBy>
  <dcterms:modified xsi:type="dcterms:W3CDTF">2023-10-17T13:41:48Z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0FB51B0A13604AA18552CF398F31FCFB</vt:lpwstr>
  </property>
</Properties>
</file>