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u w:val="single"/>
        </w:rPr>
      </w:pPr>
    </w:p>
    <w:p>
      <w:pPr>
        <w:spacing w:line="276" w:lineRule="auto"/>
        <w:jc w:val="center"/>
        <w:rPr>
          <w:rFonts w:ascii="仿宋" w:hAnsi="仿宋" w:eastAsia="仿宋"/>
          <w:b/>
          <w:bCs/>
          <w:snapToGrid w:val="0"/>
          <w:sz w:val="36"/>
          <w:szCs w:val="36"/>
          <w:lang w:eastAsia="zh-CN"/>
        </w:rPr>
      </w:pPr>
      <w:bookmarkStart w:id="0" w:name="扫描"/>
      <w:bookmarkEnd w:id="0"/>
      <w:r>
        <w:rPr>
          <w:rFonts w:hint="eastAsia" w:eastAsia="仿宋" w:asciiTheme="minorEastAsia" w:hAnsiTheme="minorEastAsia"/>
          <w:b/>
          <w:bCs/>
          <w:snapToGrid w:val="0"/>
          <w:sz w:val="36"/>
          <w:szCs w:val="36"/>
          <w:u w:val="single"/>
          <w:lang w:eastAsia="zh-CN"/>
        </w:rPr>
        <w:t>2023年梁河糖业勐养、芒东工厂新建物资仓库项目</w:t>
      </w:r>
      <w:r>
        <w:rPr>
          <w:rFonts w:hint="eastAsia" w:eastAsia="仿宋" w:asciiTheme="minorEastAsia" w:hAnsiTheme="minorEastAsia"/>
          <w:b/>
          <w:bCs/>
          <w:snapToGrid w:val="0"/>
          <w:sz w:val="36"/>
          <w:szCs w:val="36"/>
          <w:lang w:eastAsia="zh-CN"/>
        </w:rPr>
        <w:t>施工</w:t>
      </w:r>
      <w:r>
        <w:rPr>
          <w:rFonts w:hint="eastAsia" w:ascii="仿宋" w:hAnsi="仿宋" w:eastAsia="仿宋"/>
          <w:b/>
          <w:bCs/>
          <w:snapToGrid w:val="0"/>
          <w:sz w:val="36"/>
          <w:szCs w:val="36"/>
          <w:lang w:eastAsia="zh-CN"/>
        </w:rPr>
        <w:t>采</w:t>
      </w:r>
      <w:r>
        <w:rPr>
          <w:rFonts w:ascii="仿宋" w:hAnsi="仿宋" w:eastAsia="仿宋"/>
          <w:b/>
          <w:bCs/>
          <w:snapToGrid w:val="0"/>
          <w:sz w:val="36"/>
          <w:szCs w:val="36"/>
          <w:lang w:eastAsia="zh-CN"/>
        </w:rPr>
        <w:t>购项目</w:t>
      </w:r>
    </w:p>
    <w:p>
      <w:pPr>
        <w:spacing w:line="276" w:lineRule="auto"/>
        <w:jc w:val="center"/>
        <w:rPr>
          <w:rFonts w:ascii="仿宋" w:hAnsi="仿宋" w:eastAsia="仿宋"/>
          <w:snapToGrid w:val="0"/>
          <w:sz w:val="36"/>
          <w:szCs w:val="36"/>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b/>
          <w:bCs/>
          <w:snapToGrid w:val="0"/>
          <w:sz w:val="48"/>
          <w:szCs w:val="48"/>
          <w:lang w:eastAsia="zh-CN"/>
        </w:rPr>
      </w:pPr>
      <w:r>
        <w:rPr>
          <w:rFonts w:eastAsia="仿宋" w:asciiTheme="minorEastAsia" w:hAnsiTheme="minorEastAsia"/>
          <w:b/>
          <w:bCs/>
          <w:snapToGrid w:val="0"/>
          <w:sz w:val="52"/>
          <w:szCs w:val="52"/>
          <w:lang w:eastAsia="zh-CN"/>
        </w:rPr>
        <w:t>谈判</w:t>
      </w:r>
      <w:r>
        <w:rPr>
          <w:rFonts w:ascii="仿宋" w:hAnsi="仿宋" w:eastAsia="仿宋"/>
          <w:b/>
          <w:bCs/>
          <w:snapToGrid w:val="0"/>
          <w:sz w:val="48"/>
          <w:szCs w:val="48"/>
          <w:lang w:eastAsia="zh-CN"/>
        </w:rPr>
        <w:t>采购文件</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jc w:val="center"/>
        <w:rPr>
          <w:rFonts w:ascii="仿宋" w:hAnsi="仿宋" w:eastAsia="仿宋"/>
          <w:snapToGrid w:val="0"/>
          <w:sz w:val="28"/>
          <w:szCs w:val="28"/>
          <w:lang w:eastAsia="zh-CN"/>
        </w:rPr>
      </w:pPr>
      <w:r>
        <w:rPr>
          <w:rFonts w:hint="eastAsia" w:ascii="仿宋" w:hAnsi="仿宋" w:eastAsia="仿宋"/>
          <w:snapToGrid w:val="0"/>
          <w:sz w:val="28"/>
          <w:szCs w:val="28"/>
          <w:lang w:eastAsia="zh-CN"/>
        </w:rPr>
        <w:t>采购</w:t>
      </w:r>
      <w:r>
        <w:rPr>
          <w:rFonts w:ascii="仿宋" w:hAnsi="仿宋" w:eastAsia="仿宋"/>
          <w:snapToGrid w:val="0"/>
          <w:sz w:val="28"/>
          <w:szCs w:val="28"/>
          <w:lang w:eastAsia="zh-CN"/>
        </w:rPr>
        <w:t>人：</w:t>
      </w:r>
      <w:r>
        <w:rPr>
          <w:rFonts w:hint="eastAsia" w:ascii="仿宋" w:hAnsi="仿宋" w:eastAsia="仿宋"/>
          <w:snapToGrid w:val="0"/>
          <w:sz w:val="28"/>
          <w:szCs w:val="28"/>
          <w:u w:val="single"/>
          <w:lang w:eastAsia="zh-CN"/>
        </w:rPr>
        <w:t xml:space="preserve"> </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中粮梁河糖业有限公司</w:t>
      </w:r>
      <w:r>
        <w:rPr>
          <w:rFonts w:ascii="仿宋" w:hAnsi="仿宋" w:eastAsia="仿宋"/>
          <w:snapToGrid w:val="0"/>
          <w:sz w:val="28"/>
          <w:szCs w:val="28"/>
          <w:u w:val="single"/>
          <w:lang w:eastAsia="zh-CN"/>
        </w:rPr>
        <w:t xml:space="preserve">    （盖单位公章）</w:t>
      </w:r>
    </w:p>
    <w:p>
      <w:pPr>
        <w:rPr>
          <w:lang w:eastAsia="zh-CN"/>
        </w:rPr>
      </w:pPr>
    </w:p>
    <w:p>
      <w:pPr>
        <w:spacing w:line="276" w:lineRule="auto"/>
        <w:jc w:val="center"/>
        <w:rPr>
          <w:rFonts w:ascii="仿宋" w:hAnsi="仿宋" w:eastAsia="仿宋"/>
          <w:snapToGrid w:val="0"/>
          <w:sz w:val="28"/>
          <w:szCs w:val="28"/>
          <w:lang w:eastAsia="zh-CN"/>
        </w:rPr>
      </w:pP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eastAsia="zh-CN"/>
        </w:rPr>
        <w:t>2023</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年</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11</w:t>
      </w:r>
      <w:r>
        <w:rPr>
          <w:rFonts w:ascii="仿宋" w:hAnsi="仿宋" w:eastAsia="仿宋"/>
          <w:snapToGrid w:val="0"/>
          <w:sz w:val="28"/>
          <w:szCs w:val="28"/>
          <w:u w:val="single"/>
          <w:lang w:eastAsia="zh-CN"/>
        </w:rPr>
        <w:t xml:space="preserve">   </w:t>
      </w:r>
      <w:r>
        <w:rPr>
          <w:rFonts w:ascii="仿宋" w:hAnsi="仿宋" w:eastAsia="仿宋"/>
          <w:snapToGrid w:val="0"/>
          <w:sz w:val="28"/>
          <w:szCs w:val="28"/>
          <w:lang w:eastAsia="zh-CN"/>
        </w:rPr>
        <w:t>月</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u w:val="single"/>
          <w:lang w:val="en-US" w:eastAsia="zh-CN"/>
        </w:rPr>
        <w:t>22</w:t>
      </w:r>
      <w:r>
        <w:rPr>
          <w:rFonts w:ascii="仿宋" w:hAnsi="仿宋" w:eastAsia="仿宋"/>
          <w:snapToGrid w:val="0"/>
          <w:sz w:val="28"/>
          <w:szCs w:val="28"/>
          <w:u w:val="single"/>
          <w:lang w:eastAsia="zh-CN"/>
        </w:rPr>
        <w:t xml:space="preserve"> </w:t>
      </w:r>
      <w:r>
        <w:rPr>
          <w:rFonts w:hint="eastAsia" w:ascii="仿宋" w:hAnsi="仿宋" w:eastAsia="仿宋"/>
          <w:snapToGrid w:val="0"/>
          <w:sz w:val="28"/>
          <w:szCs w:val="28"/>
          <w:lang w:eastAsia="zh-CN"/>
        </w:rPr>
        <w:t>日</w:t>
      </w: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bookmarkStart w:id="1" w:name="扫描0001"/>
      <w:bookmarkEnd w:id="1"/>
    </w:p>
    <w:sdt>
      <w:sdtPr>
        <w:rPr>
          <w:rFonts w:ascii="宋体" w:hAnsi="宋体" w:cs="宋体"/>
          <w:b w:val="0"/>
          <w:bCs w:val="0"/>
          <w:kern w:val="0"/>
          <w:sz w:val="22"/>
          <w:szCs w:val="22"/>
          <w:lang w:val="zh-CN" w:eastAsia="en-US"/>
        </w:rPr>
        <w:id w:val="2134043860"/>
        <w:docPartObj>
          <w:docPartGallery w:val="Table of Contents"/>
          <w:docPartUnique/>
        </w:docPartObj>
      </w:sdtPr>
      <w:sdtEndPr>
        <w:rPr>
          <w:rFonts w:ascii="宋体" w:hAnsi="宋体" w:cs="宋体"/>
          <w:b w:val="0"/>
          <w:bCs w:val="0"/>
          <w:kern w:val="0"/>
          <w:sz w:val="22"/>
          <w:szCs w:val="22"/>
          <w:lang w:val="zh-CN" w:eastAsia="en-US"/>
        </w:rPr>
      </w:sdtEndPr>
      <w:sdtContent>
        <w:p>
          <w:pPr>
            <w:pStyle w:val="110"/>
            <w:spacing w:line="276" w:lineRule="auto"/>
            <w:jc w:val="center"/>
            <w:rPr>
              <w:rFonts w:ascii="仿宋" w:hAnsi="仿宋" w:eastAsia="仿宋"/>
              <w:sz w:val="32"/>
              <w:szCs w:val="32"/>
            </w:rPr>
          </w:pPr>
          <w:r>
            <w:rPr>
              <w:rFonts w:ascii="仿宋" w:hAnsi="仿宋" w:eastAsia="仿宋"/>
              <w:sz w:val="32"/>
              <w:szCs w:val="32"/>
              <w:lang w:val="zh-CN"/>
            </w:rPr>
            <w:t>目</w:t>
          </w:r>
          <w:r>
            <w:rPr>
              <w:rFonts w:hint="eastAsia" w:ascii="仿宋" w:hAnsi="仿宋" w:eastAsia="仿宋"/>
              <w:sz w:val="32"/>
              <w:szCs w:val="32"/>
              <w:lang w:val="zh-CN"/>
            </w:rPr>
            <w:t xml:space="preserve"> </w:t>
          </w:r>
          <w:r>
            <w:rPr>
              <w:rFonts w:ascii="仿宋" w:hAnsi="仿宋" w:eastAsia="仿宋"/>
              <w:sz w:val="32"/>
              <w:szCs w:val="32"/>
              <w:lang w:val="zh-CN"/>
            </w:rPr>
            <w:t xml:space="preserve"> 录</w:t>
          </w:r>
        </w:p>
        <w:p>
          <w:pPr>
            <w:pStyle w:val="30"/>
            <w:tabs>
              <w:tab w:val="right" w:leader="dot" w:pos="9552"/>
              <w:tab w:val="clear" w:pos="8296"/>
            </w:tabs>
          </w:pPr>
          <w:r>
            <w:rPr>
              <w:rFonts w:ascii="仿宋" w:hAnsi="仿宋" w:eastAsia="仿宋"/>
              <w:sz w:val="24"/>
              <w:szCs w:val="24"/>
            </w:rPr>
            <w:fldChar w:fldCharType="begin"/>
          </w:r>
          <w:r>
            <w:rPr>
              <w:rFonts w:ascii="仿宋" w:hAnsi="仿宋" w:eastAsia="仿宋"/>
              <w:sz w:val="24"/>
              <w:szCs w:val="24"/>
            </w:rPr>
            <w:instrText xml:space="preserve"> TOC \o "1-3" \h \z \u </w:instrText>
          </w:r>
          <w:r>
            <w:rPr>
              <w:rFonts w:ascii="仿宋" w:hAnsi="仿宋" w:eastAsia="仿宋"/>
              <w:sz w:val="24"/>
              <w:szCs w:val="24"/>
            </w:rPr>
            <w:fldChar w:fldCharType="separate"/>
          </w:r>
          <w:r>
            <w:fldChar w:fldCharType="begin"/>
          </w:r>
          <w:r>
            <w:instrText xml:space="preserve"> HYPERLINK \l "_Toc13074"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谈判采购公告</w:t>
          </w:r>
          <w:r>
            <w:tab/>
          </w:r>
          <w:r>
            <w:fldChar w:fldCharType="begin"/>
          </w:r>
          <w:r>
            <w:instrText xml:space="preserve"> PAGEREF _Toc13074 \h </w:instrText>
          </w:r>
          <w:r>
            <w:fldChar w:fldCharType="separate"/>
          </w:r>
          <w:r>
            <w:t>5</w:t>
          </w:r>
          <w:r>
            <w:fldChar w:fldCharType="end"/>
          </w:r>
          <w:r>
            <w:fldChar w:fldCharType="end"/>
          </w:r>
        </w:p>
        <w:p>
          <w:pPr>
            <w:pStyle w:val="35"/>
            <w:tabs>
              <w:tab w:val="right" w:leader="dot" w:pos="9552"/>
            </w:tabs>
            <w:ind w:left="440"/>
          </w:pPr>
          <w:r>
            <w:fldChar w:fldCharType="begin"/>
          </w:r>
          <w:r>
            <w:instrText xml:space="preserve"> HYPERLINK \l "_Toc11150" </w:instrText>
          </w:r>
          <w:r>
            <w:fldChar w:fldCharType="separate"/>
          </w:r>
          <w:r>
            <w:rPr>
              <w:rFonts w:ascii="仿宋" w:hAnsi="仿宋" w:eastAsia="仿宋"/>
              <w:bCs/>
              <w:snapToGrid w:val="0"/>
              <w:szCs w:val="32"/>
            </w:rPr>
            <w:t>（采购项目名称）</w:t>
          </w:r>
          <w:r>
            <w:rPr>
              <w:rFonts w:hint="eastAsia" w:ascii="仿宋" w:hAnsi="仿宋" w:eastAsia="仿宋"/>
              <w:bCs/>
              <w:snapToGrid w:val="0"/>
              <w:szCs w:val="32"/>
            </w:rPr>
            <w:t>施工</w:t>
          </w:r>
          <w:r>
            <w:rPr>
              <w:rFonts w:ascii="仿宋" w:hAnsi="仿宋" w:eastAsia="仿宋"/>
              <w:bCs/>
              <w:snapToGrid w:val="0"/>
              <w:szCs w:val="32"/>
            </w:rPr>
            <w:t>谈判采购公告</w:t>
          </w:r>
          <w:r>
            <w:tab/>
          </w:r>
          <w:r>
            <w:fldChar w:fldCharType="begin"/>
          </w:r>
          <w:r>
            <w:instrText xml:space="preserve"> PAGEREF _Toc11150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"_Toc27303" </w:instrText>
          </w:r>
          <w:r>
            <w:fldChar w:fldCharType="separate"/>
          </w:r>
          <w:r>
            <w:rPr>
              <w:rFonts w:ascii="仿宋" w:hAnsi="仿宋" w:eastAsia="仿宋"/>
              <w:snapToGrid w:val="0"/>
              <w:szCs w:val="24"/>
            </w:rPr>
            <w:t>1.采购项目简介</w:t>
          </w:r>
          <w:r>
            <w:tab/>
          </w:r>
          <w:r>
            <w:fldChar w:fldCharType="begin"/>
          </w:r>
          <w:r>
            <w:instrText xml:space="preserve"> PAGEREF _Toc27303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"_Toc27555" </w:instrText>
          </w:r>
          <w:r>
            <w:fldChar w:fldCharType="separate"/>
          </w:r>
          <w:r>
            <w:rPr>
              <w:rFonts w:ascii="仿宋" w:hAnsi="仿宋" w:eastAsia="仿宋"/>
              <w:snapToGrid w:val="0"/>
              <w:szCs w:val="24"/>
            </w:rPr>
            <w:t>2.采购范围及相关要求</w:t>
          </w:r>
          <w:r>
            <w:tab/>
          </w:r>
          <w:r>
            <w:fldChar w:fldCharType="begin"/>
          </w:r>
          <w:r>
            <w:instrText xml:space="preserve"> PAGEREF _Toc27555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"_Toc17927" </w:instrText>
          </w:r>
          <w:r>
            <w:fldChar w:fldCharType="separate"/>
          </w:r>
          <w:r>
            <w:rPr>
              <w:rFonts w:ascii="仿宋" w:hAnsi="仿宋" w:eastAsia="仿宋"/>
              <w:snapToGrid w:val="0"/>
              <w:szCs w:val="24"/>
            </w:rPr>
            <w:t>3.供应商资格要求</w:t>
          </w:r>
          <w:r>
            <w:tab/>
          </w:r>
          <w:r>
            <w:fldChar w:fldCharType="begin"/>
          </w:r>
          <w:r>
            <w:instrText xml:space="preserve"> PAGEREF _Toc17927 \h </w:instrText>
          </w:r>
          <w:r>
            <w:fldChar w:fldCharType="separate"/>
          </w:r>
          <w:r>
            <w:t>6</w:t>
          </w:r>
          <w:r>
            <w:fldChar w:fldCharType="end"/>
          </w:r>
          <w:r>
            <w:fldChar w:fldCharType="end"/>
          </w:r>
        </w:p>
        <w:p>
          <w:pPr>
            <w:pStyle w:val="22"/>
            <w:tabs>
              <w:tab w:val="right" w:leader="dot" w:pos="9552"/>
            </w:tabs>
            <w:ind w:left="880"/>
          </w:pPr>
          <w:r>
            <w:fldChar w:fldCharType="begin"/>
          </w:r>
          <w:r>
            <w:instrText xml:space="preserve"> HYPERLINK \l "_Toc5702"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_Toc5702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"_Toc24823"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_Toc24823 \h </w:instrText>
          </w:r>
          <w:r>
            <w:fldChar w:fldCharType="separate"/>
          </w:r>
          <w:r>
            <w:t>8</w:t>
          </w:r>
          <w:r>
            <w:fldChar w:fldCharType="end"/>
          </w:r>
          <w:r>
            <w:fldChar w:fldCharType="end"/>
          </w:r>
        </w:p>
        <w:p>
          <w:pPr>
            <w:pStyle w:val="22"/>
            <w:tabs>
              <w:tab w:val="right" w:leader="dot" w:pos="9552"/>
            </w:tabs>
            <w:ind w:left="880"/>
          </w:pPr>
          <w:r>
            <w:fldChar w:fldCharType="begin"/>
          </w:r>
          <w:r>
            <w:instrText xml:space="preserve"> HYPERLINK \l "_Toc389"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_Toc389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"_Toc17707"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_Toc17707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"_Toc21690"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_Toc21690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"_Toc30524"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_Toc30524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"_Toc14872" </w:instrText>
          </w:r>
          <w:r>
            <w:fldChar w:fldCharType="separate"/>
          </w:r>
          <w:r>
            <w:rPr>
              <w:rFonts w:eastAsia="仿宋" w:asciiTheme="minorEastAsia" w:hAnsiTheme="minorEastAsia"/>
              <w:bCs/>
              <w:snapToGrid w:val="0"/>
              <w:szCs w:val="24"/>
            </w:rPr>
            <w:t>10.其他</w:t>
          </w:r>
          <w:r>
            <w:tab/>
          </w:r>
          <w:r>
            <w:fldChar w:fldCharType="begin"/>
          </w:r>
          <w:r>
            <w:instrText xml:space="preserve"> PAGEREF _Toc14872 \h </w:instrText>
          </w:r>
          <w:r>
            <w:fldChar w:fldCharType="separate"/>
          </w:r>
          <w:r>
            <w:t>9</w:t>
          </w:r>
          <w:r>
            <w:fldChar w:fldCharType="end"/>
          </w:r>
          <w:r>
            <w:fldChar w:fldCharType="end"/>
          </w:r>
        </w:p>
        <w:p>
          <w:pPr>
            <w:pStyle w:val="22"/>
            <w:tabs>
              <w:tab w:val="right" w:leader="dot" w:pos="9552"/>
            </w:tabs>
            <w:ind w:left="880"/>
          </w:pPr>
          <w:r>
            <w:fldChar w:fldCharType="begin"/>
          </w:r>
          <w:r>
            <w:instrText xml:space="preserve"> HYPERLINK \l "_Toc22666"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_Toc22666 \h </w:instrText>
          </w:r>
          <w:r>
            <w:fldChar w:fldCharType="separate"/>
          </w:r>
          <w:r>
            <w:t>9</w:t>
          </w:r>
          <w:r>
            <w:fldChar w:fldCharType="end"/>
          </w:r>
          <w:r>
            <w:fldChar w:fldCharType="end"/>
          </w:r>
        </w:p>
        <w:p>
          <w:pPr>
            <w:pStyle w:val="30"/>
            <w:tabs>
              <w:tab w:val="right" w:leader="dot" w:pos="9552"/>
              <w:tab w:val="clear" w:pos="8296"/>
            </w:tabs>
          </w:pPr>
          <w:r>
            <w:fldChar w:fldCharType="begin"/>
          </w:r>
          <w:r>
            <w:instrText xml:space="preserve"> HYPERLINK \l "_Toc21909" </w:instrText>
          </w:r>
          <w:r>
            <w:fldChar w:fldCharType="separate"/>
          </w:r>
          <w:r>
            <w:rPr>
              <w:rFonts w:ascii="仿宋" w:hAnsi="仿宋" w:eastAsia="仿宋"/>
              <w:bCs/>
              <w:snapToGrid w:val="0"/>
              <w:szCs w:val="32"/>
            </w:rPr>
            <w:t>第一章</w:t>
          </w:r>
          <w:r>
            <w:rPr>
              <w:rFonts w:hint="eastAsia" w:ascii="仿宋" w:hAnsi="仿宋" w:eastAsia="仿宋"/>
              <w:bCs/>
              <w:snapToGrid w:val="0"/>
              <w:szCs w:val="32"/>
            </w:rPr>
            <w:t xml:space="preserve"> </w:t>
          </w:r>
          <w:r>
            <w:rPr>
              <w:rFonts w:ascii="仿宋" w:hAnsi="仿宋" w:eastAsia="仿宋"/>
              <w:bCs/>
              <w:snapToGrid w:val="0"/>
              <w:szCs w:val="32"/>
            </w:rPr>
            <w:t xml:space="preserve"> 谈判采购邀请书</w:t>
          </w:r>
          <w:r>
            <w:tab/>
          </w:r>
          <w:r>
            <w:fldChar w:fldCharType="begin"/>
          </w:r>
          <w:r>
            <w:instrText xml:space="preserve"> PAGEREF _Toc21909 \h </w:instrText>
          </w:r>
          <w:r>
            <w:fldChar w:fldCharType="separate"/>
          </w:r>
          <w:r>
            <w:t>10</w:t>
          </w:r>
          <w:r>
            <w:fldChar w:fldCharType="end"/>
          </w:r>
          <w:r>
            <w:fldChar w:fldCharType="end"/>
          </w:r>
        </w:p>
        <w:p>
          <w:pPr>
            <w:pStyle w:val="35"/>
            <w:tabs>
              <w:tab w:val="right" w:leader="dot" w:pos="9552"/>
            </w:tabs>
            <w:ind w:left="440"/>
          </w:pPr>
          <w:r>
            <w:fldChar w:fldCharType="begin"/>
          </w:r>
          <w:r>
            <w:instrText xml:space="preserve"> HYPERLINK \l "_Toc27902" </w:instrText>
          </w:r>
          <w:r>
            <w:fldChar w:fldCharType="separate"/>
          </w:r>
          <w:r>
            <w:rPr>
              <w:rFonts w:ascii="仿宋" w:hAnsi="仿宋" w:eastAsia="仿宋"/>
              <w:bCs/>
              <w:snapToGrid w:val="0"/>
              <w:szCs w:val="32"/>
            </w:rPr>
            <w:t>（</w:t>
          </w:r>
          <w:r>
            <w:rPr>
              <w:rFonts w:hint="eastAsia" w:ascii="仿宋" w:hAnsi="仿宋" w:eastAsia="仿宋"/>
              <w:bCs/>
              <w:snapToGrid w:val="0"/>
              <w:szCs w:val="32"/>
            </w:rPr>
            <w:t>采购</w:t>
          </w:r>
          <w:r>
            <w:rPr>
              <w:rFonts w:ascii="仿宋" w:hAnsi="仿宋" w:eastAsia="仿宋"/>
              <w:bCs/>
              <w:snapToGrid w:val="0"/>
              <w:szCs w:val="32"/>
            </w:rPr>
            <w:t>项目名</w:t>
          </w:r>
          <w:r>
            <w:rPr>
              <w:rFonts w:hint="eastAsia" w:ascii="仿宋" w:hAnsi="仿宋" w:eastAsia="仿宋"/>
              <w:bCs/>
              <w:snapToGrid w:val="0"/>
              <w:szCs w:val="32"/>
            </w:rPr>
            <w:t>称）施工</w:t>
          </w:r>
          <w:r>
            <w:rPr>
              <w:rFonts w:ascii="仿宋" w:hAnsi="仿宋" w:eastAsia="仿宋"/>
              <w:bCs/>
              <w:snapToGrid w:val="0"/>
              <w:szCs w:val="32"/>
            </w:rPr>
            <w:t>谈判采购邀请书</w:t>
          </w:r>
          <w:r>
            <w:tab/>
          </w:r>
          <w:r>
            <w:fldChar w:fldCharType="begin"/>
          </w:r>
          <w:r>
            <w:instrText xml:space="preserve"> PAGEREF _Toc27902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"_Toc29718" </w:instrText>
          </w:r>
          <w:r>
            <w:fldChar w:fldCharType="separate"/>
          </w:r>
          <w:r>
            <w:rPr>
              <w:rFonts w:ascii="仿宋" w:hAnsi="仿宋" w:eastAsia="仿宋"/>
              <w:snapToGrid w:val="0"/>
              <w:szCs w:val="24"/>
            </w:rPr>
            <w:t>1.采购项目简介</w:t>
          </w:r>
          <w:r>
            <w:tab/>
          </w:r>
          <w:r>
            <w:fldChar w:fldCharType="begin"/>
          </w:r>
          <w:r>
            <w:instrText xml:space="preserve"> PAGEREF _Toc29718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"_Toc19460" </w:instrText>
          </w:r>
          <w:r>
            <w:fldChar w:fldCharType="separate"/>
          </w:r>
          <w:r>
            <w:rPr>
              <w:rFonts w:ascii="仿宋" w:hAnsi="仿宋" w:eastAsia="仿宋"/>
              <w:snapToGrid w:val="0"/>
              <w:szCs w:val="24"/>
            </w:rPr>
            <w:t>2.采购范围及相关要求</w:t>
          </w:r>
          <w:r>
            <w:tab/>
          </w:r>
          <w:r>
            <w:fldChar w:fldCharType="begin"/>
          </w:r>
          <w:r>
            <w:instrText xml:space="preserve"> PAGEREF _Toc19460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"_Toc15625" </w:instrText>
          </w:r>
          <w:r>
            <w:fldChar w:fldCharType="separate"/>
          </w:r>
          <w:r>
            <w:rPr>
              <w:rFonts w:ascii="仿宋" w:hAnsi="仿宋" w:eastAsia="仿宋"/>
              <w:snapToGrid w:val="0"/>
              <w:szCs w:val="24"/>
            </w:rPr>
            <w:t>3.供应商资格要求</w:t>
          </w:r>
          <w:r>
            <w:tab/>
          </w:r>
          <w:r>
            <w:fldChar w:fldCharType="begin"/>
          </w:r>
          <w:r>
            <w:instrText xml:space="preserve"> PAGEREF _Toc15625 \h </w:instrText>
          </w:r>
          <w:r>
            <w:fldChar w:fldCharType="separate"/>
          </w:r>
          <w:r>
            <w:t>11</w:t>
          </w:r>
          <w:r>
            <w:fldChar w:fldCharType="end"/>
          </w:r>
          <w:r>
            <w:fldChar w:fldCharType="end"/>
          </w:r>
        </w:p>
        <w:p>
          <w:pPr>
            <w:pStyle w:val="22"/>
            <w:tabs>
              <w:tab w:val="right" w:leader="dot" w:pos="9552"/>
            </w:tabs>
            <w:ind w:left="880"/>
          </w:pPr>
          <w:r>
            <w:fldChar w:fldCharType="begin"/>
          </w:r>
          <w:r>
            <w:instrText xml:space="preserve"> HYPERLINK \l "_Toc32314" </w:instrText>
          </w:r>
          <w:r>
            <w:fldChar w:fldCharType="separate"/>
          </w:r>
          <w:r>
            <w:rPr>
              <w:rFonts w:eastAsia="仿宋" w:asciiTheme="minorEastAsia" w:hAnsiTheme="minorEastAsia"/>
              <w:bCs/>
              <w:snapToGrid w:val="0"/>
              <w:szCs w:val="24"/>
            </w:rPr>
            <w:t>4.采购文件的获取</w:t>
          </w:r>
          <w:r>
            <w:tab/>
          </w:r>
          <w:r>
            <w:fldChar w:fldCharType="begin"/>
          </w:r>
          <w:r>
            <w:instrText xml:space="preserve"> PAGEREF _Toc32314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"_Toc16856"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响应保证金</w:t>
          </w:r>
          <w:r>
            <w:tab/>
          </w:r>
          <w:r>
            <w:fldChar w:fldCharType="begin"/>
          </w:r>
          <w:r>
            <w:instrText xml:space="preserve"> PAGEREF _Toc16856 \h </w:instrText>
          </w:r>
          <w:r>
            <w:fldChar w:fldCharType="separate"/>
          </w:r>
          <w:r>
            <w:t>13</w:t>
          </w:r>
          <w:r>
            <w:fldChar w:fldCharType="end"/>
          </w:r>
          <w:r>
            <w:fldChar w:fldCharType="end"/>
          </w:r>
        </w:p>
        <w:p>
          <w:pPr>
            <w:pStyle w:val="22"/>
            <w:tabs>
              <w:tab w:val="right" w:leader="dot" w:pos="9552"/>
            </w:tabs>
            <w:ind w:left="880"/>
          </w:pPr>
          <w:r>
            <w:fldChar w:fldCharType="begin"/>
          </w:r>
          <w:r>
            <w:instrText xml:space="preserve"> HYPERLINK \l "_Toc21921" </w:instrText>
          </w:r>
          <w:r>
            <w:fldChar w:fldCharType="separate"/>
          </w:r>
          <w:r>
            <w:rPr>
              <w:rFonts w:hint="eastAsia" w:eastAsia="仿宋" w:asciiTheme="minorEastAsia" w:hAnsiTheme="minorEastAsia"/>
              <w:bCs/>
              <w:snapToGrid w:val="0"/>
              <w:szCs w:val="24"/>
            </w:rPr>
            <w:t>6</w:t>
          </w:r>
          <w:r>
            <w:rPr>
              <w:rFonts w:eastAsia="仿宋" w:asciiTheme="minorEastAsia" w:hAnsiTheme="minorEastAsia"/>
              <w:bCs/>
              <w:snapToGrid w:val="0"/>
              <w:szCs w:val="24"/>
            </w:rPr>
            <w:t>.响应文件的</w:t>
          </w:r>
          <w:r>
            <w:rPr>
              <w:rFonts w:hint="eastAsia" w:eastAsia="仿宋" w:asciiTheme="minorEastAsia" w:hAnsiTheme="minorEastAsia"/>
              <w:bCs/>
              <w:snapToGrid w:val="0"/>
              <w:szCs w:val="24"/>
            </w:rPr>
            <w:t>上传</w:t>
          </w:r>
          <w:r>
            <w:tab/>
          </w:r>
          <w:r>
            <w:fldChar w:fldCharType="begin"/>
          </w:r>
          <w:r>
            <w:instrText xml:space="preserve"> PAGEREF _Toc21921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"_Toc25039" </w:instrText>
          </w:r>
          <w:r>
            <w:fldChar w:fldCharType="separate"/>
          </w:r>
          <w:r>
            <w:rPr>
              <w:rFonts w:eastAsia="仿宋" w:asciiTheme="minorEastAsia" w:hAnsiTheme="minorEastAsia"/>
              <w:bCs/>
              <w:snapToGrid w:val="0"/>
              <w:szCs w:val="24"/>
            </w:rPr>
            <w:t>7.</w:t>
          </w:r>
          <w:r>
            <w:rPr>
              <w:rFonts w:hint="eastAsia" w:eastAsia="仿宋" w:asciiTheme="minorEastAsia" w:hAnsiTheme="minorEastAsia"/>
              <w:bCs/>
              <w:snapToGrid w:val="0"/>
              <w:szCs w:val="24"/>
            </w:rPr>
            <w:t>响应文件的开启</w:t>
          </w:r>
          <w:r>
            <w:tab/>
          </w:r>
          <w:r>
            <w:fldChar w:fldCharType="begin"/>
          </w:r>
          <w:r>
            <w:instrText xml:space="preserve"> PAGEREF _Toc25039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"_Toc31831" </w:instrText>
          </w:r>
          <w:r>
            <w:fldChar w:fldCharType="separate"/>
          </w:r>
          <w:r>
            <w:rPr>
              <w:rFonts w:eastAsia="仿宋" w:asciiTheme="minorEastAsia" w:hAnsiTheme="minorEastAsia"/>
              <w:bCs/>
              <w:snapToGrid w:val="0"/>
              <w:szCs w:val="24"/>
            </w:rPr>
            <w:t>8.谈判时间和地点</w:t>
          </w:r>
          <w:r>
            <w:tab/>
          </w:r>
          <w:r>
            <w:fldChar w:fldCharType="begin"/>
          </w:r>
          <w:r>
            <w:instrText xml:space="preserve"> PAGEREF _Toc31831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"_Toc28278" </w:instrText>
          </w:r>
          <w:r>
            <w:fldChar w:fldCharType="separate"/>
          </w:r>
          <w:r>
            <w:rPr>
              <w:rFonts w:eastAsia="仿宋" w:asciiTheme="minorEastAsia" w:hAnsiTheme="minorEastAsia"/>
              <w:bCs/>
              <w:snapToGrid w:val="0"/>
              <w:szCs w:val="24"/>
            </w:rPr>
            <w:t>9.纪检监督</w:t>
          </w:r>
          <w:r>
            <w:tab/>
          </w:r>
          <w:r>
            <w:fldChar w:fldCharType="begin"/>
          </w:r>
          <w:r>
            <w:instrText xml:space="preserve"> PAGEREF _Toc28278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"_Toc5668" </w:instrText>
          </w:r>
          <w:r>
            <w:fldChar w:fldCharType="separate"/>
          </w:r>
          <w:r>
            <w:rPr>
              <w:rFonts w:eastAsia="仿宋" w:asciiTheme="minorEastAsia" w:hAnsiTheme="minorEastAsia"/>
              <w:bCs/>
              <w:snapToGrid w:val="0"/>
              <w:szCs w:val="24"/>
            </w:rPr>
            <w:t>10.其他</w:t>
          </w:r>
          <w:r>
            <w:tab/>
          </w:r>
          <w:r>
            <w:fldChar w:fldCharType="begin"/>
          </w:r>
          <w:r>
            <w:instrText xml:space="preserve"> PAGEREF _Toc5668 \h </w:instrText>
          </w:r>
          <w:r>
            <w:fldChar w:fldCharType="separate"/>
          </w:r>
          <w:r>
            <w:t>14</w:t>
          </w:r>
          <w:r>
            <w:fldChar w:fldCharType="end"/>
          </w:r>
          <w:r>
            <w:fldChar w:fldCharType="end"/>
          </w:r>
        </w:p>
        <w:p>
          <w:pPr>
            <w:pStyle w:val="22"/>
            <w:tabs>
              <w:tab w:val="right" w:leader="dot" w:pos="9552"/>
            </w:tabs>
            <w:ind w:left="880"/>
          </w:pPr>
          <w:r>
            <w:fldChar w:fldCharType="begin"/>
          </w:r>
          <w:r>
            <w:instrText xml:space="preserve"> HYPERLINK \l "_Toc7017" </w:instrText>
          </w:r>
          <w:r>
            <w:fldChar w:fldCharType="separate"/>
          </w:r>
          <w:r>
            <w:rPr>
              <w:rFonts w:eastAsia="仿宋" w:asciiTheme="minorEastAsia" w:hAnsiTheme="minorEastAsia"/>
              <w:bCs/>
              <w:snapToGrid w:val="0"/>
              <w:szCs w:val="24"/>
            </w:rPr>
            <w:t>11.联系方式</w:t>
          </w:r>
          <w:r>
            <w:tab/>
          </w:r>
          <w:r>
            <w:fldChar w:fldCharType="begin"/>
          </w:r>
          <w:r>
            <w:instrText xml:space="preserve"> PAGEREF _Toc7017 \h </w:instrText>
          </w:r>
          <w:r>
            <w:fldChar w:fldCharType="separate"/>
          </w:r>
          <w:r>
            <w:t>14</w:t>
          </w:r>
          <w:r>
            <w:fldChar w:fldCharType="end"/>
          </w:r>
          <w:r>
            <w:fldChar w:fldCharType="end"/>
          </w:r>
        </w:p>
        <w:p>
          <w:pPr>
            <w:pStyle w:val="30"/>
            <w:tabs>
              <w:tab w:val="right" w:leader="dot" w:pos="9552"/>
              <w:tab w:val="clear" w:pos="8296"/>
            </w:tabs>
          </w:pPr>
          <w:r>
            <w:fldChar w:fldCharType="begin"/>
          </w:r>
          <w:r>
            <w:instrText xml:space="preserve"> HYPERLINK \l "_Toc29531" </w:instrText>
          </w:r>
          <w:r>
            <w:fldChar w:fldCharType="separate"/>
          </w:r>
          <w:r>
            <w:rPr>
              <w:rFonts w:hint="eastAsia" w:ascii="仿宋" w:hAnsi="仿宋" w:eastAsia="仿宋"/>
              <w:bCs/>
              <w:snapToGrid w:val="0"/>
              <w:szCs w:val="32"/>
            </w:rPr>
            <w:t>第</w:t>
          </w:r>
          <w:r>
            <w:rPr>
              <w:rFonts w:ascii="仿宋" w:hAnsi="仿宋" w:eastAsia="仿宋"/>
              <w:bCs/>
              <w:snapToGrid w:val="0"/>
              <w:szCs w:val="32"/>
            </w:rPr>
            <w:t>二</w:t>
          </w:r>
          <w:r>
            <w:rPr>
              <w:rFonts w:hint="eastAsia" w:ascii="仿宋" w:hAnsi="仿宋" w:eastAsia="仿宋"/>
              <w:bCs/>
              <w:snapToGrid w:val="0"/>
              <w:szCs w:val="32"/>
            </w:rPr>
            <w:t xml:space="preserve">章 </w:t>
          </w:r>
          <w:r>
            <w:rPr>
              <w:rFonts w:ascii="仿宋" w:hAnsi="仿宋" w:eastAsia="仿宋"/>
              <w:bCs/>
              <w:snapToGrid w:val="0"/>
              <w:szCs w:val="32"/>
            </w:rPr>
            <w:t xml:space="preserve"> 供应商</w:t>
          </w:r>
          <w:r>
            <w:rPr>
              <w:rFonts w:hint="eastAsia" w:ascii="仿宋" w:hAnsi="仿宋" w:eastAsia="仿宋"/>
              <w:bCs/>
              <w:snapToGrid w:val="0"/>
              <w:szCs w:val="32"/>
            </w:rPr>
            <w:t>须知</w:t>
          </w:r>
          <w:r>
            <w:tab/>
          </w:r>
          <w:r>
            <w:fldChar w:fldCharType="begin"/>
          </w:r>
          <w:r>
            <w:instrText xml:space="preserve"> PAGEREF _Toc29531 \h </w:instrText>
          </w:r>
          <w:r>
            <w:fldChar w:fldCharType="separate"/>
          </w:r>
          <w:r>
            <w:t>15</w:t>
          </w:r>
          <w:r>
            <w:fldChar w:fldCharType="end"/>
          </w:r>
          <w:r>
            <w:fldChar w:fldCharType="end"/>
          </w:r>
        </w:p>
        <w:p>
          <w:pPr>
            <w:pStyle w:val="35"/>
            <w:tabs>
              <w:tab w:val="right" w:leader="dot" w:pos="9552"/>
            </w:tabs>
            <w:ind w:left="440"/>
          </w:pPr>
          <w:r>
            <w:fldChar w:fldCharType="begin"/>
          </w:r>
          <w:r>
            <w:instrText xml:space="preserve"> HYPERLINK \l "_Toc24112" </w:instrText>
          </w:r>
          <w:r>
            <w:fldChar w:fldCharType="separate"/>
          </w:r>
          <w:r>
            <w:rPr>
              <w:rFonts w:ascii="仿宋" w:hAnsi="仿宋" w:eastAsia="仿宋"/>
              <w:bCs/>
              <w:snapToGrid w:val="0"/>
              <w:szCs w:val="32"/>
            </w:rPr>
            <w:t>供应商须知前附表</w:t>
          </w:r>
          <w:r>
            <w:tab/>
          </w:r>
          <w:r>
            <w:fldChar w:fldCharType="begin"/>
          </w:r>
          <w:r>
            <w:instrText xml:space="preserve"> PAGEREF _Toc24112 \h </w:instrText>
          </w:r>
          <w:r>
            <w:fldChar w:fldCharType="separate"/>
          </w:r>
          <w:r>
            <w:t>16</w:t>
          </w:r>
          <w:r>
            <w:fldChar w:fldCharType="end"/>
          </w:r>
          <w:r>
            <w:fldChar w:fldCharType="end"/>
          </w:r>
        </w:p>
        <w:p>
          <w:pPr>
            <w:pStyle w:val="35"/>
            <w:tabs>
              <w:tab w:val="right" w:leader="dot" w:pos="9552"/>
            </w:tabs>
            <w:ind w:left="440"/>
          </w:pPr>
          <w:r>
            <w:fldChar w:fldCharType="begin"/>
          </w:r>
          <w:r>
            <w:instrText xml:space="preserve"> HYPERLINK \l "_Toc2019" </w:instrText>
          </w:r>
          <w:r>
            <w:fldChar w:fldCharType="separate"/>
          </w:r>
          <w:r>
            <w:rPr>
              <w:rFonts w:eastAsia="仿宋" w:asciiTheme="minorEastAsia" w:hAnsiTheme="minorEastAsia"/>
              <w:snapToGrid w:val="0"/>
              <w:szCs w:val="24"/>
            </w:rPr>
            <w:t>1</w:t>
          </w:r>
          <w:r>
            <w:rPr>
              <w:rFonts w:hint="eastAsia" w:eastAsia="仿宋" w:asciiTheme="minorEastAsia" w:hAnsiTheme="minorEastAsia"/>
              <w:snapToGrid w:val="0"/>
              <w:szCs w:val="24"/>
            </w:rPr>
            <w:t>.</w:t>
          </w:r>
          <w:r>
            <w:rPr>
              <w:rFonts w:eastAsia="仿宋" w:asciiTheme="minorEastAsia" w:hAnsiTheme="minorEastAsia"/>
              <w:snapToGrid w:val="0"/>
              <w:szCs w:val="24"/>
            </w:rPr>
            <w:t>总则</w:t>
          </w:r>
          <w:r>
            <w:tab/>
          </w:r>
          <w:r>
            <w:fldChar w:fldCharType="begin"/>
          </w:r>
          <w:r>
            <w:instrText xml:space="preserve"> PAGEREF _Toc2019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"_Toc17835" </w:instrText>
          </w:r>
          <w:r>
            <w:fldChar w:fldCharType="separate"/>
          </w:r>
          <w:r>
            <w:rPr>
              <w:rFonts w:eastAsia="仿宋" w:asciiTheme="minorEastAsia" w:hAnsiTheme="minorEastAsia"/>
              <w:bCs/>
              <w:snapToGrid w:val="0"/>
              <w:szCs w:val="24"/>
            </w:rPr>
            <w:t>1.1 采购方式</w:t>
          </w:r>
          <w:r>
            <w:tab/>
          </w:r>
          <w:r>
            <w:fldChar w:fldCharType="begin"/>
          </w:r>
          <w:r>
            <w:instrText xml:space="preserve"> PAGEREF _Toc17835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"_Toc12127" </w:instrText>
          </w:r>
          <w:r>
            <w:fldChar w:fldCharType="separate"/>
          </w:r>
          <w:r>
            <w:rPr>
              <w:rFonts w:hint="eastAsia" w:ascii="仿宋" w:hAnsi="仿宋" w:eastAsia="仿宋"/>
              <w:bCs/>
              <w:snapToGrid w:val="0"/>
              <w:szCs w:val="24"/>
            </w:rPr>
            <w:t>1</w:t>
          </w:r>
          <w:r>
            <w:rPr>
              <w:rFonts w:ascii="仿宋" w:hAnsi="仿宋" w:eastAsia="仿宋"/>
              <w:bCs/>
              <w:snapToGrid w:val="0"/>
              <w:szCs w:val="24"/>
            </w:rPr>
            <w:t>.2 采购项目概况和供应商资格要求</w:t>
          </w:r>
          <w:r>
            <w:tab/>
          </w:r>
          <w:r>
            <w:fldChar w:fldCharType="begin"/>
          </w:r>
          <w:r>
            <w:instrText xml:space="preserve"> PAGEREF _Toc12127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"_Toc19980" </w:instrText>
          </w:r>
          <w:r>
            <w:fldChar w:fldCharType="separate"/>
          </w:r>
          <w:r>
            <w:rPr>
              <w:rFonts w:hint="eastAsia" w:ascii="仿宋" w:hAnsi="仿宋" w:eastAsia="仿宋"/>
              <w:bCs/>
              <w:snapToGrid w:val="0"/>
              <w:szCs w:val="24"/>
            </w:rPr>
            <w:t>1</w:t>
          </w:r>
          <w:r>
            <w:rPr>
              <w:rFonts w:ascii="仿宋" w:hAnsi="仿宋" w:eastAsia="仿宋"/>
              <w:bCs/>
              <w:snapToGrid w:val="0"/>
              <w:szCs w:val="24"/>
            </w:rPr>
            <w:t>.3 费用承担</w:t>
          </w:r>
          <w:r>
            <w:tab/>
          </w:r>
          <w:r>
            <w:fldChar w:fldCharType="begin"/>
          </w:r>
          <w:r>
            <w:instrText xml:space="preserve"> PAGEREF _Toc19980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"_Toc20437" </w:instrText>
          </w:r>
          <w:r>
            <w:fldChar w:fldCharType="separate"/>
          </w:r>
          <w:r>
            <w:rPr>
              <w:rFonts w:hint="eastAsia" w:ascii="仿宋" w:hAnsi="仿宋" w:eastAsia="仿宋"/>
              <w:bCs/>
              <w:snapToGrid w:val="0"/>
              <w:szCs w:val="24"/>
            </w:rPr>
            <w:t>1</w:t>
          </w:r>
          <w:r>
            <w:rPr>
              <w:rFonts w:ascii="仿宋" w:hAnsi="仿宋" w:eastAsia="仿宋"/>
              <w:bCs/>
              <w:snapToGrid w:val="0"/>
              <w:szCs w:val="24"/>
            </w:rPr>
            <w:t>.4 保密</w:t>
          </w:r>
          <w:r>
            <w:tab/>
          </w:r>
          <w:r>
            <w:fldChar w:fldCharType="begin"/>
          </w:r>
          <w:r>
            <w:instrText xml:space="preserve"> PAGEREF _Toc20437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"_Toc7545" </w:instrText>
          </w:r>
          <w:r>
            <w:fldChar w:fldCharType="separate"/>
          </w:r>
          <w:r>
            <w:rPr>
              <w:rFonts w:hint="eastAsia" w:ascii="仿宋" w:hAnsi="仿宋" w:eastAsia="仿宋"/>
              <w:bCs/>
              <w:snapToGrid w:val="0"/>
              <w:szCs w:val="24"/>
            </w:rPr>
            <w:t>1</w:t>
          </w:r>
          <w:r>
            <w:rPr>
              <w:rFonts w:ascii="仿宋" w:hAnsi="仿宋" w:eastAsia="仿宋"/>
              <w:bCs/>
              <w:snapToGrid w:val="0"/>
              <w:szCs w:val="24"/>
            </w:rPr>
            <w:t>.5 语言文字</w:t>
          </w:r>
          <w:r>
            <w:tab/>
          </w:r>
          <w:r>
            <w:fldChar w:fldCharType="begin"/>
          </w:r>
          <w:r>
            <w:instrText xml:space="preserve"> PAGEREF _Toc7545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"_Toc13889" </w:instrText>
          </w:r>
          <w:r>
            <w:fldChar w:fldCharType="separate"/>
          </w:r>
          <w:r>
            <w:rPr>
              <w:rFonts w:hint="eastAsia" w:ascii="仿宋" w:hAnsi="仿宋" w:eastAsia="仿宋"/>
              <w:bCs/>
              <w:snapToGrid w:val="0"/>
              <w:szCs w:val="24"/>
            </w:rPr>
            <w:t>1</w:t>
          </w:r>
          <w:r>
            <w:rPr>
              <w:rFonts w:ascii="仿宋" w:hAnsi="仿宋" w:eastAsia="仿宋"/>
              <w:bCs/>
              <w:snapToGrid w:val="0"/>
              <w:szCs w:val="24"/>
            </w:rPr>
            <w:t>.6 计量单位</w:t>
          </w:r>
          <w:r>
            <w:tab/>
          </w:r>
          <w:r>
            <w:fldChar w:fldCharType="begin"/>
          </w:r>
          <w:r>
            <w:instrText xml:space="preserve"> PAGEREF _Toc13889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"_Toc14017" </w:instrText>
          </w:r>
          <w:r>
            <w:fldChar w:fldCharType="separate"/>
          </w:r>
          <w:r>
            <w:rPr>
              <w:rFonts w:hint="eastAsia" w:ascii="仿宋" w:hAnsi="仿宋" w:eastAsia="仿宋"/>
              <w:bCs/>
              <w:snapToGrid w:val="0"/>
              <w:szCs w:val="24"/>
            </w:rPr>
            <w:t>1</w:t>
          </w:r>
          <w:r>
            <w:rPr>
              <w:rFonts w:ascii="仿宋" w:hAnsi="仿宋" w:eastAsia="仿宋"/>
              <w:bCs/>
              <w:snapToGrid w:val="0"/>
              <w:szCs w:val="24"/>
            </w:rPr>
            <w:t>.7 踏勘现场</w:t>
          </w:r>
          <w:r>
            <w:tab/>
          </w:r>
          <w:r>
            <w:fldChar w:fldCharType="begin"/>
          </w:r>
          <w:r>
            <w:instrText xml:space="preserve"> PAGEREF _Toc14017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"_Toc9453" </w:instrText>
          </w:r>
          <w:r>
            <w:fldChar w:fldCharType="separate"/>
          </w:r>
          <w:r>
            <w:rPr>
              <w:rFonts w:hint="eastAsia" w:ascii="仿宋" w:hAnsi="仿宋" w:eastAsia="仿宋"/>
              <w:bCs/>
              <w:snapToGrid w:val="0"/>
              <w:szCs w:val="24"/>
            </w:rPr>
            <w:t>1</w:t>
          </w:r>
          <w:r>
            <w:rPr>
              <w:rFonts w:ascii="仿宋" w:hAnsi="仿宋" w:eastAsia="仿宋"/>
              <w:bCs/>
              <w:snapToGrid w:val="0"/>
              <w:szCs w:val="24"/>
            </w:rPr>
            <w:t>.8 谈判采购预备会</w:t>
          </w:r>
          <w:r>
            <w:tab/>
          </w:r>
          <w:r>
            <w:fldChar w:fldCharType="begin"/>
          </w:r>
          <w:r>
            <w:instrText xml:space="preserve"> PAGEREF _Toc9453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"_Toc23250" </w:instrText>
          </w:r>
          <w:r>
            <w:fldChar w:fldCharType="separate"/>
          </w:r>
          <w:r>
            <w:rPr>
              <w:rFonts w:hint="eastAsia" w:ascii="仿宋" w:hAnsi="仿宋" w:eastAsia="仿宋"/>
              <w:bCs/>
              <w:snapToGrid w:val="0"/>
              <w:szCs w:val="24"/>
            </w:rPr>
            <w:t>1</w:t>
          </w:r>
          <w:r>
            <w:rPr>
              <w:rFonts w:ascii="仿宋" w:hAnsi="仿宋" w:eastAsia="仿宋"/>
              <w:bCs/>
              <w:snapToGrid w:val="0"/>
              <w:szCs w:val="24"/>
            </w:rPr>
            <w:t>.9 分包</w:t>
          </w:r>
          <w:r>
            <w:tab/>
          </w:r>
          <w:r>
            <w:fldChar w:fldCharType="begin"/>
          </w:r>
          <w:r>
            <w:instrText xml:space="preserve"> PAGEREF _Toc23250 \h </w:instrText>
          </w:r>
          <w:r>
            <w:fldChar w:fldCharType="separate"/>
          </w:r>
          <w:r>
            <w:t>20</w:t>
          </w:r>
          <w:r>
            <w:fldChar w:fldCharType="end"/>
          </w:r>
          <w:r>
            <w:fldChar w:fldCharType="end"/>
          </w:r>
        </w:p>
        <w:p>
          <w:pPr>
            <w:pStyle w:val="22"/>
            <w:tabs>
              <w:tab w:val="right" w:leader="dot" w:pos="9552"/>
            </w:tabs>
            <w:ind w:left="880"/>
          </w:pPr>
          <w:r>
            <w:fldChar w:fldCharType="begin"/>
          </w:r>
          <w:r>
            <w:instrText xml:space="preserve"> HYPERLINK \l "_Toc2456" </w:instrText>
          </w:r>
          <w:r>
            <w:fldChar w:fldCharType="separate"/>
          </w:r>
          <w:r>
            <w:rPr>
              <w:rFonts w:hint="eastAsia" w:ascii="仿宋" w:hAnsi="仿宋" w:eastAsia="仿宋"/>
              <w:bCs/>
              <w:snapToGrid w:val="0"/>
              <w:szCs w:val="24"/>
            </w:rPr>
            <w:t>1</w:t>
          </w:r>
          <w:r>
            <w:rPr>
              <w:rFonts w:ascii="仿宋" w:hAnsi="仿宋" w:eastAsia="仿宋"/>
              <w:bCs/>
              <w:snapToGrid w:val="0"/>
              <w:szCs w:val="24"/>
            </w:rPr>
            <w:t>.10 响应和偏差</w:t>
          </w:r>
          <w:r>
            <w:tab/>
          </w:r>
          <w:r>
            <w:fldChar w:fldCharType="begin"/>
          </w:r>
          <w:r>
            <w:instrText xml:space="preserve"> PAGEREF _Toc2456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"_Toc22228" </w:instrText>
          </w:r>
          <w:r>
            <w:fldChar w:fldCharType="separate"/>
          </w:r>
          <w:r>
            <w:rPr>
              <w:rFonts w:ascii="仿宋" w:hAnsi="仿宋" w:eastAsia="仿宋"/>
              <w:bCs/>
              <w:snapToGrid w:val="0"/>
              <w:szCs w:val="24"/>
            </w:rPr>
            <w:t>2</w:t>
          </w:r>
          <w:r>
            <w:rPr>
              <w:rFonts w:hint="eastAsia" w:ascii="仿宋" w:hAnsi="仿宋" w:eastAsia="仿宋"/>
              <w:bCs/>
              <w:snapToGrid w:val="0"/>
              <w:szCs w:val="24"/>
            </w:rPr>
            <w:t>．</w:t>
          </w:r>
          <w:r>
            <w:rPr>
              <w:rFonts w:ascii="仿宋" w:hAnsi="仿宋" w:eastAsia="仿宋"/>
              <w:bCs/>
              <w:snapToGrid w:val="0"/>
              <w:szCs w:val="24"/>
            </w:rPr>
            <w:t>采购文件</w:t>
          </w:r>
          <w:r>
            <w:tab/>
          </w:r>
          <w:r>
            <w:fldChar w:fldCharType="begin"/>
          </w:r>
          <w:r>
            <w:instrText xml:space="preserve"> PAGEREF _Toc22228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"_Toc16806" </w:instrText>
          </w:r>
          <w:r>
            <w:fldChar w:fldCharType="separate"/>
          </w:r>
          <w:r>
            <w:rPr>
              <w:rFonts w:hint="eastAsia" w:ascii="仿宋" w:hAnsi="仿宋" w:eastAsia="仿宋"/>
              <w:snapToGrid w:val="0"/>
              <w:szCs w:val="24"/>
            </w:rPr>
            <w:t>2</w:t>
          </w:r>
          <w:r>
            <w:rPr>
              <w:rFonts w:ascii="仿宋" w:hAnsi="仿宋" w:eastAsia="仿宋"/>
              <w:snapToGrid w:val="0"/>
              <w:szCs w:val="24"/>
            </w:rPr>
            <w:t>.1 采购文件的组成</w:t>
          </w:r>
          <w:r>
            <w:tab/>
          </w:r>
          <w:r>
            <w:fldChar w:fldCharType="begin"/>
          </w:r>
          <w:r>
            <w:instrText xml:space="preserve"> PAGEREF _Toc16806 \h </w:instrText>
          </w:r>
          <w:r>
            <w:fldChar w:fldCharType="separate"/>
          </w:r>
          <w:r>
            <w:t>21</w:t>
          </w:r>
          <w:r>
            <w:fldChar w:fldCharType="end"/>
          </w:r>
          <w:r>
            <w:fldChar w:fldCharType="end"/>
          </w:r>
        </w:p>
        <w:p>
          <w:pPr>
            <w:pStyle w:val="22"/>
            <w:tabs>
              <w:tab w:val="right" w:leader="dot" w:pos="9552"/>
            </w:tabs>
            <w:ind w:left="880"/>
          </w:pPr>
          <w:r>
            <w:fldChar w:fldCharType="begin"/>
          </w:r>
          <w:r>
            <w:instrText xml:space="preserve"> HYPERLINK \l "_Toc11278" </w:instrText>
          </w:r>
          <w:r>
            <w:fldChar w:fldCharType="separate"/>
          </w:r>
          <w:r>
            <w:rPr>
              <w:rFonts w:hint="eastAsia" w:ascii="仿宋" w:hAnsi="仿宋" w:eastAsia="仿宋"/>
              <w:snapToGrid w:val="0"/>
              <w:szCs w:val="24"/>
            </w:rPr>
            <w:t>2</w:t>
          </w:r>
          <w:r>
            <w:rPr>
              <w:rFonts w:ascii="仿宋" w:hAnsi="仿宋" w:eastAsia="仿宋"/>
              <w:snapToGrid w:val="0"/>
              <w:szCs w:val="24"/>
            </w:rPr>
            <w:t>.2 采购文件的澄清和修改</w:t>
          </w:r>
          <w:r>
            <w:tab/>
          </w:r>
          <w:r>
            <w:fldChar w:fldCharType="begin"/>
          </w:r>
          <w:r>
            <w:instrText xml:space="preserve"> PAGEREF _Toc11278 \h </w:instrText>
          </w:r>
          <w:r>
            <w:fldChar w:fldCharType="separate"/>
          </w:r>
          <w:r>
            <w:t>21</w:t>
          </w:r>
          <w:r>
            <w:fldChar w:fldCharType="end"/>
          </w:r>
          <w:r>
            <w:fldChar w:fldCharType="end"/>
          </w:r>
        </w:p>
        <w:p>
          <w:pPr>
            <w:pStyle w:val="35"/>
            <w:tabs>
              <w:tab w:val="right" w:leader="dot" w:pos="9552"/>
            </w:tabs>
            <w:ind w:left="440"/>
          </w:pPr>
          <w:r>
            <w:fldChar w:fldCharType="begin"/>
          </w:r>
          <w:r>
            <w:instrText xml:space="preserve"> HYPERLINK \l "_Toc17645" </w:instrText>
          </w:r>
          <w:r>
            <w:fldChar w:fldCharType="separate"/>
          </w:r>
          <w:r>
            <w:rPr>
              <w:rFonts w:ascii="仿宋" w:hAnsi="仿宋" w:eastAsia="仿宋"/>
              <w:bCs/>
              <w:snapToGrid w:val="0"/>
              <w:szCs w:val="24"/>
            </w:rPr>
            <w:t>3 响应文件</w:t>
          </w:r>
          <w:r>
            <w:tab/>
          </w:r>
          <w:r>
            <w:fldChar w:fldCharType="begin"/>
          </w:r>
          <w:r>
            <w:instrText xml:space="preserve"> PAGEREF _Toc17645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"_Toc10241" </w:instrText>
          </w:r>
          <w:r>
            <w:fldChar w:fldCharType="separate"/>
          </w:r>
          <w:r>
            <w:rPr>
              <w:rFonts w:hint="eastAsia" w:ascii="仿宋" w:hAnsi="仿宋" w:eastAsia="仿宋"/>
              <w:snapToGrid w:val="0"/>
              <w:szCs w:val="24"/>
            </w:rPr>
            <w:t>3</w:t>
          </w:r>
          <w:r>
            <w:rPr>
              <w:rFonts w:ascii="仿宋" w:hAnsi="仿宋" w:eastAsia="仿宋"/>
              <w:snapToGrid w:val="0"/>
              <w:szCs w:val="24"/>
            </w:rPr>
            <w:t>.1 响应文件的组成</w:t>
          </w:r>
          <w:r>
            <w:tab/>
          </w:r>
          <w:r>
            <w:fldChar w:fldCharType="begin"/>
          </w:r>
          <w:r>
            <w:instrText xml:space="preserve"> PAGEREF _Toc10241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"_Toc5088" </w:instrText>
          </w:r>
          <w:r>
            <w:fldChar w:fldCharType="separate"/>
          </w:r>
          <w:r>
            <w:rPr>
              <w:rFonts w:hint="eastAsia" w:ascii="仿宋" w:hAnsi="仿宋" w:eastAsia="仿宋"/>
              <w:snapToGrid w:val="0"/>
              <w:szCs w:val="24"/>
            </w:rPr>
            <w:t>3</w:t>
          </w:r>
          <w:r>
            <w:rPr>
              <w:rFonts w:ascii="仿宋" w:hAnsi="仿宋" w:eastAsia="仿宋"/>
              <w:snapToGrid w:val="0"/>
              <w:szCs w:val="24"/>
            </w:rPr>
            <w:t>.2报价</w:t>
          </w:r>
          <w:r>
            <w:tab/>
          </w:r>
          <w:r>
            <w:fldChar w:fldCharType="begin"/>
          </w:r>
          <w:r>
            <w:instrText xml:space="preserve"> PAGEREF _Toc5088 \h </w:instrText>
          </w:r>
          <w:r>
            <w:fldChar w:fldCharType="separate"/>
          </w:r>
          <w:r>
            <w:t>22</w:t>
          </w:r>
          <w:r>
            <w:fldChar w:fldCharType="end"/>
          </w:r>
          <w:r>
            <w:fldChar w:fldCharType="end"/>
          </w:r>
        </w:p>
        <w:p>
          <w:pPr>
            <w:pStyle w:val="22"/>
            <w:tabs>
              <w:tab w:val="right" w:leader="dot" w:pos="9552"/>
            </w:tabs>
            <w:ind w:left="880"/>
          </w:pPr>
          <w:r>
            <w:fldChar w:fldCharType="begin"/>
          </w:r>
          <w:r>
            <w:instrText xml:space="preserve"> HYPERLINK \l "_Toc30307" </w:instrText>
          </w:r>
          <w:r>
            <w:fldChar w:fldCharType="separate"/>
          </w:r>
          <w:r>
            <w:rPr>
              <w:rFonts w:hint="eastAsia" w:ascii="仿宋" w:hAnsi="仿宋" w:eastAsia="仿宋"/>
              <w:snapToGrid w:val="0"/>
              <w:szCs w:val="24"/>
            </w:rPr>
            <w:t>3</w:t>
          </w:r>
          <w:r>
            <w:rPr>
              <w:rFonts w:ascii="仿宋" w:hAnsi="仿宋" w:eastAsia="仿宋"/>
              <w:snapToGrid w:val="0"/>
              <w:szCs w:val="24"/>
            </w:rPr>
            <w:t>.3 响应文件有效期</w:t>
          </w:r>
          <w:r>
            <w:tab/>
          </w:r>
          <w:r>
            <w:fldChar w:fldCharType="begin"/>
          </w:r>
          <w:r>
            <w:instrText xml:space="preserve"> PAGEREF _Toc30307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"_Toc27688" </w:instrText>
          </w:r>
          <w:r>
            <w:fldChar w:fldCharType="separate"/>
          </w:r>
          <w:r>
            <w:rPr>
              <w:rFonts w:hint="eastAsia" w:ascii="仿宋" w:hAnsi="仿宋" w:eastAsia="仿宋"/>
              <w:snapToGrid w:val="0"/>
              <w:szCs w:val="24"/>
            </w:rPr>
            <w:t>3</w:t>
          </w:r>
          <w:r>
            <w:rPr>
              <w:rFonts w:ascii="仿宋" w:hAnsi="仿宋" w:eastAsia="仿宋"/>
              <w:snapToGrid w:val="0"/>
              <w:szCs w:val="24"/>
            </w:rPr>
            <w:t>.4 响应保证金</w:t>
          </w:r>
          <w:r>
            <w:tab/>
          </w:r>
          <w:r>
            <w:fldChar w:fldCharType="begin"/>
          </w:r>
          <w:r>
            <w:instrText xml:space="preserve"> PAGEREF _Toc27688 \h </w:instrText>
          </w:r>
          <w:r>
            <w:fldChar w:fldCharType="separate"/>
          </w:r>
          <w:r>
            <w:t>23</w:t>
          </w:r>
          <w:r>
            <w:fldChar w:fldCharType="end"/>
          </w:r>
          <w:r>
            <w:fldChar w:fldCharType="end"/>
          </w:r>
        </w:p>
        <w:p>
          <w:pPr>
            <w:pStyle w:val="22"/>
            <w:tabs>
              <w:tab w:val="right" w:leader="dot" w:pos="9552"/>
            </w:tabs>
            <w:ind w:left="880"/>
          </w:pPr>
          <w:r>
            <w:fldChar w:fldCharType="begin"/>
          </w:r>
          <w:r>
            <w:instrText xml:space="preserve"> HYPERLINK \l "_Toc17372" </w:instrText>
          </w:r>
          <w:r>
            <w:fldChar w:fldCharType="separate"/>
          </w:r>
          <w:r>
            <w:rPr>
              <w:rFonts w:hint="eastAsia" w:ascii="仿宋" w:hAnsi="仿宋" w:eastAsia="仿宋"/>
              <w:snapToGrid w:val="0"/>
              <w:szCs w:val="24"/>
            </w:rPr>
            <w:t>3</w:t>
          </w:r>
          <w:r>
            <w:rPr>
              <w:rFonts w:ascii="仿宋" w:hAnsi="仿宋" w:eastAsia="仿宋"/>
              <w:snapToGrid w:val="0"/>
              <w:szCs w:val="24"/>
            </w:rPr>
            <w:t>.5 资格审查资料</w:t>
          </w:r>
          <w:r>
            <w:tab/>
          </w:r>
          <w:r>
            <w:fldChar w:fldCharType="begin"/>
          </w:r>
          <w:r>
            <w:instrText xml:space="preserve"> PAGEREF _Toc17372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"_Toc7914"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.6 响应方案</w:t>
          </w:r>
          <w:r>
            <w:tab/>
          </w:r>
          <w:r>
            <w:fldChar w:fldCharType="begin"/>
          </w:r>
          <w:r>
            <w:instrText xml:space="preserve"> PAGEREF _Toc7914 \h </w:instrText>
          </w:r>
          <w:r>
            <w:fldChar w:fldCharType="separate"/>
          </w:r>
          <w:r>
            <w:t>24</w:t>
          </w:r>
          <w:r>
            <w:fldChar w:fldCharType="end"/>
          </w:r>
          <w:r>
            <w:fldChar w:fldCharType="end"/>
          </w:r>
        </w:p>
        <w:p>
          <w:pPr>
            <w:pStyle w:val="22"/>
            <w:tabs>
              <w:tab w:val="right" w:leader="dot" w:pos="9552"/>
            </w:tabs>
            <w:ind w:left="880"/>
          </w:pPr>
          <w:r>
            <w:fldChar w:fldCharType="begin"/>
          </w:r>
          <w:r>
            <w:instrText xml:space="preserve"> HYPERLINK \l "_Toc32686" </w:instrText>
          </w:r>
          <w:r>
            <w:fldChar w:fldCharType="separate"/>
          </w:r>
          <w:r>
            <w:rPr>
              <w:rFonts w:hint="eastAsia" w:ascii="仿宋" w:hAnsi="仿宋" w:eastAsia="仿宋"/>
              <w:snapToGrid w:val="0"/>
              <w:szCs w:val="24"/>
            </w:rPr>
            <w:t>3</w:t>
          </w:r>
          <w:r>
            <w:rPr>
              <w:rFonts w:ascii="仿宋" w:hAnsi="仿宋" w:eastAsia="仿宋"/>
              <w:snapToGrid w:val="0"/>
              <w:szCs w:val="24"/>
            </w:rPr>
            <w:t>.7 响应文件的编制</w:t>
          </w:r>
          <w:r>
            <w:tab/>
          </w:r>
          <w:r>
            <w:fldChar w:fldCharType="begin"/>
          </w:r>
          <w:r>
            <w:instrText xml:space="preserve"> PAGEREF _Toc32686 \h </w:instrText>
          </w:r>
          <w:r>
            <w:fldChar w:fldCharType="separate"/>
          </w:r>
          <w:r>
            <w:t>24</w:t>
          </w:r>
          <w:r>
            <w:fldChar w:fldCharType="end"/>
          </w:r>
          <w:r>
            <w:fldChar w:fldCharType="end"/>
          </w:r>
        </w:p>
        <w:p>
          <w:pPr>
            <w:pStyle w:val="35"/>
            <w:tabs>
              <w:tab w:val="right" w:leader="dot" w:pos="9552"/>
            </w:tabs>
            <w:ind w:left="440"/>
          </w:pPr>
          <w:r>
            <w:fldChar w:fldCharType="begin"/>
          </w:r>
          <w:r>
            <w:instrText xml:space="preserve"> HYPERLINK \l "_Toc32328" </w:instrText>
          </w:r>
          <w:r>
            <w:fldChar w:fldCharType="separate"/>
          </w:r>
          <w:r>
            <w:rPr>
              <w:rFonts w:eastAsia="仿宋" w:asciiTheme="minorEastAsia" w:hAnsiTheme="minorEastAsia"/>
              <w:bCs/>
              <w:snapToGrid w:val="0"/>
              <w:szCs w:val="24"/>
            </w:rPr>
            <w:t>4</w:t>
          </w:r>
          <w:r>
            <w:rPr>
              <w:rFonts w:hint="eastAsia" w:eastAsia="仿宋" w:asciiTheme="minorEastAsia" w:hAnsiTheme="minorEastAsia"/>
              <w:bCs/>
              <w:snapToGrid w:val="0"/>
              <w:szCs w:val="24"/>
            </w:rPr>
            <w:t>.采购</w:t>
          </w:r>
          <w:r>
            <w:rPr>
              <w:rFonts w:eastAsia="仿宋" w:asciiTheme="minorEastAsia" w:hAnsiTheme="minorEastAsia"/>
              <w:bCs/>
              <w:snapToGrid w:val="0"/>
              <w:szCs w:val="24"/>
            </w:rPr>
            <w:t>和评审</w:t>
          </w:r>
          <w:r>
            <w:tab/>
          </w:r>
          <w:r>
            <w:fldChar w:fldCharType="begin"/>
          </w:r>
          <w:r>
            <w:instrText xml:space="preserve"> PAGEREF _Toc32328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"_Toc31672" </w:instrText>
          </w:r>
          <w:r>
            <w:fldChar w:fldCharType="separate"/>
          </w:r>
          <w:r>
            <w:rPr>
              <w:rFonts w:eastAsia="仿宋" w:asciiTheme="minorEastAsia" w:hAnsiTheme="minorEastAsia"/>
              <w:snapToGrid w:val="0"/>
              <w:szCs w:val="24"/>
            </w:rPr>
            <w:t>4.1 采购小组</w:t>
          </w:r>
          <w:r>
            <w:tab/>
          </w:r>
          <w:r>
            <w:fldChar w:fldCharType="begin"/>
          </w:r>
          <w:r>
            <w:instrText xml:space="preserve"> PAGEREF _Toc31672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"_Toc17376" </w:instrText>
          </w:r>
          <w:r>
            <w:fldChar w:fldCharType="separate"/>
          </w:r>
          <w:r>
            <w:rPr>
              <w:rFonts w:eastAsia="仿宋" w:asciiTheme="minorEastAsia" w:hAnsiTheme="minorEastAsia"/>
              <w:snapToGrid w:val="0"/>
              <w:szCs w:val="24"/>
            </w:rPr>
            <w:t>4.2 初步评审</w:t>
          </w:r>
          <w:r>
            <w:tab/>
          </w:r>
          <w:r>
            <w:fldChar w:fldCharType="begin"/>
          </w:r>
          <w:r>
            <w:instrText xml:space="preserve"> PAGEREF _Toc17376 \h </w:instrText>
          </w:r>
          <w:r>
            <w:fldChar w:fldCharType="separate"/>
          </w:r>
          <w:r>
            <w:t>25</w:t>
          </w:r>
          <w:r>
            <w:fldChar w:fldCharType="end"/>
          </w:r>
          <w:r>
            <w:fldChar w:fldCharType="end"/>
          </w:r>
        </w:p>
        <w:p>
          <w:pPr>
            <w:pStyle w:val="22"/>
            <w:tabs>
              <w:tab w:val="right" w:leader="dot" w:pos="9552"/>
            </w:tabs>
            <w:ind w:left="880"/>
          </w:pPr>
          <w:r>
            <w:fldChar w:fldCharType="begin"/>
          </w:r>
          <w:r>
            <w:instrText xml:space="preserve"> HYPERLINK \l "_Toc25968" </w:instrText>
          </w:r>
          <w:r>
            <w:fldChar w:fldCharType="separate"/>
          </w:r>
          <w:r>
            <w:rPr>
              <w:rFonts w:eastAsia="仿宋" w:asciiTheme="minorEastAsia" w:hAnsiTheme="minorEastAsia"/>
              <w:snapToGrid w:val="0"/>
              <w:szCs w:val="24"/>
            </w:rPr>
            <w:t>4.3 谈判</w:t>
          </w:r>
          <w:r>
            <w:tab/>
          </w:r>
          <w:r>
            <w:fldChar w:fldCharType="begin"/>
          </w:r>
          <w:r>
            <w:instrText xml:space="preserve"> PAGEREF _Toc25968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"_Toc8279" </w:instrText>
          </w:r>
          <w:r>
            <w:fldChar w:fldCharType="separate"/>
          </w:r>
          <w:r>
            <w:rPr>
              <w:rFonts w:eastAsia="仿宋" w:asciiTheme="minorEastAsia" w:hAnsiTheme="minorEastAsia"/>
              <w:snapToGrid w:val="0"/>
              <w:szCs w:val="24"/>
            </w:rPr>
            <w:t>4.4 递交补充响应文件</w:t>
          </w:r>
          <w:r>
            <w:tab/>
          </w:r>
          <w:r>
            <w:fldChar w:fldCharType="begin"/>
          </w:r>
          <w:r>
            <w:instrText xml:space="preserve"> PAGEREF _Toc8279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"_Toc10184" </w:instrText>
          </w:r>
          <w:r>
            <w:fldChar w:fldCharType="separate"/>
          </w:r>
          <w:r>
            <w:rPr>
              <w:rFonts w:eastAsia="仿宋" w:asciiTheme="minorEastAsia" w:hAnsiTheme="minorEastAsia"/>
              <w:snapToGrid w:val="0"/>
              <w:szCs w:val="24"/>
            </w:rPr>
            <w:t>4.5 递交最终报价</w:t>
          </w:r>
          <w:r>
            <w:tab/>
          </w:r>
          <w:r>
            <w:fldChar w:fldCharType="begin"/>
          </w:r>
          <w:r>
            <w:instrText xml:space="preserve"> PAGEREF _Toc10184 \h </w:instrText>
          </w:r>
          <w:r>
            <w:fldChar w:fldCharType="separate"/>
          </w:r>
          <w:r>
            <w:t>26</w:t>
          </w:r>
          <w:r>
            <w:fldChar w:fldCharType="end"/>
          </w:r>
          <w:r>
            <w:fldChar w:fldCharType="end"/>
          </w:r>
        </w:p>
        <w:p>
          <w:pPr>
            <w:pStyle w:val="22"/>
            <w:tabs>
              <w:tab w:val="right" w:leader="dot" w:pos="9552"/>
            </w:tabs>
            <w:ind w:left="880"/>
          </w:pPr>
          <w:r>
            <w:fldChar w:fldCharType="begin"/>
          </w:r>
          <w:r>
            <w:instrText xml:space="preserve"> HYPERLINK \l "_Toc25655" </w:instrText>
          </w:r>
          <w:r>
            <w:fldChar w:fldCharType="separate"/>
          </w:r>
          <w:r>
            <w:rPr>
              <w:rFonts w:eastAsia="仿宋" w:asciiTheme="minorEastAsia" w:hAnsiTheme="minorEastAsia"/>
              <w:snapToGrid w:val="0"/>
              <w:szCs w:val="24"/>
            </w:rPr>
            <w:t>4.6 详细评</w:t>
          </w:r>
          <w:r>
            <w:rPr>
              <w:rFonts w:hint="eastAsia" w:eastAsia="仿宋" w:asciiTheme="minorEastAsia" w:hAnsiTheme="minorEastAsia"/>
              <w:snapToGrid w:val="0"/>
              <w:szCs w:val="24"/>
            </w:rPr>
            <w:t>审</w:t>
          </w:r>
          <w:r>
            <w:rPr>
              <w:rFonts w:eastAsia="仿宋" w:asciiTheme="minorEastAsia" w:hAnsiTheme="minorEastAsia"/>
              <w:snapToGrid w:val="0"/>
              <w:szCs w:val="24"/>
            </w:rPr>
            <w:t>及推荐成交供应商</w:t>
          </w:r>
          <w:r>
            <w:tab/>
          </w:r>
          <w:r>
            <w:fldChar w:fldCharType="begin"/>
          </w:r>
          <w:r>
            <w:instrText xml:space="preserve"> PAGEREF _Toc25655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"_Toc1303" </w:instrText>
          </w:r>
          <w:r>
            <w:fldChar w:fldCharType="separate"/>
          </w:r>
          <w:r>
            <w:rPr>
              <w:rFonts w:eastAsia="仿宋" w:asciiTheme="minorEastAsia" w:hAnsiTheme="minorEastAsia"/>
              <w:snapToGrid w:val="0"/>
              <w:szCs w:val="24"/>
            </w:rPr>
            <w:t>4.7 特殊情形处理</w:t>
          </w:r>
          <w:r>
            <w:tab/>
          </w:r>
          <w:r>
            <w:fldChar w:fldCharType="begin"/>
          </w:r>
          <w:r>
            <w:instrText xml:space="preserve"> PAGEREF _Toc1303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"_Toc29853" </w:instrText>
          </w:r>
          <w:r>
            <w:fldChar w:fldCharType="separate"/>
          </w:r>
          <w:r>
            <w:rPr>
              <w:rFonts w:eastAsia="仿宋" w:asciiTheme="minorEastAsia" w:hAnsiTheme="minorEastAsia"/>
              <w:bCs/>
              <w:snapToGrid w:val="0"/>
              <w:szCs w:val="24"/>
            </w:rPr>
            <w:t>5</w:t>
          </w:r>
          <w:r>
            <w:rPr>
              <w:rFonts w:hint="eastAsia" w:eastAsia="仿宋" w:asciiTheme="minorEastAsia" w:hAnsiTheme="minorEastAsia"/>
              <w:bCs/>
              <w:snapToGrid w:val="0"/>
              <w:szCs w:val="24"/>
            </w:rPr>
            <w:t>．</w:t>
          </w:r>
          <w:r>
            <w:rPr>
              <w:rFonts w:eastAsia="仿宋" w:asciiTheme="minorEastAsia" w:hAnsiTheme="minorEastAsia"/>
              <w:bCs/>
              <w:snapToGrid w:val="0"/>
              <w:szCs w:val="24"/>
            </w:rPr>
            <w:t>合同授予</w:t>
          </w:r>
          <w:r>
            <w:tab/>
          </w:r>
          <w:r>
            <w:fldChar w:fldCharType="begin"/>
          </w:r>
          <w:r>
            <w:instrText xml:space="preserve"> PAGEREF _Toc29853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"_Toc29060" </w:instrText>
          </w:r>
          <w:r>
            <w:fldChar w:fldCharType="separate"/>
          </w:r>
          <w:r>
            <w:rPr>
              <w:rFonts w:eastAsia="仿宋" w:asciiTheme="minorEastAsia" w:hAnsiTheme="minorEastAsia"/>
              <w:snapToGrid w:val="0"/>
              <w:szCs w:val="24"/>
            </w:rPr>
            <w:t>5.1 发出成交通知书</w:t>
          </w:r>
          <w:r>
            <w:tab/>
          </w:r>
          <w:r>
            <w:fldChar w:fldCharType="begin"/>
          </w:r>
          <w:r>
            <w:instrText xml:space="preserve"> PAGEREF _Toc29060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"_Toc4758" </w:instrText>
          </w:r>
          <w:r>
            <w:fldChar w:fldCharType="separate"/>
          </w:r>
          <w:r>
            <w:rPr>
              <w:rFonts w:eastAsia="仿宋" w:asciiTheme="minorEastAsia" w:hAnsiTheme="minorEastAsia"/>
              <w:snapToGrid w:val="0"/>
              <w:szCs w:val="24"/>
            </w:rPr>
            <w:t>5.2 履约保证金</w:t>
          </w:r>
          <w:r>
            <w:tab/>
          </w:r>
          <w:r>
            <w:fldChar w:fldCharType="begin"/>
          </w:r>
          <w:r>
            <w:instrText xml:space="preserve"> PAGEREF _Toc4758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"_Toc14720" </w:instrText>
          </w:r>
          <w:r>
            <w:fldChar w:fldCharType="separate"/>
          </w:r>
          <w:r>
            <w:rPr>
              <w:rFonts w:eastAsia="仿宋" w:asciiTheme="minorEastAsia" w:hAnsiTheme="minorEastAsia"/>
              <w:snapToGrid w:val="0"/>
              <w:szCs w:val="24"/>
            </w:rPr>
            <w:t>5.3 签订合同</w:t>
          </w:r>
          <w:r>
            <w:tab/>
          </w:r>
          <w:r>
            <w:fldChar w:fldCharType="begin"/>
          </w:r>
          <w:r>
            <w:instrText xml:space="preserve"> PAGEREF _Toc14720 \h </w:instrText>
          </w:r>
          <w:r>
            <w:fldChar w:fldCharType="separate"/>
          </w:r>
          <w:r>
            <w:t>27</w:t>
          </w:r>
          <w:r>
            <w:fldChar w:fldCharType="end"/>
          </w:r>
          <w:r>
            <w:fldChar w:fldCharType="end"/>
          </w:r>
        </w:p>
        <w:p>
          <w:pPr>
            <w:pStyle w:val="35"/>
            <w:tabs>
              <w:tab w:val="right" w:leader="dot" w:pos="9552"/>
            </w:tabs>
            <w:ind w:left="440"/>
          </w:pPr>
          <w:r>
            <w:fldChar w:fldCharType="begin"/>
          </w:r>
          <w:r>
            <w:instrText xml:space="preserve"> HYPERLINK \l "_Toc29205" </w:instrText>
          </w:r>
          <w:r>
            <w:fldChar w:fldCharType="separate"/>
          </w:r>
          <w:r>
            <w:rPr>
              <w:rFonts w:eastAsia="仿宋" w:asciiTheme="minorEastAsia" w:hAnsiTheme="minorEastAsia"/>
              <w:snapToGrid w:val="0"/>
              <w:szCs w:val="24"/>
            </w:rPr>
            <w:t>6</w:t>
          </w:r>
          <w:r>
            <w:rPr>
              <w:rFonts w:hint="eastAsia" w:eastAsia="仿宋" w:asciiTheme="minorEastAsia" w:hAnsiTheme="minorEastAsia"/>
              <w:snapToGrid w:val="0"/>
              <w:szCs w:val="24"/>
            </w:rPr>
            <w:t>．</w:t>
          </w:r>
          <w:r>
            <w:rPr>
              <w:rFonts w:eastAsia="仿宋" w:asciiTheme="minorEastAsia" w:hAnsiTheme="minorEastAsia"/>
              <w:snapToGrid w:val="0"/>
              <w:szCs w:val="24"/>
            </w:rPr>
            <w:t>纪律要求</w:t>
          </w:r>
          <w:r>
            <w:tab/>
          </w:r>
          <w:r>
            <w:fldChar w:fldCharType="begin"/>
          </w:r>
          <w:r>
            <w:instrText xml:space="preserve"> PAGEREF _Toc29205 \h </w:instrText>
          </w:r>
          <w:r>
            <w:fldChar w:fldCharType="separate"/>
          </w:r>
          <w:r>
            <w:t>27</w:t>
          </w:r>
          <w:r>
            <w:fldChar w:fldCharType="end"/>
          </w:r>
          <w:r>
            <w:fldChar w:fldCharType="end"/>
          </w:r>
        </w:p>
        <w:p>
          <w:pPr>
            <w:pStyle w:val="22"/>
            <w:tabs>
              <w:tab w:val="right" w:leader="dot" w:pos="9552"/>
            </w:tabs>
            <w:ind w:left="880"/>
          </w:pPr>
          <w:r>
            <w:fldChar w:fldCharType="begin"/>
          </w:r>
          <w:r>
            <w:instrText xml:space="preserve"> HYPERLINK \l "_Toc7502" </w:instrText>
          </w:r>
          <w:r>
            <w:fldChar w:fldCharType="separate"/>
          </w:r>
          <w:r>
            <w:rPr>
              <w:rFonts w:eastAsia="仿宋" w:asciiTheme="minorEastAsia" w:hAnsiTheme="minorEastAsia"/>
              <w:snapToGrid w:val="0"/>
              <w:szCs w:val="24"/>
            </w:rPr>
            <w:t>6.1 对采购人的纪律要求</w:t>
          </w:r>
          <w:r>
            <w:tab/>
          </w:r>
          <w:r>
            <w:fldChar w:fldCharType="begin"/>
          </w:r>
          <w:r>
            <w:instrText xml:space="preserve"> PAGEREF _Toc7502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"_Toc17895" </w:instrText>
          </w:r>
          <w:r>
            <w:fldChar w:fldCharType="separate"/>
          </w:r>
          <w:r>
            <w:rPr>
              <w:rFonts w:eastAsia="仿宋" w:asciiTheme="minorEastAsia" w:hAnsiTheme="minorEastAsia"/>
              <w:snapToGrid w:val="0"/>
              <w:szCs w:val="24"/>
            </w:rPr>
            <w:t>6.2 对供应商的纪律要求</w:t>
          </w:r>
          <w:r>
            <w:tab/>
          </w:r>
          <w:r>
            <w:fldChar w:fldCharType="begin"/>
          </w:r>
          <w:r>
            <w:instrText xml:space="preserve"> PAGEREF _Toc17895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"_Toc4537" </w:instrText>
          </w:r>
          <w:r>
            <w:fldChar w:fldCharType="separate"/>
          </w:r>
          <w:r>
            <w:rPr>
              <w:rFonts w:eastAsia="仿宋" w:asciiTheme="minorEastAsia" w:hAnsiTheme="minorEastAsia"/>
              <w:snapToGrid w:val="0"/>
              <w:szCs w:val="24"/>
            </w:rPr>
            <w:t>6.3 对采购小组成员的纪律要求</w:t>
          </w:r>
          <w:r>
            <w:tab/>
          </w:r>
          <w:r>
            <w:fldChar w:fldCharType="begin"/>
          </w:r>
          <w:r>
            <w:instrText xml:space="preserve"> PAGEREF _Toc4537 \h </w:instrText>
          </w:r>
          <w:r>
            <w:fldChar w:fldCharType="separate"/>
          </w:r>
          <w:r>
            <w:t>28</w:t>
          </w:r>
          <w:r>
            <w:fldChar w:fldCharType="end"/>
          </w:r>
          <w:r>
            <w:fldChar w:fldCharType="end"/>
          </w:r>
        </w:p>
        <w:p>
          <w:pPr>
            <w:pStyle w:val="22"/>
            <w:tabs>
              <w:tab w:val="right" w:leader="dot" w:pos="9552"/>
            </w:tabs>
            <w:ind w:left="880"/>
          </w:pPr>
          <w:r>
            <w:fldChar w:fldCharType="begin"/>
          </w:r>
          <w:r>
            <w:instrText xml:space="preserve"> HYPERLINK \l "_Toc20509" </w:instrText>
          </w:r>
          <w:r>
            <w:fldChar w:fldCharType="separate"/>
          </w:r>
          <w:r>
            <w:rPr>
              <w:rFonts w:eastAsia="仿宋" w:asciiTheme="minorEastAsia" w:hAnsiTheme="minorEastAsia"/>
              <w:snapToGrid w:val="0"/>
              <w:szCs w:val="24"/>
            </w:rPr>
            <w:t>6.4 对与采购活动有关的工作人员的纪律要求</w:t>
          </w:r>
          <w:r>
            <w:tab/>
          </w:r>
          <w:r>
            <w:fldChar w:fldCharType="begin"/>
          </w:r>
          <w:r>
            <w:instrText xml:space="preserve"> PAGEREF _Toc20509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"_Toc5974" </w:instrText>
          </w:r>
          <w:r>
            <w:fldChar w:fldCharType="separate"/>
          </w:r>
          <w:r>
            <w:rPr>
              <w:rFonts w:eastAsia="仿宋" w:asciiTheme="minorEastAsia" w:hAnsiTheme="minorEastAsia"/>
              <w:snapToGrid w:val="0"/>
              <w:szCs w:val="24"/>
            </w:rPr>
            <w:t>7</w:t>
          </w:r>
          <w:r>
            <w:rPr>
              <w:rFonts w:hint="eastAsia" w:eastAsia="仿宋" w:asciiTheme="minorEastAsia" w:hAnsiTheme="minorEastAsia"/>
              <w:snapToGrid w:val="0"/>
              <w:szCs w:val="24"/>
            </w:rPr>
            <w:t>．</w:t>
          </w:r>
          <w:r>
            <w:rPr>
              <w:rFonts w:eastAsia="仿宋" w:asciiTheme="minorEastAsia" w:hAnsiTheme="minorEastAsia"/>
              <w:snapToGrid w:val="0"/>
              <w:szCs w:val="24"/>
            </w:rPr>
            <w:t>需要补充的其他内容</w:t>
          </w:r>
          <w:r>
            <w:tab/>
          </w:r>
          <w:r>
            <w:fldChar w:fldCharType="begin"/>
          </w:r>
          <w:r>
            <w:instrText xml:space="preserve"> PAGEREF _Toc5974 \h </w:instrText>
          </w:r>
          <w:r>
            <w:fldChar w:fldCharType="separate"/>
          </w:r>
          <w:r>
            <w:t>28</w:t>
          </w:r>
          <w:r>
            <w:fldChar w:fldCharType="end"/>
          </w:r>
          <w:r>
            <w:fldChar w:fldCharType="end"/>
          </w:r>
        </w:p>
        <w:p>
          <w:pPr>
            <w:pStyle w:val="35"/>
            <w:tabs>
              <w:tab w:val="right" w:leader="dot" w:pos="9552"/>
            </w:tabs>
            <w:ind w:left="440"/>
          </w:pPr>
          <w:r>
            <w:fldChar w:fldCharType="begin"/>
          </w:r>
          <w:r>
            <w:instrText xml:space="preserve"> HYPERLINK \l "_Toc17071" </w:instrText>
          </w:r>
          <w:r>
            <w:fldChar w:fldCharType="separate"/>
          </w:r>
          <w:r>
            <w:rPr>
              <w:rFonts w:eastAsia="仿宋" w:asciiTheme="minorEastAsia" w:hAnsiTheme="minorEastAsia"/>
              <w:snapToGrid w:val="0"/>
              <w:szCs w:val="24"/>
            </w:rPr>
            <w:t>附件1 问题澄清通知</w:t>
          </w:r>
          <w:r>
            <w:tab/>
          </w:r>
          <w:r>
            <w:fldChar w:fldCharType="begin"/>
          </w:r>
          <w:r>
            <w:instrText xml:space="preserve"> PAGEREF _Toc17071 \h </w:instrText>
          </w:r>
          <w:r>
            <w:fldChar w:fldCharType="separate"/>
          </w:r>
          <w:r>
            <w:t>29</w:t>
          </w:r>
          <w:r>
            <w:fldChar w:fldCharType="end"/>
          </w:r>
          <w:r>
            <w:fldChar w:fldCharType="end"/>
          </w:r>
        </w:p>
        <w:p>
          <w:pPr>
            <w:pStyle w:val="22"/>
            <w:tabs>
              <w:tab w:val="right" w:leader="dot" w:pos="9552"/>
            </w:tabs>
            <w:ind w:left="880"/>
          </w:pPr>
          <w:r>
            <w:fldChar w:fldCharType="begin"/>
          </w:r>
          <w:r>
            <w:instrText xml:space="preserve"> HYPERLINK \l "_Toc25867" </w:instrText>
          </w:r>
          <w:r>
            <w:fldChar w:fldCharType="separate"/>
          </w:r>
          <w:r>
            <w:rPr>
              <w:rFonts w:eastAsia="仿宋" w:asciiTheme="minorEastAsia" w:hAnsiTheme="minorEastAsia"/>
              <w:bCs/>
              <w:snapToGrid w:val="0"/>
              <w:szCs w:val="32"/>
            </w:rPr>
            <w:t>问题澄清通知</w:t>
          </w:r>
          <w:r>
            <w:tab/>
          </w:r>
          <w:r>
            <w:fldChar w:fldCharType="begin"/>
          </w:r>
          <w:r>
            <w:instrText xml:space="preserve"> PAGEREF _Toc25867 \h </w:instrText>
          </w:r>
          <w:r>
            <w:fldChar w:fldCharType="separate"/>
          </w:r>
          <w:r>
            <w:t>29</w:t>
          </w:r>
          <w:r>
            <w:fldChar w:fldCharType="end"/>
          </w:r>
          <w:r>
            <w:fldChar w:fldCharType="end"/>
          </w:r>
        </w:p>
        <w:p>
          <w:pPr>
            <w:pStyle w:val="35"/>
            <w:tabs>
              <w:tab w:val="right" w:leader="dot" w:pos="9552"/>
            </w:tabs>
            <w:ind w:left="440"/>
          </w:pPr>
          <w:r>
            <w:fldChar w:fldCharType="begin"/>
          </w:r>
          <w:r>
            <w:instrText xml:space="preserve"> HYPERLINK \l "_Toc23153" </w:instrText>
          </w:r>
          <w:r>
            <w:fldChar w:fldCharType="separate"/>
          </w:r>
          <w:r>
            <w:rPr>
              <w:rFonts w:eastAsia="仿宋" w:asciiTheme="minorEastAsia" w:hAnsiTheme="minorEastAsia"/>
              <w:snapToGrid w:val="0"/>
              <w:szCs w:val="24"/>
            </w:rPr>
            <w:t>附件2 问题的澄清</w:t>
          </w:r>
          <w:r>
            <w:tab/>
          </w:r>
          <w:r>
            <w:fldChar w:fldCharType="begin"/>
          </w:r>
          <w:r>
            <w:instrText xml:space="preserve"> PAGEREF _Toc23153 \h </w:instrText>
          </w:r>
          <w:r>
            <w:fldChar w:fldCharType="separate"/>
          </w:r>
          <w:r>
            <w:t>30</w:t>
          </w:r>
          <w:r>
            <w:fldChar w:fldCharType="end"/>
          </w:r>
          <w:r>
            <w:fldChar w:fldCharType="end"/>
          </w:r>
        </w:p>
        <w:p>
          <w:pPr>
            <w:pStyle w:val="22"/>
            <w:tabs>
              <w:tab w:val="right" w:leader="dot" w:pos="9552"/>
            </w:tabs>
            <w:ind w:left="880"/>
          </w:pPr>
          <w:r>
            <w:fldChar w:fldCharType="begin"/>
          </w:r>
          <w:r>
            <w:instrText xml:space="preserve"> HYPERLINK \l "_Toc18363" </w:instrText>
          </w:r>
          <w:r>
            <w:fldChar w:fldCharType="separate"/>
          </w:r>
          <w:r>
            <w:rPr>
              <w:rFonts w:eastAsia="仿宋" w:asciiTheme="minorEastAsia" w:hAnsiTheme="minorEastAsia"/>
              <w:bCs/>
              <w:snapToGrid w:val="0"/>
              <w:szCs w:val="32"/>
            </w:rPr>
            <w:t>问题的澄清</w:t>
          </w:r>
          <w:r>
            <w:tab/>
          </w:r>
          <w:r>
            <w:fldChar w:fldCharType="begin"/>
          </w:r>
          <w:r>
            <w:instrText xml:space="preserve"> PAGEREF _Toc18363 \h </w:instrText>
          </w:r>
          <w:r>
            <w:fldChar w:fldCharType="separate"/>
          </w:r>
          <w:r>
            <w:t>30</w:t>
          </w:r>
          <w:r>
            <w:fldChar w:fldCharType="end"/>
          </w:r>
          <w:r>
            <w:fldChar w:fldCharType="end"/>
          </w:r>
        </w:p>
        <w:p>
          <w:pPr>
            <w:pStyle w:val="35"/>
            <w:tabs>
              <w:tab w:val="right" w:leader="dot" w:pos="9552"/>
            </w:tabs>
            <w:ind w:left="440"/>
          </w:pPr>
          <w:r>
            <w:fldChar w:fldCharType="begin"/>
          </w:r>
          <w:r>
            <w:instrText xml:space="preserve"> HYPERLINK \l "_Toc11930" </w:instrText>
          </w:r>
          <w:r>
            <w:fldChar w:fldCharType="separate"/>
          </w:r>
          <w:r>
            <w:rPr>
              <w:rFonts w:eastAsia="仿宋" w:asciiTheme="minorEastAsia" w:hAnsiTheme="minorEastAsia"/>
              <w:snapToGrid w:val="0"/>
              <w:szCs w:val="24"/>
            </w:rPr>
            <w:t>附件3 成交通知书</w:t>
          </w:r>
          <w:r>
            <w:tab/>
          </w:r>
          <w:r>
            <w:fldChar w:fldCharType="begin"/>
          </w:r>
          <w:r>
            <w:instrText xml:space="preserve"> PAGEREF _Toc11930 \h </w:instrText>
          </w:r>
          <w:r>
            <w:fldChar w:fldCharType="separate"/>
          </w:r>
          <w:r>
            <w:t>31</w:t>
          </w:r>
          <w:r>
            <w:fldChar w:fldCharType="end"/>
          </w:r>
          <w:r>
            <w:fldChar w:fldCharType="end"/>
          </w:r>
        </w:p>
        <w:p>
          <w:pPr>
            <w:pStyle w:val="22"/>
            <w:tabs>
              <w:tab w:val="right" w:leader="dot" w:pos="9552"/>
            </w:tabs>
            <w:ind w:left="880"/>
          </w:pPr>
          <w:r>
            <w:fldChar w:fldCharType="begin"/>
          </w:r>
          <w:r>
            <w:instrText xml:space="preserve"> HYPERLINK \l "_Toc26680" </w:instrText>
          </w:r>
          <w:r>
            <w:fldChar w:fldCharType="separate"/>
          </w:r>
          <w:r>
            <w:rPr>
              <w:rFonts w:eastAsia="仿宋" w:asciiTheme="minorEastAsia" w:hAnsiTheme="minorEastAsia"/>
              <w:bCs/>
              <w:snapToGrid w:val="0"/>
              <w:szCs w:val="32"/>
            </w:rPr>
            <w:t>成交通知书</w:t>
          </w:r>
          <w:r>
            <w:tab/>
          </w:r>
          <w:r>
            <w:fldChar w:fldCharType="begin"/>
          </w:r>
          <w:r>
            <w:instrText xml:space="preserve"> PAGEREF _Toc26680 \h </w:instrText>
          </w:r>
          <w:r>
            <w:fldChar w:fldCharType="separate"/>
          </w:r>
          <w:r>
            <w:t>31</w:t>
          </w:r>
          <w:r>
            <w:fldChar w:fldCharType="end"/>
          </w:r>
          <w:r>
            <w:fldChar w:fldCharType="end"/>
          </w:r>
        </w:p>
        <w:p>
          <w:pPr>
            <w:pStyle w:val="30"/>
            <w:tabs>
              <w:tab w:val="right" w:leader="dot" w:pos="9552"/>
              <w:tab w:val="clear" w:pos="8296"/>
            </w:tabs>
          </w:pPr>
          <w:r>
            <w:fldChar w:fldCharType="begin"/>
          </w:r>
          <w:r>
            <w:instrText xml:space="preserve"> HYPERLINK \l "_Toc16730" </w:instrText>
          </w:r>
          <w:r>
            <w:fldChar w:fldCharType="separate"/>
          </w:r>
          <w:r>
            <w:rPr>
              <w:rFonts w:hint="eastAsia" w:ascii="仿宋" w:hAnsi="仿宋" w:eastAsia="仿宋"/>
              <w:bCs/>
              <w:snapToGrid w:val="0"/>
              <w:szCs w:val="32"/>
            </w:rPr>
            <w:t>第</w:t>
          </w:r>
          <w:r>
            <w:rPr>
              <w:rFonts w:ascii="仿宋" w:hAnsi="仿宋" w:eastAsia="仿宋"/>
              <w:bCs/>
              <w:snapToGrid w:val="0"/>
              <w:szCs w:val="32"/>
            </w:rPr>
            <w:t>三</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评</w:t>
          </w:r>
          <w:r>
            <w:rPr>
              <w:rFonts w:ascii="仿宋" w:hAnsi="仿宋" w:eastAsia="仿宋"/>
              <w:bCs/>
              <w:snapToGrid w:val="0"/>
              <w:szCs w:val="32"/>
            </w:rPr>
            <w:t>审办法</w:t>
          </w:r>
          <w:r>
            <w:tab/>
          </w:r>
          <w:r>
            <w:fldChar w:fldCharType="begin"/>
          </w:r>
          <w:r>
            <w:instrText xml:space="preserve"> PAGEREF _Toc16730 \h </w:instrText>
          </w:r>
          <w:r>
            <w:fldChar w:fldCharType="separate"/>
          </w:r>
          <w:r>
            <w:t>32</w:t>
          </w:r>
          <w:r>
            <w:fldChar w:fldCharType="end"/>
          </w:r>
          <w:r>
            <w:fldChar w:fldCharType="end"/>
          </w:r>
        </w:p>
        <w:p>
          <w:pPr>
            <w:pStyle w:val="35"/>
            <w:tabs>
              <w:tab w:val="right" w:leader="dot" w:pos="9552"/>
            </w:tabs>
            <w:ind w:left="440"/>
          </w:pPr>
          <w:r>
            <w:fldChar w:fldCharType="begin"/>
          </w:r>
          <w:r>
            <w:instrText xml:space="preserve"> HYPERLINK \l "_Toc29171" </w:instrText>
          </w:r>
          <w:r>
            <w:fldChar w:fldCharType="separate"/>
          </w:r>
          <w:r>
            <w:rPr>
              <w:rFonts w:ascii="仿宋" w:hAnsi="仿宋" w:eastAsia="仿宋"/>
              <w:bCs/>
              <w:snapToGrid w:val="0"/>
              <w:szCs w:val="32"/>
            </w:rPr>
            <w:t>评审办法前附表</w:t>
          </w:r>
          <w:r>
            <w:tab/>
          </w:r>
          <w:r>
            <w:fldChar w:fldCharType="begin"/>
          </w:r>
          <w:r>
            <w:instrText xml:space="preserve"> PAGEREF _Toc29171 \h </w:instrText>
          </w:r>
          <w:r>
            <w:fldChar w:fldCharType="separate"/>
          </w:r>
          <w:r>
            <w:t>33</w:t>
          </w:r>
          <w:r>
            <w:fldChar w:fldCharType="end"/>
          </w:r>
          <w:r>
            <w:fldChar w:fldCharType="end"/>
          </w:r>
        </w:p>
        <w:p>
          <w:pPr>
            <w:pStyle w:val="35"/>
            <w:tabs>
              <w:tab w:val="right" w:leader="dot" w:pos="9552"/>
            </w:tabs>
            <w:ind w:left="440"/>
          </w:pPr>
          <w:r>
            <w:fldChar w:fldCharType="begin"/>
          </w:r>
          <w:r>
            <w:instrText xml:space="preserve"> HYPERLINK \l "_Toc603" </w:instrText>
          </w:r>
          <w:r>
            <w:fldChar w:fldCharType="separate"/>
          </w:r>
          <w:r>
            <w:rPr>
              <w:rFonts w:ascii="仿宋" w:hAnsi="仿宋" w:eastAsia="仿宋"/>
              <w:bCs/>
              <w:snapToGrid w:val="0"/>
              <w:szCs w:val="24"/>
            </w:rPr>
            <w:t>1 评审方法（综合评分法）</w:t>
          </w:r>
          <w:r>
            <w:tab/>
          </w:r>
          <w:r>
            <w:fldChar w:fldCharType="begin"/>
          </w:r>
          <w:r>
            <w:instrText xml:space="preserve"> PAGEREF _Toc603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"_Toc14883" </w:instrText>
          </w:r>
          <w:r>
            <w:fldChar w:fldCharType="separate"/>
          </w:r>
          <w:r>
            <w:rPr>
              <w:rFonts w:ascii="仿宋" w:hAnsi="仿宋" w:eastAsia="仿宋"/>
              <w:bCs/>
              <w:snapToGrid w:val="0"/>
              <w:szCs w:val="24"/>
            </w:rPr>
            <w:t>2 初步评审标准和程序</w:t>
          </w:r>
          <w:r>
            <w:tab/>
          </w:r>
          <w:r>
            <w:fldChar w:fldCharType="begin"/>
          </w:r>
          <w:r>
            <w:instrText xml:space="preserve"> PAGEREF _Toc14883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"_Toc9068" </w:instrText>
          </w:r>
          <w:r>
            <w:fldChar w:fldCharType="separate"/>
          </w:r>
          <w:r>
            <w:rPr>
              <w:rFonts w:hint="eastAsia" w:ascii="仿宋" w:hAnsi="仿宋" w:eastAsia="仿宋"/>
              <w:snapToGrid w:val="0"/>
              <w:szCs w:val="24"/>
            </w:rPr>
            <w:t>2</w:t>
          </w:r>
          <w:r>
            <w:rPr>
              <w:rFonts w:ascii="仿宋" w:hAnsi="仿宋" w:eastAsia="仿宋"/>
              <w:snapToGrid w:val="0"/>
              <w:szCs w:val="24"/>
            </w:rPr>
            <w:t>.1 初步评审标准</w:t>
          </w:r>
          <w:r>
            <w:tab/>
          </w:r>
          <w:r>
            <w:fldChar w:fldCharType="begin"/>
          </w:r>
          <w:r>
            <w:instrText xml:space="preserve"> PAGEREF _Toc9068 \h </w:instrText>
          </w:r>
          <w:r>
            <w:fldChar w:fldCharType="separate"/>
          </w:r>
          <w:r>
            <w:t>37</w:t>
          </w:r>
          <w:r>
            <w:fldChar w:fldCharType="end"/>
          </w:r>
          <w:r>
            <w:fldChar w:fldCharType="end"/>
          </w:r>
        </w:p>
        <w:p>
          <w:pPr>
            <w:pStyle w:val="22"/>
            <w:tabs>
              <w:tab w:val="right" w:leader="dot" w:pos="9552"/>
            </w:tabs>
            <w:ind w:left="880"/>
          </w:pPr>
          <w:r>
            <w:fldChar w:fldCharType="begin"/>
          </w:r>
          <w:r>
            <w:instrText xml:space="preserve"> HYPERLINK \l "_Toc19890" </w:instrText>
          </w:r>
          <w:r>
            <w:fldChar w:fldCharType="separate"/>
          </w:r>
          <w:r>
            <w:rPr>
              <w:rFonts w:hint="eastAsia" w:ascii="仿宋" w:hAnsi="仿宋" w:eastAsia="仿宋"/>
              <w:snapToGrid w:val="0"/>
              <w:szCs w:val="24"/>
            </w:rPr>
            <w:t>2</w:t>
          </w:r>
          <w:r>
            <w:rPr>
              <w:rFonts w:ascii="仿宋" w:hAnsi="仿宋" w:eastAsia="仿宋"/>
              <w:snapToGrid w:val="0"/>
              <w:szCs w:val="24"/>
            </w:rPr>
            <w:t>.2 初步评审程序</w:t>
          </w:r>
          <w:r>
            <w:tab/>
          </w:r>
          <w:r>
            <w:fldChar w:fldCharType="begin"/>
          </w:r>
          <w:r>
            <w:instrText xml:space="preserve"> PAGEREF _Toc19890 \h </w:instrText>
          </w:r>
          <w:r>
            <w:fldChar w:fldCharType="separate"/>
          </w:r>
          <w:r>
            <w:t>37</w:t>
          </w:r>
          <w:r>
            <w:fldChar w:fldCharType="end"/>
          </w:r>
          <w:r>
            <w:fldChar w:fldCharType="end"/>
          </w:r>
        </w:p>
        <w:p>
          <w:pPr>
            <w:pStyle w:val="35"/>
            <w:tabs>
              <w:tab w:val="right" w:leader="dot" w:pos="9552"/>
            </w:tabs>
            <w:ind w:left="440"/>
          </w:pPr>
          <w:r>
            <w:fldChar w:fldCharType="begin"/>
          </w:r>
          <w:r>
            <w:instrText xml:space="preserve"> HYPERLINK \l "_Toc3307" </w:instrText>
          </w:r>
          <w:r>
            <w:fldChar w:fldCharType="separate"/>
          </w:r>
          <w:r>
            <w:rPr>
              <w:rFonts w:ascii="仿宋" w:hAnsi="仿宋" w:eastAsia="仿宋"/>
              <w:bCs/>
              <w:snapToGrid w:val="0"/>
              <w:szCs w:val="24"/>
            </w:rPr>
            <w:t>3</w:t>
          </w:r>
          <w:r>
            <w:rPr>
              <w:rFonts w:hint="eastAsia" w:ascii="仿宋" w:hAnsi="仿宋" w:eastAsia="仿宋"/>
              <w:bCs/>
              <w:snapToGrid w:val="0"/>
              <w:szCs w:val="24"/>
            </w:rPr>
            <w:t>.</w:t>
          </w:r>
          <w:r>
            <w:rPr>
              <w:rFonts w:ascii="仿宋" w:hAnsi="仿宋" w:eastAsia="仿宋"/>
              <w:bCs/>
              <w:snapToGrid w:val="0"/>
              <w:szCs w:val="24"/>
            </w:rPr>
            <w:t>详细评审标准和程序</w:t>
          </w:r>
          <w:r>
            <w:tab/>
          </w:r>
          <w:r>
            <w:fldChar w:fldCharType="begin"/>
          </w:r>
          <w:r>
            <w:instrText xml:space="preserve"> PAGEREF _Toc3307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"_Toc973" </w:instrText>
          </w:r>
          <w:r>
            <w:fldChar w:fldCharType="separate"/>
          </w:r>
          <w:r>
            <w:rPr>
              <w:rFonts w:hint="eastAsia" w:ascii="仿宋" w:hAnsi="仿宋" w:eastAsia="仿宋"/>
              <w:snapToGrid w:val="0"/>
              <w:szCs w:val="24"/>
            </w:rPr>
            <w:t>3</w:t>
          </w:r>
          <w:r>
            <w:rPr>
              <w:rFonts w:ascii="仿宋" w:hAnsi="仿宋" w:eastAsia="仿宋"/>
              <w:snapToGrid w:val="0"/>
              <w:szCs w:val="24"/>
            </w:rPr>
            <w:t>.1 评审价格确定</w:t>
          </w:r>
          <w:r>
            <w:tab/>
          </w:r>
          <w:r>
            <w:fldChar w:fldCharType="begin"/>
          </w:r>
          <w:r>
            <w:instrText xml:space="preserve"> PAGEREF _Toc973 \h </w:instrText>
          </w:r>
          <w:r>
            <w:fldChar w:fldCharType="separate"/>
          </w:r>
          <w:r>
            <w:t>38</w:t>
          </w:r>
          <w:r>
            <w:fldChar w:fldCharType="end"/>
          </w:r>
          <w:r>
            <w:fldChar w:fldCharType="end"/>
          </w:r>
        </w:p>
        <w:p>
          <w:pPr>
            <w:pStyle w:val="22"/>
            <w:tabs>
              <w:tab w:val="right" w:leader="dot" w:pos="9552"/>
            </w:tabs>
            <w:ind w:left="880"/>
          </w:pPr>
          <w:r>
            <w:fldChar w:fldCharType="begin"/>
          </w:r>
          <w:r>
            <w:instrText xml:space="preserve"> HYPERLINK \l "_Toc30067" </w:instrText>
          </w:r>
          <w:r>
            <w:fldChar w:fldCharType="separate"/>
          </w:r>
          <w:r>
            <w:rPr>
              <w:rFonts w:hint="eastAsia" w:eastAsia="仿宋" w:asciiTheme="minorEastAsia" w:hAnsiTheme="minorEastAsia"/>
              <w:snapToGrid w:val="0"/>
              <w:szCs w:val="24"/>
            </w:rPr>
            <w:t>3</w:t>
          </w:r>
          <w:r>
            <w:rPr>
              <w:rFonts w:eastAsia="仿宋" w:asciiTheme="minorEastAsia" w:hAnsiTheme="minorEastAsia"/>
              <w:snapToGrid w:val="0"/>
              <w:szCs w:val="24"/>
            </w:rPr>
            <w:t>.2</w:t>
          </w:r>
          <w:r>
            <w:rPr>
              <w:rFonts w:hint="eastAsia" w:eastAsia="仿宋" w:asciiTheme="minorEastAsia" w:hAnsiTheme="minorEastAsia"/>
              <w:snapToGrid w:val="0"/>
              <w:szCs w:val="24"/>
            </w:rPr>
            <w:t xml:space="preserve"> </w:t>
          </w:r>
          <w:r>
            <w:rPr>
              <w:rFonts w:eastAsia="仿宋" w:asciiTheme="minorEastAsia" w:hAnsiTheme="minorEastAsia"/>
              <w:snapToGrid w:val="0"/>
              <w:szCs w:val="24"/>
            </w:rPr>
            <w:t>综合评分和排序(综合评分法)</w:t>
          </w:r>
          <w:r>
            <w:tab/>
          </w:r>
          <w:r>
            <w:fldChar w:fldCharType="begin"/>
          </w:r>
          <w:r>
            <w:instrText xml:space="preserve"> PAGEREF _Toc30067 \h </w:instrText>
          </w:r>
          <w:r>
            <w:fldChar w:fldCharType="separate"/>
          </w:r>
          <w:r>
            <w:t>39</w:t>
          </w:r>
          <w:r>
            <w:fldChar w:fldCharType="end"/>
          </w:r>
          <w:r>
            <w:fldChar w:fldCharType="end"/>
          </w:r>
        </w:p>
        <w:p>
          <w:pPr>
            <w:pStyle w:val="35"/>
            <w:tabs>
              <w:tab w:val="right" w:leader="dot" w:pos="9552"/>
            </w:tabs>
            <w:ind w:left="440"/>
          </w:pPr>
          <w:r>
            <w:fldChar w:fldCharType="begin"/>
          </w:r>
          <w:r>
            <w:instrText xml:space="preserve"> HYPERLINK \l "_Toc462" </w:instrText>
          </w:r>
          <w:r>
            <w:fldChar w:fldCharType="separate"/>
          </w:r>
          <w:r>
            <w:rPr>
              <w:rFonts w:eastAsia="仿宋" w:asciiTheme="minorEastAsia" w:hAnsiTheme="minorEastAsia"/>
              <w:bCs/>
              <w:snapToGrid w:val="0"/>
              <w:szCs w:val="24"/>
            </w:rPr>
            <w:t>4.评审结果</w:t>
          </w:r>
          <w:r>
            <w:tab/>
          </w:r>
          <w:r>
            <w:fldChar w:fldCharType="begin"/>
          </w:r>
          <w:r>
            <w:instrText xml:space="preserve"> PAGEREF _Toc462 \h </w:instrText>
          </w:r>
          <w:r>
            <w:fldChar w:fldCharType="separate"/>
          </w:r>
          <w:r>
            <w:t>41</w:t>
          </w:r>
          <w:r>
            <w:fldChar w:fldCharType="end"/>
          </w:r>
          <w:r>
            <w:fldChar w:fldCharType="end"/>
          </w:r>
        </w:p>
        <w:p>
          <w:pPr>
            <w:pStyle w:val="22"/>
            <w:tabs>
              <w:tab w:val="right" w:leader="dot" w:pos="9552"/>
            </w:tabs>
            <w:ind w:left="880"/>
          </w:pPr>
          <w:r>
            <w:fldChar w:fldCharType="begin"/>
          </w:r>
          <w:r>
            <w:instrText xml:space="preserve"> HYPERLINK \l "_Toc19523" </w:instrText>
          </w:r>
          <w:r>
            <w:fldChar w:fldCharType="separate"/>
          </w:r>
          <w:r>
            <w:rPr>
              <w:rFonts w:eastAsia="仿宋" w:asciiTheme="minorEastAsia" w:hAnsiTheme="minorEastAsia"/>
              <w:snapToGrid w:val="0"/>
              <w:szCs w:val="24"/>
            </w:rPr>
            <w:t>4.1 推荐成交供应商</w:t>
          </w:r>
          <w:r>
            <w:tab/>
          </w:r>
          <w:r>
            <w:fldChar w:fldCharType="begin"/>
          </w:r>
          <w:r>
            <w:instrText xml:space="preserve"> PAGEREF _Toc19523 \h </w:instrText>
          </w:r>
          <w:r>
            <w:fldChar w:fldCharType="separate"/>
          </w:r>
          <w:r>
            <w:t>41</w:t>
          </w:r>
          <w:r>
            <w:fldChar w:fldCharType="end"/>
          </w:r>
          <w:r>
            <w:fldChar w:fldCharType="end"/>
          </w:r>
        </w:p>
        <w:p>
          <w:pPr>
            <w:pStyle w:val="30"/>
            <w:tabs>
              <w:tab w:val="right" w:leader="dot" w:pos="9552"/>
              <w:tab w:val="clear" w:pos="8296"/>
            </w:tabs>
          </w:pPr>
          <w:r>
            <w:fldChar w:fldCharType="begin"/>
          </w:r>
          <w:r>
            <w:instrText xml:space="preserve"> HYPERLINK \l "_Toc9220" </w:instrText>
          </w:r>
          <w:r>
            <w:fldChar w:fldCharType="separate"/>
          </w:r>
          <w:r>
            <w:rPr>
              <w:rFonts w:hint="eastAsia" w:ascii="仿宋" w:hAnsi="仿宋" w:eastAsia="仿宋"/>
              <w:bCs/>
              <w:snapToGrid w:val="0"/>
              <w:szCs w:val="32"/>
            </w:rPr>
            <w:t>第</w:t>
          </w:r>
          <w:r>
            <w:rPr>
              <w:rFonts w:ascii="仿宋" w:hAnsi="仿宋" w:eastAsia="仿宋"/>
              <w:bCs/>
              <w:snapToGrid w:val="0"/>
              <w:szCs w:val="32"/>
            </w:rPr>
            <w:t>四</w:t>
          </w:r>
          <w:r>
            <w:rPr>
              <w:rFonts w:hint="eastAsia" w:ascii="仿宋" w:hAnsi="仿宋" w:eastAsia="仿宋"/>
              <w:bCs/>
              <w:snapToGrid w:val="0"/>
              <w:szCs w:val="32"/>
            </w:rPr>
            <w:t xml:space="preserve">章 </w:t>
          </w:r>
          <w:r>
            <w:rPr>
              <w:rFonts w:ascii="仿宋" w:hAnsi="仿宋" w:eastAsia="仿宋"/>
              <w:bCs/>
              <w:snapToGrid w:val="0"/>
              <w:szCs w:val="32"/>
            </w:rPr>
            <w:t xml:space="preserve"> </w:t>
          </w:r>
          <w:r>
            <w:rPr>
              <w:rFonts w:hint="eastAsia" w:ascii="仿宋" w:hAnsi="仿宋" w:eastAsia="仿宋"/>
              <w:bCs/>
              <w:snapToGrid w:val="0"/>
              <w:szCs w:val="32"/>
            </w:rPr>
            <w:t>建设工程施工合同</w:t>
          </w:r>
          <w:r>
            <w:tab/>
          </w:r>
          <w:r>
            <w:fldChar w:fldCharType="begin"/>
          </w:r>
          <w:r>
            <w:instrText xml:space="preserve"> PAGEREF _Toc9220 \h </w:instrText>
          </w:r>
          <w:r>
            <w:fldChar w:fldCharType="separate"/>
          </w:r>
          <w:r>
            <w:t>42</w:t>
          </w:r>
          <w:r>
            <w:fldChar w:fldCharType="end"/>
          </w:r>
          <w:r>
            <w:fldChar w:fldCharType="end"/>
          </w:r>
        </w:p>
        <w:p>
          <w:pPr>
            <w:pStyle w:val="35"/>
            <w:tabs>
              <w:tab w:val="right" w:leader="dot" w:pos="9552"/>
            </w:tabs>
            <w:ind w:left="440"/>
          </w:pPr>
          <w:r>
            <w:fldChar w:fldCharType="begin"/>
          </w:r>
          <w:r>
            <w:instrText xml:space="preserve"> HYPERLINK \l "_Toc9814" </w:instrText>
          </w:r>
          <w:r>
            <w:fldChar w:fldCharType="separate"/>
          </w:r>
          <w:r>
            <w:rPr>
              <w:rFonts w:hint="eastAsia" w:ascii="仿宋_GB2312" w:eastAsia="仿宋_GB2312"/>
              <w:bCs/>
              <w:szCs w:val="32"/>
            </w:rPr>
            <w:t>合同附件1：安全协议书</w:t>
          </w:r>
          <w:r>
            <w:tab/>
          </w:r>
          <w:r>
            <w:fldChar w:fldCharType="begin"/>
          </w:r>
          <w:r>
            <w:instrText xml:space="preserve"> PAGEREF _Toc9814 \h </w:instrText>
          </w:r>
          <w:r>
            <w:fldChar w:fldCharType="separate"/>
          </w:r>
          <w:r>
            <w:t>51</w:t>
          </w:r>
          <w:r>
            <w:fldChar w:fldCharType="end"/>
          </w:r>
          <w:r>
            <w:fldChar w:fldCharType="end"/>
          </w:r>
        </w:p>
        <w:p>
          <w:pPr>
            <w:pStyle w:val="35"/>
            <w:tabs>
              <w:tab w:val="right" w:leader="dot" w:pos="9552"/>
            </w:tabs>
            <w:ind w:left="440"/>
          </w:pPr>
          <w:r>
            <w:fldChar w:fldCharType="begin"/>
          </w:r>
          <w:r>
            <w:instrText xml:space="preserve"> HYPERLINK \l "_Toc13782" </w:instrText>
          </w:r>
          <w:r>
            <w:fldChar w:fldCharType="separate"/>
          </w:r>
          <w:r>
            <w:rPr>
              <w:rFonts w:hint="eastAsia" w:ascii="仿宋_GB2312" w:eastAsia="仿宋_GB2312"/>
              <w:bCs/>
              <w:szCs w:val="32"/>
            </w:rPr>
            <w:t>合同附件2：环保协议书</w:t>
          </w:r>
          <w:r>
            <w:tab/>
          </w:r>
          <w:r>
            <w:fldChar w:fldCharType="begin"/>
          </w:r>
          <w:r>
            <w:instrText xml:space="preserve"> PAGEREF _Toc13782 \h </w:instrText>
          </w:r>
          <w:r>
            <w:fldChar w:fldCharType="separate"/>
          </w:r>
          <w:r>
            <w:t>54</w:t>
          </w:r>
          <w:r>
            <w:fldChar w:fldCharType="end"/>
          </w:r>
          <w:r>
            <w:fldChar w:fldCharType="end"/>
          </w:r>
        </w:p>
        <w:p>
          <w:pPr>
            <w:pStyle w:val="30"/>
            <w:tabs>
              <w:tab w:val="right" w:leader="dot" w:pos="9552"/>
              <w:tab w:val="clear" w:pos="8296"/>
            </w:tabs>
          </w:pPr>
          <w:r>
            <w:fldChar w:fldCharType="begin"/>
          </w:r>
          <w:r>
            <w:instrText xml:space="preserve"> HYPERLINK \l "_Toc27232" </w:instrText>
          </w:r>
          <w:r>
            <w:fldChar w:fldCharType="separate"/>
          </w:r>
          <w:r>
            <w:rPr>
              <w:rFonts w:hint="eastAsia" w:ascii="仿宋" w:hAnsi="仿宋" w:eastAsia="仿宋"/>
              <w:bCs/>
              <w:snapToGrid w:val="0"/>
              <w:szCs w:val="32"/>
            </w:rPr>
            <w:t xml:space="preserve">第八章 </w:t>
          </w:r>
          <w:r>
            <w:rPr>
              <w:rFonts w:ascii="仿宋" w:hAnsi="仿宋" w:eastAsia="仿宋"/>
              <w:bCs/>
              <w:snapToGrid w:val="0"/>
              <w:szCs w:val="32"/>
            </w:rPr>
            <w:t xml:space="preserve"> 响应文件格式</w:t>
          </w:r>
          <w:r>
            <w:tab/>
          </w:r>
          <w:r>
            <w:fldChar w:fldCharType="begin"/>
          </w:r>
          <w:r>
            <w:instrText xml:space="preserve"> PAGEREF _Toc27232 \h </w:instrText>
          </w:r>
          <w:r>
            <w:fldChar w:fldCharType="separate"/>
          </w:r>
          <w:r>
            <w:t>60</w:t>
          </w:r>
          <w:r>
            <w:fldChar w:fldCharType="end"/>
          </w:r>
          <w:r>
            <w:fldChar w:fldCharType="end"/>
          </w:r>
        </w:p>
        <w:p>
          <w:pPr>
            <w:pStyle w:val="35"/>
            <w:tabs>
              <w:tab w:val="right" w:leader="dot" w:pos="9552"/>
            </w:tabs>
            <w:ind w:left="440"/>
          </w:pPr>
          <w:r>
            <w:fldChar w:fldCharType="begin"/>
          </w:r>
          <w:r>
            <w:instrText xml:space="preserve"> HYPERLINK \l "_Toc28753" </w:instrText>
          </w:r>
          <w:r>
            <w:fldChar w:fldCharType="separate"/>
          </w:r>
          <w:r>
            <w:rPr>
              <w:rFonts w:ascii="仿宋" w:hAnsi="仿宋" w:eastAsia="仿宋"/>
              <w:bCs/>
              <w:snapToGrid w:val="0"/>
              <w:szCs w:val="32"/>
            </w:rPr>
            <w:t>—、响应函</w:t>
          </w:r>
          <w:r>
            <w:tab/>
          </w:r>
          <w:r>
            <w:fldChar w:fldCharType="begin"/>
          </w:r>
          <w:r>
            <w:instrText xml:space="preserve"> PAGEREF _Toc28753 \h </w:instrText>
          </w:r>
          <w:r>
            <w:fldChar w:fldCharType="separate"/>
          </w:r>
          <w:r>
            <w:t>63</w:t>
          </w:r>
          <w:r>
            <w:fldChar w:fldCharType="end"/>
          </w:r>
          <w:r>
            <w:fldChar w:fldCharType="end"/>
          </w:r>
        </w:p>
        <w:p>
          <w:pPr>
            <w:pStyle w:val="35"/>
            <w:tabs>
              <w:tab w:val="right" w:leader="dot" w:pos="9552"/>
            </w:tabs>
            <w:ind w:left="440"/>
          </w:pPr>
          <w:r>
            <w:fldChar w:fldCharType="begin"/>
          </w:r>
          <w:r>
            <w:instrText xml:space="preserve"> HYPERLINK \l "_Toc19909" </w:instrText>
          </w:r>
          <w:r>
            <w:fldChar w:fldCharType="separate"/>
          </w:r>
          <w:r>
            <w:rPr>
              <w:rFonts w:ascii="仿宋" w:hAnsi="仿宋" w:eastAsia="仿宋"/>
              <w:bCs/>
              <w:snapToGrid w:val="0"/>
              <w:szCs w:val="32"/>
            </w:rPr>
            <w:t>二、授权委托书</w:t>
          </w:r>
          <w:r>
            <w:tab/>
          </w:r>
          <w:r>
            <w:fldChar w:fldCharType="begin"/>
          </w:r>
          <w:r>
            <w:instrText xml:space="preserve"> PAGEREF _Toc19909 \h </w:instrText>
          </w:r>
          <w:r>
            <w:fldChar w:fldCharType="separate"/>
          </w:r>
          <w:r>
            <w:t>64</w:t>
          </w:r>
          <w:r>
            <w:fldChar w:fldCharType="end"/>
          </w:r>
          <w:r>
            <w:fldChar w:fldCharType="end"/>
          </w:r>
        </w:p>
        <w:p>
          <w:pPr>
            <w:pStyle w:val="35"/>
            <w:tabs>
              <w:tab w:val="right" w:leader="dot" w:pos="9552"/>
            </w:tabs>
            <w:ind w:left="440"/>
          </w:pPr>
          <w:r>
            <w:fldChar w:fldCharType="begin"/>
          </w:r>
          <w:r>
            <w:instrText xml:space="preserve"> HYPERLINK \l "_Toc6595" </w:instrText>
          </w:r>
          <w:r>
            <w:fldChar w:fldCharType="separate"/>
          </w:r>
          <w:r>
            <w:rPr>
              <w:rFonts w:ascii="仿宋" w:hAnsi="仿宋" w:eastAsia="仿宋"/>
              <w:bCs/>
              <w:snapToGrid w:val="0"/>
              <w:szCs w:val="32"/>
            </w:rPr>
            <w:t>三、联合体协议书</w:t>
          </w:r>
          <w:r>
            <w:tab/>
          </w:r>
          <w:r>
            <w:fldChar w:fldCharType="begin"/>
          </w:r>
          <w:r>
            <w:instrText xml:space="preserve"> PAGEREF _Toc6595 \h </w:instrText>
          </w:r>
          <w:r>
            <w:fldChar w:fldCharType="separate"/>
          </w:r>
          <w:r>
            <w:t>65</w:t>
          </w:r>
          <w:r>
            <w:fldChar w:fldCharType="end"/>
          </w:r>
          <w:r>
            <w:fldChar w:fldCharType="end"/>
          </w:r>
        </w:p>
        <w:p>
          <w:pPr>
            <w:pStyle w:val="35"/>
            <w:tabs>
              <w:tab w:val="right" w:leader="dot" w:pos="9552"/>
            </w:tabs>
            <w:ind w:left="440"/>
          </w:pPr>
          <w:r>
            <w:fldChar w:fldCharType="begin"/>
          </w:r>
          <w:r>
            <w:instrText xml:space="preserve"> HYPERLINK \l "_Toc12840" </w:instrText>
          </w:r>
          <w:r>
            <w:fldChar w:fldCharType="separate"/>
          </w:r>
          <w:r>
            <w:rPr>
              <w:rFonts w:ascii="仿宋" w:hAnsi="仿宋" w:eastAsia="仿宋"/>
              <w:bCs/>
              <w:snapToGrid w:val="0"/>
              <w:szCs w:val="32"/>
            </w:rPr>
            <w:t>四、响应保证金</w:t>
          </w:r>
          <w:r>
            <w:tab/>
          </w:r>
          <w:r>
            <w:fldChar w:fldCharType="begin"/>
          </w:r>
          <w:r>
            <w:instrText xml:space="preserve"> PAGEREF _Toc12840 \h </w:instrText>
          </w:r>
          <w:r>
            <w:fldChar w:fldCharType="separate"/>
          </w:r>
          <w:r>
            <w:t>66</w:t>
          </w:r>
          <w:r>
            <w:fldChar w:fldCharType="end"/>
          </w:r>
          <w:r>
            <w:fldChar w:fldCharType="end"/>
          </w:r>
        </w:p>
        <w:p>
          <w:pPr>
            <w:pStyle w:val="35"/>
            <w:tabs>
              <w:tab w:val="right" w:leader="dot" w:pos="9552"/>
            </w:tabs>
            <w:ind w:left="440"/>
          </w:pPr>
          <w:r>
            <w:fldChar w:fldCharType="begin"/>
          </w:r>
          <w:r>
            <w:instrText xml:space="preserve"> HYPERLINK \l "_Toc14224" </w:instrText>
          </w:r>
          <w:r>
            <w:fldChar w:fldCharType="separate"/>
          </w:r>
          <w:r>
            <w:rPr>
              <w:rFonts w:ascii="仿宋" w:hAnsi="仿宋" w:eastAsia="仿宋"/>
              <w:bCs/>
              <w:snapToGrid w:val="0"/>
              <w:szCs w:val="32"/>
            </w:rPr>
            <w:t>五、商务和技术偏差表</w:t>
          </w:r>
          <w:r>
            <w:tab/>
          </w:r>
          <w:r>
            <w:fldChar w:fldCharType="begin"/>
          </w:r>
          <w:r>
            <w:instrText xml:space="preserve"> PAGEREF _Toc14224 \h </w:instrText>
          </w:r>
          <w:r>
            <w:fldChar w:fldCharType="separate"/>
          </w:r>
          <w:r>
            <w:t>67</w:t>
          </w:r>
          <w:r>
            <w:fldChar w:fldCharType="end"/>
          </w:r>
          <w:r>
            <w:fldChar w:fldCharType="end"/>
          </w:r>
        </w:p>
        <w:p>
          <w:pPr>
            <w:pStyle w:val="35"/>
            <w:tabs>
              <w:tab w:val="right" w:leader="dot" w:pos="9552"/>
            </w:tabs>
            <w:ind w:left="440"/>
          </w:pPr>
          <w:r>
            <w:fldChar w:fldCharType="begin"/>
          </w:r>
          <w:r>
            <w:instrText xml:space="preserve"> HYPERLINK \l "_Toc12414" </w:instrText>
          </w:r>
          <w:r>
            <w:fldChar w:fldCharType="separate"/>
          </w:r>
          <w:r>
            <w:rPr>
              <w:rFonts w:ascii="仿宋" w:hAnsi="仿宋" w:eastAsia="仿宋"/>
              <w:bCs/>
              <w:snapToGrid w:val="0"/>
              <w:szCs w:val="32"/>
            </w:rPr>
            <w:t>六、报价表</w:t>
          </w:r>
          <w:r>
            <w:tab/>
          </w:r>
          <w:r>
            <w:fldChar w:fldCharType="begin"/>
          </w:r>
          <w:r>
            <w:instrText xml:space="preserve"> PAGEREF _Toc12414 \h </w:instrText>
          </w:r>
          <w:r>
            <w:fldChar w:fldCharType="separate"/>
          </w:r>
          <w:r>
            <w:t>68</w:t>
          </w:r>
          <w:r>
            <w:fldChar w:fldCharType="end"/>
          </w:r>
          <w:r>
            <w:fldChar w:fldCharType="end"/>
          </w:r>
        </w:p>
        <w:p>
          <w:pPr>
            <w:pStyle w:val="35"/>
            <w:tabs>
              <w:tab w:val="right" w:leader="dot" w:pos="9552"/>
            </w:tabs>
            <w:ind w:left="440"/>
          </w:pPr>
          <w:r>
            <w:fldChar w:fldCharType="begin"/>
          </w:r>
          <w:r>
            <w:instrText xml:space="preserve"> HYPERLINK \l "_Toc2928" </w:instrText>
          </w:r>
          <w:r>
            <w:fldChar w:fldCharType="separate"/>
          </w:r>
          <w:r>
            <w:rPr>
              <w:rFonts w:hint="eastAsia" w:ascii="仿宋" w:hAnsi="仿宋" w:eastAsia="仿宋"/>
              <w:bCs/>
              <w:snapToGrid w:val="0"/>
              <w:szCs w:val="32"/>
            </w:rPr>
            <w:t>七、工程量清单</w:t>
          </w:r>
          <w:r>
            <w:tab/>
          </w:r>
          <w:r>
            <w:fldChar w:fldCharType="begin"/>
          </w:r>
          <w:r>
            <w:instrText xml:space="preserve"> PAGEREF _Toc2928 \h </w:instrText>
          </w:r>
          <w:r>
            <w:fldChar w:fldCharType="separate"/>
          </w:r>
          <w:r>
            <w:t>69</w:t>
          </w:r>
          <w:r>
            <w:fldChar w:fldCharType="end"/>
          </w:r>
          <w:r>
            <w:fldChar w:fldCharType="end"/>
          </w:r>
        </w:p>
        <w:p>
          <w:pPr>
            <w:pStyle w:val="35"/>
            <w:tabs>
              <w:tab w:val="right" w:leader="dot" w:pos="9552"/>
            </w:tabs>
            <w:ind w:left="440"/>
          </w:pPr>
          <w:r>
            <w:fldChar w:fldCharType="begin"/>
          </w:r>
          <w:r>
            <w:instrText xml:space="preserve"> HYPERLINK \l "_Toc17878" </w:instrText>
          </w:r>
          <w:r>
            <w:fldChar w:fldCharType="separate"/>
          </w:r>
          <w:r>
            <w:rPr>
              <w:rFonts w:hint="eastAsia" w:ascii="仿宋" w:hAnsi="仿宋" w:eastAsia="仿宋"/>
              <w:bCs/>
              <w:snapToGrid w:val="0"/>
              <w:szCs w:val="32"/>
            </w:rPr>
            <w:t>八</w:t>
          </w:r>
          <w:r>
            <w:rPr>
              <w:rFonts w:ascii="仿宋" w:hAnsi="仿宋" w:eastAsia="仿宋"/>
              <w:bCs/>
              <w:snapToGrid w:val="0"/>
              <w:szCs w:val="32"/>
            </w:rPr>
            <w:t>、资格审查资料</w:t>
          </w:r>
          <w:r>
            <w:tab/>
          </w:r>
          <w:r>
            <w:fldChar w:fldCharType="begin"/>
          </w:r>
          <w:r>
            <w:instrText xml:space="preserve"> PAGEREF _Toc17878 \h </w:instrText>
          </w:r>
          <w:r>
            <w:fldChar w:fldCharType="separate"/>
          </w:r>
          <w:r>
            <w:t>70</w:t>
          </w:r>
          <w:r>
            <w:fldChar w:fldCharType="end"/>
          </w:r>
          <w:r>
            <w:fldChar w:fldCharType="end"/>
          </w:r>
        </w:p>
        <w:p>
          <w:pPr>
            <w:pStyle w:val="35"/>
            <w:tabs>
              <w:tab w:val="right" w:leader="dot" w:pos="9552"/>
            </w:tabs>
            <w:ind w:left="440"/>
          </w:pPr>
          <w:r>
            <w:fldChar w:fldCharType="begin"/>
          </w:r>
          <w:r>
            <w:instrText xml:space="preserve"> HYPERLINK \l "_Toc8101" </w:instrText>
          </w:r>
          <w:r>
            <w:fldChar w:fldCharType="separate"/>
          </w:r>
          <w:r>
            <w:rPr>
              <w:rFonts w:hint="eastAsia" w:ascii="仿宋" w:hAnsi="仿宋" w:eastAsia="仿宋"/>
              <w:bCs/>
              <w:snapToGrid w:val="0"/>
              <w:szCs w:val="32"/>
            </w:rPr>
            <w:t>九</w:t>
          </w:r>
          <w:r>
            <w:rPr>
              <w:rFonts w:ascii="仿宋" w:hAnsi="仿宋" w:eastAsia="仿宋"/>
              <w:bCs/>
              <w:snapToGrid w:val="0"/>
              <w:szCs w:val="32"/>
            </w:rPr>
            <w:t>、响应方案</w:t>
          </w:r>
          <w:r>
            <w:tab/>
          </w:r>
          <w:r>
            <w:fldChar w:fldCharType="begin"/>
          </w:r>
          <w:r>
            <w:instrText xml:space="preserve"> PAGEREF _Toc8101 \h </w:instrText>
          </w:r>
          <w:r>
            <w:fldChar w:fldCharType="separate"/>
          </w:r>
          <w:r>
            <w:t>73</w:t>
          </w:r>
          <w:r>
            <w:fldChar w:fldCharType="end"/>
          </w:r>
          <w:r>
            <w:fldChar w:fldCharType="end"/>
          </w:r>
        </w:p>
        <w:p>
          <w:pPr>
            <w:pStyle w:val="35"/>
            <w:tabs>
              <w:tab w:val="right" w:leader="dot" w:pos="9552"/>
            </w:tabs>
            <w:ind w:left="440"/>
          </w:pPr>
          <w:r>
            <w:fldChar w:fldCharType="begin"/>
          </w:r>
          <w:r>
            <w:instrText xml:space="preserve"> HYPERLINK \l "_Toc30506" </w:instrText>
          </w:r>
          <w:r>
            <w:fldChar w:fldCharType="separate"/>
          </w:r>
          <w:r>
            <w:rPr>
              <w:rFonts w:hint="eastAsia" w:ascii="仿宋" w:hAnsi="仿宋" w:eastAsia="仿宋"/>
              <w:bCs/>
              <w:snapToGrid w:val="0"/>
              <w:szCs w:val="32"/>
            </w:rPr>
            <w:t>十</w:t>
          </w:r>
          <w:r>
            <w:rPr>
              <w:rFonts w:ascii="仿宋" w:hAnsi="仿宋" w:eastAsia="仿宋"/>
              <w:bCs/>
              <w:snapToGrid w:val="0"/>
              <w:szCs w:val="32"/>
            </w:rPr>
            <w:t>、</w:t>
          </w:r>
          <w:r>
            <w:rPr>
              <w:rFonts w:hint="eastAsia" w:ascii="仿宋" w:hAnsi="仿宋" w:eastAsia="仿宋"/>
              <w:bCs/>
              <w:snapToGrid w:val="0"/>
              <w:szCs w:val="32"/>
            </w:rPr>
            <w:t>廉洁承诺书</w:t>
          </w:r>
          <w:r>
            <w:tab/>
          </w:r>
          <w:r>
            <w:fldChar w:fldCharType="begin"/>
          </w:r>
          <w:r>
            <w:instrText xml:space="preserve"> PAGEREF _Toc30506 \h </w:instrText>
          </w:r>
          <w:r>
            <w:fldChar w:fldCharType="separate"/>
          </w:r>
          <w:r>
            <w:t>74</w:t>
          </w:r>
          <w:r>
            <w:fldChar w:fldCharType="end"/>
          </w:r>
          <w:r>
            <w:fldChar w:fldCharType="end"/>
          </w:r>
        </w:p>
        <w:p>
          <w:pPr>
            <w:pStyle w:val="35"/>
            <w:tabs>
              <w:tab w:val="right" w:leader="dot" w:pos="9552"/>
            </w:tabs>
            <w:ind w:left="440"/>
          </w:pPr>
          <w:r>
            <w:fldChar w:fldCharType="begin"/>
          </w:r>
          <w:r>
            <w:instrText xml:space="preserve"> HYPERLINK \l "_Toc500" </w:instrText>
          </w:r>
          <w:r>
            <w:fldChar w:fldCharType="separate"/>
          </w:r>
          <w:r>
            <w:rPr>
              <w:rFonts w:hint="eastAsia" w:eastAsia="仿宋" w:asciiTheme="minorEastAsia" w:hAnsiTheme="minorEastAsia"/>
              <w:bCs/>
              <w:snapToGrid w:val="0"/>
              <w:szCs w:val="32"/>
            </w:rPr>
            <w:t>十一、保密承诺书</w:t>
          </w:r>
          <w:r>
            <w:tab/>
          </w:r>
          <w:r>
            <w:fldChar w:fldCharType="begin"/>
          </w:r>
          <w:r>
            <w:instrText xml:space="preserve"> PAGEREF _Toc500 \h </w:instrText>
          </w:r>
          <w:r>
            <w:fldChar w:fldCharType="separate"/>
          </w:r>
          <w:r>
            <w:t>75</w:t>
          </w:r>
          <w:r>
            <w:fldChar w:fldCharType="end"/>
          </w:r>
          <w:r>
            <w:fldChar w:fldCharType="end"/>
          </w:r>
        </w:p>
        <w:p>
          <w:pPr>
            <w:spacing w:line="276" w:lineRule="auto"/>
          </w:pPr>
          <w:r>
            <w:rPr>
              <w:rFonts w:ascii="仿宋" w:hAnsi="仿宋" w:eastAsia="仿宋"/>
              <w:bCs/>
              <w:szCs w:val="24"/>
              <w:lang w:val="zh-CN"/>
            </w:rPr>
            <w:fldChar w:fldCharType="end"/>
          </w:r>
        </w:p>
      </w:sdtContent>
    </w:sdt>
    <w:p>
      <w:pPr>
        <w:spacing w:line="276" w:lineRule="auto"/>
        <w:rPr>
          <w:rFonts w:ascii="仿宋" w:hAnsi="仿宋" w:eastAsia="仿宋"/>
          <w:snapToGrid w:val="0"/>
          <w:sz w:val="24"/>
          <w:szCs w:val="24"/>
          <w:lang w:eastAsia="zh-CN"/>
        </w:rPr>
      </w:pPr>
    </w:p>
    <w:p>
      <w:pP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 w:name="扫描0006"/>
      <w:bookmarkEnd w:id="2"/>
      <w:bookmarkStart w:id="3" w:name="_Toc13074"/>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谈判采购公告</w:t>
      </w:r>
      <w:bookmarkEnd w:id="3"/>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（适用于公告邀请供应商方式）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 w:name="扫描0007"/>
      <w:bookmarkEnd w:id="4"/>
      <w:bookmarkStart w:id="5" w:name="_Toc100340416"/>
      <w:bookmarkStart w:id="6" w:name="_Toc100340209"/>
      <w:bookmarkStart w:id="7" w:name="_Toc99483595"/>
      <w:bookmarkStart w:id="8" w:name="_Toc11150"/>
      <w:r>
        <w:rPr>
          <w:rFonts w:hint="eastAsia" w:ascii="仿宋" w:hAnsi="仿宋" w:eastAsia="仿宋"/>
          <w:b/>
          <w:bCs/>
          <w:snapToGrid w:val="0"/>
          <w:sz w:val="32"/>
          <w:szCs w:val="32"/>
          <w:u w:val="single"/>
          <w:lang w:eastAsia="zh-CN"/>
        </w:rPr>
        <w:t>2023年梁河糖业勐养、芒东工厂新建物资仓库项目</w:t>
      </w:r>
      <w:r>
        <w:rPr>
          <w:rFonts w:hint="eastAsia" w:ascii="仿宋" w:hAnsi="仿宋" w:eastAsia="仿宋"/>
          <w:b/>
          <w:bCs/>
          <w:snapToGrid w:val="0"/>
          <w:sz w:val="32"/>
          <w:szCs w:val="32"/>
          <w:lang w:eastAsia="zh-CN"/>
        </w:rPr>
        <w:t>施工</w:t>
      </w:r>
      <w:bookmarkEnd w:id="5"/>
      <w:bookmarkEnd w:id="6"/>
      <w:bookmarkEnd w:id="7"/>
      <w:bookmarkStart w:id="9" w:name="_Toc99483596"/>
      <w:bookmarkStart w:id="10" w:name="_Toc100340210"/>
      <w:bookmarkStart w:id="11" w:name="_Toc100340417"/>
      <w:r>
        <w:rPr>
          <w:rFonts w:ascii="仿宋" w:hAnsi="仿宋" w:eastAsia="仿宋"/>
          <w:b/>
          <w:bCs/>
          <w:snapToGrid w:val="0"/>
          <w:sz w:val="32"/>
          <w:szCs w:val="32"/>
          <w:lang w:eastAsia="zh-CN"/>
        </w:rPr>
        <w:t>谈判采购公告</w:t>
      </w:r>
      <w:bookmarkEnd w:id="8"/>
      <w:bookmarkEnd w:id="9"/>
      <w:bookmarkEnd w:id="10"/>
      <w:bookmarkEnd w:id="11"/>
    </w:p>
    <w:p>
      <w:pPr>
        <w:pStyle w:val="17"/>
        <w:adjustRightInd w:val="0"/>
        <w:snapToGrid w:val="0"/>
        <w:spacing w:line="276" w:lineRule="auto"/>
        <w:rPr>
          <w:rFonts w:ascii="仿宋" w:hAnsi="仿宋" w:eastAsia="仿宋"/>
          <w:snapToGrid w:val="0"/>
          <w:sz w:val="24"/>
          <w:szCs w:val="24"/>
          <w:lang w:eastAsia="zh-CN"/>
        </w:rPr>
      </w:pPr>
    </w:p>
    <w:p>
      <w:pPr>
        <w:spacing w:line="360" w:lineRule="auto"/>
        <w:ind w:firstLine="480"/>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2023年梁河糖业勐养、芒东工厂新建物资仓库项目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已具备采购条件，现公开邀请供应商参加谈判采购活动。</w:t>
      </w:r>
    </w:p>
    <w:p>
      <w:pPr>
        <w:pStyle w:val="17"/>
        <w:adjustRightInd w:val="0"/>
        <w:snapToGrid w:val="0"/>
        <w:spacing w:line="360" w:lineRule="auto"/>
        <w:rPr>
          <w:rFonts w:ascii="仿宋" w:hAnsi="仿宋" w:eastAsia="仿宋"/>
          <w:snapToGrid w:val="0"/>
          <w:sz w:val="24"/>
          <w:szCs w:val="24"/>
          <w:lang w:eastAsia="zh-CN"/>
        </w:rPr>
      </w:pPr>
      <w:bookmarkStart w:id="12" w:name="OLE_LINK5"/>
      <w:bookmarkStart w:id="13" w:name="OLE_LINK6"/>
    </w:p>
    <w:p>
      <w:pPr>
        <w:pStyle w:val="4"/>
        <w:ind w:left="0"/>
        <w:rPr>
          <w:rFonts w:ascii="仿宋" w:hAnsi="仿宋" w:eastAsia="仿宋"/>
          <w:b/>
          <w:snapToGrid w:val="0"/>
          <w:sz w:val="24"/>
          <w:szCs w:val="24"/>
          <w:lang w:eastAsia="zh-CN"/>
        </w:rPr>
      </w:pPr>
      <w:bookmarkStart w:id="14" w:name="_Toc27303"/>
      <w:r>
        <w:rPr>
          <w:rFonts w:ascii="仿宋" w:hAnsi="仿宋" w:eastAsia="仿宋"/>
          <w:b/>
          <w:snapToGrid w:val="0"/>
          <w:sz w:val="24"/>
          <w:szCs w:val="24"/>
          <w:lang w:eastAsia="zh-CN"/>
        </w:rPr>
        <w:t>1.采购项目简介</w:t>
      </w:r>
      <w:bookmarkEnd w:id="14"/>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highlight w:val="yellow"/>
          <w:u w:val="single"/>
          <w:lang w:eastAsia="zh-CN"/>
        </w:rPr>
        <w:t>2023年梁河糖业勐养、芒东工厂新建物资仓库项目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bookmarkStart w:id="15" w:name="_Hlk91559762"/>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bookmarkStart w:id="16" w:name="OLE_LINK2"/>
      <w:bookmarkStart w:id="17" w:name="OLE_LINK1"/>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1.4.1由供应商在梁河糖业勐养、芒东工厂厂区内，分别设计建造一间物资仓库，</w:t>
      </w:r>
      <w:bookmarkEnd w:id="16"/>
      <w:bookmarkEnd w:id="17"/>
      <w:r>
        <w:rPr>
          <w:rFonts w:hint="eastAsia" w:eastAsia="仿宋" w:asciiTheme="minorEastAsia" w:hAnsiTheme="minorEastAsia"/>
          <w:snapToGrid w:val="0"/>
          <w:sz w:val="24"/>
          <w:szCs w:val="24"/>
          <w:lang w:val="en-US" w:eastAsia="zh-CN"/>
        </w:rPr>
        <w:t>新建的仓库震烈度按不低于8度，使用的电器为防爆电器</w:t>
      </w:r>
      <w:r>
        <w:rPr>
          <w:rFonts w:hint="eastAsia"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新建库房为钢筋混凝土框架结构，设计使用年限50年，火灾危险等级为甲类，耐火等级为二级，占地面积164.16㎡，建筑面积164.16平方米（地上一层），新建库房尺寸为长30.4米*宽5.4米*高4.75米，在长度方向分为8个间库房，两个端头房分别为乙炔库24.38㎡、磷酸三钠-氢氧化钠库25.38㎡，其他分别为柴油库、酒精（桶装）库、油漆（桶装）库、氯化钠库、</w:t>
      </w:r>
      <w:bookmarkStart w:id="18" w:name="OLE_LINK10"/>
      <w:r>
        <w:rPr>
          <w:rFonts w:hint="eastAsia" w:eastAsia="仿宋" w:asciiTheme="minorEastAsia" w:hAnsiTheme="minorEastAsia"/>
          <w:snapToGrid w:val="0"/>
          <w:sz w:val="24"/>
          <w:szCs w:val="24"/>
          <w:lang w:val="en-US" w:eastAsia="zh-CN"/>
        </w:rPr>
        <w:t>氧气</w:t>
      </w:r>
      <w:bookmarkEnd w:id="18"/>
      <w:r>
        <w:rPr>
          <w:rFonts w:hint="eastAsia" w:eastAsia="仿宋" w:asciiTheme="minorEastAsia" w:hAnsiTheme="minorEastAsia"/>
          <w:snapToGrid w:val="0"/>
          <w:sz w:val="24"/>
          <w:szCs w:val="24"/>
          <w:lang w:val="en-US" w:eastAsia="zh-CN"/>
        </w:rPr>
        <w:t>库</w:t>
      </w:r>
      <w:bookmarkStart w:id="19" w:name="OLE_LINK15"/>
      <w:r>
        <w:rPr>
          <w:rFonts w:hint="eastAsia" w:eastAsia="仿宋" w:asciiTheme="minorEastAsia" w:hAnsiTheme="minorEastAsia"/>
          <w:snapToGrid w:val="0"/>
          <w:sz w:val="24"/>
          <w:szCs w:val="24"/>
          <w:lang w:val="en-US" w:eastAsia="zh-CN"/>
        </w:rPr>
        <w:t>等</w:t>
      </w:r>
      <w:bookmarkEnd w:id="19"/>
      <w:r>
        <w:rPr>
          <w:rFonts w:hint="eastAsia" w:eastAsia="仿宋" w:asciiTheme="minorEastAsia" w:hAnsiTheme="minorEastAsia"/>
          <w:snapToGrid w:val="0"/>
          <w:sz w:val="24"/>
          <w:szCs w:val="24"/>
          <w:lang w:val="en-US" w:eastAsia="zh-CN"/>
        </w:rPr>
        <w:t>，面积均为15.46㎡。</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库房示意图（以最终设计为准）</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drawing>
          <wp:inline distT="0" distB="0" distL="0" distR="0">
            <wp:extent cx="5411470" cy="2933700"/>
            <wp:effectExtent l="0" t="0" r="177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453996" cy="2956542"/>
                    </a:xfrm>
                    <a:prstGeom prst="rect">
                      <a:avLst/>
                    </a:prstGeom>
                  </pic:spPr>
                </pic:pic>
              </a:graphicData>
            </a:graphic>
          </wp:inline>
        </w:drawing>
      </w:r>
    </w:p>
    <w:p>
      <w:pPr>
        <w:spacing w:line="500" w:lineRule="exact"/>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1.4.2拟设计建造的库房必须满足甲方拟储存物资的安全及环保要求。</w:t>
      </w:r>
    </w:p>
    <w:p>
      <w:pPr>
        <w:pStyle w:val="2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1.4.3</w:t>
      </w:r>
      <w:r>
        <w:rPr>
          <w:rFonts w:hint="eastAsia" w:eastAsia="仿宋" w:cs="宋体" w:asciiTheme="minorEastAsia" w:hAnsiTheme="minorEastAsia"/>
          <w:snapToGrid w:val="0"/>
          <w:kern w:val="0"/>
          <w:sz w:val="24"/>
          <w:szCs w:val="24"/>
          <w:lang w:val="en-US" w:eastAsia="zh-CN" w:bidi="ar-SA"/>
        </w:rPr>
        <w:t>消防及排水：</w:t>
      </w:r>
      <w:r>
        <w:rPr>
          <w:rFonts w:hint="eastAsia" w:eastAsia="仿宋" w:asciiTheme="minorEastAsia" w:hAnsiTheme="minorEastAsia"/>
          <w:snapToGrid w:val="0"/>
          <w:sz w:val="24"/>
          <w:szCs w:val="24"/>
          <w:lang w:val="en-US" w:eastAsia="zh-CN"/>
        </w:rPr>
        <w:t>库内消防设施按照《建筑设计防火规范》GB50016-2018、《建筑防火通用规范》55037-2022等标准设计，与厂区消防管网连接。库房雨水采用按沟排入厂区雨污分流系统（储存液体的库房需设置泄漏收集设施）。</w:t>
      </w:r>
    </w:p>
    <w:p>
      <w:pPr>
        <w:pStyle w:val="23"/>
        <w:ind w:firstLine="495"/>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1.4.4</w:t>
      </w:r>
      <w:r>
        <w:rPr>
          <w:rFonts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库区道路地面硬化</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勐养工厂：车辆进出道路地面硬化</w:t>
      </w:r>
      <w:bookmarkStart w:id="20" w:name="OLE_LINK31"/>
      <w:r>
        <w:rPr>
          <w:rFonts w:hint="eastAsia" w:eastAsia="仿宋" w:asciiTheme="minorEastAsia" w:hAnsiTheme="minorEastAsia"/>
          <w:snapToGrid w:val="0"/>
          <w:sz w:val="24"/>
          <w:szCs w:val="24"/>
          <w:lang w:val="en-US" w:eastAsia="zh-CN"/>
        </w:rPr>
        <w:t>390㎡（长65米（含库前地面硬化31米），宽6米，厚0.2m）</w:t>
      </w:r>
      <w:bookmarkEnd w:id="20"/>
      <w:r>
        <w:rPr>
          <w:rFonts w:hint="eastAsia" w:eastAsia="仿宋" w:asciiTheme="minorEastAsia" w:hAnsiTheme="minorEastAsia"/>
          <w:snapToGrid w:val="0"/>
          <w:sz w:val="24"/>
          <w:szCs w:val="24"/>
          <w:lang w:val="en-US" w:eastAsia="zh-CN"/>
        </w:rPr>
        <w:t>。</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芒东工厂：</w:t>
      </w:r>
      <w:bookmarkStart w:id="21" w:name="OLE_LINK32"/>
      <w:bookmarkStart w:id="22" w:name="OLE_LINK33"/>
      <w:r>
        <w:rPr>
          <w:rFonts w:hint="eastAsia" w:eastAsia="仿宋" w:asciiTheme="minorEastAsia" w:hAnsiTheme="minorEastAsia"/>
          <w:snapToGrid w:val="0"/>
          <w:sz w:val="24"/>
          <w:szCs w:val="24"/>
          <w:lang w:val="en-US" w:eastAsia="zh-CN"/>
        </w:rPr>
        <w:t>库前地面硬化308㎡（长32米，宽12米，厚0.2米），车辆进出道路硬化48㎡（长8米*6米*0.2米）</w:t>
      </w:r>
      <w:bookmarkEnd w:id="21"/>
      <w:bookmarkEnd w:id="22"/>
      <w:r>
        <w:rPr>
          <w:rFonts w:hint="eastAsia" w:eastAsia="仿宋" w:asciiTheme="minorEastAsia" w:hAnsiTheme="minorEastAsia"/>
          <w:snapToGrid w:val="0"/>
          <w:sz w:val="24"/>
          <w:szCs w:val="24"/>
          <w:lang w:val="en-US" w:eastAsia="zh-CN"/>
        </w:rPr>
        <w:t>。</w:t>
      </w:r>
    </w:p>
    <w:p>
      <w:pPr>
        <w:pStyle w:val="23"/>
        <w:ind w:firstLine="495"/>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1.4.5电源线路供货安装：从两厂取电源安装至库区（芒东工厂取电处至库房距离约30米，不锈钢管管沿机修外墙土建开槽敷设</w:t>
      </w:r>
      <w:r>
        <w:rPr>
          <w:rFonts w:hint="eastAsia" w:ascii="仿宋_GB2312" w:hAnsi="仿宋_GB2312" w:eastAsia="仿宋_GB2312" w:cs="仿宋_GB2312"/>
          <w:kern w:val="0"/>
          <w:sz w:val="32"/>
          <w:szCs w:val="32"/>
          <w:lang w:eastAsia="zh-CN" w:bidi="ar"/>
        </w:rPr>
        <w:t>，</w:t>
      </w:r>
      <w:r>
        <w:rPr>
          <w:rFonts w:hint="eastAsia" w:eastAsia="仿宋" w:asciiTheme="minorEastAsia" w:hAnsiTheme="minorEastAsia"/>
          <w:snapToGrid w:val="0"/>
          <w:sz w:val="24"/>
          <w:szCs w:val="24"/>
          <w:lang w:val="en-US" w:eastAsia="zh-CN"/>
        </w:rPr>
        <w:t>勐养工厂取电处至库房距离约120米，电缆沟铺设）。</w:t>
      </w:r>
    </w:p>
    <w:p>
      <w:pPr>
        <w:pStyle w:val="23"/>
        <w:ind w:firstLine="480" w:firstLineChars="200"/>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1.4.5乙方设计的图纸需经梁河糖业审核批准后，方可按图施工，乙方向甲方提供经审图合格的设计图纸（纸质版一式6份，电子版一份）</w:t>
      </w:r>
    </w:p>
    <w:p>
      <w:pPr>
        <w:spacing w:line="500" w:lineRule="exact"/>
        <w:rPr>
          <w:rFonts w:hint="eastAsia"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项目工</w:t>
      </w:r>
      <w:bookmarkStart w:id="23" w:name="OLE_LINK91"/>
      <w:bookmarkStart w:id="24" w:name="OLE_LINK92"/>
      <w:r>
        <w:rPr>
          <w:rFonts w:hint="eastAsia" w:eastAsia="仿宋" w:asciiTheme="minorEastAsia" w:hAnsiTheme="minorEastAsia"/>
          <w:snapToGrid w:val="0"/>
          <w:sz w:val="24"/>
          <w:szCs w:val="24"/>
          <w:lang w:eastAsia="zh-CN"/>
        </w:rPr>
        <w:t>程明细表如下（</w:t>
      </w:r>
      <w:r>
        <w:rPr>
          <w:rFonts w:hint="eastAsia" w:eastAsia="仿宋" w:asciiTheme="minorEastAsia" w:hAnsiTheme="minorEastAsia"/>
          <w:snapToGrid w:val="0"/>
          <w:sz w:val="24"/>
          <w:szCs w:val="24"/>
          <w:lang w:val="en-US" w:eastAsia="zh-CN"/>
        </w:rPr>
        <w:t>具体以实际设计为准</w:t>
      </w:r>
      <w:r>
        <w:rPr>
          <w:rFonts w:hint="eastAsia" w:eastAsia="仿宋" w:asciiTheme="minorEastAsia" w:hAnsiTheme="minorEastAsia"/>
          <w:snapToGrid w:val="0"/>
          <w:sz w:val="24"/>
          <w:szCs w:val="24"/>
          <w:lang w:eastAsia="zh-CN"/>
        </w:rPr>
        <w:t>）：</w:t>
      </w:r>
    </w:p>
    <w:p>
      <w:pPr>
        <w:spacing w:line="500" w:lineRule="exact"/>
        <w:rPr>
          <w:rFonts w:hint="eastAsia" w:eastAsia="仿宋" w:asciiTheme="minorEastAsia" w:hAnsiTheme="minorEastAsia"/>
          <w:snapToGrid w:val="0"/>
          <w:sz w:val="24"/>
          <w:szCs w:val="24"/>
          <w:lang w:eastAsia="zh-CN"/>
        </w:rPr>
      </w:pPr>
    </w:p>
    <w:bookmarkEnd w:id="15"/>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02"/>
        <w:gridCol w:w="3658"/>
        <w:gridCol w:w="776"/>
        <w:gridCol w:w="105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3102" w:type="dxa"/>
            <w:shd w:val="clear" w:color="auto" w:fill="auto"/>
            <w:vAlign w:val="center"/>
          </w:tcPr>
          <w:p>
            <w:pPr>
              <w:jc w:val="left"/>
              <w:rPr>
                <w:rFonts w:eastAsia="仿宋_GB2312"/>
                <w:color w:val="000000"/>
                <w:sz w:val="28"/>
                <w:szCs w:val="28"/>
                <w:lang w:eastAsia="zh-CN"/>
              </w:rPr>
            </w:pP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eastAsia="仿宋_GB2312"/>
                <w:color w:val="000000"/>
                <w:sz w:val="28"/>
                <w:szCs w:val="28"/>
              </w:rPr>
            </w:pPr>
          </w:p>
        </w:tc>
        <w:tc>
          <w:tcPr>
            <w:tcW w:w="776" w:type="dxa"/>
            <w:shd w:val="clear" w:color="auto" w:fill="auto"/>
            <w:noWrap/>
            <w:vAlign w:val="center"/>
          </w:tcPr>
          <w:p>
            <w:pPr>
              <w:jc w:val="center"/>
              <w:rPr>
                <w:rFonts w:eastAsia="仿宋_GB2312"/>
                <w:sz w:val="28"/>
                <w:szCs w:val="28"/>
              </w:rPr>
            </w:pPr>
          </w:p>
        </w:tc>
        <w:tc>
          <w:tcPr>
            <w:tcW w:w="1056" w:type="dxa"/>
            <w:shd w:val="clear" w:color="auto" w:fill="auto"/>
            <w:noWrap/>
            <w:vAlign w:val="center"/>
          </w:tcPr>
          <w:p>
            <w:pPr>
              <w:jc w:val="center"/>
              <w:rPr>
                <w:rFonts w:eastAsia="仿宋_GB2312"/>
                <w:sz w:val="28"/>
                <w:szCs w:val="28"/>
              </w:rPr>
            </w:pP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eastAsia="仿宋_GB2312"/>
                <w:sz w:val="28"/>
                <w:szCs w:val="28"/>
                <w:lang w:eastAsia="zh-CN"/>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3102"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2.玻璃品种、厚度:5厚白玻璃</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bl>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ascii="仿宋" w:hAnsi="仿宋" w:eastAsia="仿宋"/>
          <w:snapToGrid w:val="0"/>
          <w:sz w:val="24"/>
          <w:szCs w:val="24"/>
          <w:lang w:eastAsia="zh-CN"/>
        </w:rPr>
      </w:pPr>
    </w:p>
    <w:bookmarkEnd w:id="23"/>
    <w:bookmarkEnd w:id="24"/>
    <w:p>
      <w:pPr>
        <w:pStyle w:val="4"/>
        <w:ind w:left="0"/>
        <w:rPr>
          <w:rFonts w:ascii="仿宋" w:hAnsi="仿宋" w:eastAsia="仿宋"/>
          <w:b/>
          <w:snapToGrid w:val="0"/>
          <w:sz w:val="24"/>
          <w:szCs w:val="24"/>
          <w:lang w:eastAsia="zh-CN"/>
        </w:rPr>
      </w:pPr>
      <w:bookmarkStart w:id="25" w:name="_Toc27555"/>
      <w:r>
        <w:rPr>
          <w:rFonts w:ascii="仿宋" w:hAnsi="仿宋" w:eastAsia="仿宋"/>
          <w:b/>
          <w:snapToGrid w:val="0"/>
          <w:sz w:val="24"/>
          <w:szCs w:val="24"/>
          <w:lang w:eastAsia="zh-CN"/>
        </w:rPr>
        <w:t>2.采购范围及相关要求</w:t>
      </w:r>
      <w:bookmarkEnd w:id="25"/>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w:t>
      </w:r>
      <w:r>
        <w:rPr>
          <w:rFonts w:hint="eastAsia" w:ascii="仿宋" w:hAnsi="仿宋" w:eastAsia="仿宋"/>
          <w:snapToGrid w:val="0"/>
          <w:sz w:val="24"/>
          <w:szCs w:val="24"/>
          <w:u w:val="single"/>
          <w:lang w:val="en-US" w:eastAsia="zh-CN"/>
        </w:rPr>
        <w:t>设计、</w:t>
      </w:r>
      <w:r>
        <w:rPr>
          <w:rFonts w:hint="eastAsia" w:ascii="仿宋" w:hAnsi="仿宋" w:eastAsia="仿宋"/>
          <w:snapToGrid w:val="0"/>
          <w:sz w:val="24"/>
          <w:szCs w:val="24"/>
          <w:u w:val="single"/>
          <w:lang w:eastAsia="zh-CN"/>
        </w:rPr>
        <w:t>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62</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w:t>
      </w:r>
      <w:r>
        <w:rPr>
          <w:rFonts w:eastAsia="仿宋" w:asciiTheme="minorEastAsia" w:hAnsiTheme="minorEastAsia"/>
          <w:snapToGrid w:val="0"/>
          <w:color w:val="FF0000"/>
          <w:sz w:val="24"/>
          <w:szCs w:val="24"/>
          <w:u w:val="single"/>
          <w:lang w:eastAsia="zh-CN"/>
        </w:rPr>
        <w:t xml:space="preserve">  </w:t>
      </w:r>
      <w:r>
        <w:rPr>
          <w:rFonts w:ascii="仿宋" w:hAnsi="仿宋" w:eastAsia="仿宋"/>
          <w:snapToGrid w:val="0"/>
          <w:color w:val="FF0000"/>
          <w:sz w:val="24"/>
          <w:szCs w:val="24"/>
          <w:lang w:eastAsia="zh-CN"/>
        </w:rPr>
        <w:t>,具体以开工令为准。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hint="eastAsia" w:ascii="仿宋" w:hAnsi="仿宋" w:eastAsia="仿宋"/>
          <w:snapToGrid w:val="0"/>
          <w:sz w:val="24"/>
          <w:szCs w:val="24"/>
          <w:u w:val="single"/>
          <w:lang w:val="en-US" w:eastAsia="zh-CN"/>
        </w:rPr>
        <w:t>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170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bookmarkStart w:id="26" w:name="_Toc17927"/>
      <w:r>
        <w:rPr>
          <w:rFonts w:ascii="仿宋" w:hAnsi="仿宋" w:eastAsia="仿宋"/>
          <w:b/>
          <w:snapToGrid w:val="0"/>
          <w:sz w:val="24"/>
          <w:szCs w:val="24"/>
          <w:lang w:eastAsia="zh-CN"/>
        </w:rPr>
        <w:t>3.供应商资格要求</w:t>
      </w:r>
      <w:bookmarkEnd w:id="26"/>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bookmarkStart w:id="27" w:name="_Hlk100325599"/>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bookmarkEnd w:id="27"/>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w:t>
      </w:r>
      <w:r>
        <w:rPr>
          <w:rFonts w:hint="eastAsia" w:ascii="仿宋" w:hAnsi="仿宋" w:eastAsia="仿宋"/>
          <w:snapToGrid w:val="0"/>
          <w:sz w:val="24"/>
          <w:szCs w:val="24"/>
          <w:highlight w:val="yellow"/>
          <w:u w:val="single"/>
          <w:lang w:val="en-US" w:eastAsia="zh-CN"/>
        </w:rPr>
        <w:t>2</w:t>
      </w:r>
      <w:r>
        <w:rPr>
          <w:rFonts w:hint="eastAsia" w:ascii="仿宋" w:hAnsi="仿宋" w:eastAsia="仿宋"/>
          <w:snapToGrid w:val="0"/>
          <w:sz w:val="24"/>
          <w:szCs w:val="24"/>
          <w:highlight w:val="yellow"/>
          <w:u w:val="single"/>
          <w:lang w:eastAsia="zh-CN"/>
        </w:rPr>
        <w:t>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bookmarkStart w:id="28" w:name="_Hlk95776019"/>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bookmarkEnd w:id="28"/>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bookmarkStart w:id="29" w:name="_Toc99356470"/>
      <w:bookmarkStart w:id="30" w:name="_Toc94149429"/>
      <w:bookmarkStart w:id="31" w:name="_Toc5702"/>
      <w:r>
        <w:rPr>
          <w:rFonts w:eastAsia="仿宋" w:asciiTheme="minorEastAsia" w:hAnsiTheme="minorEastAsia"/>
          <w:b/>
          <w:bCs/>
          <w:snapToGrid w:val="0"/>
          <w:sz w:val="24"/>
          <w:szCs w:val="24"/>
          <w:lang w:eastAsia="zh-CN"/>
        </w:rPr>
        <w:t>4.采购文件的获取</w:t>
      </w:r>
      <w:bookmarkEnd w:id="29"/>
      <w:bookmarkEnd w:id="30"/>
      <w:bookmarkEnd w:id="31"/>
    </w:p>
    <w:p>
      <w:pPr>
        <w:adjustRightInd w:val="0"/>
        <w:snapToGrid w:val="0"/>
        <w:spacing w:line="360" w:lineRule="auto"/>
        <w:outlineLvl w:val="4"/>
        <w:rPr>
          <w:rFonts w:eastAsia="仿宋" w:asciiTheme="minorEastAsia" w:hAnsiTheme="minorEastAsia"/>
          <w:snapToGrid w:val="0"/>
          <w:sz w:val="24"/>
          <w:szCs w:val="24"/>
          <w:lang w:eastAsia="zh-CN"/>
        </w:rPr>
      </w:pPr>
      <w:bookmarkStart w:id="32" w:name="OLE_LINK4"/>
      <w:bookmarkStart w:id="33" w:name="OLE_LINK3"/>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34" w:name="_Toc24823"/>
      <w:bookmarkStart w:id="35" w:name="_Toc99356471"/>
      <w:bookmarkStart w:id="36" w:name="_Toc94149430"/>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bookmarkEnd w:id="34"/>
      <w:bookmarkEnd w:id="35"/>
      <w:bookmarkEnd w:id="36"/>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37" w:name="_Toc94149431"/>
      <w:bookmarkStart w:id="38" w:name="_Toc389"/>
      <w:bookmarkStart w:id="39" w:name="_Toc99356472"/>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bookmarkEnd w:id="37"/>
      <w:bookmarkEnd w:id="38"/>
      <w:bookmarkEnd w:id="39"/>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40" w:name="_Toc17707"/>
      <w:bookmarkStart w:id="41" w:name="_Toc99356473"/>
      <w:bookmarkStart w:id="42" w:name="_Toc94149432"/>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bookmarkEnd w:id="40"/>
      <w:bookmarkEnd w:id="41"/>
      <w:bookmarkEnd w:id="42"/>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bookmarkStart w:id="43" w:name="_Toc94149433"/>
      <w:bookmarkStart w:id="44" w:name="_Toc99356474"/>
      <w:bookmarkStart w:id="45" w:name="_Toc21690"/>
      <w:bookmarkStart w:id="46" w:name="OLE_LINK85"/>
      <w:bookmarkStart w:id="47" w:name="OLE_LINK84"/>
      <w:r>
        <w:rPr>
          <w:rFonts w:eastAsia="仿宋" w:asciiTheme="minorEastAsia" w:hAnsiTheme="minorEastAsia"/>
          <w:b/>
          <w:bCs/>
          <w:snapToGrid w:val="0"/>
          <w:sz w:val="24"/>
          <w:szCs w:val="24"/>
          <w:lang w:eastAsia="zh-CN"/>
        </w:rPr>
        <w:t>8.谈判时间和地点</w:t>
      </w:r>
      <w:bookmarkEnd w:id="43"/>
      <w:bookmarkEnd w:id="44"/>
      <w:bookmarkEnd w:id="45"/>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w:t>
      </w:r>
      <w:bookmarkStart w:id="48" w:name="OLE_LINK23"/>
      <w:bookmarkStart w:id="49" w:name="OLE_LINK24"/>
      <w:r>
        <w:rPr>
          <w:rFonts w:eastAsia="仿宋" w:asciiTheme="minorEastAsia" w:hAnsiTheme="minorEastAsia"/>
          <w:snapToGrid w:val="0"/>
          <w:sz w:val="24"/>
          <w:szCs w:val="24"/>
          <w:lang w:eastAsia="zh-CN"/>
        </w:rPr>
        <w:t>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bookmarkEnd w:id="48"/>
      <w:bookmarkEnd w:id="49"/>
      <w:r>
        <w:rPr>
          <w:rFonts w:eastAsia="仿宋" w:asciiTheme="minorEastAsia" w:hAnsiTheme="minorEastAsia"/>
          <w:snapToGrid w:val="0"/>
          <w:sz w:val="24"/>
          <w:szCs w:val="24"/>
          <w:lang w:eastAsia="zh-CN"/>
        </w:rPr>
        <w:t>，与每一供应商进行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bookmarkEnd w:id="46"/>
    <w:bookmarkEnd w:id="47"/>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bookmarkStart w:id="50" w:name="_Toc94149434"/>
      <w:bookmarkStart w:id="51" w:name="_Toc30524"/>
      <w:bookmarkStart w:id="52" w:name="_Toc99356475"/>
      <w:r>
        <w:rPr>
          <w:rFonts w:eastAsia="仿宋" w:asciiTheme="minorEastAsia" w:hAnsiTheme="minorEastAsia"/>
          <w:b/>
          <w:bCs/>
          <w:snapToGrid w:val="0"/>
          <w:sz w:val="24"/>
          <w:szCs w:val="24"/>
          <w:lang w:eastAsia="zh-CN"/>
        </w:rPr>
        <w:t>9.纪检监督</w:t>
      </w:r>
      <w:bookmarkEnd w:id="50"/>
      <w:bookmarkEnd w:id="51"/>
      <w:bookmarkEnd w:id="52"/>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bookmarkStart w:id="53" w:name="_Toc94149435"/>
      <w:bookmarkStart w:id="54" w:name="_Toc14872"/>
      <w:bookmarkStart w:id="55" w:name="_Toc99356476"/>
      <w:r>
        <w:rPr>
          <w:rFonts w:eastAsia="仿宋" w:asciiTheme="minorEastAsia" w:hAnsiTheme="minorEastAsia"/>
          <w:b/>
          <w:bCs/>
          <w:snapToGrid w:val="0"/>
          <w:sz w:val="24"/>
          <w:szCs w:val="24"/>
          <w:lang w:eastAsia="zh-CN"/>
        </w:rPr>
        <w:t>10.其他</w:t>
      </w:r>
      <w:bookmarkEnd w:id="53"/>
      <w:bookmarkEnd w:id="54"/>
      <w:bookmarkEnd w:id="55"/>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bookmarkStart w:id="56" w:name="_Toc99356477"/>
      <w:bookmarkStart w:id="57" w:name="_Toc94149436"/>
      <w:bookmarkStart w:id="58" w:name="_Toc22666"/>
      <w:r>
        <w:rPr>
          <w:rFonts w:eastAsia="仿宋" w:asciiTheme="minorEastAsia" w:hAnsiTheme="minorEastAsia"/>
          <w:b/>
          <w:bCs/>
          <w:snapToGrid w:val="0"/>
          <w:sz w:val="24"/>
          <w:szCs w:val="24"/>
          <w:lang w:eastAsia="zh-CN"/>
        </w:rPr>
        <w:t>11.联系方式</w:t>
      </w:r>
      <w:bookmarkEnd w:id="56"/>
      <w:bookmarkEnd w:id="57"/>
      <w:bookmarkEnd w:id="58"/>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bookmarkEnd w:id="32"/>
      <w:bookmarkEnd w:id="33"/>
    </w:p>
    <w:bookmarkEnd w:id="12"/>
    <w:bookmarkEnd w:id="13"/>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59" w:name="扫描0010"/>
      <w:bookmarkEnd w:id="59"/>
      <w:bookmarkStart w:id="60" w:name="_Toc21909"/>
      <w:r>
        <w:rPr>
          <w:rFonts w:ascii="仿宋" w:hAnsi="仿宋" w:eastAsia="仿宋"/>
          <w:b/>
          <w:bCs/>
          <w:snapToGrid w:val="0"/>
          <w:sz w:val="32"/>
          <w:szCs w:val="32"/>
          <w:lang w:eastAsia="zh-CN"/>
        </w:rPr>
        <w:t>第一章</w:t>
      </w:r>
      <w:r>
        <w:rPr>
          <w:rFonts w:hint="eastAsia" w:ascii="仿宋" w:hAnsi="仿宋" w:eastAsia="仿宋"/>
          <w:b/>
          <w:bCs/>
          <w:snapToGrid w:val="0"/>
          <w:sz w:val="32"/>
          <w:szCs w:val="32"/>
          <w:lang w:eastAsia="zh-CN"/>
        </w:rPr>
        <w:t xml:space="preserve"> </w:t>
      </w:r>
      <w:r>
        <w:rPr>
          <w:rFonts w:ascii="仿宋" w:hAnsi="仿宋" w:eastAsia="仿宋"/>
          <w:b/>
          <w:bCs/>
          <w:snapToGrid w:val="0"/>
          <w:sz w:val="32"/>
          <w:szCs w:val="32"/>
          <w:lang w:eastAsia="zh-CN"/>
        </w:rPr>
        <w:t xml:space="preserve"> 谈判采购邀请书</w:t>
      </w:r>
      <w:bookmarkEnd w:id="60"/>
    </w:p>
    <w:p>
      <w:pPr>
        <w:adjustRightInd w:val="0"/>
        <w:snapToGrid w:val="0"/>
        <w:spacing w:line="276" w:lineRule="auto"/>
        <w:jc w:val="center"/>
        <w:rPr>
          <w:rFonts w:ascii="仿宋" w:hAnsi="仿宋" w:eastAsia="仿宋"/>
          <w:snapToGrid w:val="0"/>
          <w:sz w:val="28"/>
          <w:szCs w:val="28"/>
          <w:lang w:eastAsia="zh-CN"/>
        </w:rPr>
      </w:pPr>
    </w:p>
    <w:p>
      <w:pPr>
        <w:adjustRightInd w:val="0"/>
        <w:snapToGrid w:val="0"/>
        <w:spacing w:line="276" w:lineRule="auto"/>
        <w:jc w:val="center"/>
        <w:rPr>
          <w:rFonts w:ascii="仿宋" w:hAnsi="仿宋" w:eastAsia="仿宋"/>
          <w:snapToGrid w:val="0"/>
          <w:sz w:val="28"/>
          <w:szCs w:val="28"/>
          <w:lang w:eastAsia="zh-CN"/>
        </w:rPr>
      </w:pPr>
      <w:r>
        <w:rPr>
          <w:rFonts w:ascii="仿宋" w:hAnsi="仿宋" w:eastAsia="仿宋"/>
          <w:snapToGrid w:val="0"/>
          <w:sz w:val="28"/>
          <w:szCs w:val="28"/>
          <w:lang w:eastAsia="zh-CN"/>
        </w:rPr>
        <w:t>（适用于直接邀请供应商方式）</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rPr>
          <w:lang w:eastAsia="zh-CN"/>
        </w:rPr>
      </w:pPr>
    </w:p>
    <w:p>
      <w:pPr>
        <w:pStyle w:val="3"/>
        <w:spacing w:line="276" w:lineRule="auto"/>
        <w:jc w:val="center"/>
        <w:rPr>
          <w:rFonts w:ascii="仿宋" w:hAnsi="仿宋" w:eastAsia="仿宋"/>
          <w:b/>
          <w:bCs/>
          <w:snapToGrid w:val="0"/>
          <w:sz w:val="32"/>
          <w:szCs w:val="32"/>
          <w:lang w:eastAsia="zh-CN"/>
        </w:rPr>
      </w:pPr>
      <w:bookmarkStart w:id="61" w:name="_Toc99483609"/>
      <w:bookmarkStart w:id="62" w:name="_Toc100340430"/>
      <w:bookmarkStart w:id="63" w:name="_Toc100340223"/>
      <w:bookmarkStart w:id="64" w:name="_Toc27902"/>
      <w:r>
        <w:rPr>
          <w:rFonts w:hint="eastAsia" w:ascii="仿宋" w:hAnsi="仿宋" w:eastAsia="仿宋"/>
          <w:b/>
          <w:bCs/>
          <w:snapToGrid w:val="0"/>
          <w:sz w:val="32"/>
          <w:szCs w:val="32"/>
          <w:u w:val="single"/>
          <w:lang w:eastAsia="zh-CN"/>
        </w:rPr>
        <w:t>2023年梁河糖业勐养、芒东工厂新建物资仓库项目</w:t>
      </w:r>
      <w:r>
        <w:rPr>
          <w:rFonts w:hint="eastAsia" w:ascii="仿宋" w:hAnsi="仿宋" w:eastAsia="仿宋"/>
          <w:b/>
          <w:bCs/>
          <w:snapToGrid w:val="0"/>
          <w:sz w:val="32"/>
          <w:szCs w:val="32"/>
          <w:lang w:eastAsia="zh-CN"/>
        </w:rPr>
        <w:t>施工</w:t>
      </w:r>
      <w:bookmarkEnd w:id="61"/>
      <w:bookmarkEnd w:id="62"/>
      <w:bookmarkEnd w:id="63"/>
      <w:bookmarkStart w:id="65" w:name="_Toc99483610"/>
      <w:bookmarkStart w:id="66" w:name="_Toc100340431"/>
      <w:bookmarkStart w:id="67" w:name="_Toc100340224"/>
      <w:r>
        <w:rPr>
          <w:rFonts w:ascii="仿宋" w:hAnsi="仿宋" w:eastAsia="仿宋"/>
          <w:b/>
          <w:bCs/>
          <w:snapToGrid w:val="0"/>
          <w:sz w:val="32"/>
          <w:szCs w:val="32"/>
          <w:lang w:eastAsia="zh-CN"/>
        </w:rPr>
        <w:t>谈判采购邀请书</w:t>
      </w:r>
      <w:bookmarkEnd w:id="64"/>
      <w:bookmarkEnd w:id="65"/>
      <w:bookmarkEnd w:id="66"/>
      <w:bookmarkEnd w:id="67"/>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360" w:lineRule="auto"/>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（被邀请单位名称）</w:t>
      </w:r>
      <w:r>
        <w:rPr>
          <w:rFonts w:hint="eastAsia" w:ascii="仿宋" w:hAnsi="仿宋" w:eastAsia="仿宋"/>
          <w:snapToGrid w:val="0"/>
          <w:sz w:val="24"/>
          <w:szCs w:val="24"/>
          <w:lang w:eastAsia="zh-CN"/>
        </w:rPr>
        <w:t>：</w:t>
      </w:r>
    </w:p>
    <w:p>
      <w:pPr>
        <w:pStyle w:val="17"/>
        <w:adjustRightInd w:val="0"/>
        <w:snapToGrid w:val="0"/>
        <w:spacing w:line="360" w:lineRule="auto"/>
        <w:ind w:firstLine="480"/>
        <w:jc w:val="both"/>
        <w:rPr>
          <w:rFonts w:ascii="仿宋" w:hAnsi="仿宋" w:eastAsia="仿宋"/>
          <w:snapToGrid w:val="0"/>
          <w:sz w:val="24"/>
          <w:szCs w:val="24"/>
          <w:lang w:eastAsia="zh-CN"/>
        </w:rPr>
      </w:pPr>
      <w:r>
        <w:rPr>
          <w:rFonts w:hint="eastAsia" w:ascii="仿宋" w:hAnsi="仿宋" w:eastAsia="仿宋"/>
          <w:snapToGrid w:val="0"/>
          <w:sz w:val="24"/>
          <w:szCs w:val="24"/>
          <w:u w:val="single"/>
          <w:lang w:eastAsia="zh-CN"/>
        </w:rPr>
        <w:t>2023年梁河糖业勐养、芒东工厂新建物资仓库项目</w:t>
      </w:r>
      <w:r>
        <w:rPr>
          <w:rFonts w:hint="eastAsia" w:ascii="仿宋" w:hAnsi="仿宋" w:eastAsia="仿宋"/>
          <w:snapToGrid w:val="0"/>
          <w:sz w:val="24"/>
          <w:szCs w:val="24"/>
          <w:lang w:eastAsia="zh-CN"/>
        </w:rPr>
        <w:t>施工</w:t>
      </w:r>
      <w:r>
        <w:rPr>
          <w:rFonts w:ascii="仿宋" w:hAnsi="仿宋" w:eastAsia="仿宋"/>
          <w:snapToGrid w:val="0"/>
          <w:sz w:val="24"/>
          <w:szCs w:val="24"/>
          <w:lang w:eastAsia="zh-CN"/>
        </w:rPr>
        <w:t>已具备采购条件，现邀请贵单位参加谈判采购活动。</w:t>
      </w: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1.采购项目简介</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.1 采购项目名称：</w:t>
      </w:r>
      <w:r>
        <w:rPr>
          <w:rFonts w:hint="eastAsia" w:ascii="仿宋" w:hAnsi="仿宋" w:eastAsia="仿宋"/>
          <w:snapToGrid w:val="0"/>
          <w:sz w:val="24"/>
          <w:szCs w:val="24"/>
          <w:highlight w:val="yellow"/>
          <w:u w:val="single"/>
          <w:lang w:eastAsia="zh-CN"/>
        </w:rPr>
        <w:t>2023年梁河糖业勐养、芒东工厂新建物资仓库项目</w:t>
      </w:r>
    </w:p>
    <w:p>
      <w:pPr>
        <w:adjustRightInd w:val="0"/>
        <w:snapToGrid w:val="0"/>
        <w:spacing w:line="360" w:lineRule="auto"/>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.2 采购人：</w:t>
      </w:r>
      <w:r>
        <w:rPr>
          <w:rFonts w:hint="eastAsia" w:ascii="仿宋" w:hAnsi="仿宋" w:eastAsia="仿宋"/>
          <w:snapToGrid w:val="0"/>
          <w:sz w:val="24"/>
          <w:szCs w:val="24"/>
          <w:u w:val="single"/>
          <w:lang w:eastAsia="zh-CN"/>
        </w:rPr>
        <w:t>中粮梁河糖业有限公司</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.3 采购项目资金落实情况：</w:t>
      </w:r>
      <w:r>
        <w:rPr>
          <w:rFonts w:hint="eastAsia" w:eastAsia="仿宋" w:asciiTheme="minorEastAsia" w:hAnsiTheme="minorEastAsia"/>
          <w:snapToGrid w:val="0"/>
          <w:sz w:val="24"/>
          <w:szCs w:val="24"/>
          <w:u w:val="single"/>
          <w:shd w:val="clear" w:color="auto" w:fill="FFFF00"/>
          <w:lang w:eastAsia="zh-CN"/>
        </w:rPr>
        <w:t>已落实</w:t>
      </w:r>
      <w:r>
        <w:rPr>
          <w:rFonts w:eastAsia="仿宋" w:asciiTheme="minorEastAsia" w:hAnsiTheme="minorEastAsia"/>
          <w:snapToGrid w:val="0"/>
          <w:sz w:val="24"/>
          <w:szCs w:val="24"/>
          <w:u w:val="single"/>
          <w:shd w:val="clear" w:color="auto" w:fill="FFFF00"/>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1</w:t>
      </w:r>
      <w:r>
        <w:rPr>
          <w:rFonts w:eastAsia="仿宋" w:asciiTheme="minorEastAsia" w:hAnsiTheme="minorEastAsia"/>
          <w:snapToGrid w:val="0"/>
          <w:sz w:val="24"/>
          <w:szCs w:val="24"/>
          <w:lang w:eastAsia="zh-CN"/>
        </w:rPr>
        <w:t>.4 采购项目概况：</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1.4.1由供应商在梁河糖业建造勐养、芒东工厂厂区内，分别设计建造一间物资仓库，新建的仓库震烈度按不低于8度，使用的电器为防爆电器</w:t>
      </w:r>
      <w:r>
        <w:rPr>
          <w:rFonts w:hint="eastAsia"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新建库房为钢筋混凝土框架结构，设计使用年限50年，火灾危险等级为甲类，耐火等级为二级，占地面积164.16㎡，建筑面积164.16平方米（地上一层），新建库房尺寸为长30.4米*宽5.4米*高4.75米，在长度方向分为8个间库房，两个端头房分别为乙炔库24.38㎡、磷酸三钠-氢氧化钠库25.38㎡，其他分别为柴油库、酒精（桶装）库、油漆（桶装）库、氯化钠库、氧气库等，面积均为15.46㎡。</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库房示意图（以最终设计为准）</w:t>
      </w:r>
    </w:p>
    <w:p>
      <w:pPr>
        <w:adjustRightInd w:val="0"/>
        <w:snapToGrid w:val="0"/>
        <w:spacing w:line="360" w:lineRule="auto"/>
        <w:outlineLvl w:val="3"/>
        <w:rPr>
          <w:rFonts w:hint="eastAsia" w:eastAsia="仿宋" w:asciiTheme="minorEastAsia" w:hAnsiTheme="minorEastAsia"/>
          <w:snapToGrid w:val="0"/>
          <w:sz w:val="24"/>
          <w:szCs w:val="24"/>
          <w:lang w:val="en-US" w:eastAsia="zh-CN"/>
        </w:rPr>
      </w:pPr>
      <w:r>
        <w:drawing>
          <wp:inline distT="0" distB="0" distL="0" distR="0">
            <wp:extent cx="5411470" cy="2933700"/>
            <wp:effectExtent l="0" t="0" r="177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453996" cy="2956542"/>
                    </a:xfrm>
                    <a:prstGeom prst="rect">
                      <a:avLst/>
                    </a:prstGeom>
                  </pic:spPr>
                </pic:pic>
              </a:graphicData>
            </a:graphic>
          </wp:inline>
        </w:drawing>
      </w:r>
    </w:p>
    <w:p>
      <w:pPr>
        <w:spacing w:line="500" w:lineRule="exact"/>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1.4.2拟设计建造的库房必须满足甲方拟储存物资的安全及环保要求。</w:t>
      </w:r>
    </w:p>
    <w:p>
      <w:pPr>
        <w:pStyle w:val="23"/>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1.4.3</w:t>
      </w:r>
      <w:r>
        <w:rPr>
          <w:rFonts w:hint="eastAsia" w:eastAsia="仿宋" w:cs="宋体" w:asciiTheme="minorEastAsia" w:hAnsiTheme="minorEastAsia"/>
          <w:snapToGrid w:val="0"/>
          <w:kern w:val="0"/>
          <w:sz w:val="24"/>
          <w:szCs w:val="24"/>
          <w:lang w:val="en-US" w:eastAsia="zh-CN" w:bidi="ar-SA"/>
        </w:rPr>
        <w:t>消防及排水：</w:t>
      </w:r>
      <w:r>
        <w:rPr>
          <w:rFonts w:hint="eastAsia" w:eastAsia="仿宋" w:asciiTheme="minorEastAsia" w:hAnsiTheme="minorEastAsia"/>
          <w:snapToGrid w:val="0"/>
          <w:sz w:val="24"/>
          <w:szCs w:val="24"/>
          <w:lang w:val="en-US" w:eastAsia="zh-CN"/>
        </w:rPr>
        <w:t>库内消防设施按照《建筑设计防火规范》GB50016-2018、《建筑防火通用规范》55037-2022等标准设计，与厂区消防管网连接。库房雨水采用按沟排入厂区雨污分流系统（储存液体的库房需设置泄漏收集设施）。</w:t>
      </w:r>
    </w:p>
    <w:p>
      <w:pPr>
        <w:pStyle w:val="23"/>
        <w:ind w:firstLine="495"/>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1.4.4</w:t>
      </w:r>
      <w:r>
        <w:rPr>
          <w:rFonts w:ascii="仿宋_GB2312" w:hAnsi="仿宋_GB2312" w:eastAsia="仿宋_GB2312" w:cs="仿宋_GB2312"/>
          <w:kern w:val="0"/>
          <w:sz w:val="32"/>
          <w:szCs w:val="32"/>
          <w:lang w:bidi="ar"/>
        </w:rPr>
        <w:t>.</w:t>
      </w:r>
      <w:r>
        <w:rPr>
          <w:rFonts w:hint="eastAsia" w:eastAsia="仿宋" w:asciiTheme="minorEastAsia" w:hAnsiTheme="minorEastAsia"/>
          <w:snapToGrid w:val="0"/>
          <w:sz w:val="24"/>
          <w:szCs w:val="24"/>
          <w:lang w:val="en-US" w:eastAsia="zh-CN"/>
        </w:rPr>
        <w:t>库区道路地面硬化</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勐养工厂：车辆进出道路地面硬化390㎡（长65米（含库前地面硬化31米），宽6米，厚0.2m）。</w:t>
      </w:r>
    </w:p>
    <w:p>
      <w:pPr>
        <w:pStyle w:val="23"/>
        <w:ind w:firstLine="480" w:firstLineChars="200"/>
        <w:rPr>
          <w:rFonts w:hint="eastAsia"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芒东工厂：库前地面硬化308㎡（长32米，宽12米，厚0.2米），车辆进出道路硬化48㎡（长8米*6米*0.2米）。</w:t>
      </w:r>
    </w:p>
    <w:p>
      <w:pPr>
        <w:pStyle w:val="23"/>
        <w:ind w:firstLine="495"/>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1.4.5电源线路供货安装：从两厂取电源安装至库区（芒东工厂取电处至库房距离约30米，不锈钢管管沿机修外墙土建开槽敷设</w:t>
      </w:r>
      <w:r>
        <w:rPr>
          <w:rFonts w:hint="eastAsia" w:ascii="仿宋_GB2312" w:hAnsi="仿宋_GB2312" w:eastAsia="仿宋_GB2312" w:cs="仿宋_GB2312"/>
          <w:kern w:val="0"/>
          <w:sz w:val="32"/>
          <w:szCs w:val="32"/>
          <w:lang w:eastAsia="zh-CN" w:bidi="ar"/>
        </w:rPr>
        <w:t>，</w:t>
      </w:r>
      <w:r>
        <w:rPr>
          <w:rFonts w:hint="eastAsia" w:eastAsia="仿宋" w:asciiTheme="minorEastAsia" w:hAnsiTheme="minorEastAsia"/>
          <w:snapToGrid w:val="0"/>
          <w:sz w:val="24"/>
          <w:szCs w:val="24"/>
          <w:lang w:val="en-US" w:eastAsia="zh-CN"/>
        </w:rPr>
        <w:t>勐养工厂取电处至库房距离约120米，电缆沟铺设）。</w:t>
      </w:r>
    </w:p>
    <w:p>
      <w:pPr>
        <w:pStyle w:val="23"/>
        <w:ind w:firstLine="480" w:firstLineChars="200"/>
        <w:rPr>
          <w:rFonts w:hint="default" w:eastAsia="仿宋" w:asciiTheme="minorEastAsia" w:hAnsiTheme="minorEastAsia"/>
          <w:snapToGrid w:val="0"/>
          <w:sz w:val="24"/>
          <w:szCs w:val="24"/>
          <w:lang w:val="en-US" w:eastAsia="zh-CN"/>
        </w:rPr>
      </w:pPr>
      <w:r>
        <w:rPr>
          <w:rFonts w:hint="eastAsia" w:eastAsia="仿宋" w:asciiTheme="minorEastAsia" w:hAnsiTheme="minorEastAsia"/>
          <w:snapToGrid w:val="0"/>
          <w:sz w:val="24"/>
          <w:szCs w:val="24"/>
          <w:lang w:val="en-US" w:eastAsia="zh-CN"/>
        </w:rPr>
        <w:t>1.4.5乙方设计的图纸需经梁河糖业审核批准后，方可按图施工，乙方向甲方提供经审图合格的设计图纸（纸质版一式6份，电子版一份）</w:t>
      </w:r>
    </w:p>
    <w:p>
      <w:pPr>
        <w:pStyle w:val="17"/>
        <w:adjustRightInd w:val="0"/>
        <w:snapToGrid w:val="0"/>
        <w:spacing w:line="360" w:lineRule="auto"/>
        <w:rPr>
          <w:rFonts w:ascii="仿宋" w:hAnsi="仿宋" w:eastAsia="仿宋"/>
          <w:snapToGrid w:val="0"/>
          <w:sz w:val="24"/>
          <w:szCs w:val="24"/>
          <w:lang w:eastAsia="zh-CN"/>
        </w:rPr>
      </w:pPr>
      <w:r>
        <w:rPr>
          <w:rFonts w:hint="eastAsia" w:eastAsia="仿宋" w:asciiTheme="minorEastAsia" w:hAnsiTheme="minorEastAsia"/>
          <w:snapToGrid w:val="0"/>
          <w:sz w:val="24"/>
          <w:szCs w:val="24"/>
          <w:lang w:eastAsia="zh-CN"/>
        </w:rPr>
        <w:t>项目工程明细表如下（</w:t>
      </w:r>
      <w:r>
        <w:rPr>
          <w:rFonts w:hint="eastAsia" w:eastAsia="仿宋" w:asciiTheme="minorEastAsia" w:hAnsiTheme="minorEastAsia"/>
          <w:snapToGrid w:val="0"/>
          <w:sz w:val="24"/>
          <w:szCs w:val="24"/>
          <w:lang w:val="en-US" w:eastAsia="zh-CN"/>
        </w:rPr>
        <w:t>具体以实际设计为准</w:t>
      </w:r>
      <w:r>
        <w:rPr>
          <w:rFonts w:hint="eastAsia" w:eastAsia="仿宋" w:asciiTheme="minorEastAsia" w:hAnsiTheme="minorEastAsia"/>
          <w:snapToGrid w:val="0"/>
          <w:sz w:val="24"/>
          <w:szCs w:val="24"/>
          <w:lang w:eastAsia="zh-CN"/>
        </w:rPr>
        <w:t>）：</w:t>
      </w:r>
    </w:p>
    <w:tbl>
      <w:tblPr>
        <w:tblStyle w:val="4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102"/>
        <w:gridCol w:w="3658"/>
        <w:gridCol w:w="776"/>
        <w:gridCol w:w="1056"/>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shd w:val="clear" w:color="auto" w:fill="auto"/>
            <w:vAlign w:val="center"/>
          </w:tcPr>
          <w:p>
            <w:pPr>
              <w:widowControl/>
              <w:jc w:val="center"/>
              <w:rPr>
                <w:rFonts w:eastAsia="仿宋_GB2312"/>
                <w:sz w:val="28"/>
                <w:szCs w:val="28"/>
              </w:rPr>
            </w:pPr>
            <w:r>
              <w:rPr>
                <w:rFonts w:eastAsia="仿宋_GB2312"/>
                <w:sz w:val="28"/>
                <w:szCs w:val="28"/>
              </w:rPr>
              <w:t>序号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单位</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工程量</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3102" w:type="dxa"/>
            <w:shd w:val="clear" w:color="auto" w:fill="auto"/>
            <w:vAlign w:val="center"/>
          </w:tcPr>
          <w:p>
            <w:pPr>
              <w:jc w:val="left"/>
              <w:rPr>
                <w:rFonts w:eastAsia="仿宋_GB2312"/>
                <w:color w:val="000000"/>
                <w:sz w:val="28"/>
                <w:szCs w:val="28"/>
                <w:lang w:eastAsia="zh-CN"/>
              </w:rPr>
            </w:pP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eastAsia="仿宋_GB2312"/>
                <w:color w:val="000000"/>
                <w:sz w:val="28"/>
                <w:szCs w:val="28"/>
              </w:rPr>
            </w:pPr>
          </w:p>
        </w:tc>
        <w:tc>
          <w:tcPr>
            <w:tcW w:w="776" w:type="dxa"/>
            <w:shd w:val="clear" w:color="auto" w:fill="auto"/>
            <w:noWrap/>
            <w:vAlign w:val="center"/>
          </w:tcPr>
          <w:p>
            <w:pPr>
              <w:jc w:val="center"/>
              <w:rPr>
                <w:rFonts w:eastAsia="仿宋_GB2312"/>
                <w:sz w:val="28"/>
                <w:szCs w:val="28"/>
              </w:rPr>
            </w:pPr>
          </w:p>
        </w:tc>
        <w:tc>
          <w:tcPr>
            <w:tcW w:w="1056" w:type="dxa"/>
            <w:shd w:val="clear" w:color="auto" w:fill="auto"/>
            <w:noWrap/>
            <w:vAlign w:val="center"/>
          </w:tcPr>
          <w:p>
            <w:pPr>
              <w:jc w:val="center"/>
              <w:rPr>
                <w:rFonts w:eastAsia="仿宋_GB2312"/>
                <w:sz w:val="28"/>
                <w:szCs w:val="28"/>
              </w:rPr>
            </w:pP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3102"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noWrap/>
            <w:vAlign w:val="center"/>
          </w:tcPr>
          <w:p>
            <w:pPr>
              <w:widowControl/>
              <w:jc w:val="center"/>
              <w:rPr>
                <w:sz w:val="24"/>
              </w:rPr>
            </w:pPr>
            <w:r>
              <w:rPr>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eastAsia="仿宋_GB2312"/>
                <w:sz w:val="28"/>
                <w:szCs w:val="28"/>
                <w:lang w:eastAsia="zh-CN"/>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3102"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3102"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r>
              <w:rPr>
                <w:rFonts w:eastAsia="仿宋_GB2312"/>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2.玻璃品种、厚度:5厚白玻璃</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3102" w:type="dxa"/>
            <w:shd w:val="clear" w:color="auto" w:fill="auto"/>
            <w:vAlign w:val="center"/>
          </w:tcPr>
          <w:p>
            <w:pPr>
              <w:jc w:val="left"/>
              <w:rPr>
                <w:rFonts w:eastAsia="仿宋_GB2312"/>
                <w:sz w:val="28"/>
                <w:szCs w:val="28"/>
              </w:rPr>
            </w:pP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jc w:val="center"/>
              <w:rPr>
                <w:rFonts w:eastAsia="仿宋_GB2312"/>
                <w:sz w:val="28"/>
                <w:szCs w:val="28"/>
              </w:rPr>
            </w:pPr>
          </w:p>
        </w:tc>
        <w:tc>
          <w:tcPr>
            <w:tcW w:w="1056" w:type="dxa"/>
            <w:shd w:val="clear" w:color="auto" w:fill="auto"/>
            <w:vAlign w:val="center"/>
          </w:tcPr>
          <w:p>
            <w:pPr>
              <w:jc w:val="center"/>
              <w:rPr>
                <w:rFonts w:eastAsia="仿宋_GB2312"/>
                <w:sz w:val="28"/>
                <w:szCs w:val="28"/>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3658" w:type="dxa"/>
            <w:shd w:val="clear" w:color="auto" w:fill="auto"/>
            <w:vAlign w:val="center"/>
          </w:tcPr>
          <w:p>
            <w:pPr>
              <w:jc w:val="left"/>
              <w:rPr>
                <w:rFonts w:eastAsia="仿宋_GB2312"/>
                <w:sz w:val="28"/>
                <w:szCs w:val="28"/>
              </w:rPr>
            </w:pP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3102"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3102"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3658"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102"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365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7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1056"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0" w:type="auto"/>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102"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3658"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76"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056"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0" w:type="auto"/>
            <w:shd w:val="clear" w:color="auto" w:fill="auto"/>
            <w:vAlign w:val="center"/>
          </w:tcPr>
          <w:p>
            <w:pPr>
              <w:widowControl/>
              <w:jc w:val="center"/>
              <w:rPr>
                <w:rFonts w:eastAsia="仿宋_GB2312"/>
                <w:sz w:val="28"/>
                <w:szCs w:val="28"/>
              </w:rPr>
            </w:pPr>
          </w:p>
        </w:tc>
      </w:tr>
    </w:tbl>
    <w:p>
      <w:pPr>
        <w:pStyle w:val="17"/>
        <w:adjustRightInd w:val="0"/>
        <w:snapToGrid w:val="0"/>
        <w:spacing w:line="360" w:lineRule="auto"/>
        <w:rPr>
          <w:rFonts w:ascii="仿宋" w:hAnsi="仿宋" w:eastAsia="仿宋"/>
          <w:snapToGrid w:val="0"/>
          <w:sz w:val="24"/>
          <w:szCs w:val="24"/>
          <w:lang w:eastAsia="zh-CN"/>
        </w:rPr>
      </w:pPr>
    </w:p>
    <w:p>
      <w:pPr>
        <w:pStyle w:val="17"/>
        <w:adjustRightInd w:val="0"/>
        <w:snapToGrid w:val="0"/>
        <w:spacing w:line="360" w:lineRule="auto"/>
        <w:rPr>
          <w:rFonts w:eastAsia="仿宋_GB2312"/>
          <w:spacing w:val="20"/>
          <w:sz w:val="32"/>
          <w:szCs w:val="32"/>
        </w:rPr>
      </w:pPr>
    </w:p>
    <w:p>
      <w:pPr>
        <w:pStyle w:val="17"/>
        <w:adjustRightInd w:val="0"/>
        <w:snapToGrid w:val="0"/>
        <w:spacing w:line="360" w:lineRule="auto"/>
        <w:rPr>
          <w:rFonts w:ascii="仿宋" w:hAnsi="仿宋" w:eastAsia="仿宋"/>
          <w:snapToGrid w:val="0"/>
          <w:sz w:val="24"/>
          <w:szCs w:val="24"/>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2.采购范围及相关要求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.1 采购范围：</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本工程工程量清单所包含的</w:t>
      </w:r>
      <w:r>
        <w:rPr>
          <w:rFonts w:hint="eastAsia" w:ascii="仿宋" w:hAnsi="仿宋" w:eastAsia="仿宋"/>
          <w:snapToGrid w:val="0"/>
          <w:sz w:val="24"/>
          <w:szCs w:val="24"/>
          <w:u w:val="single"/>
          <w:lang w:val="en-US" w:eastAsia="zh-CN"/>
        </w:rPr>
        <w:t>设计、</w:t>
      </w:r>
      <w:r>
        <w:rPr>
          <w:rFonts w:hint="eastAsia" w:ascii="仿宋" w:hAnsi="仿宋" w:eastAsia="仿宋"/>
          <w:snapToGrid w:val="0"/>
          <w:sz w:val="24"/>
          <w:szCs w:val="24"/>
          <w:u w:val="single"/>
          <w:lang w:eastAsia="zh-CN"/>
        </w:rPr>
        <w:t>施工、验收、保修等各阶段所有工作内容，包括承包人自行施工工程范围和暂估价工程范围。</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.2 计划工期：</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val="en-US" w:eastAsia="zh-CN"/>
        </w:rPr>
        <w:t>62</w:t>
      </w:r>
      <w:r>
        <w:rPr>
          <w:rFonts w:hint="eastAsia" w:ascii="仿宋" w:hAnsi="仿宋" w:eastAsia="仿宋"/>
          <w:snapToGrid w:val="0"/>
          <w:sz w:val="24"/>
          <w:szCs w:val="24"/>
          <w:u w:val="single"/>
          <w:lang w:eastAsia="zh-CN"/>
        </w:rPr>
        <w:t>个日历天</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hint="eastAsia" w:eastAsia="仿宋" w:asciiTheme="minorEastAsia" w:hAnsiTheme="minorEastAsia"/>
          <w:snapToGrid w:val="0"/>
          <w:sz w:val="24"/>
          <w:szCs w:val="24"/>
          <w:lang w:eastAsia="zh-CN"/>
        </w:rPr>
        <w:t>计划开竣工日期：</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2023</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1</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lang w:eastAsia="zh-CN"/>
        </w:rPr>
        <w:t>日至</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202</w:t>
      </w:r>
      <w:r>
        <w:rPr>
          <w:rFonts w:hint="eastAsia" w:eastAsia="仿宋" w:asciiTheme="minorEastAsia" w:hAnsiTheme="minorEastAsia"/>
          <w:snapToGrid w:val="0"/>
          <w:color w:val="FF0000"/>
          <w:sz w:val="24"/>
          <w:szCs w:val="24"/>
          <w:u w:val="single"/>
          <w:lang w:val="en-US" w:eastAsia="zh-CN"/>
        </w:rPr>
        <w:t>4</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年</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2</w:t>
      </w:r>
      <w:r>
        <w:rPr>
          <w:rFonts w:eastAsia="仿宋" w:asciiTheme="minorEastAsia" w:hAnsiTheme="minorEastAsia"/>
          <w:snapToGrid w:val="0"/>
          <w:color w:val="FF0000"/>
          <w:sz w:val="24"/>
          <w:szCs w:val="24"/>
          <w:u w:val="single"/>
          <w:lang w:eastAsia="zh-CN"/>
        </w:rPr>
        <w:t xml:space="preserve"> </w:t>
      </w:r>
      <w:r>
        <w:rPr>
          <w:rFonts w:eastAsia="仿宋" w:asciiTheme="minorEastAsia" w:hAnsiTheme="minorEastAsia"/>
          <w:snapToGrid w:val="0"/>
          <w:color w:val="FF0000"/>
          <w:sz w:val="24"/>
          <w:szCs w:val="24"/>
          <w:lang w:eastAsia="zh-CN"/>
        </w:rPr>
        <w:t>月</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val="en-US" w:eastAsia="zh-CN"/>
        </w:rPr>
        <w:t>5</w:t>
      </w:r>
      <w:r>
        <w:rPr>
          <w:rFonts w:eastAsia="仿宋" w:asciiTheme="minorEastAsia" w:hAnsiTheme="minorEastAsia"/>
          <w:snapToGrid w:val="0"/>
          <w:color w:val="FF0000"/>
          <w:sz w:val="24"/>
          <w:szCs w:val="24"/>
          <w:u w:val="single"/>
          <w:lang w:eastAsia="zh-CN"/>
        </w:rPr>
        <w:t xml:space="preserve">  </w:t>
      </w:r>
      <w:r>
        <w:rPr>
          <w:rFonts w:ascii="仿宋" w:hAnsi="仿宋" w:eastAsia="仿宋"/>
          <w:snapToGrid w:val="0"/>
          <w:color w:val="FF0000"/>
          <w:sz w:val="24"/>
          <w:szCs w:val="24"/>
          <w:lang w:eastAsia="zh-CN"/>
        </w:rPr>
        <w:t>,具体以开工令为准。</w:t>
      </w:r>
      <w:r>
        <w:rPr>
          <w:rFonts w:ascii="仿宋" w:hAnsi="仿宋" w:eastAsia="仿宋"/>
          <w:snapToGrid w:val="0"/>
          <w:sz w:val="24"/>
          <w:szCs w:val="24"/>
          <w:lang w:eastAsia="zh-CN"/>
        </w:rPr>
        <w:t>）</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.3 建设地点：</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中粮梁河糖业有限公司勐养工厂、</w:t>
      </w:r>
      <w:r>
        <w:rPr>
          <w:rFonts w:hint="eastAsia" w:ascii="仿宋" w:hAnsi="仿宋" w:eastAsia="仿宋"/>
          <w:snapToGrid w:val="0"/>
          <w:sz w:val="24"/>
          <w:szCs w:val="24"/>
          <w:u w:val="single"/>
          <w:lang w:val="en-US" w:eastAsia="zh-CN"/>
        </w:rPr>
        <w:t>芒东工厂</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.4 质量要求：</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验收一次性合格</w:t>
      </w:r>
      <w:r>
        <w:rPr>
          <w:rFonts w:ascii="仿宋" w:hAnsi="仿宋" w:eastAsia="仿宋"/>
          <w:snapToGrid w:val="0"/>
          <w:sz w:val="24"/>
          <w:szCs w:val="24"/>
          <w:u w:val="single"/>
          <w:lang w:eastAsia="zh-CN"/>
        </w:rPr>
        <w:t xml:space="preserve">100%                                   </w:t>
      </w:r>
    </w:p>
    <w:p>
      <w:pPr>
        <w:adjustRightInd w:val="0"/>
        <w:snapToGrid w:val="0"/>
        <w:spacing w:line="360" w:lineRule="auto"/>
        <w:ind w:left="122"/>
        <w:outlineLvl w:val="3"/>
        <w:rPr>
          <w:rFonts w:ascii="仿宋" w:hAnsi="仿宋" w:eastAsia="仿宋"/>
          <w:snapToGrid w:val="0"/>
          <w:sz w:val="24"/>
          <w:szCs w:val="24"/>
          <w:u w:val="single"/>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.5 安全目标：</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确保工程无重大安全事故</w:t>
      </w:r>
      <w:r>
        <w:rPr>
          <w:rFonts w:ascii="仿宋" w:hAnsi="仿宋" w:eastAsia="仿宋"/>
          <w:snapToGrid w:val="0"/>
          <w:sz w:val="24"/>
          <w:szCs w:val="24"/>
          <w:u w:val="single"/>
          <w:lang w:eastAsia="zh-CN"/>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 xml:space="preserve">.6 </w:t>
      </w:r>
      <w:r>
        <w:rPr>
          <w:rFonts w:hint="eastAsia" w:ascii="仿宋" w:hAnsi="仿宋" w:eastAsia="仿宋"/>
          <w:snapToGrid w:val="0"/>
          <w:sz w:val="24"/>
          <w:szCs w:val="24"/>
          <w:lang w:eastAsia="zh-CN"/>
        </w:rPr>
        <w:t>最高限价：</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设置最高限价，最高限价为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170</w:t>
      </w:r>
      <w:r>
        <w:rPr>
          <w:rFonts w:eastAsia="仿宋" w:asciiTheme="minorEastAsia" w:hAnsiTheme="minorEastAsia"/>
          <w:snapToGrid w:val="0"/>
          <w:sz w:val="24"/>
          <w:szCs w:val="24"/>
          <w:u w:val="single"/>
          <w:shd w:val="clear" w:color="auto" w:fill="FFFF00"/>
          <w:lang w:eastAsia="zh-CN"/>
        </w:rPr>
        <w:t xml:space="preserve">  万元</w:t>
      </w:r>
    </w:p>
    <w:p>
      <w:pPr>
        <w:adjustRightInd w:val="0"/>
        <w:snapToGrid w:val="0"/>
        <w:spacing w:line="360" w:lineRule="auto"/>
        <w:ind w:left="425" w:leftChars="193"/>
        <w:outlineLvl w:val="3"/>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A3"/>
      </w:r>
      <w:r>
        <w:rPr>
          <w:rFonts w:hint="eastAsia" w:eastAsia="仿宋" w:asciiTheme="minorEastAsia" w:hAnsiTheme="minorEastAsia"/>
          <w:snapToGrid w:val="0"/>
          <w:sz w:val="24"/>
          <w:szCs w:val="24"/>
          <w:u w:val="single"/>
          <w:shd w:val="clear" w:color="auto" w:fill="FFFF00"/>
          <w:lang w:eastAsia="zh-CN"/>
        </w:rPr>
        <w:t>不设置最高限价</w:t>
      </w:r>
    </w:p>
    <w:p>
      <w:pPr>
        <w:rPr>
          <w:rFonts w:ascii="仿宋" w:hAnsi="仿宋" w:eastAsia="仿宋"/>
          <w:lang w:eastAsia="zh-CN"/>
        </w:rPr>
      </w:pPr>
    </w:p>
    <w:p>
      <w:pPr>
        <w:pStyle w:val="4"/>
        <w:ind w:left="0"/>
        <w:rPr>
          <w:rFonts w:ascii="仿宋" w:hAnsi="仿宋" w:eastAsia="仿宋"/>
          <w:b/>
          <w:snapToGrid w:val="0"/>
          <w:sz w:val="24"/>
          <w:szCs w:val="24"/>
          <w:lang w:eastAsia="zh-CN"/>
        </w:rPr>
      </w:pPr>
      <w:r>
        <w:rPr>
          <w:rFonts w:ascii="仿宋" w:hAnsi="仿宋" w:eastAsia="仿宋"/>
          <w:b/>
          <w:snapToGrid w:val="0"/>
          <w:sz w:val="24"/>
          <w:szCs w:val="24"/>
          <w:lang w:eastAsia="zh-CN"/>
        </w:rPr>
        <w:t>3.供应商资格要求</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.1 供应商应依法设立且满足如下要求：</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rPr>
      </w:pPr>
      <w:r>
        <w:rPr>
          <w:rFonts w:ascii="仿宋" w:hAnsi="仿宋" w:eastAsia="仿宋"/>
          <w:snapToGrid w:val="0"/>
          <w:sz w:val="24"/>
          <w:szCs w:val="24"/>
          <w:highlight w:val="yellow"/>
        </w:rPr>
        <w:t>资质要求：</w:t>
      </w:r>
    </w:p>
    <w:p>
      <w:pPr>
        <w:adjustRightInd w:val="0"/>
        <w:snapToGrid w:val="0"/>
        <w:spacing w:line="360" w:lineRule="auto"/>
        <w:ind w:left="660" w:leftChars="300"/>
        <w:outlineLvl w:val="4"/>
        <w:rPr>
          <w:rFonts w:ascii="仿宋" w:hAnsi="仿宋" w:eastAsia="仿宋"/>
          <w:snapToGrid w:val="0"/>
          <w:sz w:val="24"/>
          <w:szCs w:val="24"/>
          <w:highlight w:val="cyan"/>
          <w:lang w:eastAsia="zh-CN"/>
        </w:rPr>
      </w:pP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ascii="Segoe UI Symbol" w:hAnsi="Segoe UI Symbol" w:eastAsia="仿宋" w:cs="Segoe UI Symbol"/>
          <w:snapToGrid w:val="0"/>
          <w:sz w:val="24"/>
          <w:szCs w:val="24"/>
          <w:highlight w:val="cyan"/>
          <w:lang w:eastAsia="zh-CN"/>
        </w:rPr>
        <w:t>施工总承包资质：</w:t>
      </w:r>
      <w:r>
        <w:rPr>
          <w:rFonts w:hint="eastAsia" w:ascii="Segoe UI Symbol" w:hAnsi="Segoe UI Symbol" w:eastAsia="仿宋" w:cs="Segoe UI Symbol"/>
          <w:snapToGrid w:val="0"/>
          <w:sz w:val="24"/>
          <w:szCs w:val="24"/>
          <w:highlight w:val="cyan"/>
          <w:u w:val="single"/>
          <w:lang w:eastAsia="zh-CN"/>
        </w:rPr>
        <w:t>建筑</w:t>
      </w:r>
      <w:r>
        <w:rPr>
          <w:rFonts w:hint="eastAsia" w:ascii="Segoe UI Symbol" w:hAnsi="Segoe UI Symbol" w:eastAsia="仿宋" w:cs="Segoe UI Symbol"/>
          <w:snapToGrid w:val="0"/>
          <w:sz w:val="24"/>
          <w:szCs w:val="24"/>
          <w:highlight w:val="cyan"/>
          <w:lang w:eastAsia="zh-CN"/>
        </w:rPr>
        <w:t xml:space="preserve">工程施工总承包 </w:t>
      </w:r>
      <w:r>
        <w:rPr>
          <w:rFonts w:ascii="Segoe UI Symbol" w:hAnsi="Segoe UI Symbol" w:eastAsia="仿宋" w:cs="Segoe UI Symbol"/>
          <w:snapToGrid w:val="0"/>
          <w:sz w:val="24"/>
          <w:szCs w:val="24"/>
          <w:highlight w:val="cyan"/>
          <w:lang w:eastAsia="zh-CN"/>
        </w:rPr>
        <w:t>☐</w:t>
      </w:r>
      <w:r>
        <w:rPr>
          <w:rFonts w:hint="eastAsia" w:ascii="Segoe UI Symbol" w:hAnsi="Segoe UI Symbol" w:eastAsia="仿宋" w:cs="Segoe UI Symbol"/>
          <w:snapToGrid w:val="0"/>
          <w:sz w:val="24"/>
          <w:szCs w:val="24"/>
          <w:highlight w:val="cyan"/>
          <w:lang w:eastAsia="zh-CN"/>
        </w:rPr>
        <w:t xml:space="preserve">特级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一级 </w:t>
      </w:r>
      <w:r>
        <w:rPr>
          <w:rFonts w:ascii="Segoe UI Symbol" w:hAnsi="Segoe UI Symbol" w:eastAsia="仿宋" w:cs="Segoe UI Symbol"/>
          <w:snapToGrid w:val="0"/>
          <w:sz w:val="24"/>
          <w:szCs w:val="24"/>
          <w:highlight w:val="cyan"/>
          <w:lang w:eastAsia="zh-CN"/>
        </w:rPr>
        <w:t xml:space="preserve"> ☐</w:t>
      </w:r>
      <w:r>
        <w:rPr>
          <w:rFonts w:hint="eastAsia" w:ascii="Segoe UI Symbol" w:hAnsi="Segoe UI Symbol" w:eastAsia="仿宋" w:cs="Segoe UI Symbol"/>
          <w:snapToGrid w:val="0"/>
          <w:sz w:val="24"/>
          <w:szCs w:val="24"/>
          <w:highlight w:val="cyan"/>
          <w:lang w:eastAsia="zh-CN"/>
        </w:rPr>
        <w:t xml:space="preserve">二级 </w:t>
      </w:r>
      <w:r>
        <w:rPr>
          <w:rFonts w:hint="eastAsia" w:eastAsia="仿宋" w:asciiTheme="minorEastAsia" w:hAnsiTheme="minorEastAsia"/>
          <w:snapToGrid w:val="0"/>
          <w:sz w:val="24"/>
          <w:szCs w:val="24"/>
          <w:highlight w:val="cyan"/>
          <w:u w:val="single"/>
          <w:shd w:val="clear" w:color="auto" w:fill="FFFF00"/>
          <w:lang w:eastAsia="zh-CN"/>
        </w:rPr>
        <w:sym w:font="Wingdings 2" w:char="0052"/>
      </w:r>
      <w:r>
        <w:rPr>
          <w:rFonts w:hint="eastAsia" w:eastAsia="仿宋" w:asciiTheme="minorEastAsia" w:hAnsiTheme="minorEastAsia"/>
          <w:snapToGrid w:val="0"/>
          <w:sz w:val="24"/>
          <w:szCs w:val="24"/>
          <w:highlight w:val="cyan"/>
          <w:shd w:val="clear" w:color="auto" w:fill="FFFF00"/>
          <w:lang w:eastAsia="zh-CN"/>
        </w:rPr>
        <w:t>叁级</w:t>
      </w:r>
    </w:p>
    <w:p>
      <w:pPr>
        <w:adjustRightInd w:val="0"/>
        <w:snapToGrid w:val="0"/>
        <w:spacing w:line="360" w:lineRule="auto"/>
        <w:ind w:left="660" w:leftChars="300"/>
        <w:outlineLvl w:val="4"/>
        <w:rPr>
          <w:rFonts w:ascii="仿宋" w:hAnsi="仿宋" w:eastAsia="仿宋"/>
          <w:snapToGrid w:val="0"/>
          <w:sz w:val="24"/>
          <w:szCs w:val="24"/>
          <w:lang w:eastAsia="zh-CN"/>
        </w:rPr>
      </w:pPr>
      <w:r>
        <w:rPr>
          <w:rFonts w:ascii="Segoe UI Symbol" w:hAnsi="Segoe UI Symbol" w:eastAsia="仿宋" w:cs="Segoe UI Symbol"/>
          <w:snapToGrid w:val="0"/>
          <w:sz w:val="24"/>
          <w:szCs w:val="24"/>
          <w:lang w:eastAsia="zh-CN"/>
        </w:rPr>
        <w:t>☐</w:t>
      </w:r>
      <w:r>
        <w:rPr>
          <w:rFonts w:hint="eastAsia" w:ascii="Segoe UI Symbol" w:hAnsi="Segoe UI Symbol" w:eastAsia="仿宋" w:cs="Segoe UI Symbol"/>
          <w:snapToGrid w:val="0"/>
          <w:sz w:val="24"/>
          <w:szCs w:val="24"/>
          <w:lang w:eastAsia="zh-CN"/>
        </w:rPr>
        <w:t>施工专业承包资质：</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工程专业承包</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 xml:space="preserve">一级 </w:t>
      </w:r>
      <w:r>
        <w:rPr>
          <w:rFonts w:ascii="Segoe UI Symbol" w:hAnsi="Segoe UI Symbol" w:eastAsia="仿宋" w:cs="Segoe UI Symbol"/>
          <w:snapToGrid w:val="0"/>
          <w:sz w:val="24"/>
          <w:szCs w:val="24"/>
          <w:lang w:eastAsia="zh-CN"/>
        </w:rPr>
        <w:t xml:space="preserve"> ☐</w:t>
      </w:r>
      <w:r>
        <w:rPr>
          <w:rFonts w:hint="eastAsia" w:ascii="Segoe UI Symbol" w:hAnsi="Segoe UI Symbol" w:eastAsia="仿宋" w:cs="Segoe UI Symbol"/>
          <w:snapToGrid w:val="0"/>
          <w:sz w:val="24"/>
          <w:szCs w:val="24"/>
          <w:lang w:eastAsia="zh-CN"/>
        </w:rPr>
        <w:t>二级</w:t>
      </w:r>
    </w:p>
    <w:p>
      <w:pPr>
        <w:adjustRightInd w:val="0"/>
        <w:snapToGrid w:val="0"/>
        <w:spacing w:line="360" w:lineRule="auto"/>
        <w:outlineLvl w:val="4"/>
        <w:rPr>
          <w:rFonts w:ascii="仿宋" w:hAnsi="仿宋" w:eastAsia="仿宋"/>
          <w:i/>
          <w:iCs/>
          <w:snapToGrid w:val="0"/>
          <w:sz w:val="24"/>
          <w:szCs w:val="24"/>
          <w:lang w:eastAsia="zh-CN"/>
        </w:rPr>
      </w:pPr>
      <w:r>
        <w:rPr>
          <w:rFonts w:hint="eastAsia" w:ascii="仿宋" w:hAnsi="仿宋" w:eastAsia="仿宋"/>
          <w:i/>
          <w:iCs/>
          <w:snapToGrid w:val="0"/>
          <w:sz w:val="24"/>
          <w:szCs w:val="24"/>
          <w:lang w:eastAsia="zh-CN"/>
        </w:rPr>
        <w:t>（资质标准查询</w:t>
      </w:r>
      <w:r>
        <w:fldChar w:fldCharType="begin"/>
      </w:r>
      <w:r>
        <w:instrText xml:space="preserve"> HYPERLINK "https://www.mohurd.gov.cn/gongkai/fdzdgknr/tzgg/201411/20141106_219511.html" </w:instrText>
      </w:r>
      <w:r>
        <w:fldChar w:fldCharType="separate"/>
      </w:r>
      <w:r>
        <w:rPr>
          <w:rStyle w:val="49"/>
          <w:i/>
          <w:iCs/>
          <w:color w:val="auto"/>
        </w:rPr>
        <w:t>https://www.mohurd.gov.cn/gongkai/fdzdgknr/tzgg/201411/20141106_219511.html</w:t>
      </w:r>
      <w:r>
        <w:rPr>
          <w:rStyle w:val="49"/>
          <w:i/>
          <w:iCs/>
          <w:color w:val="auto"/>
        </w:rPr>
        <w:fldChar w:fldCharType="end"/>
      </w:r>
      <w:r>
        <w:rPr>
          <w:rFonts w:hint="eastAsia"/>
          <w:i/>
          <w:iCs/>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财务要求：</w:t>
      </w:r>
      <w:r>
        <w:rPr>
          <w:rFonts w:hint="eastAsia" w:ascii="仿宋" w:hAnsi="仿宋" w:eastAsia="仿宋"/>
          <w:snapToGrid w:val="0"/>
          <w:sz w:val="24"/>
          <w:szCs w:val="24"/>
          <w:highlight w:val="yellow"/>
          <w:u w:val="single"/>
          <w:lang w:eastAsia="zh-CN"/>
        </w:rPr>
        <w:t>注册资本金人民币</w:t>
      </w:r>
      <w:r>
        <w:rPr>
          <w:rFonts w:hint="eastAsia" w:ascii="仿宋" w:hAnsi="仿宋" w:eastAsia="仿宋"/>
          <w:snapToGrid w:val="0"/>
          <w:sz w:val="24"/>
          <w:szCs w:val="24"/>
          <w:highlight w:val="yellow"/>
          <w:u w:val="single"/>
          <w:lang w:val="en-US" w:eastAsia="zh-CN"/>
        </w:rPr>
        <w:t>2</w:t>
      </w:r>
      <w:r>
        <w:rPr>
          <w:rFonts w:hint="eastAsia" w:ascii="仿宋" w:hAnsi="仿宋" w:eastAsia="仿宋"/>
          <w:snapToGrid w:val="0"/>
          <w:sz w:val="24"/>
          <w:szCs w:val="24"/>
          <w:highlight w:val="yellow"/>
          <w:u w:val="single"/>
          <w:lang w:eastAsia="zh-CN"/>
        </w:rPr>
        <w:t>00</w:t>
      </w:r>
      <w:r>
        <w:rPr>
          <w:rFonts w:ascii="仿宋" w:hAnsi="仿宋" w:eastAsia="仿宋"/>
          <w:snapToGrid w:val="0"/>
          <w:sz w:val="24"/>
          <w:szCs w:val="24"/>
          <w:highlight w:val="yellow"/>
          <w:u w:val="single"/>
          <w:lang w:eastAsia="zh-CN"/>
        </w:rPr>
        <w:t>万元及以</w:t>
      </w:r>
      <w:r>
        <w:rPr>
          <w:rFonts w:hint="eastAsia" w:ascii="仿宋" w:hAnsi="仿宋" w:eastAsia="仿宋"/>
          <w:snapToGrid w:val="0"/>
          <w:sz w:val="24"/>
          <w:szCs w:val="24"/>
          <w:highlight w:val="yellow"/>
          <w:u w:val="single"/>
          <w:lang w:eastAsia="zh-CN"/>
        </w:rPr>
        <w:t>上</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highlight w:val="yellow"/>
          <w:lang w:eastAsia="zh-CN"/>
        </w:rPr>
      </w:pPr>
      <w:r>
        <w:rPr>
          <w:rFonts w:ascii="仿宋" w:hAnsi="仿宋" w:eastAsia="仿宋"/>
          <w:snapToGrid w:val="0"/>
          <w:sz w:val="24"/>
          <w:szCs w:val="24"/>
          <w:highlight w:val="yellow"/>
          <w:lang w:eastAsia="zh-CN"/>
        </w:rPr>
        <w:t>业绩要求：</w:t>
      </w:r>
      <w:r>
        <w:rPr>
          <w:rFonts w:hint="eastAsia" w:ascii="仿宋" w:hAnsi="仿宋" w:eastAsia="仿宋"/>
          <w:snapToGrid w:val="0"/>
          <w:sz w:val="24"/>
          <w:szCs w:val="24"/>
          <w:highlight w:val="yellow"/>
          <w:u w:val="single"/>
          <w:lang w:eastAsia="zh-CN"/>
        </w:rPr>
        <w:t>近五年内（</w:t>
      </w:r>
      <w:r>
        <w:rPr>
          <w:rFonts w:ascii="仿宋" w:hAnsi="仿宋" w:eastAsia="仿宋"/>
          <w:snapToGrid w:val="0"/>
          <w:sz w:val="24"/>
          <w:szCs w:val="24"/>
          <w:highlight w:val="yellow"/>
          <w:u w:val="single"/>
          <w:lang w:eastAsia="zh-CN"/>
        </w:rPr>
        <w:t>20</w:t>
      </w:r>
      <w:r>
        <w:rPr>
          <w:rFonts w:hint="eastAsia" w:ascii="仿宋" w:hAnsi="仿宋" w:eastAsia="仿宋"/>
          <w:snapToGrid w:val="0"/>
          <w:sz w:val="24"/>
          <w:szCs w:val="24"/>
          <w:highlight w:val="yellow"/>
          <w:u w:val="single"/>
          <w:lang w:eastAsia="zh-CN"/>
        </w:rPr>
        <w:t>18</w:t>
      </w:r>
      <w:r>
        <w:rPr>
          <w:rFonts w:ascii="仿宋" w:hAnsi="仿宋" w:eastAsia="仿宋"/>
          <w:snapToGrid w:val="0"/>
          <w:sz w:val="24"/>
          <w:szCs w:val="24"/>
          <w:highlight w:val="yellow"/>
          <w:u w:val="single"/>
          <w:lang w:eastAsia="zh-CN"/>
        </w:rPr>
        <w:t>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日至响应截止日期）有类似项目</w:t>
      </w:r>
      <w:r>
        <w:rPr>
          <w:rFonts w:hint="eastAsia" w:ascii="仿宋" w:hAnsi="仿宋" w:eastAsia="仿宋"/>
          <w:snapToGrid w:val="0"/>
          <w:sz w:val="24"/>
          <w:szCs w:val="24"/>
          <w:highlight w:val="yellow"/>
          <w:u w:val="single"/>
          <w:lang w:eastAsia="zh-CN"/>
        </w:rPr>
        <w:t>施工</w:t>
      </w:r>
      <w:r>
        <w:rPr>
          <w:rFonts w:ascii="仿宋" w:hAnsi="仿宋" w:eastAsia="仿宋"/>
          <w:snapToGrid w:val="0"/>
          <w:sz w:val="24"/>
          <w:szCs w:val="24"/>
          <w:highlight w:val="yellow"/>
          <w:u w:val="single"/>
          <w:lang w:eastAsia="zh-CN"/>
        </w:rPr>
        <w:t>业绩</w:t>
      </w:r>
      <w:r>
        <w:rPr>
          <w:rFonts w:hint="eastAsia" w:eastAsia="仿宋" w:asciiTheme="minorEastAsia" w:hAnsiTheme="minorEastAsia"/>
          <w:snapToGrid w:val="0"/>
          <w:color w:val="FF0000"/>
          <w:sz w:val="24"/>
          <w:szCs w:val="24"/>
          <w:highlight w:val="yellow"/>
          <w:u w:val="single"/>
          <w:lang w:eastAsia="zh-CN"/>
        </w:rPr>
        <w:t>（供应商在报名时需提交业绩表并加盖公章）</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rPr>
        <w:t>信誉要求：</w:t>
      </w:r>
    </w:p>
    <w:p>
      <w:pPr>
        <w:pStyle w:val="17"/>
        <w:tabs>
          <w:tab w:val="right" w:pos="8843"/>
        </w:tabs>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信誉要求：企业</w:t>
      </w:r>
      <w:r>
        <w:rPr>
          <w:rFonts w:hint="eastAsia" w:eastAsia="仿宋" w:asciiTheme="minorEastAsia" w:hAnsiTheme="minorEastAsia"/>
          <w:snapToGrid w:val="0"/>
          <w:sz w:val="24"/>
          <w:szCs w:val="24"/>
          <w:u w:val="single"/>
          <w:lang w:eastAsia="zh-CN"/>
        </w:rPr>
        <w:t>没有处于被责令停业，财产被接管、冻结，破产状态</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19001系列/IS0 9001系列质量管理体系认证证书，且在有效期内的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28001系列/IS0 45001系列职业健康安全管理体系认证证书，且在有效期内的</w:t>
      </w:r>
      <w:r>
        <w:rPr>
          <w:rFonts w:hint="eastAsia" w:eastAsia="仿宋" w:asciiTheme="minorEastAsia" w:hAnsiTheme="minorEastAsia"/>
          <w:snapToGrid w:val="0"/>
          <w:sz w:val="24"/>
          <w:szCs w:val="24"/>
          <w:u w:val="single"/>
          <w:lang w:eastAsia="zh-CN"/>
        </w:rPr>
        <w:t>；</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具备</w:t>
      </w:r>
      <w:r>
        <w:rPr>
          <w:rFonts w:eastAsia="仿宋" w:asciiTheme="minorEastAsia" w:hAnsiTheme="minorEastAsia"/>
          <w:snapToGrid w:val="0"/>
          <w:sz w:val="24"/>
          <w:szCs w:val="24"/>
          <w:u w:val="single"/>
          <w:lang w:eastAsia="zh-CN"/>
        </w:rPr>
        <w:t>GB/T 24001系列或ISO 14001系列环境管理体系认证证书，且在有效期内的</w:t>
      </w:r>
      <w:r>
        <w:rPr>
          <w:rFonts w:hint="eastAsia" w:eastAsia="仿宋" w:asciiTheme="minorEastAsia" w:hAnsiTheme="minorEastAsia"/>
          <w:snapToGrid w:val="0"/>
          <w:sz w:val="24"/>
          <w:szCs w:val="24"/>
          <w:u w:val="single"/>
          <w:lang w:eastAsia="zh-CN"/>
        </w:rPr>
        <w:t>；</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rPr>
      </w:pPr>
      <w:r>
        <w:rPr>
          <w:rFonts w:hint="eastAsia" w:ascii="仿宋" w:hAnsi="仿宋" w:eastAsia="仿宋"/>
          <w:snapToGrid w:val="0"/>
          <w:sz w:val="24"/>
          <w:szCs w:val="24"/>
        </w:rPr>
        <w:t>项目负责人资格要求：</w:t>
      </w:r>
    </w:p>
    <w:p>
      <w:pPr>
        <w:pStyle w:val="17"/>
        <w:adjustRightInd w:val="0"/>
        <w:snapToGrid w:val="0"/>
        <w:spacing w:line="360" w:lineRule="auto"/>
        <w:ind w:left="709"/>
        <w:outlineLvl w:val="4"/>
        <w:rPr>
          <w:rFonts w:hint="eastAsia"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项目负责人必为供应商本单位的工作人员，</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□持有安全生产合格证</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□不得有在建工程（同一工程相邻分段发包或者分期施工的除外）</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□技术职称要求：类似工程相关专业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□业绩要求：</w:t>
      </w:r>
      <w:r>
        <w:rPr>
          <w:rFonts w:eastAsia="仿宋" w:asciiTheme="minorEastAsia" w:hAnsiTheme="minorEastAsia"/>
          <w:snapToGrid w:val="0"/>
          <w:sz w:val="24"/>
          <w:szCs w:val="24"/>
          <w:u w:val="single"/>
          <w:shd w:val="clear" w:color="auto" w:fill="FFFF00"/>
          <w:lang w:eastAsia="zh-CN"/>
        </w:rPr>
        <w:t>近三年内（20**年**月**日至响应截止日期）</w:t>
      </w:r>
      <w:r>
        <w:rPr>
          <w:rFonts w:hint="eastAsia" w:eastAsia="仿宋" w:asciiTheme="minorEastAsia" w:hAnsiTheme="minorEastAsia"/>
          <w:snapToGrid w:val="0"/>
          <w:sz w:val="24"/>
          <w:szCs w:val="24"/>
          <w:u w:val="single"/>
          <w:shd w:val="clear" w:color="auto" w:fill="FFFF00"/>
          <w:lang w:eastAsia="zh-CN"/>
        </w:rPr>
        <w:t>有担任类似项目负责人的业绩（类似业绩指达到本项目规模7</w:t>
      </w:r>
      <w:r>
        <w:rPr>
          <w:rFonts w:eastAsia="仿宋" w:asciiTheme="minorEastAsia" w:hAnsiTheme="minorEastAsia"/>
          <w:snapToGrid w:val="0"/>
          <w:sz w:val="24"/>
          <w:szCs w:val="24"/>
          <w:u w:val="single"/>
          <w:shd w:val="clear" w:color="auto" w:fill="FFFF00"/>
          <w:lang w:eastAsia="zh-CN"/>
        </w:rPr>
        <w:t>0%</w:t>
      </w:r>
      <w:r>
        <w:rPr>
          <w:rFonts w:hint="eastAsia" w:eastAsia="仿宋" w:asciiTheme="minorEastAsia" w:hAnsiTheme="minorEastAsia"/>
          <w:snapToGrid w:val="0"/>
          <w:sz w:val="24"/>
          <w:szCs w:val="24"/>
          <w:u w:val="single"/>
          <w:shd w:val="clear" w:color="auto" w:fill="FFFF00"/>
          <w:lang w:eastAsia="zh-CN"/>
        </w:rPr>
        <w:t>的同类项目，如工程造价、总建筑面积、产能指标等）；</w:t>
      </w:r>
    </w:p>
    <w:p>
      <w:pPr>
        <w:pStyle w:val="79"/>
        <w:numPr>
          <w:ilvl w:val="2"/>
          <w:numId w:val="4"/>
        </w:numPr>
        <w:adjustRightInd w:val="0"/>
        <w:snapToGrid w:val="0"/>
        <w:spacing w:line="360" w:lineRule="auto"/>
        <w:ind w:left="0" w:firstLine="0"/>
        <w:outlineLvl w:val="4"/>
        <w:rPr>
          <w:rFonts w:ascii="仿宋" w:hAnsi="仿宋" w:eastAsia="仿宋"/>
          <w:snapToGrid w:val="0"/>
          <w:sz w:val="24"/>
          <w:szCs w:val="24"/>
          <w:lang w:eastAsia="zh-CN"/>
        </w:rPr>
      </w:pPr>
      <w:r>
        <w:rPr>
          <w:rFonts w:ascii="仿宋" w:hAnsi="仿宋" w:eastAsia="仿宋"/>
          <w:snapToGrid w:val="0"/>
          <w:sz w:val="24"/>
          <w:szCs w:val="24"/>
          <w:lang w:eastAsia="zh-CN"/>
        </w:rPr>
        <w:t>承担本项目的</w:t>
      </w:r>
      <w:r>
        <w:rPr>
          <w:rFonts w:hint="eastAsia" w:ascii="仿宋" w:hAnsi="仿宋" w:eastAsia="仿宋"/>
          <w:snapToGrid w:val="0"/>
          <w:sz w:val="24"/>
          <w:szCs w:val="24"/>
          <w:lang w:eastAsia="zh-CN"/>
        </w:rPr>
        <w:t>其他</w:t>
      </w:r>
      <w:r>
        <w:rPr>
          <w:rFonts w:ascii="仿宋" w:hAnsi="仿宋" w:eastAsia="仿宋"/>
          <w:snapToGrid w:val="0"/>
          <w:sz w:val="24"/>
          <w:szCs w:val="24"/>
          <w:lang w:eastAsia="zh-CN"/>
        </w:rPr>
        <w:t>主要人员要求：</w:t>
      </w:r>
    </w:p>
    <w:p>
      <w:pPr>
        <w:pStyle w:val="17"/>
        <w:adjustRightInd w:val="0"/>
        <w:snapToGrid w:val="0"/>
        <w:spacing w:line="360" w:lineRule="auto"/>
        <w:ind w:left="709"/>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17"/>
        <w:adjustRightInd w:val="0"/>
        <w:snapToGrid w:val="0"/>
        <w:spacing w:line="360" w:lineRule="auto"/>
        <w:ind w:left="70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专业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 xml:space="preserve">人，执业资格要求：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u w:val="single"/>
          <w:lang w:eastAsia="zh-CN"/>
        </w:rPr>
        <w:t>技术职称要求：</w:t>
      </w:r>
      <w:r>
        <w:rPr>
          <w:rFonts w:hint="eastAsia" w:eastAsia="仿宋" w:asciiTheme="minorEastAsia" w:hAnsiTheme="minorEastAsia"/>
          <w:snapToGrid w:val="0"/>
          <w:sz w:val="24"/>
          <w:szCs w:val="24"/>
          <w:u w:val="single"/>
          <w:shd w:val="clear" w:color="auto" w:fill="FFFF00"/>
          <w:lang w:eastAsia="zh-CN"/>
        </w:rPr>
        <w:t xml:space="preserve"> </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专业 中</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eastAsia="zh-CN"/>
        </w:rPr>
        <w:t>级及以上技术职称</w:t>
      </w:r>
      <w:r>
        <w:rPr>
          <w:rFonts w:eastAsia="仿宋" w:asciiTheme="minorEastAsia" w:hAnsiTheme="minorEastAsia"/>
          <w:snapToGrid w:val="0"/>
          <w:sz w:val="24"/>
          <w:szCs w:val="24"/>
          <w:lang w:eastAsia="zh-CN"/>
        </w:rPr>
        <w:t xml:space="preserve"> </w:t>
      </w:r>
    </w:p>
    <w:p>
      <w:pPr>
        <w:pStyle w:val="79"/>
        <w:numPr>
          <w:ilvl w:val="2"/>
          <w:numId w:val="4"/>
        </w:numPr>
        <w:adjustRightInd w:val="0"/>
        <w:snapToGrid w:val="0"/>
        <w:spacing w:line="360" w:lineRule="auto"/>
        <w:ind w:left="0" w:firstLine="0"/>
        <w:outlineLvl w:val="4"/>
        <w:rPr>
          <w:rFonts w:eastAsia="仿宋" w:asciiTheme="minorEastAsia" w:hAnsiTheme="minorEastAsia"/>
          <w:snapToGrid w:val="0"/>
          <w:sz w:val="24"/>
          <w:szCs w:val="24"/>
        </w:rPr>
      </w:pPr>
      <w:r>
        <w:rPr>
          <w:rFonts w:ascii="仿宋" w:hAnsi="仿宋" w:eastAsia="仿宋"/>
          <w:snapToGrid w:val="0"/>
          <w:sz w:val="24"/>
          <w:szCs w:val="24"/>
        </w:rPr>
        <w:t>其他要求：</w:t>
      </w:r>
      <w:r>
        <w:rPr>
          <w:rFonts w:eastAsia="仿宋" w:asciiTheme="minorEastAsia" w:hAnsiTheme="minorEastAsia"/>
          <w:snapToGrid w:val="0"/>
          <w:sz w:val="24"/>
          <w:szCs w:val="24"/>
          <w:u w:val="single"/>
        </w:rPr>
        <w:t xml:space="preserve">                                                       </w:t>
      </w:r>
    </w:p>
    <w:p>
      <w:pPr>
        <w:adjustRightInd w:val="0"/>
        <w:snapToGrid w:val="0"/>
        <w:spacing w:line="360" w:lineRule="auto"/>
        <w:ind w:left="122"/>
        <w:outlineLvl w:val="3"/>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.2 供应商不得存在下列</w:t>
      </w:r>
      <w:r>
        <w:rPr>
          <w:rFonts w:hint="eastAsia" w:ascii="仿宋" w:hAnsi="仿宋" w:eastAsia="仿宋"/>
          <w:snapToGrid w:val="0"/>
          <w:sz w:val="24"/>
          <w:szCs w:val="24"/>
          <w:lang w:eastAsia="zh-CN"/>
        </w:rPr>
        <w:t>情形之一</w:t>
      </w:r>
      <w:r>
        <w:rPr>
          <w:rFonts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处于被责令停产停业、暂扣或者吊销执照、暂扣或者吊销许可证、吊销资质</w:t>
      </w:r>
      <w:r>
        <w:rPr>
          <w:rFonts w:hint="eastAsia" w:ascii="仿宋" w:hAnsi="仿宋" w:eastAsia="仿宋"/>
          <w:snapToGrid w:val="0"/>
          <w:sz w:val="24"/>
          <w:szCs w:val="24"/>
          <w:lang w:eastAsia="zh-CN"/>
        </w:rPr>
        <w:t>证</w:t>
      </w:r>
      <w:r>
        <w:rPr>
          <w:rFonts w:ascii="仿宋" w:hAnsi="仿宋" w:eastAsia="仿宋"/>
          <w:snapToGrid w:val="0"/>
          <w:sz w:val="24"/>
          <w:szCs w:val="24"/>
          <w:lang w:eastAsia="zh-CN"/>
        </w:rPr>
        <w:t>书状态；</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进入清算程序，或被宣告破产，或其他丧失履约能力的情形；</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，被列入失信惩戒对象（</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需提供通过“信用中国”网站查询的信用信息查询记录网</w:t>
      </w:r>
      <w:r>
        <w:rPr>
          <w:rFonts w:hint="eastAsia" w:ascii="仿宋" w:hAnsi="仿宋" w:eastAsia="仿宋"/>
          <w:snapToGrid w:val="0"/>
          <w:sz w:val="24"/>
          <w:szCs w:val="24"/>
          <w:lang w:eastAsia="zh-CN"/>
        </w:rPr>
        <w:t>页</w:t>
      </w:r>
      <w:r>
        <w:rPr>
          <w:rFonts w:ascii="仿宋" w:hAnsi="仿宋" w:eastAsia="仿宋"/>
          <w:snapToGrid w:val="0"/>
          <w:sz w:val="24"/>
          <w:szCs w:val="24"/>
          <w:lang w:eastAsia="zh-CN"/>
        </w:rPr>
        <w:t>截图件并加盖</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公章）</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highlight w:val="yellow"/>
          <w:lang w:eastAsia="zh-CN"/>
        </w:rPr>
        <w:t>近三年内（</w:t>
      </w:r>
      <w:r>
        <w:rPr>
          <w:rFonts w:ascii="仿宋" w:hAnsi="仿宋" w:eastAsia="仿宋"/>
          <w:snapToGrid w:val="0"/>
          <w:sz w:val="24"/>
          <w:szCs w:val="24"/>
          <w:highlight w:val="yellow"/>
          <w:u w:val="single"/>
          <w:lang w:eastAsia="zh-CN"/>
        </w:rPr>
        <w:t>2020年</w:t>
      </w:r>
      <w:r>
        <w:rPr>
          <w:rFonts w:hint="eastAsia" w:ascii="仿宋" w:hAnsi="仿宋" w:eastAsia="仿宋"/>
          <w:snapToGrid w:val="0"/>
          <w:sz w:val="24"/>
          <w:szCs w:val="24"/>
          <w:highlight w:val="yellow"/>
          <w:u w:val="single"/>
          <w:lang w:eastAsia="zh-CN"/>
        </w:rPr>
        <w:t>6</w:t>
      </w:r>
      <w:r>
        <w:rPr>
          <w:rFonts w:ascii="仿宋" w:hAnsi="仿宋" w:eastAsia="仿宋"/>
          <w:snapToGrid w:val="0"/>
          <w:sz w:val="24"/>
          <w:szCs w:val="24"/>
          <w:highlight w:val="yellow"/>
          <w:u w:val="single"/>
          <w:lang w:eastAsia="zh-CN"/>
        </w:rPr>
        <w:t>月</w:t>
      </w:r>
      <w:r>
        <w:rPr>
          <w:rFonts w:hint="eastAsia" w:ascii="仿宋" w:hAnsi="仿宋" w:eastAsia="仿宋"/>
          <w:snapToGrid w:val="0"/>
          <w:sz w:val="24"/>
          <w:szCs w:val="24"/>
          <w:highlight w:val="yellow"/>
          <w:u w:val="single"/>
          <w:lang w:eastAsia="zh-CN"/>
        </w:rPr>
        <w:t>1</w:t>
      </w:r>
      <w:r>
        <w:rPr>
          <w:rFonts w:ascii="仿宋" w:hAnsi="仿宋" w:eastAsia="仿宋"/>
          <w:snapToGrid w:val="0"/>
          <w:sz w:val="24"/>
          <w:szCs w:val="24"/>
          <w:highlight w:val="yellow"/>
          <w:u w:val="single"/>
          <w:lang w:eastAsia="zh-CN"/>
        </w:rPr>
        <w:t>日至响应截止日期</w:t>
      </w:r>
      <w:r>
        <w:rPr>
          <w:rFonts w:ascii="仿宋" w:hAnsi="仿宋" w:eastAsia="仿宋"/>
          <w:snapToGrid w:val="0"/>
          <w:sz w:val="24"/>
          <w:szCs w:val="24"/>
          <w:highlight w:val="yellow"/>
          <w:lang w:eastAsia="zh-CN"/>
        </w:rPr>
        <w:t>）</w:t>
      </w:r>
      <w:r>
        <w:rPr>
          <w:rFonts w:ascii="仿宋" w:hAnsi="仿宋" w:eastAsia="仿宋"/>
          <w:snapToGrid w:val="0"/>
          <w:sz w:val="24"/>
          <w:szCs w:val="24"/>
          <w:lang w:eastAsia="zh-CN"/>
        </w:rPr>
        <w:t>，有骗取</w:t>
      </w:r>
      <w:r>
        <w:rPr>
          <w:rFonts w:hint="eastAsia" w:ascii="仿宋" w:hAnsi="仿宋" w:eastAsia="仿宋"/>
          <w:snapToGrid w:val="0"/>
          <w:sz w:val="24"/>
          <w:szCs w:val="24"/>
          <w:lang w:eastAsia="zh-CN"/>
        </w:rPr>
        <w:t>中标（成交）</w:t>
      </w:r>
      <w:r>
        <w:rPr>
          <w:rFonts w:ascii="仿宋" w:hAnsi="仿宋" w:eastAsia="仿宋"/>
          <w:snapToGrid w:val="0"/>
          <w:sz w:val="24"/>
          <w:szCs w:val="24"/>
          <w:lang w:eastAsia="zh-CN"/>
        </w:rPr>
        <w:t>和严重违约及重大质量、安全问题</w:t>
      </w:r>
      <w:r>
        <w:rPr>
          <w:rFonts w:hint="eastAsia" w:ascii="仿宋" w:hAnsi="仿宋" w:eastAsia="仿宋"/>
          <w:snapToGrid w:val="0"/>
          <w:sz w:val="24"/>
          <w:szCs w:val="24"/>
          <w:lang w:eastAsia="zh-CN"/>
        </w:rPr>
        <w:t>（供应商</w:t>
      </w:r>
      <w:r>
        <w:rPr>
          <w:rFonts w:ascii="仿宋" w:hAnsi="仿宋" w:eastAsia="仿宋"/>
          <w:snapToGrid w:val="0"/>
          <w:sz w:val="24"/>
          <w:szCs w:val="24"/>
          <w:lang w:eastAsia="zh-CN"/>
        </w:rPr>
        <w:t>须提供</w:t>
      </w:r>
      <w:r>
        <w:rPr>
          <w:rFonts w:hint="eastAsia" w:ascii="仿宋" w:hAnsi="仿宋" w:eastAsia="仿宋"/>
          <w:snapToGrid w:val="0"/>
          <w:sz w:val="24"/>
          <w:szCs w:val="24"/>
          <w:lang w:eastAsia="zh-CN"/>
        </w:rPr>
        <w:t>无</w:t>
      </w:r>
      <w:r>
        <w:rPr>
          <w:rFonts w:ascii="仿宋" w:hAnsi="仿宋" w:eastAsia="仿宋"/>
          <w:snapToGrid w:val="0"/>
          <w:sz w:val="24"/>
          <w:szCs w:val="24"/>
          <w:lang w:eastAsia="zh-CN"/>
        </w:rPr>
        <w:t>相</w:t>
      </w:r>
      <w:r>
        <w:rPr>
          <w:rFonts w:hint="eastAsia" w:ascii="仿宋" w:hAnsi="仿宋" w:eastAsia="仿宋"/>
          <w:snapToGrid w:val="0"/>
          <w:sz w:val="24"/>
          <w:szCs w:val="24"/>
          <w:lang w:eastAsia="zh-CN"/>
        </w:rPr>
        <w:t>关问题</w:t>
      </w:r>
      <w:r>
        <w:rPr>
          <w:rFonts w:ascii="仿宋" w:hAnsi="仿宋" w:eastAsia="仿宋"/>
          <w:snapToGrid w:val="0"/>
          <w:sz w:val="24"/>
          <w:szCs w:val="24"/>
          <w:lang w:eastAsia="zh-CN"/>
        </w:rPr>
        <w:t>承诺书</w:t>
      </w:r>
      <w:r>
        <w:rPr>
          <w:rFonts w:hint="eastAsia" w:ascii="仿宋" w:hAnsi="仿宋" w:eastAsia="仿宋"/>
          <w:snapToGrid w:val="0"/>
          <w:sz w:val="24"/>
          <w:szCs w:val="24"/>
          <w:lang w:eastAsia="zh-CN"/>
        </w:rPr>
        <w:t>）；</w:t>
      </w:r>
    </w:p>
    <w:p>
      <w:pPr>
        <w:pStyle w:val="79"/>
        <w:numPr>
          <w:ilvl w:val="2"/>
          <w:numId w:val="5"/>
        </w:numPr>
        <w:adjustRightInd w:val="0"/>
        <w:snapToGrid w:val="0"/>
        <w:spacing w:line="360" w:lineRule="auto"/>
        <w:ind w:hanging="144"/>
        <w:outlineLvl w:val="4"/>
        <w:rPr>
          <w:rFonts w:ascii="仿宋" w:hAnsi="仿宋" w:eastAsia="仿宋"/>
          <w:snapToGrid w:val="0"/>
          <w:sz w:val="24"/>
          <w:szCs w:val="24"/>
          <w:lang w:eastAsia="zh-CN"/>
        </w:rPr>
      </w:pPr>
      <w:r>
        <w:rPr>
          <w:rFonts w:ascii="仿宋" w:hAnsi="仿宋" w:eastAsia="仿宋"/>
          <w:snapToGrid w:val="0"/>
          <w:sz w:val="24"/>
          <w:szCs w:val="24"/>
          <w:lang w:eastAsia="zh-CN"/>
        </w:rPr>
        <w:t>其他：</w:t>
      </w:r>
      <w:r>
        <w:rPr>
          <w:rFonts w:ascii="仿宋" w:hAnsi="仿宋" w:eastAsia="仿宋"/>
          <w:snapToGrid w:val="0"/>
          <w:sz w:val="24"/>
          <w:szCs w:val="24"/>
          <w:u w:val="single"/>
          <w:lang w:eastAsia="zh-CN"/>
        </w:rPr>
        <w:t xml:space="preserve">                                                       </w:t>
      </w:r>
    </w:p>
    <w:p>
      <w:pPr>
        <w:adjustRightInd w:val="0"/>
        <w:snapToGrid w:val="0"/>
        <w:spacing w:line="360" w:lineRule="auto"/>
        <w:outlineLvl w:val="3"/>
        <w:rPr>
          <w:rFonts w:eastAsia="仿宋" w:asciiTheme="minorEastAsia" w:hAnsiTheme="minorEastAsia"/>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 xml:space="preserve">.3 </w:t>
      </w:r>
      <w:r>
        <w:rPr>
          <w:rFonts w:eastAsia="仿宋" w:asciiTheme="minorEastAsia" w:hAnsiTheme="minorEastAsia"/>
          <w:snapToGrid w:val="0"/>
          <w:sz w:val="24"/>
          <w:szCs w:val="24"/>
          <w:lang w:eastAsia="zh-CN"/>
        </w:rPr>
        <w:t>本次采购</w:t>
      </w:r>
      <w:r>
        <w:rPr>
          <w:rFonts w:hint="eastAsia" w:eastAsia="仿宋" w:asciiTheme="minorEastAsia" w:hAnsiTheme="minorEastAsia"/>
          <w:snapToGrid w:val="0"/>
          <w:sz w:val="24"/>
          <w:szCs w:val="24"/>
          <w:lang w:eastAsia="zh-CN"/>
        </w:rPr>
        <w:t>是否接受联</w:t>
      </w:r>
      <w:r>
        <w:rPr>
          <w:rFonts w:eastAsia="仿宋" w:asciiTheme="minorEastAsia" w:hAnsiTheme="minorEastAsia"/>
          <w:snapToGrid w:val="0"/>
          <w:sz w:val="24"/>
          <w:szCs w:val="24"/>
          <w:lang w:eastAsia="zh-CN"/>
        </w:rPr>
        <w:t>合体</w:t>
      </w:r>
      <w:r>
        <w:rPr>
          <w:rFonts w:hint="eastAsia" w:eastAsia="仿宋" w:asciiTheme="minorEastAsia" w:hAnsiTheme="minorEastAsia"/>
          <w:snapToGrid w:val="0"/>
          <w:sz w:val="24"/>
          <w:szCs w:val="24"/>
          <w:lang w:eastAsia="zh-CN"/>
        </w:rPr>
        <w:t>：</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是</w:t>
      </w:r>
    </w:p>
    <w:p>
      <w:pPr>
        <w:adjustRightInd w:val="0"/>
        <w:snapToGrid w:val="0"/>
        <w:spacing w:line="360" w:lineRule="auto"/>
        <w:ind w:firstLine="240" w:firstLineChars="100"/>
        <w:outlineLvl w:val="3"/>
        <w:rPr>
          <w:rFonts w:eastAsia="仿宋" w:asciiTheme="minorEastAsia" w:hAnsiTheme="minorEastAsia"/>
          <w:snapToGrid w:val="0"/>
          <w:sz w:val="24"/>
          <w:szCs w:val="24"/>
          <w:lang w:eastAsia="zh-CN"/>
        </w:rPr>
      </w:pPr>
      <w:r>
        <w:rPr>
          <w:rFonts w:ascii="Wingdings 2" w:hAnsi="Wingdings 2" w:eastAsia="仿宋" w:cs="Apple Color Emoji"/>
          <w:snapToGrid w:val="0"/>
          <w:sz w:val="24"/>
          <w:szCs w:val="24"/>
          <w:u w:val="single"/>
          <w:shd w:val="clear" w:color="auto" w:fill="FFFF00"/>
          <w:lang w:eastAsia="zh-CN"/>
        </w:rPr>
        <w:t></w:t>
      </w:r>
      <w:r>
        <w:rPr>
          <w:rFonts w:hint="eastAsia" w:eastAsia="仿宋" w:asciiTheme="minorEastAsia" w:hAnsiTheme="minorEastAsia"/>
          <w:snapToGrid w:val="0"/>
          <w:sz w:val="24"/>
          <w:szCs w:val="24"/>
          <w:lang w:eastAsia="zh-CN"/>
        </w:rPr>
        <w:t>否</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联合体参加谈判采购活动的，联合体应满足本条第3.1款规定的要求，且联合体各方均不得存在本条第3.2款规定的情形。此外，联合体各方应分别满足如下条件：</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联合体的资格认定标准如下：</w:t>
      </w:r>
      <w:r>
        <w:rPr>
          <w:rFonts w:ascii="仿宋" w:hAnsi="仿宋" w:eastAsia="仿宋"/>
          <w:snapToGrid w:val="0"/>
          <w:sz w:val="24"/>
          <w:szCs w:val="24"/>
          <w:u w:val="single"/>
          <w:lang w:eastAsia="zh-CN"/>
        </w:rPr>
        <w:t xml:space="preserve">                                                   </w:t>
      </w:r>
    </w:p>
    <w:p>
      <w:pPr>
        <w:spacing w:line="360" w:lineRule="auto"/>
        <w:rPr>
          <w:rFonts w:ascii="仿宋" w:hAnsi="仿宋" w:eastAsia="仿宋"/>
          <w:snapToGrid w:val="0"/>
          <w:sz w:val="21"/>
          <w:szCs w:val="21"/>
          <w:lang w:eastAsia="zh-CN"/>
        </w:rPr>
      </w:pPr>
      <w:r>
        <w:rPr>
          <w:rFonts w:ascii="仿宋" w:hAnsi="仿宋" w:eastAsia="仿宋"/>
          <w:snapToGrid w:val="0"/>
          <w:sz w:val="21"/>
          <w:szCs w:val="21"/>
          <w:lang w:eastAsia="zh-CN"/>
        </w:rPr>
        <w:t>(注：此部分应明确由同一专业或不同专业组成的联合体中各专业的资质、财务、业绩、信誉、主要人员等的</w:t>
      </w:r>
      <w:r>
        <w:rPr>
          <w:rFonts w:hint="eastAsia" w:ascii="仿宋" w:hAnsi="仿宋" w:eastAsia="仿宋"/>
          <w:snapToGrid w:val="0"/>
          <w:sz w:val="21"/>
          <w:szCs w:val="21"/>
          <w:lang w:eastAsia="zh-CN"/>
        </w:rPr>
        <w:t>认</w:t>
      </w:r>
      <w:r>
        <w:rPr>
          <w:rFonts w:ascii="仿宋" w:hAnsi="仿宋" w:eastAsia="仿宋"/>
          <w:snapToGrid w:val="0"/>
          <w:sz w:val="21"/>
          <w:szCs w:val="21"/>
          <w:lang w:eastAsia="zh-CN"/>
        </w:rPr>
        <w:t>定方法，以最终认定联合体的资格。)</w:t>
      </w:r>
    </w:p>
    <w:p>
      <w:pPr>
        <w:pStyle w:val="17"/>
        <w:adjustRightInd w:val="0"/>
        <w:snapToGrid w:val="0"/>
        <w:spacing w:line="360" w:lineRule="auto"/>
        <w:ind w:firstLine="480"/>
        <w:outlineLvl w:val="4"/>
        <w:rPr>
          <w:rFonts w:ascii="仿宋" w:hAnsi="仿宋" w:eastAsia="仿宋"/>
          <w:snapToGrid w:val="0"/>
          <w:sz w:val="24"/>
          <w:szCs w:val="24"/>
          <w:lang w:eastAsia="zh-CN"/>
        </w:rPr>
      </w:pPr>
      <w:r>
        <w:rPr>
          <w:rFonts w:ascii="仿宋" w:hAnsi="仿宋" w:eastAsia="仿宋"/>
          <w:snapToGrid w:val="0"/>
          <w:sz w:val="24"/>
          <w:szCs w:val="24"/>
          <w:lang w:eastAsia="zh-CN"/>
        </w:rPr>
        <w:t>联合体应递交联合体协议书，且联合体各方不得再以自己名义单独或参加其他联合体参与本谈判采购项目，否则相关响应文件均无效。</w:t>
      </w:r>
    </w:p>
    <w:p>
      <w:pPr>
        <w:rPr>
          <w:rFonts w:ascii="仿宋" w:hAnsi="仿宋"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4.采购文件的获取</w:t>
      </w:r>
    </w:p>
    <w:p>
      <w:pPr>
        <w:adjustRightInd w:val="0"/>
        <w:snapToGrid w:val="0"/>
        <w:spacing w:line="360" w:lineRule="auto"/>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4</w:t>
      </w:r>
      <w:r>
        <w:rPr>
          <w:rFonts w:eastAsia="仿宋" w:asciiTheme="minorEastAsia" w:hAnsiTheme="minorEastAsia"/>
          <w:snapToGrid w:val="0"/>
          <w:sz w:val="24"/>
          <w:szCs w:val="24"/>
          <w:lang w:eastAsia="zh-CN"/>
        </w:rPr>
        <w:t>.1 有意参加谈判采购活动的单位，需在</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7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分前在中粮糖业EPS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采购平台（网址：http://eps.tunhe.com）完成注册报名；采购人组织资格审查合格后，</w:t>
      </w:r>
      <w:r>
        <w:rPr>
          <w:rFonts w:hint="eastAsia" w:eastAsia="仿宋" w:asciiTheme="minorEastAsia" w:hAnsiTheme="minorEastAsia"/>
          <w:snapToGrid w:val="0"/>
          <w:sz w:val="24"/>
          <w:szCs w:val="24"/>
          <w:lang w:eastAsia="zh-CN"/>
        </w:rPr>
        <w:t>供应商于</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27</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1</w:t>
      </w:r>
      <w:r>
        <w:rPr>
          <w:rFonts w:eastAsia="仿宋" w:asciiTheme="minorEastAsia" w:hAnsiTheme="minorEastAsia"/>
          <w:snapToGrid w:val="0"/>
          <w:sz w:val="24"/>
          <w:szCs w:val="24"/>
          <w:u w:val="single"/>
          <w:lang w:eastAsia="zh-CN"/>
        </w:rPr>
        <w:t xml:space="preserve">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 xml:space="preserve">0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后</w:t>
      </w:r>
      <w:r>
        <w:rPr>
          <w:rFonts w:eastAsia="仿宋" w:asciiTheme="minorEastAsia" w:hAnsiTheme="minorEastAsia"/>
          <w:snapToGrid w:val="0"/>
          <w:sz w:val="24"/>
          <w:szCs w:val="24"/>
          <w:lang w:eastAsia="zh-CN"/>
        </w:rPr>
        <w:t>通过中粮糖业EPS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采购平台获取</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购买采购文件</w:t>
      </w:r>
      <w:r>
        <w:rPr>
          <w:rFonts w:hint="eastAsia" w:eastAsia="仿宋" w:asciiTheme="minorEastAsia" w:hAnsiTheme="minorEastAsia"/>
          <w:snapToGrid w:val="0"/>
          <w:sz w:val="24"/>
          <w:szCs w:val="24"/>
          <w:lang w:eastAsia="zh-CN"/>
        </w:rPr>
        <w:t>。</w:t>
      </w:r>
    </w:p>
    <w:p>
      <w:pPr>
        <w:adjustRightInd w:val="0"/>
        <w:snapToGrid w:val="0"/>
        <w:spacing w:line="360" w:lineRule="auto"/>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 采购文件每套售价</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500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元，售后不退。</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响应保证金</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sym w:font="Wingdings 2" w:char="0052"/>
      </w:r>
      <w:r>
        <w:rPr>
          <w:rFonts w:hint="eastAsia" w:eastAsia="仿宋" w:asciiTheme="minorEastAsia" w:hAnsiTheme="minorEastAsia"/>
          <w:snapToGrid w:val="0"/>
          <w:sz w:val="24"/>
          <w:szCs w:val="24"/>
          <w:lang w:eastAsia="zh-CN"/>
        </w:rPr>
        <w:t>设置响应保证金，响应保证金为</w:t>
      </w:r>
      <w:r>
        <w:rPr>
          <w:rFonts w:eastAsia="仿宋" w:asciiTheme="minorEastAsia" w:hAnsiTheme="minorEastAsia"/>
          <w:snapToGrid w:val="0"/>
          <w:sz w:val="24"/>
          <w:szCs w:val="24"/>
          <w:u w:val="single"/>
          <w:shd w:val="clear" w:color="auto" w:fill="FFFF00"/>
          <w:lang w:eastAsia="zh-CN"/>
        </w:rPr>
        <w:t xml:space="preserve"> </w:t>
      </w:r>
      <w:r>
        <w:rPr>
          <w:rFonts w:hint="eastAsia" w:eastAsia="仿宋" w:asciiTheme="minorEastAsia" w:hAnsiTheme="minorEastAsia"/>
          <w:snapToGrid w:val="0"/>
          <w:sz w:val="24"/>
          <w:szCs w:val="24"/>
          <w:u w:val="single"/>
          <w:shd w:val="clear" w:color="auto" w:fill="FFFF00"/>
          <w:lang w:val="en-US" w:eastAsia="zh-CN"/>
        </w:rPr>
        <w:t>2</w:t>
      </w:r>
      <w:r>
        <w:rPr>
          <w:rFonts w:eastAsia="仿宋" w:asciiTheme="minorEastAsia" w:hAnsiTheme="minorEastAsia"/>
          <w:snapToGrid w:val="0"/>
          <w:sz w:val="24"/>
          <w:szCs w:val="24"/>
          <w:lang w:eastAsia="zh-CN"/>
        </w:rPr>
        <w:t>万元</w:t>
      </w:r>
      <w:r>
        <w:rPr>
          <w:rFonts w:hint="eastAsia" w:eastAsia="仿宋" w:asciiTheme="minorEastAsia" w:hAnsiTheme="minorEastAsia"/>
          <w:snapToGrid w:val="0"/>
          <w:sz w:val="24"/>
          <w:szCs w:val="24"/>
          <w:lang w:eastAsia="zh-CN"/>
        </w:rPr>
        <w:t>。</w:t>
      </w:r>
    </w:p>
    <w:p>
      <w:pPr>
        <w:adjustRightInd w:val="0"/>
        <w:snapToGrid w:val="0"/>
        <w:spacing w:line="360" w:lineRule="auto"/>
        <w:ind w:left="284" w:leftChars="129"/>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□不设置响应保证金。</w:t>
      </w:r>
    </w:p>
    <w:p>
      <w:pPr>
        <w:pStyle w:val="17"/>
        <w:adjustRightInd w:val="0"/>
        <w:snapToGrid w:val="0"/>
        <w:spacing w:line="360" w:lineRule="auto"/>
        <w:outlineLvl w:val="4"/>
        <w:rPr>
          <w:rFonts w:ascii="仿宋" w:hAnsi="仿宋" w:eastAsia="仿宋"/>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lang w:eastAsia="zh-CN"/>
        </w:rPr>
        <w:t>6</w:t>
      </w:r>
      <w:r>
        <w:rPr>
          <w:rFonts w:eastAsia="仿宋" w:asciiTheme="minorEastAsia" w:hAnsiTheme="minorEastAsia"/>
          <w:b/>
          <w:bCs/>
          <w:snapToGrid w:val="0"/>
          <w:sz w:val="24"/>
          <w:szCs w:val="24"/>
          <w:lang w:eastAsia="zh-CN"/>
        </w:rPr>
        <w:t>.响应文件的</w:t>
      </w:r>
      <w:r>
        <w:rPr>
          <w:rFonts w:hint="eastAsia" w:eastAsia="仿宋" w:asciiTheme="minorEastAsia" w:hAnsiTheme="minorEastAsia"/>
          <w:b/>
          <w:bCs/>
          <w:snapToGrid w:val="0"/>
          <w:sz w:val="24"/>
          <w:szCs w:val="24"/>
          <w:lang w:eastAsia="zh-CN"/>
        </w:rPr>
        <w:t>上传</w:t>
      </w:r>
    </w:p>
    <w:p>
      <w:pPr>
        <w:adjustRightInd w:val="0"/>
        <w:snapToGrid w:val="0"/>
        <w:spacing w:line="360" w:lineRule="auto"/>
        <w:outlineLvl w:val="4"/>
        <w:rPr>
          <w:rFonts w:eastAsia="仿宋" w:asciiTheme="minorEastAsia" w:hAnsiTheme="minorEastAsia"/>
          <w:snapToGrid w:val="0"/>
          <w:sz w:val="24"/>
          <w:szCs w:val="24"/>
          <w:u w:val="single"/>
          <w:lang w:eastAsia="zh-CN"/>
        </w:rPr>
      </w:pPr>
      <w:r>
        <w:rPr>
          <w:rFonts w:eastAsia="仿宋" w:asciiTheme="minorEastAsia" w:hAnsiTheme="minorEastAsia"/>
          <w:snapToGrid w:val="0"/>
          <w:sz w:val="24"/>
          <w:szCs w:val="24"/>
          <w:lang w:eastAsia="zh-CN"/>
        </w:rPr>
        <w:t>6.1 响应文件</w:t>
      </w: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的截止时间为</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8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r>
        <w:rPr>
          <w:rFonts w:hint="eastAsia" w:eastAsia="仿宋" w:asciiTheme="minorEastAsia" w:hAnsiTheme="minorEastAsia"/>
          <w:snapToGrid w:val="0"/>
          <w:sz w:val="24"/>
          <w:szCs w:val="24"/>
          <w:lang w:eastAsia="zh-CN"/>
        </w:rPr>
        <w:t>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p>
    <w:p>
      <w:pPr>
        <w:adjustRightInd w:val="0"/>
        <w:snapToGrid w:val="0"/>
        <w:spacing w:line="360" w:lineRule="auto"/>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6.2 逾期</w:t>
      </w:r>
      <w:r>
        <w:rPr>
          <w:rFonts w:hint="eastAsia" w:eastAsia="仿宋" w:asciiTheme="minorEastAsia" w:hAnsiTheme="minorEastAsia"/>
          <w:snapToGrid w:val="0"/>
          <w:sz w:val="24"/>
          <w:szCs w:val="24"/>
          <w:lang w:eastAsia="zh-CN"/>
        </w:rPr>
        <w:t>未上传至</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采购平台的响应文件，采购人将拒绝接收。</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7.</w:t>
      </w:r>
      <w:r>
        <w:rPr>
          <w:rFonts w:hint="eastAsia" w:eastAsia="仿宋" w:asciiTheme="minorEastAsia" w:hAnsiTheme="minorEastAsia"/>
          <w:b/>
          <w:bCs/>
          <w:snapToGrid w:val="0"/>
          <w:sz w:val="24"/>
          <w:szCs w:val="24"/>
          <w:lang w:eastAsia="zh-CN"/>
        </w:rPr>
        <w:t>响应文件的开启</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开启地点：</w:t>
      </w:r>
      <w:r>
        <w:rPr>
          <w:rFonts w:eastAsia="仿宋" w:asciiTheme="minorEastAsia" w:hAnsiTheme="minorEastAsia"/>
          <w:snapToGrid w:val="0"/>
          <w:sz w:val="24"/>
          <w:szCs w:val="24"/>
          <w:lang w:eastAsia="zh-CN"/>
        </w:rPr>
        <w:t>中粮糖业EPS</w:t>
      </w:r>
      <w:r>
        <w:rPr>
          <w:rFonts w:hint="eastAsia" w:eastAsia="仿宋" w:asciiTheme="minorEastAsia" w:hAnsiTheme="minorEastAsia"/>
          <w:snapToGrid w:val="0"/>
          <w:sz w:val="24"/>
          <w:szCs w:val="24"/>
          <w:lang w:eastAsia="zh-CN"/>
        </w:rPr>
        <w:t>电子</w:t>
      </w:r>
      <w:r>
        <w:rPr>
          <w:rFonts w:eastAsia="仿宋" w:asciiTheme="minorEastAsia" w:hAnsiTheme="minorEastAsia"/>
          <w:snapToGrid w:val="0"/>
          <w:sz w:val="24"/>
          <w:szCs w:val="24"/>
          <w:lang w:eastAsia="zh-CN"/>
        </w:rPr>
        <w:t>采购平台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http://eps.tunhe.com/）</w:t>
      </w:r>
      <w:r>
        <w:rPr>
          <w:rFonts w:hint="eastAsia" w:eastAsia="仿宋" w:asciiTheme="minorEastAsia" w:hAnsiTheme="minorEastAsia"/>
          <w:snapToGrid w:val="0"/>
          <w:sz w:val="24"/>
          <w:szCs w:val="24"/>
          <w:lang w:eastAsia="zh-CN"/>
        </w:rPr>
        <w:t>网上开启响应文件</w:t>
      </w:r>
    </w:p>
    <w:p>
      <w:pPr>
        <w:adjustRightInd w:val="0"/>
        <w:snapToGrid w:val="0"/>
        <w:spacing w:line="360" w:lineRule="auto"/>
        <w:ind w:firstLine="480"/>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开启时间：</w:t>
      </w:r>
      <w:r>
        <w:rPr>
          <w:rFonts w:hint="eastAsia" w:eastAsia="仿宋" w:asciiTheme="minorEastAsia" w:hAnsiTheme="minorEastAsia"/>
          <w:snapToGrid w:val="0"/>
          <w:sz w:val="24"/>
          <w:szCs w:val="24"/>
          <w:u w:val="single"/>
          <w:lang w:eastAsia="zh-CN"/>
        </w:rPr>
        <w:t xml:space="preserve">  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eastAsia="仿宋" w:asciiTheme="minorEastAsia" w:hAnsiTheme="minorEastAsia"/>
          <w:snapToGrid w:val="0"/>
          <w:sz w:val="24"/>
          <w:szCs w:val="24"/>
          <w:u w:val="single"/>
          <w:lang w:eastAsia="zh-CN"/>
        </w:rPr>
        <w:t xml:space="preserve">  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0</w:t>
      </w:r>
      <w:r>
        <w:rPr>
          <w:rFonts w:hint="eastAsia" w:eastAsia="仿宋" w:asciiTheme="minorEastAsia" w:hAnsiTheme="minorEastAsia"/>
          <w:snapToGrid w:val="0"/>
          <w:sz w:val="24"/>
          <w:szCs w:val="24"/>
          <w:u w:val="single"/>
          <w:lang w:eastAsia="zh-CN"/>
        </w:rPr>
        <w:t>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w:t>
      </w:r>
    </w:p>
    <w:p>
      <w:pPr>
        <w:adjustRightInd w:val="0"/>
        <w:snapToGrid w:val="0"/>
        <w:spacing w:line="360" w:lineRule="auto"/>
        <w:ind w:firstLine="480"/>
        <w:outlineLvl w:val="4"/>
        <w:rPr>
          <w:rFonts w:eastAsia="仿宋" w:asciiTheme="minorEastAsia" w:hAnsiTheme="minorEastAsia"/>
          <w:snapToGrid w:val="0"/>
          <w:sz w:val="24"/>
          <w:szCs w:val="24"/>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8.谈判时间和地点</w:t>
      </w:r>
    </w:p>
    <w:p>
      <w:pPr>
        <w:adjustRightInd w:val="0"/>
        <w:snapToGrid w:val="0"/>
        <w:spacing w:line="360" w:lineRule="auto"/>
        <w:ind w:firstLine="480"/>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上传</w:t>
      </w:r>
      <w:r>
        <w:rPr>
          <w:rFonts w:eastAsia="仿宋" w:asciiTheme="minorEastAsia" w:hAnsiTheme="minorEastAsia"/>
          <w:snapToGrid w:val="0"/>
          <w:sz w:val="24"/>
          <w:szCs w:val="24"/>
          <w:lang w:eastAsia="zh-CN"/>
        </w:rPr>
        <w:t>响应文件的供应商应委派代表准时参加采购活动，谈判开始时间预计</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hint="eastAsia"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30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9 </w:t>
      </w:r>
      <w:r>
        <w:rPr>
          <w:rFonts w:eastAsia="仿宋" w:asciiTheme="minorEastAsia" w:hAnsiTheme="minorEastAsia"/>
          <w:snapToGrid w:val="0"/>
          <w:sz w:val="24"/>
          <w:szCs w:val="24"/>
          <w:lang w:eastAsia="zh-CN"/>
        </w:rPr>
        <w:t>时</w:t>
      </w:r>
      <w:r>
        <w:rPr>
          <w:rFonts w:hint="eastAsia" w:eastAsia="仿宋" w:asciiTheme="minorEastAsia" w:hAnsiTheme="minorEastAsia"/>
          <w:snapToGrid w:val="0"/>
          <w:sz w:val="24"/>
          <w:szCs w:val="24"/>
          <w:u w:val="single"/>
          <w:lang w:eastAsia="zh-CN"/>
        </w:rPr>
        <w:t xml:space="preserve">  0</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分，与每一供应商进行</w:t>
      </w:r>
      <w:r>
        <w:rPr>
          <w:rFonts w:hint="eastAsia" w:eastAsia="仿宋" w:asciiTheme="minorEastAsia" w:hAnsiTheme="minorEastAsia"/>
          <w:snapToGrid w:val="0"/>
          <w:sz w:val="24"/>
          <w:szCs w:val="24"/>
          <w:lang w:eastAsia="zh-CN"/>
        </w:rPr>
        <w:t>谈判</w:t>
      </w:r>
      <w:r>
        <w:rPr>
          <w:rFonts w:eastAsia="仿宋" w:asciiTheme="minorEastAsia" w:hAnsiTheme="minorEastAsia"/>
          <w:snapToGrid w:val="0"/>
          <w:sz w:val="24"/>
          <w:szCs w:val="24"/>
          <w:lang w:eastAsia="zh-CN"/>
        </w:rPr>
        <w:t>具体时间另行通知。谈判地点为</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color w:val="FF0000"/>
          <w:sz w:val="24"/>
          <w:szCs w:val="24"/>
          <w:u w:val="single"/>
          <w:lang w:eastAsia="zh-CN"/>
        </w:rPr>
        <w:t xml:space="preserve"> </w:t>
      </w:r>
      <w:r>
        <w:rPr>
          <w:rFonts w:hint="eastAsia" w:eastAsia="仿宋" w:asciiTheme="minorEastAsia" w:hAnsiTheme="minorEastAsia"/>
          <w:snapToGrid w:val="0"/>
          <w:color w:val="FF0000"/>
          <w:sz w:val="24"/>
          <w:szCs w:val="24"/>
          <w:u w:val="single"/>
          <w:lang w:eastAsia="zh-CN"/>
        </w:rPr>
        <w:t>中粮梁河糖业勐养工厂党员活动室</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32"/>
          <w:szCs w:val="32"/>
          <w:u w:val="single"/>
          <w:lang w:eastAsia="zh-CN"/>
        </w:rPr>
      </w:pPr>
      <w:r>
        <w:rPr>
          <w:rFonts w:hint="eastAsia" w:eastAsia="仿宋" w:asciiTheme="minorEastAsia" w:hAnsiTheme="minorEastAsia"/>
          <w:snapToGrid w:val="0"/>
          <w:sz w:val="28"/>
          <w:szCs w:val="28"/>
          <w:u w:val="single"/>
          <w:lang w:eastAsia="zh-CN"/>
        </w:rPr>
        <w:t xml:space="preserve">    谈判采用现场竞谈或电话竞谈，不能到现场参加竞谈的供应商自行下载安装“小鱼易连”，竞谈时使用“小鱼易连”</w:t>
      </w:r>
      <w:r>
        <w:rPr>
          <w:rFonts w:hint="eastAsia"/>
          <w:sz w:val="28"/>
          <w:szCs w:val="28"/>
          <w:lang w:eastAsia="zh-CN"/>
        </w:rPr>
        <w:t xml:space="preserve"> </w:t>
      </w:r>
      <w:r>
        <w:rPr>
          <w:rFonts w:hint="eastAsia" w:eastAsia="仿宋" w:asciiTheme="minorEastAsia" w:hAnsiTheme="minorEastAsia"/>
          <w:snapToGrid w:val="0"/>
          <w:sz w:val="28"/>
          <w:szCs w:val="28"/>
          <w:u w:val="single"/>
          <w:lang w:eastAsia="zh-CN"/>
        </w:rPr>
        <w:t>输入9023969139接入</w:t>
      </w:r>
      <w:r>
        <w:rPr>
          <w:rFonts w:hint="eastAsia" w:eastAsia="仿宋" w:asciiTheme="minorEastAsia" w:hAnsiTheme="minorEastAsia"/>
          <w:snapToGrid w:val="0"/>
          <w:sz w:val="32"/>
          <w:szCs w:val="32"/>
          <w:u w:val="single"/>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adjustRightInd w:val="0"/>
        <w:snapToGrid w:val="0"/>
        <w:spacing w:line="360" w:lineRule="auto"/>
        <w:ind w:firstLine="480"/>
        <w:rPr>
          <w:rFonts w:eastAsia="仿宋" w:asciiTheme="minorEastAsia" w:hAnsiTheme="minorEastAsia"/>
          <w:snapToGrid w:val="0"/>
          <w:sz w:val="24"/>
          <w:szCs w:val="24"/>
          <w:u w:val="single"/>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9.纪检监督</w:t>
      </w:r>
    </w:p>
    <w:p>
      <w:pPr>
        <w:spacing w:before="240" w:line="440" w:lineRule="exact"/>
        <w:ind w:firstLine="480"/>
        <w:rPr>
          <w:rFonts w:eastAsia="仿宋" w:asciiTheme="minorEastAsia" w:hAnsiTheme="minorEastAsia"/>
          <w:b/>
          <w:sz w:val="24"/>
          <w:szCs w:val="24"/>
          <w:lang w:eastAsia="zh-CN"/>
        </w:rPr>
      </w:pPr>
      <w:r>
        <w:rPr>
          <w:rFonts w:hint="eastAsia" w:eastAsia="仿宋" w:asciiTheme="minorEastAsia" w:hAnsiTheme="minorEastAsia"/>
          <w:b/>
          <w:sz w:val="24"/>
          <w:szCs w:val="24"/>
          <w:lang w:eastAsia="zh-CN"/>
        </w:rPr>
        <w:t>中</w:t>
      </w:r>
      <w:r>
        <w:rPr>
          <w:rFonts w:eastAsia="仿宋" w:asciiTheme="minorEastAsia" w:hAnsiTheme="minorEastAsia"/>
          <w:b/>
          <w:sz w:val="24"/>
          <w:szCs w:val="24"/>
          <w:lang w:eastAsia="zh-CN"/>
        </w:rPr>
        <w:t>粮糖业纪检信访举报联络方式</w:t>
      </w:r>
      <w:r>
        <w:rPr>
          <w:rFonts w:hint="eastAsia" w:eastAsia="仿宋" w:asciiTheme="minorEastAsia" w:hAnsiTheme="minorEastAsia"/>
          <w:b/>
          <w:sz w:val="24"/>
          <w:szCs w:val="24"/>
          <w:lang w:eastAsia="zh-CN"/>
        </w:rPr>
        <w:t>：</w:t>
      </w:r>
    </w:p>
    <w:p>
      <w:pPr>
        <w:spacing w:line="440" w:lineRule="exact"/>
        <w:ind w:firstLine="480"/>
        <w:rPr>
          <w:rFonts w:eastAsia="仿宋" w:asciiTheme="minorEastAsia" w:hAnsiTheme="minorEastAsia"/>
          <w:b/>
          <w:sz w:val="24"/>
          <w:szCs w:val="24"/>
          <w:lang w:eastAsia="zh-CN"/>
        </w:rPr>
      </w:pPr>
      <w:r>
        <w:rPr>
          <w:rFonts w:eastAsia="仿宋" w:asciiTheme="minorEastAsia" w:hAnsiTheme="minorEastAsia"/>
          <w:b/>
          <w:sz w:val="24"/>
          <w:szCs w:val="24"/>
          <w:lang w:eastAsia="zh-CN"/>
        </w:rPr>
        <w:t>一、寄信 通信地址：北京市朝阳区朝阳门南大街8号中粮福临门大厦9层905房间，中粮糖业纪委办公室收，邮编100020</w:t>
      </w:r>
    </w:p>
    <w:p>
      <w:pPr>
        <w:spacing w:line="440" w:lineRule="exact"/>
        <w:ind w:firstLine="482" w:firstLineChars="200"/>
        <w:rPr>
          <w:rFonts w:eastAsia="仿宋" w:asciiTheme="minorEastAsia" w:hAnsiTheme="minorEastAsia"/>
          <w:sz w:val="24"/>
          <w:szCs w:val="24"/>
          <w:lang w:eastAsia="zh-CN"/>
        </w:rPr>
      </w:pPr>
      <w:r>
        <w:rPr>
          <w:rFonts w:eastAsia="仿宋" w:asciiTheme="minorEastAsia" w:hAnsiTheme="minorEastAsia"/>
          <w:b/>
          <w:sz w:val="24"/>
          <w:szCs w:val="24"/>
          <w:lang w:eastAsia="zh-CN"/>
        </w:rPr>
        <w:t>二、致电 举报电话：010-85017235。</w:t>
      </w:r>
      <w:r>
        <w:rPr>
          <w:rFonts w:eastAsia="仿宋" w:asciiTheme="minorEastAsia" w:hAnsiTheme="minorEastAsia"/>
          <w:sz w:val="24"/>
          <w:szCs w:val="24"/>
          <w:lang w:eastAsia="zh-CN"/>
        </w:rPr>
        <w:t> </w:t>
      </w:r>
    </w:p>
    <w:p>
      <w:pPr>
        <w:rPr>
          <w:rFonts w:eastAsia="仿宋"/>
          <w:lang w:eastAsia="zh-CN"/>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10.其他</w:t>
      </w:r>
    </w:p>
    <w:p>
      <w:pPr>
        <w:spacing w:line="360" w:lineRule="auto"/>
        <w:ind w:firstLine="480"/>
        <w:rPr>
          <w:rFonts w:eastAsia="仿宋" w:asciiTheme="minorEastAsia" w:hAnsiTheme="minorEastAsia"/>
          <w:b/>
          <w:snapToGrid w:val="0"/>
          <w:sz w:val="24"/>
          <w:szCs w:val="24"/>
          <w:lang w:eastAsia="zh-CN"/>
        </w:rPr>
      </w:pPr>
      <w:r>
        <w:rPr>
          <w:rFonts w:hint="eastAsia" w:eastAsia="仿宋" w:asciiTheme="minorEastAsia" w:hAnsiTheme="minorEastAsia"/>
          <w:b/>
          <w:snapToGrid w:val="0"/>
          <w:sz w:val="24"/>
          <w:szCs w:val="24"/>
          <w:lang w:eastAsia="zh-CN"/>
        </w:rPr>
        <w:t>供应商需同时在</w:t>
      </w:r>
      <w:r>
        <w:rPr>
          <w:rFonts w:eastAsia="仿宋" w:asciiTheme="minorEastAsia" w:hAnsiTheme="minorEastAsia"/>
          <w:b/>
          <w:snapToGrid w:val="0"/>
          <w:sz w:val="24"/>
          <w:szCs w:val="24"/>
          <w:lang w:eastAsia="zh-CN"/>
        </w:rPr>
        <w:t>中粮糖业EPS电子采购平台（网址：http://eps.tunhe.com）中，按项目明细填写报价</w:t>
      </w:r>
      <w:r>
        <w:rPr>
          <w:rFonts w:hint="eastAsia" w:eastAsia="仿宋" w:asciiTheme="minorEastAsia" w:hAnsiTheme="minorEastAsia"/>
          <w:b/>
          <w:snapToGrid w:val="0"/>
          <w:sz w:val="24"/>
          <w:szCs w:val="24"/>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（注：可根据项目情况简述采购项</w:t>
      </w:r>
      <w:r>
        <w:rPr>
          <w:rFonts w:hint="eastAsia" w:eastAsia="仿宋" w:asciiTheme="minorEastAsia" w:hAnsiTheme="minorEastAsia"/>
          <w:snapToGrid w:val="0"/>
          <w:sz w:val="24"/>
          <w:szCs w:val="24"/>
          <w:lang w:eastAsia="zh-CN"/>
        </w:rPr>
        <w:t>目</w:t>
      </w:r>
      <w:r>
        <w:rPr>
          <w:rFonts w:eastAsia="仿宋" w:asciiTheme="minorEastAsia" w:hAnsiTheme="minorEastAsia"/>
          <w:snapToGrid w:val="0"/>
          <w:sz w:val="24"/>
          <w:szCs w:val="24"/>
          <w:lang w:eastAsia="zh-CN"/>
        </w:rPr>
        <w:t>评审方法等其他需要说明的内容。）</w:t>
      </w:r>
    </w:p>
    <w:p>
      <w:pPr>
        <w:rPr>
          <w:rFonts w:eastAsia="仿宋"/>
        </w:rPr>
      </w:pPr>
    </w:p>
    <w:p>
      <w:pPr>
        <w:pStyle w:val="4"/>
        <w:ind w:left="0"/>
        <w:rPr>
          <w:rFonts w:eastAsia="仿宋" w:asciiTheme="minorEastAsia" w:hAnsiTheme="minorEastAsia"/>
          <w:b/>
          <w:bCs/>
          <w:snapToGrid w:val="0"/>
          <w:sz w:val="24"/>
          <w:szCs w:val="24"/>
          <w:lang w:eastAsia="zh-CN"/>
        </w:rPr>
      </w:pPr>
      <w:r>
        <w:rPr>
          <w:rFonts w:eastAsia="仿宋" w:asciiTheme="minorEastAsia" w:hAnsiTheme="minorEastAsia"/>
          <w:b/>
          <w:bCs/>
          <w:snapToGrid w:val="0"/>
          <w:sz w:val="24"/>
          <w:szCs w:val="24"/>
          <w:lang w:eastAsia="zh-CN"/>
        </w:rPr>
        <w:t>11.联系方式</w:t>
      </w:r>
    </w:p>
    <w:tbl>
      <w:tblPr>
        <w:tblStyle w:val="42"/>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中粮梁河糖业有限公司</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联系人：</w:t>
            </w:r>
            <w:r>
              <w:rPr>
                <w:rFonts w:hint="eastAsia" w:eastAsia="仿宋" w:asciiTheme="minorEastAsia" w:hAnsiTheme="minorEastAsia"/>
                <w:snapToGrid w:val="0"/>
                <w:sz w:val="24"/>
                <w:szCs w:val="24"/>
                <w:lang w:eastAsia="zh-CN"/>
              </w:rPr>
              <w:t>郑云飞</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rPr>
              <w:t>电话：</w:t>
            </w:r>
            <w:r>
              <w:rPr>
                <w:rFonts w:hint="eastAsia" w:eastAsia="仿宋" w:asciiTheme="minorEastAsia" w:hAnsiTheme="minorEastAsia"/>
                <w:snapToGrid w:val="0"/>
                <w:sz w:val="24"/>
                <w:szCs w:val="24"/>
                <w:lang w:eastAsia="zh-CN"/>
              </w:rPr>
              <w:t>15208819493</w:t>
            </w:r>
          </w:p>
        </w:tc>
      </w:tr>
    </w:tbl>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eastAsia="zh-CN"/>
        </w:rPr>
        <w:t>2023</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11</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u w:val="single"/>
          <w:lang w:val="en-US" w:eastAsia="zh-CN"/>
        </w:rPr>
        <w:t>22</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68" w:name="扫描0015"/>
      <w:bookmarkEnd w:id="68"/>
      <w:bookmarkStart w:id="69" w:name="_Toc29531"/>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二</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供应商</w:t>
      </w:r>
      <w:r>
        <w:rPr>
          <w:rFonts w:hint="eastAsia" w:ascii="仿宋" w:hAnsi="仿宋" w:eastAsia="仿宋"/>
          <w:b/>
          <w:bCs/>
          <w:snapToGrid w:val="0"/>
          <w:sz w:val="32"/>
          <w:szCs w:val="32"/>
          <w:lang w:eastAsia="zh-CN"/>
        </w:rPr>
        <w:t>须知</w:t>
      </w:r>
      <w:bookmarkEnd w:id="69"/>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70" w:name="_Toc24112"/>
      <w:r>
        <w:rPr>
          <w:rFonts w:ascii="仿宋" w:hAnsi="仿宋" w:eastAsia="仿宋"/>
          <w:b/>
          <w:bCs/>
          <w:snapToGrid w:val="0"/>
          <w:sz w:val="32"/>
          <w:szCs w:val="32"/>
          <w:lang w:eastAsia="zh-CN"/>
        </w:rPr>
        <w:t>供应商须知前附表</w:t>
      </w:r>
      <w:bookmarkEnd w:id="70"/>
    </w:p>
    <w:p>
      <w:pPr>
        <w:pStyle w:val="17"/>
        <w:adjustRightInd w:val="0"/>
        <w:snapToGrid w:val="0"/>
        <w:spacing w:line="276" w:lineRule="auto"/>
        <w:rPr>
          <w:rFonts w:ascii="仿宋" w:hAnsi="仿宋" w:eastAsia="仿宋"/>
          <w:snapToGrid w:val="0"/>
          <w:sz w:val="24"/>
          <w:szCs w:val="24"/>
          <w:lang w:eastAsia="zh-CN"/>
        </w:rPr>
      </w:pPr>
    </w:p>
    <w:tbl>
      <w:tblPr>
        <w:tblStyle w:val="42"/>
        <w:tblW w:w="97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3544"/>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条款号</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u w:val="single"/>
              </w:rPr>
              <w:t>条款内</w:t>
            </w:r>
            <w:r>
              <w:rPr>
                <w:rFonts w:ascii="仿宋" w:hAnsi="仿宋" w:eastAsia="仿宋"/>
                <w:b/>
                <w:bCs/>
                <w:snapToGrid w:val="0"/>
                <w:sz w:val="21"/>
                <w:szCs w:val="21"/>
              </w:rPr>
              <w:t>容</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b/>
                <w:bCs/>
                <w:snapToGrid w:val="0"/>
                <w:sz w:val="21"/>
                <w:szCs w:val="21"/>
              </w:rPr>
            </w:pPr>
            <w:r>
              <w:rPr>
                <w:rFonts w:ascii="仿宋" w:hAnsi="仿宋" w:eastAsia="仿宋"/>
                <w:b/>
                <w:bCs/>
                <w:snapToGrid w:val="0"/>
                <w:sz w:val="21"/>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1.7.1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踏勘现场</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不组织集中踏勘，供应商自行踏勘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谈判采购预备会</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不召开，书面澄清及回复供应商疑问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1.9(A、C)</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分包</w:t>
            </w:r>
          </w:p>
        </w:tc>
        <w:tc>
          <w:tcPr>
            <w:tcW w:w="4961" w:type="dxa"/>
            <w:tcMar>
              <w:top w:w="57" w:type="dxa"/>
              <w:left w:w="57" w:type="dxa"/>
              <w:bottom w:w="57" w:type="dxa"/>
              <w:right w:w="57" w:type="dxa"/>
            </w:tcMar>
            <w:vAlign w:val="center"/>
          </w:tcPr>
          <w:p>
            <w:pPr>
              <w:adjustRightInd w:val="0"/>
              <w:spacing w:line="276" w:lineRule="auto"/>
              <w:rPr>
                <w:rFonts w:hint="default" w:eastAsia="仿宋" w:asciiTheme="minorEastAsia" w:hAnsiTheme="minorEastAsia"/>
                <w:snapToGrid w:val="0"/>
                <w:sz w:val="21"/>
                <w:szCs w:val="21"/>
                <w:lang w:val="en-US" w:eastAsia="zh-CN"/>
              </w:rPr>
            </w:pPr>
            <w:r>
              <w:rPr>
                <w:rFonts w:eastAsia="仿宋" w:asciiTheme="minorEastAsia" w:hAnsiTheme="minorEastAsia"/>
                <w:snapToGrid w:val="0"/>
                <w:sz w:val="21"/>
                <w:szCs w:val="21"/>
                <w:lang w:eastAsia="zh-CN"/>
              </w:rPr>
              <w:t>不得分包的内容：</w:t>
            </w:r>
            <w:r>
              <w:rPr>
                <w:rFonts w:hint="eastAsia" w:eastAsia="仿宋" w:asciiTheme="minorEastAsia" w:hAnsiTheme="minorEastAsia"/>
                <w:snapToGrid w:val="0"/>
                <w:sz w:val="21"/>
                <w:szCs w:val="21"/>
                <w:lang w:val="en-US" w:eastAsia="zh-CN"/>
              </w:rPr>
              <w:t>设计、审图可以分包</w:t>
            </w:r>
          </w:p>
          <w:p>
            <w:pPr>
              <w:pStyle w:val="80"/>
              <w:adjustRightInd w:val="0"/>
              <w:spacing w:line="276" w:lineRule="auto"/>
              <w:rPr>
                <w:rFonts w:hint="default" w:ascii="仿宋" w:hAnsi="仿宋" w:eastAsia="仿宋"/>
                <w:snapToGrid w:val="0"/>
                <w:sz w:val="21"/>
                <w:szCs w:val="21"/>
                <w:lang w:val="en-US" w:eastAsia="zh-CN"/>
              </w:rPr>
            </w:pPr>
            <w:r>
              <w:rPr>
                <w:rFonts w:eastAsia="仿宋" w:asciiTheme="minorEastAsia" w:hAnsiTheme="minorEastAsia"/>
                <w:snapToGrid w:val="0"/>
                <w:sz w:val="21"/>
                <w:szCs w:val="21"/>
                <w:lang w:eastAsia="zh-CN"/>
              </w:rPr>
              <w:t>对分包供应商的要求：</w:t>
            </w:r>
            <w:r>
              <w:rPr>
                <w:rFonts w:hint="eastAsia" w:eastAsia="仿宋" w:asciiTheme="minorEastAsia" w:hAnsiTheme="minorEastAsia"/>
                <w:snapToGrid w:val="0"/>
                <w:sz w:val="21"/>
                <w:szCs w:val="21"/>
                <w:lang w:val="en-US" w:eastAsia="zh-CN"/>
              </w:rPr>
              <w:t>设计单位具有</w:t>
            </w:r>
            <w:r>
              <w:rPr>
                <w:rFonts w:hint="eastAsia" w:eastAsia="仿宋" w:cs="宋体" w:asciiTheme="minorEastAsia" w:hAnsiTheme="minorEastAsia"/>
                <w:snapToGrid w:val="0"/>
                <w:sz w:val="21"/>
                <w:szCs w:val="21"/>
                <w:lang w:val="en-US" w:eastAsia="zh-CN" w:bidi="ar-SA"/>
              </w:rPr>
              <w:t>工程设计建筑行业乙级及以上资质，审图单位具有审图资质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1.10.2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对非关键条款的偏差</w:t>
            </w:r>
          </w:p>
        </w:tc>
        <w:tc>
          <w:tcPr>
            <w:tcW w:w="4961" w:type="dxa"/>
            <w:tcMar>
              <w:top w:w="57" w:type="dxa"/>
              <w:left w:w="57" w:type="dxa"/>
              <w:bottom w:w="57" w:type="dxa"/>
              <w:right w:w="57" w:type="dxa"/>
            </w:tcMar>
            <w:vAlign w:val="center"/>
          </w:tcPr>
          <w:p>
            <w:pPr>
              <w:pStyle w:val="80"/>
              <w:adjustRightInd w:val="0"/>
              <w:spacing w:line="276" w:lineRule="auto"/>
              <w:ind w:left="210" w:hanging="210" w:hangingChars="100"/>
              <w:rPr>
                <w:rFonts w:ascii="仿宋" w:hAnsi="仿宋" w:eastAsia="仿宋"/>
                <w:snapToGrid w:val="0"/>
                <w:sz w:val="21"/>
                <w:szCs w:val="21"/>
                <w:u w:val="single"/>
                <w:lang w:eastAsia="zh-CN"/>
              </w:rPr>
            </w:pPr>
            <w:r>
              <w:rPr>
                <w:rFonts w:ascii="仿宋" w:hAnsi="仿宋" w:eastAsia="仿宋"/>
                <w:snapToGrid w:val="0"/>
                <w:sz w:val="21"/>
                <w:szCs w:val="21"/>
                <w:lang w:eastAsia="zh-CN"/>
              </w:rPr>
              <w:t>允许偏差的范围：</w:t>
            </w:r>
          </w:p>
          <w:p>
            <w:pPr>
              <w:pStyle w:val="80"/>
              <w:adjustRightInd w:val="0"/>
              <w:spacing w:line="276" w:lineRule="auto"/>
              <w:ind w:left="210" w:hanging="210" w:hangingChars="100"/>
              <w:rPr>
                <w:rFonts w:ascii="仿宋" w:hAnsi="仿宋" w:eastAsia="仿宋"/>
                <w:snapToGrid w:val="0"/>
                <w:sz w:val="21"/>
                <w:szCs w:val="21"/>
                <w:lang w:eastAsia="zh-CN"/>
              </w:rPr>
            </w:pPr>
            <w:r>
              <w:rPr>
                <w:rFonts w:ascii="仿宋" w:hAnsi="仿宋" w:eastAsia="仿宋"/>
                <w:snapToGrid w:val="0"/>
                <w:sz w:val="21"/>
                <w:szCs w:val="21"/>
                <w:lang w:eastAsia="zh-CN"/>
              </w:rPr>
              <w:t>允许偏差的项数：</w:t>
            </w:r>
            <w:r>
              <w:rPr>
                <w:rFonts w:ascii="仿宋" w:hAnsi="仿宋" w:eastAsia="仿宋"/>
                <w:snapToGrid w:val="0"/>
                <w:sz w:val="21"/>
                <w:szCs w:val="21"/>
                <w:u w:val="single"/>
                <w:lang w:eastAsia="zh-CN"/>
              </w:rPr>
              <w:t xml:space="preserve">   0    </w:t>
            </w:r>
            <w:r>
              <w:rPr>
                <w:rFonts w:ascii="仿宋" w:hAnsi="仿宋" w:eastAsia="仿宋"/>
                <w:snapToGrid w:val="0"/>
                <w:sz w:val="21"/>
                <w:szCs w:val="21"/>
                <w:lang w:eastAsia="zh-CN"/>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w:t>
            </w:r>
            <w:r>
              <w:rPr>
                <w:rFonts w:hint="eastAsia" w:ascii="微软雅黑" w:hAnsi="微软雅黑" w:eastAsia="微软雅黑" w:cs="微软雅黑"/>
                <w:snapToGrid w:val="0"/>
                <w:sz w:val="21"/>
                <w:szCs w:val="21"/>
              </w:rPr>
              <w:t>∙</w:t>
            </w:r>
            <w:r>
              <w:rPr>
                <w:rFonts w:ascii="仿宋" w:hAnsi="仿宋" w:eastAsia="仿宋"/>
                <w:snapToGrid w:val="0"/>
                <w:sz w:val="21"/>
                <w:szCs w:val="21"/>
              </w:rPr>
              <w:t>1</w:t>
            </w:r>
            <w:r>
              <w:rPr>
                <w:rFonts w:hint="eastAsia" w:ascii="仿宋" w:hAnsi="仿宋" w:eastAsia="仿宋"/>
                <w:snapToGrid w:val="0"/>
                <w:sz w:val="21"/>
                <w:szCs w:val="21"/>
              </w:rPr>
              <w:t>⑺</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构成采购文件的其他资料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资料名称：</w:t>
            </w:r>
            <w:r>
              <w:rPr>
                <w:rFonts w:hint="eastAsia" w:ascii="仿宋" w:hAnsi="仿宋" w:eastAsia="仿宋"/>
                <w:snapToGrid w:val="0"/>
                <w:sz w:val="21"/>
                <w:szCs w:val="21"/>
                <w:u w:val="single"/>
                <w:lang w:eastAsia="zh-CN"/>
              </w:rPr>
              <w:t>工程量清单(单价合同必须)、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供应商要求澄清采购文件的时间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highlight w:val="yellow"/>
              </w:rPr>
              <w:t>截止时间：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11</w:t>
            </w:r>
            <w:r>
              <w:rPr>
                <w:rFonts w:ascii="仿宋" w:hAnsi="仿宋" w:eastAsia="仿宋"/>
                <w:snapToGrid w:val="0"/>
                <w:sz w:val="21"/>
                <w:szCs w:val="21"/>
                <w:highlight w:val="yellow"/>
                <w:lang w:eastAsia="zh-CN"/>
              </w:rPr>
              <w:t xml:space="preserve"> </w:t>
            </w:r>
            <w:r>
              <w:rPr>
                <w:rFonts w:hint="eastAsia" w:ascii="仿宋" w:hAnsi="仿宋" w:eastAsia="仿宋"/>
                <w:snapToGrid w:val="0"/>
                <w:sz w:val="21"/>
                <w:szCs w:val="21"/>
                <w:highlight w:val="yellow"/>
                <w:lang w:eastAsia="zh-CN"/>
              </w:rPr>
              <w:t>月</w:t>
            </w:r>
            <w:r>
              <w:rPr>
                <w:rFonts w:ascii="仿宋" w:hAnsi="仿宋" w:eastAsia="仿宋"/>
                <w:snapToGrid w:val="0"/>
                <w:sz w:val="21"/>
                <w:szCs w:val="21"/>
                <w:highlight w:val="yellow"/>
                <w:lang w:eastAsia="zh-CN"/>
              </w:rPr>
              <w:t xml:space="preserve"> </w:t>
            </w:r>
            <w:r>
              <w:rPr>
                <w:rFonts w:hint="eastAsia" w:ascii="仿宋" w:hAnsi="仿宋" w:eastAsia="仿宋"/>
                <w:snapToGrid w:val="0"/>
                <w:sz w:val="21"/>
                <w:szCs w:val="21"/>
                <w:highlight w:val="yellow"/>
                <w:lang w:val="en-US" w:eastAsia="zh-CN"/>
              </w:rPr>
              <w:t>29</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7</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2.2.3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供应商确认收到采购文件补充文件</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u w:val="single"/>
                <w:lang w:eastAsia="zh-CN"/>
              </w:rPr>
            </w:pPr>
            <w:r>
              <w:rPr>
                <w:rFonts w:ascii="仿宋" w:hAnsi="仿宋" w:eastAsia="仿宋"/>
                <w:snapToGrid w:val="0"/>
                <w:sz w:val="21"/>
                <w:szCs w:val="21"/>
                <w:lang w:eastAsia="zh-CN"/>
              </w:rPr>
              <w:t>确认的最晚时间：</w:t>
            </w:r>
            <w:r>
              <w:rPr>
                <w:rFonts w:hint="eastAsia" w:ascii="仿宋" w:hAnsi="仿宋" w:eastAsia="仿宋"/>
                <w:snapToGrid w:val="0"/>
                <w:sz w:val="21"/>
                <w:szCs w:val="21"/>
                <w:highlight w:val="yellow"/>
                <w:lang w:eastAsia="zh-CN"/>
              </w:rPr>
              <w:t>2</w:t>
            </w:r>
            <w:r>
              <w:rPr>
                <w:rFonts w:ascii="仿宋" w:hAnsi="仿宋" w:eastAsia="仿宋"/>
                <w:snapToGrid w:val="0"/>
                <w:sz w:val="21"/>
                <w:szCs w:val="21"/>
                <w:highlight w:val="yellow"/>
                <w:lang w:eastAsia="zh-CN"/>
              </w:rPr>
              <w:t>023</w:t>
            </w:r>
            <w:r>
              <w:rPr>
                <w:rFonts w:hint="eastAsia" w:ascii="仿宋" w:hAnsi="仿宋" w:eastAsia="仿宋"/>
                <w:snapToGrid w:val="0"/>
                <w:sz w:val="21"/>
                <w:szCs w:val="21"/>
                <w:highlight w:val="yellow"/>
                <w:lang w:eastAsia="zh-CN"/>
              </w:rPr>
              <w:t>年</w:t>
            </w:r>
            <w:r>
              <w:rPr>
                <w:rFonts w:hint="eastAsia" w:ascii="仿宋" w:hAnsi="仿宋" w:eastAsia="仿宋"/>
                <w:snapToGrid w:val="0"/>
                <w:sz w:val="21"/>
                <w:szCs w:val="21"/>
                <w:highlight w:val="yellow"/>
                <w:lang w:val="en-US" w:eastAsia="zh-CN"/>
              </w:rPr>
              <w:t>11</w:t>
            </w:r>
            <w:r>
              <w:rPr>
                <w:rFonts w:hint="eastAsia" w:ascii="仿宋" w:hAnsi="仿宋" w:eastAsia="仿宋"/>
                <w:snapToGrid w:val="0"/>
                <w:sz w:val="21"/>
                <w:szCs w:val="21"/>
                <w:highlight w:val="yellow"/>
                <w:lang w:eastAsia="zh-CN"/>
              </w:rPr>
              <w:t>月</w:t>
            </w:r>
            <w:r>
              <w:rPr>
                <w:rFonts w:hint="eastAsia" w:ascii="仿宋" w:hAnsi="仿宋" w:eastAsia="仿宋"/>
                <w:snapToGrid w:val="0"/>
                <w:sz w:val="21"/>
                <w:szCs w:val="21"/>
                <w:highlight w:val="yellow"/>
                <w:lang w:val="en-US" w:eastAsia="zh-CN"/>
              </w:rPr>
              <w:t>29</w:t>
            </w:r>
            <w:r>
              <w:rPr>
                <w:rFonts w:hint="eastAsia" w:ascii="仿宋" w:hAnsi="仿宋" w:eastAsia="仿宋"/>
                <w:snapToGrid w:val="0"/>
                <w:sz w:val="21"/>
                <w:szCs w:val="21"/>
                <w:highlight w:val="yellow"/>
                <w:lang w:eastAsia="zh-CN"/>
              </w:rPr>
              <w:t>日1</w:t>
            </w:r>
            <w:r>
              <w:rPr>
                <w:rFonts w:ascii="仿宋" w:hAnsi="仿宋" w:eastAsia="仿宋"/>
                <w:snapToGrid w:val="0"/>
                <w:sz w:val="21"/>
                <w:szCs w:val="21"/>
                <w:highlight w:val="yellow"/>
                <w:lang w:eastAsia="zh-CN"/>
              </w:rPr>
              <w:t>8</w:t>
            </w:r>
            <w:r>
              <w:rPr>
                <w:rFonts w:hint="eastAsia" w:ascii="仿宋" w:hAnsi="仿宋" w:eastAsia="仿宋"/>
                <w:snapToGrid w:val="0"/>
                <w:sz w:val="21"/>
                <w:szCs w:val="21"/>
                <w:highlight w:val="yellow"/>
                <w:lang w:eastAsia="zh-CN"/>
              </w:rPr>
              <w:t>:3</w:t>
            </w:r>
            <w:r>
              <w:rPr>
                <w:rFonts w:ascii="仿宋" w:hAnsi="仿宋" w:eastAsia="仿宋"/>
                <w:snapToGrid w:val="0"/>
                <w:sz w:val="21"/>
                <w:szCs w:val="21"/>
                <w:highlight w:val="yellow"/>
                <w:lang w:eastAsia="zh-CN"/>
              </w:rPr>
              <w:t>0</w:t>
            </w:r>
          </w:p>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确认的方式：</w:t>
            </w:r>
            <w:r>
              <w:rPr>
                <w:rFonts w:hint="eastAsia" w:eastAsia="仿宋" w:asciiTheme="minorEastAsia" w:hAnsiTheme="minorEastAsia"/>
                <w:snapToGrid w:val="0"/>
                <w:sz w:val="21"/>
                <w:szCs w:val="21"/>
                <w:highlight w:val="yellow"/>
                <w:u w:val="single"/>
                <w:lang w:eastAsia="zh-CN"/>
              </w:rPr>
              <w:t>采购平台对话框或电话或微信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3.1.1(9)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构成响</w:t>
            </w:r>
            <w:r>
              <w:rPr>
                <w:rFonts w:hint="eastAsia" w:eastAsia="仿宋" w:asciiTheme="minorEastAsia" w:hAnsiTheme="minorEastAsia"/>
                <w:snapToGrid w:val="0"/>
                <w:sz w:val="21"/>
                <w:szCs w:val="21"/>
                <w:lang w:eastAsia="zh-CN"/>
              </w:rPr>
              <w:t>应文件的其它资料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响应单位获奖荣誉</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hint="eastAsia" w:eastAsia="仿宋" w:asciiTheme="minorEastAsia" w:hAnsiTheme="minorEastAsia"/>
                <w:snapToGrid w:val="0"/>
                <w:sz w:val="21"/>
                <w:szCs w:val="21"/>
                <w:lang w:eastAsia="zh-CN"/>
              </w:rPr>
              <w:t>响应单位公司介绍</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响应单位承诺函</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sym w:font="Wingdings 2" w:char="F052"/>
            </w:r>
            <w:r>
              <w:rPr>
                <w:rFonts w:hint="eastAsia" w:eastAsia="仿宋" w:asciiTheme="minorEastAsia" w:hAnsiTheme="minorEastAsia"/>
                <w:snapToGrid w:val="0"/>
                <w:sz w:val="21"/>
                <w:szCs w:val="21"/>
                <w:lang w:eastAsia="zh-CN"/>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采购标的数量增减幅度：</w:t>
            </w:r>
            <w:r>
              <w:rPr>
                <w:rFonts w:ascii="仿宋" w:hAnsi="仿宋" w:eastAsia="仿宋"/>
                <w:snapToGrid w:val="0"/>
                <w:sz w:val="21"/>
                <w:szCs w:val="21"/>
                <w:u w:val="single"/>
                <w:lang w:eastAsia="zh-CN"/>
              </w:rPr>
              <w:t xml:space="preserve">    </w:t>
            </w:r>
            <w:r>
              <w:rPr>
                <w:rFonts w:ascii="仿宋" w:hAnsi="仿宋" w:eastAsia="仿宋"/>
                <w:snapToGrid w:val="0"/>
                <w:sz w:val="21"/>
                <w:szCs w:val="21"/>
                <w:lang w:eastAsia="zh-CN"/>
              </w:rPr>
              <w:t>%</w:t>
            </w:r>
          </w:p>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lang w:eastAsia="zh-CN"/>
              </w:rPr>
              <w:t>（注：数</w:t>
            </w:r>
            <w:r>
              <w:rPr>
                <w:rFonts w:hint="eastAsia" w:ascii="仿宋" w:hAnsi="仿宋" w:eastAsia="仿宋"/>
                <w:snapToGrid w:val="0"/>
                <w:sz w:val="21"/>
                <w:szCs w:val="21"/>
                <w:lang w:eastAsia="zh-CN"/>
              </w:rPr>
              <w:t>量</w:t>
            </w:r>
            <w:r>
              <w:rPr>
                <w:rFonts w:ascii="仿宋" w:hAnsi="仿宋" w:eastAsia="仿宋"/>
                <w:snapToGrid w:val="0"/>
                <w:sz w:val="21"/>
                <w:szCs w:val="21"/>
                <w:lang w:eastAsia="zh-CN"/>
              </w:rPr>
              <w:t>增减幅度通常在10%以内。</w:t>
            </w: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最高限价或其计算方法</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A3"/>
            </w:r>
            <w:r>
              <w:rPr>
                <w:rFonts w:eastAsia="仿宋" w:asciiTheme="minorEastAsia" w:hAnsiTheme="minorEastAsia"/>
                <w:snapToGrid w:val="0"/>
                <w:sz w:val="21"/>
                <w:szCs w:val="21"/>
                <w:lang w:eastAsia="zh-CN"/>
              </w:rPr>
              <w:t>无</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52"/>
            </w:r>
            <w:r>
              <w:rPr>
                <w:rFonts w:eastAsia="仿宋" w:asciiTheme="minorEastAsia" w:hAnsiTheme="minorEastAsia"/>
                <w:snapToGrid w:val="0"/>
                <w:sz w:val="21"/>
                <w:szCs w:val="21"/>
                <w:lang w:eastAsia="zh-CN"/>
              </w:rPr>
              <w:t>有，最高限价</w:t>
            </w:r>
            <w:r>
              <w:rPr>
                <w:rFonts w:hint="eastAsia" w:eastAsia="仿宋" w:asciiTheme="minorEastAsia" w:hAnsiTheme="minorEastAsia"/>
                <w:snapToGrid w:val="0"/>
                <w:sz w:val="21"/>
                <w:szCs w:val="21"/>
                <w:lang w:val="en-US" w:eastAsia="zh-CN"/>
              </w:rPr>
              <w:t>170万元</w:t>
            </w:r>
            <w:r>
              <w:rPr>
                <w:rFonts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ascii="仿宋" w:hAnsi="仿宋" w:eastAsia="仿宋"/>
                <w:snapToGrid w:val="0"/>
                <w:sz w:val="21"/>
                <w:szCs w:val="21"/>
                <w:lang w:eastAsia="zh-CN"/>
              </w:rPr>
              <w:t>3</w:t>
            </w:r>
            <w:r>
              <w:rPr>
                <w:rFonts w:ascii="仿宋" w:hAnsi="仿宋" w:eastAsia="仿宋"/>
                <w:snapToGrid w:val="0"/>
                <w:sz w:val="21"/>
                <w:szCs w:val="21"/>
                <w:lang w:eastAsia="zh-CN"/>
              </w:rPr>
              <w:t>.2.4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合同形式</w:t>
            </w:r>
          </w:p>
        </w:tc>
        <w:tc>
          <w:tcPr>
            <w:tcW w:w="4961" w:type="dxa"/>
            <w:tcMar>
              <w:top w:w="57" w:type="dxa"/>
              <w:left w:w="57" w:type="dxa"/>
              <w:bottom w:w="57" w:type="dxa"/>
              <w:right w:w="57" w:type="dxa"/>
            </w:tcMar>
            <w:vAlign w:val="center"/>
          </w:tcPr>
          <w:p>
            <w:pPr>
              <w:pStyle w:val="81"/>
              <w:rPr>
                <w:rFonts w:ascii="仿宋" w:hAnsi="仿宋" w:eastAsia="仿宋" w:cs="宋体"/>
                <w:snapToGrid w:val="0"/>
              </w:rPr>
            </w:pPr>
            <w:r>
              <w:rPr>
                <w:rFonts w:ascii="仿宋" w:hAnsi="仿宋" w:eastAsia="仿宋" w:cs="宋体"/>
                <w:snapToGrid w:val="0"/>
              </w:rPr>
              <w:t>□</w:t>
            </w:r>
            <w:r>
              <w:rPr>
                <w:rFonts w:ascii="仿宋" w:hAnsi="仿宋" w:eastAsia="仿宋" w:cs="宋体"/>
                <w:snapToGrid w:val="0"/>
              </w:rPr>
              <w:fldChar w:fldCharType="begin"/>
            </w:r>
            <w:r>
              <w:rPr>
                <w:rFonts w:ascii="仿宋" w:hAnsi="仿宋" w:eastAsia="仿宋" w:cs="宋体"/>
                <w:snapToGrid w:val="0"/>
              </w:rPr>
              <w:instrText xml:space="preserve"> MERGEFIELD tbbjfs_dj|1|e82341ad-a68c-414f-933f-ea1bcc18b60a|c4b6746f-aa3e-4211-a2e6-e33472785576 </w:instrText>
            </w:r>
            <w:r>
              <w:rPr>
                <w:rFonts w:ascii="仿宋" w:hAnsi="仿宋" w:eastAsia="仿宋" w:cs="宋体"/>
                <w:snapToGrid w:val="0"/>
              </w:rPr>
              <w:fldChar w:fldCharType="separate"/>
            </w:r>
            <w:r>
              <w:rPr>
                <w:rFonts w:ascii="仿宋" w:hAnsi="仿宋" w:eastAsia="仿宋" w:cs="宋体"/>
                <w:snapToGrid w:val="0"/>
              </w:rPr>
              <w:t>单价合同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tbbjfs_dj|2|e82341ad-a68c-414f-933f-ea1bcc18b60a|c4b6746f-aa3e-4211-a2e6-e33472785576 </w:instrText>
            </w:r>
            <w:r>
              <w:rPr>
                <w:rFonts w:ascii="仿宋" w:hAnsi="仿宋" w:eastAsia="仿宋" w:cs="宋体"/>
                <w:snapToGrid w:val="0"/>
              </w:rPr>
              <w:fldChar w:fldCharType="separate"/>
            </w:r>
          </w:p>
          <w:p>
            <w:pPr>
              <w:pStyle w:val="81"/>
              <w:rPr>
                <w:rFonts w:ascii="仿宋" w:hAnsi="仿宋" w:eastAsia="仿宋" w:cs="宋体"/>
                <w:snapToGrid w:val="0"/>
              </w:rPr>
            </w:pPr>
            <w:r>
              <w:rPr>
                <w:rFonts w:ascii="仿宋" w:hAnsi="仿宋" w:eastAsia="仿宋" w:cs="宋体"/>
                <w:snapToGrid w:val="0"/>
              </w:rPr>
              <w:fldChar w:fldCharType="end"/>
            </w:r>
            <w:r>
              <w:rPr>
                <w:rFonts w:ascii="仿宋" w:hAnsi="仿宋" w:eastAsia="仿宋" w:cs="宋体"/>
                <w:snapToGrid w:val="0"/>
              </w:rPr>
              <w:sym w:font="Wingdings 2" w:char="0052"/>
            </w:r>
            <w:r>
              <w:rPr>
                <w:rFonts w:ascii="仿宋" w:hAnsi="仿宋" w:eastAsia="仿宋" w:cs="宋体"/>
                <w:snapToGrid w:val="0"/>
              </w:rPr>
              <w:fldChar w:fldCharType="begin"/>
            </w:r>
            <w:r>
              <w:rPr>
                <w:rFonts w:ascii="仿宋" w:hAnsi="仿宋" w:eastAsia="仿宋" w:cs="宋体"/>
                <w:snapToGrid w:val="0"/>
              </w:rPr>
              <w:instrText xml:space="preserve"> MERGEFIELD tbbjfs_zj|1|e82341ad-a68c-414f-933f-ea1bcc18b60a|e12ee692-4310-455e-902e-47165e307a62 </w:instrText>
            </w:r>
            <w:r>
              <w:rPr>
                <w:rFonts w:ascii="仿宋" w:hAnsi="仿宋" w:eastAsia="仿宋" w:cs="宋体"/>
                <w:snapToGrid w:val="0"/>
              </w:rPr>
              <w:fldChar w:fldCharType="separate"/>
            </w:r>
            <w:r>
              <w:rPr>
                <w:rFonts w:ascii="仿宋" w:hAnsi="仿宋" w:eastAsia="仿宋" w:cs="宋体"/>
                <w:snapToGrid w:val="0"/>
              </w:rPr>
              <w:t>总价合同</w:t>
            </w:r>
            <w:r>
              <w:rPr>
                <w:rFonts w:ascii="仿宋" w:hAnsi="仿宋" w:eastAsia="仿宋" w:cs="宋体"/>
                <w:snapToGrid w:val="0"/>
              </w:rPr>
              <w:fldChar w:fldCharType="end"/>
            </w:r>
            <w:r>
              <w:rPr>
                <w:rFonts w:ascii="仿宋" w:hAnsi="仿宋" w:eastAsia="仿宋" w:cs="宋体"/>
                <w:snapToGrid w:val="0"/>
              </w:rPr>
              <w:fldChar w:fldCharType="begin"/>
            </w:r>
            <w:r>
              <w:rPr>
                <w:rFonts w:ascii="仿宋" w:hAnsi="仿宋" w:eastAsia="仿宋" w:cs="宋体"/>
                <w:snapToGrid w:val="0"/>
              </w:rPr>
              <w:instrText xml:space="preserve"> MERGEFIELD tbbjfs_zj|2|e82341ad-a68c-414f-933f-ea1bcc18b60a|e12ee692-4310-455e-902e-47165e307a62 </w:instrText>
            </w:r>
            <w:r>
              <w:rPr>
                <w:rFonts w:ascii="仿宋" w:hAnsi="仿宋" w:eastAsia="仿宋" w:cs="宋体"/>
                <w:snapToGrid w:val="0"/>
              </w:rPr>
              <w:fldChar w:fldCharType="separate"/>
            </w:r>
          </w:p>
          <w:p>
            <w:pPr>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fldChar w:fldCharType="end"/>
            </w:r>
            <w:r>
              <w:rPr>
                <w:rFonts w:ascii="仿宋" w:hAnsi="仿宋" w:eastAsia="仿宋"/>
                <w:snapToGrid w:val="0"/>
                <w:sz w:val="21"/>
                <w:szCs w:val="21"/>
                <w:lang w:eastAsia="zh-CN"/>
              </w:rPr>
              <w:t>□</w:t>
            </w:r>
            <w:r>
              <w:rPr>
                <w:rFonts w:ascii="仿宋" w:hAnsi="仿宋" w:eastAsia="仿宋"/>
                <w:snapToGrid w:val="0"/>
                <w:sz w:val="21"/>
                <w:szCs w:val="21"/>
                <w:lang w:eastAsia="zh-CN"/>
              </w:rPr>
              <w:fldChar w:fldCharType="begin"/>
            </w:r>
            <w:r>
              <w:rPr>
                <w:rFonts w:ascii="仿宋" w:hAnsi="仿宋" w:eastAsia="仿宋"/>
                <w:snapToGrid w:val="0"/>
                <w:sz w:val="21"/>
                <w:szCs w:val="21"/>
                <w:lang w:eastAsia="zh-CN"/>
              </w:rPr>
              <w:instrText xml:space="preserve"> MERGEFIELD tbbjfs_qt|1|e82341ad-a68c-414f-933f-ea1bcc18b60a|d5d13e28-0c3c-44d6-b44d-d3237270e669 </w:instrText>
            </w:r>
            <w:r>
              <w:rPr>
                <w:rFonts w:ascii="仿宋" w:hAnsi="仿宋" w:eastAsia="仿宋"/>
                <w:snapToGrid w:val="0"/>
                <w:sz w:val="21"/>
                <w:szCs w:val="21"/>
                <w:lang w:eastAsia="zh-CN"/>
              </w:rPr>
              <w:fldChar w:fldCharType="separate"/>
            </w:r>
            <w:r>
              <w:rPr>
                <w:rFonts w:ascii="仿宋" w:hAnsi="仿宋" w:eastAsia="仿宋"/>
                <w:snapToGrid w:val="0"/>
                <w:sz w:val="21"/>
                <w:szCs w:val="21"/>
                <w:lang w:eastAsia="zh-CN"/>
              </w:rPr>
              <w:t>其他：</w:t>
            </w:r>
            <w:r>
              <w:rPr>
                <w:rFonts w:ascii="仿宋" w:hAnsi="仿宋" w:eastAsia="仿宋"/>
                <w:snapToGrid w:val="0"/>
                <w:sz w:val="21"/>
                <w:szCs w:val="21"/>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3.2.5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报价的其他要求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响应文件有效期</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提交</w:t>
            </w:r>
            <w:r>
              <w:rPr>
                <w:rFonts w:hint="eastAsia" w:eastAsia="仿宋" w:asciiTheme="minorEastAsia" w:hAnsiTheme="minorEastAsia"/>
                <w:snapToGrid w:val="0"/>
                <w:sz w:val="21"/>
                <w:szCs w:val="21"/>
                <w:lang w:eastAsia="zh-CN"/>
              </w:rPr>
              <w:t>响应</w:t>
            </w:r>
            <w:r>
              <w:rPr>
                <w:rFonts w:eastAsia="仿宋" w:asciiTheme="minorEastAsia" w:hAnsiTheme="minorEastAsia"/>
                <w:snapToGrid w:val="0"/>
                <w:sz w:val="21"/>
                <w:szCs w:val="21"/>
                <w:lang w:eastAsia="zh-CN"/>
              </w:rPr>
              <w:t>文件截止</w:t>
            </w:r>
            <w:r>
              <w:rPr>
                <w:rFonts w:hint="eastAsia" w:eastAsia="仿宋" w:asciiTheme="minorEastAsia" w:hAnsiTheme="minorEastAsia"/>
                <w:snapToGrid w:val="0"/>
                <w:sz w:val="21"/>
                <w:szCs w:val="21"/>
                <w:lang w:eastAsia="zh-CN"/>
              </w:rPr>
              <w:t>日</w:t>
            </w:r>
            <w:r>
              <w:rPr>
                <w:rFonts w:eastAsia="仿宋" w:asciiTheme="minorEastAsia" w:hAnsiTheme="minorEastAsia"/>
                <w:snapToGrid w:val="0"/>
                <w:sz w:val="21"/>
                <w:szCs w:val="21"/>
                <w:lang w:eastAsia="zh-CN"/>
              </w:rPr>
              <w:t>期后</w:t>
            </w:r>
            <w:r>
              <w:rPr>
                <w:rFonts w:eastAsia="仿宋" w:asciiTheme="minorEastAsia" w:hAnsiTheme="minorEastAsia"/>
                <w:snapToGrid w:val="0"/>
                <w:sz w:val="21"/>
                <w:szCs w:val="21"/>
                <w:u w:val="single"/>
                <w:shd w:val="clear" w:color="auto" w:fill="FFFF00"/>
                <w:lang w:eastAsia="zh-CN"/>
              </w:rPr>
              <w:t xml:space="preserve">  90 </w:t>
            </w:r>
            <w:r>
              <w:rPr>
                <w:rFonts w:hint="eastAsia" w:eastAsia="仿宋" w:asciiTheme="minorEastAsia" w:hAnsiTheme="minorEastAsia"/>
                <w:snapToGrid w:val="0"/>
                <w:sz w:val="21"/>
                <w:szCs w:val="21"/>
                <w:shd w:val="clear" w:color="auto" w:fill="FFFF00"/>
                <w:lang w:eastAsia="zh-CN"/>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响应保证金</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要求递交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保证金的金额：</w:t>
            </w:r>
            <w:r>
              <w:rPr>
                <w:rFonts w:hint="eastAsia" w:eastAsia="仿宋" w:asciiTheme="minorEastAsia" w:hAnsiTheme="minorEastAsia"/>
                <w:snapToGrid w:val="0"/>
                <w:sz w:val="21"/>
                <w:szCs w:val="21"/>
                <w:lang w:val="en-US" w:eastAsia="zh-CN"/>
              </w:rPr>
              <w:t>20</w:t>
            </w:r>
            <w:r>
              <w:rPr>
                <w:rFonts w:eastAsia="仿宋" w:asciiTheme="minorEastAsia" w:hAnsiTheme="minorEastAsia"/>
                <w:snapToGrid w:val="0"/>
                <w:sz w:val="21"/>
                <w:szCs w:val="21"/>
                <w:lang w:eastAsia="zh-CN"/>
              </w:rPr>
              <w:t>000.00</w:t>
            </w:r>
          </w:p>
          <w:p>
            <w:pPr>
              <w:pStyle w:val="80"/>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保证金的形式：银行转账或电子汇款形式（对公账户）</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账号：</w:t>
            </w:r>
            <w:r>
              <w:rPr>
                <w:rFonts w:hint="eastAsia" w:eastAsia="仿宋" w:asciiTheme="minorEastAsia" w:hAnsiTheme="minorEastAsia"/>
                <w:snapToGrid w:val="0"/>
                <w:sz w:val="21"/>
                <w:szCs w:val="21"/>
                <w:lang w:eastAsia="zh-CN"/>
              </w:rPr>
              <w:t>24139701040011717</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开户行：</w:t>
            </w:r>
            <w:r>
              <w:rPr>
                <w:rFonts w:hint="eastAsia" w:eastAsia="仿宋" w:asciiTheme="minorEastAsia" w:hAnsiTheme="minorEastAsia"/>
                <w:snapToGrid w:val="0"/>
                <w:sz w:val="21"/>
                <w:szCs w:val="21"/>
                <w:lang w:eastAsia="zh-CN"/>
              </w:rPr>
              <w:t>中国农业银行股份有限公司梁河县支行</w:t>
            </w:r>
          </w:p>
          <w:p>
            <w:pPr>
              <w:spacing w:line="320" w:lineRule="exact"/>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交款方式：电汇（交款时注明“</w:t>
            </w:r>
            <w:r>
              <w:rPr>
                <w:rFonts w:hint="eastAsia" w:ascii="仿宋" w:hAnsi="仿宋" w:eastAsia="仿宋"/>
                <w:snapToGrid w:val="0"/>
                <w:sz w:val="21"/>
                <w:szCs w:val="21"/>
                <w:u w:val="single"/>
                <w:lang w:eastAsia="zh-CN"/>
              </w:rPr>
              <w:t>2023年梁河糖业勐养、芒东工厂新建物资仓库项目</w:t>
            </w:r>
            <w:r>
              <w:rPr>
                <w:rFonts w:eastAsia="仿宋" w:asciiTheme="minorEastAsia" w:hAnsiTheme="minorEastAsia"/>
                <w:snapToGrid w:val="0"/>
                <w:sz w:val="21"/>
                <w:szCs w:val="21"/>
                <w:lang w:eastAsia="zh-CN"/>
              </w:rPr>
              <w:t>投标保证金”字样）</w:t>
            </w:r>
          </w:p>
          <w:p>
            <w:pPr>
              <w:pStyle w:val="80"/>
              <w:adjustRightInd w:val="0"/>
              <w:spacing w:line="276" w:lineRule="auto"/>
              <w:rPr>
                <w:rFonts w:eastAsia="仿宋" w:asciiTheme="minorEastAsia" w:hAnsiTheme="minorEastAsia"/>
                <w:snapToGrid w:val="0"/>
                <w:color w:val="FF0000"/>
                <w:sz w:val="21"/>
                <w:szCs w:val="21"/>
                <w:lang w:eastAsia="zh-CN"/>
              </w:rPr>
            </w:pPr>
            <w:r>
              <w:rPr>
                <w:rFonts w:eastAsia="仿宋" w:asciiTheme="minorEastAsia" w:hAnsiTheme="minorEastAsia"/>
                <w:snapToGrid w:val="0"/>
                <w:sz w:val="21"/>
                <w:szCs w:val="21"/>
                <w:lang w:eastAsia="zh-CN"/>
              </w:rPr>
              <w:t>缴款期限：</w:t>
            </w:r>
            <w:r>
              <w:rPr>
                <w:rFonts w:eastAsia="仿宋" w:asciiTheme="minorEastAsia" w:hAnsiTheme="minorEastAsia"/>
                <w:snapToGrid w:val="0"/>
                <w:color w:val="FF0000"/>
                <w:sz w:val="21"/>
                <w:szCs w:val="21"/>
                <w:lang w:eastAsia="zh-CN"/>
              </w:rPr>
              <w:t>202</w:t>
            </w:r>
            <w:r>
              <w:rPr>
                <w:rFonts w:hint="eastAsia" w:eastAsia="仿宋" w:asciiTheme="minorEastAsia" w:hAnsiTheme="minorEastAsia"/>
                <w:snapToGrid w:val="0"/>
                <w:color w:val="FF0000"/>
                <w:sz w:val="21"/>
                <w:szCs w:val="21"/>
                <w:lang w:eastAsia="zh-CN"/>
              </w:rPr>
              <w:t>3</w:t>
            </w:r>
            <w:r>
              <w:rPr>
                <w:rFonts w:eastAsia="仿宋" w:asciiTheme="minorEastAsia" w:hAnsiTheme="minorEastAsia"/>
                <w:snapToGrid w:val="0"/>
                <w:color w:val="FF0000"/>
                <w:sz w:val="21"/>
                <w:szCs w:val="21"/>
                <w:lang w:eastAsia="zh-CN"/>
              </w:rPr>
              <w:t>年</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11</w:t>
            </w:r>
            <w:r>
              <w:rPr>
                <w:rFonts w:eastAsia="仿宋" w:asciiTheme="minorEastAsia" w:hAnsiTheme="minorEastAsia"/>
                <w:snapToGrid w:val="0"/>
                <w:color w:val="FF0000"/>
                <w:sz w:val="21"/>
                <w:szCs w:val="21"/>
                <w:lang w:eastAsia="zh-CN"/>
              </w:rPr>
              <w:t xml:space="preserve"> 月</w:t>
            </w:r>
            <w:r>
              <w:rPr>
                <w:rFonts w:hint="eastAsia" w:eastAsia="仿宋" w:asciiTheme="minorEastAsia" w:hAnsiTheme="minorEastAsia"/>
                <w:snapToGrid w:val="0"/>
                <w:color w:val="FF0000"/>
                <w:sz w:val="21"/>
                <w:szCs w:val="21"/>
                <w:lang w:eastAsia="zh-CN"/>
              </w:rPr>
              <w:t xml:space="preserve"> </w:t>
            </w:r>
            <w:r>
              <w:rPr>
                <w:rFonts w:hint="eastAsia" w:eastAsia="仿宋" w:asciiTheme="minorEastAsia" w:hAnsiTheme="minorEastAsia"/>
                <w:snapToGrid w:val="0"/>
                <w:color w:val="FF0000"/>
                <w:sz w:val="21"/>
                <w:szCs w:val="21"/>
                <w:lang w:val="en-US" w:eastAsia="zh-CN"/>
              </w:rPr>
              <w:t>29</w:t>
            </w:r>
            <w:r>
              <w:rPr>
                <w:rFonts w:eastAsia="仿宋" w:asciiTheme="minorEastAsia" w:hAnsiTheme="minorEastAsia"/>
                <w:snapToGrid w:val="0"/>
                <w:color w:val="FF0000"/>
                <w:sz w:val="21"/>
                <w:szCs w:val="21"/>
                <w:lang w:eastAsia="zh-CN"/>
              </w:rPr>
              <w:t>日17:30前</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收款账户名称：中粮梁河糖业有限公司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退还响应保证金的时间</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未成交供应商的响应保证金于成交通知书发出后1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日历天内退还；成交供应商的响应保证金于造价咨询服务合同签订后1</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开启响应文件后在响应有效期内，供应商撤回其响应</w:t>
            </w:r>
            <w:r>
              <w:rPr>
                <w:rFonts w:hint="eastAsia" w:eastAsia="仿宋" w:asciiTheme="minorEastAsia" w:hAnsiTheme="minorEastAsia"/>
                <w:snapToGrid w:val="0"/>
                <w:sz w:val="21"/>
                <w:szCs w:val="21"/>
                <w:lang w:eastAsia="zh-CN"/>
              </w:rPr>
              <w:t>文件</w:t>
            </w:r>
            <w:r>
              <w:rPr>
                <w:rFonts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提供虚假材料谋取中标、成交的；</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成交供应商未按本竞争性磋商文件规定签约；</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□在响应本次采购中存在围标串标等违法违规行为的。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依法设立的证明材料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资质要求证明材料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r>
              <w:rPr>
                <w:rFonts w:hint="eastAsia" w:eastAsia="仿宋" w:asciiTheme="minorEastAsia" w:hAnsiTheme="minorEastAsia"/>
                <w:snapToGrid w:val="0"/>
                <w:sz w:val="21"/>
                <w:szCs w:val="21"/>
                <w:lang w:eastAsia="zh-CN"/>
              </w:rPr>
              <w:t>。</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w:t>
            </w:r>
            <w:r>
              <w:rPr>
                <w:rFonts w:hint="eastAsia" w:eastAsia="仿宋" w:asciiTheme="minorEastAsia" w:hAnsiTheme="minorEastAsia"/>
                <w:snapToGrid w:val="0"/>
                <w:sz w:val="21"/>
                <w:szCs w:val="21"/>
                <w:lang w:eastAsia="zh-CN"/>
              </w:rPr>
              <w:t>。供应商应提供相关资质证书副本的复印件</w:t>
            </w:r>
            <w:r>
              <w:rPr>
                <w:rFonts w:eastAsia="仿宋" w:asciiTheme="minorEastAsia" w:hAnsiTheme="minorEastAsia"/>
                <w:snapToGrid w:val="0"/>
                <w:sz w:val="21"/>
                <w:szCs w:val="21"/>
                <w:lang w:eastAsia="zh-CN"/>
              </w:rPr>
              <w:t>,以证明供应商具有承担本项目要求的资质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资质证书包括：</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（注：此处应填写资质证书的名称、等级、专业、颁发机构等内容。</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w:t>
            </w:r>
            <w:r>
              <w:rPr>
                <w:rFonts w:hint="eastAsia" w:ascii="仿宋" w:hAnsi="仿宋" w:eastAsia="仿宋" w:cs="微软雅黑"/>
                <w:snapToGrid w:val="0"/>
                <w:sz w:val="21"/>
                <w:szCs w:val="21"/>
                <w:lang w:eastAsia="zh-CN"/>
              </w:rPr>
              <w:t>.</w:t>
            </w:r>
            <w:r>
              <w:rPr>
                <w:rFonts w:ascii="仿宋" w:hAnsi="仿宋" w:eastAsia="仿宋"/>
                <w:snapToGrid w:val="0"/>
                <w:sz w:val="21"/>
                <w:szCs w:val="21"/>
              </w:rPr>
              <w:t>5(3)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财务要求证明材料</w:t>
            </w:r>
          </w:p>
        </w:tc>
        <w:tc>
          <w:tcPr>
            <w:tcW w:w="4961" w:type="dxa"/>
            <w:tcMar>
              <w:top w:w="57" w:type="dxa"/>
              <w:left w:w="57" w:type="dxa"/>
              <w:bottom w:w="57" w:type="dxa"/>
              <w:right w:w="57" w:type="dxa"/>
            </w:tcMar>
            <w:vAlign w:val="center"/>
          </w:tcPr>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after="120" w:afterLines="50"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sym w:font="Wingdings 2" w:char="00A3"/>
            </w:r>
            <w:r>
              <w:rPr>
                <w:rFonts w:eastAsia="仿宋" w:asciiTheme="minorEastAsia" w:hAnsiTheme="minorEastAsia"/>
                <w:snapToGrid w:val="0"/>
                <w:sz w:val="21"/>
                <w:szCs w:val="21"/>
                <w:lang w:eastAsia="zh-CN"/>
              </w:rPr>
              <w:t>适用。供应商应提供经会计师事务所或审计机构审计的近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年财务会计报表复印件，包括资产负债表、现金流量表、利润表等。近年财务会计报表年份是指：</w:t>
            </w:r>
            <w:r>
              <w:rPr>
                <w:rFonts w:hint="eastAsia" w:eastAsia="仿宋" w:asciiTheme="minorEastAsia" w:hAnsiTheme="minorEastAsia"/>
                <w:snapToGrid w:val="0"/>
                <w:sz w:val="21"/>
                <w:szCs w:val="21"/>
                <w:u w:val="single"/>
                <w:lang w:eastAsia="zh-CN"/>
              </w:rPr>
              <w:t>20</w:t>
            </w:r>
            <w:r>
              <w:rPr>
                <w:rFonts w:eastAsia="仿宋" w:asciiTheme="minorEastAsia" w:hAnsiTheme="minorEastAsia"/>
                <w:snapToGrid w:val="0"/>
                <w:sz w:val="21"/>
                <w:szCs w:val="21"/>
                <w:u w:val="single"/>
                <w:lang w:eastAsia="zh-CN"/>
              </w:rPr>
              <w:t>21</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2022</w:t>
            </w:r>
            <w:r>
              <w:rPr>
                <w:rFonts w:eastAsia="仿宋" w:asciiTheme="minorEastAsia" w:hAnsiTheme="minorEastAsia"/>
                <w:snapToGrid w:val="0"/>
                <w:sz w:val="21"/>
                <w:szCs w:val="21"/>
                <w:lang w:eastAsia="zh-CN"/>
              </w:rPr>
              <w:t>年（供应商的成立时间少于该规定年份的，应提供成立以来的财务会计报表）</w:t>
            </w:r>
          </w:p>
          <w:p>
            <w:pPr>
              <w:adjustRightInd w:val="0"/>
              <w:spacing w:after="120" w:afterLines="50"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适用。供应商应提供近</w:t>
            </w:r>
            <w:r>
              <w:rPr>
                <w:rFonts w:hint="eastAsia" w:eastAsia="仿宋" w:asciiTheme="minorEastAsia" w:hAnsiTheme="minorEastAsia"/>
                <w:snapToGrid w:val="0"/>
                <w:sz w:val="21"/>
                <w:szCs w:val="21"/>
                <w:lang w:eastAsia="zh-CN"/>
              </w:rPr>
              <w:t>二</w:t>
            </w:r>
            <w:r>
              <w:rPr>
                <w:rFonts w:eastAsia="仿宋" w:asciiTheme="minorEastAsia" w:hAnsiTheme="minorEastAsia"/>
                <w:snapToGrid w:val="0"/>
                <w:sz w:val="21"/>
                <w:szCs w:val="21"/>
                <w:lang w:eastAsia="zh-CN"/>
              </w:rPr>
              <w:t>年财务会计报表复印件，包括资产负债表、利润表。近年财务会计报表年份是指：</w:t>
            </w:r>
            <w:r>
              <w:rPr>
                <w:rFonts w:eastAsia="仿宋" w:asciiTheme="minorEastAsia" w:hAnsiTheme="minorEastAsia"/>
                <w:snapToGrid w:val="0"/>
                <w:sz w:val="21"/>
                <w:szCs w:val="21"/>
                <w:u w:val="single"/>
                <w:lang w:eastAsia="zh-CN"/>
              </w:rPr>
              <w:t xml:space="preserve">  2021  </w:t>
            </w:r>
            <w:r>
              <w:rPr>
                <w:rFonts w:eastAsia="仿宋" w:asciiTheme="minorEastAsia" w:hAnsiTheme="minorEastAsia"/>
                <w:snapToGrid w:val="0"/>
                <w:sz w:val="21"/>
                <w:szCs w:val="21"/>
                <w:lang w:eastAsia="zh-CN"/>
              </w:rPr>
              <w:t>至</w:t>
            </w:r>
            <w:r>
              <w:rPr>
                <w:rFonts w:eastAsia="仿宋" w:asciiTheme="minorEastAsia" w:hAnsiTheme="minorEastAsia"/>
                <w:snapToGrid w:val="0"/>
                <w:sz w:val="21"/>
                <w:szCs w:val="21"/>
                <w:u w:val="single"/>
                <w:lang w:eastAsia="zh-CN"/>
              </w:rPr>
              <w:t xml:space="preserve"> 2022   </w:t>
            </w:r>
            <w:r>
              <w:rPr>
                <w:rFonts w:eastAsia="仿宋" w:asciiTheme="minorEastAsia" w:hAnsiTheme="minorEastAsia"/>
                <w:snapToGrid w:val="0"/>
                <w:sz w:val="21"/>
                <w:szCs w:val="21"/>
                <w:lang w:eastAsia="zh-CN"/>
              </w:rPr>
              <w:t>年（供应商的成立时间少于该规定年份的，应提供成立以来的财务会计报表）</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（注：有财务要求的，应选择两种财务会计报表中的一种作为财务证明资料。</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3.5(4)</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业绩要求证明材料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适用。供应商应提供近年的类似项目情况表</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（格式见第六章“响应文件格式”七、资格审查资料（三）近年的类似项目情况表），以证明供应商具有承担本项目要求的业绩。近年是指：</w:t>
            </w:r>
            <w:r>
              <w:rPr>
                <w:rFonts w:hint="eastAsia" w:eastAsia="仿宋" w:asciiTheme="minorEastAsia" w:hAnsiTheme="minorEastAsia"/>
                <w:snapToGrid w:val="0"/>
                <w:sz w:val="21"/>
                <w:szCs w:val="21"/>
                <w:u w:val="single"/>
                <w:lang w:eastAsia="zh-CN"/>
              </w:rPr>
              <w:t>2018</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u w:val="single"/>
                <w:lang w:eastAsia="zh-CN"/>
              </w:rPr>
              <w:t>2023</w:t>
            </w:r>
            <w:r>
              <w:rPr>
                <w:rFonts w:eastAsia="仿宋" w:asciiTheme="minorEastAsia" w:hAnsiTheme="minorEastAsia"/>
                <w:snapToGrid w:val="0"/>
                <w:sz w:val="21"/>
                <w:szCs w:val="21"/>
                <w:lang w:eastAsia="zh-CN"/>
              </w:rPr>
              <w:t>年</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合同/订单</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成交通知书/</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通知书</w:t>
            </w:r>
            <w:r>
              <w:rPr>
                <w:rFonts w:hint="eastAsia" w:eastAsia="仿宋" w:asciiTheme="minorEastAsia" w:hAnsiTheme="minorEastAsia"/>
                <w:snapToGrid w:val="0"/>
                <w:sz w:val="21"/>
                <w:szCs w:val="21"/>
                <w:lang w:eastAsia="zh-CN"/>
              </w:rPr>
              <w:t xml:space="preserve"> </w:t>
            </w:r>
            <w:r>
              <w:rPr>
                <w:rFonts w:eastAsia="仿宋" w:asciiTheme="minorEastAsia" w:hAnsiTheme="minorEastAsia"/>
                <w:snapToGrid w:val="0"/>
                <w:sz w:val="21"/>
                <w:szCs w:val="21"/>
                <w:lang w:eastAsia="zh-CN"/>
              </w:rPr>
              <w:t xml:space="preserve"> 竣工验收报告/验收证明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w:t>
            </w:r>
            <w:r>
              <w:rPr>
                <w:rFonts w:hint="eastAsia" w:eastAsia="仿宋" w:asciiTheme="minorEastAsia" w:hAnsiTheme="minorEastAsia"/>
                <w:snapToGrid w:val="0"/>
                <w:sz w:val="21"/>
                <w:szCs w:val="21"/>
                <w:lang w:eastAsia="zh-CN"/>
              </w:rPr>
              <w:t>建设单位</w:t>
            </w:r>
            <w:r>
              <w:rPr>
                <w:rFonts w:eastAsia="仿宋" w:asciiTheme="minorEastAsia" w:hAnsiTheme="minorEastAsia"/>
                <w:snapToGrid w:val="0"/>
                <w:sz w:val="21"/>
                <w:szCs w:val="21"/>
                <w:lang w:eastAsia="zh-CN"/>
              </w:rPr>
              <w:t>证明</w:t>
            </w:r>
          </w:p>
          <w:p>
            <w:pPr>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□其他材料：</w:t>
            </w:r>
          </w:p>
          <w:p>
            <w:pPr>
              <w:rPr>
                <w:lang w:eastAsia="zh-CN"/>
              </w:rPr>
            </w:pP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业绩证明材料种类要求：</w:t>
            </w:r>
          </w:p>
          <w:p>
            <w:pPr>
              <w:adjustRightInd w:val="0"/>
              <w:spacing w:line="276" w:lineRule="auto"/>
              <w:ind w:left="282" w:leftChars="128"/>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提供上述勾选的任一项证明材料即可</w:t>
            </w:r>
          </w:p>
          <w:p>
            <w:pPr>
              <w:adjustRightInd w:val="0"/>
              <w:spacing w:line="276" w:lineRule="auto"/>
              <w:ind w:left="282" w:leftChars="128"/>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需同时提供上述勾选的所有证明材料</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信誉要求证明材料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适用。供应商应提供相关信誉情况的证明材料，包括：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（注：一般工程和服务项目有本项要求。采购人可在此处明确对有关人员职称证书、执业证书、社保缴费证明及业绩证明等的具体要求。</w:t>
            </w:r>
            <w:r>
              <w:rPr>
                <w:rFonts w:eastAsia="仿宋" w:asciiTheme="minorEastAsia" w:hAnsiTheme="minorEastAsia"/>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3.5(7)</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rPr>
              <w:t>其他要求的证明材料</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3.5(8)</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供应商不存在第一章3.2款情形的证明材料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不需提供证明材料</w:t>
            </w:r>
          </w:p>
          <w:p>
            <w:pPr>
              <w:pStyle w:val="80"/>
              <w:adjustRightInd w:val="0"/>
              <w:spacing w:line="276" w:lineRule="auto"/>
              <w:rPr>
                <w:rFonts w:ascii="仿宋" w:hAnsi="仿宋" w:eastAsia="仿宋"/>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需要提供证明材料，包括：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3.5(9)</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联合体要求的证明材料</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不适用</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适用。供应商应按照采购文件提供的格式</w:t>
            </w:r>
          </w:p>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（格式见第六章“响应文件格式”三、联合体协议书）拟订联合体协议书，并提供联合体协议书的原件。联合体协议书应明确联合体各方的分工</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ascii="仿宋" w:hAnsi="仿宋" w:eastAsia="仿宋"/>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3.6.2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响应方案数量</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供应商只能提出唯一响应方案</w:t>
            </w:r>
            <w:r>
              <w:rPr>
                <w:rFonts w:hint="eastAsia" w:eastAsia="仿宋" w:asciiTheme="minorEastAsia" w:hAnsiTheme="minorEastAsia"/>
                <w:snapToGrid w:val="0"/>
                <w:sz w:val="21"/>
                <w:szCs w:val="21"/>
                <w:lang w:eastAsia="zh-CN"/>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以E</w:t>
            </w:r>
            <w:r>
              <w:rPr>
                <w:rFonts w:eastAsia="仿宋" w:asciiTheme="minorEastAsia" w:hAnsiTheme="minorEastAsia"/>
                <w:snapToGrid w:val="0"/>
                <w:sz w:val="21"/>
                <w:szCs w:val="21"/>
                <w:lang w:eastAsia="zh-CN"/>
              </w:rPr>
              <w:t>PS</w:t>
            </w:r>
            <w:r>
              <w:rPr>
                <w:rFonts w:hint="eastAsia" w:eastAsia="仿宋" w:asciiTheme="minorEastAsia" w:hAnsiTheme="minorEastAsia"/>
                <w:snapToGrid w:val="0"/>
                <w:sz w:val="21"/>
                <w:szCs w:val="21"/>
                <w:lang w:eastAsia="zh-CN"/>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3.7.6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rPr>
              <w:t>分册装订要求</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highlight w:val="yellow"/>
                <w:u w:val="single"/>
                <w:lang w:eastAsia="zh-CN"/>
              </w:rPr>
              <w:t>提供电子版响应文件</w:t>
            </w:r>
            <w:r>
              <w:rPr>
                <w:rFonts w:hint="eastAsia" w:eastAsia="仿宋" w:asciiTheme="minorEastAsia" w:hAnsiTheme="minorEastAsia"/>
                <w:snapToGrid w:val="0"/>
                <w:sz w:val="21"/>
                <w:szCs w:val="21"/>
                <w:highlight w:val="yellow"/>
                <w:u w:val="single"/>
                <w:lang w:eastAsia="zh-CN"/>
              </w:rPr>
              <w:t>装订成册，提交纸质版投标文件一正二副，投标文件邮寄地址：云南省德宏州梁河县勐养镇中营村委会党良街（原勐养工厂内），郑云飞（收），电话：</w:t>
            </w:r>
            <w:r>
              <w:rPr>
                <w:rFonts w:eastAsia="仿宋" w:asciiTheme="minorEastAsia" w:hAnsiTheme="minorEastAsia"/>
                <w:snapToGrid w:val="0"/>
                <w:sz w:val="21"/>
                <w:szCs w:val="21"/>
                <w:highlight w:val="yellow"/>
                <w:u w:val="single"/>
                <w:lang w:eastAsia="zh-CN"/>
              </w:rPr>
              <w:t xml:space="preserve">15208819493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4.2.1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递交响应文件截止时间和地点</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截止时间：</w:t>
            </w:r>
          </w:p>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提</w:t>
            </w:r>
            <w:r>
              <w:rPr>
                <w:rFonts w:eastAsia="仿宋" w:asciiTheme="minorEastAsia" w:hAnsiTheme="minorEastAsia"/>
                <w:snapToGrid w:val="0"/>
                <w:sz w:val="21"/>
                <w:szCs w:val="21"/>
                <w:lang w:eastAsia="zh-CN"/>
              </w:rPr>
              <w:t>交</w:t>
            </w:r>
            <w:r>
              <w:rPr>
                <w:rFonts w:hint="eastAsia" w:eastAsia="仿宋" w:asciiTheme="minorEastAsia" w:hAnsiTheme="minorEastAsia"/>
                <w:snapToGrid w:val="0"/>
                <w:sz w:val="21"/>
                <w:szCs w:val="21"/>
                <w:lang w:eastAsia="zh-CN"/>
              </w:rPr>
              <w:t>电子</w:t>
            </w:r>
            <w:r>
              <w:rPr>
                <w:rFonts w:eastAsia="仿宋" w:asciiTheme="minorEastAsia" w:hAnsiTheme="minorEastAsia"/>
                <w:snapToGrid w:val="0"/>
                <w:sz w:val="21"/>
                <w:szCs w:val="21"/>
                <w:lang w:eastAsia="zh-CN"/>
              </w:rPr>
              <w:t>响应文件的</w:t>
            </w:r>
            <w:r>
              <w:rPr>
                <w:rFonts w:hint="eastAsia" w:eastAsia="仿宋" w:asciiTheme="minorEastAsia" w:hAnsiTheme="minorEastAsia"/>
                <w:snapToGrid w:val="0"/>
                <w:sz w:val="21"/>
                <w:szCs w:val="21"/>
                <w:lang w:eastAsia="zh-CN"/>
              </w:rPr>
              <w:t>方式</w:t>
            </w:r>
            <w:r>
              <w:rPr>
                <w:rFonts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扫描版</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通过</w:t>
            </w:r>
            <w:r>
              <w:rPr>
                <w:rFonts w:eastAsia="仿宋" w:asciiTheme="minorEastAsia" w:hAnsiTheme="minorEastAsia"/>
                <w:snapToGrid w:val="0"/>
                <w:sz w:val="21"/>
                <w:szCs w:val="21"/>
                <w:u w:val="single"/>
                <w:lang w:eastAsia="zh-CN"/>
              </w:rPr>
              <w:t>中粮糖业EPS电子采购平台</w:t>
            </w:r>
            <w:r>
              <w:rPr>
                <w:rFonts w:hint="eastAsia" w:eastAsia="仿宋" w:asciiTheme="minorEastAsia" w:hAnsiTheme="minorEastAsia"/>
                <w:snapToGrid w:val="0"/>
                <w:sz w:val="21"/>
                <w:szCs w:val="21"/>
                <w:u w:val="single"/>
                <w:lang w:eastAsia="zh-CN"/>
              </w:rPr>
              <w:t>上传，纸质版当面递交或通过邮寄方式递交。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4.3.3</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eastAsia="仿宋" w:asciiTheme="minorEastAsia"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pPr>
              <w:pStyle w:val="80"/>
              <w:adjustRightInd w:val="0"/>
              <w:spacing w:line="276" w:lineRule="auto"/>
              <w:ind w:left="630" w:hanging="630" w:hangingChars="30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自采购人收到供应商递交的书面通知之日起14日</w:t>
            </w:r>
            <w:r>
              <w:rPr>
                <w:rFonts w:hint="eastAsia" w:eastAsia="仿宋" w:asciiTheme="minorEastAsia" w:hAnsiTheme="minorEastAsia"/>
                <w:snapToGrid w:val="0"/>
                <w:sz w:val="21"/>
                <w:szCs w:val="21"/>
                <w:lang w:eastAsia="zh-CN"/>
              </w:rPr>
              <w:t>历天</w:t>
            </w:r>
            <w:r>
              <w:rPr>
                <w:rFonts w:eastAsia="仿宋" w:asciiTheme="minorEastAsia" w:hAnsiTheme="minorEastAsia"/>
                <w:snapToGrid w:val="0"/>
                <w:sz w:val="21"/>
                <w:szCs w:val="21"/>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6.3.1</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谈判轮次及谈判顺序</w:t>
            </w:r>
          </w:p>
        </w:tc>
        <w:tc>
          <w:tcPr>
            <w:tcW w:w="4961" w:type="dxa"/>
            <w:tcMar>
              <w:top w:w="57" w:type="dxa"/>
              <w:left w:w="57" w:type="dxa"/>
              <w:bottom w:w="57" w:type="dxa"/>
              <w:right w:w="57" w:type="dxa"/>
            </w:tcMar>
            <w:vAlign w:val="center"/>
          </w:tcPr>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谈判轮次：</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sym w:font="Wingdings 2" w:char="0052"/>
            </w:r>
            <w:r>
              <w:rPr>
                <w:rFonts w:eastAsia="仿宋" w:asciiTheme="minorEastAsia" w:hAnsiTheme="minorEastAsia"/>
                <w:snapToGrid w:val="0"/>
                <w:sz w:val="21"/>
                <w:szCs w:val="21"/>
                <w:lang w:eastAsia="zh-CN"/>
              </w:rPr>
              <w:t>本项目共进行</w:t>
            </w:r>
            <w:r>
              <w:rPr>
                <w:rFonts w:eastAsia="仿宋" w:asciiTheme="minorEastAsia" w:hAnsiTheme="minorEastAsia"/>
                <w:snapToGrid w:val="0"/>
                <w:sz w:val="21"/>
                <w:szCs w:val="21"/>
                <w:u w:val="single"/>
                <w:lang w:eastAsia="zh-CN"/>
              </w:rPr>
              <w:t xml:space="preserve">  </w:t>
            </w:r>
            <w:r>
              <w:rPr>
                <w:rFonts w:hint="eastAsia" w:eastAsia="仿宋" w:asciiTheme="minorEastAsia" w:hAnsiTheme="minorEastAsia"/>
                <w:snapToGrid w:val="0"/>
                <w:sz w:val="21"/>
                <w:szCs w:val="21"/>
                <w:u w:val="single"/>
                <w:lang w:eastAsia="zh-CN"/>
              </w:rPr>
              <w:t>1</w:t>
            </w:r>
            <w:r>
              <w:rPr>
                <w:rFonts w:eastAsia="仿宋" w:asciiTheme="minorEastAsia" w:hAnsiTheme="minorEastAsia"/>
                <w:snapToGrid w:val="0"/>
                <w:sz w:val="21"/>
                <w:szCs w:val="21"/>
                <w:u w:val="single"/>
                <w:lang w:eastAsia="zh-CN"/>
              </w:rPr>
              <w:t xml:space="preserve">  </w:t>
            </w:r>
            <w:r>
              <w:rPr>
                <w:rFonts w:eastAsia="仿宋" w:asciiTheme="minorEastAsia" w:hAnsiTheme="minorEastAsia"/>
                <w:snapToGrid w:val="0"/>
                <w:sz w:val="21"/>
                <w:szCs w:val="21"/>
                <w:lang w:eastAsia="zh-CN"/>
              </w:rPr>
              <w:t>轮谈判</w:t>
            </w:r>
          </w:p>
          <w:p>
            <w:pPr>
              <w:adjustRightInd w:val="0"/>
              <w:spacing w:line="276" w:lineRule="auto"/>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（注：一般不超过3轮。）</w:t>
            </w:r>
          </w:p>
          <w:p>
            <w:pPr>
              <w:adjustRightInd w:val="0"/>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采购小组在首轮谈判前告知被邀请参加谈判的供应商谈判轮次</w:t>
            </w:r>
          </w:p>
          <w:p>
            <w:pPr>
              <w:adjustRightInd w:val="0"/>
              <w:spacing w:line="276" w:lineRule="auto"/>
              <w:rPr>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本项目不事先确定谈判轮次，采购小组根据谈判情况确定，并在最后一轮谈判前告知供应商</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谈判顺序</w:t>
            </w:r>
            <w:r>
              <w:rPr>
                <w:rFonts w:hint="eastAsia" w:eastAsia="仿宋" w:asciiTheme="minorEastAsia" w:hAnsiTheme="minorEastAsia"/>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6.7.2</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lang w:eastAsia="zh-CN"/>
              </w:rPr>
              <w:t>供应商</w:t>
            </w:r>
          </w:p>
        </w:tc>
        <w:tc>
          <w:tcPr>
            <w:tcW w:w="4961"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授标策略：按评分由高到低排序，原则上评分最高为成交供应商。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7.5</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发布</w:t>
            </w:r>
            <w:r>
              <w:rPr>
                <w:rFonts w:hint="eastAsia" w:eastAsia="仿宋" w:asciiTheme="minorEastAsia" w:hAnsiTheme="minorEastAsia"/>
                <w:snapToGrid w:val="0"/>
                <w:sz w:val="21"/>
                <w:szCs w:val="21"/>
                <w:lang w:eastAsia="zh-CN"/>
              </w:rPr>
              <w:t>成交</w:t>
            </w:r>
            <w:r>
              <w:rPr>
                <w:rFonts w:eastAsia="仿宋" w:asciiTheme="minorEastAsia" w:hAnsiTheme="minorEastAsia"/>
                <w:snapToGrid w:val="0"/>
                <w:sz w:val="21"/>
                <w:szCs w:val="21"/>
              </w:rPr>
              <w:t>公告</w:t>
            </w:r>
          </w:p>
        </w:tc>
        <w:tc>
          <w:tcPr>
            <w:tcW w:w="4961" w:type="dxa"/>
            <w:tcMar>
              <w:top w:w="57" w:type="dxa"/>
              <w:left w:w="57" w:type="dxa"/>
              <w:bottom w:w="57" w:type="dxa"/>
              <w:right w:w="57" w:type="dxa"/>
            </w:tcMar>
            <w:vAlign w:val="center"/>
          </w:tcPr>
          <w:p>
            <w:pPr>
              <w:tabs>
                <w:tab w:val="left" w:pos="4500"/>
              </w:tabs>
              <w:spacing w:line="276" w:lineRule="auto"/>
              <w:ind w:hanging="10"/>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公告媒介：</w:t>
            </w:r>
            <w:r>
              <w:rPr>
                <w:rFonts w:eastAsia="仿宋" w:asciiTheme="minorEastAsia" w:hAnsiTheme="minorEastAsia"/>
                <w:snapToGrid w:val="0"/>
                <w:sz w:val="21"/>
                <w:szCs w:val="21"/>
                <w:u w:val="single"/>
                <w:lang w:eastAsia="zh-CN"/>
              </w:rPr>
              <w:t>中粮糖业EPS电子采购平台</w:t>
            </w:r>
          </w:p>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lang w:eastAsia="zh-CN"/>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08"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ascii="仿宋" w:hAnsi="仿宋" w:eastAsia="仿宋"/>
                <w:snapToGrid w:val="0"/>
                <w:sz w:val="21"/>
                <w:szCs w:val="21"/>
              </w:rPr>
              <w:t>7.6</w:t>
            </w:r>
          </w:p>
        </w:tc>
        <w:tc>
          <w:tcPr>
            <w:tcW w:w="3544" w:type="dxa"/>
            <w:tcMar>
              <w:top w:w="57" w:type="dxa"/>
              <w:left w:w="57" w:type="dxa"/>
              <w:bottom w:w="57" w:type="dxa"/>
              <w:right w:w="57" w:type="dxa"/>
            </w:tcMar>
            <w:vAlign w:val="center"/>
          </w:tcPr>
          <w:p>
            <w:pPr>
              <w:pStyle w:val="80"/>
              <w:adjustRightInd w:val="0"/>
              <w:spacing w:line="276" w:lineRule="auto"/>
              <w:rPr>
                <w:rFonts w:ascii="仿宋" w:hAnsi="仿宋" w:eastAsia="仿宋"/>
                <w:snapToGrid w:val="0"/>
                <w:sz w:val="21"/>
                <w:szCs w:val="21"/>
              </w:rPr>
            </w:pPr>
            <w:r>
              <w:rPr>
                <w:rFonts w:eastAsia="仿宋" w:asciiTheme="minorEastAsia" w:hAnsiTheme="minorEastAsia"/>
                <w:snapToGrid w:val="0"/>
                <w:sz w:val="21"/>
                <w:szCs w:val="21"/>
              </w:rPr>
              <w:t>履约保证金</w:t>
            </w:r>
          </w:p>
        </w:tc>
        <w:tc>
          <w:tcPr>
            <w:tcW w:w="4961" w:type="dxa"/>
            <w:tcMar>
              <w:top w:w="57" w:type="dxa"/>
              <w:left w:w="57" w:type="dxa"/>
              <w:bottom w:w="57" w:type="dxa"/>
              <w:right w:w="57" w:type="dxa"/>
            </w:tcMar>
            <w:vAlign w:val="center"/>
          </w:tcPr>
          <w:p>
            <w:pPr>
              <w:spacing w:line="276" w:lineRule="auto"/>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不要求递交</w:t>
            </w:r>
          </w:p>
          <w:p>
            <w:pPr>
              <w:spacing w:line="276" w:lineRule="auto"/>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u w:val="single"/>
                <w:shd w:val="clear" w:color="auto" w:fill="FFFF00"/>
                <w:lang w:eastAsia="zh-CN"/>
              </w:rPr>
              <w:t></w:t>
            </w:r>
            <w:r>
              <w:rPr>
                <w:rFonts w:eastAsia="仿宋" w:asciiTheme="minorEastAsia" w:hAnsiTheme="minorEastAsia"/>
                <w:snapToGrid w:val="0"/>
                <w:sz w:val="21"/>
                <w:szCs w:val="21"/>
                <w:lang w:eastAsia="zh-CN"/>
              </w:rPr>
              <w:t>要求递交</w:t>
            </w:r>
          </w:p>
          <w:p>
            <w:pPr>
              <w:tabs>
                <w:tab w:val="left" w:pos="4707"/>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履约保证金金额：</w:t>
            </w:r>
            <w:r>
              <w:rPr>
                <w:rFonts w:hint="eastAsia" w:eastAsia="仿宋" w:asciiTheme="minorEastAsia" w:hAnsiTheme="minorEastAsia"/>
                <w:snapToGrid w:val="0"/>
                <w:sz w:val="21"/>
                <w:szCs w:val="21"/>
                <w:lang w:eastAsia="zh-CN"/>
              </w:rPr>
              <w:t>不高于合同金额</w:t>
            </w:r>
            <w:r>
              <w:rPr>
                <w:rFonts w:eastAsia="仿宋" w:asciiTheme="minorEastAsia" w:hAnsiTheme="minorEastAsia"/>
                <w:snapToGrid w:val="0"/>
                <w:sz w:val="21"/>
                <w:szCs w:val="21"/>
                <w:lang w:eastAsia="zh-CN"/>
              </w:rPr>
              <w:t>10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u w:val="single"/>
                <w:lang w:eastAsia="zh-CN"/>
              </w:rPr>
              <w:t>投标保证金自动转为履约保证金后，若不足额的，需在收到“中标通知书”之后，且在合同签订之前，由中标单位另外补缴足</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 xml:space="preserve">  </w:t>
            </w:r>
          </w:p>
          <w:p>
            <w:pPr>
              <w:tabs>
                <w:tab w:val="left" w:pos="4707"/>
              </w:tabs>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履约保证金形式：</w:t>
            </w:r>
            <w:r>
              <w:rPr>
                <w:rFonts w:eastAsia="仿宋" w:asciiTheme="minorEastAsia" w:hAnsiTheme="minorEastAsia"/>
                <w:snapToGrid w:val="0"/>
                <w:sz w:val="21"/>
                <w:szCs w:val="21"/>
                <w:u w:val="single"/>
                <w:lang w:eastAsia="zh-CN"/>
              </w:rPr>
              <w:t>银行转账或电子汇款形式</w:t>
            </w:r>
            <w:r>
              <w:rPr>
                <w:rFonts w:hint="eastAsia" w:eastAsia="仿宋" w:asciiTheme="minorEastAsia" w:hAnsiTheme="minorEastAsia"/>
                <w:snapToGrid w:val="0"/>
                <w:sz w:val="21"/>
                <w:szCs w:val="21"/>
                <w:u w:val="single"/>
                <w:lang w:eastAsia="zh-CN"/>
              </w:rPr>
              <w:t>（对公账户缴纳）</w:t>
            </w:r>
            <w:r>
              <w:rPr>
                <w:rFonts w:eastAsia="仿宋" w:asciiTheme="minorEastAsia" w:hAnsiTheme="minorEastAsia"/>
                <w:snapToGrid w:val="0"/>
                <w:sz w:val="21"/>
                <w:szCs w:val="21"/>
                <w:lang w:eastAsia="zh-CN"/>
              </w:rPr>
              <w:t xml:space="preserve">     </w:t>
            </w:r>
          </w:p>
          <w:p>
            <w:pPr>
              <w:pStyle w:val="80"/>
              <w:adjustRightInd w:val="0"/>
              <w:spacing w:line="276" w:lineRule="auto"/>
              <w:ind w:left="282" w:leftChars="128"/>
              <w:rPr>
                <w:rFonts w:eastAsia="仿宋" w:asciiTheme="minorEastAsia" w:hAnsiTheme="minorEastAsia"/>
                <w:snapToGrid w:val="0"/>
                <w:sz w:val="21"/>
                <w:szCs w:val="21"/>
                <w:lang w:eastAsia="zh-CN"/>
              </w:rPr>
            </w:pPr>
            <w:r>
              <w:rPr>
                <w:rFonts w:eastAsia="仿宋" w:asciiTheme="minorEastAsia" w:hAnsiTheme="minorEastAsia"/>
                <w:snapToGrid w:val="0"/>
                <w:sz w:val="21"/>
                <w:szCs w:val="21"/>
                <w:lang w:eastAsia="zh-CN"/>
              </w:rPr>
              <w:t>履约保证金有效期限：</w:t>
            </w:r>
            <w:r>
              <w:rPr>
                <w:rFonts w:eastAsia="仿宋" w:asciiTheme="minorEastAsia" w:hAnsiTheme="minorEastAsia"/>
                <w:snapToGrid w:val="0"/>
                <w:sz w:val="21"/>
                <w:szCs w:val="21"/>
                <w:u w:val="single"/>
                <w:lang w:eastAsia="zh-CN"/>
              </w:rPr>
              <w:t>项目竣工且验收合格后，招标方30个工作日内无息如数退还履约保证金</w:t>
            </w:r>
          </w:p>
          <w:p>
            <w:pPr>
              <w:tabs>
                <w:tab w:val="left" w:pos="4884"/>
              </w:tabs>
              <w:spacing w:line="276" w:lineRule="auto"/>
              <w:ind w:left="282" w:leftChars="128"/>
              <w:rPr>
                <w:rFonts w:eastAsia="仿宋" w:asciiTheme="minorEastAsia" w:hAnsiTheme="minorEastAsia"/>
                <w:snapToGrid w:val="0"/>
                <w:sz w:val="21"/>
                <w:szCs w:val="21"/>
                <w:u w:val="single"/>
                <w:lang w:eastAsia="zh-CN"/>
              </w:rPr>
            </w:pPr>
            <w:r>
              <w:rPr>
                <w:rFonts w:eastAsia="仿宋" w:asciiTheme="minorEastAsia" w:hAnsiTheme="minorEastAsia"/>
                <w:snapToGrid w:val="0"/>
                <w:sz w:val="21"/>
                <w:szCs w:val="21"/>
                <w:lang w:eastAsia="zh-CN"/>
              </w:rPr>
              <w:t>递交时间：</w:t>
            </w:r>
            <w:r>
              <w:rPr>
                <w:rFonts w:hint="eastAsia" w:eastAsia="仿宋" w:asciiTheme="minorEastAsia" w:hAnsiTheme="minorEastAsia"/>
                <w:snapToGrid w:val="0"/>
                <w:color w:val="FF0000"/>
                <w:sz w:val="21"/>
                <w:szCs w:val="21"/>
                <w:lang w:eastAsia="zh-CN"/>
              </w:rPr>
              <w:t>收到中标通知书至合同签订之前缴纳</w:t>
            </w:r>
          </w:p>
          <w:p>
            <w:pPr>
              <w:pStyle w:val="80"/>
              <w:adjustRightInd w:val="0"/>
              <w:spacing w:line="276" w:lineRule="auto"/>
              <w:ind w:left="282" w:leftChars="128"/>
              <w:rPr>
                <w:rFonts w:ascii="仿宋" w:hAnsi="仿宋" w:eastAsia="仿宋"/>
                <w:snapToGrid w:val="0"/>
                <w:sz w:val="21"/>
                <w:szCs w:val="21"/>
                <w:lang w:eastAsia="zh-CN"/>
              </w:rPr>
            </w:pPr>
            <w:r>
              <w:rPr>
                <w:rFonts w:eastAsia="仿宋" w:asciiTheme="minorEastAsia" w:hAnsiTheme="minorEastAsia"/>
                <w:snapToGrid w:val="0"/>
                <w:sz w:val="21"/>
                <w:szCs w:val="21"/>
                <w:lang w:eastAsia="zh-CN"/>
              </w:rPr>
              <w:t>其他要求：</w:t>
            </w:r>
          </w:p>
        </w:tc>
      </w:tr>
    </w:tbl>
    <w:p>
      <w:pPr>
        <w:pStyle w:val="17"/>
        <w:adjustRightInd w:val="0"/>
        <w:snapToGrid w:val="0"/>
        <w:spacing w:line="276" w:lineRule="auto"/>
        <w:jc w:val="center"/>
        <w:rPr>
          <w:rFonts w:ascii="仿宋" w:hAnsi="仿宋" w:eastAsia="仿宋" w:cs="Times New Roman"/>
          <w:snapToGrid w:val="0"/>
          <w:sz w:val="24"/>
          <w:szCs w:val="24"/>
          <w:lang w:eastAsia="zh-CN"/>
        </w:rPr>
      </w:pPr>
      <w:bookmarkStart w:id="71" w:name="扫描0017"/>
      <w:bookmarkEnd w:id="71"/>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ind w:firstLine="400"/>
        <w:rPr>
          <w:rFonts w:ascii="仿宋" w:hAnsi="仿宋" w:eastAsia="仿宋"/>
          <w:snapToGrid w:val="0"/>
          <w:sz w:val="24"/>
          <w:szCs w:val="24"/>
          <w:lang w:eastAsia="zh-CN"/>
        </w:rPr>
      </w:pPr>
      <w:bookmarkStart w:id="72" w:name="扫描0020"/>
      <w:bookmarkEnd w:id="72"/>
    </w:p>
    <w:p>
      <w:pPr>
        <w:pStyle w:val="3"/>
        <w:spacing w:line="360" w:lineRule="auto"/>
        <w:rPr>
          <w:rFonts w:eastAsia="仿宋" w:asciiTheme="minorEastAsia" w:hAnsiTheme="minorEastAsia"/>
          <w:b/>
          <w:snapToGrid w:val="0"/>
          <w:sz w:val="24"/>
          <w:szCs w:val="24"/>
          <w:lang w:eastAsia="zh-CN"/>
        </w:rPr>
      </w:pPr>
      <w:bookmarkStart w:id="73" w:name="_Toc94149453"/>
      <w:bookmarkStart w:id="74" w:name="_Toc2019"/>
      <w:bookmarkStart w:id="75" w:name="_Toc99356493"/>
      <w:r>
        <w:rPr>
          <w:rFonts w:eastAsia="仿宋" w:asciiTheme="minorEastAsia" w:hAnsiTheme="minorEastAsia"/>
          <w:b/>
          <w:snapToGrid w:val="0"/>
          <w:sz w:val="24"/>
          <w:szCs w:val="24"/>
          <w:lang w:eastAsia="zh-CN"/>
        </w:rPr>
        <w:t>1</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总则</w:t>
      </w:r>
      <w:bookmarkEnd w:id="73"/>
      <w:bookmarkEnd w:id="74"/>
      <w:bookmarkEnd w:id="75"/>
    </w:p>
    <w:p>
      <w:pPr>
        <w:adjustRightInd w:val="0"/>
        <w:snapToGrid w:val="0"/>
        <w:spacing w:line="360" w:lineRule="auto"/>
        <w:ind w:left="400"/>
        <w:outlineLvl w:val="2"/>
        <w:rPr>
          <w:rFonts w:eastAsia="仿宋" w:asciiTheme="minorEastAsia" w:hAnsiTheme="minorEastAsia"/>
          <w:b/>
          <w:bCs/>
          <w:snapToGrid w:val="0"/>
          <w:sz w:val="24"/>
          <w:szCs w:val="24"/>
          <w:lang w:eastAsia="zh-CN"/>
        </w:rPr>
      </w:pPr>
      <w:bookmarkStart w:id="76" w:name="_Toc94149454"/>
      <w:bookmarkStart w:id="77" w:name="_Toc17835"/>
      <w:bookmarkStart w:id="78" w:name="_Toc99356494"/>
      <w:r>
        <w:rPr>
          <w:rFonts w:eastAsia="仿宋" w:asciiTheme="minorEastAsia" w:hAnsiTheme="minorEastAsia"/>
          <w:b/>
          <w:bCs/>
          <w:snapToGrid w:val="0"/>
          <w:sz w:val="24"/>
          <w:szCs w:val="24"/>
          <w:lang w:eastAsia="zh-CN"/>
        </w:rPr>
        <w:t>1.1 采购方式</w:t>
      </w:r>
      <w:bookmarkEnd w:id="76"/>
      <w:bookmarkEnd w:id="77"/>
      <w:bookmarkEnd w:id="78"/>
    </w:p>
    <w:p>
      <w:pPr>
        <w:adjustRightInd w:val="0"/>
        <w:snapToGrid w:val="0"/>
        <w:spacing w:line="360" w:lineRule="auto"/>
        <w:ind w:firstLine="400"/>
        <w:rPr>
          <w:rFonts w:eastAsia="仿宋" w:asciiTheme="minorEastAsia" w:hAnsiTheme="minorEastAsia"/>
          <w:b/>
          <w:snapToGrid w:val="0"/>
          <w:sz w:val="24"/>
          <w:szCs w:val="24"/>
          <w:lang w:eastAsia="zh-CN"/>
        </w:rPr>
      </w:pPr>
      <w:r>
        <w:rPr>
          <w:rFonts w:hint="eastAsia" w:eastAsia="仿宋" w:asciiTheme="minorEastAsia" w:hAnsiTheme="minorEastAsia"/>
          <w:snapToGrid w:val="0"/>
          <w:sz w:val="24"/>
          <w:szCs w:val="24"/>
          <w:lang w:eastAsia="zh-CN"/>
        </w:rPr>
        <w:t>本</w:t>
      </w:r>
      <w:r>
        <w:rPr>
          <w:rFonts w:eastAsia="仿宋" w:asciiTheme="minorEastAsia" w:hAnsiTheme="minorEastAsia"/>
          <w:snapToGrid w:val="0"/>
          <w:sz w:val="24"/>
          <w:szCs w:val="24"/>
          <w:lang w:eastAsia="zh-CN"/>
        </w:rPr>
        <w:t>项目采用</w:t>
      </w:r>
      <w:r>
        <w:rPr>
          <w:rFonts w:hint="eastAsia" w:eastAsia="仿宋" w:asciiTheme="minorEastAsia" w:hAnsiTheme="minorEastAsia"/>
          <w:snapToGrid w:val="0"/>
          <w:sz w:val="24"/>
          <w:szCs w:val="24"/>
          <w:lang w:eastAsia="zh-CN"/>
        </w:rPr>
        <w:t>中粮糖业</w:t>
      </w:r>
      <w:r>
        <w:rPr>
          <w:rFonts w:eastAsia="仿宋" w:asciiTheme="minorEastAsia" w:hAnsiTheme="minorEastAsia"/>
          <w:snapToGrid w:val="0"/>
          <w:sz w:val="24"/>
          <w:szCs w:val="24"/>
          <w:lang w:eastAsia="zh-CN"/>
        </w:rPr>
        <w:t>谈判采购方式。</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pPr>
        <w:adjustRightInd w:val="0"/>
        <w:snapToGrid w:val="0"/>
        <w:spacing w:line="360" w:lineRule="auto"/>
        <w:ind w:left="400"/>
        <w:outlineLvl w:val="2"/>
        <w:rPr>
          <w:rFonts w:ascii="仿宋" w:hAnsi="仿宋" w:eastAsia="仿宋"/>
          <w:b/>
          <w:bCs/>
          <w:snapToGrid w:val="0"/>
          <w:sz w:val="24"/>
          <w:szCs w:val="24"/>
          <w:lang w:eastAsia="zh-CN"/>
        </w:rPr>
      </w:pPr>
      <w:bookmarkStart w:id="79" w:name="_Toc1212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.2 采购项目概况和供应商资格要求</w:t>
      </w:r>
      <w:bookmarkEnd w:id="79"/>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采购项目概况和供应商资格要求见第一章“谈判采购公告/谈判采购邀请书”</w:t>
      </w:r>
      <w:r>
        <w:rPr>
          <w:rFonts w:hint="eastAsia" w:ascii="仿宋" w:hAnsi="仿宋" w:eastAsia="仿宋"/>
          <w:snapToGrid w:val="0"/>
          <w:sz w:val="24"/>
          <w:szCs w:val="24"/>
          <w:lang w:eastAsia="zh-CN"/>
        </w:rPr>
        <w:t>。</w:t>
      </w:r>
    </w:p>
    <w:p>
      <w:pPr>
        <w:adjustRightInd w:val="0"/>
        <w:snapToGrid w:val="0"/>
        <w:spacing w:line="360" w:lineRule="auto"/>
        <w:ind w:left="400"/>
        <w:outlineLvl w:val="2"/>
        <w:rPr>
          <w:rFonts w:ascii="仿宋" w:hAnsi="仿宋" w:eastAsia="仿宋"/>
          <w:b/>
          <w:bCs/>
          <w:snapToGrid w:val="0"/>
          <w:sz w:val="24"/>
          <w:szCs w:val="24"/>
          <w:lang w:eastAsia="zh-CN"/>
        </w:rPr>
      </w:pPr>
      <w:bookmarkStart w:id="80" w:name="_Toc1998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.3 费用承担</w:t>
      </w:r>
      <w:bookmarkEnd w:id="80"/>
    </w:p>
    <w:p>
      <w:pPr>
        <w:pStyle w:val="17"/>
        <w:adjustRightInd w:val="0"/>
        <w:snapToGrid w:val="0"/>
        <w:spacing w:line="360" w:lineRule="auto"/>
        <w:ind w:firstLine="400"/>
        <w:rPr>
          <w:rFonts w:ascii="仿宋" w:hAnsi="仿宋" w:eastAsia="仿宋"/>
          <w:snapToGrid w:val="0"/>
          <w:sz w:val="24"/>
          <w:szCs w:val="24"/>
          <w:lang w:eastAsia="zh-CN"/>
        </w:rPr>
      </w:pPr>
      <w:bookmarkStart w:id="81" w:name="_bookmark1"/>
      <w:bookmarkEnd w:id="81"/>
      <w:r>
        <w:rPr>
          <w:rFonts w:ascii="仿宋" w:hAnsi="仿宋" w:eastAsia="仿宋"/>
          <w:snapToGrid w:val="0"/>
          <w:sz w:val="24"/>
          <w:szCs w:val="24"/>
          <w:lang w:eastAsia="zh-CN"/>
        </w:rPr>
        <w:t>供应商准备和参加谈判采购活动所发生的各种费用由供应商自行承担。</w:t>
      </w:r>
    </w:p>
    <w:p>
      <w:pPr>
        <w:adjustRightInd w:val="0"/>
        <w:snapToGrid w:val="0"/>
        <w:spacing w:line="360" w:lineRule="auto"/>
        <w:ind w:left="400"/>
        <w:outlineLvl w:val="2"/>
        <w:rPr>
          <w:rFonts w:ascii="仿宋" w:hAnsi="仿宋" w:eastAsia="仿宋"/>
          <w:b/>
          <w:bCs/>
          <w:snapToGrid w:val="0"/>
          <w:sz w:val="24"/>
          <w:szCs w:val="24"/>
          <w:lang w:eastAsia="zh-CN"/>
        </w:rPr>
      </w:pPr>
      <w:bookmarkStart w:id="82" w:name="_Toc2043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.4 保密</w:t>
      </w:r>
      <w:bookmarkEnd w:id="82"/>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参加谈判采购活动的各方应对采购文件和响应文件中的商业和技术等秘密保密,否则应承担相应的法律责任。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3" w:name="_Toc7545"/>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.5 语言文字</w:t>
      </w:r>
      <w:bookmarkEnd w:id="83"/>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采购文件和响应文件使用的语言文字为中文。专用术语使用外文的，应附有中文注释。</w:t>
      </w:r>
    </w:p>
    <w:p>
      <w:pPr>
        <w:adjustRightInd w:val="0"/>
        <w:snapToGrid w:val="0"/>
        <w:spacing w:line="360" w:lineRule="auto"/>
        <w:ind w:left="400"/>
        <w:outlineLvl w:val="2"/>
        <w:rPr>
          <w:rFonts w:ascii="仿宋" w:hAnsi="仿宋" w:eastAsia="仿宋"/>
          <w:b/>
          <w:bCs/>
          <w:snapToGrid w:val="0"/>
          <w:sz w:val="24"/>
          <w:szCs w:val="24"/>
          <w:lang w:eastAsia="zh-CN"/>
        </w:rPr>
      </w:pPr>
      <w:bookmarkStart w:id="84" w:name="_Toc13889"/>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.6 计量单位</w:t>
      </w:r>
      <w:bookmarkEnd w:id="84"/>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所有计量均采用中华人民共和国法定计量单位。</w:t>
      </w:r>
    </w:p>
    <w:p>
      <w:pPr>
        <w:adjustRightInd w:val="0"/>
        <w:snapToGrid w:val="0"/>
        <w:spacing w:line="360" w:lineRule="auto"/>
        <w:ind w:left="400"/>
        <w:outlineLvl w:val="2"/>
        <w:rPr>
          <w:rFonts w:ascii="仿宋" w:hAnsi="仿宋" w:eastAsia="仿宋"/>
          <w:b/>
          <w:bCs/>
          <w:snapToGrid w:val="0"/>
          <w:sz w:val="24"/>
          <w:szCs w:val="24"/>
          <w:lang w:eastAsia="zh-CN"/>
        </w:rPr>
      </w:pPr>
      <w:bookmarkStart w:id="85" w:name="_Toc14017"/>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.7 踏勘现场</w:t>
      </w:r>
      <w:bookmarkEnd w:id="85"/>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7.1</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供应商须知前附表规定组织踏勘现场的，采购人按供应商须知前附表规定的时间、地点组织供应商踏勘项目现场。部分供应商未按时参加踏勘现场的，不影响踏勘现场的正常进行。</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7.2</w:t>
      </w:r>
      <w:r>
        <w:rPr>
          <w:rFonts w:ascii="仿宋" w:hAnsi="仿宋" w:eastAsia="仿宋"/>
          <w:snapToGrid w:val="0"/>
          <w:sz w:val="24"/>
          <w:szCs w:val="24"/>
          <w:lang w:eastAsia="zh-CN"/>
        </w:rPr>
        <w:tab/>
      </w:r>
      <w:r>
        <w:rPr>
          <w:rFonts w:ascii="仿宋" w:hAnsi="仿宋" w:eastAsia="仿宋"/>
          <w:snapToGrid w:val="0"/>
          <w:sz w:val="24"/>
          <w:szCs w:val="24"/>
          <w:lang w:eastAsia="zh-CN"/>
        </w:rPr>
        <w:t>供应商可自愿参加踏勘现场活动。除采购人的原因外，采购人对供应商参加踏勘现场中所发生的人员伤亡和财产损失不承担责任。</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7.3</w:t>
      </w:r>
      <w:r>
        <w:rPr>
          <w:rFonts w:ascii="仿宋" w:hAnsi="仿宋" w:eastAsia="仿宋"/>
          <w:snapToGrid w:val="0"/>
          <w:sz w:val="24"/>
          <w:szCs w:val="24"/>
          <w:lang w:eastAsia="zh-CN"/>
        </w:rPr>
        <w:tab/>
      </w:r>
      <w:r>
        <w:rPr>
          <w:rFonts w:ascii="仿宋" w:hAnsi="仿宋" w:eastAsia="仿宋"/>
          <w:snapToGrid w:val="0"/>
          <w:sz w:val="24"/>
          <w:szCs w:val="24"/>
          <w:lang w:eastAsia="zh-CN"/>
        </w:rPr>
        <w:t>采购人在踏勘现场中介绍的工程场地和相关的周边环境情况，仅作为供应商编制响应文件的参考，采购人不对供应商据此作出的判断和决策负责。</w:t>
      </w:r>
    </w:p>
    <w:p>
      <w:pPr>
        <w:adjustRightInd w:val="0"/>
        <w:snapToGrid w:val="0"/>
        <w:spacing w:line="360" w:lineRule="auto"/>
        <w:ind w:left="400"/>
        <w:outlineLvl w:val="2"/>
        <w:rPr>
          <w:rFonts w:ascii="仿宋" w:hAnsi="仿宋" w:eastAsia="仿宋"/>
          <w:b/>
          <w:bCs/>
          <w:snapToGrid w:val="0"/>
          <w:sz w:val="24"/>
          <w:szCs w:val="24"/>
          <w:lang w:eastAsia="zh-CN"/>
        </w:rPr>
      </w:pPr>
      <w:bookmarkStart w:id="86" w:name="_Toc9453"/>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.8 谈判采购预备会</w:t>
      </w:r>
      <w:bookmarkEnd w:id="86"/>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供应商须知前附表规定召开谈判采购预备会的，采购人按供应商须知前附表规定的时间和地点召开谈判采购预备会。</w:t>
      </w:r>
    </w:p>
    <w:p>
      <w:pPr>
        <w:adjustRightInd w:val="0"/>
        <w:snapToGrid w:val="0"/>
        <w:spacing w:line="360" w:lineRule="auto"/>
        <w:ind w:left="400"/>
        <w:outlineLvl w:val="2"/>
        <w:rPr>
          <w:rFonts w:ascii="仿宋" w:hAnsi="仿宋" w:eastAsia="仿宋"/>
          <w:b/>
          <w:bCs/>
          <w:snapToGrid w:val="0"/>
          <w:sz w:val="24"/>
          <w:szCs w:val="24"/>
          <w:lang w:eastAsia="zh-CN"/>
        </w:rPr>
      </w:pPr>
      <w:bookmarkStart w:id="87" w:name="_Toc23250"/>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.9 分包</w:t>
      </w:r>
      <w:bookmarkEnd w:id="8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供应商拟在</w:t>
      </w:r>
      <w:r>
        <w:rPr>
          <w:rFonts w:hint="eastAsia" w:eastAsia="仿宋" w:asciiTheme="minorEastAsia" w:hAnsiTheme="minorEastAsia"/>
          <w:snapToGrid w:val="0"/>
          <w:sz w:val="24"/>
          <w:szCs w:val="24"/>
          <w:lang w:eastAsia="zh-CN"/>
        </w:rPr>
        <w:t>成交</w:t>
      </w:r>
      <w:r>
        <w:rPr>
          <w:rFonts w:eastAsia="仿宋" w:asciiTheme="minorEastAsia" w:hAnsiTheme="minorEastAsia"/>
          <w:snapToGrid w:val="0"/>
          <w:sz w:val="24"/>
          <w:szCs w:val="24"/>
          <w:lang w:eastAsia="zh-CN"/>
        </w:rPr>
        <w:t>后将成交项目的部分工作进行分包的，应符合供应商须知前附表的规定，并在响应文件中作出说明。</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分包供应商不得将分包项目再次分包。成交供应商应当就分包项目向采购人负责,分包供应商就分包项目承担连带责任。</w:t>
      </w:r>
    </w:p>
    <w:p>
      <w:pPr>
        <w:adjustRightInd w:val="0"/>
        <w:snapToGrid w:val="0"/>
        <w:spacing w:line="360" w:lineRule="auto"/>
        <w:ind w:left="400"/>
        <w:outlineLvl w:val="2"/>
        <w:rPr>
          <w:rFonts w:ascii="仿宋" w:hAnsi="仿宋" w:eastAsia="仿宋"/>
          <w:b/>
          <w:bCs/>
          <w:snapToGrid w:val="0"/>
          <w:sz w:val="24"/>
          <w:szCs w:val="24"/>
          <w:lang w:eastAsia="zh-CN"/>
        </w:rPr>
      </w:pPr>
      <w:bookmarkStart w:id="88" w:name="_Toc2456"/>
      <w:r>
        <w:rPr>
          <w:rFonts w:hint="eastAsia" w:ascii="仿宋" w:hAnsi="仿宋" w:eastAsia="仿宋"/>
          <w:b/>
          <w:bCs/>
          <w:snapToGrid w:val="0"/>
          <w:sz w:val="24"/>
          <w:szCs w:val="24"/>
          <w:lang w:eastAsia="zh-CN"/>
        </w:rPr>
        <w:t>1</w:t>
      </w:r>
      <w:r>
        <w:rPr>
          <w:rFonts w:ascii="仿宋" w:hAnsi="仿宋" w:eastAsia="仿宋"/>
          <w:b/>
          <w:bCs/>
          <w:snapToGrid w:val="0"/>
          <w:sz w:val="24"/>
          <w:szCs w:val="24"/>
          <w:lang w:eastAsia="zh-CN"/>
        </w:rPr>
        <w:t>.10 响应和偏差</w:t>
      </w:r>
      <w:bookmarkEnd w:id="88"/>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ascii="仿宋" w:hAnsi="仿宋" w:eastAsia="仿宋"/>
          <w:snapToGrid w:val="0"/>
          <w:sz w:val="24"/>
          <w:szCs w:val="24"/>
          <w:lang w:eastAsia="zh-CN"/>
        </w:rPr>
        <w:t>1.10.1</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采购需求和合同草案中的关键条款均以“</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”符号标记。响应文件应当对采购需求和合同草案中的关键条款作出满足性或更有利于采购人的响应，否则，供应商的响应文件将被视为无效。</w:t>
      </w:r>
    </w:p>
    <w:p>
      <w:pPr>
        <w:pStyle w:val="17"/>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1.10.2</w:t>
      </w:r>
      <w:r>
        <w:rPr>
          <w:rFonts w:ascii="仿宋" w:hAnsi="仿宋" w:eastAsia="仿宋"/>
          <w:snapToGrid w:val="0"/>
          <w:sz w:val="24"/>
          <w:szCs w:val="24"/>
          <w:lang w:eastAsia="zh-CN"/>
        </w:rPr>
        <w:tab/>
      </w:r>
      <w:r>
        <w:rPr>
          <w:rFonts w:ascii="仿宋" w:hAnsi="仿宋" w:eastAsia="仿宋"/>
          <w:snapToGrid w:val="0"/>
          <w:sz w:val="24"/>
          <w:szCs w:val="24"/>
          <w:lang w:eastAsia="zh-CN"/>
        </w:rPr>
        <w:t>供应商须知前附表规定了对非关键条款允许偏差的范围和可以偏差的项数的,如响应文件存在的偏差超出上述范围或项数，将被视为无效。</w:t>
      </w:r>
    </w:p>
    <w:p>
      <w:pPr>
        <w:pStyle w:val="3"/>
        <w:spacing w:line="360" w:lineRule="auto"/>
        <w:rPr>
          <w:rFonts w:ascii="仿宋" w:hAnsi="仿宋" w:eastAsia="仿宋"/>
          <w:b/>
          <w:bCs/>
          <w:snapToGrid w:val="0"/>
          <w:sz w:val="24"/>
          <w:szCs w:val="24"/>
          <w:lang w:eastAsia="zh-CN"/>
        </w:rPr>
      </w:pPr>
      <w:bookmarkStart w:id="89" w:name="_Toc22228"/>
      <w:r>
        <w:rPr>
          <w:rFonts w:ascii="仿宋" w:hAnsi="仿宋" w:eastAsia="仿宋"/>
          <w:b/>
          <w:bCs/>
          <w:snapToGrid w:val="0"/>
          <w:sz w:val="24"/>
          <w:szCs w:val="24"/>
          <w:lang w:eastAsia="zh-CN"/>
        </w:rPr>
        <w:t>2</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采购文件</w:t>
      </w:r>
      <w:bookmarkEnd w:id="89"/>
    </w:p>
    <w:p>
      <w:pPr>
        <w:adjustRightInd w:val="0"/>
        <w:snapToGrid w:val="0"/>
        <w:spacing w:line="360" w:lineRule="auto"/>
        <w:ind w:left="400"/>
        <w:jc w:val="both"/>
        <w:outlineLvl w:val="2"/>
        <w:rPr>
          <w:rFonts w:ascii="仿宋" w:hAnsi="仿宋" w:eastAsia="仿宋"/>
          <w:b/>
          <w:snapToGrid w:val="0"/>
          <w:sz w:val="24"/>
          <w:szCs w:val="24"/>
          <w:lang w:eastAsia="zh-CN"/>
        </w:rPr>
      </w:pPr>
      <w:bookmarkStart w:id="90" w:name="_Toc16806"/>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采购文件的组成</w:t>
      </w:r>
      <w:bookmarkEnd w:id="90"/>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本采购文件包括：</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谈判采购公告(或谈判采购邀请书)；</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供应商须知；</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评审办法；</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合同草案；</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采购需求；</w:t>
      </w:r>
    </w:p>
    <w:p>
      <w:pPr>
        <w:pStyle w:val="79"/>
        <w:numPr>
          <w:ilvl w:val="2"/>
          <w:numId w:val="6"/>
        </w:numPr>
        <w:adjustRightInd w:val="0"/>
        <w:snapToGrid w:val="0"/>
        <w:spacing w:line="360" w:lineRule="auto"/>
        <w:ind w:left="0" w:firstLine="400"/>
        <w:rPr>
          <w:rFonts w:ascii="仿宋" w:hAnsi="仿宋" w:eastAsia="仿宋"/>
          <w:snapToGrid w:val="0"/>
          <w:sz w:val="24"/>
          <w:szCs w:val="24"/>
        </w:rPr>
      </w:pPr>
      <w:r>
        <w:rPr>
          <w:rFonts w:ascii="仿宋" w:hAnsi="仿宋" w:eastAsia="仿宋"/>
          <w:snapToGrid w:val="0"/>
          <w:sz w:val="24"/>
          <w:szCs w:val="24"/>
        </w:rPr>
        <w:t>响应文件格式；</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hint="eastAsia" w:ascii="仿宋" w:hAnsi="仿宋" w:eastAsia="仿宋"/>
          <w:snapToGrid w:val="0"/>
          <w:sz w:val="24"/>
          <w:szCs w:val="24"/>
          <w:lang w:eastAsia="zh-CN"/>
        </w:rPr>
        <w:t>工程量清单（单价合同必须提供，总价合同可提供参考工程量清单）；</w:t>
      </w:r>
    </w:p>
    <w:p>
      <w:pPr>
        <w:pStyle w:val="79"/>
        <w:numPr>
          <w:ilvl w:val="2"/>
          <w:numId w:val="6"/>
        </w:numPr>
        <w:adjustRightInd w:val="0"/>
        <w:snapToGrid w:val="0"/>
        <w:spacing w:line="360" w:lineRule="auto"/>
        <w:ind w:left="0" w:firstLine="400"/>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bookmarkStart w:id="91" w:name="_bookmark3"/>
      <w:bookmarkEnd w:id="91"/>
      <w:r>
        <w:rPr>
          <w:rFonts w:ascii="仿宋" w:hAnsi="仿宋" w:eastAsia="仿宋"/>
          <w:snapToGrid w:val="0"/>
          <w:sz w:val="24"/>
          <w:szCs w:val="24"/>
          <w:lang w:eastAsia="zh-CN"/>
        </w:rPr>
        <w:t>采购人依照本章规定，对采购文件所作的澄清、修改，构成采购文件的组成部分。</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2" w:name="_Toc1127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采购文件的澄清和修改</w:t>
      </w:r>
      <w:bookmarkEnd w:id="92"/>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2.2.1</w:t>
      </w:r>
      <w:r>
        <w:rPr>
          <w:rFonts w:ascii="仿宋" w:hAnsi="仿宋" w:eastAsia="仿宋"/>
          <w:snapToGrid w:val="0"/>
          <w:sz w:val="24"/>
          <w:szCs w:val="24"/>
          <w:lang w:eastAsia="zh-CN"/>
        </w:rPr>
        <w:tab/>
      </w:r>
      <w:r>
        <w:rPr>
          <w:rFonts w:ascii="仿宋" w:hAnsi="仿宋" w:eastAsia="仿宋"/>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2.2.2</w:t>
      </w:r>
      <w:r>
        <w:rPr>
          <w:rFonts w:ascii="仿宋" w:hAnsi="仿宋" w:eastAsia="仿宋"/>
          <w:snapToGrid w:val="0"/>
          <w:sz w:val="24"/>
          <w:szCs w:val="24"/>
          <w:lang w:eastAsia="zh-CN"/>
        </w:rPr>
        <w:tab/>
      </w:r>
      <w:r>
        <w:rPr>
          <w:rFonts w:ascii="仿宋" w:hAnsi="仿宋" w:eastAsia="仿宋"/>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2.2.3</w:t>
      </w:r>
      <w:r>
        <w:rPr>
          <w:rFonts w:ascii="仿宋" w:hAnsi="仿宋" w:eastAsia="仿宋"/>
          <w:snapToGrid w:val="0"/>
          <w:sz w:val="24"/>
          <w:szCs w:val="24"/>
          <w:lang w:eastAsia="zh-CN"/>
        </w:rPr>
        <w:tab/>
      </w:r>
      <w:r>
        <w:rPr>
          <w:rFonts w:ascii="仿宋" w:hAnsi="仿宋" w:eastAsia="仿宋"/>
          <w:snapToGrid w:val="0"/>
          <w:sz w:val="24"/>
          <w:szCs w:val="24"/>
          <w:lang w:eastAsia="zh-CN"/>
        </w:rPr>
        <w:t>供应商在收到补充文件后，应按供应商须知前附表规定的时间和方式通知采购人，确认已收到该补充文件。</w:t>
      </w:r>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2.2.4</w:t>
      </w:r>
      <w:r>
        <w:rPr>
          <w:rFonts w:ascii="仿宋" w:hAnsi="仿宋" w:eastAsia="仿宋"/>
          <w:snapToGrid w:val="0"/>
          <w:sz w:val="24"/>
          <w:szCs w:val="24"/>
          <w:lang w:eastAsia="zh-CN"/>
        </w:rPr>
        <w:tab/>
      </w:r>
      <w:r>
        <w:rPr>
          <w:rFonts w:ascii="仿宋" w:hAnsi="仿宋" w:eastAsia="仿宋"/>
          <w:snapToGrid w:val="0"/>
          <w:sz w:val="24"/>
          <w:szCs w:val="24"/>
          <w:lang w:eastAsia="zh-CN"/>
        </w:rPr>
        <w:t>除非确有必要，采购人有权拒绝回复供应商在本章第2.2.1项规定的时间后提出的任何澄清要求。</w:t>
      </w:r>
    </w:p>
    <w:p>
      <w:pPr>
        <w:pStyle w:val="3"/>
        <w:spacing w:line="360" w:lineRule="auto"/>
        <w:rPr>
          <w:rFonts w:ascii="仿宋" w:hAnsi="仿宋" w:eastAsia="仿宋"/>
          <w:b/>
          <w:bCs/>
          <w:snapToGrid w:val="0"/>
          <w:sz w:val="24"/>
          <w:szCs w:val="24"/>
          <w:lang w:eastAsia="zh-CN"/>
        </w:rPr>
      </w:pPr>
      <w:bookmarkStart w:id="93" w:name="_Toc17645"/>
      <w:r>
        <w:rPr>
          <w:rFonts w:ascii="仿宋" w:hAnsi="仿宋" w:eastAsia="仿宋"/>
          <w:b/>
          <w:bCs/>
          <w:snapToGrid w:val="0"/>
          <w:sz w:val="24"/>
          <w:szCs w:val="24"/>
          <w:lang w:eastAsia="zh-CN"/>
        </w:rPr>
        <w:t>3 响应文件</w:t>
      </w:r>
      <w:bookmarkEnd w:id="93"/>
    </w:p>
    <w:p>
      <w:pPr>
        <w:adjustRightInd w:val="0"/>
        <w:snapToGrid w:val="0"/>
        <w:spacing w:line="360" w:lineRule="auto"/>
        <w:ind w:left="400"/>
        <w:jc w:val="both"/>
        <w:outlineLvl w:val="2"/>
        <w:rPr>
          <w:rFonts w:ascii="仿宋" w:hAnsi="仿宋" w:eastAsia="仿宋"/>
          <w:b/>
          <w:snapToGrid w:val="0"/>
          <w:sz w:val="24"/>
          <w:szCs w:val="24"/>
          <w:lang w:eastAsia="zh-CN"/>
        </w:rPr>
      </w:pPr>
      <w:bookmarkStart w:id="94" w:name="_Toc10241"/>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响应文件的组成</w:t>
      </w:r>
      <w:bookmarkEnd w:id="94"/>
    </w:p>
    <w:p>
      <w:pPr>
        <w:pStyle w:val="79"/>
        <w:adjustRightInd w:val="0"/>
        <w:snapToGrid w:val="0"/>
        <w:spacing w:line="360" w:lineRule="auto"/>
        <w:ind w:left="400" w:firstLine="0"/>
        <w:outlineLvl w:val="3"/>
        <w:rPr>
          <w:rFonts w:ascii="仿宋" w:hAnsi="仿宋" w:eastAsia="仿宋"/>
          <w:snapToGrid w:val="0"/>
          <w:sz w:val="24"/>
          <w:szCs w:val="24"/>
          <w:lang w:eastAsia="zh-CN"/>
        </w:rPr>
      </w:pPr>
      <w:r>
        <w:rPr>
          <w:rFonts w:ascii="仿宋" w:hAnsi="仿宋" w:eastAsia="仿宋"/>
          <w:snapToGrid w:val="0"/>
          <w:sz w:val="24"/>
          <w:szCs w:val="24"/>
          <w:lang w:eastAsia="zh-CN"/>
        </w:rPr>
        <w:t>3.1.1</w:t>
      </w:r>
      <w:r>
        <w:rPr>
          <w:rFonts w:ascii="仿宋" w:hAnsi="仿宋" w:eastAsia="仿宋"/>
          <w:snapToGrid w:val="0"/>
          <w:sz w:val="24"/>
          <w:szCs w:val="24"/>
          <w:lang w:eastAsia="zh-CN"/>
        </w:rPr>
        <w:tab/>
      </w:r>
      <w:r>
        <w:rPr>
          <w:rFonts w:ascii="仿宋" w:hAnsi="仿宋" w:eastAsia="仿宋"/>
          <w:snapToGrid w:val="0"/>
          <w:sz w:val="24"/>
          <w:szCs w:val="24"/>
          <w:lang w:eastAsia="zh-CN"/>
        </w:rPr>
        <w:t>响应文件应包括下列内容：</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报价表</w:t>
      </w:r>
      <w:r>
        <w:rPr>
          <w:rFonts w:hint="eastAsia" w:ascii="仿宋" w:hAnsi="仿宋" w:eastAsia="仿宋"/>
          <w:snapToGrid w:val="0"/>
          <w:sz w:val="24"/>
          <w:szCs w:val="24"/>
          <w:lang w:eastAsia="zh-CN"/>
        </w:rPr>
        <w:t>及有标价的工程量清单</w:t>
      </w:r>
      <w:r>
        <w:rPr>
          <w:rFonts w:ascii="仿宋" w:hAnsi="仿宋" w:eastAsia="仿宋"/>
          <w:snapToGrid w:val="0"/>
          <w:sz w:val="24"/>
          <w:szCs w:val="24"/>
          <w:lang w:eastAsia="zh-CN"/>
        </w:rPr>
        <w:t>；</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rPr>
      </w:pPr>
      <w:r>
        <w:rPr>
          <w:rFonts w:ascii="仿宋" w:hAnsi="仿宋" w:eastAsia="仿宋"/>
          <w:snapToGrid w:val="0"/>
          <w:sz w:val="24"/>
          <w:szCs w:val="24"/>
        </w:rPr>
        <w:t>响应方案；</w:t>
      </w:r>
    </w:p>
    <w:p>
      <w:pPr>
        <w:pStyle w:val="79"/>
        <w:numPr>
          <w:ilvl w:val="0"/>
          <w:numId w:val="7"/>
        </w:numPr>
        <w:adjustRightInd w:val="0"/>
        <w:snapToGrid w:val="0"/>
        <w:spacing w:line="360" w:lineRule="auto"/>
        <w:ind w:left="0" w:firstLine="400"/>
        <w:outlineLvl w:val="4"/>
        <w:rPr>
          <w:rFonts w:ascii="仿宋" w:hAnsi="仿宋" w:eastAsia="仿宋"/>
          <w:snapToGrid w:val="0"/>
          <w:sz w:val="24"/>
          <w:szCs w:val="24"/>
          <w:lang w:eastAsia="zh-CN"/>
        </w:rPr>
      </w:pPr>
      <w:r>
        <w:rPr>
          <w:rFonts w:ascii="仿宋" w:hAnsi="仿宋" w:eastAsia="仿宋"/>
          <w:snapToGrid w:val="0"/>
          <w:sz w:val="24"/>
          <w:szCs w:val="24"/>
          <w:lang w:eastAsia="zh-CN"/>
        </w:rPr>
        <w:t>供应商须知前附表规定的其他资料。</w:t>
      </w:r>
    </w:p>
    <w:p>
      <w:pPr>
        <w:pStyle w:val="17"/>
        <w:adjustRightInd w:val="0"/>
        <w:snapToGrid w:val="0"/>
        <w:spacing w:line="360"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供应商在谈判和评审过程中作出的符合采购文件要求的澄清、说明和补正，构成响应文件的组成部分。</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3</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1</w:t>
      </w:r>
      <w:r>
        <w:rPr>
          <w:rFonts w:hint="eastAsia" w:ascii="仿宋" w:hAnsi="仿宋" w:eastAsia="仿宋" w:cs="微软雅黑"/>
          <w:snapToGrid w:val="0"/>
          <w:sz w:val="24"/>
          <w:szCs w:val="24"/>
          <w:lang w:eastAsia="zh-CN"/>
        </w:rPr>
        <w:t>.</w:t>
      </w:r>
      <w:r>
        <w:rPr>
          <w:rFonts w:ascii="仿宋" w:hAnsi="仿宋" w:eastAsia="仿宋"/>
          <w:snapToGrid w:val="0"/>
          <w:sz w:val="24"/>
          <w:szCs w:val="24"/>
          <w:lang w:eastAsia="zh-CN"/>
        </w:rPr>
        <w:t>2</w:t>
      </w:r>
      <w:r>
        <w:rPr>
          <w:rFonts w:ascii="仿宋" w:hAnsi="仿宋" w:eastAsia="仿宋"/>
          <w:snapToGrid w:val="0"/>
          <w:sz w:val="24"/>
          <w:szCs w:val="24"/>
          <w:lang w:eastAsia="zh-CN"/>
        </w:rPr>
        <w:tab/>
      </w:r>
      <w:r>
        <w:rPr>
          <w:rFonts w:ascii="仿宋" w:hAnsi="仿宋" w:eastAsia="仿宋"/>
          <w:snapToGrid w:val="0"/>
          <w:sz w:val="24"/>
          <w:szCs w:val="24"/>
          <w:lang w:eastAsia="zh-CN"/>
        </w:rPr>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5" w:name="_Toc50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.2报价</w:t>
      </w:r>
      <w:bookmarkEnd w:id="95"/>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3.2.1</w:t>
      </w:r>
      <w:r>
        <w:rPr>
          <w:rFonts w:ascii="仿宋" w:hAnsi="仿宋" w:eastAsia="仿宋"/>
          <w:snapToGrid w:val="0"/>
          <w:sz w:val="24"/>
          <w:szCs w:val="24"/>
        </w:rPr>
        <w:tab/>
      </w:r>
      <w:r>
        <w:rPr>
          <w:rFonts w:ascii="仿宋" w:hAnsi="仿宋" w:eastAsia="仿宋"/>
          <w:snapToGrid w:val="0"/>
          <w:sz w:val="24"/>
          <w:szCs w:val="24"/>
        </w:rPr>
        <w:t>供应商应按采购文件提供的格式(见第六章“响应文件格式”)在</w:t>
      </w:r>
      <w:r>
        <w:rPr>
          <w:rFonts w:hint="eastAsia" w:ascii="仿宋" w:hAnsi="仿宋" w:eastAsia="仿宋"/>
          <w:snapToGrid w:val="0"/>
          <w:sz w:val="24"/>
          <w:szCs w:val="24"/>
        </w:rPr>
        <w:t>工程量清单（单价合同必须）、</w:t>
      </w:r>
      <w:r>
        <w:rPr>
          <w:rFonts w:ascii="仿宋" w:hAnsi="仿宋" w:eastAsia="仿宋"/>
          <w:snapToGrid w:val="0"/>
          <w:sz w:val="24"/>
          <w:szCs w:val="24"/>
        </w:rPr>
        <w:t>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3.2.2</w:t>
      </w:r>
      <w:r>
        <w:rPr>
          <w:rFonts w:ascii="仿宋" w:hAnsi="仿宋" w:eastAsia="仿宋"/>
          <w:snapToGrid w:val="0"/>
          <w:sz w:val="24"/>
          <w:szCs w:val="24"/>
        </w:rPr>
        <w:tab/>
      </w:r>
      <w:r>
        <w:rPr>
          <w:rFonts w:ascii="仿宋" w:hAnsi="仿宋" w:eastAsia="仿宋"/>
          <w:snapToGrid w:val="0"/>
          <w:sz w:val="24"/>
          <w:szCs w:val="24"/>
        </w:rPr>
        <w:t>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3.2.3</w:t>
      </w:r>
      <w:r>
        <w:rPr>
          <w:rFonts w:ascii="仿宋" w:hAnsi="仿宋" w:eastAsia="仿宋"/>
          <w:snapToGrid w:val="0"/>
          <w:sz w:val="24"/>
          <w:szCs w:val="24"/>
        </w:rPr>
        <w:tab/>
      </w:r>
      <w:r>
        <w:rPr>
          <w:rFonts w:ascii="仿宋" w:hAnsi="仿宋" w:eastAsia="仿宋"/>
          <w:snapToGrid w:val="0"/>
          <w:sz w:val="24"/>
          <w:szCs w:val="24"/>
        </w:rPr>
        <w:t>采购人设有最高限价的，供应商的报价不得超过最高限价。最高限价或最高限价计算方法在供应商须知前附表中载明。</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cs="宋体"/>
          <w:snapToGrid w:val="0"/>
          <w:sz w:val="24"/>
          <w:szCs w:val="24"/>
        </w:rPr>
      </w:pPr>
      <w:r>
        <w:rPr>
          <w:rFonts w:ascii="仿宋" w:hAnsi="仿宋" w:eastAsia="仿宋"/>
          <w:snapToGrid w:val="0"/>
          <w:sz w:val="24"/>
          <w:szCs w:val="24"/>
        </w:rPr>
        <w:t>3.2.4</w:t>
      </w:r>
      <w:r>
        <w:rPr>
          <w:rFonts w:ascii="仿宋" w:hAnsi="仿宋" w:eastAsia="仿宋"/>
          <w:snapToGrid w:val="0"/>
          <w:sz w:val="24"/>
          <w:szCs w:val="24"/>
        </w:rPr>
        <w:tab/>
      </w:r>
      <w:r>
        <w:rPr>
          <w:rFonts w:ascii="仿宋" w:hAnsi="仿宋" w:eastAsia="仿宋" w:cs="宋体"/>
          <w:snapToGrid w:val="0"/>
          <w:sz w:val="24"/>
          <w:szCs w:val="24"/>
        </w:rPr>
        <w:t>本</w:t>
      </w:r>
      <w:r>
        <w:rPr>
          <w:rFonts w:hint="eastAsia" w:ascii="仿宋" w:hAnsi="仿宋" w:eastAsia="仿宋" w:cs="宋体"/>
          <w:snapToGrid w:val="0"/>
          <w:sz w:val="24"/>
          <w:szCs w:val="24"/>
        </w:rPr>
        <w:t>工程/</w:t>
      </w:r>
      <w:r>
        <w:rPr>
          <w:rFonts w:ascii="仿宋" w:hAnsi="仿宋" w:eastAsia="仿宋" w:cs="宋体"/>
          <w:snapToGrid w:val="0"/>
          <w:sz w:val="24"/>
          <w:szCs w:val="24"/>
        </w:rPr>
        <w:t>标段合同形式</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tbbjfs_dj|1|575c3209-0a41-421d-918b-07ddb7901d39|caff3b7d-06b1-47c4-81ce-6a85fb689c9d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单价合同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tbbjfs_dj|2|575c3209-0a41-421d-918b-07ddb7901d39|caff3b7d-06b1-47c4-81ce-6a85fb689c9d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pPr>
        <w:pStyle w:val="81"/>
        <w:ind w:firstLine="851"/>
        <w:rPr>
          <w:rFonts w:ascii="仿宋" w:hAnsi="仿宋" w:eastAsia="仿宋" w:cs="宋体"/>
          <w:snapToGrid w:val="0"/>
          <w:sz w:val="24"/>
          <w:szCs w:val="24"/>
        </w:rPr>
      </w:pPr>
      <w:r>
        <w:rPr>
          <w:rFonts w:ascii="仿宋" w:hAnsi="仿宋" w:eastAsia="仿宋" w:cs="宋体"/>
          <w:snapToGrid w:val="0"/>
          <w:sz w:val="24"/>
          <w:szCs w:val="24"/>
        </w:rPr>
        <w:fldChar w:fldCharType="end"/>
      </w:r>
      <w:r>
        <w:rPr>
          <w:rFonts w:ascii="仿宋" w:hAnsi="仿宋" w:eastAsia="仿宋" w:cs="宋体"/>
          <w:snapToGrid w:val="0"/>
          <w:sz w:val="24"/>
          <w:szCs w:val="24"/>
        </w:rPr>
        <w:sym w:font="Wingdings 2" w:char="0052"/>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tbbjfs_zj|1|575c3209-0a41-421d-918b-07ddb7901d39|1bd6facb-8754-4f43-bba7-304501e944f6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总价合同</w:t>
      </w:r>
      <w:r>
        <w:rPr>
          <w:rFonts w:ascii="仿宋" w:hAnsi="仿宋" w:eastAsia="仿宋" w:cs="宋体"/>
          <w:snapToGrid w:val="0"/>
          <w:sz w:val="24"/>
          <w:szCs w:val="24"/>
        </w:rPr>
        <w:fldChar w:fldCharType="end"/>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tbbjfs_zj|2|575c3209-0a41-421d-918b-07ddb7901d39|1bd6facb-8754-4f43-bba7-304501e944f6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 xml:space="preserve"> </w:t>
      </w:r>
    </w:p>
    <w:p>
      <w:pPr>
        <w:pStyle w:val="8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仿宋" w:hAnsi="仿宋" w:eastAsia="仿宋" w:cs="宋体"/>
          <w:snapToGrid w:val="0"/>
          <w:sz w:val="24"/>
          <w:szCs w:val="24"/>
        </w:rPr>
      </w:pPr>
      <w:r>
        <w:rPr>
          <w:rFonts w:hint="eastAsia" w:ascii="仿宋" w:hAnsi="仿宋" w:eastAsia="仿宋" w:cs="宋体"/>
          <w:snapToGrid w:val="0"/>
          <w:sz w:val="24"/>
          <w:szCs w:val="24"/>
        </w:rPr>
        <w:t>供应商根据图纸、参考工程量清单（若有）和采购文件的要求自行计算（或复核）工程量并报计单价和合价及总价。除另有约定可调整部分以外，所报总价固定不作调整。</w:t>
      </w:r>
    </w:p>
    <w:p>
      <w:pPr>
        <w:pStyle w:val="81"/>
        <w:ind w:firstLine="851"/>
        <w:rPr>
          <w:rFonts w:ascii="仿宋" w:hAnsi="仿宋" w:eastAsia="仿宋" w:cs="宋体"/>
          <w:snapToGrid w:val="0"/>
          <w:sz w:val="24"/>
          <w:szCs w:val="24"/>
          <w:u w:val="single"/>
        </w:rPr>
      </w:pPr>
      <w:r>
        <w:rPr>
          <w:rFonts w:ascii="仿宋" w:hAnsi="仿宋" w:eastAsia="仿宋" w:cs="宋体"/>
          <w:snapToGrid w:val="0"/>
          <w:sz w:val="24"/>
          <w:szCs w:val="24"/>
        </w:rPr>
        <w:fldChar w:fldCharType="end"/>
      </w:r>
      <w:r>
        <w:rPr>
          <w:rFonts w:ascii="仿宋" w:hAnsi="仿宋" w:eastAsia="仿宋" w:cs="宋体"/>
          <w:snapToGrid w:val="0"/>
          <w:sz w:val="24"/>
          <w:szCs w:val="24"/>
        </w:rPr>
        <w:t>□</w:t>
      </w:r>
      <w:r>
        <w:rPr>
          <w:rFonts w:ascii="仿宋" w:hAnsi="仿宋" w:eastAsia="仿宋" w:cs="宋体"/>
          <w:snapToGrid w:val="0"/>
          <w:sz w:val="24"/>
          <w:szCs w:val="24"/>
        </w:rPr>
        <w:fldChar w:fldCharType="begin"/>
      </w:r>
      <w:r>
        <w:rPr>
          <w:rFonts w:ascii="仿宋" w:hAnsi="仿宋" w:eastAsia="仿宋" w:cs="宋体"/>
          <w:snapToGrid w:val="0"/>
          <w:sz w:val="24"/>
          <w:szCs w:val="24"/>
        </w:rPr>
        <w:instrText xml:space="preserve"> MERGEFIELD tbbjfs_qt|1|575c3209-0a41-421d-918b-07ddb7901d39|f1cdc3ae-01c6-46ef-b406-66108c413202 </w:instrText>
      </w:r>
      <w:r>
        <w:rPr>
          <w:rFonts w:ascii="仿宋" w:hAnsi="仿宋" w:eastAsia="仿宋" w:cs="宋体"/>
          <w:snapToGrid w:val="0"/>
          <w:sz w:val="24"/>
          <w:szCs w:val="24"/>
        </w:rPr>
        <w:fldChar w:fldCharType="separate"/>
      </w:r>
      <w:r>
        <w:rPr>
          <w:rFonts w:ascii="仿宋" w:hAnsi="仿宋" w:eastAsia="仿宋" w:cs="宋体"/>
          <w:snapToGrid w:val="0"/>
          <w:sz w:val="24"/>
          <w:szCs w:val="24"/>
        </w:rPr>
        <w:t>其他：</w:t>
      </w:r>
      <w:r>
        <w:rPr>
          <w:rFonts w:ascii="仿宋" w:hAnsi="仿宋" w:eastAsia="仿宋" w:cs="宋体"/>
          <w:snapToGrid w:val="0"/>
          <w:sz w:val="24"/>
          <w:szCs w:val="24"/>
        </w:rPr>
        <w:fldChar w:fldCharType="end"/>
      </w:r>
      <w:r>
        <w:rPr>
          <w:rFonts w:ascii="仿宋" w:hAnsi="仿宋" w:eastAsia="仿宋" w:cs="宋体"/>
          <w:snapToGrid w:val="0"/>
          <w:sz w:val="24"/>
          <w:szCs w:val="24"/>
          <w:u w:val="single"/>
        </w:rPr>
        <w:t xml:space="preserve">                                    </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r>
        <w:rPr>
          <w:rFonts w:ascii="仿宋" w:hAnsi="仿宋" w:eastAsia="仿宋"/>
          <w:snapToGrid w:val="0"/>
          <w:sz w:val="24"/>
          <w:szCs w:val="24"/>
        </w:rPr>
        <w:t>3.2.5</w:t>
      </w:r>
      <w:r>
        <w:rPr>
          <w:rFonts w:ascii="仿宋" w:hAnsi="仿宋" w:eastAsia="仿宋"/>
          <w:snapToGrid w:val="0"/>
          <w:sz w:val="24"/>
          <w:szCs w:val="24"/>
        </w:rPr>
        <w:tab/>
      </w:r>
      <w:r>
        <w:rPr>
          <w:rFonts w:hint="eastAsia" w:ascii="仿宋" w:hAnsi="仿宋" w:eastAsia="仿宋"/>
          <w:snapToGrid w:val="0"/>
          <w:sz w:val="24"/>
          <w:szCs w:val="24"/>
        </w:rPr>
        <w:t>响应</w:t>
      </w:r>
      <w:r>
        <w:rPr>
          <w:rFonts w:ascii="仿宋" w:hAnsi="仿宋" w:eastAsia="仿宋"/>
          <w:snapToGrid w:val="0"/>
          <w:sz w:val="24"/>
          <w:szCs w:val="24"/>
        </w:rPr>
        <w:t>报价应根据</w:t>
      </w:r>
      <w:r>
        <w:rPr>
          <w:rFonts w:hint="eastAsia" w:ascii="仿宋" w:hAnsi="仿宋" w:eastAsia="仿宋"/>
          <w:snapToGrid w:val="0"/>
          <w:sz w:val="24"/>
          <w:szCs w:val="24"/>
        </w:rPr>
        <w:t>采购</w:t>
      </w:r>
      <w:r>
        <w:rPr>
          <w:rFonts w:ascii="仿宋" w:hAnsi="仿宋" w:eastAsia="仿宋"/>
          <w:snapToGrid w:val="0"/>
          <w:sz w:val="24"/>
          <w:szCs w:val="24"/>
        </w:rPr>
        <w:t>文件中的有关计价要求，并按照下列依据自主报价。</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(1)本</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及工程量清单（单价合同必须）</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(2)国家或本市建设主管部门颁发的计价办法；</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(3)企业定额，国家或本市建设主管部门颁发的计价标准（定额）；</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(4)补充</w:t>
      </w:r>
      <w:r>
        <w:rPr>
          <w:rFonts w:hint="eastAsia" w:ascii="仿宋" w:hAnsi="仿宋" w:eastAsia="仿宋" w:cs="宋体"/>
          <w:snapToGrid w:val="0"/>
          <w:sz w:val="24"/>
          <w:szCs w:val="24"/>
        </w:rPr>
        <w:t>采购</w:t>
      </w:r>
      <w:r>
        <w:rPr>
          <w:rFonts w:ascii="仿宋" w:hAnsi="仿宋" w:eastAsia="仿宋" w:cs="宋体"/>
          <w:snapToGrid w:val="0"/>
          <w:sz w:val="24"/>
          <w:szCs w:val="24"/>
        </w:rPr>
        <w:t>文件</w:t>
      </w:r>
      <w:r>
        <w:rPr>
          <w:rFonts w:hint="eastAsia" w:ascii="仿宋" w:hAnsi="仿宋" w:eastAsia="仿宋" w:cs="宋体"/>
          <w:snapToGrid w:val="0"/>
          <w:sz w:val="24"/>
          <w:szCs w:val="24"/>
        </w:rPr>
        <w:t>（如有）</w:t>
      </w:r>
      <w:r>
        <w:rPr>
          <w:rFonts w:ascii="仿宋" w:hAnsi="仿宋" w:eastAsia="仿宋" w:cs="宋体"/>
          <w:snapToGrid w:val="0"/>
          <w:sz w:val="24"/>
          <w:szCs w:val="24"/>
        </w:rPr>
        <w:t>；</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(5)建设工程设计文件及相关资料；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(6)施工现场情况、工程特点及拟定的施工组织设计或施工方案；</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(7)与建设项目相关的标准、规定等技术资料；</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(8)市场价格信息或工程造价管理机构发布的工程造价信息；</w:t>
      </w:r>
    </w:p>
    <w:p>
      <w:pPr>
        <w:pStyle w:val="81"/>
        <w:ind w:firstLine="454"/>
        <w:rPr>
          <w:rFonts w:ascii="仿宋" w:hAnsi="仿宋" w:eastAsia="仿宋" w:cs="宋体"/>
          <w:snapToGrid w:val="0"/>
          <w:sz w:val="24"/>
          <w:szCs w:val="24"/>
        </w:rPr>
      </w:pPr>
      <w:r>
        <w:rPr>
          <w:rFonts w:ascii="仿宋" w:hAnsi="仿宋" w:eastAsia="仿宋" w:cs="宋体"/>
          <w:snapToGrid w:val="0"/>
          <w:sz w:val="24"/>
          <w:szCs w:val="24"/>
        </w:rPr>
        <w:t>(9)其他的相关资料。</w:t>
      </w:r>
    </w:p>
    <w:p>
      <w:pPr>
        <w:pStyle w:val="81"/>
        <w:tabs>
          <w:tab w:val="left" w:pos="1418"/>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firstLine="425"/>
        <w:rPr>
          <w:rFonts w:ascii="仿宋" w:hAnsi="仿宋" w:eastAsia="仿宋"/>
          <w:snapToGrid w:val="0"/>
          <w:sz w:val="24"/>
          <w:szCs w:val="24"/>
        </w:rPr>
      </w:pPr>
      <w:bookmarkStart w:id="96" w:name="_bookmark4"/>
      <w:bookmarkEnd w:id="96"/>
      <w:r>
        <w:rPr>
          <w:rFonts w:ascii="仿宋" w:hAnsi="仿宋" w:eastAsia="仿宋"/>
          <w:snapToGrid w:val="0"/>
          <w:sz w:val="24"/>
          <w:szCs w:val="24"/>
        </w:rPr>
        <w:t>3.2.6</w:t>
      </w:r>
      <w:r>
        <w:rPr>
          <w:rFonts w:ascii="仿宋" w:hAnsi="仿宋" w:eastAsia="仿宋"/>
          <w:snapToGrid w:val="0"/>
          <w:sz w:val="24"/>
          <w:szCs w:val="24"/>
        </w:rPr>
        <w:tab/>
      </w:r>
      <w:r>
        <w:rPr>
          <w:rFonts w:ascii="仿宋" w:hAnsi="仿宋" w:eastAsia="仿宋"/>
          <w:snapToGrid w:val="0"/>
          <w:sz w:val="24"/>
          <w:szCs w:val="24"/>
        </w:rPr>
        <w:t>报价的其他要求见供应商须知前附表。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7" w:name="_Toc30307"/>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.3 响应文件有效期</w:t>
      </w:r>
      <w:bookmarkEnd w:id="97"/>
    </w:p>
    <w:p>
      <w:pPr>
        <w:adjustRightInd w:val="0"/>
        <w:snapToGrid w:val="0"/>
        <w:spacing w:line="360" w:lineRule="auto"/>
        <w:ind w:firstLine="400"/>
        <w:jc w:val="both"/>
        <w:outlineLvl w:val="3"/>
        <w:rPr>
          <w:rFonts w:ascii="仿宋" w:hAnsi="仿宋" w:eastAsia="仿宋"/>
          <w:snapToGrid w:val="0"/>
          <w:sz w:val="24"/>
          <w:szCs w:val="24"/>
          <w:lang w:eastAsia="zh-CN"/>
        </w:rPr>
      </w:pPr>
      <w:r>
        <w:rPr>
          <w:rFonts w:ascii="仿宋" w:hAnsi="仿宋" w:eastAsia="仿宋"/>
          <w:snapToGrid w:val="0"/>
          <w:sz w:val="24"/>
          <w:szCs w:val="24"/>
          <w:lang w:eastAsia="zh-CN"/>
        </w:rPr>
        <w:t>3.3.1</w:t>
      </w:r>
      <w:r>
        <w:rPr>
          <w:rFonts w:ascii="仿宋" w:hAnsi="仿宋" w:eastAsia="仿宋"/>
          <w:snapToGrid w:val="0"/>
          <w:sz w:val="24"/>
          <w:szCs w:val="24"/>
          <w:lang w:eastAsia="zh-CN"/>
        </w:rPr>
        <w:tab/>
      </w:r>
      <w:r>
        <w:rPr>
          <w:rFonts w:ascii="仿宋" w:hAnsi="仿宋" w:eastAsia="仿宋"/>
          <w:snapToGrid w:val="0"/>
          <w:sz w:val="24"/>
          <w:szCs w:val="24"/>
          <w:lang w:eastAsia="zh-CN"/>
        </w:rPr>
        <w:t>除供应商须知前附表另有规定外，响应文件有效期应为90日，从采购文件规定的递交响应文件的截止时间开始计算。</w:t>
      </w:r>
    </w:p>
    <w:p>
      <w:pPr>
        <w:adjustRightInd w:val="0"/>
        <w:snapToGrid w:val="0"/>
        <w:spacing w:line="360" w:lineRule="auto"/>
        <w:ind w:firstLine="400"/>
        <w:jc w:val="both"/>
        <w:outlineLvl w:val="3"/>
        <w:rPr>
          <w:rFonts w:ascii="仿宋" w:hAnsi="仿宋" w:eastAsia="仿宋"/>
          <w:snapToGrid w:val="0"/>
          <w:sz w:val="24"/>
          <w:szCs w:val="24"/>
          <w:lang w:eastAsia="zh-CN"/>
        </w:rPr>
      </w:pPr>
      <w:bookmarkStart w:id="98" w:name="扫描0024"/>
      <w:bookmarkEnd w:id="98"/>
      <w:r>
        <w:rPr>
          <w:rFonts w:hint="eastAsia" w:ascii="仿宋" w:hAnsi="仿宋" w:eastAsia="仿宋"/>
          <w:snapToGrid w:val="0"/>
          <w:sz w:val="24"/>
          <w:szCs w:val="24"/>
          <w:lang w:eastAsia="zh-CN"/>
        </w:rPr>
        <w:t>3</w:t>
      </w:r>
      <w:r>
        <w:rPr>
          <w:rFonts w:ascii="仿宋" w:hAnsi="仿宋" w:eastAsia="仿宋"/>
          <w:snapToGrid w:val="0"/>
          <w:sz w:val="24"/>
          <w:szCs w:val="24"/>
          <w:lang w:eastAsia="zh-CN"/>
        </w:rPr>
        <w:t>.3.2</w:t>
      </w:r>
      <w:r>
        <w:rPr>
          <w:rFonts w:ascii="仿宋" w:hAnsi="仿宋" w:eastAsia="仿宋"/>
          <w:snapToGrid w:val="0"/>
          <w:sz w:val="24"/>
          <w:szCs w:val="24"/>
          <w:lang w:eastAsia="zh-CN"/>
        </w:rPr>
        <w:tab/>
      </w:r>
      <w:r>
        <w:rPr>
          <w:rFonts w:eastAsia="仿宋" w:asciiTheme="minorEastAsia" w:hAnsiTheme="minorEastAsia"/>
          <w:snapToGrid w:val="0"/>
          <w:sz w:val="24"/>
          <w:szCs w:val="24"/>
          <w:lang w:eastAsia="zh-CN"/>
        </w:rPr>
        <w:t>出现特殊情况需要延长响应文件有效期的，采购人</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系统中通过标前澄清</w:t>
      </w:r>
      <w:r>
        <w:rPr>
          <w:rFonts w:eastAsia="仿宋" w:asciiTheme="minorEastAsia" w:hAnsiTheme="minorEastAsia"/>
          <w:snapToGrid w:val="0"/>
          <w:sz w:val="24"/>
          <w:szCs w:val="24"/>
          <w:lang w:eastAsia="zh-CN"/>
        </w:rPr>
        <w:t>通知所有供应商延长响应文件有效期</w:t>
      </w:r>
      <w:r>
        <w:rPr>
          <w:rFonts w:hint="eastAsia"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99" w:name="_Toc27688"/>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.4 响应保证金</w:t>
      </w:r>
      <w:bookmarkEnd w:id="99"/>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另有规定外，采购人将在发出成交通知书后尽快向除成交供应商外的其他供应商原额退还响应保证金，并在采购合同签订后尽快向成交供应商和退还响应保证金。采用银行保函、担保机构担保函、保险机构保险单形式递交的响应保证金，经供应商同意后采购人可以不再退还。</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有下列情形之一的，响应保证金将不予退还：</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供应商在响应文件有效期内撤销响应文件；</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成交供应商在收到成交通知书后，无正当理由不与采购人订立合同，在签订合同时向采购人提出附加条件，或者不按照采购文件要求递交履约保证金；</w:t>
      </w:r>
    </w:p>
    <w:p>
      <w:pPr>
        <w:pStyle w:val="17"/>
        <w:numPr>
          <w:ilvl w:val="3"/>
          <w:numId w:val="8"/>
        </w:numPr>
        <w:adjustRightInd w:val="0"/>
        <w:snapToGrid w:val="0"/>
        <w:spacing w:line="360"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发生供应商须知前附表规定的其他不予退还响应保证金的情形。</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0" w:name="_Toc17372"/>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.5 资格审查资料</w:t>
      </w:r>
      <w:bookmarkEnd w:id="100"/>
    </w:p>
    <w:p>
      <w:pPr>
        <w:adjustRightInd w:val="0"/>
        <w:snapToGrid w:val="0"/>
        <w:spacing w:line="360" w:lineRule="auto"/>
        <w:ind w:firstLine="400"/>
        <w:rPr>
          <w:rFonts w:eastAsia="仿宋" w:asciiTheme="minorEastAsia" w:hAnsiTheme="minorEastAsia"/>
          <w:snapToGrid w:val="0"/>
          <w:sz w:val="24"/>
          <w:szCs w:val="24"/>
          <w:lang w:eastAsia="zh-CN"/>
        </w:rPr>
      </w:pPr>
      <w:bookmarkStart w:id="101" w:name="扫描0025"/>
      <w:bookmarkEnd w:id="101"/>
      <w:bookmarkStart w:id="102" w:name="_bookmark5"/>
      <w:bookmarkEnd w:id="102"/>
      <w:r>
        <w:rPr>
          <w:rFonts w:eastAsia="仿宋" w:asciiTheme="minorEastAsia" w:hAnsiTheme="minorEastAsia"/>
          <w:snapToGrid w:val="0"/>
          <w:sz w:val="24"/>
          <w:szCs w:val="24"/>
          <w:lang w:eastAsia="zh-CN"/>
        </w:rPr>
        <w:t>供应商应提供供应商须知前附表3.5(1)-3.5(9)中规定的资格审查资料，以证明其满足第一章“谈判采购公告/谈判采购邀请书”对供应商的各项资格要求。</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3" w:name="_Toc94149473"/>
      <w:bookmarkStart w:id="104" w:name="_Toc7914"/>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.6 响应方案</w:t>
      </w:r>
      <w:bookmarkEnd w:id="103"/>
      <w:bookmarkEnd w:id="104"/>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响应文件应当对采购文件中的实质性内容作出响应。采购需求中明确为关键条款(标记“</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”)的，供应商还应按照供应商须知前附表的规定提供有关证据或证明材料。</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05" w:name="_Toc32686"/>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.7 响应文件的编制</w:t>
      </w:r>
      <w:bookmarkEnd w:id="105"/>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响应文件应按第六章“响应文件格式”进行编写，如有必要，可以增加附页，作为响应文件的组成部分。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响应文件应用不褪色的材料书写或打印。</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响应函应由供应商的法定代表人（单位负责人）或其授权的代理人签字并加盖单位公章。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联合体协议书（如有）应由联合体各方的法定代表人（单位负责人）或其授权的代理人签字并加盖单位公章。</w:t>
      </w:r>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谈判中供应商对响应文件的澄清、说明和补正应由供应商的法定代表人（单位负责人）或其授权的代理人签字或加盖单位公章。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响应文件应尽量避免涂改、行间插字或删除。如果出现上述情况，改动之处应由供应商的法定代表人（单位负责人）或其授权的代理人签字或加盖单位公章。</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响应文件正本一份，副本份数见供应商须知前附表。正本和副本的封面右上角应清楚地标记“正本”或“副本”的字样。供应商应根据供应商须知前附表要求提供电子版文件。当副本和正本不一致</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以正本为准；当</w:t>
      </w:r>
      <w:r>
        <w:rPr>
          <w:rFonts w:eastAsia="仿宋" w:asciiTheme="minorEastAsia" w:hAnsiTheme="minorEastAsia"/>
          <w:snapToGrid w:val="0"/>
          <w:sz w:val="24"/>
          <w:szCs w:val="24"/>
          <w:lang w:eastAsia="zh-CN"/>
        </w:rPr>
        <w:t>电子版文件和纸质</w:t>
      </w:r>
      <w:r>
        <w:rPr>
          <w:rFonts w:hint="eastAsia" w:eastAsia="仿宋" w:asciiTheme="minorEastAsia" w:hAnsiTheme="minorEastAsia"/>
          <w:snapToGrid w:val="0"/>
          <w:sz w:val="24"/>
          <w:szCs w:val="24"/>
          <w:lang w:eastAsia="zh-CN"/>
        </w:rPr>
        <w:t>版</w:t>
      </w:r>
      <w:r>
        <w:rPr>
          <w:rFonts w:eastAsia="仿宋" w:asciiTheme="minorEastAsia" w:hAnsiTheme="minorEastAsia"/>
          <w:snapToGrid w:val="0"/>
          <w:sz w:val="24"/>
          <w:szCs w:val="24"/>
          <w:lang w:eastAsia="zh-CN"/>
        </w:rPr>
        <w:t>文件不一致时，以</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lang w:eastAsia="zh-CN"/>
        </w:rPr>
        <w:t>PS电子采购平台系统内</w:t>
      </w:r>
      <w:r>
        <w:rPr>
          <w:rFonts w:hint="eastAsia" w:eastAsia="仿宋" w:asciiTheme="minorEastAsia" w:hAnsiTheme="minorEastAsia"/>
          <w:snapToGrid w:val="0"/>
          <w:sz w:val="24"/>
          <w:szCs w:val="24"/>
          <w:lang w:eastAsia="zh-CN"/>
        </w:rPr>
        <w:t>上传的版本</w:t>
      </w:r>
      <w:r>
        <w:rPr>
          <w:rFonts w:eastAsia="仿宋" w:asciiTheme="minorEastAsia" w:hAnsiTheme="minorEastAsia"/>
          <w:snapToGrid w:val="0"/>
          <w:sz w:val="24"/>
          <w:szCs w:val="24"/>
          <w:lang w:eastAsia="zh-CN"/>
        </w:rPr>
        <w:t>为准。</w:t>
      </w:r>
    </w:p>
    <w:p>
      <w:pPr>
        <w:adjustRightInd w:val="0"/>
        <w:snapToGrid w:val="0"/>
        <w:spacing w:line="360" w:lineRule="auto"/>
        <w:ind w:firstLine="400"/>
        <w:jc w:val="both"/>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3.7.6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响应文件的正本与副本应分别装订，并编制目录。响应文件需分册装订的，具体分册装订要求见供应商须知前附表规定。</w:t>
      </w:r>
    </w:p>
    <w:p>
      <w:pPr>
        <w:pStyle w:val="3"/>
        <w:spacing w:line="360" w:lineRule="auto"/>
        <w:rPr>
          <w:rFonts w:ascii="仿宋" w:hAnsi="仿宋" w:eastAsia="仿宋"/>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06" w:name="_Toc32328"/>
      <w:bookmarkStart w:id="107" w:name="_Toc94149475"/>
      <w:r>
        <w:rPr>
          <w:rFonts w:eastAsia="仿宋" w:asciiTheme="minorEastAsia" w:hAnsiTheme="minorEastAsia"/>
          <w:b/>
          <w:bCs/>
          <w:snapToGrid w:val="0"/>
          <w:sz w:val="24"/>
          <w:szCs w:val="24"/>
          <w:lang w:eastAsia="zh-CN"/>
        </w:rPr>
        <w:t>4</w:t>
      </w:r>
      <w:r>
        <w:rPr>
          <w:rFonts w:hint="eastAsia" w:eastAsia="仿宋" w:asciiTheme="minorEastAsia" w:hAnsiTheme="minorEastAsia"/>
          <w:b/>
          <w:bCs/>
          <w:snapToGrid w:val="0"/>
          <w:sz w:val="24"/>
          <w:szCs w:val="24"/>
          <w:lang w:eastAsia="zh-CN"/>
        </w:rPr>
        <w:t>.采购</w:t>
      </w:r>
      <w:r>
        <w:rPr>
          <w:rFonts w:eastAsia="仿宋" w:asciiTheme="minorEastAsia" w:hAnsiTheme="minorEastAsia"/>
          <w:b/>
          <w:bCs/>
          <w:snapToGrid w:val="0"/>
          <w:sz w:val="24"/>
          <w:szCs w:val="24"/>
          <w:lang w:eastAsia="zh-CN"/>
        </w:rPr>
        <w:t>和评审</w:t>
      </w:r>
      <w:bookmarkEnd w:id="106"/>
      <w:bookmarkEnd w:id="10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08" w:name="_Toc94149476"/>
      <w:bookmarkStart w:id="109" w:name="_Toc31672"/>
      <w:r>
        <w:rPr>
          <w:rFonts w:eastAsia="仿宋" w:asciiTheme="minorEastAsia" w:hAnsiTheme="minorEastAsia"/>
          <w:b/>
          <w:snapToGrid w:val="0"/>
          <w:sz w:val="24"/>
          <w:szCs w:val="24"/>
          <w:lang w:eastAsia="zh-CN"/>
        </w:rPr>
        <w:t>4.1 采购小组</w:t>
      </w:r>
      <w:bookmarkEnd w:id="108"/>
      <w:bookmarkEnd w:id="109"/>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4.1.1</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采</w:t>
      </w:r>
      <w:r>
        <w:rPr>
          <w:rFonts w:eastAsia="仿宋" w:asciiTheme="minorEastAsia" w:hAnsiTheme="minorEastAsia"/>
          <w:snapToGrid w:val="0"/>
          <w:sz w:val="24"/>
          <w:szCs w:val="24"/>
          <w:lang w:eastAsia="zh-CN"/>
        </w:rPr>
        <w:t>购</w:t>
      </w:r>
      <w:r>
        <w:rPr>
          <w:rFonts w:hint="eastAsia" w:eastAsia="仿宋" w:asciiTheme="minorEastAsia" w:hAnsiTheme="minorEastAsia"/>
          <w:snapToGrid w:val="0"/>
          <w:sz w:val="24"/>
          <w:szCs w:val="24"/>
          <w:lang w:eastAsia="zh-CN"/>
        </w:rPr>
        <w:t>方</w:t>
      </w:r>
      <w:r>
        <w:rPr>
          <w:rFonts w:eastAsia="仿宋" w:asciiTheme="minorEastAsia" w:hAnsiTheme="minorEastAsia"/>
          <w:snapToGrid w:val="0"/>
          <w:sz w:val="24"/>
          <w:szCs w:val="24"/>
          <w:lang w:eastAsia="zh-CN"/>
        </w:rPr>
        <w:t>将组建采购小组，由采购小组按照本条规定的程序以及第三章“评审办法”的规定与供应商进行谈判、对响应文件进行评审和比较。</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采购小组成员有下列情形之一的，应当回避：</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供应商主要负责人或供应商主要负责人的近亲属；</w:t>
      </w:r>
    </w:p>
    <w:p>
      <w:pPr>
        <w:pStyle w:val="17"/>
        <w:numPr>
          <w:ilvl w:val="3"/>
          <w:numId w:val="9"/>
        </w:numPr>
        <w:adjustRightInd w:val="0"/>
        <w:snapToGrid w:val="0"/>
        <w:spacing w:line="276" w:lineRule="auto"/>
        <w:ind w:left="0" w:firstLine="40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与供应商有经济利益关系或其他利害关系，可能影响公正评审的。</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采购小组组建后，采购小组成员共同推选或由采购人指定采购小组组长，采购小组组长负责组织谈判及评审工作。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在谈判和评审过程中，采购小组成员对需要共同认定的事项存在争议的，将按照少数服从多数的原则作出结论。持不同意见的采购小组成员应当在评审</w:t>
      </w:r>
      <w:r>
        <w:rPr>
          <w:rFonts w:hint="eastAsia" w:eastAsia="仿宋" w:asciiTheme="minorEastAsia" w:hAnsiTheme="minorEastAsia"/>
          <w:snapToGrid w:val="0"/>
          <w:sz w:val="24"/>
          <w:szCs w:val="24"/>
          <w:lang w:eastAsia="zh-CN"/>
        </w:rPr>
        <w:t>资料上写明不</w:t>
      </w:r>
      <w:r>
        <w:rPr>
          <w:rFonts w:eastAsia="仿宋" w:asciiTheme="minorEastAsia" w:hAnsiTheme="minorEastAsia"/>
          <w:snapToGrid w:val="0"/>
          <w:sz w:val="24"/>
          <w:szCs w:val="24"/>
          <w:lang w:eastAsia="zh-CN"/>
        </w:rPr>
        <w:t>同意见及理由，否则视为同意评审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0" w:name="_Toc17376"/>
      <w:bookmarkStart w:id="111" w:name="_Toc94149477"/>
      <w:r>
        <w:rPr>
          <w:rFonts w:eastAsia="仿宋" w:asciiTheme="minorEastAsia" w:hAnsiTheme="minorEastAsia"/>
          <w:b/>
          <w:snapToGrid w:val="0"/>
          <w:sz w:val="24"/>
          <w:szCs w:val="24"/>
          <w:lang w:eastAsia="zh-CN"/>
        </w:rPr>
        <w:t>4.2 初步评审</w:t>
      </w:r>
      <w:bookmarkEnd w:id="110"/>
      <w:bookmarkEnd w:id="111"/>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只有形式评审和资格评审合格且实质性响应采购文件要求的供应商才可通过初步评审。经供应商澄清、说明和补正后仍未通过初步评审的响应文件将被视为无效，采购小组应告知有关供应商。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2" w:name="_Toc25968"/>
      <w:bookmarkStart w:id="113" w:name="_Toc94149478"/>
      <w:r>
        <w:rPr>
          <w:rFonts w:eastAsia="仿宋" w:asciiTheme="minorEastAsia" w:hAnsiTheme="minorEastAsia"/>
          <w:b/>
          <w:snapToGrid w:val="0"/>
          <w:sz w:val="24"/>
          <w:szCs w:val="24"/>
          <w:lang w:eastAsia="zh-CN"/>
        </w:rPr>
        <w:t>4.3 谈判</w:t>
      </w:r>
      <w:bookmarkEnd w:id="112"/>
      <w:bookmarkEnd w:id="113"/>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采购小组应按照供应商须知前附表规定的谈判轮次及谈判顺序与通过初步评审的供应商逐一进行谈判。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通过公告方式邀请供应商且通过初步评审的供应商</w:t>
      </w:r>
      <w:r>
        <w:rPr>
          <w:rFonts w:hint="eastAsia" w:eastAsia="仿宋" w:asciiTheme="minorEastAsia" w:hAnsiTheme="minorEastAsia"/>
          <w:snapToGrid w:val="0"/>
          <w:sz w:val="24"/>
          <w:szCs w:val="24"/>
          <w:lang w:eastAsia="zh-CN"/>
        </w:rPr>
        <w:t>均需</w:t>
      </w:r>
      <w:r>
        <w:rPr>
          <w:rFonts w:eastAsia="仿宋" w:asciiTheme="minorEastAsia" w:hAnsiTheme="minorEastAsia"/>
          <w:snapToGrid w:val="0"/>
          <w:sz w:val="24"/>
          <w:szCs w:val="24"/>
          <w:lang w:eastAsia="zh-CN"/>
        </w:rPr>
        <w:t>进行谈判。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4.3.3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4" w:name="_Toc94149479"/>
      <w:bookmarkStart w:id="115" w:name="_Toc8279"/>
      <w:r>
        <w:rPr>
          <w:rFonts w:eastAsia="仿宋" w:asciiTheme="minorEastAsia" w:hAnsiTheme="minorEastAsia"/>
          <w:b/>
          <w:snapToGrid w:val="0"/>
          <w:sz w:val="24"/>
          <w:szCs w:val="24"/>
          <w:lang w:eastAsia="zh-CN"/>
        </w:rPr>
        <w:t>4.4 递交补充响应文件</w:t>
      </w:r>
      <w:bookmarkEnd w:id="114"/>
      <w:bookmarkEnd w:id="11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在谈判过程中，采购小组可根据谈判情况修改和补充采购文件中采购需求部分</w:t>
      </w:r>
      <w:bookmarkStart w:id="116" w:name="扫描0028"/>
      <w:bookmarkEnd w:id="116"/>
      <w:r>
        <w:rPr>
          <w:rFonts w:eastAsia="仿宋" w:asciiTheme="minorEastAsia" w:hAnsiTheme="minorEastAsia"/>
          <w:snapToGrid w:val="0"/>
          <w:sz w:val="24"/>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eastAsia="仿宋" w:asciiTheme="minorEastAsia" w:hAnsiTheme="minorEastAsia"/>
          <w:snapToGrid w:val="0"/>
          <w:sz w:val="24"/>
          <w:szCs w:val="24"/>
          <w:lang w:eastAsia="zh-CN"/>
        </w:rPr>
        <w:t>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4.4.3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7" w:name="_Toc10184"/>
      <w:bookmarkStart w:id="118" w:name="_Toc94149480"/>
      <w:r>
        <w:rPr>
          <w:rFonts w:eastAsia="仿宋" w:asciiTheme="minorEastAsia" w:hAnsiTheme="minorEastAsia"/>
          <w:b/>
          <w:snapToGrid w:val="0"/>
          <w:sz w:val="24"/>
          <w:szCs w:val="24"/>
          <w:lang w:eastAsia="zh-CN"/>
        </w:rPr>
        <w:t>4.5 递交最终报价</w:t>
      </w:r>
      <w:bookmarkEnd w:id="117"/>
      <w:bookmarkEnd w:id="11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w:t>
      </w:r>
      <w:r>
        <w:rPr>
          <w:rFonts w:hint="eastAsia" w:eastAsia="仿宋" w:asciiTheme="minorEastAsia" w:hAnsiTheme="minorEastAsia"/>
          <w:snapToGrid w:val="0"/>
          <w:sz w:val="24"/>
          <w:szCs w:val="24"/>
          <w:lang w:eastAsia="zh-CN"/>
        </w:rPr>
        <w:t>在E</w:t>
      </w:r>
      <w:r>
        <w:rPr>
          <w:rFonts w:eastAsia="仿宋" w:asciiTheme="minorEastAsia" w:hAnsiTheme="minorEastAsia"/>
          <w:snapToGrid w:val="0"/>
          <w:sz w:val="24"/>
          <w:szCs w:val="24"/>
          <w:lang w:eastAsia="zh-CN"/>
        </w:rPr>
        <w:t>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递交最终报价。最终报价是供应商响应文件的组成部分。</w:t>
      </w:r>
    </w:p>
    <w:p>
      <w:pPr>
        <w:adjustRightInd w:val="0"/>
        <w:snapToGrid w:val="0"/>
        <w:spacing w:line="360" w:lineRule="auto"/>
        <w:ind w:firstLine="400"/>
        <w:jc w:val="both"/>
        <w:rPr>
          <w:rFonts w:eastAsia="仿宋" w:asciiTheme="minorEastAsia" w:hAnsiTheme="minorEastAsia"/>
          <w:snapToGrid w:val="0"/>
          <w:sz w:val="24"/>
          <w:szCs w:val="24"/>
          <w:lang w:eastAsia="zh-CN"/>
        </w:rPr>
      </w:pP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19" w:name="_Toc25655"/>
      <w:bookmarkStart w:id="120" w:name="_Toc94149482"/>
      <w:r>
        <w:rPr>
          <w:rFonts w:eastAsia="仿宋" w:asciiTheme="minorEastAsia" w:hAnsiTheme="minorEastAsia"/>
          <w:b/>
          <w:snapToGrid w:val="0"/>
          <w:sz w:val="24"/>
          <w:szCs w:val="24"/>
          <w:lang w:eastAsia="zh-CN"/>
        </w:rPr>
        <w:t>4.6 详细评</w:t>
      </w:r>
      <w:r>
        <w:rPr>
          <w:rFonts w:hint="eastAsia" w:eastAsia="仿宋" w:asciiTheme="minorEastAsia" w:hAnsiTheme="minorEastAsia"/>
          <w:b/>
          <w:snapToGrid w:val="0"/>
          <w:sz w:val="24"/>
          <w:szCs w:val="24"/>
          <w:lang w:eastAsia="zh-CN"/>
        </w:rPr>
        <w:t>审</w:t>
      </w:r>
      <w:r>
        <w:rPr>
          <w:rFonts w:eastAsia="仿宋" w:asciiTheme="minorEastAsia" w:hAnsiTheme="minorEastAsia"/>
          <w:b/>
          <w:snapToGrid w:val="0"/>
          <w:sz w:val="24"/>
          <w:szCs w:val="24"/>
          <w:lang w:eastAsia="zh-CN"/>
        </w:rPr>
        <w:t>及推荐成交供应商</w:t>
      </w:r>
      <w:bookmarkEnd w:id="119"/>
      <w:bookmarkEnd w:id="12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采购小组按照第三章“评审办法”规定的评审方法、评审因素、评审标准和程序对响应文件进行详细评审。第三章“评审办法”没有规定的方法、因素和标准，不作为评审依据。</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评审完成后，采购小组应当向采购人提交书面评审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和</w:t>
      </w:r>
      <w:r>
        <w:rPr>
          <w:rFonts w:hint="eastAsia" w:eastAsia="仿宋" w:asciiTheme="minorEastAsia" w:hAnsiTheme="minorEastAsia"/>
          <w:snapToGrid w:val="0"/>
          <w:sz w:val="24"/>
          <w:szCs w:val="24"/>
          <w:lang w:eastAsia="zh-CN"/>
        </w:rPr>
        <w:t>推荐成</w:t>
      </w:r>
      <w:r>
        <w:rPr>
          <w:rFonts w:eastAsia="仿宋" w:asciiTheme="minorEastAsia" w:hAnsiTheme="minorEastAsia"/>
          <w:snapToGrid w:val="0"/>
          <w:sz w:val="24"/>
          <w:szCs w:val="24"/>
          <w:lang w:eastAsia="zh-CN"/>
        </w:rPr>
        <w:t>交供应商名单。</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4.6.3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所有供应商最终报价均明显不合理的，采购人将终止采购活动。</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1" w:name="_Toc94149483"/>
      <w:bookmarkStart w:id="122" w:name="_Toc1303"/>
      <w:r>
        <w:rPr>
          <w:rFonts w:eastAsia="仿宋" w:asciiTheme="minorEastAsia" w:hAnsiTheme="minorEastAsia"/>
          <w:b/>
          <w:snapToGrid w:val="0"/>
          <w:sz w:val="24"/>
          <w:szCs w:val="24"/>
          <w:lang w:eastAsia="zh-CN"/>
        </w:rPr>
        <w:t>4.7 特殊情形处理</w:t>
      </w:r>
      <w:bookmarkEnd w:id="121"/>
      <w:bookmarkEnd w:id="122"/>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23" w:name="扫描0029"/>
      <w:bookmarkEnd w:id="123"/>
      <w:r>
        <w:rPr>
          <w:rFonts w:eastAsia="仿宋" w:asciiTheme="minorEastAsia" w:hAnsiTheme="minorEastAsia"/>
          <w:snapToGrid w:val="0"/>
          <w:sz w:val="24"/>
          <w:szCs w:val="24"/>
          <w:lang w:eastAsia="zh-CN"/>
        </w:rPr>
        <w:t>将终止采购活动。</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决定终止采购活动的，采购人将向采购小组出具停止谈判通知书。</w:t>
      </w:r>
    </w:p>
    <w:p>
      <w:pPr>
        <w:adjustRightInd w:val="0"/>
        <w:snapToGrid w:val="0"/>
        <w:spacing w:line="360" w:lineRule="auto"/>
        <w:ind w:firstLine="400"/>
        <w:rPr>
          <w:rFonts w:eastAsia="仿宋" w:asciiTheme="minorEastAsia" w:hAnsiTheme="minorEastAsia"/>
          <w:snapToGrid w:val="0"/>
          <w:sz w:val="24"/>
          <w:szCs w:val="24"/>
          <w:lang w:eastAsia="zh-CN"/>
        </w:rPr>
      </w:pPr>
    </w:p>
    <w:p>
      <w:pPr>
        <w:pStyle w:val="3"/>
        <w:spacing w:line="360" w:lineRule="auto"/>
        <w:rPr>
          <w:rFonts w:eastAsia="仿宋" w:asciiTheme="minorEastAsia" w:hAnsiTheme="minorEastAsia"/>
          <w:b/>
          <w:bCs/>
          <w:snapToGrid w:val="0"/>
          <w:sz w:val="24"/>
          <w:szCs w:val="24"/>
          <w:lang w:eastAsia="zh-CN"/>
        </w:rPr>
      </w:pPr>
      <w:bookmarkStart w:id="124" w:name="_Toc29853"/>
      <w:bookmarkStart w:id="125" w:name="_Toc94149484"/>
      <w:r>
        <w:rPr>
          <w:rFonts w:eastAsia="仿宋" w:asciiTheme="minorEastAsia" w:hAnsiTheme="minorEastAsia"/>
          <w:b/>
          <w:bCs/>
          <w:snapToGrid w:val="0"/>
          <w:sz w:val="24"/>
          <w:szCs w:val="24"/>
          <w:lang w:eastAsia="zh-CN"/>
        </w:rPr>
        <w:t>5</w:t>
      </w:r>
      <w:r>
        <w:rPr>
          <w:rFonts w:hint="eastAsia" w:eastAsia="仿宋" w:asciiTheme="minorEastAsia" w:hAnsiTheme="minorEastAsia"/>
          <w:b/>
          <w:bCs/>
          <w:snapToGrid w:val="0"/>
          <w:sz w:val="24"/>
          <w:szCs w:val="24"/>
          <w:lang w:eastAsia="zh-CN"/>
        </w:rPr>
        <w:t>．</w:t>
      </w:r>
      <w:r>
        <w:rPr>
          <w:rFonts w:eastAsia="仿宋" w:asciiTheme="minorEastAsia" w:hAnsiTheme="minorEastAsia"/>
          <w:b/>
          <w:bCs/>
          <w:snapToGrid w:val="0"/>
          <w:sz w:val="24"/>
          <w:szCs w:val="24"/>
          <w:lang w:eastAsia="zh-CN"/>
        </w:rPr>
        <w:t>合同授予</w:t>
      </w:r>
      <w:bookmarkEnd w:id="124"/>
      <w:bookmarkEnd w:id="125"/>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6" w:name="_Toc94149485"/>
      <w:bookmarkStart w:id="127" w:name="_Toc91750572"/>
      <w:bookmarkStart w:id="128" w:name="_Toc29060"/>
      <w:r>
        <w:rPr>
          <w:rFonts w:eastAsia="仿宋" w:asciiTheme="minorEastAsia" w:hAnsiTheme="minorEastAsia"/>
          <w:b/>
          <w:snapToGrid w:val="0"/>
          <w:sz w:val="24"/>
          <w:szCs w:val="24"/>
          <w:lang w:eastAsia="zh-CN"/>
        </w:rPr>
        <w:t>5.1 发出成交通知书</w:t>
      </w:r>
      <w:bookmarkEnd w:id="126"/>
      <w:bookmarkEnd w:id="127"/>
      <w:bookmarkEnd w:id="128"/>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lang w:eastAsia="zh-CN"/>
        </w:rPr>
        <w:t>在</w:t>
      </w:r>
      <w:r>
        <w:rPr>
          <w:rFonts w:eastAsia="仿宋" w:asciiTheme="minorEastAsia" w:hAnsiTheme="minorEastAsia"/>
          <w:snapToGrid w:val="0"/>
          <w:sz w:val="24"/>
          <w:szCs w:val="24"/>
          <w:lang w:eastAsia="zh-CN"/>
        </w:rPr>
        <w:t>EPS</w:t>
      </w:r>
      <w:r>
        <w:rPr>
          <w:rFonts w:hint="eastAsia" w:eastAsia="仿宋" w:asciiTheme="minorEastAsia" w:hAnsiTheme="minorEastAsia"/>
          <w:snapToGrid w:val="0"/>
          <w:sz w:val="24"/>
          <w:szCs w:val="24"/>
          <w:lang w:eastAsia="zh-CN"/>
        </w:rPr>
        <w:t>系统上</w:t>
      </w:r>
      <w:r>
        <w:rPr>
          <w:rFonts w:eastAsia="仿宋" w:asciiTheme="minorEastAsia" w:hAnsiTheme="minorEastAsia"/>
          <w:snapToGrid w:val="0"/>
          <w:sz w:val="24"/>
          <w:szCs w:val="24"/>
          <w:lang w:eastAsia="zh-CN"/>
        </w:rPr>
        <w:t>发出成交通知书。</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29" w:name="_Toc91750574"/>
      <w:bookmarkStart w:id="130" w:name="_Toc4758"/>
      <w:bookmarkStart w:id="131" w:name="_Toc94149486"/>
      <w:r>
        <w:rPr>
          <w:rFonts w:eastAsia="仿宋" w:asciiTheme="minorEastAsia" w:hAnsiTheme="minorEastAsia"/>
          <w:b/>
          <w:snapToGrid w:val="0"/>
          <w:sz w:val="24"/>
          <w:szCs w:val="24"/>
          <w:lang w:eastAsia="zh-CN"/>
        </w:rPr>
        <w:t>5.2 履约保证金</w:t>
      </w:r>
      <w:bookmarkEnd w:id="129"/>
      <w:bookmarkEnd w:id="130"/>
      <w:bookmarkEnd w:id="13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供应商须知前附表规定递交履约保证金的，成交供应商应按供应商须知前附表规定的形式、有效期限和递交时间向采购人递交履约保证金。</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2" w:name="_Toc14720"/>
      <w:bookmarkStart w:id="133" w:name="_Toc91750575"/>
      <w:bookmarkStart w:id="134" w:name="_Toc94149487"/>
      <w:r>
        <w:rPr>
          <w:rFonts w:eastAsia="仿宋" w:asciiTheme="minorEastAsia" w:hAnsiTheme="minorEastAsia"/>
          <w:b/>
          <w:snapToGrid w:val="0"/>
          <w:sz w:val="24"/>
          <w:szCs w:val="24"/>
          <w:lang w:eastAsia="zh-CN"/>
        </w:rPr>
        <w:t>5.3 签订合同</w:t>
      </w:r>
      <w:bookmarkEnd w:id="132"/>
      <w:bookmarkEnd w:id="133"/>
      <w:bookmarkEnd w:id="134"/>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联合体成交的，联合体各方应当共同与采购人签订合同，就成交项目向采购人承担连带责任。</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35" w:name="扫描0031"/>
      <w:bookmarkEnd w:id="135"/>
      <w:bookmarkStart w:id="136" w:name="_Toc29205"/>
      <w:bookmarkStart w:id="137" w:name="_Toc94149488"/>
      <w:r>
        <w:rPr>
          <w:rFonts w:eastAsia="仿宋" w:asciiTheme="minorEastAsia" w:hAnsiTheme="minorEastAsia"/>
          <w:b/>
          <w:snapToGrid w:val="0"/>
          <w:sz w:val="24"/>
          <w:szCs w:val="24"/>
          <w:lang w:eastAsia="zh-CN"/>
        </w:rPr>
        <w:t>6</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纪律要求</w:t>
      </w:r>
      <w:bookmarkEnd w:id="136"/>
      <w:bookmarkEnd w:id="137"/>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38" w:name="_Toc7502"/>
      <w:bookmarkStart w:id="139" w:name="_Toc94149489"/>
      <w:r>
        <w:rPr>
          <w:rFonts w:eastAsia="仿宋" w:asciiTheme="minorEastAsia" w:hAnsiTheme="minorEastAsia"/>
          <w:b/>
          <w:snapToGrid w:val="0"/>
          <w:sz w:val="24"/>
          <w:szCs w:val="24"/>
          <w:lang w:eastAsia="zh-CN"/>
        </w:rPr>
        <w:t>6.1 对采购人的纪律要求</w:t>
      </w:r>
      <w:bookmarkEnd w:id="138"/>
      <w:bookmarkEnd w:id="139"/>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采购人不得泄露谈判采购活动中应当保密的情况和资料，不得与供应商串通损害国家利益、社会公共利益或者他人合法权益。</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0" w:name="_Toc17895"/>
      <w:bookmarkStart w:id="141" w:name="_Toc94149490"/>
      <w:r>
        <w:rPr>
          <w:rFonts w:eastAsia="仿宋" w:asciiTheme="minorEastAsia" w:hAnsiTheme="minorEastAsia"/>
          <w:b/>
          <w:snapToGrid w:val="0"/>
          <w:sz w:val="24"/>
          <w:szCs w:val="24"/>
          <w:lang w:eastAsia="zh-CN"/>
        </w:rPr>
        <w:t>6.2 对供应商的纪律要求</w:t>
      </w:r>
      <w:bookmarkEnd w:id="140"/>
      <w:bookmarkEnd w:id="141"/>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2" w:name="_Toc94149491"/>
      <w:bookmarkStart w:id="143" w:name="_Toc4537"/>
      <w:r>
        <w:rPr>
          <w:rFonts w:eastAsia="仿宋" w:asciiTheme="minorEastAsia" w:hAnsiTheme="minorEastAsia"/>
          <w:b/>
          <w:snapToGrid w:val="0"/>
          <w:sz w:val="24"/>
          <w:szCs w:val="24"/>
          <w:lang w:eastAsia="zh-CN"/>
        </w:rPr>
        <w:t>6.3 对采购小组成员的纪律要求</w:t>
      </w:r>
      <w:bookmarkEnd w:id="142"/>
      <w:bookmarkEnd w:id="143"/>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144" w:name="_Toc20509"/>
      <w:bookmarkStart w:id="145" w:name="_Toc94149492"/>
      <w:r>
        <w:rPr>
          <w:rFonts w:eastAsia="仿宋" w:asciiTheme="minorEastAsia" w:hAnsiTheme="minorEastAsia"/>
          <w:b/>
          <w:snapToGrid w:val="0"/>
          <w:sz w:val="24"/>
          <w:szCs w:val="24"/>
          <w:lang w:eastAsia="zh-CN"/>
        </w:rPr>
        <w:t>6.4 对与采购活动有关的工作人员的纪律要求</w:t>
      </w:r>
      <w:bookmarkEnd w:id="144"/>
      <w:bookmarkEnd w:id="145"/>
    </w:p>
    <w:p>
      <w:pPr>
        <w:adjustRightInd w:val="0"/>
        <w:snapToGrid w:val="0"/>
        <w:spacing w:line="360" w:lineRule="auto"/>
        <w:ind w:firstLine="400"/>
        <w:jc w:val="both"/>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pPr>
        <w:rPr>
          <w:rFonts w:eastAsia="仿宋"/>
          <w:lang w:eastAsia="zh-CN"/>
        </w:rPr>
      </w:pPr>
    </w:p>
    <w:p>
      <w:pPr>
        <w:pStyle w:val="3"/>
        <w:spacing w:line="360" w:lineRule="auto"/>
        <w:rPr>
          <w:rFonts w:eastAsia="仿宋" w:asciiTheme="minorEastAsia" w:hAnsiTheme="minorEastAsia"/>
          <w:b/>
          <w:snapToGrid w:val="0"/>
          <w:sz w:val="24"/>
          <w:szCs w:val="24"/>
          <w:lang w:eastAsia="zh-CN"/>
        </w:rPr>
      </w:pPr>
      <w:bookmarkStart w:id="146" w:name="_Toc5974"/>
      <w:bookmarkStart w:id="147" w:name="_Toc94149493"/>
      <w:r>
        <w:rPr>
          <w:rFonts w:eastAsia="仿宋" w:asciiTheme="minorEastAsia" w:hAnsiTheme="minorEastAsia"/>
          <w:b/>
          <w:snapToGrid w:val="0"/>
          <w:sz w:val="24"/>
          <w:szCs w:val="24"/>
          <w:lang w:eastAsia="zh-CN"/>
        </w:rPr>
        <w:t>7</w:t>
      </w:r>
      <w:r>
        <w:rPr>
          <w:rFonts w:hint="eastAsia" w:eastAsia="仿宋" w:asciiTheme="minorEastAsia" w:hAnsiTheme="minorEastAsia"/>
          <w:b/>
          <w:snapToGrid w:val="0"/>
          <w:sz w:val="24"/>
          <w:szCs w:val="24"/>
          <w:lang w:eastAsia="zh-CN"/>
        </w:rPr>
        <w:t>．</w:t>
      </w:r>
      <w:r>
        <w:rPr>
          <w:rFonts w:eastAsia="仿宋" w:asciiTheme="minorEastAsia" w:hAnsiTheme="minorEastAsia"/>
          <w:b/>
          <w:snapToGrid w:val="0"/>
          <w:sz w:val="24"/>
          <w:szCs w:val="24"/>
          <w:lang w:eastAsia="zh-CN"/>
        </w:rPr>
        <w:t>需要补充的其他内容</w:t>
      </w:r>
      <w:bookmarkEnd w:id="146"/>
      <w:bookmarkEnd w:id="147"/>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需要补充的其他内容：见供应商须知前附表。</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3"/>
        <w:spacing w:line="276" w:lineRule="auto"/>
        <w:rPr>
          <w:rFonts w:eastAsia="仿宋" w:asciiTheme="minorEastAsia" w:hAnsiTheme="minorEastAsia"/>
          <w:snapToGrid w:val="0"/>
          <w:sz w:val="24"/>
          <w:szCs w:val="24"/>
          <w:lang w:eastAsia="zh-CN"/>
        </w:rPr>
      </w:pPr>
      <w:bookmarkStart w:id="148" w:name="_Toc94149494"/>
      <w:bookmarkStart w:id="149" w:name="_Toc100340485"/>
      <w:bookmarkStart w:id="150" w:name="_Toc17071"/>
      <w:r>
        <w:rPr>
          <w:rFonts w:eastAsia="仿宋" w:asciiTheme="minorEastAsia" w:hAnsiTheme="minorEastAsia"/>
          <w:snapToGrid w:val="0"/>
          <w:sz w:val="24"/>
          <w:szCs w:val="24"/>
          <w:lang w:eastAsia="zh-CN"/>
        </w:rPr>
        <w:t>附件1 问题澄清通知</w:t>
      </w:r>
      <w:bookmarkEnd w:id="148"/>
      <w:bookmarkEnd w:id="149"/>
      <w:bookmarkEnd w:id="150"/>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1" w:name="_Toc100340486"/>
      <w:bookmarkStart w:id="152" w:name="_Toc94149495"/>
      <w:bookmarkStart w:id="153" w:name="_Toc25867"/>
      <w:r>
        <w:rPr>
          <w:rFonts w:eastAsia="仿宋" w:asciiTheme="minorEastAsia" w:hAnsiTheme="minorEastAsia"/>
          <w:b/>
          <w:bCs/>
          <w:snapToGrid w:val="0"/>
          <w:sz w:val="32"/>
          <w:szCs w:val="32"/>
          <w:lang w:eastAsia="zh-CN"/>
        </w:rPr>
        <w:t>问题澄清通知</w:t>
      </w:r>
      <w:bookmarkEnd w:id="151"/>
      <w:bookmarkEnd w:id="152"/>
      <w:bookmarkEnd w:id="153"/>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w:t>
      </w:r>
      <w:r>
        <w:rPr>
          <w:rFonts w:hint="eastAsia"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u w:val="single"/>
          <w:lang w:eastAsia="zh-CN"/>
        </w:rPr>
        <w:t xml:space="preserve">   </w:t>
      </w:r>
      <w:r>
        <w:rPr>
          <w:rFonts w:eastAsia="仿宋" w:asciiTheme="minorEastAsia" w:hAnsiTheme="minorEastAsia"/>
          <w:b/>
          <w:bCs/>
          <w:snapToGrid w:val="0"/>
          <w:sz w:val="32"/>
          <w:szCs w:val="32"/>
          <w:lang w:eastAsia="zh-CN"/>
        </w:rPr>
        <w:t>）</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（供应商名称）:</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采购小组对你方的响应文件进行了仔细审查，现需你方对下列问题以书面形式予以澄清、说明和补正：</w:t>
      </w:r>
    </w:p>
    <w:p>
      <w:pPr>
        <w:adjustRightInd w:val="0"/>
        <w:snapToGrid w:val="0"/>
        <w:spacing w:line="360" w:lineRule="auto"/>
        <w:ind w:firstLine="480"/>
        <w:rPr>
          <w:rFonts w:eastAsia="仿宋" w:asciiTheme="minorEastAsia" w:hAnsiTheme="minorEastAsia"/>
          <w:snapToGrid w:val="0"/>
          <w:sz w:val="24"/>
          <w:szCs w:val="24"/>
          <w:lang w:eastAsia="zh-CN"/>
        </w:rPr>
      </w:pP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0" w:firstLine="48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请将上述问题的澄清、说明和补正于</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日时前递交至</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（详细地址）</w:t>
      </w:r>
      <w:r>
        <w:rPr>
          <w:rFonts w:eastAsia="仿宋" w:asciiTheme="minorEastAsia" w:hAnsiTheme="minorEastAsia"/>
          <w:snapToGrid w:val="0"/>
          <w:sz w:val="24"/>
          <w:szCs w:val="24"/>
          <w:lang w:eastAsia="zh-CN"/>
        </w:rPr>
        <w:t>或发电子邮件至</w:t>
      </w:r>
      <w:r>
        <w:rPr>
          <w:rFonts w:eastAsia="仿宋" w:asciiTheme="minorEastAsia" w:hAnsiTheme="minorEastAsia"/>
          <w:snapToGrid w:val="0"/>
          <w:sz w:val="24"/>
          <w:szCs w:val="24"/>
          <w:u w:val="single"/>
          <w:lang w:eastAsia="zh-CN"/>
        </w:rPr>
        <w:t xml:space="preserve">               （电子邮箱地址）</w:t>
      </w:r>
      <w:r>
        <w:rPr>
          <w:rFonts w:eastAsia="仿宋" w:asciiTheme="minorEastAsia" w:hAnsiTheme="minorEastAsia"/>
          <w:snapToGrid w:val="0"/>
          <w:sz w:val="24"/>
          <w:szCs w:val="24"/>
          <w:lang w:eastAsia="zh-CN"/>
        </w:rPr>
        <w:t>。采用电子邮件方式的，应在</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时前将原件递交至</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采购小组组长：</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（签字或盖单位公章）</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bookmarkStart w:id="154" w:name="扫描0034"/>
      <w:bookmarkEnd w:id="154"/>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55" w:name="_Toc94149496"/>
      <w:bookmarkStart w:id="156" w:name="_Toc100340487"/>
      <w:bookmarkStart w:id="157" w:name="_Toc23153"/>
      <w:r>
        <w:rPr>
          <w:rFonts w:eastAsia="仿宋" w:asciiTheme="minorEastAsia" w:hAnsiTheme="minorEastAsia"/>
          <w:snapToGrid w:val="0"/>
          <w:sz w:val="24"/>
          <w:szCs w:val="24"/>
          <w:lang w:eastAsia="zh-CN"/>
        </w:rPr>
        <w:t>附件</w:t>
      </w:r>
      <w:r>
        <w:rPr>
          <w:rFonts w:eastAsia="仿宋" w:asciiTheme="minorEastAsia" w:hAnsiTheme="minorEastAsia"/>
          <w:b/>
          <w:snapToGrid w:val="0"/>
          <w:sz w:val="24"/>
          <w:szCs w:val="24"/>
          <w:lang w:eastAsia="zh-CN"/>
        </w:rPr>
        <w:t xml:space="preserve">2 </w:t>
      </w:r>
      <w:r>
        <w:rPr>
          <w:rFonts w:eastAsia="仿宋" w:asciiTheme="minorEastAsia" w:hAnsiTheme="minorEastAsia"/>
          <w:snapToGrid w:val="0"/>
          <w:sz w:val="24"/>
          <w:szCs w:val="24"/>
          <w:lang w:eastAsia="zh-CN"/>
        </w:rPr>
        <w:t>问题的澄清</w:t>
      </w:r>
      <w:bookmarkEnd w:id="155"/>
      <w:bookmarkEnd w:id="156"/>
      <w:bookmarkEnd w:id="15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58" w:name="_Toc100340488"/>
      <w:bookmarkStart w:id="159" w:name="_Toc18363"/>
      <w:bookmarkStart w:id="160" w:name="_Toc94149497"/>
      <w:r>
        <w:rPr>
          <w:rFonts w:eastAsia="仿宋" w:asciiTheme="minorEastAsia" w:hAnsiTheme="minorEastAsia"/>
          <w:b/>
          <w:bCs/>
          <w:snapToGrid w:val="0"/>
          <w:sz w:val="32"/>
          <w:szCs w:val="32"/>
          <w:lang w:eastAsia="zh-CN"/>
        </w:rPr>
        <w:t>问题的澄清</w:t>
      </w:r>
      <w:bookmarkEnd w:id="158"/>
      <w:bookmarkEnd w:id="159"/>
      <w:bookmarkEnd w:id="160"/>
    </w:p>
    <w:p>
      <w:pPr>
        <w:adjustRightInd w:val="0"/>
        <w:snapToGrid w:val="0"/>
        <w:spacing w:line="276" w:lineRule="auto"/>
        <w:jc w:val="center"/>
        <w:rPr>
          <w:rFonts w:eastAsia="仿宋" w:asciiTheme="minorEastAsia" w:hAnsiTheme="minorEastAsia"/>
          <w:b/>
          <w:bCs/>
          <w:snapToGrid w:val="0"/>
          <w:sz w:val="32"/>
          <w:szCs w:val="32"/>
          <w:lang w:eastAsia="zh-CN"/>
        </w:rPr>
      </w:pPr>
      <w:r>
        <w:rPr>
          <w:rFonts w:eastAsia="仿宋" w:asciiTheme="minorEastAsia" w:hAnsiTheme="minorEastAsia"/>
          <w:b/>
          <w:bCs/>
          <w:snapToGrid w:val="0"/>
          <w:sz w:val="32"/>
          <w:szCs w:val="32"/>
          <w:lang w:eastAsia="zh-CN"/>
        </w:rPr>
        <w:t>（编号:     ）</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采购小组：</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问题澄清通知（编号：）已收悉，现澄清、说明和补正如下：</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1.</w:t>
      </w:r>
    </w:p>
    <w:p>
      <w:pPr>
        <w:pStyle w:val="5"/>
        <w:spacing w:line="360" w:lineRule="auto"/>
        <w:ind w:left="440" w:leftChars="200"/>
        <w:jc w:val="left"/>
        <w:rPr>
          <w:rFonts w:eastAsia="仿宋" w:asciiTheme="minorEastAsia" w:hAnsiTheme="minorEastAsia"/>
          <w:snapToGrid w:val="0"/>
          <w:szCs w:val="24"/>
          <w:shd w:val="clear" w:color="auto" w:fill="FFFF00"/>
          <w:lang w:eastAsia="zh-CN"/>
        </w:rPr>
      </w:pPr>
      <w:r>
        <w:rPr>
          <w:rFonts w:eastAsia="仿宋" w:asciiTheme="minorEastAsia" w:hAnsiTheme="minorEastAsia"/>
          <w:snapToGrid w:val="0"/>
          <w:szCs w:val="24"/>
          <w:shd w:val="clear" w:color="auto" w:fill="FFFF00"/>
          <w:lang w:eastAsia="zh-CN"/>
        </w:rPr>
        <w:t>2.</w:t>
      </w:r>
    </w:p>
    <w:p>
      <w:pPr>
        <w:adjustRightInd w:val="0"/>
        <w:snapToGrid w:val="0"/>
        <w:spacing w:line="360" w:lineRule="auto"/>
        <w:ind w:firstLine="480"/>
        <w:rPr>
          <w:rFonts w:eastAsia="仿宋" w:asciiTheme="minorEastAsia" w:hAnsiTheme="minorEastAsia"/>
          <w:snapToGrid w:val="0"/>
          <w:sz w:val="24"/>
          <w:szCs w:val="24"/>
          <w:shd w:val="clear" w:color="auto" w:fill="FFFF00"/>
          <w:lang w:eastAsia="zh-CN"/>
        </w:rPr>
      </w:pPr>
      <w:r>
        <w:rPr>
          <w:rFonts w:eastAsia="仿宋" w:asciiTheme="minorEastAsia" w:hAnsiTheme="minorEastAsia"/>
          <w:snapToGrid w:val="0"/>
          <w:sz w:val="24"/>
          <w:szCs w:val="24"/>
          <w:shd w:val="clear" w:color="auto" w:fill="FFFF00"/>
          <w:lang w:eastAsia="zh-CN"/>
        </w:rPr>
        <w:t>……</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上述问题澄清、说明和补正，构成我方响应文件的组成部分。</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供应商：</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r>
        <w:rPr>
          <w:rFonts w:eastAsia="仿宋" w:asciiTheme="minorEastAsia" w:hAnsiTheme="minorEastAsia"/>
          <w:snapToGrid w:val="0"/>
          <w:sz w:val="24"/>
          <w:szCs w:val="24"/>
          <w:lang w:eastAsia="zh-CN"/>
        </w:rPr>
        <w:t xml:space="preserve"> </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或</w:t>
      </w:r>
    </w:p>
    <w:p>
      <w:pPr>
        <w:adjustRightInd w:val="0"/>
        <w:snapToGrid w:val="0"/>
        <w:spacing w:line="360" w:lineRule="auto"/>
        <w:ind w:firstLine="40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法定代表人（单位负责人）或其授权的代理人：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（签字）</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jc w:val="right"/>
        <w:rPr>
          <w:rFonts w:eastAsia="仿宋" w:asciiTheme="minorEastAsia" w:hAnsiTheme="minorEastAsia"/>
          <w:snapToGrid w:val="0"/>
          <w:sz w:val="24"/>
          <w:szCs w:val="24"/>
          <w:lang w:eastAsia="zh-CN"/>
        </w:rPr>
      </w:pPr>
      <w:bookmarkStart w:id="161" w:name="扫描0035"/>
      <w:bookmarkEnd w:id="161"/>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eastAsia="仿宋" w:cs="Times New Roman" w:asciiTheme="minorEastAsia" w:hAnsiTheme="minorEastAsia"/>
          <w:snapToGrid w:val="0"/>
          <w:sz w:val="24"/>
          <w:szCs w:val="24"/>
          <w:lang w:eastAsia="zh-CN"/>
        </w:rPr>
      </w:pPr>
      <w:r>
        <w:rPr>
          <w:rFonts w:eastAsia="仿宋" w:cs="Times New Roman"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p>
    <w:p>
      <w:pPr>
        <w:pStyle w:val="3"/>
        <w:spacing w:line="276" w:lineRule="auto"/>
        <w:rPr>
          <w:rFonts w:eastAsia="仿宋" w:asciiTheme="minorEastAsia" w:hAnsiTheme="minorEastAsia"/>
          <w:snapToGrid w:val="0"/>
          <w:sz w:val="24"/>
          <w:szCs w:val="24"/>
          <w:lang w:eastAsia="zh-CN"/>
        </w:rPr>
      </w:pPr>
      <w:bookmarkStart w:id="162" w:name="_Toc100340489"/>
      <w:bookmarkStart w:id="163" w:name="_Toc94149498"/>
      <w:bookmarkStart w:id="164" w:name="_Toc11930"/>
      <w:r>
        <w:rPr>
          <w:rFonts w:eastAsia="仿宋" w:asciiTheme="minorEastAsia" w:hAnsiTheme="minorEastAsia"/>
          <w:snapToGrid w:val="0"/>
          <w:sz w:val="24"/>
          <w:szCs w:val="24"/>
          <w:lang w:eastAsia="zh-CN"/>
        </w:rPr>
        <w:t>附件3 成交通知书</w:t>
      </w:r>
      <w:bookmarkEnd w:id="162"/>
      <w:bookmarkEnd w:id="163"/>
      <w:bookmarkEnd w:id="164"/>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pStyle w:val="4"/>
        <w:adjustRightInd w:val="0"/>
        <w:snapToGrid w:val="0"/>
        <w:spacing w:line="276" w:lineRule="auto"/>
        <w:ind w:left="0"/>
        <w:jc w:val="center"/>
        <w:rPr>
          <w:rFonts w:eastAsia="仿宋" w:asciiTheme="minorEastAsia" w:hAnsiTheme="minorEastAsia"/>
          <w:b/>
          <w:bCs/>
          <w:snapToGrid w:val="0"/>
          <w:sz w:val="32"/>
          <w:szCs w:val="32"/>
          <w:lang w:eastAsia="zh-CN"/>
        </w:rPr>
      </w:pPr>
      <w:bookmarkStart w:id="165" w:name="_Toc94149499"/>
      <w:bookmarkStart w:id="166" w:name="_Toc100340490"/>
      <w:bookmarkStart w:id="167" w:name="_Toc26680"/>
      <w:r>
        <w:rPr>
          <w:rFonts w:eastAsia="仿宋" w:asciiTheme="minorEastAsia" w:hAnsiTheme="minorEastAsia"/>
          <w:b/>
          <w:bCs/>
          <w:snapToGrid w:val="0"/>
          <w:sz w:val="32"/>
          <w:szCs w:val="32"/>
          <w:lang w:eastAsia="zh-CN"/>
        </w:rPr>
        <w:t>成交通知书</w:t>
      </w:r>
      <w:bookmarkEnd w:id="165"/>
      <w:bookmarkEnd w:id="166"/>
      <w:bookmarkEnd w:id="167"/>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360"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u w:val="single"/>
          <w:lang w:eastAsia="zh-CN"/>
        </w:rPr>
        <w:t xml:space="preserve">                     （成交供应商名称）:</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你方所递交的</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（项目名称）</w:t>
      </w:r>
      <w:r>
        <w:rPr>
          <w:rFonts w:eastAsia="仿宋" w:asciiTheme="minorEastAsia" w:hAnsiTheme="minorEastAsia"/>
          <w:snapToGrid w:val="0"/>
          <w:sz w:val="24"/>
          <w:szCs w:val="24"/>
          <w:lang w:eastAsia="zh-CN"/>
        </w:rPr>
        <w:t>的响应文件已被我方接受，被确定为成交供应商。</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成交价：</w:t>
      </w:r>
      <w:r>
        <w:rPr>
          <w:rFonts w:eastAsia="仿宋" w:asciiTheme="minorEastAsia" w:hAnsiTheme="minorEastAsia"/>
          <w:snapToGrid w:val="0"/>
          <w:sz w:val="24"/>
          <w:szCs w:val="24"/>
          <w:u w:val="single"/>
          <w:lang w:eastAsia="zh-CN"/>
        </w:rPr>
        <w:t xml:space="preserve">                               </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请</w:t>
      </w:r>
      <w:r>
        <w:rPr>
          <w:rFonts w:hint="eastAsia" w:eastAsia="仿宋" w:asciiTheme="minorEastAsia" w:hAnsiTheme="minorEastAsia"/>
          <w:snapToGrid w:val="0"/>
          <w:sz w:val="24"/>
          <w:szCs w:val="24"/>
          <w:lang w:eastAsia="zh-CN"/>
        </w:rPr>
        <w:t>你</w:t>
      </w:r>
      <w:r>
        <w:rPr>
          <w:rFonts w:eastAsia="仿宋" w:asciiTheme="minorEastAsia" w:hAnsiTheme="minorEastAsia"/>
          <w:snapToGrid w:val="0"/>
          <w:sz w:val="24"/>
          <w:szCs w:val="24"/>
          <w:lang w:eastAsia="zh-CN"/>
        </w:rPr>
        <w:t>方在接到本通知书后的</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日内到</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（指定地点）</w:t>
      </w:r>
      <w:r>
        <w:rPr>
          <w:rFonts w:eastAsia="仿宋" w:asciiTheme="minorEastAsia" w:hAnsiTheme="minorEastAsia"/>
          <w:snapToGrid w:val="0"/>
          <w:sz w:val="24"/>
          <w:szCs w:val="24"/>
          <w:lang w:eastAsia="zh-CN"/>
        </w:rPr>
        <w:t>与我方签订采购合同，并按采购文件第二章“供应商须知”第7.6款规定向我方递交履约保证金。</w:t>
      </w:r>
    </w:p>
    <w:p>
      <w:pPr>
        <w:adjustRightInd w:val="0"/>
        <w:snapToGrid w:val="0"/>
        <w:spacing w:line="360" w:lineRule="auto"/>
        <w:ind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特此通知。</w:t>
      </w:r>
    </w:p>
    <w:p>
      <w:pPr>
        <w:adjustRightInd w:val="0"/>
        <w:snapToGrid w:val="0"/>
        <w:spacing w:line="360" w:lineRule="auto"/>
        <w:rPr>
          <w:rFonts w:eastAsia="仿宋" w:asciiTheme="minorEastAsia" w:hAnsiTheme="minorEastAsia"/>
          <w:snapToGrid w:val="0"/>
          <w:sz w:val="24"/>
          <w:szCs w:val="24"/>
          <w:lang w:eastAsia="zh-CN"/>
        </w:rPr>
      </w:pPr>
    </w:p>
    <w:p>
      <w:pPr>
        <w:adjustRightInd w:val="0"/>
        <w:snapToGrid w:val="0"/>
        <w:spacing w:line="360" w:lineRule="auto"/>
        <w:ind w:firstLine="4678"/>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采购人：</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（盖单位公章）</w:t>
      </w:r>
    </w:p>
    <w:p>
      <w:pPr>
        <w:rPr>
          <w:rFonts w:eastAsia="仿宋"/>
          <w:lang w:eastAsia="zh-CN"/>
        </w:rPr>
      </w:pPr>
    </w:p>
    <w:p>
      <w:pPr>
        <w:adjustRightInd w:val="0"/>
        <w:snapToGrid w:val="0"/>
        <w:spacing w:line="360" w:lineRule="auto"/>
        <w:jc w:val="right"/>
        <w:rPr>
          <w:rFonts w:eastAsia="仿宋" w:asciiTheme="minorEastAsia" w:hAnsiTheme="minorEastAsia"/>
          <w:snapToGrid w:val="0"/>
          <w:sz w:val="24"/>
          <w:szCs w:val="24"/>
          <w:lang w:eastAsia="zh-CN"/>
        </w:rPr>
      </w:pPr>
      <w:bookmarkStart w:id="168" w:name="扫描0036"/>
      <w:bookmarkEnd w:id="168"/>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年</w:t>
      </w:r>
      <w:r>
        <w:rPr>
          <w:rFonts w:hint="eastAsia"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u w:val="single"/>
          <w:lang w:eastAsia="zh-CN"/>
        </w:rPr>
        <w:t xml:space="preserve"> </w:t>
      </w:r>
      <w:r>
        <w:rPr>
          <w:rFonts w:eastAsia="仿宋" w:asciiTheme="minorEastAsia" w:hAnsiTheme="minorEastAsia"/>
          <w:snapToGrid w:val="0"/>
          <w:sz w:val="24"/>
          <w:szCs w:val="24"/>
          <w:lang w:eastAsia="zh-CN"/>
        </w:rPr>
        <w:t>月</w:t>
      </w:r>
      <w:r>
        <w:rPr>
          <w:rFonts w:eastAsia="仿宋" w:asciiTheme="minorEastAsia" w:hAnsiTheme="minorEastAsia"/>
          <w:snapToGrid w:val="0"/>
          <w:sz w:val="24"/>
          <w:szCs w:val="24"/>
          <w:u w:val="single"/>
          <w:lang w:eastAsia="zh-CN"/>
        </w:rPr>
        <w:t xml:space="preserve">   </w:t>
      </w:r>
      <w:r>
        <w:rPr>
          <w:rFonts w:hint="eastAsia" w:eastAsia="仿宋" w:asciiTheme="minorEastAsia" w:hAnsiTheme="minorEastAsia"/>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169" w:name="扫描0037"/>
      <w:bookmarkEnd w:id="169"/>
      <w:bookmarkStart w:id="170" w:name="_Toc1673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三</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评</w:t>
      </w:r>
      <w:r>
        <w:rPr>
          <w:rFonts w:ascii="仿宋" w:hAnsi="仿宋" w:eastAsia="仿宋"/>
          <w:b/>
          <w:bCs/>
          <w:snapToGrid w:val="0"/>
          <w:sz w:val="32"/>
          <w:szCs w:val="32"/>
          <w:lang w:eastAsia="zh-CN"/>
        </w:rPr>
        <w:t>审办法</w:t>
      </w:r>
      <w:bookmarkEnd w:id="170"/>
    </w:p>
    <w:p>
      <w:pPr>
        <w:spacing w:line="276" w:lineRule="auto"/>
        <w:rPr>
          <w:rFonts w:ascii="仿宋" w:hAnsi="仿宋" w:eastAsia="仿宋"/>
          <w:snapToGrid w:val="0"/>
          <w:sz w:val="24"/>
          <w:szCs w:val="24"/>
          <w:lang w:eastAsia="zh-CN"/>
        </w:rPr>
      </w:pPr>
      <w:bookmarkStart w:id="171" w:name="扫描0038"/>
      <w:bookmarkEnd w:id="171"/>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172" w:name="_Toc99483671"/>
      <w:bookmarkStart w:id="173" w:name="_Toc29171"/>
      <w:r>
        <w:rPr>
          <w:rFonts w:ascii="仿宋" w:hAnsi="仿宋" w:eastAsia="仿宋"/>
          <w:b/>
          <w:bCs/>
          <w:snapToGrid w:val="0"/>
          <w:sz w:val="32"/>
          <w:szCs w:val="32"/>
          <w:lang w:eastAsia="zh-CN"/>
        </w:rPr>
        <w:t>评审办法前附表</w:t>
      </w:r>
      <w:bookmarkEnd w:id="172"/>
      <w:bookmarkEnd w:id="173"/>
      <w:bookmarkStart w:id="174" w:name="OLE_LINK88"/>
    </w:p>
    <w:p>
      <w:pPr>
        <w:pStyle w:val="17"/>
        <w:adjustRightInd w:val="0"/>
        <w:snapToGrid w:val="0"/>
        <w:spacing w:line="276" w:lineRule="auto"/>
        <w:rPr>
          <w:rFonts w:ascii="仿宋" w:hAnsi="仿宋" w:eastAsia="仿宋"/>
          <w:snapToGrid w:val="0"/>
          <w:sz w:val="24"/>
          <w:szCs w:val="24"/>
          <w:lang w:eastAsia="zh-CN"/>
        </w:rPr>
      </w:pPr>
    </w:p>
    <w:tbl>
      <w:tblPr>
        <w:tblStyle w:val="42"/>
        <w:tblW w:w="95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17"/>
        <w:gridCol w:w="1018"/>
        <w:gridCol w:w="1086"/>
        <w:gridCol w:w="1164"/>
        <w:gridCol w:w="864"/>
        <w:gridCol w:w="4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1</w:t>
            </w:r>
          </w:p>
        </w:tc>
        <w:tc>
          <w:tcPr>
            <w:tcW w:w="1018" w:type="dxa"/>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评审方法</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eastAsia="仿宋" w:asciiTheme="minorEastAsia" w:hAnsiTheme="minorEastAsia"/>
                <w:snapToGrid w:val="0"/>
                <w:sz w:val="21"/>
                <w:szCs w:val="21"/>
              </w:rPr>
              <w:t>评审方法</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eastAsia="仿宋" w:asciiTheme="minorEastAsia" w:hAnsiTheme="minorEastAsia"/>
                <w:snapToGrid w:val="0"/>
                <w:sz w:val="21"/>
                <w:szCs w:val="21"/>
                <w:lang w:eastAsia="zh-CN"/>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2.1.1</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形式评审标准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供应商名称</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响</w:t>
            </w:r>
            <w:r>
              <w:rPr>
                <w:rFonts w:ascii="仿宋" w:hAnsi="仿宋" w:eastAsia="仿宋"/>
                <w:snapToGrid w:val="0"/>
                <w:sz w:val="21"/>
                <w:szCs w:val="21"/>
              </w:rPr>
              <w:t>应文件签字盖章</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联合体协议书</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递交联合体协议书，并明确联合体</w:t>
            </w:r>
            <w:r>
              <w:rPr>
                <w:rFonts w:hint="eastAsia" w:ascii="仿宋" w:hAnsi="仿宋" w:eastAsia="仿宋"/>
                <w:snapToGrid w:val="0"/>
                <w:sz w:val="21"/>
                <w:szCs w:val="21"/>
                <w:lang w:eastAsia="zh-CN"/>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响应函中实质性内容</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2.1.2</w:t>
            </w:r>
          </w:p>
        </w:tc>
        <w:tc>
          <w:tcPr>
            <w:tcW w:w="1018" w:type="dxa"/>
            <w:vMerge w:val="restart"/>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资格评审标准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依法设立</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资质要求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财务要求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bottom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业绩要求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信誉要求</w:t>
            </w:r>
          </w:p>
        </w:tc>
        <w:tc>
          <w:tcPr>
            <w:tcW w:w="5580" w:type="dxa"/>
            <w:gridSpan w:val="2"/>
            <w:tcBorders>
              <w:left w:val="single" w:color="auto" w:sz="4" w:space="0"/>
            </w:tcBorders>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Borders>
              <w:top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人员要求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其他要求</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不存在第一章第3.2款情形</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联合体供应商</w:t>
            </w:r>
          </w:p>
        </w:tc>
        <w:tc>
          <w:tcPr>
            <w:tcW w:w="5580" w:type="dxa"/>
            <w:gridSpan w:val="2"/>
            <w:tcMar>
              <w:left w:w="57" w:type="dxa"/>
              <w:right w:w="57" w:type="dxa"/>
            </w:tcMar>
            <w:vAlign w:val="center"/>
          </w:tcPr>
          <w:p>
            <w:pPr>
              <w:pStyle w:val="80"/>
              <w:adjustRightInd w:val="0"/>
              <w:ind w:firstLine="420"/>
              <w:jc w:val="both"/>
              <w:rPr>
                <w:rFonts w:ascii="仿宋" w:hAnsi="仿宋" w:eastAsia="仿宋"/>
                <w:snapToGrid w:val="0"/>
                <w:sz w:val="21"/>
                <w:szCs w:val="21"/>
                <w:lang w:eastAsia="zh-CN"/>
              </w:rPr>
            </w:pPr>
            <w:r>
              <w:rPr>
                <w:rFonts w:ascii="仿宋" w:hAnsi="仿宋" w:eastAsia="仿宋"/>
                <w:snapToGrid w:val="0"/>
                <w:sz w:val="21"/>
                <w:szCs w:val="21"/>
                <w:lang w:eastAsia="zh-CN"/>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top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评审因素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restart"/>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rPr>
              <w:t>2.1.3</w:t>
            </w:r>
          </w:p>
        </w:tc>
        <w:tc>
          <w:tcPr>
            <w:tcW w:w="1018" w:type="dxa"/>
            <w:vMerge w:val="restart"/>
            <w:tcBorders>
              <w:top w:val="nil"/>
            </w:tcBorders>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响应性评审标准</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hint="eastAsia" w:ascii="仿宋" w:hAnsi="仿宋" w:eastAsia="仿宋"/>
                <w:snapToGrid w:val="0"/>
                <w:sz w:val="21"/>
                <w:szCs w:val="21"/>
                <w:lang w:eastAsia="zh-CN"/>
              </w:rPr>
              <w:t>报</w:t>
            </w:r>
            <w:r>
              <w:rPr>
                <w:rFonts w:ascii="仿宋" w:hAnsi="仿宋" w:eastAsia="仿宋"/>
                <w:snapToGrid w:val="0"/>
                <w:sz w:val="21"/>
                <w:szCs w:val="21"/>
              </w:rPr>
              <w:t>价</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响应文件有效期</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响应保证金</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响应方案</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质量标准</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完成期限</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合同条款</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r>
              <w:rPr>
                <w:rFonts w:ascii="仿宋" w:hAnsi="仿宋" w:eastAsia="仿宋"/>
                <w:snapToGrid w:val="0"/>
                <w:sz w:val="21"/>
                <w:szCs w:val="21"/>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对非关键条款的偏差</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gridSpan w:val="2"/>
            <w:vMerge w:val="continue"/>
            <w:tcMar>
              <w:left w:w="57" w:type="dxa"/>
              <w:right w:w="57" w:type="dxa"/>
            </w:tcMar>
            <w:vAlign w:val="center"/>
          </w:tcPr>
          <w:p>
            <w:pPr>
              <w:pStyle w:val="80"/>
              <w:adjustRightInd w:val="0"/>
              <w:jc w:val="both"/>
              <w:rPr>
                <w:rFonts w:ascii="仿宋" w:hAnsi="仿宋" w:eastAsia="仿宋"/>
                <w:snapToGrid w:val="0"/>
                <w:sz w:val="21"/>
                <w:szCs w:val="21"/>
                <w:lang w:eastAsia="zh-CN"/>
              </w:rPr>
            </w:pPr>
          </w:p>
        </w:tc>
        <w:tc>
          <w:tcPr>
            <w:tcW w:w="1018" w:type="dxa"/>
            <w:vMerge w:val="continue"/>
            <w:tcBorders>
              <w:bottom w:val="nil"/>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lang w:eastAsia="zh-CN"/>
              </w:rPr>
            </w:pPr>
            <w:r>
              <w:rPr>
                <w:rFonts w:ascii="仿宋" w:hAnsi="仿宋" w:eastAsia="仿宋"/>
                <w:snapToGrid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3.1.1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评审价格</w:t>
            </w:r>
          </w:p>
        </w:tc>
        <w:tc>
          <w:tcPr>
            <w:tcW w:w="5580" w:type="dxa"/>
            <w:gridSpan w:val="2"/>
            <w:tcMar>
              <w:left w:w="57" w:type="dxa"/>
              <w:right w:w="57" w:type="dxa"/>
            </w:tcMar>
            <w:vAlign w:val="center"/>
          </w:tcPr>
          <w:p>
            <w:pPr>
              <w:pStyle w:val="80"/>
              <w:adjustRightInd w:val="0"/>
              <w:jc w:val="both"/>
              <w:rPr>
                <w:rFonts w:ascii="仿宋" w:hAnsi="仿宋" w:eastAsia="仿宋"/>
                <w:snapToGrid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ascii="仿宋" w:hAnsi="仿宋" w:eastAsia="仿宋"/>
                <w:b/>
                <w:bCs/>
                <w:snapToGrid w:val="0"/>
                <w:sz w:val="21"/>
                <w:szCs w:val="21"/>
              </w:rPr>
              <w:t>条款内容</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rPr>
            </w:pPr>
            <w:r>
              <w:rPr>
                <w:rFonts w:hint="eastAsia" w:ascii="仿宋" w:hAnsi="仿宋" w:eastAsia="仿宋"/>
                <w:b/>
                <w:bCs/>
                <w:snapToGrid w:val="0"/>
                <w:sz w:val="21"/>
                <w:szCs w:val="21"/>
                <w:lang w:eastAsia="zh-CN"/>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9578" w:type="dxa"/>
            <w:gridSpan w:val="7"/>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3.2 综合评分和排序(综合评分法)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3.2.1</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分值构成</w:t>
            </w:r>
          </w:p>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(总分100分)</w:t>
            </w:r>
          </w:p>
        </w:tc>
        <w:tc>
          <w:tcPr>
            <w:tcW w:w="5580" w:type="dxa"/>
            <w:gridSpan w:val="2"/>
            <w:tcMar>
              <w:left w:w="57" w:type="dxa"/>
              <w:right w:w="57" w:type="dxa"/>
            </w:tcMar>
            <w:vAlign w:val="center"/>
          </w:tcPr>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商务部分：</w:t>
            </w:r>
            <w:r>
              <w:rPr>
                <w:rFonts w:eastAsia="仿宋" w:asciiTheme="minorEastAsia" w:hAnsiTheme="minorEastAsia"/>
                <w:snapToGrid w:val="0"/>
                <w:sz w:val="21"/>
                <w:szCs w:val="21"/>
                <w:u w:val="single"/>
              </w:rPr>
              <w:t xml:space="preserve"> 20 </w:t>
            </w:r>
            <w:r>
              <w:rPr>
                <w:rFonts w:eastAsia="仿宋" w:asciiTheme="minorEastAsia" w:hAnsiTheme="minorEastAsia"/>
                <w:snapToGrid w:val="0"/>
                <w:sz w:val="21"/>
                <w:szCs w:val="21"/>
              </w:rPr>
              <w:t>分</w:t>
            </w:r>
          </w:p>
          <w:p>
            <w:pPr>
              <w:numPr>
                <w:ilvl w:val="0"/>
                <w:numId w:val="10"/>
              </w:numPr>
              <w:adjustRightInd w:val="0"/>
              <w:ind w:left="0" w:firstLine="0"/>
              <w:jc w:val="both"/>
              <w:rPr>
                <w:rFonts w:eastAsia="仿宋" w:asciiTheme="minorEastAsia" w:hAnsiTheme="minorEastAsia"/>
                <w:snapToGrid w:val="0"/>
                <w:sz w:val="21"/>
                <w:szCs w:val="21"/>
              </w:rPr>
            </w:pPr>
            <w:r>
              <w:rPr>
                <w:rFonts w:eastAsia="仿宋" w:asciiTheme="minorEastAsia" w:hAnsiTheme="minorEastAsia"/>
                <w:snapToGrid w:val="0"/>
                <w:sz w:val="21"/>
                <w:szCs w:val="21"/>
              </w:rPr>
              <w:t>技术部分：</w:t>
            </w:r>
            <w:r>
              <w:rPr>
                <w:rFonts w:eastAsia="仿宋" w:asciiTheme="minorEastAsia" w:hAnsiTheme="minorEastAsia"/>
                <w:snapToGrid w:val="0"/>
                <w:sz w:val="21"/>
                <w:szCs w:val="21"/>
                <w:u w:val="single"/>
              </w:rPr>
              <w:t xml:space="preserve"> 30 </w:t>
            </w:r>
            <w:r>
              <w:rPr>
                <w:rFonts w:eastAsia="仿宋" w:asciiTheme="minorEastAsia" w:hAnsiTheme="minorEastAsia"/>
                <w:snapToGrid w:val="0"/>
                <w:sz w:val="21"/>
                <w:szCs w:val="21"/>
              </w:rPr>
              <w:t>分</w:t>
            </w:r>
          </w:p>
          <w:p>
            <w:pPr>
              <w:pStyle w:val="80"/>
              <w:numPr>
                <w:ilvl w:val="0"/>
                <w:numId w:val="10"/>
              </w:numPr>
              <w:adjustRightInd w:val="0"/>
              <w:ind w:left="0" w:firstLine="0"/>
              <w:jc w:val="both"/>
              <w:rPr>
                <w:rFonts w:ascii="仿宋" w:hAnsi="仿宋" w:eastAsia="仿宋"/>
                <w:snapToGrid w:val="0"/>
                <w:sz w:val="21"/>
                <w:szCs w:val="21"/>
                <w:lang w:eastAsia="zh-CN"/>
              </w:rPr>
            </w:pPr>
            <w:r>
              <w:rPr>
                <w:rFonts w:eastAsia="仿宋" w:asciiTheme="minorEastAsia" w:hAnsiTheme="minorEastAsia"/>
                <w:snapToGrid w:val="0"/>
                <w:sz w:val="21"/>
                <w:szCs w:val="21"/>
              </w:rPr>
              <w:t>报价：</w:t>
            </w:r>
            <w:r>
              <w:rPr>
                <w:rFonts w:eastAsia="仿宋" w:asciiTheme="minorEastAsia" w:hAnsiTheme="minorEastAsia"/>
                <w:snapToGrid w:val="0"/>
                <w:sz w:val="21"/>
                <w:szCs w:val="21"/>
                <w:u w:val="single"/>
              </w:rPr>
              <w:t xml:space="preserve"> 50 </w:t>
            </w:r>
            <w:r>
              <w:rPr>
                <w:rFonts w:eastAsia="仿宋" w:asciiTheme="minorEastAsia" w:hAnsiTheme="minorEastAsia"/>
                <w:snapToGrid w:val="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3"/>
            <w:tcMar>
              <w:left w:w="57" w:type="dxa"/>
              <w:right w:w="57" w:type="dxa"/>
            </w:tcMar>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3.2.2(2)</w:t>
            </w:r>
          </w:p>
        </w:tc>
        <w:tc>
          <w:tcPr>
            <w:tcW w:w="225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rPr>
              <w:t>评审基准价计算方法</w:t>
            </w:r>
          </w:p>
        </w:tc>
        <w:tc>
          <w:tcPr>
            <w:tcW w:w="5580" w:type="dxa"/>
            <w:gridSpan w:val="2"/>
            <w:tcMar>
              <w:left w:w="57" w:type="dxa"/>
              <w:right w:w="57" w:type="dxa"/>
            </w:tcMar>
            <w:vAlign w:val="center"/>
          </w:tcPr>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按照以下方法计算评审基准价：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评审基准价的计算：以不含税价计算</w:t>
            </w:r>
          </w:p>
          <w:p>
            <w:pPr>
              <w:adjustRightInd w:val="0"/>
              <w:spacing w:before="240"/>
              <w:jc w:val="both"/>
              <w:rPr>
                <w:rFonts w:eastAsia="仿宋" w:asciiTheme="minorEastAsia" w:hAnsiTheme="minorEastAsia"/>
                <w:snapToGrid w:val="0"/>
                <w:sz w:val="21"/>
                <w:szCs w:val="21"/>
                <w:lang w:eastAsia="zh-CN"/>
              </w:rPr>
            </w:pPr>
            <w:bookmarkStart w:id="175" w:name="_Hlk91582190"/>
            <w:r>
              <w:rPr>
                <w:rFonts w:ascii="Wingdings 2" w:hAnsi="Wingdings 2" w:eastAsia="仿宋" w:cs="Apple Color Emoji"/>
                <w:snapToGrid w:val="0"/>
                <w:sz w:val="24"/>
                <w:szCs w:val="24"/>
                <w:shd w:val="clear" w:color="auto" w:fill="FFFF00"/>
                <w:lang w:eastAsia="zh-CN"/>
              </w:rPr>
              <w:t></w:t>
            </w:r>
            <w:r>
              <w:rPr>
                <w:rFonts w:hint="eastAsia" w:eastAsia="仿宋" w:asciiTheme="minorEastAsia" w:hAnsiTheme="minorEastAsia"/>
                <w:snapToGrid w:val="0"/>
                <w:sz w:val="21"/>
                <w:szCs w:val="21"/>
                <w:u w:val="single"/>
                <w:lang w:eastAsia="zh-CN"/>
              </w:rPr>
              <w:t>按有效报价的算术平均值为评审基准价：</w:t>
            </w:r>
          </w:p>
          <w:p>
            <w:pPr>
              <w:adjustRightInd w:val="0"/>
              <w:jc w:val="both"/>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有效响应人家数为</w:t>
            </w:r>
            <w:r>
              <w:rPr>
                <w:rFonts w:eastAsia="仿宋" w:asciiTheme="minorEastAsia" w:hAnsiTheme="minorEastAsia"/>
                <w:snapToGrid w:val="0"/>
                <w:sz w:val="21"/>
                <w:szCs w:val="21"/>
                <w:lang w:eastAsia="zh-CN"/>
              </w:rPr>
              <w:t>N，0＜N≤5时，所有有效报价的算术平均值为评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基准价；5＜N≤10时，所有有效报价去掉</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1</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基准价；10＜N≤20时，所有有效报价去掉</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2</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基准价；N＞20时，所有有效报价去掉</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个最高报价和</w:t>
            </w:r>
            <w:r>
              <w:rPr>
                <w:rFonts w:hint="eastAsia" w:eastAsia="仿宋" w:asciiTheme="minorEastAsia" w:hAnsiTheme="minorEastAsia"/>
                <w:snapToGrid w:val="0"/>
                <w:sz w:val="21"/>
                <w:szCs w:val="21"/>
                <w:lang w:eastAsia="zh-CN"/>
              </w:rPr>
              <w:t>3</w:t>
            </w:r>
            <w:r>
              <w:rPr>
                <w:rFonts w:eastAsia="仿宋" w:asciiTheme="minorEastAsia" w:hAnsiTheme="minorEastAsia"/>
                <w:snapToGrid w:val="0"/>
                <w:sz w:val="21"/>
                <w:szCs w:val="21"/>
                <w:lang w:eastAsia="zh-CN"/>
              </w:rPr>
              <w:t>个最低报价后的算术平均值为评</w:t>
            </w:r>
            <w:r>
              <w:rPr>
                <w:rFonts w:hint="eastAsia" w:eastAsia="仿宋" w:asciiTheme="minorEastAsia" w:hAnsiTheme="minorEastAsia"/>
                <w:snapToGrid w:val="0"/>
                <w:sz w:val="21"/>
                <w:szCs w:val="21"/>
                <w:lang w:eastAsia="zh-CN"/>
              </w:rPr>
              <w:t>审</w:t>
            </w:r>
            <w:r>
              <w:rPr>
                <w:rFonts w:eastAsia="仿宋" w:asciiTheme="minorEastAsia" w:hAnsiTheme="minorEastAsia"/>
                <w:snapToGrid w:val="0"/>
                <w:sz w:val="21"/>
                <w:szCs w:val="21"/>
                <w:lang w:eastAsia="zh-CN"/>
              </w:rPr>
              <w:t>基准价。</w:t>
            </w:r>
          </w:p>
          <w:p>
            <w:pPr>
              <w:adjustRightInd w:val="0"/>
              <w:spacing w:before="240"/>
              <w:jc w:val="both"/>
              <w:rPr>
                <w:rFonts w:eastAsia="仿宋" w:asciiTheme="minorEastAsia" w:hAnsiTheme="minorEastAsia"/>
                <w:snapToGrid w:val="0"/>
                <w:sz w:val="21"/>
                <w:szCs w:val="21"/>
                <w:u w:val="single"/>
                <w:lang w:eastAsia="zh-CN"/>
              </w:rPr>
            </w:pPr>
            <w:r>
              <w:rPr>
                <w:rFonts w:hint="eastAsia" w:eastAsia="仿宋" w:asciiTheme="minorEastAsia" w:hAnsiTheme="minorEastAsia"/>
                <w:snapToGrid w:val="0"/>
                <w:sz w:val="24"/>
                <w:szCs w:val="24"/>
                <w:u w:val="single"/>
                <w:shd w:val="clear" w:color="auto" w:fill="FFFF00"/>
                <w:lang w:eastAsia="zh-CN"/>
              </w:rPr>
              <w:t>□</w:t>
            </w:r>
            <w:r>
              <w:rPr>
                <w:rFonts w:hint="eastAsia" w:eastAsia="仿宋" w:asciiTheme="minorEastAsia" w:hAnsiTheme="minorEastAsia"/>
                <w:snapToGrid w:val="0"/>
                <w:sz w:val="21"/>
                <w:szCs w:val="21"/>
                <w:u w:val="single"/>
                <w:lang w:eastAsia="zh-CN"/>
              </w:rPr>
              <w:t>按最低有效报价作为评审基准价。</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无效报价、响应被否决的供应商，其报价不参与评审基准价的计算。</w:t>
            </w:r>
            <w:bookmarkEnd w:id="1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3"/>
            <w:tcMar>
              <w:left w:w="57" w:type="dxa"/>
              <w:right w:w="57" w:type="dxa"/>
            </w:tcMar>
            <w:vAlign w:val="center"/>
          </w:tcPr>
          <w:p>
            <w:pPr>
              <w:adjustRightInd w:val="0"/>
              <w:rPr>
                <w:rFonts w:ascii="仿宋" w:hAnsi="仿宋" w:eastAsia="仿宋"/>
                <w:b/>
                <w:bCs/>
                <w:snapToGrid w:val="0"/>
                <w:sz w:val="21"/>
                <w:szCs w:val="21"/>
                <w:lang w:eastAsia="zh-CN"/>
              </w:rPr>
            </w:pPr>
            <w:r>
              <w:rPr>
                <w:rFonts w:ascii="仿宋" w:hAnsi="仿宋" w:eastAsia="仿宋"/>
                <w:b/>
                <w:bCs/>
                <w:snapToGrid w:val="0"/>
                <w:sz w:val="21"/>
                <w:szCs w:val="21"/>
              </w:rPr>
              <w:t>条款号及名称</w:t>
            </w:r>
          </w:p>
        </w:tc>
        <w:tc>
          <w:tcPr>
            <w:tcW w:w="225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评分因素</w:t>
            </w:r>
          </w:p>
        </w:tc>
        <w:tc>
          <w:tcPr>
            <w:tcW w:w="5580" w:type="dxa"/>
            <w:gridSpan w:val="2"/>
            <w:tcMar>
              <w:left w:w="57" w:type="dxa"/>
              <w:right w:w="57" w:type="dxa"/>
            </w:tcMar>
            <w:vAlign w:val="center"/>
          </w:tcPr>
          <w:p>
            <w:pPr>
              <w:pStyle w:val="80"/>
              <w:adjustRightInd w:val="0"/>
              <w:rPr>
                <w:rFonts w:ascii="仿宋" w:hAnsi="仿宋" w:eastAsia="仿宋"/>
                <w:b/>
                <w:bCs/>
                <w:snapToGrid w:val="0"/>
                <w:sz w:val="21"/>
                <w:szCs w:val="21"/>
                <w:lang w:eastAsia="zh-CN"/>
              </w:rPr>
            </w:pPr>
            <w:r>
              <w:rPr>
                <w:rFonts w:ascii="仿宋" w:hAnsi="仿宋" w:eastAsia="仿宋"/>
                <w:b/>
                <w:bCs/>
                <w:snapToGrid w:val="0"/>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(1)</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商务评分标准</w:t>
            </w:r>
          </w:p>
        </w:tc>
        <w:tc>
          <w:tcPr>
            <w:tcW w:w="2250" w:type="dxa"/>
            <w:gridSpan w:val="2"/>
            <w:vMerge w:val="restart"/>
            <w:tcMar>
              <w:left w:w="57" w:type="dxa"/>
              <w:right w:w="57" w:type="dxa"/>
            </w:tcMar>
            <w:vAlign w:val="center"/>
          </w:tcPr>
          <w:p>
            <w:pPr>
              <w:rPr>
                <w:rFonts w:hint="eastAsia" w:eastAsia="仿宋"/>
                <w:sz w:val="20"/>
                <w:szCs w:val="20"/>
                <w:lang w:eastAsia="zh-CN"/>
              </w:rPr>
            </w:pPr>
            <w:r>
              <w:rPr>
                <w:rFonts w:hint="eastAsia" w:eastAsia="仿宋"/>
                <w:sz w:val="20"/>
                <w:szCs w:val="20"/>
                <w:lang w:eastAsia="zh-CN"/>
              </w:rPr>
              <w:t>供应商近</w:t>
            </w:r>
            <w:r>
              <w:rPr>
                <w:rFonts w:hint="eastAsia" w:eastAsia="仿宋"/>
                <w:sz w:val="20"/>
                <w:szCs w:val="20"/>
                <w:lang w:val="en-US" w:eastAsia="zh-CN"/>
              </w:rPr>
              <w:t>5</w:t>
            </w:r>
            <w:r>
              <w:rPr>
                <w:rFonts w:hint="eastAsia" w:eastAsia="仿宋"/>
                <w:sz w:val="20"/>
                <w:szCs w:val="20"/>
                <w:lang w:eastAsia="zh-CN"/>
              </w:rPr>
              <w:t>年（</w:t>
            </w:r>
            <w:r>
              <w:rPr>
                <w:rFonts w:eastAsia="仿宋"/>
                <w:sz w:val="20"/>
                <w:szCs w:val="20"/>
                <w:u w:val="single"/>
                <w:lang w:eastAsia="zh-CN"/>
              </w:rPr>
              <w:t xml:space="preserve">  </w:t>
            </w:r>
            <w:r>
              <w:rPr>
                <w:rFonts w:hint="eastAsia" w:eastAsia="仿宋"/>
                <w:sz w:val="20"/>
                <w:szCs w:val="20"/>
                <w:u w:val="single"/>
                <w:lang w:eastAsia="zh-CN"/>
              </w:rPr>
              <w:t>20</w:t>
            </w:r>
            <w:r>
              <w:rPr>
                <w:rFonts w:hint="eastAsia" w:eastAsia="仿宋"/>
                <w:sz w:val="20"/>
                <w:szCs w:val="20"/>
                <w:u w:val="single"/>
                <w:lang w:val="en-US" w:eastAsia="zh-CN"/>
              </w:rPr>
              <w:t>18</w:t>
            </w:r>
            <w:r>
              <w:rPr>
                <w:rFonts w:eastAsia="仿宋"/>
                <w:sz w:val="20"/>
                <w:szCs w:val="20"/>
                <w:u w:val="single"/>
                <w:lang w:eastAsia="zh-CN"/>
              </w:rPr>
              <w:t xml:space="preserve"> </w:t>
            </w:r>
            <w:r>
              <w:rPr>
                <w:rFonts w:hint="eastAsia" w:eastAsia="仿宋"/>
                <w:sz w:val="20"/>
                <w:szCs w:val="20"/>
                <w:lang w:eastAsia="zh-CN"/>
              </w:rPr>
              <w:t>年</w:t>
            </w:r>
          </w:p>
          <w:p>
            <w:pPr>
              <w:rPr>
                <w:rFonts w:ascii="仿宋" w:hAnsi="仿宋" w:eastAsia="仿宋"/>
                <w:snapToGrid w:val="0"/>
                <w:sz w:val="21"/>
                <w:szCs w:val="21"/>
                <w:lang w:eastAsia="zh-CN"/>
              </w:rPr>
            </w:pPr>
            <w:r>
              <w:rPr>
                <w:rFonts w:eastAsia="仿宋"/>
                <w:sz w:val="20"/>
                <w:szCs w:val="20"/>
                <w:u w:val="single"/>
                <w:lang w:eastAsia="zh-CN"/>
              </w:rPr>
              <w:t xml:space="preserve"> </w:t>
            </w:r>
            <w:r>
              <w:rPr>
                <w:rFonts w:hint="eastAsia" w:eastAsia="仿宋"/>
                <w:sz w:val="20"/>
                <w:szCs w:val="20"/>
                <w:u w:val="single"/>
                <w:lang w:eastAsia="zh-CN"/>
              </w:rPr>
              <w:t>6</w:t>
            </w:r>
            <w:r>
              <w:rPr>
                <w:rFonts w:eastAsia="仿宋"/>
                <w:sz w:val="20"/>
                <w:szCs w:val="20"/>
                <w:u w:val="single"/>
                <w:lang w:eastAsia="zh-CN"/>
              </w:rPr>
              <w:t xml:space="preserve">  </w:t>
            </w:r>
            <w:r>
              <w:rPr>
                <w:rFonts w:hint="eastAsia" w:eastAsia="仿宋"/>
                <w:sz w:val="20"/>
                <w:szCs w:val="20"/>
                <w:lang w:eastAsia="zh-CN"/>
              </w:rPr>
              <w:t>月</w:t>
            </w:r>
            <w:r>
              <w:rPr>
                <w:rFonts w:eastAsia="仿宋"/>
                <w:sz w:val="20"/>
                <w:szCs w:val="20"/>
                <w:u w:val="single"/>
                <w:lang w:eastAsia="zh-CN"/>
              </w:rPr>
              <w:t xml:space="preserve">  1 </w:t>
            </w:r>
            <w:r>
              <w:rPr>
                <w:rFonts w:hint="eastAsia" w:eastAsia="仿宋"/>
                <w:sz w:val="20"/>
                <w:szCs w:val="20"/>
                <w:lang w:eastAsia="zh-CN"/>
              </w:rPr>
              <w:t>日至今，以合同签订时间为准）</w:t>
            </w:r>
            <w:r>
              <w:rPr>
                <w:rFonts w:hint="eastAsia" w:eastAsia="仿宋"/>
                <w:sz w:val="20"/>
                <w:szCs w:val="20"/>
                <w:u w:val="single"/>
                <w:lang w:eastAsia="zh-CN"/>
              </w:rPr>
              <w:t>房屋建筑</w:t>
            </w:r>
            <w:r>
              <w:rPr>
                <w:rFonts w:hint="eastAsia" w:eastAsia="仿宋"/>
                <w:sz w:val="20"/>
                <w:szCs w:val="20"/>
                <w:lang w:eastAsia="zh-CN"/>
              </w:rPr>
              <w:t>类建筑工程施工业绩和获奖荣誉（6分）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近</w:t>
            </w:r>
            <w:r>
              <w:rPr>
                <w:rFonts w:hint="eastAsia" w:eastAsia="仿宋"/>
                <w:w w:val="105"/>
                <w:sz w:val="20"/>
                <w:szCs w:val="20"/>
                <w:lang w:val="en-US" w:eastAsia="zh-CN"/>
              </w:rPr>
              <w:t>5</w:t>
            </w:r>
            <w:r>
              <w:rPr>
                <w:rFonts w:eastAsia="仿宋"/>
                <w:w w:val="105"/>
                <w:sz w:val="20"/>
                <w:szCs w:val="20"/>
                <w:lang w:eastAsia="zh-CN"/>
              </w:rPr>
              <w:t>年内具有类似项目业绩（类似业绩的工程，有1项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vMerge w:val="continue"/>
            <w:tcMar>
              <w:left w:w="57" w:type="dxa"/>
              <w:right w:w="57" w:type="dxa"/>
            </w:tcMar>
            <w:vAlign w:val="center"/>
          </w:tcPr>
          <w:p>
            <w:pPr>
              <w:rPr>
                <w:rFonts w:ascii="仿宋" w:hAnsi="仿宋" w:eastAsia="仿宋"/>
                <w:snapToGrid w:val="0"/>
                <w:sz w:val="21"/>
                <w:szCs w:val="21"/>
                <w:lang w:eastAsia="zh-CN"/>
              </w:rPr>
            </w:pP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w w:val="105"/>
                <w:sz w:val="20"/>
                <w:szCs w:val="20"/>
                <w:lang w:eastAsia="zh-CN"/>
              </w:rPr>
              <w:t>企业荣誉：近</w:t>
            </w:r>
            <w:r>
              <w:rPr>
                <w:rFonts w:eastAsia="仿宋"/>
                <w:w w:val="105"/>
                <w:sz w:val="20"/>
                <w:szCs w:val="20"/>
                <w:lang w:eastAsia="zh-CN"/>
              </w:rPr>
              <w:t>5年内获得省部级（含直辖市、自治区）及以上</w:t>
            </w:r>
            <w:r>
              <w:rPr>
                <w:rFonts w:hint="eastAsia" w:eastAsia="仿宋"/>
                <w:w w:val="105"/>
                <w:sz w:val="20"/>
                <w:szCs w:val="20"/>
                <w:lang w:eastAsia="zh-CN"/>
              </w:rPr>
              <w:t>工程质量奖</w:t>
            </w:r>
            <w:r>
              <w:rPr>
                <w:rFonts w:eastAsia="仿宋"/>
                <w:w w:val="105"/>
                <w:sz w:val="20"/>
                <w:szCs w:val="20"/>
                <w:lang w:eastAsia="zh-CN"/>
              </w:rPr>
              <w:t>荣誉，有1项</w:t>
            </w:r>
            <w:r>
              <w:rPr>
                <w:rFonts w:hint="eastAsia" w:eastAsia="仿宋"/>
                <w:w w:val="105"/>
                <w:sz w:val="20"/>
                <w:szCs w:val="20"/>
                <w:lang w:eastAsia="zh-CN"/>
              </w:rPr>
              <w:t>加</w:t>
            </w:r>
            <w:r>
              <w:rPr>
                <w:rFonts w:eastAsia="仿宋"/>
                <w:w w:val="105"/>
                <w:sz w:val="20"/>
                <w:szCs w:val="20"/>
                <w:lang w:eastAsia="zh-CN"/>
              </w:rPr>
              <w:t>1分，最多加至3分；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eastAsia="仿宋"/>
                <w:sz w:val="20"/>
                <w:szCs w:val="20"/>
                <w:lang w:eastAsia="zh-CN"/>
              </w:rPr>
              <w:t>企业资质等级（3分）</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3</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eastAsia="仿宋"/>
                <w:sz w:val="20"/>
                <w:szCs w:val="20"/>
                <w:lang w:eastAsia="zh-CN"/>
              </w:rPr>
              <w:t>建筑三级资质1分，二级资质2分，一级资质3分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restart"/>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付款条件方式</w:t>
            </w:r>
            <w:r>
              <w:rPr>
                <w:rFonts w:hint="eastAsia" w:ascii="仿宋" w:hAnsi="仿宋" w:eastAsia="仿宋"/>
                <w:snapToGrid w:val="0"/>
                <w:sz w:val="21"/>
                <w:szCs w:val="21"/>
                <w:lang w:eastAsia="zh-CN"/>
              </w:rPr>
              <w:t>及工期</w:t>
            </w: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rPr>
              <w:t>付款条件及方式</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全部响应招标文件的得5分，部分响应的得2分，不响应的得0分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4"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1086" w:type="dxa"/>
            <w:vMerge w:val="continue"/>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p>
        </w:tc>
        <w:tc>
          <w:tcPr>
            <w:tcW w:w="1164" w:type="dxa"/>
            <w:tcBorders>
              <w:left w:val="single" w:color="auto" w:sz="4" w:space="0"/>
            </w:tcBorders>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工期</w:t>
            </w:r>
          </w:p>
        </w:tc>
        <w:tc>
          <w:tcPr>
            <w:tcW w:w="864" w:type="dxa"/>
            <w:tcBorders>
              <w:right w:val="single" w:color="auto" w:sz="4" w:space="0"/>
            </w:tcBorders>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6</w:t>
            </w:r>
          </w:p>
        </w:tc>
        <w:tc>
          <w:tcPr>
            <w:tcW w:w="4716" w:type="dxa"/>
            <w:tcBorders>
              <w:left w:val="single" w:color="auto" w:sz="4" w:space="0"/>
            </w:tcBorders>
            <w:vAlign w:val="center"/>
          </w:tcPr>
          <w:p>
            <w:pPr>
              <w:pStyle w:val="80"/>
              <w:adjustRightInd w:val="0"/>
              <w:jc w:val="both"/>
              <w:rPr>
                <w:rFonts w:eastAsia="仿宋"/>
                <w:w w:val="105"/>
                <w:sz w:val="20"/>
                <w:szCs w:val="20"/>
                <w:lang w:eastAsia="zh-CN"/>
              </w:rPr>
            </w:pPr>
            <w:r>
              <w:rPr>
                <w:rFonts w:hint="eastAsia" w:ascii="仿宋" w:hAnsi="仿宋" w:eastAsia="仿宋"/>
                <w:snapToGrid w:val="0"/>
                <w:sz w:val="21"/>
                <w:szCs w:val="21"/>
                <w:lang w:eastAsia="zh-CN"/>
              </w:rPr>
              <w:t>谈判文件要求的工期为评标标准工期。投标人自报工期满足谈判文件要求的得4分，工期提前5天（含5天）完成，加1分；工期提前5天以上完成，加2分；投标人无工期承诺的，视为不响应谈判文件要求，得0分。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restart"/>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(2)</w:t>
            </w:r>
          </w:p>
        </w:tc>
        <w:tc>
          <w:tcPr>
            <w:tcW w:w="1035" w:type="dxa"/>
            <w:gridSpan w:val="2"/>
            <w:vMerge w:val="restart"/>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技术评分标准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施工方案与技术措施</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8</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包括工程特点、重点与难点描述的准确性及相应针对性措施。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方案及措施完整且合理的：</w:t>
            </w:r>
            <w:r>
              <w:rPr>
                <w:rFonts w:eastAsia="仿宋" w:asciiTheme="minorEastAsia" w:hAnsiTheme="minorEastAsia"/>
                <w:snapToGrid w:val="0"/>
                <w:sz w:val="21"/>
                <w:szCs w:val="21"/>
                <w:lang w:eastAsia="zh-CN"/>
              </w:rPr>
              <w:t>6-8分；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4-5分；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1-3分。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施工总平面布置规划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hint="eastAsia" w:ascii="仿宋" w:hAnsi="仿宋" w:eastAsia="仿宋"/>
                <w:snapToGrid w:val="0"/>
                <w:sz w:val="21"/>
                <w:szCs w:val="21"/>
                <w:lang w:eastAsia="zh-CN"/>
              </w:rPr>
              <w:t>5</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施工现场总平面布置、临时用地布置情况。</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布置完整且合理的：</w:t>
            </w:r>
            <w:r>
              <w:rPr>
                <w:rFonts w:eastAsia="仿宋" w:asciiTheme="minorEastAsia" w:hAnsiTheme="minorEastAsia"/>
                <w:snapToGrid w:val="0"/>
                <w:sz w:val="21"/>
                <w:szCs w:val="21"/>
                <w:lang w:eastAsia="zh-CN"/>
              </w:rPr>
              <w:t>4-5分；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76" w:name="OLE_LINK12"/>
            <w:bookmarkStart w:id="177" w:name="OLE_LINK11"/>
            <w:r>
              <w:rPr>
                <w:rFonts w:hint="eastAsia" w:ascii="仿宋" w:hAnsi="仿宋" w:eastAsia="仿宋"/>
                <w:snapToGrid w:val="0"/>
                <w:sz w:val="21"/>
                <w:szCs w:val="21"/>
                <w:lang w:eastAsia="zh-CN"/>
              </w:rPr>
              <w:t>质量、安全、文明施工及环境保护管理体系与措施、创优计划</w:t>
            </w:r>
            <w:bookmarkEnd w:id="176"/>
            <w:bookmarkEnd w:id="177"/>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5</w:t>
            </w:r>
          </w:p>
        </w:tc>
        <w:tc>
          <w:tcPr>
            <w:tcW w:w="4716" w:type="dxa"/>
            <w:tcBorders>
              <w:left w:val="single" w:color="auto" w:sz="4" w:space="0"/>
            </w:tcBorders>
            <w:vAlign w:val="center"/>
          </w:tcPr>
          <w:p>
            <w:pPr>
              <w:adjustRightInd w:val="0"/>
              <w:rPr>
                <w:rFonts w:eastAsia="仿宋" w:asciiTheme="minorEastAsia" w:hAnsiTheme="minorEastAsia"/>
                <w:snapToGrid w:val="0"/>
                <w:sz w:val="21"/>
                <w:szCs w:val="21"/>
                <w:lang w:eastAsia="zh-CN"/>
              </w:rPr>
            </w:pPr>
            <w:bookmarkStart w:id="178" w:name="OLE_LINK14"/>
            <w:bookmarkStart w:id="179" w:name="OLE_LINK13"/>
            <w:r>
              <w:rPr>
                <w:rFonts w:hint="eastAsia" w:eastAsia="仿宋" w:asciiTheme="minorEastAsia" w:hAnsiTheme="minorEastAsia"/>
                <w:snapToGrid w:val="0"/>
                <w:sz w:val="21"/>
                <w:szCs w:val="21"/>
                <w:lang w:eastAsia="zh-CN"/>
              </w:rPr>
              <w:t>质量保证措施和创优计划、施工安全措施计划、文明施工措施计划、施工场地治安保卫管理计划、施工环保措施计划等。</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质量安全管控方案完整且合理的：</w:t>
            </w:r>
            <w:r>
              <w:rPr>
                <w:rFonts w:eastAsia="仿宋" w:asciiTheme="minorEastAsia" w:hAnsiTheme="minorEastAsia"/>
                <w:snapToGrid w:val="0"/>
                <w:sz w:val="21"/>
                <w:szCs w:val="21"/>
                <w:lang w:eastAsia="zh-CN"/>
              </w:rPr>
              <w:t>4</w:t>
            </w:r>
            <w:r>
              <w:rPr>
                <w:rFonts w:hint="eastAsia" w:eastAsia="仿宋" w:asciiTheme="minorEastAsia" w:hAnsiTheme="minorEastAsia"/>
                <w:snapToGrid w:val="0"/>
                <w:sz w:val="21"/>
                <w:szCs w:val="21"/>
                <w:lang w:eastAsia="zh-CN"/>
              </w:rPr>
              <w:t>-</w:t>
            </w:r>
            <w:r>
              <w:rPr>
                <w:rFonts w:eastAsia="仿宋" w:asciiTheme="minorEastAsia" w:hAnsiTheme="minorEastAsia"/>
                <w:snapToGrid w:val="0"/>
                <w:sz w:val="21"/>
                <w:szCs w:val="21"/>
                <w:lang w:eastAsia="zh-CN"/>
              </w:rPr>
              <w:t>5分；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2-3分；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0-1分。</w:t>
            </w:r>
            <w:bookmarkEnd w:id="178"/>
            <w:bookmarkEnd w:id="1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bookmarkStart w:id="180" w:name="OLE_LINK19"/>
            <w:bookmarkStart w:id="181" w:name="OLE_LINK20"/>
            <w:r>
              <w:rPr>
                <w:rFonts w:hint="eastAsia" w:ascii="仿宋" w:hAnsi="仿宋" w:eastAsia="仿宋"/>
                <w:snapToGrid w:val="0"/>
                <w:sz w:val="21"/>
                <w:szCs w:val="21"/>
                <w:lang w:eastAsia="zh-CN"/>
              </w:rPr>
              <w:t>施工总进度计划及保证措施</w:t>
            </w:r>
            <w:bookmarkEnd w:id="180"/>
            <w:bookmarkEnd w:id="181"/>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施工总进度计划及保证措施以及计划开、竣工日期和施工进度计划</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进度控制方案完整且合理的：3-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资源配备计划</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拟投入本工程的主要施工设备情况以及劳动力计划表</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资源配置方案完整且合理的：3-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vMerge w:val="continue"/>
            <w:tcBorders>
              <w:right w:val="single" w:color="auto" w:sz="4" w:space="0"/>
            </w:tcBorders>
            <w:tcMar>
              <w:left w:w="57" w:type="dxa"/>
              <w:right w:w="57" w:type="dxa"/>
            </w:tcMar>
            <w:vAlign w:val="center"/>
          </w:tcPr>
          <w:p>
            <w:pPr>
              <w:adjustRightInd w:val="0"/>
              <w:jc w:val="both"/>
              <w:rPr>
                <w:rFonts w:ascii="仿宋" w:hAnsi="仿宋" w:eastAsia="仿宋"/>
                <w:snapToGrid w:val="0"/>
                <w:sz w:val="21"/>
                <w:szCs w:val="21"/>
                <w:lang w:eastAsia="zh-CN"/>
              </w:rPr>
            </w:pPr>
            <w:bookmarkStart w:id="182" w:name="_Hlk140237558"/>
          </w:p>
        </w:tc>
        <w:tc>
          <w:tcPr>
            <w:tcW w:w="1035" w:type="dxa"/>
            <w:gridSpan w:val="2"/>
            <w:vMerge w:val="continue"/>
            <w:tcBorders>
              <w:left w:val="single" w:color="auto" w:sz="4" w:space="0"/>
            </w:tcBorders>
            <w:vAlign w:val="center"/>
          </w:tcPr>
          <w:p>
            <w:pPr>
              <w:adjustRightInd w:val="0"/>
              <w:jc w:val="both"/>
              <w:rPr>
                <w:rFonts w:ascii="仿宋" w:hAnsi="仿宋" w:eastAsia="仿宋"/>
                <w:snapToGrid w:val="0"/>
                <w:sz w:val="21"/>
                <w:szCs w:val="21"/>
                <w:lang w:eastAsia="zh-CN"/>
              </w:rPr>
            </w:pP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对危大工程清单及相应的安全管理措施；特殊气候条件下的施工方案；紧急情况的处理措施、预案以及抵抗风险的措施；成品保护和工程保修工作的管理措施和承诺</w:t>
            </w:r>
          </w:p>
        </w:tc>
        <w:tc>
          <w:tcPr>
            <w:tcW w:w="864"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4</w:t>
            </w:r>
          </w:p>
        </w:tc>
        <w:tc>
          <w:tcPr>
            <w:tcW w:w="4716" w:type="dxa"/>
            <w:tcBorders>
              <w:left w:val="single" w:color="auto" w:sz="4" w:space="0"/>
            </w:tcBorders>
            <w:vAlign w:val="center"/>
          </w:tcPr>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对危大工程清单及相应的安全管理措施、</w:t>
            </w:r>
          </w:p>
          <w:p>
            <w:pPr>
              <w:pStyle w:val="80"/>
              <w:adjustRightInd w:val="0"/>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特殊气候条件下施工方案、成品保护和工程保修工作的管理措施和承诺以及任何可能的紧急情况的处理措施、预案以及抵抗风险的措施</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评分标准：</w:t>
            </w:r>
            <w:r>
              <w:rPr>
                <w:rFonts w:eastAsia="仿宋" w:asciiTheme="minorEastAsia" w:hAnsiTheme="minorEastAsia"/>
                <w:snapToGrid w:val="0"/>
                <w:sz w:val="21"/>
                <w:szCs w:val="21"/>
                <w:lang w:eastAsia="zh-CN"/>
              </w:rPr>
              <w:t xml:space="preserve"> 横向比较，综合评分；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方案完整且合理的：3-</w:t>
            </w:r>
            <w:r>
              <w:rPr>
                <w:rFonts w:eastAsia="仿宋" w:asciiTheme="minorEastAsia" w:hAnsiTheme="minorEastAsia"/>
                <w:snapToGrid w:val="0"/>
                <w:sz w:val="21"/>
                <w:szCs w:val="21"/>
                <w:lang w:eastAsia="zh-CN"/>
              </w:rPr>
              <w:t>4分；</w:t>
            </w:r>
          </w:p>
          <w:p>
            <w:pPr>
              <w:adjustRightInd w:val="0"/>
              <w:rPr>
                <w:rFonts w:eastAsia="仿宋" w:asciiTheme="minorEastAsia" w:hAnsiTheme="minorEastAsia"/>
                <w:snapToGrid w:val="0"/>
                <w:sz w:val="21"/>
                <w:szCs w:val="21"/>
                <w:lang w:eastAsia="zh-CN"/>
              </w:rPr>
            </w:pPr>
            <w:r>
              <w:rPr>
                <w:rFonts w:hint="eastAsia" w:eastAsia="仿宋" w:asciiTheme="minorEastAsia" w:hAnsiTheme="minorEastAsia"/>
                <w:snapToGrid w:val="0"/>
                <w:sz w:val="21"/>
                <w:szCs w:val="21"/>
                <w:lang w:eastAsia="zh-CN"/>
              </w:rPr>
              <w:t>内容有一定缺失或针对性不强的：</w:t>
            </w:r>
            <w:r>
              <w:rPr>
                <w:rFonts w:eastAsia="仿宋" w:asciiTheme="minorEastAsia" w:hAnsiTheme="minorEastAsia"/>
                <w:snapToGrid w:val="0"/>
                <w:sz w:val="21"/>
                <w:szCs w:val="21"/>
                <w:lang w:eastAsia="zh-CN"/>
              </w:rPr>
              <w:t>1-2分；</w:t>
            </w:r>
          </w:p>
          <w:p>
            <w:pPr>
              <w:pStyle w:val="80"/>
              <w:adjustRightInd w:val="0"/>
              <w:jc w:val="both"/>
              <w:rPr>
                <w:rFonts w:ascii="仿宋" w:hAnsi="仿宋" w:eastAsia="仿宋"/>
                <w:snapToGrid w:val="0"/>
                <w:sz w:val="21"/>
                <w:szCs w:val="21"/>
                <w:lang w:eastAsia="zh-CN"/>
              </w:rPr>
            </w:pPr>
            <w:r>
              <w:rPr>
                <w:rFonts w:hint="eastAsia" w:eastAsia="仿宋" w:asciiTheme="minorEastAsia" w:hAnsiTheme="minorEastAsia"/>
                <w:snapToGrid w:val="0"/>
                <w:sz w:val="21"/>
                <w:szCs w:val="21"/>
                <w:lang w:eastAsia="zh-CN"/>
              </w:rPr>
              <w:t>内容严重缺失且无针对性的：</w:t>
            </w:r>
            <w:r>
              <w:rPr>
                <w:rFonts w:eastAsia="仿宋" w:asciiTheme="minorEastAsia" w:hAnsiTheme="minorEastAsia"/>
                <w:snapToGrid w:val="0"/>
                <w:sz w:val="21"/>
                <w:szCs w:val="21"/>
                <w:lang w:eastAsia="zh-CN"/>
              </w:rPr>
              <w:t>0分。</w:t>
            </w:r>
          </w:p>
        </w:tc>
      </w:tr>
      <w:bookmarkEnd w:id="18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(3)</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报价评分标准</w:t>
            </w:r>
          </w:p>
        </w:tc>
        <w:tc>
          <w:tcPr>
            <w:tcW w:w="7830" w:type="dxa"/>
            <w:gridSpan w:val="4"/>
            <w:tcMar>
              <w:left w:w="57" w:type="dxa"/>
              <w:right w:w="57" w:type="dxa"/>
            </w:tcMar>
            <w:vAlign w:val="center"/>
          </w:tcPr>
          <w:p>
            <w:pPr>
              <w:adjustRightInd w:val="0"/>
              <w:spacing w:after="120" w:afterLines="50"/>
              <w:ind w:left="51" w:leftChars="23"/>
              <w:jc w:val="both"/>
              <w:rPr>
                <w:rFonts w:eastAsia="仿宋" w:asciiTheme="minorEastAsia" w:hAnsiTheme="minorEastAsia"/>
                <w:snapToGrid w:val="0"/>
                <w:sz w:val="21"/>
                <w:szCs w:val="21"/>
                <w:lang w:eastAsia="zh-CN"/>
              </w:rPr>
            </w:pPr>
            <w:r>
              <w:rPr>
                <w:rFonts w:ascii="Wingdings 2" w:hAnsi="Wingdings 2" w:eastAsia="仿宋" w:cs="Apple Color Emoji"/>
                <w:snapToGrid w:val="0"/>
                <w:sz w:val="24"/>
                <w:szCs w:val="24"/>
                <w:shd w:val="clear" w:color="auto" w:fill="FFFF00"/>
                <w:lang w:eastAsia="zh-CN"/>
              </w:rPr>
              <w:t></w:t>
            </w:r>
            <w:r>
              <w:rPr>
                <w:rFonts w:hint="eastAsia" w:ascii="Wingdings 2" w:hAnsi="Wingdings 2" w:eastAsia="仿宋" w:cs="Apple Color Emoji"/>
                <w:snapToGrid w:val="0"/>
                <w:sz w:val="24"/>
                <w:szCs w:val="24"/>
                <w:shd w:val="clear" w:color="auto" w:fill="FFFF00"/>
                <w:lang w:val="en-US" w:eastAsia="zh-CN"/>
              </w:rPr>
              <w:t>满分</w:t>
            </w:r>
            <w:r>
              <w:rPr>
                <w:rFonts w:hint="eastAsia" w:eastAsia="仿宋" w:asciiTheme="minorEastAsia" w:hAnsiTheme="minorEastAsia"/>
                <w:snapToGrid w:val="0"/>
                <w:sz w:val="21"/>
                <w:szCs w:val="21"/>
                <w:lang w:val="en-US" w:eastAsia="zh-CN"/>
              </w:rPr>
              <w:t>50分，</w:t>
            </w:r>
            <w:r>
              <w:rPr>
                <w:rFonts w:eastAsia="仿宋" w:asciiTheme="minorEastAsia" w:hAnsiTheme="minorEastAsia"/>
                <w:snapToGrid w:val="0"/>
                <w:sz w:val="21"/>
                <w:szCs w:val="21"/>
                <w:lang w:eastAsia="zh-CN"/>
              </w:rPr>
              <w:t>按有效报价的平均值作为基准值，基准值为满分</w:t>
            </w:r>
            <w:r>
              <w:rPr>
                <w:rFonts w:hint="eastAsia" w:eastAsia="仿宋" w:asciiTheme="minorEastAsia" w:hAnsiTheme="minorEastAsia"/>
                <w:snapToGrid w:val="0"/>
                <w:sz w:val="21"/>
                <w:szCs w:val="21"/>
                <w:lang w:val="en-US" w:eastAsia="zh-CN"/>
              </w:rPr>
              <w:t>40</w:t>
            </w:r>
            <w:r>
              <w:rPr>
                <w:rFonts w:eastAsia="仿宋" w:asciiTheme="minorEastAsia" w:hAnsiTheme="minorEastAsia"/>
                <w:snapToGrid w:val="0"/>
                <w:sz w:val="21"/>
                <w:szCs w:val="21"/>
                <w:lang w:eastAsia="zh-CN"/>
              </w:rPr>
              <w:t>分，有效报价每高于基准价1%的减</w:t>
            </w:r>
            <w:r>
              <w:rPr>
                <w:rFonts w:hint="eastAsia" w:eastAsia="仿宋" w:asciiTheme="minorEastAsia" w:hAnsiTheme="minorEastAsia"/>
                <w:snapToGrid w:val="0"/>
                <w:sz w:val="21"/>
                <w:szCs w:val="21"/>
                <w:lang w:val="en-US" w:eastAsia="zh-CN"/>
              </w:rPr>
              <w:t>0.5</w:t>
            </w:r>
            <w:r>
              <w:rPr>
                <w:rFonts w:eastAsia="仿宋" w:asciiTheme="minorEastAsia" w:hAnsiTheme="minorEastAsia"/>
                <w:snapToGrid w:val="0"/>
                <w:sz w:val="21"/>
                <w:szCs w:val="21"/>
                <w:lang w:eastAsia="zh-CN"/>
              </w:rPr>
              <w:t>分，</w:t>
            </w:r>
            <w:r>
              <w:rPr>
                <w:rFonts w:hint="eastAsia" w:eastAsia="仿宋" w:asciiTheme="minorEastAsia" w:hAnsiTheme="minorEastAsia"/>
                <w:snapToGrid w:val="0"/>
                <w:sz w:val="21"/>
                <w:szCs w:val="21"/>
                <w:lang w:val="en-US" w:eastAsia="zh-CN"/>
              </w:rPr>
              <w:t>最多扣10分，</w:t>
            </w:r>
            <w:r>
              <w:rPr>
                <w:rFonts w:eastAsia="仿宋" w:asciiTheme="minorEastAsia" w:hAnsiTheme="minorEastAsia"/>
                <w:snapToGrid w:val="0"/>
                <w:sz w:val="21"/>
                <w:szCs w:val="21"/>
                <w:lang w:eastAsia="zh-CN"/>
              </w:rPr>
              <w:t>有效报价每低于基准价1%的</w:t>
            </w:r>
            <w:r>
              <w:rPr>
                <w:rFonts w:hint="eastAsia" w:eastAsia="仿宋" w:asciiTheme="minorEastAsia" w:hAnsiTheme="minorEastAsia"/>
                <w:snapToGrid w:val="0"/>
                <w:sz w:val="21"/>
                <w:szCs w:val="21"/>
                <w:lang w:val="en-US" w:eastAsia="zh-CN"/>
              </w:rPr>
              <w:t>加</w:t>
            </w:r>
            <w:r>
              <w:rPr>
                <w:rFonts w:eastAsia="仿宋" w:asciiTheme="minorEastAsia" w:hAnsiTheme="minorEastAsia"/>
                <w:snapToGrid w:val="0"/>
                <w:sz w:val="21"/>
                <w:szCs w:val="21"/>
                <w:lang w:eastAsia="zh-CN"/>
              </w:rPr>
              <w:t>0.5分，</w:t>
            </w:r>
            <w:r>
              <w:rPr>
                <w:rFonts w:hint="eastAsia" w:eastAsia="仿宋" w:asciiTheme="minorEastAsia" w:hAnsiTheme="minorEastAsia"/>
                <w:snapToGrid w:val="0"/>
                <w:sz w:val="21"/>
                <w:szCs w:val="21"/>
                <w:lang w:val="en-US" w:eastAsia="zh-CN"/>
              </w:rPr>
              <w:t>最多加</w:t>
            </w:r>
            <w:r>
              <w:rPr>
                <w:rFonts w:eastAsia="仿宋" w:asciiTheme="minorEastAsia" w:hAnsiTheme="minorEastAsia"/>
                <w:snapToGrid w:val="0"/>
                <w:sz w:val="21"/>
                <w:szCs w:val="21"/>
                <w:lang w:eastAsia="zh-CN"/>
              </w:rPr>
              <w:t>至</w:t>
            </w:r>
            <w:r>
              <w:rPr>
                <w:rFonts w:hint="eastAsia" w:eastAsia="仿宋" w:asciiTheme="minorEastAsia" w:hAnsiTheme="minorEastAsia"/>
                <w:snapToGrid w:val="0"/>
                <w:sz w:val="21"/>
                <w:szCs w:val="21"/>
                <w:lang w:val="en-US" w:eastAsia="zh-CN"/>
              </w:rPr>
              <w:t>50</w:t>
            </w:r>
            <w:r>
              <w:rPr>
                <w:rFonts w:eastAsia="仿宋" w:asciiTheme="minorEastAsia" w:hAnsiTheme="minorEastAsia"/>
                <w:snapToGrid w:val="0"/>
                <w:sz w:val="21"/>
                <w:szCs w:val="21"/>
                <w:lang w:eastAsia="zh-CN"/>
              </w:rPr>
              <w:t>分为止。</w:t>
            </w:r>
          </w:p>
          <w:p>
            <w:pPr>
              <w:pStyle w:val="80"/>
              <w:adjustRightInd w:val="0"/>
              <w:ind w:left="257" w:leftChars="117"/>
              <w:jc w:val="both"/>
              <w:rPr>
                <w:rFonts w:ascii="仿宋" w:hAnsi="仿宋" w:eastAsia="仿宋"/>
                <w:snapToGrid w:val="0"/>
                <w:sz w:val="21"/>
                <w:szCs w:val="21"/>
                <w:lang w:eastAsia="zh-CN"/>
              </w:rPr>
            </w:pPr>
            <w:r>
              <w:rPr>
                <w:rFonts w:hint="eastAsia" w:ascii="仿宋" w:hAnsi="仿宋" w:eastAsia="仿宋"/>
                <w:snapToGrid w:val="0"/>
                <w:sz w:val="21"/>
                <w:szCs w:val="21"/>
                <w:lang w:eastAsia="zh-CN"/>
              </w:rPr>
              <w:t>保留2位小数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713" w:type="dxa"/>
            <w:tcBorders>
              <w:right w:val="single" w:color="auto" w:sz="4" w:space="0"/>
            </w:tcBorders>
            <w:tcMar>
              <w:left w:w="57" w:type="dxa"/>
              <w:right w:w="57" w:type="dxa"/>
            </w:tcMar>
            <w:vAlign w:val="center"/>
          </w:tcPr>
          <w:p>
            <w:pPr>
              <w:pStyle w:val="80"/>
              <w:adjustRightInd w:val="0"/>
              <w:rPr>
                <w:rFonts w:ascii="仿宋" w:hAnsi="仿宋" w:eastAsia="仿宋"/>
                <w:snapToGrid w:val="0"/>
                <w:sz w:val="21"/>
                <w:szCs w:val="21"/>
              </w:rPr>
            </w:pPr>
            <w:bookmarkStart w:id="183" w:name="扫描0039"/>
            <w:bookmarkEnd w:id="183"/>
            <w:r>
              <w:rPr>
                <w:rFonts w:ascii="仿宋" w:hAnsi="仿宋" w:eastAsia="仿宋"/>
                <w:snapToGrid w:val="0"/>
                <w:sz w:val="21"/>
                <w:szCs w:val="21"/>
              </w:rPr>
              <w:t>3.2.3</w:t>
            </w:r>
          </w:p>
          <w:p>
            <w:pPr>
              <w:adjustRightInd w:val="0"/>
              <w:rPr>
                <w:rFonts w:ascii="仿宋" w:hAnsi="仿宋" w:eastAsia="仿宋"/>
                <w:snapToGrid w:val="0"/>
                <w:sz w:val="21"/>
                <w:szCs w:val="21"/>
                <w:lang w:eastAsia="zh-CN"/>
              </w:rPr>
            </w:pPr>
            <w:r>
              <w:rPr>
                <w:rFonts w:ascii="仿宋" w:hAnsi="仿宋" w:eastAsia="仿宋"/>
                <w:snapToGrid w:val="0"/>
                <w:sz w:val="21"/>
                <w:szCs w:val="21"/>
              </w:rPr>
              <w:t>(4)</w:t>
            </w:r>
          </w:p>
        </w:tc>
        <w:tc>
          <w:tcPr>
            <w:tcW w:w="1035" w:type="dxa"/>
            <w:gridSpan w:val="2"/>
            <w:tcBorders>
              <w:left w:val="single" w:color="auto" w:sz="4" w:space="0"/>
            </w:tcBorders>
            <w:vAlign w:val="center"/>
          </w:tcPr>
          <w:p>
            <w:pPr>
              <w:adjustRightInd w:val="0"/>
              <w:rPr>
                <w:rFonts w:ascii="仿宋" w:hAnsi="仿宋" w:eastAsia="仿宋"/>
                <w:snapToGrid w:val="0"/>
                <w:sz w:val="21"/>
                <w:szCs w:val="21"/>
                <w:lang w:eastAsia="zh-CN"/>
              </w:rPr>
            </w:pPr>
            <w:r>
              <w:rPr>
                <w:rFonts w:ascii="仿宋" w:hAnsi="仿宋" w:eastAsia="仿宋"/>
                <w:snapToGrid w:val="0"/>
                <w:sz w:val="21"/>
                <w:szCs w:val="21"/>
              </w:rPr>
              <w:t>其他因素评分标准</w:t>
            </w:r>
          </w:p>
        </w:tc>
        <w:tc>
          <w:tcPr>
            <w:tcW w:w="2250" w:type="dxa"/>
            <w:gridSpan w:val="2"/>
            <w:tcMar>
              <w:left w:w="57" w:type="dxa"/>
              <w:right w:w="57" w:type="dxa"/>
            </w:tcMar>
            <w:vAlign w:val="center"/>
          </w:tcPr>
          <w:p>
            <w:pPr>
              <w:rPr>
                <w:rFonts w:ascii="仿宋" w:hAnsi="仿宋" w:eastAsia="仿宋"/>
                <w:snapToGrid w:val="0"/>
                <w:sz w:val="21"/>
                <w:szCs w:val="21"/>
                <w:lang w:eastAsia="zh-CN"/>
              </w:rPr>
            </w:pPr>
            <w:r>
              <w:rPr>
                <w:rFonts w:ascii="仿宋" w:hAnsi="仿宋" w:eastAsia="仿宋"/>
                <w:snapToGrid w:val="0"/>
                <w:sz w:val="21"/>
                <w:szCs w:val="21"/>
                <w:lang w:eastAsia="zh-CN"/>
              </w:rPr>
              <w:t>……</w:t>
            </w:r>
          </w:p>
        </w:tc>
        <w:tc>
          <w:tcPr>
            <w:tcW w:w="5580" w:type="dxa"/>
            <w:gridSpan w:val="2"/>
            <w:tcMar>
              <w:left w:w="57" w:type="dxa"/>
              <w:right w:w="57" w:type="dxa"/>
            </w:tcMar>
            <w:vAlign w:val="center"/>
          </w:tcPr>
          <w:p>
            <w:pPr>
              <w:pStyle w:val="80"/>
              <w:adjustRightInd w:val="0"/>
              <w:rPr>
                <w:rFonts w:ascii="仿宋" w:hAnsi="仿宋" w:eastAsia="仿宋"/>
                <w:snapToGrid w:val="0"/>
                <w:sz w:val="21"/>
                <w:szCs w:val="21"/>
                <w:lang w:eastAsia="zh-CN"/>
              </w:rPr>
            </w:pPr>
            <w:r>
              <w:rPr>
                <w:rFonts w:ascii="仿宋" w:hAnsi="仿宋" w:eastAsia="仿宋"/>
                <w:snapToGrid w:val="0"/>
                <w:sz w:val="21"/>
                <w:szCs w:val="21"/>
                <w:lang w:eastAsia="zh-CN"/>
              </w:rPr>
              <w:t>……</w:t>
            </w:r>
          </w:p>
        </w:tc>
      </w:tr>
    </w:tbl>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bookmarkEnd w:id="174"/>
    <w:p>
      <w:pPr>
        <w:pStyle w:val="3"/>
        <w:spacing w:line="276" w:lineRule="auto"/>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84" w:name="_bookmark10"/>
      <w:bookmarkEnd w:id="184"/>
      <w:bookmarkStart w:id="185" w:name="_Toc99483672"/>
      <w:bookmarkStart w:id="186" w:name="_Toc603"/>
      <w:r>
        <w:rPr>
          <w:rFonts w:ascii="仿宋" w:hAnsi="仿宋" w:eastAsia="仿宋"/>
          <w:b/>
          <w:bCs/>
          <w:snapToGrid w:val="0"/>
          <w:sz w:val="24"/>
          <w:szCs w:val="24"/>
          <w:lang w:eastAsia="zh-CN"/>
        </w:rPr>
        <w:t>1 评审方法（综合评分法）</w:t>
      </w:r>
      <w:bookmarkEnd w:id="185"/>
      <w:bookmarkEnd w:id="186"/>
    </w:p>
    <w:p>
      <w:pPr>
        <w:pStyle w:val="17"/>
        <w:adjustRightInd w:val="0"/>
        <w:snapToGrid w:val="0"/>
        <w:spacing w:line="360"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本次评审采用综合评分法。谈判小组对满足采购文件实质性要求的响应文件，按照本章第3.2款规定的评分标准进行打分，并按得分由高到低的顺序推荐候选成交供应商。</w:t>
      </w:r>
      <w:bookmarkStart w:id="187" w:name="_bookmark11"/>
      <w:bookmarkEnd w:id="187"/>
    </w:p>
    <w:p>
      <w:pPr>
        <w:pStyle w:val="17"/>
        <w:adjustRightInd w:val="0"/>
        <w:snapToGrid w:val="0"/>
        <w:spacing w:line="360" w:lineRule="auto"/>
        <w:rPr>
          <w:rFonts w:ascii="仿宋" w:hAnsi="仿宋" w:eastAsia="仿宋"/>
          <w:snapToGrid w:val="0"/>
          <w:sz w:val="24"/>
          <w:szCs w:val="24"/>
          <w:lang w:eastAsia="zh-CN"/>
        </w:rPr>
      </w:pPr>
    </w:p>
    <w:p>
      <w:pPr>
        <w:pStyle w:val="3"/>
        <w:spacing w:line="360" w:lineRule="auto"/>
        <w:rPr>
          <w:rFonts w:ascii="仿宋" w:hAnsi="仿宋" w:eastAsia="仿宋"/>
          <w:b/>
          <w:bCs/>
          <w:snapToGrid w:val="0"/>
          <w:sz w:val="24"/>
          <w:szCs w:val="24"/>
          <w:lang w:eastAsia="zh-CN"/>
        </w:rPr>
      </w:pPr>
      <w:bookmarkStart w:id="188" w:name="_Toc14883"/>
      <w:bookmarkStart w:id="189" w:name="_Toc99483673"/>
      <w:r>
        <w:rPr>
          <w:rFonts w:ascii="仿宋" w:hAnsi="仿宋" w:eastAsia="仿宋"/>
          <w:b/>
          <w:bCs/>
          <w:snapToGrid w:val="0"/>
          <w:sz w:val="24"/>
          <w:szCs w:val="24"/>
          <w:lang w:eastAsia="zh-CN"/>
        </w:rPr>
        <w:t>2 初步评审标准和程序</w:t>
      </w:r>
      <w:bookmarkEnd w:id="188"/>
      <w:bookmarkEnd w:id="189"/>
    </w:p>
    <w:p>
      <w:pPr>
        <w:adjustRightInd w:val="0"/>
        <w:snapToGrid w:val="0"/>
        <w:spacing w:line="360" w:lineRule="auto"/>
        <w:ind w:left="400"/>
        <w:jc w:val="both"/>
        <w:outlineLvl w:val="2"/>
        <w:rPr>
          <w:rFonts w:ascii="仿宋" w:hAnsi="仿宋" w:eastAsia="仿宋"/>
          <w:b/>
          <w:snapToGrid w:val="0"/>
          <w:sz w:val="24"/>
          <w:szCs w:val="24"/>
          <w:lang w:eastAsia="zh-CN"/>
        </w:rPr>
      </w:pPr>
      <w:bookmarkStart w:id="190" w:name="_Toc99483674"/>
      <w:bookmarkStart w:id="191" w:name="_Toc100340495"/>
      <w:bookmarkStart w:id="192" w:name="_Toc9068"/>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.1 初步评审标准</w:t>
      </w:r>
      <w:bookmarkEnd w:id="190"/>
      <w:bookmarkEnd w:id="191"/>
      <w:bookmarkEnd w:id="192"/>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1.1</w:t>
      </w:r>
      <w:r>
        <w:rPr>
          <w:rFonts w:ascii="仿宋" w:hAnsi="仿宋" w:eastAsia="仿宋"/>
          <w:snapToGrid w:val="0"/>
          <w:sz w:val="24"/>
          <w:szCs w:val="24"/>
          <w:lang w:eastAsia="zh-CN"/>
        </w:rPr>
        <w:tab/>
      </w:r>
      <w:r>
        <w:rPr>
          <w:rFonts w:ascii="仿宋" w:hAnsi="仿宋" w:eastAsia="仿宋"/>
          <w:snapToGrid w:val="0"/>
          <w:sz w:val="24"/>
          <w:szCs w:val="24"/>
          <w:lang w:eastAsia="zh-CN"/>
        </w:rPr>
        <w:t>形式评审标准：见评审办法前附表。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2.1.2</w:t>
      </w:r>
      <w:r>
        <w:rPr>
          <w:rFonts w:ascii="仿宋" w:hAnsi="仿宋" w:eastAsia="仿宋"/>
          <w:snapToGrid w:val="0"/>
          <w:sz w:val="24"/>
          <w:szCs w:val="24"/>
          <w:lang w:eastAsia="zh-CN"/>
        </w:rPr>
        <w:tab/>
      </w:r>
      <w:r>
        <w:rPr>
          <w:rFonts w:ascii="仿宋" w:hAnsi="仿宋" w:eastAsia="仿宋"/>
          <w:snapToGrid w:val="0"/>
          <w:sz w:val="24"/>
          <w:szCs w:val="24"/>
          <w:lang w:eastAsia="zh-CN"/>
        </w:rPr>
        <w:t>资格评审标准：见评审办法前附表。</w:t>
      </w:r>
    </w:p>
    <w:p>
      <w:pPr>
        <w:pStyle w:val="17"/>
        <w:adjustRightInd w:val="0"/>
        <w:snapToGrid w:val="0"/>
        <w:spacing w:line="360" w:lineRule="auto"/>
        <w:ind w:firstLine="400"/>
        <w:outlineLvl w:val="3"/>
        <w:rPr>
          <w:rFonts w:ascii="仿宋" w:hAnsi="仿宋" w:eastAsia="仿宋"/>
          <w:snapToGrid w:val="0"/>
          <w:sz w:val="24"/>
          <w:szCs w:val="24"/>
          <w:lang w:eastAsia="zh-CN"/>
        </w:rPr>
      </w:pPr>
      <w:r>
        <w:rPr>
          <w:rFonts w:ascii="仿宋" w:hAnsi="仿宋" w:eastAsia="仿宋"/>
          <w:snapToGrid w:val="0"/>
          <w:sz w:val="24"/>
          <w:szCs w:val="24"/>
          <w:lang w:eastAsia="zh-CN"/>
        </w:rPr>
        <w:t>2.1.3</w:t>
      </w:r>
      <w:r>
        <w:rPr>
          <w:rFonts w:ascii="仿宋" w:hAnsi="仿宋" w:eastAsia="仿宋"/>
          <w:snapToGrid w:val="0"/>
          <w:sz w:val="24"/>
          <w:szCs w:val="24"/>
          <w:lang w:eastAsia="zh-CN"/>
        </w:rPr>
        <w:tab/>
      </w:r>
      <w:r>
        <w:rPr>
          <w:rFonts w:ascii="仿宋" w:hAnsi="仿宋" w:eastAsia="仿宋"/>
          <w:snapToGrid w:val="0"/>
          <w:sz w:val="24"/>
          <w:szCs w:val="24"/>
          <w:lang w:eastAsia="zh-CN"/>
        </w:rPr>
        <w:t>响应性评审标准：见评审办法前附表。</w:t>
      </w:r>
    </w:p>
    <w:p>
      <w:pPr>
        <w:adjustRightInd w:val="0"/>
        <w:snapToGrid w:val="0"/>
        <w:spacing w:line="360" w:lineRule="auto"/>
        <w:ind w:left="400"/>
        <w:jc w:val="both"/>
        <w:outlineLvl w:val="2"/>
        <w:rPr>
          <w:rFonts w:ascii="仿宋" w:hAnsi="仿宋" w:eastAsia="仿宋"/>
          <w:b/>
          <w:snapToGrid w:val="0"/>
          <w:sz w:val="24"/>
          <w:szCs w:val="24"/>
          <w:lang w:eastAsia="zh-CN"/>
        </w:rPr>
      </w:pPr>
      <w:bookmarkStart w:id="193" w:name="_Toc99483675"/>
      <w:bookmarkStart w:id="194" w:name="_Toc100340496"/>
      <w:bookmarkStart w:id="195" w:name="_Toc19890"/>
      <w:r>
        <w:rPr>
          <w:rFonts w:hint="eastAsia" w:ascii="仿宋" w:hAnsi="仿宋" w:eastAsia="仿宋"/>
          <w:b/>
          <w:snapToGrid w:val="0"/>
          <w:sz w:val="24"/>
          <w:szCs w:val="24"/>
          <w:lang w:eastAsia="zh-CN"/>
        </w:rPr>
        <w:t>2</w:t>
      </w:r>
      <w:r>
        <w:rPr>
          <w:rFonts w:ascii="仿宋" w:hAnsi="仿宋" w:eastAsia="仿宋"/>
          <w:b/>
          <w:snapToGrid w:val="0"/>
          <w:sz w:val="24"/>
          <w:szCs w:val="24"/>
          <w:lang w:eastAsia="zh-CN"/>
        </w:rPr>
        <w:t>.2 初步评审程序</w:t>
      </w:r>
      <w:bookmarkEnd w:id="193"/>
      <w:bookmarkEnd w:id="194"/>
      <w:bookmarkEnd w:id="19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经供应商澄清、说明和补正后仍不满足初步评审要求的响应文件（即响应文件不满足本章第2.1款规定的任一项标准），其响应文件将被视为无效，采购小组应告知有关供应商。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供应商有串通</w:t>
      </w:r>
      <w:r>
        <w:rPr>
          <w:rFonts w:hint="eastAsia" w:eastAsia="仿宋" w:asciiTheme="minorEastAsia" w:hAnsiTheme="minorEastAsia"/>
          <w:snapToGrid w:val="0"/>
          <w:sz w:val="24"/>
          <w:szCs w:val="24"/>
          <w:lang w:eastAsia="zh-CN"/>
        </w:rPr>
        <w:t>（符合第2</w:t>
      </w:r>
      <w:r>
        <w:rPr>
          <w:rFonts w:eastAsia="仿宋" w:asciiTheme="minorEastAsia" w:hAnsiTheme="minorEastAsia"/>
          <w:snapToGrid w:val="0"/>
          <w:sz w:val="24"/>
          <w:szCs w:val="24"/>
          <w:lang w:eastAsia="zh-CN"/>
        </w:rPr>
        <w:t>.2.8</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hint="eastAsia" w:eastAsia="仿宋" w:asciiTheme="minorEastAsia" w:hAnsiTheme="minorEastAsia"/>
          <w:snapToGrid w:val="0"/>
          <w:sz w:val="24"/>
          <w:szCs w:val="24"/>
          <w:lang w:eastAsia="zh-CN"/>
        </w:rPr>
        <w:t>项情况）</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以各种方式</w:t>
      </w:r>
      <w:r>
        <w:rPr>
          <w:rFonts w:eastAsia="仿宋" w:asciiTheme="minorEastAsia" w:hAnsiTheme="minorEastAsia"/>
          <w:snapToGrid w:val="0"/>
          <w:sz w:val="24"/>
          <w:szCs w:val="24"/>
          <w:lang w:eastAsia="zh-CN"/>
        </w:rPr>
        <w:t>弄虚作假、行贿</w:t>
      </w:r>
      <w:r>
        <w:rPr>
          <w:rFonts w:hint="eastAsia" w:eastAsia="仿宋" w:asciiTheme="minorEastAsia" w:hAnsiTheme="minor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Pr>
          <w:rFonts w:eastAsia="仿宋" w:asciiTheme="minorEastAsia" w:hAnsiTheme="minorEastAsia"/>
          <w:snapToGrid w:val="0"/>
          <w:sz w:val="24"/>
          <w:szCs w:val="24"/>
          <w:lang w:eastAsia="zh-CN"/>
        </w:rPr>
        <w:t>规章制度，在采购与招投标过程中恶</w:t>
      </w:r>
      <w:r>
        <w:rPr>
          <w:rFonts w:hint="eastAsia" w:eastAsia="仿宋" w:asciiTheme="minorEastAsia" w:hAnsiTheme="minorEastAsia"/>
          <w:snapToGrid w:val="0"/>
          <w:sz w:val="24"/>
          <w:szCs w:val="24"/>
          <w:lang w:eastAsia="zh-CN"/>
        </w:rPr>
        <w:t>意诽谤、诬告陷害其它竞争对手的不良行为</w:t>
      </w:r>
      <w:r>
        <w:rPr>
          <w:rFonts w:eastAsia="仿宋" w:asciiTheme="minorEastAsia" w:hAnsiTheme="minorEastAsia"/>
          <w:snapToGrid w:val="0"/>
          <w:sz w:val="24"/>
          <w:szCs w:val="24"/>
          <w:lang w:eastAsia="zh-CN"/>
        </w:rPr>
        <w:t>等违法行为的，其响应文件将被视为无效，其响应保证金将被没收。</w:t>
      </w:r>
      <w:r>
        <w:rPr>
          <w:rFonts w:hint="eastAsia" w:eastAsia="仿宋" w:asciiTheme="minorEastAsia" w:hAnsiTheme="minorEastAsia"/>
          <w:snapToGrid w:val="0"/>
          <w:sz w:val="24"/>
          <w:szCs w:val="24"/>
          <w:lang w:eastAsia="zh-CN"/>
        </w:rPr>
        <w:t>同时将处以成交与中标项目金额千分之五以上千分之十以下的罚款，对串通投标单位直接负责的主管人员和其他直接责任人员处单位罚款数额百分之五以上百分之十以下的罚款。</w:t>
      </w:r>
      <w:r>
        <w:rPr>
          <w:rFonts w:eastAsia="仿宋" w:asciiTheme="minorEastAsia" w:hAnsiTheme="minorEastAsia"/>
          <w:snapToGrid w:val="0"/>
          <w:sz w:val="24"/>
          <w:szCs w:val="24"/>
          <w:lang w:eastAsia="zh-CN"/>
        </w:rPr>
        <w:t>并且该供应商将被列入采购人</w:t>
      </w:r>
      <w:r>
        <w:rPr>
          <w:rFonts w:hint="eastAsia" w:eastAsia="仿宋" w:asciiTheme="minorEastAsia" w:hAnsiTheme="minorEastAsia"/>
          <w:snapToGrid w:val="0"/>
          <w:sz w:val="24"/>
          <w:szCs w:val="24"/>
          <w:lang w:eastAsia="zh-CN"/>
        </w:rPr>
        <w:t>供应商黑名单（供应商“黑名单”每年发布一次，并在</w:t>
      </w:r>
      <w:r>
        <w:rPr>
          <w:rFonts w:eastAsia="仿宋" w:asciiTheme="minorEastAsia" w:hAnsiTheme="minorEastAsia"/>
          <w:snapToGrid w:val="0"/>
          <w:sz w:val="24"/>
          <w:szCs w:val="24"/>
          <w:lang w:eastAsia="zh-CN"/>
        </w:rPr>
        <w:t xml:space="preserve"> EPS 系统中</w:t>
      </w:r>
      <w:r>
        <w:rPr>
          <w:rFonts w:hint="eastAsia" w:eastAsia="仿宋" w:asciiTheme="minorEastAsia" w:hAnsiTheme="minorEastAsia"/>
          <w:snapToGrid w:val="0"/>
          <w:sz w:val="24"/>
          <w:szCs w:val="24"/>
          <w:lang w:eastAsia="zh-CN"/>
        </w:rPr>
        <w:t>公示），进行供应商淘汰，永久禁止与采购人及下属单位开展业务；</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.2.5</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供应商成交后无正当理由拒不签约或拒不履行合同的，至少进行采购人分子公司供应关系关闭，也可进行采购人各一级经营单位，华商中心供应关系关闭或</w:t>
      </w:r>
      <w:r>
        <w:rPr>
          <w:rFonts w:eastAsia="仿宋" w:asciiTheme="minorEastAsia" w:hAnsiTheme="minorEastAsia"/>
          <w:snapToGrid w:val="0"/>
          <w:sz w:val="24"/>
          <w:szCs w:val="24"/>
          <w:lang w:eastAsia="zh-CN"/>
        </w:rPr>
        <w:t>***品</w:t>
      </w:r>
      <w:r>
        <w:rPr>
          <w:rFonts w:hint="eastAsia" w:eastAsia="仿宋" w:asciiTheme="minorEastAsia" w:hAnsiTheme="minorEastAsia"/>
          <w:snapToGrid w:val="0"/>
          <w:sz w:val="24"/>
          <w:szCs w:val="24"/>
          <w:lang w:eastAsia="zh-CN"/>
        </w:rPr>
        <w:t>类供应关系关闭，关闭期一年；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2.2.6</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.2.7</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上述行为</w:t>
      </w:r>
      <w:r>
        <w:rPr>
          <w:rFonts w:eastAsia="仿宋" w:asciiTheme="minorEastAsia" w:hAnsiTheme="minorEastAsia"/>
          <w:snapToGrid w:val="0"/>
          <w:sz w:val="24"/>
          <w:szCs w:val="24"/>
          <w:lang w:eastAsia="zh-CN"/>
        </w:rPr>
        <w:t>情节严重的，采购人将</w:t>
      </w:r>
      <w:r>
        <w:rPr>
          <w:rFonts w:hint="eastAsia" w:eastAsia="仿宋" w:asciiTheme="minorEastAsia" w:hAnsiTheme="minorEastAsia"/>
          <w:snapToGrid w:val="0"/>
          <w:sz w:val="24"/>
          <w:szCs w:val="24"/>
          <w:lang w:eastAsia="zh-CN"/>
        </w:rPr>
        <w:t>移交</w:t>
      </w:r>
      <w:r>
        <w:rPr>
          <w:rFonts w:eastAsia="仿宋" w:asciiTheme="minorEastAsia" w:hAnsiTheme="minorEastAsia"/>
          <w:snapToGrid w:val="0"/>
          <w:sz w:val="24"/>
          <w:szCs w:val="24"/>
          <w:lang w:eastAsia="zh-CN"/>
        </w:rPr>
        <w:t>公安经侦部门进行刑事调查。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.2.8</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（一）供应商之间协商响应报价等响应文件的实质性内容；</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（二）供应商之间约定成交供应商；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（三）供应商之间约定部分供应商放弃响应报价或者成交；</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（四）属于同一集团、协会、商会等组织成员的供应商按照该组织要求协同响应报价；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（五）供应商之间为谋取成交或者排斥特定供应商而采取的其他联合行动。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.2.9</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有下列情形之一的，视为供应商相互串通响应报价：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（一）不同供应商的响应文件由同一单位或者个人编制；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（二）不同供应商委托同一单位或者个人办理响应报价事宜；</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（三）不同供应商的响应文件载明的项目管理成员为同一人；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（四）不同供应商的响应文件异常一致或者响应报价呈规律性差异；</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（五）不同供应商的响应文件相互混装；</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（六）不同供应商的响应保证金从同一单位或者个人的账户转出。</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2</w:t>
      </w:r>
      <w:r>
        <w:rPr>
          <w:rFonts w:eastAsia="仿宋" w:asciiTheme="minorEastAsia" w:hAnsiTheme="minorEastAsia"/>
          <w:snapToGrid w:val="0"/>
          <w:sz w:val="24"/>
          <w:szCs w:val="24"/>
          <w:lang w:eastAsia="zh-CN"/>
        </w:rPr>
        <w:t>.2.10</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有下列情形之一的，属于采购人与供应商串通响应报价：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（一）采购人在规定的集中开启响应文件时间前开启响应文件并将有关信息泄露给其他供应商</w:t>
      </w:r>
      <w:r>
        <w:rPr>
          <w:rFonts w:eastAsia="仿宋" w:asciiTheme="minorEastAsia" w:hAnsiTheme="minorEastAsia"/>
          <w:snapToGrid w:val="0"/>
          <w:sz w:val="24"/>
          <w:szCs w:val="24"/>
          <w:lang w:eastAsia="zh-CN"/>
        </w:rPr>
        <w:t>;</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（二）采购人直接或者间接向供应商泄露标底、评审委员会成员等信息；</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（三）采购人明示或者暗示供应商压低或者抬高响应报价；</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（四）采购人授意供应商撤换、修改响应文件；</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（五）采购人明示或者暗示供应商为特定供应商获得成交提供方便；</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（六）采购人与供应商为谋求特定供应商获得成交而采取的其他串通行为。</w:t>
      </w:r>
    </w:p>
    <w:p>
      <w:pPr>
        <w:pStyle w:val="17"/>
        <w:adjustRightInd w:val="0"/>
        <w:snapToGrid w:val="0"/>
        <w:spacing w:line="276" w:lineRule="auto"/>
        <w:ind w:firstLine="400"/>
        <w:outlineLvl w:val="3"/>
        <w:rPr>
          <w:rFonts w:ascii="仿宋" w:hAnsi="仿宋" w:eastAsia="仿宋"/>
          <w:snapToGrid w:val="0"/>
          <w:sz w:val="24"/>
          <w:szCs w:val="24"/>
          <w:lang w:eastAsia="zh-CN"/>
        </w:rPr>
      </w:pPr>
    </w:p>
    <w:p>
      <w:pPr>
        <w:pStyle w:val="3"/>
        <w:spacing w:line="276" w:lineRule="auto"/>
        <w:rPr>
          <w:rFonts w:ascii="仿宋" w:hAnsi="仿宋" w:eastAsia="仿宋"/>
          <w:b/>
          <w:bCs/>
          <w:snapToGrid w:val="0"/>
          <w:sz w:val="24"/>
          <w:szCs w:val="24"/>
          <w:lang w:eastAsia="zh-CN"/>
        </w:rPr>
      </w:pPr>
      <w:bookmarkStart w:id="196" w:name="_Toc99483676"/>
      <w:bookmarkStart w:id="197" w:name="_Toc3307"/>
      <w:r>
        <w:rPr>
          <w:rFonts w:ascii="仿宋" w:hAnsi="仿宋" w:eastAsia="仿宋"/>
          <w:b/>
          <w:bCs/>
          <w:snapToGrid w:val="0"/>
          <w:sz w:val="24"/>
          <w:szCs w:val="24"/>
          <w:lang w:eastAsia="zh-CN"/>
        </w:rPr>
        <w:t>3</w:t>
      </w:r>
      <w:r>
        <w:rPr>
          <w:rFonts w:hint="eastAsia" w:ascii="仿宋" w:hAnsi="仿宋" w:eastAsia="仿宋"/>
          <w:b/>
          <w:bCs/>
          <w:snapToGrid w:val="0"/>
          <w:sz w:val="24"/>
          <w:szCs w:val="24"/>
          <w:lang w:eastAsia="zh-CN"/>
        </w:rPr>
        <w:t>.</w:t>
      </w:r>
      <w:r>
        <w:rPr>
          <w:rFonts w:ascii="仿宋" w:hAnsi="仿宋" w:eastAsia="仿宋"/>
          <w:b/>
          <w:bCs/>
          <w:snapToGrid w:val="0"/>
          <w:sz w:val="24"/>
          <w:szCs w:val="24"/>
          <w:lang w:eastAsia="zh-CN"/>
        </w:rPr>
        <w:t>详细评审标准和程序</w:t>
      </w:r>
      <w:bookmarkEnd w:id="196"/>
      <w:bookmarkEnd w:id="197"/>
    </w:p>
    <w:p>
      <w:pPr>
        <w:adjustRightInd w:val="0"/>
        <w:snapToGrid w:val="0"/>
        <w:spacing w:line="276" w:lineRule="auto"/>
        <w:ind w:left="400"/>
        <w:jc w:val="both"/>
        <w:outlineLvl w:val="2"/>
        <w:rPr>
          <w:rFonts w:ascii="仿宋" w:hAnsi="仿宋" w:eastAsia="仿宋"/>
          <w:b/>
          <w:snapToGrid w:val="0"/>
          <w:sz w:val="24"/>
          <w:szCs w:val="24"/>
          <w:lang w:eastAsia="zh-CN"/>
        </w:rPr>
      </w:pPr>
      <w:bookmarkStart w:id="198" w:name="_Toc100340498"/>
      <w:bookmarkStart w:id="199" w:name="_Toc99483677"/>
      <w:bookmarkStart w:id="200" w:name="_Toc973"/>
      <w:r>
        <w:rPr>
          <w:rFonts w:hint="eastAsia" w:ascii="仿宋" w:hAnsi="仿宋" w:eastAsia="仿宋"/>
          <w:b/>
          <w:snapToGrid w:val="0"/>
          <w:sz w:val="24"/>
          <w:szCs w:val="24"/>
          <w:lang w:eastAsia="zh-CN"/>
        </w:rPr>
        <w:t>3</w:t>
      </w:r>
      <w:r>
        <w:rPr>
          <w:rFonts w:ascii="仿宋" w:hAnsi="仿宋" w:eastAsia="仿宋"/>
          <w:b/>
          <w:snapToGrid w:val="0"/>
          <w:sz w:val="24"/>
          <w:szCs w:val="24"/>
          <w:lang w:eastAsia="zh-CN"/>
        </w:rPr>
        <w:t>.1 评审价格确定</w:t>
      </w:r>
      <w:bookmarkEnd w:id="198"/>
      <w:bookmarkEnd w:id="199"/>
      <w:bookmarkEnd w:id="200"/>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除评审办法前附表另有规定外，评审价格以最终报价的大写</w:t>
      </w:r>
      <w:r>
        <w:rPr>
          <w:rFonts w:hint="eastAsia" w:eastAsia="仿宋" w:asciiTheme="minorEastAsia" w:hAnsiTheme="minorEastAsia"/>
          <w:snapToGrid w:val="0"/>
          <w:sz w:val="24"/>
          <w:szCs w:val="24"/>
          <w:lang w:eastAsia="zh-CN"/>
        </w:rPr>
        <w:t>不</w:t>
      </w:r>
      <w:r>
        <w:rPr>
          <w:rFonts w:eastAsia="仿宋" w:asciiTheme="minorEastAsia" w:hAnsiTheme="minorEastAsia"/>
          <w:snapToGrid w:val="0"/>
          <w:sz w:val="24"/>
          <w:szCs w:val="24"/>
          <w:lang w:eastAsia="zh-CN"/>
        </w:rPr>
        <w:t>含税价格为准。</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3.1.2</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评审价格超过最高限价（如有）的，其响应文件将被视为无效。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3.1.3</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3.1.4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最终报价有算术错误或其他错误的，采购小组按以下原则进行修正，并要求供应商对修正后的价格进行书面澄清确认。供应商拒不澄清确认的，其响应文件将被视为无效：</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大写金额与小写金额不一致的，以大写金额为准；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总价金额与单价金额不一致的，以单价金额为准，但单价金额小数点有明显</w:t>
      </w:r>
      <w:r>
        <w:rPr>
          <w:rFonts w:hint="eastAsia" w:eastAsia="仿宋" w:asciiTheme="minorEastAsia" w:hAnsiTheme="minorEastAsia"/>
          <w:snapToGrid w:val="0"/>
          <w:sz w:val="24"/>
          <w:szCs w:val="24"/>
          <w:lang w:eastAsia="zh-CN"/>
        </w:rPr>
        <w:t>错</w:t>
      </w:r>
      <w:r>
        <w:rPr>
          <w:rFonts w:eastAsia="仿宋" w:asciiTheme="minorEastAsia" w:hAnsiTheme="minorEastAsia"/>
          <w:snapToGrid w:val="0"/>
          <w:sz w:val="24"/>
          <w:szCs w:val="24"/>
          <w:lang w:eastAsia="zh-CN"/>
        </w:rPr>
        <w:t>误的除外；</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报价表中合计报价与分项报价的合价不一致的，以各分项报价的合价累计数为准；</w:t>
      </w:r>
    </w:p>
    <w:p>
      <w:pPr>
        <w:pStyle w:val="17"/>
        <w:numPr>
          <w:ilvl w:val="1"/>
          <w:numId w:val="11"/>
        </w:numPr>
        <w:tabs>
          <w:tab w:val="left" w:pos="993"/>
        </w:tabs>
        <w:adjustRightInd w:val="0"/>
        <w:snapToGrid w:val="0"/>
        <w:spacing w:line="360" w:lineRule="auto"/>
        <w:ind w:left="0" w:firstLine="480"/>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如果分项报价中存在缺漏项，且缺漏项内容不属于实质性偏差的，则视为缺漏项内容的价格已包含在其他分项报价之中。</w:t>
      </w:r>
    </w:p>
    <w:p>
      <w:pPr>
        <w:adjustRightInd w:val="0"/>
        <w:snapToGrid w:val="0"/>
        <w:spacing w:line="360" w:lineRule="auto"/>
        <w:ind w:firstLine="480"/>
        <w:jc w:val="both"/>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最终报价的算术错误修正不改变评审依据的最终总报价。当修正后的总报价高于原最终报价时，视同供应商最终报价错误产生少漏计费用，签订合同时由供应商承担,如</w:t>
      </w:r>
      <w:r>
        <w:rPr>
          <w:rFonts w:hint="eastAsia" w:eastAsia="仿宋" w:asciiTheme="minorEastAsia" w:hAnsiTheme="minorEastAsia"/>
          <w:snapToGrid w:val="0"/>
          <w:sz w:val="24"/>
          <w:szCs w:val="24"/>
          <w:lang w:eastAsia="zh-CN"/>
        </w:rPr>
        <w:t>采购</w:t>
      </w:r>
      <w:r>
        <w:rPr>
          <w:rFonts w:eastAsia="仿宋" w:asciiTheme="minorEastAsia" w:hAnsiTheme="minorEastAsia"/>
          <w:snapToGrid w:val="0"/>
          <w:sz w:val="24"/>
          <w:szCs w:val="24"/>
          <w:lang w:eastAsia="zh-CN"/>
        </w:rPr>
        <w:t>小组认为供应商无法承受少漏计费用，可以将最终报价作为异常低价处理；当</w:t>
      </w:r>
      <w:bookmarkStart w:id="201" w:name="_bookmark13"/>
      <w:bookmarkEnd w:id="201"/>
      <w:r>
        <w:rPr>
          <w:rFonts w:eastAsia="仿宋" w:asciiTheme="minorEastAsia" w:hAnsiTheme="minorEastAsia"/>
          <w:snapToGrid w:val="0"/>
          <w:sz w:val="24"/>
          <w:szCs w:val="24"/>
          <w:lang w:eastAsia="zh-CN"/>
        </w:rPr>
        <w:t>修正后的总报价低于原最终报价时，签订合同时以修正后的报价为准。</w:t>
      </w:r>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02" w:name="_Toc94149508"/>
      <w:bookmarkStart w:id="203" w:name="_Toc99483678"/>
      <w:bookmarkStart w:id="204" w:name="_Toc30067"/>
      <w:bookmarkStart w:id="205" w:name="_Toc100340499"/>
      <w:r>
        <w:rPr>
          <w:rFonts w:hint="eastAsia" w:eastAsia="仿宋" w:asciiTheme="minorEastAsia" w:hAnsiTheme="minorEastAsia"/>
          <w:b/>
          <w:snapToGrid w:val="0"/>
          <w:sz w:val="24"/>
          <w:szCs w:val="24"/>
          <w:lang w:eastAsia="zh-CN"/>
        </w:rPr>
        <w:t>3</w:t>
      </w:r>
      <w:r>
        <w:rPr>
          <w:rFonts w:eastAsia="仿宋" w:asciiTheme="minorEastAsia" w:hAnsiTheme="minorEastAsia"/>
          <w:b/>
          <w:snapToGrid w:val="0"/>
          <w:sz w:val="24"/>
          <w:szCs w:val="24"/>
          <w:lang w:eastAsia="zh-CN"/>
        </w:rPr>
        <w:t>.2</w:t>
      </w:r>
      <w:r>
        <w:rPr>
          <w:rFonts w:hint="eastAsia" w:eastAsia="仿宋" w:asciiTheme="minorEastAsia" w:hAnsiTheme="minorEastAsia"/>
          <w:b/>
          <w:snapToGrid w:val="0"/>
          <w:sz w:val="24"/>
          <w:szCs w:val="24"/>
          <w:lang w:eastAsia="zh-CN"/>
        </w:rPr>
        <w:t xml:space="preserve"> </w:t>
      </w:r>
      <w:r>
        <w:rPr>
          <w:rFonts w:eastAsia="仿宋" w:asciiTheme="minorEastAsia" w:hAnsiTheme="minorEastAsia"/>
          <w:b/>
          <w:snapToGrid w:val="0"/>
          <w:sz w:val="24"/>
          <w:szCs w:val="24"/>
          <w:lang w:eastAsia="zh-CN"/>
        </w:rPr>
        <w:t>综合评分和排序(综合评分法)</w:t>
      </w:r>
      <w:bookmarkEnd w:id="202"/>
      <w:bookmarkEnd w:id="203"/>
      <w:bookmarkEnd w:id="204"/>
      <w:bookmarkEnd w:id="205"/>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3.2.1</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分值构成</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商务部分：见评审办法前附表；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技术部分：见评审办法前附表；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见评审办法前附表；</w:t>
      </w:r>
    </w:p>
    <w:p>
      <w:pPr>
        <w:pStyle w:val="17"/>
        <w:numPr>
          <w:ilvl w:val="0"/>
          <w:numId w:val="12"/>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其他评分因素：见评审办法前附表。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3</w:t>
      </w:r>
      <w:r>
        <w:rPr>
          <w:rFonts w:eastAsia="仿宋" w:asciiTheme="minorEastAsia" w:hAnsiTheme="minorEastAsia"/>
          <w:snapToGrid w:val="0"/>
          <w:sz w:val="24"/>
          <w:szCs w:val="24"/>
          <w:lang w:eastAsia="zh-CN"/>
        </w:rPr>
        <w:t>.2.2</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评审基准价计算</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评审价格：评审价格为按照本章第3.1.1项规定确定的价格。</w:t>
      </w:r>
    </w:p>
    <w:p>
      <w:pPr>
        <w:pStyle w:val="17"/>
        <w:numPr>
          <w:ilvl w:val="0"/>
          <w:numId w:val="13"/>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评审基准价计算方法：</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sym w:font="Wingdings 2" w:char="0052"/>
      </w:r>
      <w:r>
        <w:rPr>
          <w:rFonts w:hint="eastAsia" w:eastAsia="仿宋" w:asciiTheme="minorEastAsia" w:hAnsiTheme="minorEastAsia"/>
          <w:snapToGrid w:val="0"/>
          <w:sz w:val="24"/>
          <w:szCs w:val="24"/>
          <w:u w:val="single"/>
          <w:shd w:val="clear" w:color="auto" w:fill="FFFF00"/>
          <w:lang w:eastAsia="zh-CN"/>
        </w:rPr>
        <w:t>按有效报价的算术平均值为评审基准价：</w:t>
      </w:r>
    </w:p>
    <w:p>
      <w:pPr>
        <w:pStyle w:val="7"/>
        <w:ind w:left="568" w:leftChars="258" w:firstLine="479"/>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有效响应人家数为</w:t>
      </w:r>
      <w:r>
        <w:rPr>
          <w:rFonts w:eastAsia="仿宋" w:asciiTheme="minorEastAsia" w:hAnsiTheme="minorEastAsia"/>
          <w:snapToGrid w:val="0"/>
          <w:szCs w:val="24"/>
          <w:lang w:eastAsia="zh-CN"/>
        </w:rPr>
        <w:t>N，0＜N≤5时，所有有效报价的算术平均值为评审基准价；5＜N≤10时，所有有效报价去掉1个最高报价和1个最低报价后的算术平均值为评审基准价；10＜N≤20时，所有有效报价去掉2个最高报价和2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基准价；N＞20时，所有有效报价去掉3个最高报价和3个最低报价后的算术平均值为评</w:t>
      </w:r>
      <w:r>
        <w:rPr>
          <w:rFonts w:hint="eastAsia" w:eastAsia="仿宋" w:asciiTheme="minorEastAsia" w:hAnsiTheme="minorEastAsia"/>
          <w:snapToGrid w:val="0"/>
          <w:szCs w:val="24"/>
          <w:lang w:eastAsia="zh-CN"/>
        </w:rPr>
        <w:t>审</w:t>
      </w:r>
      <w:r>
        <w:rPr>
          <w:rFonts w:eastAsia="仿宋" w:asciiTheme="minorEastAsia" w:hAnsiTheme="minorEastAsia"/>
          <w:snapToGrid w:val="0"/>
          <w:szCs w:val="24"/>
          <w:lang w:eastAsia="zh-CN"/>
        </w:rPr>
        <w:t>基准价。</w:t>
      </w:r>
    </w:p>
    <w:p>
      <w:pPr>
        <w:pStyle w:val="17"/>
        <w:tabs>
          <w:tab w:val="left" w:pos="993"/>
        </w:tabs>
        <w:adjustRightInd w:val="0"/>
        <w:snapToGrid w:val="0"/>
        <w:spacing w:line="360" w:lineRule="auto"/>
        <w:ind w:left="567"/>
        <w:outlineLvl w:val="4"/>
        <w:rPr>
          <w:rFonts w:eastAsia="仿宋" w:asciiTheme="minorEastAsia" w:hAnsiTheme="minorEastAsia"/>
          <w:snapToGrid w:val="0"/>
          <w:sz w:val="24"/>
          <w:szCs w:val="24"/>
          <w:u w:val="single"/>
          <w:shd w:val="clear" w:color="auto" w:fill="FFFF00"/>
          <w:lang w:eastAsia="zh-CN"/>
        </w:rPr>
      </w:pPr>
      <w:r>
        <w:rPr>
          <w:rFonts w:hint="eastAsia" w:eastAsia="仿宋" w:asciiTheme="minorEastAsia" w:hAnsiTheme="minorEastAsia"/>
          <w:snapToGrid w:val="0"/>
          <w:sz w:val="24"/>
          <w:szCs w:val="24"/>
          <w:u w:val="single"/>
          <w:shd w:val="clear" w:color="auto" w:fill="FFFF00"/>
          <w:lang w:eastAsia="zh-CN"/>
        </w:rPr>
        <w:t>□按最低有效报价作为评审基准价。</w:t>
      </w:r>
    </w:p>
    <w:p>
      <w:pPr>
        <w:pStyle w:val="7"/>
        <w:ind w:left="0" w:leftChars="0" w:firstLine="567"/>
        <w:rPr>
          <w:rFonts w:eastAsia="仿宋" w:asciiTheme="minorEastAsia" w:hAnsiTheme="minorEastAsia"/>
          <w:snapToGrid w:val="0"/>
          <w:szCs w:val="24"/>
          <w:lang w:eastAsia="zh-CN"/>
        </w:rPr>
      </w:pPr>
      <w:r>
        <w:rPr>
          <w:rFonts w:hint="eastAsia" w:eastAsia="仿宋" w:asciiTheme="minorEastAsia" w:hAnsiTheme="minorEastAsia"/>
          <w:snapToGrid w:val="0"/>
          <w:szCs w:val="24"/>
          <w:lang w:eastAsia="zh-CN"/>
        </w:rPr>
        <w:t>无效报价、响应被否决的供应商，其报价不参与评审基准价的计算。</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3.2.3</w:t>
      </w:r>
      <w:r>
        <w:rPr>
          <w:rFonts w:eastAsia="仿宋" w:asciiTheme="minorEastAsia" w:hAnsiTheme="minorEastAsia"/>
          <w:snapToGrid w:val="0"/>
          <w:sz w:val="24"/>
          <w:szCs w:val="24"/>
          <w:lang w:eastAsia="zh-CN"/>
        </w:rPr>
        <w:tab/>
      </w:r>
      <w:r>
        <w:rPr>
          <w:rFonts w:hint="eastAsia" w:eastAsia="仿宋" w:asciiTheme="minorEastAsia" w:hAnsiTheme="minorEastAsia"/>
          <w:snapToGrid w:val="0"/>
          <w:sz w:val="24"/>
          <w:szCs w:val="24"/>
          <w:lang w:eastAsia="zh-CN"/>
        </w:rPr>
        <w:t>评分标准</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商务评分标准：见评审办法前附表；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技术评分标准：见评审办法前附表；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bookmarkStart w:id="206" w:name="扫描0043"/>
      <w:bookmarkEnd w:id="206"/>
      <w:r>
        <w:rPr>
          <w:rFonts w:eastAsia="仿宋" w:asciiTheme="minorEastAsia" w:hAnsiTheme="minorEastAsia"/>
          <w:snapToGrid w:val="0"/>
          <w:sz w:val="24"/>
          <w:szCs w:val="24"/>
          <w:lang w:eastAsia="zh-CN"/>
        </w:rPr>
        <w:t>报价评分标准：</w:t>
      </w:r>
    </w:p>
    <w:p>
      <w:pPr>
        <w:adjustRightInd w:val="0"/>
        <w:snapToGrid w:val="0"/>
        <w:spacing w:line="360" w:lineRule="auto"/>
        <w:ind w:left="719"/>
        <w:rPr>
          <w:rFonts w:eastAsia="仿宋" w:asciiTheme="minorEastAsia" w:hAnsiTheme="minorEastAsia"/>
          <w:snapToGrid w:val="0"/>
          <w:sz w:val="24"/>
          <w:szCs w:val="24"/>
          <w:lang w:eastAsia="zh-CN"/>
        </w:rPr>
      </w:pPr>
      <w:bookmarkStart w:id="207" w:name="_Hlk91554426"/>
      <w:r>
        <w:rPr>
          <w:rFonts w:eastAsia="仿宋" w:asciiTheme="minorEastAsia" w:hAnsiTheme="minorEastAsia"/>
          <w:snapToGrid w:val="0"/>
          <w:sz w:val="24"/>
          <w:szCs w:val="24"/>
          <w:lang w:eastAsia="zh-CN"/>
        </w:rPr>
        <w:t>报价得分可采用如下方法计算：</w:t>
      </w:r>
    </w:p>
    <w:p>
      <w:pPr>
        <w:adjustRightInd w:val="0"/>
        <w:snapToGrid w:val="0"/>
        <w:spacing w:before="240" w:line="360" w:lineRule="auto"/>
        <w:ind w:left="719"/>
        <w:rPr>
          <w:rFonts w:eastAsia="仿宋" w:asciiTheme="minorEastAsia" w:hAnsiTheme="minorEastAsia"/>
          <w:snapToGrid w:val="0"/>
          <w:sz w:val="24"/>
          <w:szCs w:val="24"/>
          <w:lang w:eastAsia="zh-CN"/>
        </w:rPr>
      </w:pPr>
      <w:bookmarkStart w:id="208" w:name="OLE_LINK90"/>
      <w:bookmarkStart w:id="209" w:name="OLE_LINK89"/>
      <w:r>
        <w:rPr>
          <w:rFonts w:eastAsia="仿宋" w:asciiTheme="minorEastAsia" w:hAnsiTheme="minorEastAsia"/>
          <w:snapToGrid w:val="0"/>
          <w:sz w:val="24"/>
          <w:szCs w:val="24"/>
          <w:lang w:eastAsia="zh-CN"/>
        </w:rPr>
        <w:sym w:font="Wingdings 2" w:char="0052"/>
      </w:r>
      <w:bookmarkEnd w:id="208"/>
      <w:bookmarkEnd w:id="209"/>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一</w:t>
      </w:r>
      <w:r>
        <w:rPr>
          <w:rFonts w:eastAsia="仿宋" w:asciiTheme="minorEastAsia" w:hAnsiTheme="minorEastAsia"/>
          <w:snapToGrid w:val="0"/>
          <w:sz w:val="24"/>
          <w:szCs w:val="24"/>
          <w:lang w:eastAsia="zh-CN"/>
        </w:rPr>
        <w:t>：按</w:t>
      </w:r>
      <w:r>
        <w:rPr>
          <w:rFonts w:eastAsia="仿宋" w:asciiTheme="minorEastAsia" w:hAnsiTheme="minorEastAsia"/>
          <w:snapToGrid w:val="0"/>
          <w:sz w:val="24"/>
          <w:szCs w:val="24"/>
          <w:u w:val="single"/>
          <w:shd w:val="clear" w:color="auto" w:fill="FFFF00"/>
          <w:lang w:eastAsia="zh-CN"/>
        </w:rPr>
        <w:t>有效报价的算术平均值为评审基准价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①如果供应商的评审价格</w:t>
      </w:r>
      <w:r>
        <w:rPr>
          <w:rFonts w:hint="eastAsia" w:eastAsia="仿宋" w:asciiTheme="minorEastAsia" w:hAnsiTheme="minorEastAsia"/>
          <w:snapToGrid w:val="0"/>
          <w:sz w:val="24"/>
          <w:szCs w:val="24"/>
          <w:lang w:eastAsia="zh-CN"/>
        </w:rPr>
        <w:t>＞评</w:t>
      </w:r>
      <w:r>
        <w:rPr>
          <w:rFonts w:eastAsia="仿宋" w:asciiTheme="minorEastAsia" w:hAnsiTheme="minorEastAsia"/>
          <w:snapToGrid w:val="0"/>
          <w:sz w:val="24"/>
          <w:szCs w:val="24"/>
          <w:lang w:eastAsia="zh-CN"/>
        </w:rPr>
        <w:t>审基准价，则报价得分=F-偏差率×100×E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②如果供应商的评审价格</w:t>
      </w:r>
      <w:r>
        <w:rPr>
          <w:rFonts w:hint="eastAsia" w:eastAsia="仿宋" w:asciiTheme="minorEastAsia" w:hAnsiTheme="minorEastAsia"/>
          <w:snapToGrid w:val="0"/>
          <w:sz w:val="24"/>
          <w:szCs w:val="24"/>
          <w:lang w:eastAsia="zh-CN"/>
        </w:rPr>
        <w:t>≤</w:t>
      </w:r>
      <w:r>
        <w:rPr>
          <w:rFonts w:eastAsia="仿宋" w:asciiTheme="minorEastAsia" w:hAnsiTheme="minorEastAsia"/>
          <w:snapToGrid w:val="0"/>
          <w:sz w:val="24"/>
          <w:szCs w:val="24"/>
          <w:lang w:eastAsia="zh-CN"/>
        </w:rPr>
        <w:t>评审基准价，则报价得分=</w:t>
      </w:r>
      <w:r>
        <w:rPr>
          <w:rFonts w:hint="eastAsia" w:eastAsia="仿宋" w:asciiTheme="minorEastAsia" w:hAnsiTheme="minorEastAsia"/>
          <w:snapToGrid w:val="0"/>
          <w:sz w:val="24"/>
          <w:szCs w:val="24"/>
          <w:lang w:eastAsia="zh-CN"/>
        </w:rPr>
        <w:t>F</w:t>
      </w:r>
      <w:r>
        <w:rPr>
          <w:rFonts w:eastAsia="仿宋" w:asciiTheme="minorEastAsia" w:hAnsiTheme="minorEastAsia"/>
          <w:snapToGrid w:val="0"/>
          <w:sz w:val="24"/>
          <w:szCs w:val="24"/>
          <w:lang w:eastAsia="zh-CN"/>
        </w:rPr>
        <w:t>+偏差率×100×E</w:t>
      </w:r>
      <w:r>
        <w:rPr>
          <w:rFonts w:eastAsia="仿宋" w:asciiTheme="minorEastAsia" w:hAnsiTheme="minorEastAsia"/>
          <w:snapToGrid w:val="0"/>
          <w:sz w:val="24"/>
          <w:szCs w:val="24"/>
          <w:vertAlign w:val="subscript"/>
          <w:lang w:eastAsia="zh-CN"/>
        </w:rPr>
        <w:t>2</w:t>
      </w:r>
      <w:r>
        <w:rPr>
          <w:rFonts w:hint="eastAsia" w:eastAsia="仿宋" w:asciiTheme="minorEastAsia" w:hAnsiTheme="minorEastAsia"/>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是评审价格每低于评审基准价一个百分点的扣分值</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1</w:t>
      </w:r>
      <w:r>
        <w:rPr>
          <w:rFonts w:eastAsia="仿宋" w:asciiTheme="minorEastAsia" w:hAnsiTheme="minorEastAsia"/>
          <w:snapToGrid w:val="0"/>
          <w:sz w:val="24"/>
          <w:szCs w:val="24"/>
          <w:lang w:eastAsia="zh-CN"/>
        </w:rPr>
        <w:t>可大于或等于</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1</w:t>
      </w:r>
      <w:r>
        <w:rPr>
          <w:rFonts w:hint="eastAsia" w:eastAsia="仿宋" w:asciiTheme="minorEastAsia" w:hAnsiTheme="minorEastAsia"/>
          <w:snapToGrid w:val="0"/>
          <w:sz w:val="24"/>
          <w:szCs w:val="24"/>
          <w:lang w:eastAsia="zh-CN"/>
        </w:rPr>
        <w:t>、E</w:t>
      </w:r>
      <w:r>
        <w:rPr>
          <w:rFonts w:hint="eastAsia" w:eastAsia="仿宋" w:asciiTheme="minorEastAsia" w:hAnsiTheme="minorEastAsia"/>
          <w:snapToGrid w:val="0"/>
          <w:sz w:val="24"/>
          <w:szCs w:val="24"/>
          <w:vertAlign w:val="subscript"/>
          <w:lang w:eastAsia="zh-CN"/>
        </w:rPr>
        <w:t>2</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□方法</w:t>
      </w:r>
      <w:r>
        <w:rPr>
          <w:rFonts w:hint="eastAsia" w:eastAsia="仿宋" w:asciiTheme="minorEastAsia" w:hAnsiTheme="minorEastAsia"/>
          <w:snapToGrid w:val="0"/>
          <w:sz w:val="24"/>
          <w:szCs w:val="24"/>
          <w:lang w:eastAsia="zh-CN"/>
        </w:rPr>
        <w:t>二</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u w:val="single"/>
          <w:shd w:val="clear" w:color="auto" w:fill="FFFF00"/>
          <w:lang w:eastAsia="zh-CN"/>
        </w:rPr>
        <w:t>按最低有效报价作为评审基准价</w:t>
      </w:r>
      <w:r>
        <w:rPr>
          <w:rFonts w:eastAsia="仿宋" w:asciiTheme="minorEastAsia" w:hAnsiTheme="minorEastAsia"/>
          <w:snapToGrid w:val="0"/>
          <w:sz w:val="24"/>
          <w:szCs w:val="24"/>
          <w:lang w:eastAsia="zh-CN"/>
        </w:rPr>
        <w:t>：</w:t>
      </w:r>
    </w:p>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偏差率=(供应商评审价格-评审基准价)/评审基准价×100%</w:t>
      </w:r>
    </w:p>
    <w:p>
      <w:pPr>
        <w:adjustRightInd w:val="0"/>
        <w:snapToGrid w:val="0"/>
        <w:spacing w:line="360" w:lineRule="auto"/>
        <w:ind w:left="284" w:firstLine="480"/>
        <w:rPr>
          <w:rFonts w:eastAsia="仿宋" w:asciiTheme="minorEastAsia" w:hAnsiTheme="minorEastAsia"/>
          <w:snapToGrid w:val="0"/>
          <w:sz w:val="24"/>
          <w:szCs w:val="24"/>
          <w:vertAlign w:val="subscript"/>
          <w:lang w:eastAsia="zh-CN"/>
        </w:rPr>
      </w:pPr>
      <w:r>
        <w:rPr>
          <w:rFonts w:eastAsia="仿宋" w:asciiTheme="minorEastAsia" w:hAnsiTheme="minorEastAsia"/>
          <w:snapToGrid w:val="0"/>
          <w:sz w:val="24"/>
          <w:szCs w:val="24"/>
          <w:lang w:eastAsia="zh-CN"/>
        </w:rPr>
        <w:t>报价得分=F-偏差率×100×E</w:t>
      </w:r>
      <w:r>
        <w:rPr>
          <w:rFonts w:eastAsia="仿宋" w:asciiTheme="minorEastAsia" w:hAnsiTheme="minorEastAsia"/>
          <w:snapToGrid w:val="0"/>
          <w:sz w:val="24"/>
          <w:szCs w:val="24"/>
          <w:vertAlign w:val="subscript"/>
          <w:lang w:eastAsia="zh-CN"/>
        </w:rPr>
        <w:t>3</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其中F为本章第3.2.1(3)目规定的报价所占的分值；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是评审价格每高于评审基准价一个百分点的扣分值</w:t>
      </w:r>
      <w:r>
        <w:rPr>
          <w:rFonts w:hint="eastAsia" w:eastAsia="仿宋" w:asciiTheme="minorEastAsia" w:hAnsiTheme="minorEastAsia"/>
          <w:snapToGrid w:val="0"/>
          <w:sz w:val="24"/>
          <w:szCs w:val="24"/>
          <w:lang w:eastAsia="zh-CN"/>
        </w:rPr>
        <w:t>。E</w:t>
      </w:r>
      <w:r>
        <w:rPr>
          <w:rFonts w:eastAsia="仿宋" w:asciiTheme="minorEastAsia" w:hAnsiTheme="minorEastAsia"/>
          <w:snapToGrid w:val="0"/>
          <w:sz w:val="24"/>
          <w:szCs w:val="24"/>
          <w:vertAlign w:val="subscript"/>
          <w:lang w:eastAsia="zh-CN"/>
        </w:rPr>
        <w:t>3</w:t>
      </w:r>
      <w:r>
        <w:rPr>
          <w:rFonts w:eastAsia="仿宋" w:asciiTheme="minorEastAsia" w:hAnsiTheme="minorEastAsia"/>
          <w:snapToGrid w:val="0"/>
          <w:sz w:val="24"/>
          <w:szCs w:val="24"/>
          <w:lang w:eastAsia="zh-CN"/>
        </w:rPr>
        <w:t>的取值见评审办法前附表。</w:t>
      </w:r>
    </w:p>
    <w:p>
      <w:pPr>
        <w:adjustRightInd w:val="0"/>
        <w:snapToGrid w:val="0"/>
        <w:spacing w:before="240" w:line="360" w:lineRule="auto"/>
        <w:ind w:left="719"/>
        <w:rPr>
          <w:rFonts w:eastAsia="仿宋"/>
          <w:snapToGrid w:val="0"/>
          <w:sz w:val="24"/>
          <w:szCs w:val="24"/>
          <w:lang w:eastAsia="zh-CN"/>
        </w:rPr>
      </w:pPr>
      <w:r>
        <w:rPr>
          <w:rFonts w:eastAsia="仿宋"/>
          <w:snapToGrid w:val="0"/>
          <w:sz w:val="24"/>
          <w:szCs w:val="24"/>
          <w:lang w:eastAsia="zh-CN"/>
        </w:rPr>
        <w:t>□</w:t>
      </w:r>
      <w:r>
        <w:rPr>
          <w:rFonts w:hint="eastAsia" w:eastAsia="仿宋"/>
          <w:snapToGrid w:val="0"/>
          <w:sz w:val="24"/>
          <w:szCs w:val="24"/>
          <w:lang w:eastAsia="zh-CN"/>
        </w:rPr>
        <w:t>方法三：按最低有效报价作为评审基准价：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评审基准价</w:t>
      </w:r>
      <w:r>
        <w:rPr>
          <w:rFonts w:eastAsia="仿宋"/>
          <w:snapToGrid w:val="0"/>
          <w:sz w:val="24"/>
          <w:szCs w:val="24"/>
          <w:lang w:eastAsia="zh-CN"/>
        </w:rPr>
        <w:t>为满分</w:t>
      </w:r>
      <w:r>
        <w:rPr>
          <w:rFonts w:hint="eastAsia" w:eastAsia="仿宋"/>
          <w:snapToGrid w:val="0"/>
          <w:sz w:val="24"/>
          <w:szCs w:val="24"/>
          <w:lang w:eastAsia="zh-CN"/>
        </w:rPr>
        <w:t>F</w:t>
      </w:r>
      <w:r>
        <w:rPr>
          <w:rFonts w:eastAsia="仿宋"/>
          <w:snapToGrid w:val="0"/>
          <w:sz w:val="24"/>
          <w:szCs w:val="24"/>
          <w:lang w:eastAsia="zh-CN"/>
        </w:rPr>
        <w:t>分，</w:t>
      </w:r>
      <w:r>
        <w:rPr>
          <w:rFonts w:hint="eastAsia" w:eastAsia="仿宋"/>
          <w:snapToGrid w:val="0"/>
          <w:sz w:val="24"/>
          <w:szCs w:val="24"/>
          <w:lang w:eastAsia="zh-CN"/>
        </w:rPr>
        <w:t>其他报价得分=F×</w:t>
      </w:r>
      <w:r>
        <w:rPr>
          <w:rFonts w:eastAsia="仿宋"/>
          <w:snapToGrid w:val="0"/>
          <w:sz w:val="24"/>
          <w:szCs w:val="24"/>
          <w:lang w:eastAsia="zh-CN"/>
        </w:rPr>
        <w:t>基准价</w:t>
      </w:r>
      <w:r>
        <w:rPr>
          <w:rFonts w:hint="eastAsia" w:eastAsia="仿宋"/>
          <w:snapToGrid w:val="0"/>
          <w:sz w:val="24"/>
          <w:szCs w:val="24"/>
          <w:lang w:eastAsia="zh-CN"/>
        </w:rPr>
        <w:t>/</w:t>
      </w:r>
      <w:r>
        <w:rPr>
          <w:rFonts w:eastAsia="仿宋"/>
          <w:snapToGrid w:val="0"/>
          <w:sz w:val="24"/>
          <w:szCs w:val="24"/>
          <w:lang w:eastAsia="zh-CN"/>
        </w:rPr>
        <w:t>有效报价。</w:t>
      </w:r>
    </w:p>
    <w:p>
      <w:pPr>
        <w:adjustRightInd w:val="0"/>
        <w:snapToGrid w:val="0"/>
        <w:spacing w:line="360" w:lineRule="auto"/>
        <w:ind w:left="719"/>
        <w:rPr>
          <w:rFonts w:eastAsia="仿宋"/>
          <w:snapToGrid w:val="0"/>
          <w:sz w:val="24"/>
          <w:szCs w:val="24"/>
          <w:lang w:eastAsia="zh-CN"/>
        </w:rPr>
      </w:pPr>
      <w:r>
        <w:rPr>
          <w:rFonts w:hint="eastAsia" w:eastAsia="仿宋"/>
          <w:snapToGrid w:val="0"/>
          <w:sz w:val="24"/>
          <w:szCs w:val="24"/>
          <w:lang w:eastAsia="zh-CN"/>
        </w:rPr>
        <w:t>其中</w:t>
      </w:r>
      <w:r>
        <w:rPr>
          <w:rFonts w:eastAsia="仿宋"/>
          <w:snapToGrid w:val="0"/>
          <w:sz w:val="24"/>
          <w:szCs w:val="24"/>
          <w:lang w:eastAsia="zh-CN"/>
        </w:rPr>
        <w:t>F为本章第3.2.1(3)目规定的报价所占的分值</w:t>
      </w:r>
      <w:r>
        <w:rPr>
          <w:rFonts w:hint="eastAsia" w:eastAsia="仿宋"/>
          <w:snapToGrid w:val="0"/>
          <w:sz w:val="24"/>
          <w:szCs w:val="24"/>
          <w:lang w:eastAsia="zh-CN"/>
        </w:rPr>
        <w:t>。</w:t>
      </w:r>
    </w:p>
    <w:p>
      <w:pPr>
        <w:adjustRightInd w:val="0"/>
        <w:snapToGrid w:val="0"/>
        <w:spacing w:line="360" w:lineRule="auto"/>
        <w:ind w:left="284" w:firstLine="480"/>
        <w:rPr>
          <w:rFonts w:eastAsia="仿宋" w:asciiTheme="minorEastAsia" w:hAnsiTheme="minorEastAsia"/>
          <w:snapToGrid w:val="0"/>
          <w:sz w:val="24"/>
          <w:szCs w:val="24"/>
          <w:lang w:eastAsia="zh-CN"/>
        </w:rPr>
      </w:pPr>
      <w:r>
        <w:rPr>
          <w:rFonts w:eastAsia="仿宋"/>
          <w:snapToGrid w:val="0"/>
          <w:sz w:val="24"/>
          <w:szCs w:val="24"/>
          <w:lang w:eastAsia="zh-CN"/>
        </w:rPr>
        <w:t>小数点后保留2位，四舍五入。</w:t>
      </w:r>
    </w:p>
    <w:bookmarkEnd w:id="207"/>
    <w:p>
      <w:pPr>
        <w:adjustRightInd w:val="0"/>
        <w:snapToGrid w:val="0"/>
        <w:spacing w:line="360" w:lineRule="auto"/>
        <w:ind w:left="719"/>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报价得分计算方法见评审办法前附表。</w:t>
      </w:r>
    </w:p>
    <w:p>
      <w:pPr>
        <w:pStyle w:val="17"/>
        <w:numPr>
          <w:ilvl w:val="0"/>
          <w:numId w:val="14"/>
        </w:numPr>
        <w:tabs>
          <w:tab w:val="left" w:pos="993"/>
        </w:tabs>
        <w:adjustRightInd w:val="0"/>
        <w:snapToGrid w:val="0"/>
        <w:spacing w:line="360" w:lineRule="auto"/>
        <w:ind w:left="0" w:firstLine="567"/>
        <w:outlineLvl w:val="4"/>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其他因素评分标准：见评审办法前附表。</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3.2.4</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pPr>
        <w:adjustRightInd w:val="0"/>
        <w:snapToGrid w:val="0"/>
        <w:spacing w:line="360" w:lineRule="auto"/>
        <w:ind w:firstLine="400"/>
        <w:outlineLvl w:val="3"/>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3.2.5</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汇总。采购小组汇总每个成员对供应商的评分总分，每个供应商的评分总分的算术平均值为供应商最终得分。</w:t>
      </w:r>
    </w:p>
    <w:p>
      <w:pPr>
        <w:adjustRightInd w:val="0"/>
        <w:snapToGrid w:val="0"/>
        <w:spacing w:line="360" w:lineRule="auto"/>
        <w:ind w:firstLine="400"/>
        <w:outlineLvl w:val="3"/>
        <w:rPr>
          <w:rFonts w:eastAsia="仿宋" w:asciiTheme="minorEastAsia" w:hAnsiTheme="minorEastAsia"/>
          <w:snapToGrid w:val="0"/>
          <w:szCs w:val="24"/>
          <w:lang w:eastAsia="zh-CN"/>
        </w:rPr>
      </w:pPr>
      <w:r>
        <w:rPr>
          <w:rFonts w:eastAsia="仿宋" w:asciiTheme="minorEastAsia" w:hAnsiTheme="minorEastAsia"/>
          <w:snapToGrid w:val="0"/>
          <w:sz w:val="24"/>
          <w:szCs w:val="24"/>
          <w:lang w:eastAsia="zh-CN"/>
        </w:rPr>
        <w:t>3.2.6</w:t>
      </w:r>
      <w:r>
        <w:rPr>
          <w:rFonts w:eastAsia="仿宋" w:asciiTheme="minorEastAsia" w:hAnsiTheme="minorEastAsia"/>
          <w:snapToGrid w:val="0"/>
          <w:sz w:val="24"/>
          <w:szCs w:val="24"/>
          <w:lang w:eastAsia="zh-CN"/>
        </w:rPr>
        <w:tab/>
      </w:r>
      <w:r>
        <w:rPr>
          <w:rFonts w:eastAsia="仿宋" w:asciiTheme="minorEastAsia" w:hAnsiTheme="minorEastAsia"/>
          <w:snapToGrid w:val="0"/>
          <w:sz w:val="24"/>
          <w:szCs w:val="24"/>
          <w:lang w:eastAsia="zh-CN"/>
        </w:rPr>
        <w:t>采购小组对供应商最终得分进行比较后，按照供应商最终得分由高到低的顺序对供应商排序。</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最终得分相等时，以评审价格低的优先；</w:t>
      </w:r>
      <w:r>
        <w:rPr>
          <w:rFonts w:hint="eastAsia" w:eastAsia="仿宋" w:asciiTheme="minorEastAsia" w:hAnsiTheme="minorEastAsia"/>
          <w:snapToGrid w:val="0"/>
          <w:sz w:val="24"/>
          <w:szCs w:val="24"/>
          <w:lang w:eastAsia="zh-CN"/>
        </w:rPr>
        <w:t>当</w:t>
      </w:r>
      <w:r>
        <w:rPr>
          <w:rFonts w:eastAsia="仿宋" w:asciiTheme="minorEastAsia" w:hAnsiTheme="minorEastAsia"/>
          <w:snapToGrid w:val="0"/>
          <w:sz w:val="24"/>
          <w:szCs w:val="24"/>
          <w:lang w:eastAsia="zh-CN"/>
        </w:rPr>
        <w:t>评审价格也相等</w:t>
      </w:r>
      <w:r>
        <w:rPr>
          <w:rFonts w:hint="eastAsia" w:eastAsia="仿宋" w:asciiTheme="minorEastAsia" w:hAnsiTheme="minorEastAsia"/>
          <w:snapToGrid w:val="0"/>
          <w:sz w:val="24"/>
          <w:szCs w:val="24"/>
          <w:lang w:eastAsia="zh-CN"/>
        </w:rPr>
        <w:t>时</w:t>
      </w:r>
      <w:r>
        <w:rPr>
          <w:rFonts w:eastAsia="仿宋" w:asciiTheme="minorEastAsia" w:hAnsiTheme="minorEastAsia"/>
          <w:snapToGrid w:val="0"/>
          <w:sz w:val="24"/>
          <w:szCs w:val="24"/>
          <w:lang w:eastAsia="zh-CN"/>
        </w:rPr>
        <w:t>，以技术得分高的优先；</w:t>
      </w:r>
      <w:r>
        <w:rPr>
          <w:rFonts w:hint="eastAsia" w:ascii="仿宋" w:hAnsi="仿宋" w:eastAsia="仿宋"/>
          <w:snapToGrid w:val="0"/>
          <w:sz w:val="24"/>
          <w:szCs w:val="24"/>
          <w:lang w:eastAsia="zh-CN"/>
        </w:rPr>
        <w:t>当</w:t>
      </w:r>
      <w:r>
        <w:rPr>
          <w:rFonts w:ascii="仿宋" w:hAnsi="仿宋" w:eastAsia="仿宋"/>
          <w:snapToGrid w:val="0"/>
          <w:sz w:val="24"/>
          <w:szCs w:val="24"/>
          <w:lang w:eastAsia="zh-CN"/>
        </w:rPr>
        <w:t>技术得分也相等</w:t>
      </w:r>
      <w:r>
        <w:rPr>
          <w:rFonts w:hint="eastAsia" w:ascii="仿宋" w:hAnsi="仿宋" w:eastAsia="仿宋"/>
          <w:snapToGrid w:val="0"/>
          <w:sz w:val="24"/>
          <w:szCs w:val="24"/>
          <w:lang w:eastAsia="zh-CN"/>
        </w:rPr>
        <w:t>时</w:t>
      </w:r>
      <w:r>
        <w:rPr>
          <w:rFonts w:ascii="仿宋" w:hAnsi="仿宋" w:eastAsia="仿宋"/>
          <w:snapToGrid w:val="0"/>
          <w:sz w:val="24"/>
          <w:szCs w:val="24"/>
          <w:lang w:eastAsia="zh-CN"/>
        </w:rPr>
        <w:t>，由采购小组投票决定。</w:t>
      </w:r>
    </w:p>
    <w:p>
      <w:pPr>
        <w:rPr>
          <w:rFonts w:eastAsia="仿宋"/>
          <w:lang w:eastAsia="zh-CN"/>
        </w:rPr>
      </w:pPr>
    </w:p>
    <w:p>
      <w:pPr>
        <w:pStyle w:val="3"/>
        <w:spacing w:line="360" w:lineRule="auto"/>
        <w:rPr>
          <w:rFonts w:eastAsia="仿宋" w:asciiTheme="minorEastAsia" w:hAnsiTheme="minorEastAsia"/>
          <w:b/>
          <w:bCs/>
          <w:snapToGrid w:val="0"/>
          <w:sz w:val="24"/>
          <w:szCs w:val="24"/>
          <w:lang w:eastAsia="zh-CN"/>
        </w:rPr>
      </w:pPr>
      <w:bookmarkStart w:id="210" w:name="_Toc99483679"/>
      <w:bookmarkStart w:id="211" w:name="_Toc94149509"/>
      <w:bookmarkStart w:id="212" w:name="_Toc462"/>
      <w:r>
        <w:rPr>
          <w:rFonts w:eastAsia="仿宋" w:asciiTheme="minorEastAsia" w:hAnsiTheme="minorEastAsia"/>
          <w:b/>
          <w:bCs/>
          <w:snapToGrid w:val="0"/>
          <w:sz w:val="24"/>
          <w:szCs w:val="24"/>
          <w:lang w:eastAsia="zh-CN"/>
        </w:rPr>
        <w:t>4.评审结果</w:t>
      </w:r>
      <w:bookmarkEnd w:id="210"/>
      <w:bookmarkEnd w:id="211"/>
      <w:bookmarkEnd w:id="212"/>
    </w:p>
    <w:p>
      <w:pPr>
        <w:adjustRightInd w:val="0"/>
        <w:snapToGrid w:val="0"/>
        <w:spacing w:line="360" w:lineRule="auto"/>
        <w:ind w:left="400"/>
        <w:jc w:val="both"/>
        <w:outlineLvl w:val="2"/>
        <w:rPr>
          <w:rFonts w:eastAsia="仿宋" w:asciiTheme="minorEastAsia" w:hAnsiTheme="minorEastAsia"/>
          <w:b/>
          <w:snapToGrid w:val="0"/>
          <w:sz w:val="24"/>
          <w:szCs w:val="24"/>
          <w:lang w:eastAsia="zh-CN"/>
        </w:rPr>
      </w:pPr>
      <w:bookmarkStart w:id="213" w:name="_bookmark16"/>
      <w:bookmarkEnd w:id="213"/>
      <w:bookmarkStart w:id="214" w:name="_Toc99483680"/>
      <w:bookmarkStart w:id="215" w:name="_Toc19523"/>
      <w:bookmarkStart w:id="216" w:name="_Toc94149511"/>
      <w:bookmarkStart w:id="217" w:name="_Toc100340501"/>
      <w:r>
        <w:rPr>
          <w:rFonts w:eastAsia="仿宋" w:asciiTheme="minorEastAsia" w:hAnsiTheme="minorEastAsia"/>
          <w:b/>
          <w:snapToGrid w:val="0"/>
          <w:sz w:val="24"/>
          <w:szCs w:val="24"/>
          <w:lang w:eastAsia="zh-CN"/>
        </w:rPr>
        <w:t>4.1 推荐成交供应商</w:t>
      </w:r>
      <w:bookmarkEnd w:id="214"/>
      <w:bookmarkEnd w:id="215"/>
      <w:bookmarkEnd w:id="216"/>
      <w:bookmarkEnd w:id="217"/>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综合得分最高的</w:t>
      </w:r>
      <w:r>
        <w:rPr>
          <w:rFonts w:eastAsia="仿宋" w:asciiTheme="minorEastAsia" w:hAnsiTheme="minorEastAsia"/>
          <w:snapToGrid w:val="0"/>
          <w:sz w:val="24"/>
          <w:szCs w:val="24"/>
          <w:lang w:eastAsia="zh-CN"/>
        </w:rPr>
        <w:t>向采购人推荐成交供应商</w:t>
      </w:r>
      <w:r>
        <w:rPr>
          <w:rFonts w:hint="eastAsia" w:eastAsia="仿宋" w:asciiTheme="minorEastAsia" w:hAnsiTheme="minorEastAsia"/>
          <w:snapToGrid w:val="0"/>
          <w:sz w:val="24"/>
          <w:szCs w:val="24"/>
          <w:lang w:eastAsia="zh-CN"/>
        </w:rPr>
        <w:t>；</w:t>
      </w:r>
    </w:p>
    <w:p>
      <w:pPr>
        <w:adjustRightInd w:val="0"/>
        <w:snapToGrid w:val="0"/>
        <w:spacing w:line="360" w:lineRule="auto"/>
        <w:ind w:firstLine="480"/>
        <w:jc w:val="both"/>
        <w:rPr>
          <w:rFonts w:eastAsia="仿宋" w:asciiTheme="minorEastAsia" w:hAnsiTheme="minorEastAsia"/>
          <w:snapToGrid w:val="0"/>
          <w:sz w:val="24"/>
          <w:szCs w:val="24"/>
          <w:lang w:eastAsia="zh-CN"/>
        </w:rPr>
      </w:pPr>
      <w:r>
        <w:rPr>
          <w:rFonts w:eastAsia="仿宋"/>
          <w:snapToGrid w:val="0"/>
          <w:sz w:val="24"/>
          <w:szCs w:val="24"/>
          <w:lang w:eastAsia="zh-CN"/>
        </w:rPr>
        <w:sym w:font="Wingdings 2" w:char="0052"/>
      </w:r>
      <w:r>
        <w:rPr>
          <w:rFonts w:eastAsia="仿宋" w:asciiTheme="minorEastAsia" w:hAnsiTheme="minorEastAsia"/>
          <w:snapToGrid w:val="0"/>
          <w:sz w:val="24"/>
          <w:szCs w:val="24"/>
          <w:lang w:eastAsia="zh-CN"/>
        </w:rPr>
        <w:t>采购小组应在书面评审</w:t>
      </w:r>
      <w:r>
        <w:rPr>
          <w:rFonts w:hint="eastAsia" w:eastAsia="仿宋" w:asciiTheme="minorEastAsia" w:hAnsiTheme="minorEastAsia"/>
          <w:snapToGrid w:val="0"/>
          <w:sz w:val="24"/>
          <w:szCs w:val="24"/>
          <w:lang w:eastAsia="zh-CN"/>
        </w:rPr>
        <w:t>资料</w:t>
      </w:r>
      <w:r>
        <w:rPr>
          <w:rFonts w:eastAsia="仿宋" w:asciiTheme="minorEastAsia" w:hAnsiTheme="minorEastAsia"/>
          <w:snapToGrid w:val="0"/>
          <w:sz w:val="24"/>
          <w:szCs w:val="24"/>
          <w:lang w:eastAsia="zh-CN"/>
        </w:rPr>
        <w:t>中按照</w:t>
      </w:r>
      <w:r>
        <w:rPr>
          <w:rFonts w:hint="eastAsia" w:eastAsia="仿宋" w:asciiTheme="minorEastAsia" w:hAnsiTheme="minorEastAsia"/>
          <w:snapToGrid w:val="0"/>
          <w:sz w:val="24"/>
          <w:szCs w:val="24"/>
          <w:lang w:eastAsia="zh-CN"/>
        </w:rPr>
        <w:t>综合得分从高到低依次</w:t>
      </w:r>
      <w:r>
        <w:rPr>
          <w:rFonts w:eastAsia="仿宋" w:asciiTheme="minorEastAsia" w:hAnsiTheme="minorEastAsia"/>
          <w:snapToGrid w:val="0"/>
          <w:sz w:val="24"/>
          <w:szCs w:val="24"/>
          <w:lang w:eastAsia="zh-CN"/>
        </w:rPr>
        <w:t>向采购人推荐</w:t>
      </w:r>
      <w:r>
        <w:rPr>
          <w:rFonts w:hint="eastAsia" w:ascii="Segoe UI Symbol" w:hAnsi="Segoe UI Symbol" w:eastAsia="仿宋" w:cs="Segoe UI Symbol"/>
          <w:snapToGrid w:val="0"/>
          <w:sz w:val="24"/>
          <w:szCs w:val="24"/>
          <w:lang w:eastAsia="zh-CN"/>
        </w:rPr>
        <w:t>成交候选供应商</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u w:val="single"/>
          <w:lang w:eastAsia="zh-CN"/>
        </w:rPr>
        <w:t>2</w:t>
      </w:r>
      <w:r>
        <w:rPr>
          <w:rFonts w:ascii="Segoe UI Symbol" w:hAnsi="Segoe UI Symbol" w:eastAsia="仿宋" w:cs="Segoe UI Symbol"/>
          <w:snapToGrid w:val="0"/>
          <w:sz w:val="24"/>
          <w:szCs w:val="24"/>
          <w:u w:val="single"/>
          <w:lang w:eastAsia="zh-CN"/>
        </w:rPr>
        <w:t xml:space="preserve">  </w:t>
      </w:r>
      <w:r>
        <w:rPr>
          <w:rFonts w:hint="eastAsia" w:ascii="Segoe UI Symbol" w:hAnsi="Segoe UI Symbol" w:eastAsia="仿宋" w:cs="Segoe UI Symbol"/>
          <w:snapToGrid w:val="0"/>
          <w:sz w:val="24"/>
          <w:szCs w:val="24"/>
          <w:lang w:eastAsia="zh-CN"/>
        </w:rPr>
        <w:t>名</w:t>
      </w:r>
      <w:r>
        <w:rPr>
          <w:rFonts w:eastAsia="仿宋" w:asciiTheme="minorEastAsia" w:hAnsiTheme="minorEastAsia"/>
          <w:snapToGrid w:val="0"/>
          <w:sz w:val="24"/>
          <w:szCs w:val="24"/>
          <w:lang w:eastAsia="zh-CN"/>
        </w:rPr>
        <w:t>。</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lang w:eastAsia="zh-CN"/>
        </w:rPr>
        <mc:AlternateContent>
          <mc:Choice Requires="wps">
            <w:drawing>
              <wp:anchor distT="0" distB="0" distL="114300" distR="114300" simplePos="0" relativeHeight="251659264" behindDoc="0" locked="0" layoutInCell="1" allowOverlap="1">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218" w:name="扫描0044"/>
      <w:bookmarkEnd w:id="218"/>
      <w:bookmarkStart w:id="219" w:name="_Toc9220"/>
      <w:r>
        <w:rPr>
          <w:rFonts w:hint="eastAsia" w:ascii="仿宋" w:hAnsi="仿宋" w:eastAsia="仿宋"/>
          <w:b/>
          <w:bCs/>
          <w:snapToGrid w:val="0"/>
          <w:sz w:val="32"/>
          <w:szCs w:val="32"/>
          <w:lang w:eastAsia="zh-CN"/>
        </w:rPr>
        <w:t>第</w:t>
      </w:r>
      <w:r>
        <w:rPr>
          <w:rFonts w:ascii="仿宋" w:hAnsi="仿宋" w:eastAsia="仿宋"/>
          <w:b/>
          <w:bCs/>
          <w:snapToGrid w:val="0"/>
          <w:sz w:val="32"/>
          <w:szCs w:val="32"/>
          <w:lang w:eastAsia="zh-CN"/>
        </w:rPr>
        <w:t>四</w:t>
      </w:r>
      <w:r>
        <w:rPr>
          <w:rFonts w:hint="eastAsia" w:ascii="仿宋" w:hAnsi="仿宋" w:eastAsia="仿宋"/>
          <w:b/>
          <w:bCs/>
          <w:snapToGrid w:val="0"/>
          <w:sz w:val="32"/>
          <w:szCs w:val="32"/>
          <w:lang w:eastAsia="zh-CN"/>
        </w:rPr>
        <w:t xml:space="preserve">章 </w:t>
      </w:r>
      <w:r>
        <w:rPr>
          <w:rFonts w:ascii="仿宋" w:hAnsi="仿宋" w:eastAsia="仿宋"/>
          <w:b/>
          <w:bCs/>
          <w:snapToGrid w:val="0"/>
          <w:sz w:val="32"/>
          <w:szCs w:val="32"/>
          <w:lang w:eastAsia="zh-CN"/>
        </w:rPr>
        <w:t xml:space="preserve"> </w:t>
      </w:r>
      <w:r>
        <w:rPr>
          <w:rFonts w:hint="eastAsia" w:ascii="仿宋" w:hAnsi="仿宋" w:eastAsia="仿宋"/>
          <w:b/>
          <w:bCs/>
          <w:snapToGrid w:val="0"/>
          <w:sz w:val="32"/>
          <w:szCs w:val="32"/>
          <w:lang w:eastAsia="zh-CN"/>
        </w:rPr>
        <w:t>建设工程施工合同</w:t>
      </w:r>
      <w:bookmarkEnd w:id="219"/>
    </w:p>
    <w:p>
      <w:pPr>
        <w:jc w:val="center"/>
        <w:rPr>
          <w:rFonts w:eastAsia="仿宋"/>
          <w:sz w:val="24"/>
          <w:szCs w:val="24"/>
          <w:lang w:eastAsia="zh-CN"/>
        </w:rPr>
      </w:pPr>
    </w:p>
    <w:p>
      <w:pPr>
        <w:jc w:val="center"/>
        <w:rPr>
          <w:rFonts w:eastAsia="仿宋"/>
          <w:sz w:val="24"/>
          <w:szCs w:val="24"/>
          <w:lang w:eastAsia="zh-CN"/>
        </w:rPr>
      </w:pPr>
      <w:r>
        <w:rPr>
          <w:rFonts w:hint="eastAsia" w:eastAsia="仿宋"/>
          <w:sz w:val="24"/>
          <w:szCs w:val="24"/>
          <w:lang w:eastAsia="zh-CN"/>
        </w:rPr>
        <w:t>参照《建设工程施工合同（示范文本）》（</w:t>
      </w:r>
      <w:r>
        <w:rPr>
          <w:rFonts w:eastAsia="仿宋"/>
          <w:sz w:val="24"/>
          <w:szCs w:val="24"/>
          <w:lang w:eastAsia="zh-CN"/>
        </w:rPr>
        <w:t>GF-2017-0201）</w:t>
      </w:r>
      <w:r>
        <w:rPr>
          <w:rFonts w:hint="eastAsia" w:eastAsia="仿宋"/>
          <w:sz w:val="24"/>
          <w:szCs w:val="24"/>
          <w:lang w:eastAsia="zh-CN"/>
        </w:rPr>
        <w:t>编写</w:t>
      </w: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pStyle w:val="4"/>
        <w:jc w:val="center"/>
        <w:rPr>
          <w:rFonts w:ascii="仿宋" w:hAnsi="仿宋" w:eastAsia="仿宋"/>
          <w:snapToGrid w:val="0"/>
          <w:sz w:val="24"/>
          <w:szCs w:val="2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方正小标宋_GBK" w:hAnsi="方正小标宋_GBK" w:eastAsia="方正小标宋_GBK" w:cs="方正小标宋_GBK"/>
          <w:sz w:val="44"/>
          <w:szCs w:val="44"/>
          <w:lang w:eastAsia="zh-CN"/>
        </w:rPr>
      </w:pPr>
    </w:p>
    <w:p>
      <w:pPr>
        <w:jc w:val="center"/>
        <w:rPr>
          <w:rFonts w:ascii="仿宋_GB2312" w:eastAsia="仿宋_GB2312"/>
          <w:sz w:val="52"/>
          <w:szCs w:val="52"/>
          <w:lang w:eastAsia="zh-CN"/>
        </w:rPr>
      </w:pPr>
      <w:r>
        <w:rPr>
          <w:rFonts w:hint="eastAsia" w:ascii="方正小标宋_GBK" w:hAnsi="方正小标宋_GBK" w:eastAsia="方正小标宋_GBK" w:cs="方正小标宋_GBK"/>
          <w:sz w:val="44"/>
          <w:szCs w:val="44"/>
          <w:lang w:eastAsia="zh-CN"/>
        </w:rPr>
        <w:t>中粮糖业甘蔗糖部</w:t>
      </w:r>
    </w:p>
    <w:p>
      <w:pPr>
        <w:ind w:left="3564" w:leftChars="420" w:hanging="2640" w:hangingChars="600"/>
        <w:rPr>
          <w:rFonts w:ascii="方正小标宋_GBK" w:eastAsia="方正小标宋_GBK"/>
          <w:sz w:val="44"/>
          <w:szCs w:val="44"/>
          <w:lang w:eastAsia="zh-CN"/>
        </w:rPr>
      </w:pPr>
      <w:r>
        <w:rPr>
          <w:rFonts w:hint="eastAsia" w:ascii="方正小标宋_GBK" w:eastAsia="方正小标宋_GBK"/>
          <w:sz w:val="44"/>
          <w:szCs w:val="44"/>
          <w:lang w:eastAsia="zh-CN"/>
        </w:rPr>
        <w:t>2023年梁河糖业勐养、芒东工厂新建物资仓库项目土建施工合同</w:t>
      </w:r>
    </w:p>
    <w:p>
      <w:pPr>
        <w:ind w:left="3564" w:leftChars="420" w:hanging="2640" w:hangingChars="600"/>
        <w:jc w:val="center"/>
        <w:rPr>
          <w:rFonts w:ascii="方正小标宋_GBK" w:eastAsia="方正小标宋_GBK"/>
          <w:sz w:val="44"/>
          <w:szCs w:val="44"/>
          <w:lang w:eastAsia="zh-CN"/>
        </w:rPr>
      </w:pPr>
    </w:p>
    <w:p>
      <w:pPr>
        <w:ind w:left="3564" w:leftChars="420" w:hanging="2640" w:hangingChars="600"/>
        <w:jc w:val="center"/>
        <w:rPr>
          <w:rFonts w:ascii="方正小标宋_GBK" w:eastAsia="方正小标宋_GBK"/>
          <w:sz w:val="44"/>
          <w:szCs w:val="44"/>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发包方：中粮梁河糖业有限公司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 xml:space="preserve">承包方： </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合同签订地点：</w:t>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发包方合同编号：</w:t>
      </w:r>
    </w:p>
    <w:p>
      <w:pPr>
        <w:tabs>
          <w:tab w:val="left" w:pos="6330"/>
        </w:tabs>
        <w:ind w:firstLine="1280" w:firstLineChars="400"/>
        <w:rPr>
          <w:rFonts w:ascii="仿宋_GB2312" w:eastAsia="仿宋_GB2312"/>
          <w:sz w:val="32"/>
          <w:szCs w:val="32"/>
          <w:lang w:eastAsia="zh-CN"/>
        </w:rPr>
      </w:pPr>
      <w:r>
        <w:rPr>
          <w:rFonts w:hint="eastAsia" w:ascii="仿宋_GB2312" w:eastAsia="仿宋_GB2312"/>
          <w:sz w:val="32"/>
          <w:szCs w:val="32"/>
          <w:lang w:eastAsia="zh-CN"/>
        </w:rPr>
        <w:t>承包方合同编号：</w:t>
      </w:r>
      <w:r>
        <w:rPr>
          <w:rFonts w:hint="eastAsia" w:ascii="仿宋_GB2312" w:eastAsia="仿宋_GB2312"/>
          <w:sz w:val="32"/>
          <w:szCs w:val="32"/>
          <w:lang w:eastAsia="zh-CN"/>
        </w:rPr>
        <w:tab/>
      </w:r>
    </w:p>
    <w:p>
      <w:pPr>
        <w:ind w:firstLine="1280" w:firstLineChars="400"/>
        <w:rPr>
          <w:rFonts w:ascii="仿宋_GB2312" w:eastAsia="仿宋_GB2312"/>
          <w:sz w:val="32"/>
          <w:szCs w:val="32"/>
          <w:lang w:eastAsia="zh-CN"/>
        </w:rPr>
      </w:pPr>
      <w:r>
        <w:rPr>
          <w:rFonts w:hint="eastAsia" w:ascii="仿宋_GB2312" w:eastAsia="仿宋_GB2312"/>
          <w:sz w:val="32"/>
          <w:szCs w:val="32"/>
          <w:lang w:eastAsia="zh-CN"/>
        </w:rPr>
        <w:t>合同签订时间：      年    月    日</w:t>
      </w: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rPr>
          <w:rFonts w:ascii="仿宋_GB2312" w:eastAsia="仿宋_GB2312"/>
          <w:sz w:val="32"/>
          <w:szCs w:val="32"/>
          <w:lang w:eastAsia="zh-CN"/>
        </w:rPr>
      </w:pPr>
    </w:p>
    <w:p>
      <w:pPr>
        <w:ind w:firstLine="1280" w:firstLineChars="400"/>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合同书</w:t>
      </w:r>
    </w:p>
    <w:p>
      <w:pPr>
        <w:ind w:firstLine="640" w:firstLineChars="200"/>
        <w:rPr>
          <w:rFonts w:ascii="仿宋_GB2312" w:eastAsia="仿宋_GB2312"/>
          <w:sz w:val="32"/>
          <w:szCs w:val="32"/>
          <w:lang w:eastAsia="zh-CN"/>
        </w:rPr>
      </w:pPr>
      <w:bookmarkStart w:id="220" w:name="OLE_LINK94"/>
      <w:bookmarkStart w:id="221" w:name="OLE_LINK93"/>
      <w:r>
        <w:rPr>
          <w:rFonts w:hint="eastAsia" w:ascii="仿宋_GB2312" w:eastAsia="仿宋_GB2312"/>
          <w:sz w:val="32"/>
          <w:szCs w:val="32"/>
          <w:lang w:eastAsia="zh-CN"/>
        </w:rPr>
        <w:t>发包方（全称）：</w:t>
      </w:r>
      <w:r>
        <w:rPr>
          <w:rFonts w:hint="eastAsia" w:ascii="仿宋_GB2312" w:eastAsia="仿宋_GB2312"/>
          <w:sz w:val="32"/>
          <w:szCs w:val="32"/>
          <w:u w:val="single"/>
          <w:lang w:eastAsia="zh-CN"/>
        </w:rPr>
        <w:t>中粮梁河糖业有限公司</w:t>
      </w:r>
      <w:r>
        <w:rPr>
          <w:rFonts w:hint="eastAsia" w:ascii="仿宋_GB2312" w:eastAsia="仿宋_GB2312"/>
          <w:sz w:val="32"/>
          <w:szCs w:val="32"/>
          <w:lang w:eastAsia="zh-CN"/>
        </w:rPr>
        <w:t xml:space="preserve">         </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承包方（全称）：</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 xml:space="preserve">         </w:t>
      </w:r>
    </w:p>
    <w:p>
      <w:pPr>
        <w:spacing w:line="50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依照《中华人民共和国民法典》、《中华人民共和国建筑法》及其他相关法律、法规，遵守平等自愿、公平和诚实信用的原则，</w:t>
      </w:r>
      <w:r>
        <w:rPr>
          <w:rFonts w:eastAsia="仿宋_GB2312"/>
          <w:sz w:val="32"/>
          <w:szCs w:val="32"/>
          <w:lang w:eastAsia="zh-CN"/>
        </w:rPr>
        <w:t>双方就</w:t>
      </w:r>
      <w:r>
        <w:rPr>
          <w:rFonts w:hint="eastAsia" w:eastAsia="仿宋_GB2312"/>
          <w:sz w:val="32"/>
          <w:szCs w:val="32"/>
          <w:u w:val="single"/>
          <w:lang w:eastAsia="zh-CN"/>
        </w:rPr>
        <w:t>2023年梁河糖业勐养、芒东工厂新建物资仓库项目</w:t>
      </w:r>
      <w:r>
        <w:rPr>
          <w:rFonts w:eastAsia="仿宋_GB2312"/>
          <w:sz w:val="32"/>
          <w:szCs w:val="32"/>
          <w:lang w:eastAsia="zh-CN"/>
        </w:rPr>
        <w:t>施工事项协商一致，订立本合同，以便共同遵守。</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一、工程概况</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（一）工程名称：</w:t>
      </w:r>
      <w:r>
        <w:rPr>
          <w:rFonts w:hint="eastAsia" w:eastAsia="仿宋_GB2312"/>
          <w:sz w:val="32"/>
          <w:szCs w:val="32"/>
          <w:u w:val="single"/>
          <w:lang w:eastAsia="zh-CN"/>
        </w:rPr>
        <w:t>2023年梁河糖业勐养、芒东工厂新建物资仓库项目</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（二）工程地点：中粮梁河糖业有限公司</w:t>
      </w:r>
      <w:r>
        <w:rPr>
          <w:rFonts w:hint="eastAsia" w:ascii="仿宋_GB2312" w:eastAsia="仿宋_GB2312"/>
          <w:sz w:val="32"/>
          <w:szCs w:val="32"/>
          <w:lang w:eastAsia="zh-CN"/>
        </w:rPr>
        <w:t xml:space="preserve"> </w:t>
      </w:r>
    </w:p>
    <w:p>
      <w:pPr>
        <w:spacing w:line="460" w:lineRule="exact"/>
        <w:ind w:firstLine="643" w:firstLineChars="200"/>
        <w:textAlignment w:val="baseline"/>
        <w:rPr>
          <w:rFonts w:hint="eastAsia" w:eastAsia="仿宋_GB2312"/>
          <w:sz w:val="32"/>
          <w:szCs w:val="32"/>
          <w:u w:val="single"/>
          <w:lang w:eastAsia="zh-CN"/>
        </w:rPr>
      </w:pPr>
      <w:r>
        <w:rPr>
          <w:rFonts w:hint="eastAsia" w:ascii="仿宋_GB2312" w:eastAsia="仿宋_GB2312"/>
          <w:b/>
          <w:sz w:val="32"/>
          <w:szCs w:val="32"/>
          <w:lang w:eastAsia="zh-CN"/>
        </w:rPr>
        <w:t>（三）工程内容：</w:t>
      </w:r>
      <w:r>
        <w:rPr>
          <w:rFonts w:hint="eastAsia" w:eastAsia="仿宋_GB2312"/>
          <w:sz w:val="32"/>
          <w:szCs w:val="32"/>
          <w:u w:val="none"/>
          <w:lang w:val="en-US" w:eastAsia="zh-CN"/>
        </w:rPr>
        <w:t>在梁河糖业勐养、芒东工厂厂区内，分别设计建造一间物资仓库，新建的仓库震烈度按不低于8度，使用的电器为防爆电器</w:t>
      </w:r>
      <w:r>
        <w:rPr>
          <w:rFonts w:hint="eastAsia" w:eastAsia="仿宋_GB2312"/>
          <w:sz w:val="32"/>
          <w:szCs w:val="32"/>
          <w:u w:val="none"/>
          <w:lang w:eastAsia="zh-CN"/>
        </w:rPr>
        <w:t>。</w:t>
      </w:r>
      <w:r>
        <w:rPr>
          <w:rFonts w:hint="eastAsia" w:eastAsia="仿宋_GB2312"/>
          <w:sz w:val="32"/>
          <w:szCs w:val="32"/>
          <w:u w:val="none"/>
          <w:lang w:val="en-US" w:eastAsia="zh-CN"/>
        </w:rPr>
        <w:t>新建库房为钢筋混凝土框架结构，设计使用年限50年，火灾危险等级为甲类，耐火等级为二级，占地面积164.16㎡，建筑面积164.16平方米（地上一层）</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（四）资金来源：自筹</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二、工程承包范围：</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（一）承包方式：包工包料</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rPr>
      </w:pPr>
      <w:r>
        <w:rPr>
          <w:rFonts w:hint="eastAsia" w:ascii="仿宋_GB2312" w:eastAsia="仿宋_GB2312"/>
          <w:b/>
          <w:sz w:val="32"/>
          <w:szCs w:val="32"/>
        </w:rPr>
        <w:t>（二）工程量清单：</w:t>
      </w:r>
    </w:p>
    <w:tbl>
      <w:tblPr>
        <w:tblStyle w:val="42"/>
        <w:tblW w:w="9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53"/>
        <w:gridCol w:w="2940"/>
        <w:gridCol w:w="720"/>
        <w:gridCol w:w="870"/>
        <w:gridCol w:w="930"/>
        <w:gridCol w:w="930"/>
        <w:gridCol w:w="930"/>
      </w:tblGrid>
      <w:tr>
        <w:tblPrEx>
          <w:tblCellMar>
            <w:top w:w="0" w:type="dxa"/>
            <w:left w:w="108" w:type="dxa"/>
            <w:bottom w:w="0" w:type="dxa"/>
            <w:right w:w="108" w:type="dxa"/>
          </w:tblCellMar>
        </w:tblPrEx>
        <w:trPr>
          <w:trHeight w:val="750" w:hRule="atLeast"/>
        </w:trPr>
        <w:tc>
          <w:tcPr>
            <w:tcW w:w="540" w:type="dxa"/>
            <w:shd w:val="clear" w:color="auto" w:fill="auto"/>
            <w:vAlign w:val="center"/>
          </w:tcPr>
          <w:p>
            <w:pPr>
              <w:widowControl/>
              <w:jc w:val="center"/>
              <w:rPr>
                <w:rFonts w:eastAsia="仿宋_GB2312"/>
                <w:sz w:val="28"/>
                <w:szCs w:val="28"/>
              </w:rPr>
            </w:pPr>
            <w:r>
              <w:rPr>
                <w:rFonts w:eastAsia="仿宋_GB2312"/>
                <w:sz w:val="28"/>
                <w:szCs w:val="28"/>
              </w:rPr>
              <w:t>序号</w:t>
            </w:r>
          </w:p>
        </w:tc>
        <w:tc>
          <w:tcPr>
            <w:tcW w:w="1853" w:type="dxa"/>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2940" w:type="dxa"/>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720" w:type="dxa"/>
            <w:shd w:val="clear" w:color="auto" w:fill="auto"/>
            <w:vAlign w:val="center"/>
          </w:tcPr>
          <w:p>
            <w:pPr>
              <w:widowControl/>
              <w:jc w:val="center"/>
              <w:rPr>
                <w:rFonts w:eastAsia="仿宋_GB2312"/>
                <w:sz w:val="28"/>
                <w:szCs w:val="28"/>
              </w:rPr>
            </w:pPr>
            <w:r>
              <w:rPr>
                <w:rFonts w:eastAsia="仿宋_GB2312"/>
                <w:sz w:val="28"/>
                <w:szCs w:val="28"/>
              </w:rPr>
              <w:t>单位</w:t>
            </w:r>
          </w:p>
        </w:tc>
        <w:tc>
          <w:tcPr>
            <w:tcW w:w="870" w:type="dxa"/>
            <w:shd w:val="clear" w:color="auto" w:fill="auto"/>
            <w:vAlign w:val="center"/>
          </w:tcPr>
          <w:p>
            <w:pPr>
              <w:widowControl/>
              <w:jc w:val="center"/>
              <w:rPr>
                <w:rFonts w:eastAsia="仿宋_GB2312"/>
                <w:sz w:val="28"/>
                <w:szCs w:val="28"/>
              </w:rPr>
            </w:pPr>
            <w:r>
              <w:rPr>
                <w:rFonts w:eastAsia="仿宋_GB2312"/>
                <w:sz w:val="28"/>
                <w:szCs w:val="28"/>
              </w:rPr>
              <w:t>工程量</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含税单价（元）</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含税合价（元）</w:t>
            </w:r>
          </w:p>
        </w:tc>
        <w:tc>
          <w:tcPr>
            <w:tcW w:w="930" w:type="dxa"/>
            <w:shd w:val="clear" w:color="auto" w:fill="auto"/>
            <w:vAlign w:val="center"/>
          </w:tcPr>
          <w:p>
            <w:pPr>
              <w:widowControl/>
              <w:jc w:val="center"/>
              <w:rPr>
                <w:rFonts w:hint="eastAsia" w:eastAsia="仿宋_GB2312"/>
                <w:sz w:val="28"/>
                <w:szCs w:val="28"/>
                <w:lang w:val="en-US" w:eastAsia="zh-CN"/>
              </w:rPr>
            </w:pPr>
            <w:r>
              <w:rPr>
                <w:rFonts w:hint="eastAsia" w:eastAsia="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1853" w:type="dxa"/>
            <w:shd w:val="clear" w:color="auto" w:fill="auto"/>
            <w:vAlign w:val="center"/>
          </w:tcPr>
          <w:p>
            <w:pPr>
              <w:jc w:val="left"/>
              <w:rPr>
                <w:rFonts w:eastAsia="仿宋_GB2312"/>
                <w:color w:val="000000"/>
                <w:sz w:val="28"/>
                <w:szCs w:val="28"/>
                <w:lang w:eastAsia="zh-CN"/>
              </w:rPr>
            </w:pP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eastAsia="仿宋_GB2312"/>
                <w:color w:val="000000"/>
                <w:sz w:val="28"/>
                <w:szCs w:val="28"/>
              </w:rPr>
            </w:pPr>
          </w:p>
        </w:tc>
        <w:tc>
          <w:tcPr>
            <w:tcW w:w="720" w:type="dxa"/>
            <w:shd w:val="clear" w:color="auto" w:fill="auto"/>
            <w:noWrap/>
            <w:vAlign w:val="center"/>
          </w:tcPr>
          <w:p>
            <w:pPr>
              <w:jc w:val="center"/>
              <w:rPr>
                <w:rFonts w:eastAsia="仿宋_GB2312"/>
                <w:sz w:val="28"/>
                <w:szCs w:val="28"/>
              </w:rPr>
            </w:pPr>
          </w:p>
        </w:tc>
        <w:tc>
          <w:tcPr>
            <w:tcW w:w="870" w:type="dxa"/>
            <w:shd w:val="clear" w:color="auto" w:fill="auto"/>
            <w:noWrap/>
            <w:vAlign w:val="center"/>
          </w:tcPr>
          <w:p>
            <w:pPr>
              <w:jc w:val="center"/>
              <w:rPr>
                <w:rFonts w:eastAsia="仿宋_GB2312"/>
                <w:sz w:val="28"/>
                <w:szCs w:val="28"/>
              </w:rPr>
            </w:pP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eastAsia="仿宋_GB2312"/>
                <w:sz w:val="28"/>
                <w:szCs w:val="28"/>
                <w:lang w:eastAsia="zh-CN"/>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1853"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2.玻璃品种、厚度:5厚白玻璃</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bl>
    <w:p>
      <w:pPr>
        <w:spacing w:line="460" w:lineRule="exact"/>
        <w:ind w:firstLine="643" w:firstLineChars="200"/>
        <w:textAlignment w:val="baseline"/>
        <w:rPr>
          <w:rFonts w:ascii="仿宋_GB2312" w:eastAsia="仿宋_GB2312"/>
          <w:b/>
          <w:sz w:val="32"/>
          <w:szCs w:val="32"/>
        </w:rPr>
      </w:pPr>
    </w:p>
    <w:p>
      <w:pPr>
        <w:spacing w:line="460" w:lineRule="exact"/>
        <w:ind w:firstLine="643" w:firstLineChars="200"/>
        <w:textAlignment w:val="baseline"/>
        <w:rPr>
          <w:rFonts w:ascii="仿宋_GB2312" w:eastAsia="仿宋_GB2312"/>
          <w:b/>
          <w:sz w:val="32"/>
          <w:szCs w:val="32"/>
        </w:rPr>
      </w:pPr>
    </w:p>
    <w:p>
      <w:pPr>
        <w:numPr>
          <w:ilvl w:val="0"/>
          <w:numId w:val="15"/>
        </w:numPr>
        <w:spacing w:line="4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合同工期：</w:t>
      </w:r>
    </w:p>
    <w:p>
      <w:pPr>
        <w:spacing w:line="460" w:lineRule="exact"/>
        <w:ind w:firstLine="602" w:firstLineChars="200"/>
        <w:textAlignment w:val="baseline"/>
        <w:rPr>
          <w:rFonts w:ascii="仿宋_GB2312" w:eastAsia="仿宋_GB2312"/>
          <w:bCs/>
          <w:sz w:val="30"/>
          <w:szCs w:val="30"/>
          <w:u w:val="single"/>
          <w:lang w:eastAsia="zh-CN"/>
        </w:rPr>
      </w:pPr>
      <w:r>
        <w:rPr>
          <w:rFonts w:hint="eastAsia" w:ascii="仿宋_GB2312" w:eastAsia="仿宋_GB2312"/>
          <w:b/>
          <w:bCs/>
          <w:sz w:val="30"/>
          <w:szCs w:val="30"/>
          <w:lang w:eastAsia="zh-CN"/>
        </w:rPr>
        <w:t>（一）计划开工时间</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ascii="仿宋_GB2312" w:eastAsia="仿宋_GB2312"/>
          <w:bCs/>
          <w:sz w:val="30"/>
          <w:szCs w:val="30"/>
          <w:highlight w:val="yellow"/>
          <w:u w:val="single"/>
          <w:lang w:eastAsia="zh-CN"/>
        </w:rPr>
        <w:t>23</w:t>
      </w:r>
      <w:r>
        <w:rPr>
          <w:rFonts w:hint="eastAsia" w:ascii="仿宋_GB2312" w:eastAsia="仿宋_GB2312"/>
          <w:bCs/>
          <w:sz w:val="30"/>
          <w:szCs w:val="30"/>
          <w:highlight w:val="yellow"/>
          <w:u w:val="single"/>
          <w:lang w:eastAsia="zh-CN"/>
        </w:rPr>
        <w:t>年</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月</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日</w:t>
      </w:r>
      <w:r>
        <w:rPr>
          <w:rFonts w:hint="eastAsia" w:ascii="仿宋_GB2312" w:eastAsia="仿宋_GB2312"/>
          <w:bCs/>
          <w:sz w:val="30"/>
          <w:szCs w:val="30"/>
          <w:lang w:eastAsia="zh-CN"/>
        </w:rPr>
        <w:t>｡</w:t>
      </w:r>
    </w:p>
    <w:p>
      <w:pPr>
        <w:spacing w:line="460" w:lineRule="exact"/>
        <w:ind w:firstLine="602" w:firstLineChars="200"/>
        <w:textAlignment w:val="baseline"/>
        <w:rPr>
          <w:rFonts w:ascii="仿宋_GB2312" w:eastAsia="仿宋_GB2312"/>
          <w:bCs/>
          <w:sz w:val="30"/>
          <w:szCs w:val="30"/>
          <w:lang w:eastAsia="zh-CN"/>
        </w:rPr>
      </w:pPr>
      <w:r>
        <w:rPr>
          <w:rFonts w:hint="eastAsia" w:ascii="仿宋_GB2312" w:eastAsia="仿宋_GB2312"/>
          <w:b/>
          <w:bCs/>
          <w:sz w:val="30"/>
          <w:szCs w:val="30"/>
          <w:lang w:eastAsia="zh-CN"/>
        </w:rPr>
        <w:t>（二）计划竣工日期</w:t>
      </w:r>
      <w:r>
        <w:rPr>
          <w:rFonts w:hint="eastAsia" w:ascii="仿宋_GB2312" w:eastAsia="仿宋_GB2312"/>
          <w:bCs/>
          <w:sz w:val="30"/>
          <w:szCs w:val="30"/>
          <w:lang w:eastAsia="zh-CN"/>
        </w:rPr>
        <w:t>:</w:t>
      </w:r>
      <w:r>
        <w:rPr>
          <w:rFonts w:hint="eastAsia" w:ascii="仿宋_GB2312" w:eastAsia="仿宋_GB2312"/>
          <w:bCs/>
          <w:sz w:val="30"/>
          <w:szCs w:val="30"/>
          <w:highlight w:val="yellow"/>
          <w:u w:val="single"/>
          <w:lang w:eastAsia="zh-CN"/>
        </w:rPr>
        <w:t>20</w:t>
      </w:r>
      <w:r>
        <w:rPr>
          <w:rFonts w:hint="eastAsia" w:ascii="仿宋_GB2312" w:eastAsia="仿宋_GB2312"/>
          <w:bCs/>
          <w:sz w:val="30"/>
          <w:szCs w:val="30"/>
          <w:highlight w:val="yellow"/>
          <w:u w:val="single"/>
          <w:lang w:val="en-US" w:eastAsia="zh-CN"/>
        </w:rPr>
        <w:t xml:space="preserve">2 </w:t>
      </w:r>
      <w:r>
        <w:rPr>
          <w:rFonts w:hint="eastAsia" w:ascii="仿宋_GB2312" w:eastAsia="仿宋_GB2312"/>
          <w:bCs/>
          <w:sz w:val="30"/>
          <w:szCs w:val="30"/>
          <w:highlight w:val="yellow"/>
          <w:u w:val="single"/>
          <w:lang w:eastAsia="zh-CN"/>
        </w:rPr>
        <w:t>年</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月</w:t>
      </w:r>
      <w:r>
        <w:rPr>
          <w:rFonts w:hint="eastAsia" w:ascii="仿宋_GB2312" w:eastAsia="仿宋_GB2312"/>
          <w:bCs/>
          <w:sz w:val="30"/>
          <w:szCs w:val="30"/>
          <w:highlight w:val="yellow"/>
          <w:u w:val="single"/>
          <w:lang w:val="en-US" w:eastAsia="zh-CN"/>
        </w:rPr>
        <w:t xml:space="preserve">  </w:t>
      </w:r>
      <w:r>
        <w:rPr>
          <w:rFonts w:hint="eastAsia" w:ascii="仿宋_GB2312" w:eastAsia="仿宋_GB2312"/>
          <w:bCs/>
          <w:sz w:val="30"/>
          <w:szCs w:val="30"/>
          <w:highlight w:val="yellow"/>
          <w:u w:val="single"/>
          <w:lang w:eastAsia="zh-CN"/>
        </w:rPr>
        <w:t>日</w:t>
      </w:r>
      <w:r>
        <w:rPr>
          <w:rFonts w:hint="eastAsia" w:ascii="仿宋_GB2312" w:eastAsia="仿宋_GB2312"/>
          <w:bCs/>
          <w:sz w:val="30"/>
          <w:szCs w:val="30"/>
          <w:lang w:eastAsia="zh-CN"/>
        </w:rPr>
        <w:t>｡</w:t>
      </w:r>
    </w:p>
    <w:p>
      <w:pPr>
        <w:spacing w:line="460" w:lineRule="exact"/>
        <w:ind w:firstLine="602" w:firstLineChars="200"/>
        <w:rPr>
          <w:rFonts w:hint="eastAsia" w:ascii="仿宋_GB2312" w:eastAsia="仿宋_GB2312"/>
          <w:color w:val="000000"/>
          <w:sz w:val="30"/>
          <w:szCs w:val="30"/>
          <w:lang w:eastAsia="zh-CN"/>
        </w:rPr>
      </w:pPr>
      <w:r>
        <w:rPr>
          <w:rFonts w:hint="eastAsia" w:ascii="仿宋_GB2312" w:eastAsia="仿宋_GB2312"/>
          <w:b/>
          <w:color w:val="000000"/>
          <w:sz w:val="30"/>
          <w:szCs w:val="30"/>
          <w:lang w:eastAsia="zh-CN"/>
        </w:rPr>
        <w:t>（三）工期总日历天数</w:t>
      </w:r>
      <w:r>
        <w:rPr>
          <w:rFonts w:hint="eastAsia" w:ascii="仿宋_GB2312" w:eastAsia="仿宋_GB2312"/>
          <w:color w:val="000000"/>
          <w:sz w:val="30"/>
          <w:szCs w:val="30"/>
          <w:lang w:eastAsia="zh-CN"/>
        </w:rPr>
        <w:t>:</w:t>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highlight w:val="yellow"/>
          <w:u w:val="single"/>
          <w:lang w:eastAsia="zh-CN"/>
        </w:rPr>
        <w:t>日历</w:t>
      </w:r>
      <w:r>
        <w:rPr>
          <w:rFonts w:hint="eastAsia" w:ascii="仿宋_GB2312" w:eastAsia="仿宋_GB2312"/>
          <w:color w:val="000000"/>
          <w:sz w:val="30"/>
          <w:szCs w:val="30"/>
          <w:highlight w:val="yellow"/>
          <w:lang w:eastAsia="zh-CN"/>
        </w:rPr>
        <w:t>天</w:t>
      </w:r>
      <w:r>
        <w:rPr>
          <w:rFonts w:hint="eastAsia" w:ascii="仿宋_GB2312" w:eastAsia="仿宋_GB2312"/>
          <w:color w:val="000000"/>
          <w:sz w:val="30"/>
          <w:szCs w:val="30"/>
          <w:lang w:eastAsia="zh-CN"/>
        </w:rPr>
        <w:t>｡工期总日历天数与根据前述计划开竣工日期计算的工期天数不一致的,以工期总日历天数为准｡</w:t>
      </w:r>
    </w:p>
    <w:p>
      <w:pPr>
        <w:spacing w:line="460" w:lineRule="exact"/>
        <w:ind w:firstLine="600" w:firstLineChars="200"/>
        <w:rPr>
          <w:rFonts w:hint="default" w:ascii="仿宋_GB2312" w:eastAsia="仿宋_GB2312"/>
          <w:color w:val="000000"/>
          <w:sz w:val="30"/>
          <w:szCs w:val="30"/>
          <w:lang w:val="en-US" w:eastAsia="zh-CN"/>
        </w:rPr>
      </w:pPr>
      <w:r>
        <w:rPr>
          <w:rFonts w:hint="eastAsia" w:ascii="仿宋_GB2312" w:eastAsia="仿宋_GB2312"/>
          <w:color w:val="000000"/>
          <w:sz w:val="30"/>
          <w:szCs w:val="30"/>
          <w:lang w:val="en-US" w:eastAsia="zh-CN"/>
        </w:rPr>
        <w:t>（四）乙方需于合同签订后15天内将审核合格的施工图纸交甲方审核，待甲方审核合格后，方可按图施工。</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w:t>
      </w:r>
      <w:r>
        <w:rPr>
          <w:rFonts w:hint="eastAsia" w:ascii="仿宋_GB2312" w:eastAsia="仿宋_GB2312"/>
          <w:b/>
          <w:color w:val="000000"/>
          <w:sz w:val="30"/>
          <w:szCs w:val="30"/>
          <w:lang w:val="en-US" w:eastAsia="zh-CN"/>
        </w:rPr>
        <w:t>五</w:t>
      </w:r>
      <w:r>
        <w:rPr>
          <w:rFonts w:hint="eastAsia" w:ascii="仿宋_GB2312" w:eastAsia="仿宋_GB2312"/>
          <w:b/>
          <w:color w:val="000000"/>
          <w:sz w:val="30"/>
          <w:szCs w:val="30"/>
          <w:lang w:eastAsia="zh-CN"/>
        </w:rPr>
        <w:t>）</w:t>
      </w:r>
      <w:r>
        <w:rPr>
          <w:rFonts w:hint="eastAsia" w:ascii="仿宋_GB2312" w:eastAsia="仿宋_GB2312"/>
          <w:sz w:val="32"/>
          <w:szCs w:val="32"/>
          <w:lang w:eastAsia="zh-CN"/>
        </w:rPr>
        <w:t>施工单位现场所有施工人员必须购买工伤保险或100万雇主险（费用自付）或工商保险,并自负一切安全问题。</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四、质量标准、要求及验收标准</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bCs/>
          <w:sz w:val="32"/>
          <w:szCs w:val="32"/>
          <w:lang w:eastAsia="zh-CN"/>
        </w:rPr>
        <w:t>（一）质量标准：</w:t>
      </w:r>
      <w:r>
        <w:rPr>
          <w:rFonts w:hint="eastAsia" w:ascii="仿宋_GB2312" w:eastAsia="仿宋_GB2312"/>
          <w:sz w:val="32"/>
          <w:szCs w:val="32"/>
          <w:lang w:eastAsia="zh-CN"/>
        </w:rPr>
        <w:t>合格</w:t>
      </w:r>
    </w:p>
    <w:p>
      <w:pPr>
        <w:adjustRightInd w:val="0"/>
        <w:snapToGrid w:val="0"/>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（二）施工工艺及要求：</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1.必须严格按照本工程设计图纸及发包方要求和现行的《建筑工程施工质量验收规范》(建筑工程施工质量验收统一标准GB 50300-</w:t>
      </w:r>
      <w:r>
        <w:rPr>
          <w:rFonts w:ascii="仿宋_GB2312" w:eastAsia="仿宋_GB2312"/>
          <w:sz w:val="32"/>
          <w:szCs w:val="32"/>
          <w:lang w:eastAsia="zh-CN"/>
        </w:rPr>
        <w:t>2013</w:t>
      </w:r>
      <w:r>
        <w:rPr>
          <w:rFonts w:hint="eastAsia" w:ascii="仿宋_GB2312" w:eastAsia="仿宋_GB2312"/>
          <w:sz w:val="32"/>
          <w:szCs w:val="32"/>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2.承包方施工过程中，如果有不合理布置的部分，必须先通知发包方到现场确认处理后方能继续施工。</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w:t>
      </w:r>
      <w:r>
        <w:rPr>
          <w:rFonts w:eastAsia="仿宋_GB2312"/>
          <w:sz w:val="28"/>
          <w:szCs w:val="28"/>
          <w:lang w:eastAsia="zh-CN"/>
        </w:rPr>
        <w:t xml:space="preserve"> </w:t>
      </w:r>
      <w:r>
        <w:rPr>
          <w:rFonts w:ascii="仿宋_GB2312" w:eastAsia="仿宋_GB2312"/>
          <w:sz w:val="32"/>
          <w:szCs w:val="32"/>
          <w:lang w:eastAsia="zh-CN"/>
        </w:rPr>
        <w:t>施工过程中，如果有不合理布置的部分</w:t>
      </w:r>
      <w:r>
        <w:rPr>
          <w:rFonts w:hint="eastAsia" w:ascii="仿宋_GB2312" w:eastAsia="仿宋_GB2312"/>
          <w:sz w:val="32"/>
          <w:szCs w:val="32"/>
          <w:lang w:eastAsia="zh-CN"/>
        </w:rPr>
        <w:t>或可能导致发包方厂区内设施（含地下网管）毁损的情形</w:t>
      </w:r>
      <w:r>
        <w:rPr>
          <w:rFonts w:ascii="仿宋_GB2312" w:eastAsia="仿宋_GB2312"/>
          <w:sz w:val="32"/>
          <w:szCs w:val="32"/>
          <w:lang w:eastAsia="zh-CN"/>
        </w:rPr>
        <w:t>，必须先通知</w:t>
      </w:r>
      <w:r>
        <w:rPr>
          <w:rFonts w:hint="eastAsia" w:ascii="仿宋_GB2312" w:eastAsia="仿宋_GB2312"/>
          <w:sz w:val="32"/>
          <w:szCs w:val="32"/>
          <w:lang w:eastAsia="zh-CN"/>
        </w:rPr>
        <w:t>发包方</w:t>
      </w:r>
      <w:r>
        <w:rPr>
          <w:rFonts w:ascii="仿宋_GB2312" w:eastAsia="仿宋_GB2312"/>
          <w:sz w:val="32"/>
          <w:szCs w:val="32"/>
          <w:lang w:eastAsia="zh-CN"/>
        </w:rPr>
        <w:t>到现场确认处理后方能继续施工。</w:t>
      </w:r>
    </w:p>
    <w:p>
      <w:pPr>
        <w:spacing w:line="460" w:lineRule="exact"/>
        <w:ind w:firstLine="643" w:firstLineChars="200"/>
        <w:textAlignment w:val="baseline"/>
        <w:rPr>
          <w:rFonts w:ascii="仿宋_GB2312" w:eastAsia="仿宋_GB2312"/>
          <w:sz w:val="32"/>
          <w:szCs w:val="32"/>
          <w:lang w:eastAsia="zh-CN"/>
        </w:rPr>
      </w:pPr>
      <w:r>
        <w:rPr>
          <w:rFonts w:hint="eastAsia" w:ascii="仿宋_GB2312" w:eastAsia="仿宋_GB2312"/>
          <w:b/>
          <w:sz w:val="32"/>
          <w:szCs w:val="32"/>
          <w:lang w:eastAsia="zh-CN"/>
        </w:rPr>
        <w:t>（三）验收标准</w:t>
      </w:r>
      <w:r>
        <w:rPr>
          <w:rFonts w:hint="eastAsia" w:ascii="仿宋_GB2312" w:eastAsia="仿宋_GB2312"/>
          <w:sz w:val="32"/>
          <w:szCs w:val="32"/>
          <w:lang w:eastAsia="zh-CN"/>
        </w:rPr>
        <w:t>：</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1.在施工现场，承包方对每道工序应严格按设计图纸及发包方要求和施工规范的要求进行质量控制。工程完工，发包方接到承包方验收申请后</w:t>
      </w:r>
      <w:r>
        <w:rPr>
          <w:rFonts w:hint="eastAsia" w:ascii="仿宋_GB2312" w:eastAsia="仿宋_GB2312"/>
          <w:sz w:val="32"/>
          <w:szCs w:val="32"/>
          <w:u w:val="single"/>
          <w:lang w:eastAsia="zh-CN"/>
        </w:rPr>
        <w:t>15</w:t>
      </w:r>
      <w:r>
        <w:rPr>
          <w:rFonts w:hint="eastAsia" w:ascii="仿宋_GB2312" w:eastAsia="仿宋_GB2312"/>
          <w:sz w:val="32"/>
          <w:szCs w:val="32"/>
          <w:lang w:eastAsia="zh-CN"/>
        </w:rPr>
        <w:t>个工作日内进行竣工验收。</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2.隐蔽工程验收由承包方提前</w:t>
      </w:r>
      <w:r>
        <w:rPr>
          <w:rFonts w:hint="eastAsia" w:ascii="仿宋_GB2312" w:eastAsia="仿宋_GB2312"/>
          <w:sz w:val="32"/>
          <w:szCs w:val="32"/>
          <w:u w:val="single"/>
          <w:lang w:eastAsia="zh-CN"/>
        </w:rPr>
        <w:t>5</w:t>
      </w:r>
      <w:r>
        <w:rPr>
          <w:rFonts w:hint="eastAsia" w:ascii="仿宋_GB2312" w:eastAsia="仿宋_GB2312"/>
          <w:sz w:val="32"/>
          <w:szCs w:val="32"/>
          <w:lang w:eastAsia="zh-CN"/>
        </w:rPr>
        <w:t>小时通知发包方验收，需双方验收合格签字确认后方可回填或者进行下一道工序，否则发包方作为该项不合格。</w:t>
      </w:r>
    </w:p>
    <w:p>
      <w:pPr>
        <w:spacing w:line="460" w:lineRule="exact"/>
        <w:ind w:firstLine="643" w:firstLineChars="200"/>
        <w:textAlignment w:val="baseline"/>
        <w:rPr>
          <w:rFonts w:ascii="仿宋_GB2312" w:eastAsia="仿宋_GB2312"/>
          <w:b/>
          <w:bCs/>
          <w:sz w:val="30"/>
          <w:szCs w:val="30"/>
          <w:lang w:eastAsia="zh-CN"/>
        </w:rPr>
      </w:pPr>
      <w:r>
        <w:rPr>
          <w:rFonts w:hint="eastAsia" w:ascii="仿宋_GB2312" w:eastAsia="仿宋_GB2312"/>
          <w:b/>
          <w:bCs/>
          <w:sz w:val="32"/>
          <w:szCs w:val="32"/>
          <w:lang w:eastAsia="zh-CN"/>
        </w:rPr>
        <w:t>五、合同总额</w:t>
      </w:r>
    </w:p>
    <w:p>
      <w:pPr>
        <w:spacing w:line="460" w:lineRule="exact"/>
        <w:ind w:left="220" w:leftChars="100" w:firstLine="321" w:firstLineChars="100"/>
        <w:rPr>
          <w:rFonts w:ascii="仿宋_GB2312" w:eastAsia="仿宋_GB2312"/>
          <w:sz w:val="32"/>
          <w:szCs w:val="32"/>
          <w:u w:val="single"/>
          <w:lang w:eastAsia="zh-CN"/>
        </w:rPr>
      </w:pPr>
      <w:r>
        <w:rPr>
          <w:rFonts w:hint="eastAsia" w:ascii="仿宋_GB2312" w:eastAsia="仿宋_GB2312"/>
          <w:b/>
          <w:bCs/>
          <w:sz w:val="32"/>
          <w:szCs w:val="32"/>
          <w:lang w:eastAsia="zh-CN"/>
        </w:rPr>
        <w:t>（一）合同总价（含税</w:t>
      </w:r>
      <w:r>
        <w:rPr>
          <w:rFonts w:ascii="仿宋_GB2312" w:eastAsia="仿宋_GB2312"/>
          <w:b/>
          <w:bCs/>
          <w:sz w:val="32"/>
          <w:szCs w:val="32"/>
          <w:lang w:eastAsia="zh-CN"/>
        </w:rPr>
        <w:t xml:space="preserve"> </w:t>
      </w:r>
      <w:r>
        <w:rPr>
          <w:rFonts w:hint="eastAsia" w:ascii="仿宋_GB2312" w:eastAsia="仿宋_GB2312"/>
          <w:b/>
          <w:bCs/>
          <w:sz w:val="32"/>
          <w:szCs w:val="32"/>
          <w:lang w:eastAsia="zh-CN"/>
        </w:rPr>
        <w:t>%）：</w:t>
      </w:r>
      <w:r>
        <w:rPr>
          <w:rFonts w:hint="eastAsia" w:ascii="仿宋_GB2312" w:eastAsia="仿宋_GB2312"/>
          <w:sz w:val="32"/>
          <w:szCs w:val="32"/>
          <w:u w:val="single"/>
          <w:lang w:eastAsia="zh-CN"/>
        </w:rPr>
        <w:t>总价(小写) ￥     元</w:t>
      </w:r>
      <w:r>
        <w:rPr>
          <w:rFonts w:hint="eastAsia" w:ascii="仿宋_GB2312" w:eastAsia="仿宋_GB2312"/>
          <w:sz w:val="32"/>
          <w:szCs w:val="32"/>
          <w:lang w:eastAsia="zh-CN"/>
        </w:rPr>
        <w:t>；大写：</w:t>
      </w:r>
      <w:r>
        <w:rPr>
          <w:rFonts w:hint="eastAsia" w:ascii="仿宋_GB2312" w:eastAsia="仿宋_GB2312"/>
          <w:sz w:val="32"/>
          <w:szCs w:val="32"/>
          <w:u w:val="single"/>
          <w:lang w:eastAsia="zh-CN"/>
        </w:rPr>
        <w:t xml:space="preserve">     。（其中不含税价￥ 元，税额：￥      元）</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1.本合同采用固定</w:t>
      </w:r>
      <w:r>
        <w:rPr>
          <w:rFonts w:hint="eastAsia" w:ascii="仿宋_GB2312" w:eastAsia="仿宋_GB2312"/>
          <w:sz w:val="32"/>
          <w:szCs w:val="32"/>
          <w:lang w:val="en-US" w:eastAsia="zh-CN"/>
        </w:rPr>
        <w:t>总价</w:t>
      </w:r>
      <w:r>
        <w:rPr>
          <w:rFonts w:hint="eastAsia" w:ascii="仿宋_GB2312" w:eastAsia="仿宋_GB2312"/>
          <w:sz w:val="32"/>
          <w:szCs w:val="32"/>
          <w:lang w:eastAsia="zh-CN"/>
        </w:rPr>
        <w:t>合同，</w:t>
      </w:r>
      <w:r>
        <w:rPr>
          <w:rFonts w:hint="eastAsia" w:ascii="仿宋_GB2312" w:eastAsia="仿宋_GB2312"/>
          <w:sz w:val="32"/>
          <w:szCs w:val="32"/>
          <w:lang w:val="en-US" w:eastAsia="zh-CN"/>
        </w:rPr>
        <w:t>甲方除合同规定的金额外，不再支付任何费用</w:t>
      </w:r>
      <w:r>
        <w:rPr>
          <w:rFonts w:hint="eastAsia" w:ascii="仿宋_GB2312" w:eastAsia="仿宋_GB2312"/>
          <w:sz w:val="32"/>
          <w:szCs w:val="32"/>
          <w:lang w:eastAsia="zh-CN"/>
        </w:rPr>
        <w:t>。</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.建筑材料及半成品市场价格执行投标书中的材料单价，结算时不再作调整。</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六、质量保修期</w:t>
      </w:r>
    </w:p>
    <w:p>
      <w:pPr>
        <w:spacing w:line="460" w:lineRule="exact"/>
        <w:ind w:firstLine="640" w:firstLineChars="200"/>
        <w:textAlignment w:val="baseline"/>
        <w:rPr>
          <w:rFonts w:ascii="仿宋_GB2312" w:eastAsia="仿宋_GB2312"/>
          <w:sz w:val="32"/>
          <w:szCs w:val="32"/>
          <w:lang w:eastAsia="zh-CN"/>
        </w:rPr>
      </w:pPr>
      <w:r>
        <w:rPr>
          <w:rFonts w:hint="eastAsia" w:ascii="仿宋_GB2312" w:eastAsia="仿宋_GB2312"/>
          <w:sz w:val="32"/>
          <w:szCs w:val="32"/>
          <w:lang w:eastAsia="zh-CN"/>
        </w:rPr>
        <w:t>本工程质量保修期从工程竣工验收合格之日起计算，不得低于国家法律法规的规定的最低保修年限。对于法定保修年限低于一年的，质量保修期自工程竣工验收合格之日</w:t>
      </w:r>
      <w:r>
        <w:rPr>
          <w:rFonts w:hint="eastAsia" w:ascii="仿宋_GB2312" w:eastAsia="仿宋_GB2312"/>
          <w:sz w:val="30"/>
          <w:szCs w:val="30"/>
          <w:lang w:eastAsia="zh-CN"/>
        </w:rPr>
        <w:t>起</w:t>
      </w:r>
      <w:r>
        <w:rPr>
          <w:rFonts w:hint="eastAsia" w:eastAsia="仿宋_GB2312"/>
          <w:sz w:val="28"/>
          <w:szCs w:val="28"/>
          <w:lang w:eastAsia="zh-CN"/>
        </w:rPr>
        <w:t>12个月</w:t>
      </w:r>
      <w:r>
        <w:rPr>
          <w:rFonts w:eastAsia="仿宋_GB2312"/>
          <w:sz w:val="28"/>
          <w:szCs w:val="28"/>
          <w:lang w:eastAsia="zh-CN"/>
        </w:rPr>
        <w:t>。</w:t>
      </w:r>
      <w:r>
        <w:rPr>
          <w:rFonts w:hint="eastAsia" w:ascii="仿宋_GB2312" w:eastAsia="仿宋_GB2312"/>
          <w:sz w:val="32"/>
          <w:szCs w:val="32"/>
          <w:lang w:eastAsia="zh-CN"/>
        </w:rPr>
        <w:t>如在质量保修内出现属承包方责任的工程质量问题，承包方接到发包方书面通知后</w:t>
      </w:r>
      <w:r>
        <w:rPr>
          <w:rFonts w:hint="eastAsia" w:ascii="仿宋_GB2312" w:eastAsia="仿宋_GB2312"/>
          <w:sz w:val="32"/>
          <w:szCs w:val="32"/>
          <w:u w:val="single"/>
          <w:lang w:eastAsia="zh-CN"/>
        </w:rPr>
        <w:t>3</w:t>
      </w:r>
      <w:r>
        <w:rPr>
          <w:rFonts w:hint="eastAsia" w:ascii="仿宋_GB2312" w:eastAsia="仿宋_GB2312"/>
          <w:sz w:val="32"/>
          <w:szCs w:val="32"/>
          <w:lang w:eastAsia="zh-CN"/>
        </w:rPr>
        <w:t>天内进场免费维修。否则，发包方有权自行或委托第三方修复，所需费用从质保金中直接扣除并无须承包方确认。</w:t>
      </w:r>
    </w:p>
    <w:p>
      <w:pPr>
        <w:tabs>
          <w:tab w:val="left" w:pos="675"/>
        </w:tabs>
        <w:spacing w:line="460" w:lineRule="exact"/>
        <w:ind w:firstLine="643" w:firstLineChars="200"/>
        <w:rPr>
          <w:rFonts w:ascii="仿宋_GB2312" w:eastAsia="仿宋_GB2312"/>
          <w:b/>
          <w:bCs/>
          <w:sz w:val="32"/>
          <w:szCs w:val="32"/>
          <w:lang w:eastAsia="zh-CN"/>
        </w:rPr>
      </w:pPr>
      <w:r>
        <w:rPr>
          <w:rFonts w:hint="eastAsia" w:ascii="仿宋_GB2312" w:eastAsia="仿宋_GB2312"/>
          <w:b/>
          <w:bCs/>
          <w:sz w:val="32"/>
          <w:szCs w:val="32"/>
          <w:lang w:eastAsia="zh-CN"/>
        </w:rPr>
        <w:t>七、工程量的签证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(一)签证程序：承包方严格按照发包方的工程项目预算工程量施工，如有工程量增加的，必须经【发包方项目主管同意、驻现场工程师签字，发包方分管副总及以上人员】审批确认，否则发包方不给予结算。</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（二）签证的计算：投标单价中有相同或类似子目的，套用调整后的中标单价，合同中没有适用或类似于变更工程的价格，按《建设工程工程量清单计价规范》和</w:t>
      </w:r>
      <w:r>
        <w:rPr>
          <w:rFonts w:hint="eastAsia" w:ascii="仿宋_GB2312" w:eastAsia="仿宋_GB2312"/>
          <w:sz w:val="32"/>
          <w:szCs w:val="32"/>
          <w:u w:val="single"/>
          <w:lang w:eastAsia="zh-CN"/>
        </w:rPr>
        <w:t>【云南省德宏傣族、景颇族自治州】地区</w:t>
      </w:r>
      <w:r>
        <w:rPr>
          <w:rFonts w:hint="eastAsia" w:ascii="仿宋_GB2312" w:eastAsia="仿宋_GB2312"/>
          <w:sz w:val="32"/>
          <w:szCs w:val="32"/>
          <w:lang w:eastAsia="zh-CN"/>
        </w:rPr>
        <w:t>现行计价规则计价。签证无法按以上定额套价的，经双方洽谈后确定，并以税前独立费计取。</w:t>
      </w:r>
      <w:r>
        <w:rPr>
          <w:rFonts w:hint="eastAsia" w:ascii="仿宋_GB2312" w:eastAsia="仿宋_GB2312" w:cs="仿宋_GB2312"/>
          <w:sz w:val="32"/>
          <w:szCs w:val="32"/>
          <w:lang w:eastAsia="zh-CN"/>
        </w:rPr>
        <w:t>建筑材料及半成品市场价格执行投标书中的材料单价，结算时不再作调整。</w:t>
      </w:r>
    </w:p>
    <w:p>
      <w:pPr>
        <w:spacing w:line="460" w:lineRule="exact"/>
        <w:ind w:firstLine="643" w:firstLineChars="200"/>
        <w:textAlignment w:val="baseline"/>
        <w:rPr>
          <w:rFonts w:ascii="仿宋_GB2312" w:hAnsi="黑体" w:eastAsia="仿宋_GB2312"/>
          <w:b/>
          <w:bCs/>
          <w:sz w:val="32"/>
          <w:szCs w:val="32"/>
          <w:lang w:eastAsia="zh-CN"/>
        </w:rPr>
      </w:pPr>
      <w:r>
        <w:rPr>
          <w:rFonts w:hint="eastAsia" w:ascii="仿宋_GB2312" w:eastAsia="仿宋_GB2312"/>
          <w:b/>
          <w:bCs/>
          <w:sz w:val="32"/>
          <w:szCs w:val="32"/>
          <w:lang w:eastAsia="zh-CN"/>
        </w:rPr>
        <w:t>八、</w:t>
      </w:r>
      <w:r>
        <w:rPr>
          <w:rFonts w:hint="eastAsia" w:ascii="仿宋_GB2312" w:hAnsi="黑体" w:eastAsia="仿宋_GB2312"/>
          <w:b/>
          <w:bCs/>
          <w:sz w:val="32"/>
          <w:szCs w:val="32"/>
          <w:lang w:eastAsia="zh-CN"/>
        </w:rPr>
        <w:t>付款方式</w:t>
      </w:r>
    </w:p>
    <w:p>
      <w:pPr>
        <w:spacing w:line="460" w:lineRule="exact"/>
        <w:ind w:firstLine="475" w:firstLineChars="148"/>
        <w:textAlignment w:val="baseline"/>
        <w:rPr>
          <w:rFonts w:ascii="仿宋_GB2312" w:eastAsia="仿宋_GB2312"/>
          <w:b/>
          <w:sz w:val="32"/>
          <w:szCs w:val="32"/>
          <w:lang w:eastAsia="zh-CN"/>
        </w:rPr>
      </w:pPr>
      <w:r>
        <w:rPr>
          <w:rFonts w:hint="eastAsia" w:ascii="仿宋_GB2312" w:eastAsia="仿宋_GB2312"/>
          <w:b/>
          <w:sz w:val="32"/>
          <w:szCs w:val="32"/>
          <w:lang w:eastAsia="zh-CN"/>
        </w:rPr>
        <w:t>（一）工程款、进度款、结算款及质量保证金</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工程款均凭有效增值税（税率</w:t>
      </w:r>
      <w:r>
        <w:rPr>
          <w:rFonts w:hint="eastAsia" w:eastAsia="仿宋_GB2312"/>
          <w:bCs/>
          <w:sz w:val="32"/>
          <w:szCs w:val="32"/>
          <w:lang w:eastAsia="zh-CN"/>
        </w:rPr>
        <w:t>9</w:t>
      </w:r>
      <w:r>
        <w:rPr>
          <w:rFonts w:eastAsia="仿宋_GB2312"/>
          <w:bCs/>
          <w:sz w:val="32"/>
          <w:szCs w:val="32"/>
          <w:lang w:eastAsia="zh-CN"/>
        </w:rPr>
        <w:t>%，按照国家税法执行）专用发票付款。</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双方约定的工程款（进度款）支付方式为100</w:t>
      </w:r>
      <w:r>
        <w:rPr>
          <w:rFonts w:hint="eastAsia" w:eastAsia="仿宋_GB2312"/>
          <w:bCs/>
          <w:sz w:val="32"/>
          <w:szCs w:val="32"/>
          <w:lang w:eastAsia="zh-CN"/>
        </w:rPr>
        <w:t>%</w:t>
      </w:r>
      <w:r>
        <w:rPr>
          <w:rFonts w:eastAsia="仿宋_GB2312"/>
          <w:bCs/>
          <w:sz w:val="32"/>
          <w:szCs w:val="32"/>
          <w:lang w:eastAsia="zh-CN"/>
        </w:rPr>
        <w:t>银行转账支付。</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（一）双方签订合同后</w:t>
      </w:r>
      <w:r>
        <w:rPr>
          <w:rFonts w:hint="eastAsia" w:eastAsia="仿宋_GB2312"/>
          <w:bCs/>
          <w:sz w:val="32"/>
          <w:szCs w:val="32"/>
          <w:lang w:eastAsia="zh-CN"/>
        </w:rPr>
        <w:t>，承包人机械进场</w:t>
      </w:r>
      <w:r>
        <w:rPr>
          <w:rFonts w:eastAsia="仿宋_GB2312"/>
          <w:bCs/>
          <w:sz w:val="32"/>
          <w:szCs w:val="32"/>
          <w:lang w:eastAsia="zh-CN"/>
        </w:rPr>
        <w:t>30个工作日内</w:t>
      </w:r>
      <w:r>
        <w:rPr>
          <w:rFonts w:hint="eastAsia" w:eastAsia="仿宋_GB2312"/>
          <w:bCs/>
          <w:sz w:val="32"/>
          <w:szCs w:val="32"/>
          <w:lang w:eastAsia="zh-CN"/>
        </w:rPr>
        <w:t>，</w:t>
      </w:r>
      <w:r>
        <w:rPr>
          <w:rFonts w:eastAsia="仿宋_GB2312"/>
          <w:bCs/>
          <w:sz w:val="32"/>
          <w:szCs w:val="32"/>
          <w:lang w:eastAsia="zh-CN"/>
        </w:rPr>
        <w:t>支付合同总额</w:t>
      </w:r>
      <w:r>
        <w:rPr>
          <w:rFonts w:hint="eastAsia" w:eastAsia="仿宋_GB2312"/>
          <w:bCs/>
          <w:sz w:val="32"/>
          <w:szCs w:val="32"/>
          <w:lang w:eastAsia="zh-CN"/>
        </w:rPr>
        <w:t>20%的</w:t>
      </w:r>
      <w:r>
        <w:rPr>
          <w:rFonts w:eastAsia="仿宋_GB2312"/>
          <w:bCs/>
          <w:sz w:val="32"/>
          <w:szCs w:val="32"/>
          <w:lang w:eastAsia="zh-CN"/>
        </w:rPr>
        <w:t>工程款</w:t>
      </w:r>
      <w:r>
        <w:rPr>
          <w:rFonts w:hint="eastAsia" w:eastAsia="仿宋_GB2312"/>
          <w:bCs/>
          <w:sz w:val="32"/>
          <w:szCs w:val="32"/>
          <w:lang w:eastAsia="zh-CN"/>
        </w:rPr>
        <w:t>。</w:t>
      </w:r>
    </w:p>
    <w:p>
      <w:pPr>
        <w:spacing w:line="440" w:lineRule="exact"/>
        <w:ind w:firstLine="640" w:firstLineChars="200"/>
        <w:rPr>
          <w:rFonts w:eastAsia="仿宋_GB2312"/>
          <w:bCs/>
          <w:sz w:val="32"/>
          <w:szCs w:val="32"/>
          <w:lang w:eastAsia="zh-CN"/>
        </w:rPr>
      </w:pPr>
      <w:r>
        <w:rPr>
          <w:rFonts w:eastAsia="仿宋_GB2312"/>
          <w:bCs/>
          <w:sz w:val="32"/>
          <w:szCs w:val="32"/>
          <w:lang w:eastAsia="zh-CN"/>
        </w:rPr>
        <w:t>（二）工程竣工验收合格</w:t>
      </w:r>
      <w:r>
        <w:rPr>
          <w:rFonts w:hint="eastAsia" w:eastAsia="仿宋_GB2312"/>
          <w:bCs/>
          <w:sz w:val="32"/>
          <w:szCs w:val="32"/>
          <w:lang w:eastAsia="zh-CN"/>
        </w:rPr>
        <w:t>后，凭乙方开具的7</w:t>
      </w:r>
      <w:r>
        <w:rPr>
          <w:rFonts w:eastAsia="仿宋_GB2312"/>
          <w:bCs/>
          <w:sz w:val="32"/>
          <w:szCs w:val="32"/>
          <w:lang w:eastAsia="zh-CN"/>
        </w:rPr>
        <w:t>0</w:t>
      </w:r>
      <w:r>
        <w:rPr>
          <w:rFonts w:hint="eastAsia" w:eastAsia="仿宋_GB2312"/>
          <w:bCs/>
          <w:sz w:val="32"/>
          <w:szCs w:val="32"/>
          <w:lang w:eastAsia="zh-CN"/>
        </w:rPr>
        <w:t>%增值税专用发票，</w:t>
      </w:r>
      <w:r>
        <w:rPr>
          <w:rFonts w:eastAsia="仿宋_GB2312"/>
          <w:bCs/>
          <w:sz w:val="32"/>
          <w:szCs w:val="32"/>
          <w:lang w:eastAsia="zh-CN"/>
        </w:rPr>
        <w:t>30个工作日内支付工程款至结算总金额的70%，</w:t>
      </w:r>
    </w:p>
    <w:p>
      <w:pPr>
        <w:spacing w:line="440" w:lineRule="exact"/>
        <w:ind w:firstLine="640" w:firstLineChars="200"/>
        <w:rPr>
          <w:rFonts w:eastAsia="仿宋_GB2312"/>
          <w:bCs/>
          <w:sz w:val="32"/>
          <w:szCs w:val="32"/>
          <w:lang w:eastAsia="zh-CN"/>
        </w:rPr>
      </w:pPr>
      <w:r>
        <w:rPr>
          <w:rFonts w:hint="eastAsia" w:eastAsia="仿宋_GB2312"/>
          <w:bCs/>
          <w:sz w:val="32"/>
          <w:szCs w:val="32"/>
          <w:lang w:eastAsia="zh-CN"/>
        </w:rPr>
        <w:t>（三）</w:t>
      </w:r>
      <w:r>
        <w:rPr>
          <w:rFonts w:eastAsia="仿宋_GB2312"/>
          <w:bCs/>
          <w:sz w:val="32"/>
          <w:szCs w:val="32"/>
          <w:lang w:eastAsia="zh-CN"/>
        </w:rPr>
        <w:t>待发包人最终结算后，</w:t>
      </w:r>
      <w:r>
        <w:rPr>
          <w:rFonts w:hint="eastAsia" w:eastAsia="仿宋_GB2312"/>
          <w:bCs/>
          <w:sz w:val="32"/>
          <w:szCs w:val="32"/>
          <w:lang w:eastAsia="zh-CN"/>
        </w:rPr>
        <w:t>凭乙方开具的</w:t>
      </w:r>
      <w:r>
        <w:rPr>
          <w:rFonts w:eastAsia="仿宋_GB2312"/>
          <w:bCs/>
          <w:sz w:val="32"/>
          <w:szCs w:val="32"/>
          <w:lang w:eastAsia="zh-CN"/>
        </w:rPr>
        <w:t>30</w:t>
      </w:r>
      <w:r>
        <w:rPr>
          <w:rFonts w:hint="eastAsia" w:eastAsia="仿宋_GB2312"/>
          <w:bCs/>
          <w:sz w:val="32"/>
          <w:szCs w:val="32"/>
          <w:lang w:eastAsia="zh-CN"/>
        </w:rPr>
        <w:t>%增值税专用发票，</w:t>
      </w:r>
      <w:r>
        <w:rPr>
          <w:rFonts w:eastAsia="仿宋_GB2312"/>
          <w:bCs/>
          <w:sz w:val="32"/>
          <w:szCs w:val="32"/>
          <w:lang w:eastAsia="zh-CN"/>
        </w:rPr>
        <w:t>支付款至结算总金额的9</w:t>
      </w:r>
      <w:r>
        <w:rPr>
          <w:rFonts w:hint="eastAsia" w:eastAsia="仿宋_GB2312"/>
          <w:bCs/>
          <w:sz w:val="32"/>
          <w:szCs w:val="32"/>
          <w:lang w:eastAsia="zh-CN"/>
        </w:rPr>
        <w:t>7</w:t>
      </w:r>
      <w:r>
        <w:rPr>
          <w:rFonts w:eastAsia="仿宋_GB2312"/>
          <w:bCs/>
          <w:sz w:val="32"/>
          <w:szCs w:val="32"/>
          <w:lang w:eastAsia="zh-CN"/>
        </w:rPr>
        <w:t>%。</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四</w:t>
      </w:r>
      <w:r>
        <w:rPr>
          <w:rFonts w:eastAsia="仿宋_GB2312"/>
          <w:bCs/>
          <w:sz w:val="32"/>
          <w:szCs w:val="32"/>
          <w:lang w:eastAsia="zh-CN"/>
        </w:rPr>
        <w:t>）结算总金额的</w:t>
      </w:r>
      <w:r>
        <w:rPr>
          <w:rFonts w:hint="eastAsia" w:eastAsia="仿宋_GB2312"/>
          <w:bCs/>
          <w:sz w:val="32"/>
          <w:szCs w:val="32"/>
          <w:lang w:eastAsia="zh-CN"/>
        </w:rPr>
        <w:t>3</w:t>
      </w:r>
      <w:r>
        <w:rPr>
          <w:rFonts w:eastAsia="仿宋_GB2312"/>
          <w:bCs/>
          <w:sz w:val="32"/>
          <w:szCs w:val="32"/>
          <w:lang w:eastAsia="zh-CN"/>
        </w:rPr>
        <w:t>%作为工程质量保修金，质保期满</w:t>
      </w:r>
      <w:r>
        <w:rPr>
          <w:rFonts w:hint="eastAsia" w:eastAsia="仿宋_GB2312"/>
          <w:bCs/>
          <w:sz w:val="32"/>
          <w:szCs w:val="32"/>
          <w:lang w:eastAsia="zh-CN"/>
        </w:rPr>
        <w:t>（竣工验收后1</w:t>
      </w:r>
      <w:r>
        <w:rPr>
          <w:rFonts w:eastAsia="仿宋_GB2312"/>
          <w:bCs/>
          <w:sz w:val="32"/>
          <w:szCs w:val="32"/>
          <w:lang w:eastAsia="zh-CN"/>
        </w:rPr>
        <w:t>2</w:t>
      </w:r>
      <w:r>
        <w:rPr>
          <w:rFonts w:hint="eastAsia" w:eastAsia="仿宋_GB2312"/>
          <w:bCs/>
          <w:sz w:val="32"/>
          <w:szCs w:val="32"/>
          <w:lang w:eastAsia="zh-CN"/>
        </w:rPr>
        <w:t>个月）</w:t>
      </w:r>
      <w:r>
        <w:rPr>
          <w:rFonts w:eastAsia="仿宋_GB2312"/>
          <w:bCs/>
          <w:sz w:val="32"/>
          <w:szCs w:val="32"/>
          <w:lang w:eastAsia="zh-CN"/>
        </w:rPr>
        <w:t>验收无质量问题，30个工作日内一次性无息付清。</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（四）工程结算总金额，以甲方委托有相应资质的审计公司审计结算为准。</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w:t>
      </w:r>
      <w:r>
        <w:rPr>
          <w:rFonts w:eastAsia="仿宋_GB2312"/>
          <w:bCs/>
          <w:sz w:val="32"/>
          <w:szCs w:val="32"/>
          <w:lang w:eastAsia="zh-CN"/>
        </w:rPr>
        <w:t>五</w:t>
      </w:r>
      <w:r>
        <w:rPr>
          <w:rFonts w:hint="eastAsia" w:eastAsia="仿宋_GB2312"/>
          <w:bCs/>
          <w:sz w:val="32"/>
          <w:szCs w:val="32"/>
          <w:lang w:eastAsia="zh-CN"/>
        </w:rPr>
        <w:t>）</w:t>
      </w:r>
      <w:r>
        <w:rPr>
          <w:rFonts w:eastAsia="仿宋_GB2312"/>
          <w:bCs/>
          <w:sz w:val="32"/>
          <w:szCs w:val="32"/>
          <w:lang w:eastAsia="zh-CN"/>
        </w:rPr>
        <w:t>施工单位应对其编制的竣工结算书准确性负责，如竣工结算审计核减率高于</w:t>
      </w:r>
      <w:r>
        <w:rPr>
          <w:rFonts w:hint="eastAsia" w:eastAsia="仿宋_GB2312"/>
          <w:bCs/>
          <w:sz w:val="32"/>
          <w:szCs w:val="32"/>
          <w:lang w:eastAsia="zh-CN"/>
        </w:rPr>
        <w:t>5</w:t>
      </w:r>
      <w:r>
        <w:rPr>
          <w:rFonts w:eastAsia="仿宋_GB2312"/>
          <w:bCs/>
          <w:sz w:val="32"/>
          <w:szCs w:val="32"/>
          <w:lang w:eastAsia="zh-CN"/>
        </w:rPr>
        <w:t>%的，超出</w:t>
      </w:r>
      <w:r>
        <w:rPr>
          <w:rFonts w:hint="eastAsia" w:eastAsia="仿宋_GB2312"/>
          <w:bCs/>
          <w:sz w:val="32"/>
          <w:szCs w:val="32"/>
          <w:lang w:eastAsia="zh-CN"/>
        </w:rPr>
        <w:t>5</w:t>
      </w:r>
      <w:r>
        <w:rPr>
          <w:rFonts w:eastAsia="仿宋_GB2312"/>
          <w:bCs/>
          <w:sz w:val="32"/>
          <w:szCs w:val="32"/>
          <w:lang w:eastAsia="zh-CN"/>
        </w:rPr>
        <w:t>%部分的审计费用由施工单位负责。</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（六）履约保证金的交付及退还</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1、履约保证金为合同总价的5%，金额：（人民币大写）</w:t>
      </w:r>
    </w:p>
    <w:p>
      <w:pPr>
        <w:adjustRightInd w:val="0"/>
        <w:snapToGrid w:val="0"/>
        <w:spacing w:line="500" w:lineRule="exact"/>
        <w:ind w:firstLine="640" w:firstLineChars="200"/>
        <w:rPr>
          <w:rFonts w:ascii="仿宋_GB2312" w:eastAsia="仿宋_GB2312"/>
          <w:sz w:val="32"/>
          <w:szCs w:val="32"/>
          <w:lang w:eastAsia="zh-CN"/>
        </w:rPr>
      </w:pPr>
      <w:r>
        <w:rPr>
          <w:rFonts w:hint="eastAsia" w:eastAsia="仿宋_GB2312"/>
          <w:bCs/>
          <w:sz w:val="32"/>
          <w:szCs w:val="32"/>
          <w:u w:val="single"/>
          <w:lang w:eastAsia="zh-CN"/>
        </w:rPr>
        <w:t>（¥：元）。</w:t>
      </w:r>
      <w:r>
        <w:rPr>
          <w:rFonts w:hint="eastAsia" w:eastAsia="仿宋_GB2312"/>
          <w:bCs/>
          <w:sz w:val="32"/>
          <w:szCs w:val="32"/>
          <w:lang w:eastAsia="zh-CN"/>
        </w:rPr>
        <w:t>正式签订本合同后乙方的投标保证金（</w:t>
      </w:r>
      <w:r>
        <w:rPr>
          <w:rFonts w:hint="eastAsia" w:eastAsia="仿宋_GB2312"/>
          <w:bCs/>
          <w:sz w:val="32"/>
          <w:szCs w:val="32"/>
          <w:u w:val="single"/>
          <w:lang w:eastAsia="zh-CN"/>
        </w:rPr>
        <w:t>¥：元</w:t>
      </w:r>
      <w:r>
        <w:rPr>
          <w:rFonts w:hint="eastAsia" w:eastAsia="仿宋_GB2312"/>
          <w:bCs/>
          <w:sz w:val="32"/>
          <w:szCs w:val="32"/>
          <w:lang w:eastAsia="zh-CN"/>
        </w:rPr>
        <w:t>）自动转为合同履约保证金的一部分，不足额：</w:t>
      </w:r>
      <w:r>
        <w:rPr>
          <w:rFonts w:hint="eastAsia" w:eastAsia="仿宋_GB2312"/>
          <w:bCs/>
          <w:sz w:val="32"/>
          <w:szCs w:val="32"/>
          <w:u w:val="single"/>
          <w:lang w:eastAsia="zh-CN"/>
        </w:rPr>
        <w:t>（¥：元）</w:t>
      </w:r>
      <w:r>
        <w:rPr>
          <w:rFonts w:hint="eastAsia" w:eastAsia="仿宋_GB2312"/>
          <w:bCs/>
          <w:sz w:val="32"/>
          <w:szCs w:val="32"/>
          <w:lang w:eastAsia="zh-CN"/>
        </w:rPr>
        <w:t>乙方必须于收到中标通知书后至签订合同之前向甲方缴纳。工程竣工并验收合格后，甲方于15个工作日内将全额履约保证金无息退还给乙方。</w:t>
      </w:r>
    </w:p>
    <w:p>
      <w:pPr>
        <w:adjustRightInd w:val="0"/>
        <w:snapToGrid w:val="0"/>
        <w:spacing w:line="44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2、合同生效的前提条件是承包方向发包方缴纳足额履约保证金。</w:t>
      </w:r>
    </w:p>
    <w:p>
      <w:pPr>
        <w:adjustRightInd w:val="0"/>
        <w:snapToGrid w:val="0"/>
        <w:spacing w:line="440" w:lineRule="exact"/>
        <w:ind w:firstLine="640" w:firstLineChars="20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、具备以下条件时，甲方在30个工作日内支付结算款：</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.1全部工程竣工验收报告。</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.2甲方收到乙方提交结算资料之日起15天内审核后，由甲方委托具有工程造价咨询资质的审核机构审核，审核机构收到上述的结算资料3个月内给予审定后经三方核对签字确认后作为结算的依据。</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.3乙方的结算申请书。</w:t>
      </w:r>
    </w:p>
    <w:p>
      <w:pPr>
        <w:adjustRightInd w:val="0"/>
        <w:snapToGrid w:val="0"/>
        <w:spacing w:line="440" w:lineRule="exact"/>
        <w:ind w:firstLine="800" w:firstLineChars="250"/>
        <w:rPr>
          <w:rFonts w:eastAsia="仿宋_GB2312"/>
          <w:bCs/>
          <w:sz w:val="32"/>
          <w:szCs w:val="32"/>
          <w:lang w:eastAsia="zh-CN"/>
        </w:rPr>
      </w:pPr>
      <w:r>
        <w:rPr>
          <w:rFonts w:hint="eastAsia" w:eastAsia="仿宋_GB2312"/>
          <w:bCs/>
          <w:sz w:val="32"/>
          <w:szCs w:val="32"/>
          <w:lang w:eastAsia="zh-CN"/>
        </w:rPr>
        <w:t>3</w:t>
      </w:r>
      <w:r>
        <w:rPr>
          <w:rFonts w:eastAsia="仿宋_GB2312"/>
          <w:bCs/>
          <w:sz w:val="32"/>
          <w:szCs w:val="32"/>
          <w:lang w:eastAsia="zh-CN"/>
        </w:rPr>
        <w:t>.4结算款和工程质量保修金同等金额的有效发票。</w:t>
      </w:r>
    </w:p>
    <w:p>
      <w:pPr>
        <w:tabs>
          <w:tab w:val="left" w:pos="675"/>
        </w:tabs>
        <w:spacing w:line="440" w:lineRule="exact"/>
        <w:ind w:firstLine="640" w:firstLineChars="200"/>
        <w:rPr>
          <w:rFonts w:eastAsia="仿宋_GB2312"/>
          <w:bCs/>
          <w:sz w:val="32"/>
          <w:szCs w:val="32"/>
          <w:lang w:eastAsia="zh-CN"/>
        </w:rPr>
      </w:pPr>
      <w:r>
        <w:rPr>
          <w:rFonts w:eastAsia="仿宋_GB2312"/>
          <w:bCs/>
          <w:sz w:val="32"/>
          <w:szCs w:val="32"/>
          <w:lang w:eastAsia="zh-CN"/>
        </w:rPr>
        <w:t>（</w:t>
      </w:r>
      <w:r>
        <w:rPr>
          <w:rFonts w:hint="eastAsia" w:eastAsia="仿宋_GB2312"/>
          <w:bCs/>
          <w:sz w:val="32"/>
          <w:szCs w:val="32"/>
          <w:lang w:eastAsia="zh-CN"/>
        </w:rPr>
        <w:t>七</w:t>
      </w:r>
      <w:r>
        <w:rPr>
          <w:rFonts w:eastAsia="仿宋_GB2312"/>
          <w:bCs/>
          <w:sz w:val="32"/>
          <w:szCs w:val="32"/>
          <w:lang w:eastAsia="zh-CN"/>
        </w:rPr>
        <w:t>）工程质量保证金</w:t>
      </w:r>
    </w:p>
    <w:p>
      <w:pPr>
        <w:adjustRightInd w:val="0"/>
        <w:snapToGrid w:val="0"/>
        <w:spacing w:line="440" w:lineRule="exact"/>
        <w:ind w:firstLine="800" w:firstLineChars="250"/>
        <w:rPr>
          <w:rFonts w:eastAsia="仿宋_GB2312"/>
          <w:bCs/>
          <w:color w:val="FF0000"/>
          <w:sz w:val="32"/>
          <w:szCs w:val="32"/>
          <w:lang w:eastAsia="zh-CN"/>
        </w:rPr>
      </w:pPr>
      <w:r>
        <w:rPr>
          <w:rFonts w:eastAsia="仿宋_GB2312"/>
          <w:bCs/>
          <w:color w:val="FF0000"/>
          <w:sz w:val="32"/>
          <w:szCs w:val="32"/>
          <w:lang w:eastAsia="zh-CN"/>
        </w:rPr>
        <w:t>结算总金额</w:t>
      </w:r>
      <w:r>
        <w:rPr>
          <w:rFonts w:hint="eastAsia" w:eastAsia="仿宋_GB2312"/>
          <w:bCs/>
          <w:color w:val="FF0000"/>
          <w:sz w:val="32"/>
          <w:szCs w:val="32"/>
          <w:lang w:eastAsia="zh-CN"/>
        </w:rPr>
        <w:t>3</w:t>
      </w:r>
      <w:r>
        <w:rPr>
          <w:rFonts w:eastAsia="仿宋_GB2312"/>
          <w:bCs/>
          <w:color w:val="FF0000"/>
          <w:sz w:val="32"/>
          <w:szCs w:val="32"/>
          <w:lang w:eastAsia="zh-CN"/>
        </w:rPr>
        <w:t>%款项作为质保金，质保期内无质量问题，于质保期满20个工作日内一次无息付清。详见附件《工程质量缺陷保修书》。</w:t>
      </w:r>
    </w:p>
    <w:p>
      <w:pPr>
        <w:spacing w:line="500" w:lineRule="exact"/>
        <w:ind w:firstLine="800" w:firstLineChars="250"/>
        <w:rPr>
          <w:rFonts w:ascii="仿宋_GB2312" w:eastAsia="仿宋_GB2312"/>
          <w:sz w:val="32"/>
          <w:szCs w:val="32"/>
          <w:lang w:eastAsia="zh-CN"/>
        </w:rPr>
      </w:pP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九、双方责任和义务</w:t>
      </w:r>
    </w:p>
    <w:p>
      <w:pPr>
        <w:spacing w:line="440" w:lineRule="exact"/>
        <w:ind w:firstLine="643" w:firstLineChars="200"/>
        <w:rPr>
          <w:rFonts w:eastAsia="仿宋_GB2312"/>
          <w:b/>
          <w:sz w:val="32"/>
          <w:szCs w:val="32"/>
          <w:lang w:eastAsia="zh-CN"/>
        </w:rPr>
      </w:pPr>
      <w:r>
        <w:rPr>
          <w:rFonts w:eastAsia="仿宋_GB2312"/>
          <w:b/>
          <w:sz w:val="32"/>
          <w:szCs w:val="32"/>
          <w:lang w:eastAsia="zh-CN"/>
        </w:rPr>
        <w:t>（一）乙方的责任和义务：</w:t>
      </w:r>
    </w:p>
    <w:p>
      <w:pPr>
        <w:spacing w:line="440" w:lineRule="exact"/>
        <w:ind w:firstLine="640" w:firstLineChars="200"/>
        <w:rPr>
          <w:rFonts w:eastAsia="仿宋_GB2312"/>
          <w:bCs/>
          <w:sz w:val="32"/>
          <w:szCs w:val="32"/>
          <w:lang w:eastAsia="zh-CN"/>
        </w:rPr>
      </w:pPr>
      <w:r>
        <w:rPr>
          <w:rFonts w:eastAsia="仿宋_GB2312"/>
          <w:bCs/>
          <w:sz w:val="32"/>
          <w:szCs w:val="32"/>
          <w:lang w:eastAsia="zh-CN"/>
        </w:rPr>
        <w:t>1、按甲方要求保证施工人数，各施工节点施工人数以甲方书面通知为准。乙方必须为所有现场施工人员购买工伤保险或雇主责任保险（保额</w:t>
      </w:r>
      <w:r>
        <w:rPr>
          <w:rFonts w:hint="eastAsia" w:eastAsia="仿宋_GB2312"/>
          <w:bCs/>
          <w:sz w:val="32"/>
          <w:szCs w:val="32"/>
          <w:lang w:eastAsia="zh-CN"/>
        </w:rPr>
        <w:t>100</w:t>
      </w:r>
      <w:r>
        <w:rPr>
          <w:rFonts w:eastAsia="仿宋_GB2312"/>
          <w:bCs/>
          <w:sz w:val="32"/>
          <w:szCs w:val="32"/>
          <w:lang w:eastAsia="zh-CN"/>
        </w:rPr>
        <w:t>万元以上）</w:t>
      </w:r>
      <w:r>
        <w:rPr>
          <w:rFonts w:hint="eastAsia" w:eastAsia="仿宋_GB2312"/>
          <w:bCs/>
          <w:sz w:val="32"/>
          <w:szCs w:val="32"/>
          <w:lang w:eastAsia="zh-CN"/>
        </w:rPr>
        <w:t>并提供入场人员健康体检报告</w:t>
      </w:r>
      <w:r>
        <w:rPr>
          <w:rFonts w:eastAsia="仿宋_GB2312"/>
          <w:bCs/>
          <w:sz w:val="32"/>
          <w:szCs w:val="32"/>
          <w:lang w:eastAsia="zh-CN"/>
        </w:rPr>
        <w:t>, 并自负一切安全问题责任。</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2、合同要求按期、按质、按量完成工程。</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3、按甲方提供的施工进度节点要求完成工程。</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4、施工过程中，发现有错漏或不合理的，应及时向甲方报告并提出解决方案，经协商一致后由甲方确认方可进行施工。</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5、遵守工程建设安全生产有关管理规定，严格按安全标准组织施工，采取必要的安全防护措施，消除事故隐患，并随时接受甲方安全检查人员的监督检查，如有违反，</w:t>
      </w:r>
      <w:r>
        <w:rPr>
          <w:rFonts w:hint="eastAsia" w:eastAsia="仿宋_GB2312"/>
          <w:bCs/>
          <w:sz w:val="32"/>
          <w:szCs w:val="32"/>
          <w:lang w:val="en-US" w:eastAsia="zh-CN"/>
        </w:rPr>
        <w:t>按安全协议相关条款执行</w:t>
      </w:r>
      <w:r>
        <w:rPr>
          <w:rFonts w:eastAsia="仿宋_GB2312"/>
          <w:bCs/>
          <w:sz w:val="32"/>
          <w:szCs w:val="32"/>
          <w:lang w:eastAsia="zh-CN"/>
        </w:rPr>
        <w:t>，甲方有权从工程款中扣除；如因乙方原因导致的安全事故和由此发生的费用，全部由乙方承担，造成甲方各种设施损坏的，则负责修复或赔偿。</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6、遵守甲方的规章制度，安全、文明施工，妥善保护好施工现场周围建筑物及设备，做好施工现场的清理工作，如乙方原因引起甲方财产受损，必须无偿修复或照价赔偿。</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7、由于施工现场为多方人员交叉施工，乙方必须听从甲方的协调，根据需要合理调整施工先后顺序。</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8、遵守甲方各项管理制度，如有违反按甲方的有关规定进行处理，罚款从工程款中扣除。</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9、按时支付民工费用，不能因乙方的原因影响甲方的声誉。</w:t>
      </w:r>
    </w:p>
    <w:p>
      <w:pPr>
        <w:adjustRightInd w:val="0"/>
        <w:snapToGrid w:val="0"/>
        <w:spacing w:line="440" w:lineRule="exact"/>
        <w:ind w:firstLine="640" w:firstLineChars="200"/>
        <w:rPr>
          <w:rFonts w:eastAsia="仿宋_GB2312"/>
          <w:bCs/>
          <w:sz w:val="32"/>
          <w:szCs w:val="32"/>
          <w:lang w:eastAsia="zh-CN"/>
        </w:rPr>
      </w:pPr>
      <w:r>
        <w:rPr>
          <w:rFonts w:eastAsia="仿宋_GB2312"/>
          <w:bCs/>
          <w:sz w:val="32"/>
          <w:szCs w:val="32"/>
          <w:lang w:eastAsia="zh-CN"/>
        </w:rPr>
        <w:t>10、遵守政府有关主管部门对施工场地交通、施工噪音及环境保护和安全生产等的管理规定，做到文明施工，施工场地整洁卫生。</w:t>
      </w:r>
    </w:p>
    <w:p>
      <w:pPr>
        <w:spacing w:line="440" w:lineRule="exact"/>
        <w:ind w:firstLine="640" w:firstLineChars="200"/>
        <w:textAlignment w:val="baseline"/>
        <w:rPr>
          <w:rFonts w:eastAsia="仿宋_GB2312"/>
          <w:bCs/>
          <w:sz w:val="32"/>
          <w:szCs w:val="32"/>
          <w:lang w:eastAsia="zh-CN"/>
        </w:rPr>
      </w:pPr>
      <w:r>
        <w:rPr>
          <w:rFonts w:eastAsia="仿宋_GB2312"/>
          <w:bCs/>
          <w:sz w:val="32"/>
          <w:szCs w:val="32"/>
          <w:lang w:eastAsia="zh-CN"/>
        </w:rPr>
        <w:t>11、负责施工现场的卫生清洁。负责各种建筑垃圾拉出厂外堆放，场地由乙方自行解决，堆放场地发生的费用由乙方负责。</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12、乙方的食、宿自理。</w:t>
      </w:r>
    </w:p>
    <w:p>
      <w:pPr>
        <w:spacing w:line="400" w:lineRule="exact"/>
        <w:ind w:firstLine="630" w:firstLineChars="196"/>
        <w:textAlignment w:val="baseline"/>
        <w:rPr>
          <w:rFonts w:eastAsia="仿宋_GB2312"/>
          <w:b/>
          <w:sz w:val="32"/>
          <w:szCs w:val="32"/>
          <w:lang w:eastAsia="zh-CN"/>
        </w:rPr>
      </w:pPr>
      <w:r>
        <w:rPr>
          <w:rFonts w:eastAsia="仿宋_GB2312"/>
          <w:b/>
          <w:sz w:val="32"/>
          <w:szCs w:val="32"/>
          <w:lang w:eastAsia="zh-CN"/>
        </w:rPr>
        <w:t>（二）甲方的责任和义务：</w:t>
      </w:r>
    </w:p>
    <w:p>
      <w:pPr>
        <w:spacing w:line="400" w:lineRule="exact"/>
        <w:ind w:firstLine="640" w:firstLineChars="200"/>
        <w:textAlignment w:val="baseline"/>
        <w:rPr>
          <w:rFonts w:eastAsia="仿宋_GB2312"/>
          <w:bCs/>
          <w:sz w:val="32"/>
          <w:szCs w:val="32"/>
          <w:lang w:eastAsia="zh-CN"/>
        </w:rPr>
      </w:pPr>
      <w:r>
        <w:rPr>
          <w:rFonts w:eastAsia="仿宋_GB2312"/>
          <w:bCs/>
          <w:sz w:val="32"/>
          <w:szCs w:val="32"/>
          <w:lang w:eastAsia="zh-CN"/>
        </w:rPr>
        <w:t>1、按合同规定时间支付工程款；</w:t>
      </w:r>
    </w:p>
    <w:p>
      <w:pPr>
        <w:spacing w:line="400" w:lineRule="exact"/>
        <w:ind w:firstLine="640" w:firstLineChars="200"/>
        <w:textAlignment w:val="baseline"/>
        <w:rPr>
          <w:rFonts w:ascii="仿宋_GB2312" w:eastAsia="仿宋_GB2312"/>
          <w:sz w:val="32"/>
          <w:szCs w:val="32"/>
          <w:lang w:eastAsia="zh-CN"/>
        </w:rPr>
      </w:pPr>
      <w:r>
        <w:rPr>
          <w:rFonts w:eastAsia="仿宋_GB2312"/>
          <w:bCs/>
          <w:sz w:val="32"/>
          <w:szCs w:val="32"/>
          <w:lang w:eastAsia="zh-CN"/>
        </w:rPr>
        <w:t>2、</w:t>
      </w:r>
      <w:r>
        <w:rPr>
          <w:rFonts w:hint="eastAsia" w:eastAsia="仿宋_GB2312"/>
          <w:bCs/>
          <w:sz w:val="32"/>
          <w:szCs w:val="32"/>
          <w:lang w:eastAsia="zh-CN"/>
        </w:rPr>
        <w:t>乙方在甲方厂内施工时，甲方</w:t>
      </w:r>
      <w:r>
        <w:rPr>
          <w:rFonts w:eastAsia="仿宋_GB2312"/>
          <w:bCs/>
          <w:sz w:val="32"/>
          <w:szCs w:val="32"/>
          <w:lang w:eastAsia="zh-CN"/>
        </w:rPr>
        <w:t>无偿提供工程所需要的水、电。</w:t>
      </w:r>
      <w:r>
        <w:rPr>
          <w:rFonts w:hint="eastAsia" w:ascii="仿宋_GB2312" w:eastAsia="仿宋_GB2312"/>
          <w:sz w:val="32"/>
          <w:szCs w:val="32"/>
          <w:lang w:eastAsia="zh-CN"/>
        </w:rPr>
        <w:t xml:space="preserve">                                                                                       </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十、违约责任</w:t>
      </w:r>
    </w:p>
    <w:p>
      <w:pPr>
        <w:spacing w:line="460" w:lineRule="exact"/>
        <w:ind w:firstLine="602" w:firstLineChars="200"/>
        <w:textAlignment w:val="baseline"/>
        <w:rPr>
          <w:rFonts w:ascii="仿宋_GB2312" w:eastAsia="仿宋_GB2312"/>
          <w:b/>
          <w:sz w:val="32"/>
          <w:szCs w:val="32"/>
          <w:lang w:eastAsia="zh-CN"/>
        </w:rPr>
      </w:pPr>
      <w:r>
        <w:rPr>
          <w:rFonts w:hint="eastAsia" w:ascii="仿宋_GB2312" w:eastAsia="仿宋_GB2312"/>
          <w:b/>
          <w:sz w:val="30"/>
          <w:szCs w:val="30"/>
          <w:lang w:eastAsia="zh-CN"/>
        </w:rPr>
        <w:t xml:space="preserve"> （一）</w:t>
      </w:r>
      <w:r>
        <w:rPr>
          <w:rFonts w:hint="eastAsia" w:ascii="仿宋_GB2312" w:eastAsia="仿宋_GB2312"/>
          <w:b/>
          <w:sz w:val="32"/>
          <w:szCs w:val="32"/>
          <w:lang w:eastAsia="zh-CN"/>
        </w:rPr>
        <w:t>发包方的违约责任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1.不按合同约定的时间支付相应款项，每逾期一天按当笔应付款的</w:t>
      </w:r>
      <w:r>
        <w:rPr>
          <w:rFonts w:hint="eastAsia" w:ascii="仿宋_GB2312" w:eastAsia="仿宋_GB2312"/>
          <w:sz w:val="32"/>
          <w:szCs w:val="32"/>
          <w:u w:val="single"/>
          <w:lang w:eastAsia="zh-CN"/>
        </w:rPr>
        <w:t>XX</w:t>
      </w:r>
      <w:r>
        <w:rPr>
          <w:rFonts w:hint="eastAsia" w:ascii="仿宋_GB2312" w:eastAsia="仿宋_GB2312"/>
          <w:sz w:val="32"/>
          <w:szCs w:val="32"/>
          <w:lang w:eastAsia="zh-CN"/>
        </w:rPr>
        <w:t>‰支付给承包方作为补偿，工期相应顺延。</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 因发包方原因造成工期延误，承包方有权按延误的时间顺延工期。</w:t>
      </w:r>
    </w:p>
    <w:p>
      <w:pPr>
        <w:spacing w:line="460" w:lineRule="exact"/>
        <w:ind w:firstLine="643" w:firstLineChars="200"/>
        <w:textAlignment w:val="baseline"/>
        <w:rPr>
          <w:rFonts w:ascii="仿宋_GB2312" w:eastAsia="仿宋_GB2312"/>
          <w:b/>
          <w:sz w:val="32"/>
          <w:szCs w:val="32"/>
          <w:lang w:eastAsia="zh-CN"/>
        </w:rPr>
      </w:pPr>
      <w:r>
        <w:rPr>
          <w:rFonts w:hint="eastAsia" w:ascii="仿宋_GB2312" w:eastAsia="仿宋_GB2312"/>
          <w:b/>
          <w:sz w:val="32"/>
          <w:szCs w:val="32"/>
          <w:lang w:eastAsia="zh-CN"/>
        </w:rPr>
        <w:t>（二）承包方的违约行为及责任</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1.承包方有违约情形的，已完成的工程量不予结算，如已支付预付款的，承包方必须全额退回已支付的预付款,协议解除。</w:t>
      </w:r>
    </w:p>
    <w:p>
      <w:pPr>
        <w:adjustRightInd w:val="0"/>
        <w:snapToGrid w:val="0"/>
        <w:spacing w:line="460" w:lineRule="exact"/>
        <w:ind w:firstLine="640" w:firstLineChars="200"/>
        <w:rPr>
          <w:rFonts w:eastAsia="仿宋_GB2312"/>
          <w:bCs/>
          <w:sz w:val="32"/>
          <w:szCs w:val="32"/>
          <w:lang w:eastAsia="zh-CN"/>
        </w:rPr>
      </w:pPr>
      <w:r>
        <w:rPr>
          <w:rFonts w:hint="eastAsia" w:ascii="仿宋_GB2312" w:eastAsia="仿宋_GB2312"/>
          <w:sz w:val="32"/>
          <w:szCs w:val="32"/>
          <w:lang w:eastAsia="zh-CN"/>
        </w:rPr>
        <w:t>2.工程逾期责任：若因承包方原因，</w:t>
      </w:r>
      <w:r>
        <w:rPr>
          <w:rFonts w:eastAsia="仿宋_GB2312"/>
          <w:bCs/>
          <w:sz w:val="32"/>
          <w:szCs w:val="32"/>
          <w:lang w:eastAsia="zh-CN"/>
        </w:rPr>
        <w:t xml:space="preserve">不能按合同约定工期完工的，工期延期五天之内，每天扣罚工程款500元；延期六到十天，每天扣罚工程款1000元；延期十到十四天，每天扣罚工程款 </w:t>
      </w:r>
      <w:r>
        <w:rPr>
          <w:rFonts w:hint="eastAsia" w:eastAsia="仿宋_GB2312"/>
          <w:bCs/>
          <w:sz w:val="32"/>
          <w:szCs w:val="32"/>
          <w:lang w:val="en-US" w:eastAsia="zh-CN"/>
        </w:rPr>
        <w:t>4</w:t>
      </w:r>
      <w:r>
        <w:rPr>
          <w:rFonts w:eastAsia="仿宋_GB2312"/>
          <w:bCs/>
          <w:sz w:val="32"/>
          <w:szCs w:val="32"/>
          <w:lang w:eastAsia="zh-CN"/>
        </w:rPr>
        <w:t>000元，超过15天（含15天）的，甲方有权终止合同，按已完成工程量的80%清算，将余下工程交给另一施工方完成。</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3.承包方清、退场：在发包方送达清、退场书面通知之日起3天内必须无条件完成清、退场。</w:t>
      </w:r>
    </w:p>
    <w:p>
      <w:pPr>
        <w:adjustRightInd w:val="0"/>
        <w:snapToGrid w:val="0"/>
        <w:spacing w:line="460" w:lineRule="exact"/>
        <w:ind w:firstLine="640" w:firstLineChars="200"/>
        <w:rPr>
          <w:rFonts w:ascii="仿宋_GB2312" w:eastAsia="仿宋_GB2312"/>
          <w:sz w:val="32"/>
          <w:szCs w:val="32"/>
          <w:lang w:eastAsia="zh-CN"/>
        </w:rPr>
      </w:pPr>
      <w:r>
        <w:rPr>
          <w:rFonts w:ascii="仿宋_GB2312" w:eastAsia="仿宋_GB2312"/>
          <w:sz w:val="32"/>
          <w:szCs w:val="32"/>
          <w:lang w:eastAsia="zh-CN"/>
        </w:rPr>
        <w:t>4</w:t>
      </w:r>
      <w:r>
        <w:rPr>
          <w:rFonts w:hint="eastAsia" w:ascii="仿宋_GB2312" w:eastAsia="仿宋_GB2312"/>
          <w:sz w:val="32"/>
          <w:szCs w:val="32"/>
          <w:lang w:eastAsia="zh-CN"/>
        </w:rPr>
        <w:t>.施工过程中承包方必须严格按照设计图纸、规范要求及本合同约定进行施工，并接受发包方的检查和监督，如有违反，每发现一次扣</w:t>
      </w:r>
      <w:r>
        <w:rPr>
          <w:rFonts w:hint="eastAsia" w:ascii="仿宋_GB2312" w:eastAsia="仿宋_GB2312"/>
          <w:sz w:val="32"/>
          <w:szCs w:val="32"/>
          <w:u w:val="single"/>
          <w:lang w:eastAsia="zh-CN"/>
        </w:rPr>
        <w:t>1000</w:t>
      </w:r>
      <w:r>
        <w:rPr>
          <w:rFonts w:hint="eastAsia" w:ascii="仿宋_GB2312" w:eastAsia="仿宋_GB2312"/>
          <w:sz w:val="32"/>
          <w:szCs w:val="32"/>
          <w:lang w:eastAsia="zh-CN"/>
        </w:rPr>
        <w:t>元，同时承包方必须无条件整改至合格为止，且不能影响工期。</w:t>
      </w:r>
    </w:p>
    <w:p>
      <w:pPr>
        <w:adjustRightInd w:val="0"/>
        <w:snapToGrid w:val="0"/>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 如发现承包方未经发包方书面同意将工程分包或转包的，发包方有权解除合同，对</w:t>
      </w:r>
      <w:r>
        <w:rPr>
          <w:rFonts w:ascii="仿宋_GB2312" w:eastAsia="仿宋_GB2312"/>
          <w:sz w:val="32"/>
          <w:szCs w:val="32"/>
          <w:lang w:eastAsia="zh-CN"/>
        </w:rPr>
        <w:t>已完成</w:t>
      </w:r>
      <w:r>
        <w:rPr>
          <w:rFonts w:hint="eastAsia" w:ascii="仿宋_GB2312" w:eastAsia="仿宋_GB2312"/>
          <w:sz w:val="32"/>
          <w:szCs w:val="32"/>
          <w:lang w:eastAsia="zh-CN"/>
        </w:rPr>
        <w:t>且验收合格</w:t>
      </w:r>
      <w:r>
        <w:rPr>
          <w:rFonts w:ascii="仿宋_GB2312" w:eastAsia="仿宋_GB2312"/>
          <w:sz w:val="32"/>
          <w:szCs w:val="32"/>
          <w:lang w:eastAsia="zh-CN"/>
        </w:rPr>
        <w:t>工程量</w:t>
      </w:r>
      <w:r>
        <w:rPr>
          <w:rFonts w:hint="eastAsia" w:ascii="仿宋_GB2312" w:eastAsia="仿宋_GB2312"/>
          <w:sz w:val="32"/>
          <w:szCs w:val="32"/>
          <w:lang w:eastAsia="zh-CN"/>
        </w:rPr>
        <w:t>，按照60</w:t>
      </w:r>
      <w:r>
        <w:rPr>
          <w:rFonts w:ascii="仿宋_GB2312" w:eastAsia="仿宋_GB2312"/>
          <w:sz w:val="32"/>
          <w:szCs w:val="32"/>
          <w:lang w:eastAsia="zh-CN"/>
        </w:rPr>
        <w:t>%</w:t>
      </w:r>
      <w:r>
        <w:rPr>
          <w:rFonts w:hint="eastAsia" w:ascii="仿宋_GB2312" w:eastAsia="仿宋_GB2312"/>
          <w:sz w:val="32"/>
          <w:szCs w:val="32"/>
          <w:lang w:eastAsia="zh-CN"/>
        </w:rPr>
        <w:t>结算，剩余款项作为违约金；对尚未验收合格的工程量不予结算。</w:t>
      </w:r>
    </w:p>
    <w:p>
      <w:pPr>
        <w:adjustRightInd w:val="0"/>
        <w:snapToGrid w:val="0"/>
        <w:spacing w:line="460" w:lineRule="exact"/>
        <w:ind w:firstLine="602" w:firstLineChars="200"/>
        <w:rPr>
          <w:rFonts w:ascii="仿宋_GB2312" w:eastAsia="仿宋_GB2312"/>
          <w:sz w:val="30"/>
          <w:szCs w:val="30"/>
          <w:lang w:eastAsia="zh-CN"/>
        </w:rPr>
      </w:pPr>
      <w:r>
        <w:rPr>
          <w:rFonts w:hint="eastAsia" w:ascii="仿宋_GB2312" w:eastAsia="仿宋_GB2312"/>
          <w:b/>
          <w:sz w:val="30"/>
          <w:szCs w:val="30"/>
          <w:lang w:eastAsia="zh-CN"/>
        </w:rPr>
        <w:t>十一、</w:t>
      </w:r>
      <w:r>
        <w:rPr>
          <w:rFonts w:hint="eastAsia" w:ascii="仿宋_GB2312" w:eastAsia="仿宋_GB2312"/>
          <w:sz w:val="32"/>
          <w:szCs w:val="32"/>
          <w:lang w:eastAsia="zh-CN"/>
        </w:rPr>
        <w:t>谈判响应文件（价格文件）作为本合同的附件对双方产生约束力</w:t>
      </w:r>
      <w:r>
        <w:rPr>
          <w:rFonts w:hint="eastAsia" w:ascii="仿宋_GB2312" w:eastAsia="仿宋_GB2312"/>
          <w:sz w:val="30"/>
          <w:szCs w:val="30"/>
          <w:lang w:eastAsia="zh-CN"/>
        </w:rPr>
        <w:t>。</w:t>
      </w:r>
      <w:r>
        <w:rPr>
          <w:rFonts w:hint="eastAsia" w:ascii="仿宋_GB2312" w:eastAsia="仿宋_GB2312"/>
          <w:sz w:val="32"/>
          <w:szCs w:val="32"/>
          <w:lang w:eastAsia="zh-CN"/>
        </w:rPr>
        <w:t>本合同附件与本合同规定不一致的，以本合同约定为准。</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十二、</w:t>
      </w:r>
      <w:r>
        <w:rPr>
          <w:rFonts w:hint="eastAsia" w:ascii="仿宋_GB2312" w:eastAsia="仿宋_GB2312"/>
          <w:sz w:val="32"/>
          <w:szCs w:val="32"/>
          <w:lang w:eastAsia="zh-CN"/>
        </w:rPr>
        <w:t>本合同未尽事宜，双方协商解决，并另立补充协议。合同在履行过程中如产生争议，协商不成应向工程所在地人民法院提起诉讼。律师费、交通费等相关费用由违约方承担。</w:t>
      </w:r>
    </w:p>
    <w:p>
      <w:pPr>
        <w:spacing w:line="460" w:lineRule="exact"/>
        <w:ind w:firstLine="602" w:firstLineChars="200"/>
        <w:textAlignment w:val="baseline"/>
        <w:rPr>
          <w:rFonts w:ascii="仿宋_GB2312" w:eastAsia="仿宋_GB2312"/>
          <w:sz w:val="32"/>
          <w:szCs w:val="32"/>
          <w:lang w:eastAsia="zh-CN"/>
        </w:rPr>
      </w:pPr>
      <w:r>
        <w:rPr>
          <w:rFonts w:hint="eastAsia" w:ascii="仿宋_GB2312" w:eastAsia="仿宋_GB2312"/>
          <w:b/>
          <w:color w:val="000000"/>
          <w:sz w:val="30"/>
          <w:szCs w:val="30"/>
          <w:lang w:eastAsia="zh-CN"/>
        </w:rPr>
        <w:t>十三、</w:t>
      </w:r>
      <w:r>
        <w:rPr>
          <w:rFonts w:hint="eastAsia" w:ascii="仿宋_GB2312" w:eastAsia="仿宋_GB2312"/>
          <w:sz w:val="32"/>
          <w:szCs w:val="32"/>
          <w:lang w:eastAsia="zh-CN"/>
        </w:rPr>
        <w:t>本合同壹式</w:t>
      </w:r>
      <w:r>
        <w:rPr>
          <w:rFonts w:hint="eastAsia" w:ascii="仿宋_GB2312" w:eastAsia="仿宋_GB2312"/>
          <w:sz w:val="32"/>
          <w:szCs w:val="32"/>
          <w:u w:val="single"/>
          <w:lang w:eastAsia="zh-CN"/>
        </w:rPr>
        <w:t>肆</w:t>
      </w:r>
      <w:r>
        <w:rPr>
          <w:rFonts w:hint="eastAsia" w:ascii="仿宋_GB2312" w:eastAsia="仿宋_GB2312"/>
          <w:sz w:val="32"/>
          <w:szCs w:val="32"/>
          <w:lang w:eastAsia="zh-CN"/>
        </w:rPr>
        <w:t>份，双方各执</w:t>
      </w:r>
      <w:r>
        <w:rPr>
          <w:rFonts w:hint="eastAsia" w:ascii="仿宋_GB2312" w:eastAsia="仿宋_GB2312"/>
          <w:sz w:val="32"/>
          <w:szCs w:val="32"/>
          <w:u w:val="single"/>
          <w:lang w:eastAsia="zh-CN"/>
        </w:rPr>
        <w:t>两</w:t>
      </w:r>
      <w:r>
        <w:rPr>
          <w:rFonts w:hint="eastAsia" w:ascii="仿宋_GB2312" w:eastAsia="仿宋_GB2312"/>
          <w:sz w:val="32"/>
          <w:szCs w:val="32"/>
          <w:lang w:eastAsia="zh-CN"/>
        </w:rPr>
        <w:t>份，自双方签字盖章之日起生效。</w:t>
      </w:r>
    </w:p>
    <w:p>
      <w:pPr>
        <w:spacing w:line="460" w:lineRule="exact"/>
        <w:ind w:firstLine="640" w:firstLineChars="200"/>
        <w:textAlignment w:val="baseline"/>
        <w:rPr>
          <w:rFonts w:ascii="仿宋_GB2312" w:eastAsia="仿宋_GB2312"/>
          <w:sz w:val="32"/>
          <w:szCs w:val="32"/>
          <w:lang w:eastAsia="zh-CN"/>
        </w:rPr>
      </w:pPr>
    </w:p>
    <w:tbl>
      <w:tblPr>
        <w:tblStyle w:val="42"/>
        <w:tblpPr w:leftFromText="180" w:rightFromText="180" w:vertAnchor="text" w:horzAnchor="margin" w:tblpXSpec="center" w:tblpY="2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4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autoSpaceDE/>
              <w:spacing w:line="480" w:lineRule="exact"/>
              <w:ind w:left="1100" w:leftChars="500" w:firstLine="600" w:firstLineChars="2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甲方</w:t>
            </w:r>
          </w:p>
          <w:p>
            <w:pPr>
              <w:autoSpaceDE/>
              <w:spacing w:line="480" w:lineRule="exact"/>
              <w:ind w:left="1500" w:hanging="1500" w:hangingChars="500"/>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单位名称：中粮梁河糖业有限公司</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单位地址：云南省德宏州梁河县勐养镇中营村委会党良街（原勐养糖厂内）</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法定代表人：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委托代理人：</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电话号码：0692-6168776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传真号码：0692-6168776</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开户行：中国农业银行股份有限公司梁河县支行营业室</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帐号：24139701040011717</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税号：91533122MA6KX49T1F</w:t>
            </w:r>
          </w:p>
          <w:p>
            <w:pPr>
              <w:autoSpaceDE/>
              <w:spacing w:line="480" w:lineRule="exact"/>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邮编：679207</w:t>
            </w:r>
          </w:p>
          <w:p>
            <w:pPr>
              <w:adjustRightInd w:val="0"/>
              <w:snapToGrid w:val="0"/>
              <w:spacing w:line="420" w:lineRule="exact"/>
              <w:rPr>
                <w:rFonts w:eastAsia="仿宋_GB2312"/>
                <w:sz w:val="30"/>
                <w:lang w:eastAsia="zh-CN"/>
              </w:rPr>
            </w:pPr>
            <w:r>
              <w:rPr>
                <w:rFonts w:hint="eastAsia" w:ascii="仿宋_GB2312" w:hAnsi="仿宋_GB2312" w:eastAsia="仿宋_GB2312" w:cs="仿宋_GB2312"/>
                <w:kern w:val="2"/>
                <w:sz w:val="30"/>
                <w:szCs w:val="30"/>
                <w:lang w:eastAsia="zh-CN"/>
              </w:rPr>
              <w:t>签订日期：       年   月    日</w:t>
            </w:r>
          </w:p>
        </w:tc>
        <w:tc>
          <w:tcPr>
            <w:tcW w:w="4830" w:type="dxa"/>
          </w:tcPr>
          <w:p>
            <w:pPr>
              <w:spacing w:line="520" w:lineRule="exact"/>
              <w:jc w:val="center"/>
              <w:rPr>
                <w:rFonts w:eastAsia="仿宋_GB2312"/>
                <w:sz w:val="30"/>
                <w:lang w:eastAsia="zh-CN"/>
              </w:rPr>
            </w:pPr>
            <w:r>
              <w:rPr>
                <w:rFonts w:eastAsia="仿宋_GB2312"/>
                <w:sz w:val="30"/>
                <w:lang w:eastAsia="zh-CN"/>
              </w:rPr>
              <w:t>乙方</w:t>
            </w:r>
          </w:p>
          <w:p>
            <w:pPr>
              <w:spacing w:line="520" w:lineRule="exact"/>
              <w:ind w:left="1500" w:hanging="1500" w:hangingChars="500"/>
              <w:rPr>
                <w:rFonts w:eastAsia="仿宋_GB2312"/>
                <w:sz w:val="30"/>
                <w:szCs w:val="30"/>
                <w:lang w:eastAsia="zh-CN"/>
              </w:rPr>
            </w:pPr>
            <w:r>
              <w:rPr>
                <w:rFonts w:eastAsia="仿宋_GB2312"/>
                <w:sz w:val="30"/>
                <w:lang w:eastAsia="zh-CN"/>
              </w:rPr>
              <w:t>单位名称：</w:t>
            </w:r>
          </w:p>
          <w:p>
            <w:pPr>
              <w:spacing w:line="520" w:lineRule="exact"/>
              <w:ind w:left="1500" w:hanging="1500" w:hangingChars="500"/>
              <w:rPr>
                <w:rFonts w:eastAsia="仿宋_GB2312"/>
                <w:sz w:val="30"/>
                <w:lang w:eastAsia="zh-CN"/>
              </w:rPr>
            </w:pPr>
          </w:p>
          <w:p>
            <w:pPr>
              <w:spacing w:line="520" w:lineRule="exact"/>
              <w:ind w:left="1500" w:hanging="1500" w:hangingChars="500"/>
              <w:rPr>
                <w:rFonts w:eastAsia="仿宋_GB2312"/>
                <w:sz w:val="28"/>
                <w:szCs w:val="28"/>
                <w:lang w:eastAsia="zh-CN"/>
              </w:rPr>
            </w:pPr>
            <w:r>
              <w:rPr>
                <w:rFonts w:eastAsia="仿宋_GB2312"/>
                <w:sz w:val="30"/>
                <w:lang w:eastAsia="zh-CN"/>
              </w:rPr>
              <w:t>单位地址：</w:t>
            </w:r>
          </w:p>
          <w:p>
            <w:pPr>
              <w:spacing w:line="520" w:lineRule="exact"/>
              <w:rPr>
                <w:rFonts w:eastAsia="仿宋_GB2312"/>
                <w:sz w:val="30"/>
                <w:lang w:eastAsia="zh-CN"/>
              </w:rPr>
            </w:pPr>
          </w:p>
          <w:p>
            <w:pPr>
              <w:spacing w:line="520" w:lineRule="exact"/>
              <w:rPr>
                <w:rFonts w:eastAsia="仿宋_GB2312"/>
                <w:sz w:val="30"/>
                <w:lang w:eastAsia="zh-CN"/>
              </w:rPr>
            </w:pPr>
            <w:r>
              <w:rPr>
                <w:rFonts w:eastAsia="仿宋_GB2312"/>
                <w:sz w:val="30"/>
                <w:lang w:eastAsia="zh-CN"/>
              </w:rPr>
              <w:t>法定代表人：</w:t>
            </w:r>
          </w:p>
          <w:p>
            <w:pPr>
              <w:spacing w:line="520" w:lineRule="exact"/>
              <w:rPr>
                <w:rFonts w:eastAsia="仿宋_GB2312"/>
                <w:sz w:val="30"/>
                <w:lang w:eastAsia="zh-CN"/>
              </w:rPr>
            </w:pPr>
            <w:r>
              <w:rPr>
                <w:rFonts w:eastAsia="仿宋_GB2312"/>
                <w:sz w:val="30"/>
                <w:lang w:eastAsia="zh-CN"/>
              </w:rPr>
              <w:t>委托代理人：</w:t>
            </w:r>
          </w:p>
          <w:p>
            <w:pPr>
              <w:spacing w:line="520" w:lineRule="exact"/>
              <w:rPr>
                <w:rFonts w:eastAsia="仿宋_GB2312"/>
                <w:sz w:val="30"/>
                <w:szCs w:val="30"/>
                <w:lang w:eastAsia="zh-CN"/>
              </w:rPr>
            </w:pPr>
            <w:r>
              <w:rPr>
                <w:rFonts w:eastAsia="仿宋_GB2312"/>
                <w:sz w:val="30"/>
                <w:lang w:eastAsia="zh-CN"/>
              </w:rPr>
              <w:t>电话号码</w:t>
            </w:r>
            <w:r>
              <w:rPr>
                <w:rFonts w:eastAsia="仿宋_GB2312"/>
                <w:sz w:val="30"/>
                <w:szCs w:val="30"/>
                <w:lang w:eastAsia="zh-CN"/>
              </w:rPr>
              <w:t>：</w:t>
            </w:r>
          </w:p>
          <w:p>
            <w:pPr>
              <w:spacing w:line="520" w:lineRule="exact"/>
              <w:rPr>
                <w:rFonts w:eastAsia="仿宋_GB2312"/>
                <w:sz w:val="30"/>
                <w:szCs w:val="30"/>
                <w:lang w:eastAsia="zh-CN"/>
              </w:rPr>
            </w:pPr>
            <w:r>
              <w:rPr>
                <w:rFonts w:eastAsia="仿宋_GB2312"/>
                <w:sz w:val="30"/>
                <w:lang w:eastAsia="zh-CN"/>
              </w:rPr>
              <w:t>传真号码：</w:t>
            </w:r>
          </w:p>
          <w:p>
            <w:pPr>
              <w:spacing w:line="520" w:lineRule="exact"/>
              <w:ind w:left="1200" w:hanging="1200" w:hangingChars="400"/>
              <w:rPr>
                <w:rFonts w:eastAsia="仿宋_GB2312"/>
                <w:sz w:val="30"/>
                <w:lang w:eastAsia="zh-CN"/>
              </w:rPr>
            </w:pPr>
            <w:r>
              <w:rPr>
                <w:rFonts w:eastAsia="仿宋_GB2312"/>
                <w:sz w:val="30"/>
                <w:lang w:eastAsia="zh-CN"/>
              </w:rPr>
              <w:t>开户行：</w:t>
            </w:r>
          </w:p>
          <w:p>
            <w:pPr>
              <w:spacing w:line="520" w:lineRule="exact"/>
              <w:rPr>
                <w:rFonts w:eastAsia="仿宋_GB2312"/>
                <w:sz w:val="28"/>
                <w:szCs w:val="28"/>
                <w:lang w:eastAsia="zh-CN"/>
              </w:rPr>
            </w:pPr>
            <w:r>
              <w:rPr>
                <w:rFonts w:eastAsia="仿宋_GB2312"/>
                <w:sz w:val="30"/>
                <w:lang w:eastAsia="zh-CN"/>
              </w:rPr>
              <w:t>帐号：</w:t>
            </w:r>
          </w:p>
          <w:p>
            <w:pPr>
              <w:spacing w:line="520" w:lineRule="exact"/>
              <w:rPr>
                <w:rFonts w:eastAsia="仿宋_GB2312"/>
                <w:sz w:val="30"/>
                <w:lang w:eastAsia="zh-CN"/>
              </w:rPr>
            </w:pPr>
            <w:r>
              <w:rPr>
                <w:rFonts w:eastAsia="仿宋_GB2312"/>
                <w:sz w:val="30"/>
                <w:lang w:eastAsia="zh-CN"/>
              </w:rPr>
              <w:t>税号：</w:t>
            </w:r>
          </w:p>
          <w:p>
            <w:pPr>
              <w:spacing w:line="520" w:lineRule="exact"/>
              <w:rPr>
                <w:rFonts w:eastAsia="仿宋_GB2312"/>
                <w:sz w:val="30"/>
                <w:lang w:eastAsia="zh-CN"/>
              </w:rPr>
            </w:pPr>
            <w:r>
              <w:rPr>
                <w:rFonts w:eastAsia="仿宋_GB2312"/>
                <w:sz w:val="30"/>
                <w:lang w:eastAsia="zh-CN"/>
              </w:rPr>
              <w:t>邮编：</w:t>
            </w:r>
          </w:p>
          <w:p>
            <w:pPr>
              <w:spacing w:line="520" w:lineRule="exact"/>
              <w:rPr>
                <w:rFonts w:eastAsia="仿宋_GB2312"/>
                <w:sz w:val="30"/>
                <w:lang w:eastAsia="zh-CN"/>
              </w:rPr>
            </w:pPr>
            <w:r>
              <w:rPr>
                <w:rFonts w:eastAsia="仿宋_GB2312"/>
                <w:sz w:val="30"/>
                <w:lang w:eastAsia="zh-CN"/>
              </w:rPr>
              <w:t>签订日期：</w:t>
            </w:r>
            <w:r>
              <w:rPr>
                <w:rFonts w:hint="eastAsia" w:ascii="仿宋_GB2312" w:eastAsia="仿宋_GB2312"/>
                <w:sz w:val="30"/>
                <w:lang w:eastAsia="zh-CN"/>
              </w:rPr>
              <w:t xml:space="preserve">    年   月    日</w:t>
            </w:r>
          </w:p>
        </w:tc>
      </w:tr>
    </w:tbl>
    <w:p>
      <w:pPr>
        <w:pStyle w:val="4"/>
        <w:jc w:val="center"/>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1</w:t>
      </w:r>
      <w:r>
        <w:rPr>
          <w:rFonts w:hint="eastAsia" w:eastAsia="仿宋" w:asciiTheme="minorEastAsia" w:hAnsiTheme="minorEastAsia"/>
          <w:snapToGrid w:val="0"/>
          <w:sz w:val="24"/>
          <w:szCs w:val="24"/>
          <w:lang w:eastAsia="zh-CN"/>
        </w:rPr>
        <w:t>：安全管理协议书</w:t>
      </w:r>
    </w:p>
    <w:p>
      <w:pPr>
        <w:spacing w:line="276" w:lineRule="auto"/>
        <w:ind w:firstLine="640" w:firstLineChars="200"/>
        <w:jc w:val="center"/>
        <w:rPr>
          <w:sz w:val="32"/>
          <w:szCs w:val="32"/>
          <w:lang w:eastAsia="zh-CN"/>
        </w:rPr>
      </w:pPr>
      <w:r>
        <w:rPr>
          <w:rFonts w:hint="eastAsia"/>
          <w:sz w:val="32"/>
          <w:szCs w:val="32"/>
          <w:lang w:eastAsia="zh-CN"/>
        </w:rPr>
        <w:t>乙类</w:t>
      </w:r>
      <w:bookmarkStart w:id="222" w:name="OLE_LINK80"/>
      <w:bookmarkStart w:id="223" w:name="OLE_LINK79"/>
      <w:r>
        <w:rPr>
          <w:rFonts w:hint="eastAsia"/>
          <w:sz w:val="32"/>
          <w:szCs w:val="32"/>
          <w:lang w:eastAsia="zh-CN"/>
        </w:rPr>
        <w:t>承包商安全管理协议(施工单位)</w:t>
      </w:r>
      <w:bookmarkEnd w:id="222"/>
      <w:bookmarkEnd w:id="223"/>
    </w:p>
    <w:p>
      <w:pPr>
        <w:spacing w:line="276" w:lineRule="auto"/>
        <w:ind w:firstLine="640" w:firstLineChars="200"/>
        <w:jc w:val="center"/>
        <w:rPr>
          <w:sz w:val="32"/>
          <w:szCs w:val="32"/>
          <w:lang w:eastAsia="zh-CN"/>
        </w:rPr>
      </w:pPr>
    </w:p>
    <w:p>
      <w:pPr>
        <w:spacing w:line="276" w:lineRule="auto"/>
        <w:ind w:firstLine="480" w:firstLineChars="200"/>
        <w:rPr>
          <w:sz w:val="24"/>
          <w:szCs w:val="24"/>
          <w:lang w:eastAsia="zh-CN"/>
        </w:rPr>
      </w:pPr>
      <w:r>
        <w:rPr>
          <w:sz w:val="24"/>
          <w:szCs w:val="24"/>
          <w:lang w:eastAsia="zh-CN"/>
        </w:rPr>
        <w:t>甲方</w:t>
      </w:r>
      <w:bookmarkStart w:id="224" w:name="_Hlk132406061"/>
      <w:r>
        <w:rPr>
          <w:sz w:val="24"/>
          <w:szCs w:val="24"/>
          <w:lang w:eastAsia="zh-CN"/>
        </w:rPr>
        <w:t>（发包方）</w:t>
      </w:r>
      <w:bookmarkEnd w:id="224"/>
      <w:r>
        <w:rPr>
          <w:sz w:val="24"/>
          <w:szCs w:val="24"/>
          <w:lang w:eastAsia="zh-CN"/>
        </w:rPr>
        <w:t>：</w:t>
      </w:r>
      <w:r>
        <w:rPr>
          <w:rFonts w:hint="eastAsia"/>
          <w:sz w:val="24"/>
          <w:szCs w:val="24"/>
          <w:lang w:eastAsia="zh-CN"/>
        </w:rPr>
        <w:t>中粮梁河糖业有限公司</w:t>
      </w:r>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乙方</w:t>
      </w:r>
      <w:bookmarkStart w:id="225" w:name="_Hlk132406074"/>
      <w:r>
        <w:rPr>
          <w:sz w:val="24"/>
          <w:szCs w:val="24"/>
          <w:lang w:eastAsia="zh-CN"/>
        </w:rPr>
        <w:t>（承包方）</w:t>
      </w:r>
      <w:bookmarkEnd w:id="225"/>
      <w:r>
        <w:rPr>
          <w:sz w:val="24"/>
          <w:szCs w:val="24"/>
          <w:lang w:eastAsia="zh-CN"/>
        </w:rPr>
        <w:t xml:space="preserve">：                                          </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bookmarkStart w:id="226" w:name="_Hlk132407100"/>
      <w:r>
        <w:rPr>
          <w:sz w:val="24"/>
          <w:szCs w:val="24"/>
          <w:lang w:eastAsia="zh-CN"/>
        </w:rPr>
        <w:t>为加强施工项目的安全生产管理，明确</w:t>
      </w:r>
      <w:r>
        <w:rPr>
          <w:rFonts w:hint="eastAsia"/>
          <w:sz w:val="24"/>
          <w:szCs w:val="24"/>
          <w:lang w:eastAsia="zh-CN"/>
        </w:rPr>
        <w:t>甲乙双方</w:t>
      </w:r>
      <w:r>
        <w:rPr>
          <w:sz w:val="24"/>
          <w:szCs w:val="24"/>
          <w:lang w:eastAsia="zh-CN"/>
        </w:rPr>
        <w:t>安全责任，防止生产安全事故，</w:t>
      </w:r>
      <w:r>
        <w:rPr>
          <w:rFonts w:hint="eastAsia"/>
          <w:sz w:val="24"/>
          <w:szCs w:val="24"/>
          <w:lang w:eastAsia="zh-CN"/>
        </w:rPr>
        <w:t>稳定运营，</w:t>
      </w:r>
      <w:r>
        <w:rPr>
          <w:sz w:val="24"/>
          <w:szCs w:val="24"/>
          <w:lang w:eastAsia="zh-CN"/>
        </w:rPr>
        <w:t>按照《安全生产法》《民法典》《建设工程安全生产管理条例》等法律法规的要求，甲乙双方遵循平等、自愿、公平和诚实信用的原则，就工程安全生产管理事项协商一致，订立本协议。</w:t>
      </w:r>
    </w:p>
    <w:bookmarkEnd w:id="226"/>
    <w:p>
      <w:pPr>
        <w:spacing w:line="276" w:lineRule="auto"/>
        <w:ind w:firstLine="480" w:firstLineChars="200"/>
        <w:rPr>
          <w:sz w:val="24"/>
          <w:szCs w:val="24"/>
          <w:lang w:eastAsia="zh-CN"/>
        </w:rPr>
      </w:pPr>
      <w:bookmarkStart w:id="227" w:name="_Toc381911461"/>
      <w:bookmarkStart w:id="228" w:name="_Toc442133366"/>
      <w:bookmarkStart w:id="229" w:name="_Toc396036405"/>
      <w:bookmarkStart w:id="230" w:name="_Toc389985354"/>
      <w:bookmarkStart w:id="231" w:name="_Toc384944712"/>
      <w:bookmarkStart w:id="232" w:name="_Toc434694358"/>
      <w:bookmarkStart w:id="233" w:name="_Toc442016137"/>
      <w:bookmarkStart w:id="234" w:name="_Toc451698735"/>
      <w:bookmarkStart w:id="235" w:name="_Toc442022096"/>
      <w:bookmarkStart w:id="236" w:name="_Toc383301022"/>
      <w:bookmarkStart w:id="237" w:name="_Toc396037049"/>
      <w:r>
        <w:rPr>
          <w:sz w:val="24"/>
          <w:szCs w:val="24"/>
          <w:lang w:eastAsia="zh-CN"/>
        </w:rPr>
        <w:t>第一条 工程概况：</w:t>
      </w:r>
      <w:bookmarkEnd w:id="227"/>
      <w:bookmarkEnd w:id="228"/>
      <w:bookmarkEnd w:id="229"/>
      <w:bookmarkEnd w:id="230"/>
      <w:bookmarkEnd w:id="231"/>
      <w:bookmarkEnd w:id="232"/>
      <w:bookmarkEnd w:id="233"/>
      <w:bookmarkEnd w:id="234"/>
      <w:bookmarkEnd w:id="235"/>
      <w:bookmarkEnd w:id="236"/>
      <w:bookmarkEnd w:id="237"/>
    </w:p>
    <w:p>
      <w:pPr>
        <w:spacing w:line="276" w:lineRule="auto"/>
        <w:ind w:firstLine="480" w:firstLineChars="200"/>
        <w:rPr>
          <w:sz w:val="24"/>
          <w:szCs w:val="24"/>
          <w:lang w:eastAsia="zh-CN"/>
        </w:rPr>
      </w:pPr>
      <w:bookmarkStart w:id="238" w:name="_Toc383301023"/>
      <w:bookmarkStart w:id="239" w:name="_Toc442133367"/>
      <w:bookmarkStart w:id="240" w:name="_Toc434694359"/>
      <w:bookmarkStart w:id="241" w:name="_Toc396036406"/>
      <w:bookmarkStart w:id="242" w:name="_Toc384944713"/>
      <w:bookmarkStart w:id="243" w:name="_Toc381911462"/>
      <w:bookmarkStart w:id="244" w:name="_Toc442022097"/>
      <w:bookmarkStart w:id="245" w:name="_Toc389985355"/>
      <w:bookmarkStart w:id="246" w:name="_Toc396037050"/>
      <w:bookmarkStart w:id="247" w:name="_Toc442016138"/>
      <w:bookmarkStart w:id="248" w:name="_Toc451698736"/>
      <w:r>
        <w:rPr>
          <w:sz w:val="24"/>
          <w:szCs w:val="24"/>
          <w:lang w:eastAsia="zh-CN"/>
        </w:rPr>
        <w:t>(一)项目（作业）名称：</w:t>
      </w:r>
      <w:bookmarkEnd w:id="238"/>
      <w:bookmarkEnd w:id="239"/>
      <w:bookmarkEnd w:id="240"/>
      <w:bookmarkEnd w:id="241"/>
      <w:bookmarkEnd w:id="242"/>
      <w:bookmarkEnd w:id="243"/>
      <w:bookmarkEnd w:id="244"/>
      <w:bookmarkEnd w:id="245"/>
      <w:bookmarkEnd w:id="246"/>
      <w:bookmarkEnd w:id="247"/>
      <w:bookmarkEnd w:id="248"/>
      <w:r>
        <w:rPr>
          <w:rFonts w:hint="eastAsia"/>
          <w:sz w:val="24"/>
          <w:szCs w:val="24"/>
          <w:lang w:eastAsia="zh-CN"/>
        </w:rPr>
        <w:t>2023年梁河糖业勐养、芒东工厂新建物资仓库项目</w:t>
      </w:r>
    </w:p>
    <w:p>
      <w:pPr>
        <w:spacing w:line="276" w:lineRule="auto"/>
        <w:ind w:firstLine="480" w:firstLineChars="200"/>
        <w:rPr>
          <w:sz w:val="24"/>
          <w:szCs w:val="24"/>
          <w:lang w:eastAsia="zh-CN"/>
        </w:rPr>
      </w:pPr>
      <w:bookmarkStart w:id="249" w:name="_Toc389985356"/>
      <w:bookmarkStart w:id="250" w:name="_Toc396037051"/>
      <w:bookmarkStart w:id="251" w:name="_Toc383301024"/>
      <w:bookmarkStart w:id="252" w:name="_Toc451698737"/>
      <w:bookmarkStart w:id="253" w:name="_Toc396036407"/>
      <w:bookmarkStart w:id="254" w:name="_Toc381911463"/>
      <w:bookmarkStart w:id="255" w:name="_Toc434694360"/>
      <w:bookmarkStart w:id="256" w:name="_Toc442022098"/>
      <w:bookmarkStart w:id="257" w:name="_Toc384944714"/>
      <w:bookmarkStart w:id="258" w:name="_Toc442016139"/>
      <w:bookmarkStart w:id="259" w:name="_Toc442133368"/>
      <w:bookmarkStart w:id="260" w:name="_Hlk132406144"/>
      <w:r>
        <w:rPr>
          <w:sz w:val="24"/>
          <w:szCs w:val="24"/>
          <w:lang w:eastAsia="zh-CN"/>
        </w:rPr>
        <w:t>(二)项目（作业）地点与范围：</w:t>
      </w:r>
      <w:bookmarkEnd w:id="249"/>
      <w:bookmarkEnd w:id="250"/>
      <w:bookmarkEnd w:id="251"/>
      <w:bookmarkEnd w:id="252"/>
      <w:bookmarkEnd w:id="253"/>
      <w:bookmarkEnd w:id="254"/>
      <w:bookmarkEnd w:id="255"/>
      <w:bookmarkEnd w:id="256"/>
      <w:bookmarkEnd w:id="257"/>
      <w:bookmarkEnd w:id="258"/>
      <w:bookmarkEnd w:id="259"/>
      <w:r>
        <w:rPr>
          <w:rFonts w:hint="eastAsia"/>
          <w:sz w:val="24"/>
          <w:szCs w:val="24"/>
          <w:lang w:eastAsia="zh-CN"/>
        </w:rPr>
        <w:t>中粮梁河糖业勐养工厂</w:t>
      </w:r>
    </w:p>
    <w:p>
      <w:pPr>
        <w:spacing w:line="276" w:lineRule="auto"/>
        <w:ind w:firstLine="480" w:firstLineChars="200"/>
        <w:rPr>
          <w:sz w:val="24"/>
          <w:szCs w:val="24"/>
          <w:lang w:eastAsia="zh-CN"/>
        </w:rPr>
      </w:pPr>
      <w:bookmarkStart w:id="261" w:name="_Toc442022099"/>
      <w:bookmarkStart w:id="262" w:name="_Toc389985357"/>
      <w:bookmarkStart w:id="263" w:name="_Toc442016140"/>
      <w:bookmarkStart w:id="264" w:name="_Toc434694361"/>
      <w:bookmarkStart w:id="265" w:name="_Toc396036408"/>
      <w:bookmarkStart w:id="266" w:name="_Toc442133369"/>
      <w:bookmarkStart w:id="267" w:name="_Toc396037052"/>
      <w:bookmarkStart w:id="268" w:name="_Toc384944715"/>
      <w:bookmarkStart w:id="269" w:name="_Toc451698738"/>
      <w:bookmarkStart w:id="270" w:name="_Toc381911464"/>
      <w:bookmarkStart w:id="271" w:name="_Toc383301025"/>
      <w:r>
        <w:rPr>
          <w:sz w:val="24"/>
          <w:szCs w:val="24"/>
          <w:lang w:eastAsia="zh-CN"/>
        </w:rPr>
        <w:t>(三)项目（作业）承包主要内容：</w:t>
      </w:r>
      <w:bookmarkEnd w:id="261"/>
      <w:bookmarkEnd w:id="262"/>
      <w:bookmarkEnd w:id="263"/>
      <w:bookmarkEnd w:id="264"/>
      <w:bookmarkEnd w:id="265"/>
      <w:bookmarkEnd w:id="266"/>
      <w:bookmarkEnd w:id="267"/>
      <w:bookmarkEnd w:id="268"/>
      <w:bookmarkEnd w:id="269"/>
      <w:bookmarkEnd w:id="270"/>
      <w:bookmarkEnd w:id="271"/>
      <w:r>
        <w:rPr>
          <w:rFonts w:hint="eastAsia"/>
          <w:sz w:val="24"/>
          <w:szCs w:val="24"/>
          <w:lang w:eastAsia="zh-CN"/>
        </w:rPr>
        <w:t>梁河糖业勐养工厂桔水罐围堰土建施工</w:t>
      </w:r>
    </w:p>
    <w:bookmarkEnd w:id="260"/>
    <w:p>
      <w:pPr>
        <w:spacing w:line="276" w:lineRule="auto"/>
        <w:ind w:firstLine="480" w:firstLineChars="200"/>
        <w:rPr>
          <w:sz w:val="24"/>
          <w:szCs w:val="24"/>
          <w:lang w:eastAsia="zh-CN"/>
        </w:rPr>
      </w:pPr>
      <w:bookmarkStart w:id="272" w:name="_Toc434694362"/>
      <w:bookmarkStart w:id="273" w:name="_Toc381911465"/>
      <w:bookmarkStart w:id="274" w:name="_Toc442016141"/>
      <w:bookmarkStart w:id="275" w:name="_Toc442133370"/>
      <w:bookmarkStart w:id="276" w:name="_Toc451698739"/>
      <w:bookmarkStart w:id="277" w:name="_Toc442022100"/>
      <w:bookmarkStart w:id="278" w:name="_Toc383301026"/>
      <w:bookmarkStart w:id="279" w:name="_Toc384944716"/>
      <w:bookmarkStart w:id="280" w:name="_Toc396036409"/>
      <w:bookmarkStart w:id="281" w:name="_Toc389985358"/>
      <w:bookmarkStart w:id="282" w:name="_Toc396037053"/>
      <w:r>
        <w:rPr>
          <w:sz w:val="24"/>
          <w:szCs w:val="24"/>
          <w:lang w:eastAsia="zh-CN"/>
        </w:rPr>
        <w:t>(四)项目（作业）工期：自</w:t>
      </w:r>
      <w:r>
        <w:rPr>
          <w:rFonts w:hint="eastAsia"/>
          <w:sz w:val="24"/>
          <w:szCs w:val="24"/>
          <w:lang w:val="en-US" w:eastAsia="zh-CN"/>
        </w:rPr>
        <w:t>供应商入厂之</w:t>
      </w:r>
      <w:r>
        <w:rPr>
          <w:sz w:val="24"/>
          <w:szCs w:val="24"/>
          <w:lang w:eastAsia="zh-CN"/>
        </w:rPr>
        <w:t xml:space="preserve"> 日</w:t>
      </w:r>
      <w:r>
        <w:rPr>
          <w:rFonts w:hint="eastAsia"/>
          <w:sz w:val="24"/>
          <w:szCs w:val="24"/>
          <w:lang w:eastAsia="zh-CN"/>
        </w:rPr>
        <w:t>起，</w:t>
      </w:r>
      <w:r>
        <w:rPr>
          <w:sz w:val="24"/>
          <w:szCs w:val="24"/>
          <w:lang w:eastAsia="zh-CN"/>
        </w:rPr>
        <w:t>至</w:t>
      </w:r>
      <w:r>
        <w:rPr>
          <w:rFonts w:hint="eastAsia"/>
          <w:sz w:val="24"/>
          <w:szCs w:val="24"/>
          <w:lang w:val="en-US" w:eastAsia="zh-CN"/>
        </w:rPr>
        <w:t>人员全部离厂之</w:t>
      </w:r>
      <w:r>
        <w:rPr>
          <w:sz w:val="24"/>
          <w:szCs w:val="24"/>
          <w:lang w:eastAsia="zh-CN"/>
        </w:rPr>
        <w:t xml:space="preserve"> 日</w:t>
      </w:r>
      <w:bookmarkEnd w:id="272"/>
      <w:bookmarkEnd w:id="273"/>
      <w:bookmarkEnd w:id="274"/>
      <w:bookmarkEnd w:id="275"/>
      <w:bookmarkEnd w:id="276"/>
      <w:bookmarkEnd w:id="277"/>
      <w:bookmarkEnd w:id="278"/>
      <w:bookmarkEnd w:id="279"/>
      <w:bookmarkEnd w:id="280"/>
      <w:bookmarkEnd w:id="281"/>
      <w:bookmarkEnd w:id="282"/>
      <w:r>
        <w:rPr>
          <w:rFonts w:hint="eastAsia"/>
          <w:sz w:val="24"/>
          <w:szCs w:val="24"/>
          <w:lang w:eastAsia="zh-CN"/>
        </w:rPr>
        <w:t>止</w:t>
      </w:r>
      <w:r>
        <w:rPr>
          <w:sz w:val="24"/>
          <w:szCs w:val="24"/>
          <w:lang w:eastAsia="zh-CN"/>
        </w:rPr>
        <w:t>。</w:t>
      </w:r>
    </w:p>
    <w:p>
      <w:pPr>
        <w:spacing w:line="276" w:lineRule="auto"/>
        <w:ind w:firstLine="480" w:firstLineChars="200"/>
        <w:rPr>
          <w:sz w:val="24"/>
          <w:szCs w:val="24"/>
          <w:lang w:eastAsia="zh-CN"/>
        </w:rPr>
      </w:pPr>
      <w:bookmarkStart w:id="283" w:name="_Toc389985359"/>
      <w:bookmarkStart w:id="284" w:name="_Toc396036410"/>
      <w:bookmarkStart w:id="285" w:name="_Toc442133371"/>
      <w:bookmarkStart w:id="286" w:name="_Toc451698740"/>
      <w:bookmarkStart w:id="287" w:name="_Toc442016142"/>
      <w:bookmarkStart w:id="288" w:name="_Toc381911466"/>
      <w:bookmarkStart w:id="289" w:name="_Toc384944717"/>
      <w:bookmarkStart w:id="290" w:name="_Toc442022101"/>
      <w:bookmarkStart w:id="291" w:name="_Toc396037054"/>
      <w:bookmarkStart w:id="292" w:name="_Toc434694363"/>
      <w:bookmarkStart w:id="293" w:name="_Toc383301027"/>
      <w:r>
        <w:rPr>
          <w:sz w:val="24"/>
          <w:szCs w:val="24"/>
          <w:lang w:eastAsia="zh-CN"/>
        </w:rPr>
        <w:t>第二条 承诺</w:t>
      </w:r>
      <w:bookmarkEnd w:id="283"/>
      <w:bookmarkEnd w:id="284"/>
      <w:bookmarkEnd w:id="285"/>
      <w:bookmarkEnd w:id="286"/>
      <w:bookmarkEnd w:id="287"/>
      <w:bookmarkEnd w:id="288"/>
      <w:bookmarkEnd w:id="289"/>
      <w:bookmarkEnd w:id="290"/>
      <w:bookmarkEnd w:id="291"/>
      <w:bookmarkEnd w:id="292"/>
      <w:bookmarkEnd w:id="293"/>
    </w:p>
    <w:p>
      <w:pPr>
        <w:spacing w:line="276" w:lineRule="auto"/>
        <w:ind w:firstLine="480" w:firstLineChars="200"/>
        <w:rPr>
          <w:sz w:val="24"/>
          <w:szCs w:val="24"/>
          <w:lang w:eastAsia="zh-CN"/>
        </w:rPr>
      </w:pPr>
      <w:r>
        <w:rPr>
          <w:sz w:val="24"/>
          <w:szCs w:val="24"/>
          <w:lang w:eastAsia="zh-CN"/>
        </w:rPr>
        <w:t>(一)甲方承诺</w:t>
      </w:r>
    </w:p>
    <w:p>
      <w:pPr>
        <w:spacing w:line="276" w:lineRule="auto"/>
        <w:ind w:firstLine="480" w:firstLineChars="200"/>
        <w:rPr>
          <w:sz w:val="24"/>
          <w:szCs w:val="24"/>
          <w:lang w:eastAsia="zh-CN"/>
        </w:rPr>
      </w:pPr>
      <w:r>
        <w:rPr>
          <w:sz w:val="24"/>
          <w:szCs w:val="24"/>
          <w:lang w:eastAsia="zh-CN"/>
        </w:rPr>
        <w:t>1.遵守《安全生产法》《建设工程安全生产管理条例》</w:t>
      </w:r>
      <w:bookmarkStart w:id="294" w:name="_Hlk132420073"/>
      <w:r>
        <w:rPr>
          <w:sz w:val="24"/>
          <w:szCs w:val="24"/>
          <w:lang w:eastAsia="zh-CN"/>
        </w:rPr>
        <w:t>《民法典》</w:t>
      </w:r>
      <w:bookmarkEnd w:id="294"/>
      <w:bookmarkStart w:id="295" w:name="_Hlk132701729"/>
      <w:r>
        <w:rPr>
          <w:rFonts w:hint="eastAsia"/>
          <w:sz w:val="24"/>
          <w:szCs w:val="24"/>
          <w:lang w:eastAsia="zh-CN"/>
        </w:rPr>
        <w:t>《中粮集团承包商与工程项目管理安全禁令》</w:t>
      </w:r>
      <w:bookmarkEnd w:id="295"/>
      <w:r>
        <w:rPr>
          <w:sz w:val="24"/>
          <w:szCs w:val="24"/>
          <w:lang w:eastAsia="zh-CN"/>
        </w:rPr>
        <w:t>及其他有关法律、法规、规章和标准的有关规定。</w:t>
      </w:r>
    </w:p>
    <w:p>
      <w:pPr>
        <w:spacing w:line="276" w:lineRule="auto"/>
        <w:ind w:firstLine="480" w:firstLineChars="200"/>
        <w:rPr>
          <w:sz w:val="24"/>
          <w:szCs w:val="24"/>
          <w:lang w:eastAsia="zh-CN"/>
        </w:rPr>
      </w:pPr>
      <w:r>
        <w:rPr>
          <w:sz w:val="24"/>
          <w:szCs w:val="24"/>
          <w:lang w:eastAsia="zh-CN"/>
        </w:rPr>
        <w:t>2.遵守项目设计，不违章指挥或者强令乙方人员冒险作业。</w:t>
      </w:r>
    </w:p>
    <w:p>
      <w:pPr>
        <w:spacing w:line="276" w:lineRule="auto"/>
        <w:ind w:firstLine="480" w:firstLineChars="200"/>
        <w:rPr>
          <w:sz w:val="24"/>
          <w:szCs w:val="24"/>
          <w:lang w:eastAsia="zh-CN"/>
        </w:rPr>
      </w:pPr>
      <w:r>
        <w:rPr>
          <w:sz w:val="24"/>
          <w:szCs w:val="24"/>
          <w:lang w:eastAsia="zh-CN"/>
        </w:rPr>
        <w:t>3.向乙方提供甲方安全管理制度。</w:t>
      </w:r>
    </w:p>
    <w:p>
      <w:pPr>
        <w:spacing w:line="276" w:lineRule="auto"/>
        <w:ind w:firstLine="480" w:firstLineChars="200"/>
        <w:rPr>
          <w:sz w:val="24"/>
          <w:szCs w:val="24"/>
          <w:lang w:eastAsia="zh-CN"/>
        </w:rPr>
      </w:pPr>
      <w:r>
        <w:rPr>
          <w:sz w:val="24"/>
          <w:szCs w:val="24"/>
          <w:lang w:eastAsia="zh-CN"/>
        </w:rPr>
        <w:t>4.对可能存在危险、有害因素应向乙方告知及相关水、电、汽等管线图等基础资料。</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对乙方进行</w:t>
      </w:r>
      <w:r>
        <w:rPr>
          <w:sz w:val="24"/>
          <w:szCs w:val="24"/>
          <w:lang w:eastAsia="zh-CN"/>
        </w:rPr>
        <w:t>进场</w:t>
      </w:r>
      <w:r>
        <w:rPr>
          <w:rFonts w:hint="eastAsia"/>
          <w:sz w:val="24"/>
          <w:szCs w:val="24"/>
          <w:lang w:eastAsia="zh-CN"/>
        </w:rPr>
        <w:t>安全技术</w:t>
      </w:r>
      <w:r>
        <w:rPr>
          <w:sz w:val="24"/>
          <w:szCs w:val="24"/>
          <w:lang w:eastAsia="zh-CN"/>
        </w:rPr>
        <w:t>交底，告知</w:t>
      </w:r>
      <w:r>
        <w:rPr>
          <w:rFonts w:hint="eastAsia"/>
          <w:sz w:val="24"/>
          <w:szCs w:val="24"/>
          <w:lang w:eastAsia="zh-CN"/>
        </w:rPr>
        <w:t>甲方</w:t>
      </w:r>
      <w:r>
        <w:rPr>
          <w:sz w:val="24"/>
          <w:szCs w:val="24"/>
          <w:lang w:eastAsia="zh-CN"/>
        </w:rPr>
        <w:t>的安全管理制度标准、作业场所安全风险、事故应急和报告要求等。</w:t>
      </w:r>
      <w:r>
        <w:rPr>
          <w:rFonts w:hint="eastAsia"/>
          <w:sz w:val="24"/>
          <w:szCs w:val="24"/>
          <w:lang w:eastAsia="zh-CN"/>
        </w:rPr>
        <w:t>对乙方的安全奖惩情况进行告知。</w:t>
      </w:r>
    </w:p>
    <w:p>
      <w:pPr>
        <w:spacing w:line="276" w:lineRule="auto"/>
        <w:ind w:firstLine="480" w:firstLineChars="200"/>
        <w:rPr>
          <w:sz w:val="24"/>
          <w:szCs w:val="24"/>
          <w:lang w:eastAsia="zh-CN"/>
        </w:rPr>
      </w:pPr>
      <w:r>
        <w:rPr>
          <w:sz w:val="24"/>
          <w:szCs w:val="24"/>
          <w:lang w:eastAsia="zh-CN"/>
        </w:rPr>
        <w:t>6</w:t>
      </w:r>
      <w:bookmarkStart w:id="296" w:name="_Hlk132663326"/>
      <w:r>
        <w:rPr>
          <w:sz w:val="24"/>
          <w:szCs w:val="24"/>
          <w:lang w:eastAsia="zh-CN"/>
        </w:rPr>
        <w:t>严格遵守甲乙双方签订的本协议。</w:t>
      </w:r>
      <w:bookmarkEnd w:id="296"/>
    </w:p>
    <w:p>
      <w:pPr>
        <w:spacing w:line="276" w:lineRule="auto"/>
        <w:ind w:firstLine="480" w:firstLineChars="200"/>
        <w:rPr>
          <w:sz w:val="24"/>
          <w:szCs w:val="24"/>
          <w:lang w:eastAsia="zh-CN"/>
        </w:rPr>
      </w:pPr>
      <w:r>
        <w:rPr>
          <w:sz w:val="24"/>
          <w:szCs w:val="24"/>
          <w:lang w:eastAsia="zh-CN"/>
        </w:rPr>
        <w:t>(二)乙方承诺</w:t>
      </w:r>
    </w:p>
    <w:p>
      <w:pPr>
        <w:spacing w:line="276" w:lineRule="auto"/>
        <w:ind w:firstLine="480" w:firstLineChars="200"/>
        <w:rPr>
          <w:sz w:val="24"/>
          <w:szCs w:val="24"/>
          <w:lang w:eastAsia="zh-CN"/>
        </w:rPr>
      </w:pPr>
      <w:r>
        <w:rPr>
          <w:sz w:val="24"/>
          <w:szCs w:val="24"/>
          <w:lang w:eastAsia="zh-CN"/>
        </w:rPr>
        <w:t>1.遵守《安全生产法》《民法典》《建设工程安全生产管理条例》《中粮集团现场管理十项措施》</w:t>
      </w:r>
      <w:bookmarkStart w:id="297" w:name="_Hlk132700803"/>
      <w:r>
        <w:rPr>
          <w:rFonts w:hint="eastAsia"/>
          <w:sz w:val="24"/>
          <w:szCs w:val="24"/>
          <w:lang w:eastAsia="zh-CN"/>
        </w:rPr>
        <w:t>《中粮集团承包商与工程项目管理安全禁令》</w:t>
      </w:r>
      <w:bookmarkEnd w:id="297"/>
      <w:r>
        <w:rPr>
          <w:sz w:val="24"/>
          <w:szCs w:val="24"/>
          <w:lang w:eastAsia="zh-CN"/>
        </w:rPr>
        <w:t>《中粮糖业10条安全保命禁令》及其他有关法律、法规、规章、标准和甲方管理制度等有关规定</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2.遵守工程设计,按工程设计、工程施工方案组织施工。</w:t>
      </w:r>
    </w:p>
    <w:p>
      <w:pPr>
        <w:spacing w:line="276" w:lineRule="auto"/>
        <w:ind w:firstLine="480" w:firstLineChars="200"/>
        <w:rPr>
          <w:sz w:val="24"/>
          <w:szCs w:val="24"/>
          <w:lang w:eastAsia="zh-CN"/>
        </w:rPr>
      </w:pPr>
      <w:r>
        <w:rPr>
          <w:sz w:val="24"/>
          <w:szCs w:val="24"/>
          <w:lang w:eastAsia="zh-CN"/>
        </w:rPr>
        <w:t>3.健全安全管理机构</w:t>
      </w:r>
      <w:r>
        <w:rPr>
          <w:rFonts w:hint="eastAsia"/>
          <w:sz w:val="24"/>
          <w:szCs w:val="24"/>
          <w:lang w:eastAsia="zh-CN"/>
        </w:rPr>
        <w:t>、全员</w:t>
      </w:r>
      <w:r>
        <w:rPr>
          <w:sz w:val="24"/>
          <w:szCs w:val="24"/>
          <w:lang w:eastAsia="zh-CN"/>
        </w:rPr>
        <w:t>安全生产责任制</w:t>
      </w:r>
      <w:r>
        <w:rPr>
          <w:rFonts w:hint="eastAsia"/>
          <w:sz w:val="24"/>
          <w:szCs w:val="24"/>
          <w:lang w:eastAsia="zh-CN"/>
        </w:rPr>
        <w:t>、作业现场安全管理制度、安全操作规程和应急预案，</w:t>
      </w:r>
      <w:r>
        <w:rPr>
          <w:sz w:val="24"/>
          <w:szCs w:val="24"/>
          <w:lang w:eastAsia="zh-CN"/>
        </w:rPr>
        <w:t>落实工作责任。配置合格的专（兼）职安全管理人员，安全管理人员外出不能正常开展工作时，须另行指派专人负责安全管理工作</w:t>
      </w:r>
      <w:r>
        <w:rPr>
          <w:rFonts w:hint="eastAsia"/>
          <w:sz w:val="24"/>
          <w:szCs w:val="24"/>
          <w:lang w:eastAsia="zh-CN"/>
        </w:rPr>
        <w:t>，定期召开或参加甲方组织的安全会议。</w:t>
      </w:r>
    </w:p>
    <w:p>
      <w:pPr>
        <w:spacing w:line="276" w:lineRule="auto"/>
        <w:ind w:firstLine="480" w:firstLineChars="200"/>
        <w:rPr>
          <w:sz w:val="24"/>
          <w:szCs w:val="24"/>
          <w:lang w:eastAsia="zh-CN"/>
        </w:rPr>
      </w:pPr>
      <w:r>
        <w:rPr>
          <w:sz w:val="24"/>
          <w:szCs w:val="24"/>
          <w:lang w:eastAsia="zh-CN"/>
        </w:rPr>
        <w:t>4.在整个项目施工过程中，保持安全管理人员和项目技术人员的连续稳定，保持与承揽项目相匹配的施工资质，保证企业负责人、安全管理人员和特种作业人员持有效证件</w:t>
      </w:r>
      <w:r>
        <w:rPr>
          <w:rFonts w:hint="eastAsia"/>
          <w:sz w:val="24"/>
          <w:szCs w:val="24"/>
          <w:lang w:eastAsia="zh-CN"/>
        </w:rPr>
        <w:t>，承担</w:t>
      </w:r>
      <w:r>
        <w:rPr>
          <w:sz w:val="24"/>
          <w:szCs w:val="24"/>
          <w:lang w:eastAsia="zh-CN"/>
        </w:rPr>
        <w:t>资料不真实造成的后果负法律责任；若技术人员、特种作业人员</w:t>
      </w:r>
      <w:r>
        <w:rPr>
          <w:rFonts w:hint="eastAsia"/>
          <w:sz w:val="24"/>
          <w:szCs w:val="24"/>
          <w:lang w:eastAsia="zh-CN"/>
        </w:rPr>
        <w:t>、</w:t>
      </w:r>
      <w:r>
        <w:rPr>
          <w:sz w:val="24"/>
          <w:szCs w:val="24"/>
          <w:lang w:eastAsia="zh-CN"/>
        </w:rPr>
        <w:t>生产工艺、施工方法、作业环境和设备设施发生变化的，乙方应当书面告知甲方</w:t>
      </w:r>
      <w:r>
        <w:rPr>
          <w:rFonts w:hint="eastAsia"/>
          <w:sz w:val="24"/>
          <w:szCs w:val="24"/>
          <w:lang w:eastAsia="zh-CN"/>
        </w:rPr>
        <w:t>并履行人员变更手续。</w:t>
      </w:r>
    </w:p>
    <w:p>
      <w:pPr>
        <w:spacing w:line="276" w:lineRule="auto"/>
        <w:ind w:firstLine="480" w:firstLineChars="200"/>
        <w:rPr>
          <w:sz w:val="24"/>
          <w:szCs w:val="24"/>
          <w:lang w:eastAsia="zh-CN"/>
        </w:rPr>
      </w:pPr>
      <w:r>
        <w:rPr>
          <w:sz w:val="24"/>
          <w:szCs w:val="24"/>
          <w:lang w:eastAsia="zh-CN"/>
        </w:rPr>
        <w:t>5.</w:t>
      </w:r>
      <w:r>
        <w:rPr>
          <w:rFonts w:hint="eastAsia"/>
          <w:sz w:val="24"/>
          <w:szCs w:val="24"/>
          <w:lang w:eastAsia="zh-CN"/>
        </w:rPr>
        <w:t>不将作业项目拆包给不具备相应资质等级的作业单位或个人。</w:t>
      </w:r>
    </w:p>
    <w:p>
      <w:pPr>
        <w:spacing w:line="276" w:lineRule="auto"/>
        <w:ind w:firstLine="480" w:firstLineChars="200"/>
        <w:rPr>
          <w:sz w:val="24"/>
          <w:szCs w:val="24"/>
          <w:lang w:eastAsia="zh-CN"/>
        </w:rPr>
      </w:pPr>
      <w:r>
        <w:rPr>
          <w:sz w:val="24"/>
          <w:szCs w:val="24"/>
          <w:lang w:eastAsia="zh-CN"/>
        </w:rPr>
        <w:t>6.与甲方建立日常联系和协作机制,按时参加甲方组织的安全专业会议和活动。</w:t>
      </w:r>
    </w:p>
    <w:p>
      <w:pPr>
        <w:spacing w:line="276" w:lineRule="auto"/>
        <w:ind w:firstLine="480" w:firstLineChars="200"/>
        <w:rPr>
          <w:sz w:val="24"/>
          <w:szCs w:val="24"/>
          <w:lang w:eastAsia="zh-CN"/>
        </w:rPr>
      </w:pPr>
      <w:r>
        <w:rPr>
          <w:sz w:val="24"/>
          <w:szCs w:val="24"/>
          <w:lang w:eastAsia="zh-CN"/>
        </w:rPr>
        <w:t>7.</w:t>
      </w:r>
      <w:r>
        <w:rPr>
          <w:rFonts w:hint="eastAsia"/>
          <w:sz w:val="24"/>
          <w:szCs w:val="24"/>
          <w:lang w:eastAsia="zh-CN"/>
        </w:rPr>
        <w:t>因自身原因作业人员不足，无法按时完成甲方工作任务，为不影响作业工期，甲方有权自行或委托第三方代为执行上述工作，所产生的费用由乙方负责。</w:t>
      </w:r>
    </w:p>
    <w:p>
      <w:pPr>
        <w:spacing w:line="276" w:lineRule="auto"/>
        <w:ind w:firstLine="480" w:firstLineChars="200"/>
        <w:rPr>
          <w:sz w:val="24"/>
          <w:szCs w:val="24"/>
          <w:lang w:eastAsia="zh-CN"/>
        </w:rPr>
      </w:pPr>
      <w:r>
        <w:rPr>
          <w:rFonts w:hint="eastAsia"/>
          <w:sz w:val="24"/>
          <w:szCs w:val="24"/>
          <w:lang w:eastAsia="zh-CN"/>
        </w:rPr>
        <w:t>8</w:t>
      </w:r>
      <w:r>
        <w:rPr>
          <w:sz w:val="24"/>
          <w:szCs w:val="24"/>
          <w:lang w:eastAsia="zh-CN"/>
        </w:rPr>
        <w:t>.</w:t>
      </w:r>
      <w:r>
        <w:rPr>
          <w:rFonts w:hint="eastAsia"/>
          <w:sz w:val="24"/>
          <w:szCs w:val="24"/>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spacing w:line="276" w:lineRule="auto"/>
        <w:ind w:firstLine="480" w:firstLineChars="200"/>
        <w:rPr>
          <w:sz w:val="24"/>
          <w:szCs w:val="24"/>
          <w:lang w:eastAsia="zh-CN"/>
        </w:rPr>
      </w:pPr>
      <w:r>
        <w:rPr>
          <w:sz w:val="24"/>
          <w:szCs w:val="24"/>
          <w:lang w:eastAsia="zh-CN"/>
        </w:rPr>
        <w:t>9.</w:t>
      </w:r>
      <w:r>
        <w:rPr>
          <w:rFonts w:hint="eastAsia"/>
          <w:sz w:val="24"/>
          <w:szCs w:val="24"/>
          <w:lang w:eastAsia="zh-CN"/>
        </w:rPr>
        <w:t>进行职业病诊断、鉴定时，乙方负责处理职业病诊断、鉴定事宜，并如实提供职业病诊断、鉴定所需的劳动者职业史和职业危害接触史等资料。</w:t>
      </w:r>
    </w:p>
    <w:p>
      <w:pPr>
        <w:spacing w:line="276" w:lineRule="auto"/>
        <w:ind w:firstLine="480" w:firstLineChars="200"/>
        <w:rPr>
          <w:sz w:val="24"/>
          <w:szCs w:val="24"/>
          <w:lang w:eastAsia="zh-CN"/>
        </w:rPr>
      </w:pPr>
      <w:r>
        <w:rPr>
          <w:sz w:val="24"/>
          <w:szCs w:val="24"/>
          <w:lang w:eastAsia="zh-CN"/>
        </w:rPr>
        <w:t>10.</w:t>
      </w:r>
      <w:r>
        <w:rPr>
          <w:rFonts w:hint="eastAsia"/>
          <w:sz w:val="24"/>
          <w:szCs w:val="24"/>
          <w:lang w:eastAsia="zh-CN"/>
        </w:rPr>
        <w:t>作业相关的项目资料必须保密，非经甲方书面同意不能向外透露，作业完毕后，应及时退还甲方。</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1.对项目施工现场的安全生产负直接责任。</w:t>
      </w:r>
    </w:p>
    <w:p>
      <w:pPr>
        <w:spacing w:line="276" w:lineRule="auto"/>
        <w:ind w:firstLine="480" w:firstLineChars="200"/>
        <w:rPr>
          <w:sz w:val="24"/>
          <w:szCs w:val="24"/>
          <w:lang w:eastAsia="zh-CN"/>
        </w:rPr>
      </w:pPr>
      <w:r>
        <w:rPr>
          <w:rFonts w:hint="eastAsia"/>
          <w:sz w:val="24"/>
          <w:szCs w:val="24"/>
          <w:lang w:eastAsia="zh-CN"/>
        </w:rPr>
        <w:t>1</w:t>
      </w:r>
      <w:r>
        <w:rPr>
          <w:sz w:val="24"/>
          <w:szCs w:val="24"/>
          <w:lang w:eastAsia="zh-CN"/>
        </w:rPr>
        <w:t>2.</w:t>
      </w:r>
      <w:r>
        <w:rPr>
          <w:rFonts w:hint="eastAsia"/>
          <w:sz w:val="24"/>
          <w:szCs w:val="24"/>
          <w:lang w:eastAsia="zh-CN"/>
        </w:rPr>
        <w:t xml:space="preserve"> 严格遵守甲乙双方签订的本协议。</w:t>
      </w:r>
    </w:p>
    <w:p>
      <w:pPr>
        <w:spacing w:line="276" w:lineRule="auto"/>
        <w:ind w:firstLine="480" w:firstLineChars="200"/>
        <w:rPr>
          <w:sz w:val="24"/>
          <w:szCs w:val="24"/>
          <w:lang w:eastAsia="zh-CN"/>
        </w:rPr>
      </w:pPr>
      <w:bookmarkStart w:id="298" w:name="_Toc396037055"/>
      <w:bookmarkStart w:id="299" w:name="_Toc442016143"/>
      <w:bookmarkStart w:id="300" w:name="_Toc396036411"/>
      <w:bookmarkStart w:id="301" w:name="_Toc434694364"/>
      <w:bookmarkStart w:id="302" w:name="_Toc442022102"/>
      <w:bookmarkStart w:id="303" w:name="_Toc383301028"/>
      <w:bookmarkStart w:id="304" w:name="_Toc442133372"/>
      <w:bookmarkStart w:id="305" w:name="_Toc381911467"/>
      <w:bookmarkStart w:id="306" w:name="_Toc389985360"/>
      <w:bookmarkStart w:id="307" w:name="_Toc451698741"/>
      <w:bookmarkStart w:id="308" w:name="_Toc384944718"/>
      <w:r>
        <w:rPr>
          <w:sz w:val="24"/>
          <w:szCs w:val="24"/>
          <w:lang w:eastAsia="zh-CN"/>
        </w:rPr>
        <w:t>第三条 安全投入和资金保障</w:t>
      </w:r>
      <w:bookmarkEnd w:id="298"/>
      <w:bookmarkEnd w:id="299"/>
      <w:bookmarkEnd w:id="300"/>
      <w:bookmarkEnd w:id="301"/>
      <w:bookmarkEnd w:id="302"/>
      <w:bookmarkEnd w:id="303"/>
      <w:bookmarkEnd w:id="304"/>
      <w:bookmarkEnd w:id="305"/>
      <w:bookmarkEnd w:id="306"/>
      <w:bookmarkEnd w:id="307"/>
      <w:bookmarkEnd w:id="308"/>
    </w:p>
    <w:p>
      <w:pPr>
        <w:spacing w:line="276" w:lineRule="auto"/>
        <w:ind w:firstLine="480" w:firstLineChars="200"/>
        <w:rPr>
          <w:sz w:val="24"/>
          <w:szCs w:val="24"/>
          <w:lang w:eastAsia="zh-CN"/>
        </w:rPr>
      </w:pPr>
      <w:r>
        <w:rPr>
          <w:sz w:val="24"/>
          <w:szCs w:val="24"/>
          <w:lang w:eastAsia="zh-CN"/>
        </w:rPr>
        <w:t>(一)甲方是项目安全投入的责任主体，负责完善和改进项目安全生产条件的资金保障，向乙方提供保障施工作业所需的安全投入，已包含在甲方支付给乙方的合同款中。</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缴纳的项目合同履约保证金可同时用作风险抵押金，作为安全、环保风险抵押金使用。用于甲方对乙方的安全管理。当乙方发生未履新安全管理责任或者造成安全事故时，甲方可以根据协议扣除部分或全部安全管理风险押金。</w:t>
      </w:r>
    </w:p>
    <w:p>
      <w:pPr>
        <w:spacing w:line="276" w:lineRule="auto"/>
        <w:ind w:firstLine="480" w:firstLineChars="200"/>
        <w:rPr>
          <w:sz w:val="24"/>
          <w:szCs w:val="24"/>
          <w:lang w:eastAsia="zh-CN"/>
        </w:rPr>
      </w:pPr>
      <w:r>
        <w:rPr>
          <w:sz w:val="24"/>
          <w:szCs w:val="24"/>
          <w:lang w:eastAsia="zh-CN"/>
        </w:rPr>
        <w:t>(三)乙方须</w:t>
      </w:r>
      <w:r>
        <w:rPr>
          <w:rFonts w:hint="eastAsia"/>
          <w:sz w:val="24"/>
          <w:szCs w:val="24"/>
          <w:lang w:eastAsia="zh-CN"/>
        </w:rPr>
        <w:t>和参与施工人员签订符合《民法典》要求的用工合同或劳务合同，负责为外包人员购买用工期间的工伤保险或人身意外伤害保险（购买金额不低于100万），并将购买保单复印件交甲方备案。</w:t>
      </w:r>
    </w:p>
    <w:p>
      <w:pPr>
        <w:spacing w:line="276" w:lineRule="auto"/>
        <w:ind w:firstLine="480" w:firstLineChars="200"/>
        <w:rPr>
          <w:sz w:val="24"/>
          <w:szCs w:val="24"/>
          <w:lang w:eastAsia="zh-CN"/>
        </w:rPr>
      </w:pPr>
      <w:r>
        <w:rPr>
          <w:sz w:val="24"/>
          <w:szCs w:val="24"/>
          <w:lang w:eastAsia="zh-CN"/>
        </w:rPr>
        <w:t>(四)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pPr>
        <w:spacing w:line="276" w:lineRule="auto"/>
        <w:ind w:firstLine="480" w:firstLineChars="200"/>
        <w:rPr>
          <w:sz w:val="24"/>
          <w:szCs w:val="24"/>
          <w:lang w:eastAsia="zh-CN"/>
        </w:rPr>
      </w:pPr>
      <w:bookmarkStart w:id="309" w:name="_Toc384944719"/>
      <w:bookmarkStart w:id="310" w:name="_Toc451698742"/>
      <w:bookmarkStart w:id="311" w:name="_Toc442016144"/>
      <w:bookmarkStart w:id="312" w:name="_Toc396037056"/>
      <w:bookmarkStart w:id="313" w:name="_Toc381911468"/>
      <w:bookmarkStart w:id="314" w:name="_Toc442022103"/>
      <w:bookmarkStart w:id="315" w:name="_Toc396036412"/>
      <w:bookmarkStart w:id="316" w:name="_Toc434694365"/>
      <w:bookmarkStart w:id="317" w:name="_Toc383301029"/>
      <w:bookmarkStart w:id="318" w:name="_Toc442133373"/>
      <w:bookmarkStart w:id="319" w:name="_Toc389985361"/>
      <w:r>
        <w:rPr>
          <w:sz w:val="24"/>
          <w:szCs w:val="24"/>
          <w:lang w:eastAsia="zh-CN"/>
        </w:rPr>
        <w:t>第四条 安全设施和施工条件</w:t>
      </w:r>
      <w:bookmarkEnd w:id="309"/>
      <w:bookmarkEnd w:id="310"/>
      <w:bookmarkEnd w:id="311"/>
      <w:bookmarkEnd w:id="312"/>
      <w:bookmarkEnd w:id="313"/>
      <w:bookmarkEnd w:id="314"/>
      <w:bookmarkEnd w:id="315"/>
      <w:bookmarkEnd w:id="316"/>
      <w:bookmarkEnd w:id="317"/>
      <w:bookmarkEnd w:id="318"/>
      <w:bookmarkEnd w:id="319"/>
    </w:p>
    <w:p>
      <w:pPr>
        <w:spacing w:line="276" w:lineRule="auto"/>
        <w:ind w:firstLine="480" w:firstLineChars="200"/>
        <w:rPr>
          <w:sz w:val="24"/>
          <w:szCs w:val="24"/>
          <w:lang w:eastAsia="zh-CN"/>
        </w:rPr>
      </w:pPr>
      <w:r>
        <w:rPr>
          <w:sz w:val="24"/>
          <w:szCs w:val="24"/>
          <w:lang w:eastAsia="zh-CN"/>
        </w:rPr>
        <w:t xml:space="preserve">(一)甲方应当保证提供给外包项目有关的生产系统安全设施正常运行，保证外包项目具备法律、法规、规章和标准规定的安全生产条件。 </w:t>
      </w:r>
    </w:p>
    <w:p>
      <w:pPr>
        <w:spacing w:line="276" w:lineRule="auto"/>
        <w:ind w:firstLine="480" w:firstLineChars="200"/>
        <w:rPr>
          <w:sz w:val="24"/>
          <w:szCs w:val="24"/>
          <w:lang w:eastAsia="zh-CN"/>
        </w:rPr>
      </w:pPr>
      <w:r>
        <w:rPr>
          <w:sz w:val="24"/>
          <w:szCs w:val="24"/>
          <w:lang w:eastAsia="zh-CN"/>
        </w:rPr>
        <w:t>(二)甲方应当为乙方提供安全生产所必要的施工作业条件。除不可抗力外，甲方未向乙方提供安全生产所必要的施工作业条件，由此给乙方造成有关生产进度、经济等方面损失的，由甲方承担责任。</w:t>
      </w:r>
    </w:p>
    <w:p>
      <w:pPr>
        <w:spacing w:line="276" w:lineRule="auto"/>
        <w:ind w:firstLine="480" w:firstLineChars="200"/>
        <w:rPr>
          <w:sz w:val="24"/>
          <w:szCs w:val="24"/>
          <w:lang w:eastAsia="zh-CN"/>
        </w:rPr>
      </w:pPr>
      <w:r>
        <w:rPr>
          <w:sz w:val="24"/>
          <w:szCs w:val="24"/>
          <w:lang w:eastAsia="zh-CN"/>
        </w:rPr>
        <w:t>(三)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pPr>
        <w:spacing w:line="276" w:lineRule="auto"/>
        <w:ind w:firstLine="480" w:firstLineChars="200"/>
        <w:rPr>
          <w:sz w:val="24"/>
          <w:szCs w:val="24"/>
          <w:lang w:eastAsia="zh-CN"/>
        </w:rPr>
      </w:pPr>
      <w:r>
        <w:rPr>
          <w:sz w:val="24"/>
          <w:szCs w:val="24"/>
          <w:lang w:eastAsia="zh-CN"/>
        </w:rPr>
        <w:t>甲方提供乙方图纸资料的日期(包括图纸的绘制时间)、名称和数量清单，技术交底的时间、负责人、参加人员等记录资料，应当在本协议的附件1(《技术交底记录文件》)中予以明确。</w:t>
      </w:r>
    </w:p>
    <w:p>
      <w:pPr>
        <w:spacing w:line="276" w:lineRule="auto"/>
        <w:ind w:firstLine="480" w:firstLineChars="200"/>
        <w:rPr>
          <w:sz w:val="24"/>
          <w:szCs w:val="24"/>
          <w:lang w:eastAsia="zh-CN"/>
        </w:rPr>
      </w:pPr>
      <w:r>
        <w:rPr>
          <w:sz w:val="24"/>
          <w:szCs w:val="24"/>
          <w:lang w:eastAsia="zh-CN"/>
        </w:rPr>
        <w:t>(四)</w:t>
      </w:r>
      <w:r>
        <w:rPr>
          <w:rFonts w:hint="eastAsia"/>
          <w:sz w:val="24"/>
          <w:szCs w:val="24"/>
          <w:lang w:eastAsia="zh-CN"/>
        </w:rPr>
        <w:t>乙方作业前应提交如下材料：</w:t>
      </w:r>
    </w:p>
    <w:p>
      <w:pPr>
        <w:spacing w:line="300" w:lineRule="exact"/>
        <w:ind w:firstLine="480" w:firstLineChars="200"/>
        <w:rPr>
          <w:sz w:val="24"/>
          <w:szCs w:val="24"/>
          <w:lang w:eastAsia="zh-CN"/>
        </w:rPr>
      </w:pPr>
      <w:r>
        <w:rPr>
          <w:rFonts w:hint="eastAsia"/>
          <w:sz w:val="24"/>
          <w:szCs w:val="24"/>
          <w:lang w:eastAsia="zh-CN"/>
        </w:rPr>
        <w:t>1. 提供一份所有作业人员花名册▲</w:t>
      </w:r>
    </w:p>
    <w:p>
      <w:pPr>
        <w:spacing w:line="300" w:lineRule="exact"/>
        <w:ind w:firstLine="480" w:firstLineChars="200"/>
        <w:rPr>
          <w:sz w:val="24"/>
          <w:szCs w:val="24"/>
          <w:lang w:eastAsia="zh-CN"/>
        </w:rPr>
      </w:pPr>
      <w:r>
        <w:rPr>
          <w:rFonts w:hint="eastAsia"/>
          <w:sz w:val="24"/>
          <w:szCs w:val="24"/>
          <w:lang w:eastAsia="zh-CN"/>
        </w:rPr>
        <w:t>2. 提供所有作业人员身份证（复印件）▲</w:t>
      </w:r>
    </w:p>
    <w:p>
      <w:pPr>
        <w:spacing w:line="300" w:lineRule="exact"/>
        <w:ind w:firstLine="480" w:firstLineChars="200"/>
        <w:rPr>
          <w:sz w:val="24"/>
          <w:szCs w:val="24"/>
          <w:lang w:eastAsia="zh-CN"/>
        </w:rPr>
      </w:pPr>
      <w:r>
        <w:rPr>
          <w:rFonts w:hint="eastAsia"/>
          <w:sz w:val="24"/>
          <w:szCs w:val="24"/>
          <w:lang w:eastAsia="zh-CN"/>
        </w:rPr>
        <w:t>3.为每一位作业人员提供一份“健康体检”表（医院体检证明）▲</w:t>
      </w:r>
    </w:p>
    <w:p>
      <w:pPr>
        <w:spacing w:line="300" w:lineRule="exact"/>
        <w:ind w:firstLine="480" w:firstLineChars="200"/>
        <w:rPr>
          <w:sz w:val="24"/>
          <w:szCs w:val="24"/>
          <w:lang w:eastAsia="zh-CN"/>
        </w:rPr>
      </w:pPr>
      <w:r>
        <w:rPr>
          <w:rFonts w:hint="eastAsia"/>
          <w:sz w:val="24"/>
          <w:szCs w:val="24"/>
          <w:lang w:eastAsia="zh-CN"/>
        </w:rPr>
        <w:t>4.项目经理及专职安全员并持证上岗▲</w:t>
      </w:r>
    </w:p>
    <w:p>
      <w:pPr>
        <w:spacing w:line="300" w:lineRule="exact"/>
        <w:ind w:firstLine="480" w:firstLineChars="200"/>
        <w:rPr>
          <w:sz w:val="24"/>
          <w:szCs w:val="24"/>
          <w:lang w:eastAsia="zh-CN"/>
        </w:rPr>
      </w:pPr>
      <w:r>
        <w:rPr>
          <w:rFonts w:hint="eastAsia"/>
          <w:sz w:val="24"/>
          <w:szCs w:val="24"/>
          <w:lang w:eastAsia="zh-CN"/>
        </w:rPr>
        <w:t>5.每一位作业人员的安全规程培训考试，合格后方可上岗▲</w:t>
      </w:r>
    </w:p>
    <w:p>
      <w:pPr>
        <w:spacing w:line="300" w:lineRule="exact"/>
        <w:ind w:firstLine="480" w:firstLineChars="200"/>
        <w:rPr>
          <w:sz w:val="24"/>
          <w:szCs w:val="24"/>
          <w:lang w:eastAsia="zh-CN"/>
        </w:rPr>
      </w:pPr>
      <w:r>
        <w:rPr>
          <w:rFonts w:hint="eastAsia"/>
          <w:sz w:val="24"/>
          <w:szCs w:val="24"/>
          <w:lang w:eastAsia="zh-CN"/>
        </w:rPr>
        <w:t>6.承包单位与每一位员工签订劳动合同（提供复印件）</w:t>
      </w:r>
    </w:p>
    <w:p>
      <w:pPr>
        <w:spacing w:line="300" w:lineRule="exact"/>
        <w:ind w:firstLine="480" w:firstLineChars="200"/>
        <w:rPr>
          <w:sz w:val="24"/>
          <w:szCs w:val="24"/>
          <w:lang w:eastAsia="zh-CN"/>
        </w:rPr>
      </w:pPr>
      <w:r>
        <w:rPr>
          <w:rFonts w:hint="eastAsia"/>
          <w:sz w:val="24"/>
          <w:szCs w:val="24"/>
          <w:lang w:eastAsia="zh-CN"/>
        </w:rPr>
        <w:t>7.为所有作业人员办理工伤保险或意外保险（提供保险凭证）▲</w:t>
      </w:r>
    </w:p>
    <w:p>
      <w:pPr>
        <w:spacing w:line="300" w:lineRule="exact"/>
        <w:ind w:firstLine="480" w:firstLineChars="200"/>
        <w:rPr>
          <w:sz w:val="24"/>
          <w:szCs w:val="24"/>
          <w:lang w:eastAsia="zh-CN"/>
        </w:rPr>
      </w:pPr>
      <w:r>
        <w:rPr>
          <w:rFonts w:hint="eastAsia"/>
          <w:sz w:val="24"/>
          <w:szCs w:val="24"/>
          <w:lang w:eastAsia="zh-CN"/>
        </w:rPr>
        <w:t>8.按规定缴纳安全风险抵押金▲</w:t>
      </w:r>
    </w:p>
    <w:p>
      <w:pPr>
        <w:spacing w:line="300" w:lineRule="exact"/>
        <w:ind w:firstLine="480" w:firstLineChars="200"/>
        <w:rPr>
          <w:sz w:val="24"/>
          <w:szCs w:val="24"/>
          <w:lang w:eastAsia="zh-CN"/>
        </w:rPr>
      </w:pPr>
      <w:r>
        <w:rPr>
          <w:rFonts w:hint="eastAsia"/>
          <w:sz w:val="24"/>
          <w:szCs w:val="24"/>
          <w:lang w:eastAsia="zh-CN"/>
        </w:rPr>
        <w:t>9.提供所有作业人员月度考勤表（进场以后执行）▲</w:t>
      </w:r>
    </w:p>
    <w:p>
      <w:pPr>
        <w:spacing w:line="300" w:lineRule="exact"/>
        <w:ind w:firstLine="480" w:firstLineChars="200"/>
        <w:rPr>
          <w:sz w:val="24"/>
          <w:szCs w:val="24"/>
          <w:lang w:eastAsia="zh-CN"/>
        </w:rPr>
      </w:pPr>
      <w:r>
        <w:rPr>
          <w:rFonts w:hint="eastAsia"/>
          <w:sz w:val="24"/>
          <w:szCs w:val="24"/>
          <w:lang w:eastAsia="zh-CN"/>
        </w:rPr>
        <w:t>10.提供所有作业人员劳动防护用品清单（如：安全帽、工作服、工作鞋、口罩、手套、耳塞、防护眼镜等）▲</w:t>
      </w:r>
    </w:p>
    <w:p>
      <w:pPr>
        <w:spacing w:line="300" w:lineRule="exact"/>
        <w:ind w:firstLine="480" w:firstLineChars="200"/>
        <w:rPr>
          <w:sz w:val="24"/>
          <w:szCs w:val="24"/>
          <w:lang w:eastAsia="zh-CN"/>
        </w:rPr>
      </w:pPr>
      <w:r>
        <w:rPr>
          <w:rFonts w:hint="eastAsia"/>
          <w:sz w:val="24"/>
          <w:szCs w:val="24"/>
          <w:lang w:eastAsia="zh-CN"/>
        </w:rPr>
        <w:t>11.提供每位员工月度安全培训记录及档案（进场以后执行）</w:t>
      </w:r>
    </w:p>
    <w:p>
      <w:pPr>
        <w:spacing w:line="300" w:lineRule="exact"/>
        <w:ind w:firstLine="480" w:firstLineChars="200"/>
        <w:rPr>
          <w:sz w:val="24"/>
          <w:szCs w:val="24"/>
          <w:lang w:eastAsia="zh-CN"/>
        </w:rPr>
      </w:pPr>
      <w:r>
        <w:rPr>
          <w:rFonts w:hint="eastAsia"/>
          <w:sz w:val="24"/>
          <w:szCs w:val="24"/>
          <w:lang w:eastAsia="zh-CN"/>
        </w:rPr>
        <w:t>12.提供安全生产管理办法、安全生产责任制、操作规程▲</w:t>
      </w:r>
    </w:p>
    <w:p>
      <w:pPr>
        <w:spacing w:line="300" w:lineRule="exact"/>
        <w:ind w:firstLine="480" w:firstLineChars="200"/>
        <w:rPr>
          <w:sz w:val="24"/>
          <w:szCs w:val="24"/>
          <w:lang w:eastAsia="zh-CN"/>
        </w:rPr>
      </w:pPr>
      <w:r>
        <w:rPr>
          <w:rFonts w:hint="eastAsia"/>
          <w:sz w:val="24"/>
          <w:szCs w:val="24"/>
          <w:lang w:eastAsia="zh-CN"/>
        </w:rPr>
        <w:t xml:space="preserve">13.提供有效的营业执照、施工资质、安全生产许可证等文件▲ </w:t>
      </w:r>
    </w:p>
    <w:p>
      <w:pPr>
        <w:spacing w:line="300" w:lineRule="exact"/>
        <w:ind w:firstLine="480" w:firstLineChars="200"/>
        <w:rPr>
          <w:sz w:val="24"/>
          <w:szCs w:val="24"/>
          <w:lang w:eastAsia="zh-CN"/>
        </w:rPr>
      </w:pPr>
      <w:r>
        <w:rPr>
          <w:rFonts w:hint="eastAsia"/>
          <w:sz w:val="24"/>
          <w:szCs w:val="24"/>
          <w:lang w:eastAsia="zh-CN"/>
        </w:rPr>
        <w:t>14.项目经理和安全员委托书（承包商单位有效文函）▲</w:t>
      </w:r>
    </w:p>
    <w:p>
      <w:pPr>
        <w:spacing w:line="300" w:lineRule="exact"/>
        <w:ind w:firstLine="480" w:firstLineChars="200"/>
        <w:rPr>
          <w:sz w:val="24"/>
          <w:szCs w:val="24"/>
          <w:lang w:eastAsia="zh-CN"/>
        </w:rPr>
      </w:pPr>
      <w:r>
        <w:rPr>
          <w:rFonts w:hint="eastAsia"/>
          <w:sz w:val="24"/>
          <w:szCs w:val="24"/>
          <w:lang w:eastAsia="zh-CN"/>
        </w:rPr>
        <w:t>15.项目安全管理组织机构图，及安全生产责任制；</w:t>
      </w:r>
    </w:p>
    <w:p>
      <w:pPr>
        <w:spacing w:line="300" w:lineRule="exact"/>
        <w:ind w:firstLine="480" w:firstLineChars="200"/>
        <w:rPr>
          <w:sz w:val="24"/>
          <w:szCs w:val="24"/>
          <w:lang w:eastAsia="zh-CN"/>
        </w:rPr>
      </w:pPr>
      <w:r>
        <w:rPr>
          <w:rFonts w:hint="eastAsia"/>
          <w:sz w:val="24"/>
          <w:szCs w:val="24"/>
          <w:lang w:eastAsia="zh-CN"/>
        </w:rPr>
        <w:t>16.签订外来施工作业人员的安全承诺▲（进场前签定）</w:t>
      </w:r>
    </w:p>
    <w:p>
      <w:pPr>
        <w:spacing w:line="300" w:lineRule="exact"/>
        <w:ind w:firstLine="480" w:firstLineChars="200"/>
        <w:rPr>
          <w:sz w:val="24"/>
          <w:szCs w:val="24"/>
          <w:lang w:eastAsia="zh-CN"/>
        </w:rPr>
      </w:pPr>
      <w:r>
        <w:rPr>
          <w:rFonts w:hint="eastAsia"/>
          <w:sz w:val="24"/>
          <w:szCs w:val="24"/>
          <w:lang w:eastAsia="zh-CN"/>
        </w:rPr>
        <w:t>17.提供现场“应急施救药品”▲(附药品清单)</w:t>
      </w:r>
    </w:p>
    <w:p>
      <w:pPr>
        <w:spacing w:line="300" w:lineRule="exact"/>
        <w:ind w:firstLine="480" w:firstLineChars="200"/>
        <w:rPr>
          <w:sz w:val="24"/>
          <w:szCs w:val="24"/>
          <w:lang w:eastAsia="zh-CN"/>
        </w:rPr>
      </w:pPr>
      <w:r>
        <w:rPr>
          <w:rFonts w:hint="eastAsia"/>
          <w:sz w:val="24"/>
          <w:szCs w:val="24"/>
          <w:lang w:eastAsia="zh-CN"/>
        </w:rPr>
        <w:t>18.施工项目开工申请▲</w:t>
      </w:r>
    </w:p>
    <w:p>
      <w:pPr>
        <w:spacing w:line="300" w:lineRule="exact"/>
        <w:ind w:firstLine="480" w:firstLineChars="200"/>
        <w:rPr>
          <w:sz w:val="24"/>
          <w:szCs w:val="24"/>
          <w:lang w:eastAsia="zh-CN"/>
        </w:rPr>
      </w:pPr>
      <w:r>
        <w:rPr>
          <w:rFonts w:hint="eastAsia"/>
          <w:sz w:val="24"/>
          <w:szCs w:val="24"/>
          <w:lang w:eastAsia="zh-CN"/>
        </w:rPr>
        <w:t>19.提供承包合同、安全协议（复印件）▲</w:t>
      </w:r>
    </w:p>
    <w:p>
      <w:pPr>
        <w:spacing w:line="300" w:lineRule="exact"/>
        <w:ind w:firstLine="480" w:firstLineChars="200"/>
        <w:rPr>
          <w:sz w:val="24"/>
          <w:szCs w:val="24"/>
          <w:lang w:eastAsia="zh-CN"/>
        </w:rPr>
      </w:pPr>
      <w:r>
        <w:rPr>
          <w:rFonts w:hint="eastAsia"/>
          <w:sz w:val="24"/>
          <w:szCs w:val="24"/>
          <w:lang w:eastAsia="zh-CN"/>
        </w:rPr>
        <w:t>20.提供作业工器具清单、合格证</w:t>
      </w:r>
    </w:p>
    <w:p>
      <w:pPr>
        <w:spacing w:line="300" w:lineRule="exact"/>
        <w:ind w:firstLine="480" w:firstLineChars="200"/>
        <w:rPr>
          <w:rFonts w:hint="eastAsia"/>
          <w:sz w:val="24"/>
          <w:szCs w:val="24"/>
          <w:lang w:eastAsia="zh-CN"/>
        </w:rPr>
      </w:pPr>
      <w:r>
        <w:rPr>
          <w:rFonts w:hint="eastAsia"/>
          <w:sz w:val="24"/>
          <w:szCs w:val="24"/>
          <w:lang w:eastAsia="zh-CN"/>
        </w:rPr>
        <w:t>21.特殊作业人员清单、特种作业资格证▲</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2</w:t>
      </w:r>
      <w:r>
        <w:rPr>
          <w:rFonts w:hint="eastAsia"/>
          <w:sz w:val="24"/>
          <w:szCs w:val="24"/>
          <w:lang w:eastAsia="zh-CN"/>
        </w:rPr>
        <w:t>乙方自行配备施工现场围挡</w:t>
      </w:r>
    </w:p>
    <w:p>
      <w:pPr>
        <w:spacing w:line="300" w:lineRule="exact"/>
        <w:ind w:firstLine="480" w:firstLineChars="200"/>
        <w:rPr>
          <w:sz w:val="24"/>
          <w:szCs w:val="24"/>
          <w:lang w:eastAsia="zh-CN"/>
        </w:rPr>
      </w:pPr>
      <w:r>
        <w:rPr>
          <w:rFonts w:hint="eastAsia"/>
          <w:sz w:val="24"/>
          <w:szCs w:val="24"/>
          <w:lang w:eastAsia="zh-CN"/>
        </w:rPr>
        <w:t>2</w:t>
      </w:r>
      <w:r>
        <w:rPr>
          <w:sz w:val="24"/>
          <w:szCs w:val="24"/>
          <w:lang w:eastAsia="zh-CN"/>
        </w:rPr>
        <w:t>3.</w:t>
      </w:r>
      <w:r>
        <w:rPr>
          <w:rFonts w:hint="eastAsia"/>
          <w:sz w:val="24"/>
          <w:szCs w:val="24"/>
          <w:lang w:eastAsia="zh-CN"/>
        </w:rPr>
        <w:t>安全管理人员必须持安全管理人员证书</w:t>
      </w:r>
    </w:p>
    <w:p>
      <w:pPr>
        <w:spacing w:line="300" w:lineRule="exact"/>
        <w:ind w:firstLine="480" w:firstLineChars="200"/>
        <w:rPr>
          <w:rFonts w:hint="eastAsia"/>
          <w:sz w:val="24"/>
          <w:szCs w:val="24"/>
          <w:lang w:eastAsia="zh-CN"/>
        </w:rPr>
      </w:pPr>
    </w:p>
    <w:p>
      <w:pPr>
        <w:spacing w:line="300" w:lineRule="exact"/>
        <w:ind w:firstLine="460" w:firstLineChars="192"/>
        <w:rPr>
          <w:sz w:val="24"/>
          <w:szCs w:val="24"/>
          <w:lang w:eastAsia="zh-CN"/>
        </w:rPr>
      </w:pPr>
      <w:r>
        <w:rPr>
          <w:rFonts w:hint="eastAsia"/>
          <w:sz w:val="24"/>
          <w:szCs w:val="24"/>
          <w:lang w:eastAsia="zh-CN"/>
        </w:rPr>
        <w:t>以上资料作为外包项目承包商进入招标人作业的安全管理软件资料。有注▲的为必须合格项目，否则不具备入厂作业</w:t>
      </w:r>
    </w:p>
    <w:p>
      <w:pPr>
        <w:spacing w:line="276" w:lineRule="auto"/>
        <w:ind w:firstLine="480" w:firstLineChars="200"/>
        <w:rPr>
          <w:sz w:val="24"/>
          <w:szCs w:val="24"/>
          <w:lang w:eastAsia="zh-CN"/>
        </w:rPr>
      </w:pPr>
      <w:r>
        <w:rPr>
          <w:sz w:val="24"/>
          <w:szCs w:val="24"/>
          <w:lang w:eastAsia="zh-CN"/>
        </w:rPr>
        <w:t>（五）乙方应当制定项目施工方案。包括：施工负责人、施工步骤（实施的具体内容）、施工进度，明确作业过程可能发生的风险分析及防控措施和应急处置方案，经甲方审核批准后，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pPr>
        <w:spacing w:line="276" w:lineRule="auto"/>
        <w:ind w:firstLine="480" w:firstLineChars="200"/>
        <w:rPr>
          <w:sz w:val="24"/>
          <w:szCs w:val="24"/>
          <w:lang w:eastAsia="zh-CN"/>
        </w:rPr>
      </w:pPr>
      <w:r>
        <w:rPr>
          <w:rFonts w:hint="eastAsia"/>
          <w:sz w:val="24"/>
          <w:szCs w:val="24"/>
          <w:lang w:eastAsia="zh-CN"/>
        </w:rPr>
        <w:t>注意：不得安排未经上岗前职业健康检查的人员从事接触职业病危害的作业，不得安排有职业禁忌的人员从事其所禁忌的作业。</w:t>
      </w:r>
    </w:p>
    <w:p>
      <w:pPr>
        <w:spacing w:line="276" w:lineRule="auto"/>
        <w:ind w:firstLine="480" w:firstLineChars="200"/>
        <w:rPr>
          <w:sz w:val="24"/>
          <w:szCs w:val="24"/>
          <w:lang w:eastAsia="zh-CN"/>
        </w:rPr>
      </w:pPr>
      <w:r>
        <w:rPr>
          <w:sz w:val="24"/>
          <w:szCs w:val="24"/>
          <w:lang w:eastAsia="zh-CN"/>
        </w:rPr>
        <w:t>（六）</w:t>
      </w:r>
      <w:r>
        <w:rPr>
          <w:rFonts w:hint="eastAsia"/>
          <w:sz w:val="24"/>
          <w:szCs w:val="24"/>
          <w:lang w:eastAsia="zh-CN"/>
        </w:rPr>
        <w:t>乙方在作业时必须履行好如下工作要求：</w:t>
      </w:r>
    </w:p>
    <w:p>
      <w:pPr>
        <w:spacing w:line="420" w:lineRule="exact"/>
        <w:ind w:firstLine="480" w:firstLineChars="200"/>
        <w:rPr>
          <w:sz w:val="24"/>
          <w:lang w:eastAsia="zh-CN"/>
        </w:rPr>
      </w:pPr>
      <w:r>
        <w:rPr>
          <w:rFonts w:hint="eastAsia"/>
          <w:sz w:val="24"/>
          <w:lang w:eastAsia="zh-CN"/>
        </w:rPr>
        <w:t>1.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spacing w:line="420" w:lineRule="exact"/>
        <w:ind w:firstLine="480" w:firstLineChars="200"/>
        <w:rPr>
          <w:sz w:val="24"/>
          <w:lang w:eastAsia="zh-CN"/>
        </w:rPr>
      </w:pPr>
      <w:r>
        <w:rPr>
          <w:rFonts w:hint="eastAsia"/>
          <w:sz w:val="24"/>
          <w:szCs w:val="24"/>
          <w:lang w:eastAsia="zh-CN"/>
        </w:rPr>
        <w:t>2.</w:t>
      </w:r>
      <w:r>
        <w:rPr>
          <w:rFonts w:hint="eastAsia"/>
          <w:sz w:val="24"/>
          <w:lang w:eastAsia="zh-CN"/>
        </w:rPr>
        <w:t>作业时如需拉设警戒带的，提前采购好。</w:t>
      </w:r>
    </w:p>
    <w:p>
      <w:pPr>
        <w:spacing w:line="420" w:lineRule="exact"/>
        <w:ind w:firstLine="480" w:firstLineChars="200"/>
        <w:rPr>
          <w:sz w:val="24"/>
          <w:lang w:eastAsia="zh-CN"/>
        </w:rPr>
      </w:pPr>
      <w:r>
        <w:rPr>
          <w:rFonts w:hint="eastAsia"/>
          <w:sz w:val="24"/>
          <w:szCs w:val="24"/>
          <w:lang w:eastAsia="zh-CN"/>
        </w:rPr>
        <w:t>3.</w:t>
      </w:r>
      <w:r>
        <w:rPr>
          <w:rFonts w:hint="eastAsia"/>
          <w:sz w:val="24"/>
          <w:lang w:eastAsia="zh-CN"/>
        </w:rPr>
        <w:t>乙方每日作业前，必须参加甲方组织的班前会（安全技术交底）活动后方可安排作业。</w:t>
      </w:r>
    </w:p>
    <w:p>
      <w:pPr>
        <w:spacing w:line="420" w:lineRule="exact"/>
        <w:ind w:firstLine="480" w:firstLineChars="200"/>
        <w:rPr>
          <w:sz w:val="24"/>
          <w:lang w:eastAsia="zh-CN"/>
        </w:rPr>
      </w:pPr>
      <w:r>
        <w:rPr>
          <w:rFonts w:hint="eastAsia"/>
          <w:sz w:val="24"/>
          <w:szCs w:val="24"/>
          <w:lang w:eastAsia="zh-CN"/>
        </w:rPr>
        <w:t>4.</w:t>
      </w:r>
      <w:r>
        <w:rPr>
          <w:rFonts w:hint="eastAsia"/>
          <w:sz w:val="24"/>
          <w:lang w:eastAsia="zh-CN"/>
        </w:rPr>
        <w:t>所有人员进入甲方区域前，应佩戴好安全帽，统一穿前、后有反光条的工装（有公司简称）或穿反光背心，衣冠要整齐，反光背心前、后需印有乙方公司简称，如“广西一安</w:t>
      </w:r>
      <w:r>
        <w:rPr>
          <w:sz w:val="24"/>
          <w:lang w:eastAsia="zh-CN"/>
        </w:rPr>
        <w:t>”</w:t>
      </w:r>
      <w:r>
        <w:rPr>
          <w:rFonts w:hint="eastAsia"/>
          <w:sz w:val="24"/>
          <w:lang w:eastAsia="zh-CN"/>
        </w:rPr>
        <w:t>、“中国建筑”等明显字眼。乙方入厂作业前应准备好2-4件红色反光衣，前、后印刷有“安全监护人”字样，供专职安全监护人穿用。</w:t>
      </w:r>
    </w:p>
    <w:p>
      <w:pPr>
        <w:spacing w:line="420" w:lineRule="exact"/>
        <w:ind w:firstLine="480" w:firstLineChars="200"/>
        <w:rPr>
          <w:sz w:val="24"/>
          <w:lang w:eastAsia="zh-CN"/>
        </w:rPr>
      </w:pPr>
      <w:r>
        <w:rPr>
          <w:rFonts w:hint="eastAsia"/>
          <w:sz w:val="24"/>
          <w:szCs w:val="24"/>
          <w:lang w:eastAsia="zh-CN"/>
        </w:rPr>
        <w:t>5.</w:t>
      </w:r>
      <w:r>
        <w:rPr>
          <w:rFonts w:hint="eastAsia"/>
          <w:sz w:val="24"/>
          <w:lang w:eastAsia="zh-CN"/>
        </w:rPr>
        <w:t>乙方安排进入甲方区域的工程、运输车辆必须按照甲方要求配置爆闪灯、前后录像仪、倒车语音提示、前后影像、倒车雷达、示宽灯、车辆左右和后侧张贴反光条等。</w:t>
      </w:r>
    </w:p>
    <w:p>
      <w:pPr>
        <w:spacing w:line="420" w:lineRule="exact"/>
        <w:ind w:firstLine="480" w:firstLineChars="200"/>
        <w:rPr>
          <w:sz w:val="24"/>
          <w:lang w:eastAsia="zh-CN"/>
        </w:rPr>
      </w:pPr>
      <w:r>
        <w:rPr>
          <w:rFonts w:hint="eastAsia"/>
          <w:sz w:val="24"/>
          <w:szCs w:val="24"/>
          <w:lang w:eastAsia="zh-CN"/>
        </w:rPr>
        <w:t>6.</w:t>
      </w:r>
      <w:r>
        <w:rPr>
          <w:rFonts w:hint="eastAsia"/>
          <w:sz w:val="24"/>
          <w:lang w:eastAsia="zh-CN"/>
        </w:rPr>
        <w:t>乙方禁止私自在甲方区域接施工电箱主电源，由乙方向甲方申请临时用电，甲方派人接电，电气作业人员必须穿绝缘鞋。</w:t>
      </w:r>
    </w:p>
    <w:p>
      <w:pPr>
        <w:spacing w:line="420" w:lineRule="exact"/>
        <w:ind w:firstLine="480" w:firstLineChars="200"/>
        <w:rPr>
          <w:sz w:val="24"/>
          <w:lang w:eastAsia="zh-CN"/>
        </w:rPr>
      </w:pPr>
      <w:r>
        <w:rPr>
          <w:rFonts w:hint="eastAsia"/>
          <w:sz w:val="24"/>
          <w:szCs w:val="24"/>
          <w:lang w:eastAsia="zh-CN"/>
        </w:rPr>
        <w:t>7.</w:t>
      </w:r>
      <w:r>
        <w:rPr>
          <w:rFonts w:hint="eastAsia"/>
          <w:sz w:val="24"/>
          <w:lang w:eastAsia="zh-CN"/>
        </w:rPr>
        <w:t>乙方人员从事气割作业，除穿戴最基本的安全帽和反光背心外，必须戴难燃手套和墨镜。</w:t>
      </w:r>
    </w:p>
    <w:p>
      <w:pPr>
        <w:spacing w:line="420" w:lineRule="exact"/>
        <w:ind w:firstLine="480" w:firstLineChars="200"/>
        <w:rPr>
          <w:sz w:val="24"/>
          <w:lang w:eastAsia="zh-CN"/>
        </w:rPr>
      </w:pPr>
      <w:r>
        <w:rPr>
          <w:rFonts w:hint="eastAsia"/>
          <w:sz w:val="24"/>
          <w:szCs w:val="24"/>
          <w:lang w:eastAsia="zh-CN"/>
        </w:rPr>
        <w:t>8.</w:t>
      </w:r>
      <w:r>
        <w:rPr>
          <w:rFonts w:hint="eastAsia"/>
          <w:sz w:val="24"/>
          <w:lang w:eastAsia="zh-CN"/>
        </w:rPr>
        <w:t>乙方人员从事焊接作业，必须佩戴安全帽、绝缘鞋、电焊手套、电焊面罩，作业过程中禁止穿易燃的反光衣等，作业完毕后及时穿反光衣。</w:t>
      </w:r>
    </w:p>
    <w:p>
      <w:pPr>
        <w:spacing w:line="420" w:lineRule="exact"/>
        <w:ind w:firstLine="480" w:firstLineChars="200"/>
        <w:rPr>
          <w:sz w:val="24"/>
          <w:lang w:eastAsia="zh-CN"/>
        </w:rPr>
      </w:pPr>
      <w:r>
        <w:rPr>
          <w:rFonts w:hint="eastAsia"/>
          <w:sz w:val="24"/>
          <w:szCs w:val="24"/>
          <w:lang w:eastAsia="zh-CN"/>
        </w:rPr>
        <w:t>9.</w:t>
      </w:r>
      <w:r>
        <w:rPr>
          <w:rFonts w:hint="eastAsia"/>
          <w:sz w:val="24"/>
          <w:lang w:eastAsia="zh-CN"/>
        </w:rPr>
        <w:t>从事高处、临边作业必须佩戴安全带并挂好，没有条件要创造条件。搭设的脚手架必须符合规范等安全要求，原则上禁止使用竹、木头等易断材质作为搭设材料（锅炉炉膛除外），脚手架上的踏板必须铺满并固定好。</w:t>
      </w:r>
    </w:p>
    <w:p>
      <w:pPr>
        <w:spacing w:line="420" w:lineRule="exact"/>
        <w:ind w:firstLine="480" w:firstLineChars="200"/>
        <w:rPr>
          <w:sz w:val="24"/>
          <w:lang w:eastAsia="zh-CN"/>
        </w:rPr>
      </w:pPr>
      <w:r>
        <w:rPr>
          <w:rFonts w:hint="eastAsia"/>
          <w:sz w:val="24"/>
          <w:szCs w:val="24"/>
          <w:lang w:eastAsia="zh-CN"/>
        </w:rPr>
        <w:t>10.</w:t>
      </w:r>
      <w:r>
        <w:rPr>
          <w:rFonts w:hint="eastAsia"/>
          <w:sz w:val="24"/>
          <w:lang w:eastAsia="zh-CN"/>
        </w:rPr>
        <w:t>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spacing w:line="420" w:lineRule="exact"/>
        <w:ind w:firstLine="480" w:firstLineChars="200"/>
        <w:rPr>
          <w:sz w:val="24"/>
          <w:lang w:eastAsia="zh-CN"/>
        </w:rPr>
      </w:pPr>
      <w:r>
        <w:rPr>
          <w:rFonts w:hint="eastAsia"/>
          <w:sz w:val="24"/>
          <w:szCs w:val="24"/>
          <w:lang w:eastAsia="zh-CN"/>
        </w:rPr>
        <w:t>11.</w:t>
      </w:r>
      <w:r>
        <w:rPr>
          <w:rFonts w:hint="eastAsia"/>
          <w:sz w:val="24"/>
          <w:lang w:eastAsia="zh-CN"/>
        </w:rPr>
        <w:t>氧气乙炔瓶的管理，同一地点不允许存放超过5瓶及以上，作业时氧气乙炔两者应相距5米以上，气瓶距动火点相距10米以上，同时做好防晒、防回火和防倾倒措施，气管、压力表等要符合国标要求。</w:t>
      </w:r>
    </w:p>
    <w:p>
      <w:pPr>
        <w:spacing w:line="420" w:lineRule="exact"/>
        <w:ind w:firstLine="480" w:firstLineChars="200"/>
        <w:rPr>
          <w:sz w:val="24"/>
          <w:lang w:eastAsia="zh-CN"/>
        </w:rPr>
      </w:pPr>
      <w:r>
        <w:rPr>
          <w:rFonts w:hint="eastAsia"/>
          <w:sz w:val="24"/>
          <w:szCs w:val="24"/>
          <w:lang w:eastAsia="zh-CN"/>
        </w:rPr>
        <w:t>12.</w:t>
      </w:r>
      <w:r>
        <w:rPr>
          <w:rFonts w:hint="eastAsia"/>
          <w:sz w:val="24"/>
          <w:lang w:eastAsia="zh-CN"/>
        </w:rPr>
        <w:t>砂轮机、切割、敲击、风炮机等作业必须佩戴防冲击眼镜。</w:t>
      </w:r>
    </w:p>
    <w:p>
      <w:pPr>
        <w:spacing w:line="420" w:lineRule="exact"/>
        <w:ind w:firstLine="480" w:firstLineChars="200"/>
        <w:rPr>
          <w:sz w:val="24"/>
          <w:lang w:eastAsia="zh-CN"/>
        </w:rPr>
      </w:pPr>
      <w:r>
        <w:rPr>
          <w:rFonts w:hint="eastAsia"/>
          <w:sz w:val="24"/>
          <w:szCs w:val="24"/>
          <w:lang w:eastAsia="zh-CN"/>
        </w:rPr>
        <w:t>13.</w:t>
      </w:r>
      <w:r>
        <w:rPr>
          <w:rFonts w:hint="eastAsia"/>
          <w:sz w:val="24"/>
          <w:lang w:eastAsia="zh-CN"/>
        </w:rPr>
        <w:t>原则上禁止开展高处抛物作业，上下梯子禁止手拿工具或其它物品。</w:t>
      </w:r>
    </w:p>
    <w:p>
      <w:pPr>
        <w:spacing w:line="420" w:lineRule="exact"/>
        <w:ind w:firstLine="480" w:firstLineChars="200"/>
        <w:rPr>
          <w:sz w:val="24"/>
          <w:lang w:eastAsia="zh-CN"/>
        </w:rPr>
      </w:pPr>
      <w:r>
        <w:rPr>
          <w:rFonts w:hint="eastAsia"/>
          <w:sz w:val="24"/>
          <w:szCs w:val="24"/>
          <w:lang w:eastAsia="zh-CN"/>
        </w:rPr>
        <w:t>14.</w:t>
      </w:r>
      <w:r>
        <w:rPr>
          <w:rFonts w:hint="eastAsia"/>
          <w:sz w:val="24"/>
          <w:lang w:eastAsia="zh-CN"/>
        </w:rPr>
        <w:t>现场施工用电线横跨人行通道要求悬挂高度2米以上（悬挂点必须做好绝缘措施）或做好警戒隔离措施。</w:t>
      </w:r>
    </w:p>
    <w:p>
      <w:pPr>
        <w:spacing w:line="420" w:lineRule="exact"/>
        <w:ind w:firstLine="480" w:firstLineChars="200"/>
        <w:rPr>
          <w:sz w:val="24"/>
          <w:lang w:eastAsia="zh-CN"/>
        </w:rPr>
      </w:pPr>
      <w:r>
        <w:rPr>
          <w:rFonts w:hint="eastAsia"/>
          <w:sz w:val="24"/>
          <w:szCs w:val="24"/>
          <w:lang w:eastAsia="zh-CN"/>
        </w:rPr>
        <w:t>15.</w:t>
      </w:r>
      <w:r>
        <w:rPr>
          <w:rFonts w:hint="eastAsia"/>
          <w:sz w:val="24"/>
          <w:lang w:eastAsia="zh-CN"/>
        </w:rPr>
        <w:t>乙方须为作业人员统一配发符合国家或行业标准的劳动防护用品，并监督按照规则标准，正确佩戴、使用。乙方负责其工作人员按标准佩戴、使用劳动防护用品。除电焊、电工作业要求穿绝缘鞋外，其他人员进入施工现场禁止穿拖鞋、凉鞋、高跟鞋，应选择与工种相适应的鞋子，如存在高能量物体冲击砸伤足部的危险作业应穿保护足趾安全鞋、存在锐利物的作业场所应穿防刺穿鞋、涉及酸、碱、化学药品等作业应穿耐化学品的工业用橡胶靴或模压塑料靴。具体详见《GBT 29510 个体防护装备配备基本要求》。</w:t>
      </w:r>
    </w:p>
    <w:p>
      <w:pPr>
        <w:spacing w:line="420" w:lineRule="exact"/>
        <w:ind w:firstLine="480" w:firstLineChars="200"/>
        <w:rPr>
          <w:sz w:val="24"/>
          <w:lang w:eastAsia="zh-CN"/>
        </w:rPr>
      </w:pPr>
      <w:r>
        <w:rPr>
          <w:rFonts w:hint="eastAsia"/>
          <w:sz w:val="24"/>
          <w:szCs w:val="24"/>
          <w:lang w:eastAsia="zh-CN"/>
        </w:rPr>
        <w:t>16.</w:t>
      </w:r>
      <w:r>
        <w:rPr>
          <w:rFonts w:hint="eastAsia"/>
          <w:sz w:val="24"/>
          <w:lang w:eastAsia="zh-CN"/>
        </w:rPr>
        <w:t>基坑开挖和物料堆放必须符合规范要求，防止出现坍塌事件。</w:t>
      </w:r>
    </w:p>
    <w:p>
      <w:pPr>
        <w:spacing w:line="420" w:lineRule="exact"/>
        <w:ind w:firstLine="480" w:firstLineChars="200"/>
        <w:rPr>
          <w:sz w:val="24"/>
          <w:lang w:eastAsia="zh-CN"/>
        </w:rPr>
      </w:pPr>
      <w:r>
        <w:rPr>
          <w:rFonts w:hint="eastAsia"/>
          <w:sz w:val="24"/>
          <w:szCs w:val="24"/>
          <w:lang w:eastAsia="zh-CN"/>
        </w:rPr>
        <w:t>17.</w:t>
      </w:r>
      <w:r>
        <w:rPr>
          <w:rFonts w:hint="eastAsia"/>
          <w:sz w:val="24"/>
          <w:lang w:eastAsia="zh-CN"/>
        </w:rPr>
        <w:t>凡未经确认的线路、管道、容器一律视为有电、有压力、正在运行。不得挪用或者擅自拆除、停用消防设施、器材，不得埋压圈占、遮挡消防栓、不得占用防火间距，不得占用、堵塞、封闭疏散通道、安全出口与消防车通道。</w:t>
      </w:r>
    </w:p>
    <w:p>
      <w:pPr>
        <w:spacing w:line="420" w:lineRule="exact"/>
        <w:ind w:firstLine="480" w:firstLineChars="200"/>
        <w:rPr>
          <w:sz w:val="24"/>
          <w:lang w:eastAsia="zh-CN"/>
        </w:rPr>
      </w:pPr>
      <w:r>
        <w:rPr>
          <w:rFonts w:hint="eastAsia"/>
          <w:sz w:val="24"/>
          <w:szCs w:val="24"/>
          <w:lang w:eastAsia="zh-CN"/>
        </w:rPr>
        <w:t>18.</w:t>
      </w:r>
      <w:r>
        <w:rPr>
          <w:rFonts w:hint="eastAsia"/>
          <w:sz w:val="24"/>
          <w:lang w:eastAsia="zh-CN"/>
        </w:rPr>
        <w:t>人员在厂区行走时，原则上只允许行走人行通道、斑马线和甲方指定的区域，禁止跨越隔离栏，乱走、乱跑，不得擅自进入与作业无关的区域。</w:t>
      </w:r>
    </w:p>
    <w:p>
      <w:pPr>
        <w:spacing w:line="420" w:lineRule="exact"/>
        <w:ind w:firstLine="480" w:firstLineChars="200"/>
        <w:rPr>
          <w:sz w:val="24"/>
          <w:lang w:eastAsia="zh-CN"/>
        </w:rPr>
      </w:pPr>
      <w:r>
        <w:rPr>
          <w:rFonts w:hint="eastAsia"/>
          <w:sz w:val="24"/>
          <w:szCs w:val="24"/>
          <w:lang w:eastAsia="zh-CN"/>
        </w:rPr>
        <w:t>19.</w:t>
      </w:r>
      <w:r>
        <w:rPr>
          <w:rFonts w:hint="eastAsia"/>
          <w:sz w:val="24"/>
          <w:lang w:eastAsia="zh-CN"/>
        </w:rPr>
        <w:t>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spacing w:line="420" w:lineRule="exact"/>
        <w:ind w:firstLine="480" w:firstLineChars="200"/>
        <w:rPr>
          <w:sz w:val="24"/>
          <w:lang w:eastAsia="zh-CN"/>
        </w:rPr>
      </w:pPr>
      <w:r>
        <w:rPr>
          <w:rFonts w:hint="eastAsia"/>
          <w:sz w:val="24"/>
          <w:szCs w:val="24"/>
          <w:lang w:eastAsia="zh-CN"/>
        </w:rPr>
        <w:t>20.</w:t>
      </w:r>
      <w:r>
        <w:rPr>
          <w:rFonts w:hint="eastAsia"/>
          <w:sz w:val="24"/>
          <w:lang w:eastAsia="zh-CN"/>
        </w:rPr>
        <w:t>乙方施工（安装）区域的施工（安装）设备、临时用电设施、脚手架、出入通道口、楼梯口、危险有害气体或液体存放处等危险部位，应设置明显的安全警示标志、围栏，危险警示标志、围栏符合国家标准。</w:t>
      </w:r>
    </w:p>
    <w:p>
      <w:pPr>
        <w:spacing w:line="420" w:lineRule="exact"/>
        <w:ind w:firstLine="480" w:firstLineChars="200"/>
        <w:rPr>
          <w:sz w:val="24"/>
          <w:lang w:eastAsia="zh-CN"/>
        </w:rPr>
      </w:pPr>
      <w:r>
        <w:rPr>
          <w:rFonts w:hint="eastAsia"/>
          <w:sz w:val="24"/>
          <w:szCs w:val="24"/>
          <w:lang w:eastAsia="zh-CN"/>
        </w:rPr>
        <w:t>21.</w:t>
      </w:r>
      <w:r>
        <w:rPr>
          <w:rFonts w:hint="eastAsia"/>
          <w:sz w:val="24"/>
          <w:lang w:eastAsia="zh-CN"/>
        </w:rPr>
        <w:t>乙方所用工具、材料、备品备件应码放平稳，不得存在有倾翻、滚动、坠落和其它危险隐患。</w:t>
      </w:r>
    </w:p>
    <w:p>
      <w:pPr>
        <w:spacing w:line="420" w:lineRule="exact"/>
        <w:ind w:firstLine="480" w:firstLineChars="200"/>
        <w:rPr>
          <w:sz w:val="24"/>
          <w:lang w:eastAsia="zh-CN"/>
        </w:rPr>
      </w:pPr>
      <w:r>
        <w:rPr>
          <w:rFonts w:hint="eastAsia"/>
          <w:sz w:val="24"/>
          <w:szCs w:val="24"/>
          <w:lang w:eastAsia="zh-CN"/>
        </w:rPr>
        <w:t>22.乙方缴纳的履约保证金同时作为安全、环保风险抵押金使用，乙方发生事故罚款时，履约保证金不足，可从合同金额中扣除。项目验收结束且确认乙方无违规、事故后，甲方无息返还乙方风险抵押金。若乙方发生安全事故或违规，甲方根据事故或违规考核情况，按本协议第二条扣罚部分或全部风险抵押金。</w:t>
      </w:r>
    </w:p>
    <w:p>
      <w:pPr>
        <w:spacing w:line="420" w:lineRule="exact"/>
        <w:ind w:firstLine="480" w:firstLineChars="200"/>
        <w:rPr>
          <w:sz w:val="24"/>
          <w:szCs w:val="24"/>
          <w:lang w:eastAsia="zh-CN"/>
        </w:rPr>
      </w:pPr>
      <w:r>
        <w:rPr>
          <w:rFonts w:hint="eastAsia"/>
          <w:sz w:val="24"/>
          <w:szCs w:val="24"/>
          <w:lang w:eastAsia="zh-CN"/>
        </w:rPr>
        <w:t>23.乙方作业现场发生事故的，应立即报告监理和甲方，</w:t>
      </w:r>
      <w:r>
        <w:rPr>
          <w:sz w:val="24"/>
          <w:szCs w:val="24"/>
          <w:lang w:eastAsia="zh-CN"/>
        </w:rPr>
        <w:t>乙方应按《生产安全事故报告和调查处理条例》</w:t>
      </w:r>
      <w:r>
        <w:rPr>
          <w:rFonts w:hint="eastAsia"/>
          <w:sz w:val="24"/>
          <w:szCs w:val="24"/>
          <w:lang w:eastAsia="zh-CN"/>
        </w:rPr>
        <w:t>等法律、法规、规章的规定报告，并按照专项应急预案或者应急处置方案立即开展事故救援</w:t>
      </w:r>
      <w:r>
        <w:rPr>
          <w:sz w:val="24"/>
          <w:szCs w:val="24"/>
          <w:lang w:eastAsia="zh-CN"/>
        </w:rPr>
        <w:t>。</w:t>
      </w:r>
    </w:p>
    <w:p>
      <w:pPr>
        <w:spacing w:line="420" w:lineRule="exact"/>
        <w:ind w:firstLine="480" w:firstLineChars="200"/>
        <w:rPr>
          <w:sz w:val="24"/>
          <w:szCs w:val="24"/>
          <w:lang w:eastAsia="zh-CN"/>
        </w:rPr>
      </w:pPr>
      <w:r>
        <w:rPr>
          <w:rFonts w:hint="eastAsia"/>
          <w:sz w:val="24"/>
          <w:szCs w:val="24"/>
          <w:lang w:eastAsia="zh-CN"/>
        </w:rPr>
        <w:t>24.乙方不得随意更换项目关键人员，关键人员离开现场应提前告知甲方，并办理相关审批手续。</w:t>
      </w:r>
    </w:p>
    <w:p>
      <w:pPr>
        <w:spacing w:line="420" w:lineRule="exact"/>
        <w:ind w:firstLine="480" w:firstLineChars="200"/>
        <w:rPr>
          <w:sz w:val="24"/>
          <w:szCs w:val="24"/>
          <w:lang w:eastAsia="zh-CN"/>
        </w:rPr>
      </w:pPr>
      <w:r>
        <w:rPr>
          <w:rFonts w:hint="eastAsia"/>
          <w:sz w:val="24"/>
          <w:szCs w:val="24"/>
          <w:lang w:eastAsia="zh-CN"/>
        </w:rPr>
        <w:t>25.作业现场暂时停工的，乙方须做好现场安全防护工作。</w:t>
      </w:r>
    </w:p>
    <w:p>
      <w:pPr>
        <w:spacing w:line="420" w:lineRule="exact"/>
        <w:ind w:firstLine="480" w:firstLineChars="200"/>
        <w:rPr>
          <w:sz w:val="24"/>
          <w:szCs w:val="24"/>
          <w:lang w:eastAsia="zh-CN"/>
        </w:rPr>
      </w:pPr>
      <w:r>
        <w:rPr>
          <w:rFonts w:hint="eastAsia"/>
          <w:sz w:val="24"/>
          <w:szCs w:val="24"/>
          <w:lang w:eastAsia="zh-CN"/>
        </w:rPr>
        <w:t>26.</w:t>
      </w:r>
      <w:r>
        <w:rPr>
          <w:rFonts w:hint="eastAsia"/>
          <w:bCs/>
          <w:sz w:val="24"/>
          <w:lang w:eastAsia="zh-CN"/>
        </w:rPr>
        <w:t>乙方在施工前，</w:t>
      </w:r>
      <w:r>
        <w:rPr>
          <w:bCs/>
          <w:sz w:val="24"/>
          <w:lang w:eastAsia="zh-CN"/>
        </w:rPr>
        <w:t>须</w:t>
      </w:r>
      <w:r>
        <w:rPr>
          <w:rFonts w:hint="eastAsia"/>
          <w:bCs/>
          <w:sz w:val="24"/>
          <w:lang w:eastAsia="zh-CN"/>
        </w:rPr>
        <w:t>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spacing w:line="420" w:lineRule="exact"/>
        <w:ind w:firstLine="480" w:firstLineChars="200"/>
        <w:rPr>
          <w:sz w:val="24"/>
          <w:szCs w:val="24"/>
          <w:lang w:eastAsia="zh-CN"/>
        </w:rPr>
      </w:pPr>
      <w:r>
        <w:rPr>
          <w:rFonts w:hint="eastAsia"/>
          <w:sz w:val="24"/>
          <w:szCs w:val="24"/>
          <w:lang w:eastAsia="zh-CN"/>
        </w:rPr>
        <w:t>27.</w:t>
      </w:r>
      <w:r>
        <w:rPr>
          <w:rFonts w:hint="eastAsia"/>
          <w:sz w:val="24"/>
          <w:lang w:eastAsia="zh-CN"/>
        </w:rPr>
        <w:t>乙方到甲方开展的施工项目，项目各施工小组（点）人数达3-7人的要设1名现场负责人，7人以上共同作业或从事危险作业的要设1名专职安全监护人，监护人专门负责小组（点）施工安全监护。施工方</w:t>
      </w:r>
      <w:r>
        <w:rPr>
          <w:sz w:val="24"/>
          <w:lang w:eastAsia="zh-CN"/>
        </w:rPr>
        <w:t>作业人数大于或等于</w:t>
      </w:r>
      <w:r>
        <w:rPr>
          <w:rFonts w:hint="eastAsia"/>
          <w:sz w:val="24"/>
          <w:lang w:eastAsia="zh-CN"/>
        </w:rPr>
        <w:t>7人</w:t>
      </w:r>
      <w:r>
        <w:rPr>
          <w:sz w:val="24"/>
          <w:lang w:eastAsia="zh-CN"/>
        </w:rPr>
        <w:t>的</w:t>
      </w:r>
      <w:r>
        <w:rPr>
          <w:rFonts w:hint="eastAsia"/>
          <w:sz w:val="24"/>
          <w:lang w:eastAsia="zh-CN"/>
        </w:rPr>
        <w:t>必须</w:t>
      </w:r>
      <w:r>
        <w:rPr>
          <w:sz w:val="24"/>
          <w:lang w:eastAsia="zh-CN"/>
        </w:rPr>
        <w:t>要配置专职</w:t>
      </w:r>
      <w:r>
        <w:rPr>
          <w:rFonts w:hint="eastAsia"/>
          <w:sz w:val="24"/>
          <w:lang w:eastAsia="zh-CN"/>
        </w:rPr>
        <w:t>监护人。</w:t>
      </w:r>
    </w:p>
    <w:p>
      <w:pPr>
        <w:spacing w:line="420" w:lineRule="exact"/>
        <w:ind w:firstLine="480" w:firstLineChars="200"/>
        <w:rPr>
          <w:sz w:val="24"/>
          <w:szCs w:val="24"/>
          <w:lang w:eastAsia="zh-CN"/>
        </w:rPr>
      </w:pPr>
      <w:r>
        <w:rPr>
          <w:rFonts w:hint="eastAsia"/>
          <w:sz w:val="24"/>
          <w:szCs w:val="24"/>
          <w:lang w:eastAsia="zh-CN"/>
        </w:rPr>
        <w:t>28.</w:t>
      </w:r>
      <w:r>
        <w:rPr>
          <w:sz w:val="24"/>
          <w:lang w:eastAsia="zh-CN"/>
        </w:rPr>
        <w:t>专职</w:t>
      </w:r>
      <w:r>
        <w:rPr>
          <w:rFonts w:hint="eastAsia"/>
          <w:sz w:val="24"/>
          <w:lang w:eastAsia="zh-CN"/>
        </w:rPr>
        <w:t>监护人</w:t>
      </w:r>
      <w:r>
        <w:rPr>
          <w:sz w:val="24"/>
          <w:lang w:eastAsia="zh-CN"/>
        </w:rPr>
        <w:t>禁止参与任何作业</w:t>
      </w:r>
      <w:r>
        <w:rPr>
          <w:rFonts w:hint="eastAsia"/>
          <w:sz w:val="24"/>
          <w:lang w:eastAsia="zh-CN"/>
        </w:rPr>
        <w:t>活动</w:t>
      </w:r>
      <w:r>
        <w:rPr>
          <w:sz w:val="24"/>
          <w:lang w:eastAsia="zh-CN"/>
        </w:rPr>
        <w:t>，主要履行现场安全监</w:t>
      </w:r>
      <w:r>
        <w:rPr>
          <w:rFonts w:hint="eastAsia"/>
          <w:sz w:val="24"/>
          <w:lang w:eastAsia="zh-CN"/>
        </w:rPr>
        <w:t>护</w:t>
      </w:r>
      <w:r>
        <w:rPr>
          <w:sz w:val="24"/>
          <w:lang w:eastAsia="zh-CN"/>
        </w:rPr>
        <w:t>职责</w:t>
      </w:r>
      <w:r>
        <w:rPr>
          <w:rFonts w:hint="eastAsia"/>
          <w:sz w:val="24"/>
          <w:lang w:eastAsia="zh-CN"/>
        </w:rPr>
        <w:t>,专职监护人必须穿专用红色“安全监护人”反光背心</w:t>
      </w:r>
      <w:r>
        <w:rPr>
          <w:sz w:val="24"/>
          <w:lang w:eastAsia="zh-CN"/>
        </w:rPr>
        <w:t>。</w:t>
      </w:r>
    </w:p>
    <w:p>
      <w:pPr>
        <w:spacing w:line="420" w:lineRule="exact"/>
        <w:ind w:firstLine="480" w:firstLineChars="200"/>
        <w:rPr>
          <w:sz w:val="24"/>
          <w:szCs w:val="24"/>
          <w:lang w:eastAsia="zh-CN"/>
        </w:rPr>
      </w:pPr>
      <w:r>
        <w:rPr>
          <w:rFonts w:hint="eastAsia"/>
          <w:sz w:val="24"/>
          <w:szCs w:val="24"/>
          <w:lang w:eastAsia="zh-CN"/>
        </w:rPr>
        <w:t>29.</w:t>
      </w:r>
      <w:r>
        <w:rPr>
          <w:rFonts w:hint="eastAsia"/>
          <w:bCs/>
          <w:sz w:val="24"/>
          <w:lang w:eastAsia="zh-CN"/>
        </w:rPr>
        <w:t>乙方必须设置安全管理员及卫生专员，每日负责做好作业区域内的安全、文明施工工作，做到有轮必有罩、有轴必有套、梯台必有栏、井沟必有盖及工完场清等，营造良好的安全、文明工作环境。</w:t>
      </w:r>
    </w:p>
    <w:p>
      <w:pPr>
        <w:spacing w:line="420" w:lineRule="exact"/>
        <w:ind w:firstLine="480" w:firstLineChars="200"/>
        <w:rPr>
          <w:sz w:val="24"/>
          <w:szCs w:val="24"/>
          <w:lang w:eastAsia="zh-CN"/>
        </w:rPr>
      </w:pPr>
      <w:r>
        <w:rPr>
          <w:rFonts w:hint="eastAsia"/>
          <w:sz w:val="24"/>
          <w:szCs w:val="24"/>
          <w:lang w:eastAsia="zh-CN"/>
        </w:rPr>
        <w:t>30.</w:t>
      </w:r>
      <w:r>
        <w:rPr>
          <w:rFonts w:hint="eastAsia"/>
          <w:sz w:val="24"/>
          <w:lang w:eastAsia="zh-CN"/>
        </w:rPr>
        <w:t>其它法律、法规、标准、规范、地方文件等要求的事项。</w:t>
      </w:r>
    </w:p>
    <w:p>
      <w:pPr>
        <w:spacing w:line="276" w:lineRule="auto"/>
        <w:ind w:firstLine="480" w:firstLineChars="200"/>
        <w:rPr>
          <w:sz w:val="24"/>
          <w:szCs w:val="24"/>
          <w:lang w:eastAsia="zh-CN"/>
        </w:rPr>
      </w:pPr>
      <w:bookmarkStart w:id="320" w:name="_Toc396037057"/>
      <w:bookmarkStart w:id="321" w:name="_Toc389985362"/>
      <w:bookmarkStart w:id="322" w:name="_Toc384944720"/>
      <w:bookmarkStart w:id="323" w:name="_Toc442133374"/>
      <w:bookmarkStart w:id="324" w:name="_Toc451698743"/>
      <w:bookmarkStart w:id="325" w:name="_Toc434694366"/>
      <w:bookmarkStart w:id="326" w:name="_Toc383301030"/>
      <w:bookmarkStart w:id="327" w:name="_Toc442022104"/>
      <w:bookmarkStart w:id="328" w:name="_Toc442016145"/>
      <w:bookmarkStart w:id="329" w:name="_Toc381911469"/>
      <w:bookmarkStart w:id="330" w:name="_Toc396036413"/>
      <w:bookmarkStart w:id="331" w:name="_Hlk132406554"/>
      <w:r>
        <w:rPr>
          <w:sz w:val="24"/>
          <w:szCs w:val="24"/>
          <w:lang w:eastAsia="zh-CN"/>
        </w:rPr>
        <w:t>第五条 隐患排查与治理</w:t>
      </w:r>
      <w:bookmarkEnd w:id="320"/>
      <w:bookmarkEnd w:id="321"/>
      <w:bookmarkEnd w:id="322"/>
      <w:bookmarkEnd w:id="323"/>
      <w:bookmarkEnd w:id="324"/>
      <w:bookmarkEnd w:id="325"/>
      <w:bookmarkEnd w:id="326"/>
      <w:bookmarkEnd w:id="327"/>
      <w:bookmarkEnd w:id="328"/>
      <w:bookmarkEnd w:id="329"/>
      <w:bookmarkEnd w:id="330"/>
    </w:p>
    <w:p>
      <w:pPr>
        <w:spacing w:line="276" w:lineRule="auto"/>
        <w:ind w:firstLine="480" w:firstLineChars="200"/>
        <w:rPr>
          <w:sz w:val="24"/>
          <w:szCs w:val="24"/>
          <w:lang w:eastAsia="zh-CN"/>
        </w:rPr>
      </w:pPr>
      <w:r>
        <w:rPr>
          <w:sz w:val="24"/>
          <w:szCs w:val="24"/>
          <w:lang w:eastAsia="zh-CN"/>
        </w:rPr>
        <w:t>（一）甲方应当建立健全事故隐患排查治理和建档、监控等项制度，对项目现场进行隐患排查并督促乙方整改，定期对隐患排查治理情况进行统计分析与报告。</w:t>
      </w:r>
    </w:p>
    <w:p>
      <w:pPr>
        <w:spacing w:line="276" w:lineRule="auto"/>
        <w:ind w:firstLine="480" w:firstLineChars="200"/>
        <w:rPr>
          <w:sz w:val="24"/>
          <w:szCs w:val="24"/>
          <w:lang w:eastAsia="zh-CN"/>
        </w:rPr>
      </w:pPr>
      <w:r>
        <w:rPr>
          <w:sz w:val="24"/>
          <w:szCs w:val="24"/>
          <w:lang w:eastAsia="zh-CN"/>
        </w:rPr>
        <w:t>(二)</w:t>
      </w:r>
      <w:r>
        <w:rPr>
          <w:rFonts w:hint="eastAsia"/>
          <w:sz w:val="24"/>
          <w:szCs w:val="24"/>
          <w:lang w:eastAsia="zh-CN"/>
        </w:rPr>
        <w:t>乙方应组织相关单位及外包单位对其所从事的作业活动开展危险源辨识工作。</w:t>
      </w:r>
    </w:p>
    <w:p>
      <w:pPr>
        <w:spacing w:line="276" w:lineRule="auto"/>
        <w:ind w:firstLine="480" w:firstLineChars="200"/>
        <w:rPr>
          <w:sz w:val="24"/>
          <w:szCs w:val="24"/>
          <w:lang w:eastAsia="zh-CN"/>
        </w:rPr>
      </w:pPr>
      <w:r>
        <w:rPr>
          <w:sz w:val="24"/>
          <w:szCs w:val="24"/>
          <w:lang w:eastAsia="zh-CN"/>
        </w:rPr>
        <w:t>(三)乙方应当定期排查并及时治理项目作业范围内的事故隐患（包括甲方人员排查及要求整改的事故隐患），建立台账，做好相关记录，并及时向甲方报告。</w:t>
      </w:r>
    </w:p>
    <w:p>
      <w:pPr>
        <w:spacing w:line="276" w:lineRule="auto"/>
        <w:ind w:firstLine="480" w:firstLineChars="200"/>
        <w:rPr>
          <w:sz w:val="24"/>
          <w:szCs w:val="24"/>
          <w:lang w:eastAsia="zh-CN"/>
        </w:rPr>
      </w:pPr>
      <w:r>
        <w:rPr>
          <w:sz w:val="24"/>
          <w:szCs w:val="24"/>
          <w:lang w:eastAsia="zh-CN"/>
        </w:rPr>
        <w:t>(</w:t>
      </w:r>
      <w:r>
        <w:rPr>
          <w:rFonts w:hint="eastAsia"/>
          <w:sz w:val="24"/>
          <w:szCs w:val="24"/>
          <w:lang w:eastAsia="zh-CN"/>
        </w:rPr>
        <w:t>四</w:t>
      </w:r>
      <w:r>
        <w:rPr>
          <w:sz w:val="24"/>
          <w:szCs w:val="24"/>
          <w:lang w:eastAsia="zh-CN"/>
        </w:rPr>
        <w:t>)乙方在项目作业范围内发现重大事故隐患后不能立即治理的，应当采取必要的防范措施，并及时书面报告甲方协商解决，消除事故隐患。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bookmarkStart w:id="332" w:name="_Toc396036414"/>
      <w:bookmarkStart w:id="333" w:name="_Toc451698744"/>
      <w:bookmarkStart w:id="334" w:name="_Toc381911470"/>
      <w:bookmarkStart w:id="335" w:name="_Toc442133375"/>
      <w:bookmarkStart w:id="336" w:name="_Toc442022105"/>
      <w:bookmarkStart w:id="337" w:name="_Toc434694367"/>
      <w:bookmarkStart w:id="338" w:name="_Toc442016146"/>
      <w:bookmarkStart w:id="339" w:name="_Toc384944721"/>
      <w:bookmarkStart w:id="340" w:name="_Toc383301031"/>
      <w:bookmarkStart w:id="341" w:name="_Toc389985363"/>
      <w:bookmarkStart w:id="342" w:name="_Toc396037058"/>
      <w:r>
        <w:rPr>
          <w:sz w:val="24"/>
          <w:szCs w:val="24"/>
          <w:lang w:eastAsia="zh-CN"/>
        </w:rPr>
        <w:t>第六条 安全教育与培训</w:t>
      </w:r>
      <w:bookmarkEnd w:id="332"/>
      <w:bookmarkEnd w:id="333"/>
      <w:bookmarkEnd w:id="334"/>
      <w:bookmarkEnd w:id="335"/>
      <w:bookmarkEnd w:id="336"/>
      <w:bookmarkEnd w:id="337"/>
      <w:bookmarkEnd w:id="338"/>
      <w:bookmarkEnd w:id="339"/>
      <w:bookmarkEnd w:id="340"/>
      <w:bookmarkEnd w:id="341"/>
      <w:bookmarkEnd w:id="342"/>
    </w:p>
    <w:p>
      <w:pPr>
        <w:spacing w:line="276" w:lineRule="auto"/>
        <w:ind w:firstLine="480" w:firstLineChars="200"/>
        <w:rPr>
          <w:sz w:val="24"/>
          <w:szCs w:val="24"/>
          <w:lang w:eastAsia="zh-CN"/>
        </w:rPr>
      </w:pPr>
      <w:r>
        <w:rPr>
          <w:sz w:val="24"/>
          <w:szCs w:val="24"/>
          <w:lang w:eastAsia="zh-CN"/>
        </w:rPr>
        <w:t>(一)甲方应当对乙方的安全教育与培训工作进行指导。</w:t>
      </w:r>
    </w:p>
    <w:p>
      <w:pPr>
        <w:spacing w:line="276" w:lineRule="auto"/>
        <w:ind w:firstLine="480" w:firstLineChars="200"/>
        <w:rPr>
          <w:sz w:val="24"/>
          <w:szCs w:val="24"/>
          <w:lang w:eastAsia="zh-CN"/>
        </w:rPr>
      </w:pPr>
      <w:r>
        <w:rPr>
          <w:sz w:val="24"/>
          <w:szCs w:val="24"/>
          <w:lang w:eastAsia="zh-CN"/>
        </w:rPr>
        <w:t>(二)甲方应当监督检查乙方开展员工安全教育培训工作情况。</w:t>
      </w:r>
    </w:p>
    <w:p>
      <w:pPr>
        <w:spacing w:line="276" w:lineRule="auto"/>
        <w:ind w:firstLine="480" w:firstLineChars="200"/>
        <w:rPr>
          <w:sz w:val="24"/>
          <w:szCs w:val="24"/>
          <w:lang w:eastAsia="zh-CN"/>
        </w:rPr>
      </w:pPr>
      <w:r>
        <w:rPr>
          <w:sz w:val="24"/>
          <w:szCs w:val="24"/>
          <w:lang w:eastAsia="zh-CN"/>
        </w:rPr>
        <w:t>(三)乙方应当制定本单位的安全教育培训工作计划。</w:t>
      </w:r>
      <w:r>
        <w:rPr>
          <w:rFonts w:hint="eastAsia"/>
          <w:sz w:val="24"/>
          <w:szCs w:val="24"/>
          <w:lang w:eastAsia="zh-CN"/>
        </w:rPr>
        <w:t>在作业项目开工前必须对参加作业人员进行安全教育培训和考试，保证从业人员掌握必需的安全生产知识、提高安全生产技能和应急逃生知识，同时对本单位员工开展“三级”安全教育。</w:t>
      </w:r>
    </w:p>
    <w:p>
      <w:pPr>
        <w:spacing w:line="276" w:lineRule="auto"/>
        <w:ind w:firstLine="480" w:firstLineChars="200"/>
        <w:rPr>
          <w:sz w:val="24"/>
          <w:szCs w:val="24"/>
          <w:lang w:eastAsia="zh-CN"/>
        </w:rPr>
      </w:pPr>
      <w:r>
        <w:rPr>
          <w:sz w:val="24"/>
          <w:szCs w:val="24"/>
          <w:lang w:eastAsia="zh-CN"/>
        </w:rPr>
        <w:t>(四)乙方应当按照相关法律、法规、规章和标准对本单位从业人员进行安全教育培训，保证从业人员掌握必需的安全生产知识、操作技能和应急逃生知识。</w:t>
      </w:r>
    </w:p>
    <w:p>
      <w:pPr>
        <w:spacing w:line="276" w:lineRule="auto"/>
        <w:ind w:firstLine="480" w:firstLineChars="200"/>
        <w:rPr>
          <w:sz w:val="24"/>
          <w:szCs w:val="24"/>
          <w:lang w:eastAsia="zh-CN"/>
        </w:rPr>
      </w:pPr>
      <w:r>
        <w:rPr>
          <w:rFonts w:hint="eastAsia"/>
          <w:sz w:val="24"/>
          <w:szCs w:val="24"/>
          <w:lang w:eastAsia="zh-CN"/>
        </w:rPr>
        <w:t>（五）乙方应加强作业现场应急管理，完善应急预案，配备现场作业所需的应急资源，并加强培训和演练。</w:t>
      </w:r>
    </w:p>
    <w:p>
      <w:pPr>
        <w:spacing w:line="276" w:lineRule="auto"/>
        <w:ind w:firstLine="480" w:firstLineChars="200"/>
        <w:rPr>
          <w:sz w:val="24"/>
          <w:szCs w:val="24"/>
          <w:lang w:eastAsia="zh-CN"/>
        </w:rPr>
      </w:pPr>
      <w:r>
        <w:rPr>
          <w:rFonts w:hint="eastAsia"/>
          <w:sz w:val="24"/>
          <w:szCs w:val="24"/>
          <w:lang w:eastAsia="zh-CN"/>
        </w:rPr>
        <w:t xml:space="preserve">乙方应对作业人员进行安全生产教育和培训，确保作业人员掌握本职工作所需的安全生产知识， </w:t>
      </w:r>
    </w:p>
    <w:p>
      <w:pPr>
        <w:spacing w:line="276" w:lineRule="auto"/>
        <w:ind w:firstLine="480" w:firstLineChars="200"/>
        <w:rPr>
          <w:sz w:val="24"/>
          <w:szCs w:val="24"/>
          <w:lang w:eastAsia="zh-CN"/>
        </w:rPr>
      </w:pPr>
      <w:bookmarkStart w:id="343" w:name="_Toc384944722"/>
      <w:bookmarkStart w:id="344" w:name="_Toc442133376"/>
      <w:bookmarkStart w:id="345" w:name="_Toc442016147"/>
      <w:bookmarkStart w:id="346" w:name="_Toc442022106"/>
      <w:bookmarkStart w:id="347" w:name="_Toc396036415"/>
      <w:bookmarkStart w:id="348" w:name="_Toc451698745"/>
      <w:bookmarkStart w:id="349" w:name="_Toc434694368"/>
      <w:bookmarkStart w:id="350" w:name="_Toc389985364"/>
      <w:bookmarkStart w:id="351" w:name="_Toc383301032"/>
      <w:bookmarkStart w:id="352" w:name="_Toc381911471"/>
      <w:bookmarkStart w:id="353" w:name="_Toc396037059"/>
      <w:r>
        <w:rPr>
          <w:sz w:val="24"/>
          <w:szCs w:val="24"/>
          <w:lang w:eastAsia="zh-CN"/>
        </w:rPr>
        <w:t>第七条 事故应急救援</w:t>
      </w:r>
      <w:bookmarkEnd w:id="343"/>
      <w:bookmarkEnd w:id="344"/>
      <w:bookmarkEnd w:id="345"/>
      <w:bookmarkEnd w:id="346"/>
      <w:bookmarkEnd w:id="347"/>
      <w:bookmarkEnd w:id="348"/>
      <w:bookmarkEnd w:id="349"/>
      <w:bookmarkEnd w:id="350"/>
      <w:bookmarkEnd w:id="351"/>
      <w:bookmarkEnd w:id="352"/>
      <w:bookmarkEnd w:id="353"/>
    </w:p>
    <w:p>
      <w:pPr>
        <w:spacing w:line="276" w:lineRule="auto"/>
        <w:ind w:firstLine="480" w:firstLineChars="200"/>
        <w:rPr>
          <w:sz w:val="24"/>
          <w:szCs w:val="24"/>
          <w:lang w:eastAsia="zh-CN"/>
        </w:rPr>
      </w:pPr>
      <w:r>
        <w:rPr>
          <w:sz w:val="24"/>
          <w:szCs w:val="24"/>
          <w:lang w:eastAsia="zh-CN"/>
        </w:rPr>
        <w:t>(一)应急准备。</w:t>
      </w:r>
    </w:p>
    <w:p>
      <w:pPr>
        <w:spacing w:line="276" w:lineRule="auto"/>
        <w:ind w:firstLine="480" w:firstLineChars="200"/>
        <w:rPr>
          <w:sz w:val="24"/>
          <w:szCs w:val="24"/>
          <w:lang w:eastAsia="zh-CN"/>
        </w:rPr>
      </w:pPr>
      <w:r>
        <w:rPr>
          <w:sz w:val="24"/>
          <w:szCs w:val="24"/>
          <w:lang w:eastAsia="zh-CN"/>
        </w:rPr>
        <w:t>1.甲方应当按照国家有关规定建立应急救援组织或者与其他应急救援组织签订救援协议，编制本单位事故应急预案，并定期组织演练。</w:t>
      </w:r>
    </w:p>
    <w:p>
      <w:pPr>
        <w:spacing w:line="276" w:lineRule="auto"/>
        <w:ind w:firstLine="480" w:firstLineChars="200"/>
        <w:rPr>
          <w:sz w:val="24"/>
          <w:szCs w:val="24"/>
          <w:lang w:eastAsia="zh-CN"/>
        </w:rPr>
      </w:pPr>
      <w:r>
        <w:rPr>
          <w:sz w:val="24"/>
          <w:szCs w:val="24"/>
          <w:lang w:eastAsia="zh-CN"/>
        </w:rPr>
        <w:t>2.</w:t>
      </w:r>
      <w:r>
        <w:rPr>
          <w:rFonts w:hint="eastAsia"/>
          <w:sz w:val="24"/>
          <w:szCs w:val="24"/>
          <w:lang w:eastAsia="zh-CN"/>
        </w:rPr>
        <w:t>甲方负责向乙方如实告知根据甲方能力所知的作业场所和岗位存在的危险因素，要求乙方制订防范措施以及事故应急预案。</w:t>
      </w:r>
    </w:p>
    <w:p>
      <w:pPr>
        <w:spacing w:line="276" w:lineRule="auto"/>
        <w:ind w:firstLine="480" w:firstLineChars="200"/>
        <w:rPr>
          <w:sz w:val="24"/>
          <w:szCs w:val="24"/>
          <w:lang w:eastAsia="zh-CN"/>
        </w:rPr>
      </w:pPr>
      <w:r>
        <w:rPr>
          <w:sz w:val="24"/>
          <w:szCs w:val="24"/>
          <w:lang w:eastAsia="zh-CN"/>
        </w:rPr>
        <w:t>3.甲方配置的应急救援设备设施和器材包括： 项目现场及附近车间的消防器材、正压式空气呼吸器、防毒面具、担架、应急通风机、四合一气体检测仪、应急药箱、救援绳等。</w:t>
      </w:r>
    </w:p>
    <w:p>
      <w:pPr>
        <w:spacing w:line="276" w:lineRule="auto"/>
        <w:ind w:firstLine="480" w:firstLineChars="200"/>
        <w:rPr>
          <w:sz w:val="24"/>
          <w:szCs w:val="24"/>
          <w:lang w:eastAsia="zh-CN"/>
        </w:rPr>
      </w:pPr>
      <w:r>
        <w:rPr>
          <w:sz w:val="24"/>
          <w:szCs w:val="24"/>
          <w:lang w:eastAsia="zh-CN"/>
        </w:rPr>
        <w:t>4.乙方应当编制与项目相适应的应急预案或者应急处置预案，并与甲方的相关预案接口,并定期组织演练或者参加甲方组织的演练。</w:t>
      </w:r>
    </w:p>
    <w:p>
      <w:pPr>
        <w:spacing w:line="276" w:lineRule="auto"/>
        <w:ind w:firstLine="480" w:firstLineChars="200"/>
        <w:rPr>
          <w:sz w:val="24"/>
          <w:szCs w:val="24"/>
          <w:lang w:eastAsia="zh-CN"/>
        </w:rPr>
      </w:pPr>
      <w:r>
        <w:rPr>
          <w:sz w:val="24"/>
          <w:szCs w:val="24"/>
          <w:lang w:eastAsia="zh-CN"/>
        </w:rPr>
        <w:t>4.乙方配置的应急救援设备设施和器材包括：                           。</w:t>
      </w:r>
    </w:p>
    <w:p>
      <w:pPr>
        <w:spacing w:line="276" w:lineRule="auto"/>
        <w:ind w:firstLine="480" w:firstLineChars="200"/>
        <w:rPr>
          <w:sz w:val="24"/>
          <w:szCs w:val="24"/>
          <w:lang w:eastAsia="zh-CN"/>
        </w:rPr>
      </w:pPr>
      <w:r>
        <w:rPr>
          <w:sz w:val="24"/>
          <w:szCs w:val="24"/>
          <w:lang w:eastAsia="zh-CN"/>
        </w:rPr>
        <w:t>(二)事故报告。</w:t>
      </w:r>
    </w:p>
    <w:p>
      <w:pPr>
        <w:spacing w:line="276" w:lineRule="auto"/>
        <w:ind w:firstLine="480" w:firstLineChars="200"/>
        <w:rPr>
          <w:sz w:val="24"/>
          <w:szCs w:val="24"/>
          <w:lang w:eastAsia="zh-CN"/>
        </w:rPr>
      </w:pPr>
      <w:r>
        <w:rPr>
          <w:sz w:val="24"/>
          <w:szCs w:val="24"/>
          <w:lang w:eastAsia="zh-CN"/>
        </w:rPr>
        <w:t>1.项目施工发生事故后，事故现场有关人员应当立即向乙方项目负责人报告；乙方项目负责人接到报告后，应当及时向甲乙双方的负责人报告。</w:t>
      </w:r>
    </w:p>
    <w:p>
      <w:pPr>
        <w:spacing w:line="276" w:lineRule="auto"/>
        <w:ind w:firstLine="480" w:firstLineChars="200"/>
        <w:rPr>
          <w:sz w:val="24"/>
          <w:szCs w:val="24"/>
          <w:lang w:eastAsia="zh-CN"/>
        </w:rPr>
      </w:pPr>
      <w:r>
        <w:rPr>
          <w:sz w:val="24"/>
          <w:szCs w:val="24"/>
          <w:lang w:eastAsia="zh-CN"/>
        </w:rPr>
        <w:t>2.项目施工发生事故后，甲方负责人应当按照《生产安全事故报告和调查处理条例》(国务院令第493号)等法律、法规、规章的规定报告。</w:t>
      </w:r>
    </w:p>
    <w:p>
      <w:pPr>
        <w:spacing w:line="276" w:lineRule="auto"/>
        <w:ind w:firstLine="480" w:firstLineChars="200"/>
        <w:rPr>
          <w:sz w:val="24"/>
          <w:szCs w:val="24"/>
          <w:lang w:eastAsia="zh-CN"/>
        </w:rPr>
      </w:pPr>
      <w:r>
        <w:rPr>
          <w:sz w:val="24"/>
          <w:szCs w:val="24"/>
          <w:lang w:eastAsia="zh-CN"/>
        </w:rPr>
        <w:t>(三)事故救援。</w:t>
      </w:r>
    </w:p>
    <w:p>
      <w:pPr>
        <w:spacing w:line="276" w:lineRule="auto"/>
        <w:ind w:firstLine="480" w:firstLineChars="200"/>
        <w:rPr>
          <w:sz w:val="24"/>
          <w:szCs w:val="24"/>
          <w:lang w:eastAsia="zh-CN"/>
        </w:rPr>
      </w:pPr>
      <w:r>
        <w:rPr>
          <w:sz w:val="24"/>
          <w:szCs w:val="24"/>
          <w:lang w:eastAsia="zh-CN"/>
        </w:rPr>
        <w:t>1.项目施工发生事故后，乙方应当按照专项应急预案或者应急处置方案立即开展事故救援。</w:t>
      </w:r>
      <w:r>
        <w:rPr>
          <w:rFonts w:hint="eastAsia"/>
          <w:sz w:val="24"/>
          <w:szCs w:val="24"/>
          <w:lang w:eastAsia="zh-CN"/>
        </w:rPr>
        <w:t>保护好事故现场。</w:t>
      </w:r>
    </w:p>
    <w:p>
      <w:pPr>
        <w:spacing w:line="276" w:lineRule="auto"/>
        <w:ind w:firstLine="480" w:firstLineChars="200"/>
        <w:rPr>
          <w:sz w:val="24"/>
          <w:szCs w:val="24"/>
          <w:lang w:eastAsia="zh-CN"/>
        </w:rPr>
      </w:pPr>
      <w:r>
        <w:rPr>
          <w:sz w:val="24"/>
          <w:szCs w:val="24"/>
          <w:lang w:eastAsia="zh-CN"/>
        </w:rPr>
        <w:t>2.项目施工发生事故后，甲方应当按照应急预案要求，立即开展应急救援，负责指挥、协调事故救援工作，充分调动甲乙双方的应急资源。</w:t>
      </w:r>
    </w:p>
    <w:p>
      <w:pPr>
        <w:spacing w:line="276" w:lineRule="auto"/>
        <w:ind w:firstLine="480" w:firstLineChars="200"/>
        <w:rPr>
          <w:sz w:val="24"/>
          <w:szCs w:val="24"/>
          <w:lang w:eastAsia="zh-CN"/>
        </w:rPr>
      </w:pPr>
      <w:r>
        <w:rPr>
          <w:sz w:val="24"/>
          <w:szCs w:val="24"/>
          <w:lang w:eastAsia="zh-CN"/>
        </w:rPr>
        <w:t>(四)事故处理。</w:t>
      </w:r>
    </w:p>
    <w:p>
      <w:pPr>
        <w:spacing w:line="276" w:lineRule="auto"/>
        <w:ind w:firstLine="480" w:firstLineChars="200"/>
        <w:rPr>
          <w:sz w:val="24"/>
          <w:szCs w:val="24"/>
          <w:lang w:eastAsia="zh-CN"/>
        </w:rPr>
      </w:pPr>
      <w:r>
        <w:rPr>
          <w:sz w:val="24"/>
          <w:szCs w:val="24"/>
          <w:lang w:eastAsia="zh-CN"/>
        </w:rPr>
        <w:t>1.</w:t>
      </w:r>
      <w:r>
        <w:rPr>
          <w:rFonts w:hint="eastAsia"/>
          <w:sz w:val="24"/>
          <w:szCs w:val="24"/>
          <w:lang w:eastAsia="zh-CN"/>
        </w:rPr>
        <w:t xml:space="preserve"> 在发生安全事故后应积极配合甲方组织开展的对事故的相关调查。</w:t>
      </w:r>
    </w:p>
    <w:p>
      <w:pPr>
        <w:spacing w:line="276" w:lineRule="auto"/>
        <w:ind w:firstLine="480" w:firstLineChars="200"/>
        <w:rPr>
          <w:sz w:val="24"/>
          <w:szCs w:val="24"/>
          <w:lang w:eastAsia="zh-CN"/>
        </w:rPr>
      </w:pPr>
      <w:r>
        <w:rPr>
          <w:sz w:val="24"/>
          <w:szCs w:val="24"/>
          <w:lang w:eastAsia="zh-CN"/>
        </w:rPr>
        <w:t>2.事故调查结案后，甲乙双方根据事故调查处理结论承担各自相应责任。</w:t>
      </w:r>
    </w:p>
    <w:p>
      <w:pPr>
        <w:spacing w:line="276" w:lineRule="auto"/>
        <w:ind w:firstLine="480" w:firstLineChars="200"/>
        <w:rPr>
          <w:sz w:val="24"/>
          <w:szCs w:val="24"/>
          <w:lang w:eastAsia="zh-CN"/>
        </w:rPr>
      </w:pPr>
      <w:r>
        <w:rPr>
          <w:sz w:val="24"/>
          <w:szCs w:val="24"/>
          <w:lang w:eastAsia="zh-CN"/>
        </w:rPr>
        <w:t>3.甲方应当承担的经济处罚不得转嫁或者变相转嫁给乙方。</w:t>
      </w:r>
    </w:p>
    <w:p>
      <w:pPr>
        <w:spacing w:line="276" w:lineRule="auto"/>
        <w:ind w:firstLine="480" w:firstLineChars="200"/>
        <w:rPr>
          <w:sz w:val="24"/>
          <w:szCs w:val="24"/>
          <w:lang w:eastAsia="zh-CN"/>
        </w:rPr>
      </w:pPr>
      <w:r>
        <w:rPr>
          <w:sz w:val="24"/>
          <w:szCs w:val="24"/>
          <w:lang w:eastAsia="zh-CN"/>
        </w:rPr>
        <w:t>4.乙方对发生安全事故坚持“四不放过”原则的指导思想，不隐瞒、谎报，并在员工中开展事故分析、教育，防止同类事故的再次发生。</w:t>
      </w:r>
    </w:p>
    <w:p>
      <w:pPr>
        <w:spacing w:line="276" w:lineRule="auto"/>
        <w:ind w:firstLine="480" w:firstLineChars="200"/>
        <w:rPr>
          <w:sz w:val="24"/>
          <w:szCs w:val="24"/>
          <w:lang w:eastAsia="zh-CN"/>
        </w:rPr>
      </w:pPr>
      <w:r>
        <w:rPr>
          <w:rFonts w:hint="eastAsia"/>
          <w:sz w:val="24"/>
          <w:szCs w:val="24"/>
          <w:lang w:eastAsia="zh-CN"/>
        </w:rPr>
        <w:t xml:space="preserve">第八条 </w:t>
      </w:r>
      <w:r>
        <w:rPr>
          <w:sz w:val="24"/>
          <w:szCs w:val="24"/>
          <w:lang w:eastAsia="zh-CN"/>
        </w:rPr>
        <w:t>信息沟通：甲乙双方</w:t>
      </w:r>
      <w:r>
        <w:rPr>
          <w:rFonts w:hint="eastAsia"/>
          <w:sz w:val="24"/>
          <w:szCs w:val="24"/>
          <w:lang w:eastAsia="zh-CN"/>
        </w:rPr>
        <w:t>定期</w:t>
      </w:r>
      <w:r>
        <w:rPr>
          <w:sz w:val="24"/>
          <w:szCs w:val="24"/>
          <w:lang w:eastAsia="zh-CN"/>
        </w:rPr>
        <w:t>召开安全沟通会议，其他安全环保重大事项应立即报告甲方或备案。</w:t>
      </w:r>
    </w:p>
    <w:p>
      <w:pPr>
        <w:spacing w:line="276" w:lineRule="auto"/>
        <w:ind w:firstLine="480" w:firstLineChars="200"/>
        <w:rPr>
          <w:sz w:val="24"/>
          <w:szCs w:val="24"/>
          <w:lang w:eastAsia="zh-CN"/>
        </w:rPr>
      </w:pPr>
      <w:bookmarkStart w:id="354" w:name="_Toc396037060"/>
      <w:bookmarkStart w:id="355" w:name="_Toc451698746"/>
      <w:bookmarkStart w:id="356" w:name="_Toc396036416"/>
      <w:bookmarkStart w:id="357" w:name="_Toc442022107"/>
      <w:bookmarkStart w:id="358" w:name="_Toc389985365"/>
      <w:bookmarkStart w:id="359" w:name="_Toc381911472"/>
      <w:bookmarkStart w:id="360" w:name="_Toc442016148"/>
      <w:bookmarkStart w:id="361" w:name="_Toc384944723"/>
      <w:bookmarkStart w:id="362" w:name="_Toc434694369"/>
      <w:bookmarkStart w:id="363" w:name="_Toc383301033"/>
      <w:bookmarkStart w:id="364" w:name="_Toc442133377"/>
      <w:r>
        <w:rPr>
          <w:sz w:val="24"/>
          <w:szCs w:val="24"/>
          <w:lang w:eastAsia="zh-CN"/>
        </w:rPr>
        <w:t>第</w:t>
      </w:r>
      <w:r>
        <w:rPr>
          <w:rFonts w:hint="eastAsia"/>
          <w:sz w:val="24"/>
          <w:szCs w:val="24"/>
          <w:lang w:eastAsia="zh-CN"/>
        </w:rPr>
        <w:t>九</w:t>
      </w:r>
      <w:r>
        <w:rPr>
          <w:sz w:val="24"/>
          <w:szCs w:val="24"/>
          <w:lang w:eastAsia="zh-CN"/>
        </w:rPr>
        <w:t>条 安全检查与考评</w:t>
      </w:r>
      <w:bookmarkEnd w:id="354"/>
      <w:bookmarkEnd w:id="355"/>
      <w:bookmarkEnd w:id="356"/>
      <w:bookmarkEnd w:id="357"/>
      <w:bookmarkEnd w:id="358"/>
      <w:bookmarkEnd w:id="359"/>
      <w:bookmarkEnd w:id="360"/>
      <w:bookmarkEnd w:id="361"/>
      <w:bookmarkEnd w:id="362"/>
      <w:bookmarkEnd w:id="363"/>
      <w:bookmarkEnd w:id="364"/>
    </w:p>
    <w:p>
      <w:pPr>
        <w:spacing w:line="276" w:lineRule="auto"/>
        <w:ind w:firstLine="480" w:firstLineChars="200"/>
        <w:rPr>
          <w:sz w:val="24"/>
          <w:szCs w:val="24"/>
          <w:lang w:eastAsia="zh-CN"/>
        </w:rPr>
      </w:pPr>
      <w:r>
        <w:rPr>
          <w:sz w:val="24"/>
          <w:szCs w:val="24"/>
          <w:lang w:eastAsia="zh-CN"/>
        </w:rPr>
        <w:t>1.甲方应当建立健全项目施工的安全生产考核机制，制定考核办法，对乙方进行安全生产考核。</w:t>
      </w:r>
    </w:p>
    <w:p>
      <w:pPr>
        <w:spacing w:line="276" w:lineRule="auto"/>
        <w:ind w:firstLine="480" w:firstLineChars="200"/>
        <w:rPr>
          <w:sz w:val="24"/>
          <w:szCs w:val="24"/>
          <w:lang w:eastAsia="zh-CN"/>
        </w:rPr>
      </w:pPr>
      <w:r>
        <w:rPr>
          <w:sz w:val="24"/>
          <w:szCs w:val="24"/>
          <w:lang w:eastAsia="zh-CN"/>
        </w:rPr>
        <w:t>2.甲方应当加强项目监督检查工作，发现乙方违反法律、法规、规章和标准的</w:t>
      </w:r>
      <w:r>
        <w:rPr>
          <w:rFonts w:hint="eastAsia"/>
          <w:sz w:val="24"/>
          <w:szCs w:val="24"/>
          <w:lang w:eastAsia="zh-CN"/>
        </w:rPr>
        <w:t>违章违纪</w:t>
      </w:r>
      <w:r>
        <w:rPr>
          <w:sz w:val="24"/>
          <w:szCs w:val="24"/>
          <w:lang w:eastAsia="zh-CN"/>
        </w:rPr>
        <w:t>行为，</w:t>
      </w:r>
      <w:r>
        <w:rPr>
          <w:rFonts w:hint="eastAsia"/>
          <w:sz w:val="24"/>
          <w:szCs w:val="24"/>
          <w:lang w:eastAsia="zh-CN"/>
        </w:rPr>
        <w:t>及时进行教育，</w:t>
      </w:r>
      <w:r>
        <w:rPr>
          <w:sz w:val="24"/>
          <w:szCs w:val="24"/>
          <w:lang w:eastAsia="zh-CN"/>
        </w:rPr>
        <w:t>有权纠正和考核，</w:t>
      </w:r>
      <w:r>
        <w:rPr>
          <w:rFonts w:hint="eastAsia"/>
          <w:sz w:val="24"/>
          <w:szCs w:val="24"/>
          <w:lang w:eastAsia="zh-CN"/>
        </w:rPr>
        <w:t>对不听劝告、</w:t>
      </w:r>
      <w:r>
        <w:rPr>
          <w:sz w:val="24"/>
          <w:szCs w:val="24"/>
          <w:lang w:eastAsia="zh-CN"/>
        </w:rPr>
        <w:t>直至清退出场。</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甲方审查乙方相应的作业资格证书、作业方案和外包商、作业现场的设备、设施、建（构）筑物和人员作业安全状况等。</w:t>
      </w:r>
    </w:p>
    <w:p>
      <w:pPr>
        <w:spacing w:line="276" w:lineRule="auto"/>
        <w:ind w:firstLine="480" w:firstLineChars="200"/>
        <w:rPr>
          <w:sz w:val="24"/>
          <w:szCs w:val="24"/>
          <w:lang w:eastAsia="zh-CN"/>
        </w:rPr>
      </w:pPr>
      <w:r>
        <w:rPr>
          <w:sz w:val="24"/>
          <w:szCs w:val="24"/>
          <w:lang w:eastAsia="zh-CN"/>
        </w:rPr>
        <w:t>4.</w:t>
      </w:r>
      <w:r>
        <w:rPr>
          <w:rFonts w:hint="eastAsia"/>
          <w:sz w:val="24"/>
          <w:szCs w:val="24"/>
          <w:lang w:eastAsia="zh-CN"/>
        </w:rPr>
        <w:t>甲方</w:t>
      </w:r>
      <w:r>
        <w:rPr>
          <w:sz w:val="24"/>
          <w:szCs w:val="24"/>
          <w:lang w:eastAsia="zh-CN"/>
        </w:rPr>
        <w:t>对</w:t>
      </w:r>
      <w:r>
        <w:rPr>
          <w:rFonts w:hint="eastAsia"/>
          <w:sz w:val="24"/>
          <w:szCs w:val="24"/>
          <w:lang w:eastAsia="zh-CN"/>
        </w:rPr>
        <w:t>乙方</w:t>
      </w:r>
      <w:r>
        <w:rPr>
          <w:sz w:val="24"/>
          <w:szCs w:val="24"/>
          <w:lang w:eastAsia="zh-CN"/>
        </w:rPr>
        <w:t>的安全生产工作统一协调、管理，</w:t>
      </w:r>
      <w:r>
        <w:rPr>
          <w:rFonts w:hint="eastAsia"/>
          <w:sz w:val="24"/>
          <w:szCs w:val="24"/>
          <w:lang w:eastAsia="zh-CN"/>
        </w:rPr>
        <w:t>甲方有权对乙方施工作业区的设备、设施、建（构）筑物和人员作业安全状况</w:t>
      </w:r>
      <w:r>
        <w:rPr>
          <w:sz w:val="24"/>
          <w:szCs w:val="24"/>
          <w:lang w:eastAsia="zh-CN"/>
        </w:rPr>
        <w:t>进行安全检查，发现安全问题的，应当及时督促</w:t>
      </w:r>
      <w:r>
        <w:rPr>
          <w:rFonts w:hint="eastAsia"/>
          <w:sz w:val="24"/>
          <w:szCs w:val="24"/>
          <w:lang w:eastAsia="zh-CN"/>
        </w:rPr>
        <w:t>乙方进行</w:t>
      </w:r>
      <w:r>
        <w:rPr>
          <w:sz w:val="24"/>
          <w:szCs w:val="24"/>
          <w:lang w:eastAsia="zh-CN"/>
        </w:rPr>
        <w:t>整改</w:t>
      </w:r>
      <w:r>
        <w:rPr>
          <w:rFonts w:hint="eastAsia"/>
          <w:sz w:val="24"/>
          <w:szCs w:val="24"/>
          <w:lang w:eastAsia="zh-CN"/>
        </w:rPr>
        <w:t>。甲方有权</w:t>
      </w:r>
      <w:r>
        <w:rPr>
          <w:sz w:val="24"/>
          <w:szCs w:val="24"/>
          <w:lang w:eastAsia="zh-CN"/>
        </w:rPr>
        <w:t>提出撤换</w:t>
      </w:r>
      <w:r>
        <w:rPr>
          <w:rFonts w:hint="eastAsia"/>
          <w:sz w:val="24"/>
          <w:szCs w:val="24"/>
          <w:lang w:eastAsia="zh-CN"/>
        </w:rPr>
        <w:t>外包方</w:t>
      </w:r>
      <w:r>
        <w:rPr>
          <w:sz w:val="24"/>
          <w:szCs w:val="24"/>
          <w:lang w:eastAsia="zh-CN"/>
        </w:rPr>
        <w:t>项目经理、安全管理负责人</w:t>
      </w:r>
      <w:r>
        <w:rPr>
          <w:rFonts w:hint="eastAsia"/>
          <w:sz w:val="24"/>
          <w:szCs w:val="24"/>
          <w:lang w:eastAsia="zh-CN"/>
        </w:rPr>
        <w:t>。</w:t>
      </w:r>
    </w:p>
    <w:p>
      <w:pPr>
        <w:spacing w:line="276" w:lineRule="auto"/>
        <w:ind w:firstLine="480" w:firstLineChars="200"/>
        <w:rPr>
          <w:sz w:val="24"/>
          <w:szCs w:val="24"/>
          <w:lang w:eastAsia="zh-CN"/>
        </w:rPr>
      </w:pPr>
      <w:r>
        <w:rPr>
          <w:sz w:val="24"/>
          <w:szCs w:val="24"/>
          <w:lang w:eastAsia="zh-CN"/>
        </w:rPr>
        <w:t>5.乙方负责项目范围内的作业安全管理，制定施工方案，加强项目作业现场的日常安全检查，</w:t>
      </w:r>
      <w:r>
        <w:rPr>
          <w:rFonts w:hint="eastAsia"/>
          <w:sz w:val="24"/>
          <w:szCs w:val="24"/>
          <w:lang w:eastAsia="zh-CN"/>
        </w:rPr>
        <w:t>做好相关记录，</w:t>
      </w:r>
      <w:r>
        <w:rPr>
          <w:sz w:val="24"/>
          <w:szCs w:val="24"/>
          <w:lang w:eastAsia="zh-CN"/>
        </w:rPr>
        <w:t>落实各项规章制度和安全操作规程</w:t>
      </w:r>
      <w:r>
        <w:rPr>
          <w:rFonts w:hint="eastAsia"/>
          <w:sz w:val="24"/>
          <w:szCs w:val="24"/>
          <w:lang w:eastAsia="zh-CN"/>
        </w:rPr>
        <w:t>，消除人的不安全行为和物的不安全状态。在项目作业范围内发现重大事故隐患后不能立即治理的，应当采取必要的防范措施，并及时书面报告甲方协商解决，消除事故隐患。</w:t>
      </w:r>
    </w:p>
    <w:p>
      <w:pPr>
        <w:spacing w:line="276" w:lineRule="auto"/>
        <w:ind w:firstLine="480" w:firstLineChars="200"/>
        <w:rPr>
          <w:sz w:val="24"/>
          <w:szCs w:val="24"/>
          <w:lang w:eastAsia="zh-CN"/>
        </w:rPr>
      </w:pPr>
      <w:r>
        <w:rPr>
          <w:sz w:val="24"/>
          <w:szCs w:val="24"/>
          <w:lang w:eastAsia="zh-CN"/>
        </w:rPr>
        <w:t>6.乙方应当接受甲方的监督管理，遵守甲方的有关规章制度的要求。同时，乙方有权拒绝甲方违章指挥和强令冒险作业。</w:t>
      </w:r>
    </w:p>
    <w:p>
      <w:pPr>
        <w:spacing w:line="276" w:lineRule="auto"/>
        <w:ind w:firstLine="480" w:firstLineChars="200"/>
        <w:rPr>
          <w:sz w:val="24"/>
          <w:szCs w:val="24"/>
          <w:lang w:eastAsia="zh-CN"/>
        </w:rPr>
      </w:pPr>
      <w:r>
        <w:rPr>
          <w:sz w:val="24"/>
          <w:szCs w:val="24"/>
          <w:lang w:eastAsia="zh-CN"/>
        </w:rPr>
        <w:t>7.乙方应当向甲方提供安全生产考核所需资料，接受甲方的考核与奖惩。</w:t>
      </w:r>
      <w:bookmarkEnd w:id="331"/>
    </w:p>
    <w:p>
      <w:pPr>
        <w:spacing w:line="276" w:lineRule="auto"/>
        <w:ind w:firstLine="480" w:firstLineChars="200"/>
        <w:rPr>
          <w:sz w:val="24"/>
          <w:szCs w:val="24"/>
          <w:lang w:eastAsia="zh-CN"/>
        </w:rPr>
      </w:pPr>
      <w:r>
        <w:rPr>
          <w:sz w:val="24"/>
          <w:szCs w:val="24"/>
          <w:lang w:eastAsia="zh-CN"/>
        </w:rPr>
        <w:t>（七）风险抵押金考核</w:t>
      </w:r>
    </w:p>
    <w:p>
      <w:pPr>
        <w:spacing w:line="276" w:lineRule="auto"/>
        <w:ind w:firstLine="480" w:firstLineChars="200"/>
        <w:rPr>
          <w:sz w:val="24"/>
          <w:szCs w:val="24"/>
          <w:lang w:eastAsia="zh-CN"/>
        </w:rPr>
      </w:pPr>
      <w:r>
        <w:rPr>
          <w:sz w:val="24"/>
          <w:szCs w:val="24"/>
          <w:lang w:eastAsia="zh-CN"/>
        </w:rPr>
        <w:t>1.乙方违反甲方各项安全管理规定的，</w:t>
      </w:r>
      <w:r>
        <w:rPr>
          <w:rFonts w:hint="eastAsia"/>
          <w:sz w:val="24"/>
          <w:szCs w:val="24"/>
          <w:lang w:eastAsia="zh-CN"/>
        </w:rPr>
        <w:t>（如违反甲方危险作业要求、使用不安全的工具、设备、未按要求佩戴相对应的劳保防护用品、未做到工完场清或未及时搞好现场卫生、作业过程违反操作规程等），一般违规扣200元/次；严重违规（糖业1</w:t>
      </w:r>
      <w:r>
        <w:rPr>
          <w:sz w:val="24"/>
          <w:szCs w:val="24"/>
          <w:lang w:eastAsia="zh-CN"/>
        </w:rPr>
        <w:t>0</w:t>
      </w:r>
      <w:r>
        <w:rPr>
          <w:rFonts w:hint="eastAsia"/>
          <w:sz w:val="24"/>
          <w:szCs w:val="24"/>
          <w:lang w:eastAsia="zh-CN"/>
        </w:rPr>
        <w:t>条禁令）扣500元/次，重复违反扣1000元/次，违反《中粮集团</w:t>
      </w:r>
      <w:bookmarkStart w:id="365" w:name="_Hlk132701874"/>
      <w:r>
        <w:rPr>
          <w:rFonts w:hint="eastAsia"/>
          <w:sz w:val="24"/>
          <w:szCs w:val="24"/>
          <w:lang w:eastAsia="zh-CN"/>
        </w:rPr>
        <w:t>承包商与工程项目管理安全</w:t>
      </w:r>
      <w:bookmarkEnd w:id="365"/>
      <w:r>
        <w:rPr>
          <w:rFonts w:hint="eastAsia"/>
          <w:sz w:val="24"/>
          <w:szCs w:val="24"/>
          <w:lang w:eastAsia="zh-CN"/>
        </w:rPr>
        <w:t>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pPr>
        <w:spacing w:line="276" w:lineRule="auto"/>
        <w:ind w:firstLine="480" w:firstLineChars="200"/>
        <w:rPr>
          <w:sz w:val="24"/>
          <w:szCs w:val="24"/>
          <w:lang w:eastAsia="zh-CN"/>
        </w:rPr>
      </w:pPr>
      <w:r>
        <w:rPr>
          <w:rFonts w:hint="eastAsia"/>
          <w:sz w:val="24"/>
          <w:szCs w:val="24"/>
          <w:lang w:eastAsia="zh-CN"/>
        </w:rPr>
        <w:t>乙方发生事故罚款时，履约保证金不足，可从合同金额中扣除。</w:t>
      </w:r>
    </w:p>
    <w:p>
      <w:pPr>
        <w:spacing w:line="276" w:lineRule="auto"/>
        <w:ind w:firstLine="480" w:firstLineChars="200"/>
        <w:rPr>
          <w:sz w:val="24"/>
          <w:szCs w:val="24"/>
          <w:lang w:eastAsia="zh-CN"/>
        </w:rPr>
      </w:pPr>
      <w:r>
        <w:rPr>
          <w:sz w:val="24"/>
          <w:szCs w:val="24"/>
          <w:lang w:eastAsia="zh-CN"/>
        </w:rPr>
        <w:t>2.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pPr>
        <w:spacing w:line="276" w:lineRule="auto"/>
        <w:ind w:firstLine="480" w:firstLineChars="200"/>
        <w:rPr>
          <w:sz w:val="24"/>
          <w:szCs w:val="24"/>
          <w:lang w:eastAsia="zh-CN"/>
        </w:rPr>
      </w:pPr>
      <w:r>
        <w:rPr>
          <w:sz w:val="24"/>
          <w:szCs w:val="24"/>
          <w:lang w:eastAsia="zh-CN"/>
        </w:rPr>
        <w:t>3.</w:t>
      </w:r>
      <w:r>
        <w:rPr>
          <w:rFonts w:hint="eastAsia"/>
          <w:sz w:val="24"/>
          <w:szCs w:val="24"/>
          <w:lang w:eastAsia="zh-CN"/>
        </w:rPr>
        <w:t>乙方作业过程中违反国家有关法律法规，受到行政、经济、刑事处罚的，由乙方自行承担责任。</w:t>
      </w:r>
    </w:p>
    <w:p>
      <w:pPr>
        <w:spacing w:line="276" w:lineRule="auto"/>
        <w:ind w:firstLine="480" w:firstLineChars="200"/>
        <w:rPr>
          <w:sz w:val="24"/>
          <w:szCs w:val="24"/>
          <w:lang w:eastAsia="zh-CN"/>
        </w:rPr>
      </w:pPr>
      <w:r>
        <w:rPr>
          <w:sz w:val="24"/>
          <w:szCs w:val="24"/>
          <w:lang w:eastAsia="zh-CN"/>
        </w:rPr>
        <w:t>4.乙方施工现场发生重伤1-2人责任事故，甲方扣罚该项目风险抵押金总额的20％（1人）、60%（2人）；若乙方施工现场发生死亡1人及以上或重伤3人及以上责任事故，甲方扣罚该项目全部风险抵押金。</w:t>
      </w:r>
      <w:r>
        <w:rPr>
          <w:rFonts w:hint="eastAsia"/>
          <w:sz w:val="24"/>
          <w:szCs w:val="24"/>
          <w:lang w:eastAsia="zh-CN"/>
        </w:rPr>
        <w:t>项目验收结束且确认乙方无违规、事故后，甲方无息返还乙方风险抵押金。</w:t>
      </w:r>
    </w:p>
    <w:p>
      <w:pPr>
        <w:spacing w:line="276" w:lineRule="auto"/>
        <w:ind w:firstLine="480" w:firstLineChars="200"/>
        <w:rPr>
          <w:sz w:val="24"/>
          <w:szCs w:val="24"/>
          <w:lang w:eastAsia="zh-CN"/>
        </w:rPr>
      </w:pPr>
      <w:bookmarkStart w:id="366" w:name="_Toc389985366"/>
      <w:bookmarkStart w:id="367" w:name="_Toc383301034"/>
      <w:bookmarkStart w:id="368" w:name="_Toc442016149"/>
      <w:bookmarkStart w:id="369" w:name="_Toc451698747"/>
      <w:bookmarkStart w:id="370" w:name="_Toc384944724"/>
      <w:bookmarkStart w:id="371" w:name="_Toc396036417"/>
      <w:bookmarkStart w:id="372" w:name="_Toc442022108"/>
      <w:bookmarkStart w:id="373" w:name="_Toc442133378"/>
      <w:bookmarkStart w:id="374" w:name="_Toc381911473"/>
      <w:bookmarkStart w:id="375" w:name="_Toc434694370"/>
      <w:bookmarkStart w:id="376" w:name="_Toc396037061"/>
      <w:r>
        <w:rPr>
          <w:sz w:val="24"/>
          <w:szCs w:val="24"/>
          <w:lang w:eastAsia="zh-CN"/>
        </w:rPr>
        <w:t>第</w:t>
      </w:r>
      <w:r>
        <w:rPr>
          <w:rFonts w:hint="eastAsia"/>
          <w:sz w:val="24"/>
          <w:szCs w:val="24"/>
          <w:lang w:eastAsia="zh-CN"/>
        </w:rPr>
        <w:t>十</w:t>
      </w:r>
      <w:r>
        <w:rPr>
          <w:sz w:val="24"/>
          <w:szCs w:val="24"/>
          <w:lang w:eastAsia="zh-CN"/>
        </w:rPr>
        <w:t>条 违约责任</w:t>
      </w:r>
      <w:bookmarkEnd w:id="366"/>
      <w:bookmarkEnd w:id="367"/>
      <w:bookmarkEnd w:id="368"/>
      <w:bookmarkEnd w:id="369"/>
      <w:bookmarkEnd w:id="370"/>
      <w:bookmarkEnd w:id="371"/>
      <w:bookmarkEnd w:id="372"/>
      <w:bookmarkEnd w:id="373"/>
      <w:bookmarkEnd w:id="374"/>
      <w:bookmarkEnd w:id="375"/>
      <w:bookmarkEnd w:id="376"/>
    </w:p>
    <w:p>
      <w:pPr>
        <w:spacing w:line="276" w:lineRule="auto"/>
        <w:ind w:firstLine="480" w:firstLineChars="200"/>
        <w:rPr>
          <w:sz w:val="24"/>
          <w:szCs w:val="24"/>
          <w:lang w:eastAsia="zh-CN"/>
        </w:rPr>
      </w:pPr>
      <w:r>
        <w:rPr>
          <w:sz w:val="24"/>
          <w:szCs w:val="24"/>
          <w:lang w:eastAsia="zh-CN"/>
        </w:rPr>
        <w:t>(一)甲乙双方遵守法律、法规、规章规定的义务，并享有相应的权利。</w:t>
      </w:r>
    </w:p>
    <w:p>
      <w:pPr>
        <w:spacing w:line="276" w:lineRule="auto"/>
        <w:ind w:firstLine="480" w:firstLineChars="200"/>
        <w:rPr>
          <w:sz w:val="24"/>
          <w:szCs w:val="24"/>
          <w:lang w:eastAsia="zh-CN"/>
        </w:rPr>
      </w:pPr>
      <w:r>
        <w:rPr>
          <w:sz w:val="24"/>
          <w:szCs w:val="24"/>
          <w:lang w:eastAsia="zh-CN"/>
        </w:rPr>
        <w:t>(二)甲方违约</w:t>
      </w:r>
    </w:p>
    <w:p>
      <w:pPr>
        <w:spacing w:line="276" w:lineRule="auto"/>
        <w:ind w:firstLine="480" w:firstLineChars="200"/>
        <w:rPr>
          <w:sz w:val="24"/>
          <w:szCs w:val="24"/>
          <w:lang w:eastAsia="zh-CN"/>
        </w:rPr>
      </w:pPr>
      <w:r>
        <w:rPr>
          <w:sz w:val="24"/>
          <w:szCs w:val="24"/>
          <w:lang w:eastAsia="zh-CN"/>
        </w:rPr>
        <w:t>当发生下列情况之一的，甲方承担违约责任，依法赔偿给乙方造成的经济损失；因违约造成生产安全事故的，按照相关法律、法规、规章的规定，甲方依法承担相应责任：</w:t>
      </w:r>
    </w:p>
    <w:p>
      <w:pPr>
        <w:spacing w:line="276" w:lineRule="auto"/>
        <w:ind w:firstLine="480" w:firstLineChars="200"/>
        <w:rPr>
          <w:sz w:val="24"/>
          <w:szCs w:val="24"/>
          <w:lang w:eastAsia="zh-CN"/>
        </w:rPr>
      </w:pPr>
      <w:r>
        <w:rPr>
          <w:sz w:val="24"/>
          <w:szCs w:val="24"/>
          <w:lang w:eastAsia="zh-CN"/>
        </w:rPr>
        <w:t>1.甲方擅自压缩项目合同约定的工期，违章指挥或者强令乙方及其从业人员冒险作业的；</w:t>
      </w:r>
    </w:p>
    <w:p>
      <w:pPr>
        <w:spacing w:line="276" w:lineRule="auto"/>
        <w:ind w:firstLine="480" w:firstLineChars="200"/>
        <w:rPr>
          <w:sz w:val="24"/>
          <w:szCs w:val="24"/>
          <w:lang w:eastAsia="zh-CN"/>
        </w:rPr>
      </w:pPr>
      <w:r>
        <w:rPr>
          <w:sz w:val="24"/>
          <w:szCs w:val="24"/>
          <w:lang w:eastAsia="zh-CN"/>
        </w:rPr>
        <w:t>2.甲方未提供项目施工作业所必要的图纸资料，未向乙方进行技术交底的；</w:t>
      </w:r>
    </w:p>
    <w:p>
      <w:pPr>
        <w:spacing w:line="276" w:lineRule="auto"/>
        <w:ind w:firstLine="480" w:firstLineChars="200"/>
        <w:rPr>
          <w:sz w:val="24"/>
          <w:szCs w:val="24"/>
          <w:lang w:eastAsia="zh-CN"/>
        </w:rPr>
      </w:pPr>
      <w:r>
        <w:rPr>
          <w:sz w:val="24"/>
          <w:szCs w:val="24"/>
          <w:lang w:eastAsia="zh-CN"/>
        </w:rPr>
        <w:t>3.甲方不能提供合法的外包项目的；</w:t>
      </w:r>
    </w:p>
    <w:p>
      <w:pPr>
        <w:spacing w:line="276" w:lineRule="auto"/>
        <w:ind w:firstLine="480" w:firstLineChars="200"/>
        <w:rPr>
          <w:sz w:val="24"/>
          <w:szCs w:val="24"/>
          <w:lang w:eastAsia="zh-CN"/>
        </w:rPr>
      </w:pPr>
      <w:r>
        <w:rPr>
          <w:sz w:val="24"/>
          <w:szCs w:val="24"/>
          <w:lang w:eastAsia="zh-CN"/>
        </w:rPr>
        <w:t>4.甲方不能保证与外包项目有关的生产系统安全设施正常运行的；</w:t>
      </w:r>
    </w:p>
    <w:p>
      <w:pPr>
        <w:spacing w:line="276" w:lineRule="auto"/>
        <w:ind w:firstLine="480" w:firstLineChars="200"/>
        <w:rPr>
          <w:sz w:val="24"/>
          <w:szCs w:val="24"/>
          <w:lang w:eastAsia="zh-CN"/>
        </w:rPr>
      </w:pPr>
      <w:r>
        <w:rPr>
          <w:sz w:val="24"/>
          <w:szCs w:val="24"/>
          <w:lang w:eastAsia="zh-CN"/>
        </w:rPr>
        <w:t>5.甲方违反项目设计安排乙方施工作业的；</w:t>
      </w:r>
    </w:p>
    <w:p>
      <w:pPr>
        <w:spacing w:line="276" w:lineRule="auto"/>
        <w:ind w:firstLine="480" w:firstLineChars="200"/>
        <w:rPr>
          <w:sz w:val="24"/>
          <w:szCs w:val="24"/>
          <w:lang w:eastAsia="zh-CN"/>
        </w:rPr>
      </w:pPr>
      <w:r>
        <w:rPr>
          <w:sz w:val="24"/>
          <w:szCs w:val="24"/>
          <w:lang w:eastAsia="zh-CN"/>
        </w:rPr>
        <w:t>6.甲方未按照合同或者协议约定支付应当由甲方承担的项目安全生产费用的；</w:t>
      </w:r>
    </w:p>
    <w:p>
      <w:pPr>
        <w:spacing w:line="276" w:lineRule="auto"/>
        <w:ind w:firstLine="480" w:firstLineChars="200"/>
        <w:rPr>
          <w:sz w:val="24"/>
          <w:szCs w:val="24"/>
          <w:lang w:eastAsia="zh-CN"/>
        </w:rPr>
      </w:pPr>
      <w:r>
        <w:rPr>
          <w:sz w:val="24"/>
          <w:szCs w:val="24"/>
          <w:lang w:eastAsia="zh-CN"/>
        </w:rPr>
        <w:t>7.发生事故后，甲方未及时组织开展应急救援工作的；</w:t>
      </w:r>
    </w:p>
    <w:p>
      <w:pPr>
        <w:spacing w:line="276" w:lineRule="auto"/>
        <w:ind w:firstLine="480" w:firstLineChars="200"/>
        <w:rPr>
          <w:sz w:val="24"/>
          <w:szCs w:val="24"/>
          <w:lang w:eastAsia="zh-CN"/>
        </w:rPr>
      </w:pPr>
      <w:r>
        <w:rPr>
          <w:sz w:val="24"/>
          <w:szCs w:val="24"/>
          <w:lang w:eastAsia="zh-CN"/>
        </w:rPr>
        <w:t>8.甲方不履行协议义务或不按协议约定履行义务的其他情况。</w:t>
      </w:r>
    </w:p>
    <w:p>
      <w:pPr>
        <w:spacing w:line="276" w:lineRule="auto"/>
        <w:ind w:firstLine="480" w:firstLineChars="200"/>
        <w:rPr>
          <w:sz w:val="24"/>
          <w:szCs w:val="24"/>
          <w:lang w:eastAsia="zh-CN"/>
        </w:rPr>
      </w:pPr>
      <w:r>
        <w:rPr>
          <w:sz w:val="24"/>
          <w:szCs w:val="24"/>
          <w:lang w:eastAsia="zh-CN"/>
        </w:rPr>
        <w:t>(三)乙方违约</w:t>
      </w:r>
    </w:p>
    <w:p>
      <w:pPr>
        <w:spacing w:line="276" w:lineRule="auto"/>
        <w:ind w:firstLine="480" w:firstLineChars="200"/>
        <w:rPr>
          <w:sz w:val="24"/>
          <w:szCs w:val="24"/>
          <w:lang w:eastAsia="zh-CN"/>
        </w:rPr>
      </w:pPr>
      <w:r>
        <w:rPr>
          <w:sz w:val="24"/>
          <w:szCs w:val="24"/>
          <w:lang w:eastAsia="zh-CN"/>
        </w:rPr>
        <w:t>当发生下列情况之一的，乙方承担违约责任，依法赔偿给甲方造成的损失；因违约造成生产安全事故的，按照相关法律、法规、规章的规定，依法承担相应责任：</w:t>
      </w:r>
    </w:p>
    <w:p>
      <w:pPr>
        <w:spacing w:line="276" w:lineRule="auto"/>
        <w:ind w:firstLine="480" w:firstLineChars="200"/>
        <w:rPr>
          <w:sz w:val="24"/>
          <w:szCs w:val="24"/>
          <w:lang w:eastAsia="zh-CN"/>
        </w:rPr>
      </w:pPr>
      <w:r>
        <w:rPr>
          <w:sz w:val="24"/>
          <w:szCs w:val="24"/>
          <w:lang w:eastAsia="zh-CN"/>
        </w:rPr>
        <w:t>1.乙方未按照合同或者协议约定将甲方提供的安全生产费用落实到位、专款专用的；</w:t>
      </w:r>
    </w:p>
    <w:p>
      <w:pPr>
        <w:spacing w:line="276" w:lineRule="auto"/>
        <w:ind w:firstLine="480" w:firstLineChars="200"/>
        <w:rPr>
          <w:sz w:val="24"/>
          <w:szCs w:val="24"/>
          <w:lang w:eastAsia="zh-CN"/>
        </w:rPr>
      </w:pPr>
      <w:r>
        <w:rPr>
          <w:sz w:val="24"/>
          <w:szCs w:val="24"/>
          <w:lang w:eastAsia="zh-CN"/>
        </w:rPr>
        <w:t>2.乙方不能保证与承揽项目规模相匹配的施工资质、技术人员、特种作业人员和设备设施的；</w:t>
      </w:r>
    </w:p>
    <w:p>
      <w:pPr>
        <w:spacing w:line="276" w:lineRule="auto"/>
        <w:ind w:firstLine="480" w:firstLineChars="200"/>
        <w:rPr>
          <w:sz w:val="24"/>
          <w:szCs w:val="24"/>
          <w:lang w:eastAsia="zh-CN"/>
        </w:rPr>
      </w:pPr>
      <w:r>
        <w:rPr>
          <w:sz w:val="24"/>
          <w:szCs w:val="24"/>
          <w:lang w:eastAsia="zh-CN"/>
        </w:rPr>
        <w:t>3.乙方有关资质、证照已过期的，或者安排证件已过期的各类应持证人员上岗作业的；</w:t>
      </w:r>
    </w:p>
    <w:p>
      <w:pPr>
        <w:spacing w:line="276" w:lineRule="auto"/>
        <w:ind w:firstLine="480" w:firstLineChars="200"/>
        <w:rPr>
          <w:sz w:val="24"/>
          <w:szCs w:val="24"/>
          <w:lang w:eastAsia="zh-CN"/>
        </w:rPr>
      </w:pPr>
      <w:r>
        <w:rPr>
          <w:sz w:val="24"/>
          <w:szCs w:val="24"/>
          <w:lang w:eastAsia="zh-CN"/>
        </w:rPr>
        <w:t>4.乙方人员违章指挥或者违章作业的；</w:t>
      </w:r>
    </w:p>
    <w:p>
      <w:pPr>
        <w:spacing w:line="276" w:lineRule="auto"/>
        <w:ind w:firstLine="480" w:firstLineChars="200"/>
        <w:rPr>
          <w:sz w:val="24"/>
          <w:szCs w:val="24"/>
          <w:lang w:eastAsia="zh-CN"/>
        </w:rPr>
      </w:pPr>
      <w:r>
        <w:rPr>
          <w:sz w:val="24"/>
          <w:szCs w:val="24"/>
          <w:lang w:eastAsia="zh-CN"/>
        </w:rPr>
        <w:t>5.乙方现场安全管理不到位的；</w:t>
      </w:r>
    </w:p>
    <w:p>
      <w:pPr>
        <w:spacing w:line="276" w:lineRule="auto"/>
        <w:ind w:firstLine="480" w:firstLineChars="200"/>
        <w:rPr>
          <w:sz w:val="24"/>
          <w:szCs w:val="24"/>
          <w:lang w:eastAsia="zh-CN"/>
        </w:rPr>
      </w:pPr>
      <w:r>
        <w:rPr>
          <w:sz w:val="24"/>
          <w:szCs w:val="24"/>
          <w:lang w:eastAsia="zh-CN"/>
        </w:rPr>
        <w:t>6.发生事故后，乙方未及时开展应急救援工作的；</w:t>
      </w:r>
    </w:p>
    <w:p>
      <w:pPr>
        <w:spacing w:line="276" w:lineRule="auto"/>
        <w:ind w:firstLine="480" w:firstLineChars="200"/>
        <w:rPr>
          <w:sz w:val="24"/>
          <w:szCs w:val="24"/>
          <w:lang w:eastAsia="zh-CN"/>
        </w:rPr>
      </w:pPr>
      <w:r>
        <w:rPr>
          <w:sz w:val="24"/>
          <w:szCs w:val="24"/>
          <w:lang w:eastAsia="zh-CN"/>
        </w:rPr>
        <w:t>7.乙方不履行协议义务或者未按协议约定履行义务的其他情况。</w:t>
      </w:r>
    </w:p>
    <w:p>
      <w:pPr>
        <w:spacing w:line="276" w:lineRule="auto"/>
        <w:ind w:firstLine="480" w:firstLineChars="200"/>
        <w:rPr>
          <w:sz w:val="24"/>
          <w:szCs w:val="24"/>
          <w:lang w:eastAsia="zh-CN"/>
        </w:rPr>
      </w:pPr>
      <w:bookmarkStart w:id="377" w:name="_Toc396037062"/>
      <w:bookmarkStart w:id="378" w:name="_Toc389985367"/>
      <w:bookmarkStart w:id="379" w:name="_Toc442022109"/>
      <w:bookmarkStart w:id="380" w:name="_Toc383301035"/>
      <w:bookmarkStart w:id="381" w:name="_Toc384944725"/>
      <w:bookmarkStart w:id="382" w:name="_Toc434694371"/>
      <w:bookmarkStart w:id="383" w:name="_Toc451698748"/>
      <w:bookmarkStart w:id="384" w:name="_Toc381911474"/>
      <w:bookmarkStart w:id="385" w:name="_Toc442133379"/>
      <w:bookmarkStart w:id="386" w:name="_Toc442016150"/>
      <w:bookmarkStart w:id="387" w:name="_Toc396036418"/>
      <w:r>
        <w:rPr>
          <w:sz w:val="24"/>
          <w:szCs w:val="24"/>
          <w:lang w:eastAsia="zh-CN"/>
        </w:rPr>
        <w:t>第十</w:t>
      </w:r>
      <w:r>
        <w:rPr>
          <w:rFonts w:hint="eastAsia"/>
          <w:sz w:val="24"/>
          <w:szCs w:val="24"/>
          <w:lang w:eastAsia="zh-CN"/>
        </w:rPr>
        <w:t>一</w:t>
      </w:r>
      <w:r>
        <w:rPr>
          <w:sz w:val="24"/>
          <w:szCs w:val="24"/>
          <w:lang w:eastAsia="zh-CN"/>
        </w:rPr>
        <w:t>条 补充条款</w:t>
      </w:r>
      <w:bookmarkEnd w:id="377"/>
      <w:bookmarkEnd w:id="378"/>
      <w:bookmarkEnd w:id="379"/>
      <w:bookmarkEnd w:id="380"/>
      <w:bookmarkEnd w:id="381"/>
      <w:bookmarkEnd w:id="382"/>
      <w:bookmarkEnd w:id="383"/>
      <w:bookmarkEnd w:id="384"/>
      <w:bookmarkEnd w:id="385"/>
      <w:bookmarkEnd w:id="386"/>
      <w:bookmarkEnd w:id="387"/>
    </w:p>
    <w:p>
      <w:pPr>
        <w:spacing w:line="276" w:lineRule="auto"/>
        <w:ind w:firstLine="480" w:firstLineChars="200"/>
        <w:rPr>
          <w:sz w:val="24"/>
          <w:szCs w:val="24"/>
          <w:lang w:eastAsia="zh-CN"/>
        </w:rPr>
      </w:pPr>
      <w:r>
        <w:rPr>
          <w:sz w:val="24"/>
          <w:szCs w:val="24"/>
          <w:lang w:eastAsia="zh-CN"/>
        </w:rPr>
        <w:t xml:space="preserve">甲乙双方在遵守有关法律、法规、规章和标准的前提下，结合项目施工实际，经协商一致后，可对以上条款内容进行补充但不得相悖，补充条款与本协议其他条款具有同等法律效力。 </w:t>
      </w:r>
    </w:p>
    <w:p>
      <w:pPr>
        <w:spacing w:line="276" w:lineRule="auto"/>
        <w:ind w:firstLine="480" w:firstLineChars="200"/>
        <w:rPr>
          <w:sz w:val="24"/>
          <w:szCs w:val="24"/>
          <w:lang w:eastAsia="zh-CN"/>
        </w:rPr>
      </w:pPr>
      <w:bookmarkStart w:id="388" w:name="_Toc451698749"/>
      <w:bookmarkStart w:id="389" w:name="_Toc434694372"/>
      <w:bookmarkStart w:id="390" w:name="_Toc396036419"/>
      <w:bookmarkStart w:id="391" w:name="_Toc383301036"/>
      <w:bookmarkStart w:id="392" w:name="_Toc396037063"/>
      <w:bookmarkStart w:id="393" w:name="_Toc442133380"/>
      <w:bookmarkStart w:id="394" w:name="_Toc442022110"/>
      <w:bookmarkStart w:id="395" w:name="_Toc389985368"/>
      <w:bookmarkStart w:id="396" w:name="_Toc384944726"/>
      <w:bookmarkStart w:id="397" w:name="_Toc442016151"/>
      <w:bookmarkStart w:id="398" w:name="_Toc381911475"/>
      <w:r>
        <w:rPr>
          <w:sz w:val="24"/>
          <w:szCs w:val="24"/>
          <w:lang w:eastAsia="zh-CN"/>
        </w:rPr>
        <w:t>第十</w:t>
      </w:r>
      <w:r>
        <w:rPr>
          <w:rFonts w:hint="eastAsia"/>
          <w:sz w:val="24"/>
          <w:szCs w:val="24"/>
          <w:lang w:eastAsia="zh-CN"/>
        </w:rPr>
        <w:t>二</w:t>
      </w:r>
      <w:r>
        <w:rPr>
          <w:sz w:val="24"/>
          <w:szCs w:val="24"/>
          <w:lang w:eastAsia="zh-CN"/>
        </w:rPr>
        <w:t>条 协议生效</w:t>
      </w:r>
      <w:bookmarkEnd w:id="388"/>
      <w:bookmarkEnd w:id="389"/>
      <w:bookmarkEnd w:id="390"/>
      <w:bookmarkEnd w:id="391"/>
      <w:bookmarkEnd w:id="392"/>
      <w:bookmarkEnd w:id="393"/>
      <w:bookmarkEnd w:id="394"/>
      <w:bookmarkEnd w:id="395"/>
      <w:bookmarkEnd w:id="396"/>
      <w:bookmarkEnd w:id="397"/>
      <w:bookmarkEnd w:id="398"/>
    </w:p>
    <w:p>
      <w:pPr>
        <w:spacing w:line="276" w:lineRule="auto"/>
        <w:ind w:firstLine="480" w:firstLineChars="200"/>
        <w:rPr>
          <w:sz w:val="24"/>
          <w:szCs w:val="24"/>
          <w:lang w:eastAsia="zh-CN"/>
        </w:rPr>
      </w:pPr>
      <w:r>
        <w:rPr>
          <w:sz w:val="24"/>
          <w:szCs w:val="24"/>
          <w:lang w:eastAsia="zh-CN"/>
        </w:rPr>
        <w:t>本协议自甲乙双方签字盖章之日起生效，其时效与双方所签订项目承包合同相同。</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84"/>
        <w:gridCol w:w="4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甲方(盖章)：</w:t>
            </w:r>
          </w:p>
        </w:tc>
        <w:tc>
          <w:tcPr>
            <w:tcW w:w="4884" w:type="dxa"/>
          </w:tcPr>
          <w:p>
            <w:pPr>
              <w:spacing w:line="276" w:lineRule="auto"/>
              <w:rPr>
                <w:sz w:val="24"/>
                <w:szCs w:val="24"/>
                <w:lang w:eastAsia="zh-CN"/>
              </w:rPr>
            </w:pPr>
            <w:r>
              <w:rPr>
                <w:sz w:val="24"/>
                <w:szCs w:val="24"/>
                <w:lang w:eastAsia="zh-CN"/>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企业负责人(签字)：</w:t>
            </w:r>
          </w:p>
        </w:tc>
        <w:tc>
          <w:tcPr>
            <w:tcW w:w="4884" w:type="dxa"/>
          </w:tcPr>
          <w:p>
            <w:pPr>
              <w:spacing w:line="276" w:lineRule="auto"/>
              <w:rPr>
                <w:sz w:val="24"/>
                <w:szCs w:val="24"/>
                <w:lang w:eastAsia="zh-CN"/>
              </w:rPr>
            </w:pPr>
            <w:r>
              <w:rPr>
                <w:sz w:val="24"/>
                <w:szCs w:val="24"/>
                <w:lang w:eastAsia="zh-CN"/>
              </w:rPr>
              <w:t>企业负责人(签字)：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或委托代理人(签字)</w:t>
            </w:r>
            <w:r>
              <w:rPr>
                <w:rFonts w:hint="eastAsia"/>
                <w:sz w:val="24"/>
                <w:szCs w:val="24"/>
                <w:lang w:eastAsia="zh-CN"/>
              </w:rPr>
              <w:t xml:space="preserve"> ：</w:t>
            </w:r>
          </w:p>
        </w:tc>
        <w:tc>
          <w:tcPr>
            <w:tcW w:w="4884" w:type="dxa"/>
          </w:tcPr>
          <w:p>
            <w:pPr>
              <w:spacing w:line="276" w:lineRule="auto"/>
              <w:rPr>
                <w:sz w:val="24"/>
                <w:szCs w:val="24"/>
                <w:lang w:eastAsia="zh-CN"/>
              </w:rPr>
            </w:pPr>
            <w:r>
              <w:rPr>
                <w:sz w:val="24"/>
                <w:szCs w:val="24"/>
                <w:lang w:eastAsia="zh-CN"/>
              </w:rPr>
              <w:t>或委托代理人(签字)：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884" w:type="dxa"/>
          </w:tcPr>
          <w:p>
            <w:pPr>
              <w:spacing w:line="276" w:lineRule="auto"/>
              <w:rPr>
                <w:sz w:val="24"/>
                <w:szCs w:val="24"/>
                <w:lang w:eastAsia="zh-CN"/>
              </w:rPr>
            </w:pPr>
            <w:r>
              <w:rPr>
                <w:sz w:val="24"/>
                <w:szCs w:val="24"/>
                <w:lang w:eastAsia="zh-CN"/>
              </w:rPr>
              <w:t>联系电话：</w:t>
            </w:r>
          </w:p>
        </w:tc>
        <w:tc>
          <w:tcPr>
            <w:tcW w:w="4884" w:type="dxa"/>
          </w:tcPr>
          <w:p>
            <w:pPr>
              <w:spacing w:line="276" w:lineRule="auto"/>
              <w:rPr>
                <w:sz w:val="24"/>
                <w:szCs w:val="24"/>
                <w:lang w:eastAsia="zh-CN"/>
              </w:rPr>
            </w:pPr>
            <w:r>
              <w:rPr>
                <w:sz w:val="24"/>
                <w:szCs w:val="24"/>
                <w:lang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c>
          <w:tcPr>
            <w:tcW w:w="4884" w:type="dxa"/>
          </w:tcPr>
          <w:p>
            <w:pPr>
              <w:spacing w:line="276" w:lineRule="auto"/>
              <w:rPr>
                <w:sz w:val="24"/>
                <w:szCs w:val="24"/>
                <w:lang w:eastAsia="zh-CN"/>
              </w:rPr>
            </w:pPr>
            <w:r>
              <w:rPr>
                <w:sz w:val="24"/>
                <w:szCs w:val="24"/>
                <w:lang w:eastAsia="zh-CN"/>
              </w:rPr>
              <w:t>日期：</w:t>
            </w:r>
            <w:r>
              <w:rPr>
                <w:rFonts w:hint="eastAsia"/>
                <w:sz w:val="24"/>
                <w:szCs w:val="24"/>
                <w:lang w:eastAsia="zh-CN"/>
              </w:rPr>
              <w:t xml:space="preserve"> </w:t>
            </w:r>
            <w:r>
              <w:rPr>
                <w:sz w:val="24"/>
                <w:szCs w:val="24"/>
                <w:lang w:eastAsia="zh-CN"/>
              </w:rPr>
              <w:t xml:space="preserve">   年</w:t>
            </w:r>
            <w:r>
              <w:rPr>
                <w:rFonts w:hint="eastAsia"/>
                <w:sz w:val="24"/>
                <w:szCs w:val="24"/>
                <w:lang w:eastAsia="zh-CN"/>
              </w:rPr>
              <w:t xml:space="preserve"> </w:t>
            </w:r>
            <w:r>
              <w:rPr>
                <w:sz w:val="24"/>
                <w:szCs w:val="24"/>
                <w:lang w:eastAsia="zh-CN"/>
              </w:rPr>
              <w:t xml:space="preserve">  月</w:t>
            </w:r>
            <w:r>
              <w:rPr>
                <w:rFonts w:hint="eastAsia"/>
                <w:sz w:val="24"/>
                <w:szCs w:val="24"/>
                <w:lang w:eastAsia="zh-CN"/>
              </w:rPr>
              <w:t xml:space="preserve"> </w:t>
            </w:r>
            <w:r>
              <w:rPr>
                <w:sz w:val="24"/>
                <w:szCs w:val="24"/>
                <w:lang w:eastAsia="zh-CN"/>
              </w:rPr>
              <w:t xml:space="preserve">  日</w:t>
            </w:r>
          </w:p>
        </w:tc>
      </w:tr>
    </w:tbl>
    <w:p>
      <w:pPr>
        <w:adjustRightInd w:val="0"/>
        <w:snapToGrid w:val="0"/>
        <w:spacing w:line="276" w:lineRule="auto"/>
        <w:rPr>
          <w:rFonts w:eastAsia="仿宋" w:asciiTheme="minorEastAsia" w:hAnsiTheme="minorEastAsia"/>
          <w:snapToGrid w:val="0"/>
          <w:sz w:val="24"/>
          <w:szCs w:val="24"/>
          <w:lang w:eastAsia="zh-CN"/>
        </w:rPr>
      </w:pP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附件</w:t>
      </w:r>
      <w:r>
        <w:rPr>
          <w:rFonts w:eastAsia="仿宋" w:asciiTheme="minorEastAsia" w:hAnsiTheme="minorEastAsia"/>
          <w:snapToGrid w:val="0"/>
          <w:sz w:val="24"/>
          <w:szCs w:val="24"/>
          <w:lang w:eastAsia="zh-CN"/>
        </w:rPr>
        <w:t>2</w:t>
      </w:r>
      <w:r>
        <w:rPr>
          <w:rFonts w:hint="eastAsia" w:eastAsia="仿宋" w:asciiTheme="minorEastAsia" w:hAnsiTheme="minorEastAsia"/>
          <w:snapToGrid w:val="0"/>
          <w:sz w:val="24"/>
          <w:szCs w:val="24"/>
          <w:lang w:eastAsia="zh-CN"/>
        </w:rPr>
        <w:t>：环保管理协议书</w:t>
      </w:r>
    </w:p>
    <w:p>
      <w:pPr>
        <w:adjustRightInd w:val="0"/>
        <w:snapToGrid w:val="0"/>
        <w:spacing w:line="276" w:lineRule="auto"/>
        <w:rPr>
          <w:rFonts w:eastAsia="仿宋" w:asciiTheme="minorEastAsia" w:hAnsiTheme="minorEastAsia"/>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jc w:val="center"/>
        <w:rPr>
          <w:sz w:val="32"/>
          <w:szCs w:val="32"/>
          <w:lang w:eastAsia="zh-CN"/>
        </w:rPr>
      </w:pPr>
      <w:r>
        <w:rPr>
          <w:rFonts w:hint="eastAsia"/>
          <w:sz w:val="32"/>
          <w:szCs w:val="32"/>
          <w:lang w:eastAsia="zh-CN"/>
        </w:rPr>
        <w:t>甲、乙类</w:t>
      </w:r>
      <w:bookmarkStart w:id="399" w:name="OLE_LINK82"/>
      <w:bookmarkStart w:id="400" w:name="OLE_LINK81"/>
      <w:r>
        <w:rPr>
          <w:rFonts w:hint="eastAsia"/>
          <w:sz w:val="32"/>
          <w:szCs w:val="32"/>
          <w:lang w:eastAsia="zh-CN"/>
        </w:rPr>
        <w:t>承包商环保管理协议</w:t>
      </w:r>
      <w:bookmarkEnd w:id="399"/>
      <w:bookmarkEnd w:id="400"/>
    </w:p>
    <w:p>
      <w:pPr>
        <w:spacing w:line="276" w:lineRule="auto"/>
        <w:jc w:val="center"/>
        <w:rPr>
          <w:sz w:val="32"/>
          <w:szCs w:val="32"/>
          <w:lang w:eastAsia="zh-CN"/>
        </w:rPr>
      </w:pPr>
    </w:p>
    <w:p>
      <w:pPr>
        <w:spacing w:line="276" w:lineRule="auto"/>
        <w:ind w:firstLine="480" w:firstLineChars="200"/>
        <w:rPr>
          <w:sz w:val="24"/>
          <w:szCs w:val="24"/>
          <w:lang w:eastAsia="zh-CN"/>
        </w:rPr>
      </w:pPr>
      <w:r>
        <w:rPr>
          <w:rFonts w:hint="eastAsia"/>
          <w:sz w:val="24"/>
          <w:szCs w:val="24"/>
          <w:lang w:eastAsia="zh-CN"/>
        </w:rPr>
        <w:t>发包方：                         （以下称甲方）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承包方：                         （以下称乙方）</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rFonts w:hint="eastAsia"/>
          <w:sz w:val="24"/>
          <w:szCs w:val="24"/>
          <w:lang w:eastAsia="zh-CN"/>
        </w:rPr>
        <w:t>为做好甲方在劳务外包期间厂区及周边环境保护工作，减少作业对厂区环境的污染，认真贯彻执行环境保护等有关法律法规，结合本单位实际情况，经甲乙双方同意特签订环境保护协议如下：</w:t>
      </w:r>
    </w:p>
    <w:p>
      <w:pPr>
        <w:spacing w:line="276" w:lineRule="auto"/>
        <w:ind w:firstLine="480" w:firstLineChars="200"/>
        <w:rPr>
          <w:sz w:val="24"/>
          <w:szCs w:val="24"/>
          <w:lang w:eastAsia="zh-CN"/>
        </w:rPr>
      </w:pPr>
      <w:r>
        <w:rPr>
          <w:rFonts w:hint="eastAsia"/>
          <w:sz w:val="24"/>
          <w:szCs w:val="24"/>
          <w:lang w:eastAsia="zh-CN"/>
        </w:rPr>
        <w:t>第一条乙方为甲方劳务外包期间，应满足如下要求：</w:t>
      </w:r>
    </w:p>
    <w:p>
      <w:pPr>
        <w:spacing w:line="276" w:lineRule="auto"/>
        <w:ind w:firstLine="480" w:firstLineChars="200"/>
        <w:rPr>
          <w:sz w:val="24"/>
          <w:szCs w:val="24"/>
          <w:lang w:eastAsia="zh-CN"/>
        </w:rPr>
      </w:pPr>
      <w:r>
        <w:rPr>
          <w:rFonts w:hint="eastAsia"/>
          <w:sz w:val="24"/>
          <w:szCs w:val="24"/>
          <w:lang w:eastAsia="zh-CN"/>
        </w:rPr>
        <w:t>（一）乙方在甲方现场的所有活动必须遵守国家相关法律法规。</w:t>
      </w:r>
    </w:p>
    <w:p>
      <w:pPr>
        <w:spacing w:line="276" w:lineRule="auto"/>
        <w:ind w:firstLine="480" w:firstLineChars="200"/>
        <w:rPr>
          <w:sz w:val="24"/>
          <w:szCs w:val="24"/>
          <w:lang w:eastAsia="zh-CN"/>
        </w:rPr>
      </w:pPr>
      <w:r>
        <w:rPr>
          <w:rFonts w:hint="eastAsia"/>
          <w:sz w:val="24"/>
          <w:szCs w:val="24"/>
          <w:lang w:eastAsia="zh-CN"/>
        </w:rPr>
        <w:t>（二）乙方进入甲方厂内必须对因施工或其他生产行为可能对环境造成的污染应采取积极预防并不断改进的措施，确保污染物达标排放，同时应做出持续改进 的承诺。</w:t>
      </w:r>
    </w:p>
    <w:p>
      <w:pPr>
        <w:spacing w:line="276" w:lineRule="auto"/>
        <w:ind w:firstLine="480" w:firstLineChars="200"/>
        <w:rPr>
          <w:sz w:val="24"/>
          <w:szCs w:val="24"/>
          <w:lang w:eastAsia="zh-CN"/>
        </w:rPr>
      </w:pPr>
      <w:r>
        <w:rPr>
          <w:rFonts w:hint="eastAsia"/>
          <w:sz w:val="24"/>
          <w:szCs w:val="24"/>
          <w:lang w:eastAsia="zh-CN"/>
        </w:rPr>
        <w:t>（三）乙方在甲方厂内工作前有义务主动向甲方了解作业区域内环保管理要求。</w:t>
      </w:r>
    </w:p>
    <w:p>
      <w:pPr>
        <w:spacing w:line="276" w:lineRule="auto"/>
        <w:ind w:firstLine="480" w:firstLineChars="200"/>
        <w:rPr>
          <w:sz w:val="24"/>
          <w:szCs w:val="24"/>
          <w:lang w:eastAsia="zh-CN"/>
        </w:rPr>
      </w:pPr>
      <w:r>
        <w:rPr>
          <w:rFonts w:hint="eastAsia"/>
          <w:sz w:val="24"/>
          <w:szCs w:val="24"/>
          <w:lang w:eastAsia="zh-CN"/>
        </w:rPr>
        <w:t>（四）甲乙双方合同履行期间，乙方必须采取有效措施将乙方人员在劳动过程对产生环境影响的主要因 素进行有效控制。</w:t>
      </w:r>
    </w:p>
    <w:p>
      <w:pPr>
        <w:spacing w:line="276" w:lineRule="auto"/>
        <w:ind w:firstLine="480" w:firstLineChars="200"/>
        <w:rPr>
          <w:sz w:val="24"/>
          <w:szCs w:val="24"/>
          <w:lang w:eastAsia="zh-CN"/>
        </w:rPr>
      </w:pPr>
      <w:r>
        <w:rPr>
          <w:rFonts w:hint="eastAsia"/>
          <w:sz w:val="24"/>
          <w:szCs w:val="24"/>
          <w:lang w:eastAsia="zh-CN"/>
        </w:rPr>
        <w:t>（五）乙方人员在上岗前必须对现场作业人员进行环保教育或培训，提高现场人员的环保意识。</w:t>
      </w:r>
    </w:p>
    <w:p>
      <w:pPr>
        <w:spacing w:line="276" w:lineRule="auto"/>
        <w:ind w:firstLine="480" w:firstLineChars="200"/>
        <w:rPr>
          <w:sz w:val="24"/>
          <w:szCs w:val="24"/>
          <w:lang w:eastAsia="zh-CN"/>
        </w:rPr>
      </w:pPr>
      <w:r>
        <w:rPr>
          <w:rFonts w:hint="eastAsia"/>
          <w:sz w:val="24"/>
          <w:szCs w:val="24"/>
          <w:lang w:eastAsia="zh-CN"/>
        </w:rPr>
        <w:t>（六）乙方必须建立一套环境事故应急反应预案并且在甲方处备案。</w:t>
      </w:r>
    </w:p>
    <w:p>
      <w:pPr>
        <w:spacing w:line="276" w:lineRule="auto"/>
        <w:ind w:firstLine="480" w:firstLineChars="200"/>
        <w:rPr>
          <w:sz w:val="24"/>
          <w:szCs w:val="24"/>
          <w:lang w:eastAsia="zh-CN"/>
        </w:rPr>
      </w:pPr>
      <w:r>
        <w:rPr>
          <w:rFonts w:hint="eastAsia"/>
          <w:sz w:val="24"/>
          <w:szCs w:val="24"/>
          <w:lang w:eastAsia="zh-CN"/>
        </w:rPr>
        <w:t>（七）甲方将不定期对乙方在环境保护方面的工作落实情况进行检查，乙方应积极配合，如有检查确认的不合格项，乙方须予以整改。</w:t>
      </w:r>
    </w:p>
    <w:p>
      <w:pPr>
        <w:spacing w:line="276" w:lineRule="auto"/>
        <w:ind w:firstLine="480" w:firstLineChars="200"/>
        <w:rPr>
          <w:sz w:val="24"/>
          <w:szCs w:val="24"/>
          <w:lang w:eastAsia="zh-CN"/>
        </w:rPr>
      </w:pPr>
      <w:r>
        <w:rPr>
          <w:rFonts w:hint="eastAsia"/>
          <w:sz w:val="24"/>
          <w:szCs w:val="24"/>
          <w:lang w:eastAsia="zh-CN"/>
        </w:rPr>
        <w:t>（八）乙方在环境保护工作落实期间如遇突发问题,甲方应予以积极协助和指导。乙方在整个劳务外包期间,始终具有履行环境保护工作的责任和义务。甲方负责检查、指导和监督，乙方在作业过程必须做好如下工作要求：</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1.固废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施工作业产生的固废分类定点放置并及时合法合规处置。处置时向甲方报告处置地点，提供处置单位资质。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土建施工挖出的泥土砂石等须及时填埋洒水，恢复原状。</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滤泥、白泥、环保污泥、锅炉灰渣等固废拉运处置时保持现场及路面干净，如有掉落及时清扫。</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2</w:t>
      </w:r>
      <w:r>
        <w:rPr>
          <w:rFonts w:ascii="宋体" w:hAnsi="宋体" w:eastAsia="宋体" w:cs="Times New Roman"/>
          <w:color w:val="auto"/>
          <w:kern w:val="2"/>
        </w:rPr>
        <w:t>.</w:t>
      </w:r>
      <w:r>
        <w:rPr>
          <w:rFonts w:hint="eastAsia" w:ascii="宋体" w:hAnsi="宋体" w:eastAsia="宋体" w:cs="Times New Roman"/>
          <w:color w:val="auto"/>
          <w:kern w:val="2"/>
        </w:rPr>
        <w:t>危废</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乙方在施工过程中使用有毒有害物质如油漆、涂料、机油等，应做好防泄漏储存措施，以免泄漏危害环境。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施工过程产生的废机油、废机油桶、废油漆桶、石棉废物等危险废物联系有资质的第三方进行处置。处置时向甲方报告处置地点，提供处置单位资质。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3</w:t>
      </w:r>
      <w:r>
        <w:rPr>
          <w:rFonts w:ascii="宋体" w:hAnsi="宋体" w:eastAsia="宋体" w:cs="Times New Roman"/>
          <w:color w:val="auto"/>
          <w:kern w:val="2"/>
        </w:rPr>
        <w:t>.</w:t>
      </w:r>
      <w:r>
        <w:rPr>
          <w:rFonts w:hint="eastAsia" w:ascii="宋体" w:hAnsi="宋体" w:eastAsia="宋体" w:cs="Times New Roman"/>
          <w:color w:val="auto"/>
          <w:kern w:val="2"/>
        </w:rPr>
        <w:t>噪声</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(1)乙方施工</w:t>
      </w:r>
      <w:r>
        <w:rPr>
          <w:rFonts w:hint="eastAsia" w:ascii="宋体" w:hAnsi="宋体" w:eastAsia="宋体" w:cs="Times New Roman"/>
          <w:color w:val="auto"/>
          <w:kern w:val="2"/>
        </w:rPr>
        <w:t>产生的</w:t>
      </w:r>
      <w:r>
        <w:rPr>
          <w:rFonts w:ascii="宋体" w:hAnsi="宋体" w:eastAsia="宋体" w:cs="Times New Roman"/>
          <w:color w:val="auto"/>
          <w:kern w:val="2"/>
        </w:rPr>
        <w:t>噪声，</w:t>
      </w:r>
      <w:r>
        <w:rPr>
          <w:rFonts w:hint="eastAsia" w:ascii="宋体" w:hAnsi="宋体" w:eastAsia="宋体" w:cs="Times New Roman"/>
          <w:color w:val="auto"/>
          <w:kern w:val="2"/>
        </w:rPr>
        <w:t>须</w:t>
      </w:r>
      <w:r>
        <w:rPr>
          <w:rFonts w:ascii="宋体" w:hAnsi="宋体" w:eastAsia="宋体" w:cs="Times New Roman"/>
          <w:color w:val="auto"/>
          <w:kern w:val="2"/>
        </w:rPr>
        <w:t>符合国家规定的施工环境噪声排放标准</w:t>
      </w:r>
      <w:r>
        <w:rPr>
          <w:rFonts w:hint="eastAsia" w:ascii="宋体" w:hAnsi="宋体" w:eastAsia="宋体" w:cs="Times New Roman"/>
          <w:color w:val="auto"/>
          <w:kern w:val="2"/>
        </w:rPr>
        <w:t>。同时</w:t>
      </w:r>
      <w:r>
        <w:rPr>
          <w:rFonts w:ascii="宋体" w:hAnsi="宋体" w:eastAsia="宋体" w:cs="Times New Roman"/>
          <w:color w:val="auto"/>
          <w:kern w:val="2"/>
        </w:rPr>
        <w:t>应采取有效措施，减轻噪声对周围生活环境的影响。</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机动车辆噪声符合国家规定的排放标准。</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3)乙方机动车辆进入</w:t>
      </w:r>
      <w:r>
        <w:rPr>
          <w:rFonts w:hint="eastAsia" w:ascii="宋体" w:hAnsi="宋体" w:eastAsia="宋体" w:cs="Times New Roman"/>
          <w:color w:val="auto"/>
          <w:kern w:val="2"/>
        </w:rPr>
        <w:t>甲方项目/服务</w:t>
      </w:r>
      <w:r>
        <w:rPr>
          <w:rFonts w:ascii="宋体" w:hAnsi="宋体" w:eastAsia="宋体" w:cs="Times New Roman"/>
          <w:color w:val="auto"/>
          <w:kern w:val="2"/>
        </w:rPr>
        <w:t>现场严禁使用喇叭。</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4</w:t>
      </w:r>
      <w:r>
        <w:rPr>
          <w:rFonts w:ascii="宋体" w:hAnsi="宋体" w:eastAsia="宋体" w:cs="Times New Roman"/>
          <w:color w:val="auto"/>
          <w:kern w:val="2"/>
        </w:rPr>
        <w:t>.</w:t>
      </w:r>
      <w:r>
        <w:rPr>
          <w:rFonts w:hint="eastAsia" w:ascii="宋体" w:hAnsi="宋体" w:eastAsia="宋体" w:cs="Times New Roman"/>
          <w:color w:val="auto"/>
          <w:kern w:val="2"/>
        </w:rPr>
        <w:t>水</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(1)禁止</w:t>
      </w:r>
      <w:r>
        <w:rPr>
          <w:rFonts w:hint="eastAsia" w:ascii="宋体" w:hAnsi="宋体" w:eastAsia="宋体" w:cs="Times New Roman"/>
          <w:color w:val="auto"/>
          <w:kern w:val="2"/>
        </w:rPr>
        <w:t>向</w:t>
      </w:r>
      <w:r>
        <w:rPr>
          <w:rFonts w:ascii="宋体" w:hAnsi="宋体" w:eastAsia="宋体" w:cs="Times New Roman"/>
          <w:color w:val="auto"/>
          <w:kern w:val="2"/>
        </w:rPr>
        <w:t>施工现场周边排放油类、酸液、碱液或者</w:t>
      </w:r>
      <w:r>
        <w:rPr>
          <w:rFonts w:hint="eastAsia" w:ascii="宋体" w:hAnsi="宋体" w:eastAsia="宋体" w:cs="Times New Roman"/>
          <w:color w:val="auto"/>
          <w:kern w:val="2"/>
        </w:rPr>
        <w:t>有</w:t>
      </w:r>
      <w:r>
        <w:rPr>
          <w:rFonts w:ascii="宋体" w:hAnsi="宋体" w:eastAsia="宋体" w:cs="Times New Roman"/>
          <w:color w:val="auto"/>
          <w:kern w:val="2"/>
        </w:rPr>
        <w:t>毒废液。</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2)禁止向施工现场周边水体排放、倾倒放射性固体废物或者含有高放射性</w:t>
      </w:r>
      <w:r>
        <w:rPr>
          <w:rFonts w:hint="eastAsia" w:ascii="宋体" w:hAnsi="宋体" w:eastAsia="宋体" w:cs="Times New Roman"/>
          <w:color w:val="auto"/>
          <w:kern w:val="2"/>
        </w:rPr>
        <w:t>或</w:t>
      </w:r>
      <w:r>
        <w:rPr>
          <w:rFonts w:ascii="宋体" w:hAnsi="宋体" w:eastAsia="宋体" w:cs="Times New Roman"/>
          <w:color w:val="auto"/>
          <w:kern w:val="2"/>
        </w:rPr>
        <w:t>中放射性物质的废水。</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5</w:t>
      </w:r>
      <w:r>
        <w:rPr>
          <w:rFonts w:ascii="宋体" w:hAnsi="宋体" w:eastAsia="宋体" w:cs="Times New Roman"/>
          <w:color w:val="auto"/>
          <w:kern w:val="2"/>
        </w:rPr>
        <w:t>.</w:t>
      </w:r>
      <w:r>
        <w:rPr>
          <w:rFonts w:hint="eastAsia" w:ascii="宋体" w:hAnsi="宋体" w:eastAsia="宋体" w:cs="Times New Roman"/>
          <w:color w:val="auto"/>
          <w:kern w:val="2"/>
        </w:rPr>
        <w:t>气</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(1)施工</w:t>
      </w:r>
      <w:r>
        <w:rPr>
          <w:rFonts w:hint="eastAsia" w:ascii="宋体" w:hAnsi="宋体" w:eastAsia="宋体" w:cs="Times New Roman"/>
          <w:color w:val="auto"/>
          <w:kern w:val="2"/>
        </w:rPr>
        <w:t>现场</w:t>
      </w:r>
      <w:r>
        <w:rPr>
          <w:rFonts w:ascii="宋体" w:hAnsi="宋体" w:eastAsia="宋体" w:cs="Times New Roman"/>
          <w:color w:val="auto"/>
          <w:kern w:val="2"/>
        </w:rPr>
        <w:t>禁止焚烧油毡、橡胶、塑料、皮革、垃圾以及其他产生有毒有害烟尘和恶臭气体的物质。</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乙方应</w:t>
      </w:r>
      <w:r>
        <w:rPr>
          <w:rFonts w:ascii="宋体" w:hAnsi="宋体" w:eastAsia="宋体" w:cs="Times New Roman"/>
          <w:color w:val="auto"/>
          <w:kern w:val="2"/>
        </w:rPr>
        <w:t>加强机动车辆维修和保养，</w:t>
      </w:r>
      <w:r>
        <w:rPr>
          <w:rFonts w:hint="eastAsia" w:ascii="宋体" w:hAnsi="宋体" w:eastAsia="宋体" w:cs="Times New Roman"/>
          <w:color w:val="auto"/>
          <w:kern w:val="2"/>
        </w:rPr>
        <w:t>机动车辆尾气符合国家规定的排放标准。</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6.</w:t>
      </w:r>
      <w:r>
        <w:rPr>
          <w:rFonts w:hint="eastAsia" w:ascii="宋体" w:hAnsi="宋体" w:eastAsia="宋体" w:cs="Times New Roman"/>
          <w:color w:val="auto"/>
          <w:kern w:val="2"/>
        </w:rPr>
        <w:t>无组织排放</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容易产生扬尘的施工现场、清扫地面时须洒水，运输建筑垃圾需加盖蓬布等，以免粉尘弥漫，污染环境。</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w:t>
      </w:r>
      <w:r>
        <w:rPr>
          <w:rFonts w:hint="eastAsia" w:ascii="宋体" w:hAnsi="宋体" w:eastAsia="宋体" w:cs="Times New Roman"/>
          <w:color w:val="auto"/>
          <w:kern w:val="2"/>
        </w:rPr>
        <w:t>临时堆放的土方采取彩条布覆盖等措施，以防尘土飞扬。</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7.</w:t>
      </w:r>
      <w:r>
        <w:rPr>
          <w:rFonts w:hint="eastAsia" w:ascii="宋体" w:hAnsi="宋体" w:eastAsia="宋体" w:cs="Times New Roman"/>
          <w:color w:val="auto"/>
          <w:kern w:val="2"/>
        </w:rPr>
        <w:t>其它</w:t>
      </w:r>
    </w:p>
    <w:p>
      <w:pPr>
        <w:pStyle w:val="229"/>
        <w:spacing w:line="320" w:lineRule="exact"/>
        <w:ind w:firstLine="480" w:firstLineChars="200"/>
        <w:rPr>
          <w:rFonts w:ascii="宋体" w:hAnsi="宋体" w:eastAsia="宋体" w:cs="Times New Roman"/>
          <w:color w:val="auto"/>
          <w:kern w:val="2"/>
        </w:rPr>
      </w:pPr>
      <w:r>
        <w:rPr>
          <w:rFonts w:ascii="宋体" w:hAnsi="宋体" w:eastAsia="宋体" w:cs="Times New Roman"/>
          <w:color w:val="auto"/>
          <w:kern w:val="2"/>
        </w:rPr>
        <w:t>(1)</w:t>
      </w:r>
      <w:r>
        <w:rPr>
          <w:rFonts w:hint="eastAsia" w:ascii="宋体" w:hAnsi="宋体" w:eastAsia="宋体" w:cs="Times New Roman"/>
          <w:color w:val="auto"/>
          <w:kern w:val="2"/>
        </w:rPr>
        <w:t>乙方施工／服务现场环境须遵守环境管理体系及法律法规有关作业场所的要求，场地功能划分及标识清楚，物资规范堆放和储存，保持现场的整洁有序。</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2)乙方应当合理选择和利用原材料、能源和其他资源，采用先进的生产工艺和设备，减少施工</w:t>
      </w:r>
      <w:r>
        <w:rPr>
          <w:rFonts w:hint="eastAsia" w:ascii="宋体" w:hAnsi="宋体" w:eastAsia="宋体" w:cs="Times New Roman"/>
          <w:color w:val="auto"/>
          <w:kern w:val="2"/>
        </w:rPr>
        <w:t>废水、废气、固废及噪声</w:t>
      </w:r>
      <w:r>
        <w:rPr>
          <w:rFonts w:ascii="宋体" w:hAnsi="宋体" w:eastAsia="宋体" w:cs="Times New Roman"/>
          <w:color w:val="auto"/>
          <w:kern w:val="2"/>
        </w:rPr>
        <w:t>产生。</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3)</w:t>
      </w:r>
      <w:r>
        <w:rPr>
          <w:rFonts w:hint="eastAsia" w:ascii="宋体" w:hAnsi="宋体" w:eastAsia="宋体" w:cs="Times New Roman"/>
          <w:color w:val="auto"/>
          <w:kern w:val="2"/>
        </w:rPr>
        <w:t>乙方使用的车辆必须具备国家法规和甲方所在地环保政策及相关规定的资质和要求，并在项目/服务实施过程中严格遵守法规及相关政策、规定。</w:t>
      </w:r>
    </w:p>
    <w:p>
      <w:pPr>
        <w:pStyle w:val="229"/>
        <w:spacing w:line="320" w:lineRule="exact"/>
        <w:ind w:firstLine="480" w:firstLineChars="200"/>
        <w:rPr>
          <w:rFonts w:ascii="宋体" w:hAnsi="宋体" w:eastAsia="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4)</w:t>
      </w:r>
      <w:r>
        <w:rPr>
          <w:rFonts w:hint="eastAsia" w:ascii="宋体" w:hAnsi="宋体" w:eastAsia="宋体" w:cs="Times New Roman"/>
          <w:color w:val="auto"/>
          <w:kern w:val="2"/>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229"/>
        <w:spacing w:line="320" w:lineRule="exact"/>
        <w:ind w:firstLine="480" w:firstLineChars="200"/>
        <w:rPr>
          <w:rFonts w:ascii="宋体" w:hAnsi="宋体" w:cs="Times New Roman"/>
          <w:color w:val="auto"/>
          <w:kern w:val="2"/>
        </w:rPr>
      </w:pPr>
      <w:r>
        <w:rPr>
          <w:rFonts w:hint="eastAsia" w:ascii="宋体" w:hAnsi="宋体" w:eastAsia="宋体" w:cs="Times New Roman"/>
          <w:color w:val="auto"/>
          <w:kern w:val="2"/>
        </w:rPr>
        <w:t>(</w:t>
      </w:r>
      <w:r>
        <w:rPr>
          <w:rFonts w:ascii="宋体" w:hAnsi="宋体" w:eastAsia="宋体" w:cs="Times New Roman"/>
          <w:color w:val="auto"/>
          <w:kern w:val="2"/>
        </w:rPr>
        <w:t>5)</w:t>
      </w:r>
      <w:r>
        <w:rPr>
          <w:rFonts w:hint="eastAsia" w:ascii="宋体" w:hAnsi="宋体" w:eastAsia="宋体" w:cs="Times New Roman"/>
          <w:color w:val="auto"/>
          <w:kern w:val="2"/>
        </w:rPr>
        <w:t>乙方在施工现场根据区域大小合理设置1</w:t>
      </w:r>
      <w:r>
        <w:rPr>
          <w:rFonts w:ascii="宋体" w:hAnsi="宋体" w:eastAsia="宋体" w:cs="Times New Roman"/>
          <w:color w:val="auto"/>
          <w:kern w:val="2"/>
        </w:rPr>
        <w:t>-2</w:t>
      </w:r>
      <w:r>
        <w:rPr>
          <w:rFonts w:hint="eastAsia" w:ascii="宋体" w:hAnsi="宋体" w:eastAsia="宋体" w:cs="Times New Roman"/>
          <w:color w:val="auto"/>
          <w:kern w:val="2"/>
        </w:rPr>
        <w:t>个固废临时储放点，安排人员每天打扫一遍施工现场，每十天清理一次临时储放点。临时储放点设置超过</w:t>
      </w:r>
      <w:r>
        <w:rPr>
          <w:rFonts w:ascii="宋体" w:hAnsi="宋体" w:eastAsia="宋体" w:cs="Times New Roman"/>
          <w:color w:val="auto"/>
          <w:kern w:val="2"/>
        </w:rPr>
        <w:t>2</w:t>
      </w:r>
      <w:r>
        <w:rPr>
          <w:rFonts w:hint="eastAsia" w:ascii="宋体" w:hAnsi="宋体" w:eastAsia="宋体" w:cs="Times New Roman"/>
          <w:color w:val="auto"/>
          <w:kern w:val="2"/>
        </w:rPr>
        <w:t>个时须报经甲方安全环保部同意。</w:t>
      </w:r>
    </w:p>
    <w:p>
      <w:pPr>
        <w:spacing w:line="276" w:lineRule="auto"/>
        <w:ind w:firstLine="480" w:firstLineChars="200"/>
        <w:rPr>
          <w:sz w:val="24"/>
          <w:szCs w:val="24"/>
          <w:lang w:eastAsia="zh-CN"/>
        </w:rPr>
      </w:pPr>
      <w:r>
        <w:rPr>
          <w:rFonts w:hint="eastAsia"/>
          <w:sz w:val="24"/>
          <w:szCs w:val="24"/>
          <w:lang w:eastAsia="zh-CN"/>
        </w:rPr>
        <w:t>（九）以上对乙方的环保要求的最终解释权归甲方所有，乙方可向甲方进行咨询。</w:t>
      </w:r>
    </w:p>
    <w:p>
      <w:pPr>
        <w:spacing w:line="480" w:lineRule="exact"/>
        <w:ind w:firstLine="480" w:firstLineChars="200"/>
        <w:rPr>
          <w:sz w:val="24"/>
          <w:szCs w:val="24"/>
          <w:lang w:eastAsia="zh-CN"/>
        </w:rPr>
      </w:pPr>
      <w:r>
        <w:rPr>
          <w:rFonts w:hint="eastAsia"/>
          <w:sz w:val="24"/>
          <w:szCs w:val="24"/>
          <w:lang w:eastAsia="zh-CN"/>
        </w:rPr>
        <w:t>（十）考核</w:t>
      </w:r>
    </w:p>
    <w:p>
      <w:pPr>
        <w:spacing w:line="480" w:lineRule="exact"/>
        <w:ind w:firstLine="480" w:firstLineChars="200"/>
        <w:rPr>
          <w:sz w:val="24"/>
          <w:szCs w:val="24"/>
          <w:lang w:eastAsia="zh-CN"/>
        </w:rPr>
      </w:pPr>
      <w:r>
        <w:rPr>
          <w:rFonts w:hint="eastAsia"/>
          <w:sz w:val="24"/>
          <w:szCs w:val="24"/>
          <w:lang w:eastAsia="zh-CN"/>
        </w:rPr>
        <w:t>1.乙方未按要求每天打扫施工现场的，由甲方安排人员打扫并按7</w:t>
      </w:r>
      <w:r>
        <w:rPr>
          <w:sz w:val="24"/>
          <w:szCs w:val="24"/>
          <w:lang w:eastAsia="zh-CN"/>
        </w:rPr>
        <w:t>0</w:t>
      </w:r>
      <w:r>
        <w:rPr>
          <w:rFonts w:hint="eastAsia"/>
          <w:sz w:val="24"/>
          <w:szCs w:val="24"/>
          <w:lang w:eastAsia="zh-CN"/>
        </w:rPr>
        <w:t>元/人/小时扣款；施工作业产生的固废未及时合法处置的，由甲方联系第三方合法处置并按以下标准考核乙方：1</w:t>
      </w:r>
      <w:r>
        <w:rPr>
          <w:sz w:val="24"/>
          <w:szCs w:val="24"/>
          <w:lang w:eastAsia="zh-CN"/>
        </w:rPr>
        <w:t>.</w:t>
      </w:r>
      <w:r>
        <w:rPr>
          <w:rFonts w:hint="eastAsia"/>
          <w:sz w:val="24"/>
          <w:szCs w:val="24"/>
          <w:lang w:eastAsia="zh-CN"/>
        </w:rPr>
        <w:t>一般固废：1000元/吨扣款；2</w:t>
      </w:r>
      <w:r>
        <w:rPr>
          <w:sz w:val="24"/>
          <w:szCs w:val="24"/>
          <w:lang w:eastAsia="zh-CN"/>
        </w:rPr>
        <w:t>.</w:t>
      </w:r>
      <w:r>
        <w:rPr>
          <w:rFonts w:hint="eastAsia"/>
          <w:sz w:val="24"/>
          <w:szCs w:val="24"/>
          <w:lang w:eastAsia="zh-CN"/>
        </w:rPr>
        <w:t>危险废物：100</w:t>
      </w:r>
      <w:r>
        <w:rPr>
          <w:sz w:val="24"/>
          <w:szCs w:val="24"/>
          <w:lang w:eastAsia="zh-CN"/>
        </w:rPr>
        <w:t>00</w:t>
      </w:r>
      <w:r>
        <w:rPr>
          <w:rFonts w:hint="eastAsia"/>
          <w:sz w:val="24"/>
          <w:szCs w:val="24"/>
          <w:lang w:eastAsia="zh-CN"/>
        </w:rPr>
        <w:t>元/吨扣款。</w:t>
      </w:r>
    </w:p>
    <w:p>
      <w:pPr>
        <w:spacing w:line="480" w:lineRule="exact"/>
        <w:ind w:firstLine="480" w:firstLineChars="200"/>
        <w:rPr>
          <w:sz w:val="24"/>
          <w:szCs w:val="24"/>
          <w:lang w:eastAsia="zh-CN"/>
        </w:rPr>
      </w:pPr>
      <w:r>
        <w:rPr>
          <w:rFonts w:hint="eastAsia"/>
          <w:sz w:val="24"/>
          <w:szCs w:val="24"/>
          <w:lang w:eastAsia="zh-CN"/>
        </w:rPr>
        <w:t>2.乙方违反甲方各项环保管理规定的，第一次扣200元、第二次扣500元、第三次扣1000元。累计违规四次以上的，第四次起每次扣2000元，视情况作停工整顿处理，停工所造成的损失由乙方负责。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szCs w:val="24"/>
          <w:lang w:eastAsia="zh-CN"/>
        </w:rPr>
      </w:pPr>
      <w:r>
        <w:rPr>
          <w:rFonts w:hint="eastAsia"/>
          <w:sz w:val="24"/>
          <w:szCs w:val="24"/>
          <w:lang w:eastAsia="zh-CN"/>
        </w:rPr>
        <w:t>3.若因乙方责任导致当地居民上访或当地环保管理部门对甲方提出整改、整顿或处罚的，将由乙方自行承担所有责任，并负责赔偿甲方由此带来的经济损失。</w:t>
      </w:r>
    </w:p>
    <w:p>
      <w:pPr>
        <w:spacing w:line="276" w:lineRule="auto"/>
        <w:ind w:firstLine="480" w:firstLineChars="200"/>
        <w:rPr>
          <w:sz w:val="24"/>
          <w:szCs w:val="24"/>
          <w:lang w:eastAsia="zh-CN"/>
        </w:rPr>
      </w:pPr>
      <w:r>
        <w:rPr>
          <w:rFonts w:hint="eastAsia"/>
          <w:sz w:val="24"/>
          <w:szCs w:val="24"/>
          <w:lang w:eastAsia="zh-CN"/>
        </w:rPr>
        <w:t>（十一）如有未尽事宜，甲乙双方及时协商。</w:t>
      </w:r>
    </w:p>
    <w:p>
      <w:pPr>
        <w:spacing w:line="276" w:lineRule="auto"/>
        <w:ind w:firstLine="480" w:firstLineChars="200"/>
        <w:rPr>
          <w:sz w:val="24"/>
          <w:szCs w:val="24"/>
          <w:lang w:eastAsia="zh-CN"/>
        </w:rPr>
      </w:pPr>
      <w:r>
        <w:rPr>
          <w:rFonts w:hint="eastAsia"/>
          <w:sz w:val="24"/>
          <w:szCs w:val="24"/>
          <w:lang w:eastAsia="zh-CN"/>
        </w:rPr>
        <w:t>（十二）本协议内容自双方签订之日起开始实施。</w:t>
      </w:r>
    </w:p>
    <w:p>
      <w:pPr>
        <w:spacing w:line="276" w:lineRule="auto"/>
        <w:ind w:firstLine="480" w:firstLineChars="200"/>
        <w:rPr>
          <w:sz w:val="24"/>
          <w:szCs w:val="24"/>
          <w:lang w:eastAsia="zh-CN"/>
        </w:rPr>
      </w:pPr>
    </w:p>
    <w:p>
      <w:pPr>
        <w:spacing w:line="276" w:lineRule="auto"/>
        <w:ind w:firstLine="480" w:firstLineChars="200"/>
        <w:rPr>
          <w:sz w:val="24"/>
          <w:szCs w:val="24"/>
          <w:lang w:eastAsia="zh-CN"/>
        </w:rPr>
      </w:pPr>
      <w:r>
        <w:rPr>
          <w:sz w:val="24"/>
          <w:szCs w:val="24"/>
          <w:lang w:eastAsia="zh-CN"/>
        </w:rPr>
        <w:t>甲方（盖章）：</w:t>
      </w:r>
      <w:r>
        <w:rPr>
          <w:rFonts w:hint="eastAsia"/>
          <w:sz w:val="24"/>
          <w:szCs w:val="24"/>
          <w:lang w:eastAsia="zh-CN"/>
        </w:rPr>
        <w:t xml:space="preserve">                       </w:t>
      </w:r>
      <w:r>
        <w:rPr>
          <w:sz w:val="24"/>
          <w:szCs w:val="24"/>
          <w:lang w:eastAsia="zh-CN"/>
        </w:rPr>
        <w:t>乙方（盖章）：</w:t>
      </w:r>
    </w:p>
    <w:p>
      <w:pPr>
        <w:spacing w:line="276" w:lineRule="auto"/>
        <w:ind w:firstLine="480" w:firstLineChars="200"/>
        <w:rPr>
          <w:sz w:val="24"/>
          <w:szCs w:val="24"/>
          <w:lang w:eastAsia="zh-CN"/>
        </w:rPr>
      </w:pPr>
      <w:r>
        <w:rPr>
          <w:sz w:val="24"/>
          <w:szCs w:val="24"/>
          <w:lang w:eastAsia="zh-CN"/>
        </w:rPr>
        <w:t>法人/委托代理人(签字)：</w:t>
      </w:r>
      <w:r>
        <w:rPr>
          <w:rFonts w:hint="eastAsia"/>
          <w:sz w:val="24"/>
          <w:szCs w:val="24"/>
          <w:lang w:eastAsia="zh-CN"/>
        </w:rPr>
        <w:t xml:space="preserve">              </w:t>
      </w:r>
      <w:r>
        <w:rPr>
          <w:sz w:val="24"/>
          <w:szCs w:val="24"/>
          <w:lang w:eastAsia="zh-CN"/>
        </w:rPr>
        <w:t>法人/委托代理人（签字）：</w:t>
      </w:r>
    </w:p>
    <w:p>
      <w:pPr>
        <w:spacing w:line="276" w:lineRule="auto"/>
        <w:ind w:firstLine="480" w:firstLineChars="200"/>
        <w:rPr>
          <w:sz w:val="24"/>
          <w:szCs w:val="24"/>
          <w:lang w:eastAsia="zh-CN"/>
        </w:rPr>
      </w:pPr>
    </w:p>
    <w:p>
      <w:pPr>
        <w:spacing w:line="276" w:lineRule="auto"/>
        <w:ind w:firstLine="480" w:firstLineChars="200"/>
        <w:rPr>
          <w:sz w:val="24"/>
          <w:szCs w:val="24"/>
        </w:rPr>
      </w:pPr>
      <w:r>
        <w:rPr>
          <w:rFonts w:hint="eastAsia"/>
          <w:sz w:val="24"/>
          <w:szCs w:val="24"/>
          <w:lang w:eastAsia="zh-CN"/>
        </w:rPr>
        <w:t xml:space="preserve">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w:t>
      </w:r>
      <w:r>
        <w:rPr>
          <w:sz w:val="24"/>
          <w:szCs w:val="24"/>
        </w:rPr>
        <w:t>日</w:t>
      </w:r>
      <w:r>
        <w:rPr>
          <w:rFonts w:hint="eastAsia"/>
          <w:sz w:val="24"/>
          <w:szCs w:val="24"/>
          <w:lang w:eastAsia="zh-CN"/>
        </w:rPr>
        <w:t xml:space="preserve">              日期：     </w:t>
      </w:r>
      <w:r>
        <w:rPr>
          <w:sz w:val="24"/>
          <w:szCs w:val="24"/>
        </w:rPr>
        <w:t>年</w:t>
      </w:r>
      <w:r>
        <w:rPr>
          <w:rFonts w:hint="eastAsia"/>
          <w:sz w:val="24"/>
          <w:szCs w:val="24"/>
          <w:lang w:eastAsia="zh-CN"/>
        </w:rPr>
        <w:t xml:space="preserve">    </w:t>
      </w:r>
      <w:r>
        <w:rPr>
          <w:sz w:val="24"/>
          <w:szCs w:val="24"/>
        </w:rPr>
        <w:t>月</w:t>
      </w:r>
      <w:r>
        <w:rPr>
          <w:rFonts w:hint="eastAsia"/>
          <w:sz w:val="24"/>
          <w:szCs w:val="24"/>
          <w:lang w:eastAsia="zh-CN"/>
        </w:rPr>
        <w:t xml:space="preserve">    日</w:t>
      </w:r>
    </w:p>
    <w:p>
      <w:pPr>
        <w:rPr>
          <w:sz w:val="24"/>
          <w:szCs w:val="24"/>
        </w:rPr>
      </w:pPr>
      <w:r>
        <w:rPr>
          <w:sz w:val="24"/>
          <w:szCs w:val="24"/>
        </w:rPr>
        <w:br w:type="page"/>
      </w:r>
    </w:p>
    <w:p>
      <w:pPr>
        <w:adjustRightInd w:val="0"/>
        <w:snapToGrid w:val="0"/>
        <w:spacing w:line="500" w:lineRule="exact"/>
        <w:rPr>
          <w:rFonts w:ascii="Times New Roman" w:hAnsi="Times New Roman" w:cs="Times New Roman"/>
          <w:sz w:val="24"/>
          <w:szCs w:val="24"/>
          <w:lang w:eastAsia="zh-CN"/>
        </w:rPr>
      </w:pPr>
      <w:r>
        <w:rPr>
          <w:rFonts w:hint="eastAsia"/>
          <w:b/>
          <w:bCs/>
          <w:szCs w:val="21"/>
          <w:lang w:eastAsia="zh-CN"/>
        </w:rPr>
        <w:t>附件</w:t>
      </w:r>
      <w:r>
        <w:rPr>
          <w:b/>
          <w:bCs/>
          <w:szCs w:val="21"/>
          <w:lang w:eastAsia="zh-CN"/>
        </w:rPr>
        <w:t xml:space="preserve">3. </w:t>
      </w:r>
      <w:r>
        <w:rPr>
          <w:rFonts w:hint="eastAsia"/>
          <w:b/>
          <w:bCs/>
          <w:szCs w:val="21"/>
          <w:lang w:eastAsia="zh-CN"/>
        </w:rPr>
        <w:t>廉洁合同</w:t>
      </w:r>
    </w:p>
    <w:p>
      <w:pPr>
        <w:spacing w:line="500" w:lineRule="exact"/>
        <w:jc w:val="center"/>
        <w:rPr>
          <w:sz w:val="30"/>
          <w:szCs w:val="30"/>
          <w:lang w:eastAsia="zh-CN"/>
        </w:rPr>
      </w:pPr>
      <w:r>
        <w:rPr>
          <w:rFonts w:hint="eastAsia"/>
          <w:b/>
          <w:bCs/>
          <w:sz w:val="48"/>
          <w:szCs w:val="48"/>
          <w:lang w:eastAsia="zh-CN"/>
        </w:rPr>
        <w:t>廉洁合同</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项目名称：</w:t>
      </w:r>
      <w:r>
        <w:rPr>
          <w:rFonts w:ascii="仿宋_GB2312" w:eastAsia="仿宋_GB2312"/>
          <w:sz w:val="32"/>
          <w:szCs w:val="32"/>
          <w:lang w:eastAsia="zh-CN"/>
        </w:rPr>
        <w:t xml:space="preserve"> </w:t>
      </w:r>
      <w:r>
        <w:rPr>
          <w:rFonts w:hint="eastAsia" w:ascii="仿宋_GB2312" w:eastAsia="仿宋_GB2312"/>
          <w:sz w:val="32"/>
          <w:szCs w:val="32"/>
          <w:lang w:eastAsia="zh-CN"/>
        </w:rPr>
        <w:t>2023年梁河糖业勐养、芒东工厂新建物资仓库项目</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甲   方：中粮梁河糖业有限公司</w:t>
      </w:r>
    </w:p>
    <w:p>
      <w:pPr>
        <w:spacing w:line="460" w:lineRule="exact"/>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为规范中粮梁河糖业有限公司</w:t>
      </w:r>
      <w:r>
        <w:rPr>
          <w:rFonts w:hint="eastAsia" w:ascii="仿宋_GB2312" w:eastAsia="仿宋_GB2312"/>
          <w:color w:val="FF0000"/>
          <w:sz w:val="30"/>
          <w:szCs w:val="30"/>
          <w:lang w:eastAsia="zh-CN"/>
        </w:rPr>
        <w:t>2023年梁河糖业勐养芒东工新建物资库项目</w:t>
      </w:r>
      <w:r>
        <w:rPr>
          <w:rFonts w:hint="eastAsia" w:ascii="仿宋_GB2312" w:eastAsia="仿宋_GB2312"/>
          <w:sz w:val="32"/>
          <w:szCs w:val="32"/>
          <w:lang w:eastAsia="zh-CN"/>
        </w:rPr>
        <w:t>采购工作，防止违法违纪事件的发生，经甲方、乙方协商同意，双方将严格执行以下条款。</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（一）甲方的工作人员有责任向乙方介绍本单位有关廉洁从业的制度、规定。甲方的纪检监察人员有权对双方在采购及合同执行过程中的廉洁情况进行监督。</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（二）甲方的工作人员不得向乙方泄露采购过程中的商业秘密。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（四）对乙方主动给予的钱（含有价证券）、物，甲方的工作人员要坚决谢绝，无法拒绝的要在两周内上交甲方的纪检监察部门或上级纪检监察部门。</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（五）甲方的工作人员在采购及执行合同过程中，必须遵守廉洁自律的其他有关规定。</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二、乙方的权利和义务</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（一）乙方的纪检监察人员有权对双方在采购及合同执行过程中的廉洁从业情况进行监督，并积极配合甲方纪检监察工作人员就有关违纪问题进行调查取证。</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（二）乙方有权了解甲方在廉洁从业方面的各项制度和规定，并主动配合甲方遵守执行。</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（三）乙方的工作人员不得以任何方式向甲方的工作人员了解采购过程中的商业秘密。</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（五）乙方发现甲方的工作人员有不廉洁的行为，必须在48小时内署名报告甲方的纪检监察人员或有关领导。</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三、违约责任</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（一）甲方的工作人员违反廉洁责任，经调查属实的，甲方将依据党纪、公司有关规定对当事人进行严肃处理，对涉嫌犯罪人员移送司法机关。</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屯河股份有限公司系统各企业不再考虑与乙方的合作。</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四、合同的生效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（一）本合同在双方签字/盖章后生效。</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（二）本合同一式贰份，双方各执一份。</w:t>
      </w:r>
    </w:p>
    <w:p>
      <w:pPr>
        <w:spacing w:line="46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（三）本合同在主合同授予、履行的全过程有效，并作为主合同的附件。</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监督联络方式：</w:t>
      </w:r>
    </w:p>
    <w:p>
      <w:pPr>
        <w:spacing w:line="460" w:lineRule="exact"/>
        <w:ind w:left="1600" w:hanging="1600" w:hangingChars="500"/>
        <w:rPr>
          <w:rFonts w:ascii="仿宋_GB2312" w:eastAsia="仿宋_GB2312"/>
          <w:sz w:val="32"/>
          <w:szCs w:val="32"/>
          <w:lang w:eastAsia="zh-CN"/>
        </w:rPr>
      </w:pPr>
      <w:bookmarkStart w:id="401" w:name="_Hlk54615888"/>
      <w:r>
        <w:rPr>
          <w:rFonts w:hint="eastAsia" w:ascii="仿宋_GB2312" w:eastAsia="仿宋_GB2312"/>
          <w:sz w:val="32"/>
          <w:szCs w:val="32"/>
          <w:lang w:eastAsia="zh-CN"/>
        </w:rPr>
        <w:t>中粮糖业纪委联系方式：办公电话  010-85017235</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通信地址：北京市朝阳区朝阳门南大街8号中粮福临门大厦9层905房间，中粮糖业纪委办公室收，邮编100020。          </w:t>
      </w:r>
    </w:p>
    <w:bookmarkEnd w:id="401"/>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 xml:space="preserve">甲    方：中粮梁河糖业有限公司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w:t>
      </w:r>
    </w:p>
    <w:p>
      <w:pPr>
        <w:spacing w:line="460" w:lineRule="exact"/>
        <w:ind w:left="1600" w:hanging="1600" w:hangingChars="500"/>
        <w:rPr>
          <w:rFonts w:ascii="仿宋_GB2312" w:eastAsia="仿宋_GB2312"/>
          <w:sz w:val="32"/>
          <w:szCs w:val="32"/>
          <w:lang w:eastAsia="zh-CN"/>
        </w:rPr>
      </w:pPr>
    </w:p>
    <w:p>
      <w:pPr>
        <w:pStyle w:val="17"/>
        <w:adjustRightInd w:val="0"/>
        <w:snapToGrid w:val="0"/>
        <w:spacing w:line="520" w:lineRule="exact"/>
        <w:ind w:left="960" w:hanging="960" w:hangingChars="300"/>
        <w:rPr>
          <w:rFonts w:ascii="仿宋_GB2312" w:eastAsia="仿宋_GB2312"/>
          <w:sz w:val="32"/>
          <w:szCs w:val="32"/>
          <w:lang w:eastAsia="zh-CN"/>
        </w:rPr>
      </w:pPr>
      <w:r>
        <w:rPr>
          <w:rFonts w:hint="eastAsia" w:ascii="仿宋_GB2312" w:eastAsia="仿宋_GB2312"/>
          <w:sz w:val="32"/>
          <w:szCs w:val="32"/>
          <w:lang w:eastAsia="zh-CN"/>
        </w:rPr>
        <w:t xml:space="preserve">乙    方：                                       </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法定代表人（或授权代表）签字：_______________</w:t>
      </w:r>
    </w:p>
    <w:p>
      <w:pPr>
        <w:spacing w:line="460" w:lineRule="exact"/>
        <w:ind w:left="1600" w:hanging="1600" w:hangingChars="500"/>
        <w:rPr>
          <w:rFonts w:ascii="仿宋_GB2312" w:eastAsia="仿宋_GB2312"/>
          <w:sz w:val="32"/>
          <w:szCs w:val="32"/>
          <w:lang w:eastAsia="zh-CN"/>
        </w:rPr>
      </w:pPr>
      <w:r>
        <w:rPr>
          <w:rFonts w:hint="eastAsia" w:ascii="仿宋_GB2312" w:eastAsia="仿宋_GB2312"/>
          <w:sz w:val="32"/>
          <w:szCs w:val="32"/>
          <w:lang w:eastAsia="zh-CN"/>
        </w:rPr>
        <w:t>签字日期：___________________________________</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附件4：技术协议</w:t>
      </w:r>
    </w:p>
    <w:p>
      <w:pPr>
        <w:spacing w:line="500" w:lineRule="exact"/>
        <w:jc w:val="center"/>
        <w:rPr>
          <w:b/>
          <w:bCs/>
          <w:sz w:val="48"/>
          <w:szCs w:val="48"/>
          <w:lang w:eastAsia="zh-CN"/>
        </w:rPr>
      </w:pPr>
      <w:r>
        <w:rPr>
          <w:rFonts w:hint="eastAsia"/>
          <w:b/>
          <w:bCs/>
          <w:sz w:val="48"/>
          <w:szCs w:val="48"/>
          <w:lang w:eastAsia="zh-CN"/>
        </w:rPr>
        <w:t>技术协议</w:t>
      </w:r>
    </w:p>
    <w:p>
      <w:pPr>
        <w:spacing w:line="480" w:lineRule="exact"/>
        <w:rPr>
          <w:rFonts w:ascii="仿宋_GB2312" w:eastAsia="仿宋_GB2312"/>
          <w:color w:val="000000"/>
          <w:sz w:val="28"/>
          <w:szCs w:val="28"/>
          <w:lang w:eastAsia="zh-CN"/>
        </w:rPr>
      </w:pPr>
    </w:p>
    <w:p>
      <w:pPr>
        <w:rPr>
          <w:rFonts w:ascii="仿宋_GB2312" w:eastAsia="仿宋_GB2312"/>
          <w:sz w:val="32"/>
          <w:szCs w:val="32"/>
          <w:lang w:eastAsia="zh-CN"/>
        </w:rPr>
      </w:pPr>
      <w:r>
        <w:rPr>
          <w:rFonts w:hint="eastAsia" w:ascii="仿宋_GB2312" w:eastAsia="仿宋_GB2312"/>
          <w:sz w:val="32"/>
          <w:szCs w:val="32"/>
          <w:lang w:eastAsia="zh-CN"/>
        </w:rPr>
        <w:t>发包方：中粮梁河糖业有限公司</w:t>
      </w:r>
    </w:p>
    <w:p>
      <w:pPr>
        <w:tabs>
          <w:tab w:val="left" w:pos="6480"/>
        </w:tabs>
        <w:adjustRightInd w:val="0"/>
        <w:snapToGrid w:val="0"/>
        <w:rPr>
          <w:rFonts w:ascii="仿宋_GB2312" w:eastAsia="仿宋_GB2312"/>
          <w:sz w:val="32"/>
          <w:szCs w:val="32"/>
          <w:lang w:eastAsia="zh-CN"/>
        </w:rPr>
      </w:pPr>
      <w:r>
        <w:rPr>
          <w:rFonts w:hint="eastAsia" w:ascii="仿宋_GB2312" w:eastAsia="仿宋_GB2312"/>
          <w:sz w:val="32"/>
          <w:szCs w:val="32"/>
          <w:lang w:eastAsia="zh-CN"/>
        </w:rPr>
        <w:t xml:space="preserve">承包方：（承包/承揽方）： </w:t>
      </w:r>
    </w:p>
    <w:p>
      <w:pPr>
        <w:rPr>
          <w:rFonts w:ascii="仿宋_GB2312" w:eastAsia="仿宋_GB2312"/>
          <w:sz w:val="32"/>
          <w:szCs w:val="32"/>
          <w:lang w:eastAsia="zh-CN"/>
        </w:rPr>
      </w:pPr>
      <w:r>
        <w:rPr>
          <w:rFonts w:hint="eastAsia" w:ascii="仿宋_GB2312" w:eastAsia="仿宋_GB2312"/>
          <w:sz w:val="32"/>
          <w:szCs w:val="32"/>
          <w:lang w:eastAsia="zh-CN"/>
        </w:rPr>
        <w:t xml:space="preserve">    经双方充分协商，发包方决定委托承包方施工</w:t>
      </w:r>
      <w:r>
        <w:rPr>
          <w:rFonts w:hint="eastAsia" w:eastAsia="仿宋_GB2312"/>
          <w:sz w:val="32"/>
          <w:szCs w:val="32"/>
          <w:u w:val="single"/>
          <w:lang w:eastAsia="zh-CN"/>
        </w:rPr>
        <w:t>2023年梁河糖业勐养、芒东工厂新建物资仓库项目</w:t>
      </w:r>
      <w:r>
        <w:rPr>
          <w:rFonts w:hint="eastAsia" w:ascii="仿宋_GB2312" w:eastAsia="仿宋_GB2312"/>
          <w:sz w:val="32"/>
          <w:szCs w:val="32"/>
          <w:lang w:eastAsia="zh-CN"/>
        </w:rPr>
        <w:t xml:space="preserve"> </w:t>
      </w:r>
      <w:bookmarkStart w:id="448" w:name="_GoBack"/>
      <w:bookmarkEnd w:id="448"/>
      <w:r>
        <w:rPr>
          <w:rFonts w:hint="eastAsia" w:ascii="仿宋_GB2312" w:eastAsia="仿宋_GB2312"/>
          <w:sz w:val="32"/>
          <w:szCs w:val="32"/>
          <w:lang w:eastAsia="zh-CN"/>
        </w:rPr>
        <w:t>工程，为了更好地执行合同的相关条款，特签订本技术协议，以资双方共同遵照执行。</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第一条、工程概况</w:t>
      </w:r>
    </w:p>
    <w:p>
      <w:pPr>
        <w:rPr>
          <w:rFonts w:ascii="仿宋_GB2312" w:eastAsia="仿宋_GB2312"/>
          <w:sz w:val="32"/>
          <w:szCs w:val="32"/>
          <w:lang w:eastAsia="zh-CN"/>
        </w:rPr>
      </w:pPr>
      <w:r>
        <w:rPr>
          <w:rFonts w:hint="eastAsia" w:ascii="仿宋_GB2312" w:eastAsia="仿宋_GB2312"/>
          <w:sz w:val="32"/>
          <w:szCs w:val="32"/>
          <w:lang w:eastAsia="zh-CN"/>
        </w:rPr>
        <w:t xml:space="preserve">   （一）工程名称：</w:t>
      </w:r>
      <w:r>
        <w:rPr>
          <w:rFonts w:hint="eastAsia" w:eastAsia="仿宋_GB2312"/>
          <w:sz w:val="32"/>
          <w:szCs w:val="32"/>
          <w:u w:val="single"/>
          <w:lang w:eastAsia="zh-CN"/>
        </w:rPr>
        <w:t>2023年梁河糖业勐养、芒东工厂新建物资仓库项目</w:t>
      </w:r>
      <w:r>
        <w:rPr>
          <w:rFonts w:hint="eastAsia" w:ascii="仿宋_GB2312" w:eastAsia="仿宋_GB2312"/>
          <w:sz w:val="32"/>
          <w:szCs w:val="32"/>
          <w:lang w:eastAsia="zh-CN"/>
        </w:rPr>
        <w:t xml:space="preserve"> </w:t>
      </w:r>
    </w:p>
    <w:p>
      <w:pPr>
        <w:rPr>
          <w:rFonts w:ascii="仿宋_GB2312" w:eastAsia="仿宋_GB2312"/>
          <w:sz w:val="32"/>
          <w:szCs w:val="32"/>
          <w:lang w:eastAsia="zh-CN"/>
        </w:rPr>
      </w:pPr>
      <w:r>
        <w:rPr>
          <w:rFonts w:hint="eastAsia" w:ascii="仿宋_GB2312" w:eastAsia="仿宋_GB2312"/>
          <w:sz w:val="32"/>
          <w:szCs w:val="32"/>
          <w:lang w:eastAsia="zh-CN"/>
        </w:rPr>
        <w:t xml:space="preserve">   （二）工程地点：</w:t>
      </w:r>
      <w:r>
        <w:rPr>
          <w:rFonts w:hint="eastAsia" w:ascii="仿宋_GB2312" w:eastAsia="仿宋_GB2312"/>
          <w:sz w:val="32"/>
          <w:szCs w:val="32"/>
          <w:u w:val="single"/>
          <w:lang w:eastAsia="zh-CN"/>
        </w:rPr>
        <w:t>中粮梁河糖业有限公司</w:t>
      </w:r>
      <w:r>
        <w:rPr>
          <w:rFonts w:hint="eastAsia" w:ascii="仿宋_GB2312" w:eastAsia="仿宋_GB2312"/>
          <w:sz w:val="32"/>
          <w:szCs w:val="32"/>
          <w:u w:val="single"/>
          <w:lang w:val="en-US" w:eastAsia="zh-CN"/>
        </w:rPr>
        <w:t>勐养、芒东工厂</w:t>
      </w:r>
      <w:r>
        <w:rPr>
          <w:rFonts w:hint="eastAsia" w:ascii="仿宋_GB2312" w:eastAsia="仿宋_GB2312"/>
          <w:sz w:val="32"/>
          <w:szCs w:val="32"/>
          <w:lang w:eastAsia="zh-CN"/>
        </w:rPr>
        <w:t>。</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第二条 主要选材及技术要求</w:t>
      </w:r>
    </w:p>
    <w:p>
      <w:pPr>
        <w:ind w:firstLine="480" w:firstLineChars="150"/>
        <w:rPr>
          <w:rFonts w:ascii="仿宋_GB2312" w:eastAsia="仿宋_GB2312"/>
          <w:sz w:val="32"/>
          <w:szCs w:val="32"/>
          <w:lang w:eastAsia="zh-CN"/>
        </w:rPr>
      </w:pPr>
      <w:r>
        <w:rPr>
          <w:rFonts w:hint="eastAsia" w:ascii="仿宋_GB2312" w:eastAsia="仿宋_GB2312"/>
          <w:sz w:val="32"/>
          <w:szCs w:val="32"/>
          <w:lang w:eastAsia="zh-CN"/>
        </w:rPr>
        <w:t>（二）技术要求</w:t>
      </w:r>
    </w:p>
    <w:p>
      <w:pPr>
        <w:adjustRightInd w:val="0"/>
        <w:snapToGrid w:val="0"/>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1、</w:t>
      </w:r>
      <w:r>
        <w:rPr>
          <w:rStyle w:val="224"/>
          <w:rFonts w:hint="eastAsia" w:ascii="仿宋_GB2312" w:eastAsia="仿宋_GB2312"/>
          <w:sz w:val="32"/>
          <w:szCs w:val="32"/>
          <w:lang w:eastAsia="zh-CN"/>
        </w:rPr>
        <w:t>《建筑工程施工质量验收统一标准（GB50300-2013）》要求</w:t>
      </w:r>
      <w:r>
        <w:rPr>
          <w:rFonts w:hint="eastAsia" w:ascii="仿宋_GB2312" w:eastAsia="仿宋_GB2312"/>
          <w:sz w:val="32"/>
          <w:szCs w:val="32"/>
          <w:lang w:eastAsia="zh-CN"/>
        </w:rPr>
        <w:t>。</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2、《混凝土结构工程施工质量验收规范》GB 50204-2015。</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3、《混凝土质量控制标准》GB 50164-2011。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4、建筑材料的质量和试验要求。</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5、《砌体结构工程施工质量验收规范》GB50203-2011。</w:t>
      </w:r>
    </w:p>
    <w:p>
      <w:pPr>
        <w:spacing w:line="380"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6、《普通混凝土用砂质量标准及检验方法》JGJ 52-92。</w:t>
      </w:r>
    </w:p>
    <w:p>
      <w:pPr>
        <w:spacing w:line="38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7、《普通混凝土用碎石和卵石质量标准及检验方法》JGJ 53-2006。</w:t>
      </w:r>
    </w:p>
    <w:p>
      <w:pPr>
        <w:pStyle w:val="23"/>
        <w:ind w:firstLine="640"/>
        <w:rPr>
          <w:rFonts w:hint="eastAsia" w:ascii="仿宋_GB2312" w:hAnsi="仿宋_GB2312" w:eastAsia="仿宋_GB2312" w:cs="仿宋_GB2312"/>
          <w:kern w:val="0"/>
          <w:sz w:val="32"/>
          <w:szCs w:val="32"/>
          <w:lang w:bidi="ar"/>
        </w:rPr>
      </w:pPr>
      <w:r>
        <w:rPr>
          <w:rFonts w:hint="eastAsia" w:ascii="仿宋_GB2312" w:eastAsia="仿宋_GB2312"/>
          <w:sz w:val="32"/>
          <w:szCs w:val="32"/>
          <w:lang w:val="en-US" w:eastAsia="zh-CN"/>
        </w:rPr>
        <w:t>8、</w:t>
      </w:r>
      <w:r>
        <w:rPr>
          <w:rFonts w:hint="eastAsia" w:ascii="仿宋_GB2312" w:hAnsi="仿宋_GB2312" w:eastAsia="仿宋_GB2312" w:cs="仿宋_GB2312"/>
          <w:kern w:val="0"/>
          <w:sz w:val="32"/>
          <w:szCs w:val="32"/>
          <w:lang w:bidi="ar"/>
        </w:rPr>
        <w:t>《建筑设计防火规范》</w:t>
      </w:r>
      <w:r>
        <w:rPr>
          <w:rFonts w:ascii="仿宋_GB2312" w:hAnsi="仿宋_GB2312" w:eastAsia="仿宋_GB2312" w:cs="仿宋_GB2312"/>
          <w:kern w:val="0"/>
          <w:sz w:val="32"/>
          <w:szCs w:val="32"/>
          <w:lang w:bidi="ar"/>
        </w:rPr>
        <w:t>GB50016-2018</w:t>
      </w:r>
      <w:r>
        <w:rPr>
          <w:rFonts w:hint="eastAsia" w:ascii="仿宋_GB2312" w:hAnsi="仿宋_GB2312" w:eastAsia="仿宋_GB2312" w:cs="仿宋_GB2312"/>
          <w:kern w:val="0"/>
          <w:sz w:val="32"/>
          <w:szCs w:val="32"/>
          <w:lang w:bidi="ar"/>
        </w:rPr>
        <w:t>、</w:t>
      </w:r>
    </w:p>
    <w:p>
      <w:pPr>
        <w:pStyle w:val="23"/>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9、</w:t>
      </w:r>
      <w:r>
        <w:rPr>
          <w:rFonts w:hint="eastAsia" w:ascii="仿宋_GB2312" w:hAnsi="仿宋_GB2312" w:eastAsia="仿宋_GB2312" w:cs="仿宋_GB2312"/>
          <w:kern w:val="0"/>
          <w:sz w:val="32"/>
          <w:szCs w:val="32"/>
          <w:lang w:bidi="ar"/>
        </w:rPr>
        <w:t>《建筑地面设计规范》G</w:t>
      </w:r>
      <w:r>
        <w:rPr>
          <w:rFonts w:ascii="仿宋_GB2312" w:hAnsi="仿宋_GB2312" w:eastAsia="仿宋_GB2312" w:cs="仿宋_GB2312"/>
          <w:kern w:val="0"/>
          <w:sz w:val="32"/>
          <w:szCs w:val="32"/>
          <w:lang w:bidi="ar"/>
        </w:rPr>
        <w:t>B50037-2013</w:t>
      </w:r>
      <w:r>
        <w:rPr>
          <w:rFonts w:hint="eastAsia" w:ascii="仿宋_GB2312" w:hAnsi="仿宋_GB2312" w:eastAsia="仿宋_GB2312" w:cs="仿宋_GB2312"/>
          <w:kern w:val="0"/>
          <w:sz w:val="32"/>
          <w:szCs w:val="32"/>
          <w:lang w:bidi="ar"/>
        </w:rPr>
        <w:t>、</w:t>
      </w:r>
    </w:p>
    <w:p>
      <w:pPr>
        <w:pStyle w:val="23"/>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10、</w:t>
      </w:r>
      <w:r>
        <w:rPr>
          <w:rFonts w:hint="eastAsia" w:ascii="仿宋_GB2312" w:hAnsi="仿宋_GB2312" w:eastAsia="仿宋_GB2312" w:cs="仿宋_GB2312"/>
          <w:kern w:val="0"/>
          <w:sz w:val="32"/>
          <w:szCs w:val="32"/>
          <w:lang w:bidi="ar"/>
        </w:rPr>
        <w:t>《建筑内部装修设计规范》G</w:t>
      </w:r>
      <w:r>
        <w:rPr>
          <w:rFonts w:ascii="仿宋_GB2312" w:hAnsi="仿宋_GB2312" w:eastAsia="仿宋_GB2312" w:cs="仿宋_GB2312"/>
          <w:kern w:val="0"/>
          <w:sz w:val="32"/>
          <w:szCs w:val="32"/>
          <w:lang w:bidi="ar"/>
        </w:rPr>
        <w:t>B50222-2017</w:t>
      </w:r>
      <w:r>
        <w:rPr>
          <w:rFonts w:hint="eastAsia" w:ascii="仿宋_GB2312" w:hAnsi="仿宋_GB2312" w:eastAsia="仿宋_GB2312" w:cs="仿宋_GB2312"/>
          <w:kern w:val="0"/>
          <w:sz w:val="32"/>
          <w:szCs w:val="32"/>
          <w:lang w:bidi="ar"/>
        </w:rPr>
        <w:t>、</w:t>
      </w:r>
    </w:p>
    <w:p>
      <w:pPr>
        <w:pStyle w:val="23"/>
        <w:ind w:firstLine="64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11、</w:t>
      </w:r>
      <w:r>
        <w:rPr>
          <w:rFonts w:hint="eastAsia" w:ascii="仿宋_GB2312" w:hAnsi="仿宋_GB2312" w:eastAsia="仿宋_GB2312" w:cs="仿宋_GB2312"/>
          <w:kern w:val="0"/>
          <w:sz w:val="32"/>
          <w:szCs w:val="32"/>
          <w:lang w:bidi="ar"/>
        </w:rPr>
        <w:t>《屋面工程技术规范》G</w:t>
      </w:r>
      <w:r>
        <w:rPr>
          <w:rFonts w:ascii="仿宋_GB2312" w:hAnsi="仿宋_GB2312" w:eastAsia="仿宋_GB2312" w:cs="仿宋_GB2312"/>
          <w:kern w:val="0"/>
          <w:sz w:val="32"/>
          <w:szCs w:val="32"/>
          <w:lang w:bidi="ar"/>
        </w:rPr>
        <w:t>B50345-2012</w:t>
      </w:r>
      <w:r>
        <w:rPr>
          <w:rFonts w:hint="eastAsia" w:ascii="仿宋_GB2312" w:hAnsi="仿宋_GB2312" w:eastAsia="仿宋_GB2312" w:cs="仿宋_GB2312"/>
          <w:kern w:val="0"/>
          <w:sz w:val="32"/>
          <w:szCs w:val="32"/>
          <w:lang w:bidi="ar"/>
        </w:rPr>
        <w:t>、《工程建设标准强制性条文》</w:t>
      </w:r>
      <w:r>
        <w:rPr>
          <w:rFonts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bidi="ar"/>
        </w:rPr>
        <w:t>工业建筑部分)</w:t>
      </w:r>
      <w:r>
        <w:rPr>
          <w:rFonts w:ascii="仿宋_GB2312" w:hAnsi="仿宋_GB2312" w:eastAsia="仿宋_GB2312" w:cs="仿宋_GB2312"/>
          <w:kern w:val="0"/>
          <w:sz w:val="32"/>
          <w:szCs w:val="32"/>
          <w:lang w:bidi="ar"/>
        </w:rPr>
        <w:t>2013</w:t>
      </w:r>
      <w:r>
        <w:rPr>
          <w:rFonts w:hint="eastAsia" w:ascii="仿宋_GB2312" w:hAnsi="仿宋_GB2312" w:eastAsia="仿宋_GB2312" w:cs="仿宋_GB2312"/>
          <w:kern w:val="0"/>
          <w:sz w:val="32"/>
          <w:szCs w:val="32"/>
          <w:lang w:bidi="ar"/>
        </w:rPr>
        <w:t>、</w:t>
      </w:r>
    </w:p>
    <w:p>
      <w:pPr>
        <w:pStyle w:val="23"/>
        <w:ind w:firstLine="640"/>
        <w:rPr>
          <w:rFonts w:hint="default"/>
          <w:lang w:val="en-US" w:eastAsia="zh-CN"/>
        </w:rPr>
      </w:pPr>
      <w:r>
        <w:rPr>
          <w:rFonts w:hint="eastAsia" w:ascii="仿宋_GB2312" w:hAnsi="仿宋_GB2312" w:eastAsia="仿宋_GB2312" w:cs="仿宋_GB2312"/>
          <w:kern w:val="0"/>
          <w:sz w:val="32"/>
          <w:szCs w:val="32"/>
          <w:lang w:val="en-US" w:eastAsia="zh-CN" w:bidi="ar"/>
        </w:rPr>
        <w:t>12、</w:t>
      </w:r>
      <w:r>
        <w:rPr>
          <w:rFonts w:hint="eastAsia" w:ascii="仿宋_GB2312" w:hAnsi="仿宋_GB2312" w:eastAsia="仿宋_GB2312" w:cs="仿宋_GB2312"/>
          <w:kern w:val="0"/>
          <w:sz w:val="32"/>
          <w:szCs w:val="32"/>
          <w:lang w:bidi="ar"/>
        </w:rPr>
        <w:t>《爆炸危险环境电力装置设计规范》G</w:t>
      </w:r>
      <w:r>
        <w:rPr>
          <w:rFonts w:ascii="仿宋_GB2312" w:hAnsi="仿宋_GB2312" w:eastAsia="仿宋_GB2312" w:cs="仿宋_GB2312"/>
          <w:kern w:val="0"/>
          <w:sz w:val="32"/>
          <w:szCs w:val="32"/>
          <w:lang w:bidi="ar"/>
        </w:rPr>
        <w:t>B50058-2014</w:t>
      </w:r>
      <w:r>
        <w:rPr>
          <w:rFonts w:hint="eastAsia" w:ascii="仿宋_GB2312" w:hAnsi="仿宋_GB2312" w:eastAsia="仿宋_GB2312" w:cs="仿宋_GB2312"/>
          <w:kern w:val="0"/>
          <w:sz w:val="32"/>
          <w:szCs w:val="32"/>
          <w:lang w:bidi="ar"/>
        </w:rPr>
        <w:t>等</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13</w:t>
      </w:r>
      <w:r>
        <w:rPr>
          <w:rFonts w:hint="eastAsia" w:ascii="仿宋_GB2312" w:eastAsia="仿宋_GB2312"/>
          <w:sz w:val="32"/>
          <w:szCs w:val="32"/>
          <w:lang w:eastAsia="zh-CN"/>
        </w:rPr>
        <w:t>、按要求清理各种建筑垃圾及时清理拉出厂外堆放，堆放场地由施工单位自行解决，且符合当地政府垃圾处置环保管理的要求。</w:t>
      </w:r>
    </w:p>
    <w:p>
      <w:pPr>
        <w:spacing w:line="400" w:lineRule="exact"/>
        <w:ind w:firstLine="640" w:firstLineChars="200"/>
        <w:rPr>
          <w:rFonts w:ascii="仿宋_GB2312" w:eastAsia="仿宋_GB2312"/>
          <w:sz w:val="32"/>
          <w:szCs w:val="32"/>
          <w:lang w:eastAsia="zh-CN"/>
        </w:rPr>
      </w:pPr>
      <w:r>
        <w:rPr>
          <w:rFonts w:hint="eastAsia" w:ascii="仿宋_GB2312" w:eastAsia="仿宋_GB2312"/>
          <w:sz w:val="32"/>
          <w:szCs w:val="32"/>
          <w:lang w:val="en-US" w:eastAsia="zh-CN"/>
        </w:rPr>
        <w:t>14、</w:t>
      </w:r>
      <w:r>
        <w:rPr>
          <w:rFonts w:hint="eastAsia" w:ascii="仿宋_GB2312" w:eastAsia="仿宋_GB2312"/>
          <w:sz w:val="32"/>
          <w:szCs w:val="32"/>
          <w:lang w:eastAsia="zh-CN"/>
        </w:rPr>
        <w:t>该工程所涉及</w:t>
      </w:r>
      <w:r>
        <w:rPr>
          <w:rFonts w:ascii="仿宋_GB2312" w:eastAsia="仿宋_GB2312"/>
          <w:sz w:val="32"/>
          <w:szCs w:val="32"/>
          <w:lang w:eastAsia="zh-CN"/>
        </w:rPr>
        <w:t>到的地坪硬化、排水沟道的砌筑、预制盖板的制作安装，必须严格按照工程清单的规格、材质要求施工。若施工过程出现材料、工程质量等问题所产生的各种费用由施工方全部承担。</w:t>
      </w:r>
    </w:p>
    <w:p>
      <w:pPr>
        <w:adjustRightInd w:val="0"/>
        <w:snapToGrid w:val="0"/>
        <w:ind w:firstLine="640" w:firstLineChars="200"/>
        <w:rPr>
          <w:rFonts w:ascii="仿宋_GB2312" w:eastAsia="仿宋_GB2312"/>
          <w:sz w:val="32"/>
          <w:szCs w:val="32"/>
          <w:lang w:eastAsia="zh-CN"/>
        </w:rPr>
      </w:pPr>
    </w:p>
    <w:p>
      <w:pPr>
        <w:numPr>
          <w:ilvl w:val="0"/>
          <w:numId w:val="16"/>
        </w:numPr>
        <w:adjustRightInd w:val="0"/>
        <w:snapToGrid w:val="0"/>
        <w:ind w:firstLine="720" w:firstLineChars="200"/>
        <w:rPr>
          <w:rFonts w:hint="eastAsia" w:ascii="仿宋_GB2312" w:hAnsi="仿宋_GB2312" w:eastAsia="仿宋_GB2312" w:cs="仿宋_GB2312"/>
          <w:color w:val="000000"/>
          <w:spacing w:val="20"/>
          <w:sz w:val="32"/>
          <w:szCs w:val="32"/>
          <w:lang w:eastAsia="zh-CN"/>
        </w:rPr>
      </w:pPr>
      <w:r>
        <w:rPr>
          <w:rFonts w:hint="eastAsia" w:ascii="仿宋_GB2312" w:hAnsi="仿宋_GB2312" w:eastAsia="仿宋_GB2312" w:cs="仿宋_GB2312"/>
          <w:color w:val="000000"/>
          <w:spacing w:val="20"/>
          <w:sz w:val="32"/>
          <w:szCs w:val="32"/>
          <w:lang w:eastAsia="zh-CN"/>
        </w:rPr>
        <w:t>符合其他相应的国家标准、地方标准要求。</w:t>
      </w:r>
    </w:p>
    <w:p>
      <w:pPr>
        <w:spacing w:line="570" w:lineRule="exact"/>
        <w:ind w:firstLine="640" w:firstLineChars="20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15、</w:t>
      </w:r>
      <w:r>
        <w:rPr>
          <w:rFonts w:hint="eastAsia" w:ascii="仿宋_GB2312" w:hAnsi="仿宋_GB2312" w:eastAsia="仿宋_GB2312" w:cs="仿宋_GB2312"/>
          <w:kern w:val="0"/>
          <w:sz w:val="32"/>
          <w:szCs w:val="32"/>
          <w:lang w:bidi="ar"/>
        </w:rPr>
        <w:t>新建的仓库震烈度按不低于8度，使用的电器为防爆电器。</w:t>
      </w:r>
    </w:p>
    <w:p>
      <w:pPr>
        <w:pStyle w:val="23"/>
        <w:rPr>
          <w:rFonts w:ascii="仿宋_GB2312" w:hAnsi="仿宋_GB2312" w:eastAsia="仿宋_GB2312" w:cs="仿宋_GB2312"/>
          <w:kern w:val="0"/>
          <w:sz w:val="32"/>
          <w:szCs w:val="32"/>
          <w:lang w:bidi="ar"/>
        </w:rPr>
      </w:pP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16、</w:t>
      </w:r>
      <w:r>
        <w:rPr>
          <w:rFonts w:hint="eastAsia" w:ascii="仿宋_GB2312" w:hAnsi="仿宋_GB2312" w:eastAsia="仿宋_GB2312" w:cs="仿宋_GB2312"/>
          <w:kern w:val="0"/>
          <w:sz w:val="32"/>
          <w:szCs w:val="32"/>
          <w:lang w:bidi="ar"/>
        </w:rPr>
        <w:t>整体火灾危险等级按最危险的房间甲类来确定，</w:t>
      </w:r>
      <w:bookmarkStart w:id="402" w:name="OLE_LINK17"/>
      <w:bookmarkStart w:id="403" w:name="OLE_LINK16"/>
      <w:r>
        <w:rPr>
          <w:rFonts w:hint="eastAsia" w:ascii="仿宋_GB2312" w:hAnsi="仿宋_GB2312" w:eastAsia="仿宋_GB2312" w:cs="仿宋_GB2312"/>
          <w:kern w:val="0"/>
          <w:sz w:val="32"/>
          <w:szCs w:val="32"/>
          <w:lang w:bidi="ar"/>
        </w:rPr>
        <w:t>乙炔瓶库（甲类），</w:t>
      </w:r>
      <w:bookmarkEnd w:id="402"/>
      <w:bookmarkEnd w:id="403"/>
      <w:r>
        <w:rPr>
          <w:rFonts w:hint="eastAsia" w:ascii="仿宋_GB2312" w:hAnsi="仿宋_GB2312" w:eastAsia="仿宋_GB2312" w:cs="仿宋_GB2312"/>
          <w:kern w:val="0"/>
          <w:sz w:val="32"/>
          <w:szCs w:val="32"/>
          <w:lang w:bidi="ar"/>
        </w:rPr>
        <w:t>桶装酒精（甲类）需进行防爆设计；柴油库（乙类）、润滑油仓（丙类）、氧气瓶库（乙类）、</w:t>
      </w:r>
      <w:bookmarkStart w:id="404" w:name="OLE_LINK29"/>
      <w:bookmarkStart w:id="405" w:name="OLE_LINK30"/>
      <w:r>
        <w:rPr>
          <w:rFonts w:hint="eastAsia" w:ascii="仿宋_GB2312" w:hAnsi="仿宋_GB2312" w:eastAsia="仿宋_GB2312" w:cs="仿宋_GB2312"/>
          <w:kern w:val="0"/>
          <w:sz w:val="32"/>
          <w:szCs w:val="32"/>
          <w:lang w:bidi="ar"/>
        </w:rPr>
        <w:t>桶装</w:t>
      </w:r>
      <w:bookmarkEnd w:id="404"/>
      <w:bookmarkEnd w:id="405"/>
      <w:r>
        <w:rPr>
          <w:rFonts w:hint="eastAsia" w:ascii="仿宋_GB2312" w:hAnsi="仿宋_GB2312" w:eastAsia="仿宋_GB2312" w:cs="仿宋_GB2312"/>
          <w:kern w:val="0"/>
          <w:sz w:val="32"/>
          <w:szCs w:val="32"/>
          <w:lang w:bidi="ar"/>
        </w:rPr>
        <w:t>油漆（乙类）地面需按不发火花地面设计；氢氧化钠、磷酸三钠、氯化钠等辅料库窗框、地面、墙面等需进行防腐处理。</w:t>
      </w:r>
    </w:p>
    <w:p>
      <w:pPr>
        <w:pStyle w:val="23"/>
        <w:ind w:firstLine="495"/>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17、</w:t>
      </w:r>
      <w:r>
        <w:rPr>
          <w:rFonts w:hint="eastAsia" w:ascii="仿宋_GB2312" w:hAnsi="仿宋_GB2312" w:eastAsia="仿宋_GB2312" w:cs="仿宋_GB2312"/>
          <w:kern w:val="0"/>
          <w:sz w:val="32"/>
          <w:szCs w:val="32"/>
          <w:lang w:bidi="ar"/>
        </w:rPr>
        <w:t>其中乙炔瓶库，酒精库、柴油库、桶装油漆库设置连在一起，隔墙使用防爆墙，根据G</w:t>
      </w:r>
      <w:r>
        <w:rPr>
          <w:rFonts w:ascii="仿宋_GB2312" w:hAnsi="仿宋_GB2312" w:eastAsia="仿宋_GB2312" w:cs="仿宋_GB2312"/>
          <w:kern w:val="0"/>
          <w:sz w:val="32"/>
          <w:szCs w:val="32"/>
          <w:lang w:bidi="ar"/>
        </w:rPr>
        <w:t>B50016-2014</w:t>
      </w:r>
      <w:r>
        <w:rPr>
          <w:rFonts w:hint="eastAsia" w:ascii="仿宋_GB2312" w:hAnsi="仿宋_GB2312" w:eastAsia="仿宋_GB2312" w:cs="仿宋_GB2312"/>
          <w:kern w:val="0"/>
          <w:sz w:val="32"/>
          <w:szCs w:val="32"/>
          <w:lang w:bidi="ar"/>
        </w:rPr>
        <w:t>《建筑设计防火规范》2</w:t>
      </w:r>
      <w:r>
        <w:rPr>
          <w:rFonts w:ascii="仿宋_GB2312" w:hAnsi="仿宋_GB2312" w:eastAsia="仿宋_GB2312" w:cs="仿宋_GB2312"/>
          <w:kern w:val="0"/>
          <w:sz w:val="32"/>
          <w:szCs w:val="32"/>
          <w:lang w:bidi="ar"/>
        </w:rPr>
        <w:t>018</w:t>
      </w:r>
      <w:r>
        <w:rPr>
          <w:rFonts w:hint="eastAsia" w:ascii="仿宋_GB2312" w:hAnsi="仿宋_GB2312" w:eastAsia="仿宋_GB2312" w:cs="仿宋_GB2312"/>
          <w:kern w:val="0"/>
          <w:sz w:val="32"/>
          <w:szCs w:val="32"/>
          <w:lang w:bidi="ar"/>
        </w:rPr>
        <w:t>年版相关规定设计；“爆炸区域与相邻爆炸区域或其他企业隔墙为防爆墙，使用轻质卸报屋顶，卸爆门窗”，其余库房隔墙使用防火墙（3小时）。</w:t>
      </w:r>
    </w:p>
    <w:p>
      <w:pPr>
        <w:pStyle w:val="23"/>
        <w:ind w:firstLine="495"/>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US" w:eastAsia="zh-CN" w:bidi="ar"/>
        </w:rPr>
        <w:t>18、</w:t>
      </w:r>
      <w:r>
        <w:rPr>
          <w:rFonts w:hint="eastAsia" w:ascii="仿宋_GB2312" w:hAnsi="仿宋_GB2312" w:eastAsia="仿宋_GB2312" w:cs="仿宋_GB2312"/>
          <w:kern w:val="0"/>
          <w:sz w:val="32"/>
          <w:szCs w:val="32"/>
          <w:lang w:bidi="ar"/>
        </w:rPr>
        <w:t>本建筑为爆炸危险场所建筑，建筑防雷设施根据《建筑物防雷规范》</w:t>
      </w:r>
      <w:r>
        <w:rPr>
          <w:rFonts w:ascii="仿宋_GB2312" w:hAnsi="仿宋_GB2312" w:eastAsia="仿宋_GB2312" w:cs="仿宋_GB2312"/>
          <w:kern w:val="0"/>
          <w:sz w:val="32"/>
          <w:szCs w:val="32"/>
          <w:lang w:bidi="ar"/>
        </w:rPr>
        <w:t>GB50057-2010</w:t>
      </w:r>
      <w:r>
        <w:rPr>
          <w:rFonts w:hint="eastAsia" w:ascii="仿宋_GB2312" w:hAnsi="仿宋_GB2312" w:eastAsia="仿宋_GB2312" w:cs="仿宋_GB2312"/>
          <w:kern w:val="0"/>
          <w:sz w:val="32"/>
          <w:szCs w:val="32"/>
          <w:lang w:bidi="ar"/>
        </w:rPr>
        <w:t>,按第二类防雷建筑设防，库房全部库房照明选择节能型防爆防腐型灯具，各用电回路均设3</w:t>
      </w:r>
      <w:r>
        <w:rPr>
          <w:rFonts w:ascii="仿宋_GB2312" w:hAnsi="仿宋_GB2312" w:eastAsia="仿宋_GB2312" w:cs="仿宋_GB2312"/>
          <w:kern w:val="0"/>
          <w:sz w:val="32"/>
          <w:szCs w:val="32"/>
          <w:lang w:bidi="ar"/>
        </w:rPr>
        <w:t>0Ma</w:t>
      </w:r>
      <w:r>
        <w:rPr>
          <w:rFonts w:hint="eastAsia" w:ascii="仿宋_GB2312" w:hAnsi="仿宋_GB2312" w:eastAsia="仿宋_GB2312" w:cs="仿宋_GB2312"/>
          <w:kern w:val="0"/>
          <w:sz w:val="32"/>
          <w:szCs w:val="32"/>
          <w:lang w:bidi="ar"/>
        </w:rPr>
        <w:t>的漏电保护装置（瞬动型），每个库房安装火灾声光报警器。其中乙炔瓶库，酒精库、柴油库、桶装油漆库、氧气库等5间库房安装通风设施（风机均采用壁挂式防爆防腐型风机），配置可燃气体探测仪、编码智能型感烟探测器）；其余3间库房安装通风设施，全部库房安装火灾声光报警器。</w:t>
      </w:r>
    </w:p>
    <w:p>
      <w:pPr>
        <w:pStyle w:val="23"/>
        <w:numPr>
          <w:ilvl w:val="0"/>
          <w:numId w:val="16"/>
        </w:numPr>
        <w:rPr>
          <w:lang w:eastAsia="zh-CN"/>
        </w:rPr>
      </w:pPr>
    </w:p>
    <w:p>
      <w:pPr>
        <w:ind w:firstLine="630" w:firstLineChars="196"/>
        <w:rPr>
          <w:rFonts w:ascii="仿宋_GB2312" w:eastAsia="仿宋_GB2312"/>
          <w:b/>
          <w:bCs/>
          <w:sz w:val="32"/>
          <w:szCs w:val="32"/>
          <w:lang w:eastAsia="zh-CN"/>
        </w:rPr>
      </w:pPr>
      <w:r>
        <w:rPr>
          <w:rFonts w:hint="eastAsia" w:ascii="仿宋_GB2312" w:eastAsia="仿宋_GB2312"/>
          <w:b/>
          <w:bCs/>
          <w:sz w:val="32"/>
          <w:szCs w:val="32"/>
          <w:lang w:eastAsia="zh-CN"/>
        </w:rPr>
        <w:t>（三）</w:t>
      </w:r>
      <w:r>
        <w:rPr>
          <w:rFonts w:hint="eastAsia" w:ascii="仿宋_GB2312" w:eastAsia="仿宋_GB2312"/>
          <w:bCs/>
          <w:sz w:val="32"/>
          <w:szCs w:val="32"/>
          <w:lang w:eastAsia="zh-CN"/>
        </w:rPr>
        <w:t>其它要求</w:t>
      </w:r>
    </w:p>
    <w:p>
      <w:pPr>
        <w:ind w:firstLine="800" w:firstLineChars="250"/>
        <w:rPr>
          <w:rFonts w:ascii="仿宋_GB2312" w:hAnsi="Arial" w:eastAsia="仿宋_GB2312" w:cs="Arial"/>
          <w:sz w:val="32"/>
          <w:szCs w:val="32"/>
          <w:lang w:eastAsia="zh-CN"/>
        </w:rPr>
      </w:pPr>
      <w:r>
        <w:rPr>
          <w:rFonts w:hint="eastAsia" w:ascii="仿宋_GB2312" w:eastAsia="仿宋_GB2312"/>
          <w:sz w:val="32"/>
          <w:szCs w:val="32"/>
          <w:lang w:eastAsia="zh-CN"/>
        </w:rPr>
        <w:t>1、</w:t>
      </w:r>
      <w:r>
        <w:rPr>
          <w:rFonts w:hint="eastAsia" w:ascii="仿宋_GB2312" w:hAnsi="Arial" w:eastAsia="仿宋_GB2312" w:cs="Arial"/>
          <w:sz w:val="32"/>
          <w:szCs w:val="32"/>
          <w:lang w:eastAsia="zh-CN"/>
        </w:rPr>
        <w:t>材料、机械设备工具满足本项目需求的技术指标。</w:t>
      </w:r>
    </w:p>
    <w:p>
      <w:pPr>
        <w:ind w:firstLine="800" w:firstLineChars="250"/>
        <w:rPr>
          <w:rFonts w:ascii="仿宋_GB2312" w:hAnsi="Arial" w:eastAsia="仿宋_GB2312" w:cs="Arial"/>
          <w:sz w:val="32"/>
          <w:szCs w:val="32"/>
          <w:lang w:eastAsia="zh-CN"/>
        </w:rPr>
      </w:pPr>
      <w:r>
        <w:rPr>
          <w:rFonts w:hint="eastAsia" w:ascii="仿宋_GB2312" w:hAnsi="Arial" w:eastAsia="仿宋_GB2312" w:cs="Arial"/>
          <w:sz w:val="32"/>
          <w:szCs w:val="32"/>
          <w:lang w:eastAsia="zh-CN"/>
        </w:rPr>
        <w:t>2、材料、机械设备工具由投标人负责保管。</w:t>
      </w:r>
    </w:p>
    <w:p>
      <w:pPr>
        <w:ind w:firstLine="800" w:firstLineChars="250"/>
        <w:rPr>
          <w:rFonts w:ascii="仿宋_GB2312" w:eastAsia="仿宋_GB2312"/>
          <w:sz w:val="32"/>
          <w:szCs w:val="32"/>
          <w:lang w:eastAsia="zh-CN"/>
        </w:rPr>
      </w:pPr>
      <w:r>
        <w:rPr>
          <w:rFonts w:hint="eastAsia" w:ascii="仿宋_GB2312" w:eastAsia="仿宋_GB2312"/>
          <w:sz w:val="32"/>
          <w:szCs w:val="32"/>
          <w:lang w:eastAsia="zh-CN"/>
        </w:rPr>
        <w:t>第三条、工程承包方式及承包方负责的工程范围</w:t>
      </w:r>
    </w:p>
    <w:p>
      <w:pPr>
        <w:rPr>
          <w:rFonts w:ascii="仿宋_GB2312" w:eastAsia="仿宋_GB2312"/>
          <w:sz w:val="32"/>
          <w:szCs w:val="32"/>
          <w:lang w:eastAsia="zh-CN"/>
        </w:rPr>
      </w:pPr>
      <w:r>
        <w:rPr>
          <w:rFonts w:hint="eastAsia" w:ascii="仿宋_GB2312" w:eastAsia="仿宋_GB2312"/>
          <w:sz w:val="32"/>
          <w:szCs w:val="32"/>
          <w:lang w:eastAsia="zh-CN"/>
        </w:rPr>
        <w:t xml:space="preserve">   （一）本工程所使用材料、机械设备工具均由承包方自备。</w:t>
      </w:r>
    </w:p>
    <w:p>
      <w:pPr>
        <w:rPr>
          <w:rFonts w:ascii="仿宋_GB2312" w:eastAsia="仿宋_GB2312"/>
          <w:sz w:val="32"/>
          <w:szCs w:val="32"/>
          <w:lang w:eastAsia="zh-CN"/>
        </w:rPr>
      </w:pPr>
      <w:r>
        <w:rPr>
          <w:rFonts w:hint="eastAsia" w:ascii="仿宋_GB2312" w:eastAsia="仿宋_GB2312"/>
          <w:sz w:val="32"/>
          <w:szCs w:val="32"/>
          <w:lang w:eastAsia="zh-CN"/>
        </w:rPr>
        <w:t xml:space="preserve">   （二）施工人员食宿自理，发包方不负责安排，施工使用的水、电由</w:t>
      </w:r>
      <w:r>
        <w:rPr>
          <w:rFonts w:hint="eastAsia" w:ascii="仿宋_GB2312" w:eastAsia="仿宋_GB2312"/>
          <w:sz w:val="32"/>
          <w:szCs w:val="32"/>
          <w:lang w:val="en-US" w:eastAsia="zh-CN"/>
        </w:rPr>
        <w:t>甲方免费</w:t>
      </w:r>
      <w:r>
        <w:rPr>
          <w:rFonts w:hint="eastAsia" w:ascii="仿宋_GB2312" w:eastAsia="仿宋_GB2312"/>
          <w:sz w:val="32"/>
          <w:szCs w:val="32"/>
          <w:lang w:eastAsia="zh-CN"/>
        </w:rPr>
        <w:t>提供。</w:t>
      </w:r>
    </w:p>
    <w:p>
      <w:pPr>
        <w:rPr>
          <w:rFonts w:ascii="仿宋_GB2312" w:eastAsia="仿宋_GB2312"/>
          <w:sz w:val="32"/>
          <w:szCs w:val="32"/>
          <w:lang w:eastAsia="zh-CN"/>
        </w:rPr>
      </w:pPr>
      <w:r>
        <w:rPr>
          <w:rFonts w:hint="eastAsia" w:ascii="仿宋_GB2312" w:eastAsia="仿宋_GB2312"/>
          <w:sz w:val="32"/>
          <w:szCs w:val="32"/>
          <w:lang w:eastAsia="zh-CN"/>
        </w:rPr>
        <w:t xml:space="preserve">   （三）承包方在施工过程中需指定一名施工负责人，对本施工单位人员进行管理及与发包方项目负责人进行沟通施工协调。</w:t>
      </w:r>
    </w:p>
    <w:p>
      <w:pPr>
        <w:rPr>
          <w:rFonts w:ascii="仿宋_GB2312" w:eastAsia="仿宋_GB2312"/>
          <w:sz w:val="32"/>
          <w:szCs w:val="32"/>
          <w:lang w:eastAsia="zh-CN"/>
        </w:rPr>
      </w:pPr>
      <w:r>
        <w:rPr>
          <w:rFonts w:hint="eastAsia" w:ascii="仿宋_GB2312" w:eastAsia="仿宋_GB2312"/>
          <w:sz w:val="32"/>
          <w:szCs w:val="32"/>
          <w:lang w:eastAsia="zh-CN"/>
        </w:rPr>
        <w:t xml:space="preserve">   （四）承包方在发包方厂区内施工时，必须遵守发包方的安全管理制度，且严格执行。如承包方不服从发包方管理制度野蛮施工的，发包方有权从承包方的承包工程款中扣除相应违反规定的扣款。</w:t>
      </w:r>
    </w:p>
    <w:p>
      <w:pPr>
        <w:rPr>
          <w:rFonts w:ascii="仿宋_GB2312" w:eastAsia="仿宋_GB2312"/>
          <w:sz w:val="32"/>
          <w:szCs w:val="32"/>
          <w:lang w:eastAsia="zh-CN"/>
        </w:rPr>
      </w:pPr>
      <w:r>
        <w:rPr>
          <w:rFonts w:hint="eastAsia" w:ascii="仿宋_GB2312" w:eastAsia="仿宋_GB2312"/>
          <w:sz w:val="32"/>
          <w:szCs w:val="32"/>
          <w:lang w:eastAsia="zh-CN"/>
        </w:rPr>
        <w:t xml:space="preserve">   （五）承包方负责施工场地的卫生清洁工作，服从发包方现场协调工作。</w:t>
      </w:r>
    </w:p>
    <w:p>
      <w:pPr>
        <w:ind w:firstLine="640" w:firstLineChars="200"/>
        <w:rPr>
          <w:rFonts w:ascii="仿宋_GB2312" w:eastAsia="仿宋_GB2312"/>
          <w:sz w:val="32"/>
          <w:szCs w:val="32"/>
          <w:lang w:eastAsia="zh-CN"/>
        </w:rPr>
      </w:pPr>
      <w:r>
        <w:rPr>
          <w:rFonts w:hint="eastAsia" w:ascii="仿宋_GB2312" w:eastAsia="仿宋_GB2312"/>
          <w:sz w:val="32"/>
          <w:szCs w:val="32"/>
          <w:lang w:eastAsia="zh-CN"/>
        </w:rPr>
        <w:t>第四条、工期：承包方必须在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天（日历天）内完成全部施工工作，并交付验收。预计施工时间为</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日至</w:t>
      </w:r>
      <w:r>
        <w:rPr>
          <w:rFonts w:hint="eastAsia" w:ascii="仿宋_GB2312" w:eastAsia="仿宋_GB2312"/>
          <w:sz w:val="32"/>
          <w:szCs w:val="32"/>
          <w:u w:val="single"/>
          <w:lang w:eastAsia="zh-CN"/>
        </w:rPr>
        <w:t xml:space="preserve">20  </w:t>
      </w:r>
      <w:r>
        <w:rPr>
          <w:rFonts w:hint="eastAsia" w:ascii="仿宋_GB2312" w:eastAsia="仿宋_GB2312"/>
          <w:sz w:val="32"/>
          <w:szCs w:val="32"/>
          <w:lang w:eastAsia="zh-CN"/>
        </w:rPr>
        <w:t>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第五条、工程验收</w:t>
      </w:r>
    </w:p>
    <w:p>
      <w:pPr>
        <w:adjustRightInd w:val="0"/>
        <w:snapToGrid w:val="0"/>
        <w:ind w:firstLine="480" w:firstLineChars="150"/>
        <w:rPr>
          <w:rFonts w:ascii="仿宋_GB2312" w:eastAsia="仿宋_GB2312"/>
          <w:sz w:val="32"/>
          <w:szCs w:val="32"/>
          <w:lang w:eastAsia="zh-CN"/>
        </w:rPr>
      </w:pPr>
      <w:r>
        <w:rPr>
          <w:rFonts w:hint="eastAsia" w:ascii="仿宋_GB2312" w:eastAsia="仿宋_GB2312"/>
          <w:sz w:val="32"/>
          <w:szCs w:val="32"/>
          <w:lang w:eastAsia="zh-CN"/>
        </w:rPr>
        <w:t>（一）竣工验收：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工程完毕，经双方按合同及技术协议约定条款的工程项目内容进行验收，验收合格后，才视为竣工验收合格。</w:t>
      </w:r>
    </w:p>
    <w:p>
      <w:pPr>
        <w:adjustRightInd w:val="0"/>
        <w:snapToGrid w:val="0"/>
        <w:ind w:firstLine="320" w:firstLineChars="100"/>
        <w:rPr>
          <w:rFonts w:ascii="仿宋_GB2312" w:eastAsia="仿宋_GB2312"/>
          <w:sz w:val="32"/>
          <w:szCs w:val="32"/>
          <w:lang w:eastAsia="zh-CN"/>
        </w:rPr>
      </w:pPr>
      <w:r>
        <w:rPr>
          <w:rFonts w:hint="eastAsia" w:ascii="仿宋_GB2312" w:eastAsia="仿宋_GB2312"/>
          <w:sz w:val="32"/>
          <w:szCs w:val="32"/>
          <w:lang w:eastAsia="zh-CN"/>
        </w:rPr>
        <w:t xml:space="preserve"> （二）质保期验收：</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质保期满，符合合同条款要求，即为质保期验收合格，双方签字确认。</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第六条、承包方的免费技术服务</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承包方在质保期内属施工质量问题造成无法正常使用的，接到发包方通知之时起承包方人员需在</w:t>
      </w:r>
      <w:r>
        <w:rPr>
          <w:rFonts w:hint="eastAsia" w:ascii="仿宋_GB2312" w:eastAsia="仿宋_GB2312"/>
          <w:sz w:val="32"/>
          <w:szCs w:val="32"/>
          <w:u w:val="single"/>
          <w:lang w:eastAsia="zh-CN"/>
        </w:rPr>
        <w:t>3日</w:t>
      </w:r>
      <w:r>
        <w:rPr>
          <w:rFonts w:hint="eastAsia" w:ascii="仿宋_GB2312" w:eastAsia="仿宋_GB2312"/>
          <w:sz w:val="32"/>
          <w:szCs w:val="32"/>
          <w:lang w:eastAsia="zh-CN"/>
        </w:rPr>
        <w:t>内到达现场解决问题，所产生的费用全部由承包方负责并进行免费维修。</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第七条、本协议作为《</w:t>
      </w:r>
      <w:r>
        <w:rPr>
          <w:rFonts w:hint="eastAsia" w:eastAsia="仿宋_GB2312"/>
          <w:sz w:val="32"/>
          <w:szCs w:val="32"/>
          <w:u w:val="single"/>
          <w:lang w:eastAsia="zh-CN"/>
        </w:rPr>
        <w:t>2023年梁河糖业勐养、芒东工厂新建物资仓库项目施工合同</w:t>
      </w:r>
      <w:r>
        <w:rPr>
          <w:rFonts w:hint="eastAsia" w:ascii="仿宋_GB2312" w:eastAsia="仿宋_GB2312"/>
          <w:sz w:val="32"/>
          <w:szCs w:val="32"/>
          <w:lang w:eastAsia="zh-CN"/>
        </w:rPr>
        <w:t>》的附件，与合同具有同等的法律效力。</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第八条、本协议自双方签字、盖章之日起生效。</w:t>
      </w:r>
    </w:p>
    <w:p>
      <w:pPr>
        <w:adjustRightInd w:val="0"/>
        <w:snapToGrid w:val="0"/>
        <w:ind w:firstLine="640" w:firstLineChars="200"/>
        <w:rPr>
          <w:rFonts w:ascii="仿宋_GB2312" w:eastAsia="仿宋_GB2312"/>
          <w:sz w:val="32"/>
          <w:szCs w:val="32"/>
          <w:lang w:eastAsia="zh-CN"/>
        </w:rPr>
      </w:pPr>
      <w:r>
        <w:rPr>
          <w:rFonts w:hint="eastAsia" w:ascii="仿宋_GB2312" w:eastAsia="仿宋_GB2312"/>
          <w:sz w:val="32"/>
          <w:szCs w:val="32"/>
          <w:lang w:eastAsia="zh-CN"/>
        </w:rPr>
        <w:t>第九条、本协议壹式肆份，双方各执贰份。</w:t>
      </w:r>
    </w:p>
    <w:p>
      <w:pPr>
        <w:adjustRightInd w:val="0"/>
        <w:snapToGrid w:val="0"/>
        <w:spacing w:line="380" w:lineRule="exact"/>
        <w:ind w:firstLine="640" w:firstLineChars="200"/>
        <w:rPr>
          <w:rFonts w:ascii="仿宋_GB2312" w:eastAsia="仿宋_GB2312"/>
          <w:sz w:val="32"/>
          <w:szCs w:val="32"/>
          <w:lang w:eastAsia="zh-CN"/>
        </w:rPr>
      </w:pPr>
    </w:p>
    <w:p>
      <w:pPr>
        <w:spacing w:line="440" w:lineRule="exact"/>
        <w:rPr>
          <w:rFonts w:ascii="仿宋_GB2312" w:eastAsia="仿宋_GB2312"/>
          <w:sz w:val="32"/>
          <w:szCs w:val="32"/>
          <w:lang w:eastAsia="zh-CN"/>
        </w:rPr>
      </w:pPr>
      <w:r>
        <w:rPr>
          <w:rFonts w:hint="eastAsia" w:ascii="仿宋_GB2312" w:eastAsia="仿宋_GB2312"/>
          <w:sz w:val="32"/>
          <w:szCs w:val="32"/>
          <w:lang w:eastAsia="zh-CN"/>
        </w:rPr>
        <w:t xml:space="preserve">发包方（公章）：                  承包方（公章）： </w:t>
      </w:r>
    </w:p>
    <w:p>
      <w:pPr>
        <w:spacing w:line="440" w:lineRule="exact"/>
        <w:rPr>
          <w:rFonts w:ascii="仿宋_GB2312" w:eastAsia="仿宋_GB2312"/>
          <w:sz w:val="32"/>
          <w:szCs w:val="32"/>
          <w:lang w:eastAsia="zh-CN"/>
        </w:rPr>
      </w:pPr>
    </w:p>
    <w:p>
      <w:pPr>
        <w:spacing w:line="440" w:lineRule="exact"/>
        <w:rPr>
          <w:rFonts w:ascii="仿宋_GB2312" w:eastAsia="仿宋_GB2312"/>
          <w:sz w:val="32"/>
          <w:szCs w:val="32"/>
        </w:rPr>
      </w:pPr>
      <w:r>
        <w:rPr>
          <w:rFonts w:hint="eastAsia" w:ascii="仿宋_GB2312" w:eastAsia="仿宋_GB2312"/>
          <w:sz w:val="32"/>
          <w:szCs w:val="32"/>
        </w:rPr>
        <w:t>法定代表人：                      法定代表人：</w:t>
      </w:r>
    </w:p>
    <w:p>
      <w:pPr>
        <w:spacing w:line="440" w:lineRule="exact"/>
        <w:rPr>
          <w:rFonts w:ascii="仿宋_GB2312" w:eastAsia="仿宋_GB2312"/>
          <w:sz w:val="32"/>
          <w:szCs w:val="32"/>
        </w:rPr>
      </w:pPr>
    </w:p>
    <w:p>
      <w:pPr>
        <w:spacing w:line="440" w:lineRule="exact"/>
        <w:rPr>
          <w:rFonts w:ascii="仿宋_GB2312" w:eastAsia="仿宋_GB2312"/>
          <w:sz w:val="32"/>
          <w:szCs w:val="32"/>
        </w:rPr>
      </w:pPr>
      <w:r>
        <w:rPr>
          <w:rFonts w:hint="eastAsia" w:ascii="仿宋_GB2312" w:eastAsia="仿宋_GB2312"/>
          <w:sz w:val="32"/>
          <w:szCs w:val="32"/>
        </w:rPr>
        <w:t>委托代表人：                      委托代表人：</w:t>
      </w:r>
    </w:p>
    <w:p>
      <w:pPr>
        <w:spacing w:line="440" w:lineRule="exact"/>
        <w:rPr>
          <w:rFonts w:ascii="仿宋_GB2312" w:eastAsia="仿宋_GB2312"/>
          <w:sz w:val="32"/>
          <w:szCs w:val="32"/>
        </w:rPr>
      </w:pPr>
    </w:p>
    <w:p>
      <w:pPr>
        <w:rPr>
          <w:rFonts w:ascii="仿宋_GB2312" w:eastAsia="仿宋_GB2312"/>
          <w:sz w:val="32"/>
          <w:szCs w:val="32"/>
          <w:lang w:eastAsia="zh-CN"/>
        </w:rPr>
      </w:pPr>
      <w:r>
        <w:rPr>
          <w:rFonts w:hint="eastAsia" w:ascii="仿宋_GB2312" w:eastAsia="仿宋_GB2312"/>
          <w:sz w:val="32"/>
          <w:szCs w:val="32"/>
          <w:lang w:eastAsia="zh-CN"/>
        </w:rPr>
        <w:t>签订日期：                        签订日期：</w:t>
      </w:r>
    </w:p>
    <w:p>
      <w:pPr>
        <w:widowControl/>
        <w:autoSpaceDE/>
        <w:autoSpaceDN/>
        <w:rPr>
          <w:rFonts w:ascii="仿宋_GB2312" w:eastAsia="仿宋_GB2312"/>
          <w:sz w:val="32"/>
          <w:szCs w:val="32"/>
          <w:lang w:eastAsia="zh-CN"/>
        </w:rPr>
      </w:pPr>
      <w:r>
        <w:rPr>
          <w:rFonts w:ascii="仿宋_GB2312" w:eastAsia="仿宋_GB2312"/>
          <w:sz w:val="32"/>
          <w:szCs w:val="32"/>
          <w:lang w:eastAsia="zh-CN"/>
        </w:rPr>
        <w:br w:type="page"/>
      </w:r>
    </w:p>
    <w:p>
      <w:pPr>
        <w:adjustRightInd w:val="0"/>
        <w:snapToGrid w:val="0"/>
        <w:spacing w:line="500" w:lineRule="exact"/>
        <w:rPr>
          <w:b/>
          <w:bCs/>
          <w:szCs w:val="21"/>
          <w:lang w:eastAsia="zh-CN"/>
        </w:rPr>
      </w:pPr>
      <w:r>
        <w:rPr>
          <w:rFonts w:hint="eastAsia"/>
          <w:b/>
          <w:bCs/>
          <w:szCs w:val="21"/>
          <w:lang w:eastAsia="zh-CN"/>
        </w:rPr>
        <w:t>附件5：工程质量缺陷保修书</w:t>
      </w:r>
    </w:p>
    <w:p>
      <w:pPr>
        <w:spacing w:line="500" w:lineRule="exact"/>
        <w:jc w:val="center"/>
        <w:rPr>
          <w:b/>
          <w:bCs/>
          <w:sz w:val="48"/>
          <w:szCs w:val="48"/>
          <w:lang w:eastAsia="zh-CN"/>
        </w:rPr>
      </w:pPr>
      <w:r>
        <w:rPr>
          <w:rFonts w:hint="eastAsia"/>
          <w:b/>
          <w:bCs/>
          <w:sz w:val="48"/>
          <w:szCs w:val="48"/>
          <w:lang w:eastAsia="zh-CN"/>
        </w:rPr>
        <w:t>工程质量缺陷保修书</w:t>
      </w:r>
    </w:p>
    <w:p>
      <w:pPr>
        <w:spacing w:line="360" w:lineRule="auto"/>
        <w:rPr>
          <w:sz w:val="24"/>
          <w:lang w:eastAsia="zh-CN"/>
        </w:rPr>
      </w:pPr>
    </w:p>
    <w:p>
      <w:pPr>
        <w:spacing w:line="360" w:lineRule="auto"/>
        <w:rPr>
          <w:sz w:val="24"/>
          <w:lang w:eastAsia="zh-CN"/>
        </w:rPr>
      </w:pPr>
      <w:r>
        <w:rPr>
          <w:sz w:val="24"/>
          <w:lang w:eastAsia="zh-CN"/>
        </w:rPr>
        <w:t>发包人(全称)：</w:t>
      </w:r>
      <w:r>
        <w:rPr>
          <w:rFonts w:hint="eastAsia"/>
          <w:sz w:val="24"/>
          <w:lang w:eastAsia="zh-CN"/>
        </w:rPr>
        <w:t>中粮梁河糖业有限公司</w:t>
      </w:r>
    </w:p>
    <w:p>
      <w:pPr>
        <w:spacing w:line="360" w:lineRule="auto"/>
        <w:rPr>
          <w:sz w:val="24"/>
          <w:lang w:eastAsia="zh-CN"/>
        </w:rPr>
      </w:pPr>
      <w:r>
        <w:rPr>
          <w:sz w:val="24"/>
          <w:lang w:eastAsia="zh-CN"/>
        </w:rPr>
        <w:t>承包人(全</w:t>
      </w:r>
      <w:r>
        <w:rPr>
          <w:rFonts w:hint="eastAsia"/>
          <w:sz w:val="24"/>
          <w:lang w:eastAsia="zh-CN"/>
        </w:rPr>
        <w:t>称)：</w:t>
      </w:r>
      <w:permStart w:id="0" w:edGrp="everyone"/>
      <w:permEnd w:id="0"/>
    </w:p>
    <w:p>
      <w:pPr>
        <w:spacing w:line="360" w:lineRule="auto"/>
        <w:ind w:firstLine="480" w:firstLineChars="200"/>
        <w:rPr>
          <w:sz w:val="24"/>
          <w:lang w:eastAsia="zh-CN"/>
        </w:rPr>
      </w:pPr>
      <w:r>
        <w:rPr>
          <w:sz w:val="24"/>
          <w:lang w:eastAsia="zh-CN"/>
        </w:rPr>
        <w:t>为确保(工程名称)在合理使用期限内正常使用，发包人和承包人根据</w:t>
      </w:r>
      <w:r>
        <w:rPr>
          <w:rFonts w:hAnsi="新宋体-18030"/>
          <w:sz w:val="24"/>
          <w:lang w:eastAsia="zh-CN"/>
        </w:rPr>
        <w:t>《中华人民共和国建筑法》、《建设工程质量管理条例》，经</w:t>
      </w:r>
      <w:r>
        <w:rPr>
          <w:sz w:val="24"/>
          <w:lang w:eastAsia="zh-CN"/>
        </w:rPr>
        <w:t>协商一致，签订工程质量缺陷保修书。承包人在质量缺陷保修期内按照有关规定及双方约定承担工程质量缺陷保修责任。</w:t>
      </w:r>
    </w:p>
    <w:p>
      <w:pPr>
        <w:numPr>
          <w:ilvl w:val="0"/>
          <w:numId w:val="17"/>
        </w:numPr>
        <w:spacing w:line="360" w:lineRule="auto"/>
        <w:ind w:firstLine="482" w:firstLineChars="200"/>
        <w:rPr>
          <w:rFonts w:eastAsia="仿宋_GB2312"/>
          <w:sz w:val="32"/>
          <w:szCs w:val="32"/>
          <w:u w:val="single"/>
          <w:lang w:eastAsia="zh-CN"/>
        </w:rPr>
      </w:pPr>
      <w:r>
        <w:rPr>
          <w:rFonts w:hint="eastAsia"/>
          <w:b/>
          <w:sz w:val="24"/>
          <w:lang w:eastAsia="zh-CN"/>
        </w:rPr>
        <w:t xml:space="preserve">工程名称： </w:t>
      </w:r>
      <w:r>
        <w:rPr>
          <w:rFonts w:hint="eastAsia" w:eastAsia="仿宋_GB2312"/>
          <w:sz w:val="32"/>
          <w:szCs w:val="32"/>
          <w:u w:val="single"/>
          <w:lang w:eastAsia="zh-CN"/>
        </w:rPr>
        <w:t>2023年梁河糖业勐养、芒东工厂新建物资仓库项目</w:t>
      </w:r>
    </w:p>
    <w:p>
      <w:pPr>
        <w:spacing w:line="360" w:lineRule="auto"/>
        <w:ind w:firstLine="482" w:firstLineChars="200"/>
        <w:rPr>
          <w:b/>
          <w:sz w:val="24"/>
          <w:lang w:eastAsia="zh-CN"/>
        </w:rPr>
      </w:pPr>
      <w:r>
        <w:rPr>
          <w:rFonts w:hint="eastAsia"/>
          <w:b/>
          <w:sz w:val="24"/>
          <w:lang w:eastAsia="zh-CN"/>
        </w:rPr>
        <w:t>二</w:t>
      </w:r>
      <w:r>
        <w:rPr>
          <w:b/>
          <w:sz w:val="24"/>
          <w:lang w:eastAsia="zh-CN"/>
        </w:rPr>
        <w:t>、工程质量缺陷保修范围</w:t>
      </w:r>
    </w:p>
    <w:p>
      <w:pPr>
        <w:spacing w:line="360" w:lineRule="auto"/>
        <w:ind w:firstLine="480" w:firstLineChars="200"/>
        <w:rPr>
          <w:sz w:val="24"/>
          <w:lang w:eastAsia="zh-CN"/>
        </w:rPr>
      </w:pPr>
      <w:r>
        <w:rPr>
          <w:sz w:val="24"/>
          <w:lang w:eastAsia="zh-CN"/>
        </w:rPr>
        <w:t>质量缺陷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pPr>
        <w:spacing w:line="360" w:lineRule="auto"/>
        <w:ind w:firstLine="480" w:firstLineChars="200"/>
        <w:rPr>
          <w:sz w:val="24"/>
          <w:lang w:eastAsia="zh-CN"/>
        </w:rPr>
      </w:pPr>
      <w:r>
        <w:rPr>
          <w:sz w:val="24"/>
          <w:lang w:eastAsia="zh-CN"/>
        </w:rPr>
        <w:t>具体质量缺陷保修范围，双方约定如下：</w:t>
      </w:r>
    </w:p>
    <w:p>
      <w:pPr>
        <w:spacing w:line="360" w:lineRule="auto"/>
        <w:rPr>
          <w:sz w:val="24"/>
          <w:lang w:eastAsia="zh-CN"/>
        </w:rPr>
      </w:pPr>
      <w:permStart w:id="1" w:edGrp="everyone"/>
      <w:r>
        <w:rPr>
          <w:b/>
          <w:sz w:val="24"/>
          <w:u w:val="single"/>
          <w:lang w:eastAsia="zh-CN"/>
        </w:rPr>
        <w:t xml:space="preserve">   承包人承包范围内的所有项目             </w:t>
      </w:r>
      <w:permEnd w:id="1"/>
    </w:p>
    <w:p>
      <w:pPr>
        <w:spacing w:line="360" w:lineRule="auto"/>
        <w:ind w:firstLine="482" w:firstLineChars="200"/>
        <w:rPr>
          <w:b/>
          <w:sz w:val="24"/>
          <w:lang w:eastAsia="zh-CN"/>
        </w:rPr>
      </w:pPr>
      <w:r>
        <w:rPr>
          <w:rFonts w:hint="eastAsia"/>
          <w:b/>
          <w:sz w:val="24"/>
          <w:lang w:eastAsia="zh-CN"/>
        </w:rPr>
        <w:t>三</w:t>
      </w:r>
      <w:r>
        <w:rPr>
          <w:b/>
          <w:sz w:val="24"/>
          <w:lang w:eastAsia="zh-CN"/>
        </w:rPr>
        <w:t>、工程质量缺陷保修期</w:t>
      </w:r>
    </w:p>
    <w:p>
      <w:pPr>
        <w:spacing w:line="360" w:lineRule="auto"/>
        <w:ind w:firstLine="480" w:firstLineChars="200"/>
        <w:rPr>
          <w:sz w:val="24"/>
          <w:lang w:eastAsia="zh-CN"/>
        </w:rPr>
      </w:pPr>
      <w:r>
        <w:rPr>
          <w:sz w:val="24"/>
          <w:lang w:eastAsia="zh-CN"/>
        </w:rPr>
        <w:t>质量缺陷保修期从工程实际竣工之日算起。单项竣工验收的工程，按单项工程分别计算质量缺陷保修期。</w:t>
      </w:r>
    </w:p>
    <w:p>
      <w:pPr>
        <w:pStyle w:val="23"/>
        <w:snapToGrid w:val="0"/>
        <w:spacing w:line="346" w:lineRule="auto"/>
        <w:ind w:firstLine="480" w:firstLineChars="200"/>
        <w:jc w:val="left"/>
        <w:rPr>
          <w:rFonts w:ascii="Times New Roman" w:hAnsi="Times New Roman"/>
          <w:sz w:val="24"/>
          <w:szCs w:val="24"/>
        </w:rPr>
      </w:pPr>
      <w:r>
        <w:rPr>
          <w:rFonts w:ascii="Times New Roman" w:hAnsi="宋体"/>
          <w:sz w:val="24"/>
          <w:szCs w:val="24"/>
        </w:rPr>
        <w:t>双方约定本工程质量缺陷保修期如下：</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5" o:spt="201" type="#_x0000_t201" style="height:14.4pt;width:12.1pt;" o:ole="t" filled="f" o:preferrelative="t" stroked="f" coordsize="21600,21600">
            <v:path/>
            <v:fill on="f" focussize="0,0"/>
            <v:stroke on="f" joinstyle="miter"/>
            <v:imagedata r:id="rId9" o:title=""/>
            <o:lock v:ext="edit" aspectratio="t"/>
            <w10:wrap type="none"/>
            <w10:anchorlock/>
          </v:shape>
          <w:control r:id="rId8" w:name="CheckBox1231126251123322" w:shapeid="_x0000_i1025"/>
        </w:object>
      </w:r>
      <w:r>
        <w:rPr>
          <w:rFonts w:ascii="Times New Roman" w:hAnsi="宋体"/>
          <w:sz w:val="24"/>
          <w:szCs w:val="24"/>
        </w:rPr>
        <w:t>地基基础工程、主体结构工程为设计文件规定的合理使用年限；</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6" o:spt="201" type="#_x0000_t201" style="height:14.4pt;width:12.1pt;" o:ole="t" filled="f" o:preferrelative="t" stroked="f" coordsize="21600,21600">
            <v:path/>
            <v:fill on="f" focussize="0,0"/>
            <v:stroke on="f" joinstyle="miter"/>
            <v:imagedata r:id="rId9" o:title=""/>
            <o:lock v:ext="edit" aspectratio="t"/>
            <w10:wrap type="none"/>
            <w10:anchorlock/>
          </v:shape>
          <w:control r:id="rId10" w:name="CheckBox1231126251123323" w:shapeid="_x0000_i1026"/>
        </w:object>
      </w:r>
      <w:r>
        <w:rPr>
          <w:rFonts w:ascii="Times New Roman" w:hAnsi="宋体"/>
          <w:sz w:val="24"/>
          <w:szCs w:val="24"/>
        </w:rPr>
        <w:t>屋面防水工程、有防水要求的卫生间</w:t>
      </w:r>
      <w:r>
        <w:rPr>
          <w:rFonts w:ascii="Times New Roman" w:hAnsi="Times New Roman"/>
          <w:sz w:val="24"/>
          <w:szCs w:val="24"/>
        </w:rPr>
        <w:t>/</w:t>
      </w:r>
      <w:r>
        <w:rPr>
          <w:rFonts w:ascii="Times New Roman" w:hAnsi="宋体"/>
          <w:sz w:val="24"/>
          <w:szCs w:val="24"/>
        </w:rPr>
        <w:t>房间和外墙面的防渗漏工程为</w:t>
      </w:r>
      <w:permStart w:id="2" w:edGrp="everyone"/>
      <w:r>
        <w:rPr>
          <w:rFonts w:ascii="Times New Roman" w:hAnsi="Times New Roman"/>
          <w:b/>
          <w:sz w:val="24"/>
          <w:szCs w:val="24"/>
          <w:u w:val="single"/>
        </w:rPr>
        <w:t xml:space="preserve"> 5  </w:t>
      </w:r>
      <w:permEnd w:id="2"/>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5</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7" o:spt="201" type="#_x0000_t201" style="height:14.4pt;width:12.1pt;" o:ole="t" filled="f" o:preferrelative="t" stroked="f" coordsize="21600,21600">
            <v:path/>
            <v:fill on="f" focussize="0,0"/>
            <v:stroke on="f" joinstyle="miter"/>
            <v:imagedata r:id="rId9" o:title=""/>
            <o:lock v:ext="edit" aspectratio="t"/>
            <w10:wrap type="none"/>
            <w10:anchorlock/>
          </v:shape>
          <w:control r:id="rId11" w:name="CheckBox1231126251123324" w:shapeid="_x0000_i1027"/>
        </w:object>
      </w:r>
      <w:r>
        <w:rPr>
          <w:rFonts w:ascii="Times New Roman" w:hAnsi="宋体"/>
          <w:sz w:val="24"/>
          <w:szCs w:val="24"/>
        </w:rPr>
        <w:t>电气管线工程、给排水管道工程、设备安装工程为</w:t>
      </w:r>
      <w:permStart w:id="3" w:edGrp="everyone"/>
      <w:r>
        <w:rPr>
          <w:rFonts w:ascii="Times New Roman" w:hAnsi="Times New Roman"/>
          <w:b/>
          <w:sz w:val="24"/>
          <w:szCs w:val="24"/>
          <w:u w:val="single"/>
        </w:rPr>
        <w:t xml:space="preserve"> 2  </w:t>
      </w:r>
      <w:permEnd w:id="3"/>
      <w:r>
        <w:rPr>
          <w:rFonts w:ascii="Times New Roman" w:hAnsi="宋体"/>
          <w:sz w:val="24"/>
          <w:szCs w:val="24"/>
        </w:rPr>
        <w:t>年</w:t>
      </w:r>
      <w:r>
        <w:rPr>
          <w:rFonts w:ascii="Times New Roman" w:hAnsi="Times New Roman"/>
          <w:sz w:val="24"/>
          <w:szCs w:val="24"/>
        </w:rPr>
        <w:t>(</w:t>
      </w:r>
      <w:r>
        <w:rPr>
          <w:rFonts w:ascii="Times New Roman" w:hAnsi="宋体"/>
          <w:sz w:val="24"/>
          <w:szCs w:val="24"/>
        </w:rPr>
        <w:t>最低为</w:t>
      </w:r>
      <w:r>
        <w:rPr>
          <w:rFonts w:ascii="Times New Roman" w:hAnsi="Times New Roman"/>
          <w:sz w:val="24"/>
          <w:szCs w:val="24"/>
        </w:rPr>
        <w:t>2</w:t>
      </w:r>
      <w:r>
        <w:rPr>
          <w:rFonts w:ascii="Times New Roman" w:hAnsi="宋体"/>
          <w:sz w:val="24"/>
          <w:szCs w:val="24"/>
        </w:rPr>
        <w:t>年</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8" o:spt="201" type="#_x0000_t201" style="height:14.4pt;width:12.1pt;" o:ole="t" filled="f" o:preferrelative="t" stroked="f" coordsize="21600,21600">
            <v:path/>
            <v:fill on="f" focussize="0,0"/>
            <v:stroke on="f" joinstyle="miter"/>
            <v:imagedata r:id="rId9" o:title=""/>
            <o:lock v:ext="edit" aspectratio="t"/>
            <w10:wrap type="none"/>
            <w10:anchorlock/>
          </v:shape>
          <w:control r:id="rId12" w:name="CheckBox1231126251123325" w:shapeid="_x0000_i1028"/>
        </w:object>
      </w:r>
      <w:r>
        <w:rPr>
          <w:rFonts w:ascii="Times New Roman" w:hAnsi="宋体"/>
          <w:sz w:val="24"/>
          <w:szCs w:val="24"/>
        </w:rPr>
        <w:t>供热和供冷系统工程为</w:t>
      </w:r>
      <w:permStart w:id="4" w:edGrp="everyone"/>
      <w:r>
        <w:rPr>
          <w:rFonts w:ascii="Times New Roman" w:hAnsi="Times New Roman"/>
          <w:b/>
          <w:sz w:val="24"/>
          <w:szCs w:val="24"/>
          <w:u w:val="single"/>
        </w:rPr>
        <w:t xml:space="preserve">    </w:t>
      </w:r>
      <w:permEnd w:id="4"/>
      <w:r>
        <w:rPr>
          <w:rFonts w:ascii="Times New Roman" w:hAnsi="宋体"/>
          <w:sz w:val="24"/>
          <w:szCs w:val="24"/>
        </w:rPr>
        <w:t>个</w:t>
      </w:r>
      <w:r>
        <w:rPr>
          <w:rFonts w:ascii="Times New Roman" w:hAnsi="Times New Roman"/>
          <w:sz w:val="24"/>
          <w:szCs w:val="24"/>
        </w:rPr>
        <w:t>(</w:t>
      </w:r>
      <w:r>
        <w:rPr>
          <w:rFonts w:ascii="Times New Roman" w:hAnsi="宋体"/>
          <w:sz w:val="24"/>
          <w:szCs w:val="24"/>
        </w:rPr>
        <w:t>最低为</w:t>
      </w:r>
      <w:r>
        <w:rPr>
          <w:rFonts w:ascii="Times New Roman" w:hAnsi="Times New Roman"/>
          <w:b/>
          <w:sz w:val="24"/>
          <w:szCs w:val="24"/>
        </w:rPr>
        <w:t>2</w:t>
      </w:r>
      <w:r>
        <w:rPr>
          <w:rFonts w:ascii="Times New Roman" w:hAnsi="宋体"/>
          <w:sz w:val="24"/>
          <w:szCs w:val="24"/>
        </w:rPr>
        <w:t>个</w:t>
      </w:r>
      <w:r>
        <w:rPr>
          <w:rFonts w:ascii="Times New Roman" w:hAnsi="Times New Roman"/>
          <w:sz w:val="24"/>
          <w:szCs w:val="24"/>
        </w:rPr>
        <w:t>)</w:t>
      </w:r>
      <w:r>
        <w:rPr>
          <w:rFonts w:ascii="Times New Roman" w:hAnsi="宋体"/>
          <w:sz w:val="24"/>
          <w:szCs w:val="24"/>
        </w:rPr>
        <w:t>采暖期、供冷期；</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29" o:spt="201" type="#_x0000_t201" style="height:14.4pt;width:12.1pt;" o:ole="t" filled="f" o:preferrelative="t" stroked="f" coordsize="21600,21600">
            <v:path/>
            <v:fill on="f" focussize="0,0"/>
            <v:stroke on="f" joinstyle="miter"/>
            <v:imagedata r:id="rId14" o:title=""/>
            <o:lock v:ext="edit" aspectratio="t"/>
            <w10:wrap type="none"/>
            <w10:anchorlock/>
          </v:shape>
          <w:control r:id="rId13" w:name="CheckBox1231126251123326" w:shapeid="_x0000_i1029"/>
        </w:object>
      </w:r>
      <w:r>
        <w:rPr>
          <w:rFonts w:ascii="Times New Roman" w:hAnsi="宋体"/>
          <w:sz w:val="24"/>
          <w:szCs w:val="24"/>
        </w:rPr>
        <w:t>装饰装修工程为</w:t>
      </w:r>
      <w:permStart w:id="5" w:edGrp="everyone"/>
      <w:r>
        <w:rPr>
          <w:rFonts w:ascii="Times New Roman" w:hAnsi="Times New Roman"/>
          <w:b/>
          <w:sz w:val="24"/>
          <w:szCs w:val="24"/>
          <w:u w:val="single"/>
        </w:rPr>
        <w:t xml:space="preserve"> 1</w:t>
      </w:r>
      <w:permEnd w:id="5"/>
      <w:r>
        <w:rPr>
          <w:rFonts w:ascii="Times New Roman" w:hAnsi="宋体"/>
          <w:sz w:val="24"/>
          <w:szCs w:val="24"/>
        </w:rPr>
        <w:t>年；</w:t>
      </w:r>
    </w:p>
    <w:p>
      <w:pPr>
        <w:pStyle w:val="23"/>
        <w:snapToGrid w:val="0"/>
        <w:spacing w:line="346" w:lineRule="auto"/>
        <w:ind w:firstLine="480" w:firstLineChars="200"/>
        <w:jc w:val="left"/>
        <w:rPr>
          <w:rFonts w:ascii="Times New Roman" w:hAnsi="Times New Roman"/>
          <w:sz w:val="24"/>
          <w:szCs w:val="24"/>
        </w:rPr>
      </w:pPr>
      <w:r>
        <w:rPr>
          <w:rFonts w:ascii="Times New Roman" w:hAnsi="Times New Roman"/>
          <w:sz w:val="24"/>
          <w:szCs w:val="24"/>
        </w:rPr>
        <w:object>
          <v:shape id="_x0000_i1030" o:spt="201" type="#_x0000_t201" style="height:14.4pt;width:12.1pt;" o:ole="t" filled="f" o:preferrelative="t" stroked="f" coordsize="21600,21600">
            <v:path/>
            <v:fill on="f" focussize="0,0"/>
            <v:stroke on="f" joinstyle="miter"/>
            <v:imagedata r:id="rId14" o:title=""/>
            <o:lock v:ext="edit" aspectratio="t"/>
            <w10:wrap type="none"/>
            <w10:anchorlock/>
          </v:shape>
          <w:control r:id="rId15" w:name="CheckBox1231126251123327" w:shapeid="_x0000_i1030"/>
        </w:object>
      </w:r>
      <w:r>
        <w:rPr>
          <w:rFonts w:ascii="Times New Roman" w:hAnsi="宋体"/>
          <w:sz w:val="24"/>
          <w:szCs w:val="24"/>
        </w:rPr>
        <w:t>其他项目保修期约定：</w:t>
      </w:r>
      <w:r>
        <w:rPr>
          <w:rFonts w:hint="eastAsia" w:hAnsi="宋体"/>
          <w:sz w:val="24"/>
          <w:szCs w:val="24"/>
        </w:rPr>
        <w:t>本项目保修期为</w:t>
      </w:r>
      <w:r>
        <w:rPr>
          <w:rFonts w:hint="eastAsia" w:hAnsi="宋体"/>
          <w:b/>
          <w:sz w:val="24"/>
          <w:szCs w:val="24"/>
        </w:rPr>
        <w:t>1</w:t>
      </w:r>
      <w:r>
        <w:rPr>
          <w:rFonts w:hint="eastAsia" w:hAnsi="宋体"/>
          <w:sz w:val="24"/>
          <w:szCs w:val="24"/>
        </w:rPr>
        <w:t>年。</w:t>
      </w:r>
    </w:p>
    <w:p>
      <w:pPr>
        <w:pStyle w:val="23"/>
        <w:snapToGrid w:val="0"/>
        <w:spacing w:line="346" w:lineRule="auto"/>
        <w:ind w:firstLine="518" w:firstLineChars="215"/>
        <w:rPr>
          <w:rFonts w:ascii="Times New Roman" w:hAnsi="Times New Roman"/>
          <w:sz w:val="24"/>
          <w:szCs w:val="24"/>
          <w:u w:val="single"/>
        </w:rPr>
      </w:pPr>
      <w:permStart w:id="6" w:edGrp="everyone"/>
      <w:r>
        <w:rPr>
          <w:rFonts w:ascii="Times New Roman" w:hAnsi="Times New Roman"/>
          <w:b/>
          <w:sz w:val="24"/>
          <w:szCs w:val="24"/>
          <w:u w:val="single"/>
        </w:rPr>
        <w:t xml:space="preserve">  </w:t>
      </w:r>
      <w:r>
        <w:rPr>
          <w:rFonts w:ascii="Times New Roman" w:hAnsi="宋体"/>
          <w:b/>
          <w:sz w:val="24"/>
          <w:szCs w:val="24"/>
          <w:u w:val="single"/>
        </w:rPr>
        <w:t>承包范围其它项目保修期均为</w:t>
      </w:r>
      <w:r>
        <w:rPr>
          <w:rFonts w:hint="eastAsia" w:ascii="Times New Roman" w:hAnsi="Times New Roman"/>
          <w:b/>
          <w:sz w:val="24"/>
          <w:szCs w:val="24"/>
          <w:u w:val="single"/>
        </w:rPr>
        <w:t>1</w:t>
      </w:r>
      <w:r>
        <w:rPr>
          <w:rFonts w:ascii="Times New Roman" w:hAnsi="宋体"/>
          <w:b/>
          <w:sz w:val="24"/>
          <w:szCs w:val="24"/>
          <w:u w:val="single"/>
        </w:rPr>
        <w:t>年。</w:t>
      </w:r>
      <w:r>
        <w:rPr>
          <w:rFonts w:ascii="Times New Roman" w:hAnsi="Times New Roman"/>
          <w:b/>
          <w:sz w:val="24"/>
          <w:szCs w:val="24"/>
          <w:u w:val="single"/>
        </w:rPr>
        <w:t xml:space="preserve">                             </w:t>
      </w:r>
      <w:permEnd w:id="6"/>
    </w:p>
    <w:p>
      <w:pPr>
        <w:spacing w:line="360" w:lineRule="auto"/>
        <w:ind w:firstLine="482" w:firstLineChars="200"/>
        <w:rPr>
          <w:b/>
          <w:sz w:val="24"/>
          <w:lang w:eastAsia="zh-CN"/>
        </w:rPr>
      </w:pPr>
      <w:r>
        <w:rPr>
          <w:rFonts w:hint="eastAsia"/>
          <w:b/>
          <w:sz w:val="24"/>
          <w:lang w:eastAsia="zh-CN"/>
        </w:rPr>
        <w:t>四</w:t>
      </w:r>
      <w:r>
        <w:rPr>
          <w:b/>
          <w:sz w:val="24"/>
          <w:lang w:eastAsia="zh-CN"/>
        </w:rPr>
        <w:t>、工程质量缺陷保修责任</w:t>
      </w:r>
    </w:p>
    <w:p>
      <w:pPr>
        <w:spacing w:line="360" w:lineRule="auto"/>
        <w:ind w:firstLine="480" w:firstLineChars="200"/>
        <w:rPr>
          <w:sz w:val="24"/>
          <w:lang w:eastAsia="zh-CN"/>
        </w:rPr>
      </w:pPr>
      <w:r>
        <w:rPr>
          <w:sz w:val="24"/>
          <w:lang w:eastAsia="zh-CN"/>
        </w:rPr>
        <w:t>1.属于保修范围内的项目，在保修期内，承包人应在接到保修通知之日后3天内派人修理。承包人不在约定期限内派人修理，发包人可委托其他人员修理。发生的费用从质量保修金中扣除。</w:t>
      </w:r>
    </w:p>
    <w:p>
      <w:pPr>
        <w:spacing w:line="360" w:lineRule="auto"/>
        <w:ind w:firstLine="480" w:firstLineChars="200"/>
        <w:rPr>
          <w:sz w:val="24"/>
          <w:lang w:eastAsia="zh-CN"/>
        </w:rPr>
      </w:pPr>
      <w:r>
        <w:rPr>
          <w:sz w:val="24"/>
          <w:lang w:eastAsia="zh-CN"/>
        </w:rPr>
        <w:t>2.发生紧急抢修事故的，承包人接到事故通知后，应立即到达事故现场抢修。</w:t>
      </w:r>
    </w:p>
    <w:p>
      <w:pPr>
        <w:spacing w:line="360" w:lineRule="auto"/>
        <w:ind w:firstLine="482" w:firstLineChars="200"/>
        <w:rPr>
          <w:b/>
          <w:sz w:val="24"/>
          <w:lang w:eastAsia="zh-CN"/>
        </w:rPr>
      </w:pPr>
      <w:r>
        <w:rPr>
          <w:rFonts w:hint="eastAsia"/>
          <w:b/>
          <w:sz w:val="24"/>
          <w:lang w:eastAsia="zh-CN"/>
        </w:rPr>
        <w:t>五</w:t>
      </w:r>
      <w:r>
        <w:rPr>
          <w:b/>
          <w:sz w:val="24"/>
          <w:lang w:eastAsia="zh-CN"/>
        </w:rPr>
        <w:t>、工程质量缺陷保修费用</w:t>
      </w:r>
    </w:p>
    <w:p>
      <w:pPr>
        <w:spacing w:line="360" w:lineRule="auto"/>
        <w:ind w:firstLine="480" w:firstLineChars="200"/>
        <w:rPr>
          <w:sz w:val="24"/>
          <w:lang w:eastAsia="zh-CN"/>
        </w:rPr>
      </w:pPr>
      <w:r>
        <w:rPr>
          <w:sz w:val="24"/>
          <w:lang w:eastAsia="zh-CN"/>
        </w:rPr>
        <w:t>工程质量缺陷保修费用及相关的损害赔偿责任由造成质量缺陷的责任方承担。</w:t>
      </w:r>
    </w:p>
    <w:p>
      <w:pPr>
        <w:spacing w:line="360" w:lineRule="auto"/>
        <w:ind w:firstLine="482" w:firstLineChars="200"/>
        <w:rPr>
          <w:b/>
          <w:sz w:val="24"/>
          <w:lang w:eastAsia="zh-CN"/>
        </w:rPr>
      </w:pPr>
      <w:r>
        <w:rPr>
          <w:rFonts w:hint="eastAsia"/>
          <w:b/>
          <w:sz w:val="24"/>
          <w:lang w:eastAsia="zh-CN"/>
        </w:rPr>
        <w:t>六</w:t>
      </w:r>
      <w:r>
        <w:rPr>
          <w:b/>
          <w:sz w:val="24"/>
          <w:lang w:eastAsia="zh-CN"/>
        </w:rPr>
        <w:t>、工程质量缺陷保证方式</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工程质量缺陷保证方式可采用以下方式：</w:t>
      </w:r>
    </w:p>
    <w:p>
      <w:pPr>
        <w:pStyle w:val="23"/>
        <w:snapToGrid w:val="0"/>
        <w:spacing w:line="346" w:lineRule="auto"/>
        <w:ind w:firstLine="480" w:firstLineChars="200"/>
        <w:rPr>
          <w:rFonts w:ascii="Times New Roman" w:hAnsi="Times New Roman"/>
          <w:sz w:val="24"/>
          <w:szCs w:val="24"/>
        </w:rPr>
      </w:pPr>
      <w:r>
        <w:rPr>
          <w:rFonts w:ascii="Times New Roman" w:hAnsi="Times New Roman"/>
          <w:sz w:val="24"/>
          <w:szCs w:val="24"/>
        </w:rPr>
        <w:object>
          <v:shape id="_x0000_i1031" o:spt="201" type="#_x0000_t201" style="height:14.4pt;width:12.1pt;" o:ole="t" filled="f" o:preferrelative="t" stroked="f" coordsize="21600,21600">
            <v:path/>
            <v:fill on="f" focussize="0,0"/>
            <v:stroke on="f" joinstyle="miter"/>
            <v:imagedata r:id="rId14" o:title=""/>
            <o:lock v:ext="edit" aspectratio="t"/>
            <w10:wrap type="none"/>
            <w10:anchorlock/>
          </v:shape>
          <w:control r:id="rId16" w:name="CheckBox12311262511233271" w:shapeid="_x0000_i1031"/>
        </w:object>
      </w:r>
      <w:r>
        <w:rPr>
          <w:rFonts w:ascii="Times New Roman" w:hAnsi="宋体"/>
          <w:sz w:val="24"/>
          <w:szCs w:val="24"/>
        </w:rPr>
        <w:t>工程质量缺陷保修金：</w:t>
      </w: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发包人承包人约定本工程的工程质量保修金为施工合同价款的</w:t>
      </w:r>
      <w:r>
        <w:rPr>
          <w:rFonts w:ascii="Times New Roman" w:hAnsi="Times New Roman"/>
          <w:sz w:val="24"/>
          <w:szCs w:val="24"/>
        </w:rPr>
        <w:t>3</w:t>
      </w:r>
      <w:r>
        <w:rPr>
          <w:rFonts w:ascii="Times New Roman" w:hAnsi="宋体"/>
          <w:sz w:val="24"/>
          <w:szCs w:val="24"/>
        </w:rPr>
        <w:t>％。</w:t>
      </w:r>
    </w:p>
    <w:p>
      <w:pPr>
        <w:pStyle w:val="23"/>
        <w:snapToGrid w:val="0"/>
        <w:spacing w:line="346" w:lineRule="auto"/>
        <w:ind w:firstLine="482" w:firstLineChars="200"/>
        <w:rPr>
          <w:rFonts w:ascii="Times New Roman" w:hAnsi="Times New Roman"/>
          <w:b/>
          <w:sz w:val="24"/>
          <w:szCs w:val="24"/>
        </w:rPr>
      </w:pPr>
      <w:r>
        <w:rPr>
          <w:rFonts w:hint="eastAsia" w:ascii="Times New Roman" w:hAnsi="Times New Roman"/>
          <w:b/>
          <w:sz w:val="24"/>
          <w:szCs w:val="24"/>
        </w:rPr>
        <w:t>七</w:t>
      </w:r>
      <w:r>
        <w:rPr>
          <w:rFonts w:ascii="Times New Roman" w:hAnsi="Times New Roman"/>
          <w:b/>
          <w:sz w:val="24"/>
          <w:szCs w:val="24"/>
        </w:rPr>
        <w:t>、工程质量缺陷保修金的支付</w:t>
      </w:r>
    </w:p>
    <w:p>
      <w:pPr>
        <w:pStyle w:val="23"/>
        <w:snapToGrid w:val="0"/>
        <w:spacing w:line="346" w:lineRule="auto"/>
        <w:ind w:firstLine="644"/>
        <w:rPr>
          <w:rFonts w:ascii="Times New Roman" w:hAnsi="Times New Roman"/>
          <w:sz w:val="24"/>
          <w:szCs w:val="24"/>
        </w:rPr>
      </w:pPr>
      <w:r>
        <w:rPr>
          <w:rFonts w:ascii="Times New Roman" w:hAnsi="宋体"/>
          <w:sz w:val="24"/>
          <w:szCs w:val="24"/>
        </w:rPr>
        <w:t>采用工程质量缺陷保修金方式时，发包人在工程竣工验收合格满二年后第</w:t>
      </w:r>
      <w:r>
        <w:rPr>
          <w:rFonts w:ascii="Times New Roman" w:hAnsi="Times New Roman"/>
          <w:sz w:val="24"/>
          <w:szCs w:val="24"/>
        </w:rPr>
        <w:t>1</w:t>
      </w:r>
      <w:r>
        <w:rPr>
          <w:rFonts w:hint="eastAsia" w:ascii="Times New Roman" w:hAnsi="Times New Roman"/>
          <w:sz w:val="24"/>
          <w:szCs w:val="24"/>
        </w:rPr>
        <w:t>5</w:t>
      </w:r>
      <w:r>
        <w:rPr>
          <w:rFonts w:ascii="Times New Roman" w:hAnsi="宋体"/>
          <w:sz w:val="24"/>
          <w:szCs w:val="24"/>
        </w:rPr>
        <w:t>天内，将剩余工程质量缺陷保修金支付给承包人（不计利息），但并不免除承包人在保修期内的保修责任。</w:t>
      </w:r>
    </w:p>
    <w:p>
      <w:pPr>
        <w:spacing w:line="360" w:lineRule="auto"/>
        <w:ind w:firstLine="482" w:firstLineChars="200"/>
        <w:rPr>
          <w:b/>
          <w:sz w:val="24"/>
          <w:lang w:eastAsia="zh-CN"/>
        </w:rPr>
      </w:pPr>
      <w:r>
        <w:rPr>
          <w:rFonts w:hint="eastAsia"/>
          <w:b/>
          <w:sz w:val="24"/>
          <w:lang w:eastAsia="zh-CN"/>
        </w:rPr>
        <w:t>八</w:t>
      </w:r>
      <w:r>
        <w:rPr>
          <w:b/>
          <w:sz w:val="24"/>
          <w:lang w:eastAsia="zh-CN"/>
        </w:rPr>
        <w:t>、其他</w:t>
      </w:r>
    </w:p>
    <w:p>
      <w:pPr>
        <w:pStyle w:val="23"/>
        <w:snapToGrid w:val="0"/>
        <w:spacing w:line="346" w:lineRule="auto"/>
        <w:ind w:firstLine="644"/>
        <w:rPr>
          <w:rFonts w:ascii="Times New Roman" w:hAnsi="Times New Roman"/>
          <w:sz w:val="24"/>
          <w:szCs w:val="24"/>
        </w:rPr>
      </w:pPr>
      <w:r>
        <w:rPr>
          <w:rFonts w:ascii="Times New Roman" w:hAnsi="宋体"/>
          <w:sz w:val="24"/>
          <w:szCs w:val="24"/>
        </w:rPr>
        <w:t>发包人承包人约定的其他工程质量缺陷保修事项：</w:t>
      </w:r>
      <w:r>
        <w:rPr>
          <w:rFonts w:hint="eastAsia" w:ascii="Times New Roman" w:hAnsi="宋体"/>
          <w:sz w:val="24"/>
          <w:szCs w:val="24"/>
          <w:u w:val="single"/>
        </w:rPr>
        <w:t xml:space="preserve">无 </w:t>
      </w:r>
      <w:r>
        <w:rPr>
          <w:rFonts w:ascii="Times New Roman" w:hAnsi="宋体"/>
          <w:sz w:val="24"/>
          <w:szCs w:val="24"/>
        </w:rPr>
        <w:t>本</w:t>
      </w:r>
      <w:r>
        <w:rPr>
          <w:rFonts w:ascii="Times New Roman" w:hAnsi="新宋体-18030"/>
          <w:sz w:val="24"/>
          <w:szCs w:val="24"/>
        </w:rPr>
        <w:t>《</w:t>
      </w:r>
      <w:r>
        <w:rPr>
          <w:rFonts w:ascii="Times New Roman" w:hAnsi="宋体"/>
          <w:sz w:val="24"/>
          <w:szCs w:val="24"/>
        </w:rPr>
        <w:t>工程质量缺陷保修书</w:t>
      </w:r>
      <w:r>
        <w:rPr>
          <w:rFonts w:ascii="Times New Roman" w:hAnsi="新宋体-18030"/>
          <w:sz w:val="24"/>
          <w:szCs w:val="24"/>
        </w:rPr>
        <w:t>》</w:t>
      </w:r>
      <w:r>
        <w:rPr>
          <w:rFonts w:ascii="Times New Roman" w:hAnsi="宋体"/>
          <w:sz w:val="24"/>
          <w:szCs w:val="24"/>
        </w:rPr>
        <w:t>作为施工合同附件由发包人承包人双方共同签署。</w:t>
      </w: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ind w:firstLine="644"/>
        <w:rPr>
          <w:rFonts w:ascii="Times New Roman" w:hAnsi="Times New Roman"/>
          <w:spacing w:val="14"/>
          <w:sz w:val="24"/>
          <w:szCs w:val="24"/>
        </w:rPr>
      </w:pPr>
    </w:p>
    <w:p>
      <w:pPr>
        <w:pStyle w:val="23"/>
        <w:snapToGrid w:val="0"/>
        <w:spacing w:line="346" w:lineRule="auto"/>
        <w:rPr>
          <w:rFonts w:ascii="Times New Roman" w:hAnsi="Times New Roman"/>
          <w:spacing w:val="14"/>
          <w:sz w:val="24"/>
          <w:szCs w:val="24"/>
        </w:rPr>
      </w:pPr>
    </w:p>
    <w:p>
      <w:pPr>
        <w:pStyle w:val="23"/>
        <w:snapToGrid w:val="0"/>
        <w:spacing w:line="346" w:lineRule="auto"/>
        <w:ind w:left="440" w:leftChars="200" w:firstLine="120" w:firstLineChars="50"/>
        <w:rPr>
          <w:rFonts w:ascii="Times New Roman" w:hAnsi="Times New Roman"/>
          <w:sz w:val="24"/>
          <w:szCs w:val="24"/>
        </w:rPr>
      </w:pPr>
      <w:r>
        <w:rPr>
          <w:rFonts w:ascii="Times New Roman" w:hAnsi="宋体"/>
          <w:sz w:val="24"/>
          <w:szCs w:val="24"/>
        </w:rPr>
        <w:t>发</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承</w:t>
      </w:r>
      <w:r>
        <w:rPr>
          <w:rFonts w:ascii="Times New Roman" w:hAnsi="Times New Roman"/>
          <w:sz w:val="24"/>
          <w:szCs w:val="24"/>
        </w:rPr>
        <w:t xml:space="preserve">  </w:t>
      </w:r>
      <w:r>
        <w:rPr>
          <w:rFonts w:ascii="Times New Roman" w:hAnsi="宋体"/>
          <w:sz w:val="24"/>
          <w:szCs w:val="24"/>
        </w:rPr>
        <w:t>包</w:t>
      </w:r>
      <w:r>
        <w:rPr>
          <w:rFonts w:ascii="Times New Roman" w:hAnsi="Times New Roman"/>
          <w:sz w:val="24"/>
          <w:szCs w:val="24"/>
        </w:rPr>
        <w:t xml:space="preserve">  </w:t>
      </w:r>
      <w:r>
        <w:rPr>
          <w:rFonts w:ascii="Times New Roman" w:hAnsi="宋体"/>
          <w:sz w:val="24"/>
          <w:szCs w:val="24"/>
        </w:rPr>
        <w:t>人</w:t>
      </w:r>
      <w:r>
        <w:rPr>
          <w:rFonts w:ascii="Times New Roman" w:hAnsi="Times New Roman"/>
          <w:sz w:val="24"/>
          <w:szCs w:val="24"/>
        </w:rPr>
        <w:t>(</w:t>
      </w:r>
      <w:r>
        <w:rPr>
          <w:rFonts w:ascii="Times New Roman" w:hAnsi="宋体"/>
          <w:sz w:val="24"/>
          <w:szCs w:val="24"/>
        </w:rPr>
        <w:t>公章</w:t>
      </w:r>
      <w:r>
        <w:rPr>
          <w:rFonts w:ascii="Times New Roman" w:hAnsi="Times New Roman"/>
          <w:sz w:val="24"/>
          <w:szCs w:val="24"/>
        </w:rPr>
        <w:t>)</w:t>
      </w:r>
      <w:r>
        <w:rPr>
          <w:rFonts w:ascii="Times New Roman" w:hAnsi="宋体"/>
          <w:sz w:val="24"/>
          <w:szCs w:val="24"/>
        </w:rPr>
        <w:t>：</w:t>
      </w:r>
    </w:p>
    <w:p>
      <w:pPr>
        <w:pStyle w:val="23"/>
        <w:snapToGrid w:val="0"/>
        <w:spacing w:line="346" w:lineRule="auto"/>
        <w:rPr>
          <w:rFonts w:ascii="Times New Roman" w:hAnsi="Times New Roman"/>
          <w:sz w:val="24"/>
          <w:szCs w:val="24"/>
        </w:rPr>
      </w:pPr>
    </w:p>
    <w:p>
      <w:pPr>
        <w:pStyle w:val="23"/>
        <w:snapToGrid w:val="0"/>
        <w:spacing w:line="346" w:lineRule="auto"/>
        <w:ind w:firstLine="480" w:firstLineChars="200"/>
        <w:rPr>
          <w:rFonts w:ascii="Times New Roman" w:hAnsi="Times New Roman"/>
          <w:sz w:val="24"/>
          <w:szCs w:val="24"/>
        </w:rPr>
      </w:pP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 xml:space="preserve">) </w:t>
      </w:r>
      <w:r>
        <w:rPr>
          <w:rFonts w:ascii="Times New Roman" w:hAnsi="宋体"/>
          <w:sz w:val="24"/>
          <w:szCs w:val="24"/>
        </w:rPr>
        <w:t>：</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    </w:t>
      </w:r>
      <w:r>
        <w:rPr>
          <w:rFonts w:ascii="Times New Roman" w:hAnsi="宋体"/>
          <w:sz w:val="24"/>
          <w:szCs w:val="24"/>
        </w:rPr>
        <w:t>法定代表人</w:t>
      </w:r>
      <w:r>
        <w:rPr>
          <w:rFonts w:ascii="Times New Roman" w:hAnsi="Times New Roman"/>
          <w:sz w:val="24"/>
          <w:szCs w:val="24"/>
        </w:rPr>
        <w:t>(</w:t>
      </w:r>
      <w:r>
        <w:rPr>
          <w:rFonts w:ascii="Times New Roman" w:hAnsi="宋体"/>
          <w:sz w:val="24"/>
          <w:szCs w:val="24"/>
        </w:rPr>
        <w:t>签字</w:t>
      </w:r>
      <w:r>
        <w:rPr>
          <w:rFonts w:ascii="Times New Roman" w:hAnsi="Times New Roman"/>
          <w:sz w:val="24"/>
          <w:szCs w:val="24"/>
        </w:rPr>
        <w:t>)</w:t>
      </w:r>
      <w:r>
        <w:rPr>
          <w:rFonts w:ascii="Times New Roman" w:hAnsi="宋体"/>
          <w:sz w:val="24"/>
          <w:szCs w:val="24"/>
        </w:rPr>
        <w:t>：</w:t>
      </w:r>
    </w:p>
    <w:p>
      <w:pPr>
        <w:pStyle w:val="23"/>
        <w:snapToGrid w:val="0"/>
        <w:spacing w:line="346" w:lineRule="auto"/>
        <w:ind w:firstLine="480" w:firstLineChars="200"/>
        <w:rPr>
          <w:rFonts w:ascii="Times New Roman" w:hAnsi="Times New Roman"/>
          <w:sz w:val="24"/>
          <w:szCs w:val="24"/>
        </w:rPr>
      </w:pPr>
    </w:p>
    <w:p>
      <w:pPr>
        <w:spacing w:line="500" w:lineRule="exact"/>
        <w:ind w:firstLine="240" w:firstLineChars="100"/>
        <w:textAlignment w:val="baseline"/>
        <w:rPr>
          <w:sz w:val="24"/>
          <w:lang w:eastAsia="zh-CN"/>
        </w:rPr>
      </w:pPr>
      <w:r>
        <w:rPr>
          <w:sz w:val="24"/>
          <w:lang w:eastAsia="zh-CN"/>
        </w:rPr>
        <w:t xml:space="preserve">   年    月   日                       </w:t>
      </w:r>
      <w:r>
        <w:rPr>
          <w:rFonts w:hint="eastAsia"/>
          <w:sz w:val="24"/>
          <w:lang w:eastAsia="zh-CN"/>
        </w:rPr>
        <w:t xml:space="preserve">  </w:t>
      </w:r>
      <w:r>
        <w:rPr>
          <w:sz w:val="24"/>
          <w:lang w:eastAsia="zh-CN"/>
        </w:rPr>
        <w:t xml:space="preserve"> 年   月    </w:t>
      </w:r>
      <w:r>
        <w:rPr>
          <w:rFonts w:hint="eastAsia"/>
          <w:sz w:val="24"/>
          <w:lang w:eastAsia="zh-CN"/>
        </w:rPr>
        <w:t>日</w:t>
      </w:r>
      <w:bookmarkEnd w:id="220"/>
      <w:bookmarkEnd w:id="221"/>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spacing w:line="276" w:lineRule="auto"/>
        <w:rPr>
          <w:rFonts w:ascii="仿宋" w:hAnsi="仿宋" w:eastAsia="仿宋"/>
          <w:snapToGrid w:val="0"/>
          <w:sz w:val="24"/>
          <w:szCs w:val="24"/>
          <w:lang w:eastAsia="zh-CN"/>
        </w:rPr>
      </w:pPr>
    </w:p>
    <w:p>
      <w:pPr>
        <w:pStyle w:val="2"/>
        <w:spacing w:line="276" w:lineRule="auto"/>
        <w:rPr>
          <w:rFonts w:ascii="仿宋" w:hAnsi="仿宋" w:eastAsia="仿宋"/>
          <w:b/>
          <w:bCs/>
          <w:snapToGrid w:val="0"/>
          <w:sz w:val="32"/>
          <w:szCs w:val="32"/>
          <w:lang w:eastAsia="zh-CN"/>
        </w:rPr>
      </w:pPr>
      <w:bookmarkStart w:id="406" w:name="_Toc27232"/>
      <w:r>
        <w:rPr>
          <w:rFonts w:hint="eastAsia" w:ascii="仿宋" w:hAnsi="仿宋" w:eastAsia="仿宋"/>
          <w:b/>
          <w:bCs/>
          <w:snapToGrid w:val="0"/>
          <w:sz w:val="32"/>
          <w:szCs w:val="32"/>
          <w:lang w:eastAsia="zh-CN"/>
        </w:rPr>
        <w:t xml:space="preserve">第五章 </w:t>
      </w:r>
      <w:r>
        <w:rPr>
          <w:rFonts w:ascii="仿宋" w:hAnsi="仿宋" w:eastAsia="仿宋"/>
          <w:b/>
          <w:bCs/>
          <w:snapToGrid w:val="0"/>
          <w:sz w:val="32"/>
          <w:szCs w:val="32"/>
          <w:lang w:eastAsia="zh-CN"/>
        </w:rPr>
        <w:t xml:space="preserve"> 响应文件格式</w:t>
      </w:r>
      <w:bookmarkEnd w:id="406"/>
    </w:p>
    <w:p>
      <w:pPr>
        <w:spacing w:line="276" w:lineRule="auto"/>
        <w:rPr>
          <w:rFonts w:ascii="仿宋" w:hAnsi="仿宋" w:eastAsia="仿宋"/>
          <w:snapToGrid w:val="0"/>
          <w:sz w:val="24"/>
          <w:szCs w:val="24"/>
          <w:lang w:eastAsia="zh-CN"/>
        </w:rPr>
      </w:pPr>
      <w:bookmarkStart w:id="407" w:name="扫描0048"/>
      <w:bookmarkEnd w:id="407"/>
      <w:r>
        <w:rPr>
          <w:rFonts w:ascii="仿宋" w:hAnsi="仿宋" w:eastAsia="仿宋"/>
          <w:snapToGrid w:val="0"/>
          <w:sz w:val="24"/>
          <w:szCs w:val="24"/>
          <w:lang w:eastAsia="zh-CN"/>
        </w:rPr>
        <w:br w:type="page"/>
      </w:r>
    </w:p>
    <w:p>
      <w:pPr>
        <w:adjustRightInd w:val="0"/>
        <w:snapToGrid w:val="0"/>
        <w:spacing w:line="276" w:lineRule="auto"/>
        <w:jc w:val="center"/>
        <w:rPr>
          <w:rFonts w:ascii="仿宋" w:hAnsi="仿宋" w:eastAsia="仿宋"/>
          <w:snapToGrid w:val="0"/>
          <w:sz w:val="32"/>
          <w:szCs w:val="32"/>
          <w:u w:val="single"/>
          <w:lang w:eastAsia="zh-CN"/>
        </w:rPr>
      </w:pPr>
      <w:r>
        <w:rPr>
          <w:rFonts w:hint="eastAsia" w:ascii="仿宋" w:hAnsi="仿宋" w:eastAsia="仿宋"/>
          <w:snapToGrid w:val="0"/>
          <w:sz w:val="32"/>
          <w:szCs w:val="32"/>
          <w:u w:val="single"/>
          <w:lang w:eastAsia="zh-CN"/>
        </w:rPr>
        <w:t xml:space="preserve"> 2023年梁河糖业勐养、芒东工厂新建物资仓库项目</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snapToGrid w:val="0"/>
          <w:sz w:val="48"/>
          <w:szCs w:val="48"/>
          <w:lang w:eastAsia="zh-CN"/>
        </w:rPr>
      </w:pPr>
      <w:r>
        <w:rPr>
          <w:rFonts w:ascii="仿宋" w:hAnsi="仿宋" w:eastAsia="仿宋"/>
          <w:snapToGrid w:val="0"/>
          <w:sz w:val="48"/>
          <w:szCs w:val="48"/>
          <w:lang w:eastAsia="zh-CN"/>
        </w:rPr>
        <w:t>响应文件</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left="2125" w:leftChars="966"/>
        <w:rPr>
          <w:rFonts w:ascii="仿宋" w:hAnsi="仿宋" w:eastAsia="仿宋"/>
          <w:snapToGrid w:val="0"/>
          <w:sz w:val="32"/>
          <w:szCs w:val="32"/>
          <w:lang w:eastAsia="zh-CN"/>
        </w:rPr>
      </w:pPr>
      <w:r>
        <w:rPr>
          <w:rFonts w:ascii="仿宋" w:hAnsi="仿宋" w:eastAsia="仿宋"/>
          <w:snapToGrid w:val="0"/>
          <w:sz w:val="32"/>
          <w:szCs w:val="32"/>
          <w:lang w:eastAsia="zh-CN"/>
        </w:rPr>
        <w:t>供应商</w:t>
      </w:r>
      <w:r>
        <w:rPr>
          <w:rFonts w:hint="eastAsia" w:ascii="仿宋" w:hAnsi="仿宋" w:eastAsia="仿宋"/>
          <w:snapToGrid w:val="0"/>
          <w:sz w:val="32"/>
          <w:szCs w:val="32"/>
          <w:lang w:eastAsia="zh-CN"/>
        </w:rPr>
        <w:t>：</w:t>
      </w:r>
      <w:r>
        <w:rPr>
          <w:rFonts w:ascii="仿宋" w:hAnsi="仿宋" w:eastAsia="仿宋"/>
          <w:snapToGrid w:val="0"/>
          <w:sz w:val="32"/>
          <w:szCs w:val="32"/>
          <w:u w:val="single"/>
          <w:lang w:eastAsia="zh-CN"/>
        </w:rPr>
        <w:t xml:space="preserve">                        </w:t>
      </w:r>
    </w:p>
    <w:p>
      <w:pPr>
        <w:pStyle w:val="17"/>
        <w:adjustRightInd w:val="0"/>
        <w:snapToGrid w:val="0"/>
        <w:spacing w:line="276" w:lineRule="auto"/>
        <w:jc w:val="center"/>
        <w:rPr>
          <w:rFonts w:ascii="仿宋" w:hAnsi="仿宋" w:eastAsia="仿宋"/>
          <w:snapToGrid w:val="0"/>
          <w:sz w:val="24"/>
          <w:szCs w:val="24"/>
          <w:lang w:eastAsia="zh-CN"/>
        </w:rPr>
      </w:pPr>
    </w:p>
    <w:p>
      <w:pPr>
        <w:adjustRightInd w:val="0"/>
        <w:snapToGrid w:val="0"/>
        <w:spacing w:line="276" w:lineRule="auto"/>
        <w:ind w:left="3401" w:leftChars="1546"/>
        <w:rPr>
          <w:rFonts w:ascii="仿宋" w:hAnsi="仿宋" w:eastAsia="仿宋"/>
          <w:snapToGrid w:val="0"/>
          <w:sz w:val="32"/>
          <w:szCs w:val="32"/>
          <w:lang w:eastAsia="zh-CN"/>
        </w:rPr>
      </w:pP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年</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月</w:t>
      </w:r>
      <w:r>
        <w:rPr>
          <w:rFonts w:hint="eastAsia" w:ascii="仿宋" w:hAnsi="仿宋" w:eastAsia="仿宋"/>
          <w:snapToGrid w:val="0"/>
          <w:sz w:val="32"/>
          <w:szCs w:val="32"/>
          <w:u w:val="single"/>
          <w:lang w:eastAsia="zh-CN"/>
        </w:rPr>
        <w:t xml:space="preserve"> </w:t>
      </w:r>
      <w:r>
        <w:rPr>
          <w:rFonts w:ascii="仿宋" w:hAnsi="仿宋" w:eastAsia="仿宋"/>
          <w:snapToGrid w:val="0"/>
          <w:sz w:val="32"/>
          <w:szCs w:val="32"/>
          <w:u w:val="single"/>
          <w:lang w:eastAsia="zh-CN"/>
        </w:rPr>
        <w:t xml:space="preserve">  </w:t>
      </w:r>
      <w:r>
        <w:rPr>
          <w:rFonts w:ascii="仿宋" w:hAnsi="仿宋" w:eastAsia="仿宋"/>
          <w:snapToGrid w:val="0"/>
          <w:sz w:val="32"/>
          <w:szCs w:val="32"/>
          <w:lang w:eastAsia="zh-CN"/>
        </w:rPr>
        <w:t>日</w:t>
      </w:r>
    </w:p>
    <w:p>
      <w:pPr>
        <w:spacing w:line="276" w:lineRule="auto"/>
        <w:rPr>
          <w:rFonts w:ascii="仿宋" w:hAnsi="仿宋" w:eastAsia="仿宋" w:cs="Times New Roman"/>
          <w:snapToGrid w:val="0"/>
          <w:sz w:val="24"/>
          <w:szCs w:val="24"/>
          <w:lang w:eastAsia="zh-CN"/>
        </w:rPr>
      </w:pPr>
      <w:bookmarkStart w:id="408" w:name="扫描0049"/>
      <w:bookmarkEnd w:id="408"/>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32"/>
          <w:szCs w:val="32"/>
          <w:lang w:eastAsia="zh-CN"/>
        </w:rPr>
      </w:pPr>
      <w:r>
        <w:rPr>
          <w:rFonts w:ascii="仿宋" w:hAnsi="仿宋" w:eastAsia="仿宋"/>
          <w:b/>
          <w:bCs/>
          <w:snapToGrid w:val="0"/>
          <w:sz w:val="32"/>
          <w:szCs w:val="32"/>
          <w:lang w:eastAsia="zh-CN"/>
        </w:rPr>
        <w:t>目 录</w:t>
      </w:r>
    </w:p>
    <w:p>
      <w:pPr>
        <w:spacing w:line="276" w:lineRule="auto"/>
        <w:rPr>
          <w:rFonts w:ascii="仿宋" w:hAnsi="仿宋" w:eastAsia="仿宋"/>
          <w:snapToGrid w:val="0"/>
          <w:sz w:val="24"/>
          <w:szCs w:val="24"/>
          <w:lang w:eastAsia="zh-CN"/>
        </w:rPr>
      </w:pPr>
    </w:p>
    <w:p>
      <w:pPr>
        <w:adjustRightInd w:val="0"/>
        <w:snapToGrid w:val="0"/>
        <w:spacing w:line="276" w:lineRule="auto"/>
        <w:rPr>
          <w:rFonts w:eastAsia="仿宋" w:asciiTheme="minorEastAsia" w:hAnsiTheme="minorEastAsia"/>
          <w:snapToGrid w:val="0"/>
          <w:sz w:val="24"/>
          <w:szCs w:val="24"/>
          <w:lang w:eastAsia="zh-CN"/>
        </w:rPr>
      </w:pPr>
      <w:bookmarkStart w:id="409" w:name="扫描0050"/>
      <w:bookmarkEnd w:id="409"/>
      <w:r>
        <w:rPr>
          <w:rFonts w:eastAsia="仿宋" w:asciiTheme="minorEastAsia" w:hAnsiTheme="minorEastAsia"/>
          <w:snapToGrid w:val="0"/>
          <w:sz w:val="24"/>
          <w:szCs w:val="24"/>
          <w:lang w:eastAsia="zh-CN"/>
        </w:rPr>
        <w:t>一、响应函</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二、授权委托书（适用于有委托代理人的情况）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三、联合体协议书（适用于供应商组成联合体的情况）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四、响应保证金（适用于递交响应保证金的情况）</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五、商务和技术偏差表</w:t>
      </w:r>
    </w:p>
    <w:p>
      <w:pPr>
        <w:adjustRightInd w:val="0"/>
        <w:snapToGrid w:val="0"/>
        <w:spacing w:line="276" w:lineRule="auto"/>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六、报价表</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七、工程量清单</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八</w:t>
      </w:r>
      <w:r>
        <w:rPr>
          <w:rFonts w:eastAsia="仿宋" w:asciiTheme="minorEastAsia" w:hAnsiTheme="minorEastAsia"/>
          <w:snapToGrid w:val="0"/>
          <w:sz w:val="24"/>
          <w:szCs w:val="24"/>
          <w:lang w:eastAsia="zh-CN"/>
        </w:rPr>
        <w:t>、资格审查资料</w:t>
      </w:r>
    </w:p>
    <w:p>
      <w:pPr>
        <w:adjustRightInd w:val="0"/>
        <w:snapToGrid w:val="0"/>
        <w:spacing w:line="276" w:lineRule="auto"/>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九</w:t>
      </w:r>
      <w:r>
        <w:rPr>
          <w:rFonts w:eastAsia="仿宋" w:asciiTheme="minorEastAsia" w:hAnsiTheme="minorEastAsia"/>
          <w:snapToGrid w:val="0"/>
          <w:sz w:val="24"/>
          <w:szCs w:val="24"/>
          <w:lang w:eastAsia="zh-CN"/>
        </w:rPr>
        <w:t>、响应方案</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w:t>
      </w:r>
      <w:r>
        <w:rPr>
          <w:rFonts w:eastAsia="仿宋" w:asciiTheme="minorEastAsia" w:hAnsiTheme="minorEastAsia"/>
          <w:snapToGrid w:val="0"/>
          <w:sz w:val="24"/>
          <w:szCs w:val="24"/>
          <w:lang w:eastAsia="zh-CN"/>
        </w:rPr>
        <w:t>、</w:t>
      </w:r>
      <w:r>
        <w:rPr>
          <w:rFonts w:hint="eastAsia" w:eastAsia="仿宋" w:asciiTheme="minorEastAsia" w:hAnsiTheme="minorEastAsia"/>
          <w:snapToGrid w:val="0"/>
          <w:sz w:val="24"/>
          <w:szCs w:val="24"/>
          <w:lang w:eastAsia="zh-CN"/>
        </w:rPr>
        <w:t>廉洁承诺书</w:t>
      </w:r>
    </w:p>
    <w:p>
      <w:pPr>
        <w:adjustRightInd w:val="0"/>
        <w:snapToGrid w:val="0"/>
        <w:spacing w:line="276" w:lineRule="auto"/>
        <w:jc w:val="both"/>
        <w:rPr>
          <w:rFonts w:eastAsia="仿宋" w:asciiTheme="minorEastAsia" w:hAnsiTheme="minorEastAsia"/>
          <w:snapToGrid w:val="0"/>
          <w:sz w:val="24"/>
          <w:szCs w:val="24"/>
          <w:lang w:eastAsia="zh-CN"/>
        </w:rPr>
      </w:pPr>
      <w:r>
        <w:rPr>
          <w:rFonts w:hint="eastAsia" w:eastAsia="仿宋" w:asciiTheme="minorEastAsia" w:hAnsiTheme="minorEastAsia"/>
          <w:snapToGrid w:val="0"/>
          <w:sz w:val="24"/>
          <w:szCs w:val="24"/>
          <w:lang w:eastAsia="zh-CN"/>
        </w:rPr>
        <w:t>十一、保密承诺书</w:t>
      </w:r>
    </w:p>
    <w:p>
      <w:pPr>
        <w:adjustRightInd w:val="0"/>
        <w:snapToGrid w:val="0"/>
        <w:spacing w:line="276" w:lineRule="auto"/>
        <w:rPr>
          <w:rFonts w:eastAsia="仿宋" w:asciiTheme="minorEastAsia" w:hAnsiTheme="minorEastAsia"/>
          <w:snapToGrid w:val="0"/>
          <w:sz w:val="24"/>
          <w:szCs w:val="24"/>
          <w:lang w:eastAsia="zh-CN"/>
        </w:rPr>
      </w:pP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0" w:name="_bookmark17"/>
      <w:bookmarkEnd w:id="410"/>
      <w:bookmarkStart w:id="411" w:name="_Toc99483749"/>
      <w:bookmarkStart w:id="412" w:name="_Toc28753"/>
      <w:r>
        <w:rPr>
          <w:rFonts w:ascii="仿宋" w:hAnsi="仿宋" w:eastAsia="仿宋"/>
          <w:b/>
          <w:bCs/>
          <w:snapToGrid w:val="0"/>
          <w:sz w:val="32"/>
          <w:szCs w:val="32"/>
          <w:lang w:eastAsia="zh-CN"/>
        </w:rPr>
        <w:t>—、响应函</w:t>
      </w:r>
      <w:bookmarkEnd w:id="411"/>
      <w:bookmarkEnd w:id="412"/>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(采购人名称):</w:t>
      </w:r>
    </w:p>
    <w:p>
      <w:pPr>
        <w:pStyle w:val="79"/>
        <w:numPr>
          <w:ilvl w:val="0"/>
          <w:numId w:val="18"/>
        </w:numPr>
        <w:adjustRightInd w:val="0"/>
        <w:snapToGrid w:val="0"/>
        <w:spacing w:before="240" w:line="276" w:lineRule="auto"/>
        <w:ind w:left="0" w:firstLine="0"/>
        <w:jc w:val="both"/>
        <w:rPr>
          <w:rFonts w:ascii="仿宋" w:hAnsi="仿宋" w:eastAsia="仿宋"/>
          <w:snapToGrid w:val="0"/>
          <w:sz w:val="24"/>
          <w:szCs w:val="24"/>
          <w:lang w:eastAsia="zh-CN"/>
        </w:rPr>
      </w:pPr>
      <w:r>
        <w:rPr>
          <w:rFonts w:ascii="仿宋" w:hAnsi="仿宋" w:eastAsia="仿宋"/>
          <w:snapToGrid w:val="0"/>
          <w:sz w:val="24"/>
          <w:szCs w:val="24"/>
          <w:lang w:eastAsia="zh-CN"/>
        </w:rPr>
        <w:t>我方已仔细研究了</w:t>
      </w:r>
      <w:r>
        <w:rPr>
          <w:rFonts w:hint="eastAsia" w:ascii="仿宋" w:hAnsi="仿宋" w:eastAsia="仿宋"/>
          <w:snapToGrid w:val="0"/>
          <w:sz w:val="24"/>
          <w:szCs w:val="24"/>
          <w:u w:val="single"/>
          <w:lang w:eastAsia="zh-CN"/>
        </w:rPr>
        <w:t xml:space="preserve"> 2023年梁河糖业勐养、芒东工厂新建物资仓库项目</w:t>
      </w:r>
      <w:r>
        <w:rPr>
          <w:rFonts w:hint="eastAsia" w:ascii="仿宋" w:hAnsi="仿宋" w:eastAsia="仿宋"/>
          <w:snapToGrid w:val="0"/>
          <w:sz w:val="24"/>
          <w:szCs w:val="24"/>
          <w:lang w:eastAsia="zh-CN"/>
        </w:rPr>
        <w:t>建设工程施工</w:t>
      </w:r>
      <w:r>
        <w:rPr>
          <w:rFonts w:ascii="仿宋" w:hAnsi="仿宋" w:eastAsia="仿宋"/>
          <w:snapToGrid w:val="0"/>
          <w:sz w:val="24"/>
          <w:szCs w:val="24"/>
          <w:lang w:eastAsia="zh-CN"/>
        </w:rPr>
        <w:t>采购文件的全部内容，愿意以含税价人民币(大写)</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r>
        <w:rPr>
          <w:rFonts w:ascii="Calibri" w:hAnsi="Calibri" w:eastAsia="仿宋" w:cs="Calibri"/>
          <w:snapToGrid w:val="0"/>
          <w:sz w:val="24"/>
          <w:szCs w:val="24"/>
          <w:lang w:eastAsia="zh-CN"/>
        </w:rPr>
        <w:t>¥</w:t>
      </w:r>
      <w:r>
        <w:rPr>
          <w:rFonts w:ascii="仿宋" w:hAnsi="仿宋" w:eastAsia="仿宋"/>
          <w:snapToGrid w:val="0"/>
          <w:sz w:val="24"/>
          <w:szCs w:val="24"/>
          <w:lang w:eastAsia="zh-CN"/>
        </w:rPr>
        <w:t>)</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)完成/提供本项目工</w:t>
      </w:r>
      <w:r>
        <w:rPr>
          <w:rFonts w:hint="eastAsia" w:ascii="仿宋" w:hAnsi="仿宋" w:eastAsia="仿宋"/>
          <w:snapToGrid w:val="0"/>
          <w:sz w:val="24"/>
          <w:szCs w:val="24"/>
          <w:lang w:eastAsia="zh-CN"/>
        </w:rPr>
        <w:t>程</w:t>
      </w:r>
      <w:r>
        <w:rPr>
          <w:rFonts w:ascii="仿宋" w:hAnsi="仿宋" w:eastAsia="仿宋"/>
          <w:snapToGrid w:val="0"/>
          <w:sz w:val="24"/>
          <w:szCs w:val="24"/>
          <w:lang w:eastAsia="zh-CN"/>
        </w:rPr>
        <w:t>，并按合同约定履行义务。</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我方的响应文件包括下列内容：</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响应函；</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授权委托书(如有)；</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联合体协议书(如有);</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响应保证金(如有)；</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商务和技术偏差表；</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报价表；</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资格审查资料；</w:t>
      </w:r>
    </w:p>
    <w:p>
      <w:pPr>
        <w:pStyle w:val="79"/>
        <w:numPr>
          <w:ilvl w:val="0"/>
          <w:numId w:val="19"/>
        </w:numPr>
        <w:adjustRightInd w:val="0"/>
        <w:snapToGrid w:val="0"/>
        <w:spacing w:line="276" w:lineRule="auto"/>
        <w:ind w:left="0" w:firstLine="0"/>
        <w:rPr>
          <w:rFonts w:ascii="仿宋" w:hAnsi="仿宋" w:eastAsia="仿宋"/>
          <w:snapToGrid w:val="0"/>
          <w:sz w:val="24"/>
          <w:szCs w:val="24"/>
        </w:rPr>
      </w:pPr>
      <w:r>
        <w:rPr>
          <w:rFonts w:ascii="仿宋" w:hAnsi="仿宋" w:eastAsia="仿宋"/>
          <w:snapToGrid w:val="0"/>
          <w:sz w:val="24"/>
          <w:szCs w:val="24"/>
        </w:rPr>
        <w:t>响应方案；</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w:t>
      </w: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响应文件的上述组成部分如存在内容不一致的，以响应函为准。</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我方承诺在采购文件规定的响应文件有效期内不撤销响应文件。</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如我方成交，我方承诺：</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在收到成交通知书后，在成交通知书规定的期限内与你方签订合同；</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在签订合同时不向你方提出附加条件；</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按照采购文件要求递交履约保证金；</w:t>
      </w:r>
    </w:p>
    <w:p>
      <w:pPr>
        <w:pStyle w:val="79"/>
        <w:numPr>
          <w:ilvl w:val="0"/>
          <w:numId w:val="3"/>
        </w:numPr>
        <w:adjustRightInd w:val="0"/>
        <w:snapToGrid w:val="0"/>
        <w:spacing w:line="276" w:lineRule="auto"/>
        <w:ind w:left="0" w:firstLine="0"/>
        <w:rPr>
          <w:rFonts w:ascii="仿宋" w:hAnsi="仿宋" w:eastAsia="仿宋"/>
          <w:snapToGrid w:val="0"/>
          <w:sz w:val="24"/>
          <w:szCs w:val="24"/>
          <w:lang w:eastAsia="zh-CN"/>
        </w:rPr>
      </w:pPr>
      <w:r>
        <w:rPr>
          <w:rFonts w:ascii="仿宋" w:hAnsi="仿宋" w:eastAsia="仿宋"/>
          <w:snapToGrid w:val="0"/>
          <w:sz w:val="24"/>
          <w:szCs w:val="24"/>
          <w:lang w:eastAsia="zh-CN"/>
        </w:rPr>
        <w:t>在合同约定的期限内完成合同规定的全部义务。</w:t>
      </w:r>
    </w:p>
    <w:p>
      <w:pPr>
        <w:pStyle w:val="79"/>
        <w:numPr>
          <w:ilvl w:val="0"/>
          <w:numId w:val="18"/>
        </w:numPr>
        <w:adjustRightInd w:val="0"/>
        <w:snapToGrid w:val="0"/>
        <w:spacing w:line="276" w:lineRule="auto"/>
        <w:ind w:left="0" w:firstLine="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我方在此声明，所递交的响应文件及有关资料内容完整、真实和准确，且不存在第一章“谈判采购公告/谈判采购邀请书”中规定的供应商不得存在的情形。</w:t>
      </w:r>
    </w:p>
    <w:p>
      <w:pPr>
        <w:pStyle w:val="79"/>
        <w:numPr>
          <w:ilvl w:val="0"/>
          <w:numId w:val="18"/>
        </w:numPr>
        <w:adjustRightInd w:val="0"/>
        <w:snapToGrid w:val="0"/>
        <w:spacing w:line="276" w:lineRule="auto"/>
        <w:ind w:left="0" w:firstLine="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rPr>
        <w:t>。</w:t>
      </w:r>
    </w:p>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供</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应</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商：</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w:t>
      </w:r>
      <w:r>
        <w:rPr>
          <w:rFonts w:ascii="仿宋" w:hAnsi="仿宋" w:eastAsia="仿宋"/>
          <w:snapToGrid w:val="0"/>
          <w:sz w:val="24"/>
          <w:szCs w:val="24"/>
          <w:u w:val="single"/>
          <w:lang w:eastAsia="zh-CN"/>
        </w:rPr>
        <w:t>盖单位公章)</w:t>
      </w:r>
    </w:p>
    <w:p>
      <w:pPr>
        <w:pStyle w:val="17"/>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adjustRightInd w:val="0"/>
        <w:snapToGrid w:val="0"/>
        <w:spacing w:line="276" w:lineRule="auto"/>
        <w:ind w:left="2977" w:leftChars="1353"/>
        <w:rPr>
          <w:rFonts w:ascii="仿宋" w:hAnsi="仿宋" w:eastAsia="仿宋"/>
          <w:snapToGrid w:val="0"/>
          <w:sz w:val="24"/>
          <w:szCs w:val="24"/>
          <w:u w:val="single"/>
          <w:lang w:eastAsia="zh-CN"/>
        </w:rPr>
      </w:pPr>
      <w:r>
        <w:rPr>
          <w:rFonts w:ascii="仿宋" w:hAnsi="仿宋" w:eastAsia="仿宋"/>
          <w:snapToGrid w:val="0"/>
          <w:sz w:val="24"/>
          <w:szCs w:val="24"/>
          <w:lang w:eastAsia="zh-CN"/>
        </w:rPr>
        <w:t>地    址：</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电子邮箱：</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传</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真：</w:t>
      </w:r>
      <w:r>
        <w:rPr>
          <w:rFonts w:ascii="仿宋" w:hAnsi="仿宋" w:eastAsia="仿宋"/>
          <w:snapToGrid w:val="0"/>
          <w:sz w:val="24"/>
          <w:szCs w:val="24"/>
          <w:u w:val="single"/>
          <w:lang w:eastAsia="zh-CN"/>
        </w:rPr>
        <w:t xml:space="preserve">                                            </w:t>
      </w:r>
    </w:p>
    <w:p>
      <w:pPr>
        <w:adjustRightInd w:val="0"/>
        <w:snapToGrid w:val="0"/>
        <w:spacing w:line="276" w:lineRule="auto"/>
        <w:ind w:left="2977" w:leftChars="1353"/>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cs="Times New Roman"/>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bookmarkStart w:id="413" w:name="扫描0052"/>
      <w:bookmarkEnd w:id="413"/>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4" w:name="_Toc19909"/>
      <w:bookmarkStart w:id="415" w:name="_Toc99483750"/>
      <w:r>
        <w:rPr>
          <w:rFonts w:ascii="仿宋" w:hAnsi="仿宋" w:eastAsia="仿宋"/>
          <w:b/>
          <w:bCs/>
          <w:snapToGrid w:val="0"/>
          <w:sz w:val="32"/>
          <w:szCs w:val="32"/>
          <w:lang w:eastAsia="zh-CN"/>
        </w:rPr>
        <w:t>二、授权委托书</w:t>
      </w:r>
      <w:bookmarkEnd w:id="414"/>
      <w:bookmarkEnd w:id="415"/>
    </w:p>
    <w:p>
      <w:pPr>
        <w:pStyle w:val="7"/>
        <w:adjustRightInd w:val="0"/>
        <w:snapToGrid w:val="0"/>
        <w:spacing w:line="276" w:lineRule="auto"/>
        <w:ind w:left="0" w:leftChars="0" w:firstLine="0"/>
        <w:jc w:val="center"/>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pStyle w:val="17"/>
        <w:adjustRightInd w:val="0"/>
        <w:snapToGrid w:val="0"/>
        <w:spacing w:line="276" w:lineRule="auto"/>
        <w:rPr>
          <w:rFonts w:ascii="仿宋" w:hAnsi="仿宋" w:eastAsia="仿宋"/>
          <w:b/>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系</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的法定代表人（单位负责人），现委托</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（姓名）</w:t>
      </w:r>
      <w:r>
        <w:rPr>
          <w:rFonts w:ascii="仿宋" w:hAnsi="仿宋" w:eastAsia="仿宋"/>
          <w:snapToGrid w:val="0"/>
          <w:sz w:val="24"/>
          <w:szCs w:val="24"/>
          <w:lang w:eastAsia="zh-CN"/>
        </w:rPr>
        <w:t>为我方代理人。代理人根据授权，以我方名义签署、澄清确认、递交、撤回、修改谈判采购项目响应文件、签订合同和处理有关事宜，其法律后果由我方承担。</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委托期限：自本委托书签署之日起至</w:t>
      </w:r>
      <w:r>
        <w:rPr>
          <w:rFonts w:hint="eastAsia" w:ascii="仿宋" w:hAnsi="仿宋" w:eastAsia="仿宋"/>
          <w:snapToGrid w:val="0"/>
          <w:sz w:val="24"/>
          <w:szCs w:val="24"/>
          <w:lang w:eastAsia="zh-CN"/>
        </w:rPr>
        <w:t>合同</w:t>
      </w:r>
      <w:r>
        <w:rPr>
          <w:rFonts w:hint="eastAsia" w:ascii="仿宋" w:hAnsi="仿宋" w:eastAsia="仿宋"/>
          <w:snapToGrid w:val="0"/>
          <w:sz w:val="24"/>
          <w:szCs w:val="24"/>
          <w:lang w:val="en-US" w:eastAsia="zh-CN"/>
        </w:rPr>
        <w:t>履约完成</w:t>
      </w:r>
      <w:r>
        <w:rPr>
          <w:rFonts w:ascii="仿宋" w:hAnsi="仿宋" w:eastAsia="仿宋"/>
          <w:snapToGrid w:val="0"/>
          <w:sz w:val="24"/>
          <w:szCs w:val="24"/>
          <w:lang w:eastAsia="zh-CN"/>
        </w:rPr>
        <w:t>之日止。</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代理人无转委托权。</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附：法定代表人（单位负责人）身份证复印件及委托代理人身份证复印件。</w:t>
      </w: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480"/>
        <w:rPr>
          <w:rFonts w:ascii="仿宋" w:hAnsi="仿宋" w:eastAsia="仿宋"/>
          <w:snapToGrid w:val="0"/>
          <w:sz w:val="24"/>
          <w:szCs w:val="24"/>
          <w:lang w:eastAsia="zh-CN"/>
        </w:rPr>
      </w:pP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供应商：</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 xml:space="preserve">委托代理人： </w:t>
      </w:r>
      <w:r>
        <w:rPr>
          <w:rFonts w:ascii="仿宋" w:hAnsi="仿宋" w:eastAsia="仿宋"/>
          <w:snapToGrid w:val="0"/>
          <w:sz w:val="24"/>
          <w:szCs w:val="24"/>
          <w:u w:val="single"/>
          <w:lang w:eastAsia="zh-CN"/>
        </w:rPr>
        <w:t xml:space="preserve">                        （签字）</w:t>
      </w:r>
    </w:p>
    <w:p>
      <w:pPr>
        <w:adjustRightInd w:val="0"/>
        <w:snapToGrid w:val="0"/>
        <w:spacing w:line="276" w:lineRule="auto"/>
        <w:ind w:firstLine="3686"/>
        <w:rPr>
          <w:rFonts w:ascii="仿宋" w:hAnsi="仿宋" w:eastAsia="仿宋"/>
          <w:snapToGrid w:val="0"/>
          <w:sz w:val="24"/>
          <w:szCs w:val="24"/>
          <w:lang w:eastAsia="zh-CN"/>
        </w:rPr>
      </w:pPr>
      <w:r>
        <w:rPr>
          <w:rFonts w:ascii="仿宋" w:hAnsi="仿宋" w:eastAsia="仿宋"/>
          <w:snapToGrid w:val="0"/>
          <w:sz w:val="24"/>
          <w:szCs w:val="24"/>
          <w:lang w:eastAsia="zh-CN"/>
        </w:rPr>
        <w:t>身份证号码：</w:t>
      </w:r>
      <w:r>
        <w:rPr>
          <w:rFonts w:ascii="仿宋" w:hAnsi="仿宋" w:eastAsia="仿宋"/>
          <w:snapToGrid w:val="0"/>
          <w:sz w:val="24"/>
          <w:szCs w:val="24"/>
          <w:u w:val="single"/>
          <w:lang w:eastAsia="zh-CN"/>
        </w:rPr>
        <w:t xml:space="preserve">                                 </w:t>
      </w:r>
    </w:p>
    <w:p>
      <w:pPr>
        <w:pStyle w:val="17"/>
        <w:wordWrap w:val="0"/>
        <w:adjustRightInd w:val="0"/>
        <w:snapToGrid w:val="0"/>
        <w:spacing w:line="276" w:lineRule="auto"/>
        <w:jc w:val="right"/>
        <w:rPr>
          <w:rFonts w:ascii="仿宋" w:hAnsi="仿宋" w:eastAsia="仿宋"/>
          <w:snapToGrid w:val="0"/>
          <w:sz w:val="24"/>
          <w:szCs w:val="24"/>
          <w:u w:val="single"/>
          <w:lang w:eastAsia="zh-CN"/>
        </w:rPr>
      </w:pPr>
      <w:bookmarkStart w:id="416" w:name="扫描0053"/>
      <w:bookmarkEnd w:id="416"/>
    </w:p>
    <w:p>
      <w:pPr>
        <w:pStyle w:val="17"/>
        <w:adjustRightInd w:val="0"/>
        <w:snapToGrid w:val="0"/>
        <w:spacing w:line="276" w:lineRule="auto"/>
        <w:jc w:val="right"/>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17" w:name="_Toc6595"/>
      <w:bookmarkStart w:id="418" w:name="_Toc99483751"/>
      <w:r>
        <w:rPr>
          <w:rFonts w:ascii="仿宋" w:hAnsi="仿宋" w:eastAsia="仿宋"/>
          <w:b/>
          <w:bCs/>
          <w:snapToGrid w:val="0"/>
          <w:sz w:val="32"/>
          <w:szCs w:val="32"/>
          <w:lang w:eastAsia="zh-CN"/>
        </w:rPr>
        <w:t>三、联合体协议书</w:t>
      </w:r>
      <w:bookmarkEnd w:id="417"/>
      <w:bookmarkEnd w:id="418"/>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（适用于供应商组成联合体的情况）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jc w:val="both"/>
        <w:rPr>
          <w:rFonts w:ascii="仿宋" w:hAnsi="仿宋" w:eastAsia="仿宋"/>
          <w:snapToGrid w:val="0"/>
          <w:sz w:val="24"/>
          <w:szCs w:val="24"/>
          <w:lang w:eastAsia="zh-CN"/>
        </w:rPr>
      </w:pPr>
      <w:r>
        <w:rPr>
          <w:rFonts w:ascii="仿宋" w:hAnsi="仿宋" w:eastAsia="仿宋"/>
          <w:snapToGrid w:val="0"/>
          <w:sz w:val="24"/>
          <w:szCs w:val="24"/>
          <w:lang w:eastAsia="zh-CN"/>
        </w:rPr>
        <w:t>（</w:t>
      </w:r>
      <w:r>
        <w:rPr>
          <w:rFonts w:ascii="仿宋" w:hAnsi="仿宋" w:eastAsia="仿宋"/>
          <w:snapToGrid w:val="0"/>
          <w:sz w:val="24"/>
          <w:szCs w:val="24"/>
          <w:u w:val="single"/>
          <w:lang w:eastAsia="zh-CN"/>
        </w:rPr>
        <w:t>所有成员单位名称）</w:t>
      </w:r>
      <w:r>
        <w:rPr>
          <w:rFonts w:ascii="仿宋" w:hAnsi="仿宋" w:eastAsia="仿宋"/>
          <w:snapToGrid w:val="0"/>
          <w:sz w:val="24"/>
          <w:szCs w:val="24"/>
          <w:lang w:eastAsia="zh-CN"/>
        </w:rPr>
        <w:t>自愿组成</w:t>
      </w:r>
      <w:r>
        <w:rPr>
          <w:rFonts w:ascii="仿宋" w:hAnsi="仿宋" w:eastAsia="仿宋"/>
          <w:snapToGrid w:val="0"/>
          <w:sz w:val="24"/>
          <w:szCs w:val="24"/>
          <w:u w:val="single"/>
          <w:lang w:eastAsia="zh-CN"/>
        </w:rPr>
        <w:t>（联合体名称）</w:t>
      </w:r>
      <w:r>
        <w:rPr>
          <w:rFonts w:ascii="仿宋" w:hAnsi="仿宋" w:eastAsia="仿宋"/>
          <w:snapToGrid w:val="0"/>
          <w:sz w:val="24"/>
          <w:szCs w:val="24"/>
          <w:lang w:eastAsia="zh-CN"/>
        </w:rPr>
        <w:t>联合体，共同参加</w:t>
      </w:r>
      <w:r>
        <w:rPr>
          <w:rFonts w:hint="eastAsia" w:ascii="仿宋" w:hAnsi="仿宋" w:eastAsia="仿宋"/>
          <w:snapToGrid w:val="0"/>
          <w:sz w:val="24"/>
          <w:szCs w:val="24"/>
          <w:u w:val="single"/>
          <w:lang w:eastAsia="zh-CN"/>
        </w:rPr>
        <w:t>2023年梁河糖业勐养、芒东工厂新建物资仓库项目</w:t>
      </w:r>
      <w:r>
        <w:rPr>
          <w:rFonts w:ascii="仿宋" w:hAnsi="仿宋" w:eastAsia="仿宋"/>
          <w:snapToGrid w:val="0"/>
          <w:sz w:val="24"/>
          <w:szCs w:val="24"/>
          <w:lang w:eastAsia="zh-CN"/>
        </w:rPr>
        <w:t>谈判活动。现就组成联合体事宜订立如下协议。</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（某成员单位名称）为</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（联合体名称）牵头人。</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hint="eastAsia" w:ascii="仿宋" w:hAnsi="仿宋" w:eastAsia="仿宋"/>
          <w:snapToGrid w:val="0"/>
          <w:sz w:val="24"/>
          <w:szCs w:val="24"/>
          <w:lang w:eastAsia="zh-CN"/>
        </w:rPr>
        <w:t>联合体牵头人在本项目中签署的一切文件和处理的一切事宜，联合体各成员均予以承认。联合体各成员将严格按照采购文件、响应文件和合同的要求全面履行义务，并向采购人承担连带责任。</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联合体各方承诺不以自己名义单独或参加其他联合体参与本谈判采购项目。</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联合体各成员单位内部的职责分工如下：</w:t>
      </w:r>
      <w:r>
        <w:rPr>
          <w:rFonts w:ascii="仿宋" w:hAnsi="仿宋" w:eastAsia="仿宋"/>
          <w:snapToGrid w:val="0"/>
          <w:sz w:val="24"/>
          <w:szCs w:val="24"/>
          <w:u w:val="single"/>
          <w:lang w:eastAsia="zh-CN"/>
        </w:rPr>
        <w:t xml:space="preserve">                                     </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本协议书自所有成员单位法定代表人（单位负责人）或其授权的代理人签字并加盖单位公章之日起生效，合同履行完毕后自动失效。</w:t>
      </w:r>
    </w:p>
    <w:p>
      <w:pPr>
        <w:pStyle w:val="79"/>
        <w:numPr>
          <w:ilvl w:val="1"/>
          <w:numId w:val="20"/>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本协议书一式</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份，联合体成员和采购人各执一份。</w:t>
      </w:r>
    </w:p>
    <w:p>
      <w:pPr>
        <w:pStyle w:val="17"/>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（注：本协议书由委托代理人签字的，应附授权委托书。）</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联合体牵头人名称：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ind w:left="2125" w:leftChars="966"/>
        <w:rPr>
          <w:rFonts w:ascii="仿宋" w:hAnsi="仿宋" w:eastAsia="仿宋"/>
          <w:snapToGrid w:val="0"/>
          <w:sz w:val="24"/>
          <w:szCs w:val="24"/>
          <w:lang w:eastAsia="zh-CN"/>
        </w:rPr>
      </w:pP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联合体成员名称：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w:t>
      </w:r>
    </w:p>
    <w:p>
      <w:pPr>
        <w:pStyle w:val="17"/>
        <w:adjustRightInd w:val="0"/>
        <w:snapToGrid w:val="0"/>
        <w:spacing w:line="276" w:lineRule="auto"/>
        <w:ind w:left="2125" w:leftChars="966"/>
        <w:rPr>
          <w:rFonts w:ascii="仿宋" w:hAnsi="仿宋" w:eastAsia="仿宋"/>
          <w:snapToGrid w:val="0"/>
          <w:sz w:val="24"/>
          <w:szCs w:val="24"/>
          <w:lang w:eastAsia="zh-CN"/>
        </w:rPr>
      </w:pPr>
      <w:r>
        <w:rPr>
          <w:rFonts w:ascii="仿宋" w:hAnsi="仿宋" w:eastAsia="仿宋"/>
          <w:snapToGrid w:val="0"/>
          <w:sz w:val="24"/>
          <w:szCs w:val="24"/>
          <w:lang w:eastAsia="zh-CN"/>
        </w:rPr>
        <w:t>法定代表人（单位负责人）或其授权的代理人：</w:t>
      </w:r>
      <w:r>
        <w:rPr>
          <w:rFonts w:ascii="仿宋" w:hAnsi="仿宋" w:eastAsia="仿宋"/>
          <w:snapToGrid w:val="0"/>
          <w:sz w:val="24"/>
          <w:szCs w:val="24"/>
          <w:u w:val="single"/>
          <w:lang w:eastAsia="zh-CN"/>
        </w:rPr>
        <w:t xml:space="preserve">         （签字）</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19" w:name="扫描0054"/>
      <w:bookmarkEnd w:id="419"/>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20" w:name="_Toc12840"/>
      <w:bookmarkStart w:id="421" w:name="_Toc99483752"/>
      <w:r>
        <w:rPr>
          <w:rFonts w:ascii="仿宋" w:hAnsi="仿宋" w:eastAsia="仿宋"/>
          <w:b/>
          <w:bCs/>
          <w:snapToGrid w:val="0"/>
          <w:sz w:val="32"/>
          <w:szCs w:val="32"/>
          <w:lang w:eastAsia="zh-CN"/>
        </w:rPr>
        <w:t>四、响应保证金</w:t>
      </w:r>
      <w:bookmarkEnd w:id="420"/>
      <w:bookmarkEnd w:id="421"/>
    </w:p>
    <w:p>
      <w:pPr>
        <w:pStyle w:val="17"/>
        <w:adjustRightInd w:val="0"/>
        <w:snapToGrid w:val="0"/>
        <w:spacing w:line="276" w:lineRule="auto"/>
        <w:jc w:val="center"/>
        <w:rPr>
          <w:rFonts w:ascii="仿宋" w:hAnsi="仿宋" w:eastAsia="仿宋"/>
          <w:snapToGrid w:val="0"/>
          <w:sz w:val="24"/>
          <w:szCs w:val="24"/>
          <w:lang w:eastAsia="zh-CN"/>
        </w:rPr>
      </w:pPr>
      <w:r>
        <w:rPr>
          <w:rFonts w:ascii="仿宋" w:hAnsi="仿宋" w:eastAsia="仿宋"/>
          <w:snapToGrid w:val="0"/>
          <w:sz w:val="24"/>
          <w:szCs w:val="24"/>
          <w:lang w:eastAsia="zh-CN"/>
        </w:rPr>
        <w:t>（适用于递交响应保证金的情况）</w:t>
      </w:r>
    </w:p>
    <w:p>
      <w:pPr>
        <w:pStyle w:val="17"/>
        <w:adjustRightInd w:val="0"/>
        <w:snapToGrid w:val="0"/>
        <w:spacing w:line="276" w:lineRule="auto"/>
        <w:rPr>
          <w:rFonts w:ascii="仿宋" w:hAnsi="仿宋" w:eastAsia="仿宋"/>
          <w:snapToGrid w:val="0"/>
          <w:sz w:val="24"/>
          <w:szCs w:val="24"/>
          <w:lang w:eastAsia="zh-CN"/>
        </w:rPr>
      </w:pP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采用转账方式的，供应商应在此提供转账凭证复印件。</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采用支票、汇票等方式的，供应商应在此提供支票、汇票等的复印件 原件应单独递交。</w:t>
      </w:r>
    </w:p>
    <w:p>
      <w:pPr>
        <w:pStyle w:val="79"/>
        <w:numPr>
          <w:ilvl w:val="0"/>
          <w:numId w:val="2"/>
        </w:numPr>
        <w:adjustRightInd w:val="0"/>
        <w:snapToGrid w:val="0"/>
        <w:spacing w:line="276" w:lineRule="auto"/>
        <w:ind w:left="0" w:firstLine="480"/>
        <w:rPr>
          <w:rFonts w:ascii="仿宋" w:hAnsi="仿宋" w:eastAsia="仿宋"/>
          <w:snapToGrid w:val="0"/>
          <w:sz w:val="24"/>
          <w:szCs w:val="24"/>
          <w:lang w:eastAsia="zh-CN"/>
        </w:rPr>
      </w:pPr>
      <w:r>
        <w:rPr>
          <w:rFonts w:ascii="仿宋" w:hAnsi="仿宋" w:eastAsia="仿宋"/>
          <w:snapToGrid w:val="0"/>
          <w:sz w:val="24"/>
          <w:szCs w:val="24"/>
          <w:lang w:eastAsia="zh-CN"/>
        </w:rPr>
        <w:t>采用银行或担保机构担保函方式的，格式如下：</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u w:val="single"/>
          <w:lang w:eastAsia="zh-CN"/>
        </w:rPr>
        <w:t>（采购人名称）</w:t>
      </w:r>
      <w:r>
        <w:rPr>
          <w:rFonts w:ascii="仿宋" w:hAnsi="仿宋" w:eastAsia="仿宋"/>
          <w:snapToGrid w:val="0"/>
          <w:sz w:val="24"/>
          <w:szCs w:val="24"/>
          <w:lang w:eastAsia="zh-CN"/>
        </w:rPr>
        <w:t>:</w:t>
      </w:r>
    </w:p>
    <w:p>
      <w:pPr>
        <w:spacing w:line="276" w:lineRule="auto"/>
        <w:rPr>
          <w:rFonts w:ascii="仿宋" w:hAnsi="仿宋" w:eastAsia="仿宋"/>
          <w:snapToGrid w:val="0"/>
          <w:sz w:val="24"/>
          <w:szCs w:val="24"/>
          <w:lang w:eastAsia="zh-CN"/>
        </w:rPr>
      </w:pP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鉴于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（供应商名称）</w:t>
      </w:r>
      <w:r>
        <w:rPr>
          <w:rFonts w:ascii="仿宋" w:hAnsi="仿宋" w:eastAsia="仿宋"/>
          <w:snapToGrid w:val="0"/>
          <w:sz w:val="24"/>
          <w:szCs w:val="24"/>
          <w:lang w:eastAsia="zh-CN"/>
        </w:rPr>
        <w:t>（以下称“供应商</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）于</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日参加</w:t>
      </w:r>
      <w:r>
        <w:rPr>
          <w:rFonts w:hint="eastAsia" w:ascii="仿宋" w:hAnsi="仿宋" w:eastAsia="仿宋"/>
          <w:snapToGrid w:val="0"/>
          <w:sz w:val="24"/>
          <w:szCs w:val="24"/>
          <w:u w:val="single"/>
          <w:lang w:eastAsia="zh-CN"/>
        </w:rPr>
        <w:t xml:space="preserve"> 2023年梁河糖业勐养、芒东工厂新建物资仓库项目</w:t>
      </w:r>
      <w:r>
        <w:rPr>
          <w:rFonts w:ascii="仿宋" w:hAnsi="仿宋" w:eastAsia="仿宋"/>
          <w:snapToGrid w:val="0"/>
          <w:sz w:val="24"/>
          <w:szCs w:val="24"/>
          <w:lang w:eastAsia="zh-CN"/>
        </w:rPr>
        <w:t>谈判采购活动，</w:t>
      </w:r>
      <w:r>
        <w:rPr>
          <w:rFonts w:ascii="仿宋" w:hAnsi="仿宋" w:eastAsia="仿宋"/>
          <w:snapToGrid w:val="0"/>
          <w:sz w:val="24"/>
          <w:szCs w:val="24"/>
          <w:u w:val="single"/>
          <w:lang w:eastAsia="zh-CN"/>
        </w:rPr>
        <w:t xml:space="preserve">               （担保人名称）</w:t>
      </w:r>
      <w:r>
        <w:rPr>
          <w:rFonts w:ascii="仿宋" w:hAnsi="仿宋" w:eastAsia="仿宋"/>
          <w:snapToGrid w:val="0"/>
          <w:sz w:val="24"/>
          <w:szCs w:val="24"/>
          <w:lang w:eastAsia="zh-CN"/>
        </w:rPr>
        <w:t>（以下称“我方”）无条件地、不可撤销地保证：若供应商在响应文件有效期内撤销响应文件，或成交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7日内向你方无条件支付人民币（大写）</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w:t>
      </w:r>
    </w:p>
    <w:p>
      <w:pPr>
        <w:pStyle w:val="17"/>
        <w:adjustRightInd w:val="0"/>
        <w:snapToGrid w:val="0"/>
        <w:spacing w:line="360"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本保函在响应文件有效期内保持有效。要求我方承担保证责任的通知应在响应文件有效期内送达我方。</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394" w:firstLineChars="1831"/>
        <w:rPr>
          <w:rFonts w:ascii="仿宋" w:hAnsi="仿宋" w:eastAsia="仿宋"/>
          <w:snapToGrid w:val="0"/>
          <w:sz w:val="24"/>
          <w:szCs w:val="24"/>
          <w:u w:val="single"/>
          <w:lang w:eastAsia="zh-CN"/>
        </w:rPr>
      </w:pPr>
      <w:r>
        <w:rPr>
          <w:rFonts w:ascii="仿宋" w:hAnsi="仿宋" w:eastAsia="仿宋"/>
          <w:snapToGrid w:val="0"/>
          <w:sz w:val="24"/>
          <w:szCs w:val="24"/>
          <w:lang w:eastAsia="zh-CN"/>
        </w:rPr>
        <w:t>担保人名称：</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（盖单位公章）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地</w:t>
      </w:r>
      <w:r>
        <w:rPr>
          <w:rFonts w:hint="eastAsia" w:ascii="仿宋" w:hAnsi="仿宋" w:eastAsia="仿宋"/>
          <w:snapToGrid w:val="0"/>
          <w:sz w:val="24"/>
          <w:szCs w:val="24"/>
          <w:lang w:eastAsia="zh-CN"/>
        </w:rPr>
        <w:t xml:space="preserve"> </w:t>
      </w:r>
      <w:r>
        <w:rPr>
          <w:rFonts w:ascii="仿宋" w:hAnsi="仿宋" w:eastAsia="仿宋"/>
          <w:snapToGrid w:val="0"/>
          <w:sz w:val="24"/>
          <w:szCs w:val="24"/>
          <w:lang w:eastAsia="zh-CN"/>
        </w:rPr>
        <w:t xml:space="preserve">   址：</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邮政编码：</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ind w:firstLine="4394" w:firstLineChars="1831"/>
        <w:rPr>
          <w:rFonts w:ascii="仿宋" w:hAnsi="仿宋" w:eastAsia="仿宋"/>
          <w:snapToGrid w:val="0"/>
          <w:sz w:val="24"/>
          <w:szCs w:val="24"/>
          <w:lang w:eastAsia="zh-CN"/>
        </w:rPr>
      </w:pPr>
      <w:r>
        <w:rPr>
          <w:rFonts w:ascii="仿宋" w:hAnsi="仿宋" w:eastAsia="仿宋"/>
          <w:snapToGrid w:val="0"/>
          <w:sz w:val="24"/>
          <w:szCs w:val="24"/>
          <w:lang w:eastAsia="zh-CN"/>
        </w:rPr>
        <w:t>电    话：</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jc w:val="right"/>
        <w:rPr>
          <w:rFonts w:ascii="仿宋" w:hAnsi="仿宋" w:eastAsia="仿宋"/>
          <w:snapToGrid w:val="0"/>
          <w:sz w:val="24"/>
          <w:szCs w:val="24"/>
          <w:lang w:eastAsia="zh-CN"/>
        </w:rPr>
      </w:pPr>
      <w:bookmarkStart w:id="422" w:name="扫描0055"/>
      <w:bookmarkEnd w:id="422"/>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年</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ascii="仿宋" w:hAnsi="仿宋" w:eastAsia="仿宋"/>
          <w:snapToGrid w:val="0"/>
          <w:sz w:val="24"/>
          <w:szCs w:val="24"/>
          <w:lang w:eastAsia="zh-CN"/>
        </w:rPr>
        <w:t>月</w:t>
      </w:r>
      <w:r>
        <w:rPr>
          <w:rFonts w:hint="eastAsia" w:ascii="仿宋" w:hAnsi="仿宋" w:eastAsia="仿宋"/>
          <w:snapToGrid w:val="0"/>
          <w:sz w:val="24"/>
          <w:szCs w:val="24"/>
          <w:u w:val="single"/>
          <w:lang w:eastAsia="zh-CN"/>
        </w:rPr>
        <w:t xml:space="preserve"> </w:t>
      </w:r>
      <w:r>
        <w:rPr>
          <w:rFonts w:ascii="仿宋" w:hAnsi="仿宋" w:eastAsia="仿宋"/>
          <w:snapToGrid w:val="0"/>
          <w:sz w:val="24"/>
          <w:szCs w:val="24"/>
          <w:u w:val="single"/>
          <w:lang w:eastAsia="zh-CN"/>
        </w:rPr>
        <w:t xml:space="preserve">  </w:t>
      </w:r>
      <w:r>
        <w:rPr>
          <w:rFonts w:hint="eastAsia" w:ascii="仿宋" w:hAnsi="仿宋" w:eastAsia="仿宋"/>
          <w:snapToGrid w:val="0"/>
          <w:sz w:val="24"/>
          <w:szCs w:val="24"/>
          <w:lang w:eastAsia="zh-CN"/>
        </w:rPr>
        <w:t>日</w:t>
      </w:r>
    </w:p>
    <w:p>
      <w:pPr>
        <w:spacing w:line="276" w:lineRule="auto"/>
        <w:rPr>
          <w:rFonts w:ascii="仿宋" w:hAnsi="仿宋" w:eastAsia="仿宋" w:cs="Times New Roman"/>
          <w:snapToGrid w:val="0"/>
          <w:sz w:val="24"/>
          <w:szCs w:val="24"/>
          <w:lang w:eastAsia="zh-CN"/>
        </w:rPr>
      </w:pPr>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pStyle w:val="3"/>
        <w:spacing w:line="276" w:lineRule="auto"/>
        <w:jc w:val="center"/>
        <w:rPr>
          <w:rFonts w:ascii="仿宋" w:hAnsi="仿宋" w:eastAsia="仿宋"/>
          <w:b/>
          <w:bCs/>
          <w:snapToGrid w:val="0"/>
          <w:sz w:val="32"/>
          <w:szCs w:val="32"/>
          <w:lang w:eastAsia="zh-CN"/>
        </w:rPr>
      </w:pPr>
      <w:bookmarkStart w:id="423" w:name="_bookmark18"/>
      <w:bookmarkEnd w:id="423"/>
      <w:bookmarkStart w:id="424" w:name="_Toc14224"/>
      <w:bookmarkStart w:id="425" w:name="_Toc99483753"/>
      <w:r>
        <w:rPr>
          <w:rFonts w:ascii="仿宋" w:hAnsi="仿宋" w:eastAsia="仿宋"/>
          <w:b/>
          <w:bCs/>
          <w:snapToGrid w:val="0"/>
          <w:sz w:val="32"/>
          <w:szCs w:val="32"/>
          <w:lang w:eastAsia="zh-CN"/>
        </w:rPr>
        <w:t>五、商务和技术偏差表</w:t>
      </w:r>
      <w:bookmarkEnd w:id="424"/>
      <w:bookmarkEnd w:id="425"/>
    </w:p>
    <w:p>
      <w:pPr>
        <w:pStyle w:val="17"/>
        <w:adjustRightInd w:val="0"/>
        <w:snapToGrid w:val="0"/>
        <w:spacing w:line="276" w:lineRule="auto"/>
        <w:rPr>
          <w:rFonts w:ascii="仿宋" w:hAnsi="仿宋" w:eastAsia="仿宋"/>
          <w:snapToGrid w:val="0"/>
          <w:sz w:val="24"/>
          <w:szCs w:val="24"/>
          <w:lang w:eastAsia="zh-CN"/>
        </w:rPr>
      </w:pP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序号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采购文件章节及条款号</w:t>
            </w:r>
          </w:p>
        </w:tc>
        <w:tc>
          <w:tcPr>
            <w:tcW w:w="3120" w:type="dxa"/>
            <w:vAlign w:val="center"/>
          </w:tcPr>
          <w:p>
            <w:pPr>
              <w:pStyle w:val="80"/>
              <w:adjustRightInd w:val="0"/>
              <w:spacing w:line="276" w:lineRule="auto"/>
              <w:rPr>
                <w:rFonts w:ascii="仿宋" w:hAnsi="仿宋" w:eastAsia="仿宋"/>
                <w:snapToGrid w:val="0"/>
                <w:sz w:val="24"/>
                <w:szCs w:val="24"/>
                <w:lang w:eastAsia="zh-CN"/>
              </w:rPr>
            </w:pPr>
            <w:r>
              <w:rPr>
                <w:rFonts w:ascii="仿宋" w:hAnsi="仿宋" w:eastAsia="仿宋"/>
                <w:snapToGrid w:val="0"/>
                <w:sz w:val="24"/>
                <w:szCs w:val="24"/>
                <w:lang w:eastAsia="zh-CN"/>
              </w:rPr>
              <w:t>响应文件章节及条款号</w:t>
            </w:r>
          </w:p>
        </w:tc>
        <w:tc>
          <w:tcPr>
            <w:tcW w:w="1718"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1</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2</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3</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4</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5</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pStyle w:val="80"/>
              <w:adjustRightInd w:val="0"/>
              <w:spacing w:line="276" w:lineRule="auto"/>
              <w:rPr>
                <w:rFonts w:ascii="仿宋" w:hAnsi="仿宋" w:eastAsia="仿宋"/>
                <w:snapToGrid w:val="0"/>
                <w:sz w:val="24"/>
                <w:szCs w:val="24"/>
              </w:rPr>
            </w:pPr>
            <w:r>
              <w:rPr>
                <w:rFonts w:ascii="仿宋" w:hAnsi="仿宋" w:eastAsia="仿宋"/>
                <w:snapToGrid w:val="0"/>
                <w:sz w:val="24"/>
                <w:szCs w:val="24"/>
              </w:rPr>
              <w:t>……</w:t>
            </w:r>
          </w:p>
        </w:tc>
        <w:tc>
          <w:tcPr>
            <w:tcW w:w="3120" w:type="dxa"/>
            <w:vAlign w:val="center"/>
          </w:tcPr>
          <w:p>
            <w:pPr>
              <w:pStyle w:val="80"/>
              <w:adjustRightInd w:val="0"/>
              <w:spacing w:line="276" w:lineRule="auto"/>
              <w:rPr>
                <w:rFonts w:ascii="仿宋" w:hAnsi="仿宋" w:eastAsia="仿宋"/>
                <w:snapToGrid w:val="0"/>
                <w:sz w:val="24"/>
                <w:szCs w:val="24"/>
              </w:rPr>
            </w:pPr>
          </w:p>
        </w:tc>
        <w:tc>
          <w:tcPr>
            <w:tcW w:w="3120" w:type="dxa"/>
            <w:vAlign w:val="center"/>
          </w:tcPr>
          <w:p>
            <w:pPr>
              <w:pStyle w:val="80"/>
              <w:adjustRightInd w:val="0"/>
              <w:spacing w:line="276" w:lineRule="auto"/>
              <w:rPr>
                <w:rFonts w:ascii="仿宋" w:hAnsi="仿宋" w:eastAsia="仿宋"/>
                <w:snapToGrid w:val="0"/>
                <w:sz w:val="24"/>
                <w:szCs w:val="24"/>
              </w:rPr>
            </w:pPr>
          </w:p>
        </w:tc>
        <w:tc>
          <w:tcPr>
            <w:tcW w:w="1718" w:type="dxa"/>
            <w:vAlign w:val="center"/>
          </w:tcPr>
          <w:p>
            <w:pPr>
              <w:pStyle w:val="80"/>
              <w:adjustRightInd w:val="0"/>
              <w:spacing w:line="276" w:lineRule="auto"/>
              <w:rPr>
                <w:rFonts w:ascii="仿宋" w:hAnsi="仿宋" w:eastAsia="仿宋"/>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供应商保证：除商务和技术偏差表列出的偏差外，供应商响应采购文件的全部要求。</w:t>
      </w:r>
    </w:p>
    <w:p>
      <w:pPr>
        <w:spacing w:line="276" w:lineRule="auto"/>
        <w:rPr>
          <w:rFonts w:ascii="仿宋" w:hAnsi="仿宋" w:eastAsia="仿宋" w:cs="Times New Roman"/>
          <w:snapToGrid w:val="0"/>
          <w:sz w:val="24"/>
          <w:szCs w:val="24"/>
          <w:lang w:eastAsia="zh-CN"/>
        </w:rPr>
      </w:pPr>
      <w:bookmarkStart w:id="426" w:name="扫描0056"/>
      <w:bookmarkEnd w:id="426"/>
      <w:r>
        <w:rPr>
          <w:rFonts w:ascii="仿宋" w:hAnsi="仿宋" w:eastAsia="仿宋" w:cs="Times New Roman"/>
          <w:snapToGrid w:val="0"/>
          <w:sz w:val="24"/>
          <w:szCs w:val="24"/>
          <w:lang w:eastAsia="zh-CN"/>
        </w:rPr>
        <w:br w:type="page"/>
      </w:r>
    </w:p>
    <w:p>
      <w:pPr>
        <w:spacing w:line="276" w:lineRule="auto"/>
        <w:rPr>
          <w:rFonts w:ascii="仿宋" w:hAnsi="仿宋" w:eastAsia="仿宋" w:cs="Times New Roman"/>
          <w:snapToGrid w:val="0"/>
          <w:sz w:val="24"/>
          <w:szCs w:val="24"/>
          <w:lang w:eastAsia="zh-CN"/>
        </w:rPr>
        <w:sectPr>
          <w:footerReference r:id="rId5" w:type="default"/>
          <w:type w:val="nextColumn"/>
          <w:pgSz w:w="12160" w:h="17020"/>
          <w:pgMar w:top="1304" w:right="1304" w:bottom="1304" w:left="1304" w:header="720" w:footer="720" w:gutter="0"/>
          <w:cols w:space="720" w:num="1"/>
          <w:docGrid w:linePitch="299" w:charSpace="0"/>
        </w:sectPr>
      </w:pPr>
      <w:bookmarkStart w:id="427" w:name="扫描0057"/>
      <w:bookmarkEnd w:id="427"/>
    </w:p>
    <w:p>
      <w:pPr>
        <w:adjustRightInd w:val="0"/>
        <w:snapToGrid w:val="0"/>
        <w:spacing w:line="276" w:lineRule="auto"/>
        <w:rPr>
          <w:rFonts w:ascii="仿宋" w:hAnsi="仿宋" w:eastAsia="仿宋"/>
          <w:snapToGrid w:val="0"/>
          <w:sz w:val="24"/>
          <w:szCs w:val="24"/>
          <w:lang w:eastAsia="zh-CN"/>
        </w:rPr>
      </w:pPr>
    </w:p>
    <w:p>
      <w:pPr>
        <w:pStyle w:val="3"/>
        <w:numPr>
          <w:ilvl w:val="0"/>
          <w:numId w:val="21"/>
        </w:numPr>
        <w:spacing w:line="276" w:lineRule="auto"/>
        <w:jc w:val="center"/>
        <w:rPr>
          <w:rFonts w:ascii="仿宋" w:hAnsi="仿宋" w:eastAsia="仿宋"/>
          <w:b/>
          <w:bCs/>
          <w:snapToGrid w:val="0"/>
          <w:sz w:val="32"/>
          <w:szCs w:val="32"/>
          <w:lang w:eastAsia="zh-CN"/>
        </w:rPr>
      </w:pPr>
      <w:bookmarkStart w:id="428" w:name="_Toc12414"/>
      <w:bookmarkStart w:id="429" w:name="_Toc99483754"/>
      <w:r>
        <w:rPr>
          <w:rFonts w:ascii="仿宋" w:hAnsi="仿宋" w:eastAsia="仿宋"/>
          <w:b/>
          <w:bCs/>
          <w:snapToGrid w:val="0"/>
          <w:sz w:val="32"/>
          <w:szCs w:val="32"/>
          <w:lang w:eastAsia="zh-CN"/>
        </w:rPr>
        <w:t>报价表</w:t>
      </w:r>
      <w:bookmarkEnd w:id="428"/>
      <w:bookmarkEnd w:id="429"/>
    </w:p>
    <w:p>
      <w:pPr>
        <w:rPr>
          <w:rFonts w:hint="eastAsia" w:ascii="仿宋" w:hAnsi="仿宋" w:eastAsia="仿宋"/>
          <w:b/>
          <w:bCs/>
          <w:snapToGrid w:val="0"/>
          <w:sz w:val="32"/>
          <w:szCs w:val="32"/>
          <w:lang w:val="en-US" w:eastAsia="zh-CN"/>
        </w:rPr>
      </w:pPr>
      <w:r>
        <w:rPr>
          <w:rFonts w:hint="eastAsia" w:ascii="仿宋" w:hAnsi="仿宋" w:eastAsia="仿宋"/>
          <w:b/>
          <w:bCs/>
          <w:snapToGrid w:val="0"/>
          <w:sz w:val="32"/>
          <w:szCs w:val="32"/>
          <w:lang w:val="en-US" w:eastAsia="zh-CN"/>
        </w:rPr>
        <w:t>项目名称：2023年梁河糖业勐养芒东工新建物资库项目</w:t>
      </w:r>
    </w:p>
    <w:tbl>
      <w:tblPr>
        <w:tblStyle w:val="42"/>
        <w:tblW w:w="9713"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853"/>
        <w:gridCol w:w="2940"/>
        <w:gridCol w:w="720"/>
        <w:gridCol w:w="870"/>
        <w:gridCol w:w="930"/>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40" w:type="dxa"/>
            <w:shd w:val="clear" w:color="auto" w:fill="auto"/>
            <w:vAlign w:val="center"/>
          </w:tcPr>
          <w:p>
            <w:pPr>
              <w:widowControl/>
              <w:jc w:val="center"/>
              <w:rPr>
                <w:rFonts w:eastAsia="仿宋_GB2312"/>
                <w:sz w:val="28"/>
                <w:szCs w:val="28"/>
              </w:rPr>
            </w:pPr>
            <w:r>
              <w:rPr>
                <w:rFonts w:eastAsia="仿宋_GB2312"/>
                <w:sz w:val="28"/>
                <w:szCs w:val="28"/>
              </w:rPr>
              <w:t>序号</w:t>
            </w:r>
          </w:p>
        </w:tc>
        <w:tc>
          <w:tcPr>
            <w:tcW w:w="1853" w:type="dxa"/>
            <w:shd w:val="clear" w:color="auto" w:fill="auto"/>
            <w:vAlign w:val="center"/>
          </w:tcPr>
          <w:p>
            <w:pPr>
              <w:widowControl/>
              <w:jc w:val="center"/>
              <w:rPr>
                <w:rFonts w:eastAsia="仿宋_GB2312"/>
                <w:sz w:val="28"/>
                <w:szCs w:val="28"/>
              </w:rPr>
            </w:pPr>
            <w:r>
              <w:rPr>
                <w:rFonts w:eastAsia="仿宋_GB2312"/>
                <w:sz w:val="28"/>
                <w:szCs w:val="28"/>
              </w:rPr>
              <w:t>项目名称</w:t>
            </w:r>
          </w:p>
        </w:tc>
        <w:tc>
          <w:tcPr>
            <w:tcW w:w="2940" w:type="dxa"/>
            <w:shd w:val="clear" w:color="auto" w:fill="auto"/>
            <w:vAlign w:val="center"/>
          </w:tcPr>
          <w:p>
            <w:pPr>
              <w:widowControl/>
              <w:jc w:val="center"/>
              <w:rPr>
                <w:rFonts w:eastAsia="仿宋_GB2312"/>
                <w:sz w:val="28"/>
                <w:szCs w:val="28"/>
              </w:rPr>
            </w:pPr>
            <w:r>
              <w:rPr>
                <w:rFonts w:eastAsia="仿宋_GB2312"/>
                <w:sz w:val="28"/>
                <w:szCs w:val="28"/>
              </w:rPr>
              <w:t>规格型号</w:t>
            </w:r>
          </w:p>
        </w:tc>
        <w:tc>
          <w:tcPr>
            <w:tcW w:w="720" w:type="dxa"/>
            <w:shd w:val="clear" w:color="auto" w:fill="auto"/>
            <w:vAlign w:val="center"/>
          </w:tcPr>
          <w:p>
            <w:pPr>
              <w:widowControl/>
              <w:jc w:val="center"/>
              <w:rPr>
                <w:rFonts w:eastAsia="仿宋_GB2312"/>
                <w:sz w:val="28"/>
                <w:szCs w:val="28"/>
              </w:rPr>
            </w:pPr>
            <w:r>
              <w:rPr>
                <w:rFonts w:eastAsia="仿宋_GB2312"/>
                <w:sz w:val="28"/>
                <w:szCs w:val="28"/>
              </w:rPr>
              <w:t>单位</w:t>
            </w:r>
          </w:p>
        </w:tc>
        <w:tc>
          <w:tcPr>
            <w:tcW w:w="870" w:type="dxa"/>
            <w:shd w:val="clear" w:color="auto" w:fill="auto"/>
            <w:vAlign w:val="center"/>
          </w:tcPr>
          <w:p>
            <w:pPr>
              <w:widowControl/>
              <w:jc w:val="center"/>
              <w:rPr>
                <w:rFonts w:eastAsia="仿宋_GB2312"/>
                <w:sz w:val="28"/>
                <w:szCs w:val="28"/>
              </w:rPr>
            </w:pPr>
            <w:r>
              <w:rPr>
                <w:rFonts w:eastAsia="仿宋_GB2312"/>
                <w:sz w:val="28"/>
                <w:szCs w:val="28"/>
              </w:rPr>
              <w:t>工程量</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含税单价（元）</w:t>
            </w:r>
          </w:p>
        </w:tc>
        <w:tc>
          <w:tcPr>
            <w:tcW w:w="930" w:type="dxa"/>
            <w:shd w:val="clear" w:color="auto" w:fill="auto"/>
            <w:vAlign w:val="center"/>
          </w:tcPr>
          <w:p>
            <w:pPr>
              <w:widowControl/>
              <w:jc w:val="center"/>
              <w:rPr>
                <w:rFonts w:hint="default" w:eastAsia="仿宋_GB2312"/>
                <w:sz w:val="28"/>
                <w:szCs w:val="28"/>
                <w:lang w:val="en-US" w:eastAsia="zh-CN"/>
              </w:rPr>
            </w:pPr>
            <w:r>
              <w:rPr>
                <w:rFonts w:hint="eastAsia" w:eastAsia="仿宋_GB2312"/>
                <w:sz w:val="28"/>
                <w:szCs w:val="28"/>
                <w:lang w:val="en-US" w:eastAsia="zh-CN"/>
              </w:rPr>
              <w:t>含税合价（元）</w:t>
            </w:r>
          </w:p>
        </w:tc>
        <w:tc>
          <w:tcPr>
            <w:tcW w:w="930" w:type="dxa"/>
            <w:shd w:val="clear" w:color="auto" w:fill="auto"/>
            <w:vAlign w:val="center"/>
          </w:tcPr>
          <w:p>
            <w:pPr>
              <w:widowControl/>
              <w:jc w:val="center"/>
              <w:rPr>
                <w:rFonts w:hint="eastAsia" w:eastAsia="仿宋_GB2312"/>
                <w:sz w:val="28"/>
                <w:szCs w:val="28"/>
                <w:lang w:val="en-US" w:eastAsia="zh-CN"/>
              </w:rPr>
            </w:pPr>
            <w:r>
              <w:rPr>
                <w:rFonts w:hint="eastAsia" w:eastAsia="仿宋_GB2312"/>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w:t>
            </w:r>
          </w:p>
        </w:tc>
        <w:tc>
          <w:tcPr>
            <w:tcW w:w="1853" w:type="dxa"/>
            <w:shd w:val="clear" w:color="auto" w:fill="auto"/>
            <w:vAlign w:val="center"/>
          </w:tcPr>
          <w:p>
            <w:pPr>
              <w:jc w:val="left"/>
              <w:rPr>
                <w:rFonts w:eastAsia="仿宋_GB2312"/>
                <w:color w:val="000000"/>
                <w:sz w:val="28"/>
                <w:szCs w:val="28"/>
                <w:lang w:eastAsia="zh-CN"/>
              </w:rPr>
            </w:pP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40" w:type="dxa"/>
            <w:shd w:val="clear" w:color="auto" w:fill="auto"/>
            <w:noWrap/>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eastAsia="仿宋_GB2312"/>
                <w:color w:val="000000"/>
                <w:sz w:val="28"/>
                <w:szCs w:val="28"/>
              </w:rPr>
            </w:pPr>
          </w:p>
        </w:tc>
        <w:tc>
          <w:tcPr>
            <w:tcW w:w="720" w:type="dxa"/>
            <w:shd w:val="clear" w:color="auto" w:fill="auto"/>
            <w:noWrap/>
            <w:vAlign w:val="center"/>
          </w:tcPr>
          <w:p>
            <w:pPr>
              <w:jc w:val="center"/>
              <w:rPr>
                <w:rFonts w:eastAsia="仿宋_GB2312"/>
                <w:sz w:val="28"/>
                <w:szCs w:val="28"/>
              </w:rPr>
            </w:pPr>
          </w:p>
        </w:tc>
        <w:tc>
          <w:tcPr>
            <w:tcW w:w="870" w:type="dxa"/>
            <w:shd w:val="clear" w:color="auto" w:fill="auto"/>
            <w:noWrap/>
            <w:vAlign w:val="center"/>
          </w:tcPr>
          <w:p>
            <w:pPr>
              <w:jc w:val="center"/>
              <w:rPr>
                <w:rFonts w:eastAsia="仿宋_GB2312"/>
                <w:sz w:val="28"/>
                <w:szCs w:val="28"/>
              </w:rPr>
            </w:pP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54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w:t>
            </w:r>
          </w:p>
        </w:tc>
        <w:tc>
          <w:tcPr>
            <w:tcW w:w="1853"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eastAsia="仿宋_GB2312"/>
                <w:color w:val="000000"/>
                <w:sz w:val="28"/>
                <w:szCs w:val="28"/>
                <w:lang w:eastAsia="zh-CN"/>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noWrap/>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noWrap/>
            <w:vAlign w:val="center"/>
          </w:tcPr>
          <w:p>
            <w:pPr>
              <w:widowControl/>
              <w:jc w:val="center"/>
              <w:rPr>
                <w:sz w:val="24"/>
              </w:rPr>
            </w:pPr>
            <w:r>
              <w:rPr>
                <w:sz w:val="24"/>
              </w:rPr>
              <w:t>　</w:t>
            </w:r>
          </w:p>
        </w:tc>
        <w:tc>
          <w:tcPr>
            <w:tcW w:w="930" w:type="dxa"/>
            <w:shd w:val="clear" w:color="auto" w:fill="auto"/>
            <w:noWrap/>
            <w:vAlign w:val="center"/>
          </w:tcPr>
          <w:p>
            <w:pPr>
              <w:widowControl/>
              <w:jc w:val="center"/>
              <w:rPr>
                <w:sz w:val="24"/>
              </w:rPr>
            </w:pPr>
          </w:p>
        </w:tc>
        <w:tc>
          <w:tcPr>
            <w:tcW w:w="930" w:type="dxa"/>
            <w:shd w:val="clear" w:color="auto" w:fill="auto"/>
            <w:noWrap/>
            <w:vAlign w:val="center"/>
          </w:tcPr>
          <w:p>
            <w:pPr>
              <w:widowControl/>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140.00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eastAsia="仿宋_GB2312"/>
                <w:sz w:val="28"/>
                <w:szCs w:val="28"/>
                <w:lang w:eastAsia="zh-CN"/>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w:t>
            </w:r>
          </w:p>
        </w:tc>
        <w:tc>
          <w:tcPr>
            <w:tcW w:w="1853"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000000" w:fill="FFFFFF"/>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000000" w:fill="FFFFFF"/>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w:t>
            </w:r>
          </w:p>
        </w:tc>
        <w:tc>
          <w:tcPr>
            <w:tcW w:w="1853" w:type="dxa"/>
            <w:shd w:val="clear" w:color="auto" w:fill="auto"/>
            <w:noWrap/>
            <w:vAlign w:val="center"/>
          </w:tcPr>
          <w:p>
            <w:pPr>
              <w:keepNext w:val="0"/>
              <w:keepLines w:val="0"/>
              <w:widowControl/>
              <w:suppressLineNumbers w:val="0"/>
              <w:jc w:val="left"/>
              <w:textAlignment w:val="center"/>
              <w:rPr>
                <w:rFonts w:eastAsia="仿宋_GB2312"/>
                <w:color w:val="000000"/>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19</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lang w:eastAsia="zh-CN"/>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0.480</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r>
              <w:rPr>
                <w:rFonts w:eastAsia="仿宋_GB2312"/>
                <w:sz w:val="28"/>
                <w:szCs w:val="28"/>
              </w:rPr>
              <w:t>　</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2.玻璃品种、厚度:5厚白玻璃</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w:t>
            </w:r>
          </w:p>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43</w:t>
            </w:r>
          </w:p>
        </w:tc>
        <w:tc>
          <w:tcPr>
            <w:tcW w:w="1853" w:type="dxa"/>
            <w:shd w:val="clear" w:color="auto" w:fill="auto"/>
            <w:vAlign w:val="center"/>
          </w:tcPr>
          <w:p>
            <w:pPr>
              <w:jc w:val="left"/>
              <w:rPr>
                <w:rFonts w:eastAsia="仿宋_GB2312"/>
                <w:sz w:val="28"/>
                <w:szCs w:val="28"/>
              </w:rPr>
            </w:pP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混凝土泵送</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60.89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1#机修电源柜控制箱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2#机修电源配电箱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3#危废库总电源配电箱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YJV-3*50+2*25mm2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电力电缆  YJV-3*16+2*10mm2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BVR-0.45/0.75KV-6mm2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BVR-0.45/0.75KV-4mm2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69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BVR-0.45/0.75KV-2.5mm2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200.00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SC76*1.6mm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SC50*1.6mm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敷设方式：埋地敷设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SC32*1.6mm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人工挖沟槽 一般土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人工挖填沟槽 </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 xml:space="preserve"> 人工回填沟槽 土方</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36.48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79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rPr>
          <w:trHeight w:val="455"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系统</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项</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540" w:type="dxa"/>
            <w:shd w:val="clear" w:color="auto" w:fill="auto"/>
            <w:vAlign w:val="center"/>
          </w:tcPr>
          <w:p>
            <w:pPr>
              <w:jc w:val="center"/>
              <w:rPr>
                <w:rFonts w:eastAsia="仿宋_GB2312"/>
                <w:sz w:val="28"/>
                <w:szCs w:val="28"/>
              </w:rPr>
            </w:pP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jc w:val="center"/>
              <w:rPr>
                <w:rFonts w:eastAsia="仿宋_GB2312"/>
                <w:sz w:val="28"/>
                <w:szCs w:val="28"/>
              </w:rPr>
            </w:pPr>
          </w:p>
        </w:tc>
        <w:tc>
          <w:tcPr>
            <w:tcW w:w="870" w:type="dxa"/>
            <w:shd w:val="clear" w:color="auto" w:fill="auto"/>
            <w:vAlign w:val="center"/>
          </w:tcPr>
          <w:p>
            <w:pPr>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88</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89</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91</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92</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93</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94</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NH-RVS-2*1.5mm2</w:t>
            </w:r>
          </w:p>
        </w:tc>
        <w:tc>
          <w:tcPr>
            <w:tcW w:w="2940" w:type="dxa"/>
            <w:shd w:val="clear" w:color="auto" w:fill="auto"/>
            <w:vAlign w:val="center"/>
          </w:tcPr>
          <w:p>
            <w:pPr>
              <w:jc w:val="left"/>
              <w:rPr>
                <w:rFonts w:eastAsia="仿宋_GB2312"/>
                <w:sz w:val="28"/>
                <w:szCs w:val="28"/>
              </w:rPr>
            </w:pP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95</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96</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97</w:t>
            </w:r>
          </w:p>
        </w:tc>
        <w:tc>
          <w:tcPr>
            <w:tcW w:w="1853"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eastAsia="仿宋_GB2312"/>
                <w:sz w:val="28"/>
                <w:szCs w:val="28"/>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 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挖基坑土方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基础类别：独立基础，挖土深度：详见设计图，弃土运距：运距暂按1KM计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挖沟槽土方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土壤类别：三类土，挖土深度：2m以内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回填方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土质要求：满足设计要求，密实度要求：压实系数≥0.94夯填(碾压)：分层夯填填方来源、运距：场内原土回填</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余土弃置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10t</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A.3 砌筑工程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多孔砖墙</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墙体厚度：200厚，砖品种、规格、强度等级：MU10烧结页岩多孔砖，240×180×90，砂浆种类、强度等级:M5混合砂浆砌筑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50.53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砖地沟、暗沟</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做法详见：11ZJ901-3/7 盖板A/8（另列）砖品种、强度等级：MU10非黏土烧结砖，M5水泥砂浆砌筑沟截面尺寸：宽200mm、高300mm20厚1:2.5水泥砂浆抹光，70厚C10素砼，素土夯实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A.4 混凝土及钢筋混凝土工程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混凝土强度等级：C15，混凝土种类：商品砼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地面垫层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混凝土强度等级：C20，混凝土种类：商品砼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独立基础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混凝土强度等级:C25，混凝土种类：泵商砼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混凝土强度等级:C30，混凝土种类：泵商砼</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2/5，20厚1:2.5水泥砂浆抹面压光，60厚C15混凝土，60厚中砂铺垫，素土夯实</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沟盖板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盖板规格：C30混凝土 600*490*100，含盖板模板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预制构件圆钢制安 圆钢φ10以内 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砖砌体加固钢筋 不绑扎</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10以内</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2.143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现浇构件螺纹钢制安 10以上</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4.796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A.6 金属结构工程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钢檩条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1.钢材品种、规格：Q235，XZ160*60*20*2.2 梁面预埋件200*200*10 参M4-101，2.除锈：在制作前，钢构件表面应彻底除锈，除锈等级达到Sa2级规定，3.油漆：银粉漆2遍，防锈漆1遍，4.构件表面涂防火隔热涂料15mm，做法参照15ZJ001-103页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屋面钢拉条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1.钢材品种、规格：型钢为Q235，12，2.除锈：在制作前，钢构件表面应彻底除锈，除锈等级达到Sa21/2级规定，3.油漆：银粉漆2遍，防锈漆1遍，4.构件表面涂防火隔热涂料15mm，做法参照15ZJ001-103页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屋架支撑</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1.钢材品种、规格：型钢为Q235,12+32*2.5圆管，2.除锈：在制作前，钢构件表面应彻底除锈，除锈等级达到Sa21/2级规定，3.油漆：银粉漆2遍，防锈漆1遍，4.4.构件表面涂防火隔热涂料15mm，做法参照15ZJ001-103页 涂208，耐火极限1.0小时，5.运输：1KM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A.7 屋面及防水工程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型材屋面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岩棉夹芯彩钢板屋面100厚</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参11ZJ901 22/1，15厚1：2.5水泥砂浆（加5%防水粉）找坡1%，部位：雨棚板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墙面砂浆防水(防潮)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20厚1:2水泥砂浆掺5%的防水剂，部位：室内地面下60mm处</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楼(地)面涂膜防水</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1.5厚聚氨酯防水层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A.8 保温、隔热、防腐工程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保温隔热外墙墙面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外墙11，5厚干粉聚合物水泥防水砂浆，中间压入耐碱玻纤维网布一层，部位：外墙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A.9 楼地面工程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参14J938 PE5 KLD3，40厚C25细石混凝土初凝时表面撒布2~3厚NFJ金属防静电，不发火耐磨材料面层，随打随抹光，1.5厚聚氨酯防水层（另列），20厚1:3水泥砂浆找坡抹平，水泥砂浆一道内掺建筑胶，部位：除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块料楼地面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P8 编号9，230*115*65耐酸砖地面（挤缝），4~6厚环氧胶泥结合层，1.5厚聚氨酯涂层（另列），20厚1:2水泥砂浆找平层，120厚C20混凝土垫层（另列），0.2厚塑料薄膜，部位：氢氧化钠库、磷酸三钠库、氯化钠库地面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参08J333 P42 编号4，耐酸砖踢脚板，4~6厚环氧胶泥结合层，20厚1:2水泥砂浆找平层</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块料踢脚线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P53 踢47，15厚1:3水泥砂浆，10厚1:2.5不发火水泥砂浆压实抹光</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A.10 墙、柱面工程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外墙面一般抹灰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P80 外墙11，15厚1:3水泥砂浆找平，部位：外墙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253.44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内墙面一般抹灰</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参15ZJ001 P59 内墙4，15厚1:1:6水泥石灰砂浆，5厚1:0.5:3水泥石灰砂浆，部位：除氢氧化钠库、磷酸三钠库、氯化钠库内墙</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金属隔断</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抗爆墙 参14J938 KBQ2，9.5厚纤维水泥复合钢板，冷弯等边槽钢@1200（双向），岩棉板填充物，9.5厚纤维水泥复合钢板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63.91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A.12 门窗工程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90系列铝合金推拉窗不带亮(成品)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1.框、扇材质:壁厚1.4白色铝合金窗框，2.玻璃品种、厚度:5厚白玻璃</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A型泄爆窗（采光型）</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1.框、扇材质:铝制材料（由业主拟定），2.玻璃品种、厚度:安全玻璃（泄爆压力值达到10~20KPa时可开启</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甲级钢质防火门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成品铝合金门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泄爆门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含制作、运输、安装、五金配件</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门窗周边塞缝 水泥砂浆1:2.5{水泥砂浆 1∶2.5}</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A.13 油漆、涂料、裱糊工程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内墙满刮腻子</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刮熟胶粉腻子两遍，刮大白浆两遍，部位：除氢氧化钠库、磷酸三钠库、氯化钠库内墙面</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399.45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脚手架工程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双排外脚手架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搭设高度:10m以内，脚手架材质:扣件式钢管</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353.35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里脚手架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脚手架材质：扣件式钢管，脚手架高度：3.6m以上</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147.50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混凝土模板及支架(撑)</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垫层</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部位：基础垫层，模板材质：木模板模板支撑材质：木支撑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基础类型：独立基础，胶合板模板 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41.04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基础梁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模板材质：胶合板模板，模板支撑材质：木支撑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113.70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过梁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矩形梁</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胶合板模板、钢支撑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雨篷板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木模板、木支撑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23.76</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散水、坡道</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模板材质：木模板，模板支撑材质：木支撑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大型机械设备进出场及安拆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履带式挖掘机 1m³内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履带式推土机 90kW以内 场外运输费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台次</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混凝土运输及泵送工程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SL-20配电箱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AP-FJ配电箱</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含箱内元器件安装，非标，距地1.5m暗装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防爆节能灯 1*50W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防水防尘灯 1*20W</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吸顶安装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大跷板一位二控开关 250V~10A</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底距地1.3米暗装，质量：中档</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电力电缆  YJV-3*10+2.6mm2</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NH-BV-0.45/0.75KV-2.5mm2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986.40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SC40*1.6mm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222.98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SC20*1.6mm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52.30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防雷及接地装置</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接闪带</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12热镀锌圆钢，沿女儿墙敷设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104.20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避雷引下线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利用土建构造柱内2根16或4根12以上主筋自下而上通长搭接焊作防雷引下线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38.24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接地母线</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利用基础钢筋做接母线</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91.60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接地电阻测试点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热镀锌扁钢-40x4引上接地电阻测试盒距地0.5m，接地电阻测试用</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总等电位联接盒 MEB</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底距底层地面0.5m暗装，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接地装置调试  接地网</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系统</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B4 电气设备安装工程-电气消防部分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可燃气体探测器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编码智能型感烟探测器</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带火警电话插孔的手动报警按钮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消火栓起泵按钮</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安装方式：距地1.5m 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火灾声光报警器</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安装方式：距地2.5m壁装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输入输出模块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输出模块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安装方式：距地2.5m明装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联动模块</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安装方式:吸顶安装，含底盒、接线盒</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w:t>
            </w:r>
          </w:p>
        </w:tc>
        <w:tc>
          <w:tcPr>
            <w:tcW w:w="1853"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NH-RVS-2*1.5mm2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90.13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管内穿线 NH-BV-0.45/0.75KV-1.5mm2</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敷设方式：穿管敷设</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59.34</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配管 SC25*1.6mm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敷设方式：暗敷</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119.80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凿槽、刨沟  砖结构</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（公称管径32mm以内）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11.25</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B7 通风空调工程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风量=1650m/h,全压=58Pa,功率=0.06kW，转速=1450r/min,噪声≤60dB(A)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防爆防腐方形壁式风机</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风量=100m/h,全压=54Pa,功率=0.04kW，转速=1450r/min,噪声≤58dB(A)</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B9 给排水、燃气工程-消防给水部分</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室内消火栓内外壁镀锌钢管及管件安装 DN65*4.0mm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含管道试压、冲洗，连接方式：螺纹连接</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197</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手提式干粉灭火器 MF/ABC5</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放置式</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具</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室内消火栓(带消防柜及配套附件）</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消火栓箱型号、规格：SG16B65Z-J、1000*700*60，消火栓箱内设φ65×19水枪1支，DN65水龙带一条,长度为25m。消防软管卷盘一套，栓口直径φ25，胶管内径φ19，水枪喷嘴直径φ8，含灭火器，安装方式：明装</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芒东室外道路硬化</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分部分项工程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土石方工程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挖一般土方</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1.土壤类别:三类土，2.挖土深度:按施工图设计，3.弃土运距:4km</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自卸汽车运土方(每增加1km运距) 12t</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1.废弃料品种:开挖的土方</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m³·km</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道路工程</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路床(槽)整形</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碾压密实路基，压实度≥92%</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级配碎石15cm</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15cm,5%水泥稳定碎石</w:t>
            </w:r>
          </w:p>
        </w:tc>
        <w:tc>
          <w:tcPr>
            <w:tcW w:w="2940" w:type="dxa"/>
            <w:shd w:val="clear" w:color="auto" w:fill="auto"/>
            <w:vAlign w:val="center"/>
          </w:tcPr>
          <w:p>
            <w:pPr>
              <w:jc w:val="left"/>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1853"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C30水泥混凝土路面,25cm</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包含：路面刻纹、塑料薄膜养护</w:t>
            </w: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356.00</w:t>
            </w: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294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4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853" w:type="dxa"/>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合计</w:t>
            </w:r>
          </w:p>
        </w:tc>
        <w:tc>
          <w:tcPr>
            <w:tcW w:w="2940"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c>
          <w:tcPr>
            <w:tcW w:w="930" w:type="dxa"/>
            <w:shd w:val="clear" w:color="auto" w:fill="auto"/>
            <w:vAlign w:val="center"/>
          </w:tcPr>
          <w:p>
            <w:pPr>
              <w:widowControl/>
              <w:jc w:val="center"/>
              <w:rPr>
                <w:rFonts w:eastAsia="仿宋_GB2312"/>
                <w:sz w:val="28"/>
                <w:szCs w:val="28"/>
              </w:rPr>
            </w:pPr>
          </w:p>
        </w:tc>
      </w:tr>
    </w:tbl>
    <w:p>
      <w:pPr>
        <w:rPr>
          <w:rFonts w:hint="eastAsia" w:ascii="仿宋" w:hAnsi="仿宋" w:eastAsia="仿宋"/>
          <w:b/>
          <w:bCs/>
          <w:snapToGrid w:val="0"/>
          <w:sz w:val="32"/>
          <w:szCs w:val="32"/>
          <w:lang w:val="en-US" w:eastAsia="zh-CN"/>
        </w:rPr>
      </w:pPr>
    </w:p>
    <w:p>
      <w:pPr>
        <w:numPr>
          <w:ilvl w:val="0"/>
          <w:numId w:val="0"/>
        </w:numPr>
        <w:rPr>
          <w:rFonts w:hint="default"/>
          <w:lang w:val="en-US" w:eastAsia="zh-CN"/>
        </w:rPr>
      </w:pPr>
      <w:r>
        <w:rPr>
          <w:rFonts w:hint="eastAsia"/>
          <w:lang w:val="en-US" w:eastAsia="zh-CN"/>
        </w:rPr>
        <w:t>注上述报价已含施工图设计、审核等费用</w:t>
      </w:r>
    </w:p>
    <w:p>
      <w:pPr>
        <w:numPr>
          <w:ilvl w:val="0"/>
          <w:numId w:val="0"/>
        </w:numPr>
        <w:rPr>
          <w:lang w:eastAsia="zh-CN"/>
        </w:rPr>
      </w:pPr>
    </w:p>
    <w:p>
      <w:pPr>
        <w:pStyle w:val="3"/>
        <w:tabs>
          <w:tab w:val="left" w:pos="607"/>
          <w:tab w:val="center" w:pos="7289"/>
        </w:tabs>
        <w:spacing w:line="276" w:lineRule="auto"/>
        <w:rPr>
          <w:rFonts w:ascii="仿宋" w:hAnsi="仿宋" w:eastAsia="仿宋"/>
          <w:b/>
          <w:bCs/>
          <w:snapToGrid w:val="0"/>
          <w:sz w:val="32"/>
          <w:szCs w:val="32"/>
          <w:lang w:eastAsia="zh-CN"/>
        </w:rPr>
      </w:pPr>
      <w:bookmarkStart w:id="430" w:name="_Toc99483755"/>
      <w:bookmarkStart w:id="431" w:name="_Toc17878"/>
      <w:r>
        <w:rPr>
          <w:rFonts w:hint="eastAsia" w:ascii="仿宋" w:hAnsi="仿宋" w:eastAsia="仿宋"/>
          <w:b/>
          <w:bCs/>
          <w:snapToGrid w:val="0"/>
          <w:sz w:val="32"/>
          <w:szCs w:val="32"/>
          <w:lang w:eastAsia="zh-CN"/>
        </w:rPr>
        <w:tab/>
      </w:r>
      <w:r>
        <w:rPr>
          <w:rFonts w:hint="eastAsia" w:ascii="仿宋" w:hAnsi="仿宋" w:eastAsia="仿宋"/>
          <w:b/>
          <w:bCs/>
          <w:snapToGrid w:val="0"/>
          <w:sz w:val="32"/>
          <w:szCs w:val="32"/>
          <w:lang w:eastAsia="zh-CN"/>
        </w:rPr>
        <w:t>八</w:t>
      </w:r>
      <w:r>
        <w:rPr>
          <w:rFonts w:ascii="仿宋" w:hAnsi="仿宋" w:eastAsia="仿宋"/>
          <w:b/>
          <w:bCs/>
          <w:snapToGrid w:val="0"/>
          <w:sz w:val="32"/>
          <w:szCs w:val="32"/>
          <w:lang w:eastAsia="zh-CN"/>
        </w:rPr>
        <w:t>、资格审查资料</w:t>
      </w:r>
      <w:bookmarkEnd w:id="430"/>
      <w:bookmarkEnd w:id="431"/>
    </w:p>
    <w:p>
      <w:pPr>
        <w:pStyle w:val="17"/>
        <w:adjustRightInd w:val="0"/>
        <w:snapToGrid w:val="0"/>
        <w:spacing w:line="276" w:lineRule="auto"/>
        <w:rPr>
          <w:rFonts w:ascii="仿宋" w:hAnsi="仿宋" w:eastAsia="仿宋"/>
          <w:b/>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(一)基本情况</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snapToGrid w:val="0"/>
          <w:sz w:val="24"/>
          <w:szCs w:val="24"/>
          <w:lang w:eastAsia="zh-CN"/>
        </w:rPr>
      </w:pPr>
      <w:r>
        <w:rPr>
          <w:rFonts w:ascii="仿宋" w:hAnsi="仿宋" w:eastAsia="仿宋"/>
          <w:snapToGrid w:val="0"/>
          <w:sz w:val="24"/>
          <w:szCs w:val="24"/>
          <w:lang w:eastAsia="zh-CN"/>
        </w:rPr>
        <w:t>供应商还应根据供应商须知前附表第3.5(5)项、第3.5(7)项和第3.5(8)项的要求提供其他相关证明材料。</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(二)近年财务状况</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00"/>
        <w:rPr>
          <w:rFonts w:ascii="仿宋" w:hAnsi="仿宋" w:eastAsia="仿宋"/>
          <w:snapToGrid w:val="0"/>
          <w:sz w:val="24"/>
          <w:szCs w:val="24"/>
          <w:lang w:eastAsia="zh-CN"/>
        </w:rPr>
      </w:pPr>
      <w:r>
        <w:rPr>
          <w:rFonts w:ascii="仿宋" w:hAnsi="仿宋" w:eastAsia="仿宋"/>
          <w:snapToGrid w:val="0"/>
          <w:sz w:val="24"/>
          <w:szCs w:val="24"/>
          <w:lang w:eastAsia="zh-CN"/>
        </w:rPr>
        <w:t>供应商应根据供应商须知前附表第3.5(3)项的要求提供近年财务会计报表复印件。</w:t>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w:t>
      </w:r>
      <w:r>
        <w:rPr>
          <w:rFonts w:hint="eastAsia" w:ascii="仿宋" w:hAnsi="仿宋" w:eastAsia="仿宋"/>
          <w:b/>
          <w:bCs/>
          <w:snapToGrid w:val="0"/>
          <w:sz w:val="24"/>
          <w:szCs w:val="24"/>
          <w:lang w:eastAsia="zh-CN"/>
        </w:rPr>
        <w:t>三</w:t>
      </w:r>
      <w:r>
        <w:rPr>
          <w:rFonts w:ascii="仿宋" w:hAnsi="仿宋" w:eastAsia="仿宋"/>
          <w:b/>
          <w:bCs/>
          <w:snapToGrid w:val="0"/>
          <w:sz w:val="24"/>
          <w:szCs w:val="24"/>
          <w:lang w:eastAsia="zh-CN"/>
        </w:rPr>
        <w:t>)近年的类似项目情况表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560"/>
        <w:gridCol w:w="1417"/>
        <w:gridCol w:w="1701"/>
        <w:gridCol w:w="2268"/>
        <w:gridCol w:w="2552"/>
      </w:tblGrid>
      <w:tr>
        <w:tblPrEx>
          <w:tblCellMar>
            <w:top w:w="0" w:type="dxa"/>
            <w:left w:w="108" w:type="dxa"/>
            <w:bottom w:w="0" w:type="dxa"/>
            <w:right w:w="108" w:type="dxa"/>
          </w:tblCellMar>
        </w:tblPrEx>
        <w:trPr>
          <w:trHeight w:val="570"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发包人名称</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发包人联系人及电话</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合同价格</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是否竣工</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项目负责人(如有)</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1140"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项目概况及供应商履约情况</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b/>
                <w:bCs/>
                <w:color w:val="000000"/>
                <w:sz w:val="24"/>
                <w:szCs w:val="24"/>
                <w:lang w:eastAsia="zh-CN"/>
              </w:rPr>
            </w:pPr>
            <w:r>
              <w:rPr>
                <w:rFonts w:hint="eastAsia" w:ascii="仿宋" w:hAnsi="仿宋" w:eastAsia="仿宋"/>
                <w:b/>
                <w:bCs/>
                <w:color w:val="000000"/>
                <w:sz w:val="24"/>
                <w:szCs w:val="24"/>
                <w:lang w:eastAsia="zh-CN"/>
              </w:rPr>
              <w:t>备注</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701"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268"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552"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bl>
    <w:p>
      <w:pPr>
        <w:adjustRightInd w:val="0"/>
        <w:snapToGrid w:val="0"/>
        <w:spacing w:before="240" w:line="276" w:lineRule="auto"/>
        <w:ind w:firstLine="84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注：供应商应根据供应商须知前附表第3.5(4)项的要求在本表后附相关证明材料。</w:t>
      </w:r>
    </w:p>
    <w:p>
      <w:pPr>
        <w:pStyle w:val="17"/>
        <w:adjustRightInd w:val="0"/>
        <w:snapToGrid w:val="0"/>
        <w:spacing w:line="276" w:lineRule="auto"/>
        <w:rPr>
          <w:rFonts w:ascii="仿宋" w:hAnsi="仿宋" w:eastAsia="仿宋"/>
          <w:snapToGrid w:val="0"/>
          <w:sz w:val="24"/>
          <w:szCs w:val="24"/>
          <w:lang w:eastAsia="zh-CN"/>
        </w:rPr>
      </w:pPr>
    </w:p>
    <w:p>
      <w:pPr>
        <w:spacing w:line="276" w:lineRule="auto"/>
        <w:rPr>
          <w:rFonts w:ascii="仿宋" w:hAnsi="仿宋" w:eastAsia="仿宋" w:cs="Times New Roman"/>
          <w:snapToGrid w:val="0"/>
          <w:sz w:val="24"/>
          <w:szCs w:val="24"/>
          <w:lang w:eastAsia="zh-CN"/>
        </w:rPr>
      </w:pPr>
      <w:bookmarkStart w:id="432" w:name="扫描0060"/>
      <w:bookmarkEnd w:id="432"/>
      <w:r>
        <w:rPr>
          <w:rFonts w:ascii="仿宋" w:hAnsi="仿宋" w:eastAsia="仿宋" w:cs="Times New Roman"/>
          <w:snapToGrid w:val="0"/>
          <w:sz w:val="24"/>
          <w:szCs w:val="24"/>
          <w:lang w:eastAsia="zh-CN"/>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（四）拟委任的主要人员汇总表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1"/>
        <w:gridCol w:w="1418"/>
        <w:gridCol w:w="992"/>
        <w:gridCol w:w="1098"/>
        <w:gridCol w:w="681"/>
        <w:gridCol w:w="1248"/>
        <w:gridCol w:w="855"/>
        <w:gridCol w:w="122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序号</w:t>
            </w:r>
          </w:p>
        </w:tc>
        <w:tc>
          <w:tcPr>
            <w:tcW w:w="141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本项目任职</w:t>
            </w:r>
          </w:p>
        </w:tc>
        <w:tc>
          <w:tcPr>
            <w:tcW w:w="992"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姓名</w:t>
            </w:r>
          </w:p>
        </w:tc>
        <w:tc>
          <w:tcPr>
            <w:tcW w:w="1098"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职称</w:t>
            </w:r>
          </w:p>
        </w:tc>
        <w:tc>
          <w:tcPr>
            <w:tcW w:w="681" w:type="dxa"/>
            <w:vMerge w:val="restart"/>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专业</w:t>
            </w:r>
          </w:p>
        </w:tc>
        <w:tc>
          <w:tcPr>
            <w:tcW w:w="3324" w:type="dxa"/>
            <w:gridSpan w:val="3"/>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执业或职业资格证明</w:t>
            </w:r>
          </w:p>
        </w:tc>
        <w:tc>
          <w:tcPr>
            <w:tcW w:w="1134" w:type="dxa"/>
            <w:vMerge w:val="restart"/>
            <w:vAlign w:val="center"/>
          </w:tcPr>
          <w:p>
            <w:pPr>
              <w:adjustRightInd w:val="0"/>
              <w:snapToGrid w:val="0"/>
              <w:spacing w:line="276" w:lineRule="auto"/>
              <w:jc w:val="center"/>
              <w:rPr>
                <w:rFonts w:hint="eastAsia" w:eastAsia="仿宋" w:asciiTheme="minorEastAsia" w:hAnsiTheme="minorEastAsia"/>
                <w:b/>
                <w:bCs/>
                <w:snapToGrid w:val="0"/>
                <w:sz w:val="24"/>
                <w:szCs w:val="24"/>
                <w:lang w:eastAsia="zh-CN"/>
              </w:rPr>
            </w:pPr>
            <w:r>
              <w:rPr>
                <w:rFonts w:hint="eastAsia" w:eastAsia="仿宋" w:asciiTheme="minorEastAsia" w:hAnsiTheme="minorEastAsia"/>
                <w:b/>
                <w:bCs/>
                <w:snapToGrid w:val="0"/>
                <w:sz w:val="24"/>
                <w:szCs w:val="24"/>
              </w:rPr>
              <w:t>从事</w:t>
            </w:r>
            <w:r>
              <w:rPr>
                <w:rFonts w:hint="eastAsia" w:eastAsia="仿宋" w:asciiTheme="minorEastAsia" w:hAnsiTheme="minorEastAsia"/>
                <w:b/>
                <w:bCs/>
                <w:snapToGrid w:val="0"/>
                <w:sz w:val="24"/>
                <w:szCs w:val="24"/>
                <w:lang w:eastAsia="zh-CN"/>
              </w:rPr>
              <w:t>本职业</w:t>
            </w:r>
          </w:p>
          <w:p>
            <w:pPr>
              <w:adjustRightInd w:val="0"/>
              <w:snapToGrid w:val="0"/>
              <w:spacing w:line="276" w:lineRule="auto"/>
              <w:jc w:val="center"/>
              <w:rPr>
                <w:rFonts w:eastAsia="仿宋" w:asciiTheme="minorEastAsia" w:hAnsiTheme="minorEastAsia"/>
                <w:b/>
                <w:bCs/>
                <w:snapToGrid w:val="0"/>
                <w:sz w:val="24"/>
                <w:szCs w:val="24"/>
              </w:rPr>
            </w:pPr>
            <w:r>
              <w:rPr>
                <w:rFonts w:hint="eastAsia" w:eastAsia="仿宋" w:asciiTheme="minorEastAsia" w:hAnsiTheme="minorEastAsia"/>
                <w:b/>
                <w:bCs/>
                <w:snapToGrid w:val="0"/>
                <w:sz w:val="24"/>
                <w:szCs w:val="24"/>
                <w:lang w:eastAsia="zh-CN"/>
              </w:rPr>
              <w:t>工作</w:t>
            </w:r>
            <w:r>
              <w:rPr>
                <w:rFonts w:hint="eastAsia" w:eastAsia="仿宋" w:asciiTheme="minorEastAsia" w:hAnsiTheme="minorEastAsia"/>
                <w:b/>
                <w:bCs/>
                <w:snapToGrid w:val="0"/>
                <w:sz w:val="24"/>
                <w:szCs w:val="24"/>
              </w:rPr>
              <w:t>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60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41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992"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098"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681" w:type="dxa"/>
            <w:vMerge w:val="continue"/>
            <w:tcBorders>
              <w:top w:val="nil"/>
            </w:tcBorders>
            <w:vAlign w:val="center"/>
          </w:tcPr>
          <w:p>
            <w:pPr>
              <w:adjustRightInd w:val="0"/>
              <w:snapToGrid w:val="0"/>
              <w:spacing w:line="276" w:lineRule="auto"/>
              <w:jc w:val="center"/>
              <w:rPr>
                <w:rFonts w:asciiTheme="minorEastAsia" w:hAnsiTheme="minorEastAsia" w:eastAsiaTheme="minorEastAsia"/>
                <w:b/>
                <w:bCs/>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证书名称</w:t>
            </w:r>
          </w:p>
        </w:tc>
        <w:tc>
          <w:tcPr>
            <w:tcW w:w="855"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级别</w:t>
            </w:r>
          </w:p>
        </w:tc>
        <w:tc>
          <w:tcPr>
            <w:tcW w:w="1221" w:type="dxa"/>
            <w:vAlign w:val="center"/>
          </w:tcPr>
          <w:p>
            <w:pPr>
              <w:adjustRightInd w:val="0"/>
              <w:snapToGrid w:val="0"/>
              <w:spacing w:line="276" w:lineRule="auto"/>
              <w:jc w:val="center"/>
              <w:rPr>
                <w:rFonts w:asciiTheme="minorEastAsia" w:hAnsiTheme="minorEastAsia" w:eastAsiaTheme="minorEastAsia"/>
                <w:b/>
                <w:bCs/>
                <w:snapToGrid w:val="0"/>
                <w:sz w:val="24"/>
                <w:szCs w:val="24"/>
              </w:rPr>
            </w:pPr>
            <w:r>
              <w:rPr>
                <w:rFonts w:eastAsia="仿宋" w:asciiTheme="minorEastAsia" w:hAnsiTheme="minorEastAsia"/>
                <w:b/>
                <w:bCs/>
                <w:snapToGrid w:val="0"/>
                <w:sz w:val="24"/>
                <w:szCs w:val="24"/>
              </w:rPr>
              <w:t>证号</w:t>
            </w:r>
          </w:p>
        </w:tc>
        <w:tc>
          <w:tcPr>
            <w:tcW w:w="1134" w:type="dxa"/>
            <w:vMerge w:val="continue"/>
            <w:tcBorders>
              <w:top w:val="nil"/>
            </w:tcBorders>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60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41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92"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09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68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48"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855"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221"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1134" w:type="dxa"/>
            <w:vAlign w:val="center"/>
          </w:tcPr>
          <w:p>
            <w:pPr>
              <w:adjustRightInd w:val="0"/>
              <w:snapToGrid w:val="0"/>
              <w:spacing w:line="276" w:lineRule="auto"/>
              <w:jc w:val="center"/>
              <w:rPr>
                <w:rFonts w:eastAsia="仿宋" w:asciiTheme="minorEastAsia" w:hAnsiTheme="minorEastAsia"/>
                <w:snapToGrid w:val="0"/>
                <w:sz w:val="24"/>
                <w:szCs w:val="24"/>
              </w:rPr>
            </w:pPr>
          </w:p>
        </w:tc>
      </w:tr>
    </w:tbl>
    <w:p>
      <w:pPr>
        <w:pStyle w:val="17"/>
        <w:adjustRightInd w:val="0"/>
        <w:snapToGrid w:val="0"/>
        <w:spacing w:line="276" w:lineRule="auto"/>
        <w:rPr>
          <w:rFonts w:ascii="仿宋" w:hAnsi="仿宋" w:eastAsia="仿宋"/>
          <w:snapToGrid w:val="0"/>
          <w:sz w:val="24"/>
          <w:szCs w:val="24"/>
        </w:rPr>
      </w:pPr>
    </w:p>
    <w:p>
      <w:pPr>
        <w:spacing w:line="276" w:lineRule="auto"/>
        <w:rPr>
          <w:rFonts w:ascii="仿宋" w:hAnsi="仿宋" w:eastAsia="仿宋"/>
          <w:snapToGrid w:val="0"/>
          <w:sz w:val="24"/>
          <w:szCs w:val="24"/>
        </w:rPr>
      </w:pPr>
      <w:r>
        <w:rPr>
          <w:rFonts w:ascii="仿宋" w:hAnsi="仿宋" w:eastAsia="仿宋"/>
          <w:snapToGrid w:val="0"/>
          <w:sz w:val="24"/>
          <w:szCs w:val="24"/>
        </w:rPr>
        <w:br w:type="page"/>
      </w:r>
    </w:p>
    <w:p>
      <w:pPr>
        <w:pStyle w:val="17"/>
        <w:adjustRightInd w:val="0"/>
        <w:snapToGrid w:val="0"/>
        <w:spacing w:line="276" w:lineRule="auto"/>
        <w:rPr>
          <w:rFonts w:ascii="仿宋" w:hAnsi="仿宋" w:eastAsia="仿宋"/>
          <w:snapToGrid w:val="0"/>
          <w:sz w:val="24"/>
          <w:szCs w:val="24"/>
          <w:lang w:eastAsia="zh-CN"/>
        </w:rPr>
      </w:pPr>
    </w:p>
    <w:p>
      <w:pPr>
        <w:adjustRightInd w:val="0"/>
        <w:snapToGrid w:val="0"/>
        <w:spacing w:line="276" w:lineRule="auto"/>
        <w:jc w:val="center"/>
        <w:rPr>
          <w:rFonts w:ascii="仿宋" w:hAnsi="仿宋" w:eastAsia="仿宋"/>
          <w:b/>
          <w:bCs/>
          <w:snapToGrid w:val="0"/>
          <w:sz w:val="24"/>
          <w:szCs w:val="24"/>
          <w:lang w:eastAsia="zh-CN"/>
        </w:rPr>
      </w:pPr>
      <w:r>
        <w:rPr>
          <w:rFonts w:ascii="仿宋" w:hAnsi="仿宋" w:eastAsia="仿宋"/>
          <w:b/>
          <w:bCs/>
          <w:snapToGrid w:val="0"/>
          <w:sz w:val="24"/>
          <w:szCs w:val="24"/>
          <w:lang w:eastAsia="zh-CN"/>
        </w:rPr>
        <w:t>(五)</w:t>
      </w:r>
      <w:r>
        <w:rPr>
          <w:rFonts w:hint="eastAsia" w:ascii="仿宋" w:hAnsi="仿宋" w:eastAsia="仿宋"/>
          <w:b/>
          <w:bCs/>
          <w:snapToGrid w:val="0"/>
          <w:sz w:val="24"/>
          <w:szCs w:val="24"/>
          <w:lang w:eastAsia="zh-CN"/>
        </w:rPr>
        <w:t>项目负责人、技术负责人、安全员、质量员</w:t>
      </w:r>
      <w:r>
        <w:rPr>
          <w:rFonts w:ascii="仿宋" w:hAnsi="仿宋" w:eastAsia="仿宋"/>
          <w:b/>
          <w:bCs/>
          <w:snapToGrid w:val="0"/>
          <w:sz w:val="24"/>
          <w:szCs w:val="24"/>
          <w:lang w:eastAsia="zh-CN"/>
        </w:rPr>
        <w:t>简历表</w:t>
      </w:r>
    </w:p>
    <w:p>
      <w:pPr>
        <w:pStyle w:val="17"/>
        <w:adjustRightInd w:val="0"/>
        <w:snapToGrid w:val="0"/>
        <w:spacing w:line="276" w:lineRule="auto"/>
        <w:rPr>
          <w:rFonts w:ascii="仿宋" w:hAnsi="仿宋" w:eastAsia="仿宋"/>
          <w:snapToGrid w:val="0"/>
          <w:sz w:val="24"/>
          <w:szCs w:val="24"/>
          <w:lang w:eastAsia="zh-CN"/>
        </w:rPr>
      </w:pPr>
    </w:p>
    <w:tbl>
      <w:tblPr>
        <w:tblStyle w:val="42"/>
        <w:tblW w:w="0" w:type="auto"/>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297"/>
        <w:gridCol w:w="749"/>
        <w:gridCol w:w="960"/>
        <w:gridCol w:w="1066"/>
        <w:gridCol w:w="653"/>
        <w:gridCol w:w="1257"/>
        <w:gridCol w:w="461"/>
        <w:gridCol w:w="24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姓名</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年龄</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执业或职业资格</w:t>
            </w:r>
          </w:p>
          <w:p>
            <w:pPr>
              <w:adjustRightInd w:val="0"/>
              <w:snapToGrid w:val="0"/>
              <w:spacing w:line="276" w:lineRule="auto"/>
              <w:jc w:val="center"/>
              <w:rPr>
                <w:rFonts w:asciiTheme="minorEastAsia" w:hAnsiTheme="minorEastAsia" w:eastAsiaTheme="minorEastAsia"/>
                <w:snapToGrid w:val="0"/>
                <w:sz w:val="24"/>
                <w:szCs w:val="24"/>
                <w:lang w:eastAsia="zh-CN"/>
              </w:rPr>
            </w:pPr>
            <w:r>
              <w:rPr>
                <w:rFonts w:eastAsia="仿宋" w:asciiTheme="minorEastAsia" w:hAnsiTheme="minorEastAsia"/>
                <w:snapToGrid w:val="0"/>
                <w:sz w:val="24"/>
                <w:szCs w:val="24"/>
                <w:lang w:eastAsia="zh-CN"/>
              </w:rPr>
              <w:t>证书名称</w:t>
            </w:r>
            <w:r>
              <w:rPr>
                <w:rFonts w:hint="eastAsia" w:eastAsia="仿宋" w:asciiTheme="minorEastAsia" w:hAnsiTheme="minorEastAsia"/>
                <w:snapToGrid w:val="0"/>
                <w:sz w:val="24"/>
                <w:szCs w:val="24"/>
                <w:lang w:eastAsia="zh-CN"/>
              </w:rPr>
              <w:t>和证号</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职称</w:t>
            </w:r>
          </w:p>
        </w:tc>
        <w:tc>
          <w:tcPr>
            <w:tcW w:w="1046"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960"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学历</w:t>
            </w:r>
          </w:p>
        </w:tc>
        <w:tc>
          <w:tcPr>
            <w:tcW w:w="1066" w:type="dxa"/>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拟在本项目任职</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工作年限</w:t>
            </w:r>
          </w:p>
        </w:tc>
        <w:tc>
          <w:tcPr>
            <w:tcW w:w="3072"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p>
        </w:tc>
        <w:tc>
          <w:tcPr>
            <w:tcW w:w="2371" w:type="dxa"/>
            <w:gridSpan w:val="3"/>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从事类似工作年限</w:t>
            </w:r>
          </w:p>
        </w:tc>
        <w:tc>
          <w:tcPr>
            <w:tcW w:w="2477" w:type="dxa"/>
            <w:vAlign w:val="center"/>
          </w:tcPr>
          <w:p>
            <w:pPr>
              <w:adjustRightInd w:val="0"/>
              <w:snapToGrid w:val="0"/>
              <w:spacing w:line="276" w:lineRule="auto"/>
              <w:jc w:val="center"/>
              <w:rPr>
                <w:rFonts w:eastAsia="仿宋" w:asciiTheme="minorEastAsia" w:hAnsiTheme="minorEastAsia"/>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128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毕业学校</w:t>
            </w:r>
          </w:p>
        </w:tc>
        <w:tc>
          <w:tcPr>
            <w:tcW w:w="7920" w:type="dxa"/>
            <w:gridSpan w:val="8"/>
            <w:vAlign w:val="center"/>
          </w:tcPr>
          <w:p>
            <w:pPr>
              <w:adjustRightInd w:val="0"/>
              <w:snapToGrid w:val="0"/>
              <w:spacing w:line="276" w:lineRule="auto"/>
              <w:ind w:firstLine="244" w:firstLineChars="102"/>
              <w:jc w:val="center"/>
              <w:rPr>
                <w:rFonts w:eastAsia="仿宋" w:asciiTheme="minorEastAsia" w:hAnsiTheme="minorEastAsia"/>
                <w:snapToGrid w:val="0"/>
                <w:sz w:val="24"/>
                <w:szCs w:val="24"/>
              </w:rPr>
            </w:pPr>
            <w:r>
              <w:rPr>
                <w:rFonts w:eastAsia="仿宋" w:asciiTheme="minorEastAsia" w:hAnsiTheme="minorEastAsia"/>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9207" w:type="dxa"/>
            <w:gridSpan w:val="9"/>
            <w:vAlign w:val="center"/>
          </w:tcPr>
          <w:p>
            <w:pPr>
              <w:adjustRightInd w:val="0"/>
              <w:snapToGrid w:val="0"/>
              <w:spacing w:line="276" w:lineRule="auto"/>
              <w:jc w:val="center"/>
              <w:rPr>
                <w:rFonts w:eastAsia="仿宋" w:asciiTheme="minorEastAsia" w:hAnsiTheme="minorEastAsia"/>
                <w:snapToGrid w:val="0"/>
                <w:sz w:val="24"/>
                <w:szCs w:val="24"/>
              </w:rPr>
            </w:pPr>
            <w:r>
              <w:rPr>
                <w:rFonts w:eastAsia="仿宋" w:asciiTheme="minorEastAsia" w:hAnsiTheme="minorEastAsia"/>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时间</w:t>
            </w: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参加过的类似项目</w:t>
            </w: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rPr>
            </w:pPr>
            <w:r>
              <w:rPr>
                <w:rFonts w:eastAsia="仿宋" w:asciiTheme="minorEastAsia" w:hAnsiTheme="minorEastAsia"/>
                <w:snapToGrid w:val="0"/>
                <w:sz w:val="24"/>
                <w:szCs w:val="24"/>
              </w:rPr>
              <w:t>担任职务</w:t>
            </w: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t>委托久发包人及联系电话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3"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4"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1"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0" w:hRule="atLeast"/>
        </w:trPr>
        <w:tc>
          <w:tcPr>
            <w:tcW w:w="1584" w:type="dxa"/>
            <w:gridSpan w:val="2"/>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3428" w:type="dxa"/>
            <w:gridSpan w:val="4"/>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1257" w:type="dxa"/>
            <w:vAlign w:val="center"/>
          </w:tcPr>
          <w:p>
            <w:pPr>
              <w:adjustRightInd w:val="0"/>
              <w:snapToGrid w:val="0"/>
              <w:spacing w:line="276" w:lineRule="auto"/>
              <w:jc w:val="center"/>
              <w:rPr>
                <w:rFonts w:asciiTheme="minorEastAsia" w:hAnsiTheme="minorEastAsia" w:eastAsiaTheme="minorEastAsia"/>
                <w:snapToGrid w:val="0"/>
                <w:sz w:val="24"/>
                <w:szCs w:val="24"/>
                <w:lang w:eastAsia="zh-CN"/>
              </w:rPr>
            </w:pPr>
          </w:p>
        </w:tc>
        <w:tc>
          <w:tcPr>
            <w:tcW w:w="2938" w:type="dxa"/>
            <w:gridSpan w:val="2"/>
            <w:vAlign w:val="center"/>
          </w:tcPr>
          <w:p>
            <w:pPr>
              <w:adjustRightInd w:val="0"/>
              <w:snapToGrid w:val="0"/>
              <w:spacing w:line="276" w:lineRule="auto"/>
              <w:jc w:val="center"/>
              <w:rPr>
                <w:rFonts w:eastAsia="仿宋" w:asciiTheme="minorEastAsia" w:hAnsiTheme="minorEastAsia"/>
                <w:snapToGrid w:val="0"/>
                <w:sz w:val="24"/>
                <w:szCs w:val="24"/>
                <w:lang w:eastAsia="zh-CN"/>
              </w:rPr>
            </w:pPr>
          </w:p>
        </w:tc>
      </w:tr>
    </w:tbl>
    <w:p>
      <w:pPr>
        <w:adjustRightInd w:val="0"/>
        <w:snapToGrid w:val="0"/>
        <w:spacing w:before="240" w:line="276" w:lineRule="auto"/>
        <w:ind w:firstLine="420"/>
        <w:rPr>
          <w:rFonts w:ascii="仿宋" w:hAnsi="仿宋" w:eastAsia="仿宋"/>
          <w:snapToGrid w:val="0"/>
          <w:sz w:val="24"/>
          <w:szCs w:val="24"/>
          <w:lang w:eastAsia="zh-CN"/>
        </w:rPr>
      </w:pPr>
      <w:r>
        <w:rPr>
          <w:rFonts w:ascii="仿宋" w:hAnsi="仿宋" w:eastAsia="仿宋"/>
          <w:snapToGrid w:val="0"/>
          <w:sz w:val="24"/>
          <w:szCs w:val="24"/>
          <w:lang w:eastAsia="zh-CN"/>
        </w:rPr>
        <w:t>注：供应商应根据供应商须知前附表第3.5(6)项的要求在本表后附相关证明材料。</w:t>
      </w:r>
    </w:p>
    <w:p>
      <w:pPr>
        <w:spacing w:line="276" w:lineRule="auto"/>
        <w:rPr>
          <w:rFonts w:ascii="仿宋" w:hAnsi="仿宋" w:eastAsia="仿宋"/>
          <w:b/>
          <w:bCs/>
          <w:snapToGrid w:val="0"/>
          <w:sz w:val="32"/>
          <w:szCs w:val="32"/>
          <w:lang w:eastAsia="zh-CN"/>
        </w:rPr>
      </w:pPr>
      <w:bookmarkStart w:id="433" w:name="_bookmark21"/>
      <w:bookmarkEnd w:id="433"/>
      <w:bookmarkStart w:id="434" w:name="扫描0062"/>
      <w:bookmarkEnd w:id="434"/>
      <w:bookmarkStart w:id="435" w:name="扫描0066"/>
      <w:bookmarkEnd w:id="435"/>
      <w:bookmarkStart w:id="436" w:name="扫描0064"/>
      <w:bookmarkEnd w:id="436"/>
      <w:bookmarkStart w:id="437" w:name="_bookmark19"/>
      <w:bookmarkEnd w:id="437"/>
    </w:p>
    <w:p>
      <w:pPr>
        <w:rPr>
          <w:rFonts w:ascii="仿宋" w:hAnsi="仿宋" w:eastAsia="仿宋"/>
          <w:b/>
          <w:bCs/>
          <w:snapToGrid w:val="0"/>
          <w:sz w:val="32"/>
          <w:szCs w:val="32"/>
          <w:lang w:eastAsia="zh-CN"/>
        </w:rPr>
      </w:pPr>
      <w:r>
        <w:rPr>
          <w:rFonts w:ascii="仿宋" w:hAnsi="仿宋" w:eastAsia="仿宋"/>
          <w:b/>
          <w:bCs/>
          <w:snapToGrid w:val="0"/>
          <w:sz w:val="32"/>
          <w:szCs w:val="32"/>
          <w:lang w:eastAsia="zh-CN"/>
        </w:rPr>
        <w:br w:type="page"/>
      </w:r>
    </w:p>
    <w:p>
      <w:pPr>
        <w:pStyle w:val="3"/>
        <w:spacing w:line="276" w:lineRule="auto"/>
        <w:jc w:val="center"/>
        <w:rPr>
          <w:rFonts w:ascii="仿宋" w:hAnsi="仿宋" w:eastAsia="仿宋"/>
          <w:b/>
          <w:bCs/>
          <w:snapToGrid w:val="0"/>
          <w:sz w:val="32"/>
          <w:szCs w:val="32"/>
          <w:lang w:eastAsia="zh-CN"/>
        </w:rPr>
      </w:pPr>
      <w:bookmarkStart w:id="438" w:name="_Toc8101"/>
      <w:r>
        <w:rPr>
          <w:rFonts w:hint="eastAsia" w:ascii="仿宋" w:hAnsi="仿宋" w:eastAsia="仿宋"/>
          <w:b/>
          <w:bCs/>
          <w:snapToGrid w:val="0"/>
          <w:sz w:val="32"/>
          <w:szCs w:val="32"/>
          <w:lang w:eastAsia="zh-CN"/>
        </w:rPr>
        <w:t>九</w:t>
      </w:r>
      <w:r>
        <w:rPr>
          <w:rFonts w:ascii="仿宋" w:hAnsi="仿宋" w:eastAsia="仿宋"/>
          <w:b/>
          <w:bCs/>
          <w:snapToGrid w:val="0"/>
          <w:sz w:val="32"/>
          <w:szCs w:val="32"/>
          <w:lang w:eastAsia="zh-CN"/>
        </w:rPr>
        <w:t>、响应方案</w:t>
      </w:r>
      <w:bookmarkEnd w:id="438"/>
    </w:p>
    <w:p>
      <w:pPr>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（一）施工组织设计</w:t>
      </w:r>
    </w:p>
    <w:p>
      <w:pPr>
        <w:pStyle w:val="17"/>
        <w:adjustRightInd w:val="0"/>
        <w:snapToGrid w:val="0"/>
        <w:spacing w:line="276" w:lineRule="auto"/>
        <w:rPr>
          <w:rFonts w:ascii="仿宋" w:hAnsi="仿宋" w:eastAsia="仿宋"/>
          <w:snapToGrid w:val="0"/>
          <w:sz w:val="24"/>
          <w:szCs w:val="24"/>
          <w:lang w:eastAsia="zh-CN"/>
        </w:rPr>
      </w:pPr>
    </w:p>
    <w:p>
      <w:pPr>
        <w:pStyle w:val="17"/>
        <w:adjustRightInd w:val="0"/>
        <w:snapToGrid w:val="0"/>
        <w:spacing w:line="276" w:lineRule="auto"/>
        <w:ind w:firstLine="480"/>
        <w:jc w:val="both"/>
        <w:rPr>
          <w:rFonts w:ascii="仿宋" w:hAnsi="仿宋" w:eastAsia="仿宋"/>
          <w:snapToGrid w:val="0"/>
          <w:sz w:val="24"/>
          <w:szCs w:val="24"/>
          <w:lang w:eastAsia="zh-CN"/>
        </w:rPr>
      </w:pPr>
      <w:r>
        <w:rPr>
          <w:rFonts w:ascii="仿宋" w:hAnsi="仿宋" w:eastAsia="仿宋"/>
          <w:snapToGrid w:val="0"/>
          <w:sz w:val="24"/>
          <w:szCs w:val="24"/>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17"/>
        <w:adjustRightInd w:val="0"/>
        <w:snapToGrid w:val="0"/>
        <w:spacing w:line="276" w:lineRule="auto"/>
        <w:rPr>
          <w:rFonts w:ascii="仿宋" w:hAnsi="仿宋" w:eastAsia="仿宋"/>
          <w:snapToGrid w:val="0"/>
          <w:sz w:val="24"/>
          <w:szCs w:val="24"/>
          <w:lang w:eastAsia="zh-CN"/>
        </w:rPr>
      </w:pPr>
    </w:p>
    <w:p>
      <w:pPr>
        <w:pStyle w:val="5"/>
        <w:adjustRightInd w:val="0"/>
        <w:snapToGrid w:val="0"/>
        <w:spacing w:line="276" w:lineRule="auto"/>
        <w:ind w:left="0"/>
        <w:rPr>
          <w:rFonts w:ascii="仿宋" w:hAnsi="仿宋" w:eastAsia="仿宋"/>
          <w:b/>
          <w:bCs/>
          <w:snapToGrid w:val="0"/>
          <w:szCs w:val="24"/>
          <w:lang w:eastAsia="zh-CN"/>
        </w:rPr>
      </w:pPr>
      <w:r>
        <w:rPr>
          <w:rFonts w:ascii="仿宋" w:hAnsi="仿宋" w:eastAsia="仿宋"/>
          <w:b/>
          <w:bCs/>
          <w:snapToGrid w:val="0"/>
          <w:szCs w:val="24"/>
          <w:lang w:eastAsia="zh-CN"/>
        </w:rPr>
        <w:t>（二）拟分包项目情况表</w:t>
      </w:r>
    </w:p>
    <w:p>
      <w:pPr>
        <w:pStyle w:val="17"/>
        <w:adjustRightInd w:val="0"/>
        <w:snapToGrid w:val="0"/>
        <w:spacing w:line="276" w:lineRule="auto"/>
        <w:rPr>
          <w:rFonts w:ascii="仿宋" w:hAnsi="仿宋" w:eastAsia="仿宋"/>
          <w:snapToGrid w:val="0"/>
          <w:sz w:val="24"/>
          <w:szCs w:val="24"/>
          <w:lang w:eastAsia="zh-CN"/>
        </w:rPr>
      </w:pPr>
    </w:p>
    <w:tbl>
      <w:tblPr>
        <w:tblStyle w:val="42"/>
        <w:tblW w:w="9498" w:type="dxa"/>
        <w:tblInd w:w="-5" w:type="dxa"/>
        <w:tblLayout w:type="autofit"/>
        <w:tblCellMar>
          <w:top w:w="0" w:type="dxa"/>
          <w:left w:w="108" w:type="dxa"/>
          <w:bottom w:w="0" w:type="dxa"/>
          <w:right w:w="108" w:type="dxa"/>
        </w:tblCellMar>
      </w:tblPr>
      <w:tblGrid>
        <w:gridCol w:w="1701"/>
        <w:gridCol w:w="2694"/>
        <w:gridCol w:w="1417"/>
        <w:gridCol w:w="3686"/>
      </w:tblGrid>
      <w:tr>
        <w:tblPrEx>
          <w:tblCellMar>
            <w:top w:w="0" w:type="dxa"/>
            <w:left w:w="108" w:type="dxa"/>
            <w:bottom w:w="0" w:type="dxa"/>
            <w:right w:w="108" w:type="dxa"/>
          </w:tblCellMar>
        </w:tblPrEx>
        <w:trPr>
          <w:trHeight w:val="570" w:hRule="atLeast"/>
        </w:trPr>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bookmarkStart w:id="439" w:name="扫描0067"/>
            <w:bookmarkEnd w:id="439"/>
            <w:r>
              <w:rPr>
                <w:rFonts w:hint="eastAsia" w:ascii="仿宋" w:hAnsi="仿宋" w:eastAsia="仿宋"/>
                <w:color w:val="000000"/>
                <w:sz w:val="24"/>
                <w:szCs w:val="24"/>
                <w:lang w:eastAsia="zh-CN"/>
              </w:rPr>
              <w:t>分包供应商名称</w:t>
            </w:r>
          </w:p>
        </w:tc>
        <w:tc>
          <w:tcPr>
            <w:tcW w:w="269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地址</w:t>
            </w:r>
          </w:p>
        </w:tc>
        <w:tc>
          <w:tcPr>
            <w:tcW w:w="368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法定代表人</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电话</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570"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营业执照号码</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资质等级</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85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拟分包的工程项目</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主要内容</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预计造价（万元）</w:t>
            </w:r>
          </w:p>
        </w:tc>
        <w:tc>
          <w:tcPr>
            <w:tcW w:w="3686"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已经做过的类似工程</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restart"/>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r>
        <w:tblPrEx>
          <w:tblCellMar>
            <w:top w:w="0" w:type="dxa"/>
            <w:left w:w="108" w:type="dxa"/>
            <w:bottom w:w="0" w:type="dxa"/>
            <w:right w:w="108" w:type="dxa"/>
          </w:tblCellMar>
        </w:tblPrEx>
        <w:trPr>
          <w:trHeight w:val="285" w:hRule="atLeast"/>
        </w:trPr>
        <w:tc>
          <w:tcPr>
            <w:tcW w:w="1701"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2694"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1417" w:type="dxa"/>
            <w:tcBorders>
              <w:top w:val="nil"/>
              <w:left w:val="nil"/>
              <w:bottom w:val="single" w:color="auto" w:sz="4" w:space="0"/>
              <w:right w:val="single" w:color="auto" w:sz="4" w:space="0"/>
            </w:tcBorders>
            <w:shd w:val="clear" w:color="auto" w:fill="auto"/>
            <w:vAlign w:val="center"/>
          </w:tcPr>
          <w:p>
            <w:pPr>
              <w:widowControl/>
              <w:autoSpaceDE/>
              <w:autoSpaceDN/>
              <w:rPr>
                <w:rFonts w:ascii="仿宋" w:hAnsi="仿宋" w:eastAsia="仿宋"/>
                <w:color w:val="000000"/>
                <w:sz w:val="24"/>
                <w:szCs w:val="24"/>
                <w:lang w:eastAsia="zh-CN"/>
              </w:rPr>
            </w:pPr>
            <w:r>
              <w:rPr>
                <w:rFonts w:hint="eastAsia" w:ascii="仿宋" w:hAnsi="仿宋" w:eastAsia="仿宋"/>
                <w:color w:val="000000"/>
                <w:sz w:val="24"/>
                <w:szCs w:val="24"/>
                <w:lang w:eastAsia="zh-CN"/>
              </w:rPr>
              <w:t>　</w:t>
            </w:r>
          </w:p>
        </w:tc>
        <w:tc>
          <w:tcPr>
            <w:tcW w:w="3686" w:type="dxa"/>
            <w:vMerge w:val="continue"/>
            <w:tcBorders>
              <w:top w:val="nil"/>
              <w:left w:val="single" w:color="auto" w:sz="4" w:space="0"/>
              <w:bottom w:val="single" w:color="auto" w:sz="4" w:space="0"/>
              <w:right w:val="single" w:color="auto" w:sz="4" w:space="0"/>
            </w:tcBorders>
            <w:vAlign w:val="center"/>
          </w:tcPr>
          <w:p>
            <w:pPr>
              <w:widowControl/>
              <w:autoSpaceDE/>
              <w:autoSpaceDN/>
              <w:rPr>
                <w:rFonts w:ascii="仿宋" w:hAnsi="仿宋" w:eastAsia="仿宋"/>
                <w:color w:val="000000"/>
                <w:sz w:val="24"/>
                <w:szCs w:val="24"/>
                <w:lang w:eastAsia="zh-CN"/>
              </w:rPr>
            </w:pPr>
          </w:p>
        </w:tc>
      </w:tr>
    </w:tbl>
    <w:p>
      <w:pPr>
        <w:pStyle w:val="17"/>
        <w:adjustRightInd w:val="0"/>
        <w:snapToGrid w:val="0"/>
        <w:spacing w:line="276" w:lineRule="auto"/>
        <w:rPr>
          <w:rFonts w:ascii="仿宋" w:hAnsi="仿宋" w:eastAsia="仿宋" w:cs="Times New Roman"/>
          <w:snapToGrid w:val="0"/>
          <w:sz w:val="24"/>
          <w:szCs w:val="24"/>
        </w:rPr>
      </w:pPr>
    </w:p>
    <w:p>
      <w:pPr>
        <w:spacing w:line="276" w:lineRule="auto"/>
        <w:rPr>
          <w:rFonts w:ascii="仿宋" w:hAnsi="仿宋" w:eastAsia="仿宋" w:cs="Times New Roman"/>
          <w:snapToGrid w:val="0"/>
          <w:sz w:val="24"/>
          <w:szCs w:val="24"/>
        </w:rPr>
      </w:pPr>
      <w:r>
        <w:rPr>
          <w:rFonts w:ascii="仿宋" w:hAnsi="仿宋" w:eastAsia="仿宋" w:cs="Times New Roman"/>
          <w:snapToGrid w:val="0"/>
          <w:sz w:val="24"/>
          <w:szCs w:val="24"/>
        </w:rPr>
        <w:br w:type="page"/>
      </w:r>
    </w:p>
    <w:p>
      <w:pPr>
        <w:pStyle w:val="3"/>
        <w:spacing w:line="276" w:lineRule="auto"/>
        <w:jc w:val="center"/>
        <w:rPr>
          <w:rFonts w:ascii="仿宋" w:hAnsi="仿宋" w:eastAsia="仿宋"/>
          <w:b/>
          <w:bCs/>
          <w:snapToGrid w:val="0"/>
          <w:sz w:val="32"/>
          <w:szCs w:val="32"/>
          <w:lang w:eastAsia="zh-CN"/>
        </w:rPr>
      </w:pPr>
      <w:bookmarkStart w:id="440" w:name="扫描0069"/>
      <w:bookmarkEnd w:id="440"/>
      <w:bookmarkStart w:id="441" w:name="扫描0068"/>
      <w:bookmarkEnd w:id="441"/>
      <w:bookmarkStart w:id="442" w:name="_Toc30506"/>
      <w:bookmarkStart w:id="443" w:name="_Toc94149573"/>
      <w:bookmarkStart w:id="444" w:name="_Toc99483756"/>
      <w:r>
        <w:rPr>
          <w:rFonts w:hint="eastAsia" w:ascii="仿宋" w:hAnsi="仿宋" w:eastAsia="仿宋"/>
          <w:b/>
          <w:bCs/>
          <w:snapToGrid w:val="0"/>
          <w:sz w:val="32"/>
          <w:szCs w:val="32"/>
          <w:lang w:eastAsia="zh-CN"/>
        </w:rPr>
        <w:t>十</w:t>
      </w:r>
      <w:r>
        <w:rPr>
          <w:rFonts w:ascii="仿宋" w:hAnsi="仿宋" w:eastAsia="仿宋"/>
          <w:b/>
          <w:bCs/>
          <w:snapToGrid w:val="0"/>
          <w:sz w:val="32"/>
          <w:szCs w:val="32"/>
          <w:lang w:eastAsia="zh-CN"/>
        </w:rPr>
        <w:t>、</w:t>
      </w:r>
      <w:r>
        <w:rPr>
          <w:rFonts w:hint="eastAsia" w:ascii="仿宋" w:hAnsi="仿宋" w:eastAsia="仿宋"/>
          <w:b/>
          <w:bCs/>
          <w:snapToGrid w:val="0"/>
          <w:sz w:val="32"/>
          <w:szCs w:val="32"/>
          <w:lang w:eastAsia="zh-CN"/>
        </w:rPr>
        <w:t>廉洁承诺书</w:t>
      </w:r>
      <w:bookmarkEnd w:id="442"/>
      <w:bookmarkEnd w:id="443"/>
      <w:bookmarkEnd w:id="444"/>
    </w:p>
    <w:p>
      <w:pPr>
        <w:rPr>
          <w:rFonts w:eastAsia="仿宋"/>
          <w:lang w:eastAsia="zh-CN"/>
        </w:rPr>
      </w:pPr>
    </w:p>
    <w:p>
      <w:pPr>
        <w:adjustRightInd w:val="0"/>
        <w:spacing w:before="240" w:line="360" w:lineRule="auto"/>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中粮</w:t>
      </w:r>
      <w:r>
        <w:rPr>
          <w:rFonts w:hint="eastAsia" w:eastAsia="仿宋" w:asciiTheme="minorEastAsia" w:hAnsiTheme="minorEastAsia"/>
          <w:sz w:val="24"/>
          <w:szCs w:val="24"/>
          <w:lang w:val="en-US" w:eastAsia="zh-CN"/>
        </w:rPr>
        <w:t>梁河糖业</w:t>
      </w:r>
      <w:r>
        <w:rPr>
          <w:rFonts w:hint="eastAsia" w:eastAsia="仿宋" w:asciiTheme="minorEastAsia" w:hAnsiTheme="minorEastAsia"/>
          <w:sz w:val="24"/>
          <w:szCs w:val="24"/>
          <w:lang w:eastAsia="zh-CN"/>
        </w:rPr>
        <w:t>有限公司：</w:t>
      </w:r>
    </w:p>
    <w:p>
      <w:pPr>
        <w:adjustRightInd w:val="0"/>
        <w:spacing w:before="240" w:line="360" w:lineRule="auto"/>
        <w:ind w:firstLine="480" w:firstLineChars="20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w:t>
      </w:r>
      <w:r>
        <w:rPr>
          <w:rFonts w:hint="eastAsia" w:eastAsia="仿宋" w:asciiTheme="minorEastAsia" w:hAnsiTheme="minorEastAsia"/>
          <w:sz w:val="24"/>
          <w:szCs w:val="24"/>
          <w:lang w:eastAsia="zh-CN"/>
        </w:rPr>
        <w:t>自觉遵守国家法律法规及中粮糖业控股股份有限公司有关廉政建设制度。</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2.</w:t>
      </w:r>
      <w:r>
        <w:rPr>
          <w:rFonts w:hint="eastAsia" w:eastAsia="仿宋" w:asciiTheme="minorEastAsia" w:hAnsiTheme="minorEastAsia"/>
          <w:sz w:val="24"/>
          <w:szCs w:val="24"/>
          <w:lang w:eastAsia="zh-CN"/>
        </w:rPr>
        <w:t>不使用不正当手段妨碍、排挤其它供应商或串通响应报价。</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3.</w:t>
      </w:r>
      <w:r>
        <w:rPr>
          <w:rFonts w:hint="eastAsia" w:eastAsia="仿宋" w:asciiTheme="minorEastAsia" w:hAnsiTheme="minorEastAsia"/>
          <w:sz w:val="24"/>
          <w:szCs w:val="24"/>
          <w:lang w:eastAsia="zh-CN"/>
        </w:rPr>
        <w:t>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4.</w:t>
      </w:r>
      <w:r>
        <w:rPr>
          <w:rFonts w:hint="eastAsia" w:eastAsia="仿宋" w:asciiTheme="minorEastAsia" w:hAnsiTheme="minorEastAsia"/>
          <w:sz w:val="24"/>
          <w:szCs w:val="24"/>
          <w:lang w:eastAsia="zh-CN"/>
        </w:rPr>
        <w:t>不将主体、关键性工作进行分包（包括转包等）。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5.</w:t>
      </w:r>
      <w:r>
        <w:rPr>
          <w:rFonts w:hint="eastAsia" w:eastAsia="仿宋" w:asciiTheme="minorEastAsia" w:hAnsiTheme="minorEastAsia"/>
          <w:sz w:val="24"/>
          <w:szCs w:val="24"/>
          <w:lang w:eastAsia="zh-CN"/>
        </w:rPr>
        <w:t>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6.</w:t>
      </w:r>
      <w:r>
        <w:rPr>
          <w:rFonts w:hint="eastAsia" w:eastAsia="仿宋" w:asciiTheme="minorEastAsia" w:hAnsiTheme="minorEastAsia"/>
          <w:sz w:val="24"/>
          <w:szCs w:val="24"/>
          <w:lang w:eastAsia="zh-CN"/>
        </w:rPr>
        <w:t>不向贵公司涉及采购的部门及个人支付好处费、介绍费；购置或提供通讯工具、交通工具、电脑等。</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7.</w:t>
      </w:r>
      <w:r>
        <w:rPr>
          <w:rFonts w:hint="eastAsia" w:eastAsia="仿宋" w:asciiTheme="minorEastAsia" w:hAnsiTheme="minorEastAsia"/>
          <w:sz w:val="24"/>
          <w:szCs w:val="24"/>
          <w:lang w:eastAsia="zh-CN"/>
        </w:rPr>
        <w:t>一旦发现相关人员在采购过程中有索要财物等不廉洁行为，坚决予以抵制，并及时向贵公司举报。</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8.</w:t>
      </w:r>
      <w:r>
        <w:rPr>
          <w:rFonts w:hint="eastAsia" w:eastAsia="仿宋" w:asciiTheme="minorEastAsia" w:hAnsiTheme="minorEastAsia"/>
          <w:sz w:val="24"/>
          <w:szCs w:val="24"/>
          <w:lang w:eastAsia="zh-CN"/>
        </w:rPr>
        <w:t>我方自愿将本承诺书作为响应文件及合同的附件，具有同等的法律效力。</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9.</w:t>
      </w:r>
      <w:r>
        <w:rPr>
          <w:rFonts w:hint="eastAsia" w:eastAsia="仿宋" w:asciiTheme="minorEastAsia" w:hAnsiTheme="minorEastAsia"/>
          <w:sz w:val="24"/>
          <w:szCs w:val="24"/>
          <w:lang w:eastAsia="zh-CN"/>
        </w:rPr>
        <w:t>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eastAsia="仿宋" w:asciiTheme="minorEastAsia" w:hAnsiTheme="minorEastAsia"/>
          <w:sz w:val="24"/>
          <w:szCs w:val="24"/>
          <w:lang w:eastAsia="zh-CN"/>
        </w:rPr>
      </w:pPr>
      <w:r>
        <w:rPr>
          <w:rFonts w:eastAsia="仿宋" w:asciiTheme="minorEastAsia" w:hAnsiTheme="minorEastAsia"/>
          <w:sz w:val="24"/>
          <w:szCs w:val="24"/>
          <w:lang w:eastAsia="zh-CN"/>
        </w:rPr>
        <w:t>10.</w:t>
      </w:r>
      <w:r>
        <w:rPr>
          <w:rFonts w:hint="eastAsia" w:eastAsia="仿宋" w:asciiTheme="minorEastAsia" w:hAnsiTheme="minorEastAsia"/>
          <w:sz w:val="24"/>
          <w:szCs w:val="24"/>
          <w:lang w:eastAsia="zh-CN"/>
        </w:rPr>
        <w:t>本承诺书自签署之日起生效。</w:t>
      </w:r>
    </w:p>
    <w:p>
      <w:pPr>
        <w:adjustRightInd w:val="0"/>
        <w:spacing w:line="360" w:lineRule="auto"/>
        <w:ind w:firstLine="3000" w:firstLineChars="1250"/>
        <w:rPr>
          <w:rFonts w:eastAsia="仿宋" w:asciiTheme="minorEastAsia" w:hAnsiTheme="minorEastAsia"/>
          <w:sz w:val="24"/>
          <w:szCs w:val="24"/>
          <w:lang w:eastAsia="zh-CN"/>
        </w:rPr>
      </w:pPr>
    </w:p>
    <w:p>
      <w:pPr>
        <w:adjustRightInd w:val="0"/>
        <w:spacing w:line="360" w:lineRule="auto"/>
        <w:rPr>
          <w:rFonts w:eastAsia="仿宋" w:asciiTheme="minorEastAsia" w:hAnsiTheme="minorEastAsia"/>
          <w:sz w:val="24"/>
          <w:szCs w:val="24"/>
          <w:lang w:eastAsia="zh-CN"/>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日期：</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月</w:t>
      </w:r>
      <w:r>
        <w:rPr>
          <w:rFonts w:eastAsia="仿宋" w:asciiTheme="minorEastAsia" w:hAnsiTheme="minorEastAsia"/>
          <w:sz w:val="24"/>
          <w:szCs w:val="24"/>
          <w:u w:val="single"/>
          <w:lang w:eastAsia="zh-CN"/>
        </w:rPr>
        <w:t xml:space="preserve">   </w:t>
      </w:r>
      <w:r>
        <w:rPr>
          <w:rFonts w:hint="eastAsia" w:eastAsia="仿宋" w:asciiTheme="minorEastAsia" w:hAnsiTheme="minorEastAsia"/>
          <w:sz w:val="24"/>
          <w:szCs w:val="24"/>
          <w:lang w:eastAsia="zh-CN"/>
        </w:rPr>
        <w:t>日</w:t>
      </w:r>
    </w:p>
    <w:p>
      <w:pPr>
        <w:rPr>
          <w:rFonts w:eastAsia="仿宋" w:asciiTheme="minorEastAsia" w:hAnsiTheme="minorEastAsia"/>
          <w:snapToGrid w:val="0"/>
          <w:sz w:val="24"/>
          <w:szCs w:val="24"/>
          <w:lang w:eastAsia="zh-CN"/>
        </w:rPr>
      </w:pPr>
      <w:r>
        <w:rPr>
          <w:rFonts w:eastAsia="仿宋" w:asciiTheme="minorEastAsia" w:hAnsiTheme="minorEastAsia"/>
          <w:snapToGrid w:val="0"/>
          <w:sz w:val="24"/>
          <w:szCs w:val="24"/>
          <w:lang w:eastAsia="zh-CN"/>
        </w:rPr>
        <w:br w:type="page"/>
      </w:r>
    </w:p>
    <w:p>
      <w:pPr>
        <w:rPr>
          <w:rFonts w:eastAsia="仿宋"/>
          <w:lang w:eastAsia="zh-CN"/>
        </w:rPr>
      </w:pPr>
    </w:p>
    <w:p>
      <w:pPr>
        <w:pStyle w:val="3"/>
        <w:jc w:val="center"/>
        <w:rPr>
          <w:rFonts w:eastAsia="仿宋" w:asciiTheme="minorEastAsia" w:hAnsiTheme="minorEastAsia"/>
          <w:b/>
          <w:bCs/>
          <w:snapToGrid w:val="0"/>
          <w:sz w:val="32"/>
          <w:szCs w:val="32"/>
          <w:lang w:eastAsia="zh-CN"/>
        </w:rPr>
      </w:pPr>
      <w:bookmarkStart w:id="445" w:name="_Toc99483757"/>
      <w:bookmarkStart w:id="446" w:name="_Toc500"/>
      <w:bookmarkStart w:id="447" w:name="_Toc94149574"/>
      <w:r>
        <w:rPr>
          <w:rFonts w:hint="eastAsia" w:eastAsia="仿宋" w:asciiTheme="minorEastAsia" w:hAnsiTheme="minorEastAsia"/>
          <w:b/>
          <w:bCs/>
          <w:snapToGrid w:val="0"/>
          <w:sz w:val="32"/>
          <w:szCs w:val="32"/>
          <w:lang w:eastAsia="zh-CN"/>
        </w:rPr>
        <w:t>十一、保密承诺书</w:t>
      </w:r>
      <w:bookmarkEnd w:id="445"/>
      <w:bookmarkEnd w:id="446"/>
      <w:bookmarkEnd w:id="447"/>
    </w:p>
    <w:p>
      <w:pPr>
        <w:rPr>
          <w:rFonts w:eastAsia="仿宋"/>
          <w:lang w:eastAsia="zh-CN"/>
        </w:rPr>
      </w:pPr>
    </w:p>
    <w:p>
      <w:pPr>
        <w:pStyle w:val="17"/>
        <w:spacing w:line="560" w:lineRule="exact"/>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中粮</w:t>
      </w:r>
      <w:r>
        <w:rPr>
          <w:rFonts w:hint="eastAsia" w:eastAsia="仿宋" w:cs="仿宋_GB2312" w:asciiTheme="minorEastAsia" w:hAnsiTheme="minorEastAsia"/>
          <w:sz w:val="24"/>
          <w:szCs w:val="24"/>
          <w:lang w:val="en-US" w:eastAsia="zh-CN" w:bidi="ar"/>
        </w:rPr>
        <w:t>梁河糖业有限公司</w:t>
      </w:r>
      <w:r>
        <w:rPr>
          <w:rFonts w:hint="eastAsia" w:eastAsia="仿宋" w:cs="仿宋_GB2312" w:asciiTheme="minorEastAsia" w:hAnsiTheme="minorEastAsia"/>
          <w:sz w:val="24"/>
          <w:szCs w:val="24"/>
          <w:lang w:eastAsia="zh-CN" w:bidi="ar"/>
        </w:rPr>
        <w:t>有限公司：</w:t>
      </w:r>
    </w:p>
    <w:p>
      <w:pPr>
        <w:pStyle w:val="17"/>
        <w:tabs>
          <w:tab w:val="left" w:pos="6626"/>
        </w:tabs>
        <w:spacing w:before="240" w:line="360" w:lineRule="auto"/>
        <w:ind w:right="382"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鉴于我方自愿参加</w:t>
      </w:r>
      <w:r>
        <w:rPr>
          <w:rFonts w:hint="eastAsia" w:eastAsia="仿宋" w:cs="仿宋_GB2312" w:asciiTheme="minorEastAsia" w:hAnsiTheme="minorEastAsia"/>
          <w:sz w:val="24"/>
          <w:szCs w:val="24"/>
          <w:u w:val="single"/>
          <w:lang w:eastAsia="zh-CN" w:bidi="ar"/>
        </w:rPr>
        <w:t>2023年梁河糖业勐养芒东工新建物资库项目</w:t>
      </w:r>
      <w:r>
        <w:rPr>
          <w:rFonts w:eastAsia="仿宋" w:cs="仿宋_GB2312" w:asciiTheme="minorEastAsia" w:hAnsiTheme="minorEastAsia"/>
          <w:sz w:val="24"/>
          <w:szCs w:val="24"/>
          <w:u w:val="single"/>
          <w:lang w:eastAsia="zh-CN" w:bidi="ar"/>
        </w:rPr>
        <w:t>项目</w:t>
      </w:r>
      <w:r>
        <w:rPr>
          <w:rFonts w:hint="eastAsia" w:eastAsia="仿宋" w:cs="仿宋_GB2312" w:asciiTheme="minorEastAsia" w:hAnsiTheme="minorEastAsia"/>
          <w:sz w:val="24"/>
          <w:szCs w:val="24"/>
          <w:lang w:eastAsia="zh-CN" w:bidi="ar"/>
        </w:rPr>
        <w:t>采购活动，我方现就有关保密义务事项作出如下承诺：</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我方保证，未经采购人书面同意</w:t>
      </w:r>
      <w:r>
        <w:rPr>
          <w:rFonts w:eastAsia="仿宋" w:cs="仿宋_GB2312" w:asciiTheme="minorEastAsia" w:hAnsiTheme="minorEastAsia"/>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我方保证，如为本合同目的确实需要向第三方披露对方的敏感信息，需事先得到采购人的书面许可，并与该第三方签订保密合同。</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我方同意采取任何必要的，以及采购人要求的合理措施，保护采购人提供的敏感信息。</w:t>
      </w:r>
    </w:p>
    <w:p>
      <w:pPr>
        <w:pStyle w:val="17"/>
        <w:numPr>
          <w:ilvl w:val="0"/>
          <w:numId w:val="22"/>
        </w:numPr>
        <w:autoSpaceDE/>
        <w:autoSpaceDN/>
        <w:spacing w:line="360" w:lineRule="auto"/>
        <w:ind w:right="379" w:firstLine="482"/>
        <w:jc w:val="both"/>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pPr>
        <w:pStyle w:val="17"/>
        <w:spacing w:line="360" w:lineRule="auto"/>
        <w:ind w:firstLine="482"/>
        <w:rPr>
          <w:rFonts w:eastAsia="仿宋" w:cs="仿宋_GB2312" w:asciiTheme="minorEastAsia" w:hAnsiTheme="minorEastAsia"/>
          <w:sz w:val="24"/>
          <w:szCs w:val="24"/>
          <w:lang w:eastAsia="zh-CN" w:bidi="ar"/>
        </w:rPr>
      </w:pPr>
      <w:r>
        <w:rPr>
          <w:rFonts w:hint="eastAsia" w:eastAsia="仿宋" w:cs="仿宋_GB2312" w:asciiTheme="minorEastAsia" w:hAnsiTheme="minorEastAsia"/>
          <w:sz w:val="24"/>
          <w:szCs w:val="24"/>
          <w:lang w:eastAsia="zh-CN" w:bidi="ar"/>
        </w:rPr>
        <w:t>特此承诺。</w:t>
      </w:r>
    </w:p>
    <w:p>
      <w:pPr>
        <w:pStyle w:val="17"/>
        <w:spacing w:line="560" w:lineRule="exact"/>
        <w:ind w:left="440" w:firstLine="640"/>
        <w:rPr>
          <w:rFonts w:eastAsia="仿宋" w:cs="仿宋_GB2312" w:asciiTheme="minorEastAsia" w:hAnsiTheme="minorEastAsia"/>
          <w:sz w:val="24"/>
          <w:szCs w:val="24"/>
          <w:lang w:eastAsia="zh-CN" w:bidi="ar"/>
        </w:rPr>
      </w:pP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供应商（盖单位公章）：</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lang w:eastAsia="zh-CN"/>
        </w:rPr>
      </w:pPr>
      <w:r>
        <w:rPr>
          <w:rFonts w:hint="eastAsia" w:eastAsia="仿宋" w:asciiTheme="minorEastAsia" w:hAnsiTheme="minorEastAsia"/>
          <w:sz w:val="24"/>
          <w:szCs w:val="24"/>
          <w:lang w:eastAsia="zh-CN"/>
        </w:rPr>
        <w:t>法定代表人或授权代理人（签名）：</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lang w:eastAsia="zh-CN"/>
        </w:rPr>
        <w:t xml:space="preserve">         </w:t>
      </w:r>
    </w:p>
    <w:p>
      <w:pPr>
        <w:adjustRightInd w:val="0"/>
        <w:spacing w:line="360" w:lineRule="auto"/>
        <w:ind w:firstLine="3000" w:firstLineChars="1250"/>
        <w:rPr>
          <w:rFonts w:eastAsia="仿宋" w:asciiTheme="minorEastAsia" w:hAnsiTheme="minorEastAsia"/>
          <w:sz w:val="24"/>
          <w:szCs w:val="24"/>
        </w:rPr>
      </w:pPr>
      <w:r>
        <w:rPr>
          <w:rFonts w:hint="eastAsia" w:eastAsia="仿宋" w:asciiTheme="minorEastAsia" w:hAnsiTheme="minorEastAsia"/>
          <w:sz w:val="24"/>
          <w:szCs w:val="24"/>
        </w:rPr>
        <w:t>日期：</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年</w:t>
      </w:r>
      <w:r>
        <w:rPr>
          <w:rFonts w:hint="eastAsia" w:eastAsia="仿宋" w:asciiTheme="minorEastAsia" w:hAnsiTheme="minorEastAsia"/>
          <w:sz w:val="24"/>
          <w:szCs w:val="24"/>
          <w:u w:val="single"/>
          <w:lang w:eastAsia="zh-CN"/>
        </w:rPr>
        <w:t xml:space="preserve">  </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月</w:t>
      </w:r>
      <w:r>
        <w:rPr>
          <w:rFonts w:eastAsia="仿宋" w:asciiTheme="minorEastAsia" w:hAnsiTheme="minorEastAsia"/>
          <w:sz w:val="24"/>
          <w:szCs w:val="24"/>
          <w:u w:val="single"/>
        </w:rPr>
        <w:t xml:space="preserve">   </w:t>
      </w:r>
      <w:r>
        <w:rPr>
          <w:rFonts w:hint="eastAsia" w:eastAsia="仿宋" w:asciiTheme="minorEastAsia" w:hAnsiTheme="minorEastAsia"/>
          <w:sz w:val="24"/>
          <w:szCs w:val="24"/>
        </w:rPr>
        <w:t>日</w:t>
      </w:r>
    </w:p>
    <w:p>
      <w:pPr>
        <w:spacing w:line="560" w:lineRule="exact"/>
        <w:rPr>
          <w:rFonts w:ascii="仿宋" w:hAnsi="仿宋" w:eastAsia="仿宋"/>
          <w:snapToGrid w:val="0"/>
          <w:sz w:val="24"/>
          <w:szCs w:val="24"/>
          <w:lang w:eastAsia="zh-CN"/>
        </w:rPr>
      </w:pPr>
    </w:p>
    <w:sectPr>
      <w:pgSz w:w="11910" w:h="16840"/>
      <w:pgMar w:top="1191" w:right="1191" w:bottom="1191" w:left="1191" w:header="720" w:footer="720" w:gutter="0"/>
      <w:cols w:space="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TimesNewRomanPSMT">
    <w:altName w:val="方正舒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Apple Color Emoji">
    <w:altName w:val="Calibri"/>
    <w:panose1 w:val="00000000000000000000"/>
    <w:charset w:val="00"/>
    <w:family w:val="auto"/>
    <w:pitch w:val="default"/>
    <w:sig w:usb0="00000000" w:usb1="00000000" w:usb2="14000000" w:usb3="00000000" w:csb0="0000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148379"/>
    </w:sdtPr>
    <w:sdtContent>
      <w:sdt>
        <w:sdtPr>
          <w:id w:val="1728636285"/>
        </w:sdtPr>
        <w:sdtContent>
          <w:p>
            <w:pPr>
              <w:pStyle w:val="2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100</w:t>
            </w:r>
            <w:r>
              <w:rPr>
                <w:b/>
                <w:bCs/>
                <w:sz w:val="24"/>
                <w:szCs w:val="24"/>
              </w:rPr>
              <w:fldChar w:fldCharType="end"/>
            </w:r>
          </w:p>
        </w:sdtContent>
      </w:sdt>
    </w:sdtContent>
  </w:sdt>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BA1D8"/>
    <w:multiLevelType w:val="singleLevel"/>
    <w:tmpl w:val="82ABA1D8"/>
    <w:lvl w:ilvl="0" w:tentative="0">
      <w:start w:val="6"/>
      <w:numFmt w:val="chineseCounting"/>
      <w:suff w:val="nothing"/>
      <w:lvlText w:val="%1、"/>
      <w:lvlJc w:val="left"/>
      <w:rPr>
        <w:rFonts w:hint="eastAsia"/>
      </w:rPr>
    </w:lvl>
  </w:abstractNum>
  <w:abstractNum w:abstractNumId="1">
    <w:nsid w:val="B04970E7"/>
    <w:multiLevelType w:val="singleLevel"/>
    <w:tmpl w:val="B04970E7"/>
    <w:lvl w:ilvl="0" w:tentative="0">
      <w:start w:val="1"/>
      <w:numFmt w:val="chineseCounting"/>
      <w:suff w:val="nothing"/>
      <w:lvlText w:val="%1、"/>
      <w:lvlJc w:val="left"/>
      <w:rPr>
        <w:rFonts w:hint="eastAsia"/>
      </w:rPr>
    </w:lvl>
  </w:abstractNum>
  <w:abstractNum w:abstractNumId="2">
    <w:nsid w:val="E79FF2A9"/>
    <w:multiLevelType w:val="singleLevel"/>
    <w:tmpl w:val="E79FF2A9"/>
    <w:lvl w:ilvl="0" w:tentative="0">
      <w:start w:val="14"/>
      <w:numFmt w:val="decimal"/>
      <w:suff w:val="nothing"/>
      <w:lvlText w:val="%1、"/>
      <w:lvlJc w:val="left"/>
    </w:lvl>
  </w:abstractNum>
  <w:abstractNum w:abstractNumId="3">
    <w:nsid w:val="01DE3DE9"/>
    <w:multiLevelType w:val="multilevel"/>
    <w:tmpl w:val="01DE3DE9"/>
    <w:lvl w:ilvl="0" w:tentative="0">
      <w:start w:val="1"/>
      <w:numFmt w:val="decimal"/>
      <w:lvlText w:val="(%1)"/>
      <w:lvlJc w:val="left"/>
      <w:pPr>
        <w:ind w:left="616" w:hanging="281"/>
      </w:pPr>
      <w:rPr>
        <w:rFonts w:hint="default" w:ascii="Times New Roman" w:hAnsi="Times New Roman" w:eastAsia="Times New Roman" w:cs="Times New Roman"/>
        <w:spacing w:val="-18"/>
        <w:w w:val="99"/>
        <w:sz w:val="22"/>
        <w:szCs w:val="22"/>
      </w:rPr>
    </w:lvl>
    <w:lvl w:ilvl="1" w:tentative="0">
      <w:start w:val="0"/>
      <w:numFmt w:val="bullet"/>
      <w:lvlText w:val="•"/>
      <w:lvlJc w:val="left"/>
      <w:pPr>
        <w:ind w:left="1102" w:hanging="281"/>
      </w:pPr>
      <w:rPr>
        <w:rFonts w:hint="default"/>
      </w:rPr>
    </w:lvl>
    <w:lvl w:ilvl="2" w:tentative="0">
      <w:start w:val="0"/>
      <w:numFmt w:val="bullet"/>
      <w:lvlText w:val="•"/>
      <w:lvlJc w:val="left"/>
      <w:pPr>
        <w:ind w:left="1584" w:hanging="281"/>
      </w:pPr>
      <w:rPr>
        <w:rFonts w:hint="default"/>
      </w:rPr>
    </w:lvl>
    <w:lvl w:ilvl="3" w:tentative="0">
      <w:start w:val="0"/>
      <w:numFmt w:val="bullet"/>
      <w:lvlText w:val="•"/>
      <w:lvlJc w:val="left"/>
      <w:pPr>
        <w:ind w:left="2066" w:hanging="281"/>
      </w:pPr>
      <w:rPr>
        <w:rFonts w:hint="default"/>
      </w:rPr>
    </w:lvl>
    <w:lvl w:ilvl="4" w:tentative="0">
      <w:start w:val="0"/>
      <w:numFmt w:val="bullet"/>
      <w:lvlText w:val="•"/>
      <w:lvlJc w:val="left"/>
      <w:pPr>
        <w:ind w:left="2549" w:hanging="281"/>
      </w:pPr>
      <w:rPr>
        <w:rFonts w:hint="default"/>
      </w:rPr>
    </w:lvl>
    <w:lvl w:ilvl="5" w:tentative="0">
      <w:start w:val="0"/>
      <w:numFmt w:val="bullet"/>
      <w:lvlText w:val="•"/>
      <w:lvlJc w:val="left"/>
      <w:pPr>
        <w:ind w:left="3031" w:hanging="281"/>
      </w:pPr>
      <w:rPr>
        <w:rFonts w:hint="default"/>
      </w:rPr>
    </w:lvl>
    <w:lvl w:ilvl="6" w:tentative="0">
      <w:start w:val="0"/>
      <w:numFmt w:val="bullet"/>
      <w:lvlText w:val="•"/>
      <w:lvlJc w:val="left"/>
      <w:pPr>
        <w:ind w:left="3513" w:hanging="281"/>
      </w:pPr>
      <w:rPr>
        <w:rFonts w:hint="default"/>
      </w:rPr>
    </w:lvl>
    <w:lvl w:ilvl="7" w:tentative="0">
      <w:start w:val="0"/>
      <w:numFmt w:val="bullet"/>
      <w:lvlText w:val="•"/>
      <w:lvlJc w:val="left"/>
      <w:pPr>
        <w:ind w:left="3996" w:hanging="281"/>
      </w:pPr>
      <w:rPr>
        <w:rFonts w:hint="default"/>
      </w:rPr>
    </w:lvl>
    <w:lvl w:ilvl="8" w:tentative="0">
      <w:start w:val="0"/>
      <w:numFmt w:val="bullet"/>
      <w:lvlText w:val="•"/>
      <w:lvlJc w:val="left"/>
      <w:pPr>
        <w:ind w:left="4478" w:hanging="281"/>
      </w:pPr>
      <w:rPr>
        <w:rFonts w:hint="default"/>
      </w:rPr>
    </w:lvl>
  </w:abstractNum>
  <w:abstractNum w:abstractNumId="4">
    <w:nsid w:val="082D6598"/>
    <w:multiLevelType w:val="multilevel"/>
    <w:tmpl w:val="082D6598"/>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8D12C30"/>
    <w:multiLevelType w:val="singleLevel"/>
    <w:tmpl w:val="08D12C30"/>
    <w:lvl w:ilvl="0" w:tentative="0">
      <w:start w:val="3"/>
      <w:numFmt w:val="chineseCounting"/>
      <w:suff w:val="nothing"/>
      <w:lvlText w:val="%1、"/>
      <w:lvlJc w:val="left"/>
      <w:rPr>
        <w:rFonts w:hint="eastAsia"/>
      </w:rPr>
    </w:lvl>
  </w:abstractNum>
  <w:abstractNum w:abstractNumId="6">
    <w:nsid w:val="0E7E3735"/>
    <w:multiLevelType w:val="multilevel"/>
    <w:tmpl w:val="0E7E3735"/>
    <w:lvl w:ilvl="0" w:tentative="0">
      <w:start w:val="1"/>
      <w:numFmt w:val="decimal"/>
      <w:lvlText w:val="(%1)"/>
      <w:lvlJc w:val="left"/>
      <w:pPr>
        <w:ind w:left="1531" w:hanging="509"/>
      </w:pPr>
      <w:rPr>
        <w:rFonts w:hint="default" w:ascii="Times New Roman" w:hAnsi="Times New Roman" w:eastAsia="Times New Roman" w:cs="Times New Roman"/>
        <w:w w:val="99"/>
        <w:sz w:val="24"/>
        <w:szCs w:val="24"/>
      </w:rPr>
    </w:lvl>
    <w:lvl w:ilvl="1" w:tentative="0">
      <w:start w:val="0"/>
      <w:numFmt w:val="bullet"/>
      <w:lvlText w:val="•"/>
      <w:lvlJc w:val="left"/>
      <w:pPr>
        <w:ind w:left="2396" w:hanging="509"/>
      </w:pPr>
      <w:rPr>
        <w:rFonts w:hint="default"/>
      </w:rPr>
    </w:lvl>
    <w:lvl w:ilvl="2" w:tentative="0">
      <w:start w:val="0"/>
      <w:numFmt w:val="bullet"/>
      <w:lvlText w:val="•"/>
      <w:lvlJc w:val="left"/>
      <w:pPr>
        <w:ind w:left="3252" w:hanging="509"/>
      </w:pPr>
      <w:rPr>
        <w:rFonts w:hint="default"/>
      </w:rPr>
    </w:lvl>
    <w:lvl w:ilvl="3" w:tentative="0">
      <w:start w:val="0"/>
      <w:numFmt w:val="bullet"/>
      <w:lvlText w:val="•"/>
      <w:lvlJc w:val="left"/>
      <w:pPr>
        <w:ind w:left="4109" w:hanging="509"/>
      </w:pPr>
      <w:rPr>
        <w:rFonts w:hint="default"/>
      </w:rPr>
    </w:lvl>
    <w:lvl w:ilvl="4" w:tentative="0">
      <w:start w:val="0"/>
      <w:numFmt w:val="bullet"/>
      <w:lvlText w:val="•"/>
      <w:lvlJc w:val="left"/>
      <w:pPr>
        <w:ind w:left="4965" w:hanging="509"/>
      </w:pPr>
      <w:rPr>
        <w:rFonts w:hint="default"/>
      </w:rPr>
    </w:lvl>
    <w:lvl w:ilvl="5" w:tentative="0">
      <w:start w:val="0"/>
      <w:numFmt w:val="bullet"/>
      <w:lvlText w:val="•"/>
      <w:lvlJc w:val="left"/>
      <w:pPr>
        <w:ind w:left="5822" w:hanging="509"/>
      </w:pPr>
      <w:rPr>
        <w:rFonts w:hint="default"/>
      </w:rPr>
    </w:lvl>
    <w:lvl w:ilvl="6" w:tentative="0">
      <w:start w:val="0"/>
      <w:numFmt w:val="bullet"/>
      <w:lvlText w:val="•"/>
      <w:lvlJc w:val="left"/>
      <w:pPr>
        <w:ind w:left="6678" w:hanging="509"/>
      </w:pPr>
      <w:rPr>
        <w:rFonts w:hint="default"/>
      </w:rPr>
    </w:lvl>
    <w:lvl w:ilvl="7" w:tentative="0">
      <w:start w:val="0"/>
      <w:numFmt w:val="bullet"/>
      <w:lvlText w:val="•"/>
      <w:lvlJc w:val="left"/>
      <w:pPr>
        <w:ind w:left="7534" w:hanging="509"/>
      </w:pPr>
      <w:rPr>
        <w:rFonts w:hint="default"/>
      </w:rPr>
    </w:lvl>
    <w:lvl w:ilvl="8" w:tentative="0">
      <w:start w:val="0"/>
      <w:numFmt w:val="bullet"/>
      <w:lvlText w:val="•"/>
      <w:lvlJc w:val="left"/>
      <w:pPr>
        <w:ind w:left="8391" w:hanging="509"/>
      </w:pPr>
      <w:rPr>
        <w:rFonts w:hint="default"/>
      </w:rPr>
    </w:lvl>
  </w:abstractNum>
  <w:abstractNum w:abstractNumId="7">
    <w:nsid w:val="126674BB"/>
    <w:multiLevelType w:val="multilevel"/>
    <w:tmpl w:val="126674BB"/>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243"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8">
    <w:nsid w:val="34DF7E4D"/>
    <w:multiLevelType w:val="multilevel"/>
    <w:tmpl w:val="34DF7E4D"/>
    <w:lvl w:ilvl="0" w:tentative="0">
      <w:start w:val="3"/>
      <w:numFmt w:val="decimal"/>
      <w:lvlText w:val="%1"/>
      <w:lvlJc w:val="left"/>
      <w:pPr>
        <w:ind w:left="1118" w:hanging="276"/>
      </w:pPr>
      <w:rPr>
        <w:rFonts w:hint="default"/>
      </w:rPr>
    </w:lvl>
    <w:lvl w:ilvl="1" w:tentative="0">
      <w:start w:val="3"/>
      <w:numFmt w:val="decimal"/>
      <w:lvlText w:val="%1.%2"/>
      <w:lvlJc w:val="left"/>
      <w:pPr>
        <w:ind w:left="1118" w:hanging="276"/>
        <w:jc w:val="right"/>
      </w:pPr>
      <w:rPr>
        <w:rFonts w:hint="default" w:ascii="Times New Roman" w:hAnsi="Times New Roman" w:eastAsia="Times New Roman" w:cs="Times New Roman"/>
        <w:b/>
        <w:bCs/>
        <w:w w:val="100"/>
        <w:sz w:val="20"/>
        <w:szCs w:val="20"/>
      </w:rPr>
    </w:lvl>
    <w:lvl w:ilvl="2" w:tentative="0">
      <w:start w:val="3"/>
      <w:numFmt w:val="decimal"/>
      <w:lvlText w:val="%1.%2.%3"/>
      <w:lvlJc w:val="left"/>
      <w:pPr>
        <w:ind w:left="626"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62" w:hanging="518"/>
      </w:pPr>
      <w:rPr>
        <w:rFonts w:hint="default" w:ascii="Times New Roman" w:hAnsi="Times New Roman" w:eastAsia="Times New Roman" w:cs="Times New Roman"/>
        <w:w w:val="99"/>
        <w:sz w:val="24"/>
        <w:szCs w:val="24"/>
      </w:rPr>
    </w:lvl>
    <w:lvl w:ilvl="4" w:tentative="0">
      <w:start w:val="0"/>
      <w:numFmt w:val="bullet"/>
      <w:lvlText w:val="•"/>
      <w:lvlJc w:val="left"/>
      <w:pPr>
        <w:ind w:left="3165" w:hanging="518"/>
      </w:pPr>
      <w:rPr>
        <w:rFonts w:hint="default"/>
      </w:rPr>
    </w:lvl>
    <w:lvl w:ilvl="5" w:tentative="0">
      <w:start w:val="0"/>
      <w:numFmt w:val="bullet"/>
      <w:lvlText w:val="•"/>
      <w:lvlJc w:val="left"/>
      <w:pPr>
        <w:ind w:left="4167" w:hanging="518"/>
      </w:pPr>
      <w:rPr>
        <w:rFonts w:hint="default"/>
      </w:rPr>
    </w:lvl>
    <w:lvl w:ilvl="6" w:tentative="0">
      <w:start w:val="0"/>
      <w:numFmt w:val="bullet"/>
      <w:lvlText w:val="•"/>
      <w:lvlJc w:val="left"/>
      <w:pPr>
        <w:ind w:left="5170" w:hanging="518"/>
      </w:pPr>
      <w:rPr>
        <w:rFonts w:hint="default"/>
      </w:rPr>
    </w:lvl>
    <w:lvl w:ilvl="7" w:tentative="0">
      <w:start w:val="0"/>
      <w:numFmt w:val="bullet"/>
      <w:lvlText w:val="•"/>
      <w:lvlJc w:val="left"/>
      <w:pPr>
        <w:ind w:left="6172" w:hanging="518"/>
      </w:pPr>
      <w:rPr>
        <w:rFonts w:hint="default"/>
      </w:rPr>
    </w:lvl>
    <w:lvl w:ilvl="8" w:tentative="0">
      <w:start w:val="0"/>
      <w:numFmt w:val="bullet"/>
      <w:lvlText w:val="•"/>
      <w:lvlJc w:val="left"/>
      <w:pPr>
        <w:ind w:left="7175" w:hanging="518"/>
      </w:pPr>
      <w:rPr>
        <w:rFonts w:hint="default"/>
      </w:rPr>
    </w:lvl>
  </w:abstractNum>
  <w:abstractNum w:abstractNumId="9">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10">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pStyle w:val="223"/>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pStyle w:val="135"/>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11">
    <w:nsid w:val="513D50E0"/>
    <w:multiLevelType w:val="multilevel"/>
    <w:tmpl w:val="513D50E0"/>
    <w:lvl w:ilvl="0" w:tentative="0">
      <w:start w:val="3"/>
      <w:numFmt w:val="decimal"/>
      <w:lvlText w:val="%1"/>
      <w:lvlJc w:val="left"/>
      <w:pPr>
        <w:ind w:left="426" w:hanging="301"/>
      </w:pPr>
      <w:rPr>
        <w:rFonts w:hint="default"/>
      </w:rPr>
    </w:lvl>
    <w:lvl w:ilvl="1" w:tentative="0">
      <w:start w:val="1"/>
      <w:numFmt w:val="decimal"/>
      <w:lvlText w:val="%1.%2"/>
      <w:lvlJc w:val="left"/>
      <w:pPr>
        <w:ind w:left="426" w:hanging="301"/>
      </w:pPr>
      <w:rPr>
        <w:rFonts w:hint="default" w:ascii="Times New Roman" w:hAnsi="Times New Roman" w:eastAsia="Times New Roman" w:cs="Times New Roman"/>
        <w:w w:val="100"/>
        <w:sz w:val="22"/>
        <w:szCs w:val="22"/>
      </w:rPr>
    </w:lvl>
    <w:lvl w:ilvl="2" w:tentative="0">
      <w:start w:val="1"/>
      <w:numFmt w:val="decimal"/>
      <w:lvlText w:val="(%3)"/>
      <w:lvlJc w:val="left"/>
      <w:pPr>
        <w:ind w:left="144" w:hanging="960"/>
      </w:pPr>
      <w:rPr>
        <w:rFonts w:hint="default"/>
        <w:w w:val="99"/>
      </w:rPr>
    </w:lvl>
    <w:lvl w:ilvl="3" w:tentative="0">
      <w:start w:val="0"/>
      <w:numFmt w:val="bullet"/>
      <w:lvlText w:val="•"/>
      <w:lvlJc w:val="left"/>
      <w:pPr>
        <w:ind w:left="2389" w:hanging="960"/>
      </w:pPr>
      <w:rPr>
        <w:rFonts w:hint="default"/>
      </w:rPr>
    </w:lvl>
    <w:lvl w:ilvl="4" w:tentative="0">
      <w:start w:val="0"/>
      <w:numFmt w:val="bullet"/>
      <w:lvlText w:val="•"/>
      <w:lvlJc w:val="left"/>
      <w:pPr>
        <w:ind w:left="3639" w:hanging="960"/>
      </w:pPr>
      <w:rPr>
        <w:rFonts w:hint="default"/>
      </w:rPr>
    </w:lvl>
    <w:lvl w:ilvl="5" w:tentative="0">
      <w:start w:val="0"/>
      <w:numFmt w:val="bullet"/>
      <w:lvlText w:val="•"/>
      <w:lvlJc w:val="left"/>
      <w:pPr>
        <w:ind w:left="4888" w:hanging="960"/>
      </w:pPr>
      <w:rPr>
        <w:rFonts w:hint="default"/>
      </w:rPr>
    </w:lvl>
    <w:lvl w:ilvl="6" w:tentative="0">
      <w:start w:val="0"/>
      <w:numFmt w:val="bullet"/>
      <w:lvlText w:val="•"/>
      <w:lvlJc w:val="left"/>
      <w:pPr>
        <w:ind w:left="6138" w:hanging="960"/>
      </w:pPr>
      <w:rPr>
        <w:rFonts w:hint="default"/>
      </w:rPr>
    </w:lvl>
    <w:lvl w:ilvl="7" w:tentative="0">
      <w:start w:val="0"/>
      <w:numFmt w:val="bullet"/>
      <w:lvlText w:val="•"/>
      <w:lvlJc w:val="left"/>
      <w:pPr>
        <w:ind w:left="7387" w:hanging="960"/>
      </w:pPr>
      <w:rPr>
        <w:rFonts w:hint="default"/>
      </w:rPr>
    </w:lvl>
    <w:lvl w:ilvl="8" w:tentative="0">
      <w:start w:val="0"/>
      <w:numFmt w:val="bullet"/>
      <w:lvlText w:val="•"/>
      <w:lvlJc w:val="left"/>
      <w:pPr>
        <w:ind w:left="8637" w:hanging="960"/>
      </w:pPr>
      <w:rPr>
        <w:rFonts w:hint="default"/>
      </w:rPr>
    </w:lvl>
  </w:abstractNum>
  <w:abstractNum w:abstractNumId="12">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13">
    <w:nsid w:val="541E5CA5"/>
    <w:multiLevelType w:val="multilevel"/>
    <w:tmpl w:val="541E5CA5"/>
    <w:lvl w:ilvl="0" w:tentative="0">
      <w:start w:val="1"/>
      <w:numFmt w:val="decimal"/>
      <w:lvlText w:val="(%1)"/>
      <w:lvlJc w:val="left"/>
      <w:pPr>
        <w:ind w:left="2679" w:hanging="518"/>
      </w:pPr>
      <w:rPr>
        <w:rFonts w:hint="default" w:ascii="Times New Roman" w:hAnsi="Times New Roman" w:eastAsia="Times New Roman" w:cs="Times New Roman"/>
        <w:w w:val="99"/>
        <w:sz w:val="24"/>
        <w:szCs w:val="24"/>
      </w:rPr>
    </w:lvl>
    <w:lvl w:ilvl="1" w:tentative="0">
      <w:start w:val="0"/>
      <w:numFmt w:val="bullet"/>
      <w:lvlText w:val="•"/>
      <w:lvlJc w:val="left"/>
      <w:pPr>
        <w:ind w:left="3504" w:hanging="518"/>
      </w:pPr>
      <w:rPr>
        <w:rFonts w:hint="default"/>
      </w:rPr>
    </w:lvl>
    <w:lvl w:ilvl="2" w:tentative="0">
      <w:start w:val="0"/>
      <w:numFmt w:val="bullet"/>
      <w:lvlText w:val="•"/>
      <w:lvlJc w:val="left"/>
      <w:pPr>
        <w:ind w:left="4329" w:hanging="518"/>
      </w:pPr>
      <w:rPr>
        <w:rFonts w:hint="default"/>
      </w:rPr>
    </w:lvl>
    <w:lvl w:ilvl="3" w:tentative="0">
      <w:start w:val="0"/>
      <w:numFmt w:val="bullet"/>
      <w:lvlText w:val="•"/>
      <w:lvlJc w:val="left"/>
      <w:pPr>
        <w:ind w:left="5154" w:hanging="518"/>
      </w:pPr>
      <w:rPr>
        <w:rFonts w:hint="default"/>
      </w:rPr>
    </w:lvl>
    <w:lvl w:ilvl="4" w:tentative="0">
      <w:start w:val="0"/>
      <w:numFmt w:val="bullet"/>
      <w:lvlText w:val="•"/>
      <w:lvlJc w:val="left"/>
      <w:pPr>
        <w:ind w:left="5978" w:hanging="518"/>
      </w:pPr>
      <w:rPr>
        <w:rFonts w:hint="default"/>
      </w:rPr>
    </w:lvl>
    <w:lvl w:ilvl="5" w:tentative="0">
      <w:start w:val="0"/>
      <w:numFmt w:val="bullet"/>
      <w:lvlText w:val="•"/>
      <w:lvlJc w:val="left"/>
      <w:pPr>
        <w:ind w:left="6803" w:hanging="518"/>
      </w:pPr>
      <w:rPr>
        <w:rFonts w:hint="default"/>
      </w:rPr>
    </w:lvl>
    <w:lvl w:ilvl="6" w:tentative="0">
      <w:start w:val="0"/>
      <w:numFmt w:val="bullet"/>
      <w:lvlText w:val="•"/>
      <w:lvlJc w:val="left"/>
      <w:pPr>
        <w:ind w:left="7628" w:hanging="518"/>
      </w:pPr>
      <w:rPr>
        <w:rFonts w:hint="default"/>
      </w:rPr>
    </w:lvl>
    <w:lvl w:ilvl="7" w:tentative="0">
      <w:start w:val="0"/>
      <w:numFmt w:val="bullet"/>
      <w:lvlText w:val="•"/>
      <w:lvlJc w:val="left"/>
      <w:pPr>
        <w:ind w:left="8452" w:hanging="518"/>
      </w:pPr>
      <w:rPr>
        <w:rFonts w:hint="default"/>
      </w:rPr>
    </w:lvl>
    <w:lvl w:ilvl="8" w:tentative="0">
      <w:start w:val="0"/>
      <w:numFmt w:val="bullet"/>
      <w:lvlText w:val="•"/>
      <w:lvlJc w:val="left"/>
      <w:pPr>
        <w:ind w:left="9277" w:hanging="518"/>
      </w:pPr>
      <w:rPr>
        <w:rFonts w:hint="default"/>
      </w:rPr>
    </w:lvl>
  </w:abstractNum>
  <w:abstractNum w:abstractNumId="14">
    <w:nsid w:val="57186F7D"/>
    <w:multiLevelType w:val="multilevel"/>
    <w:tmpl w:val="57186F7D"/>
    <w:lvl w:ilvl="0" w:tentative="0">
      <w:start w:val="0"/>
      <w:numFmt w:val="bullet"/>
      <w:lvlText w:val="-"/>
      <w:lvlJc w:val="left"/>
      <w:pPr>
        <w:ind w:left="1537" w:hanging="494"/>
      </w:pPr>
      <w:rPr>
        <w:rFonts w:hint="default" w:ascii="宋体" w:hAnsi="宋体" w:eastAsia="宋体" w:cs="宋体"/>
        <w:w w:val="100"/>
        <w:position w:val="2"/>
        <w:sz w:val="26"/>
        <w:szCs w:val="26"/>
      </w:rPr>
    </w:lvl>
    <w:lvl w:ilvl="1" w:tentative="0">
      <w:start w:val="0"/>
      <w:numFmt w:val="bullet"/>
      <w:lvlText w:val="•"/>
      <w:lvlJc w:val="left"/>
      <w:pPr>
        <w:ind w:left="5230" w:hanging="144"/>
      </w:pPr>
      <w:rPr>
        <w:rFonts w:hint="default" w:ascii="Times New Roman" w:hAnsi="Times New Roman" w:eastAsia="Times New Roman" w:cs="Times New Roman"/>
        <w:w w:val="99"/>
        <w:sz w:val="24"/>
        <w:szCs w:val="24"/>
      </w:rPr>
    </w:lvl>
    <w:lvl w:ilvl="2" w:tentative="0">
      <w:start w:val="0"/>
      <w:numFmt w:val="bullet"/>
      <w:lvlText w:val="•"/>
      <w:lvlJc w:val="left"/>
      <w:pPr>
        <w:ind w:left="5635" w:hanging="144"/>
      </w:pPr>
      <w:rPr>
        <w:rFonts w:hint="default"/>
      </w:rPr>
    </w:lvl>
    <w:lvl w:ilvl="3" w:tentative="0">
      <w:start w:val="0"/>
      <w:numFmt w:val="bullet"/>
      <w:lvlText w:val="•"/>
      <w:lvlJc w:val="left"/>
      <w:pPr>
        <w:ind w:left="6031" w:hanging="144"/>
      </w:pPr>
      <w:rPr>
        <w:rFonts w:hint="default"/>
      </w:rPr>
    </w:lvl>
    <w:lvl w:ilvl="4" w:tentative="0">
      <w:start w:val="0"/>
      <w:numFmt w:val="bullet"/>
      <w:pStyle w:val="134"/>
      <w:lvlText w:val="•"/>
      <w:lvlJc w:val="left"/>
      <w:pPr>
        <w:ind w:left="6426" w:hanging="144"/>
      </w:pPr>
      <w:rPr>
        <w:rFonts w:hint="default"/>
      </w:rPr>
    </w:lvl>
    <w:lvl w:ilvl="5" w:tentative="0">
      <w:start w:val="0"/>
      <w:numFmt w:val="bullet"/>
      <w:lvlText w:val="•"/>
      <w:lvlJc w:val="left"/>
      <w:pPr>
        <w:ind w:left="6822" w:hanging="144"/>
      </w:pPr>
      <w:rPr>
        <w:rFonts w:hint="default"/>
      </w:rPr>
    </w:lvl>
    <w:lvl w:ilvl="6" w:tentative="0">
      <w:start w:val="0"/>
      <w:numFmt w:val="bullet"/>
      <w:lvlText w:val="•"/>
      <w:lvlJc w:val="left"/>
      <w:pPr>
        <w:ind w:left="7217" w:hanging="144"/>
      </w:pPr>
      <w:rPr>
        <w:rFonts w:hint="default"/>
      </w:rPr>
    </w:lvl>
    <w:lvl w:ilvl="7" w:tentative="0">
      <w:start w:val="0"/>
      <w:numFmt w:val="bullet"/>
      <w:lvlText w:val="•"/>
      <w:lvlJc w:val="left"/>
      <w:pPr>
        <w:ind w:left="7613" w:hanging="144"/>
      </w:pPr>
      <w:rPr>
        <w:rFonts w:hint="default"/>
      </w:rPr>
    </w:lvl>
    <w:lvl w:ilvl="8" w:tentative="0">
      <w:start w:val="0"/>
      <w:numFmt w:val="bullet"/>
      <w:lvlText w:val="•"/>
      <w:lvlJc w:val="left"/>
      <w:pPr>
        <w:ind w:left="8008" w:hanging="144"/>
      </w:pPr>
      <w:rPr>
        <w:rFonts w:hint="default"/>
      </w:rPr>
    </w:lvl>
  </w:abstractNum>
  <w:abstractNum w:abstractNumId="15">
    <w:nsid w:val="6985536C"/>
    <w:multiLevelType w:val="multilevel"/>
    <w:tmpl w:val="6985536C"/>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7C588C"/>
    <w:multiLevelType w:val="multilevel"/>
    <w:tmpl w:val="6A7C588C"/>
    <w:lvl w:ilvl="0" w:tentative="0">
      <w:start w:val="1"/>
      <w:numFmt w:val="decimal"/>
      <w:lvlText w:val="(%1)"/>
      <w:lvlJc w:val="left"/>
      <w:pPr>
        <w:ind w:left="1502" w:hanging="509"/>
      </w:pPr>
      <w:rPr>
        <w:rFonts w:hint="default" w:ascii="Times New Roman" w:hAnsi="Times New Roman" w:eastAsia="Times New Roman" w:cs="Times New Roman"/>
        <w:w w:val="99"/>
        <w:sz w:val="24"/>
        <w:szCs w:val="24"/>
      </w:rPr>
    </w:lvl>
    <w:lvl w:ilvl="1" w:tentative="0">
      <w:start w:val="0"/>
      <w:numFmt w:val="bullet"/>
      <w:lvlText w:val="•"/>
      <w:lvlJc w:val="left"/>
      <w:pPr>
        <w:ind w:left="2360" w:hanging="509"/>
      </w:pPr>
      <w:rPr>
        <w:rFonts w:hint="default"/>
      </w:rPr>
    </w:lvl>
    <w:lvl w:ilvl="2" w:tentative="0">
      <w:start w:val="0"/>
      <w:numFmt w:val="bullet"/>
      <w:lvlText w:val="•"/>
      <w:lvlJc w:val="left"/>
      <w:pPr>
        <w:ind w:left="3220" w:hanging="509"/>
      </w:pPr>
      <w:rPr>
        <w:rFonts w:hint="default"/>
      </w:rPr>
    </w:lvl>
    <w:lvl w:ilvl="3" w:tentative="0">
      <w:start w:val="0"/>
      <w:numFmt w:val="bullet"/>
      <w:lvlText w:val="•"/>
      <w:lvlJc w:val="left"/>
      <w:pPr>
        <w:ind w:left="4081" w:hanging="509"/>
      </w:pPr>
      <w:rPr>
        <w:rFonts w:hint="default"/>
      </w:rPr>
    </w:lvl>
    <w:lvl w:ilvl="4" w:tentative="0">
      <w:start w:val="0"/>
      <w:numFmt w:val="bullet"/>
      <w:lvlText w:val="•"/>
      <w:lvlJc w:val="left"/>
      <w:pPr>
        <w:ind w:left="4941" w:hanging="509"/>
      </w:pPr>
      <w:rPr>
        <w:rFonts w:hint="default"/>
      </w:rPr>
    </w:lvl>
    <w:lvl w:ilvl="5" w:tentative="0">
      <w:start w:val="0"/>
      <w:numFmt w:val="bullet"/>
      <w:lvlText w:val="•"/>
      <w:lvlJc w:val="left"/>
      <w:pPr>
        <w:ind w:left="5802" w:hanging="509"/>
      </w:pPr>
      <w:rPr>
        <w:rFonts w:hint="default"/>
      </w:rPr>
    </w:lvl>
    <w:lvl w:ilvl="6" w:tentative="0">
      <w:start w:val="0"/>
      <w:numFmt w:val="bullet"/>
      <w:pStyle w:val="136"/>
      <w:lvlText w:val="•"/>
      <w:lvlJc w:val="left"/>
      <w:pPr>
        <w:ind w:left="6662" w:hanging="509"/>
      </w:pPr>
      <w:rPr>
        <w:rFonts w:hint="default"/>
      </w:rPr>
    </w:lvl>
    <w:lvl w:ilvl="7" w:tentative="0">
      <w:start w:val="0"/>
      <w:numFmt w:val="bullet"/>
      <w:lvlText w:val="•"/>
      <w:lvlJc w:val="left"/>
      <w:pPr>
        <w:ind w:left="7522" w:hanging="509"/>
      </w:pPr>
      <w:rPr>
        <w:rFonts w:hint="default"/>
      </w:rPr>
    </w:lvl>
    <w:lvl w:ilvl="8" w:tentative="0">
      <w:start w:val="0"/>
      <w:numFmt w:val="bullet"/>
      <w:lvlText w:val="•"/>
      <w:lvlJc w:val="left"/>
      <w:pPr>
        <w:ind w:left="8383" w:hanging="509"/>
      </w:pPr>
      <w:rPr>
        <w:rFonts w:hint="default"/>
      </w:rPr>
    </w:lvl>
  </w:abstractNum>
  <w:abstractNum w:abstractNumId="17">
    <w:nsid w:val="6D8A03EB"/>
    <w:multiLevelType w:val="multilevel"/>
    <w:tmpl w:val="6D8A03EB"/>
    <w:lvl w:ilvl="0" w:tentative="0">
      <w:start w:val="2"/>
      <w:numFmt w:val="decimal"/>
      <w:lvlText w:val="%1"/>
      <w:lvlJc w:val="left"/>
      <w:pPr>
        <w:ind w:left="432" w:hanging="276"/>
      </w:pPr>
      <w:rPr>
        <w:rFonts w:hint="default"/>
      </w:rPr>
    </w:lvl>
    <w:lvl w:ilvl="1" w:tentative="0">
      <w:start w:val="1"/>
      <w:numFmt w:val="decimal"/>
      <w:lvlText w:val="%1.%2"/>
      <w:lvlJc w:val="left"/>
      <w:pPr>
        <w:ind w:left="432" w:hanging="276"/>
      </w:pPr>
      <w:rPr>
        <w:rFonts w:hint="default" w:ascii="Times New Roman" w:hAnsi="Times New Roman" w:eastAsia="Times New Roman" w:cs="Times New Roman"/>
        <w:b/>
        <w:bCs/>
        <w:w w:val="100"/>
        <w:sz w:val="20"/>
        <w:szCs w:val="20"/>
      </w:rPr>
    </w:lvl>
    <w:lvl w:ilvl="2" w:tentative="0">
      <w:start w:val="1"/>
      <w:numFmt w:val="decimal"/>
      <w:lvlText w:val="(%3)"/>
      <w:lvlJc w:val="left"/>
      <w:pPr>
        <w:ind w:left="1164" w:hanging="509"/>
      </w:pPr>
      <w:rPr>
        <w:rFonts w:hint="default" w:ascii="Times New Roman" w:hAnsi="Times New Roman" w:eastAsia="Times New Roman" w:cs="Times New Roman"/>
        <w:w w:val="99"/>
        <w:sz w:val="24"/>
        <w:szCs w:val="24"/>
      </w:rPr>
    </w:lvl>
    <w:lvl w:ilvl="3" w:tentative="0">
      <w:start w:val="0"/>
      <w:numFmt w:val="bullet"/>
      <w:lvlText w:val="•"/>
      <w:lvlJc w:val="left"/>
      <w:pPr>
        <w:ind w:left="3000" w:hanging="509"/>
      </w:pPr>
      <w:rPr>
        <w:rFonts w:hint="default"/>
      </w:rPr>
    </w:lvl>
    <w:lvl w:ilvl="4" w:tentative="0">
      <w:start w:val="0"/>
      <w:numFmt w:val="bullet"/>
      <w:lvlText w:val="•"/>
      <w:lvlJc w:val="left"/>
      <w:pPr>
        <w:ind w:left="3920" w:hanging="509"/>
      </w:pPr>
      <w:rPr>
        <w:rFonts w:hint="default"/>
      </w:rPr>
    </w:lvl>
    <w:lvl w:ilvl="5" w:tentative="0">
      <w:start w:val="0"/>
      <w:numFmt w:val="bullet"/>
      <w:lvlText w:val="•"/>
      <w:lvlJc w:val="left"/>
      <w:pPr>
        <w:ind w:left="4840" w:hanging="509"/>
      </w:pPr>
      <w:rPr>
        <w:rFonts w:hint="default"/>
      </w:rPr>
    </w:lvl>
    <w:lvl w:ilvl="6" w:tentative="0">
      <w:start w:val="0"/>
      <w:numFmt w:val="bullet"/>
      <w:lvlText w:val="•"/>
      <w:lvlJc w:val="left"/>
      <w:pPr>
        <w:ind w:left="5761" w:hanging="509"/>
      </w:pPr>
      <w:rPr>
        <w:rFonts w:hint="default"/>
      </w:rPr>
    </w:lvl>
    <w:lvl w:ilvl="7" w:tentative="0">
      <w:start w:val="0"/>
      <w:numFmt w:val="bullet"/>
      <w:lvlText w:val="•"/>
      <w:lvlJc w:val="left"/>
      <w:pPr>
        <w:ind w:left="6681" w:hanging="509"/>
      </w:pPr>
      <w:rPr>
        <w:rFonts w:hint="default"/>
      </w:rPr>
    </w:lvl>
    <w:lvl w:ilvl="8" w:tentative="0">
      <w:start w:val="0"/>
      <w:numFmt w:val="bullet"/>
      <w:lvlText w:val="•"/>
      <w:lvlJc w:val="left"/>
      <w:pPr>
        <w:ind w:left="7601" w:hanging="509"/>
      </w:pPr>
      <w:rPr>
        <w:rFonts w:hint="default"/>
      </w:rPr>
    </w:lvl>
  </w:abstractNum>
  <w:abstractNum w:abstractNumId="18">
    <w:nsid w:val="6D8A1A7A"/>
    <w:multiLevelType w:val="multilevel"/>
    <w:tmpl w:val="6D8A1A7A"/>
    <w:lvl w:ilvl="0" w:tentative="0">
      <w:start w:val="1"/>
      <w:numFmt w:val="decimal"/>
      <w:lvlText w:val="(%1)"/>
      <w:lvlJc w:val="left"/>
      <w:pPr>
        <w:ind w:left="1525" w:hanging="509"/>
      </w:pPr>
      <w:rPr>
        <w:rFonts w:hint="default" w:ascii="Times New Roman" w:hAnsi="Times New Roman" w:eastAsia="Times New Roman" w:cs="Times New Roman"/>
        <w:w w:val="99"/>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F712277"/>
    <w:multiLevelType w:val="multilevel"/>
    <w:tmpl w:val="6F712277"/>
    <w:lvl w:ilvl="0" w:tentative="0">
      <w:start w:val="6"/>
      <w:numFmt w:val="decimal"/>
      <w:lvlText w:val="%1"/>
      <w:lvlJc w:val="left"/>
      <w:pPr>
        <w:ind w:left="405" w:hanging="276"/>
      </w:pPr>
      <w:rPr>
        <w:rFonts w:hint="default"/>
      </w:rPr>
    </w:lvl>
    <w:lvl w:ilvl="1" w:tentative="0">
      <w:start w:val="1"/>
      <w:numFmt w:val="decimal"/>
      <w:lvlText w:val="%1.%2"/>
      <w:lvlJc w:val="left"/>
      <w:pPr>
        <w:ind w:left="405" w:hanging="276"/>
      </w:pPr>
      <w:rPr>
        <w:rFonts w:hint="default" w:ascii="Times New Roman" w:hAnsi="Times New Roman" w:eastAsia="Times New Roman" w:cs="Times New Roman"/>
        <w:b/>
        <w:bCs/>
        <w:w w:val="100"/>
        <w:sz w:val="20"/>
        <w:szCs w:val="20"/>
      </w:rPr>
    </w:lvl>
    <w:lvl w:ilvl="2" w:tentative="0">
      <w:start w:val="1"/>
      <w:numFmt w:val="decimal"/>
      <w:lvlText w:val="%1.%2.%3"/>
      <w:lvlJc w:val="left"/>
      <w:pPr>
        <w:ind w:left="138" w:hanging="481"/>
      </w:pPr>
      <w:rPr>
        <w:rFonts w:hint="default" w:ascii="Times New Roman" w:hAnsi="Times New Roman" w:eastAsia="Times New Roman" w:cs="Times New Roman"/>
        <w:w w:val="100"/>
        <w:sz w:val="22"/>
        <w:szCs w:val="22"/>
      </w:rPr>
    </w:lvl>
    <w:lvl w:ilvl="3" w:tentative="0">
      <w:start w:val="1"/>
      <w:numFmt w:val="decimal"/>
      <w:lvlText w:val="(%4)"/>
      <w:lvlJc w:val="left"/>
      <w:pPr>
        <w:ind w:left="1137" w:hanging="509"/>
      </w:pPr>
      <w:rPr>
        <w:rFonts w:hint="default"/>
        <w:b/>
        <w:bCs/>
        <w:w w:val="99"/>
      </w:rPr>
    </w:lvl>
    <w:lvl w:ilvl="4" w:tentative="0">
      <w:start w:val="0"/>
      <w:numFmt w:val="bullet"/>
      <w:lvlText w:val="•"/>
      <w:lvlJc w:val="left"/>
      <w:pPr>
        <w:ind w:left="3217" w:hanging="509"/>
      </w:pPr>
      <w:rPr>
        <w:rFonts w:hint="default"/>
      </w:rPr>
    </w:lvl>
    <w:lvl w:ilvl="5" w:tentative="0">
      <w:start w:val="0"/>
      <w:numFmt w:val="bullet"/>
      <w:lvlText w:val="•"/>
      <w:lvlJc w:val="left"/>
      <w:pPr>
        <w:ind w:left="4255" w:hanging="509"/>
      </w:pPr>
      <w:rPr>
        <w:rFonts w:hint="default"/>
      </w:rPr>
    </w:lvl>
    <w:lvl w:ilvl="6" w:tentative="0">
      <w:start w:val="0"/>
      <w:numFmt w:val="bullet"/>
      <w:lvlText w:val="•"/>
      <w:lvlJc w:val="left"/>
      <w:pPr>
        <w:ind w:left="5294" w:hanging="509"/>
      </w:pPr>
      <w:rPr>
        <w:rFonts w:hint="default"/>
      </w:rPr>
    </w:lvl>
    <w:lvl w:ilvl="7" w:tentative="0">
      <w:start w:val="0"/>
      <w:numFmt w:val="bullet"/>
      <w:lvlText w:val="•"/>
      <w:lvlJc w:val="left"/>
      <w:pPr>
        <w:ind w:left="6332" w:hanging="509"/>
      </w:pPr>
      <w:rPr>
        <w:rFonts w:hint="default"/>
      </w:rPr>
    </w:lvl>
    <w:lvl w:ilvl="8" w:tentative="0">
      <w:start w:val="0"/>
      <w:numFmt w:val="bullet"/>
      <w:lvlText w:val="•"/>
      <w:lvlJc w:val="left"/>
      <w:pPr>
        <w:ind w:left="7371" w:hanging="509"/>
      </w:pPr>
      <w:rPr>
        <w:rFonts w:hint="default"/>
      </w:rPr>
    </w:lvl>
  </w:abstractNum>
  <w:abstractNum w:abstractNumId="20">
    <w:nsid w:val="70997358"/>
    <w:multiLevelType w:val="multilevel"/>
    <w:tmpl w:val="70997358"/>
    <w:lvl w:ilvl="0" w:tentative="0">
      <w:start w:val="1"/>
      <w:numFmt w:val="decimal"/>
      <w:lvlText w:val="%1."/>
      <w:lvlJc w:val="left"/>
      <w:pPr>
        <w:ind w:left="1391" w:hanging="307"/>
      </w:pPr>
      <w:rPr>
        <w:rFonts w:hint="default" w:ascii="Times New Roman" w:hAnsi="Times New Roman" w:eastAsia="宋体" w:cs="Times New Roman"/>
        <w:w w:val="100"/>
        <w:sz w:val="24"/>
        <w:szCs w:val="24"/>
      </w:rPr>
    </w:lvl>
    <w:lvl w:ilvl="1" w:tentative="0">
      <w:start w:val="1"/>
      <w:numFmt w:val="decimal"/>
      <w:lvlText w:val="%2."/>
      <w:lvlJc w:val="left"/>
      <w:pPr>
        <w:ind w:left="840" w:hanging="420"/>
      </w:pPr>
      <w:rPr>
        <w:rFonts w:hint="default" w:ascii="Times New Roman" w:hAnsi="Times New Roman" w:eastAsia="宋体" w:cs="Times New Roman"/>
        <w:w w:val="100"/>
        <w:sz w:val="24"/>
        <w:szCs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18E2629"/>
    <w:multiLevelType w:val="multilevel"/>
    <w:tmpl w:val="718E2629"/>
    <w:lvl w:ilvl="0" w:tentative="0">
      <w:start w:val="7"/>
      <w:numFmt w:val="decimal"/>
      <w:lvlText w:val="%1."/>
      <w:lvlJc w:val="left"/>
      <w:pPr>
        <w:ind w:left="749" w:hanging="353"/>
      </w:pPr>
      <w:rPr>
        <w:rFonts w:hint="default" w:ascii="Times New Roman" w:hAnsi="Times New Roman" w:eastAsia="Times New Roman" w:cs="Times New Roman"/>
        <w:spacing w:val="-55"/>
        <w:w w:val="100"/>
        <w:sz w:val="24"/>
        <w:szCs w:val="24"/>
      </w:rPr>
    </w:lvl>
    <w:lvl w:ilvl="1" w:tentative="0">
      <w:start w:val="1"/>
      <w:numFmt w:val="decimal"/>
      <w:lvlText w:val="(%2)"/>
      <w:lvlJc w:val="left"/>
      <w:pPr>
        <w:ind w:left="1525" w:hanging="509"/>
      </w:pPr>
      <w:rPr>
        <w:rFonts w:hint="default" w:ascii="Times New Roman" w:hAnsi="Times New Roman" w:eastAsia="Times New Roman" w:cs="Times New Roman"/>
        <w:w w:val="99"/>
        <w:sz w:val="24"/>
        <w:szCs w:val="24"/>
      </w:rPr>
    </w:lvl>
    <w:lvl w:ilvl="2" w:tentative="0">
      <w:start w:val="0"/>
      <w:numFmt w:val="bullet"/>
      <w:lvlText w:val="•"/>
      <w:lvlJc w:val="left"/>
      <w:pPr>
        <w:ind w:left="1520" w:hanging="509"/>
      </w:pPr>
      <w:rPr>
        <w:rFonts w:hint="default"/>
      </w:rPr>
    </w:lvl>
    <w:lvl w:ilvl="3" w:tentative="0">
      <w:start w:val="0"/>
      <w:numFmt w:val="bullet"/>
      <w:lvlText w:val="•"/>
      <w:lvlJc w:val="left"/>
      <w:pPr>
        <w:ind w:left="2675" w:hanging="509"/>
      </w:pPr>
      <w:rPr>
        <w:rFonts w:hint="default"/>
      </w:rPr>
    </w:lvl>
    <w:lvl w:ilvl="4" w:tentative="0">
      <w:start w:val="0"/>
      <w:numFmt w:val="bullet"/>
      <w:lvlText w:val="•"/>
      <w:lvlJc w:val="left"/>
      <w:pPr>
        <w:ind w:left="3831" w:hanging="509"/>
      </w:pPr>
      <w:rPr>
        <w:rFonts w:hint="default"/>
      </w:rPr>
    </w:lvl>
    <w:lvl w:ilvl="5" w:tentative="0">
      <w:start w:val="0"/>
      <w:numFmt w:val="bullet"/>
      <w:lvlText w:val="•"/>
      <w:lvlJc w:val="left"/>
      <w:pPr>
        <w:ind w:left="4986" w:hanging="509"/>
      </w:pPr>
      <w:rPr>
        <w:rFonts w:hint="default"/>
      </w:rPr>
    </w:lvl>
    <w:lvl w:ilvl="6" w:tentative="0">
      <w:start w:val="0"/>
      <w:numFmt w:val="bullet"/>
      <w:lvlText w:val="•"/>
      <w:lvlJc w:val="left"/>
      <w:pPr>
        <w:ind w:left="6142" w:hanging="509"/>
      </w:pPr>
      <w:rPr>
        <w:rFonts w:hint="default"/>
      </w:rPr>
    </w:lvl>
    <w:lvl w:ilvl="7" w:tentative="0">
      <w:start w:val="0"/>
      <w:numFmt w:val="bullet"/>
      <w:lvlText w:val="•"/>
      <w:lvlJc w:val="left"/>
      <w:pPr>
        <w:ind w:left="7297" w:hanging="509"/>
      </w:pPr>
      <w:rPr>
        <w:rFonts w:hint="default"/>
      </w:rPr>
    </w:lvl>
    <w:lvl w:ilvl="8" w:tentative="0">
      <w:start w:val="0"/>
      <w:numFmt w:val="bullet"/>
      <w:lvlText w:val="•"/>
      <w:lvlJc w:val="left"/>
      <w:pPr>
        <w:ind w:left="8453" w:hanging="509"/>
      </w:pPr>
      <w:rPr>
        <w:rFonts w:hint="default"/>
      </w:rPr>
    </w:lvl>
  </w:abstractNum>
  <w:num w:numId="1">
    <w:abstractNumId w:val="14"/>
  </w:num>
  <w:num w:numId="2">
    <w:abstractNumId w:val="10"/>
  </w:num>
  <w:num w:numId="3">
    <w:abstractNumId w:val="16"/>
  </w:num>
  <w:num w:numId="4">
    <w:abstractNumId w:val="7"/>
  </w:num>
  <w:num w:numId="5">
    <w:abstractNumId w:val="11"/>
  </w:num>
  <w:num w:numId="6">
    <w:abstractNumId w:val="17"/>
  </w:num>
  <w:num w:numId="7">
    <w:abstractNumId w:val="13"/>
  </w:num>
  <w:num w:numId="8">
    <w:abstractNumId w:val="8"/>
  </w:num>
  <w:num w:numId="9">
    <w:abstractNumId w:val="19"/>
  </w:num>
  <w:num w:numId="10">
    <w:abstractNumId w:val="3"/>
  </w:num>
  <w:num w:numId="11">
    <w:abstractNumId w:val="21"/>
  </w:num>
  <w:num w:numId="12">
    <w:abstractNumId w:val="4"/>
  </w:num>
  <w:num w:numId="13">
    <w:abstractNumId w:val="18"/>
  </w:num>
  <w:num w:numId="14">
    <w:abstractNumId w:val="15"/>
  </w:num>
  <w:num w:numId="15">
    <w:abstractNumId w:val="5"/>
  </w:num>
  <w:num w:numId="16">
    <w:abstractNumId w:val="2"/>
  </w:num>
  <w:num w:numId="17">
    <w:abstractNumId w:val="1"/>
  </w:num>
  <w:num w:numId="18">
    <w:abstractNumId w:val="12"/>
  </w:num>
  <w:num w:numId="19">
    <w:abstractNumId w:val="6"/>
  </w:num>
  <w:num w:numId="20">
    <w:abstractNumId w:val="2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19"/>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jMxMTBiMmNmMjU5MzFlNjA0MDhiMjBlNDBiMDEifQ=="/>
  </w:docVars>
  <w:rsids>
    <w:rsidRoot w:val="002C7206"/>
    <w:rsid w:val="00004BB1"/>
    <w:rsid w:val="00007EE5"/>
    <w:rsid w:val="0001734A"/>
    <w:rsid w:val="00020FF5"/>
    <w:rsid w:val="00031CBC"/>
    <w:rsid w:val="00040D24"/>
    <w:rsid w:val="000536FE"/>
    <w:rsid w:val="00073A9F"/>
    <w:rsid w:val="00081BF4"/>
    <w:rsid w:val="000866E3"/>
    <w:rsid w:val="0008685E"/>
    <w:rsid w:val="00096D76"/>
    <w:rsid w:val="000A4E39"/>
    <w:rsid w:val="000A4F29"/>
    <w:rsid w:val="000A55C7"/>
    <w:rsid w:val="000A6386"/>
    <w:rsid w:val="000A7480"/>
    <w:rsid w:val="000B55DF"/>
    <w:rsid w:val="000C1B43"/>
    <w:rsid w:val="000C52FC"/>
    <w:rsid w:val="000C551E"/>
    <w:rsid w:val="000C68E7"/>
    <w:rsid w:val="000E69FA"/>
    <w:rsid w:val="00105A40"/>
    <w:rsid w:val="00105F83"/>
    <w:rsid w:val="00106E76"/>
    <w:rsid w:val="00143C76"/>
    <w:rsid w:val="00156522"/>
    <w:rsid w:val="00193615"/>
    <w:rsid w:val="001A2883"/>
    <w:rsid w:val="001B72E1"/>
    <w:rsid w:val="001B7385"/>
    <w:rsid w:val="001C6DEF"/>
    <w:rsid w:val="001F67E3"/>
    <w:rsid w:val="00205E6B"/>
    <w:rsid w:val="00206167"/>
    <w:rsid w:val="0023564E"/>
    <w:rsid w:val="002461DC"/>
    <w:rsid w:val="0025155F"/>
    <w:rsid w:val="00282252"/>
    <w:rsid w:val="0029036F"/>
    <w:rsid w:val="00295375"/>
    <w:rsid w:val="0029648A"/>
    <w:rsid w:val="002B5A37"/>
    <w:rsid w:val="002B7043"/>
    <w:rsid w:val="002B79B2"/>
    <w:rsid w:val="002C7206"/>
    <w:rsid w:val="002E464E"/>
    <w:rsid w:val="002E54EB"/>
    <w:rsid w:val="002F3E04"/>
    <w:rsid w:val="002F6432"/>
    <w:rsid w:val="002F7CCB"/>
    <w:rsid w:val="0030184C"/>
    <w:rsid w:val="003061DF"/>
    <w:rsid w:val="00317718"/>
    <w:rsid w:val="003270EA"/>
    <w:rsid w:val="00330B8A"/>
    <w:rsid w:val="0034134F"/>
    <w:rsid w:val="0034405E"/>
    <w:rsid w:val="00361C92"/>
    <w:rsid w:val="003800E3"/>
    <w:rsid w:val="00395099"/>
    <w:rsid w:val="003B3B4B"/>
    <w:rsid w:val="003B56FF"/>
    <w:rsid w:val="003D0BBD"/>
    <w:rsid w:val="003D32C1"/>
    <w:rsid w:val="003D6387"/>
    <w:rsid w:val="003D6D24"/>
    <w:rsid w:val="003E37C2"/>
    <w:rsid w:val="003F275D"/>
    <w:rsid w:val="003F3A36"/>
    <w:rsid w:val="004138EB"/>
    <w:rsid w:val="00417597"/>
    <w:rsid w:val="0045397D"/>
    <w:rsid w:val="0045595D"/>
    <w:rsid w:val="004864A0"/>
    <w:rsid w:val="00493E44"/>
    <w:rsid w:val="004A790C"/>
    <w:rsid w:val="004C0A17"/>
    <w:rsid w:val="004C26AA"/>
    <w:rsid w:val="004C38F4"/>
    <w:rsid w:val="004C4899"/>
    <w:rsid w:val="005109CB"/>
    <w:rsid w:val="005179C7"/>
    <w:rsid w:val="00520C1A"/>
    <w:rsid w:val="005378B5"/>
    <w:rsid w:val="0055227E"/>
    <w:rsid w:val="00554EDD"/>
    <w:rsid w:val="00575374"/>
    <w:rsid w:val="00584693"/>
    <w:rsid w:val="00591772"/>
    <w:rsid w:val="0059664A"/>
    <w:rsid w:val="005B0972"/>
    <w:rsid w:val="005B6B9D"/>
    <w:rsid w:val="005C077D"/>
    <w:rsid w:val="005C3E7A"/>
    <w:rsid w:val="005E3191"/>
    <w:rsid w:val="00601DD7"/>
    <w:rsid w:val="00603E4A"/>
    <w:rsid w:val="006174A4"/>
    <w:rsid w:val="00622E26"/>
    <w:rsid w:val="006322CA"/>
    <w:rsid w:val="00656DDE"/>
    <w:rsid w:val="0066143D"/>
    <w:rsid w:val="00662099"/>
    <w:rsid w:val="00663F23"/>
    <w:rsid w:val="00675C4F"/>
    <w:rsid w:val="006B3837"/>
    <w:rsid w:val="006C03F3"/>
    <w:rsid w:val="006C5642"/>
    <w:rsid w:val="006E0323"/>
    <w:rsid w:val="007007BC"/>
    <w:rsid w:val="00724D73"/>
    <w:rsid w:val="00731190"/>
    <w:rsid w:val="007368F7"/>
    <w:rsid w:val="00753E35"/>
    <w:rsid w:val="00756E07"/>
    <w:rsid w:val="00761595"/>
    <w:rsid w:val="00762642"/>
    <w:rsid w:val="00773DDA"/>
    <w:rsid w:val="00776247"/>
    <w:rsid w:val="00794105"/>
    <w:rsid w:val="007C10C9"/>
    <w:rsid w:val="00816ABF"/>
    <w:rsid w:val="00823273"/>
    <w:rsid w:val="00824857"/>
    <w:rsid w:val="00830DC3"/>
    <w:rsid w:val="00861E5D"/>
    <w:rsid w:val="008635EB"/>
    <w:rsid w:val="00871A20"/>
    <w:rsid w:val="00886008"/>
    <w:rsid w:val="008964B4"/>
    <w:rsid w:val="008A1266"/>
    <w:rsid w:val="008A1688"/>
    <w:rsid w:val="008A2C89"/>
    <w:rsid w:val="008C50D6"/>
    <w:rsid w:val="008D64DC"/>
    <w:rsid w:val="008E6D35"/>
    <w:rsid w:val="008F56E5"/>
    <w:rsid w:val="009118B5"/>
    <w:rsid w:val="0093000D"/>
    <w:rsid w:val="00950D4F"/>
    <w:rsid w:val="0097193C"/>
    <w:rsid w:val="0097222C"/>
    <w:rsid w:val="00972552"/>
    <w:rsid w:val="009865E9"/>
    <w:rsid w:val="00997734"/>
    <w:rsid w:val="009A0307"/>
    <w:rsid w:val="009A0658"/>
    <w:rsid w:val="009D4C1D"/>
    <w:rsid w:val="009E223A"/>
    <w:rsid w:val="009E22F5"/>
    <w:rsid w:val="00A1736C"/>
    <w:rsid w:val="00A301BD"/>
    <w:rsid w:val="00A35E9D"/>
    <w:rsid w:val="00A60613"/>
    <w:rsid w:val="00A66229"/>
    <w:rsid w:val="00A723D3"/>
    <w:rsid w:val="00A74604"/>
    <w:rsid w:val="00A75204"/>
    <w:rsid w:val="00B25F12"/>
    <w:rsid w:val="00B4665C"/>
    <w:rsid w:val="00B46A51"/>
    <w:rsid w:val="00B75E7C"/>
    <w:rsid w:val="00B86CC4"/>
    <w:rsid w:val="00B87587"/>
    <w:rsid w:val="00B937C5"/>
    <w:rsid w:val="00BB235C"/>
    <w:rsid w:val="00BB4C92"/>
    <w:rsid w:val="00BB5378"/>
    <w:rsid w:val="00BB6F83"/>
    <w:rsid w:val="00BC1FDE"/>
    <w:rsid w:val="00BC40E5"/>
    <w:rsid w:val="00BD1D05"/>
    <w:rsid w:val="00BE768C"/>
    <w:rsid w:val="00BF3D11"/>
    <w:rsid w:val="00C300B3"/>
    <w:rsid w:val="00C343B5"/>
    <w:rsid w:val="00C45D00"/>
    <w:rsid w:val="00C62B5A"/>
    <w:rsid w:val="00C64343"/>
    <w:rsid w:val="00C64406"/>
    <w:rsid w:val="00C7031F"/>
    <w:rsid w:val="00C8579E"/>
    <w:rsid w:val="00C85D3A"/>
    <w:rsid w:val="00C86B4D"/>
    <w:rsid w:val="00CA535C"/>
    <w:rsid w:val="00CE4CD7"/>
    <w:rsid w:val="00CE5470"/>
    <w:rsid w:val="00CF180E"/>
    <w:rsid w:val="00CF386A"/>
    <w:rsid w:val="00D0345A"/>
    <w:rsid w:val="00D21EF1"/>
    <w:rsid w:val="00D2570F"/>
    <w:rsid w:val="00D30658"/>
    <w:rsid w:val="00D43BD9"/>
    <w:rsid w:val="00D56F4B"/>
    <w:rsid w:val="00D57569"/>
    <w:rsid w:val="00D667E9"/>
    <w:rsid w:val="00D8459B"/>
    <w:rsid w:val="00D90972"/>
    <w:rsid w:val="00DC6686"/>
    <w:rsid w:val="00DE19FA"/>
    <w:rsid w:val="00E151C9"/>
    <w:rsid w:val="00E33C4E"/>
    <w:rsid w:val="00E35025"/>
    <w:rsid w:val="00E37E5F"/>
    <w:rsid w:val="00E42E05"/>
    <w:rsid w:val="00E709D4"/>
    <w:rsid w:val="00E71233"/>
    <w:rsid w:val="00E71422"/>
    <w:rsid w:val="00E71DCB"/>
    <w:rsid w:val="00E806C0"/>
    <w:rsid w:val="00E85828"/>
    <w:rsid w:val="00E8774A"/>
    <w:rsid w:val="00EA085D"/>
    <w:rsid w:val="00EA7D62"/>
    <w:rsid w:val="00EB1F98"/>
    <w:rsid w:val="00EB7584"/>
    <w:rsid w:val="00ED2C60"/>
    <w:rsid w:val="00ED379E"/>
    <w:rsid w:val="00ED4790"/>
    <w:rsid w:val="00EF2145"/>
    <w:rsid w:val="00EF5F95"/>
    <w:rsid w:val="00EF6B85"/>
    <w:rsid w:val="00F271B8"/>
    <w:rsid w:val="00F27A83"/>
    <w:rsid w:val="00F3078C"/>
    <w:rsid w:val="00F32CDB"/>
    <w:rsid w:val="00F424FB"/>
    <w:rsid w:val="00F43699"/>
    <w:rsid w:val="00F53669"/>
    <w:rsid w:val="00F55E70"/>
    <w:rsid w:val="00F63CD4"/>
    <w:rsid w:val="00F86F83"/>
    <w:rsid w:val="00F87026"/>
    <w:rsid w:val="00F92280"/>
    <w:rsid w:val="00F9473B"/>
    <w:rsid w:val="00F95E02"/>
    <w:rsid w:val="00F97BA3"/>
    <w:rsid w:val="00FA2395"/>
    <w:rsid w:val="00FC05CA"/>
    <w:rsid w:val="00FC1E60"/>
    <w:rsid w:val="00FD39DE"/>
    <w:rsid w:val="00FF363F"/>
    <w:rsid w:val="021055E9"/>
    <w:rsid w:val="04AC3E9E"/>
    <w:rsid w:val="06344057"/>
    <w:rsid w:val="080A6E23"/>
    <w:rsid w:val="0B6D4481"/>
    <w:rsid w:val="0EA31D7A"/>
    <w:rsid w:val="0EE83C31"/>
    <w:rsid w:val="0F3E4E5C"/>
    <w:rsid w:val="12B56059"/>
    <w:rsid w:val="17614581"/>
    <w:rsid w:val="183568B0"/>
    <w:rsid w:val="18B124CC"/>
    <w:rsid w:val="197C10E2"/>
    <w:rsid w:val="19CE23A1"/>
    <w:rsid w:val="21FA3F6B"/>
    <w:rsid w:val="23C526CB"/>
    <w:rsid w:val="24150BCD"/>
    <w:rsid w:val="254D7E49"/>
    <w:rsid w:val="258B4D06"/>
    <w:rsid w:val="25CB7467"/>
    <w:rsid w:val="29132CF5"/>
    <w:rsid w:val="2BCD70BC"/>
    <w:rsid w:val="2BF0325A"/>
    <w:rsid w:val="2C2630F3"/>
    <w:rsid w:val="2E6A7D67"/>
    <w:rsid w:val="32D96DDB"/>
    <w:rsid w:val="330D5C27"/>
    <w:rsid w:val="34C97E8B"/>
    <w:rsid w:val="352B0250"/>
    <w:rsid w:val="352B46F4"/>
    <w:rsid w:val="399A4ADC"/>
    <w:rsid w:val="3B830B53"/>
    <w:rsid w:val="3FC221C4"/>
    <w:rsid w:val="41395AA3"/>
    <w:rsid w:val="42685A3A"/>
    <w:rsid w:val="42CB4E20"/>
    <w:rsid w:val="43CE1B59"/>
    <w:rsid w:val="4561381A"/>
    <w:rsid w:val="45AA7187"/>
    <w:rsid w:val="4796083C"/>
    <w:rsid w:val="48D856E1"/>
    <w:rsid w:val="49731D6E"/>
    <w:rsid w:val="4BF77ECF"/>
    <w:rsid w:val="4D557BCB"/>
    <w:rsid w:val="50A304BB"/>
    <w:rsid w:val="583D3C73"/>
    <w:rsid w:val="5A6837C4"/>
    <w:rsid w:val="607E7092"/>
    <w:rsid w:val="6325020D"/>
    <w:rsid w:val="646654DD"/>
    <w:rsid w:val="64CA2D32"/>
    <w:rsid w:val="67862F0B"/>
    <w:rsid w:val="685504F2"/>
    <w:rsid w:val="68A35D74"/>
    <w:rsid w:val="6A4679D1"/>
    <w:rsid w:val="6BFE3D94"/>
    <w:rsid w:val="6C496C32"/>
    <w:rsid w:val="70F21646"/>
    <w:rsid w:val="71810C1C"/>
    <w:rsid w:val="722D2468"/>
    <w:rsid w:val="73A34E7A"/>
    <w:rsid w:val="73FB7FA9"/>
    <w:rsid w:val="7712478E"/>
    <w:rsid w:val="77625959"/>
    <w:rsid w:val="77B358A8"/>
    <w:rsid w:val="7CA236E6"/>
    <w:rsid w:val="7DCE052A"/>
    <w:rsid w:val="7EFD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iPriority="9" w:semiHidden="0" w:name="heading 2"/>
    <w:lsdException w:qFormat="1" w:uiPriority="0"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51"/>
    <w:qFormat/>
    <w:uiPriority w:val="7"/>
    <w:pPr>
      <w:spacing w:line="360" w:lineRule="auto"/>
      <w:jc w:val="center"/>
      <w:outlineLvl w:val="0"/>
    </w:pPr>
    <w:rPr>
      <w:sz w:val="60"/>
      <w:szCs w:val="60"/>
    </w:rPr>
  </w:style>
  <w:style w:type="paragraph" w:styleId="3">
    <w:name w:val="heading 2"/>
    <w:basedOn w:val="1"/>
    <w:next w:val="1"/>
    <w:link w:val="52"/>
    <w:unhideWhenUsed/>
    <w:qFormat/>
    <w:uiPriority w:val="9"/>
    <w:pPr>
      <w:outlineLvl w:val="1"/>
    </w:pPr>
    <w:rPr>
      <w:sz w:val="40"/>
      <w:szCs w:val="40"/>
    </w:rPr>
  </w:style>
  <w:style w:type="paragraph" w:styleId="4">
    <w:name w:val="heading 3"/>
    <w:basedOn w:val="1"/>
    <w:next w:val="1"/>
    <w:link w:val="53"/>
    <w:unhideWhenUsed/>
    <w:qFormat/>
    <w:uiPriority w:val="0"/>
    <w:pPr>
      <w:spacing w:line="360" w:lineRule="auto"/>
      <w:ind w:left="2041"/>
      <w:outlineLvl w:val="2"/>
    </w:pPr>
    <w:rPr>
      <w:sz w:val="34"/>
      <w:szCs w:val="34"/>
    </w:rPr>
  </w:style>
  <w:style w:type="paragraph" w:styleId="5">
    <w:name w:val="heading 4"/>
    <w:basedOn w:val="1"/>
    <w:next w:val="1"/>
    <w:link w:val="54"/>
    <w:unhideWhenUsed/>
    <w:qFormat/>
    <w:uiPriority w:val="9"/>
    <w:pPr>
      <w:ind w:left="2268"/>
      <w:jc w:val="center"/>
      <w:outlineLvl w:val="3"/>
    </w:pPr>
    <w:rPr>
      <w:sz w:val="24"/>
      <w:szCs w:val="30"/>
    </w:rPr>
  </w:style>
  <w:style w:type="paragraph" w:styleId="6">
    <w:name w:val="heading 5"/>
    <w:basedOn w:val="1"/>
    <w:next w:val="1"/>
    <w:link w:val="55"/>
    <w:unhideWhenUsed/>
    <w:qFormat/>
    <w:uiPriority w:val="9"/>
    <w:pPr>
      <w:spacing w:line="360" w:lineRule="auto"/>
      <w:ind w:left="600" w:leftChars="600"/>
      <w:outlineLvl w:val="4"/>
    </w:pPr>
    <w:rPr>
      <w:rFonts w:ascii="Times New Roman" w:hAnsi="Times New Roman" w:eastAsia="Times New Roman" w:cs="Times New Roman"/>
      <w:sz w:val="24"/>
      <w:szCs w:val="24"/>
    </w:rPr>
  </w:style>
  <w:style w:type="paragraph" w:styleId="7">
    <w:name w:val="heading 6"/>
    <w:basedOn w:val="1"/>
    <w:next w:val="1"/>
    <w:link w:val="56"/>
    <w:unhideWhenUsed/>
    <w:qFormat/>
    <w:uiPriority w:val="9"/>
    <w:pPr>
      <w:spacing w:line="360" w:lineRule="auto"/>
      <w:ind w:left="978" w:leftChars="700" w:hanging="278"/>
      <w:outlineLvl w:val="5"/>
    </w:pPr>
    <w:rPr>
      <w:bCs/>
      <w:sz w:val="24"/>
      <w:szCs w:val="20"/>
    </w:rPr>
  </w:style>
  <w:style w:type="paragraph" w:styleId="8">
    <w:name w:val="heading 7"/>
    <w:basedOn w:val="1"/>
    <w:next w:val="1"/>
    <w:link w:val="57"/>
    <w:qFormat/>
    <w:uiPriority w:val="9"/>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9">
    <w:name w:val="heading 8"/>
    <w:basedOn w:val="1"/>
    <w:next w:val="1"/>
    <w:link w:val="58"/>
    <w:qFormat/>
    <w:uiPriority w:val="9"/>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10">
    <w:name w:val="heading 9"/>
    <w:basedOn w:val="1"/>
    <w:next w:val="1"/>
    <w:link w:val="59"/>
    <w:qFormat/>
    <w:uiPriority w:val="9"/>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utoSpaceDE/>
      <w:autoSpaceDN/>
      <w:ind w:left="2520" w:leftChars="1200"/>
      <w:jc w:val="both"/>
    </w:pPr>
    <w:rPr>
      <w:rFonts w:ascii="Calibri" w:hAnsi="Calibri" w:cs="Times New Roman"/>
      <w:kern w:val="2"/>
      <w:sz w:val="21"/>
      <w:lang w:eastAsia="zh-CN"/>
    </w:rPr>
  </w:style>
  <w:style w:type="paragraph" w:styleId="12">
    <w:name w:val="Normal Indent"/>
    <w:basedOn w:val="1"/>
    <w:link w:val="60"/>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13">
    <w:name w:val="caption"/>
    <w:basedOn w:val="1"/>
    <w:next w:val="1"/>
    <w:qFormat/>
    <w:uiPriority w:val="35"/>
    <w:pPr>
      <w:autoSpaceDE/>
      <w:autoSpaceDN/>
      <w:jc w:val="both"/>
    </w:pPr>
    <w:rPr>
      <w:rFonts w:ascii="Cambria" w:hAnsi="Cambria" w:eastAsia="黑体" w:cs="Times New Roman"/>
      <w:kern w:val="2"/>
      <w:sz w:val="20"/>
      <w:szCs w:val="20"/>
      <w:lang w:eastAsia="zh-CN"/>
    </w:rPr>
  </w:style>
  <w:style w:type="paragraph" w:styleId="14">
    <w:name w:val="Document Map"/>
    <w:basedOn w:val="1"/>
    <w:link w:val="61"/>
    <w:qFormat/>
    <w:uiPriority w:val="99"/>
    <w:pPr>
      <w:shd w:val="clear" w:color="auto" w:fill="000080"/>
      <w:autoSpaceDE/>
      <w:autoSpaceDN/>
      <w:jc w:val="both"/>
    </w:pPr>
    <w:rPr>
      <w:rFonts w:ascii="Times New Roman" w:hAnsi="Times New Roman" w:eastAsiaTheme="minorEastAsia" w:cstheme="minorBidi"/>
      <w:szCs w:val="24"/>
      <w:shd w:val="clear" w:color="auto" w:fill="000080"/>
    </w:rPr>
  </w:style>
  <w:style w:type="paragraph" w:styleId="15">
    <w:name w:val="annotation text"/>
    <w:basedOn w:val="1"/>
    <w:link w:val="62"/>
    <w:unhideWhenUsed/>
    <w:qFormat/>
    <w:uiPriority w:val="99"/>
  </w:style>
  <w:style w:type="paragraph" w:styleId="16">
    <w:name w:val="Body Text 3"/>
    <w:basedOn w:val="1"/>
    <w:link w:val="63"/>
    <w:semiHidden/>
    <w:unhideWhenUsed/>
    <w:qFormat/>
    <w:uiPriority w:val="99"/>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17">
    <w:name w:val="Body Text"/>
    <w:basedOn w:val="1"/>
    <w:link w:val="64"/>
    <w:qFormat/>
    <w:uiPriority w:val="99"/>
    <w:rPr>
      <w:sz w:val="20"/>
      <w:szCs w:val="20"/>
    </w:rPr>
  </w:style>
  <w:style w:type="paragraph" w:styleId="18">
    <w:name w:val="Body Text Indent"/>
    <w:basedOn w:val="1"/>
    <w:link w:val="65"/>
    <w:semiHidden/>
    <w:unhideWhenUsed/>
    <w:qFormat/>
    <w:uiPriority w:val="99"/>
    <w:pPr>
      <w:autoSpaceDE/>
      <w:autoSpaceDN/>
      <w:spacing w:line="360" w:lineRule="auto"/>
      <w:ind w:left="435" w:leftChars="207"/>
      <w:jc w:val="both"/>
    </w:pPr>
    <w:rPr>
      <w:rFonts w:ascii="Times New Roman" w:hAnsi="Times New Roman" w:cs="Times New Roman"/>
      <w:kern w:val="2"/>
      <w:sz w:val="21"/>
      <w:szCs w:val="24"/>
      <w:lang w:eastAsia="zh-CN"/>
    </w:rPr>
  </w:style>
  <w:style w:type="paragraph" w:styleId="19">
    <w:name w:val="Block Text"/>
    <w:basedOn w:val="1"/>
    <w:semiHidden/>
    <w:unhideWhenUsed/>
    <w:qFormat/>
    <w:uiPriority w:val="99"/>
    <w:pPr>
      <w:tabs>
        <w:tab w:val="left" w:pos="-540"/>
      </w:tabs>
      <w:autoSpaceDE/>
      <w:autoSpaceDN/>
      <w:spacing w:line="420" w:lineRule="exact"/>
      <w:ind w:left="-359" w:leftChars="-171" w:right="-617" w:rightChars="-294" w:firstLine="538" w:firstLineChars="224"/>
      <w:jc w:val="both"/>
    </w:pPr>
    <w:rPr>
      <w:rFonts w:ascii="Times New Roman" w:hAnsi="Times New Roman" w:cs="Times New Roman"/>
      <w:kern w:val="2"/>
      <w:sz w:val="24"/>
      <w:szCs w:val="24"/>
      <w:lang w:eastAsia="zh-CN"/>
    </w:rPr>
  </w:style>
  <w:style w:type="paragraph" w:styleId="20">
    <w:name w:val="index 4"/>
    <w:basedOn w:val="1"/>
    <w:next w:val="1"/>
    <w:qFormat/>
    <w:uiPriority w:val="99"/>
    <w:pPr>
      <w:autoSpaceDE/>
      <w:autoSpaceDN/>
      <w:ind w:left="600" w:leftChars="600"/>
      <w:jc w:val="both"/>
    </w:pPr>
    <w:rPr>
      <w:rFonts w:ascii="Times New Roman" w:hAnsi="Times New Roman" w:cs="Times New Roman"/>
      <w:kern w:val="2"/>
      <w:sz w:val="21"/>
      <w:szCs w:val="24"/>
      <w:lang w:eastAsia="zh-CN"/>
    </w:rPr>
  </w:style>
  <w:style w:type="paragraph" w:styleId="21">
    <w:name w:val="toc 5"/>
    <w:basedOn w:val="1"/>
    <w:next w:val="1"/>
    <w:qFormat/>
    <w:uiPriority w:val="39"/>
    <w:pPr>
      <w:tabs>
        <w:tab w:val="right" w:leader="dot" w:pos="8296"/>
      </w:tabs>
      <w:autoSpaceDE/>
      <w:autoSpaceDN/>
      <w:ind w:left="1050" w:leftChars="500"/>
      <w:jc w:val="both"/>
    </w:pPr>
    <w:rPr>
      <w:rFonts w:ascii="Calibri" w:hAnsi="Calibri" w:cs="Times New Roman"/>
      <w:kern w:val="2"/>
      <w:sz w:val="21"/>
      <w:lang w:eastAsia="zh-CN"/>
    </w:rPr>
  </w:style>
  <w:style w:type="paragraph" w:styleId="22">
    <w:name w:val="toc 3"/>
    <w:basedOn w:val="1"/>
    <w:next w:val="1"/>
    <w:qFormat/>
    <w:uiPriority w:val="39"/>
    <w:pPr>
      <w:autoSpaceDE/>
      <w:autoSpaceDN/>
      <w:ind w:left="840" w:leftChars="400"/>
      <w:jc w:val="both"/>
    </w:pPr>
    <w:rPr>
      <w:rFonts w:ascii="Calibri" w:hAnsi="Calibri" w:cs="Times New Roman"/>
      <w:kern w:val="2"/>
      <w:sz w:val="21"/>
      <w:lang w:eastAsia="zh-CN"/>
    </w:rPr>
  </w:style>
  <w:style w:type="paragraph" w:styleId="23">
    <w:name w:val="Plain Text"/>
    <w:basedOn w:val="1"/>
    <w:link w:val="66"/>
    <w:qFormat/>
    <w:uiPriority w:val="99"/>
    <w:pPr>
      <w:autoSpaceDE/>
      <w:autoSpaceDN/>
      <w:jc w:val="both"/>
    </w:pPr>
    <w:rPr>
      <w:rFonts w:ascii="Courier New" w:hAnsi="Courier New" w:cs="Times New Roman"/>
      <w:kern w:val="2"/>
      <w:sz w:val="21"/>
      <w:szCs w:val="20"/>
      <w:lang w:eastAsia="zh-CN"/>
    </w:rPr>
  </w:style>
  <w:style w:type="paragraph" w:styleId="24">
    <w:name w:val="toc 8"/>
    <w:basedOn w:val="1"/>
    <w:next w:val="1"/>
    <w:qFormat/>
    <w:uiPriority w:val="39"/>
    <w:pPr>
      <w:autoSpaceDE/>
      <w:autoSpaceDN/>
      <w:ind w:left="2940" w:leftChars="1400"/>
      <w:jc w:val="both"/>
    </w:pPr>
    <w:rPr>
      <w:rFonts w:ascii="Calibri" w:hAnsi="Calibri" w:cs="Times New Roman"/>
      <w:kern w:val="2"/>
      <w:sz w:val="21"/>
      <w:lang w:eastAsia="zh-CN"/>
    </w:rPr>
  </w:style>
  <w:style w:type="paragraph" w:styleId="25">
    <w:name w:val="Date"/>
    <w:basedOn w:val="1"/>
    <w:next w:val="1"/>
    <w:link w:val="67"/>
    <w:qFormat/>
    <w:uiPriority w:val="99"/>
    <w:pPr>
      <w:autoSpaceDE/>
      <w:autoSpaceDN/>
      <w:ind w:left="100" w:leftChars="2500"/>
      <w:jc w:val="both"/>
    </w:pPr>
    <w:rPr>
      <w:rFonts w:hAnsi="Times New Roman" w:eastAsiaTheme="minorEastAsia" w:cstheme="minorBidi"/>
      <w:sz w:val="28"/>
    </w:rPr>
  </w:style>
  <w:style w:type="paragraph" w:styleId="26">
    <w:name w:val="Body Text Indent 2"/>
    <w:basedOn w:val="1"/>
    <w:link w:val="68"/>
    <w:semiHidden/>
    <w:unhideWhenUsed/>
    <w:qFormat/>
    <w:uiPriority w:val="99"/>
    <w:pPr>
      <w:autoSpaceDE/>
      <w:autoSpaceDN/>
      <w:spacing w:line="360" w:lineRule="auto"/>
      <w:ind w:firstLine="600"/>
      <w:jc w:val="both"/>
    </w:pPr>
    <w:rPr>
      <w:rFonts w:ascii="Times New Roman" w:hAnsi="Times New Roman" w:cs="Times New Roman"/>
      <w:kern w:val="2"/>
      <w:sz w:val="21"/>
      <w:szCs w:val="24"/>
      <w:lang w:eastAsia="zh-CN"/>
    </w:rPr>
  </w:style>
  <w:style w:type="paragraph" w:styleId="27">
    <w:name w:val="Balloon Text"/>
    <w:basedOn w:val="1"/>
    <w:link w:val="69"/>
    <w:qFormat/>
    <w:uiPriority w:val="99"/>
    <w:pPr>
      <w:autoSpaceDE/>
      <w:autoSpaceDN/>
      <w:jc w:val="both"/>
    </w:pPr>
    <w:rPr>
      <w:rFonts w:hAnsi="Times New Roman" w:eastAsiaTheme="minorEastAsia" w:cstheme="minorBidi"/>
      <w:sz w:val="18"/>
      <w:szCs w:val="18"/>
    </w:rPr>
  </w:style>
  <w:style w:type="paragraph" w:styleId="28">
    <w:name w:val="footer"/>
    <w:basedOn w:val="1"/>
    <w:link w:val="70"/>
    <w:unhideWhenUsed/>
    <w:qFormat/>
    <w:uiPriority w:val="99"/>
    <w:pPr>
      <w:tabs>
        <w:tab w:val="center" w:pos="4153"/>
        <w:tab w:val="right" w:pos="8306"/>
      </w:tabs>
      <w:snapToGrid w:val="0"/>
    </w:pPr>
    <w:rPr>
      <w:sz w:val="18"/>
      <w:szCs w:val="18"/>
    </w:rPr>
  </w:style>
  <w:style w:type="paragraph" w:styleId="29">
    <w:name w:val="header"/>
    <w:basedOn w:val="1"/>
    <w:link w:val="7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tabs>
        <w:tab w:val="right" w:leader="dot" w:pos="8296"/>
      </w:tabs>
      <w:autoSpaceDE/>
      <w:autoSpaceDN/>
      <w:jc w:val="both"/>
    </w:pPr>
    <w:rPr>
      <w:rFonts w:hAnsi="Times New Roman" w:eastAsia="楷体_GB2312" w:cs="TimesNewRomanPSMT"/>
      <w:b/>
      <w:sz w:val="28"/>
      <w:szCs w:val="20"/>
      <w:lang w:eastAsia="zh-CN"/>
    </w:rPr>
  </w:style>
  <w:style w:type="paragraph" w:styleId="31">
    <w:name w:val="toc 4"/>
    <w:basedOn w:val="1"/>
    <w:next w:val="1"/>
    <w:qFormat/>
    <w:uiPriority w:val="39"/>
    <w:pPr>
      <w:tabs>
        <w:tab w:val="left" w:pos="1890"/>
        <w:tab w:val="right" w:leader="dot" w:pos="8296"/>
      </w:tabs>
      <w:autoSpaceDE/>
      <w:autoSpaceDN/>
      <w:ind w:left="630" w:leftChars="300"/>
      <w:jc w:val="both"/>
    </w:pPr>
    <w:rPr>
      <w:rFonts w:ascii="Calibri" w:hAnsi="Calibri" w:cs="Times New Roman"/>
      <w:kern w:val="2"/>
      <w:sz w:val="21"/>
      <w:lang w:eastAsia="zh-CN"/>
    </w:rPr>
  </w:style>
  <w:style w:type="paragraph" w:styleId="32">
    <w:name w:val="Subtitle"/>
    <w:basedOn w:val="1"/>
    <w:next w:val="1"/>
    <w:link w:val="72"/>
    <w:qFormat/>
    <w:uiPriority w:val="11"/>
    <w:pPr>
      <w:autoSpaceDE/>
      <w:autoSpaceDN/>
      <w:spacing w:before="240" w:after="60" w:line="312" w:lineRule="auto"/>
      <w:jc w:val="center"/>
      <w:outlineLvl w:val="1"/>
    </w:pPr>
    <w:rPr>
      <w:rFonts w:ascii="Cambria" w:hAnsi="Cambria" w:cs="Times New Roman" w:eastAsiaTheme="minorEastAsia"/>
      <w:b/>
      <w:bCs/>
      <w:kern w:val="28"/>
      <w:sz w:val="32"/>
      <w:szCs w:val="32"/>
    </w:rPr>
  </w:style>
  <w:style w:type="paragraph" w:styleId="33">
    <w:name w:val="toc 6"/>
    <w:basedOn w:val="1"/>
    <w:next w:val="1"/>
    <w:qFormat/>
    <w:uiPriority w:val="39"/>
    <w:pPr>
      <w:autoSpaceDE/>
      <w:autoSpaceDN/>
      <w:ind w:left="2100" w:leftChars="1000"/>
      <w:jc w:val="both"/>
    </w:pPr>
    <w:rPr>
      <w:rFonts w:ascii="Calibri" w:hAnsi="Calibri" w:cs="Times New Roman"/>
      <w:kern w:val="2"/>
      <w:sz w:val="21"/>
      <w:lang w:eastAsia="zh-CN"/>
    </w:rPr>
  </w:style>
  <w:style w:type="paragraph" w:styleId="34">
    <w:name w:val="Body Text Indent 3"/>
    <w:basedOn w:val="1"/>
    <w:link w:val="73"/>
    <w:semiHidden/>
    <w:unhideWhenUsed/>
    <w:qFormat/>
    <w:uiPriority w:val="99"/>
    <w:pPr>
      <w:autoSpaceDE/>
      <w:autoSpaceDN/>
      <w:spacing w:after="120"/>
      <w:ind w:left="420" w:leftChars="200"/>
      <w:jc w:val="both"/>
    </w:pPr>
    <w:rPr>
      <w:rFonts w:ascii="Times New Roman" w:hAnsi="Times New Roman" w:cs="Times New Roman"/>
      <w:kern w:val="2"/>
      <w:sz w:val="16"/>
      <w:szCs w:val="16"/>
      <w:lang w:eastAsia="zh-CN"/>
    </w:rPr>
  </w:style>
  <w:style w:type="paragraph" w:styleId="35">
    <w:name w:val="toc 2"/>
    <w:basedOn w:val="1"/>
    <w:next w:val="1"/>
    <w:qFormat/>
    <w:uiPriority w:val="39"/>
    <w:pPr>
      <w:autoSpaceDE/>
      <w:autoSpaceDN/>
      <w:ind w:left="420" w:leftChars="200"/>
      <w:jc w:val="both"/>
    </w:pPr>
    <w:rPr>
      <w:rFonts w:hAnsi="Times New Roman" w:cs="Times New Roman"/>
      <w:b/>
      <w:kern w:val="2"/>
      <w:sz w:val="28"/>
      <w:szCs w:val="20"/>
      <w:lang w:eastAsia="zh-CN"/>
    </w:rPr>
  </w:style>
  <w:style w:type="paragraph" w:styleId="36">
    <w:name w:val="toc 9"/>
    <w:basedOn w:val="1"/>
    <w:next w:val="1"/>
    <w:qFormat/>
    <w:uiPriority w:val="39"/>
    <w:pPr>
      <w:autoSpaceDE/>
      <w:autoSpaceDN/>
      <w:ind w:left="3360" w:leftChars="1600"/>
      <w:jc w:val="both"/>
    </w:pPr>
    <w:rPr>
      <w:rFonts w:ascii="Calibri" w:hAnsi="Calibri" w:cs="Times New Roman"/>
      <w:kern w:val="2"/>
      <w:sz w:val="21"/>
      <w:lang w:eastAsia="zh-CN"/>
    </w:rPr>
  </w:style>
  <w:style w:type="paragraph" w:styleId="37">
    <w:name w:val="Body Text 2"/>
    <w:basedOn w:val="1"/>
    <w:link w:val="74"/>
    <w:semiHidden/>
    <w:unhideWhenUsed/>
    <w:qFormat/>
    <w:uiPriority w:val="99"/>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38">
    <w:name w:val="HTML Preformatted"/>
    <w:basedOn w:val="1"/>
    <w:link w:val="75"/>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39">
    <w:name w:val="Normal (Web)"/>
    <w:basedOn w:val="1"/>
    <w:qFormat/>
    <w:uiPriority w:val="99"/>
    <w:pPr>
      <w:widowControl/>
      <w:autoSpaceDE/>
      <w:autoSpaceDN/>
      <w:spacing w:before="100" w:beforeAutospacing="1" w:after="100" w:afterAutospacing="1" w:line="320" w:lineRule="atLeast"/>
    </w:pPr>
    <w:rPr>
      <w:rFonts w:cs="Times New Roman"/>
      <w:sz w:val="18"/>
      <w:szCs w:val="18"/>
      <w:lang w:eastAsia="zh-CN"/>
    </w:rPr>
  </w:style>
  <w:style w:type="paragraph" w:styleId="40">
    <w:name w:val="Title"/>
    <w:basedOn w:val="1"/>
    <w:next w:val="1"/>
    <w:link w:val="76"/>
    <w:qFormat/>
    <w:uiPriority w:val="10"/>
    <w:pPr>
      <w:autoSpaceDE/>
      <w:autoSpaceDN/>
      <w:spacing w:before="240" w:after="60"/>
      <w:jc w:val="center"/>
      <w:outlineLvl w:val="0"/>
    </w:pPr>
    <w:rPr>
      <w:rFonts w:ascii="Cambria" w:hAnsi="Cambria" w:cs="Times New Roman" w:eastAsiaTheme="minorEastAsia"/>
      <w:b/>
      <w:bCs/>
      <w:kern w:val="2"/>
      <w:sz w:val="32"/>
      <w:szCs w:val="32"/>
    </w:rPr>
  </w:style>
  <w:style w:type="paragraph" w:styleId="41">
    <w:name w:val="annotation subject"/>
    <w:basedOn w:val="15"/>
    <w:next w:val="15"/>
    <w:link w:val="77"/>
    <w:qFormat/>
    <w:uiPriority w:val="99"/>
    <w:pPr>
      <w:autoSpaceDE/>
      <w:autoSpaceDN/>
    </w:pPr>
    <w:rPr>
      <w:rFonts w:hAnsi="Times New Roman" w:eastAsiaTheme="minorEastAsia" w:cstheme="minorBidi"/>
      <w:b/>
      <w:bCs/>
      <w:sz w:val="28"/>
    </w:rPr>
  </w:style>
  <w:style w:type="table" w:styleId="43">
    <w:name w:val="Table Grid"/>
    <w:basedOn w:val="4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22"/>
    <w:rPr>
      <w:b/>
      <w:bCs/>
    </w:rPr>
  </w:style>
  <w:style w:type="character" w:styleId="46">
    <w:name w:val="page number"/>
    <w:qFormat/>
    <w:uiPriority w:val="99"/>
    <w:rPr>
      <w:rFonts w:cs="Times New Roman"/>
    </w:rPr>
  </w:style>
  <w:style w:type="character" w:styleId="47">
    <w:name w:val="FollowedHyperlink"/>
    <w:basedOn w:val="44"/>
    <w:semiHidden/>
    <w:unhideWhenUsed/>
    <w:qFormat/>
    <w:uiPriority w:val="99"/>
    <w:rPr>
      <w:color w:val="800080" w:themeColor="followedHyperlink"/>
      <w:u w:val="single"/>
      <w14:textFill>
        <w14:solidFill>
          <w14:schemeClr w14:val="folHlink"/>
        </w14:solidFill>
      </w14:textFill>
    </w:rPr>
  </w:style>
  <w:style w:type="character" w:styleId="48">
    <w:name w:val="Emphasis"/>
    <w:qFormat/>
    <w:uiPriority w:val="20"/>
    <w:rPr>
      <w:i/>
      <w:iCs/>
    </w:rPr>
  </w:style>
  <w:style w:type="character" w:styleId="49">
    <w:name w:val="Hyperlink"/>
    <w:basedOn w:val="44"/>
    <w:unhideWhenUsed/>
    <w:qFormat/>
    <w:uiPriority w:val="99"/>
    <w:rPr>
      <w:color w:val="0000FF" w:themeColor="hyperlink"/>
      <w:u w:val="single"/>
      <w14:textFill>
        <w14:solidFill>
          <w14:schemeClr w14:val="hlink"/>
        </w14:solidFill>
      </w14:textFill>
    </w:rPr>
  </w:style>
  <w:style w:type="character" w:styleId="50">
    <w:name w:val="annotation reference"/>
    <w:basedOn w:val="44"/>
    <w:qFormat/>
    <w:uiPriority w:val="99"/>
    <w:rPr>
      <w:rFonts w:cs="Times New Roman"/>
      <w:sz w:val="21"/>
      <w:szCs w:val="21"/>
    </w:rPr>
  </w:style>
  <w:style w:type="character" w:customStyle="1" w:styleId="51">
    <w:name w:val="标题 1 字符"/>
    <w:link w:val="2"/>
    <w:qFormat/>
    <w:uiPriority w:val="7"/>
    <w:rPr>
      <w:rFonts w:ascii="宋体" w:hAnsi="宋体" w:eastAsia="宋体" w:cs="宋体"/>
      <w:sz w:val="60"/>
      <w:szCs w:val="60"/>
    </w:rPr>
  </w:style>
  <w:style w:type="character" w:customStyle="1" w:styleId="52">
    <w:name w:val="标题 2 字符"/>
    <w:basedOn w:val="44"/>
    <w:link w:val="3"/>
    <w:qFormat/>
    <w:uiPriority w:val="9"/>
    <w:rPr>
      <w:rFonts w:ascii="宋体" w:hAnsi="宋体" w:eastAsia="宋体" w:cs="宋体"/>
      <w:sz w:val="40"/>
      <w:szCs w:val="40"/>
    </w:rPr>
  </w:style>
  <w:style w:type="character" w:customStyle="1" w:styleId="53">
    <w:name w:val="标题 3 字符"/>
    <w:basedOn w:val="44"/>
    <w:link w:val="4"/>
    <w:qFormat/>
    <w:uiPriority w:val="0"/>
    <w:rPr>
      <w:rFonts w:ascii="宋体" w:hAnsi="宋体" w:eastAsia="宋体" w:cs="宋体"/>
      <w:sz w:val="34"/>
      <w:szCs w:val="34"/>
    </w:rPr>
  </w:style>
  <w:style w:type="character" w:customStyle="1" w:styleId="54">
    <w:name w:val="标题 4 字符"/>
    <w:basedOn w:val="44"/>
    <w:link w:val="5"/>
    <w:qFormat/>
    <w:uiPriority w:val="9"/>
    <w:rPr>
      <w:rFonts w:ascii="宋体" w:hAnsi="宋体" w:eastAsia="宋体" w:cs="宋体"/>
      <w:sz w:val="24"/>
      <w:szCs w:val="30"/>
    </w:rPr>
  </w:style>
  <w:style w:type="character" w:customStyle="1" w:styleId="55">
    <w:name w:val="标题 5 字符"/>
    <w:link w:val="6"/>
    <w:qFormat/>
    <w:uiPriority w:val="9"/>
    <w:rPr>
      <w:rFonts w:ascii="Times New Roman" w:hAnsi="Times New Roman" w:eastAsia="Times New Roman" w:cs="Times New Roman"/>
      <w:sz w:val="24"/>
      <w:szCs w:val="24"/>
    </w:rPr>
  </w:style>
  <w:style w:type="character" w:customStyle="1" w:styleId="56">
    <w:name w:val="标题 6 字符"/>
    <w:basedOn w:val="44"/>
    <w:link w:val="7"/>
    <w:qFormat/>
    <w:uiPriority w:val="9"/>
    <w:rPr>
      <w:rFonts w:ascii="宋体" w:hAnsi="宋体" w:eastAsia="宋体" w:cs="宋体"/>
      <w:bCs/>
      <w:sz w:val="24"/>
      <w:szCs w:val="20"/>
    </w:rPr>
  </w:style>
  <w:style w:type="character" w:customStyle="1" w:styleId="57">
    <w:name w:val="标题 7 字符"/>
    <w:basedOn w:val="44"/>
    <w:link w:val="8"/>
    <w:qFormat/>
    <w:uiPriority w:val="9"/>
    <w:rPr>
      <w:rFonts w:ascii="Calibri" w:hAnsi="Calibri" w:eastAsia="宋体" w:cs="Times New Roman"/>
      <w:b/>
      <w:bCs/>
      <w:kern w:val="2"/>
      <w:sz w:val="24"/>
      <w:szCs w:val="24"/>
      <w:lang w:eastAsia="zh-CN"/>
    </w:rPr>
  </w:style>
  <w:style w:type="character" w:customStyle="1" w:styleId="58">
    <w:name w:val="标题 8 字符"/>
    <w:basedOn w:val="44"/>
    <w:link w:val="9"/>
    <w:qFormat/>
    <w:uiPriority w:val="9"/>
    <w:rPr>
      <w:rFonts w:ascii="Cambria" w:hAnsi="Cambria" w:eastAsia="宋体" w:cs="Times New Roman"/>
      <w:kern w:val="2"/>
      <w:sz w:val="24"/>
      <w:szCs w:val="24"/>
      <w:lang w:eastAsia="zh-CN"/>
    </w:rPr>
  </w:style>
  <w:style w:type="character" w:customStyle="1" w:styleId="59">
    <w:name w:val="标题 9 字符"/>
    <w:basedOn w:val="44"/>
    <w:link w:val="10"/>
    <w:qFormat/>
    <w:uiPriority w:val="9"/>
    <w:rPr>
      <w:rFonts w:ascii="Cambria" w:hAnsi="Cambria" w:eastAsia="宋体" w:cs="Times New Roman"/>
      <w:kern w:val="2"/>
      <w:sz w:val="21"/>
      <w:szCs w:val="21"/>
      <w:lang w:eastAsia="zh-CN"/>
    </w:rPr>
  </w:style>
  <w:style w:type="character" w:customStyle="1" w:styleId="60">
    <w:name w:val="正文缩进 字符"/>
    <w:link w:val="12"/>
    <w:qFormat/>
    <w:locked/>
    <w:uiPriority w:val="0"/>
    <w:rPr>
      <w:rFonts w:ascii="Times New Roman" w:hAnsi="Times New Roman" w:eastAsia="宋体" w:cs="Times New Roman"/>
      <w:sz w:val="24"/>
      <w:szCs w:val="20"/>
      <w:lang w:eastAsia="zh-CN"/>
    </w:rPr>
  </w:style>
  <w:style w:type="character" w:customStyle="1" w:styleId="61">
    <w:name w:val="文档结构图 字符"/>
    <w:link w:val="14"/>
    <w:qFormat/>
    <w:uiPriority w:val="99"/>
    <w:rPr>
      <w:rFonts w:ascii="Times New Roman" w:hAnsi="Times New Roman"/>
      <w:szCs w:val="24"/>
      <w:shd w:val="clear" w:color="auto" w:fill="000080"/>
    </w:rPr>
  </w:style>
  <w:style w:type="character" w:customStyle="1" w:styleId="62">
    <w:name w:val="批注文字 字符1"/>
    <w:basedOn w:val="44"/>
    <w:link w:val="15"/>
    <w:semiHidden/>
    <w:qFormat/>
    <w:uiPriority w:val="99"/>
    <w:rPr>
      <w:rFonts w:ascii="宋体" w:hAnsi="宋体" w:eastAsia="宋体" w:cs="宋体"/>
    </w:rPr>
  </w:style>
  <w:style w:type="character" w:customStyle="1" w:styleId="63">
    <w:name w:val="正文文本 3 字符"/>
    <w:basedOn w:val="44"/>
    <w:link w:val="16"/>
    <w:semiHidden/>
    <w:qFormat/>
    <w:uiPriority w:val="99"/>
    <w:rPr>
      <w:rFonts w:ascii="Times New Roman" w:hAnsi="Times New Roman" w:eastAsia="宋体" w:cs="Times New Roman"/>
      <w:kern w:val="2"/>
      <w:sz w:val="16"/>
      <w:szCs w:val="16"/>
      <w:shd w:val="pct10" w:color="auto" w:fill="FFFFFF"/>
      <w:lang w:eastAsia="zh-CN"/>
    </w:rPr>
  </w:style>
  <w:style w:type="character" w:customStyle="1" w:styleId="64">
    <w:name w:val="正文文本 字符"/>
    <w:basedOn w:val="44"/>
    <w:link w:val="17"/>
    <w:qFormat/>
    <w:uiPriority w:val="99"/>
    <w:rPr>
      <w:rFonts w:ascii="宋体" w:hAnsi="宋体" w:eastAsia="宋体" w:cs="宋体"/>
      <w:sz w:val="20"/>
      <w:szCs w:val="20"/>
    </w:rPr>
  </w:style>
  <w:style w:type="character" w:customStyle="1" w:styleId="65">
    <w:name w:val="正文文本缩进 字符"/>
    <w:basedOn w:val="44"/>
    <w:link w:val="18"/>
    <w:semiHidden/>
    <w:qFormat/>
    <w:uiPriority w:val="99"/>
    <w:rPr>
      <w:rFonts w:ascii="Times New Roman" w:hAnsi="Times New Roman" w:eastAsia="宋体" w:cs="Times New Roman"/>
      <w:kern w:val="2"/>
      <w:sz w:val="21"/>
      <w:szCs w:val="24"/>
      <w:lang w:eastAsia="zh-CN"/>
    </w:rPr>
  </w:style>
  <w:style w:type="character" w:customStyle="1" w:styleId="66">
    <w:name w:val="纯文本 字符"/>
    <w:basedOn w:val="44"/>
    <w:link w:val="23"/>
    <w:qFormat/>
    <w:uiPriority w:val="99"/>
    <w:rPr>
      <w:rFonts w:ascii="Courier New" w:hAnsi="Courier New" w:eastAsia="宋体" w:cs="Times New Roman"/>
      <w:kern w:val="2"/>
      <w:sz w:val="21"/>
      <w:szCs w:val="20"/>
      <w:lang w:eastAsia="zh-CN"/>
    </w:rPr>
  </w:style>
  <w:style w:type="character" w:customStyle="1" w:styleId="67">
    <w:name w:val="日期 字符"/>
    <w:link w:val="25"/>
    <w:qFormat/>
    <w:uiPriority w:val="99"/>
    <w:rPr>
      <w:rFonts w:ascii="宋体" w:hAnsi="Times New Roman"/>
      <w:sz w:val="28"/>
    </w:rPr>
  </w:style>
  <w:style w:type="character" w:customStyle="1" w:styleId="68">
    <w:name w:val="正文文本缩进 2 字符"/>
    <w:basedOn w:val="44"/>
    <w:link w:val="26"/>
    <w:semiHidden/>
    <w:qFormat/>
    <w:uiPriority w:val="99"/>
    <w:rPr>
      <w:rFonts w:ascii="Times New Roman" w:hAnsi="Times New Roman" w:eastAsia="宋体" w:cs="Times New Roman"/>
      <w:kern w:val="2"/>
      <w:sz w:val="21"/>
      <w:szCs w:val="24"/>
      <w:lang w:eastAsia="zh-CN"/>
    </w:rPr>
  </w:style>
  <w:style w:type="character" w:customStyle="1" w:styleId="69">
    <w:name w:val="批注框文本 字符"/>
    <w:link w:val="27"/>
    <w:qFormat/>
    <w:uiPriority w:val="99"/>
    <w:rPr>
      <w:rFonts w:ascii="宋体" w:hAnsi="Times New Roman"/>
      <w:sz w:val="18"/>
      <w:szCs w:val="18"/>
    </w:rPr>
  </w:style>
  <w:style w:type="character" w:customStyle="1" w:styleId="70">
    <w:name w:val="页脚 字符"/>
    <w:basedOn w:val="44"/>
    <w:link w:val="28"/>
    <w:qFormat/>
    <w:uiPriority w:val="99"/>
    <w:rPr>
      <w:rFonts w:ascii="宋体" w:hAnsi="宋体" w:eastAsia="宋体" w:cs="宋体"/>
      <w:sz w:val="18"/>
      <w:szCs w:val="18"/>
    </w:rPr>
  </w:style>
  <w:style w:type="character" w:customStyle="1" w:styleId="71">
    <w:name w:val="页眉 字符"/>
    <w:basedOn w:val="44"/>
    <w:link w:val="29"/>
    <w:qFormat/>
    <w:uiPriority w:val="99"/>
    <w:rPr>
      <w:rFonts w:ascii="宋体" w:hAnsi="宋体" w:eastAsia="宋体" w:cs="宋体"/>
      <w:sz w:val="18"/>
      <w:szCs w:val="18"/>
    </w:rPr>
  </w:style>
  <w:style w:type="character" w:customStyle="1" w:styleId="72">
    <w:name w:val="副标题 字符"/>
    <w:link w:val="32"/>
    <w:qFormat/>
    <w:uiPriority w:val="11"/>
    <w:rPr>
      <w:rFonts w:ascii="Cambria" w:hAnsi="Cambria" w:cs="Times New Roman"/>
      <w:b/>
      <w:bCs/>
      <w:kern w:val="28"/>
      <w:sz w:val="32"/>
      <w:szCs w:val="32"/>
    </w:rPr>
  </w:style>
  <w:style w:type="character" w:customStyle="1" w:styleId="73">
    <w:name w:val="正文文本缩进 3 字符"/>
    <w:basedOn w:val="44"/>
    <w:link w:val="34"/>
    <w:semiHidden/>
    <w:qFormat/>
    <w:uiPriority w:val="99"/>
    <w:rPr>
      <w:rFonts w:ascii="Times New Roman" w:hAnsi="Times New Roman" w:eastAsia="宋体" w:cs="Times New Roman"/>
      <w:kern w:val="2"/>
      <w:sz w:val="16"/>
      <w:szCs w:val="16"/>
      <w:lang w:eastAsia="zh-CN"/>
    </w:rPr>
  </w:style>
  <w:style w:type="character" w:customStyle="1" w:styleId="74">
    <w:name w:val="正文文本 2 字符"/>
    <w:basedOn w:val="44"/>
    <w:link w:val="37"/>
    <w:semiHidden/>
    <w:qFormat/>
    <w:uiPriority w:val="99"/>
    <w:rPr>
      <w:rFonts w:ascii="Times New Roman" w:hAnsi="Times New Roman" w:eastAsia="宋体" w:cs="Times New Roman"/>
      <w:kern w:val="2"/>
      <w:sz w:val="21"/>
      <w:szCs w:val="24"/>
      <w:lang w:eastAsia="zh-CN"/>
    </w:rPr>
  </w:style>
  <w:style w:type="character" w:customStyle="1" w:styleId="75">
    <w:name w:val="HTML 预设格式 字符"/>
    <w:basedOn w:val="44"/>
    <w:link w:val="38"/>
    <w:semiHidden/>
    <w:qFormat/>
    <w:uiPriority w:val="0"/>
    <w:rPr>
      <w:rFonts w:ascii="宋体" w:hAnsi="宋体" w:eastAsia="宋体" w:cs="Times New Roman"/>
      <w:sz w:val="24"/>
      <w:szCs w:val="24"/>
      <w:lang w:eastAsia="zh-CN"/>
    </w:rPr>
  </w:style>
  <w:style w:type="character" w:customStyle="1" w:styleId="76">
    <w:name w:val="标题 字符"/>
    <w:link w:val="40"/>
    <w:qFormat/>
    <w:uiPriority w:val="10"/>
    <w:rPr>
      <w:rFonts w:ascii="Cambria" w:hAnsi="Cambria" w:cs="Times New Roman"/>
      <w:b/>
      <w:bCs/>
      <w:kern w:val="2"/>
      <w:sz w:val="32"/>
      <w:szCs w:val="32"/>
    </w:rPr>
  </w:style>
  <w:style w:type="character" w:customStyle="1" w:styleId="77">
    <w:name w:val="批注主题 字符"/>
    <w:link w:val="41"/>
    <w:qFormat/>
    <w:uiPriority w:val="99"/>
    <w:rPr>
      <w:rFonts w:ascii="宋体" w:hAnsi="Times New Roman"/>
      <w:b/>
      <w:bCs/>
      <w:sz w:val="28"/>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styleId="79">
    <w:name w:val="List Paragraph"/>
    <w:basedOn w:val="1"/>
    <w:qFormat/>
    <w:uiPriority w:val="99"/>
    <w:pPr>
      <w:ind w:left="390" w:hanging="276"/>
    </w:pPr>
  </w:style>
  <w:style w:type="paragraph" w:customStyle="1" w:styleId="80">
    <w:name w:val="Table Paragraph"/>
    <w:basedOn w:val="1"/>
    <w:qFormat/>
    <w:uiPriority w:val="1"/>
  </w:style>
  <w:style w:type="paragraph" w:customStyle="1" w:styleId="81">
    <w:name w:val="正文1"/>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82">
    <w:name w:val="正文文本 Char1"/>
    <w:qFormat/>
    <w:uiPriority w:val="0"/>
    <w:rPr>
      <w:kern w:val="2"/>
      <w:sz w:val="21"/>
      <w:szCs w:val="22"/>
    </w:rPr>
  </w:style>
  <w:style w:type="character" w:customStyle="1" w:styleId="83">
    <w:name w:val="明显引用 字符"/>
    <w:link w:val="84"/>
    <w:qFormat/>
    <w:uiPriority w:val="99"/>
    <w:rPr>
      <w:b/>
      <w:bCs/>
      <w:i/>
      <w:iCs/>
      <w:color w:val="4F81BD"/>
      <w:kern w:val="2"/>
      <w:sz w:val="21"/>
    </w:rPr>
  </w:style>
  <w:style w:type="paragraph" w:styleId="84">
    <w:name w:val="Intense Quote"/>
    <w:basedOn w:val="1"/>
    <w:next w:val="1"/>
    <w:link w:val="83"/>
    <w:qFormat/>
    <w:uiPriority w:val="99"/>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rPr>
  </w:style>
  <w:style w:type="character" w:customStyle="1" w:styleId="85">
    <w:name w:val="不明显强调1"/>
    <w:qFormat/>
    <w:uiPriority w:val="0"/>
    <w:rPr>
      <w:i/>
      <w:iCs/>
      <w:color w:val="808080"/>
    </w:rPr>
  </w:style>
  <w:style w:type="character" w:customStyle="1" w:styleId="86">
    <w:name w:val="标题4 Char Char"/>
    <w:link w:val="87"/>
    <w:qFormat/>
    <w:uiPriority w:val="0"/>
    <w:rPr>
      <w:rFonts w:ascii="Arial" w:hAnsi="Arial"/>
      <w:b/>
      <w:bCs/>
      <w:sz w:val="24"/>
      <w:szCs w:val="32"/>
    </w:rPr>
  </w:style>
  <w:style w:type="paragraph" w:customStyle="1" w:styleId="87">
    <w:name w:val="标题4"/>
    <w:basedOn w:val="3"/>
    <w:next w:val="20"/>
    <w:link w:val="86"/>
    <w:qFormat/>
    <w:uiPriority w:val="0"/>
    <w:pPr>
      <w:keepNext/>
      <w:keepLines/>
      <w:autoSpaceDE/>
      <w:autoSpaceDN/>
      <w:spacing w:before="260" w:after="260" w:line="413" w:lineRule="auto"/>
      <w:jc w:val="both"/>
    </w:pPr>
    <w:rPr>
      <w:rFonts w:ascii="Arial" w:hAnsi="Arial" w:eastAsiaTheme="minorEastAsia" w:cstheme="minorBidi"/>
      <w:b/>
      <w:bCs/>
      <w:sz w:val="24"/>
      <w:szCs w:val="32"/>
    </w:rPr>
  </w:style>
  <w:style w:type="character" w:customStyle="1" w:styleId="88">
    <w:name w:val="标题5 Char Char"/>
    <w:link w:val="89"/>
    <w:qFormat/>
    <w:uiPriority w:val="0"/>
    <w:rPr>
      <w:rFonts w:ascii="Arial" w:hAnsi="Arial"/>
      <w:b/>
      <w:bCs/>
      <w:sz w:val="24"/>
      <w:szCs w:val="32"/>
    </w:rPr>
  </w:style>
  <w:style w:type="paragraph" w:customStyle="1" w:styleId="89">
    <w:name w:val="标题5"/>
    <w:basedOn w:val="4"/>
    <w:link w:val="88"/>
    <w:qFormat/>
    <w:uiPriority w:val="0"/>
    <w:pPr>
      <w:keepNext/>
      <w:keepLines/>
      <w:autoSpaceDE/>
      <w:autoSpaceDN/>
      <w:spacing w:before="260" w:after="260" w:line="413" w:lineRule="auto"/>
      <w:ind w:left="0"/>
      <w:jc w:val="both"/>
    </w:pPr>
    <w:rPr>
      <w:rFonts w:ascii="Arial" w:hAnsi="Arial" w:eastAsiaTheme="minorEastAsia" w:cstheme="minorBidi"/>
      <w:b/>
      <w:bCs/>
      <w:sz w:val="24"/>
      <w:szCs w:val="32"/>
    </w:rPr>
  </w:style>
  <w:style w:type="character" w:customStyle="1" w:styleId="90">
    <w:name w:val="明显参考1"/>
    <w:qFormat/>
    <w:uiPriority w:val="0"/>
    <w:rPr>
      <w:b/>
      <w:bCs/>
      <w:smallCaps/>
      <w:color w:val="C0504D"/>
      <w:spacing w:val="5"/>
      <w:u w:val="single"/>
    </w:rPr>
  </w:style>
  <w:style w:type="character" w:customStyle="1" w:styleId="91">
    <w:name w:val="书籍标题1"/>
    <w:qFormat/>
    <w:uiPriority w:val="0"/>
    <w:rPr>
      <w:b/>
      <w:bCs/>
      <w:smallCaps/>
      <w:spacing w:val="5"/>
    </w:rPr>
  </w:style>
  <w:style w:type="character" w:customStyle="1" w:styleId="92">
    <w:name w:val="批注框文本 Char1"/>
    <w:qFormat/>
    <w:uiPriority w:val="0"/>
    <w:rPr>
      <w:kern w:val="2"/>
      <w:sz w:val="18"/>
      <w:szCs w:val="18"/>
    </w:rPr>
  </w:style>
  <w:style w:type="character" w:customStyle="1" w:styleId="93">
    <w:name w:val="引用 字符"/>
    <w:link w:val="94"/>
    <w:qFormat/>
    <w:uiPriority w:val="99"/>
    <w:rPr>
      <w:i/>
      <w:iCs/>
      <w:color w:val="000000"/>
      <w:kern w:val="2"/>
      <w:sz w:val="21"/>
    </w:rPr>
  </w:style>
  <w:style w:type="paragraph" w:styleId="94">
    <w:name w:val="Quote"/>
    <w:basedOn w:val="1"/>
    <w:next w:val="1"/>
    <w:link w:val="93"/>
    <w:qFormat/>
    <w:uiPriority w:val="99"/>
    <w:pPr>
      <w:autoSpaceDE/>
      <w:autoSpaceDN/>
      <w:jc w:val="both"/>
    </w:pPr>
    <w:rPr>
      <w:rFonts w:asciiTheme="minorHAnsi" w:hAnsiTheme="minorHAnsi" w:eastAsiaTheme="minorEastAsia" w:cstheme="minorBidi"/>
      <w:i/>
      <w:iCs/>
      <w:color w:val="000000"/>
      <w:kern w:val="2"/>
      <w:sz w:val="21"/>
    </w:rPr>
  </w:style>
  <w:style w:type="character" w:customStyle="1" w:styleId="95">
    <w:name w:val="批注主题 Char1"/>
    <w:qFormat/>
    <w:uiPriority w:val="0"/>
    <w:rPr>
      <w:b/>
      <w:bCs/>
      <w:kern w:val="2"/>
      <w:sz w:val="21"/>
      <w:szCs w:val="22"/>
    </w:rPr>
  </w:style>
  <w:style w:type="character" w:customStyle="1" w:styleId="96">
    <w:name w:val="日期 Char1"/>
    <w:qFormat/>
    <w:uiPriority w:val="0"/>
    <w:rPr>
      <w:kern w:val="2"/>
      <w:sz w:val="21"/>
      <w:szCs w:val="22"/>
    </w:rPr>
  </w:style>
  <w:style w:type="character" w:customStyle="1" w:styleId="97">
    <w:name w:val="明显强调1"/>
    <w:qFormat/>
    <w:uiPriority w:val="0"/>
    <w:rPr>
      <w:b/>
      <w:bCs/>
      <w:i/>
      <w:iCs/>
      <w:color w:val="4F81BD"/>
    </w:rPr>
  </w:style>
  <w:style w:type="character" w:customStyle="1" w:styleId="98">
    <w:name w:val="textcontents"/>
    <w:qFormat/>
    <w:uiPriority w:val="0"/>
    <w:rPr>
      <w:rFonts w:cs="Times New Roman"/>
    </w:rPr>
  </w:style>
  <w:style w:type="character" w:customStyle="1" w:styleId="99">
    <w:name w:val="不明显参考1"/>
    <w:qFormat/>
    <w:uiPriority w:val="0"/>
    <w:rPr>
      <w:smallCaps/>
      <w:color w:val="C0504D"/>
      <w:u w:val="single"/>
    </w:rPr>
  </w:style>
  <w:style w:type="character" w:customStyle="1" w:styleId="100">
    <w:name w:val="批注文字 Char Char"/>
    <w:qFormat/>
    <w:uiPriority w:val="0"/>
    <w:rPr>
      <w:rFonts w:ascii="宋体" w:hAnsi="Times New Roman" w:eastAsia="宋体" w:cs="Times New Roman"/>
      <w:sz w:val="28"/>
      <w:szCs w:val="20"/>
    </w:rPr>
  </w:style>
  <w:style w:type="character" w:customStyle="1" w:styleId="101">
    <w:name w:val="批注文字 字符"/>
    <w:qFormat/>
    <w:uiPriority w:val="99"/>
    <w:rPr>
      <w:kern w:val="2"/>
      <w:sz w:val="21"/>
      <w:szCs w:val="22"/>
    </w:rPr>
  </w:style>
  <w:style w:type="character" w:customStyle="1" w:styleId="102">
    <w:name w:val="文档结构图 Char1"/>
    <w:qFormat/>
    <w:uiPriority w:val="0"/>
    <w:rPr>
      <w:rFonts w:ascii="宋体"/>
      <w:kern w:val="2"/>
      <w:sz w:val="18"/>
      <w:szCs w:val="18"/>
    </w:rPr>
  </w:style>
  <w:style w:type="paragraph" w:customStyle="1" w:styleId="103">
    <w:name w:val="修订1"/>
    <w:qFormat/>
    <w:uiPriority w:val="99"/>
    <w:rPr>
      <w:rFonts w:ascii="Times New Roman" w:hAnsi="Times New Roman" w:eastAsia="宋体" w:cs="Times New Roman"/>
      <w:kern w:val="2"/>
      <w:sz w:val="21"/>
      <w:szCs w:val="24"/>
      <w:lang w:val="en-US" w:eastAsia="zh-CN" w:bidi="ar-SA"/>
    </w:rPr>
  </w:style>
  <w:style w:type="paragraph" w:customStyle="1" w:styleId="104">
    <w:name w:val="样式 标题 2 + Times New Roman 四号 非加粗 段前: 5 磅 段后: 0 磅 行距: 固定值 20..."/>
    <w:basedOn w:val="3"/>
    <w:qFormat/>
    <w:uiPriority w:val="99"/>
    <w:pPr>
      <w:keepNext/>
      <w:keepLines/>
      <w:autoSpaceDE/>
      <w:autoSpaceDN/>
      <w:spacing w:before="100" w:line="400" w:lineRule="exact"/>
      <w:jc w:val="both"/>
    </w:pPr>
    <w:rPr>
      <w:rFonts w:ascii="Times New Roman" w:hAnsi="Times New Roman" w:eastAsia="黑体"/>
      <w:sz w:val="28"/>
      <w:szCs w:val="20"/>
      <w:lang w:eastAsia="zh-CN"/>
    </w:rPr>
  </w:style>
  <w:style w:type="character" w:customStyle="1" w:styleId="105">
    <w:name w:val="批注框文本 字符1"/>
    <w:basedOn w:val="44"/>
    <w:semiHidden/>
    <w:qFormat/>
    <w:uiPriority w:val="99"/>
    <w:rPr>
      <w:rFonts w:ascii="宋体" w:hAnsi="宋体" w:eastAsia="宋体" w:cs="宋体"/>
      <w:sz w:val="18"/>
      <w:szCs w:val="18"/>
    </w:rPr>
  </w:style>
  <w:style w:type="character" w:customStyle="1" w:styleId="106">
    <w:name w:val="批注主题 字符1"/>
    <w:basedOn w:val="62"/>
    <w:semiHidden/>
    <w:qFormat/>
    <w:uiPriority w:val="99"/>
    <w:rPr>
      <w:rFonts w:ascii="宋体" w:hAnsi="宋体" w:eastAsia="宋体" w:cs="宋体"/>
      <w:b/>
      <w:bCs/>
    </w:rPr>
  </w:style>
  <w:style w:type="character" w:customStyle="1" w:styleId="107">
    <w:name w:val="文档结构图 字符1"/>
    <w:basedOn w:val="44"/>
    <w:semiHidden/>
    <w:qFormat/>
    <w:uiPriority w:val="99"/>
    <w:rPr>
      <w:rFonts w:ascii="Microsoft YaHei UI" w:hAnsi="宋体" w:eastAsia="Microsoft YaHei UI" w:cs="宋体"/>
      <w:sz w:val="18"/>
      <w:szCs w:val="18"/>
    </w:rPr>
  </w:style>
  <w:style w:type="character" w:customStyle="1" w:styleId="108">
    <w:name w:val="日期 字符1"/>
    <w:basedOn w:val="44"/>
    <w:semiHidden/>
    <w:qFormat/>
    <w:uiPriority w:val="99"/>
    <w:rPr>
      <w:rFonts w:ascii="宋体" w:hAnsi="宋体" w:eastAsia="宋体" w:cs="宋体"/>
    </w:rPr>
  </w:style>
  <w:style w:type="character" w:customStyle="1" w:styleId="109">
    <w:name w:val="标题 字符1"/>
    <w:basedOn w:val="44"/>
    <w:qFormat/>
    <w:uiPriority w:val="10"/>
    <w:rPr>
      <w:rFonts w:asciiTheme="majorHAnsi" w:hAnsiTheme="majorHAnsi" w:eastAsiaTheme="majorEastAsia" w:cstheme="majorBidi"/>
      <w:b/>
      <w:bCs/>
      <w:sz w:val="32"/>
      <w:szCs w:val="32"/>
    </w:rPr>
  </w:style>
  <w:style w:type="paragraph" w:customStyle="1" w:styleId="110">
    <w:name w:val="TOC 标题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11">
    <w:name w:val="副标题 字符1"/>
    <w:basedOn w:val="44"/>
    <w:qFormat/>
    <w:uiPriority w:val="11"/>
    <w:rPr>
      <w:b/>
      <w:bCs/>
      <w:kern w:val="28"/>
      <w:sz w:val="32"/>
      <w:szCs w:val="32"/>
    </w:rPr>
  </w:style>
  <w:style w:type="character" w:customStyle="1" w:styleId="112">
    <w:name w:val="明显引用 字符1"/>
    <w:basedOn w:val="44"/>
    <w:qFormat/>
    <w:uiPriority w:val="30"/>
    <w:rPr>
      <w:rFonts w:ascii="宋体" w:hAnsi="宋体" w:eastAsia="宋体" w:cs="宋体"/>
      <w:i/>
      <w:iCs/>
      <w:color w:val="4F81BD" w:themeColor="accent1"/>
      <w14:textFill>
        <w14:solidFill>
          <w14:schemeClr w14:val="accent1"/>
        </w14:solidFill>
      </w14:textFill>
    </w:rPr>
  </w:style>
  <w:style w:type="paragraph" w:customStyle="1" w:styleId="113">
    <w:name w:val="样式 标题 3 + (中文) 黑体 小四 非加粗 段前: 7.8 磅 段后: 0 磅 行距: 固定值 20 磅"/>
    <w:basedOn w:val="4"/>
    <w:qFormat/>
    <w:uiPriority w:val="99"/>
    <w:pPr>
      <w:keepNext/>
      <w:keepLines/>
      <w:autoSpaceDE/>
      <w:autoSpaceDN/>
      <w:spacing w:line="400" w:lineRule="exact"/>
      <w:ind w:left="0"/>
      <w:jc w:val="both"/>
    </w:pPr>
    <w:rPr>
      <w:rFonts w:ascii="Times New Roman" w:hAnsi="Times New Roman" w:eastAsia="黑体"/>
      <w:kern w:val="2"/>
      <w:sz w:val="24"/>
      <w:szCs w:val="20"/>
      <w:lang w:eastAsia="zh-CN"/>
    </w:rPr>
  </w:style>
  <w:style w:type="paragraph" w:customStyle="1" w:styleId="114">
    <w:name w:val="空半行"/>
    <w:basedOn w:val="1"/>
    <w:qFormat/>
    <w:uiPriority w:val="99"/>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eastAsia="zh-CN"/>
    </w:rPr>
  </w:style>
  <w:style w:type="paragraph" w:styleId="115">
    <w:name w:val="No Spacing"/>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引用 字符1"/>
    <w:basedOn w:val="44"/>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paragraph" w:customStyle="1" w:styleId="117">
    <w:name w:val="flNote"/>
    <w:basedOn w:val="1"/>
    <w:qFormat/>
    <w:uiPriority w:val="99"/>
    <w:pPr>
      <w:autoSpaceDE/>
      <w:autoSpaceDN/>
      <w:adjustRightInd w:val="0"/>
      <w:spacing w:before="320" w:after="160" w:line="360" w:lineRule="atLeast"/>
      <w:jc w:val="center"/>
      <w:textAlignment w:val="baseline"/>
    </w:pPr>
    <w:rPr>
      <w:rFonts w:ascii="Arial" w:hAnsi="Times New Roman" w:eastAsia="黑体" w:cs="Times New Roman"/>
      <w:sz w:val="30"/>
      <w:szCs w:val="20"/>
      <w:lang w:eastAsia="zh-CN"/>
    </w:rPr>
  </w:style>
  <w:style w:type="paragraph" w:customStyle="1" w:styleId="118">
    <w:name w:val="[Normal]"/>
    <w:qFormat/>
    <w:uiPriority w:val="99"/>
    <w:pPr>
      <w:widowControl w:val="0"/>
    </w:pPr>
    <w:rPr>
      <w:rFonts w:ascii="宋体" w:hAnsi="宋体" w:eastAsia="宋体" w:cs="Times New Roman"/>
      <w:sz w:val="24"/>
      <w:szCs w:val="24"/>
      <w:lang w:val="en-US" w:eastAsia="zh-CN" w:bidi="ar-SA"/>
    </w:rPr>
  </w:style>
  <w:style w:type="paragraph" w:customStyle="1" w:styleId="119">
    <w:name w:val="标题1"/>
    <w:basedOn w:val="118"/>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hAnsi="黑体" w:eastAsia="黑体" w:cs="黑体"/>
      <w:b/>
      <w:bCs/>
      <w:sz w:val="44"/>
      <w:szCs w:val="44"/>
    </w:rPr>
  </w:style>
  <w:style w:type="paragraph" w:customStyle="1" w:styleId="120">
    <w:name w:val="标题2"/>
    <w:basedOn w:val="119"/>
    <w:qFormat/>
    <w:uiPriority w:val="99"/>
    <w:pPr>
      <w:spacing w:before="0" w:after="0"/>
    </w:pPr>
    <w:rPr>
      <w:sz w:val="30"/>
      <w:szCs w:val="30"/>
    </w:rPr>
  </w:style>
  <w:style w:type="paragraph" w:customStyle="1" w:styleId="121">
    <w:name w:val="标题3"/>
    <w:basedOn w:val="120"/>
    <w:qFormat/>
    <w:uiPriority w:val="99"/>
    <w:rPr>
      <w:rFonts w:ascii="宋体" w:hAnsi="宋体" w:eastAsia="宋体" w:cs="宋体"/>
      <w:sz w:val="21"/>
      <w:szCs w:val="21"/>
    </w:rPr>
  </w:style>
  <w:style w:type="paragraph" w:customStyle="1" w:styleId="122">
    <w:name w:val="±êÌâ2"/>
    <w:basedOn w:val="1"/>
    <w:qFormat/>
    <w:uiPriority w:val="9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hAnsi="黑体" w:eastAsia="黑体" w:cs="黑体"/>
      <w:b/>
      <w:bCs/>
      <w:sz w:val="30"/>
      <w:szCs w:val="30"/>
      <w:lang w:eastAsia="zh-CN"/>
    </w:rPr>
  </w:style>
  <w:style w:type="paragraph" w:customStyle="1" w:styleId="123">
    <w:name w:val="标题 51"/>
    <w:basedOn w:val="1"/>
    <w:next w:val="122"/>
    <w:qFormat/>
    <w:uiPriority w:val="99"/>
    <w:pPr>
      <w:keepNext/>
      <w:keepLines/>
      <w:autoSpaceDE/>
      <w:autoSpaceDN/>
      <w:spacing w:before="280" w:after="290" w:line="372" w:lineRule="auto"/>
      <w:jc w:val="both"/>
    </w:pPr>
    <w:rPr>
      <w:rFonts w:cs="Times New Roman"/>
      <w:b/>
      <w:bCs/>
      <w:sz w:val="28"/>
      <w:szCs w:val="28"/>
      <w:lang w:eastAsia="zh-CN"/>
    </w:rPr>
  </w:style>
  <w:style w:type="paragraph" w:customStyle="1" w:styleId="124">
    <w:name w:val="标题 41"/>
    <w:basedOn w:val="1"/>
    <w:qFormat/>
    <w:uiPriority w:val="99"/>
    <w:pPr>
      <w:keepNext/>
      <w:keepLines/>
      <w:autoSpaceDE/>
      <w:autoSpaceDN/>
      <w:spacing w:line="500" w:lineRule="exact"/>
      <w:ind w:left="1080"/>
      <w:jc w:val="both"/>
    </w:pPr>
    <w:rPr>
      <w:rFonts w:cs="Times New Roman"/>
      <w:sz w:val="28"/>
      <w:szCs w:val="28"/>
      <w:lang w:eastAsia="zh-CN"/>
    </w:rPr>
  </w:style>
  <w:style w:type="paragraph" w:customStyle="1" w:styleId="125">
    <w:name w:val="标题 61"/>
    <w:basedOn w:val="1"/>
    <w:next w:val="122"/>
    <w:qFormat/>
    <w:uiPriority w:val="99"/>
    <w:pPr>
      <w:keepNext/>
      <w:keepLines/>
      <w:autoSpaceDE/>
      <w:autoSpaceDN/>
      <w:spacing w:before="240" w:after="64" w:line="317" w:lineRule="auto"/>
      <w:jc w:val="both"/>
    </w:pPr>
    <w:rPr>
      <w:rFonts w:cs="Times New Roman"/>
      <w:b/>
      <w:bCs/>
      <w:sz w:val="24"/>
      <w:szCs w:val="24"/>
      <w:lang w:eastAsia="zh-CN"/>
    </w:rPr>
  </w:style>
  <w:style w:type="paragraph" w:customStyle="1" w:styleId="126">
    <w:name w:val="ÑùÊ½1"/>
    <w:basedOn w:val="1"/>
    <w:qFormat/>
    <w:uiPriority w:val="99"/>
    <w:pPr>
      <w:autoSpaceDE/>
      <w:autoSpaceDN/>
      <w:spacing w:line="360" w:lineRule="auto"/>
      <w:ind w:firstLine="420"/>
      <w:jc w:val="both"/>
    </w:pPr>
    <w:rPr>
      <w:rFonts w:cs="Times New Roman"/>
      <w:sz w:val="21"/>
      <w:szCs w:val="21"/>
      <w:lang w:eastAsia="zh-CN"/>
    </w:rPr>
  </w:style>
  <w:style w:type="paragraph" w:customStyle="1" w:styleId="127">
    <w:name w:val="1"/>
    <w:basedOn w:val="1"/>
    <w:qFormat/>
    <w:uiPriority w:val="99"/>
    <w:pPr>
      <w:autoSpaceDE/>
      <w:autoSpaceDN/>
      <w:spacing w:line="360" w:lineRule="auto"/>
      <w:ind w:firstLine="567"/>
      <w:jc w:val="both"/>
    </w:pPr>
    <w:rPr>
      <w:rFonts w:cs="Times New Roman"/>
      <w:sz w:val="21"/>
      <w:szCs w:val="21"/>
      <w:lang w:eastAsia="zh-CN"/>
    </w:rPr>
  </w:style>
  <w:style w:type="paragraph" w:customStyle="1" w:styleId="128">
    <w:name w:val="纯文本1"/>
    <w:basedOn w:val="1"/>
    <w:qFormat/>
    <w:uiPriority w:val="99"/>
    <w:pPr>
      <w:autoSpaceDE/>
      <w:autoSpaceDN/>
      <w:spacing w:line="360" w:lineRule="auto"/>
      <w:ind w:firstLine="200"/>
      <w:jc w:val="both"/>
    </w:pPr>
    <w:rPr>
      <w:rFonts w:cs="Times New Roman"/>
      <w:sz w:val="21"/>
      <w:szCs w:val="21"/>
      <w:lang w:eastAsia="zh-CN"/>
    </w:rPr>
  </w:style>
  <w:style w:type="paragraph" w:customStyle="1" w:styleId="129">
    <w:name w:val="页眉1"/>
    <w:basedOn w:val="1"/>
    <w:qFormat/>
    <w:uiPriority w:val="99"/>
    <w:pPr>
      <w:pBdr>
        <w:bottom w:val="single" w:color="auto" w:sz="6" w:space="1"/>
        <w:between w:val="single" w:color="auto" w:sz="6" w:space="1"/>
      </w:pBdr>
      <w:tabs>
        <w:tab w:val="center" w:pos="4153"/>
        <w:tab w:val="right" w:pos="8306"/>
      </w:tabs>
      <w:autoSpaceDE/>
      <w:autoSpaceDN/>
      <w:ind w:firstLine="200"/>
      <w:jc w:val="center"/>
    </w:pPr>
    <w:rPr>
      <w:rFonts w:cs="Times New Roman"/>
      <w:sz w:val="18"/>
      <w:szCs w:val="18"/>
      <w:lang w:eastAsia="zh-CN"/>
    </w:rPr>
  </w:style>
  <w:style w:type="paragraph" w:customStyle="1" w:styleId="130">
    <w:name w:val="页脚1"/>
    <w:basedOn w:val="1"/>
    <w:qFormat/>
    <w:uiPriority w:val="99"/>
    <w:pPr>
      <w:tabs>
        <w:tab w:val="center" w:pos="4153"/>
        <w:tab w:val="right" w:pos="8306"/>
      </w:tabs>
      <w:autoSpaceDE/>
      <w:autoSpaceDN/>
      <w:ind w:firstLine="200"/>
    </w:pPr>
    <w:rPr>
      <w:rFonts w:cs="Times New Roman"/>
      <w:sz w:val="18"/>
      <w:szCs w:val="18"/>
      <w:lang w:eastAsia="zh-CN"/>
    </w:rPr>
  </w:style>
  <w:style w:type="paragraph" w:customStyle="1" w:styleId="131">
    <w:name w:val="标题 11"/>
    <w:basedOn w:val="1"/>
    <w:qFormat/>
    <w:uiPriority w:val="99"/>
    <w:pPr>
      <w:widowControl/>
      <w:autoSpaceDE/>
      <w:autoSpaceDN/>
      <w:spacing w:before="100" w:after="100"/>
    </w:pPr>
    <w:rPr>
      <w:rFonts w:cs="Times New Roman"/>
      <w:b/>
      <w:bCs/>
      <w:sz w:val="48"/>
      <w:szCs w:val="48"/>
      <w:lang w:eastAsia="zh-CN"/>
    </w:rPr>
  </w:style>
  <w:style w:type="character" w:customStyle="1" w:styleId="132">
    <w:name w:val="±êÌâ 2 Char"/>
    <w:qFormat/>
    <w:uiPriority w:val="0"/>
    <w:rPr>
      <w:rFonts w:ascii="宋体" w:hAnsi="宋体" w:eastAsia="宋体" w:cs="宋体"/>
      <w:sz w:val="28"/>
      <w:szCs w:val="28"/>
    </w:rPr>
  </w:style>
  <w:style w:type="paragraph" w:customStyle="1" w:styleId="133">
    <w:name w:val="BODY"/>
    <w:basedOn w:val="118"/>
    <w:qFormat/>
    <w:uiPriority w:val="99"/>
    <w:pPr>
      <w:widowControl/>
    </w:pPr>
    <w:rPr>
      <w:rFonts w:cs="宋体"/>
    </w:rPr>
  </w:style>
  <w:style w:type="paragraph" w:customStyle="1" w:styleId="134">
    <w:name w:val="样式1.2.3."/>
    <w:basedOn w:val="118"/>
    <w:next w:val="81"/>
    <w:qFormat/>
    <w:uiPriority w:val="99"/>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35">
    <w:name w:val="样式（1）（2）（3）"/>
    <w:basedOn w:val="134"/>
    <w:qFormat/>
    <w:uiPriority w:val="99"/>
    <w:pPr>
      <w:numPr>
        <w:ilvl w:val="5"/>
        <w:numId w:val="2"/>
      </w:numPr>
      <w:ind w:left="1800"/>
    </w:pPr>
  </w:style>
  <w:style w:type="paragraph" w:customStyle="1" w:styleId="136">
    <w:name w:val="样式1）2）3）"/>
    <w:basedOn w:val="135"/>
    <w:qFormat/>
    <w:uiPriority w:val="99"/>
    <w:pPr>
      <w:numPr>
        <w:ilvl w:val="6"/>
        <w:numId w:val="3"/>
      </w:numPr>
      <w:ind w:left="2160"/>
    </w:pPr>
  </w:style>
  <w:style w:type="character" w:customStyle="1" w:styleId="137">
    <w:name w:val="Unresolved Mention"/>
    <w:basedOn w:val="44"/>
    <w:semiHidden/>
    <w:unhideWhenUsed/>
    <w:qFormat/>
    <w:uiPriority w:val="99"/>
    <w:rPr>
      <w:color w:val="605E5C"/>
      <w:shd w:val="clear" w:color="auto" w:fill="E1DFDD"/>
    </w:rPr>
  </w:style>
  <w:style w:type="paragraph" w:customStyle="1" w:styleId="138">
    <w:name w:val="msonormal"/>
    <w:basedOn w:val="1"/>
    <w:qFormat/>
    <w:uiPriority w:val="99"/>
    <w:pPr>
      <w:widowControl/>
      <w:autoSpaceDE/>
      <w:autoSpaceDN/>
      <w:spacing w:before="100" w:beforeAutospacing="1" w:after="100" w:afterAutospacing="1"/>
    </w:pPr>
    <w:rPr>
      <w:sz w:val="24"/>
      <w:szCs w:val="24"/>
      <w:lang w:eastAsia="zh-CN"/>
    </w:rPr>
  </w:style>
  <w:style w:type="character" w:customStyle="1" w:styleId="139">
    <w:name w:val="Intense Quote Char1"/>
    <w:link w:val="140"/>
    <w:qFormat/>
    <w:locked/>
    <w:uiPriority w:val="30"/>
    <w:rPr>
      <w:b/>
      <w:bCs/>
      <w:i/>
      <w:iCs/>
      <w:color w:val="4F81BD"/>
      <w:kern w:val="2"/>
      <w:sz w:val="21"/>
      <w:szCs w:val="24"/>
    </w:rPr>
  </w:style>
  <w:style w:type="paragraph" w:customStyle="1" w:styleId="140">
    <w:name w:val="明显引用1"/>
    <w:basedOn w:val="1"/>
    <w:next w:val="1"/>
    <w:link w:val="139"/>
    <w:qFormat/>
    <w:uiPriority w:val="30"/>
    <w:pPr>
      <w:pBdr>
        <w:bottom w:val="single" w:color="4F81BD" w:sz="4" w:space="4"/>
      </w:pBdr>
      <w:autoSpaceDE/>
      <w:autoSpaceDN/>
      <w:spacing w:before="200" w:after="280"/>
      <w:ind w:left="936" w:right="936"/>
      <w:jc w:val="both"/>
    </w:pPr>
    <w:rPr>
      <w:rFonts w:asciiTheme="minorHAnsi" w:hAnsiTheme="minorHAnsi" w:eastAsiaTheme="minorEastAsia" w:cstheme="minorBidi"/>
      <w:b/>
      <w:bCs/>
      <w:i/>
      <w:iCs/>
      <w:color w:val="4F81BD"/>
      <w:kern w:val="2"/>
      <w:sz w:val="21"/>
      <w:szCs w:val="24"/>
    </w:rPr>
  </w:style>
  <w:style w:type="paragraph" w:customStyle="1" w:styleId="141">
    <w:name w:val="Char2"/>
    <w:basedOn w:val="1"/>
    <w:qFormat/>
    <w:uiPriority w:val="99"/>
    <w:pPr>
      <w:autoSpaceDE/>
      <w:autoSpaceDN/>
      <w:jc w:val="both"/>
    </w:pPr>
    <w:rPr>
      <w:rFonts w:ascii="Tahoma" w:hAnsi="Tahoma" w:cs="Times New Roman"/>
      <w:kern w:val="2"/>
      <w:sz w:val="24"/>
      <w:szCs w:val="20"/>
      <w:lang w:eastAsia="zh-CN"/>
    </w:rPr>
  </w:style>
  <w:style w:type="paragraph" w:customStyle="1" w:styleId="142">
    <w:name w:val="Char Char1 Char Char Char Char Char Char Char Char"/>
    <w:basedOn w:val="1"/>
    <w:qFormat/>
    <w:uiPriority w:val="99"/>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43">
    <w:name w:val="无间隔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Char"/>
    <w:basedOn w:val="1"/>
    <w:qFormat/>
    <w:uiPriority w:val="99"/>
    <w:pPr>
      <w:tabs>
        <w:tab w:val="left" w:pos="360"/>
      </w:tabs>
      <w:autoSpaceDE/>
      <w:autoSpaceDN/>
      <w:jc w:val="both"/>
    </w:pPr>
    <w:rPr>
      <w:rFonts w:ascii="Times New Roman" w:hAnsi="Times New Roman" w:cs="Times New Roman"/>
      <w:kern w:val="2"/>
      <w:sz w:val="24"/>
      <w:szCs w:val="24"/>
      <w:lang w:eastAsia="zh-CN"/>
    </w:rPr>
  </w:style>
  <w:style w:type="paragraph" w:customStyle="1" w:styleId="145">
    <w:name w:val="样式X"/>
    <w:basedOn w:val="1"/>
    <w:qFormat/>
    <w:uiPriority w:val="99"/>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146">
    <w:name w:val="reader-word-layer reader-word-s4-12"/>
    <w:basedOn w:val="1"/>
    <w:qFormat/>
    <w:uiPriority w:val="99"/>
    <w:pPr>
      <w:widowControl/>
      <w:autoSpaceDE/>
      <w:autoSpaceDN/>
      <w:spacing w:before="100" w:beforeAutospacing="1" w:after="100" w:afterAutospacing="1"/>
    </w:pPr>
    <w:rPr>
      <w:sz w:val="24"/>
      <w:szCs w:val="24"/>
      <w:lang w:eastAsia="zh-CN"/>
    </w:rPr>
  </w:style>
  <w:style w:type="paragraph" w:customStyle="1" w:styleId="147">
    <w:name w:val="Char Char Char Char"/>
    <w:basedOn w:val="1"/>
    <w:qFormat/>
    <w:uiPriority w:val="99"/>
    <w:pPr>
      <w:autoSpaceDE/>
      <w:autoSpaceDN/>
      <w:spacing w:line="360" w:lineRule="auto"/>
      <w:jc w:val="center"/>
    </w:pPr>
    <w:rPr>
      <w:rFonts w:ascii="Times New Roman" w:hAnsi="Times New Roman" w:eastAsia="仿宋_GB2312" w:cs="Times New Roman"/>
      <w:b/>
      <w:kern w:val="2"/>
      <w:sz w:val="28"/>
      <w:szCs w:val="32"/>
      <w:lang w:eastAsia="zh-CN"/>
    </w:rPr>
  </w:style>
  <w:style w:type="paragraph" w:customStyle="1" w:styleId="148">
    <w:name w:val="列表段落1"/>
    <w:basedOn w:val="1"/>
    <w:qFormat/>
    <w:uiPriority w:val="34"/>
    <w:pPr>
      <w:autoSpaceDE/>
      <w:autoSpaceDN/>
      <w:ind w:firstLine="420" w:firstLineChars="200"/>
      <w:jc w:val="both"/>
    </w:pPr>
    <w:rPr>
      <w:rFonts w:ascii="Calibri" w:hAnsi="Calibri" w:cs="Times New Roman"/>
      <w:kern w:val="2"/>
      <w:sz w:val="21"/>
      <w:lang w:eastAsia="zh-CN"/>
    </w:rPr>
  </w:style>
  <w:style w:type="paragraph" w:customStyle="1" w:styleId="149">
    <w:name w:val="Char1"/>
    <w:basedOn w:val="1"/>
    <w:qFormat/>
    <w:uiPriority w:val="99"/>
    <w:pPr>
      <w:autoSpaceDE/>
      <w:autoSpaceDN/>
      <w:jc w:val="both"/>
    </w:pPr>
    <w:rPr>
      <w:rFonts w:ascii="仿宋_GB2312" w:hAnsi="Times New Roman" w:eastAsia="仿宋_GB2312" w:cs="Times New Roman"/>
      <w:b/>
      <w:kern w:val="2"/>
      <w:sz w:val="32"/>
      <w:szCs w:val="32"/>
      <w:lang w:eastAsia="zh-CN"/>
    </w:rPr>
  </w:style>
  <w:style w:type="paragraph" w:customStyle="1" w:styleId="150">
    <w:name w:val="样式7"/>
    <w:basedOn w:val="1"/>
    <w:qFormat/>
    <w:uiPriority w:val="99"/>
    <w:pPr>
      <w:autoSpaceDE/>
      <w:autoSpaceDN/>
      <w:spacing w:line="500" w:lineRule="exact"/>
      <w:jc w:val="center"/>
    </w:pPr>
    <w:rPr>
      <w:rFonts w:hAnsi="Times New Roman" w:cs="Times New Roman"/>
      <w:b/>
      <w:kern w:val="2"/>
      <w:sz w:val="32"/>
      <w:szCs w:val="20"/>
      <w:lang w:eastAsia="zh-CN"/>
    </w:rPr>
  </w:style>
  <w:style w:type="paragraph" w:customStyle="1" w:styleId="151">
    <w:name w:val="默认段落字体 Para Char Char Char Char"/>
    <w:basedOn w:val="1"/>
    <w:qFormat/>
    <w:uiPriority w:val="99"/>
    <w:pPr>
      <w:autoSpaceDE/>
      <w:autoSpaceDN/>
      <w:jc w:val="both"/>
    </w:pPr>
    <w:rPr>
      <w:rFonts w:ascii="Times New Roman" w:hAnsi="Times New Roman" w:cs="Times New Roman"/>
      <w:kern w:val="2"/>
      <w:sz w:val="28"/>
      <w:szCs w:val="24"/>
      <w:lang w:eastAsia="zh-CN"/>
    </w:rPr>
  </w:style>
  <w:style w:type="character" w:customStyle="1" w:styleId="152">
    <w:name w:val="样式1 Char"/>
    <w:link w:val="153"/>
    <w:qFormat/>
    <w:locked/>
    <w:uiPriority w:val="0"/>
    <w:rPr>
      <w:rFonts w:ascii="宋体" w:hAnsi="宋体" w:eastAsia="宋体"/>
      <w:kern w:val="2"/>
      <w:sz w:val="21"/>
    </w:rPr>
  </w:style>
  <w:style w:type="paragraph" w:customStyle="1" w:styleId="153">
    <w:name w:val="样式1"/>
    <w:basedOn w:val="1"/>
    <w:next w:val="5"/>
    <w:link w:val="152"/>
    <w:qFormat/>
    <w:uiPriority w:val="0"/>
    <w:pPr>
      <w:autoSpaceDE/>
      <w:autoSpaceDN/>
      <w:spacing w:line="360" w:lineRule="auto"/>
      <w:ind w:firstLine="420" w:firstLineChars="200"/>
      <w:jc w:val="both"/>
    </w:pPr>
    <w:rPr>
      <w:rFonts w:cstheme="minorBidi"/>
      <w:kern w:val="2"/>
      <w:sz w:val="21"/>
    </w:rPr>
  </w:style>
  <w:style w:type="paragraph" w:customStyle="1" w:styleId="154">
    <w:name w:val="aa"/>
    <w:basedOn w:val="1"/>
    <w:qFormat/>
    <w:uiPriority w:val="99"/>
    <w:pPr>
      <w:widowControl/>
      <w:autoSpaceDE/>
      <w:autoSpaceDN/>
      <w:spacing w:before="100" w:beforeAutospacing="1" w:after="100" w:afterAutospacing="1"/>
    </w:pPr>
    <w:rPr>
      <w:sz w:val="15"/>
      <w:szCs w:val="15"/>
      <w:lang w:eastAsia="zh-CN"/>
    </w:rPr>
  </w:style>
  <w:style w:type="paragraph" w:customStyle="1" w:styleId="155">
    <w:name w:val="Char Char Char Char Char Char Char"/>
    <w:basedOn w:val="1"/>
    <w:qFormat/>
    <w:uiPriority w:val="99"/>
    <w:pPr>
      <w:autoSpaceDE/>
      <w:autoSpaceDN/>
      <w:jc w:val="both"/>
    </w:pPr>
    <w:rPr>
      <w:rFonts w:ascii="Times New Roman" w:hAnsi="Times New Roman" w:cs="Times New Roman"/>
      <w:sz w:val="21"/>
      <w:szCs w:val="20"/>
      <w:lang w:eastAsia="zh-CN"/>
    </w:rPr>
  </w:style>
  <w:style w:type="paragraph" w:customStyle="1" w:styleId="156">
    <w:name w:val="修订11"/>
    <w:qFormat/>
    <w:uiPriority w:val="99"/>
    <w:rPr>
      <w:rFonts w:ascii="Times New Roman" w:hAnsi="Times New Roman" w:eastAsia="宋体" w:cs="Times New Roman"/>
      <w:kern w:val="2"/>
      <w:sz w:val="21"/>
      <w:szCs w:val="24"/>
      <w:lang w:val="en-US" w:eastAsia="zh-CN" w:bidi="ar-SA"/>
    </w:rPr>
  </w:style>
  <w:style w:type="paragraph" w:customStyle="1" w:styleId="157">
    <w:name w:val="p0"/>
    <w:basedOn w:val="1"/>
    <w:qFormat/>
    <w:uiPriority w:val="99"/>
    <w:pPr>
      <w:widowControl/>
      <w:autoSpaceDE/>
      <w:autoSpaceDN/>
      <w:jc w:val="both"/>
    </w:pPr>
    <w:rPr>
      <w:rFonts w:ascii="Times New Roman" w:hAnsi="Times New Roman" w:cs="Times New Roman"/>
      <w:sz w:val="21"/>
      <w:szCs w:val="21"/>
      <w:lang w:eastAsia="zh-CN"/>
    </w:rPr>
  </w:style>
  <w:style w:type="paragraph" w:customStyle="1" w:styleId="158">
    <w:name w:val="TOC 标题11"/>
    <w:basedOn w:val="2"/>
    <w:next w:val="1"/>
    <w:qFormat/>
    <w:uiPriority w:val="39"/>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159">
    <w:name w:val="样式 标题 4 +"/>
    <w:basedOn w:val="5"/>
    <w:qFormat/>
    <w:uiPriority w:val="99"/>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160">
    <w:name w:val="_Style 26"/>
    <w:basedOn w:val="1"/>
    <w:next w:val="23"/>
    <w:qFormat/>
    <w:uiPriority w:val="99"/>
    <w:pPr>
      <w:autoSpaceDE/>
      <w:autoSpaceDN/>
      <w:jc w:val="both"/>
    </w:pPr>
    <w:rPr>
      <w:rFonts w:hAnsi="Courier New" w:cs="Times New Roman"/>
      <w:kern w:val="2"/>
      <w:sz w:val="21"/>
      <w:szCs w:val="20"/>
      <w:lang w:eastAsia="zh-CN"/>
    </w:rPr>
  </w:style>
  <w:style w:type="character" w:customStyle="1" w:styleId="161">
    <w:name w:val="Quote Char1"/>
    <w:link w:val="162"/>
    <w:qFormat/>
    <w:locked/>
    <w:uiPriority w:val="29"/>
    <w:rPr>
      <w:i/>
      <w:iCs/>
      <w:color w:val="000000"/>
      <w:kern w:val="2"/>
      <w:sz w:val="21"/>
      <w:szCs w:val="24"/>
    </w:rPr>
  </w:style>
  <w:style w:type="paragraph" w:customStyle="1" w:styleId="162">
    <w:name w:val="引用1"/>
    <w:basedOn w:val="1"/>
    <w:next w:val="1"/>
    <w:link w:val="161"/>
    <w:qFormat/>
    <w:uiPriority w:val="29"/>
    <w:pPr>
      <w:autoSpaceDE/>
      <w:autoSpaceDN/>
      <w:jc w:val="both"/>
    </w:pPr>
    <w:rPr>
      <w:rFonts w:asciiTheme="minorHAnsi" w:hAnsiTheme="minorHAnsi" w:eastAsiaTheme="minorEastAsia" w:cstheme="minorBidi"/>
      <w:i/>
      <w:iCs/>
      <w:color w:val="000000"/>
      <w:kern w:val="2"/>
      <w:sz w:val="21"/>
      <w:szCs w:val="24"/>
    </w:rPr>
  </w:style>
  <w:style w:type="paragraph" w:customStyle="1" w:styleId="163">
    <w:name w:val="bb"/>
    <w:basedOn w:val="1"/>
    <w:qFormat/>
    <w:uiPriority w:val="99"/>
    <w:pPr>
      <w:widowControl/>
      <w:autoSpaceDE/>
      <w:autoSpaceDN/>
      <w:spacing w:before="100" w:beforeAutospacing="1" w:after="100" w:afterAutospacing="1"/>
    </w:pPr>
    <w:rPr>
      <w:b/>
      <w:bCs/>
      <w:color w:val="990000"/>
      <w:sz w:val="18"/>
      <w:szCs w:val="18"/>
      <w:lang w:eastAsia="zh-CN"/>
    </w:rPr>
  </w:style>
  <w:style w:type="character" w:customStyle="1" w:styleId="164">
    <w:name w:val="标题 1 字符1"/>
    <w:qFormat/>
    <w:locked/>
    <w:uiPriority w:val="0"/>
    <w:rPr>
      <w:rFonts w:ascii="Calibri" w:hAnsi="Calibri" w:eastAsia="仿宋" w:cs="Times New Roman"/>
      <w:b/>
      <w:kern w:val="44"/>
      <w:sz w:val="32"/>
      <w:szCs w:val="20"/>
      <w:lang w:val="zh-CN" w:eastAsia="zh-CN"/>
    </w:rPr>
  </w:style>
  <w:style w:type="character" w:customStyle="1" w:styleId="165">
    <w:name w:val="标题 2 字符1"/>
    <w:semiHidden/>
    <w:qFormat/>
    <w:locked/>
    <w:uiPriority w:val="9"/>
    <w:rPr>
      <w:rFonts w:ascii="Arial" w:hAnsi="Arial" w:eastAsia="宋体" w:cs="Times New Roman"/>
      <w:kern w:val="2"/>
      <w:sz w:val="32"/>
      <w:szCs w:val="20"/>
      <w:lang w:eastAsia="zh-CN"/>
    </w:rPr>
  </w:style>
  <w:style w:type="character" w:customStyle="1" w:styleId="166">
    <w:name w:val="标题 4 字符1"/>
    <w:semiHidden/>
    <w:qFormat/>
    <w:locked/>
    <w:uiPriority w:val="9"/>
    <w:rPr>
      <w:rFonts w:ascii="Cambria" w:hAnsi="Cambria" w:eastAsia="宋体" w:cs="Times New Roman"/>
      <w:kern w:val="2"/>
      <w:sz w:val="28"/>
      <w:szCs w:val="20"/>
      <w:lang w:val="zh-CN" w:eastAsia="zh-CN"/>
    </w:rPr>
  </w:style>
  <w:style w:type="character" w:customStyle="1" w:styleId="167">
    <w:name w:val="Document Map Char"/>
    <w:qFormat/>
    <w:locked/>
    <w:uiPriority w:val="0"/>
    <w:rPr>
      <w:kern w:val="2"/>
      <w:sz w:val="24"/>
      <w:shd w:val="clear" w:color="auto" w:fill="000080"/>
    </w:rPr>
  </w:style>
  <w:style w:type="character" w:customStyle="1" w:styleId="168">
    <w:name w:val="页脚 Char"/>
    <w:qFormat/>
    <w:locked/>
    <w:uiPriority w:val="99"/>
    <w:rPr>
      <w:kern w:val="2"/>
      <w:sz w:val="18"/>
      <w:szCs w:val="18"/>
    </w:rPr>
  </w:style>
  <w:style w:type="character" w:customStyle="1" w:styleId="169">
    <w:name w:val="标题 Char"/>
    <w:qFormat/>
    <w:locked/>
    <w:uiPriority w:val="10"/>
    <w:rPr>
      <w:rFonts w:hint="default" w:ascii="Cambria" w:hAnsi="Cambria"/>
      <w:b/>
      <w:bCs/>
      <w:kern w:val="2"/>
      <w:sz w:val="32"/>
      <w:szCs w:val="32"/>
    </w:rPr>
  </w:style>
  <w:style w:type="character" w:customStyle="1" w:styleId="170">
    <w:name w:val="副标题 Char1"/>
    <w:qFormat/>
    <w:uiPriority w:val="0"/>
    <w:rPr>
      <w:rFonts w:hint="default" w:ascii="Cambria" w:hAnsi="Cambria"/>
      <w:b/>
      <w:kern w:val="28"/>
      <w:sz w:val="32"/>
    </w:rPr>
  </w:style>
  <w:style w:type="character" w:customStyle="1" w:styleId="171">
    <w:name w:val="Body Text Indent 3 Char"/>
    <w:qFormat/>
    <w:locked/>
    <w:uiPriority w:val="0"/>
    <w:rPr>
      <w:kern w:val="2"/>
      <w:sz w:val="16"/>
    </w:rPr>
  </w:style>
  <w:style w:type="character" w:customStyle="1" w:styleId="172">
    <w:name w:val="正文文本缩进 Char1"/>
    <w:semiHidden/>
    <w:qFormat/>
    <w:uiPriority w:val="0"/>
    <w:rPr>
      <w:kern w:val="2"/>
      <w:sz w:val="24"/>
    </w:rPr>
  </w:style>
  <w:style w:type="character" w:customStyle="1" w:styleId="173">
    <w:name w:val="副标题 Char"/>
    <w:qFormat/>
    <w:locked/>
    <w:uiPriority w:val="11"/>
    <w:rPr>
      <w:rFonts w:hint="default" w:ascii="Cambria" w:hAnsi="Cambria"/>
      <w:b/>
      <w:bCs/>
      <w:kern w:val="28"/>
      <w:sz w:val="32"/>
      <w:szCs w:val="32"/>
    </w:rPr>
  </w:style>
  <w:style w:type="character" w:customStyle="1" w:styleId="174">
    <w:name w:val="正文文本 3 Char"/>
    <w:qFormat/>
    <w:locked/>
    <w:uiPriority w:val="99"/>
    <w:rPr>
      <w:kern w:val="2"/>
      <w:sz w:val="16"/>
      <w:szCs w:val="16"/>
    </w:rPr>
  </w:style>
  <w:style w:type="character" w:customStyle="1" w:styleId="175">
    <w:name w:val="正文文本 Char"/>
    <w:qFormat/>
    <w:locked/>
    <w:uiPriority w:val="99"/>
    <w:rPr>
      <w:kern w:val="2"/>
      <w:sz w:val="21"/>
      <w:szCs w:val="24"/>
    </w:rPr>
  </w:style>
  <w:style w:type="character" w:customStyle="1" w:styleId="176">
    <w:name w:val="页眉 Char"/>
    <w:qFormat/>
    <w:locked/>
    <w:uiPriority w:val="99"/>
    <w:rPr>
      <w:kern w:val="2"/>
      <w:sz w:val="18"/>
      <w:szCs w:val="18"/>
    </w:rPr>
  </w:style>
  <w:style w:type="character" w:customStyle="1" w:styleId="177">
    <w:name w:val="批注主题 Char"/>
    <w:qFormat/>
    <w:locked/>
    <w:uiPriority w:val="99"/>
    <w:rPr>
      <w:b/>
      <w:bCs/>
      <w:kern w:val="2"/>
      <w:sz w:val="21"/>
      <w:szCs w:val="24"/>
    </w:rPr>
  </w:style>
  <w:style w:type="character" w:customStyle="1" w:styleId="178">
    <w:name w:val="Header Char"/>
    <w:qFormat/>
    <w:locked/>
    <w:uiPriority w:val="0"/>
    <w:rPr>
      <w:rFonts w:hint="eastAsia" w:ascii="宋体" w:hAnsi="宋体" w:eastAsia="宋体"/>
      <w:kern w:val="2"/>
      <w:sz w:val="18"/>
      <w:lang w:val="en-US" w:eastAsia="zh-CN"/>
    </w:rPr>
  </w:style>
  <w:style w:type="character" w:customStyle="1" w:styleId="179">
    <w:name w:val="文档结构图 Char"/>
    <w:qFormat/>
    <w:locked/>
    <w:uiPriority w:val="99"/>
    <w:rPr>
      <w:kern w:val="2"/>
      <w:sz w:val="16"/>
      <w:szCs w:val="16"/>
      <w:shd w:val="clear" w:color="auto" w:fill="000080"/>
    </w:rPr>
  </w:style>
  <w:style w:type="character" w:customStyle="1" w:styleId="180">
    <w:name w:val="aspnetdisabled"/>
    <w:qFormat/>
    <w:uiPriority w:val="0"/>
  </w:style>
  <w:style w:type="character" w:customStyle="1" w:styleId="181">
    <w:name w:val="正文文本缩进 3 Char"/>
    <w:qFormat/>
    <w:locked/>
    <w:uiPriority w:val="99"/>
    <w:rPr>
      <w:kern w:val="2"/>
      <w:sz w:val="16"/>
      <w:szCs w:val="16"/>
    </w:rPr>
  </w:style>
  <w:style w:type="character" w:customStyle="1" w:styleId="182">
    <w:name w:val="标题 8 字符1"/>
    <w:semiHidden/>
    <w:qFormat/>
    <w:locked/>
    <w:uiPriority w:val="9"/>
    <w:rPr>
      <w:rFonts w:ascii="Arial" w:hAnsi="Arial" w:eastAsia="黑体" w:cs="Times New Roman"/>
      <w:sz w:val="24"/>
      <w:szCs w:val="20"/>
      <w:lang w:val="zh-CN" w:eastAsia="zh-CN"/>
    </w:rPr>
  </w:style>
  <w:style w:type="character" w:customStyle="1" w:styleId="183">
    <w:name w:val="标题 9 字符1"/>
    <w:semiHidden/>
    <w:qFormat/>
    <w:locked/>
    <w:uiPriority w:val="9"/>
    <w:rPr>
      <w:rFonts w:ascii="Arial" w:hAnsi="Arial" w:eastAsia="黑体" w:cs="Times New Roman"/>
      <w:sz w:val="21"/>
      <w:szCs w:val="20"/>
      <w:lang w:val="zh-CN" w:eastAsia="zh-CN"/>
    </w:rPr>
  </w:style>
  <w:style w:type="character" w:customStyle="1" w:styleId="184">
    <w:name w:val="批注框文本 Char"/>
    <w:qFormat/>
    <w:locked/>
    <w:uiPriority w:val="99"/>
    <w:rPr>
      <w:kern w:val="2"/>
      <w:sz w:val="16"/>
      <w:szCs w:val="16"/>
    </w:rPr>
  </w:style>
  <w:style w:type="character" w:customStyle="1" w:styleId="185">
    <w:name w:val="Footer Char"/>
    <w:qFormat/>
    <w:locked/>
    <w:uiPriority w:val="99"/>
    <w:rPr>
      <w:kern w:val="2"/>
      <w:sz w:val="18"/>
    </w:rPr>
  </w:style>
  <w:style w:type="character" w:customStyle="1" w:styleId="186">
    <w:name w:val="Plain Text Char"/>
    <w:qFormat/>
    <w:locked/>
    <w:uiPriority w:val="0"/>
    <w:rPr>
      <w:rFonts w:hint="eastAsia" w:ascii="宋体" w:hAnsi="Courier New" w:eastAsia="宋体"/>
      <w:kern w:val="2"/>
      <w:sz w:val="21"/>
    </w:rPr>
  </w:style>
  <w:style w:type="character" w:customStyle="1" w:styleId="187">
    <w:name w:val="引用 Char1"/>
    <w:qFormat/>
    <w:uiPriority w:val="29"/>
    <w:rPr>
      <w:i/>
      <w:color w:val="000000"/>
      <w:kern w:val="2"/>
      <w:sz w:val="24"/>
    </w:rPr>
  </w:style>
  <w:style w:type="character" w:customStyle="1" w:styleId="188">
    <w:name w:val="明显参考11"/>
    <w:qFormat/>
    <w:uiPriority w:val="32"/>
    <w:rPr>
      <w:b/>
      <w:smallCaps/>
      <w:color w:val="C0504D"/>
      <w:spacing w:val="5"/>
      <w:u w:val="single"/>
    </w:rPr>
  </w:style>
  <w:style w:type="character" w:customStyle="1" w:styleId="189">
    <w:name w:val="正文文本 2 Char"/>
    <w:qFormat/>
    <w:locked/>
    <w:uiPriority w:val="99"/>
    <w:rPr>
      <w:kern w:val="2"/>
      <w:sz w:val="21"/>
      <w:szCs w:val="24"/>
    </w:rPr>
  </w:style>
  <w:style w:type="character" w:customStyle="1" w:styleId="190">
    <w:name w:val="明显强调11"/>
    <w:qFormat/>
    <w:uiPriority w:val="21"/>
    <w:rPr>
      <w:b/>
      <w:i/>
      <w:color w:val="4F81BD"/>
    </w:rPr>
  </w:style>
  <w:style w:type="character" w:customStyle="1" w:styleId="191">
    <w:name w:val="Comment Text Char1"/>
    <w:qFormat/>
    <w:locked/>
    <w:uiPriority w:val="0"/>
    <w:rPr>
      <w:kern w:val="2"/>
      <w:sz w:val="24"/>
    </w:rPr>
  </w:style>
  <w:style w:type="character" w:customStyle="1" w:styleId="192">
    <w:name w:val="Date Char"/>
    <w:qFormat/>
    <w:locked/>
    <w:uiPriority w:val="0"/>
    <w:rPr>
      <w:kern w:val="2"/>
      <w:sz w:val="24"/>
    </w:rPr>
  </w:style>
  <w:style w:type="character" w:customStyle="1" w:styleId="193">
    <w:name w:val="Subtitle Char"/>
    <w:qFormat/>
    <w:locked/>
    <w:uiPriority w:val="0"/>
    <w:rPr>
      <w:rFonts w:hint="default" w:ascii="Cambria" w:hAnsi="Cambria"/>
      <w:b/>
      <w:kern w:val="28"/>
      <w:sz w:val="32"/>
    </w:rPr>
  </w:style>
  <w:style w:type="character" w:customStyle="1" w:styleId="194">
    <w:name w:val="标题 3 字符1"/>
    <w:semiHidden/>
    <w:qFormat/>
    <w:locked/>
    <w:uiPriority w:val="0"/>
    <w:rPr>
      <w:rFonts w:ascii="Calibri" w:hAnsi="Calibri" w:eastAsia="仿宋" w:cs="Times New Roman"/>
      <w:b/>
      <w:kern w:val="2"/>
      <w:sz w:val="32"/>
      <w:szCs w:val="20"/>
      <w:lang w:eastAsia="zh-CN"/>
    </w:rPr>
  </w:style>
  <w:style w:type="character" w:customStyle="1" w:styleId="195">
    <w:name w:val="Body Text 3 Char"/>
    <w:qFormat/>
    <w:locked/>
    <w:uiPriority w:val="0"/>
    <w:rPr>
      <w:rFonts w:hint="eastAsia" w:ascii="宋体" w:hAnsi="宋体" w:eastAsia="宋体"/>
      <w:sz w:val="24"/>
    </w:rPr>
  </w:style>
  <w:style w:type="character" w:customStyle="1" w:styleId="196">
    <w:name w:val="标题 7 字符1"/>
    <w:semiHidden/>
    <w:qFormat/>
    <w:locked/>
    <w:uiPriority w:val="9"/>
    <w:rPr>
      <w:rFonts w:ascii="Times New Roman" w:hAnsi="Times New Roman" w:eastAsia="宋体" w:cs="Times New Roman"/>
      <w:b/>
      <w:sz w:val="24"/>
      <w:szCs w:val="20"/>
      <w:lang w:val="zh-CN" w:eastAsia="zh-CN"/>
    </w:rPr>
  </w:style>
  <w:style w:type="character" w:customStyle="1" w:styleId="197">
    <w:name w:val="不明显参考11"/>
    <w:qFormat/>
    <w:uiPriority w:val="31"/>
    <w:rPr>
      <w:smallCaps/>
      <w:color w:val="C0504D"/>
      <w:u w:val="single"/>
    </w:rPr>
  </w:style>
  <w:style w:type="character" w:customStyle="1" w:styleId="198">
    <w:name w:val="Body Text 2 Char"/>
    <w:qFormat/>
    <w:locked/>
    <w:uiPriority w:val="0"/>
    <w:rPr>
      <w:rFonts w:hint="eastAsia" w:ascii="宋体" w:hAnsi="宋体" w:eastAsia="宋体"/>
      <w:sz w:val="24"/>
    </w:rPr>
  </w:style>
  <w:style w:type="character" w:customStyle="1" w:styleId="199">
    <w:name w:val="书籍标题11"/>
    <w:qFormat/>
    <w:uiPriority w:val="33"/>
    <w:rPr>
      <w:b/>
      <w:smallCaps/>
      <w:spacing w:val="5"/>
    </w:rPr>
  </w:style>
  <w:style w:type="character" w:customStyle="1" w:styleId="200">
    <w:name w:val="Body Text Char"/>
    <w:qFormat/>
    <w:locked/>
    <w:uiPriority w:val="0"/>
    <w:rPr>
      <w:kern w:val="2"/>
      <w:sz w:val="24"/>
    </w:rPr>
  </w:style>
  <w:style w:type="character" w:customStyle="1" w:styleId="201">
    <w:name w:val="Title Char"/>
    <w:qFormat/>
    <w:locked/>
    <w:uiPriority w:val="0"/>
    <w:rPr>
      <w:rFonts w:hint="default" w:ascii="Cambria" w:hAnsi="Cambria"/>
      <w:b/>
      <w:kern w:val="2"/>
      <w:sz w:val="32"/>
    </w:rPr>
  </w:style>
  <w:style w:type="character" w:customStyle="1" w:styleId="202">
    <w:name w:val="text1"/>
    <w:qFormat/>
    <w:uiPriority w:val="0"/>
    <w:rPr>
      <w:spacing w:val="8"/>
      <w:sz w:val="21"/>
    </w:rPr>
  </w:style>
  <w:style w:type="character" w:customStyle="1" w:styleId="203">
    <w:name w:val="Body Text Indent 2 Char"/>
    <w:qFormat/>
    <w:locked/>
    <w:uiPriority w:val="0"/>
    <w:rPr>
      <w:rFonts w:hint="eastAsia" w:ascii="宋体" w:hAnsi="宋体" w:eastAsia="宋体"/>
      <w:kern w:val="2"/>
      <w:sz w:val="30"/>
    </w:rPr>
  </w:style>
  <w:style w:type="character" w:customStyle="1" w:styleId="204">
    <w:name w:val="标题 6 字符1"/>
    <w:semiHidden/>
    <w:qFormat/>
    <w:locked/>
    <w:uiPriority w:val="9"/>
    <w:rPr>
      <w:rFonts w:ascii="Cambria" w:hAnsi="Cambria" w:eastAsia="宋体" w:cs="Times New Roman"/>
      <w:b/>
      <w:kern w:val="2"/>
      <w:sz w:val="24"/>
      <w:szCs w:val="20"/>
      <w:lang w:val="zh-CN" w:eastAsia="zh-CN"/>
    </w:rPr>
  </w:style>
  <w:style w:type="character" w:customStyle="1" w:styleId="205">
    <w:name w:val="Intense Quote Char"/>
    <w:qFormat/>
    <w:locked/>
    <w:uiPriority w:val="0"/>
    <w:rPr>
      <w:b/>
      <w:i/>
      <w:color w:val="4F81BD"/>
      <w:kern w:val="2"/>
      <w:sz w:val="22"/>
    </w:rPr>
  </w:style>
  <w:style w:type="character" w:customStyle="1" w:styleId="206">
    <w:name w:val="Balloon Text Char"/>
    <w:qFormat/>
    <w:locked/>
    <w:uiPriority w:val="0"/>
    <w:rPr>
      <w:rFonts w:hint="eastAsia" w:ascii="宋体" w:hAnsi="宋体" w:eastAsia="宋体"/>
      <w:kern w:val="2"/>
      <w:sz w:val="18"/>
      <w:lang w:val="en-US" w:eastAsia="zh-CN"/>
    </w:rPr>
  </w:style>
  <w:style w:type="character" w:customStyle="1" w:styleId="207">
    <w:name w:val="正文文本缩进 Char"/>
    <w:qFormat/>
    <w:locked/>
    <w:uiPriority w:val="99"/>
    <w:rPr>
      <w:kern w:val="2"/>
      <w:sz w:val="21"/>
      <w:szCs w:val="24"/>
    </w:rPr>
  </w:style>
  <w:style w:type="character" w:customStyle="1" w:styleId="208">
    <w:name w:val="标题 5 字符1"/>
    <w:semiHidden/>
    <w:qFormat/>
    <w:locked/>
    <w:uiPriority w:val="9"/>
    <w:rPr>
      <w:rFonts w:ascii="Calibri" w:hAnsi="Calibri" w:eastAsia="宋体" w:cs="Times New Roman"/>
      <w:b/>
      <w:kern w:val="2"/>
      <w:sz w:val="28"/>
      <w:szCs w:val="20"/>
      <w:lang w:val="zh-CN" w:eastAsia="zh-CN"/>
    </w:rPr>
  </w:style>
  <w:style w:type="character" w:customStyle="1" w:styleId="209">
    <w:name w:val="标题 Char1"/>
    <w:qFormat/>
    <w:uiPriority w:val="0"/>
    <w:rPr>
      <w:rFonts w:hint="default" w:ascii="Cambria" w:hAnsi="Cambria"/>
      <w:b/>
      <w:kern w:val="2"/>
      <w:sz w:val="32"/>
    </w:rPr>
  </w:style>
  <w:style w:type="character" w:customStyle="1" w:styleId="210">
    <w:name w:val="Quote Char"/>
    <w:qFormat/>
    <w:locked/>
    <w:uiPriority w:val="0"/>
    <w:rPr>
      <w:i/>
      <w:color w:val="000000"/>
      <w:kern w:val="2"/>
      <w:sz w:val="22"/>
    </w:rPr>
  </w:style>
  <w:style w:type="character" w:customStyle="1" w:styleId="211">
    <w:name w:val="明显引用 Char1"/>
    <w:qFormat/>
    <w:uiPriority w:val="30"/>
    <w:rPr>
      <w:b/>
      <w:i/>
      <w:color w:val="4F81BD"/>
      <w:kern w:val="2"/>
      <w:sz w:val="24"/>
    </w:rPr>
  </w:style>
  <w:style w:type="character" w:customStyle="1" w:styleId="212">
    <w:name w:val="日期 Char"/>
    <w:qFormat/>
    <w:locked/>
    <w:uiPriority w:val="99"/>
    <w:rPr>
      <w:kern w:val="2"/>
      <w:sz w:val="21"/>
      <w:szCs w:val="24"/>
    </w:rPr>
  </w:style>
  <w:style w:type="character" w:customStyle="1" w:styleId="213">
    <w:name w:val="Comment Subject Char"/>
    <w:qFormat/>
    <w:locked/>
    <w:uiPriority w:val="0"/>
    <w:rPr>
      <w:b/>
      <w:kern w:val="2"/>
      <w:sz w:val="24"/>
    </w:rPr>
  </w:style>
  <w:style w:type="character" w:customStyle="1" w:styleId="214">
    <w:name w:val="Heading 3 Char"/>
    <w:qFormat/>
    <w:locked/>
    <w:uiPriority w:val="9"/>
    <w:rPr>
      <w:rFonts w:hint="eastAsia" w:ascii="宋体" w:hAnsi="宋体" w:eastAsia="宋体"/>
      <w:b/>
      <w:kern w:val="2"/>
      <w:sz w:val="32"/>
      <w:lang w:val="en-US" w:eastAsia="zh-CN"/>
    </w:rPr>
  </w:style>
  <w:style w:type="character" w:customStyle="1" w:styleId="215">
    <w:name w:val="Comment Text Char"/>
    <w:qFormat/>
    <w:locked/>
    <w:uiPriority w:val="0"/>
    <w:rPr>
      <w:kern w:val="2"/>
      <w:sz w:val="24"/>
    </w:rPr>
  </w:style>
  <w:style w:type="character" w:customStyle="1" w:styleId="216">
    <w:name w:val="Body Text Indent Char"/>
    <w:qFormat/>
    <w:locked/>
    <w:uiPriority w:val="0"/>
    <w:rPr>
      <w:kern w:val="2"/>
      <w:sz w:val="24"/>
    </w:rPr>
  </w:style>
  <w:style w:type="character" w:customStyle="1" w:styleId="217">
    <w:name w:val="正文文本缩进 2 Char"/>
    <w:qFormat/>
    <w:locked/>
    <w:uiPriority w:val="99"/>
    <w:rPr>
      <w:kern w:val="2"/>
      <w:sz w:val="21"/>
      <w:szCs w:val="24"/>
    </w:rPr>
  </w:style>
  <w:style w:type="character" w:customStyle="1" w:styleId="218">
    <w:name w:val="纯文本 Char"/>
    <w:qFormat/>
    <w:locked/>
    <w:uiPriority w:val="99"/>
    <w:rPr>
      <w:rFonts w:hint="eastAsia" w:ascii="宋体" w:hAnsi="Courier New" w:eastAsia="宋体" w:cs="Courier New"/>
      <w:kern w:val="2"/>
      <w:sz w:val="21"/>
      <w:szCs w:val="21"/>
    </w:rPr>
  </w:style>
  <w:style w:type="character" w:customStyle="1" w:styleId="219">
    <w:name w:val="不明显强调11"/>
    <w:qFormat/>
    <w:uiPriority w:val="19"/>
    <w:rPr>
      <w:i/>
      <w:color w:val="808080"/>
    </w:rPr>
  </w:style>
  <w:style w:type="character" w:customStyle="1" w:styleId="220">
    <w:name w:val="标题4 Char"/>
    <w:qFormat/>
    <w:uiPriority w:val="0"/>
    <w:rPr>
      <w:rFonts w:hint="default" w:ascii="Calibri Light" w:hAnsi="Calibri Light" w:eastAsia="Times New Roman" w:cs="Calibri Light"/>
      <w:b/>
      <w:kern w:val="44"/>
      <w:sz w:val="44"/>
      <w:szCs w:val="44"/>
    </w:rPr>
  </w:style>
  <w:style w:type="character" w:customStyle="1" w:styleId="221">
    <w:name w:val="Heading 1 Char"/>
    <w:qFormat/>
    <w:locked/>
    <w:uiPriority w:val="9"/>
    <w:rPr>
      <w:rFonts w:hint="eastAsia" w:ascii="黑体" w:hAnsi="黑体" w:eastAsia="黑体"/>
      <w:b/>
      <w:kern w:val="44"/>
      <w:sz w:val="32"/>
    </w:rPr>
  </w:style>
  <w:style w:type="character" w:customStyle="1" w:styleId="222">
    <w:name w:val="批注文字 Char"/>
    <w:qFormat/>
    <w:locked/>
    <w:uiPriority w:val="99"/>
    <w:rPr>
      <w:kern w:val="2"/>
      <w:sz w:val="21"/>
      <w:szCs w:val="24"/>
    </w:rPr>
  </w:style>
  <w:style w:type="paragraph" w:customStyle="1" w:styleId="223">
    <w:name w:val="样式Y"/>
    <w:basedOn w:val="145"/>
    <w:next w:val="145"/>
    <w:qFormat/>
    <w:uiPriority w:val="99"/>
    <w:pPr>
      <w:numPr>
        <w:ilvl w:val="1"/>
        <w:numId w:val="2"/>
      </w:numPr>
      <w:tabs>
        <w:tab w:val="left" w:pos="1134"/>
      </w:tabs>
    </w:pPr>
    <w:rPr>
      <w:b/>
    </w:rPr>
  </w:style>
  <w:style w:type="character" w:customStyle="1" w:styleId="224">
    <w:name w:val="ask-title3"/>
    <w:basedOn w:val="44"/>
    <w:qFormat/>
    <w:uiPriority w:val="0"/>
  </w:style>
  <w:style w:type="paragraph" w:customStyle="1" w:styleId="225">
    <w:name w:val="reader-word-layer"/>
    <w:basedOn w:val="1"/>
    <w:qFormat/>
    <w:uiPriority w:val="99"/>
    <w:pPr>
      <w:widowControl/>
      <w:autoSpaceDE/>
      <w:autoSpaceDN/>
      <w:spacing w:before="100" w:beforeAutospacing="1" w:after="100" w:afterAutospacing="1"/>
    </w:pPr>
    <w:rPr>
      <w:rFonts w:hAnsi="Times New Roman"/>
      <w:sz w:val="24"/>
      <w:szCs w:val="24"/>
      <w:lang w:eastAsia="zh-CN"/>
    </w:rPr>
  </w:style>
  <w:style w:type="character" w:customStyle="1" w:styleId="226">
    <w:name w:val="NormalCharacter"/>
    <w:semiHidden/>
    <w:qFormat/>
    <w:uiPriority w:val="0"/>
  </w:style>
  <w:style w:type="character" w:customStyle="1" w:styleId="227">
    <w:name w:val="font21"/>
    <w:basedOn w:val="44"/>
    <w:qFormat/>
    <w:uiPriority w:val="0"/>
    <w:rPr>
      <w:rFonts w:hint="eastAsia" w:ascii="宋体" w:hAnsi="宋体" w:eastAsia="宋体" w:cs="宋体"/>
      <w:color w:val="000000"/>
      <w:sz w:val="22"/>
      <w:szCs w:val="22"/>
      <w:u w:val="none"/>
    </w:rPr>
  </w:style>
  <w:style w:type="character" w:customStyle="1" w:styleId="228">
    <w:name w:val="font81"/>
    <w:basedOn w:val="44"/>
    <w:qFormat/>
    <w:uiPriority w:val="0"/>
    <w:rPr>
      <w:rFonts w:ascii="Calibri" w:hAnsi="Calibri" w:cs="Calibri"/>
      <w:color w:val="000000"/>
      <w:sz w:val="22"/>
      <w:szCs w:val="22"/>
      <w:u w:val="none"/>
    </w:rPr>
  </w:style>
  <w:style w:type="paragraph" w:customStyle="1" w:styleId="2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control" Target="activeX/activeX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ontrol" Target="activeX/activeX7.xml"/><Relationship Id="rId15" Type="http://schemas.openxmlformats.org/officeDocument/2006/relationships/control" Target="activeX/activeX6.xml"/><Relationship Id="rId14" Type="http://schemas.openxmlformats.org/officeDocument/2006/relationships/image" Target="media/image3.wmf"/><Relationship Id="rId13" Type="http://schemas.openxmlformats.org/officeDocument/2006/relationships/control" Target="activeX/activeX5.xml"/><Relationship Id="rId12" Type="http://schemas.openxmlformats.org/officeDocument/2006/relationships/control" Target="activeX/activeX4.xml"/><Relationship Id="rId11" Type="http://schemas.openxmlformats.org/officeDocument/2006/relationships/control" Target="activeX/activeX3.xml"/><Relationship Id="rId10" Type="http://schemas.openxmlformats.org/officeDocument/2006/relationships/control" Target="activeX/activeX2.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1.bin"/></Relationships>
</file>

<file path=word/activeX/_rels/activeX5.xml.rels><?xml version="1.0" encoding="UTF-8" standalone="yes"?>
<Relationships xmlns="http://schemas.openxmlformats.org/package/2006/relationships"><Relationship Id="rId1" Type="http://schemas.microsoft.com/office/2006/relationships/activeXControlBinary" Target="activeX6.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1921B8-D626-4987-BDBD-7B217C7A1F82}">
  <ds:schemaRefs/>
</ds:datastoreItem>
</file>

<file path=docProps/app.xml><?xml version="1.0" encoding="utf-8"?>
<Properties xmlns="http://schemas.openxmlformats.org/officeDocument/2006/extended-properties" xmlns:vt="http://schemas.openxmlformats.org/officeDocument/2006/docPropsVTypes">
  <Template>Normal</Template>
  <Pages>100</Pages>
  <Words>9657</Words>
  <Characters>55047</Characters>
  <Lines>458</Lines>
  <Paragraphs>129</Paragraphs>
  <TotalTime>15</TotalTime>
  <ScaleCrop>false</ScaleCrop>
  <LinksUpToDate>false</LinksUpToDate>
  <CharactersWithSpaces>64575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2023-10-24T03:36:00Z</dcterms:created>
  <dc:creator>Howell Leung</dc:creator>
  <cp:lastModifiedBy>杨常茂</cp:lastModifiedBy>
  <dcterms:modified xsi:type="dcterms:W3CDTF">2023-11-22T10:48:04Z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2052-12.1.0.15712</vt:lpwstr>
  </property>
  <property fmtid="{D5CDD505-2E9C-101B-9397-08002B2CF9AE}" pid="6" name="ICV">
    <vt:lpwstr>E7219D2F24CB442DA85C5A157AF0FCE0_12</vt:lpwstr>
  </property>
</Properties>
</file>