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仿宋" w:asciiTheme="minorEastAsia" w:hAnsiTheme="minorEastAsia"/>
          <w:b/>
          <w:bCs/>
          <w:snapToGrid w:val="0"/>
          <w:sz w:val="36"/>
          <w:szCs w:val="36"/>
          <w:u w:val="single"/>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中粮糖业202</w:t>
      </w:r>
      <w:r>
        <w:rPr>
          <w:rFonts w:eastAsia="仿宋" w:asciiTheme="minorEastAsia" w:hAnsiTheme="minorEastAsia"/>
          <w:b/>
          <w:bCs/>
          <w:snapToGrid w:val="0"/>
          <w:sz w:val="36"/>
          <w:szCs w:val="36"/>
          <w:u w:val="single"/>
          <w:lang w:eastAsia="zh-CN"/>
        </w:rPr>
        <w:t>3</w:t>
      </w:r>
      <w:r>
        <w:rPr>
          <w:rFonts w:hint="eastAsia" w:eastAsia="仿宋" w:asciiTheme="minorEastAsia" w:hAnsiTheme="minorEastAsia"/>
          <w:b/>
          <w:bCs/>
          <w:snapToGrid w:val="0"/>
          <w:sz w:val="36"/>
          <w:szCs w:val="36"/>
          <w:u w:val="single"/>
          <w:lang w:eastAsia="zh-CN"/>
        </w:rPr>
        <w:t>年梁河糖业员工常规体检项目咨询</w:t>
      </w:r>
      <w:r>
        <w:rPr>
          <w:rFonts w:hint="eastAsia" w:eastAsia="仿宋" w:asciiTheme="minorEastAsia" w:hAnsiTheme="minorEastAsia"/>
          <w:b/>
          <w:bCs/>
          <w:snapToGrid w:val="0"/>
          <w:sz w:val="36"/>
          <w:szCs w:val="36"/>
          <w:lang w:eastAsia="zh-CN"/>
        </w:rPr>
        <w:t>服务采</w:t>
      </w:r>
      <w:r>
        <w:rPr>
          <w:rFonts w:eastAsia="仿宋" w:asciiTheme="minorEastAsia" w:hAnsiTheme="minorEastAsia"/>
          <w:b/>
          <w:bCs/>
          <w:snapToGrid w:val="0"/>
          <w:sz w:val="36"/>
          <w:szCs w:val="36"/>
          <w:lang w:eastAsia="zh-CN"/>
        </w:rPr>
        <w:t>购项目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竞争性谈判采购文件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中粮梁河糖业有限公司 </w:t>
      </w:r>
      <w:r>
        <w:rPr>
          <w:rFonts w:eastAsia="仿宋" w:asciiTheme="minorEastAsia" w:hAnsiTheme="minorEastAsia"/>
          <w:snapToGrid w:val="0"/>
          <w:sz w:val="28"/>
          <w:szCs w:val="28"/>
          <w:u w:val="single"/>
          <w:lang w:eastAsia="zh-CN"/>
        </w:rPr>
        <w:t xml:space="preserve">   </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1</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"_Toc149725807" </w:instrText>
          </w:r>
          <w:r>
            <w:fldChar w:fldCharType="separate"/>
          </w:r>
          <w:r>
            <w:rPr>
              <w:rStyle w:val="34"/>
              <w:rFonts w:eastAsia="仿宋" w:asciiTheme="minorEastAsia" w:hAnsiTheme="minorEastAsia"/>
              <w:b/>
              <w:bCs/>
              <w:snapToGrid w:val="0"/>
            </w:rPr>
            <w:t>第一章  竞争性谈判采购公告</w:t>
          </w:r>
          <w:r>
            <w:tab/>
          </w:r>
          <w:r>
            <w:fldChar w:fldCharType="begin"/>
          </w:r>
          <w:r>
            <w:instrText xml:space="preserve"> PAGEREF _Toc149725807 \h </w:instrText>
          </w:r>
          <w:r>
            <w:fldChar w:fldCharType="separate"/>
          </w:r>
          <w:r>
            <w:t>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"_Toc149725808" </w:instrText>
          </w:r>
          <w:r>
            <w:fldChar w:fldCharType="separate"/>
          </w:r>
          <w:r>
            <w:rPr>
              <w:rStyle w:val="34"/>
              <w:rFonts w:eastAsia="仿宋" w:asciiTheme="minorEastAsia" w:hAnsiTheme="minorEastAsia"/>
              <w:b/>
              <w:bCs/>
              <w:snapToGrid w:val="0"/>
            </w:rPr>
            <w:t>2023年梁河糖业员工常规体检项目</w:t>
          </w:r>
          <w:r>
            <w:tab/>
          </w:r>
          <w:r>
            <w:fldChar w:fldCharType="begin"/>
          </w:r>
          <w:r>
            <w:instrText xml:space="preserve"> PAGEREF _Toc149725808 \h </w:instrText>
          </w:r>
          <w:r>
            <w:fldChar w:fldCharType="separate"/>
          </w:r>
          <w:r>
            <w:t>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"_Toc149725809" </w:instrText>
          </w:r>
          <w:r>
            <w:fldChar w:fldCharType="separate"/>
          </w:r>
          <w:r>
            <w:rPr>
              <w:rStyle w:val="34"/>
              <w:rFonts w:eastAsia="仿宋" w:asciiTheme="minorEastAsia" w:hAnsiTheme="minorEastAsia"/>
              <w:b/>
              <w:bCs/>
              <w:snapToGrid w:val="0"/>
            </w:rPr>
            <w:t>竞争性谈判采购公告</w:t>
          </w:r>
          <w:r>
            <w:tab/>
          </w:r>
          <w:r>
            <w:fldChar w:fldCharType="begin"/>
          </w:r>
          <w:r>
            <w:instrText xml:space="preserve"> PAGEREF _Toc149725809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"_Toc149725810" </w:instrText>
          </w:r>
          <w:r>
            <w:fldChar w:fldCharType="separate"/>
          </w:r>
          <w:r>
            <w:rPr>
              <w:rStyle w:val="34"/>
              <w:rFonts w:eastAsia="仿宋" w:asciiTheme="minorEastAsia" w:hAnsiTheme="minorEastAsia"/>
              <w:b/>
              <w:snapToGrid w:val="0"/>
            </w:rPr>
            <w:t>1.采购项目简介</w:t>
          </w:r>
          <w:r>
            <w:tab/>
          </w:r>
          <w:r>
            <w:fldChar w:fldCharType="begin"/>
          </w:r>
          <w:r>
            <w:instrText xml:space="preserve"> PAGEREF _Toc149725810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"_Toc149725811" </w:instrText>
          </w:r>
          <w:r>
            <w:fldChar w:fldCharType="separate"/>
          </w:r>
          <w:r>
            <w:rPr>
              <w:rStyle w:val="34"/>
              <w:rFonts w:eastAsia="仿宋" w:asciiTheme="minorEastAsia" w:hAnsiTheme="minorEastAsia"/>
              <w:b/>
              <w:snapToGrid w:val="0"/>
            </w:rPr>
            <w:t>2.采购范围及相关要求</w:t>
          </w:r>
          <w:r>
            <w:tab/>
          </w:r>
          <w:r>
            <w:fldChar w:fldCharType="begin"/>
          </w:r>
          <w:r>
            <w:instrText xml:space="preserve"> PAGEREF _Toc149725811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"_Toc149725812" </w:instrText>
          </w:r>
          <w:r>
            <w:fldChar w:fldCharType="separate"/>
          </w:r>
          <w:r>
            <w:rPr>
              <w:rStyle w:val="34"/>
              <w:rFonts w:eastAsia="仿宋" w:asciiTheme="minorEastAsia" w:hAnsiTheme="minorEastAsia"/>
              <w:b/>
              <w:snapToGrid w:val="0"/>
            </w:rPr>
            <w:t>3.供应商资格要求</w:t>
          </w:r>
          <w:r>
            <w:tab/>
          </w:r>
          <w:r>
            <w:fldChar w:fldCharType="begin"/>
          </w:r>
          <w:r>
            <w:instrText xml:space="preserve"> PAGEREF _Toc149725812 \h </w:instrText>
          </w:r>
          <w:r>
            <w:fldChar w:fldCharType="separate"/>
          </w:r>
          <w:r>
            <w:t>7</w:t>
          </w:r>
          <w:r>
            <w:fldChar w:fldCharType="end"/>
          </w:r>
          <w:r>
            <w:fldChar w:fldCharType="end"/>
          </w:r>
        </w:p>
        <w:p>
          <w:pPr>
            <w:pStyle w:val="15"/>
            <w:rPr>
              <w:rFonts w:cstheme="minorBidi"/>
              <w:kern w:val="2"/>
              <w:sz w:val="21"/>
            </w:rPr>
          </w:pPr>
          <w:r>
            <w:fldChar w:fldCharType="begin"/>
          </w:r>
          <w:r>
            <w:instrText xml:space="preserve"> HYPERLINK \l "_Toc149725813" </w:instrText>
          </w:r>
          <w:r>
            <w:fldChar w:fldCharType="separate"/>
          </w:r>
          <w:r>
            <w:rPr>
              <w:rStyle w:val="34"/>
              <w:rFonts w:eastAsia="仿宋" w:asciiTheme="minorEastAsia" w:hAnsiTheme="minorEastAsia"/>
              <w:b/>
              <w:bCs/>
              <w:snapToGrid w:val="0"/>
            </w:rPr>
            <w:t>4.采购文件的获取</w:t>
          </w:r>
          <w:r>
            <w:tab/>
          </w:r>
          <w:r>
            <w:fldChar w:fldCharType="begin"/>
          </w:r>
          <w:r>
            <w:instrText xml:space="preserve"> PAGEREF _Toc149725813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"_Toc149725814" </w:instrText>
          </w:r>
          <w:r>
            <w:fldChar w:fldCharType="separate"/>
          </w:r>
          <w:r>
            <w:rPr>
              <w:rStyle w:val="34"/>
              <w:rFonts w:eastAsia="仿宋" w:asciiTheme="minorEastAsia" w:hAnsiTheme="minorEastAsia"/>
              <w:b/>
              <w:bCs/>
              <w:snapToGrid w:val="0"/>
            </w:rPr>
            <w:t>5.响应保证金</w:t>
          </w:r>
          <w:r>
            <w:tab/>
          </w:r>
          <w:r>
            <w:fldChar w:fldCharType="begin"/>
          </w:r>
          <w:r>
            <w:instrText xml:space="preserve"> PAGEREF _Toc149725814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"_Toc149725815" </w:instrText>
          </w:r>
          <w:r>
            <w:fldChar w:fldCharType="separate"/>
          </w:r>
          <w:r>
            <w:rPr>
              <w:rStyle w:val="34"/>
              <w:rFonts w:eastAsia="仿宋" w:asciiTheme="minorEastAsia" w:hAnsiTheme="minorEastAsia"/>
              <w:b/>
              <w:bCs/>
              <w:snapToGrid w:val="0"/>
            </w:rPr>
            <w:t>6.响应文件的上传</w:t>
          </w:r>
          <w:r>
            <w:tab/>
          </w:r>
          <w:r>
            <w:fldChar w:fldCharType="begin"/>
          </w:r>
          <w:r>
            <w:instrText xml:space="preserve"> PAGEREF _Toc149725815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"_Toc149725816" </w:instrText>
          </w:r>
          <w:r>
            <w:fldChar w:fldCharType="separate"/>
          </w:r>
          <w:r>
            <w:rPr>
              <w:rStyle w:val="34"/>
              <w:rFonts w:eastAsia="仿宋" w:asciiTheme="minorEastAsia" w:hAnsiTheme="minorEastAsia"/>
              <w:b/>
              <w:bCs/>
              <w:snapToGrid w:val="0"/>
            </w:rPr>
            <w:t>7.响应文件的开启</w:t>
          </w:r>
          <w:r>
            <w:tab/>
          </w:r>
          <w:r>
            <w:fldChar w:fldCharType="begin"/>
          </w:r>
          <w:r>
            <w:instrText xml:space="preserve"> PAGEREF _Toc149725816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"_Toc149725817" </w:instrText>
          </w:r>
          <w:r>
            <w:fldChar w:fldCharType="separate"/>
          </w:r>
          <w:r>
            <w:rPr>
              <w:rStyle w:val="34"/>
              <w:rFonts w:eastAsia="仿宋" w:asciiTheme="minorEastAsia" w:hAnsiTheme="minorEastAsia"/>
              <w:b/>
              <w:bCs/>
              <w:snapToGrid w:val="0"/>
            </w:rPr>
            <w:t>8.谈判时间和地点</w:t>
          </w:r>
          <w:r>
            <w:tab/>
          </w:r>
          <w:r>
            <w:fldChar w:fldCharType="begin"/>
          </w:r>
          <w:r>
            <w:instrText xml:space="preserve"> PAGEREF _Toc149725817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"_Toc149725818" </w:instrText>
          </w:r>
          <w:r>
            <w:fldChar w:fldCharType="separate"/>
          </w:r>
          <w:r>
            <w:rPr>
              <w:rStyle w:val="34"/>
              <w:rFonts w:eastAsia="仿宋" w:asciiTheme="minorEastAsia" w:hAnsiTheme="minorEastAsia"/>
              <w:b/>
              <w:bCs/>
              <w:snapToGrid w:val="0"/>
            </w:rPr>
            <w:t>9.纪检监督</w:t>
          </w:r>
          <w:r>
            <w:tab/>
          </w:r>
          <w:r>
            <w:fldChar w:fldCharType="begin"/>
          </w:r>
          <w:r>
            <w:instrText xml:space="preserve"> PAGEREF _Toc149725818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"_Toc149725819" </w:instrText>
          </w:r>
          <w:r>
            <w:fldChar w:fldCharType="separate"/>
          </w:r>
          <w:r>
            <w:rPr>
              <w:rStyle w:val="34"/>
              <w:rFonts w:eastAsia="仿宋" w:asciiTheme="minorEastAsia" w:hAnsiTheme="minorEastAsia"/>
              <w:b/>
              <w:bCs/>
              <w:snapToGrid w:val="0"/>
            </w:rPr>
            <w:t>10.其他</w:t>
          </w:r>
          <w:r>
            <w:tab/>
          </w:r>
          <w:r>
            <w:fldChar w:fldCharType="begin"/>
          </w:r>
          <w:r>
            <w:instrText xml:space="preserve"> PAGEREF _Toc149725819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"_Toc149725820" </w:instrText>
          </w:r>
          <w:r>
            <w:fldChar w:fldCharType="separate"/>
          </w:r>
          <w:r>
            <w:rPr>
              <w:rStyle w:val="34"/>
              <w:rFonts w:eastAsia="仿宋" w:asciiTheme="minorEastAsia" w:hAnsiTheme="minorEastAsia"/>
              <w:b/>
              <w:bCs/>
              <w:snapToGrid w:val="0"/>
            </w:rPr>
            <w:t>11.联系方式</w:t>
          </w:r>
          <w:r>
            <w:tab/>
          </w:r>
          <w:r>
            <w:fldChar w:fldCharType="begin"/>
          </w:r>
          <w:r>
            <w:instrText xml:space="preserve"> PAGEREF _Toc149725820 \h </w:instrText>
          </w:r>
          <w:r>
            <w:fldChar w:fldCharType="separate"/>
          </w:r>
          <w:r>
            <w:t>9</w:t>
          </w:r>
          <w:r>
            <w:fldChar w:fldCharType="end"/>
          </w:r>
          <w:r>
            <w:fldChar w:fldCharType="end"/>
          </w:r>
        </w:p>
        <w:p>
          <w:pPr>
            <w:pStyle w:val="21"/>
            <w:rPr>
              <w:rFonts w:cstheme="minorBidi"/>
              <w:kern w:val="2"/>
              <w:sz w:val="21"/>
            </w:rPr>
          </w:pPr>
          <w:r>
            <w:fldChar w:fldCharType="begin"/>
          </w:r>
          <w:r>
            <w:instrText xml:space="preserve"> HYPERLINK \l "_Toc149725821" </w:instrText>
          </w:r>
          <w:r>
            <w:fldChar w:fldCharType="separate"/>
          </w:r>
          <w:r>
            <w:rPr>
              <w:rStyle w:val="34"/>
              <w:rFonts w:eastAsia="仿宋" w:asciiTheme="minorEastAsia" w:hAnsiTheme="minorEastAsia"/>
              <w:b/>
              <w:bCs/>
              <w:snapToGrid w:val="0"/>
            </w:rPr>
            <w:t>第二章  供应商须知</w:t>
          </w:r>
          <w:r>
            <w:tab/>
          </w:r>
          <w:r>
            <w:fldChar w:fldCharType="begin"/>
          </w:r>
          <w:r>
            <w:instrText xml:space="preserve"> PAGEREF _Toc149725821 \h </w:instrText>
          </w:r>
          <w:r>
            <w:fldChar w:fldCharType="separate"/>
          </w:r>
          <w:r>
            <w:t>11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"_Toc149725822" </w:instrText>
          </w:r>
          <w:r>
            <w:fldChar w:fldCharType="separate"/>
          </w:r>
          <w:r>
            <w:rPr>
              <w:rStyle w:val="34"/>
              <w:rFonts w:eastAsia="仿宋" w:asciiTheme="minorEastAsia" w:hAnsiTheme="minorEastAsia"/>
              <w:b/>
              <w:bCs/>
              <w:snapToGrid w:val="0"/>
            </w:rPr>
            <w:t>供应商须知前附表</w:t>
          </w:r>
          <w:r>
            <w:tab/>
          </w:r>
          <w:r>
            <w:fldChar w:fldCharType="begin"/>
          </w:r>
          <w:r>
            <w:instrText xml:space="preserve"> PAGEREF _Toc149725822 \h </w:instrText>
          </w:r>
          <w:r>
            <w:fldChar w:fldCharType="separate"/>
          </w:r>
          <w:r>
            <w:t>12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"_Toc149725823" </w:instrText>
          </w:r>
          <w:r>
            <w:fldChar w:fldCharType="separate"/>
          </w:r>
          <w:r>
            <w:rPr>
              <w:rStyle w:val="34"/>
              <w:rFonts w:eastAsia="仿宋" w:asciiTheme="minorEastAsia" w:hAnsiTheme="minorEastAsia"/>
              <w:b/>
              <w:snapToGrid w:val="0"/>
            </w:rPr>
            <w:t>1.总则</w:t>
          </w:r>
          <w:r>
            <w:tab/>
          </w:r>
          <w:r>
            <w:fldChar w:fldCharType="begin"/>
          </w:r>
          <w:r>
            <w:instrText xml:space="preserve"> PAGEREF _Toc149725823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"_Toc149725824" </w:instrText>
          </w:r>
          <w:r>
            <w:fldChar w:fldCharType="separate"/>
          </w:r>
          <w:r>
            <w:rPr>
              <w:rStyle w:val="34"/>
              <w:rFonts w:eastAsia="仿宋" w:asciiTheme="minorEastAsia" w:hAnsiTheme="minorEastAsia"/>
              <w:b/>
              <w:bCs/>
              <w:snapToGrid w:val="0"/>
            </w:rPr>
            <w:t>1.1 采购方式</w:t>
          </w:r>
          <w:r>
            <w:tab/>
          </w:r>
          <w:r>
            <w:fldChar w:fldCharType="begin"/>
          </w:r>
          <w:r>
            <w:instrText xml:space="preserve"> PAGEREF _Toc149725824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"_Toc149725825" </w:instrText>
          </w:r>
          <w:r>
            <w:fldChar w:fldCharType="separate"/>
          </w:r>
          <w:r>
            <w:rPr>
              <w:rStyle w:val="34"/>
              <w:rFonts w:eastAsia="仿宋" w:asciiTheme="minorEastAsia" w:hAnsiTheme="minorEastAsia"/>
              <w:b/>
              <w:bCs/>
              <w:snapToGrid w:val="0"/>
            </w:rPr>
            <w:t>1.2 采购项目概况和供应商资格要求</w:t>
          </w:r>
          <w:r>
            <w:tab/>
          </w:r>
          <w:r>
            <w:fldChar w:fldCharType="begin"/>
          </w:r>
          <w:r>
            <w:instrText xml:space="preserve"> PAGEREF _Toc149725825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"_Toc149725826" </w:instrText>
          </w:r>
          <w:r>
            <w:fldChar w:fldCharType="separate"/>
          </w:r>
          <w:r>
            <w:rPr>
              <w:rStyle w:val="34"/>
              <w:rFonts w:eastAsia="仿宋" w:asciiTheme="minorEastAsia" w:hAnsiTheme="minorEastAsia"/>
              <w:b/>
              <w:bCs/>
              <w:snapToGrid w:val="0"/>
            </w:rPr>
            <w:t>1.3 费用承担</w:t>
          </w:r>
          <w:r>
            <w:tab/>
          </w:r>
          <w:r>
            <w:fldChar w:fldCharType="begin"/>
          </w:r>
          <w:r>
            <w:instrText xml:space="preserve"> PAGEREF _Toc149725826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"_Toc149725827" </w:instrText>
          </w:r>
          <w:r>
            <w:fldChar w:fldCharType="separate"/>
          </w:r>
          <w:r>
            <w:rPr>
              <w:rStyle w:val="34"/>
              <w:rFonts w:eastAsia="仿宋" w:asciiTheme="minorEastAsia" w:hAnsiTheme="minorEastAsia"/>
              <w:b/>
              <w:bCs/>
              <w:snapToGrid w:val="0"/>
            </w:rPr>
            <w:t>1.4 保密</w:t>
          </w:r>
          <w:r>
            <w:tab/>
          </w:r>
          <w:r>
            <w:fldChar w:fldCharType="begin"/>
          </w:r>
          <w:r>
            <w:instrText xml:space="preserve"> PAGEREF _Toc149725827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"_Toc149725828" </w:instrText>
          </w:r>
          <w:r>
            <w:fldChar w:fldCharType="separate"/>
          </w:r>
          <w:r>
            <w:rPr>
              <w:rStyle w:val="34"/>
              <w:rFonts w:eastAsia="仿宋" w:asciiTheme="minorEastAsia" w:hAnsiTheme="minorEastAsia"/>
              <w:b/>
              <w:bCs/>
              <w:snapToGrid w:val="0"/>
            </w:rPr>
            <w:t>1.5 语言文字</w:t>
          </w:r>
          <w:r>
            <w:tab/>
          </w:r>
          <w:r>
            <w:fldChar w:fldCharType="begin"/>
          </w:r>
          <w:r>
            <w:instrText xml:space="preserve"> PAGEREF _Toc149725828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"_Toc149725829" </w:instrText>
          </w:r>
          <w:r>
            <w:fldChar w:fldCharType="separate"/>
          </w:r>
          <w:r>
            <w:rPr>
              <w:rStyle w:val="34"/>
              <w:rFonts w:eastAsia="仿宋" w:asciiTheme="minorEastAsia" w:hAnsiTheme="minorEastAsia"/>
              <w:b/>
              <w:bCs/>
              <w:snapToGrid w:val="0"/>
            </w:rPr>
            <w:t>1.6 计量单位</w:t>
          </w:r>
          <w:r>
            <w:tab/>
          </w:r>
          <w:r>
            <w:fldChar w:fldCharType="begin"/>
          </w:r>
          <w:r>
            <w:instrText xml:space="preserve"> PAGEREF _Toc149725829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"_Toc149725830" </w:instrText>
          </w:r>
          <w:r>
            <w:fldChar w:fldCharType="separate"/>
          </w:r>
          <w:r>
            <w:rPr>
              <w:rStyle w:val="34"/>
              <w:rFonts w:eastAsia="仿宋" w:asciiTheme="minorEastAsia" w:hAnsiTheme="minorEastAsia"/>
              <w:b/>
              <w:bCs/>
              <w:snapToGrid w:val="0"/>
            </w:rPr>
            <w:t>1.7 踏勘现场</w:t>
          </w:r>
          <w:r>
            <w:tab/>
          </w:r>
          <w:r>
            <w:fldChar w:fldCharType="begin"/>
          </w:r>
          <w:r>
            <w:instrText xml:space="preserve"> PAGEREF _Toc149725830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"_Toc149725831" </w:instrText>
          </w:r>
          <w:r>
            <w:fldChar w:fldCharType="separate"/>
          </w:r>
          <w:r>
            <w:rPr>
              <w:rStyle w:val="34"/>
              <w:rFonts w:eastAsia="仿宋" w:asciiTheme="minorEastAsia" w:hAnsiTheme="minorEastAsia"/>
              <w:b/>
              <w:bCs/>
              <w:snapToGrid w:val="0"/>
            </w:rPr>
            <w:t>1.8 竞争性谈判采购预备会</w:t>
          </w:r>
          <w:r>
            <w:tab/>
          </w:r>
          <w:r>
            <w:fldChar w:fldCharType="begin"/>
          </w:r>
          <w:r>
            <w:instrText xml:space="preserve"> PAGEREF _Toc149725831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"_Toc149725832" </w:instrText>
          </w:r>
          <w:r>
            <w:fldChar w:fldCharType="separate"/>
          </w:r>
          <w:r>
            <w:rPr>
              <w:rStyle w:val="34"/>
              <w:rFonts w:eastAsia="仿宋" w:asciiTheme="minorEastAsia" w:hAnsiTheme="minorEastAsia"/>
              <w:b/>
              <w:bCs/>
              <w:snapToGrid w:val="0"/>
            </w:rPr>
            <w:t>1.9 分包（不适用）</w:t>
          </w:r>
          <w:r>
            <w:tab/>
          </w:r>
          <w:r>
            <w:fldChar w:fldCharType="begin"/>
          </w:r>
          <w:r>
            <w:instrText xml:space="preserve"> PAGEREF _Toc149725832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"_Toc149725833" </w:instrText>
          </w:r>
          <w:r>
            <w:fldChar w:fldCharType="separate"/>
          </w:r>
          <w:r>
            <w:rPr>
              <w:rStyle w:val="34"/>
              <w:rFonts w:eastAsia="仿宋" w:asciiTheme="minorEastAsia" w:hAnsiTheme="minorEastAsia"/>
              <w:b/>
              <w:bCs/>
              <w:snapToGrid w:val="0"/>
            </w:rPr>
            <w:t>1.10 响应和偏差</w:t>
          </w:r>
          <w:r>
            <w:tab/>
          </w:r>
          <w:r>
            <w:fldChar w:fldCharType="begin"/>
          </w:r>
          <w:r>
            <w:instrText xml:space="preserve"> PAGEREF _Toc149725833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"_Toc149725834" </w:instrText>
          </w:r>
          <w:r>
            <w:fldChar w:fldCharType="separate"/>
          </w:r>
          <w:r>
            <w:rPr>
              <w:rStyle w:val="34"/>
              <w:rFonts w:eastAsia="仿宋" w:asciiTheme="minorEastAsia" w:hAnsiTheme="minorEastAsia"/>
              <w:b/>
              <w:bCs/>
              <w:snapToGrid w:val="0"/>
            </w:rPr>
            <w:t>2.采购文件</w:t>
          </w:r>
          <w:r>
            <w:tab/>
          </w:r>
          <w:r>
            <w:fldChar w:fldCharType="begin"/>
          </w:r>
          <w:r>
            <w:instrText xml:space="preserve"> PAGEREF _Toc149725834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"_Toc149725835" </w:instrText>
          </w:r>
          <w:r>
            <w:fldChar w:fldCharType="separate"/>
          </w:r>
          <w:r>
            <w:rPr>
              <w:rStyle w:val="34"/>
              <w:rFonts w:eastAsia="仿宋" w:asciiTheme="minorEastAsia" w:hAnsiTheme="minorEastAsia"/>
              <w:b/>
              <w:snapToGrid w:val="0"/>
            </w:rPr>
            <w:t>2.1 采购文件的组成</w:t>
          </w:r>
          <w:r>
            <w:tab/>
          </w:r>
          <w:r>
            <w:fldChar w:fldCharType="begin"/>
          </w:r>
          <w:r>
            <w:instrText xml:space="preserve"> PAGEREF _Toc149725835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"_Toc149725836" </w:instrText>
          </w:r>
          <w:r>
            <w:fldChar w:fldCharType="separate"/>
          </w:r>
          <w:r>
            <w:rPr>
              <w:rStyle w:val="34"/>
              <w:rFonts w:eastAsia="仿宋" w:asciiTheme="minorEastAsia" w:hAnsiTheme="minorEastAsia"/>
              <w:b/>
              <w:snapToGrid w:val="0"/>
            </w:rPr>
            <w:t>2.2 采购文件的澄清和修改</w:t>
          </w:r>
          <w:r>
            <w:tab/>
          </w:r>
          <w:r>
            <w:fldChar w:fldCharType="begin"/>
          </w:r>
          <w:r>
            <w:instrText xml:space="preserve"> PAGEREF _Toc149725836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"_Toc149725837" </w:instrText>
          </w:r>
          <w:r>
            <w:fldChar w:fldCharType="separate"/>
          </w:r>
          <w:r>
            <w:rPr>
              <w:rStyle w:val="34"/>
              <w:rFonts w:eastAsia="仿宋" w:asciiTheme="minorEastAsia" w:hAnsiTheme="minorEastAsia"/>
              <w:b/>
              <w:bCs/>
              <w:snapToGrid w:val="0"/>
            </w:rPr>
            <w:t>3.响应文件</w:t>
          </w:r>
          <w:r>
            <w:tab/>
          </w:r>
          <w:r>
            <w:fldChar w:fldCharType="begin"/>
          </w:r>
          <w:r>
            <w:instrText xml:space="preserve"> PAGEREF _Toc149725837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"_Toc149725838" </w:instrText>
          </w:r>
          <w:r>
            <w:fldChar w:fldCharType="separate"/>
          </w:r>
          <w:r>
            <w:rPr>
              <w:rStyle w:val="34"/>
              <w:rFonts w:eastAsia="仿宋" w:asciiTheme="minorEastAsia" w:hAnsiTheme="minorEastAsia"/>
              <w:b/>
              <w:snapToGrid w:val="0"/>
            </w:rPr>
            <w:t>3.1响应文件的组成</w:t>
          </w:r>
          <w:r>
            <w:tab/>
          </w:r>
          <w:r>
            <w:fldChar w:fldCharType="begin"/>
          </w:r>
          <w:r>
            <w:instrText xml:space="preserve"> PAGEREF _Toc149725838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"_Toc149725839" </w:instrText>
          </w:r>
          <w:r>
            <w:fldChar w:fldCharType="separate"/>
          </w:r>
          <w:r>
            <w:rPr>
              <w:rStyle w:val="34"/>
              <w:rFonts w:eastAsia="仿宋" w:asciiTheme="minorEastAsia" w:hAnsiTheme="minorEastAsia"/>
              <w:b/>
              <w:snapToGrid w:val="0"/>
            </w:rPr>
            <w:t>3.2 报价</w:t>
          </w:r>
          <w:r>
            <w:tab/>
          </w:r>
          <w:r>
            <w:fldChar w:fldCharType="begin"/>
          </w:r>
          <w:r>
            <w:instrText xml:space="preserve"> PAGEREF _Toc149725839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"_Toc149725840" </w:instrText>
          </w:r>
          <w:r>
            <w:fldChar w:fldCharType="separate"/>
          </w:r>
          <w:r>
            <w:rPr>
              <w:rStyle w:val="34"/>
              <w:rFonts w:eastAsia="仿宋" w:asciiTheme="minorEastAsia" w:hAnsiTheme="minorEastAsia"/>
              <w:b/>
              <w:snapToGrid w:val="0"/>
            </w:rPr>
            <w:t>3.3 响应文件有效期</w:t>
          </w:r>
          <w:r>
            <w:tab/>
          </w:r>
          <w:r>
            <w:fldChar w:fldCharType="begin"/>
          </w:r>
          <w:r>
            <w:instrText xml:space="preserve"> PAGEREF _Toc149725840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"_Toc149725841" </w:instrText>
          </w:r>
          <w:r>
            <w:fldChar w:fldCharType="separate"/>
          </w:r>
          <w:r>
            <w:rPr>
              <w:rStyle w:val="34"/>
              <w:rFonts w:eastAsia="仿宋" w:asciiTheme="minorEastAsia" w:hAnsiTheme="minorEastAsia"/>
              <w:b/>
              <w:snapToGrid w:val="0"/>
            </w:rPr>
            <w:t>3.4 响应保证金</w:t>
          </w:r>
          <w:r>
            <w:tab/>
          </w:r>
          <w:r>
            <w:fldChar w:fldCharType="begin"/>
          </w:r>
          <w:r>
            <w:instrText xml:space="preserve"> PAGEREF _Toc149725841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"_Toc149725842" </w:instrText>
          </w:r>
          <w:r>
            <w:fldChar w:fldCharType="separate"/>
          </w:r>
          <w:r>
            <w:rPr>
              <w:rStyle w:val="34"/>
              <w:rFonts w:eastAsia="仿宋" w:asciiTheme="minorEastAsia" w:hAnsiTheme="minorEastAsia"/>
              <w:b/>
              <w:snapToGrid w:val="0"/>
            </w:rPr>
            <w:t>3.5 资格审查资料</w:t>
          </w:r>
          <w:r>
            <w:tab/>
          </w:r>
          <w:r>
            <w:fldChar w:fldCharType="begin"/>
          </w:r>
          <w:r>
            <w:instrText xml:space="preserve"> PAGEREF _Toc149725842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"_Toc149725843" </w:instrText>
          </w:r>
          <w:r>
            <w:fldChar w:fldCharType="separate"/>
          </w:r>
          <w:r>
            <w:rPr>
              <w:rStyle w:val="34"/>
              <w:rFonts w:eastAsia="仿宋" w:asciiTheme="minorEastAsia" w:hAnsiTheme="minorEastAsia"/>
              <w:b/>
              <w:snapToGrid w:val="0"/>
            </w:rPr>
            <w:t>3.6 响应方案</w:t>
          </w:r>
          <w:r>
            <w:tab/>
          </w:r>
          <w:r>
            <w:fldChar w:fldCharType="begin"/>
          </w:r>
          <w:r>
            <w:instrText xml:space="preserve"> PAGEREF _Toc149725843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"_Toc149725844" </w:instrText>
          </w:r>
          <w:r>
            <w:fldChar w:fldCharType="separate"/>
          </w:r>
          <w:r>
            <w:rPr>
              <w:rStyle w:val="34"/>
              <w:rFonts w:eastAsia="仿宋" w:asciiTheme="minorEastAsia" w:hAnsiTheme="minorEastAsia"/>
              <w:b/>
              <w:snapToGrid w:val="0"/>
            </w:rPr>
            <w:t>3.7 响应文件的编制</w:t>
          </w:r>
          <w:r>
            <w:tab/>
          </w:r>
          <w:r>
            <w:fldChar w:fldCharType="begin"/>
          </w:r>
          <w:r>
            <w:instrText xml:space="preserve"> PAGEREF _Toc149725844 \h </w:instrText>
          </w:r>
          <w:r>
            <w:fldChar w:fldCharType="separate"/>
          </w:r>
          <w:r>
            <w:t>20</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"_Toc149725845" </w:instrText>
          </w:r>
          <w:r>
            <w:fldChar w:fldCharType="separate"/>
          </w:r>
          <w:r>
            <w:rPr>
              <w:rStyle w:val="34"/>
              <w:rFonts w:eastAsia="仿宋" w:asciiTheme="minorEastAsia" w:hAnsiTheme="minorEastAsia"/>
              <w:b/>
              <w:bCs/>
              <w:snapToGrid w:val="0"/>
            </w:rPr>
            <w:t>4.采购和评审</w:t>
          </w:r>
          <w:r>
            <w:tab/>
          </w:r>
          <w:r>
            <w:fldChar w:fldCharType="begin"/>
          </w:r>
          <w:r>
            <w:instrText xml:space="preserve"> PAGEREF _Toc149725845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"_Toc149725846" </w:instrText>
          </w:r>
          <w:r>
            <w:fldChar w:fldCharType="separate"/>
          </w:r>
          <w:r>
            <w:rPr>
              <w:rStyle w:val="34"/>
              <w:rFonts w:eastAsia="仿宋" w:asciiTheme="minorEastAsia" w:hAnsiTheme="minorEastAsia"/>
              <w:b/>
              <w:snapToGrid w:val="0"/>
            </w:rPr>
            <w:t>4.1 采购小组</w:t>
          </w:r>
          <w:r>
            <w:tab/>
          </w:r>
          <w:r>
            <w:fldChar w:fldCharType="begin"/>
          </w:r>
          <w:r>
            <w:instrText xml:space="preserve"> PAGEREF _Toc149725846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"_Toc149725847" </w:instrText>
          </w:r>
          <w:r>
            <w:fldChar w:fldCharType="separate"/>
          </w:r>
          <w:r>
            <w:rPr>
              <w:rStyle w:val="34"/>
              <w:rFonts w:eastAsia="仿宋" w:asciiTheme="minorEastAsia" w:hAnsiTheme="minorEastAsia"/>
              <w:b/>
              <w:snapToGrid w:val="0"/>
            </w:rPr>
            <w:t>4.2 初步评审</w:t>
          </w:r>
          <w:r>
            <w:tab/>
          </w:r>
          <w:r>
            <w:fldChar w:fldCharType="begin"/>
          </w:r>
          <w:r>
            <w:instrText xml:space="preserve"> PAGEREF _Toc149725847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"_Toc149725848" </w:instrText>
          </w:r>
          <w:r>
            <w:fldChar w:fldCharType="separate"/>
          </w:r>
          <w:r>
            <w:rPr>
              <w:rStyle w:val="34"/>
              <w:rFonts w:eastAsia="仿宋" w:asciiTheme="minorEastAsia" w:hAnsiTheme="minorEastAsia"/>
              <w:b/>
              <w:snapToGrid w:val="0"/>
            </w:rPr>
            <w:t>4.3 谈判</w:t>
          </w:r>
          <w:r>
            <w:tab/>
          </w:r>
          <w:r>
            <w:fldChar w:fldCharType="begin"/>
          </w:r>
          <w:r>
            <w:instrText xml:space="preserve"> PAGEREF _Toc149725848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"_Toc149725849" </w:instrText>
          </w:r>
          <w:r>
            <w:fldChar w:fldCharType="separate"/>
          </w:r>
          <w:r>
            <w:rPr>
              <w:rStyle w:val="34"/>
              <w:rFonts w:eastAsia="仿宋" w:asciiTheme="minorEastAsia" w:hAnsiTheme="minorEastAsia"/>
              <w:b/>
              <w:snapToGrid w:val="0"/>
            </w:rPr>
            <w:t>4.4 递交补充响应文件</w:t>
          </w:r>
          <w:r>
            <w:tab/>
          </w:r>
          <w:r>
            <w:fldChar w:fldCharType="begin"/>
          </w:r>
          <w:r>
            <w:instrText xml:space="preserve"> PAGEREF _Toc149725849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"_Toc149725850" </w:instrText>
          </w:r>
          <w:r>
            <w:fldChar w:fldCharType="separate"/>
          </w:r>
          <w:r>
            <w:rPr>
              <w:rStyle w:val="34"/>
              <w:rFonts w:eastAsia="仿宋" w:asciiTheme="minorEastAsia" w:hAnsiTheme="minorEastAsia"/>
              <w:b/>
              <w:snapToGrid w:val="0"/>
            </w:rPr>
            <w:t>4.5 递交最终报价</w:t>
          </w:r>
          <w:r>
            <w:tab/>
          </w:r>
          <w:r>
            <w:fldChar w:fldCharType="begin"/>
          </w:r>
          <w:r>
            <w:instrText xml:space="preserve"> PAGEREF _Toc149725850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"_Toc149725851" </w:instrText>
          </w:r>
          <w:r>
            <w:fldChar w:fldCharType="separate"/>
          </w:r>
          <w:r>
            <w:rPr>
              <w:rStyle w:val="34"/>
              <w:rFonts w:eastAsia="仿宋" w:asciiTheme="minorEastAsia" w:hAnsiTheme="minorEastAsia"/>
              <w:b/>
              <w:snapToGrid w:val="0"/>
            </w:rPr>
            <w:t>4.6 详细评审及推荐成交供应商</w:t>
          </w:r>
          <w:r>
            <w:tab/>
          </w:r>
          <w:r>
            <w:fldChar w:fldCharType="begin"/>
          </w:r>
          <w:r>
            <w:instrText xml:space="preserve"> PAGEREF _Toc149725851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"_Toc149725852" </w:instrText>
          </w:r>
          <w:r>
            <w:fldChar w:fldCharType="separate"/>
          </w:r>
          <w:r>
            <w:rPr>
              <w:rStyle w:val="34"/>
              <w:rFonts w:eastAsia="仿宋" w:asciiTheme="minorEastAsia" w:hAnsiTheme="minorEastAsia"/>
              <w:b/>
              <w:snapToGrid w:val="0"/>
            </w:rPr>
            <w:t>4.7 特殊情形处理</w:t>
          </w:r>
          <w:r>
            <w:tab/>
          </w:r>
          <w:r>
            <w:fldChar w:fldCharType="begin"/>
          </w:r>
          <w:r>
            <w:instrText xml:space="preserve"> PAGEREF _Toc149725852 \h </w:instrText>
          </w:r>
          <w:r>
            <w:fldChar w:fldCharType="separate"/>
          </w:r>
          <w:r>
            <w:t>22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"_Toc149725853" </w:instrText>
          </w:r>
          <w:r>
            <w:fldChar w:fldCharType="separate"/>
          </w:r>
          <w:r>
            <w:rPr>
              <w:rStyle w:val="34"/>
              <w:rFonts w:eastAsia="仿宋" w:asciiTheme="minorEastAsia" w:hAnsiTheme="minorEastAsia"/>
              <w:b/>
              <w:bCs/>
              <w:snapToGrid w:val="0"/>
            </w:rPr>
            <w:t>5．合同授予</w:t>
          </w:r>
          <w:r>
            <w:tab/>
          </w:r>
          <w:r>
            <w:fldChar w:fldCharType="begin"/>
          </w:r>
          <w:r>
            <w:instrText xml:space="preserve"> PAGEREF _Toc149725853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"_Toc149725854" </w:instrText>
          </w:r>
          <w:r>
            <w:fldChar w:fldCharType="separate"/>
          </w:r>
          <w:r>
            <w:rPr>
              <w:rStyle w:val="34"/>
              <w:rFonts w:eastAsia="仿宋" w:asciiTheme="minorEastAsia" w:hAnsiTheme="minorEastAsia"/>
              <w:b/>
              <w:snapToGrid w:val="0"/>
            </w:rPr>
            <w:t>5.1 发出成交通知书</w:t>
          </w:r>
          <w:r>
            <w:tab/>
          </w:r>
          <w:r>
            <w:fldChar w:fldCharType="begin"/>
          </w:r>
          <w:r>
            <w:instrText xml:space="preserve"> PAGEREF _Toc149725854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"_Toc149725855" </w:instrText>
          </w:r>
          <w:r>
            <w:fldChar w:fldCharType="separate"/>
          </w:r>
          <w:r>
            <w:rPr>
              <w:rStyle w:val="34"/>
              <w:rFonts w:eastAsia="仿宋" w:asciiTheme="minorEastAsia" w:hAnsiTheme="minorEastAsia"/>
              <w:b/>
              <w:snapToGrid w:val="0"/>
            </w:rPr>
            <w:t>5.2 履约保证金</w:t>
          </w:r>
          <w:r>
            <w:tab/>
          </w:r>
          <w:r>
            <w:fldChar w:fldCharType="begin"/>
          </w:r>
          <w:r>
            <w:instrText xml:space="preserve"> PAGEREF _Toc149725855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"_Toc149725856" </w:instrText>
          </w:r>
          <w:r>
            <w:fldChar w:fldCharType="separate"/>
          </w:r>
          <w:r>
            <w:rPr>
              <w:rStyle w:val="34"/>
              <w:rFonts w:eastAsia="仿宋" w:asciiTheme="minorEastAsia" w:hAnsiTheme="minorEastAsia"/>
              <w:b/>
              <w:snapToGrid w:val="0"/>
            </w:rPr>
            <w:t>5.3 签订合同</w:t>
          </w:r>
          <w:r>
            <w:tab/>
          </w:r>
          <w:r>
            <w:fldChar w:fldCharType="begin"/>
          </w:r>
          <w:r>
            <w:instrText xml:space="preserve"> PAGEREF _Toc149725856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"_Toc149725857" </w:instrText>
          </w:r>
          <w:r>
            <w:fldChar w:fldCharType="separate"/>
          </w:r>
          <w:r>
            <w:rPr>
              <w:rStyle w:val="34"/>
              <w:rFonts w:eastAsia="仿宋" w:asciiTheme="minorEastAsia" w:hAnsiTheme="minorEastAsia"/>
              <w:b/>
              <w:snapToGrid w:val="0"/>
            </w:rPr>
            <w:t>6．纪律要求</w:t>
          </w:r>
          <w:r>
            <w:tab/>
          </w:r>
          <w:r>
            <w:fldChar w:fldCharType="begin"/>
          </w:r>
          <w:r>
            <w:instrText xml:space="preserve"> PAGEREF _Toc149725857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"_Toc149725858" </w:instrText>
          </w:r>
          <w:r>
            <w:fldChar w:fldCharType="separate"/>
          </w:r>
          <w:r>
            <w:rPr>
              <w:rStyle w:val="34"/>
              <w:rFonts w:eastAsia="仿宋" w:asciiTheme="minorEastAsia" w:hAnsiTheme="minorEastAsia"/>
              <w:b/>
              <w:snapToGrid w:val="0"/>
            </w:rPr>
            <w:t>6.1 对采购人的纪律要求</w:t>
          </w:r>
          <w:r>
            <w:tab/>
          </w:r>
          <w:r>
            <w:fldChar w:fldCharType="begin"/>
          </w:r>
          <w:r>
            <w:instrText xml:space="preserve"> PAGEREF _Toc149725858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"_Toc149725859" </w:instrText>
          </w:r>
          <w:r>
            <w:fldChar w:fldCharType="separate"/>
          </w:r>
          <w:r>
            <w:rPr>
              <w:rStyle w:val="34"/>
              <w:rFonts w:eastAsia="仿宋" w:asciiTheme="minorEastAsia" w:hAnsiTheme="minorEastAsia"/>
              <w:b/>
              <w:snapToGrid w:val="0"/>
            </w:rPr>
            <w:t>6.2 对供应商的纪律要求</w:t>
          </w:r>
          <w:r>
            <w:tab/>
          </w:r>
          <w:r>
            <w:fldChar w:fldCharType="begin"/>
          </w:r>
          <w:r>
            <w:instrText xml:space="preserve"> PAGEREF _Toc149725859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"_Toc149725860" </w:instrText>
          </w:r>
          <w:r>
            <w:fldChar w:fldCharType="separate"/>
          </w:r>
          <w:r>
            <w:rPr>
              <w:rStyle w:val="34"/>
              <w:rFonts w:eastAsia="仿宋" w:asciiTheme="minorEastAsia" w:hAnsiTheme="minorEastAsia"/>
              <w:b/>
              <w:snapToGrid w:val="0"/>
            </w:rPr>
            <w:t>6.3 对采购小组成员的纪律要求</w:t>
          </w:r>
          <w:r>
            <w:tab/>
          </w:r>
          <w:r>
            <w:fldChar w:fldCharType="begin"/>
          </w:r>
          <w:r>
            <w:instrText xml:space="preserve"> PAGEREF _Toc149725860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"_Toc149725861" </w:instrText>
          </w:r>
          <w:r>
            <w:fldChar w:fldCharType="separate"/>
          </w:r>
          <w:r>
            <w:rPr>
              <w:rStyle w:val="34"/>
              <w:rFonts w:eastAsia="仿宋" w:asciiTheme="minorEastAsia" w:hAnsiTheme="minorEastAsia"/>
              <w:b/>
              <w:snapToGrid w:val="0"/>
            </w:rPr>
            <w:t>6.4 对与采购活动有关的工作人员的纪律要求</w:t>
          </w:r>
          <w:r>
            <w:tab/>
          </w:r>
          <w:r>
            <w:fldChar w:fldCharType="begin"/>
          </w:r>
          <w:r>
            <w:instrText xml:space="preserve"> PAGEREF _Toc149725861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"_Toc149725862" </w:instrText>
          </w:r>
          <w:r>
            <w:fldChar w:fldCharType="separate"/>
          </w:r>
          <w:r>
            <w:rPr>
              <w:rStyle w:val="34"/>
              <w:rFonts w:eastAsia="仿宋" w:asciiTheme="minorEastAsia" w:hAnsiTheme="minorEastAsia"/>
              <w:b/>
              <w:snapToGrid w:val="0"/>
            </w:rPr>
            <w:t>7．需要补充的其他内容</w:t>
          </w:r>
          <w:r>
            <w:tab/>
          </w:r>
          <w:r>
            <w:fldChar w:fldCharType="begin"/>
          </w:r>
          <w:r>
            <w:instrText xml:space="preserve"> PAGEREF _Toc149725862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"_Toc149725863" </w:instrText>
          </w:r>
          <w:r>
            <w:fldChar w:fldCharType="separate"/>
          </w:r>
          <w:r>
            <w:rPr>
              <w:rStyle w:val="34"/>
              <w:rFonts w:eastAsia="仿宋" w:asciiTheme="minorEastAsia" w:hAnsiTheme="minorEastAsia"/>
              <w:snapToGrid w:val="0"/>
            </w:rPr>
            <w:t>附件1 问题澄清通知</w:t>
          </w:r>
          <w:r>
            <w:tab/>
          </w:r>
          <w:r>
            <w:fldChar w:fldCharType="begin"/>
          </w:r>
          <w:r>
            <w:instrText xml:space="preserve"> PAGEREF _Toc149725863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"_Toc149725864" </w:instrText>
          </w:r>
          <w:r>
            <w:fldChar w:fldCharType="separate"/>
          </w:r>
          <w:r>
            <w:rPr>
              <w:rStyle w:val="34"/>
              <w:rFonts w:eastAsia="仿宋" w:asciiTheme="minorEastAsia" w:hAnsiTheme="minorEastAsia"/>
              <w:b/>
              <w:bCs/>
              <w:snapToGrid w:val="0"/>
            </w:rPr>
            <w:t>问题澄清通知</w:t>
          </w:r>
          <w:r>
            <w:tab/>
          </w:r>
          <w:r>
            <w:fldChar w:fldCharType="begin"/>
          </w:r>
          <w:r>
            <w:instrText xml:space="preserve"> PAGEREF _Toc149725864 \h </w:instrText>
          </w:r>
          <w:r>
            <w:fldChar w:fldCharType="separate"/>
          </w:r>
          <w:r>
            <w:t>24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"_Toc149725865" </w:instrText>
          </w:r>
          <w:r>
            <w:fldChar w:fldCharType="separate"/>
          </w:r>
          <w:r>
            <w:rPr>
              <w:rStyle w:val="34"/>
              <w:rFonts w:eastAsia="仿宋" w:asciiTheme="minorEastAsia" w:hAnsiTheme="minorEastAsia"/>
              <w:snapToGrid w:val="0"/>
            </w:rPr>
            <w:t>附件</w:t>
          </w:r>
          <w:r>
            <w:rPr>
              <w:rStyle w:val="34"/>
              <w:rFonts w:eastAsia="仿宋" w:asciiTheme="minorEastAsia" w:hAnsiTheme="minorEastAsia"/>
              <w:b/>
              <w:snapToGrid w:val="0"/>
            </w:rPr>
            <w:t xml:space="preserve">2 </w:t>
          </w:r>
          <w:r>
            <w:rPr>
              <w:rStyle w:val="34"/>
              <w:rFonts w:eastAsia="仿宋" w:asciiTheme="minorEastAsia" w:hAnsiTheme="minorEastAsia"/>
              <w:snapToGrid w:val="0"/>
            </w:rPr>
            <w:t>问题的澄清</w:t>
          </w:r>
          <w:r>
            <w:tab/>
          </w:r>
          <w:r>
            <w:fldChar w:fldCharType="begin"/>
          </w:r>
          <w:r>
            <w:instrText xml:space="preserve"> PAGEREF _Toc149725865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"_Toc149725866" </w:instrText>
          </w:r>
          <w:r>
            <w:fldChar w:fldCharType="separate"/>
          </w:r>
          <w:r>
            <w:rPr>
              <w:rStyle w:val="34"/>
              <w:rFonts w:eastAsia="仿宋" w:asciiTheme="minorEastAsia" w:hAnsiTheme="minorEastAsia"/>
              <w:b/>
              <w:bCs/>
              <w:snapToGrid w:val="0"/>
            </w:rPr>
            <w:t>问题的澄清</w:t>
          </w:r>
          <w:r>
            <w:tab/>
          </w:r>
          <w:r>
            <w:fldChar w:fldCharType="begin"/>
          </w:r>
          <w:r>
            <w:instrText xml:space="preserve"> PAGEREF _Toc149725866 \h </w:instrText>
          </w:r>
          <w:r>
            <w:fldChar w:fldCharType="separate"/>
          </w:r>
          <w:r>
            <w:t>25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"_Toc149725867" </w:instrText>
          </w:r>
          <w:r>
            <w:fldChar w:fldCharType="separate"/>
          </w:r>
          <w:r>
            <w:rPr>
              <w:rStyle w:val="34"/>
              <w:rFonts w:eastAsia="仿宋" w:asciiTheme="minorEastAsia" w:hAnsiTheme="minorEastAsia"/>
              <w:snapToGrid w:val="0"/>
            </w:rPr>
            <w:t>附件3 成交通知书</w:t>
          </w:r>
          <w:r>
            <w:tab/>
          </w:r>
          <w:r>
            <w:fldChar w:fldCharType="begin"/>
          </w:r>
          <w:r>
            <w:instrText xml:space="preserve"> PAGEREF _Toc149725867 \h </w:instrText>
          </w:r>
          <w:r>
            <w:fldChar w:fldCharType="separate"/>
          </w:r>
          <w:r>
            <w:t>26</w:t>
          </w:r>
          <w:r>
            <w:fldChar w:fldCharType="end"/>
          </w:r>
          <w:r>
            <w:fldChar w:fldCharType="end"/>
          </w:r>
        </w:p>
        <w:p>
          <w:pPr>
            <w:pStyle w:val="15"/>
            <w:rPr>
              <w:rFonts w:cstheme="minorBidi"/>
              <w:kern w:val="2"/>
              <w:sz w:val="21"/>
            </w:rPr>
          </w:pPr>
          <w:r>
            <w:fldChar w:fldCharType="begin"/>
          </w:r>
          <w:r>
            <w:instrText xml:space="preserve"> HYPERLINK \l "_Toc149725868" </w:instrText>
          </w:r>
          <w:r>
            <w:fldChar w:fldCharType="separate"/>
          </w:r>
          <w:r>
            <w:rPr>
              <w:rStyle w:val="34"/>
              <w:rFonts w:eastAsia="仿宋" w:asciiTheme="minorEastAsia" w:hAnsiTheme="minorEastAsia"/>
              <w:b/>
              <w:bCs/>
              <w:snapToGrid w:val="0"/>
            </w:rPr>
            <w:t>成交通知书</w:t>
          </w:r>
          <w:r>
            <w:tab/>
          </w:r>
          <w:r>
            <w:fldChar w:fldCharType="begin"/>
          </w:r>
          <w:r>
            <w:instrText xml:space="preserve"> PAGEREF _Toc149725868 \h </w:instrText>
          </w:r>
          <w:r>
            <w:fldChar w:fldCharType="separate"/>
          </w:r>
          <w:r>
            <w:t>26</w:t>
          </w:r>
          <w:r>
            <w:fldChar w:fldCharType="end"/>
          </w:r>
          <w:r>
            <w:fldChar w:fldCharType="end"/>
          </w:r>
        </w:p>
        <w:p>
          <w:pPr>
            <w:pStyle w:val="21"/>
            <w:rPr>
              <w:rFonts w:cstheme="minorBidi"/>
              <w:kern w:val="2"/>
              <w:sz w:val="21"/>
            </w:rPr>
          </w:pPr>
          <w:r>
            <w:fldChar w:fldCharType="begin"/>
          </w:r>
          <w:r>
            <w:instrText xml:space="preserve"> HYPERLINK \l "_Toc149725869" </w:instrText>
          </w:r>
          <w:r>
            <w:fldChar w:fldCharType="separate"/>
          </w:r>
          <w:r>
            <w:rPr>
              <w:rStyle w:val="34"/>
              <w:rFonts w:eastAsia="仿宋" w:asciiTheme="minorEastAsia" w:hAnsiTheme="minorEastAsia"/>
              <w:b/>
              <w:bCs/>
              <w:snapToGrid w:val="0"/>
            </w:rPr>
            <w:t>第三章  评审办法</w:t>
          </w:r>
          <w:r>
            <w:tab/>
          </w:r>
          <w:r>
            <w:fldChar w:fldCharType="begin"/>
          </w:r>
          <w:r>
            <w:instrText xml:space="preserve"> PAGEREF _Toc149725869 \h </w:instrText>
          </w:r>
          <w:r>
            <w:fldChar w:fldCharType="separate"/>
          </w:r>
          <w:r>
            <w:t>27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"_Toc149725870" </w:instrText>
          </w:r>
          <w:r>
            <w:fldChar w:fldCharType="separate"/>
          </w:r>
          <w:r>
            <w:rPr>
              <w:rStyle w:val="34"/>
              <w:rFonts w:eastAsia="仿宋" w:asciiTheme="minorEastAsia" w:hAnsiTheme="minorEastAsia"/>
              <w:b/>
              <w:bCs/>
              <w:snapToGrid w:val="0"/>
            </w:rPr>
            <w:t>评审办法前附表</w:t>
          </w:r>
          <w:r>
            <w:tab/>
          </w:r>
          <w:r>
            <w:fldChar w:fldCharType="begin"/>
          </w:r>
          <w:r>
            <w:instrText xml:space="preserve"> PAGEREF _Toc149725870 \h </w:instrText>
          </w:r>
          <w:r>
            <w:fldChar w:fldCharType="separate"/>
          </w:r>
          <w:r>
            <w:t>28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"_Toc149725871" </w:instrText>
          </w:r>
          <w:r>
            <w:fldChar w:fldCharType="separate"/>
          </w:r>
          <w:r>
            <w:rPr>
              <w:rStyle w:val="34"/>
              <w:rFonts w:eastAsia="仿宋" w:asciiTheme="minorEastAsia" w:hAnsiTheme="minorEastAsia"/>
              <w:b/>
              <w:bCs/>
              <w:snapToGrid w:val="0"/>
            </w:rPr>
            <w:t>1.评审方法（综合评分法）</w:t>
          </w:r>
          <w:r>
            <w:tab/>
          </w:r>
          <w:r>
            <w:fldChar w:fldCharType="begin"/>
          </w:r>
          <w:r>
            <w:instrText xml:space="preserve"> PAGEREF _Toc149725871 \h </w:instrText>
          </w:r>
          <w:r>
            <w:fldChar w:fldCharType="separate"/>
          </w:r>
          <w:r>
            <w:t>31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"_Toc149725872" </w:instrText>
          </w:r>
          <w:r>
            <w:fldChar w:fldCharType="separate"/>
          </w:r>
          <w:r>
            <w:rPr>
              <w:rStyle w:val="34"/>
              <w:rFonts w:eastAsia="仿宋" w:asciiTheme="minorEastAsia" w:hAnsiTheme="minorEastAsia"/>
              <w:b/>
              <w:snapToGrid w:val="0"/>
            </w:rPr>
            <w:t>2.初步评审标准和程序</w:t>
          </w:r>
          <w:r>
            <w:tab/>
          </w:r>
          <w:r>
            <w:fldChar w:fldCharType="begin"/>
          </w:r>
          <w:r>
            <w:instrText xml:space="preserve"> PAGEREF _Toc149725872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"_Toc149725873" </w:instrText>
          </w:r>
          <w:r>
            <w:fldChar w:fldCharType="separate"/>
          </w:r>
          <w:r>
            <w:rPr>
              <w:rStyle w:val="34"/>
              <w:rFonts w:eastAsia="仿宋" w:asciiTheme="minorEastAsia" w:hAnsiTheme="minorEastAsia"/>
              <w:b/>
              <w:snapToGrid w:val="0"/>
            </w:rPr>
            <w:t>2.1 初步评审标准</w:t>
          </w:r>
          <w:r>
            <w:tab/>
          </w:r>
          <w:r>
            <w:fldChar w:fldCharType="begin"/>
          </w:r>
          <w:r>
            <w:instrText xml:space="preserve"> PAGEREF _Toc149725873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"_Toc149725874" </w:instrText>
          </w:r>
          <w:r>
            <w:fldChar w:fldCharType="separate"/>
          </w:r>
          <w:r>
            <w:rPr>
              <w:rStyle w:val="34"/>
              <w:rFonts w:eastAsia="仿宋" w:asciiTheme="minorEastAsia" w:hAnsiTheme="minorEastAsia"/>
              <w:b/>
              <w:snapToGrid w:val="0"/>
            </w:rPr>
            <w:t>2.2 初步评审程序</w:t>
          </w:r>
          <w:r>
            <w:tab/>
          </w:r>
          <w:r>
            <w:fldChar w:fldCharType="begin"/>
          </w:r>
          <w:r>
            <w:instrText xml:space="preserve"> PAGEREF _Toc149725874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"_Toc149725875" </w:instrText>
          </w:r>
          <w:r>
            <w:fldChar w:fldCharType="separate"/>
          </w:r>
          <w:r>
            <w:rPr>
              <w:rStyle w:val="34"/>
              <w:rFonts w:ascii="仿宋" w:hAnsi="仿宋" w:eastAsia="仿宋"/>
              <w:b/>
              <w:snapToGrid w:val="0"/>
            </w:rPr>
            <w:t>3.详细评审标准和程序</w:t>
          </w:r>
          <w:r>
            <w:tab/>
          </w:r>
          <w:r>
            <w:fldChar w:fldCharType="begin"/>
          </w:r>
          <w:r>
            <w:instrText xml:space="preserve"> PAGEREF _Toc149725875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"_Toc149725876" </w:instrText>
          </w:r>
          <w:r>
            <w:fldChar w:fldCharType="separate"/>
          </w:r>
          <w:r>
            <w:rPr>
              <w:rStyle w:val="34"/>
              <w:rFonts w:eastAsia="仿宋" w:asciiTheme="minorEastAsia" w:hAnsiTheme="minorEastAsia"/>
              <w:b/>
              <w:snapToGrid w:val="0"/>
            </w:rPr>
            <w:t>3.1 评审价格确定</w:t>
          </w:r>
          <w:r>
            <w:tab/>
          </w:r>
          <w:r>
            <w:fldChar w:fldCharType="begin"/>
          </w:r>
          <w:r>
            <w:instrText xml:space="preserve"> PAGEREF _Toc149725876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"_Toc149725877" </w:instrText>
          </w:r>
          <w:r>
            <w:fldChar w:fldCharType="separate"/>
          </w:r>
          <w:r>
            <w:rPr>
              <w:rStyle w:val="34"/>
              <w:rFonts w:eastAsia="仿宋" w:asciiTheme="minorEastAsia" w:hAnsiTheme="minorEastAsia"/>
              <w:b/>
              <w:snapToGrid w:val="0"/>
            </w:rPr>
            <w:t>3.2 综合评分和排序(综合评分法)</w:t>
          </w:r>
          <w:r>
            <w:tab/>
          </w:r>
          <w:r>
            <w:fldChar w:fldCharType="begin"/>
          </w:r>
          <w:r>
            <w:instrText xml:space="preserve"> PAGEREF _Toc149725877 \h </w:instrText>
          </w:r>
          <w:r>
            <w:fldChar w:fldCharType="separate"/>
          </w:r>
          <w:r>
            <w:t>34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"_Toc149725878" </w:instrText>
          </w:r>
          <w:r>
            <w:fldChar w:fldCharType="separate"/>
          </w:r>
          <w:r>
            <w:rPr>
              <w:rStyle w:val="34"/>
              <w:rFonts w:eastAsia="仿宋" w:asciiTheme="minorEastAsia" w:hAnsiTheme="minorEastAsia"/>
              <w:b/>
              <w:bCs/>
              <w:snapToGrid w:val="0"/>
            </w:rPr>
            <w:t>4.评审结果</w:t>
          </w:r>
          <w:r>
            <w:tab/>
          </w:r>
          <w:r>
            <w:fldChar w:fldCharType="begin"/>
          </w:r>
          <w:r>
            <w:instrText xml:space="preserve"> PAGEREF _Toc149725878 \h </w:instrText>
          </w:r>
          <w:r>
            <w:fldChar w:fldCharType="separate"/>
          </w:r>
          <w:r>
            <w:t>35</w:t>
          </w:r>
          <w:r>
            <w:fldChar w:fldCharType="end"/>
          </w:r>
          <w:r>
            <w:fldChar w:fldCharType="end"/>
          </w:r>
        </w:p>
        <w:p>
          <w:pPr>
            <w:pStyle w:val="15"/>
            <w:rPr>
              <w:rFonts w:cstheme="minorBidi"/>
              <w:kern w:val="2"/>
              <w:sz w:val="21"/>
            </w:rPr>
          </w:pPr>
          <w:r>
            <w:fldChar w:fldCharType="begin"/>
          </w:r>
          <w:r>
            <w:instrText xml:space="preserve"> HYPERLINK \l "_Toc149725879" </w:instrText>
          </w:r>
          <w:r>
            <w:fldChar w:fldCharType="separate"/>
          </w:r>
          <w:r>
            <w:rPr>
              <w:rStyle w:val="34"/>
              <w:rFonts w:eastAsia="仿宋" w:asciiTheme="minorEastAsia" w:hAnsiTheme="minorEastAsia"/>
              <w:b/>
              <w:snapToGrid w:val="0"/>
            </w:rPr>
            <w:t>4.1 推荐成交供应商</w:t>
          </w:r>
          <w:r>
            <w:tab/>
          </w:r>
          <w:r>
            <w:fldChar w:fldCharType="begin"/>
          </w:r>
          <w:r>
            <w:instrText xml:space="preserve"> PAGEREF _Toc149725879 \h </w:instrText>
          </w:r>
          <w:r>
            <w:fldChar w:fldCharType="separate"/>
          </w:r>
          <w:r>
            <w:t>35</w:t>
          </w:r>
          <w:r>
            <w:fldChar w:fldCharType="end"/>
          </w:r>
          <w:r>
            <w:fldChar w:fldCharType="end"/>
          </w:r>
        </w:p>
        <w:p>
          <w:pPr>
            <w:pStyle w:val="21"/>
            <w:rPr>
              <w:rFonts w:cstheme="minorBidi"/>
              <w:kern w:val="2"/>
              <w:sz w:val="21"/>
            </w:rPr>
          </w:pPr>
          <w:r>
            <w:fldChar w:fldCharType="begin"/>
          </w:r>
          <w:r>
            <w:instrText xml:space="preserve"> HYPERLINK \l "_Toc149725880" </w:instrText>
          </w:r>
          <w:r>
            <w:fldChar w:fldCharType="separate"/>
          </w:r>
          <w:r>
            <w:rPr>
              <w:rStyle w:val="34"/>
              <w:rFonts w:eastAsia="仿宋"/>
              <w:b/>
              <w:bCs/>
              <w:snapToGrid w:val="0"/>
            </w:rPr>
            <w:t>第四章  健康体检服务合同</w:t>
          </w:r>
          <w:r>
            <w:tab/>
          </w:r>
          <w:r>
            <w:fldChar w:fldCharType="begin"/>
          </w:r>
          <w:r>
            <w:instrText xml:space="preserve"> PAGEREF _Toc149725880 \h </w:instrText>
          </w:r>
          <w:r>
            <w:fldChar w:fldCharType="separate"/>
          </w:r>
          <w:r>
            <w:t>36</w:t>
          </w:r>
          <w:r>
            <w:fldChar w:fldCharType="end"/>
          </w:r>
          <w:r>
            <w:fldChar w:fldCharType="end"/>
          </w:r>
        </w:p>
        <w:p>
          <w:pPr>
            <w:pStyle w:val="21"/>
            <w:rPr>
              <w:rFonts w:cstheme="minorBidi"/>
              <w:kern w:val="2"/>
              <w:sz w:val="21"/>
            </w:rPr>
          </w:pPr>
          <w:r>
            <w:fldChar w:fldCharType="begin"/>
          </w:r>
          <w:r>
            <w:instrText xml:space="preserve"> HYPERLINK \l "_Toc149725881" </w:instrText>
          </w:r>
          <w:r>
            <w:fldChar w:fldCharType="separate"/>
          </w:r>
          <w:r>
            <w:rPr>
              <w:rStyle w:val="34"/>
              <w:rFonts w:eastAsia="仿宋" w:asciiTheme="minorEastAsia" w:hAnsiTheme="minorEastAsia"/>
              <w:b/>
              <w:bCs/>
              <w:snapToGrid w:val="0"/>
            </w:rPr>
            <w:t>第五章  采购需求</w:t>
          </w:r>
          <w:r>
            <w:tab/>
          </w:r>
          <w:r>
            <w:fldChar w:fldCharType="begin"/>
          </w:r>
          <w:r>
            <w:instrText xml:space="preserve"> PAGEREF _Toc149725881 \h </w:instrText>
          </w:r>
          <w:r>
            <w:fldChar w:fldCharType="separate"/>
          </w:r>
          <w:r>
            <w:t>45</w:t>
          </w:r>
          <w:r>
            <w:fldChar w:fldCharType="end"/>
          </w:r>
          <w:r>
            <w:fldChar w:fldCharType="end"/>
          </w:r>
        </w:p>
        <w:p>
          <w:pPr>
            <w:pStyle w:val="21"/>
            <w:rPr>
              <w:rFonts w:cstheme="minorBidi"/>
              <w:kern w:val="2"/>
              <w:sz w:val="21"/>
            </w:rPr>
          </w:pPr>
          <w:r>
            <w:fldChar w:fldCharType="begin"/>
          </w:r>
          <w:r>
            <w:instrText xml:space="preserve"> HYPERLINK \l "_Toc149725882" </w:instrText>
          </w:r>
          <w:r>
            <w:fldChar w:fldCharType="separate"/>
          </w:r>
          <w:r>
            <w:rPr>
              <w:rStyle w:val="34"/>
              <w:rFonts w:eastAsia="仿宋" w:asciiTheme="minorEastAsia" w:hAnsiTheme="minorEastAsia"/>
              <w:b/>
              <w:bCs/>
              <w:snapToGrid w:val="0"/>
            </w:rPr>
            <w:t>第六章  响应文件格式</w:t>
          </w:r>
          <w:r>
            <w:tab/>
          </w:r>
          <w:r>
            <w:fldChar w:fldCharType="begin"/>
          </w:r>
          <w:r>
            <w:instrText xml:space="preserve"> PAGEREF _Toc149725882 \h </w:instrText>
          </w:r>
          <w:r>
            <w:fldChar w:fldCharType="separate"/>
          </w:r>
          <w:r>
            <w:t>49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"_Toc149725883" </w:instrText>
          </w:r>
          <w:r>
            <w:fldChar w:fldCharType="separate"/>
          </w:r>
          <w:r>
            <w:rPr>
              <w:rStyle w:val="34"/>
              <w:rFonts w:eastAsia="仿宋" w:asciiTheme="minorEastAsia" w:hAnsiTheme="minorEastAsia"/>
              <w:b/>
              <w:bCs/>
              <w:snapToGrid w:val="0"/>
            </w:rPr>
            <w:t>—、响应函</w:t>
          </w:r>
          <w:r>
            <w:tab/>
          </w:r>
          <w:r>
            <w:fldChar w:fldCharType="begin"/>
          </w:r>
          <w:r>
            <w:instrText xml:space="preserve"> PAGEREF _Toc149725883 \h </w:instrText>
          </w:r>
          <w:r>
            <w:fldChar w:fldCharType="separate"/>
          </w:r>
          <w:r>
            <w:t>52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"_Toc149725884" </w:instrText>
          </w:r>
          <w:r>
            <w:fldChar w:fldCharType="separate"/>
          </w:r>
          <w:r>
            <w:rPr>
              <w:rStyle w:val="34"/>
              <w:rFonts w:eastAsia="仿宋" w:asciiTheme="minorEastAsia" w:hAnsiTheme="minorEastAsia"/>
              <w:b/>
              <w:bCs/>
              <w:snapToGrid w:val="0"/>
            </w:rPr>
            <w:t>二、授权委托书</w:t>
          </w:r>
          <w:r>
            <w:tab/>
          </w:r>
          <w:r>
            <w:fldChar w:fldCharType="begin"/>
          </w:r>
          <w:r>
            <w:instrText xml:space="preserve"> PAGEREF _Toc149725884 \h </w:instrText>
          </w:r>
          <w:r>
            <w:fldChar w:fldCharType="separate"/>
          </w:r>
          <w:r>
            <w:t>53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"_Toc149725885" </w:instrText>
          </w:r>
          <w:r>
            <w:fldChar w:fldCharType="separate"/>
          </w:r>
          <w:r>
            <w:rPr>
              <w:rStyle w:val="34"/>
              <w:rFonts w:eastAsia="仿宋" w:asciiTheme="minorEastAsia" w:hAnsiTheme="minorEastAsia"/>
              <w:b/>
              <w:bCs/>
              <w:snapToGrid w:val="0"/>
            </w:rPr>
            <w:t>三、联合体协议书</w:t>
          </w:r>
          <w:r>
            <w:tab/>
          </w:r>
          <w:r>
            <w:fldChar w:fldCharType="begin"/>
          </w:r>
          <w:r>
            <w:instrText xml:space="preserve"> PAGEREF _Toc149725885 \h </w:instrText>
          </w:r>
          <w:r>
            <w:fldChar w:fldCharType="separate"/>
          </w:r>
          <w:r>
            <w:t>54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"_Toc149725886" </w:instrText>
          </w:r>
          <w:r>
            <w:fldChar w:fldCharType="separate"/>
          </w:r>
          <w:r>
            <w:rPr>
              <w:rStyle w:val="34"/>
              <w:rFonts w:eastAsia="仿宋" w:asciiTheme="minorEastAsia" w:hAnsiTheme="minorEastAsia"/>
              <w:b/>
              <w:bCs/>
              <w:snapToGrid w:val="0"/>
            </w:rPr>
            <w:t>四、响应保证金</w:t>
          </w:r>
          <w:r>
            <w:tab/>
          </w:r>
          <w:r>
            <w:fldChar w:fldCharType="begin"/>
          </w:r>
          <w:r>
            <w:instrText xml:space="preserve"> PAGEREF _Toc149725886 \h </w:instrText>
          </w:r>
          <w:r>
            <w:fldChar w:fldCharType="separate"/>
          </w:r>
          <w:r>
            <w:t>55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"_Toc149725887" </w:instrText>
          </w:r>
          <w:r>
            <w:fldChar w:fldCharType="separate"/>
          </w:r>
          <w:r>
            <w:rPr>
              <w:rStyle w:val="34"/>
              <w:rFonts w:eastAsia="仿宋" w:asciiTheme="minorEastAsia" w:hAnsiTheme="minorEastAsia"/>
              <w:b/>
              <w:bCs/>
              <w:snapToGrid w:val="0"/>
            </w:rPr>
            <w:t>五、商务和技术偏差表</w:t>
          </w:r>
          <w:r>
            <w:tab/>
          </w:r>
          <w:r>
            <w:fldChar w:fldCharType="begin"/>
          </w:r>
          <w:r>
            <w:instrText xml:space="preserve"> PAGEREF _Toc149725887 \h </w:instrText>
          </w:r>
          <w:r>
            <w:fldChar w:fldCharType="separate"/>
          </w:r>
          <w:r>
            <w:t>56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"_Toc149725888" </w:instrText>
          </w:r>
          <w:r>
            <w:fldChar w:fldCharType="separate"/>
          </w:r>
          <w:r>
            <w:rPr>
              <w:rStyle w:val="34"/>
              <w:rFonts w:eastAsia="仿宋" w:asciiTheme="minorEastAsia" w:hAnsiTheme="minorEastAsia"/>
              <w:b/>
              <w:bCs/>
              <w:snapToGrid w:val="0"/>
            </w:rPr>
            <w:t>六、报价一览表</w:t>
          </w:r>
          <w:r>
            <w:tab/>
          </w:r>
          <w:r>
            <w:fldChar w:fldCharType="begin"/>
          </w:r>
          <w:r>
            <w:instrText xml:space="preserve"> PAGEREF _Toc149725888 \h </w:instrText>
          </w:r>
          <w:r>
            <w:fldChar w:fldCharType="separate"/>
          </w:r>
          <w:r>
            <w:t>57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"_Toc149725889" </w:instrText>
          </w:r>
          <w:r>
            <w:fldChar w:fldCharType="separate"/>
          </w:r>
          <w:r>
            <w:rPr>
              <w:rStyle w:val="34"/>
              <w:rFonts w:eastAsia="仿宋" w:asciiTheme="minorEastAsia" w:hAnsiTheme="minorEastAsia"/>
              <w:b/>
              <w:bCs/>
              <w:snapToGrid w:val="0"/>
            </w:rPr>
            <w:t>七、响应报价明细表</w:t>
          </w:r>
          <w:r>
            <w:tab/>
          </w:r>
          <w:r>
            <w:fldChar w:fldCharType="begin"/>
          </w:r>
          <w:r>
            <w:instrText xml:space="preserve"> PAGEREF _Toc149725889 \h </w:instrText>
          </w:r>
          <w:r>
            <w:fldChar w:fldCharType="separate"/>
          </w:r>
          <w:r>
            <w:t>58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"_Toc149725890" </w:instrText>
          </w:r>
          <w:r>
            <w:fldChar w:fldCharType="separate"/>
          </w:r>
          <w:r>
            <w:rPr>
              <w:rStyle w:val="34"/>
              <w:rFonts w:eastAsia="仿宋" w:asciiTheme="minorEastAsia" w:hAnsiTheme="minorEastAsia"/>
              <w:b/>
              <w:bCs/>
              <w:snapToGrid w:val="0"/>
            </w:rPr>
            <w:t>八、资格审查资料</w:t>
          </w:r>
          <w:r>
            <w:tab/>
          </w:r>
          <w:r>
            <w:fldChar w:fldCharType="begin"/>
          </w:r>
          <w:r>
            <w:instrText xml:space="preserve"> PAGEREF _Toc149725890 \h </w:instrText>
          </w:r>
          <w:r>
            <w:fldChar w:fldCharType="separate"/>
          </w:r>
          <w:r>
            <w:t>59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"_Toc149725891" </w:instrText>
          </w:r>
          <w:r>
            <w:fldChar w:fldCharType="separate"/>
          </w:r>
          <w:r>
            <w:rPr>
              <w:rStyle w:val="34"/>
              <w:rFonts w:eastAsia="仿宋" w:asciiTheme="minorEastAsia" w:hAnsiTheme="minorEastAsia"/>
              <w:b/>
              <w:bCs/>
              <w:snapToGrid w:val="0"/>
            </w:rPr>
            <w:t>九、响应方案</w:t>
          </w:r>
          <w:r>
            <w:tab/>
          </w:r>
          <w:r>
            <w:fldChar w:fldCharType="begin"/>
          </w:r>
          <w:r>
            <w:instrText xml:space="preserve"> PAGEREF _Toc149725891 \h </w:instrText>
          </w:r>
          <w:r>
            <w:fldChar w:fldCharType="separate"/>
          </w:r>
          <w:r>
            <w:t>63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"_Toc149725892" </w:instrText>
          </w:r>
          <w:r>
            <w:fldChar w:fldCharType="separate"/>
          </w:r>
          <w:r>
            <w:rPr>
              <w:rStyle w:val="34"/>
              <w:rFonts w:eastAsia="仿宋" w:asciiTheme="minorEastAsia" w:hAnsiTheme="minorEastAsia"/>
              <w:b/>
              <w:bCs/>
              <w:snapToGrid w:val="0"/>
            </w:rPr>
            <w:t>十、廉洁承诺书</w:t>
          </w:r>
          <w:r>
            <w:tab/>
          </w:r>
          <w:r>
            <w:fldChar w:fldCharType="begin"/>
          </w:r>
          <w:r>
            <w:instrText xml:space="preserve"> PAGEREF _Toc149725892 \h </w:instrText>
          </w:r>
          <w:r>
            <w:fldChar w:fldCharType="separate"/>
          </w:r>
          <w:r>
            <w:t>64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"_Toc149725893" </w:instrText>
          </w:r>
          <w:r>
            <w:fldChar w:fldCharType="separate"/>
          </w:r>
          <w:r>
            <w:rPr>
              <w:rStyle w:val="34"/>
              <w:rFonts w:eastAsia="仿宋" w:asciiTheme="minorEastAsia" w:hAnsiTheme="minorEastAsia"/>
              <w:b/>
              <w:bCs/>
              <w:snapToGrid w:val="0"/>
            </w:rPr>
            <w:t>十一、保密承诺书</w:t>
          </w:r>
          <w:r>
            <w:tab/>
          </w:r>
          <w:r>
            <w:fldChar w:fldCharType="begin"/>
          </w:r>
          <w:r>
            <w:instrText xml:space="preserve"> PAGEREF _Toc149725893 \h </w:instrText>
          </w:r>
          <w:r>
            <w:fldChar w:fldCharType="separate"/>
          </w:r>
          <w:r>
            <w:t>65</w:t>
          </w:r>
          <w:r>
            <w:fldChar w:fldCharType="end"/>
          </w:r>
          <w: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1" w:name="扫描0001"/>
      <w:bookmarkEnd w:id="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2" w:name="扫描0006"/>
      <w:bookmarkEnd w:id="2"/>
      <w:bookmarkStart w:id="3" w:name="_Toc149725807"/>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竞争性谈判采购公告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4" w:name="扫描0007"/>
      <w:bookmarkEnd w:id="4"/>
      <w:bookmarkStart w:id="5" w:name="_Toc149725808"/>
      <w:r>
        <w:rPr>
          <w:rFonts w:eastAsia="仿宋" w:asciiTheme="minorEastAsia" w:hAnsiTheme="minorEastAsia"/>
          <w:b/>
          <w:bCs/>
          <w:snapToGrid w:val="0"/>
          <w:sz w:val="32"/>
          <w:szCs w:val="32"/>
          <w:u w:val="single"/>
          <w:lang w:eastAsia="zh-CN"/>
        </w:rPr>
        <w:t>2023年梁河糖业员工常规体检项目</w:t>
      </w:r>
      <w:bookmarkEnd w:id="5"/>
    </w:p>
    <w:p>
      <w:pPr>
        <w:pStyle w:val="5"/>
        <w:spacing w:line="360" w:lineRule="auto"/>
        <w:jc w:val="center"/>
        <w:rPr>
          <w:rFonts w:eastAsia="仿宋" w:asciiTheme="minorEastAsia" w:hAnsiTheme="minorEastAsia"/>
          <w:b/>
          <w:bCs/>
          <w:snapToGrid w:val="0"/>
          <w:sz w:val="32"/>
          <w:szCs w:val="32"/>
          <w:lang w:eastAsia="zh-CN"/>
        </w:rPr>
      </w:pPr>
      <w:bookmarkStart w:id="6" w:name="_Toc149725809"/>
      <w:r>
        <w:rPr>
          <w:rFonts w:eastAsia="仿宋" w:asciiTheme="minorEastAsia" w:hAnsiTheme="minorEastAsia"/>
          <w:b/>
          <w:bCs/>
          <w:snapToGrid w:val="0"/>
          <w:sz w:val="32"/>
          <w:szCs w:val="32"/>
          <w:lang w:eastAsia="zh-CN"/>
        </w:rPr>
        <w:t>竞争性谈判采购公告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shd w:val="clear" w:color="auto" w:fill="FFFF00"/>
          <w:lang w:eastAsia="zh-CN"/>
        </w:rPr>
        <w:t>2023年梁河糖业员工常规体检项目</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已具备采购条件，现公开邀请供应商参加竞争性谈判采购活动。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7" w:name="_Toc149725810"/>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2023年梁河糖业员工常规体检项目</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8" w:name="_Toc149725811"/>
      <w:r>
        <w:rPr>
          <w:rFonts w:eastAsia="仿宋" w:asciiTheme="minorEastAsia" w:hAnsiTheme="minorEastAsia"/>
          <w:b/>
          <w:snapToGrid w:val="0"/>
          <w:sz w:val="24"/>
          <w:szCs w:val="24"/>
          <w:lang w:eastAsia="zh-CN"/>
        </w:rPr>
        <w:t>2.采购范围及相关要求</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□审计服务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□法律诉讼</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□安全认证</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□环保认证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□质量认证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□专项补助申报</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□热穿透检测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□安全阀检测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□防雷检测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□特种设备检测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□电力特种实验</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□第三方数据检测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shd w:val="clear" w:color="auto" w:fill="FFFF00"/>
          <w:lang w:eastAsia="zh-CN"/>
        </w:rPr>
        <w:t>其它：</w:t>
      </w:r>
      <w:r>
        <w:rPr>
          <w:rFonts w:hint="eastAsia" w:eastAsia="仿宋" w:asciiTheme="minorEastAsia" w:hAnsiTheme="minorEastAsia"/>
          <w:snapToGrid w:val="0"/>
          <w:sz w:val="24"/>
          <w:szCs w:val="24"/>
          <w:lang w:eastAsia="zh-CN"/>
        </w:rPr>
        <w:t>健康体检</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等与本项目有关的一切工作内容的服务。</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 服务期：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60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自接到采购人的咨询需求后，必须随采购人项目实施进度配合一切与本项目相关的咨询服务工作，并按照要求和质量标准分阶段提交纸质版和电子版成果，还必须积极配合采购人完成向政府行政主管管理部门申办有关手续的要求（如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医院专业体检场地</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bookmarkStart w:id="9" w:name="_Toc149725812"/>
      <w:r>
        <w:rPr>
          <w:rFonts w:eastAsia="仿宋" w:asciiTheme="minorEastAsia" w:hAnsiTheme="minorEastAsia"/>
          <w:b/>
          <w:snapToGrid w:val="0"/>
          <w:sz w:val="24"/>
          <w:szCs w:val="24"/>
          <w:lang w:eastAsia="zh-CN"/>
        </w:rPr>
        <w:t>3.供应商资格要求</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具有注册会计师事务所执业资格</w:t>
      </w:r>
      <w:r>
        <w:rPr>
          <w:rFonts w:eastAsia="仿宋" w:asciiTheme="minorEastAsia" w:hAnsiTheme="minorEastAsia"/>
          <w:snapToGrid w:val="0"/>
          <w:sz w:val="24"/>
          <w:szCs w:val="24"/>
          <w:u w:val="single"/>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具有律师事务所执业资格；</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具有安全认证、质量认证、环保认证资质（经中国认证认可监督管理委员会）；</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具有特种设备检测资质证书，且具备完成本项目的相应检测范围；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具有热穿透检测资质证书，且具备完成本项目的相应检测范围；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其他认证资格：</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（一）投标人应具有独立法人资格和独立签订合同的权利，应为中华人民共和国境内注册的企业法人，注册资本在</w:t>
      </w:r>
      <w:r>
        <w:rPr>
          <w:rFonts w:eastAsia="仿宋" w:asciiTheme="minorEastAsia" w:hAnsiTheme="minorEastAsia"/>
          <w:snapToGrid w:val="0"/>
          <w:sz w:val="24"/>
          <w:szCs w:val="24"/>
          <w:u w:val="single"/>
          <w:shd w:val="clear" w:color="auto" w:fill="FFFF00"/>
          <w:lang w:eastAsia="zh-CN"/>
        </w:rPr>
        <w:t>30万元以上；</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（二）具有本项目体检服务等内容的实施能力；</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（三）具有良好的银行资信和商业信誉，没有处于被责令停业，财产被接管、冻结，破产状态；</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（四）不接受联合体竞谈。 </w:t>
      </w:r>
      <w:r>
        <w:rPr>
          <w:rFonts w:eastAsia="仿宋" w:asciiTheme="minorEastAsia" w:hAnsiTheme="minorEastAsia"/>
          <w:snapToGrid w:val="0"/>
          <w:sz w:val="24"/>
          <w:szCs w:val="24"/>
          <w:u w:val="single"/>
          <w:shd w:val="clear" w:color="auto" w:fill="FFFF00"/>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val="en-US" w:eastAsia="zh-CN"/>
        </w:rPr>
        <w:t>五</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业绩：供应商近3年（  2020  年 10 月 17 日至今，以合同签订时间为准）服务类业绩</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其他项目所在地政府管理要求：</w:t>
      </w:r>
      <w:r>
        <w:rPr>
          <w:rFonts w:eastAsia="仿宋" w:asciiTheme="minorEastAsia" w:hAnsiTheme="minorEastAsia"/>
          <w:snapToGrid w:val="0"/>
          <w:sz w:val="24"/>
          <w:szCs w:val="24"/>
          <w:u w:val="single"/>
          <w:lang w:eastAsia="zh-CN"/>
        </w:rPr>
        <w:t xml:space="preserve">                                           </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eastAsia="zh-CN"/>
        </w:rPr>
        <w:t>30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spacing w:line="520" w:lineRule="exact"/>
        <w:ind w:firstLine="555"/>
        <w:rPr>
          <w:rFonts w:eastAsia="仿宋" w:asciiTheme="minorEastAsia" w:hAnsiTheme="minorEastAsia"/>
          <w:snapToGrid w:val="0"/>
          <w:sz w:val="24"/>
          <w:szCs w:val="24"/>
          <w:u w:val="single"/>
          <w:shd w:val="clear" w:color="auto" w:fill="FFFF00"/>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信誉要求：使用“天眼查”“信用中国”“中国政府采购网”等平台查询，承包方2020年6月1日至今，无经营异常情况；无严重违法失信行为记录。</w:t>
      </w:r>
    </w:p>
    <w:p>
      <w:pPr>
        <w:pStyle w:val="12"/>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0" w:name="_Hlk95776019"/>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10</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17</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bookmarkEnd w:id="10"/>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联合体应递交联合体协议书，且联合体各方不得再以自己名义单独或参加其他联合体参与本竞争性谈判采购项目，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1" w:name="_Toc149725813"/>
      <w:r>
        <w:rPr>
          <w:rFonts w:eastAsia="仿宋" w:asciiTheme="minorEastAsia" w:hAnsiTheme="minorEastAsia"/>
          <w:b/>
          <w:bCs/>
          <w:snapToGrid w:val="0"/>
          <w:sz w:val="24"/>
          <w:szCs w:val="24"/>
          <w:lang w:eastAsia="zh-CN"/>
        </w:rPr>
        <w:t>4.采购文件的获取</w:t>
      </w:r>
      <w:bookmarkEnd w:id="11"/>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2" w:name="_Toc14972581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3" w:name="_Toc149725815"/>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4" w:name="_Toc149725816"/>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15" w:name="_Toc149725817"/>
      <w:r>
        <w:rPr>
          <w:rFonts w:eastAsia="仿宋" w:asciiTheme="minorEastAsia" w:hAnsiTheme="minorEastAsia"/>
          <w:b/>
          <w:bCs/>
          <w:snapToGrid w:val="0"/>
          <w:sz w:val="24"/>
          <w:szCs w:val="24"/>
          <w:lang w:eastAsia="zh-CN"/>
        </w:rPr>
        <w:t>8.谈判时间和地点</w:t>
      </w:r>
      <w:bookmarkEnd w:id="15"/>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梁河县勐养镇中营村中粮梁河糖业有限公司勐养糖厂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16" w:name="_Toc149725818"/>
      <w:r>
        <w:rPr>
          <w:rFonts w:eastAsia="仿宋" w:asciiTheme="minorEastAsia" w:hAnsiTheme="minorEastAsia"/>
          <w:b/>
          <w:bCs/>
          <w:snapToGrid w:val="0"/>
          <w:sz w:val="24"/>
          <w:szCs w:val="24"/>
          <w:lang w:eastAsia="zh-CN"/>
        </w:rPr>
        <w:t>9.纪检监督</w:t>
      </w:r>
      <w:bookmarkEnd w:id="1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7" w:name="_Toc149725066"/>
      <w:bookmarkStart w:id="18" w:name="_Toc149725819"/>
      <w:r>
        <w:rPr>
          <w:rFonts w:eastAsia="仿宋" w:asciiTheme="minorEastAsia" w:hAnsiTheme="minorEastAsia"/>
          <w:b/>
          <w:bCs/>
          <w:snapToGrid w:val="0"/>
          <w:sz w:val="24"/>
          <w:szCs w:val="24"/>
          <w:lang w:eastAsia="zh-CN"/>
        </w:rPr>
        <w:t>10.其他</w:t>
      </w:r>
      <w:bookmarkEnd w:id="17"/>
      <w:bookmarkEnd w:id="1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19" w:name="_Toc149725820"/>
      <w:r>
        <w:rPr>
          <w:rFonts w:eastAsia="仿宋" w:asciiTheme="minorEastAsia" w:hAnsiTheme="minorEastAsia"/>
          <w:b/>
          <w:bCs/>
          <w:snapToGrid w:val="0"/>
          <w:sz w:val="24"/>
          <w:szCs w:val="24"/>
          <w:lang w:eastAsia="zh-CN"/>
        </w:rPr>
        <w:t>11.联系方式</w:t>
      </w:r>
      <w:bookmarkEnd w:id="19"/>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20" w:name="扫描0010"/>
      <w:bookmarkEnd w:id="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21" w:name="扫描0015"/>
      <w:bookmarkEnd w:id="21"/>
      <w:bookmarkStart w:id="22" w:name="_Toc14972582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2"/>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23" w:name="_Toc149725822"/>
      <w:r>
        <w:rPr>
          <w:rFonts w:eastAsia="仿宋" w:asciiTheme="minorEastAsia" w:hAnsiTheme="minorEastAsia"/>
          <w:b/>
          <w:bCs/>
          <w:snapToGrid w:val="0"/>
          <w:sz w:val="32"/>
          <w:szCs w:val="32"/>
          <w:lang w:eastAsia="zh-CN"/>
        </w:rPr>
        <w:t>供应商须知前附表</w:t>
      </w:r>
      <w:bookmarkEnd w:id="23"/>
    </w:p>
    <w:p>
      <w:pPr>
        <w:adjustRightInd w:val="0"/>
        <w:snapToGrid w:val="0"/>
        <w:spacing w:line="276" w:lineRule="auto"/>
        <w:rPr>
          <w:rFonts w:eastAsia="仿宋" w:asciiTheme="minorEastAsia" w:hAnsiTheme="minorEastAsia"/>
          <w:snapToGrid w:val="0"/>
          <w:sz w:val="24"/>
          <w:szCs w:val="24"/>
          <w:lang w:eastAsia="zh-CN"/>
        </w:rPr>
      </w:pPr>
    </w:p>
    <w:tbl>
      <w:tblPr>
        <w:tblStyle w:val="30"/>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不设置响应保证金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未成交供应商的响应保证金于成交通知书发出后30日历天内退还；成交供应商的响应保证金于服务合同签订后30日历天内退还。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营业执照、纳税人资格证、开户许可证、安全生产许可证（该项如有则须提供）、企业资质证书复印件、法定代表人证明书原件（附法定代表人身份证复印件）、法定代表人授权书原件及被授权代理人身份证复印件（代理人谈判提供）、等</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服务</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主要业绩（附相应合同，可不含关键金额）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谈判承包商认为需要提供的有关资料</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有关人员职称证书、执业证书、社保缴费证明及业绩证明</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2023年1</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日</w:t>
            </w:r>
            <w:r>
              <w:rPr>
                <w:rFonts w:hint="eastAsia" w:eastAsia="仿宋" w:asciiTheme="minorEastAsia" w:hAnsiTheme="minorEastAsia"/>
                <w:snapToGrid w:val="0"/>
                <w:sz w:val="21"/>
                <w:szCs w:val="21"/>
                <w:u w:val="single"/>
                <w:lang w:val="en-US" w:eastAsia="zh-CN"/>
              </w:rPr>
              <w:t>14</w:t>
            </w:r>
            <w:r>
              <w:rPr>
                <w:rFonts w:hint="eastAsia" w:eastAsia="仿宋" w:asciiTheme="minorEastAsia" w:hAnsiTheme="minorEastAsia"/>
                <w:snapToGrid w:val="0"/>
                <w:sz w:val="21"/>
                <w:szCs w:val="21"/>
                <w:u w:val="single"/>
                <w:lang w:eastAsia="zh-CN"/>
              </w:rPr>
              <w:t>：00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 xml:space="preserve"> 合同金额5%</w:t>
            </w:r>
            <w:r>
              <w:rPr>
                <w:rFonts w:eastAsia="仿宋" w:asciiTheme="minorEastAsia" w:hAnsiTheme="minorEastAsia"/>
                <w:snapToGrid w:val="0"/>
                <w:sz w:val="21"/>
                <w:szCs w:val="21"/>
                <w:u w:val="single"/>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银行转账</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 xml:space="preserve">  合同结束后退还</w:t>
            </w:r>
            <w:r>
              <w:rPr>
                <w:rFonts w:eastAsia="仿宋" w:asciiTheme="minorEastAsia" w:hAnsiTheme="minorEastAsia"/>
                <w:snapToGrid w:val="0"/>
                <w:sz w:val="21"/>
                <w:szCs w:val="21"/>
                <w:u w:val="single"/>
                <w:lang w:eastAsia="zh-CN"/>
              </w:rPr>
              <w:t xml:space="preserve">              </w:t>
            </w:r>
          </w:p>
          <w:p>
            <w:pPr>
              <w:tabs>
                <w:tab w:val="left" w:pos="4884"/>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合同签订前一个工作日</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4" w:name="扫描0017"/>
      <w:bookmarkEnd w:id="24"/>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5" w:name="扫描0020"/>
      <w:bookmarkEnd w:id="25"/>
      <w:r>
        <w:rPr>
          <w:rFonts w:hint="eastAsia" w:eastAsia="仿宋" w:asciiTheme="minorEastAsia" w:hAnsiTheme="minorEastAsia"/>
          <w:b/>
          <w:bCs/>
          <w:snapToGrid w:val="0"/>
          <w:sz w:val="32"/>
          <w:szCs w:val="32"/>
          <w:lang w:eastAsia="zh-CN"/>
        </w:rPr>
        <w:t>供应商须知</w:t>
      </w:r>
    </w:p>
    <w:p>
      <w:pPr>
        <w:pStyle w:val="5"/>
        <w:spacing w:line="360" w:lineRule="auto"/>
        <w:rPr>
          <w:rFonts w:eastAsia="仿宋" w:asciiTheme="minorEastAsia" w:hAnsiTheme="minorEastAsia"/>
          <w:b/>
          <w:snapToGrid w:val="0"/>
          <w:sz w:val="24"/>
          <w:szCs w:val="24"/>
          <w:lang w:eastAsia="zh-CN"/>
        </w:rPr>
      </w:pPr>
      <w:bookmarkStart w:id="26" w:name="_Toc14972582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7" w:name="_Toc149725824"/>
      <w:r>
        <w:rPr>
          <w:rFonts w:eastAsia="仿宋" w:asciiTheme="minorEastAsia" w:hAnsiTheme="minorEastAsia"/>
          <w:b/>
          <w:bCs/>
          <w:snapToGrid w:val="0"/>
          <w:sz w:val="24"/>
          <w:szCs w:val="24"/>
          <w:lang w:eastAsia="zh-CN"/>
        </w:rPr>
        <w:t>1.1 采购方式</w:t>
      </w:r>
      <w:bookmarkEnd w:id="2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竞争性谈判采购方式。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149725825"/>
      <w:r>
        <w:rPr>
          <w:rFonts w:eastAsia="仿宋" w:asciiTheme="minorEastAsia" w:hAnsiTheme="minorEastAsia"/>
          <w:b/>
          <w:bCs/>
          <w:snapToGrid w:val="0"/>
          <w:sz w:val="24"/>
          <w:szCs w:val="24"/>
          <w:lang w:eastAsia="zh-CN"/>
        </w:rPr>
        <w:t>1.2 采购项目概况和供应商资格要求</w:t>
      </w:r>
      <w:bookmarkEnd w:id="2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采购项目概况和供应商资格要求见第一章“竞争性谈判采购公告/竞争性谈判采购邀请书”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149725826"/>
      <w:r>
        <w:rPr>
          <w:rFonts w:eastAsia="仿宋" w:asciiTheme="minorEastAsia" w:hAnsiTheme="minorEastAsia"/>
          <w:b/>
          <w:bCs/>
          <w:snapToGrid w:val="0"/>
          <w:sz w:val="24"/>
          <w:szCs w:val="24"/>
          <w:lang w:eastAsia="zh-CN"/>
        </w:rPr>
        <w:t>1.3 费用承担</w:t>
      </w:r>
      <w:bookmarkEnd w:id="29"/>
    </w:p>
    <w:p>
      <w:pPr>
        <w:adjustRightInd w:val="0"/>
        <w:snapToGrid w:val="0"/>
        <w:spacing w:line="360" w:lineRule="auto"/>
        <w:ind w:firstLine="400"/>
        <w:rPr>
          <w:rFonts w:eastAsia="仿宋" w:asciiTheme="minorEastAsia" w:hAnsiTheme="minorEastAsia"/>
          <w:snapToGrid w:val="0"/>
          <w:sz w:val="24"/>
          <w:szCs w:val="24"/>
          <w:lang w:eastAsia="zh-CN"/>
        </w:rPr>
      </w:pPr>
      <w:bookmarkStart w:id="30" w:name="_bookmark1"/>
      <w:bookmarkEnd w:id="30"/>
      <w:r>
        <w:rPr>
          <w:rFonts w:eastAsia="仿宋" w:asciiTheme="minorEastAsia" w:hAnsiTheme="minorEastAsia"/>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149725827"/>
      <w:r>
        <w:rPr>
          <w:rFonts w:eastAsia="仿宋" w:asciiTheme="minorEastAsia" w:hAnsiTheme="minorEastAsia"/>
          <w:b/>
          <w:bCs/>
          <w:snapToGrid w:val="0"/>
          <w:sz w:val="24"/>
          <w:szCs w:val="24"/>
          <w:lang w:eastAsia="zh-CN"/>
        </w:rPr>
        <w:t>1.4 保密</w:t>
      </w:r>
      <w:bookmarkEnd w:id="3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149725828"/>
      <w:r>
        <w:rPr>
          <w:rFonts w:eastAsia="仿宋" w:asciiTheme="minorEastAsia" w:hAnsiTheme="minorEastAsia"/>
          <w:b/>
          <w:bCs/>
          <w:snapToGrid w:val="0"/>
          <w:sz w:val="24"/>
          <w:szCs w:val="24"/>
          <w:lang w:eastAsia="zh-CN"/>
        </w:rPr>
        <w:t>1.5 语言文字</w:t>
      </w:r>
      <w:bookmarkEnd w:id="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149725829"/>
      <w:r>
        <w:rPr>
          <w:rFonts w:eastAsia="仿宋" w:asciiTheme="minorEastAsia" w:hAnsiTheme="minorEastAsia"/>
          <w:b/>
          <w:bCs/>
          <w:snapToGrid w:val="0"/>
          <w:sz w:val="24"/>
          <w:szCs w:val="24"/>
          <w:lang w:eastAsia="zh-CN"/>
        </w:rPr>
        <w:t>1.6 计量单位</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149725830"/>
      <w:r>
        <w:rPr>
          <w:rFonts w:eastAsia="仿宋" w:asciiTheme="minorEastAsia" w:hAnsiTheme="minorEastAsia"/>
          <w:b/>
          <w:bCs/>
          <w:snapToGrid w:val="0"/>
          <w:sz w:val="24"/>
          <w:szCs w:val="24"/>
          <w:lang w:eastAsia="zh-CN"/>
        </w:rPr>
        <w:t>1.7 踏勘现场</w:t>
      </w:r>
      <w:bookmarkEnd w:id="3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149725831"/>
      <w:r>
        <w:rPr>
          <w:rFonts w:eastAsia="仿宋" w:asciiTheme="minorEastAsia" w:hAnsiTheme="minorEastAsia"/>
          <w:b/>
          <w:bCs/>
          <w:snapToGrid w:val="0"/>
          <w:sz w:val="24"/>
          <w:szCs w:val="24"/>
          <w:lang w:eastAsia="zh-CN"/>
        </w:rPr>
        <w:t>1.8 竞争性谈判采购预备会</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149725832"/>
      <w:r>
        <w:rPr>
          <w:rFonts w:eastAsia="仿宋" w:asciiTheme="minorEastAsia" w:hAnsiTheme="minorEastAsia"/>
          <w:b/>
          <w:bCs/>
          <w:snapToGrid w:val="0"/>
          <w:sz w:val="24"/>
          <w:szCs w:val="24"/>
          <w:lang w:eastAsia="zh-CN"/>
        </w:rPr>
        <w:t>1.9 分包</w:t>
      </w:r>
      <w:r>
        <w:rPr>
          <w:rFonts w:hint="eastAsia" w:eastAsia="仿宋" w:asciiTheme="minorEastAsia" w:hAnsiTheme="minorEastAsia"/>
          <w:b/>
          <w:bCs/>
          <w:snapToGrid w:val="0"/>
          <w:sz w:val="24"/>
          <w:szCs w:val="24"/>
          <w:lang w:eastAsia="zh-CN"/>
        </w:rPr>
        <w:t>（不适用）</w:t>
      </w:r>
      <w:bookmarkEnd w:id="3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149725833"/>
      <w:r>
        <w:rPr>
          <w:rFonts w:eastAsia="仿宋" w:asciiTheme="minorEastAsia" w:hAnsiTheme="minorEastAsia"/>
          <w:b/>
          <w:bCs/>
          <w:snapToGrid w:val="0"/>
          <w:sz w:val="24"/>
          <w:szCs w:val="24"/>
          <w:lang w:eastAsia="zh-CN"/>
        </w:rPr>
        <w:t>1.10 响应和偏差</w:t>
      </w:r>
      <w:bookmarkEnd w:id="3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38" w:name="_Toc14972583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39" w:name="_Toc14972583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3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竞争性谈判采购公告(或竞争性谈判采购邀请书)；</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0" w:name="_bookmark3"/>
      <w:bookmarkEnd w:id="4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14972583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42" w:name="_Toc149725837"/>
      <w:r>
        <w:rPr>
          <w:rFonts w:eastAsia="仿宋" w:asciiTheme="minorEastAsia" w:hAnsiTheme="minorEastAsia"/>
          <w:b/>
          <w:bCs/>
          <w:snapToGrid w:val="0"/>
          <w:sz w:val="24"/>
          <w:szCs w:val="24"/>
          <w:lang w:eastAsia="zh-CN"/>
        </w:rPr>
        <w:t>3.响应文件</w:t>
      </w:r>
      <w:bookmarkEnd w:id="4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14972583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3"/>
    </w:p>
    <w:p>
      <w:pPr>
        <w:pStyle w:val="12"/>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4" w:name="_Toc14972583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5" w:name="_bookmark4"/>
      <w:bookmarkEnd w:id="4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14972584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扫描0024"/>
      <w:bookmarkEnd w:id="4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14972584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14972584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4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14972584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bookmark5"/>
      <w:bookmarkEnd w:id="51"/>
      <w:bookmarkStart w:id="52" w:name="扫描0025"/>
      <w:bookmarkEnd w:id="52"/>
      <w:bookmarkStart w:id="53" w:name="_Toc14972584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54" w:name="_Toc14972584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5" w:name="_Toc149725846"/>
      <w:r>
        <w:rPr>
          <w:rFonts w:eastAsia="仿宋" w:asciiTheme="minorEastAsia" w:hAnsiTheme="minorEastAsia"/>
          <w:b/>
          <w:snapToGrid w:val="0"/>
          <w:sz w:val="24"/>
          <w:szCs w:val="24"/>
          <w:lang w:eastAsia="zh-CN"/>
        </w:rPr>
        <w:t>4.1 采购小组</w:t>
      </w:r>
      <w:bookmarkEnd w:id="5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149725847"/>
      <w:r>
        <w:rPr>
          <w:rFonts w:eastAsia="仿宋" w:asciiTheme="minorEastAsia" w:hAnsiTheme="minorEastAsia"/>
          <w:b/>
          <w:snapToGrid w:val="0"/>
          <w:sz w:val="24"/>
          <w:szCs w:val="24"/>
          <w:lang w:eastAsia="zh-CN"/>
        </w:rPr>
        <w:t>4.2 初步评审</w:t>
      </w:r>
      <w:bookmarkEnd w:id="5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149725848"/>
      <w:r>
        <w:rPr>
          <w:rFonts w:eastAsia="仿宋" w:asciiTheme="minorEastAsia" w:hAnsiTheme="minorEastAsia"/>
          <w:b/>
          <w:snapToGrid w:val="0"/>
          <w:sz w:val="24"/>
          <w:szCs w:val="24"/>
          <w:lang w:eastAsia="zh-CN"/>
        </w:rPr>
        <w:t>4.3 谈判</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149725849"/>
      <w:r>
        <w:rPr>
          <w:rFonts w:eastAsia="仿宋" w:asciiTheme="minorEastAsia" w:hAnsiTheme="minorEastAsia"/>
          <w:b/>
          <w:snapToGrid w:val="0"/>
          <w:sz w:val="24"/>
          <w:szCs w:val="24"/>
          <w:lang w:eastAsia="zh-CN"/>
        </w:rPr>
        <w:t>4.4 递交补充响应文件</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59" w:name="扫描0028"/>
      <w:bookmarkEnd w:id="5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149725850"/>
      <w:r>
        <w:rPr>
          <w:rFonts w:eastAsia="仿宋" w:asciiTheme="minorEastAsia" w:hAnsiTheme="minorEastAsia"/>
          <w:b/>
          <w:snapToGrid w:val="0"/>
          <w:sz w:val="24"/>
          <w:szCs w:val="24"/>
          <w:lang w:eastAsia="zh-CN"/>
        </w:rPr>
        <w:t>4.5 递交最终报价</w:t>
      </w:r>
      <w:bookmarkEnd w:id="6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149725851"/>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149725852"/>
      <w:r>
        <w:rPr>
          <w:rFonts w:eastAsia="仿宋" w:asciiTheme="minorEastAsia" w:hAnsiTheme="minorEastAsia"/>
          <w:b/>
          <w:snapToGrid w:val="0"/>
          <w:sz w:val="24"/>
          <w:szCs w:val="24"/>
          <w:lang w:eastAsia="zh-CN"/>
        </w:rPr>
        <w:t>4.7 特殊情形处理</w:t>
      </w:r>
      <w:bookmarkEnd w:id="6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3" w:name="扫描0029"/>
      <w:bookmarkEnd w:id="63"/>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64" w:name="_Toc149725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149725854"/>
      <w:bookmarkStart w:id="66" w:name="_Toc91750572"/>
      <w:r>
        <w:rPr>
          <w:rFonts w:eastAsia="仿宋" w:asciiTheme="minorEastAsia" w:hAnsiTheme="minorEastAsia"/>
          <w:b/>
          <w:snapToGrid w:val="0"/>
          <w:sz w:val="24"/>
          <w:szCs w:val="24"/>
          <w:lang w:eastAsia="zh-CN"/>
        </w:rPr>
        <w:t>5.1 发出成交通知书</w:t>
      </w:r>
      <w:bookmarkEnd w:id="65"/>
      <w:bookmarkEnd w:id="6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149725855"/>
      <w:bookmarkStart w:id="68" w:name="_Toc91750574"/>
      <w:r>
        <w:rPr>
          <w:rFonts w:eastAsia="仿宋" w:asciiTheme="minorEastAsia" w:hAnsiTheme="minorEastAsia"/>
          <w:b/>
          <w:snapToGrid w:val="0"/>
          <w:sz w:val="24"/>
          <w:szCs w:val="24"/>
          <w:lang w:eastAsia="zh-CN"/>
        </w:rPr>
        <w:t>5.2 履约保证金</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149725856"/>
      <w:bookmarkStart w:id="70" w:name="_Toc91750575"/>
      <w:r>
        <w:rPr>
          <w:rFonts w:eastAsia="仿宋" w:asciiTheme="minorEastAsia" w:hAnsiTheme="minorEastAsia"/>
          <w:b/>
          <w:snapToGrid w:val="0"/>
          <w:sz w:val="24"/>
          <w:szCs w:val="24"/>
          <w:lang w:eastAsia="zh-CN"/>
        </w:rPr>
        <w:t>5.3 签订合同</w:t>
      </w:r>
      <w:bookmarkEnd w:id="69"/>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1" w:name="扫描0031"/>
      <w:bookmarkEnd w:id="71"/>
      <w:bookmarkStart w:id="72" w:name="_Toc149725857"/>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149725858"/>
      <w:r>
        <w:rPr>
          <w:rFonts w:eastAsia="仿宋" w:asciiTheme="minorEastAsia" w:hAnsiTheme="minorEastAsia"/>
          <w:b/>
          <w:snapToGrid w:val="0"/>
          <w:sz w:val="24"/>
          <w:szCs w:val="24"/>
          <w:lang w:eastAsia="zh-CN"/>
        </w:rPr>
        <w:t>6.1 对采购人的纪律要求</w:t>
      </w:r>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149725859"/>
      <w:r>
        <w:rPr>
          <w:rFonts w:eastAsia="仿宋" w:asciiTheme="minorEastAsia" w:hAnsiTheme="minorEastAsia"/>
          <w:b/>
          <w:snapToGrid w:val="0"/>
          <w:sz w:val="24"/>
          <w:szCs w:val="24"/>
          <w:lang w:eastAsia="zh-CN"/>
        </w:rPr>
        <w:t>6.2 对供应商的纪律要求</w:t>
      </w:r>
      <w:bookmarkEnd w:id="7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149725860"/>
      <w:r>
        <w:rPr>
          <w:rFonts w:eastAsia="仿宋" w:asciiTheme="minorEastAsia" w:hAnsiTheme="minorEastAsia"/>
          <w:b/>
          <w:snapToGrid w:val="0"/>
          <w:sz w:val="24"/>
          <w:szCs w:val="24"/>
          <w:lang w:eastAsia="zh-CN"/>
        </w:rPr>
        <w:t>6.3 对采购小组成员的纪律要求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149725861"/>
      <w:r>
        <w:rPr>
          <w:rFonts w:eastAsia="仿宋" w:asciiTheme="minorEastAsia" w:hAnsiTheme="minorEastAsia"/>
          <w:b/>
          <w:snapToGrid w:val="0"/>
          <w:sz w:val="24"/>
          <w:szCs w:val="24"/>
          <w:lang w:eastAsia="zh-CN"/>
        </w:rPr>
        <w:t>6.4 对与采购活动有关的工作人员的纪律要求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7" w:name="_Toc149725862"/>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78" w:name="扫描0033"/>
      <w:bookmarkEnd w:id="78"/>
    </w:p>
    <w:p>
      <w:pPr>
        <w:pStyle w:val="5"/>
        <w:spacing w:line="276" w:lineRule="auto"/>
        <w:rPr>
          <w:rFonts w:eastAsia="仿宋" w:asciiTheme="minorEastAsia" w:hAnsiTheme="minorEastAsia"/>
          <w:snapToGrid w:val="0"/>
          <w:sz w:val="24"/>
          <w:szCs w:val="24"/>
          <w:lang w:eastAsia="zh-CN"/>
        </w:rPr>
      </w:pPr>
      <w:bookmarkStart w:id="79" w:name="_Toc149725863"/>
      <w:r>
        <w:rPr>
          <w:rFonts w:eastAsia="仿宋" w:asciiTheme="minorEastAsia" w:hAnsiTheme="minorEastAsia"/>
          <w:snapToGrid w:val="0"/>
          <w:sz w:val="24"/>
          <w:szCs w:val="24"/>
          <w:lang w:eastAsia="zh-CN"/>
        </w:rPr>
        <w:t>附件1 问题澄清通知</w:t>
      </w:r>
      <w:bookmarkEnd w:id="7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0" w:name="_Toc149725864"/>
      <w:r>
        <w:rPr>
          <w:rFonts w:eastAsia="仿宋" w:asciiTheme="minorEastAsia" w:hAnsiTheme="minorEastAsia"/>
          <w:b/>
          <w:bCs/>
          <w:snapToGrid w:val="0"/>
          <w:sz w:val="32"/>
          <w:szCs w:val="32"/>
          <w:lang w:eastAsia="zh-CN"/>
        </w:rPr>
        <w:t>问题澄清通知</w:t>
      </w:r>
      <w:bookmarkEnd w:id="8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1" w:name="扫描0034"/>
      <w:bookmarkEnd w:id="8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2" w:name="_Toc149725865"/>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3" w:name="_Toc149725866"/>
      <w:r>
        <w:rPr>
          <w:rFonts w:eastAsia="仿宋" w:asciiTheme="minorEastAsia" w:hAnsiTheme="minorEastAsia"/>
          <w:b/>
          <w:bCs/>
          <w:snapToGrid w:val="0"/>
          <w:sz w:val="32"/>
          <w:szCs w:val="32"/>
          <w:lang w:eastAsia="zh-CN"/>
        </w:rPr>
        <w:t>问题的澄清</w:t>
      </w:r>
      <w:bookmarkEnd w:id="8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4" w:name="扫描0035"/>
      <w:bookmarkEnd w:id="8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5" w:name="_Toc149725867"/>
      <w:r>
        <w:rPr>
          <w:rFonts w:eastAsia="仿宋" w:asciiTheme="minorEastAsia" w:hAnsiTheme="minorEastAsia"/>
          <w:snapToGrid w:val="0"/>
          <w:sz w:val="24"/>
          <w:szCs w:val="24"/>
          <w:lang w:eastAsia="zh-CN"/>
        </w:rPr>
        <w:t>附件3 成交通知书</w:t>
      </w:r>
      <w:bookmarkEnd w:id="8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6" w:name="_Toc149725868"/>
      <w:r>
        <w:rPr>
          <w:rFonts w:eastAsia="仿宋" w:asciiTheme="minorEastAsia" w:hAnsiTheme="minorEastAsia"/>
          <w:b/>
          <w:bCs/>
          <w:snapToGrid w:val="0"/>
          <w:sz w:val="32"/>
          <w:szCs w:val="32"/>
          <w:lang w:eastAsia="zh-CN"/>
        </w:rPr>
        <w:t>成交通知书</w:t>
      </w:r>
      <w:bookmarkEnd w:id="8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7" w:name="扫描0036"/>
      <w:bookmarkEnd w:id="8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88" w:name="扫描0037"/>
      <w:bookmarkEnd w:id="88"/>
      <w:bookmarkStart w:id="89" w:name="_Toc149725869"/>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89"/>
    </w:p>
    <w:p>
      <w:pPr>
        <w:spacing w:line="276" w:lineRule="auto"/>
        <w:rPr>
          <w:rFonts w:eastAsia="仿宋" w:asciiTheme="minorEastAsia" w:hAnsiTheme="minorEastAsia"/>
          <w:snapToGrid w:val="0"/>
          <w:sz w:val="24"/>
          <w:szCs w:val="24"/>
          <w:lang w:eastAsia="zh-CN"/>
        </w:rPr>
      </w:pPr>
      <w:bookmarkStart w:id="90" w:name="扫描0038"/>
      <w:bookmarkEnd w:id="9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91" w:name="_Toc149725870"/>
      <w:r>
        <w:rPr>
          <w:rFonts w:eastAsia="仿宋" w:asciiTheme="minorEastAsia" w:hAnsiTheme="minorEastAsia"/>
          <w:b/>
          <w:bCs/>
          <w:snapToGrid w:val="0"/>
          <w:sz w:val="32"/>
          <w:szCs w:val="32"/>
          <w:lang w:eastAsia="zh-CN"/>
        </w:rPr>
        <w:t>评审办法前附表</w:t>
      </w:r>
      <w:bookmarkEnd w:id="91"/>
    </w:p>
    <w:tbl>
      <w:tblPr>
        <w:tblStyle w:val="3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26"/>
        <w:gridCol w:w="1224"/>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响应方案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服务时间</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7"/>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40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gridSpan w:val="2"/>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供应商近3年（</w:t>
            </w:r>
            <w:r>
              <w:rPr>
                <w:rFonts w:eastAsia="仿宋"/>
                <w:sz w:val="20"/>
                <w:szCs w:val="20"/>
                <w:u w:val="single"/>
                <w:lang w:eastAsia="zh-CN"/>
              </w:rPr>
              <w:t xml:space="preserve">  </w:t>
            </w:r>
            <w:r>
              <w:rPr>
                <w:rFonts w:hint="eastAsia" w:eastAsia="仿宋"/>
                <w:sz w:val="20"/>
                <w:szCs w:val="20"/>
                <w:u w:val="single"/>
                <w:lang w:eastAsia="zh-CN"/>
              </w:rPr>
              <w:t>2020</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eastAsia="zh-CN"/>
              </w:rPr>
              <w:t>10</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eastAsia="zh-CN"/>
              </w:rPr>
              <w:t>17</w:t>
            </w:r>
            <w:r>
              <w:rPr>
                <w:rFonts w:eastAsia="仿宋"/>
                <w:sz w:val="20"/>
                <w:szCs w:val="20"/>
                <w:u w:val="single"/>
                <w:lang w:eastAsia="zh-CN"/>
              </w:rPr>
              <w:t xml:space="preserve">  </w:t>
            </w:r>
            <w:r>
              <w:rPr>
                <w:rFonts w:hint="eastAsia" w:eastAsia="仿宋"/>
                <w:sz w:val="20"/>
                <w:szCs w:val="20"/>
                <w:lang w:eastAsia="zh-CN"/>
              </w:rPr>
              <w:t>日至今，以合同签订时间为准）服务类业绩和获奖荣誉（6分）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3年内具有类似项目业绩（类似业绩的规模标准：</w:t>
            </w:r>
            <w:r>
              <w:rPr>
                <w:rFonts w:eastAsia="仿宋"/>
                <w:w w:val="105"/>
                <w:sz w:val="20"/>
                <w:szCs w:val="20"/>
                <w:u w:val="single"/>
                <w:lang w:eastAsia="zh-CN"/>
              </w:rPr>
              <w:t xml:space="preserve"> </w:t>
            </w:r>
            <w:r>
              <w:rPr>
                <w:rFonts w:hint="eastAsia" w:eastAsia="仿宋"/>
                <w:w w:val="105"/>
                <w:sz w:val="20"/>
                <w:szCs w:val="20"/>
                <w:u w:val="single"/>
                <w:lang w:eastAsia="zh-CN"/>
              </w:rPr>
              <w:t>100人以上单位体检项目</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年内获得省部级（含直辖市、自治区）及以上</w:t>
            </w:r>
            <w:r>
              <w:rPr>
                <w:rFonts w:hint="eastAsia" w:eastAsia="仿宋"/>
                <w:w w:val="105"/>
                <w:sz w:val="20"/>
                <w:szCs w:val="20"/>
                <w:lang w:eastAsia="zh-CN"/>
              </w:rPr>
              <w:t>**咨询奖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医院等级（</w:t>
            </w:r>
            <w:r>
              <w:rPr>
                <w:rFonts w:eastAsia="仿宋"/>
                <w:sz w:val="20"/>
                <w:szCs w:val="20"/>
                <w:lang w:eastAsia="zh-CN"/>
              </w:rPr>
              <w:t>10</w:t>
            </w:r>
            <w:r>
              <w:rPr>
                <w:rFonts w:hint="eastAsia" w:eastAsia="仿宋"/>
                <w:sz w:val="20"/>
                <w:szCs w:val="20"/>
                <w:lang w:eastAsia="zh-CN"/>
              </w:rPr>
              <w:t>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具备国家三级甲等医院资质得10分；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具备国家三级乙等医院资质得8分；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具备国家三级丙等医院资质得7分；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1026" w:type="dxa"/>
            <w:vMerge w:val="restart"/>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项目组人员人力资源（</w:t>
            </w:r>
            <w:r>
              <w:rPr>
                <w:rFonts w:eastAsia="仿宋"/>
                <w:w w:val="105"/>
                <w:sz w:val="20"/>
                <w:szCs w:val="20"/>
                <w:lang w:eastAsia="zh-CN"/>
              </w:rPr>
              <w:t>14分）</w:t>
            </w:r>
          </w:p>
        </w:tc>
        <w:tc>
          <w:tcPr>
            <w:tcW w:w="1224" w:type="dxa"/>
            <w:tcBorders>
              <w:left w:val="single" w:color="auto" w:sz="4" w:space="0"/>
            </w:tcBorders>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项目组人员配置（</w:t>
            </w:r>
            <w:r>
              <w:rPr>
                <w:rFonts w:eastAsia="仿宋"/>
                <w:sz w:val="20"/>
                <w:szCs w:val="20"/>
                <w:lang w:eastAsia="zh-CN"/>
              </w:rPr>
              <w:t>6</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6</w:t>
            </w:r>
          </w:p>
        </w:tc>
        <w:tc>
          <w:tcPr>
            <w:tcW w:w="4277" w:type="dxa"/>
            <w:tcBorders>
              <w:left w:val="single" w:color="auto" w:sz="4" w:space="0"/>
            </w:tcBorders>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专业人员配置符合项目需求，专业分工齐全得</w:t>
            </w:r>
            <w:r>
              <w:rPr>
                <w:rFonts w:eastAsia="仿宋"/>
                <w:w w:val="105"/>
                <w:sz w:val="20"/>
                <w:szCs w:val="20"/>
                <w:lang w:eastAsia="zh-CN"/>
              </w:rPr>
              <w:t>4.1-6</w:t>
            </w:r>
            <w:r>
              <w:rPr>
                <w:rFonts w:hint="eastAsia" w:eastAsia="仿宋"/>
                <w:w w:val="105"/>
                <w:sz w:val="20"/>
                <w:szCs w:val="20"/>
                <w:lang w:eastAsia="zh-CN"/>
              </w:rPr>
              <w:t>分；专业人员配置满足基本要求得</w:t>
            </w:r>
            <w:r>
              <w:rPr>
                <w:rFonts w:eastAsia="仿宋"/>
                <w:w w:val="105"/>
                <w:sz w:val="20"/>
                <w:szCs w:val="20"/>
                <w:lang w:eastAsia="zh-CN"/>
              </w:rPr>
              <w:t>2.1-4</w:t>
            </w:r>
            <w:r>
              <w:rPr>
                <w:rFonts w:hint="eastAsia" w:eastAsia="仿宋"/>
                <w:w w:val="105"/>
                <w:sz w:val="20"/>
                <w:szCs w:val="20"/>
                <w:lang w:eastAsia="zh-CN"/>
              </w:rPr>
              <w:t>分；专业人员配置不足专业有缺失得</w:t>
            </w:r>
            <w:r>
              <w:rPr>
                <w:rFonts w:eastAsia="仿宋"/>
                <w:w w:val="105"/>
                <w:sz w:val="20"/>
                <w:szCs w:val="20"/>
                <w:lang w:eastAsia="zh-CN"/>
              </w:rPr>
              <w:t>0-2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中级及以上职称人员结构（</w:t>
            </w:r>
            <w:r>
              <w:rPr>
                <w:rFonts w:eastAsia="仿宋"/>
                <w:w w:val="105"/>
                <w:sz w:val="20"/>
                <w:szCs w:val="20"/>
                <w:lang w:eastAsia="zh-CN"/>
              </w:rPr>
              <w:t>3分）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3</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中级及以上人员超过</w:t>
            </w:r>
            <w:r>
              <w:rPr>
                <w:rFonts w:eastAsia="仿宋"/>
                <w:w w:val="105"/>
                <w:sz w:val="20"/>
                <w:szCs w:val="20"/>
                <w:lang w:eastAsia="zh-CN"/>
              </w:rPr>
              <w:t>5</w:t>
            </w:r>
            <w:r>
              <w:rPr>
                <w:rFonts w:hint="eastAsia" w:eastAsia="仿宋"/>
                <w:w w:val="105"/>
                <w:sz w:val="20"/>
                <w:szCs w:val="20"/>
                <w:lang w:eastAsia="zh-CN"/>
              </w:rPr>
              <w:t>人，得3分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中级及以上人员3-4人，得</w:t>
            </w:r>
            <w:r>
              <w:rPr>
                <w:rFonts w:eastAsia="仿宋"/>
                <w:w w:val="105"/>
                <w:sz w:val="20"/>
                <w:szCs w:val="20"/>
                <w:lang w:eastAsia="zh-CN"/>
              </w:rPr>
              <w:t>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中级及以上人员低于3人，得</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专业人员（</w:t>
            </w:r>
            <w:r>
              <w:rPr>
                <w:rFonts w:eastAsia="仿宋"/>
                <w:w w:val="105"/>
                <w:sz w:val="20"/>
                <w:szCs w:val="20"/>
                <w:lang w:eastAsia="zh-CN"/>
              </w:rPr>
              <w:t>5分）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具备副主任医师或主任医师3人及以上，得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具备主治医师3人及以上人，得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具备住院医师3人及以上，得</w:t>
            </w:r>
            <w:r>
              <w:rPr>
                <w:rFonts w:eastAsia="仿宋"/>
                <w:w w:val="105"/>
                <w:sz w:val="20"/>
                <w:szCs w:val="20"/>
                <w:lang w:eastAsia="zh-CN"/>
              </w:rPr>
              <w:t>1</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服务</w:t>
            </w:r>
            <w:r>
              <w:rPr>
                <w:rFonts w:hint="eastAsia" w:eastAsia="仿宋"/>
                <w:sz w:val="20"/>
                <w:szCs w:val="20"/>
              </w:rPr>
              <w:t>范围及</w:t>
            </w:r>
            <w:r>
              <w:rPr>
                <w:rFonts w:hint="eastAsia" w:eastAsia="仿宋"/>
                <w:sz w:val="20"/>
                <w:szCs w:val="20"/>
                <w:lang w:eastAsia="zh-CN"/>
              </w:rPr>
              <w:t>内容</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服务范围、服务内容完整性、准确性进行评审。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服务范围及内容完整且合理的：3-4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服务范围及内容有一定缺失或针对性不强的：1</w:t>
            </w:r>
            <w:r>
              <w:rPr>
                <w:rFonts w:eastAsia="仿宋"/>
                <w:w w:val="105"/>
                <w:sz w:val="20"/>
                <w:szCs w:val="20"/>
                <w:lang w:eastAsia="zh-CN"/>
              </w:rPr>
              <w:t>-</w:t>
            </w:r>
            <w:r>
              <w:rPr>
                <w:rFonts w:hint="eastAsia" w:eastAsia="仿宋"/>
                <w:w w:val="105"/>
                <w:sz w:val="20"/>
                <w:szCs w:val="20"/>
                <w:lang w:eastAsia="zh-CN"/>
              </w:rPr>
              <w:t>2</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服务范围及内容严重缺失且无针对性的：0</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pacing w:val="-4"/>
                <w:w w:val="105"/>
                <w:sz w:val="20"/>
                <w:szCs w:val="20"/>
                <w:lang w:eastAsia="zh-CN"/>
              </w:rPr>
              <w:t>服务</w:t>
            </w:r>
            <w:r>
              <w:rPr>
                <w:rFonts w:eastAsia="仿宋"/>
                <w:spacing w:val="-4"/>
                <w:w w:val="105"/>
                <w:sz w:val="20"/>
                <w:szCs w:val="20"/>
                <w:lang w:eastAsia="zh-CN"/>
              </w:rPr>
              <w:t>依据、服务</w:t>
            </w:r>
            <w:r>
              <w:rPr>
                <w:rFonts w:eastAsia="仿宋"/>
                <w:spacing w:val="-9"/>
                <w:w w:val="105"/>
                <w:sz w:val="20"/>
                <w:szCs w:val="20"/>
                <w:lang w:eastAsia="zh-CN"/>
              </w:rPr>
              <w:t>工作目标</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服务依据、服务工作目标充分性、响应性进行评审。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w:t>
            </w:r>
            <w:r>
              <w:rPr>
                <w:rFonts w:hint="eastAsia" w:eastAsia="仿宋"/>
                <w:w w:val="105"/>
                <w:sz w:val="20"/>
                <w:szCs w:val="20"/>
                <w:lang w:eastAsia="zh-CN"/>
              </w:rPr>
              <w:t>充分</w:t>
            </w:r>
            <w:r>
              <w:rPr>
                <w:rFonts w:eastAsia="仿宋"/>
                <w:w w:val="105"/>
                <w:sz w:val="20"/>
                <w:szCs w:val="20"/>
                <w:lang w:eastAsia="zh-CN"/>
              </w:rPr>
              <w:t>、服务工作目标</w:t>
            </w:r>
            <w:r>
              <w:rPr>
                <w:rFonts w:hint="eastAsia" w:eastAsia="仿宋"/>
                <w:w w:val="105"/>
                <w:sz w:val="20"/>
                <w:szCs w:val="20"/>
                <w:lang w:eastAsia="zh-CN"/>
              </w:rPr>
              <w:t>完全满足招标人要求：3-4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服务机构设置</w:t>
            </w:r>
            <w:r>
              <w:rPr>
                <w:rFonts w:eastAsia="仿宋"/>
                <w:w w:val="105"/>
                <w:sz w:val="20"/>
                <w:szCs w:val="20"/>
                <w:lang w:eastAsia="zh-CN"/>
              </w:rPr>
              <w:t>和岗位职责</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服务机构、岗位职责设置充分性、合理性进行评审。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服务机构设置合理</w:t>
            </w:r>
            <w:r>
              <w:rPr>
                <w:rFonts w:eastAsia="仿宋"/>
                <w:w w:val="105"/>
                <w:sz w:val="20"/>
                <w:szCs w:val="20"/>
                <w:lang w:eastAsia="zh-CN"/>
              </w:rPr>
              <w:t>、</w:t>
            </w:r>
            <w:r>
              <w:rPr>
                <w:rFonts w:hint="eastAsia" w:eastAsia="仿宋"/>
                <w:w w:val="105"/>
                <w:sz w:val="20"/>
                <w:szCs w:val="20"/>
                <w:lang w:eastAsia="zh-CN"/>
              </w:rPr>
              <w:t>岗位职责明确：3-4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lang w:eastAsia="zh-CN"/>
              </w:rPr>
              <w:t xml:space="preserve">服务工作程序、方法和制度 </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w w:val="105"/>
                <w:sz w:val="20"/>
                <w:szCs w:val="20"/>
                <w:lang w:eastAsia="zh-CN"/>
              </w:rPr>
              <w:t>服务工作程序、方法和制度</w:t>
            </w:r>
            <w:r>
              <w:rPr>
                <w:rFonts w:hint="eastAsia" w:eastAsia="仿宋"/>
                <w:w w:val="105"/>
                <w:sz w:val="20"/>
                <w:szCs w:val="20"/>
                <w:lang w:eastAsia="zh-CN"/>
              </w:rPr>
              <w:t>合理性、针对性进行评审。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服务工作程序、方法合理，制度明确具有针对性：</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服务工作程序、方法一般，制度缺乏针对性：4-5</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eastAsia="仿宋"/>
                <w:w w:val="105"/>
                <w:sz w:val="20"/>
                <w:szCs w:val="20"/>
                <w:lang w:eastAsia="zh-CN"/>
              </w:rPr>
              <w:t>服务工作程序、方法和制度</w:t>
            </w:r>
            <w:r>
              <w:rPr>
                <w:rFonts w:hint="eastAsia" w:eastAsia="仿宋"/>
                <w:w w:val="105"/>
                <w:sz w:val="20"/>
                <w:szCs w:val="20"/>
                <w:lang w:eastAsia="zh-CN"/>
              </w:rPr>
              <w:t>严重缺失且无针对性的：1-3</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质量、进度、</w:t>
            </w:r>
            <w:r>
              <w:rPr>
                <w:rFonts w:eastAsia="仿宋"/>
                <w:w w:val="105"/>
                <w:sz w:val="20"/>
                <w:szCs w:val="20"/>
                <w:lang w:eastAsia="zh-CN"/>
              </w:rPr>
              <w:t>服务措施</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z w:val="20"/>
                <w:szCs w:val="20"/>
                <w:lang w:eastAsia="zh-CN"/>
              </w:rPr>
              <w:t>体检</w:t>
            </w:r>
            <w:r>
              <w:rPr>
                <w:rFonts w:eastAsia="仿宋"/>
                <w:sz w:val="20"/>
                <w:szCs w:val="20"/>
                <w:lang w:eastAsia="zh-CN"/>
              </w:rPr>
              <w:t>质量、进度、</w:t>
            </w:r>
            <w:r>
              <w:rPr>
                <w:rFonts w:hint="eastAsia" w:eastAsia="仿宋"/>
                <w:sz w:val="20"/>
                <w:szCs w:val="20"/>
                <w:lang w:eastAsia="zh-CN"/>
              </w:rPr>
              <w:t>费用</w:t>
            </w:r>
            <w:r>
              <w:rPr>
                <w:rFonts w:eastAsia="仿宋"/>
                <w:sz w:val="20"/>
                <w:szCs w:val="20"/>
                <w:lang w:eastAsia="zh-CN"/>
              </w:rPr>
              <w:t>、</w:t>
            </w:r>
            <w:r>
              <w:rPr>
                <w:rFonts w:eastAsia="仿宋"/>
                <w:w w:val="105"/>
                <w:sz w:val="20"/>
                <w:szCs w:val="20"/>
                <w:lang w:eastAsia="zh-CN"/>
              </w:rPr>
              <w:t>服务措施</w:t>
            </w:r>
            <w:r>
              <w:rPr>
                <w:rFonts w:hint="eastAsia" w:eastAsia="仿宋"/>
                <w:w w:val="105"/>
                <w:sz w:val="20"/>
                <w:szCs w:val="20"/>
                <w:lang w:eastAsia="zh-CN"/>
              </w:rPr>
              <w:t>科学、合理性进行评审。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措施完整且合理的：</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措施有一定缺失或针对性不强的：</w:t>
            </w:r>
            <w:r>
              <w:rPr>
                <w:rFonts w:eastAsia="仿宋"/>
                <w:w w:val="105"/>
                <w:sz w:val="20"/>
                <w:szCs w:val="20"/>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措施严重缺失且无针对性的：</w:t>
            </w:r>
            <w:r>
              <w:rPr>
                <w:rFonts w:eastAsia="仿宋"/>
                <w:w w:val="105"/>
                <w:sz w:val="20"/>
                <w:szCs w:val="20"/>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r>
              <w:rPr>
                <w:rFonts w:hint="eastAsia" w:eastAsia="仿宋"/>
                <w:w w:val="105"/>
                <w:sz w:val="20"/>
                <w:szCs w:val="20"/>
                <w:lang w:eastAsia="zh-CN"/>
              </w:rPr>
              <w:t>的针对性进行评审。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重、难点分析完整且合理的：</w:t>
            </w:r>
            <w:r>
              <w:rPr>
                <w:rFonts w:eastAsia="仿宋"/>
                <w:w w:val="105"/>
                <w:sz w:val="20"/>
                <w:szCs w:val="20"/>
                <w:lang w:eastAsia="zh-CN"/>
              </w:rPr>
              <w:t>3</w:t>
            </w:r>
            <w:r>
              <w:rPr>
                <w:rFonts w:hint="eastAsia" w:eastAsia="仿宋"/>
                <w:w w:val="105"/>
                <w:sz w:val="20"/>
                <w:szCs w:val="20"/>
                <w:lang w:eastAsia="zh-CN"/>
              </w:rPr>
              <w:t>-4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重、难点分析有一定缺失或针对性不强的：</w:t>
            </w:r>
            <w:r>
              <w:rPr>
                <w:rFonts w:eastAsia="仿宋"/>
                <w:w w:val="105"/>
                <w:sz w:val="20"/>
                <w:szCs w:val="20"/>
                <w:lang w:eastAsia="zh-CN"/>
              </w:rPr>
              <w:t>1</w:t>
            </w:r>
            <w:r>
              <w:rPr>
                <w:rFonts w:hint="eastAsia" w:eastAsia="仿宋"/>
                <w:w w:val="105"/>
                <w:sz w:val="20"/>
                <w:szCs w:val="20"/>
                <w:lang w:eastAsia="zh-CN"/>
              </w:rPr>
              <w:t>-</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重、难点分析严重缺失且无针对性的：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rPr>
              <w:t>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pacing w:val="4"/>
                <w:w w:val="105"/>
                <w:sz w:val="20"/>
                <w:szCs w:val="20"/>
                <w:lang w:eastAsia="zh-CN"/>
              </w:rPr>
              <w:t>对提出的合理化建议操作性进行评审。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具体、符合技术要求、可操作性强：</w:t>
            </w:r>
            <w:r>
              <w:rPr>
                <w:rFonts w:eastAsia="仿宋"/>
                <w:w w:val="105"/>
                <w:sz w:val="20"/>
                <w:szCs w:val="20"/>
                <w:lang w:eastAsia="zh-CN"/>
              </w:rPr>
              <w:t>3-4分；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操作性不足或针对性不强的：</w:t>
            </w:r>
            <w:r>
              <w:rPr>
                <w:rFonts w:eastAsia="仿宋"/>
                <w:w w:val="105"/>
                <w:sz w:val="20"/>
                <w:szCs w:val="20"/>
                <w:lang w:eastAsia="zh-CN"/>
              </w:rPr>
              <w:t>1-2分；</w:t>
            </w:r>
          </w:p>
          <w:p>
            <w:pPr>
              <w:adjustRightInd w:val="0"/>
              <w:snapToGrid w:val="0"/>
              <w:rPr>
                <w:rFonts w:eastAsia="仿宋" w:asciiTheme="minorEastAsia" w:hAnsiTheme="minorEastAsia"/>
                <w:snapToGrid w:val="0"/>
                <w:sz w:val="21"/>
                <w:szCs w:val="21"/>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不可行或无实质性建议：</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4"/>
            <w:tcMar>
              <w:left w:w="57" w:type="dxa"/>
              <w:right w:w="57" w:type="dxa"/>
            </w:tcMar>
            <w:vAlign w:val="center"/>
          </w:tcPr>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按有效报价的平均值作为基准值，基准值为满分30分，有效报价每高于基准价1%的减1分，有效报价每低于基准价1%的减0.5分，扣减至15分为止。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□以最低有效报价为基准值，基准值为满分30分，有效报价每高于基准价1%的减1分，扣减至15分为止。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□以最低有效报价为基准值，基准值为满分30分，</w:t>
            </w:r>
            <w:r>
              <w:rPr>
                <w:rFonts w:hint="eastAsia" w:ascii="等线" w:hAnsi="等线" w:eastAsia="仿宋"/>
                <w:snapToGrid w:val="0"/>
                <w:sz w:val="21"/>
                <w:szCs w:val="21"/>
                <w:lang w:eastAsia="zh-CN"/>
              </w:rPr>
              <w:t>其他报价得分按公式计算：3</w:t>
            </w:r>
            <w:r>
              <w:rPr>
                <w:rFonts w:ascii="等线" w:hAnsi="等线" w:eastAsia="仿宋"/>
                <w:snapToGrid w:val="0"/>
                <w:sz w:val="21"/>
                <w:szCs w:val="21"/>
                <w:lang w:eastAsia="zh-CN"/>
              </w:rPr>
              <w:t>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gridSpan w:val="2"/>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bookmarkStart w:id="92" w:name="扫描0039"/>
      <w:bookmarkEnd w:id="92"/>
    </w:p>
    <w:p>
      <w:pPr>
        <w:pStyle w:val="5"/>
        <w:spacing w:line="360" w:lineRule="auto"/>
        <w:rPr>
          <w:rFonts w:eastAsia="仿宋" w:asciiTheme="minorEastAsia" w:hAnsiTheme="minorEastAsia"/>
          <w:b/>
          <w:bCs/>
          <w:snapToGrid w:val="0"/>
          <w:sz w:val="24"/>
          <w:szCs w:val="24"/>
          <w:lang w:eastAsia="zh-CN"/>
        </w:rPr>
      </w:pPr>
      <w:bookmarkStart w:id="93" w:name="_bookmark10"/>
      <w:bookmarkEnd w:id="93"/>
      <w:bookmarkStart w:id="94" w:name="_Toc149725871"/>
      <w:r>
        <w:rPr>
          <w:rFonts w:eastAsia="仿宋" w:asciiTheme="minorEastAsia" w:hAnsiTheme="minorEastAsia"/>
          <w:b/>
          <w:bCs/>
          <w:snapToGrid w:val="0"/>
          <w:sz w:val="24"/>
          <w:szCs w:val="24"/>
          <w:lang w:eastAsia="zh-CN"/>
        </w:rPr>
        <w:t>1.评审方法（综合评分法）</w:t>
      </w:r>
      <w:bookmarkEnd w:id="94"/>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5" w:name="_bookmark11"/>
      <w:bookmarkEnd w:id="95"/>
    </w:p>
    <w:p>
      <w:pPr>
        <w:pStyle w:val="5"/>
        <w:spacing w:line="360" w:lineRule="auto"/>
        <w:rPr>
          <w:rFonts w:eastAsia="仿宋" w:asciiTheme="minorEastAsia" w:hAnsiTheme="minorEastAsia"/>
          <w:b/>
          <w:snapToGrid w:val="0"/>
          <w:sz w:val="24"/>
          <w:szCs w:val="24"/>
          <w:lang w:eastAsia="zh-CN"/>
        </w:rPr>
      </w:pPr>
      <w:bookmarkStart w:id="96" w:name="_Toc149725872"/>
      <w:r>
        <w:rPr>
          <w:rFonts w:eastAsia="仿宋" w:asciiTheme="minorEastAsia" w:hAnsiTheme="minorEastAsia"/>
          <w:b/>
          <w:snapToGrid w:val="0"/>
          <w:sz w:val="24"/>
          <w:szCs w:val="24"/>
          <w:lang w:eastAsia="zh-CN"/>
        </w:rPr>
        <w:t>2.初步评审标准和程序</w:t>
      </w:r>
      <w:bookmarkEnd w:id="9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149725873"/>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14972587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供应商有串通</w:t>
      </w:r>
      <w:r>
        <w:rPr>
          <w:rFonts w:hint="eastAsia" w:ascii="仿宋" w:hAnsi="仿宋" w:eastAsia="仿宋"/>
          <w:snapToGrid w:val="0"/>
          <w:sz w:val="24"/>
          <w:szCs w:val="24"/>
          <w:lang w:eastAsia="zh-CN"/>
        </w:rPr>
        <w:t>（符合第2</w:t>
      </w:r>
      <w:r>
        <w:rPr>
          <w:rFonts w:ascii="仿宋" w:hAnsi="仿宋" w:eastAsia="仿宋"/>
          <w:snapToGrid w:val="0"/>
          <w:sz w:val="24"/>
          <w:szCs w:val="24"/>
          <w:lang w:eastAsia="zh-CN"/>
        </w:rPr>
        <w:t>.2.8</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hint="eastAsia" w:ascii="仿宋" w:hAnsi="仿宋" w:eastAsia="仿宋"/>
          <w:snapToGrid w:val="0"/>
          <w:sz w:val="24"/>
          <w:szCs w:val="24"/>
          <w:lang w:eastAsia="zh-CN"/>
        </w:rPr>
        <w:t>项情况）</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以各种方式</w:t>
      </w:r>
      <w:r>
        <w:rPr>
          <w:rFonts w:ascii="仿宋" w:hAnsi="仿宋" w:eastAsia="仿宋"/>
          <w:snapToGrid w:val="0"/>
          <w:sz w:val="24"/>
          <w:szCs w:val="24"/>
          <w:lang w:eastAsia="zh-CN"/>
        </w:rPr>
        <w:t>弄虚作假、行贿</w:t>
      </w:r>
      <w:r>
        <w:rPr>
          <w:rFonts w:hint="eastAsia" w:ascii="仿宋" w:hAnsi="仿宋"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仿宋" w:hAnsi="仿宋" w:eastAsia="仿宋"/>
          <w:snapToGrid w:val="0"/>
          <w:sz w:val="24"/>
          <w:szCs w:val="24"/>
          <w:lang w:eastAsia="zh-CN"/>
        </w:rPr>
        <w:t>规章制度，在采购与招投标过程中恶</w:t>
      </w:r>
      <w:r>
        <w:rPr>
          <w:rFonts w:hint="eastAsia" w:ascii="仿宋" w:hAnsi="仿宋" w:eastAsia="仿宋"/>
          <w:snapToGrid w:val="0"/>
          <w:sz w:val="24"/>
          <w:szCs w:val="24"/>
          <w:lang w:eastAsia="zh-CN"/>
        </w:rPr>
        <w:t>意诽谤、诬告陷害其它竞争对手的不良行为</w:t>
      </w:r>
      <w:r>
        <w:rPr>
          <w:rFonts w:ascii="仿宋" w:hAnsi="仿宋" w:eastAsia="仿宋"/>
          <w:snapToGrid w:val="0"/>
          <w:sz w:val="24"/>
          <w:szCs w:val="24"/>
          <w:lang w:eastAsia="zh-CN"/>
        </w:rPr>
        <w:t>等违法行为的，其响应文件将被视为无效，其响应保证金将被没收。</w:t>
      </w:r>
      <w:r>
        <w:rPr>
          <w:rFonts w:hint="eastAsia" w:ascii="仿宋" w:hAnsi="仿宋"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仿宋" w:hAnsi="仿宋" w:eastAsia="仿宋"/>
          <w:snapToGrid w:val="0"/>
          <w:sz w:val="24"/>
          <w:szCs w:val="24"/>
          <w:lang w:eastAsia="zh-CN"/>
        </w:rPr>
        <w:t>并且该供应商将被列入采购人</w:t>
      </w:r>
      <w:r>
        <w:rPr>
          <w:rFonts w:hint="eastAsia" w:ascii="仿宋" w:hAnsi="仿宋" w:eastAsia="仿宋"/>
          <w:snapToGrid w:val="0"/>
          <w:sz w:val="24"/>
          <w:szCs w:val="24"/>
          <w:lang w:eastAsia="zh-CN"/>
        </w:rPr>
        <w:t>供应商黑名单（供应商“黑名单”每年发布一次，并在</w:t>
      </w:r>
      <w:r>
        <w:rPr>
          <w:rFonts w:ascii="仿宋" w:hAnsi="仿宋" w:eastAsia="仿宋"/>
          <w:snapToGrid w:val="0"/>
          <w:sz w:val="24"/>
          <w:szCs w:val="24"/>
          <w:lang w:eastAsia="zh-CN"/>
        </w:rPr>
        <w:t xml:space="preserve"> EPS 系统中</w:t>
      </w:r>
      <w:r>
        <w:rPr>
          <w:rFonts w:hint="eastAsia" w:ascii="仿宋" w:hAnsi="仿宋"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149725875"/>
      <w:r>
        <w:rPr>
          <w:rFonts w:ascii="仿宋" w:hAnsi="仿宋" w:eastAsia="仿宋"/>
          <w:b/>
          <w:snapToGrid w:val="0"/>
          <w:sz w:val="24"/>
          <w:szCs w:val="24"/>
          <w:lang w:eastAsia="zh-CN"/>
        </w:rPr>
        <w:t>3</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详细评审标准和程序</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4972587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1" w:name="_bookmark13"/>
      <w:bookmarkEnd w:id="101"/>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14972587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3" w:name="扫描0043"/>
      <w:bookmarkEnd w:id="103"/>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04" w:name="_Toc14972587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bookmark16"/>
      <w:bookmarkEnd w:id="105"/>
      <w:bookmarkStart w:id="106" w:name="_Toc149725879"/>
      <w:bookmarkStart w:id="107" w:name="_Toc9414951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6"/>
      <w:bookmarkEnd w:id="10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3</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spacing w:line="276" w:lineRule="auto"/>
        <w:jc w:val="center"/>
        <w:outlineLvl w:val="0"/>
        <w:rPr>
          <w:rFonts w:eastAsia="仿宋"/>
          <w:b/>
          <w:bCs/>
          <w:snapToGrid w:val="0"/>
          <w:sz w:val="32"/>
          <w:szCs w:val="32"/>
          <w:lang w:eastAsia="zh-CN"/>
        </w:rPr>
      </w:pPr>
      <w:bookmarkStart w:id="108" w:name="扫描0044"/>
      <w:bookmarkEnd w:id="108"/>
      <w:bookmarkStart w:id="109" w:name="_Toc149725880"/>
      <w:r>
        <w:rPr>
          <w:rFonts w:hint="eastAsia" w:eastAsia="仿宋"/>
          <w:b/>
          <w:bCs/>
          <w:snapToGrid w:val="0"/>
          <w:sz w:val="32"/>
          <w:szCs w:val="32"/>
          <w:lang w:eastAsia="zh-CN"/>
        </w:rPr>
        <w:t>第</w:t>
      </w:r>
      <w:r>
        <w:rPr>
          <w:rFonts w:eastAsia="仿宋"/>
          <w:b/>
          <w:bCs/>
          <w:snapToGrid w:val="0"/>
          <w:sz w:val="32"/>
          <w:szCs w:val="32"/>
          <w:lang w:eastAsia="zh-CN"/>
        </w:rPr>
        <w:t>四</w:t>
      </w:r>
      <w:r>
        <w:rPr>
          <w:rFonts w:hint="eastAsia" w:eastAsia="仿宋"/>
          <w:b/>
          <w:bCs/>
          <w:snapToGrid w:val="0"/>
          <w:sz w:val="32"/>
          <w:szCs w:val="32"/>
          <w:lang w:eastAsia="zh-CN"/>
        </w:rPr>
        <w:t>章  健康体检服务合同</w:t>
      </w:r>
      <w:bookmarkEnd w:id="109"/>
    </w:p>
    <w:p>
      <w:pPr>
        <w:outlineLvl w:val="1"/>
        <w:rPr>
          <w:rFonts w:ascii="华文中宋" w:hAnsi="华文中宋" w:eastAsia="仿宋"/>
          <w:b/>
          <w:bCs/>
          <w:sz w:val="44"/>
          <w:szCs w:val="44"/>
          <w:lang w:eastAsia="zh-CN"/>
        </w:rPr>
      </w:pP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健康体检</w:t>
      </w:r>
      <w:r>
        <w:rPr>
          <w:rFonts w:ascii="仿宋" w:hAnsi="仿宋" w:eastAsia="仿宋"/>
          <w:b/>
          <w:sz w:val="24"/>
          <w:szCs w:val="24"/>
          <w:lang w:eastAsia="zh-CN"/>
        </w:rPr>
        <w:t>服务合同</w:t>
      </w:r>
    </w:p>
    <w:p>
      <w:pPr>
        <w:snapToGrid w:val="0"/>
        <w:spacing w:line="360" w:lineRule="auto"/>
        <w:ind w:left="418" w:leftChars="190"/>
        <w:rPr>
          <w:rFonts w:ascii="仿宋" w:hAnsi="仿宋" w:eastAsia="仿宋"/>
          <w:b/>
          <w:sz w:val="24"/>
          <w:szCs w:val="24"/>
          <w:lang w:eastAsia="zh-CN"/>
        </w:rPr>
      </w:pPr>
      <w:r>
        <w:rPr>
          <w:rFonts w:hint="eastAsia" w:ascii="仿宋" w:hAnsi="仿宋" w:eastAsia="仿宋"/>
          <w:sz w:val="24"/>
          <w:szCs w:val="24"/>
          <w:lang w:eastAsia="zh-CN"/>
        </w:rPr>
        <w:t>甲方（委托方）：</w:t>
      </w:r>
      <w:r>
        <w:rPr>
          <w:rFonts w:ascii="仿宋" w:hAnsi="仿宋" w:eastAsia="仿宋"/>
          <w:sz w:val="24"/>
          <w:szCs w:val="24"/>
          <w:lang w:eastAsia="zh-CN"/>
        </w:rPr>
        <w:t>___________________________</w:t>
      </w:r>
    </w:p>
    <w:p>
      <w:pPr>
        <w:snapToGrid w:val="0"/>
        <w:spacing w:line="360" w:lineRule="auto"/>
        <w:ind w:left="418" w:leftChars="190"/>
        <w:rPr>
          <w:rFonts w:ascii="仿宋" w:hAnsi="仿宋" w:eastAsia="仿宋"/>
          <w:b/>
          <w:sz w:val="24"/>
          <w:szCs w:val="24"/>
          <w:u w:val="single"/>
          <w:lang w:eastAsia="zh-CN"/>
        </w:rPr>
      </w:pPr>
      <w:r>
        <w:rPr>
          <w:rFonts w:hint="eastAsia" w:ascii="仿宋" w:hAnsi="仿宋" w:eastAsia="仿宋"/>
          <w:sz w:val="24"/>
          <w:szCs w:val="24"/>
          <w:lang w:eastAsia="zh-CN"/>
        </w:rPr>
        <w:t>乙方（受托方）：</w:t>
      </w:r>
      <w:r>
        <w:rPr>
          <w:rFonts w:ascii="仿宋" w:hAnsi="仿宋" w:eastAsia="仿宋"/>
          <w:sz w:val="24"/>
          <w:szCs w:val="24"/>
          <w:lang w:eastAsia="zh-CN"/>
        </w:rPr>
        <w:t>___________________________</w:t>
      </w:r>
    </w:p>
    <w:p>
      <w:pPr>
        <w:snapToGrid w:val="0"/>
        <w:spacing w:line="360" w:lineRule="auto"/>
        <w:ind w:left="440" w:leftChars="200" w:firstLine="588"/>
        <w:rPr>
          <w:rFonts w:ascii="仿宋" w:hAnsi="仿宋" w:eastAsia="仿宋"/>
          <w:sz w:val="24"/>
          <w:szCs w:val="24"/>
          <w:lang w:eastAsia="zh-CN"/>
        </w:rPr>
      </w:pPr>
      <w:r>
        <w:rPr>
          <w:rFonts w:ascii="仿宋" w:hAnsi="仿宋" w:eastAsia="仿宋"/>
          <w:sz w:val="24"/>
          <w:szCs w:val="24"/>
          <w:lang w:eastAsia="zh-CN"/>
        </w:rPr>
        <w:t>甲方因</w:t>
      </w:r>
      <w:r>
        <w:rPr>
          <w:rFonts w:hint="eastAsia" w:ascii="仿宋" w:hAnsi="仿宋" w:eastAsia="仿宋"/>
          <w:sz w:val="24"/>
          <w:szCs w:val="24"/>
          <w:lang w:eastAsia="zh-CN"/>
        </w:rPr>
        <w:t>项目需要，特委托乙方提供健康体检服务，乙方已明确知晓本项目的现状，且乙方承诺具有实施本合同的相关资质，按照《中华人民共和国民法典》和其他有关规定的原则，结合技术经济服务具体情况，双方达成协议如下：</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第一条</w:t>
      </w:r>
      <w:r>
        <w:rPr>
          <w:rFonts w:ascii="仿宋" w:hAnsi="仿宋" w:eastAsia="仿宋"/>
          <w:b/>
          <w:sz w:val="24"/>
          <w:szCs w:val="24"/>
          <w:lang w:eastAsia="zh-CN"/>
        </w:rPr>
        <w:t>:</w:t>
      </w:r>
      <w:r>
        <w:rPr>
          <w:rFonts w:hint="eastAsia" w:ascii="仿宋" w:hAnsi="仿宋" w:eastAsia="仿宋"/>
          <w:b/>
          <w:sz w:val="24"/>
          <w:szCs w:val="24"/>
          <w:lang w:eastAsia="zh-CN"/>
        </w:rPr>
        <w:t>项目概况</w:t>
      </w: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2</w:t>
      </w:r>
      <w:r>
        <w:rPr>
          <w:rFonts w:ascii="仿宋" w:hAnsi="仿宋" w:eastAsia="仿宋"/>
          <w:b/>
          <w:sz w:val="24"/>
          <w:szCs w:val="24"/>
          <w:lang w:eastAsia="zh-CN"/>
        </w:rPr>
        <w:t>023</w:t>
      </w:r>
      <w:r>
        <w:rPr>
          <w:rFonts w:hint="eastAsia" w:ascii="仿宋" w:hAnsi="仿宋" w:eastAsia="仿宋"/>
          <w:b/>
          <w:sz w:val="24"/>
          <w:szCs w:val="24"/>
          <w:lang w:eastAsia="zh-CN"/>
        </w:rPr>
        <w:t>年员工常规体检</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第二条：合同服务内容</w:t>
      </w:r>
    </w:p>
    <w:p>
      <w:pPr>
        <w:numPr>
          <w:ilvl w:val="1"/>
          <w:numId w:val="12"/>
        </w:numPr>
        <w:snapToGrid w:val="0"/>
        <w:spacing w:line="360" w:lineRule="auto"/>
        <w:rPr>
          <w:rFonts w:ascii="仿宋" w:hAnsi="仿宋" w:eastAsia="仿宋" w:cs="Arial"/>
          <w:sz w:val="24"/>
          <w:szCs w:val="24"/>
          <w:lang w:eastAsia="zh-CN"/>
        </w:rPr>
      </w:pPr>
      <w:r>
        <w:rPr>
          <w:rFonts w:hint="eastAsia" w:ascii="仿宋" w:hAnsi="仿宋" w:eastAsia="仿宋"/>
          <w:sz w:val="24"/>
          <w:szCs w:val="24"/>
          <w:lang w:eastAsia="zh-CN"/>
        </w:rPr>
        <w:t>成果</w:t>
      </w:r>
      <w:r>
        <w:rPr>
          <w:rFonts w:ascii="仿宋" w:hAnsi="仿宋" w:eastAsia="仿宋"/>
          <w:sz w:val="24"/>
          <w:szCs w:val="24"/>
          <w:lang w:eastAsia="zh-CN"/>
        </w:rPr>
        <w:t>要求：</w:t>
      </w:r>
      <w:r>
        <w:rPr>
          <w:rFonts w:hint="eastAsia" w:ascii="仿宋" w:hAnsi="仿宋" w:eastAsia="仿宋" w:cs="Arial"/>
          <w:sz w:val="24"/>
          <w:szCs w:val="24"/>
          <w:u w:val="single"/>
          <w:lang w:eastAsia="zh-CN"/>
        </w:rPr>
        <w:t xml:space="preserve"> 乙方根据甲方员工体检的实际情况出具专业体检报告</w:t>
      </w:r>
      <w:r>
        <w:rPr>
          <w:rFonts w:ascii="仿宋" w:hAnsi="仿宋" w:eastAsia="仿宋" w:cs="Arial"/>
          <w:sz w:val="24"/>
          <w:szCs w:val="24"/>
          <w:u w:val="single"/>
          <w:lang w:eastAsia="zh-CN"/>
        </w:rPr>
        <w:t xml:space="preserve">                                         </w:t>
      </w: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第三条：甲方权利与义务</w:t>
      </w:r>
    </w:p>
    <w:p>
      <w:pPr>
        <w:snapToGrid w:val="0"/>
        <w:spacing w:line="360" w:lineRule="auto"/>
        <w:ind w:left="396"/>
        <w:rPr>
          <w:rFonts w:ascii="仿宋" w:hAnsi="仿宋" w:eastAsia="仿宋"/>
          <w:vanish/>
          <w:sz w:val="24"/>
          <w:szCs w:val="24"/>
          <w:lang w:eastAsia="zh-CN"/>
        </w:rPr>
      </w:pPr>
      <w:r>
        <w:rPr>
          <w:rFonts w:hint="eastAsia" w:ascii="仿宋" w:hAnsi="仿宋" w:eastAsia="仿宋"/>
          <w:vanish/>
          <w:sz w:val="24"/>
          <w:szCs w:val="24"/>
          <w:lang w:eastAsia="zh-CN"/>
        </w:rPr>
        <w:t>1.体检项目、体检地点由甲方确定，并组织受检人员按时参加健康体检</w:t>
      </w:r>
    </w:p>
    <w:p>
      <w:pPr>
        <w:snapToGrid w:val="0"/>
        <w:spacing w:line="360" w:lineRule="auto"/>
        <w:ind w:left="396"/>
        <w:rPr>
          <w:rFonts w:ascii="仿宋" w:hAnsi="仿宋" w:eastAsia="仿宋"/>
          <w:sz w:val="24"/>
          <w:szCs w:val="24"/>
          <w:lang w:eastAsia="zh-CN"/>
        </w:rPr>
      </w:pPr>
      <w:r>
        <w:rPr>
          <w:rFonts w:hint="eastAsia" w:ascii="仿宋" w:hAnsi="仿宋" w:eastAsia="仿宋"/>
          <w:vanish/>
          <w:sz w:val="24"/>
          <w:szCs w:val="24"/>
          <w:lang w:eastAsia="zh-CN"/>
        </w:rPr>
        <w:t>2</w:t>
      </w:r>
      <w:r>
        <w:rPr>
          <w:rFonts w:ascii="仿宋" w:hAnsi="仿宋" w:eastAsia="仿宋"/>
          <w:vanish/>
          <w:sz w:val="24"/>
          <w:szCs w:val="24"/>
          <w:lang w:eastAsia="zh-CN"/>
        </w:rPr>
        <w:t>.</w:t>
      </w:r>
      <w:r>
        <w:rPr>
          <w:rFonts w:hint="eastAsia" w:ascii="仿宋" w:hAnsi="仿宋" w:eastAsia="仿宋"/>
          <w:sz w:val="24"/>
          <w:szCs w:val="24"/>
          <w:lang w:eastAsia="zh-CN"/>
        </w:rPr>
        <w:t>甲方联系人（姓名：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w:t>
      </w:r>
    </w:p>
    <w:p>
      <w:pPr>
        <w:snapToGrid w:val="0"/>
        <w:spacing w:line="360" w:lineRule="auto"/>
        <w:rPr>
          <w:rFonts w:ascii="仿宋" w:hAnsi="仿宋" w:eastAsia="仿宋"/>
          <w:vanish/>
          <w:sz w:val="24"/>
          <w:szCs w:val="24"/>
          <w:lang w:eastAsia="zh-CN"/>
        </w:rPr>
      </w:pPr>
      <w:r>
        <w:rPr>
          <w:rFonts w:hint="eastAsia" w:ascii="仿宋" w:hAnsi="仿宋" w:eastAsia="仿宋"/>
          <w:sz w:val="24"/>
          <w:szCs w:val="24"/>
          <w:lang w:eastAsia="zh-CN"/>
        </w:rPr>
        <w:t>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）需提前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个工作日将准确的甲方需体检员工（以下称“受检者”）名单，包括受检者姓名、性别、有效身份证件号码（或出生年月日）、女性婚否、部分人员加项体检项目、受检者所选体检城市等信息以电子文本或其他书面形式通知乙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如双方对本协议内容有任何更改的，应以书面形式确定，且须由双方盖章确认。同时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w:t>
      </w:r>
      <w:r>
        <w:rPr>
          <w:rFonts w:hint="eastAsia" w:ascii="仿宋" w:hAnsi="仿宋" w:eastAsia="仿宋"/>
          <w:sz w:val="24"/>
          <w:szCs w:val="24"/>
          <w:lang w:eastAsia="zh-CN"/>
        </w:rPr>
        <w:t>因甲方原因需变更团队体检时间的，应至少提前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个工作日以书面或邮件形式通知乙方联系人；个别人员不参加已确认的团队体检的，甲方应提前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 xml:space="preserve">个工作日以书面或邮件形式通知乙方联系人。 </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若因受检者特殊生理情况（包括但不限于女性经期所致的妇科项目检查或尿常规化验延迟），甲方应在10日内配合乙方另行安排体检时间，并在预约时间期限内完成体检。受检者若再次未按预约时间体检的，则视为放弃。因此给甲方或甲方参检人员所造成的损失，应由甲方自行承担责任。</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甲方应当在体检前将《体检须知》详细告知相应的受检者，若受检者违反上述注意事项而导致体检结果不准确、不完整、不充分的，乙方不承担相应责任。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鉴于乙方为全国性医疗机构，各体检门店体检项目略有差别。甲方知晓上述情况并同意，若遇个别体检项目实际体检门店无法提供的，乙方有权对体检项目做适当调整，即替换其他同等价位的体检项目。前述调整不视为乙方违约，甲方不因此而追究乙方的违约责人。</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甲方可向乙方索取与委托内容有关的技术经济报告；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甲方可向乙方询问委托工作进展情况及相应内容；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甲方可向乙方阐述对项目及具体问题的意见；</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甲方应向乙方及时提供项目所需的有关材料及其他有关的书面资料；</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甲方为乙方的工作开展提供必要的配合；</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w:t>
      </w:r>
      <w:r>
        <w:rPr>
          <w:rFonts w:hint="eastAsia" w:ascii="仿宋" w:hAnsi="仿宋" w:eastAsia="仿宋"/>
          <w:sz w:val="24"/>
          <w:szCs w:val="24"/>
          <w:lang w:eastAsia="zh-CN"/>
        </w:rPr>
        <w:t>甲方须按约定向乙方支付服务费用。</w:t>
      </w:r>
    </w:p>
    <w:p>
      <w:pPr>
        <w:snapToGrid w:val="0"/>
        <w:spacing w:line="360" w:lineRule="auto"/>
        <w:ind w:firstLine="540" w:firstLineChars="225"/>
        <w:rPr>
          <w:rFonts w:ascii="仿宋" w:hAnsi="仿宋" w:eastAsia="仿宋"/>
          <w:sz w:val="24"/>
          <w:szCs w:val="24"/>
          <w:lang w:eastAsia="zh-CN"/>
        </w:rPr>
      </w:pP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第四条：乙方权利与义务</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vanish/>
          <w:sz w:val="24"/>
          <w:szCs w:val="24"/>
          <w:lang w:eastAsia="zh-CN"/>
        </w:rPr>
        <w:t>1.</w:t>
      </w:r>
      <w:r>
        <w:rPr>
          <w:rFonts w:hint="eastAsia" w:ascii="仿宋" w:hAnsi="仿宋" w:eastAsia="仿宋"/>
          <w:vanish/>
          <w:sz w:val="24"/>
          <w:szCs w:val="24"/>
          <w:lang w:eastAsia="zh-CN"/>
        </w:rPr>
        <w:t>乙方接受甲方的委托，负责联络、协调工作，统筹安排全国关联医疗机构为甲方提供健康体检等相关健康服务。</w:t>
      </w:r>
    </w:p>
    <w:p>
      <w:pPr>
        <w:snapToGrid w:val="0"/>
        <w:spacing w:line="360" w:lineRule="auto"/>
        <w:ind w:firstLine="480" w:firstLineChars="200"/>
        <w:rPr>
          <w:rFonts w:ascii="仿宋_GB2312" w:hAnsi="仿宋" w:eastAsia="仿宋_GB2312"/>
          <w:sz w:val="24"/>
          <w:szCs w:val="24"/>
          <w:lang w:eastAsia="zh-CN"/>
        </w:rPr>
      </w:pPr>
      <w:r>
        <w:rPr>
          <w:rFonts w:ascii="仿宋" w:hAnsi="仿宋" w:eastAsia="仿宋"/>
          <w:vanish/>
          <w:sz w:val="24"/>
          <w:szCs w:val="24"/>
          <w:lang w:eastAsia="zh-CN"/>
        </w:rPr>
        <w:t>2.</w:t>
      </w:r>
      <w:r>
        <w:rPr>
          <w:rFonts w:hint="eastAsia" w:ascii="仿宋_GB2312" w:hAnsi="仿宋" w:eastAsia="仿宋_GB2312"/>
          <w:sz w:val="24"/>
          <w:szCs w:val="24"/>
          <w:lang w:eastAsia="zh-CN"/>
        </w:rPr>
        <w:t>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_GB2312" w:hAnsi="仿宋" w:eastAsia="仿宋_GB2312"/>
          <w:sz w:val="24"/>
          <w:szCs w:val="24"/>
          <w:lang w:eastAsia="zh-CN"/>
        </w:rPr>
        <w:t>3</w:t>
      </w:r>
      <w:r>
        <w:rPr>
          <w:rFonts w:ascii="仿宋_GB2312" w:hAnsi="仿宋" w:eastAsia="仿宋_GB2312"/>
          <w:sz w:val="24"/>
          <w:szCs w:val="24"/>
          <w:lang w:eastAsia="zh-CN"/>
        </w:rPr>
        <w:t>.</w:t>
      </w:r>
      <w:r>
        <w:rPr>
          <w:rFonts w:hint="eastAsia" w:ascii="仿宋" w:hAnsi="仿宋" w:eastAsia="仿宋"/>
          <w:sz w:val="24"/>
          <w:szCs w:val="24"/>
          <w:lang w:eastAsia="zh-CN"/>
        </w:rPr>
        <w:t>乙方将在接到变更体检时间的确认通知后尽快协商安排未参与团队体检的参检人员另行体检，若甲方人员仍未能按时体检的，则视为放弃体检，甲方不得以此为由拖延与乙方的结算。如甲方未在上述规定时间内通知乙方变更体检时间的，乙方有权拒绝提供体检服务，由此产生的责任和损失（包括但不限于部分或全部人员无法参加体检等）由甲方自行承担。</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w:t>
      </w:r>
      <w:r>
        <w:rPr>
          <w:rFonts w:ascii="仿宋" w:hAnsi="仿宋" w:eastAsia="仿宋"/>
          <w:sz w:val="24"/>
          <w:szCs w:val="24"/>
          <w:lang w:eastAsia="zh-CN"/>
        </w:rPr>
        <w:t>.</w:t>
      </w:r>
      <w:r>
        <w:rPr>
          <w:rFonts w:hint="eastAsia" w:ascii="仿宋" w:hAnsi="仿宋" w:eastAsia="仿宋"/>
          <w:sz w:val="24"/>
          <w:szCs w:val="24"/>
          <w:lang w:eastAsia="zh-CN"/>
        </w:rPr>
        <w:t>乙方组织专业人员形成专案团队，制定详细的工作执行计划并安排实施。</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w:t>
      </w:r>
      <w:r>
        <w:rPr>
          <w:rFonts w:hint="eastAsia" w:ascii="仿宋" w:hAnsi="仿宋" w:eastAsia="仿宋"/>
          <w:sz w:val="24"/>
          <w:szCs w:val="24"/>
          <w:lang w:eastAsia="zh-CN"/>
        </w:rPr>
        <w:t>乙方可向甲方索取与委托内容有关的体检资料：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乙方可要求甲方对有关问题做出解释和补充有关资料；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乙方可要求甲方在工作进展中提供必要的配合；</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乙方应保证在委托工作中遵循公平、公正、公开及合法的原则，认真、细致、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周到地进行服务工作，提交的报告应具有科学性、合理性、准确性及适用性；</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乙方应保证所提供的体检成果文件符合国家规范、行业标准和中粮集团模板要</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求，并保证能通过相关主管部门审批。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乙方编制资格申请报告和可行性研究报告，出具资格申请报告和可研报告、评审过程中修订报告及审查通过后出具正式报告。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未经甲方允许，乙方不得将本项目转包、分包。</w:t>
      </w:r>
    </w:p>
    <w:p>
      <w:pPr>
        <w:snapToGrid w:val="0"/>
        <w:spacing w:line="360" w:lineRule="auto"/>
        <w:ind w:left="1191" w:leftChars="284" w:hanging="566" w:hangingChars="236"/>
        <w:rPr>
          <w:rFonts w:ascii="仿宋" w:hAnsi="仿宋" w:eastAsia="仿宋" w:cs="Arial"/>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第五条：完成时限及咨询成果份数</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.1</w:t>
      </w:r>
      <w:r>
        <w:rPr>
          <w:rFonts w:hint="eastAsia" w:ascii="仿宋" w:hAnsi="仿宋" w:eastAsia="仿宋"/>
          <w:sz w:val="24"/>
          <w:szCs w:val="24"/>
          <w:lang w:eastAsia="zh-CN"/>
        </w:rPr>
        <w:t>完成时限:</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snapToGrid w:val="0"/>
        <w:spacing w:line="360" w:lineRule="auto"/>
        <w:ind w:left="567"/>
        <w:rPr>
          <w:rFonts w:ascii="仿宋" w:hAnsi="仿宋" w:eastAsia="仿宋"/>
          <w:sz w:val="24"/>
          <w:szCs w:val="24"/>
          <w:lang w:eastAsia="zh-CN"/>
        </w:rPr>
      </w:pPr>
      <w:r>
        <w:rPr>
          <w:rFonts w:hint="eastAsia" w:ascii="仿宋" w:hAnsi="仿宋" w:eastAsia="仿宋"/>
          <w:bCs/>
          <w:sz w:val="24"/>
          <w:szCs w:val="24"/>
          <w:lang w:eastAsia="zh-CN"/>
        </w:rPr>
        <w:t>5</w:t>
      </w:r>
      <w:r>
        <w:rPr>
          <w:rFonts w:ascii="仿宋" w:hAnsi="仿宋" w:eastAsia="仿宋"/>
          <w:bCs/>
          <w:sz w:val="24"/>
          <w:szCs w:val="24"/>
          <w:lang w:eastAsia="zh-CN"/>
        </w:rPr>
        <w:t>.2</w:t>
      </w:r>
      <w:r>
        <w:rPr>
          <w:rFonts w:hint="eastAsia" w:ascii="仿宋" w:hAnsi="仿宋" w:eastAsia="仿宋"/>
          <w:bCs/>
          <w:sz w:val="24"/>
          <w:szCs w:val="24"/>
          <w:lang w:eastAsia="zh-CN"/>
        </w:rPr>
        <w:t>咨询成果份</w:t>
      </w:r>
      <w:r>
        <w:rPr>
          <w:rFonts w:hint="eastAsia" w:ascii="仿宋" w:hAnsi="仿宋" w:eastAsia="仿宋"/>
          <w:sz w:val="24"/>
          <w:szCs w:val="24"/>
          <w:lang w:eastAsia="zh-CN"/>
        </w:rPr>
        <w:t>数:</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tabs>
          <w:tab w:val="left" w:pos="991"/>
        </w:tabs>
        <w:snapToGrid w:val="0"/>
        <w:spacing w:line="360" w:lineRule="auto"/>
        <w:ind w:firstLine="487" w:firstLineChars="202"/>
        <w:rPr>
          <w:rFonts w:ascii="仿宋" w:hAnsi="仿宋" w:eastAsia="仿宋"/>
          <w:b/>
          <w:sz w:val="24"/>
          <w:szCs w:val="24"/>
          <w:lang w:eastAsia="zh-CN"/>
        </w:rPr>
      </w:pPr>
    </w:p>
    <w:p>
      <w:pPr>
        <w:spacing w:before="120" w:beforeLines="50" w:line="44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第六条：合同服务费用及支付方式</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一、</w:t>
      </w:r>
      <w:r>
        <w:rPr>
          <w:rFonts w:hint="eastAsia" w:ascii="仿宋" w:hAnsi="仿宋" w:eastAsia="仿宋" w:cs="Times New Roman"/>
          <w:bCs/>
          <w:sz w:val="24"/>
          <w:szCs w:val="24"/>
          <w:lang w:eastAsia="zh-CN"/>
        </w:rPr>
        <w:t>合同服务费：（人民币大写）</w:t>
      </w:r>
      <w:r>
        <w:rPr>
          <w:rFonts w:ascii="仿宋" w:hAnsi="仿宋" w:eastAsia="仿宋" w:cs="Times New Roman"/>
          <w:bCs/>
          <w:sz w:val="24"/>
          <w:szCs w:val="24"/>
          <w:u w:val="single"/>
          <w:lang w:eastAsia="zh-CN"/>
        </w:rPr>
        <w:t>XXXX</w:t>
      </w:r>
      <w:r>
        <w:rPr>
          <w:rFonts w:hint="eastAsia" w:ascii="仿宋" w:hAnsi="仿宋" w:eastAsia="仿宋" w:cs="Times New Roman"/>
          <w:bCs/>
          <w:sz w:val="24"/>
          <w:szCs w:val="24"/>
          <w:u w:val="single"/>
          <w:lang w:eastAsia="zh-CN"/>
        </w:rPr>
        <w:t>（</w:t>
      </w:r>
      <w:r>
        <w:rPr>
          <w:rFonts w:ascii="仿宋" w:hAnsi="仿宋" w:eastAsia="仿宋" w:cs="Times New Roman"/>
          <w:bCs/>
          <w:sz w:val="24"/>
          <w:szCs w:val="24"/>
          <w:u w:val="single"/>
          <w:lang w:eastAsia="zh-CN"/>
        </w:rPr>
        <w:t>￥XXXX元）,</w:t>
      </w:r>
      <w:r>
        <w:rPr>
          <w:rFonts w:ascii="仿宋" w:hAnsi="仿宋" w:eastAsia="仿宋"/>
          <w:sz w:val="24"/>
          <w:szCs w:val="24"/>
          <w:lang w:eastAsia="zh-CN"/>
        </w:rPr>
        <w:t>乙方为甲方提供</w:t>
      </w:r>
      <w:r>
        <w:rPr>
          <w:rFonts w:hint="eastAsia" w:ascii="仿宋" w:hAnsi="仿宋" w:eastAsia="仿宋"/>
          <w:sz w:val="24"/>
          <w:szCs w:val="24"/>
          <w:lang w:eastAsia="zh-CN"/>
        </w:rPr>
        <w:t>服务所发生之食、宿、差旅等费用，已包含在本费用中，不再另外计取。乙</w:t>
      </w:r>
      <w:r>
        <w:rPr>
          <w:rFonts w:ascii="仿宋" w:hAnsi="仿宋" w:eastAsia="仿宋"/>
          <w:sz w:val="24"/>
          <w:szCs w:val="24"/>
          <w:lang w:eastAsia="zh-CN"/>
        </w:rPr>
        <w:t>方</w:t>
      </w:r>
      <w:r>
        <w:rPr>
          <w:rFonts w:hint="eastAsia" w:ascii="仿宋" w:hAnsi="仿宋" w:eastAsia="仿宋"/>
          <w:sz w:val="24"/>
          <w:szCs w:val="24"/>
          <w:lang w:eastAsia="zh-CN"/>
        </w:rPr>
        <w:t>向建设单位开具云南省医疗专业票据；</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甲方按体检人数和体检项目向乙方支付体检费约   元（大写：   ），最终按实际体检套餐和体检人数结算。</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2.</w:t>
      </w:r>
      <w:r>
        <w:rPr>
          <w:rFonts w:hint="eastAsia" w:ascii="仿宋" w:hAnsi="仿宋" w:eastAsia="仿宋"/>
          <w:color w:val="000000"/>
          <w:sz w:val="24"/>
          <w:szCs w:val="24"/>
          <w:lang w:eastAsia="zh-CN"/>
        </w:rPr>
        <w:t>未经对方同意，任何一方均不得单方改变体检项目和体检费用。</w:t>
      </w:r>
    </w:p>
    <w:p>
      <w:pPr>
        <w:snapToGrid w:val="0"/>
        <w:spacing w:line="360" w:lineRule="auto"/>
        <w:ind w:left="575"/>
        <w:rPr>
          <w:rFonts w:ascii="仿宋" w:hAnsi="仿宋" w:eastAsia="仿宋"/>
          <w:color w:val="000000"/>
          <w:sz w:val="24"/>
          <w:szCs w:val="24"/>
          <w:lang w:eastAsia="zh-CN"/>
        </w:rPr>
      </w:pPr>
      <w:r>
        <w:rPr>
          <w:rFonts w:hint="eastAsia" w:ascii="仿宋" w:hAnsi="仿宋" w:eastAsia="仿宋"/>
          <w:color w:val="000000"/>
          <w:sz w:val="24"/>
          <w:szCs w:val="24"/>
          <w:lang w:eastAsia="zh-CN"/>
        </w:rPr>
        <w:t>二、费用支付</w:t>
      </w:r>
    </w:p>
    <w:p>
      <w:pPr>
        <w:snapToGrid w:val="0"/>
        <w:spacing w:line="360" w:lineRule="auto"/>
        <w:ind w:left="575"/>
        <w:rPr>
          <w:rFonts w:ascii="仿宋" w:hAnsi="仿宋" w:eastAsia="仿宋"/>
          <w:sz w:val="24"/>
          <w:szCs w:val="24"/>
          <w:u w:val="single"/>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支付方式：</w:t>
      </w:r>
      <w:r>
        <w:rPr>
          <w:rFonts w:hint="eastAsia" w:ascii="仿宋" w:hAnsi="仿宋" w:eastAsia="仿宋"/>
          <w:sz w:val="24"/>
          <w:szCs w:val="24"/>
          <w:u w:val="single"/>
          <w:lang w:eastAsia="zh-CN"/>
        </w:rPr>
        <w:t>乙方</w:t>
      </w:r>
      <w:r>
        <w:rPr>
          <w:rFonts w:ascii="仿宋" w:hAnsi="仿宋" w:eastAsia="仿宋"/>
          <w:sz w:val="24"/>
          <w:szCs w:val="24"/>
          <w:u w:val="single"/>
          <w:lang w:eastAsia="zh-CN"/>
        </w:rPr>
        <w:t>完成</w:t>
      </w:r>
      <w:r>
        <w:rPr>
          <w:rFonts w:hint="eastAsia" w:ascii="仿宋" w:hAnsi="仿宋" w:eastAsia="仿宋"/>
          <w:sz w:val="24"/>
          <w:szCs w:val="24"/>
          <w:u w:val="single"/>
          <w:lang w:eastAsia="zh-CN"/>
        </w:rPr>
        <w:t>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合同义务并向</w:t>
      </w:r>
      <w:r>
        <w:rPr>
          <w:rFonts w:hint="eastAsia" w:ascii="仿宋" w:hAnsi="仿宋" w:eastAsia="仿宋"/>
          <w:sz w:val="24"/>
          <w:szCs w:val="24"/>
          <w:u w:val="single"/>
          <w:lang w:eastAsia="zh-CN"/>
        </w:rPr>
        <w:t>甲方</w:t>
      </w:r>
      <w:r>
        <w:rPr>
          <w:rFonts w:ascii="仿宋" w:hAnsi="仿宋" w:eastAsia="仿宋"/>
          <w:sz w:val="24"/>
          <w:szCs w:val="24"/>
          <w:u w:val="single"/>
          <w:lang w:eastAsia="zh-CN"/>
        </w:rPr>
        <w:t>开具相应</w:t>
      </w:r>
      <w:r>
        <w:rPr>
          <w:rFonts w:hint="eastAsia" w:ascii="仿宋" w:hAnsi="仿宋" w:eastAsia="仿宋"/>
          <w:sz w:val="24"/>
          <w:szCs w:val="24"/>
          <w:u w:val="single"/>
          <w:lang w:eastAsia="zh-CN"/>
        </w:rPr>
        <w:t>合规的云南省医疗专用票据</w:t>
      </w:r>
      <w:r>
        <w:rPr>
          <w:rFonts w:ascii="仿宋" w:hAnsi="仿宋" w:eastAsia="仿宋"/>
          <w:sz w:val="24"/>
          <w:szCs w:val="24"/>
          <w:u w:val="single"/>
          <w:lang w:eastAsia="zh-CN"/>
        </w:rPr>
        <w:t>后</w:t>
      </w:r>
      <w:r>
        <w:rPr>
          <w:rFonts w:hint="eastAsia" w:ascii="仿宋" w:hAnsi="仿宋" w:eastAsia="仿宋"/>
          <w:sz w:val="24"/>
          <w:szCs w:val="24"/>
          <w:u w:val="single"/>
          <w:lang w:eastAsia="zh-CN"/>
        </w:rPr>
        <w:t>，甲方向乙方一次性支付相应体检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对应合同金额</w:t>
      </w:r>
      <w:r>
        <w:rPr>
          <w:rFonts w:hint="eastAsia" w:ascii="仿宋" w:hAnsi="仿宋" w:eastAsia="仿宋"/>
          <w:sz w:val="24"/>
          <w:szCs w:val="24"/>
          <w:lang w:eastAsia="zh-CN"/>
        </w:rPr>
        <w:t>。</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1</w:t>
      </w:r>
      <w:r>
        <w:rPr>
          <w:rFonts w:hint="eastAsia" w:ascii="仿宋" w:hAnsi="仿宋" w:eastAsia="仿宋"/>
          <w:color w:val="000000"/>
          <w:sz w:val="24"/>
          <w:szCs w:val="24"/>
          <w:lang w:eastAsia="zh-CN"/>
        </w:rPr>
        <w:t>甲方按下列期限将体检费转账支付到乙方的账户上。</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1.2</w:t>
      </w:r>
      <w:r>
        <w:rPr>
          <w:rFonts w:hint="eastAsia" w:ascii="仿宋" w:hAnsi="仿宋" w:eastAsia="仿宋"/>
          <w:color w:val="000000"/>
          <w:sz w:val="24"/>
          <w:szCs w:val="24"/>
          <w:lang w:eastAsia="zh-CN"/>
        </w:rPr>
        <w:t>乙方于体检结束后向甲方开具云南省医疗专用票据，按实际体检人数结算，甲方应于收到发票后30个工作日内向乙方支付体检费用。</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1.3</w:t>
      </w:r>
      <w:r>
        <w:rPr>
          <w:rFonts w:hint="eastAsia" w:ascii="仿宋" w:hAnsi="仿宋" w:eastAsia="仿宋"/>
          <w:sz w:val="24"/>
          <w:szCs w:val="24"/>
          <w:lang w:val="zh-CN" w:eastAsia="zh-CN"/>
        </w:rPr>
        <w:t>本协议签署后，全部体检完成后或者合作期到期后（以最先到期的时间为准），甲方根据实际参检人数及对应的体检套餐价格同□乙方/□各体检门店结算。</w:t>
      </w:r>
    </w:p>
    <w:p>
      <w:pPr>
        <w:spacing w:before="120" w:beforeLines="50" w:line="440" w:lineRule="exact"/>
        <w:ind w:firstLine="480" w:firstLineChars="200"/>
        <w:rPr>
          <w:rFonts w:ascii="仿宋" w:hAnsi="仿宋" w:eastAsia="仿宋"/>
          <w:sz w:val="24"/>
          <w:szCs w:val="24"/>
          <w:lang w:eastAsia="zh-CN"/>
        </w:rPr>
      </w:pPr>
      <w:r>
        <w:rPr>
          <w:rFonts w:ascii="仿宋" w:hAnsi="仿宋" w:eastAsia="仿宋"/>
          <w:sz w:val="24"/>
          <w:szCs w:val="24"/>
          <w:lang w:val="zh-CN" w:eastAsia="zh-CN"/>
        </w:rPr>
        <w:t>1.</w:t>
      </w:r>
      <w:r>
        <w:rPr>
          <w:rFonts w:hint="eastAsia" w:ascii="仿宋" w:hAnsi="仿宋" w:eastAsia="仿宋"/>
          <w:sz w:val="24"/>
          <w:szCs w:val="24"/>
          <w:lang w:val="zh-CN" w:eastAsia="zh-CN"/>
        </w:rPr>
        <w:t>4</w:t>
      </w:r>
      <w:r>
        <w:rPr>
          <w:rFonts w:hint="eastAsia" w:ascii="仿宋" w:hAnsi="仿宋" w:eastAsia="仿宋"/>
          <w:sz w:val="24"/>
          <w:szCs w:val="24"/>
          <w:lang w:eastAsia="zh-CN"/>
        </w:rPr>
        <w:t>若甲方体检时间超过3个月的，则自乙方收到甲方支付的预付款（若有）之日起，每月根据实际参检的人数及对应的体检套餐价格与</w:t>
      </w:r>
      <w:r>
        <w:rPr>
          <w:rFonts w:hint="eastAsia" w:ascii="仿宋" w:hAnsi="仿宋" w:eastAsia="仿宋"/>
          <w:sz w:val="24"/>
          <w:szCs w:val="24"/>
          <w:lang w:val="zh-CN" w:eastAsia="zh-CN"/>
        </w:rPr>
        <w:t>□乙方/□各体检门店</w:t>
      </w:r>
      <w:r>
        <w:rPr>
          <w:rFonts w:hint="eastAsia" w:ascii="仿宋" w:hAnsi="仿宋" w:eastAsia="仿宋"/>
          <w:sz w:val="24"/>
          <w:szCs w:val="24"/>
          <w:lang w:eastAsia="zh-CN"/>
        </w:rPr>
        <w:t>进行对账结算，每月5日进行对账，并于对账完成后5日内支付当月对账款。</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w:t>
      </w:r>
      <w:r>
        <w:rPr>
          <w:rFonts w:hint="eastAsia" w:ascii="仿宋" w:hAnsi="仿宋" w:eastAsia="仿宋"/>
          <w:sz w:val="24"/>
          <w:szCs w:val="24"/>
          <w:lang w:eastAsia="zh-CN"/>
        </w:rPr>
        <w:t>5若在体检过程中因部分受检者的体检事宜或者部分金额争议发生纠纷的，甲方不得因此拖延与</w:t>
      </w:r>
      <w:r>
        <w:rPr>
          <w:rFonts w:hint="eastAsia" w:ascii="仿宋" w:hAnsi="仿宋" w:eastAsia="仿宋"/>
          <w:sz w:val="24"/>
          <w:szCs w:val="24"/>
          <w:lang w:val="zh-CN" w:eastAsia="zh-CN"/>
        </w:rPr>
        <w:t>乙方和/或各体检门店</w:t>
      </w:r>
      <w:r>
        <w:rPr>
          <w:rFonts w:hint="eastAsia" w:ascii="仿宋" w:hAnsi="仿宋" w:eastAsia="仿宋"/>
          <w:sz w:val="24"/>
          <w:szCs w:val="24"/>
          <w:lang w:eastAsia="zh-CN"/>
        </w:rPr>
        <w:t>的结算，甲方仍应就无争议部分的金额按照上述约定予以支付。尚有争议的款项，待双方确认后进行支付。</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三、乙方收款账户信息如下：</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名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行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u w:val="single"/>
          <w:lang w:val="zh-CN" w:eastAsia="zh-CN"/>
        </w:rPr>
      </w:pPr>
      <w:r>
        <w:rPr>
          <w:rFonts w:hint="eastAsia" w:ascii="仿宋" w:hAnsi="仿宋" w:eastAsia="仿宋"/>
          <w:sz w:val="24"/>
          <w:szCs w:val="24"/>
          <w:lang w:val="zh-CN" w:eastAsia="zh-CN"/>
        </w:rPr>
        <w:t>银行帐号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四、乙方和/或各体检门店在收到甲方支付的体检费用后</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内，由乙方和/或各体检门店按以下第【1 】种方式向甲方开具发票：</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1.开具合规的云南省医疗专用票据，发票内容为：</w:t>
      </w:r>
      <w:r>
        <w:rPr>
          <w:rFonts w:hint="eastAsia" w:ascii="仿宋" w:hAnsi="仿宋" w:eastAsia="仿宋"/>
          <w:sz w:val="24"/>
          <w:szCs w:val="24"/>
          <w:u w:val="single"/>
          <w:lang w:val="zh-CN" w:eastAsia="zh-CN"/>
        </w:rPr>
        <w:t xml:space="preserve"> 体检费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2</w:t>
      </w:r>
      <w:r>
        <w:rPr>
          <w:rFonts w:ascii="仿宋" w:hAnsi="仿宋" w:eastAsia="仿宋"/>
          <w:sz w:val="24"/>
          <w:szCs w:val="24"/>
          <w:lang w:val="zh-CN" w:eastAsia="zh-CN"/>
        </w:rPr>
        <w:t>.</w:t>
      </w:r>
      <w:r>
        <w:rPr>
          <w:rFonts w:hint="eastAsia" w:ascii="仿宋" w:hAnsi="仿宋" w:eastAsia="仿宋"/>
          <w:sz w:val="24"/>
          <w:szCs w:val="24"/>
          <w:lang w:val="zh-CN" w:eastAsia="zh-CN"/>
        </w:rPr>
        <w:t>开具税率为【 】%的增值税专用发票，发票内容为：</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val="zh-CN" w:eastAsia="zh-CN"/>
        </w:rPr>
        <w:t>3</w:t>
      </w:r>
      <w:r>
        <w:rPr>
          <w:rFonts w:ascii="仿宋" w:hAnsi="仿宋" w:eastAsia="仿宋"/>
          <w:sz w:val="24"/>
          <w:szCs w:val="24"/>
          <w:lang w:val="zh-CN" w:eastAsia="zh-CN"/>
        </w:rPr>
        <w:t>.</w:t>
      </w: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五、体检服务款按□支票 /□银行转帐/□其他方式进行结算，甲方应按照合同约定的期限支付体检费用，逾期支付的，以应付未付额为基数，按每日1‰向乙方承担违约金。</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六、因甲方原因或受检者个人原因在预约后放弃体检的（包括本协议第一条第四款或第五款约定情形的）或只体检约定项目内容中的部分项目，均视为甲方自愿放弃，该等人员列入实际参检人数结算，该等项目按约定项目结算，乙方不退补或降低相关体检费用。</w:t>
      </w:r>
    </w:p>
    <w:p>
      <w:pPr>
        <w:snapToGrid w:val="0"/>
        <w:spacing w:line="360" w:lineRule="auto"/>
        <w:ind w:left="971"/>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第七条：</w:t>
      </w:r>
      <w:r>
        <w:rPr>
          <w:rFonts w:ascii="仿宋" w:hAnsi="仿宋" w:eastAsia="仿宋"/>
          <w:b/>
          <w:sz w:val="24"/>
          <w:szCs w:val="24"/>
          <w:lang w:eastAsia="zh-CN"/>
        </w:rPr>
        <w:t>保密义务生效</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甲、乙双方在本合同有效期内及本合同有效期届满或终止之日起的</w:t>
      </w:r>
      <w:r>
        <w:rPr>
          <w:rFonts w:ascii="仿宋" w:hAnsi="仿宋" w:eastAsia="仿宋"/>
          <w:sz w:val="24"/>
          <w:szCs w:val="24"/>
          <w:lang w:eastAsia="zh-CN"/>
        </w:rPr>
        <w:t>5</w:t>
      </w:r>
      <w:r>
        <w:rPr>
          <w:rFonts w:hint="eastAsia" w:ascii="仿宋" w:hAnsi="仿宋" w:eastAsia="仿宋"/>
          <w:sz w:val="24"/>
          <w:szCs w:val="24"/>
          <w:lang w:eastAsia="zh-CN"/>
        </w:rPr>
        <w:t>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内应严格保守对方商业秘密。未经双方书面同意不得将保密信息对外发布或披露、提供给任何第三方。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本条在本合同终止或解除后仍继续有效。</w:t>
      </w:r>
    </w:p>
    <w:p>
      <w:pPr>
        <w:tabs>
          <w:tab w:val="left" w:pos="991"/>
        </w:tabs>
        <w:snapToGrid w:val="0"/>
        <w:spacing w:line="360" w:lineRule="auto"/>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第八条：违约与争议</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8.1</w:t>
      </w:r>
      <w:r>
        <w:rPr>
          <w:rFonts w:hint="eastAsia" w:ascii="仿宋" w:hAnsi="仿宋" w:eastAsia="仿宋"/>
          <w:sz w:val="24"/>
          <w:szCs w:val="24"/>
          <w:lang w:eastAsia="zh-CN"/>
        </w:rPr>
        <w:t>未按照本合同约定的履行期限完成工作成果的，</w:t>
      </w:r>
      <w:r>
        <w:rPr>
          <w:rFonts w:ascii="仿宋" w:hAnsi="仿宋" w:eastAsia="仿宋"/>
          <w:sz w:val="24"/>
          <w:szCs w:val="24"/>
          <w:lang w:eastAsia="zh-CN"/>
        </w:rPr>
        <w:t>每延迟1日支付违约金</w:t>
      </w:r>
      <w:r>
        <w:rPr>
          <w:rFonts w:ascii="仿宋" w:hAnsi="仿宋" w:eastAsia="仿宋"/>
          <w:sz w:val="24"/>
          <w:szCs w:val="24"/>
          <w:u w:val="single"/>
          <w:lang w:eastAsia="zh-CN"/>
        </w:rPr>
        <w:t xml:space="preserve">    </w:t>
      </w:r>
      <w:r>
        <w:rPr>
          <w:rFonts w:ascii="仿宋" w:hAnsi="仿宋" w:eastAsia="仿宋"/>
          <w:sz w:val="24"/>
          <w:szCs w:val="24"/>
          <w:lang w:eastAsia="zh-CN"/>
        </w:rPr>
        <w:t>元</w:t>
      </w:r>
      <w:r>
        <w:rPr>
          <w:rFonts w:hint="eastAsia" w:ascii="仿宋" w:hAnsi="仿宋" w:eastAsia="仿宋"/>
          <w:sz w:val="24"/>
          <w:szCs w:val="24"/>
          <w:lang w:eastAsia="zh-CN"/>
        </w:rPr>
        <w:t>；</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8.2</w:t>
      </w:r>
      <w:r>
        <w:rPr>
          <w:rFonts w:hint="eastAsia" w:ascii="仿宋" w:hAnsi="仿宋" w:eastAsia="仿宋"/>
          <w:sz w:val="24"/>
          <w:szCs w:val="24"/>
          <w:lang w:eastAsia="zh-CN"/>
        </w:rPr>
        <w:t>若在合同执行过程中发生争议，甲乙双方应进行友好协商，若协商不成可向项目</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所在地提出仲裁。</w:t>
      </w:r>
    </w:p>
    <w:p>
      <w:pPr>
        <w:tabs>
          <w:tab w:val="left" w:pos="991"/>
        </w:tabs>
        <w:snapToGrid w:val="0"/>
        <w:spacing w:line="360" w:lineRule="auto"/>
        <w:ind w:firstLine="57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第九条：附则</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9.1</w:t>
      </w:r>
      <w:r>
        <w:rPr>
          <w:rFonts w:hint="eastAsia" w:ascii="仿宋" w:hAnsi="仿宋" w:eastAsia="仿宋"/>
          <w:sz w:val="24"/>
          <w:szCs w:val="24"/>
          <w:lang w:eastAsia="zh-CN"/>
        </w:rPr>
        <w:t>本合同未尽事宜，甲乙双方可另行协商或签订补充协议，所达成的一致意见或协</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议与本合同具有同等效力。</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9.2</w:t>
      </w:r>
      <w:r>
        <w:rPr>
          <w:rFonts w:hint="eastAsia" w:ascii="仿宋" w:hAnsi="仿宋" w:eastAsia="仿宋"/>
          <w:sz w:val="24"/>
          <w:szCs w:val="24"/>
          <w:lang w:eastAsia="zh-CN"/>
        </w:rPr>
        <w:t>本合同经双方加盖公章及法定代表人或委托代表人签名即生效。</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 xml:space="preserve">9.3 </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，乙方执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w:t>
      </w:r>
      <w:r>
        <w:rPr>
          <w:rFonts w:ascii="仿宋" w:hAnsi="仿宋" w:eastAsia="仿宋"/>
          <w:sz w:val="24"/>
          <w:szCs w:val="24"/>
          <w:lang w:eastAsia="zh-CN"/>
        </w:rPr>
        <w:br w:type="page"/>
      </w:r>
    </w:p>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（本页无正文）</w:t>
      </w:r>
    </w:p>
    <w:p>
      <w:pPr>
        <w:tabs>
          <w:tab w:val="left" w:pos="0"/>
        </w:tabs>
        <w:spacing w:line="360" w:lineRule="auto"/>
        <w:ind w:right="26"/>
        <w:rPr>
          <w:rFonts w:ascii="仿宋" w:hAnsi="仿宋" w:eastAsia="仿宋"/>
          <w:sz w:val="24"/>
          <w:szCs w:val="24"/>
        </w:rPr>
      </w:pPr>
    </w:p>
    <w:tbl>
      <w:tblPr>
        <w:tblStyle w:val="30"/>
        <w:tblW w:w="8789" w:type="dxa"/>
        <w:tblInd w:w="0" w:type="dxa"/>
        <w:tblLayout w:type="autofit"/>
        <w:tblCellMar>
          <w:top w:w="0" w:type="dxa"/>
          <w:left w:w="108" w:type="dxa"/>
          <w:bottom w:w="0" w:type="dxa"/>
          <w:right w:w="108" w:type="dxa"/>
        </w:tblCellMar>
      </w:tblPr>
      <w:tblGrid>
        <w:gridCol w:w="4395"/>
        <w:gridCol w:w="4394"/>
      </w:tblGrid>
      <w:tr>
        <w:tblPrEx>
          <w:tblCellMar>
            <w:top w:w="0" w:type="dxa"/>
            <w:left w:w="108" w:type="dxa"/>
            <w:bottom w:w="0" w:type="dxa"/>
            <w:right w:w="108" w:type="dxa"/>
          </w:tblCellMar>
        </w:tblPrEx>
        <w:trPr>
          <w:trHeight w:val="356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甲方（公章）：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乙方（公章）：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left="1200" w:right="26" w:hanging="1200" w:hangingChars="50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r>
      <w:tr>
        <w:tblPrEx>
          <w:tblCellMar>
            <w:top w:w="0" w:type="dxa"/>
            <w:left w:w="108" w:type="dxa"/>
            <w:bottom w:w="0" w:type="dxa"/>
            <w:right w:w="108" w:type="dxa"/>
          </w:tblCellMar>
        </w:tblPrEx>
        <w:trPr>
          <w:trHeight w:val="1823"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开户银行及账号：</w:t>
            </w:r>
          </w:p>
        </w:tc>
        <w:tc>
          <w:tcPr>
            <w:tcW w:w="4394" w:type="dxa"/>
          </w:tcPr>
          <w:p>
            <w:pPr>
              <w:tabs>
                <w:tab w:val="left" w:pos="0"/>
              </w:tabs>
              <w:spacing w:line="360" w:lineRule="auto"/>
              <w:ind w:left="1920" w:right="26" w:hanging="1920" w:hangingChars="800"/>
              <w:rPr>
                <w:rFonts w:ascii="仿宋" w:hAnsi="仿宋" w:eastAsia="仿宋"/>
                <w:sz w:val="24"/>
                <w:szCs w:val="24"/>
              </w:rPr>
            </w:pPr>
            <w:r>
              <w:rPr>
                <w:rFonts w:hint="eastAsia" w:ascii="仿宋" w:hAnsi="仿宋" w:eastAsia="仿宋"/>
                <w:sz w:val="24"/>
                <w:szCs w:val="24"/>
              </w:rPr>
              <w:t>开户银行及账号：</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r>
      <w:tr>
        <w:tblPrEx>
          <w:tblCellMar>
            <w:top w:w="0" w:type="dxa"/>
            <w:left w:w="108" w:type="dxa"/>
            <w:bottom w:w="0" w:type="dxa"/>
            <w:right w:w="108" w:type="dxa"/>
          </w:tblCellMar>
        </w:tblPrEx>
        <w:trPr>
          <w:trHeight w:val="737" w:hRule="atLeast"/>
        </w:trPr>
        <w:tc>
          <w:tcPr>
            <w:tcW w:w="4395" w:type="dxa"/>
          </w:tcPr>
          <w:p>
            <w:pPr>
              <w:spacing w:line="360" w:lineRule="auto"/>
              <w:textAlignment w:val="bottom"/>
              <w:rPr>
                <w:rFonts w:ascii="仿宋" w:hAnsi="仿宋" w:eastAsia="仿宋"/>
                <w:sz w:val="24"/>
                <w:szCs w:val="24"/>
              </w:rPr>
            </w:pPr>
            <w:r>
              <w:rPr>
                <w:rFonts w:hint="eastAsia" w:ascii="仿宋" w:hAnsi="仿宋" w:eastAsia="仿宋"/>
                <w:sz w:val="24"/>
                <w:szCs w:val="24"/>
              </w:rPr>
              <w:t>订立日期：</w:t>
            </w:r>
            <w:r>
              <w:rPr>
                <w:rFonts w:ascii="仿宋" w:hAnsi="仿宋" w:eastAsia="仿宋"/>
                <w:sz w:val="24"/>
                <w:szCs w:val="24"/>
              </w:rPr>
              <w:t xml:space="preserve"> </w:t>
            </w:r>
            <w:r>
              <w:rPr>
                <w:rFonts w:hint="eastAsia" w:ascii="仿宋" w:hAnsi="仿宋" w:eastAsia="仿宋"/>
                <w:sz w:val="24"/>
                <w:szCs w:val="24"/>
              </w:rPr>
              <w:t>年　月　日</w:t>
            </w:r>
          </w:p>
          <w:p>
            <w:pPr>
              <w:tabs>
                <w:tab w:val="left" w:pos="0"/>
              </w:tabs>
              <w:spacing w:line="360" w:lineRule="auto"/>
              <w:ind w:right="26"/>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lang w:eastAsia="zh-CN"/>
              </w:rPr>
            </w:pPr>
            <w:r>
              <w:rPr>
                <w:rFonts w:hint="eastAsia" w:ascii="仿宋" w:hAnsi="仿宋" w:eastAsia="仿宋"/>
                <w:sz w:val="24"/>
                <w:szCs w:val="24"/>
                <w:lang w:eastAsia="zh-CN"/>
              </w:rPr>
              <w:t>订立日期：</w:t>
            </w:r>
            <w:r>
              <w:rPr>
                <w:rFonts w:ascii="仿宋" w:hAnsi="仿宋" w:eastAsia="仿宋"/>
                <w:sz w:val="24"/>
                <w:szCs w:val="24"/>
                <w:lang w:eastAsia="zh-CN"/>
              </w:rPr>
              <w:t xml:space="preserve"> </w:t>
            </w:r>
            <w:r>
              <w:rPr>
                <w:rFonts w:hint="eastAsia" w:ascii="仿宋" w:hAnsi="仿宋" w:eastAsia="仿宋"/>
                <w:sz w:val="24"/>
                <w:szCs w:val="24"/>
                <w:lang w:eastAsia="zh-CN"/>
              </w:rPr>
              <w:t>年　月　日</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60" w:lineRule="auto"/>
        <w:jc w:val="center"/>
        <w:rPr>
          <w:lang w:eastAsia="zh-CN"/>
        </w:rPr>
      </w:pPr>
    </w:p>
    <w:p>
      <w:pPr>
        <w:spacing w:line="360" w:lineRule="auto"/>
        <w:rPr>
          <w:lang w:eastAsia="zh-CN"/>
        </w:rPr>
      </w:pPr>
    </w:p>
    <w:p>
      <w:pPr>
        <w:spacing w:line="360" w:lineRule="auto"/>
        <w:rPr>
          <w:lang w:eastAsia="zh-CN"/>
        </w:rPr>
      </w:pPr>
    </w:p>
    <w:p>
      <w:pPr>
        <w:rPr>
          <w:rFonts w:ascii="仿宋" w:hAnsi="仿宋" w:eastAsia="仿宋" w:cs="仿宋"/>
          <w:b/>
          <w:sz w:val="24"/>
          <w:szCs w:val="24"/>
          <w:lang w:eastAsia="zh-CN"/>
        </w:rPr>
      </w:pPr>
      <w:r>
        <w:rPr>
          <w:rFonts w:ascii="仿宋_GB2312" w:eastAsia="仿宋_GB2312"/>
          <w:sz w:val="24"/>
          <w:szCs w:val="32"/>
          <w:lang w:eastAsia="zh-CN"/>
        </w:rPr>
        <w:br w:type="page"/>
      </w: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hint="eastAsia" w:ascii="仿宋" w:hAnsi="仿宋" w:eastAsia="仿宋"/>
          <w:sz w:val="24"/>
          <w:szCs w:val="24"/>
          <w:u w:val="single"/>
          <w:lang w:eastAsia="zh-CN"/>
        </w:rPr>
        <w:t>健康体检</w:t>
      </w:r>
      <w:r>
        <w:rPr>
          <w:rFonts w:ascii="仿宋" w:hAnsi="仿宋" w:eastAsia="仿宋"/>
          <w:sz w:val="24"/>
          <w:szCs w:val="24"/>
          <w:lang w:eastAsia="zh-CN"/>
        </w:rPr>
        <w:t>工作，保证</w:t>
      </w:r>
      <w:r>
        <w:rPr>
          <w:rFonts w:hint="eastAsia" w:ascii="仿宋" w:hAnsi="仿宋" w:eastAsia="仿宋"/>
          <w:sz w:val="24"/>
          <w:szCs w:val="24"/>
          <w:lang w:eastAsia="zh-CN"/>
        </w:rPr>
        <w:t>体检</w:t>
      </w:r>
      <w:r>
        <w:rPr>
          <w:rFonts w:ascii="仿宋" w:hAnsi="仿宋" w:eastAsia="仿宋"/>
          <w:sz w:val="24"/>
          <w:szCs w:val="24"/>
          <w:lang w:eastAsia="zh-CN"/>
        </w:rPr>
        <w:t>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w:t>
      </w:r>
      <w:r>
        <w:rPr>
          <w:rFonts w:hint="eastAsia" w:ascii="仿宋" w:hAnsi="仿宋" w:eastAsia="仿宋"/>
          <w:sz w:val="24"/>
          <w:szCs w:val="24"/>
          <w:lang w:eastAsia="zh-CN"/>
        </w:rPr>
        <w:t>服务</w:t>
      </w:r>
      <w:r>
        <w:rPr>
          <w:rFonts w:ascii="仿宋" w:hAnsi="仿宋" w:eastAsia="仿宋"/>
          <w:sz w:val="24"/>
          <w:szCs w:val="24"/>
          <w:lang w:eastAsia="zh-CN"/>
        </w:rPr>
        <w:t>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eastAsia="仿宋" w:asciiTheme="minorEastAsia" w:hAnsiTheme="minorEastAsia"/>
          <w:snapToGrid w:val="0"/>
          <w:sz w:val="24"/>
          <w:szCs w:val="24"/>
          <w:lang w:eastAsia="zh-CN"/>
        </w:rPr>
      </w:pPr>
      <w:r>
        <w:rPr>
          <w:rFonts w:ascii="仿宋" w:hAnsi="仿宋" w:eastAsia="仿宋" w:cs="仿宋"/>
          <w:b/>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0" w:name="扫描0045"/>
      <w:bookmarkEnd w:id="110"/>
      <w:bookmarkStart w:id="111" w:name="_Toc14972588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111"/>
    </w:p>
    <w:p>
      <w:pPr>
        <w:spacing w:line="276" w:lineRule="auto"/>
        <w:rPr>
          <w:rFonts w:eastAsia="仿宋" w:asciiTheme="minorEastAsia" w:hAnsiTheme="minorEastAsia"/>
          <w:snapToGrid w:val="0"/>
          <w:sz w:val="24"/>
          <w:szCs w:val="24"/>
          <w:lang w:eastAsia="zh-CN"/>
        </w:rPr>
      </w:pPr>
      <w:bookmarkStart w:id="112" w:name="扫描0046"/>
      <w:bookmarkEnd w:id="112"/>
      <w:r>
        <w:rPr>
          <w:rFonts w:eastAsia="仿宋" w:asciiTheme="minorEastAsia" w:hAnsiTheme="minorEastAsia"/>
          <w:snapToGrid w:val="0"/>
          <w:sz w:val="24"/>
          <w:szCs w:val="24"/>
          <w:lang w:eastAsia="zh-CN"/>
        </w:rPr>
        <w:br w:type="page"/>
      </w:r>
    </w:p>
    <w:p>
      <w:pPr>
        <w:pStyle w:val="10"/>
        <w:spacing w:line="360" w:lineRule="auto"/>
        <w:rPr>
          <w:rFonts w:ascii="仿宋" w:hAnsi="仿宋" w:eastAsia="仿宋" w:cs="Arial"/>
          <w:b/>
          <w:sz w:val="24"/>
          <w:szCs w:val="24"/>
        </w:rPr>
      </w:pPr>
      <w:bookmarkStart w:id="113" w:name="_Toc334433486"/>
      <w:bookmarkStart w:id="114" w:name="_Toc362534675"/>
      <w:bookmarkStart w:id="115" w:name="_Toc334529916"/>
      <w:r>
        <w:rPr>
          <w:rFonts w:ascii="仿宋" w:hAnsi="仿宋" w:eastAsia="仿宋" w:cs="Arial"/>
          <w:b/>
          <w:sz w:val="24"/>
          <w:szCs w:val="24"/>
        </w:rPr>
        <w:t>1</w:t>
      </w:r>
      <w:r>
        <w:rPr>
          <w:rFonts w:ascii="仿宋" w:hAnsi="仿宋" w:eastAsia="仿宋" w:cs="Arial"/>
          <w:b/>
          <w:sz w:val="24"/>
          <w:szCs w:val="24"/>
        </w:rPr>
        <w:tab/>
      </w:r>
      <w:r>
        <w:rPr>
          <w:rFonts w:hint="eastAsia" w:ascii="仿宋" w:hAnsi="仿宋" w:eastAsia="仿宋" w:cs="Arial"/>
          <w:b/>
          <w:sz w:val="24"/>
          <w:szCs w:val="24"/>
        </w:rPr>
        <w:t>委托内容</w:t>
      </w:r>
    </w:p>
    <w:p>
      <w:pPr>
        <w:pStyle w:val="10"/>
        <w:spacing w:line="360" w:lineRule="auto"/>
        <w:rPr>
          <w:rFonts w:ascii="仿宋" w:hAnsi="仿宋" w:eastAsia="仿宋" w:cs="Arial"/>
          <w:sz w:val="24"/>
          <w:szCs w:val="24"/>
        </w:rPr>
      </w:pPr>
      <w:r>
        <w:rPr>
          <w:rFonts w:ascii="仿宋" w:hAnsi="仿宋" w:eastAsia="仿宋" w:cs="Arial"/>
          <w:sz w:val="24"/>
          <w:szCs w:val="24"/>
        </w:rPr>
        <w:t>1.1</w:t>
      </w:r>
      <w:r>
        <w:rPr>
          <w:rFonts w:hint="eastAsia" w:ascii="仿宋" w:hAnsi="仿宋" w:eastAsia="仿宋" w:cs="Arial"/>
          <w:sz w:val="24"/>
          <w:szCs w:val="24"/>
        </w:rPr>
        <w:t>项目名称：</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2023年梁河糖业员工常规体检            </w:t>
      </w:r>
      <w:r>
        <w:rPr>
          <w:rFonts w:hint="eastAsia" w:ascii="仿宋" w:hAnsi="仿宋" w:eastAsia="仿宋" w:cs="Arial"/>
          <w:sz w:val="24"/>
          <w:szCs w:val="24"/>
        </w:rPr>
        <w:t>项目咨询服务项目</w:t>
      </w:r>
    </w:p>
    <w:p>
      <w:pPr>
        <w:pStyle w:val="10"/>
        <w:spacing w:line="360" w:lineRule="auto"/>
        <w:rPr>
          <w:rFonts w:ascii="仿宋" w:hAnsi="仿宋" w:eastAsia="仿宋" w:cs="Arial"/>
          <w:sz w:val="24"/>
          <w:szCs w:val="24"/>
        </w:rPr>
      </w:pPr>
      <w:r>
        <w:rPr>
          <w:rFonts w:ascii="仿宋" w:hAnsi="仿宋" w:eastAsia="仿宋" w:cs="Arial"/>
          <w:sz w:val="24"/>
          <w:szCs w:val="24"/>
        </w:rPr>
        <w:t>1.2</w:t>
      </w:r>
      <w:r>
        <w:rPr>
          <w:rFonts w:hint="eastAsia" w:ascii="仿宋" w:hAnsi="仿宋" w:eastAsia="仿宋" w:cs="Arial"/>
          <w:sz w:val="24"/>
          <w:szCs w:val="24"/>
        </w:rPr>
        <w:t>项目</w:t>
      </w:r>
      <w:r>
        <w:rPr>
          <w:rFonts w:ascii="仿宋" w:hAnsi="仿宋" w:eastAsia="仿宋" w:cs="Arial"/>
          <w:sz w:val="24"/>
          <w:szCs w:val="24"/>
        </w:rPr>
        <w:t>概况：</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w:t>
      </w:r>
      <w:r>
        <w:rPr>
          <w:rFonts w:hint="eastAsia" w:ascii="仿宋" w:hAnsi="仿宋" w:eastAsia="仿宋" w:cs="Arial"/>
          <w:sz w:val="24"/>
          <w:szCs w:val="24"/>
          <w:u w:val="single"/>
        </w:rPr>
        <w:t>员工常规体检</w:t>
      </w:r>
      <w:r>
        <w:rPr>
          <w:rFonts w:ascii="仿宋" w:hAnsi="仿宋" w:eastAsia="仿宋" w:cs="Arial"/>
          <w:sz w:val="24"/>
          <w:szCs w:val="24"/>
          <w:u w:val="single"/>
        </w:rPr>
        <w:t xml:space="preserve">            </w:t>
      </w:r>
    </w:p>
    <w:p>
      <w:pPr>
        <w:pStyle w:val="10"/>
        <w:spacing w:line="360" w:lineRule="auto"/>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.3</w:t>
      </w:r>
      <w:r>
        <w:rPr>
          <w:rFonts w:hint="eastAsia" w:ascii="仿宋" w:hAnsi="仿宋" w:eastAsia="仿宋" w:cs="Arial"/>
          <w:sz w:val="24"/>
          <w:szCs w:val="24"/>
        </w:rPr>
        <w:t>委托内容：对</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2023年梁河糖业员工常规体检        </w:t>
      </w:r>
      <w:r>
        <w:rPr>
          <w:rFonts w:hint="eastAsia" w:ascii="仿宋" w:hAnsi="仿宋" w:eastAsia="仿宋" w:cs="Arial"/>
          <w:sz w:val="24"/>
          <w:szCs w:val="24"/>
          <w:lang w:val="zh-CN"/>
        </w:rPr>
        <w:t>项目</w:t>
      </w:r>
      <w:r>
        <w:rPr>
          <w:rFonts w:hint="eastAsia" w:ascii="仿宋" w:hAnsi="仿宋" w:eastAsia="仿宋" w:cs="Arial"/>
          <w:sz w:val="24"/>
          <w:szCs w:val="24"/>
        </w:rPr>
        <w:t>的咨询服务，并出具相关咨询报告。</w:t>
      </w:r>
    </w:p>
    <w:p>
      <w:pPr>
        <w:pStyle w:val="10"/>
        <w:spacing w:line="360" w:lineRule="auto"/>
        <w:rPr>
          <w:rFonts w:ascii="仿宋" w:hAnsi="仿宋" w:eastAsia="仿宋" w:cs="Arial"/>
          <w:b/>
          <w:sz w:val="24"/>
          <w:szCs w:val="24"/>
        </w:rPr>
      </w:pPr>
      <w:r>
        <w:rPr>
          <w:rFonts w:ascii="仿宋" w:hAnsi="仿宋" w:eastAsia="仿宋" w:cs="Arial"/>
          <w:b/>
          <w:sz w:val="24"/>
          <w:szCs w:val="24"/>
        </w:rPr>
        <w:t>2</w:t>
      </w:r>
      <w:r>
        <w:rPr>
          <w:rFonts w:ascii="仿宋" w:hAnsi="仿宋" w:eastAsia="仿宋" w:cs="Arial"/>
          <w:b/>
          <w:sz w:val="24"/>
          <w:szCs w:val="24"/>
        </w:rPr>
        <w:tab/>
      </w:r>
      <w:r>
        <w:rPr>
          <w:rFonts w:hint="eastAsia" w:ascii="仿宋" w:hAnsi="仿宋" w:eastAsia="仿宋" w:cs="Arial"/>
          <w:b/>
          <w:sz w:val="24"/>
          <w:szCs w:val="24"/>
        </w:rPr>
        <w:t>委托检测项目</w:t>
      </w:r>
      <w:r>
        <w:rPr>
          <w:rFonts w:ascii="仿宋" w:hAnsi="仿宋" w:eastAsia="仿宋" w:cs="Arial"/>
          <w:b/>
          <w:sz w:val="24"/>
          <w:szCs w:val="24"/>
        </w:rPr>
        <w:t>：</w:t>
      </w:r>
    </w:p>
    <w:p>
      <w:pPr>
        <w:pStyle w:val="10"/>
        <w:spacing w:line="360" w:lineRule="auto"/>
        <w:ind w:firstLine="0"/>
        <w:rPr>
          <w:rFonts w:ascii="仿宋" w:hAnsi="仿宋" w:eastAsia="仿宋" w:cs="Arial"/>
          <w:b/>
          <w:sz w:val="24"/>
          <w:szCs w:val="24"/>
        </w:rPr>
      </w:pP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审计服务、</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法律诉讼、</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环保认证、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质量认证、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专项补助申报、</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热穿透检测、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电力特种实验、</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安全阀检测、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防雷检测、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特种设备检测、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第三方数据检测、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安全服务咨询</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质量要求</w:t>
      </w:r>
    </w:p>
    <w:p>
      <w:pPr>
        <w:pStyle w:val="10"/>
        <w:spacing w:line="360" w:lineRule="auto"/>
        <w:rPr>
          <w:rFonts w:ascii="仿宋" w:hAnsi="仿宋" w:eastAsia="仿宋" w:cs="Arial"/>
          <w:sz w:val="24"/>
          <w:szCs w:val="24"/>
        </w:rPr>
      </w:pPr>
      <w:r>
        <w:rPr>
          <w:rFonts w:ascii="仿宋" w:hAnsi="仿宋" w:eastAsia="仿宋" w:cs="Arial"/>
          <w:sz w:val="24"/>
          <w:szCs w:val="24"/>
        </w:rPr>
        <w:t>本项目的</w:t>
      </w:r>
      <w:r>
        <w:rPr>
          <w:rFonts w:hint="eastAsia" w:ascii="仿宋" w:hAnsi="仿宋" w:eastAsia="仿宋" w:cs="Arial"/>
          <w:sz w:val="24"/>
          <w:szCs w:val="24"/>
        </w:rPr>
        <w:t>咨询</w:t>
      </w:r>
      <w:r>
        <w:rPr>
          <w:rFonts w:ascii="仿宋" w:hAnsi="仿宋" w:eastAsia="仿宋" w:cs="Arial"/>
          <w:sz w:val="24"/>
          <w:szCs w:val="24"/>
        </w:rPr>
        <w:t>、评估过程和成果、报告均必须符合中华人民共和国国家标准和行政主管机关颁布的有关检测、鉴定、评估方面的现行标准、规范、规程、办法、示例；同时在实施过程中如果国家或有关部门颁发了新的技术标准或规范，</w:t>
      </w:r>
      <w:r>
        <w:rPr>
          <w:rFonts w:hint="eastAsia" w:ascii="仿宋" w:hAnsi="仿宋" w:eastAsia="仿宋" w:cs="Arial"/>
          <w:sz w:val="24"/>
          <w:szCs w:val="24"/>
        </w:rPr>
        <w:t>成交人</w:t>
      </w:r>
      <w:r>
        <w:rPr>
          <w:rFonts w:ascii="仿宋" w:hAnsi="仿宋" w:eastAsia="仿宋" w:cs="Arial"/>
          <w:sz w:val="24"/>
          <w:szCs w:val="24"/>
        </w:rPr>
        <w:t>应采用新的标准或规范进行相关工作。</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进度要求</w:t>
      </w:r>
    </w:p>
    <w:p>
      <w:pPr>
        <w:pStyle w:val="10"/>
        <w:spacing w:line="360" w:lineRule="auto"/>
        <w:rPr>
          <w:rFonts w:ascii="仿宋" w:hAnsi="仿宋" w:eastAsia="仿宋" w:cs="Arial"/>
          <w:sz w:val="24"/>
          <w:szCs w:val="24"/>
        </w:rPr>
      </w:pPr>
      <w:r>
        <w:rPr>
          <w:rFonts w:hint="eastAsia" w:ascii="仿宋" w:hAnsi="仿宋" w:eastAsia="仿宋" w:cs="Arial"/>
          <w:sz w:val="24"/>
          <w:szCs w:val="24"/>
        </w:rPr>
        <w:t>须根据本项目咨询进度和相关规定要求分别完成各阶段的咨询服务，并提交各阶段的各项咨询报告，在咨询后15日历天内提交本项目咨询服务情况汇总报告，各项报告均须符合国家和地方政府主管机关现行规定标准；</w:t>
      </w:r>
    </w:p>
    <w:p>
      <w:pPr>
        <w:pStyle w:val="10"/>
        <w:spacing w:line="360" w:lineRule="auto"/>
        <w:rPr>
          <w:rFonts w:ascii="仿宋" w:hAnsi="仿宋" w:eastAsia="仿宋" w:cs="Arial"/>
          <w:sz w:val="24"/>
          <w:szCs w:val="24"/>
        </w:rPr>
      </w:pPr>
      <w:r>
        <w:rPr>
          <w:rFonts w:hint="eastAsia" w:ascii="仿宋" w:hAnsi="仿宋" w:eastAsia="仿宋" w:cs="Arial"/>
          <w:sz w:val="24"/>
          <w:szCs w:val="24"/>
        </w:rPr>
        <w:t>一旦发现问题则必须最迟在发现问题后的0.5个小时内提交短信快报，然后在3个小时内提交纸质书面快报，在24小时内提交正式纸质书面报告。各项报告须分别提供纸质版8套、电子版1套。</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供应商应按本</w:t>
      </w:r>
      <w:r>
        <w:rPr>
          <w:rFonts w:hint="eastAsia" w:ascii="仿宋" w:hAnsi="仿宋" w:eastAsia="仿宋" w:cs="Arial"/>
          <w:sz w:val="24"/>
          <w:szCs w:val="24"/>
        </w:rPr>
        <w:t>竞争性磋商文件第六章“报价一览表、报价明细表”填写响应报价。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供应商所报的报价应考虑到可能发生的所有与完成相关</w:t>
      </w:r>
      <w:r>
        <w:rPr>
          <w:rFonts w:hint="eastAsia" w:ascii="仿宋" w:hAnsi="仿宋" w:eastAsia="仿宋" w:cs="Arial"/>
          <w:sz w:val="24"/>
          <w:szCs w:val="24"/>
        </w:rPr>
        <w:t>咨询</w:t>
      </w:r>
      <w:r>
        <w:rPr>
          <w:rFonts w:ascii="仿宋" w:hAnsi="仿宋" w:eastAsia="仿宋" w:cs="Arial"/>
          <w:sz w:val="24"/>
          <w:szCs w:val="24"/>
        </w:rPr>
        <w:t>服务及履行合同义务有关的一切费用。</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供应商只允许有一个报价，</w:t>
      </w:r>
      <w:r>
        <w:rPr>
          <w:rFonts w:hint="eastAsia" w:ascii="仿宋" w:hAnsi="仿宋" w:eastAsia="仿宋" w:cs="Arial"/>
          <w:sz w:val="24"/>
          <w:szCs w:val="24"/>
        </w:rPr>
        <w:t>采购人不接受有任何有选择的报价。</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本项目预算人民币****万元，此费用包含所有为实施和完成本项目咨询服务工作所</w:t>
      </w:r>
    </w:p>
    <w:p>
      <w:pPr>
        <w:pStyle w:val="10"/>
        <w:tabs>
          <w:tab w:val="left" w:pos="480"/>
          <w:tab w:val="left" w:pos="1957"/>
        </w:tabs>
        <w:spacing w:line="360" w:lineRule="auto"/>
        <w:ind w:left="420" w:firstLine="0"/>
        <w:rPr>
          <w:rFonts w:ascii="仿宋" w:hAnsi="仿宋" w:eastAsia="仿宋" w:cs="Arial"/>
          <w:sz w:val="24"/>
          <w:szCs w:val="24"/>
        </w:rPr>
      </w:pPr>
      <w:r>
        <w:rPr>
          <w:rFonts w:hint="eastAsia" w:ascii="仿宋" w:hAnsi="仿宋" w:eastAsia="仿宋" w:cs="Arial"/>
          <w:sz w:val="24"/>
          <w:szCs w:val="24"/>
        </w:rPr>
        <w:t>需的材料及安装费、劳务费、技术服务费、编制咨询报告、检测仪器设备使用费、机械进退场费、车辆通行费、食宿费、资料费、管理费、规费、保险费、其他一切建设使用费、一切税费以及合同明示或暗示的所有一切风险、责任和义务等，以及为完成本项目咨询服务的利润等所有的服务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投标人的投标报价，应在竞争性磋商文件规定的预算范围内报价；应是按照竞争性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磋商文件中提出的服务期要求、建设地点，完成本招标文件内所规定的工作的全部费用，按包工期、包质量、包安全、包文明、包服务、包工作成果、包结算的组织实施工作及资料整理和备案。质量符合国家和行业现行规定验收标准，确保咨询服务项目及数量能满足相关行政主管部门的施工质量的验收和备案要求。</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供应商须</w:t>
      </w:r>
      <w:r>
        <w:rPr>
          <w:rFonts w:ascii="仿宋" w:hAnsi="仿宋" w:eastAsia="仿宋" w:cs="Arial"/>
          <w:sz w:val="24"/>
          <w:szCs w:val="24"/>
        </w:rPr>
        <w:t>根据</w:t>
      </w:r>
      <w:r>
        <w:rPr>
          <w:rFonts w:hint="eastAsia" w:ascii="仿宋" w:hAnsi="仿宋" w:eastAsia="仿宋" w:cs="Arial"/>
          <w:sz w:val="24"/>
          <w:szCs w:val="24"/>
        </w:rPr>
        <w:t>本项目</w:t>
      </w:r>
      <w:r>
        <w:rPr>
          <w:rFonts w:ascii="仿宋" w:hAnsi="仿宋" w:eastAsia="仿宋" w:cs="Arial"/>
          <w:sz w:val="24"/>
          <w:szCs w:val="24"/>
        </w:rPr>
        <w:t>环境特点及相关的经验，按照安全、经济、合理的原则</w:t>
      </w:r>
      <w:r>
        <w:rPr>
          <w:rFonts w:hint="eastAsia" w:ascii="仿宋" w:hAnsi="仿宋" w:eastAsia="仿宋" w:cs="Arial"/>
          <w:sz w:val="24"/>
          <w:szCs w:val="24"/>
        </w:rPr>
        <w:t>自行进、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行场地条件等事项的现场踏勘工作，并制定可行的咨询服务方案与计划，对各项影响本项目的事宜，应事前在报价时综合考虑，成交后不得因场地条件等因素，提出增加造价等问题。</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响应报价视为按照项目所属地方政府建设工程安全质量监督部门（消防工程须按照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消防主管部门）认可的检测方案进行检测所包含的一切费用，如果成交人方案未能通过建设工程安全质量监督部门的审批，成交人人负责修改使方案通过审批并按照批准的方案进行检测，采购人不会因此增加任何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报价中如有遗漏项目、报价过低或计算错误，责任由报价人承担。</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供应商在磋商阶段及获得成交后合同执行阶段因本项目发生的差旅费、通讯费、招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待费、文印费用等其他费用，均由供应商自行承担。</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其他说明</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供应商须</w:t>
      </w:r>
      <w:r>
        <w:rPr>
          <w:rFonts w:hint="eastAsia" w:ascii="仿宋" w:hAnsi="仿宋" w:eastAsia="仿宋" w:cs="Arial"/>
          <w:sz w:val="24"/>
          <w:szCs w:val="24"/>
        </w:rPr>
        <w:t>做到随叫随到</w:t>
      </w:r>
      <w:r>
        <w:rPr>
          <w:rFonts w:ascii="仿宋" w:hAnsi="仿宋" w:eastAsia="仿宋" w:cs="Arial"/>
          <w:sz w:val="24"/>
          <w:szCs w:val="24"/>
        </w:rPr>
        <w:t>。</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供应商提供的服务，必须符合国家</w:t>
      </w:r>
      <w:r>
        <w:rPr>
          <w:rFonts w:hint="eastAsia" w:ascii="仿宋" w:hAnsi="仿宋" w:eastAsia="仿宋" w:cs="Arial"/>
          <w:sz w:val="24"/>
          <w:szCs w:val="24"/>
        </w:rPr>
        <w:t>和项目所在地相关</w:t>
      </w:r>
      <w:r>
        <w:rPr>
          <w:rFonts w:ascii="仿宋" w:hAnsi="仿宋" w:eastAsia="仿宋" w:cs="Arial"/>
          <w:sz w:val="24"/>
          <w:szCs w:val="24"/>
        </w:rPr>
        <w:t>标准，并对质量负全部责任。</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如遇特殊因素导致服务不能正常提供，供应商必须提前一个月以书面形式发函报</w:t>
      </w:r>
      <w:r>
        <w:rPr>
          <w:rFonts w:hint="eastAsia" w:ascii="仿宋" w:hAnsi="仿宋" w:eastAsia="仿宋" w:cs="Arial"/>
          <w:sz w:val="24"/>
          <w:szCs w:val="24"/>
        </w:rPr>
        <w:t>采</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购人批准。</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采购人将定期或不定期地对咨询项目进行监督检查。</w:t>
      </w:r>
      <w:bookmarkEnd w:id="113"/>
      <w:bookmarkEnd w:id="114"/>
      <w:bookmarkEnd w:id="115"/>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响应有效期：本项目响应有效期为磋商之日起</w:t>
      </w:r>
      <w:r>
        <w:rPr>
          <w:rFonts w:ascii="仿宋" w:hAnsi="仿宋" w:eastAsia="仿宋" w:cs="Arial"/>
          <w:sz w:val="24"/>
          <w:szCs w:val="24"/>
        </w:rPr>
        <w:t>90日历天。响应文件中规定的有效</w:t>
      </w:r>
    </w:p>
    <w:p>
      <w:pPr>
        <w:pStyle w:val="10"/>
        <w:tabs>
          <w:tab w:val="left" w:pos="480"/>
          <w:tab w:val="left" w:pos="1957"/>
        </w:tabs>
        <w:spacing w:line="360" w:lineRule="auto"/>
        <w:ind w:firstLine="0"/>
        <w:rPr>
          <w:rFonts w:ascii="仿宋" w:hAnsi="仿宋" w:eastAsia="仿宋" w:cs="Arial"/>
          <w:sz w:val="24"/>
          <w:szCs w:val="24"/>
        </w:rPr>
      </w:pPr>
      <w:r>
        <w:rPr>
          <w:rFonts w:ascii="仿宋" w:hAnsi="仿宋" w:eastAsia="仿宋" w:cs="Arial"/>
          <w:sz w:val="24"/>
          <w:szCs w:val="24"/>
        </w:rPr>
        <w:t>期短于90日历天的，可以视为无效响应。</w:t>
      </w:r>
    </w:p>
    <w:p>
      <w:pPr>
        <w:pStyle w:val="63"/>
        <w:numPr>
          <w:ilvl w:val="0"/>
          <w:numId w:val="13"/>
        </w:numPr>
        <w:spacing w:line="360" w:lineRule="auto"/>
        <w:ind w:left="0" w:firstLine="420" w:firstLineChars="0"/>
        <w:rPr>
          <w:rFonts w:ascii="仿宋" w:hAnsi="仿宋" w:eastAsia="仿宋" w:cs="Arial"/>
          <w:b/>
          <w:sz w:val="24"/>
          <w:szCs w:val="24"/>
        </w:rPr>
      </w:pPr>
      <w:bookmarkStart w:id="116" w:name="_Toc27324847"/>
      <w:r>
        <w:rPr>
          <w:rFonts w:hint="eastAsia" w:ascii="仿宋" w:hAnsi="仿宋" w:eastAsia="仿宋" w:cs="Arial"/>
          <w:b/>
          <w:sz w:val="24"/>
          <w:szCs w:val="24"/>
        </w:rPr>
        <w:t>响应文件的组成：</w:t>
      </w:r>
      <w:bookmarkEnd w:id="116"/>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响应文件的组成应包括下列部分：</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hint="eastAsia" w:ascii="仿宋" w:hAnsi="仿宋" w:eastAsia="仿宋"/>
          <w:sz w:val="24"/>
          <w:szCs w:val="24"/>
          <w:lang w:eastAsia="zh-CN"/>
        </w:rPr>
        <w:t>法定代表人资格证明书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ascii="仿宋" w:hAnsi="仿宋" w:eastAsia="仿宋"/>
          <w:sz w:val="24"/>
          <w:szCs w:val="24"/>
          <w:lang w:eastAsia="zh-CN"/>
        </w:rPr>
        <w:t>法定代表人</w:t>
      </w:r>
      <w:r>
        <w:rPr>
          <w:rFonts w:hint="eastAsia" w:ascii="仿宋" w:hAnsi="仿宋" w:eastAsia="仿宋"/>
          <w:sz w:val="24"/>
          <w:szCs w:val="24"/>
          <w:lang w:eastAsia="zh-CN"/>
        </w:rPr>
        <w:t>授权委托</w:t>
      </w:r>
      <w:r>
        <w:rPr>
          <w:rFonts w:ascii="仿宋" w:hAnsi="仿宋" w:eastAsia="仿宋"/>
          <w:sz w:val="24"/>
          <w:szCs w:val="24"/>
          <w:lang w:eastAsia="zh-CN"/>
        </w:rPr>
        <w:t>书</w:t>
      </w:r>
    </w:p>
    <w:p>
      <w:pPr>
        <w:spacing w:line="360" w:lineRule="auto"/>
        <w:ind w:firstLine="720" w:firstLineChars="300"/>
        <w:rPr>
          <w:rFonts w:ascii="仿宋" w:hAnsi="仿宋" w:eastAsia="仿宋"/>
          <w:bCs/>
          <w:sz w:val="24"/>
          <w:szCs w:val="24"/>
          <w:lang w:eastAsia="zh-CN"/>
        </w:rPr>
      </w:pPr>
      <w:r>
        <w:rPr>
          <w:rFonts w:hint="eastAsia" w:ascii="仿宋" w:hAnsi="仿宋" w:eastAsia="仿宋" w:cs="Arial"/>
          <w:sz w:val="24"/>
          <w:szCs w:val="24"/>
          <w:lang w:eastAsia="zh-CN"/>
        </w:rPr>
        <w:t>●</w:t>
      </w:r>
      <w:r>
        <w:rPr>
          <w:rFonts w:hint="eastAsia" w:ascii="仿宋" w:hAnsi="仿宋" w:eastAsia="仿宋"/>
          <w:bCs/>
          <w:sz w:val="24"/>
          <w:szCs w:val="24"/>
          <w:lang w:eastAsia="zh-CN"/>
        </w:rPr>
        <w:t>开启一览表</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●供应商基本情况简介</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●响应资格证明文件</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提供复印件并加盖公章，以证明其符合合格条件和具有履行合同的能力。</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1）营业执照</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2）资质证书</w:t>
      </w:r>
      <w:r>
        <w:rPr>
          <w:rFonts w:hint="eastAsia" w:ascii="仿宋" w:hAnsi="仿宋" w:eastAsia="仿宋" w:cs="Arial"/>
          <w:sz w:val="24"/>
          <w:szCs w:val="24"/>
          <w:lang w:eastAsia="zh-CN"/>
        </w:rPr>
        <w:t>、业绩证明资料</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项目组组织框架及组成人员、岗位职责、专业配置和分工、项目负责人及项目组成员资格、简历与业绩简介（每人一页）、及有关资格证明证书（资格证书复印件、技术职称证书复印件、主要经历、业绩证明的复印件）（加盖公章）。</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●针对本项目的咨询服务编制工作方案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①咨询服务</w:t>
      </w:r>
      <w:r>
        <w:rPr>
          <w:rFonts w:hint="eastAsia" w:ascii="仿宋" w:hAnsi="仿宋" w:eastAsia="仿宋"/>
          <w:sz w:val="24"/>
          <w:szCs w:val="24"/>
          <w:lang w:eastAsia="zh-CN"/>
        </w:rPr>
        <w:t>技术方案</w:t>
      </w:r>
    </w:p>
    <w:p>
      <w:pPr>
        <w:spacing w:line="360" w:lineRule="auto"/>
        <w:ind w:firstLine="1200" w:firstLineChars="500"/>
        <w:rPr>
          <w:rFonts w:ascii="仿宋" w:hAnsi="仿宋" w:eastAsia="仿宋"/>
          <w:sz w:val="24"/>
          <w:szCs w:val="24"/>
          <w:lang w:eastAsia="zh-CN"/>
        </w:rPr>
      </w:pPr>
      <w:r>
        <w:rPr>
          <w:rFonts w:hint="eastAsia" w:ascii="仿宋" w:hAnsi="仿宋" w:eastAsia="仿宋"/>
          <w:sz w:val="24"/>
          <w:szCs w:val="24"/>
          <w:lang w:eastAsia="zh-CN"/>
        </w:rPr>
        <w:t>②咨询服务质量、进度控制方案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③</w:t>
      </w:r>
      <w:r>
        <w:rPr>
          <w:rFonts w:hint="eastAsia" w:ascii="仿宋" w:hAnsi="仿宋" w:eastAsia="仿宋"/>
          <w:sz w:val="24"/>
          <w:szCs w:val="24"/>
          <w:lang w:eastAsia="zh-CN"/>
        </w:rPr>
        <w:t>拟投入本项目设备情况及投入方案</w:t>
      </w:r>
    </w:p>
    <w:p>
      <w:pPr>
        <w:spacing w:line="360" w:lineRule="auto"/>
        <w:ind w:firstLine="1200" w:firstLineChars="500"/>
        <w:rPr>
          <w:rFonts w:ascii="仿宋" w:hAnsi="仿宋" w:eastAsia="仿宋" w:cs="Arial"/>
          <w:sz w:val="24"/>
          <w:szCs w:val="24"/>
          <w:lang w:eastAsia="zh-CN"/>
        </w:rPr>
      </w:pPr>
      <w:r>
        <w:rPr>
          <w:rFonts w:hint="eastAsia" w:ascii="仿宋" w:hAnsi="仿宋" w:eastAsia="仿宋"/>
          <w:sz w:val="24"/>
          <w:szCs w:val="24"/>
          <w:lang w:eastAsia="zh-CN"/>
        </w:rPr>
        <w:t>④重点难点分析和合理化建议</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●其他资料</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117" w:name="扫描0047"/>
      <w:bookmarkEnd w:id="117"/>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8" w:name="_Toc149725882"/>
      <w:bookmarkStart w:id="119" w:name="_Toc9414956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118"/>
      <w:bookmarkEnd w:id="119"/>
    </w:p>
    <w:p>
      <w:pPr>
        <w:spacing w:line="276" w:lineRule="auto"/>
        <w:rPr>
          <w:rFonts w:eastAsia="仿宋" w:asciiTheme="minorEastAsia" w:hAnsiTheme="minorEastAsia"/>
          <w:snapToGrid w:val="0"/>
          <w:sz w:val="24"/>
          <w:szCs w:val="24"/>
          <w:lang w:eastAsia="zh-CN"/>
        </w:rPr>
      </w:pPr>
      <w:bookmarkStart w:id="120" w:name="扫描0048"/>
      <w:bookmarkEnd w:id="12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w:t>
      </w:r>
      <w:r>
        <w:rPr>
          <w:rFonts w:eastAsia="仿宋" w:asciiTheme="minorEastAsia" w:hAnsiTheme="minorEastAsia"/>
          <w:snapToGrid w:val="0"/>
          <w:sz w:val="36"/>
          <w:szCs w:val="36"/>
          <w:u w:val="single"/>
          <w:lang w:eastAsia="zh-CN"/>
        </w:rPr>
        <w:t xml:space="preserve">     2023</w:t>
      </w:r>
      <w:r>
        <w:rPr>
          <w:rFonts w:hint="eastAsia" w:eastAsia="仿宋" w:asciiTheme="minorEastAsia" w:hAnsiTheme="minorEastAsia"/>
          <w:snapToGrid w:val="0"/>
          <w:sz w:val="36"/>
          <w:szCs w:val="36"/>
          <w:u w:val="single"/>
          <w:lang w:eastAsia="zh-CN"/>
        </w:rPr>
        <w:t>年梁河糖业员工常规体检</w:t>
      </w:r>
      <w:r>
        <w:rPr>
          <w:rFonts w:eastAsia="仿宋" w:asciiTheme="minorEastAsia" w:hAnsiTheme="minorEastAsia"/>
          <w:snapToGrid w:val="0"/>
          <w:sz w:val="36"/>
          <w:szCs w:val="36"/>
          <w:u w:val="single"/>
          <w:lang w:eastAsia="zh-CN"/>
        </w:rPr>
        <w:t xml:space="preserve">       （项目名称）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咨询服务采购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21" w:name="扫描0049"/>
      <w:bookmarkEnd w:id="12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22" w:name="扫描0050"/>
      <w:bookmarkEnd w:id="122"/>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23" w:name="_bookmark17"/>
      <w:bookmarkEnd w:id="123"/>
      <w:bookmarkStart w:id="124" w:name="_Toc149725883"/>
      <w:r>
        <w:rPr>
          <w:rFonts w:eastAsia="仿宋" w:asciiTheme="minorEastAsia" w:hAnsiTheme="minorEastAsia"/>
          <w:b/>
          <w:bCs/>
          <w:snapToGrid w:val="0"/>
          <w:sz w:val="32"/>
          <w:szCs w:val="32"/>
          <w:lang w:eastAsia="zh-CN"/>
        </w:rPr>
        <w:t>—、响应函</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2"/>
        <w:numPr>
          <w:ilvl w:val="0"/>
          <w:numId w:val="14"/>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5" w:name="扫描0052"/>
      <w:bookmarkEnd w:id="12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6" w:name="_Toc149725884"/>
      <w:r>
        <w:rPr>
          <w:rFonts w:eastAsia="仿宋" w:asciiTheme="minorEastAsia" w:hAnsiTheme="minorEastAsia"/>
          <w:b/>
          <w:bCs/>
          <w:snapToGrid w:val="0"/>
          <w:sz w:val="32"/>
          <w:szCs w:val="32"/>
          <w:lang w:eastAsia="zh-CN"/>
        </w:rPr>
        <w:t>二、授权委托书</w:t>
      </w:r>
      <w:bookmarkEnd w:id="126"/>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7" w:name="扫描0053"/>
      <w:bookmarkEnd w:id="127"/>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8" w:name="_Toc149725885"/>
      <w:r>
        <w:rPr>
          <w:rFonts w:eastAsia="仿宋" w:asciiTheme="minorEastAsia" w:hAnsiTheme="minorEastAsia"/>
          <w:b/>
          <w:bCs/>
          <w:snapToGrid w:val="0"/>
          <w:sz w:val="32"/>
          <w:szCs w:val="32"/>
          <w:lang w:eastAsia="zh-CN"/>
        </w:rPr>
        <w:t>三、联合体协议书</w:t>
      </w:r>
      <w:bookmarkEnd w:id="12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联合体各方承诺不以自己名义单独或参加其他联合体参与本竞争性谈判采购项目。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9" w:name="扫描0054"/>
      <w:bookmarkEnd w:id="12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0" w:name="_Toc149725886"/>
      <w:r>
        <w:rPr>
          <w:rFonts w:eastAsia="仿宋" w:asciiTheme="minorEastAsia" w:hAnsiTheme="minorEastAsia"/>
          <w:b/>
          <w:bCs/>
          <w:snapToGrid w:val="0"/>
          <w:sz w:val="32"/>
          <w:szCs w:val="32"/>
          <w:lang w:eastAsia="zh-CN"/>
        </w:rPr>
        <w:t>四、响应保证金</w:t>
      </w:r>
      <w:bookmarkEnd w:id="13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竞争性谈判采购活动，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1" w:name="扫描0055"/>
      <w:bookmarkEnd w:id="13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2" w:name="_bookmark18"/>
      <w:bookmarkEnd w:id="132"/>
      <w:bookmarkStart w:id="133" w:name="_Toc149725887"/>
      <w:r>
        <w:rPr>
          <w:rFonts w:eastAsia="仿宋" w:asciiTheme="minorEastAsia" w:hAnsiTheme="minorEastAsia"/>
          <w:b/>
          <w:bCs/>
          <w:snapToGrid w:val="0"/>
          <w:sz w:val="32"/>
          <w:szCs w:val="32"/>
          <w:lang w:eastAsia="zh-CN"/>
        </w:rPr>
        <w:t>五、商务和技术偏差表</w:t>
      </w:r>
      <w:bookmarkEnd w:id="133"/>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34" w:name="扫描0056"/>
      <w:bookmarkEnd w:id="134"/>
      <w:r>
        <w:rPr>
          <w:rFonts w:eastAsia="仿宋" w:asciiTheme="minorEastAsia" w:hAnsiTheme="minorEastAsia"/>
          <w:snapToGrid w:val="0"/>
          <w:sz w:val="24"/>
          <w:szCs w:val="24"/>
          <w:lang w:eastAsia="zh-CN"/>
        </w:rPr>
        <w:br w:type="page"/>
      </w:r>
    </w:p>
    <w:p>
      <w:pPr>
        <w:pStyle w:val="5"/>
        <w:jc w:val="center"/>
        <w:rPr>
          <w:rFonts w:eastAsia="仿宋" w:asciiTheme="minorEastAsia" w:hAnsiTheme="minorEastAsia"/>
          <w:b/>
          <w:bCs/>
          <w:snapToGrid w:val="0"/>
          <w:sz w:val="32"/>
          <w:szCs w:val="32"/>
          <w:lang w:eastAsia="zh-CN"/>
        </w:rPr>
      </w:pPr>
      <w:bookmarkStart w:id="135" w:name="_Toc149725888"/>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bookmarkEnd w:id="13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***************项目咨询服务项目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6"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6"/>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7" w:name="_Hlk70079946"/>
      <w:bookmarkEnd w:id="13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8" w:name="扫描0057"/>
      <w:bookmarkEnd w:id="138"/>
    </w:p>
    <w:p>
      <w:pPr>
        <w:rPr>
          <w:rFonts w:eastAsia="仿宋"/>
          <w:lang w:val="zh-CN" w:eastAsia="zh-CN"/>
        </w:rPr>
      </w:pPr>
      <w:bookmarkStart w:id="139" w:name="扫描0058"/>
      <w:bookmarkEnd w:id="139"/>
      <w:bookmarkStart w:id="140" w:name="扫描0059"/>
      <w:bookmarkEnd w:id="140"/>
    </w:p>
    <w:p>
      <w:pPr>
        <w:pStyle w:val="5"/>
        <w:jc w:val="center"/>
        <w:rPr>
          <w:rFonts w:eastAsia="仿宋" w:asciiTheme="minorEastAsia" w:hAnsiTheme="minorEastAsia"/>
          <w:b/>
          <w:bCs/>
          <w:snapToGrid w:val="0"/>
          <w:sz w:val="32"/>
          <w:szCs w:val="32"/>
          <w:lang w:eastAsia="zh-CN"/>
        </w:rPr>
      </w:pPr>
      <w:bookmarkStart w:id="141" w:name="_Toc149725889"/>
      <w:r>
        <w:rPr>
          <w:rFonts w:hint="eastAsia" w:eastAsia="仿宋" w:asciiTheme="minorEastAsia" w:hAnsiTheme="minorEastAsia"/>
          <w:b/>
          <w:bCs/>
          <w:snapToGrid w:val="0"/>
          <w:sz w:val="32"/>
          <w:szCs w:val="32"/>
          <w:lang w:eastAsia="zh-CN"/>
        </w:rPr>
        <w:t>七、响应报价明细表</w:t>
      </w:r>
      <w:bookmarkEnd w:id="141"/>
    </w:p>
    <w:p>
      <w:pPr>
        <w:rPr>
          <w:rFonts w:eastAsia="仿宋"/>
          <w:lang w:eastAsia="zh-CN"/>
        </w:rPr>
      </w:pPr>
    </w:p>
    <w:p>
      <w:pPr>
        <w:pStyle w:val="27"/>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7"/>
        <w:tabs>
          <w:tab w:val="left" w:pos="5580"/>
          <w:tab w:val="left" w:pos="7020"/>
        </w:tabs>
        <w:spacing w:line="360" w:lineRule="auto"/>
        <w:rPr>
          <w:rFonts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768"/>
        <w:gridCol w:w="756"/>
        <w:gridCol w:w="988"/>
        <w:gridCol w:w="864"/>
        <w:gridCol w:w="988"/>
        <w:gridCol w:w="1113"/>
        <w:gridCol w:w="99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大项</w:t>
            </w:r>
          </w:p>
        </w:tc>
        <w:tc>
          <w:tcPr>
            <w:tcW w:w="768" w:type="dxa"/>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864" w:type="dxa"/>
            <w:vAlign w:val="center"/>
          </w:tcPr>
          <w:p>
            <w:pPr>
              <w:jc w:val="center"/>
              <w:rPr>
                <w:rFonts w:ascii="仿宋" w:hAnsi="仿宋" w:eastAsia="仿宋"/>
                <w:sz w:val="24"/>
                <w:szCs w:val="24"/>
              </w:rPr>
            </w:pPr>
            <w:r>
              <w:rPr>
                <w:rFonts w:hint="eastAsia" w:ascii="仿宋" w:hAnsi="仿宋" w:eastAsia="仿宋"/>
                <w:sz w:val="24"/>
                <w:szCs w:val="24"/>
              </w:rPr>
              <w:t>不含税单价</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不含税合价</w:t>
            </w: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1</w:t>
            </w:r>
          </w:p>
        </w:tc>
        <w:tc>
          <w:tcPr>
            <w:tcW w:w="1976" w:type="dxa"/>
            <w:vMerge w:val="restart"/>
            <w:shd w:val="clear" w:color="auto" w:fill="auto"/>
            <w:tcMar>
              <w:top w:w="15" w:type="dxa"/>
              <w:left w:w="15" w:type="dxa"/>
              <w:bottom w:w="0" w:type="dxa"/>
              <w:right w:w="15" w:type="dxa"/>
            </w:tcMar>
            <w:vAlign w:val="center"/>
          </w:tcPr>
          <w:p>
            <w:pPr>
              <w:widowControl/>
              <w:autoSpaceDE/>
              <w:autoSpaceDN/>
              <w:jc w:val="center"/>
              <w:rPr>
                <w:rFonts w:ascii="仿宋" w:hAnsi="仿宋" w:eastAsia="仿宋"/>
                <w:sz w:val="24"/>
                <w:szCs w:val="24"/>
              </w:rPr>
            </w:pPr>
            <w:r>
              <w:rPr>
                <w:rFonts w:hint="eastAsia"/>
                <w:sz w:val="20"/>
                <w:szCs w:val="20"/>
                <w:lang w:eastAsia="zh-CN"/>
              </w:rPr>
              <w:t>临床检查项目</w:t>
            </w:r>
          </w:p>
        </w:tc>
        <w:tc>
          <w:tcPr>
            <w:tcW w:w="768" w:type="dxa"/>
            <w:vAlign w:val="center"/>
          </w:tcPr>
          <w:p>
            <w:pPr>
              <w:widowControl/>
              <w:autoSpaceDE/>
              <w:autoSpaceDN/>
              <w:jc w:val="center"/>
              <w:rPr>
                <w:rFonts w:ascii="仿宋" w:hAnsi="仿宋" w:eastAsia="仿宋"/>
                <w:sz w:val="24"/>
                <w:szCs w:val="24"/>
              </w:rPr>
            </w:pPr>
            <w:r>
              <w:rPr>
                <w:rFonts w:hint="eastAsia"/>
                <w:sz w:val="20"/>
                <w:szCs w:val="20"/>
                <w:lang w:eastAsia="zh-CN"/>
              </w:rPr>
              <w:t>一般体检</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2</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内科</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3</w:t>
            </w:r>
          </w:p>
        </w:tc>
        <w:tc>
          <w:tcPr>
            <w:tcW w:w="1976" w:type="dxa"/>
            <w:vMerge w:val="restart"/>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物理检查项目</w:t>
            </w:r>
          </w:p>
        </w:tc>
        <w:tc>
          <w:tcPr>
            <w:tcW w:w="768" w:type="dxa"/>
            <w:vAlign w:val="center"/>
          </w:tcPr>
          <w:p>
            <w:pPr>
              <w:widowControl/>
              <w:autoSpaceDE/>
              <w:autoSpaceDN/>
              <w:jc w:val="center"/>
              <w:rPr>
                <w:rFonts w:ascii="仿宋" w:hAnsi="仿宋" w:eastAsia="仿宋"/>
                <w:sz w:val="24"/>
                <w:szCs w:val="24"/>
              </w:rPr>
            </w:pPr>
            <w:r>
              <w:rPr>
                <w:rFonts w:hint="eastAsia"/>
                <w:sz w:val="20"/>
                <w:szCs w:val="20"/>
              </w:rPr>
              <w:t>心电图</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4</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胸部CT</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5</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尿素（14C）吹气试验</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6</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甲状腺彩超</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7</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腹盆部彩超</w:t>
            </w:r>
            <w:r>
              <w:rPr>
                <w:rFonts w:hint="eastAsia" w:ascii="仿宋" w:hAnsi="仿宋" w:eastAsia="仿宋"/>
                <w:sz w:val="24"/>
                <w:szCs w:val="24"/>
                <w:lang w:eastAsia="zh-CN"/>
              </w:rPr>
              <w:t>（女：111人）</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8</w:t>
            </w:r>
          </w:p>
        </w:tc>
        <w:tc>
          <w:tcPr>
            <w:tcW w:w="1976" w:type="dxa"/>
            <w:vMerge w:val="restart"/>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实验室检查项目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血常规（24项）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9</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尿常规</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0</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cs="Arial"/>
                <w:sz w:val="24"/>
                <w:szCs w:val="24"/>
                <w:lang w:eastAsia="zh-CN"/>
              </w:rPr>
              <w:t>肝功1号</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1</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cs="Arial"/>
                <w:sz w:val="24"/>
                <w:szCs w:val="24"/>
                <w:lang w:eastAsia="zh-CN"/>
              </w:rPr>
              <w:t>肾功能3项</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12</w:t>
            </w:r>
          </w:p>
        </w:tc>
        <w:tc>
          <w:tcPr>
            <w:tcW w:w="1976" w:type="dxa"/>
            <w:vMerge w:val="continue"/>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血糖</w:t>
            </w:r>
          </w:p>
        </w:tc>
        <w:tc>
          <w:tcPr>
            <w:tcW w:w="756"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center"/>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13</w:t>
            </w:r>
          </w:p>
        </w:tc>
        <w:tc>
          <w:tcPr>
            <w:tcW w:w="1976" w:type="dxa"/>
            <w:vMerge w:val="continue"/>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血脂</w:t>
            </w:r>
          </w:p>
        </w:tc>
        <w:tc>
          <w:tcPr>
            <w:tcW w:w="756"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center"/>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14</w:t>
            </w:r>
          </w:p>
        </w:tc>
        <w:tc>
          <w:tcPr>
            <w:tcW w:w="1976" w:type="dxa"/>
            <w:vMerge w:val="continue"/>
            <w:tcMar>
              <w:top w:w="15" w:type="dxa"/>
              <w:left w:w="15" w:type="dxa"/>
              <w:bottom w:w="0" w:type="dxa"/>
              <w:right w:w="15" w:type="dxa"/>
            </w:tcMar>
            <w:vAlign w:val="center"/>
          </w:tcPr>
          <w:p>
            <w:pPr>
              <w:jc w:val="center"/>
            </w:pPr>
          </w:p>
        </w:tc>
        <w:tc>
          <w:tcPr>
            <w:tcW w:w="768"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甲功三项</w:t>
            </w:r>
          </w:p>
        </w:tc>
        <w:tc>
          <w:tcPr>
            <w:tcW w:w="756"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项</w:t>
            </w:r>
          </w:p>
        </w:tc>
        <w:tc>
          <w:tcPr>
            <w:tcW w:w="988"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1</w:t>
            </w:r>
          </w:p>
        </w:tc>
        <w:tc>
          <w:tcPr>
            <w:tcW w:w="864" w:type="dxa"/>
            <w:tcMar>
              <w:top w:w="15" w:type="dxa"/>
              <w:left w:w="15" w:type="dxa"/>
              <w:bottom w:w="0" w:type="dxa"/>
              <w:right w:w="15" w:type="dxa"/>
            </w:tcMar>
            <w:vAlign w:val="top"/>
          </w:tcPr>
          <w:p>
            <w:pPr>
              <w:jc w:val="center"/>
            </w:pPr>
          </w:p>
        </w:tc>
        <w:tc>
          <w:tcPr>
            <w:tcW w:w="988" w:type="dxa"/>
            <w:tcMar>
              <w:top w:w="15" w:type="dxa"/>
              <w:left w:w="15" w:type="dxa"/>
              <w:bottom w:w="0" w:type="dxa"/>
              <w:right w:w="15" w:type="dxa"/>
            </w:tcMar>
            <w:vAlign w:val="top"/>
          </w:tcPr>
          <w:p>
            <w:pPr>
              <w:jc w:val="center"/>
            </w:pPr>
          </w:p>
        </w:tc>
        <w:tc>
          <w:tcPr>
            <w:tcW w:w="1113" w:type="dxa"/>
            <w:tcMar>
              <w:top w:w="15" w:type="dxa"/>
              <w:left w:w="15" w:type="dxa"/>
              <w:bottom w:w="0" w:type="dxa"/>
              <w:right w:w="15" w:type="dxa"/>
            </w:tcMar>
            <w:vAlign w:val="top"/>
          </w:tcPr>
          <w:p>
            <w:pPr>
              <w:jc w:val="center"/>
            </w:pPr>
          </w:p>
        </w:tc>
        <w:tc>
          <w:tcPr>
            <w:tcW w:w="990" w:type="dxa"/>
            <w:tcMar>
              <w:top w:w="15" w:type="dxa"/>
              <w:left w:w="15" w:type="dxa"/>
              <w:bottom w:w="0" w:type="dxa"/>
              <w:right w:w="15" w:type="dxa"/>
            </w:tcMar>
            <w:vAlign w:val="center"/>
          </w:tcPr>
          <w:p>
            <w:pPr>
              <w:jc w:val="center"/>
            </w:pPr>
          </w:p>
        </w:tc>
        <w:tc>
          <w:tcPr>
            <w:tcW w:w="847" w:type="dxa"/>
            <w:tcMar>
              <w:top w:w="15" w:type="dxa"/>
              <w:left w:w="15" w:type="dxa"/>
              <w:bottom w:w="0" w:type="dxa"/>
              <w:right w:w="15" w:type="dxa"/>
            </w:tcMar>
            <w:vAlign w:val="center"/>
          </w:tcPr>
          <w:p>
            <w:pPr>
              <w:jc w:val="center"/>
            </w:pPr>
          </w:p>
        </w:tc>
      </w:tr>
    </w:tbl>
    <w:p>
      <w:pPr>
        <w:pStyle w:val="27"/>
        <w:spacing w:line="360" w:lineRule="auto"/>
        <w:rPr>
          <w:rFonts w:ascii="仿宋" w:hAnsi="仿宋" w:eastAsia="仿宋" w:cs="Arial"/>
          <w:bCs/>
          <w:sz w:val="24"/>
          <w:szCs w:val="24"/>
        </w:rPr>
      </w:pPr>
      <w:r>
        <w:rPr>
          <w:rFonts w:hint="eastAsia" w:ascii="仿宋" w:hAnsi="仿宋" w:eastAsia="仿宋"/>
          <w:bCs/>
          <w:sz w:val="24"/>
          <w:szCs w:val="24"/>
        </w:rPr>
        <w:t>注：本表为</w:t>
      </w:r>
      <w:r>
        <w:rPr>
          <w:rFonts w:hint="eastAsia" w:ascii="仿宋" w:hAnsi="仿宋" w:eastAsia="仿宋" w:cs="Arial"/>
          <w:bCs/>
          <w:sz w:val="24"/>
          <w:szCs w:val="24"/>
        </w:rPr>
        <w:t>同时为二次报价明细表，须在二次报价时提供。</w:t>
      </w:r>
    </w:p>
    <w:p>
      <w:pPr>
        <w:pStyle w:val="27"/>
        <w:spacing w:line="360" w:lineRule="auto"/>
        <w:rPr>
          <w:rFonts w:ascii="仿宋" w:hAnsi="仿宋" w:eastAsia="仿宋"/>
          <w:bCs/>
          <w:sz w:val="24"/>
          <w:szCs w:val="24"/>
        </w:rPr>
      </w:pP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2" w:name="_bookmark20"/>
      <w:bookmarkEnd w:id="142"/>
      <w:bookmarkStart w:id="143" w:name="_Toc149725890"/>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43"/>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4" w:name="扫描0064"/>
      <w:bookmarkEnd w:id="14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咨询</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5" w:name="扫描0066"/>
      <w:bookmarkEnd w:id="14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6" w:name="_Toc149725891"/>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7" w:name="扫描0069"/>
      <w:bookmarkEnd w:id="14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48" w:name="_bookmark23"/>
      <w:bookmarkEnd w:id="148"/>
      <w:bookmarkStart w:id="149" w:name="_Toc149725892"/>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150" w:name="_Toc149725893"/>
      <w:r>
        <w:rPr>
          <w:rFonts w:hint="eastAsia" w:eastAsia="仿宋" w:asciiTheme="minorEastAsia" w:hAnsiTheme="minorEastAsia"/>
          <w:b/>
          <w:bCs/>
          <w:snapToGrid w:val="0"/>
          <w:sz w:val="32"/>
          <w:szCs w:val="32"/>
          <w:lang w:eastAsia="zh-CN"/>
        </w:rPr>
        <w:t>十一、保密承诺书</w:t>
      </w:r>
      <w:bookmarkEnd w:id="150"/>
    </w:p>
    <w:p>
      <w:pPr>
        <w:rPr>
          <w:rFonts w:eastAsia="仿宋"/>
          <w:lang w:eastAsia="zh-CN"/>
        </w:rPr>
      </w:pPr>
    </w:p>
    <w:p>
      <w:pPr>
        <w:pStyle w:val="12"/>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2"/>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2"/>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2"/>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2"/>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64</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8"/>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4B60A30"/>
    <w:multiLevelType w:val="multilevel"/>
    <w:tmpl w:val="24B60A30"/>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E847EF0"/>
    <w:multiLevelType w:val="multilevel"/>
    <w:tmpl w:val="3E847EF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0"/>
  </w:num>
  <w:num w:numId="3">
    <w:abstractNumId w:val="15"/>
  </w:num>
  <w:num w:numId="4">
    <w:abstractNumId w:val="12"/>
  </w:num>
  <w:num w:numId="5">
    <w:abstractNumId w:val="6"/>
  </w:num>
  <w:num w:numId="6">
    <w:abstractNumId w:val="17"/>
  </w:num>
  <w:num w:numId="7">
    <w:abstractNumId w:val="0"/>
  </w:num>
  <w:num w:numId="8">
    <w:abstractNumId w:val="19"/>
  </w:num>
  <w:num w:numId="9">
    <w:abstractNumId w:val="1"/>
  </w:num>
  <w:num w:numId="10">
    <w:abstractNumId w:val="16"/>
  </w:num>
  <w:num w:numId="11">
    <w:abstractNumId w:val="13"/>
  </w:num>
  <w:num w:numId="12">
    <w:abstractNumId w:val="8"/>
  </w:num>
  <w:num w:numId="13">
    <w:abstractNumId w:val="5"/>
  </w:num>
  <w:num w:numId="14">
    <w:abstractNumId w:val="11"/>
  </w:num>
  <w:num w:numId="15">
    <w:abstractNumId w:val="2"/>
  </w:num>
  <w:num w:numId="16">
    <w:abstractNumId w:val="14"/>
  </w:num>
  <w:num w:numId="17">
    <w:abstractNumId w:val="18"/>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1536"/>
    <w:rsid w:val="00004BB1"/>
    <w:rsid w:val="00007EE5"/>
    <w:rsid w:val="000107F6"/>
    <w:rsid w:val="00011702"/>
    <w:rsid w:val="000157AC"/>
    <w:rsid w:val="00016CFE"/>
    <w:rsid w:val="0002380B"/>
    <w:rsid w:val="00024320"/>
    <w:rsid w:val="00031CBC"/>
    <w:rsid w:val="00033E28"/>
    <w:rsid w:val="00040D24"/>
    <w:rsid w:val="00041B76"/>
    <w:rsid w:val="00045B1B"/>
    <w:rsid w:val="000465B1"/>
    <w:rsid w:val="00051A53"/>
    <w:rsid w:val="00053D78"/>
    <w:rsid w:val="000567A3"/>
    <w:rsid w:val="00061944"/>
    <w:rsid w:val="00066AA6"/>
    <w:rsid w:val="00067F35"/>
    <w:rsid w:val="00070E65"/>
    <w:rsid w:val="00073A9F"/>
    <w:rsid w:val="00076BE0"/>
    <w:rsid w:val="000770B9"/>
    <w:rsid w:val="00081B4E"/>
    <w:rsid w:val="00081BF4"/>
    <w:rsid w:val="00087B13"/>
    <w:rsid w:val="0009117D"/>
    <w:rsid w:val="000916CA"/>
    <w:rsid w:val="000948CC"/>
    <w:rsid w:val="00096AD3"/>
    <w:rsid w:val="00097531"/>
    <w:rsid w:val="000A02EE"/>
    <w:rsid w:val="000A3246"/>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07A"/>
    <w:rsid w:val="000D31FB"/>
    <w:rsid w:val="000D48AE"/>
    <w:rsid w:val="000E04B4"/>
    <w:rsid w:val="000E1DFF"/>
    <w:rsid w:val="000E3B19"/>
    <w:rsid w:val="000E4353"/>
    <w:rsid w:val="000E47A6"/>
    <w:rsid w:val="000E53D3"/>
    <w:rsid w:val="000E69FA"/>
    <w:rsid w:val="000E6AEE"/>
    <w:rsid w:val="000F59C1"/>
    <w:rsid w:val="001031B1"/>
    <w:rsid w:val="00105A40"/>
    <w:rsid w:val="00111574"/>
    <w:rsid w:val="00117D55"/>
    <w:rsid w:val="00120B4A"/>
    <w:rsid w:val="00122A92"/>
    <w:rsid w:val="00123FEA"/>
    <w:rsid w:val="0012639E"/>
    <w:rsid w:val="0012772B"/>
    <w:rsid w:val="00127798"/>
    <w:rsid w:val="00130025"/>
    <w:rsid w:val="00136542"/>
    <w:rsid w:val="00143C76"/>
    <w:rsid w:val="00145734"/>
    <w:rsid w:val="00156522"/>
    <w:rsid w:val="001578A4"/>
    <w:rsid w:val="00160EDC"/>
    <w:rsid w:val="0016160A"/>
    <w:rsid w:val="00170926"/>
    <w:rsid w:val="00172B3D"/>
    <w:rsid w:val="00174C59"/>
    <w:rsid w:val="00175DB1"/>
    <w:rsid w:val="00177A4E"/>
    <w:rsid w:val="001801A8"/>
    <w:rsid w:val="00180A49"/>
    <w:rsid w:val="001901A9"/>
    <w:rsid w:val="00190605"/>
    <w:rsid w:val="00192D03"/>
    <w:rsid w:val="00192D8A"/>
    <w:rsid w:val="001935EF"/>
    <w:rsid w:val="00196A74"/>
    <w:rsid w:val="001974C1"/>
    <w:rsid w:val="001A0A45"/>
    <w:rsid w:val="001A2220"/>
    <w:rsid w:val="001B15D2"/>
    <w:rsid w:val="001B2985"/>
    <w:rsid w:val="001B2B23"/>
    <w:rsid w:val="001B4724"/>
    <w:rsid w:val="001B4FFF"/>
    <w:rsid w:val="001C1706"/>
    <w:rsid w:val="001C23E4"/>
    <w:rsid w:val="001C5CD7"/>
    <w:rsid w:val="001C7572"/>
    <w:rsid w:val="001C77CB"/>
    <w:rsid w:val="001D4387"/>
    <w:rsid w:val="001D533C"/>
    <w:rsid w:val="001D7420"/>
    <w:rsid w:val="001E5559"/>
    <w:rsid w:val="001F5CF6"/>
    <w:rsid w:val="001F6F20"/>
    <w:rsid w:val="00206666"/>
    <w:rsid w:val="00207295"/>
    <w:rsid w:val="00207B35"/>
    <w:rsid w:val="00207BC5"/>
    <w:rsid w:val="00210D60"/>
    <w:rsid w:val="00213F30"/>
    <w:rsid w:val="00214C24"/>
    <w:rsid w:val="00216F18"/>
    <w:rsid w:val="00222901"/>
    <w:rsid w:val="00223077"/>
    <w:rsid w:val="00227CCC"/>
    <w:rsid w:val="00235D33"/>
    <w:rsid w:val="002362E8"/>
    <w:rsid w:val="00237B38"/>
    <w:rsid w:val="002461DC"/>
    <w:rsid w:val="00247558"/>
    <w:rsid w:val="0025007B"/>
    <w:rsid w:val="00252B0C"/>
    <w:rsid w:val="0025392F"/>
    <w:rsid w:val="002552CA"/>
    <w:rsid w:val="0026089D"/>
    <w:rsid w:val="00265C36"/>
    <w:rsid w:val="002670BC"/>
    <w:rsid w:val="0027339C"/>
    <w:rsid w:val="00273F34"/>
    <w:rsid w:val="00275DEF"/>
    <w:rsid w:val="00276E88"/>
    <w:rsid w:val="00277D66"/>
    <w:rsid w:val="00281B05"/>
    <w:rsid w:val="00282E49"/>
    <w:rsid w:val="00286B36"/>
    <w:rsid w:val="00286F33"/>
    <w:rsid w:val="0028786C"/>
    <w:rsid w:val="00294909"/>
    <w:rsid w:val="00295375"/>
    <w:rsid w:val="0029648A"/>
    <w:rsid w:val="0029759B"/>
    <w:rsid w:val="002A26D4"/>
    <w:rsid w:val="002A2FD5"/>
    <w:rsid w:val="002A69F0"/>
    <w:rsid w:val="002A6CC9"/>
    <w:rsid w:val="002A7F78"/>
    <w:rsid w:val="002B3BC0"/>
    <w:rsid w:val="002B4EBD"/>
    <w:rsid w:val="002B560A"/>
    <w:rsid w:val="002B5991"/>
    <w:rsid w:val="002B7043"/>
    <w:rsid w:val="002B713B"/>
    <w:rsid w:val="002B737A"/>
    <w:rsid w:val="002C0B93"/>
    <w:rsid w:val="002C2B96"/>
    <w:rsid w:val="002C3393"/>
    <w:rsid w:val="002C5879"/>
    <w:rsid w:val="002C7206"/>
    <w:rsid w:val="002D2BD8"/>
    <w:rsid w:val="002D3BA9"/>
    <w:rsid w:val="002D403B"/>
    <w:rsid w:val="002D4206"/>
    <w:rsid w:val="002E109D"/>
    <w:rsid w:val="002E2E1A"/>
    <w:rsid w:val="002E464E"/>
    <w:rsid w:val="002E548A"/>
    <w:rsid w:val="002E76EC"/>
    <w:rsid w:val="002F49ED"/>
    <w:rsid w:val="002F6432"/>
    <w:rsid w:val="002F799E"/>
    <w:rsid w:val="002F7CCB"/>
    <w:rsid w:val="00305D73"/>
    <w:rsid w:val="003102A9"/>
    <w:rsid w:val="0032142D"/>
    <w:rsid w:val="00321AD5"/>
    <w:rsid w:val="003253F2"/>
    <w:rsid w:val="0033044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E0A"/>
    <w:rsid w:val="003740F9"/>
    <w:rsid w:val="0038271C"/>
    <w:rsid w:val="00383D44"/>
    <w:rsid w:val="00387C86"/>
    <w:rsid w:val="00393B71"/>
    <w:rsid w:val="00397BD9"/>
    <w:rsid w:val="003A0488"/>
    <w:rsid w:val="003A0D96"/>
    <w:rsid w:val="003A2E0A"/>
    <w:rsid w:val="003A5086"/>
    <w:rsid w:val="003B2A07"/>
    <w:rsid w:val="003B3B4B"/>
    <w:rsid w:val="003B4125"/>
    <w:rsid w:val="003B4700"/>
    <w:rsid w:val="003B60EB"/>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24C5"/>
    <w:rsid w:val="003E37C2"/>
    <w:rsid w:val="003E3BC4"/>
    <w:rsid w:val="003E67AA"/>
    <w:rsid w:val="003E7672"/>
    <w:rsid w:val="003F2179"/>
    <w:rsid w:val="003F2EF6"/>
    <w:rsid w:val="003F3445"/>
    <w:rsid w:val="003F449A"/>
    <w:rsid w:val="003F4EBE"/>
    <w:rsid w:val="003F618F"/>
    <w:rsid w:val="003F7F22"/>
    <w:rsid w:val="00400A29"/>
    <w:rsid w:val="00401A43"/>
    <w:rsid w:val="004023BA"/>
    <w:rsid w:val="0040537D"/>
    <w:rsid w:val="00411422"/>
    <w:rsid w:val="0041293A"/>
    <w:rsid w:val="0041325E"/>
    <w:rsid w:val="00413693"/>
    <w:rsid w:val="00414F8D"/>
    <w:rsid w:val="00415EB5"/>
    <w:rsid w:val="004200AA"/>
    <w:rsid w:val="004248ED"/>
    <w:rsid w:val="00431616"/>
    <w:rsid w:val="004317F5"/>
    <w:rsid w:val="00433A6F"/>
    <w:rsid w:val="004425F3"/>
    <w:rsid w:val="00444E3E"/>
    <w:rsid w:val="004477E5"/>
    <w:rsid w:val="004550D9"/>
    <w:rsid w:val="004557C3"/>
    <w:rsid w:val="0045595D"/>
    <w:rsid w:val="00456684"/>
    <w:rsid w:val="00456EA0"/>
    <w:rsid w:val="00457AE6"/>
    <w:rsid w:val="004628FB"/>
    <w:rsid w:val="0046636E"/>
    <w:rsid w:val="004664D7"/>
    <w:rsid w:val="004667D5"/>
    <w:rsid w:val="004673AE"/>
    <w:rsid w:val="00483B80"/>
    <w:rsid w:val="004864A0"/>
    <w:rsid w:val="00487EB8"/>
    <w:rsid w:val="00492603"/>
    <w:rsid w:val="0049379E"/>
    <w:rsid w:val="004947CB"/>
    <w:rsid w:val="00494CE4"/>
    <w:rsid w:val="0049767E"/>
    <w:rsid w:val="004A3B41"/>
    <w:rsid w:val="004A571B"/>
    <w:rsid w:val="004A5795"/>
    <w:rsid w:val="004A790C"/>
    <w:rsid w:val="004A7B92"/>
    <w:rsid w:val="004B088B"/>
    <w:rsid w:val="004B36F6"/>
    <w:rsid w:val="004B66A2"/>
    <w:rsid w:val="004B6918"/>
    <w:rsid w:val="004B79F8"/>
    <w:rsid w:val="004C06BC"/>
    <w:rsid w:val="004C2B82"/>
    <w:rsid w:val="004C2CFC"/>
    <w:rsid w:val="004C334F"/>
    <w:rsid w:val="004C38F4"/>
    <w:rsid w:val="004C3DC3"/>
    <w:rsid w:val="004C5401"/>
    <w:rsid w:val="004D00C0"/>
    <w:rsid w:val="004D0F2B"/>
    <w:rsid w:val="004D19C8"/>
    <w:rsid w:val="004D3B70"/>
    <w:rsid w:val="004E0DFA"/>
    <w:rsid w:val="004E10E1"/>
    <w:rsid w:val="004E1ADD"/>
    <w:rsid w:val="004E5403"/>
    <w:rsid w:val="004E6C49"/>
    <w:rsid w:val="004E71A2"/>
    <w:rsid w:val="004F054B"/>
    <w:rsid w:val="004F4925"/>
    <w:rsid w:val="004F7A61"/>
    <w:rsid w:val="00500ABE"/>
    <w:rsid w:val="00501131"/>
    <w:rsid w:val="0050645E"/>
    <w:rsid w:val="005109CB"/>
    <w:rsid w:val="00510A59"/>
    <w:rsid w:val="00511124"/>
    <w:rsid w:val="005179C9"/>
    <w:rsid w:val="00524C5A"/>
    <w:rsid w:val="0052633B"/>
    <w:rsid w:val="00530216"/>
    <w:rsid w:val="00531B3A"/>
    <w:rsid w:val="005321E6"/>
    <w:rsid w:val="00536233"/>
    <w:rsid w:val="0055227E"/>
    <w:rsid w:val="005646AB"/>
    <w:rsid w:val="005648A7"/>
    <w:rsid w:val="00566940"/>
    <w:rsid w:val="005672EE"/>
    <w:rsid w:val="00572792"/>
    <w:rsid w:val="00574ED4"/>
    <w:rsid w:val="00580F11"/>
    <w:rsid w:val="00584AF4"/>
    <w:rsid w:val="00584E2B"/>
    <w:rsid w:val="00591CB1"/>
    <w:rsid w:val="005940AE"/>
    <w:rsid w:val="005966B1"/>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F4158"/>
    <w:rsid w:val="005F7B89"/>
    <w:rsid w:val="006019E8"/>
    <w:rsid w:val="0060226B"/>
    <w:rsid w:val="00603E4A"/>
    <w:rsid w:val="0060403A"/>
    <w:rsid w:val="00607F1C"/>
    <w:rsid w:val="006139C6"/>
    <w:rsid w:val="0061428F"/>
    <w:rsid w:val="00616068"/>
    <w:rsid w:val="0062056F"/>
    <w:rsid w:val="0062075A"/>
    <w:rsid w:val="00621B24"/>
    <w:rsid w:val="00622530"/>
    <w:rsid w:val="00622E26"/>
    <w:rsid w:val="006237E6"/>
    <w:rsid w:val="00625419"/>
    <w:rsid w:val="006322CA"/>
    <w:rsid w:val="006328D3"/>
    <w:rsid w:val="00634508"/>
    <w:rsid w:val="00637D5C"/>
    <w:rsid w:val="0064160E"/>
    <w:rsid w:val="00641FDC"/>
    <w:rsid w:val="006420A4"/>
    <w:rsid w:val="00656A37"/>
    <w:rsid w:val="00656DDE"/>
    <w:rsid w:val="006573EC"/>
    <w:rsid w:val="00660043"/>
    <w:rsid w:val="00664639"/>
    <w:rsid w:val="0066535A"/>
    <w:rsid w:val="00672DD2"/>
    <w:rsid w:val="0067528E"/>
    <w:rsid w:val="00681D06"/>
    <w:rsid w:val="00682B06"/>
    <w:rsid w:val="0068404D"/>
    <w:rsid w:val="00686B37"/>
    <w:rsid w:val="00693610"/>
    <w:rsid w:val="00693E08"/>
    <w:rsid w:val="00694982"/>
    <w:rsid w:val="00695E2F"/>
    <w:rsid w:val="006966A4"/>
    <w:rsid w:val="00696C9F"/>
    <w:rsid w:val="006A5397"/>
    <w:rsid w:val="006A6DF2"/>
    <w:rsid w:val="006B1073"/>
    <w:rsid w:val="006B5396"/>
    <w:rsid w:val="006B5EE3"/>
    <w:rsid w:val="006C03F3"/>
    <w:rsid w:val="006C0F82"/>
    <w:rsid w:val="006C1351"/>
    <w:rsid w:val="006C2911"/>
    <w:rsid w:val="006C4DA1"/>
    <w:rsid w:val="006C6AAD"/>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947"/>
    <w:rsid w:val="00705A3C"/>
    <w:rsid w:val="00705D73"/>
    <w:rsid w:val="007103CB"/>
    <w:rsid w:val="00712E67"/>
    <w:rsid w:val="007204B7"/>
    <w:rsid w:val="00720F55"/>
    <w:rsid w:val="0072188F"/>
    <w:rsid w:val="00722A1B"/>
    <w:rsid w:val="00724D73"/>
    <w:rsid w:val="00724E73"/>
    <w:rsid w:val="00732056"/>
    <w:rsid w:val="00733BC8"/>
    <w:rsid w:val="00735688"/>
    <w:rsid w:val="007368F7"/>
    <w:rsid w:val="007434BF"/>
    <w:rsid w:val="007477B6"/>
    <w:rsid w:val="00751014"/>
    <w:rsid w:val="00753E35"/>
    <w:rsid w:val="00756535"/>
    <w:rsid w:val="00757104"/>
    <w:rsid w:val="00761595"/>
    <w:rsid w:val="00762C7D"/>
    <w:rsid w:val="00767A28"/>
    <w:rsid w:val="00770C26"/>
    <w:rsid w:val="00776247"/>
    <w:rsid w:val="007769DB"/>
    <w:rsid w:val="00786703"/>
    <w:rsid w:val="007878B9"/>
    <w:rsid w:val="007909C1"/>
    <w:rsid w:val="0079185B"/>
    <w:rsid w:val="0079328B"/>
    <w:rsid w:val="007B0A60"/>
    <w:rsid w:val="007B36EA"/>
    <w:rsid w:val="007B5A44"/>
    <w:rsid w:val="007B69C7"/>
    <w:rsid w:val="007B765D"/>
    <w:rsid w:val="007C0D3E"/>
    <w:rsid w:val="007C10C9"/>
    <w:rsid w:val="007C2B64"/>
    <w:rsid w:val="007C3BE7"/>
    <w:rsid w:val="007C46BA"/>
    <w:rsid w:val="007C5C72"/>
    <w:rsid w:val="007D230F"/>
    <w:rsid w:val="007D2543"/>
    <w:rsid w:val="007D3131"/>
    <w:rsid w:val="007E0F8C"/>
    <w:rsid w:val="007E2B76"/>
    <w:rsid w:val="007E7564"/>
    <w:rsid w:val="007F0042"/>
    <w:rsid w:val="007F4852"/>
    <w:rsid w:val="007F558E"/>
    <w:rsid w:val="007F569F"/>
    <w:rsid w:val="007F6570"/>
    <w:rsid w:val="007F6E5A"/>
    <w:rsid w:val="007F790B"/>
    <w:rsid w:val="007F79EB"/>
    <w:rsid w:val="0080243C"/>
    <w:rsid w:val="008040AA"/>
    <w:rsid w:val="00804D2C"/>
    <w:rsid w:val="00804FF1"/>
    <w:rsid w:val="00812DEE"/>
    <w:rsid w:val="008146C3"/>
    <w:rsid w:val="00815966"/>
    <w:rsid w:val="0081691B"/>
    <w:rsid w:val="00817D6D"/>
    <w:rsid w:val="00821B33"/>
    <w:rsid w:val="00825D7F"/>
    <w:rsid w:val="0083599F"/>
    <w:rsid w:val="00840972"/>
    <w:rsid w:val="0084405E"/>
    <w:rsid w:val="00845396"/>
    <w:rsid w:val="00846D7B"/>
    <w:rsid w:val="00846E16"/>
    <w:rsid w:val="008479CE"/>
    <w:rsid w:val="00852B68"/>
    <w:rsid w:val="00857653"/>
    <w:rsid w:val="00861B63"/>
    <w:rsid w:val="00861E5D"/>
    <w:rsid w:val="00862566"/>
    <w:rsid w:val="008635EB"/>
    <w:rsid w:val="00865478"/>
    <w:rsid w:val="00866E52"/>
    <w:rsid w:val="008675FC"/>
    <w:rsid w:val="00870F2A"/>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7F44"/>
    <w:rsid w:val="008B02EE"/>
    <w:rsid w:val="008B2EA7"/>
    <w:rsid w:val="008B40C0"/>
    <w:rsid w:val="008C1F6E"/>
    <w:rsid w:val="008C50D6"/>
    <w:rsid w:val="008D04C1"/>
    <w:rsid w:val="008D15DC"/>
    <w:rsid w:val="008D3978"/>
    <w:rsid w:val="008E5393"/>
    <w:rsid w:val="008E6141"/>
    <w:rsid w:val="008E75E3"/>
    <w:rsid w:val="008F055C"/>
    <w:rsid w:val="008F2866"/>
    <w:rsid w:val="008F3516"/>
    <w:rsid w:val="008F6B32"/>
    <w:rsid w:val="00903B7A"/>
    <w:rsid w:val="00906A56"/>
    <w:rsid w:val="009118B5"/>
    <w:rsid w:val="0091288D"/>
    <w:rsid w:val="00916B7D"/>
    <w:rsid w:val="00917CC4"/>
    <w:rsid w:val="00921090"/>
    <w:rsid w:val="0092668E"/>
    <w:rsid w:val="00930CD5"/>
    <w:rsid w:val="0093117F"/>
    <w:rsid w:val="00933F13"/>
    <w:rsid w:val="00935AFA"/>
    <w:rsid w:val="00935C3A"/>
    <w:rsid w:val="0094331D"/>
    <w:rsid w:val="0094464A"/>
    <w:rsid w:val="00946933"/>
    <w:rsid w:val="00946BFA"/>
    <w:rsid w:val="00947216"/>
    <w:rsid w:val="009531CC"/>
    <w:rsid w:val="00953649"/>
    <w:rsid w:val="00953ABB"/>
    <w:rsid w:val="00960BDD"/>
    <w:rsid w:val="00960F40"/>
    <w:rsid w:val="00961748"/>
    <w:rsid w:val="009628AF"/>
    <w:rsid w:val="00964252"/>
    <w:rsid w:val="00965B4C"/>
    <w:rsid w:val="00967E1B"/>
    <w:rsid w:val="0097193C"/>
    <w:rsid w:val="009737F8"/>
    <w:rsid w:val="00973DC3"/>
    <w:rsid w:val="009847C1"/>
    <w:rsid w:val="009865E9"/>
    <w:rsid w:val="00986A7A"/>
    <w:rsid w:val="00987F7E"/>
    <w:rsid w:val="00992600"/>
    <w:rsid w:val="00994FDA"/>
    <w:rsid w:val="0099643B"/>
    <w:rsid w:val="009A53AF"/>
    <w:rsid w:val="009A54F7"/>
    <w:rsid w:val="009A7EC8"/>
    <w:rsid w:val="009B430D"/>
    <w:rsid w:val="009B6D9D"/>
    <w:rsid w:val="009D0425"/>
    <w:rsid w:val="009D5D66"/>
    <w:rsid w:val="009D6991"/>
    <w:rsid w:val="009D70A4"/>
    <w:rsid w:val="009E22F5"/>
    <w:rsid w:val="009E6598"/>
    <w:rsid w:val="009E72B8"/>
    <w:rsid w:val="009F2DCE"/>
    <w:rsid w:val="009F44B3"/>
    <w:rsid w:val="009F4E1B"/>
    <w:rsid w:val="009F4E3D"/>
    <w:rsid w:val="00A02193"/>
    <w:rsid w:val="00A03E77"/>
    <w:rsid w:val="00A04750"/>
    <w:rsid w:val="00A0528B"/>
    <w:rsid w:val="00A0602B"/>
    <w:rsid w:val="00A10824"/>
    <w:rsid w:val="00A10A5D"/>
    <w:rsid w:val="00A11A28"/>
    <w:rsid w:val="00A12E16"/>
    <w:rsid w:val="00A1736C"/>
    <w:rsid w:val="00A17EC4"/>
    <w:rsid w:val="00A17F78"/>
    <w:rsid w:val="00A17FFD"/>
    <w:rsid w:val="00A22DA1"/>
    <w:rsid w:val="00A23F97"/>
    <w:rsid w:val="00A2458C"/>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3CF3"/>
    <w:rsid w:val="00AC42BA"/>
    <w:rsid w:val="00AC5304"/>
    <w:rsid w:val="00AC5A66"/>
    <w:rsid w:val="00AC6F11"/>
    <w:rsid w:val="00AC70A6"/>
    <w:rsid w:val="00AC70F0"/>
    <w:rsid w:val="00AC7BB9"/>
    <w:rsid w:val="00AD2105"/>
    <w:rsid w:val="00AD297B"/>
    <w:rsid w:val="00AD3B6E"/>
    <w:rsid w:val="00AD66C6"/>
    <w:rsid w:val="00AD697A"/>
    <w:rsid w:val="00AD7097"/>
    <w:rsid w:val="00AD75FE"/>
    <w:rsid w:val="00AE0572"/>
    <w:rsid w:val="00AE2D21"/>
    <w:rsid w:val="00AF0629"/>
    <w:rsid w:val="00AF276E"/>
    <w:rsid w:val="00AF2F69"/>
    <w:rsid w:val="00AF3138"/>
    <w:rsid w:val="00AF35CC"/>
    <w:rsid w:val="00AF43AC"/>
    <w:rsid w:val="00AF694E"/>
    <w:rsid w:val="00B0171B"/>
    <w:rsid w:val="00B02627"/>
    <w:rsid w:val="00B02F1F"/>
    <w:rsid w:val="00B049F9"/>
    <w:rsid w:val="00B065D4"/>
    <w:rsid w:val="00B10754"/>
    <w:rsid w:val="00B118DF"/>
    <w:rsid w:val="00B121C2"/>
    <w:rsid w:val="00B15B9A"/>
    <w:rsid w:val="00B15FAE"/>
    <w:rsid w:val="00B20DCE"/>
    <w:rsid w:val="00B23DB0"/>
    <w:rsid w:val="00B26FEF"/>
    <w:rsid w:val="00B27FB7"/>
    <w:rsid w:val="00B30464"/>
    <w:rsid w:val="00B31E6A"/>
    <w:rsid w:val="00B32D09"/>
    <w:rsid w:val="00B41665"/>
    <w:rsid w:val="00B44408"/>
    <w:rsid w:val="00B46B59"/>
    <w:rsid w:val="00B52B93"/>
    <w:rsid w:val="00B57450"/>
    <w:rsid w:val="00B57513"/>
    <w:rsid w:val="00B61B55"/>
    <w:rsid w:val="00B76B99"/>
    <w:rsid w:val="00B76E58"/>
    <w:rsid w:val="00B81AD7"/>
    <w:rsid w:val="00B82382"/>
    <w:rsid w:val="00B83F5B"/>
    <w:rsid w:val="00B84557"/>
    <w:rsid w:val="00B8525B"/>
    <w:rsid w:val="00B85488"/>
    <w:rsid w:val="00B85560"/>
    <w:rsid w:val="00B92551"/>
    <w:rsid w:val="00B937C5"/>
    <w:rsid w:val="00B94A88"/>
    <w:rsid w:val="00B961CC"/>
    <w:rsid w:val="00B965F1"/>
    <w:rsid w:val="00BA7F85"/>
    <w:rsid w:val="00BB235C"/>
    <w:rsid w:val="00BB2708"/>
    <w:rsid w:val="00BB2914"/>
    <w:rsid w:val="00BB434F"/>
    <w:rsid w:val="00BB4C92"/>
    <w:rsid w:val="00BB6F83"/>
    <w:rsid w:val="00BC406E"/>
    <w:rsid w:val="00BC62DD"/>
    <w:rsid w:val="00BD1189"/>
    <w:rsid w:val="00BD1759"/>
    <w:rsid w:val="00BD44E8"/>
    <w:rsid w:val="00BD4D53"/>
    <w:rsid w:val="00BD633F"/>
    <w:rsid w:val="00BE0C80"/>
    <w:rsid w:val="00BE2079"/>
    <w:rsid w:val="00BE768C"/>
    <w:rsid w:val="00BE7955"/>
    <w:rsid w:val="00BF10AD"/>
    <w:rsid w:val="00BF125B"/>
    <w:rsid w:val="00BF3BBF"/>
    <w:rsid w:val="00BF4552"/>
    <w:rsid w:val="00C01B8C"/>
    <w:rsid w:val="00C07222"/>
    <w:rsid w:val="00C07BB7"/>
    <w:rsid w:val="00C10252"/>
    <w:rsid w:val="00C10C19"/>
    <w:rsid w:val="00C142ED"/>
    <w:rsid w:val="00C14C30"/>
    <w:rsid w:val="00C2063C"/>
    <w:rsid w:val="00C20EE5"/>
    <w:rsid w:val="00C225AB"/>
    <w:rsid w:val="00C22DE0"/>
    <w:rsid w:val="00C2463B"/>
    <w:rsid w:val="00C300B3"/>
    <w:rsid w:val="00C343B5"/>
    <w:rsid w:val="00C40401"/>
    <w:rsid w:val="00C40B4A"/>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35B3"/>
    <w:rsid w:val="00C74C26"/>
    <w:rsid w:val="00C74CC5"/>
    <w:rsid w:val="00C75178"/>
    <w:rsid w:val="00C76D62"/>
    <w:rsid w:val="00C81BA9"/>
    <w:rsid w:val="00C8579E"/>
    <w:rsid w:val="00C85D3A"/>
    <w:rsid w:val="00C912D0"/>
    <w:rsid w:val="00C93161"/>
    <w:rsid w:val="00C93CAC"/>
    <w:rsid w:val="00C961F0"/>
    <w:rsid w:val="00C96746"/>
    <w:rsid w:val="00CA1073"/>
    <w:rsid w:val="00CA261C"/>
    <w:rsid w:val="00CA2F3A"/>
    <w:rsid w:val="00CA3A5A"/>
    <w:rsid w:val="00CA5CDF"/>
    <w:rsid w:val="00CB14A7"/>
    <w:rsid w:val="00CB58C9"/>
    <w:rsid w:val="00CB70D6"/>
    <w:rsid w:val="00CB76D4"/>
    <w:rsid w:val="00CC0478"/>
    <w:rsid w:val="00CD1FD3"/>
    <w:rsid w:val="00CD30D0"/>
    <w:rsid w:val="00CD469E"/>
    <w:rsid w:val="00CD7D88"/>
    <w:rsid w:val="00CE0233"/>
    <w:rsid w:val="00CE25A9"/>
    <w:rsid w:val="00CE3F3B"/>
    <w:rsid w:val="00CE4CD7"/>
    <w:rsid w:val="00CE4D20"/>
    <w:rsid w:val="00CE6CE8"/>
    <w:rsid w:val="00CF0D85"/>
    <w:rsid w:val="00CF3057"/>
    <w:rsid w:val="00D002E0"/>
    <w:rsid w:val="00D0045D"/>
    <w:rsid w:val="00D00984"/>
    <w:rsid w:val="00D049FD"/>
    <w:rsid w:val="00D0579C"/>
    <w:rsid w:val="00D1062F"/>
    <w:rsid w:val="00D10FBB"/>
    <w:rsid w:val="00D110DF"/>
    <w:rsid w:val="00D116DC"/>
    <w:rsid w:val="00D1262D"/>
    <w:rsid w:val="00D132FA"/>
    <w:rsid w:val="00D162D9"/>
    <w:rsid w:val="00D16C84"/>
    <w:rsid w:val="00D225EB"/>
    <w:rsid w:val="00D25547"/>
    <w:rsid w:val="00D330B5"/>
    <w:rsid w:val="00D348B7"/>
    <w:rsid w:val="00D352C7"/>
    <w:rsid w:val="00D36A86"/>
    <w:rsid w:val="00D43BD9"/>
    <w:rsid w:val="00D4441B"/>
    <w:rsid w:val="00D44832"/>
    <w:rsid w:val="00D452CD"/>
    <w:rsid w:val="00D47131"/>
    <w:rsid w:val="00D47296"/>
    <w:rsid w:val="00D5234D"/>
    <w:rsid w:val="00D547B5"/>
    <w:rsid w:val="00D57464"/>
    <w:rsid w:val="00D62FEB"/>
    <w:rsid w:val="00D6637C"/>
    <w:rsid w:val="00D665F0"/>
    <w:rsid w:val="00D70683"/>
    <w:rsid w:val="00D7074D"/>
    <w:rsid w:val="00D751DE"/>
    <w:rsid w:val="00D763BD"/>
    <w:rsid w:val="00D82715"/>
    <w:rsid w:val="00D82FF7"/>
    <w:rsid w:val="00D873B3"/>
    <w:rsid w:val="00D87BDB"/>
    <w:rsid w:val="00D90972"/>
    <w:rsid w:val="00D910DF"/>
    <w:rsid w:val="00D9325E"/>
    <w:rsid w:val="00D965D4"/>
    <w:rsid w:val="00D96771"/>
    <w:rsid w:val="00D96F1A"/>
    <w:rsid w:val="00DA0865"/>
    <w:rsid w:val="00DA3CAD"/>
    <w:rsid w:val="00DA4C66"/>
    <w:rsid w:val="00DA4C9D"/>
    <w:rsid w:val="00DA4E51"/>
    <w:rsid w:val="00DB0D99"/>
    <w:rsid w:val="00DB1B06"/>
    <w:rsid w:val="00DB2B82"/>
    <w:rsid w:val="00DB53D4"/>
    <w:rsid w:val="00DB6527"/>
    <w:rsid w:val="00DB793E"/>
    <w:rsid w:val="00DC3364"/>
    <w:rsid w:val="00DC41CA"/>
    <w:rsid w:val="00DC48B8"/>
    <w:rsid w:val="00DD1EC9"/>
    <w:rsid w:val="00DD5943"/>
    <w:rsid w:val="00DE007C"/>
    <w:rsid w:val="00DE19FA"/>
    <w:rsid w:val="00DE228E"/>
    <w:rsid w:val="00DE2B50"/>
    <w:rsid w:val="00DE355B"/>
    <w:rsid w:val="00DE539B"/>
    <w:rsid w:val="00DE6DDB"/>
    <w:rsid w:val="00DE70A2"/>
    <w:rsid w:val="00DE7F9F"/>
    <w:rsid w:val="00DF41CB"/>
    <w:rsid w:val="00DF4FF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31447"/>
    <w:rsid w:val="00E32B76"/>
    <w:rsid w:val="00E331E0"/>
    <w:rsid w:val="00E33739"/>
    <w:rsid w:val="00E352FD"/>
    <w:rsid w:val="00E35497"/>
    <w:rsid w:val="00E365BA"/>
    <w:rsid w:val="00E36E47"/>
    <w:rsid w:val="00E370E6"/>
    <w:rsid w:val="00E37580"/>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93DB4"/>
    <w:rsid w:val="00EA085D"/>
    <w:rsid w:val="00EA0D41"/>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2145"/>
    <w:rsid w:val="00EF5F95"/>
    <w:rsid w:val="00F02006"/>
    <w:rsid w:val="00F03AB0"/>
    <w:rsid w:val="00F047D7"/>
    <w:rsid w:val="00F072AD"/>
    <w:rsid w:val="00F079E5"/>
    <w:rsid w:val="00F07F97"/>
    <w:rsid w:val="00F124C0"/>
    <w:rsid w:val="00F23DC0"/>
    <w:rsid w:val="00F23EA8"/>
    <w:rsid w:val="00F252F8"/>
    <w:rsid w:val="00F26DD9"/>
    <w:rsid w:val="00F271B8"/>
    <w:rsid w:val="00F32CDB"/>
    <w:rsid w:val="00F33291"/>
    <w:rsid w:val="00F35C1E"/>
    <w:rsid w:val="00F4046D"/>
    <w:rsid w:val="00F41351"/>
    <w:rsid w:val="00F424FB"/>
    <w:rsid w:val="00F429D8"/>
    <w:rsid w:val="00F42FA9"/>
    <w:rsid w:val="00F5245F"/>
    <w:rsid w:val="00F53163"/>
    <w:rsid w:val="00F53669"/>
    <w:rsid w:val="00F53B15"/>
    <w:rsid w:val="00F55E70"/>
    <w:rsid w:val="00F57FD0"/>
    <w:rsid w:val="00F63A6F"/>
    <w:rsid w:val="00F73145"/>
    <w:rsid w:val="00F74684"/>
    <w:rsid w:val="00F81781"/>
    <w:rsid w:val="00F82F2F"/>
    <w:rsid w:val="00F859B1"/>
    <w:rsid w:val="00F8689C"/>
    <w:rsid w:val="00F86F83"/>
    <w:rsid w:val="00F87026"/>
    <w:rsid w:val="00F87D9F"/>
    <w:rsid w:val="00F92310"/>
    <w:rsid w:val="00F926EB"/>
    <w:rsid w:val="00F95E02"/>
    <w:rsid w:val="00F96336"/>
    <w:rsid w:val="00FA3B22"/>
    <w:rsid w:val="00FA5F3B"/>
    <w:rsid w:val="00FB1F69"/>
    <w:rsid w:val="00FB4280"/>
    <w:rsid w:val="00FB4F30"/>
    <w:rsid w:val="00FB52E0"/>
    <w:rsid w:val="00FB5407"/>
    <w:rsid w:val="00FB6414"/>
    <w:rsid w:val="00FB6EB6"/>
    <w:rsid w:val="00FB738F"/>
    <w:rsid w:val="00FC1E60"/>
    <w:rsid w:val="00FC2722"/>
    <w:rsid w:val="00FC3F46"/>
    <w:rsid w:val="00FC40BB"/>
    <w:rsid w:val="00FC4950"/>
    <w:rsid w:val="00FC7586"/>
    <w:rsid w:val="00FD01BC"/>
    <w:rsid w:val="00FD257B"/>
    <w:rsid w:val="00FE1FBD"/>
    <w:rsid w:val="00FE5C49"/>
    <w:rsid w:val="00FE617B"/>
    <w:rsid w:val="00FF1792"/>
    <w:rsid w:val="00FF205A"/>
    <w:rsid w:val="00FF4C2B"/>
    <w:rsid w:val="00FF4F1B"/>
    <w:rsid w:val="00FF6266"/>
    <w:rsid w:val="0C7E7DDA"/>
    <w:rsid w:val="1C5648D0"/>
    <w:rsid w:val="1D0B37C0"/>
    <w:rsid w:val="1EC31BA5"/>
    <w:rsid w:val="1EEB6D66"/>
    <w:rsid w:val="22C72933"/>
    <w:rsid w:val="25D074A1"/>
    <w:rsid w:val="2B6E6D8E"/>
    <w:rsid w:val="2F4623B8"/>
    <w:rsid w:val="3354340B"/>
    <w:rsid w:val="34692B18"/>
    <w:rsid w:val="4AC24D5B"/>
    <w:rsid w:val="4FBD622E"/>
    <w:rsid w:val="520568A5"/>
    <w:rsid w:val="54377E22"/>
    <w:rsid w:val="5B850F54"/>
    <w:rsid w:val="6D7D3FA5"/>
    <w:rsid w:val="784A79C3"/>
    <w:rsid w:val="7BCE3271"/>
    <w:rsid w:val="7F52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qFormat/>
    <w:uiPriority w:val="0"/>
    <w:pPr>
      <w:spacing w:line="360" w:lineRule="auto"/>
      <w:jc w:val="center"/>
      <w:outlineLvl w:val="0"/>
    </w:pPr>
    <w:rPr>
      <w:sz w:val="60"/>
      <w:szCs w:val="60"/>
    </w:rPr>
  </w:style>
  <w:style w:type="paragraph" w:styleId="5">
    <w:name w:val="heading 2"/>
    <w:basedOn w:val="1"/>
    <w:unhideWhenUsed/>
    <w:qFormat/>
    <w:uiPriority w:val="0"/>
    <w:pPr>
      <w:outlineLvl w:val="1"/>
    </w:pPr>
    <w:rPr>
      <w:sz w:val="40"/>
      <w:szCs w:val="40"/>
    </w:rPr>
  </w:style>
  <w:style w:type="paragraph" w:styleId="6">
    <w:name w:val="heading 3"/>
    <w:basedOn w:val="1"/>
    <w:link w:val="37"/>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unhideWhenUsed/>
    <w:qFormat/>
    <w:uiPriority w:val="9"/>
    <w:pPr>
      <w:spacing w:line="360" w:lineRule="auto"/>
      <w:ind w:left="978" w:leftChars="700" w:hanging="278"/>
      <w:outlineLvl w:val="5"/>
    </w:pPr>
    <w:rPr>
      <w:bCs/>
      <w:sz w:val="24"/>
      <w:szCs w:val="20"/>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57"/>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Normal Indent"/>
    <w:basedOn w:val="1"/>
    <w:link w:val="62"/>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1">
    <w:name w:val="annotation text"/>
    <w:basedOn w:val="1"/>
    <w:link w:val="48"/>
    <w:qFormat/>
    <w:uiPriority w:val="0"/>
    <w:pPr>
      <w:autoSpaceDE/>
      <w:autoSpaceDN/>
    </w:pPr>
  </w:style>
  <w:style w:type="paragraph" w:styleId="12">
    <w:name w:val="Body Text"/>
    <w:basedOn w:val="1"/>
    <w:link w:val="39"/>
    <w:qFormat/>
    <w:uiPriority w:val="99"/>
    <w:rPr>
      <w:sz w:val="20"/>
      <w:szCs w:val="20"/>
    </w:rPr>
  </w:style>
  <w:style w:type="paragraph" w:styleId="13">
    <w:name w:val="Body Text Indent"/>
    <w:basedOn w:val="1"/>
    <w:link w:val="49"/>
    <w:semiHidden/>
    <w:unhideWhenUsed/>
    <w:qFormat/>
    <w:uiPriority w:val="99"/>
    <w:pPr>
      <w:spacing w:after="120"/>
      <w:ind w:left="420" w:leftChars="200"/>
    </w:p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1"/>
    <w:semiHidden/>
    <w:unhideWhenUsed/>
    <w:qFormat/>
    <w:uiPriority w:val="99"/>
    <w:pPr>
      <w:ind w:left="100" w:leftChars="2500"/>
    </w:pPr>
  </w:style>
  <w:style w:type="paragraph" w:styleId="18">
    <w:name w:val="Balloon Text"/>
    <w:basedOn w:val="1"/>
    <w:link w:val="54"/>
    <w:unhideWhenUsed/>
    <w:qFormat/>
    <w:uiPriority w:val="0"/>
    <w:rPr>
      <w:sz w:val="18"/>
      <w:szCs w:val="18"/>
    </w:rPr>
  </w:style>
  <w:style w:type="paragraph" w:styleId="19">
    <w:name w:val="footer"/>
    <w:basedOn w:val="1"/>
    <w:link w:val="43"/>
    <w:unhideWhenUsed/>
    <w:qFormat/>
    <w:uiPriority w:val="0"/>
    <w:pPr>
      <w:tabs>
        <w:tab w:val="center" w:pos="4153"/>
        <w:tab w:val="right" w:pos="8306"/>
      </w:tabs>
      <w:snapToGrid w:val="0"/>
    </w:pPr>
    <w:rPr>
      <w:sz w:val="18"/>
      <w:szCs w:val="18"/>
    </w:rPr>
  </w:style>
  <w:style w:type="paragraph" w:styleId="20">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qFormat/>
    <w:uiPriority w:val="99"/>
    <w:pPr>
      <w:autoSpaceDE/>
      <w:autoSpaceDN/>
      <w:adjustRightInd w:val="0"/>
      <w:spacing w:line="360" w:lineRule="atLeast"/>
    </w:pPr>
    <w:rPr>
      <w:rFonts w:hAnsi="Courier New" w:cs="Courier New"/>
      <w:sz w:val="21"/>
      <w:szCs w:val="21"/>
      <w:lang w:eastAsia="zh-CN"/>
    </w:rPr>
  </w:style>
  <w:style w:type="paragraph" w:styleId="28">
    <w:name w:val="annotation subject"/>
    <w:basedOn w:val="11"/>
    <w:next w:val="11"/>
    <w:link w:val="51"/>
    <w:unhideWhenUsed/>
    <w:qFormat/>
    <w:uiPriority w:val="0"/>
    <w:pPr>
      <w:autoSpaceDE w:val="0"/>
      <w:autoSpaceDN w:val="0"/>
    </w:pPr>
    <w:rPr>
      <w:b/>
      <w:bCs/>
    </w:rPr>
  </w:style>
  <w:style w:type="paragraph" w:styleId="29">
    <w:name w:val="Body Text First Indent 2"/>
    <w:basedOn w:val="13"/>
    <w:next w:val="1"/>
    <w:link w:val="50"/>
    <w:qFormat/>
    <w:uiPriority w:val="99"/>
    <w:pPr>
      <w:autoSpaceDE/>
      <w:autoSpaceDN/>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character" w:styleId="35">
    <w:name w:val="annotation reference"/>
    <w:basedOn w:val="32"/>
    <w:qFormat/>
    <w:uiPriority w:val="99"/>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2"/>
    <w:link w:val="6"/>
    <w:qFormat/>
    <w:uiPriority w:val="9"/>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2"/>
    <w:link w:val="12"/>
    <w:qFormat/>
    <w:uiPriority w:val="99"/>
    <w:rPr>
      <w:rFonts w:ascii="宋体" w:hAnsi="宋体" w:eastAsia="宋体" w:cs="宋体"/>
      <w:sz w:val="20"/>
      <w:szCs w:val="20"/>
    </w:rPr>
  </w:style>
  <w:style w:type="paragraph" w:styleId="40">
    <w:name w:val="List Paragraph"/>
    <w:basedOn w:val="1"/>
    <w:link w:val="64"/>
    <w:qFormat/>
    <w:uiPriority w:val="34"/>
    <w:pPr>
      <w:ind w:left="390" w:hanging="276"/>
    </w:pPr>
  </w:style>
  <w:style w:type="paragraph" w:customStyle="1" w:styleId="41">
    <w:name w:val="Table Paragraph"/>
    <w:basedOn w:val="1"/>
    <w:qFormat/>
    <w:uiPriority w:val="99"/>
  </w:style>
  <w:style w:type="character" w:customStyle="1" w:styleId="42">
    <w:name w:val="页眉 字符"/>
    <w:basedOn w:val="32"/>
    <w:link w:val="20"/>
    <w:qFormat/>
    <w:uiPriority w:val="0"/>
    <w:rPr>
      <w:rFonts w:ascii="宋体" w:hAnsi="宋体" w:eastAsia="宋体" w:cs="宋体"/>
      <w:sz w:val="18"/>
      <w:szCs w:val="18"/>
    </w:rPr>
  </w:style>
  <w:style w:type="character" w:customStyle="1" w:styleId="43">
    <w:name w:val="页脚 字符"/>
    <w:basedOn w:val="32"/>
    <w:link w:val="19"/>
    <w:qFormat/>
    <w:uiPriority w:val="0"/>
    <w:rPr>
      <w:rFonts w:ascii="宋体" w:hAnsi="宋体" w:eastAsia="宋体" w:cs="宋体"/>
      <w:sz w:val="18"/>
      <w:szCs w:val="18"/>
    </w:rPr>
  </w:style>
  <w:style w:type="paragraph" w:customStyle="1" w:styleId="44">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6"/>
    <w:link w:val="46"/>
    <w:qFormat/>
    <w:uiPriority w:val="0"/>
    <w:pPr>
      <w:keepNext/>
      <w:keepLines/>
      <w:autoSpaceDE/>
      <w:autoSpaceDN/>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2"/>
    <w:link w:val="23"/>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2"/>
    <w:link w:val="11"/>
    <w:qFormat/>
    <w:uiPriority w:val="0"/>
    <w:rPr>
      <w:rFonts w:ascii="宋体" w:hAnsi="宋体" w:eastAsia="宋体" w:cs="宋体"/>
    </w:rPr>
  </w:style>
  <w:style w:type="character" w:customStyle="1" w:styleId="49">
    <w:name w:val="正文文本缩进 字符"/>
    <w:basedOn w:val="32"/>
    <w:link w:val="13"/>
    <w:semiHidden/>
    <w:qFormat/>
    <w:uiPriority w:val="99"/>
    <w:rPr>
      <w:rFonts w:ascii="宋体" w:hAnsi="宋体" w:eastAsia="宋体" w:cs="宋体"/>
    </w:rPr>
  </w:style>
  <w:style w:type="character" w:customStyle="1" w:styleId="50">
    <w:name w:val="正文首行缩进 2 字符"/>
    <w:basedOn w:val="49"/>
    <w:link w:val="29"/>
    <w:qFormat/>
    <w:uiPriority w:val="99"/>
    <w:rPr>
      <w:rFonts w:ascii="宋体" w:hAnsi="宋体" w:eastAsia="宋体" w:cs="宋体"/>
    </w:rPr>
  </w:style>
  <w:style w:type="character" w:customStyle="1" w:styleId="51">
    <w:name w:val="批注主题 字符"/>
    <w:basedOn w:val="48"/>
    <w:link w:val="28"/>
    <w:qFormat/>
    <w:uiPriority w:val="0"/>
    <w:rPr>
      <w:rFonts w:ascii="宋体" w:hAnsi="宋体" w:eastAsia="宋体" w:cs="宋体"/>
      <w:b/>
      <w:bCs/>
    </w:rPr>
  </w:style>
  <w:style w:type="paragraph" w:customStyle="1" w:styleId="52">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2"/>
    <w:semiHidden/>
    <w:unhideWhenUsed/>
    <w:qFormat/>
    <w:uiPriority w:val="99"/>
    <w:rPr>
      <w:color w:val="605E5C"/>
      <w:shd w:val="clear" w:color="auto" w:fill="E1DFDD"/>
    </w:rPr>
  </w:style>
  <w:style w:type="character" w:customStyle="1" w:styleId="54">
    <w:name w:val="批注框文本 字符"/>
    <w:basedOn w:val="32"/>
    <w:link w:val="18"/>
    <w:qFormat/>
    <w:uiPriority w:val="0"/>
    <w:rPr>
      <w:rFonts w:ascii="宋体" w:hAnsi="宋体" w:eastAsia="宋体" w:cs="宋体"/>
      <w:sz w:val="18"/>
      <w:szCs w:val="18"/>
    </w:rPr>
  </w:style>
  <w:style w:type="paragraph" w:customStyle="1" w:styleId="55">
    <w:name w:val="修订1"/>
    <w:hidden/>
    <w:semiHidden/>
    <w:qFormat/>
    <w:uiPriority w:val="99"/>
    <w:rPr>
      <w:rFonts w:ascii="宋体" w:hAnsi="宋体" w:eastAsia="宋体" w:cs="宋体"/>
      <w:sz w:val="22"/>
      <w:szCs w:val="22"/>
      <w:lang w:val="en-US" w:eastAsia="en-US" w:bidi="ar-SA"/>
    </w:rPr>
  </w:style>
  <w:style w:type="character" w:customStyle="1" w:styleId="56">
    <w:name w:val="未处理的提及2"/>
    <w:basedOn w:val="32"/>
    <w:semiHidden/>
    <w:unhideWhenUsed/>
    <w:qFormat/>
    <w:uiPriority w:val="99"/>
    <w:rPr>
      <w:color w:val="605E5C"/>
      <w:shd w:val="clear" w:color="auto" w:fill="E1DFDD"/>
    </w:rPr>
  </w:style>
  <w:style w:type="character" w:customStyle="1" w:styleId="57">
    <w:name w:val="纯文本 字符"/>
    <w:link w:val="2"/>
    <w:qFormat/>
    <w:uiPriority w:val="0"/>
    <w:rPr>
      <w:rFonts w:ascii="宋体" w:hAnsi="Courier New" w:eastAsia="宋体"/>
      <w:kern w:val="2"/>
      <w:sz w:val="24"/>
      <w:szCs w:val="24"/>
      <w:lang w:eastAsia="zh-CN"/>
    </w:rPr>
  </w:style>
  <w:style w:type="character" w:customStyle="1" w:styleId="58">
    <w:name w:val="纯文本 字符1"/>
    <w:basedOn w:val="32"/>
    <w:semiHidden/>
    <w:qFormat/>
    <w:uiPriority w:val="99"/>
    <w:rPr>
      <w:rFonts w:hAnsi="Courier New" w:cs="Courier New" w:asciiTheme="minorEastAsia"/>
    </w:rPr>
  </w:style>
  <w:style w:type="character" w:customStyle="1" w:styleId="59">
    <w:name w:val="未处理的提及3"/>
    <w:basedOn w:val="32"/>
    <w:semiHidden/>
    <w:unhideWhenUsed/>
    <w:qFormat/>
    <w:uiPriority w:val="99"/>
    <w:rPr>
      <w:color w:val="605E5C"/>
      <w:shd w:val="clear" w:color="auto" w:fill="E1DFDD"/>
    </w:rPr>
  </w:style>
  <w:style w:type="paragraph" w:customStyle="1" w:styleId="60">
    <w:name w:val="正文_小四1.5行距首行空俩格"/>
    <w:basedOn w:val="1"/>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1">
    <w:name w:val="日期 字符"/>
    <w:basedOn w:val="32"/>
    <w:link w:val="17"/>
    <w:semiHidden/>
    <w:qFormat/>
    <w:uiPriority w:val="99"/>
    <w:rPr>
      <w:rFonts w:ascii="宋体" w:hAnsi="宋体" w:eastAsia="宋体" w:cs="宋体"/>
    </w:rPr>
  </w:style>
  <w:style w:type="character" w:customStyle="1" w:styleId="62">
    <w:name w:val="正文缩进 字符"/>
    <w:link w:val="10"/>
    <w:qFormat/>
    <w:locked/>
    <w:uiPriority w:val="0"/>
    <w:rPr>
      <w:rFonts w:ascii="Abadi MT Condensed Light" w:hAnsi="Abadi MT Condensed Light" w:eastAsia="仿宋_GB2312" w:cs="Times New Roman"/>
      <w:kern w:val="2"/>
      <w:sz w:val="10"/>
      <w:szCs w:val="20"/>
      <w:lang w:eastAsia="zh-CN"/>
    </w:rPr>
  </w:style>
  <w:style w:type="paragraph" w:customStyle="1" w:styleId="63">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64">
    <w:name w:val="列出段落 字符"/>
    <w:link w:val="40"/>
    <w:qFormat/>
    <w:uiPriority w:val="34"/>
    <w:rPr>
      <w:rFonts w:ascii="宋体" w:hAnsi="宋体" w:eastAsia="宋体" w:cs="宋体"/>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98B74-9372-4E01-B1BA-53E0DA61B6C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64</Pages>
  <Words>5920</Words>
  <Characters>33747</Characters>
  <Lines>281</Lines>
  <Paragraphs>79</Paragraphs>
  <TotalTime>0</TotalTime>
  <ScaleCrop>false</ScaleCrop>
  <LinksUpToDate>false</LinksUpToDate>
  <CharactersWithSpaces>39588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2022-03-20T13:38:00Z</dcterms:created>
  <dc:creator>毛雪梅</dc:creator>
  <cp:lastModifiedBy>WPS_1558068846</cp:lastModifiedBy>
  <dcterms:modified xsi:type="dcterms:W3CDTF">2023-11-27T06:58:43Z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050A9185343042D1A086928C249FE991_12</vt:lpwstr>
  </property>
</Properties>
</file>