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lang w:eastAsia="zh-CN"/>
        </w:rPr>
        <w:t>中粮梁河糖业勐养工厂压榨车间2023/2024榨季蔗场外包劳务服务采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jc w:val="center"/>
        <w:rPr>
          <w:rFonts w:ascii="仿宋" w:hAnsi="仿宋" w:eastAsia="仿宋"/>
          <w:snapToGrid w:val="0"/>
          <w:sz w:val="32"/>
          <w:szCs w:val="32"/>
          <w:lang w:eastAsia="zh-CN"/>
        </w:rPr>
      </w:pPr>
      <w:r>
        <w:rPr>
          <w:rFonts w:ascii="仿宋" w:hAnsi="仿宋" w:eastAsia="仿宋"/>
          <w:snapToGrid w:val="0"/>
          <w:sz w:val="32"/>
          <w:szCs w:val="32"/>
          <w:lang w:eastAsia="zh-CN"/>
        </w:rPr>
        <w:t>（采购编号：</w:t>
      </w:r>
      <w:r>
        <w:rPr>
          <w:rFonts w:hint="eastAsia"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u w:val="single"/>
          <w:shd w:val="clear" w:color="auto" w:fill="FFFF00"/>
          <w:lang w:eastAsia="zh-CN"/>
        </w:rPr>
        <w:t xml:space="preserve">         </w:t>
      </w:r>
      <w:r>
        <w:rPr>
          <w:rFonts w:ascii="仿宋" w:hAnsi="仿宋" w:eastAsia="仿宋"/>
          <w:snapToGrid w:val="0"/>
          <w:sz w:val="32"/>
          <w:szCs w:val="32"/>
          <w:lang w:eastAsia="zh-CN"/>
        </w:rPr>
        <w:t>）</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ind w:firstLine="1120" w:firstLineChars="400"/>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hAnsi="仿宋_GB2312" w:eastAsia="仿宋_GB2312"/>
          <w:bCs/>
          <w:sz w:val="32"/>
          <w:szCs w:val="32"/>
          <w:u w:val="single"/>
          <w:lang w:eastAsia="zh-CN"/>
        </w:rPr>
        <w:t>中粮</w:t>
      </w:r>
      <w:r>
        <w:rPr>
          <w:rFonts w:hint="eastAsia" w:hAnsi="仿宋_GB2312" w:eastAsia="仿宋_GB2312"/>
          <w:bCs/>
          <w:sz w:val="32"/>
          <w:szCs w:val="32"/>
          <w:u w:val="single"/>
          <w:lang w:eastAsia="zh-CN"/>
        </w:rPr>
        <w:t>梁河</w:t>
      </w:r>
      <w:r>
        <w:rPr>
          <w:rFonts w:hAnsi="仿宋_GB2312" w:eastAsia="仿宋_GB2312"/>
          <w:bCs/>
          <w:sz w:val="32"/>
          <w:szCs w:val="32"/>
          <w:u w:val="single"/>
          <w:lang w:eastAsia="zh-CN"/>
        </w:rPr>
        <w:t>糖业有限公司</w:t>
      </w:r>
      <w:r>
        <w:rPr>
          <w:rFonts w:hint="eastAsia" w:hAnsi="仿宋_GB2312" w:eastAsia="仿宋_GB2312"/>
          <w:bCs/>
          <w:sz w:val="32"/>
          <w:szCs w:val="32"/>
          <w:u w:val="single"/>
          <w:lang w:eastAsia="zh-CN"/>
        </w:rPr>
        <w:t>勐养工厂</w:t>
      </w:r>
      <w:r>
        <w:rPr>
          <w:rFonts w:ascii="仿宋" w:hAnsi="仿宋" w:eastAsia="仿宋"/>
          <w:snapToGrid w:val="0"/>
          <w:sz w:val="28"/>
          <w:szCs w:val="28"/>
          <w:u w:val="single"/>
          <w:lang w:eastAsia="zh-CN"/>
        </w:rPr>
        <w:t>（盖单位公章）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shd w:val="clear" w:color="auto" w:fill="FFFF00"/>
          <w:lang w:eastAsia="zh-CN"/>
        </w:rPr>
        <w:t xml:space="preserve"> 2023        </w:t>
      </w:r>
      <w:r>
        <w:rPr>
          <w:rFonts w:ascii="仿宋" w:hAnsi="仿宋" w:eastAsia="仿宋"/>
          <w:snapToGrid w:val="0"/>
          <w:sz w:val="28"/>
          <w:szCs w:val="28"/>
          <w:lang w:eastAsia="zh-CN"/>
        </w:rPr>
        <w:t>年</w:t>
      </w:r>
      <w:r>
        <w:rPr>
          <w:rFonts w:ascii="仿宋" w:hAnsi="仿宋" w:eastAsia="仿宋"/>
          <w:snapToGrid w:val="0"/>
          <w:sz w:val="28"/>
          <w:szCs w:val="28"/>
          <w:u w:val="single"/>
          <w:shd w:val="clear" w:color="auto" w:fill="FFFF00"/>
          <w:lang w:eastAsia="zh-CN"/>
        </w:rPr>
        <w:t xml:space="preserve"> 12 </w:t>
      </w:r>
      <w:r>
        <w:rPr>
          <w:rFonts w:ascii="仿宋" w:hAnsi="仿宋" w:eastAsia="仿宋"/>
          <w:snapToGrid w:val="0"/>
          <w:sz w:val="28"/>
          <w:szCs w:val="28"/>
          <w:lang w:eastAsia="zh-CN"/>
        </w:rPr>
        <w:t>月</w:t>
      </w:r>
      <w:r>
        <w:rPr>
          <w:rFonts w:ascii="仿宋" w:hAnsi="仿宋" w:eastAsia="仿宋"/>
          <w:snapToGrid w:val="0"/>
          <w:sz w:val="28"/>
          <w:szCs w:val="28"/>
          <w:u w:val="single"/>
          <w:shd w:val="clear" w:color="auto" w:fill="FFFF00"/>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sdt>
      <w:sdtPr>
        <w:rPr>
          <w:rFonts w:ascii="仿宋" w:hAnsi="仿宋" w:eastAsia="仿宋" w:cs="宋体"/>
          <w:color w:val="auto"/>
          <w:sz w:val="22"/>
          <w:szCs w:val="22"/>
          <w:lang w:val="zh-CN" w:eastAsia="en-US"/>
        </w:rPr>
        <w:id w:val="-705559850"/>
        <w:docPartObj>
          <w:docPartGallery w:val="Table of Contents"/>
          <w:docPartUnique/>
        </w:docPartObj>
      </w:sdtPr>
      <w:sdtEndPr>
        <w:rPr>
          <w:rFonts w:ascii="仿宋" w:hAnsi="仿宋" w:eastAsia="仿宋" w:cs="宋体"/>
          <w:b/>
          <w:bCs/>
          <w:color w:val="auto"/>
          <w:sz w:val="22"/>
          <w:szCs w:val="22"/>
          <w:lang w:val="zh-CN" w:eastAsia="en-US"/>
        </w:rPr>
      </w:sdtEndPr>
      <w:sdtContent>
        <w:p>
          <w:pPr>
            <w:pStyle w:val="49"/>
            <w:rPr>
              <w:rFonts w:ascii="仿宋" w:hAnsi="仿宋" w:eastAsia="仿宋"/>
              <w:color w:val="auto"/>
            </w:rPr>
          </w:pPr>
          <w:r>
            <w:rPr>
              <w:rFonts w:ascii="仿宋" w:hAnsi="仿宋" w:eastAsia="仿宋"/>
              <w:color w:val="auto"/>
              <w:lang w:val="zh-CN"/>
            </w:rPr>
            <w:t>目录</w:t>
          </w:r>
        </w:p>
        <w:p>
          <w:pPr>
            <w:pStyle w:val="19"/>
            <w:tabs>
              <w:tab w:val="right" w:leader="dot" w:pos="9552"/>
              <w:tab w:val="clear" w:pos="9350"/>
            </w:tabs>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"_Toc27184"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谈判采购公告</w:t>
          </w:r>
          <w:r>
            <w:tab/>
          </w:r>
          <w:r>
            <w:fldChar w:fldCharType="begin"/>
          </w:r>
          <w:r>
            <w:instrText xml:space="preserve"> PAGEREF _Toc27184 \h </w:instrText>
          </w:r>
          <w:r>
            <w:fldChar w:fldCharType="separate"/>
          </w:r>
          <w:r>
            <w:t>4</w:t>
          </w:r>
          <w:r>
            <w:fldChar w:fldCharType="end"/>
          </w:r>
          <w:r>
            <w:fldChar w:fldCharType="end"/>
          </w:r>
        </w:p>
        <w:p>
          <w:pPr>
            <w:pStyle w:val="23"/>
            <w:tabs>
              <w:tab w:val="right" w:leader="dot" w:pos="9552"/>
            </w:tabs>
          </w:pPr>
          <w:r>
            <w:fldChar w:fldCharType="begin"/>
          </w:r>
          <w:r>
            <w:instrText xml:space="preserve"> HYPERLINK \l "_Toc6028" </w:instrText>
          </w:r>
          <w:r>
            <w:fldChar w:fldCharType="separate"/>
          </w:r>
          <w:r>
            <w:rPr>
              <w:rFonts w:hint="eastAsia" w:ascii="仿宋" w:hAnsi="仿宋" w:eastAsia="仿宋"/>
              <w:bCs/>
              <w:snapToGrid w:val="0"/>
              <w:szCs w:val="32"/>
            </w:rPr>
            <w:t>中粮梁河糖业勐养工厂压榨车间2023/2024榨季蔗场外包劳务服务项目</w:t>
          </w:r>
          <w:r>
            <w:rPr>
              <w:rFonts w:ascii="仿宋" w:hAnsi="仿宋" w:eastAsia="仿宋"/>
              <w:bCs/>
              <w:snapToGrid w:val="0"/>
              <w:szCs w:val="32"/>
            </w:rPr>
            <w:t>谈判采购公告</w:t>
          </w:r>
          <w:r>
            <w:tab/>
          </w:r>
          <w:r>
            <w:fldChar w:fldCharType="begin"/>
          </w:r>
          <w:r>
            <w:instrText xml:space="preserve"> PAGEREF _Toc6028 \h </w:instrText>
          </w:r>
          <w:r>
            <w:fldChar w:fldCharType="separate"/>
          </w:r>
          <w:r>
            <w:t>5</w:t>
          </w:r>
          <w:r>
            <w:fldChar w:fldCharType="end"/>
          </w:r>
          <w:r>
            <w:fldChar w:fldCharType="end"/>
          </w:r>
        </w:p>
        <w:p>
          <w:pPr>
            <w:pStyle w:val="13"/>
            <w:tabs>
              <w:tab w:val="right" w:leader="dot" w:pos="9552"/>
              <w:tab w:val="clear" w:pos="1260"/>
              <w:tab w:val="clear" w:pos="9350"/>
            </w:tabs>
          </w:pPr>
          <w:r>
            <w:fldChar w:fldCharType="begin"/>
          </w:r>
          <w:r>
            <w:instrText xml:space="preserve"> HYPERLINK \l "_Toc3134" </w:instrText>
          </w:r>
          <w:r>
            <w:fldChar w:fldCharType="separate"/>
          </w:r>
          <w:r>
            <w:rPr>
              <w:rFonts w:ascii="仿宋" w:hAnsi="仿宋" w:eastAsia="仿宋"/>
              <w:snapToGrid w:val="0"/>
              <w:szCs w:val="24"/>
            </w:rPr>
            <w:t>1.采购项目简介</w:t>
          </w:r>
          <w:r>
            <w:tab/>
          </w:r>
          <w:r>
            <w:fldChar w:fldCharType="begin"/>
          </w:r>
          <w:r>
            <w:instrText xml:space="preserve"> PAGEREF _Toc3134 \h </w:instrText>
          </w:r>
          <w:r>
            <w:fldChar w:fldCharType="separate"/>
          </w:r>
          <w:r>
            <w:t>5</w:t>
          </w:r>
          <w:r>
            <w:fldChar w:fldCharType="end"/>
          </w:r>
          <w:r>
            <w:fldChar w:fldCharType="end"/>
          </w:r>
        </w:p>
        <w:p>
          <w:pPr>
            <w:pStyle w:val="13"/>
            <w:tabs>
              <w:tab w:val="right" w:leader="dot" w:pos="9552"/>
              <w:tab w:val="clear" w:pos="1260"/>
              <w:tab w:val="clear" w:pos="9350"/>
            </w:tabs>
          </w:pPr>
          <w:r>
            <w:fldChar w:fldCharType="begin"/>
          </w:r>
          <w:r>
            <w:instrText xml:space="preserve"> HYPERLINK \l "_Toc2375" </w:instrText>
          </w:r>
          <w:r>
            <w:fldChar w:fldCharType="separate"/>
          </w:r>
          <w:r>
            <w:rPr>
              <w:rFonts w:ascii="仿宋" w:hAnsi="仿宋" w:eastAsia="仿宋"/>
              <w:snapToGrid w:val="0"/>
              <w:szCs w:val="24"/>
            </w:rPr>
            <w:t>2.采购范围及相关要求</w:t>
          </w:r>
          <w:r>
            <w:tab/>
          </w:r>
          <w:r>
            <w:fldChar w:fldCharType="begin"/>
          </w:r>
          <w:r>
            <w:instrText xml:space="preserve"> PAGEREF _Toc2375 \h </w:instrText>
          </w:r>
          <w:r>
            <w:fldChar w:fldCharType="separate"/>
          </w:r>
          <w:r>
            <w:t>5</w:t>
          </w:r>
          <w:r>
            <w:fldChar w:fldCharType="end"/>
          </w:r>
          <w:r>
            <w:fldChar w:fldCharType="end"/>
          </w:r>
        </w:p>
        <w:p>
          <w:pPr>
            <w:pStyle w:val="13"/>
            <w:tabs>
              <w:tab w:val="right" w:leader="dot" w:pos="9552"/>
              <w:tab w:val="clear" w:pos="1260"/>
              <w:tab w:val="clear" w:pos="9350"/>
            </w:tabs>
          </w:pPr>
          <w:r>
            <w:fldChar w:fldCharType="begin"/>
          </w:r>
          <w:r>
            <w:instrText xml:space="preserve"> HYPERLINK \l "_Toc19582" </w:instrText>
          </w:r>
          <w:r>
            <w:fldChar w:fldCharType="separate"/>
          </w:r>
          <w:r>
            <w:rPr>
              <w:rFonts w:ascii="仿宋" w:hAnsi="仿宋" w:eastAsia="仿宋"/>
              <w:snapToGrid w:val="0"/>
              <w:szCs w:val="24"/>
            </w:rPr>
            <w:t>3.供应商资格要求</w:t>
          </w:r>
          <w:r>
            <w:tab/>
          </w:r>
          <w:r>
            <w:fldChar w:fldCharType="begin"/>
          </w:r>
          <w:r>
            <w:instrText xml:space="preserve"> PAGEREF _Toc19582 \h </w:instrText>
          </w:r>
          <w:r>
            <w:fldChar w:fldCharType="separate"/>
          </w:r>
          <w:r>
            <w:t>6</w:t>
          </w:r>
          <w:r>
            <w:fldChar w:fldCharType="end"/>
          </w:r>
          <w:r>
            <w:fldChar w:fldCharType="end"/>
          </w:r>
        </w:p>
        <w:p>
          <w:pPr>
            <w:pStyle w:val="13"/>
            <w:tabs>
              <w:tab w:val="right" w:leader="dot" w:pos="9552"/>
              <w:tab w:val="clear" w:pos="1260"/>
              <w:tab w:val="clear" w:pos="9350"/>
            </w:tabs>
          </w:pPr>
          <w:r>
            <w:fldChar w:fldCharType="begin"/>
          </w:r>
          <w:r>
            <w:instrText xml:space="preserve"> HYPERLINK \l "_Toc12497" </w:instrText>
          </w:r>
          <w:r>
            <w:fldChar w:fldCharType="separate"/>
          </w:r>
          <w:r>
            <w:rPr>
              <w:rFonts w:ascii="仿宋" w:hAnsi="仿宋" w:eastAsia="仿宋"/>
              <w:bCs/>
              <w:snapToGrid w:val="0"/>
              <w:szCs w:val="24"/>
            </w:rPr>
            <w:t>4.采购文件的获取</w:t>
          </w:r>
          <w:r>
            <w:tab/>
          </w:r>
          <w:r>
            <w:fldChar w:fldCharType="begin"/>
          </w:r>
          <w:r>
            <w:instrText xml:space="preserve"> PAGEREF _Toc12497 \h </w:instrText>
          </w:r>
          <w:r>
            <w:fldChar w:fldCharType="separate"/>
          </w:r>
          <w:r>
            <w:t>7</w:t>
          </w:r>
          <w:r>
            <w:fldChar w:fldCharType="end"/>
          </w:r>
          <w:r>
            <w:fldChar w:fldCharType="end"/>
          </w:r>
        </w:p>
        <w:p>
          <w:pPr>
            <w:pStyle w:val="13"/>
            <w:tabs>
              <w:tab w:val="right" w:leader="dot" w:pos="9552"/>
              <w:tab w:val="clear" w:pos="1260"/>
              <w:tab w:val="clear" w:pos="9350"/>
            </w:tabs>
          </w:pPr>
          <w:r>
            <w:fldChar w:fldCharType="begin"/>
          </w:r>
          <w:r>
            <w:instrText xml:space="preserve"> HYPERLINK \l "_Toc8991" </w:instrText>
          </w:r>
          <w:r>
            <w:fldChar w:fldCharType="separate"/>
          </w:r>
          <w:r>
            <w:rPr>
              <w:rFonts w:ascii="仿宋" w:hAnsi="仿宋" w:eastAsia="仿宋"/>
              <w:bCs/>
              <w:snapToGrid w:val="0"/>
              <w:szCs w:val="24"/>
            </w:rPr>
            <w:t>5.</w:t>
          </w:r>
          <w:r>
            <w:rPr>
              <w:rFonts w:hint="eastAsia" w:ascii="仿宋" w:hAnsi="仿宋" w:eastAsia="仿宋"/>
              <w:bCs/>
              <w:snapToGrid w:val="0"/>
              <w:szCs w:val="24"/>
            </w:rPr>
            <w:t>响应保证金</w:t>
          </w:r>
          <w:r>
            <w:tab/>
          </w:r>
          <w:r>
            <w:fldChar w:fldCharType="begin"/>
          </w:r>
          <w:r>
            <w:instrText xml:space="preserve"> PAGEREF _Toc8991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"_Toc13012" </w:instrText>
          </w:r>
          <w:r>
            <w:fldChar w:fldCharType="separate"/>
          </w:r>
          <w:r>
            <w:rPr>
              <w:rFonts w:hint="eastAsia" w:ascii="仿宋" w:hAnsi="仿宋" w:eastAsia="仿宋"/>
              <w:bCs/>
              <w:snapToGrid w:val="0"/>
              <w:szCs w:val="24"/>
            </w:rPr>
            <w:t>6</w:t>
          </w:r>
          <w:r>
            <w:rPr>
              <w:rFonts w:ascii="仿宋" w:hAnsi="仿宋" w:eastAsia="仿宋"/>
              <w:bCs/>
              <w:snapToGrid w:val="0"/>
              <w:szCs w:val="24"/>
            </w:rPr>
            <w:t>.响应文件的</w:t>
          </w:r>
          <w:r>
            <w:rPr>
              <w:rFonts w:hint="eastAsia" w:ascii="仿宋" w:hAnsi="仿宋" w:eastAsia="仿宋"/>
              <w:bCs/>
              <w:snapToGrid w:val="0"/>
              <w:szCs w:val="24"/>
            </w:rPr>
            <w:t>上传</w:t>
          </w:r>
          <w:r>
            <w:tab/>
          </w:r>
          <w:r>
            <w:fldChar w:fldCharType="begin"/>
          </w:r>
          <w:r>
            <w:instrText xml:space="preserve"> PAGEREF _Toc13012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"_Toc17038" </w:instrText>
          </w:r>
          <w:r>
            <w:fldChar w:fldCharType="separate"/>
          </w:r>
          <w:r>
            <w:rPr>
              <w:rFonts w:ascii="仿宋" w:hAnsi="仿宋" w:eastAsia="仿宋"/>
              <w:bCs/>
              <w:snapToGrid w:val="0"/>
              <w:szCs w:val="24"/>
            </w:rPr>
            <w:t>7.</w:t>
          </w:r>
          <w:r>
            <w:rPr>
              <w:rFonts w:hint="eastAsia" w:ascii="仿宋" w:hAnsi="仿宋" w:eastAsia="仿宋"/>
              <w:bCs/>
              <w:snapToGrid w:val="0"/>
              <w:szCs w:val="24"/>
            </w:rPr>
            <w:t>响应文件的开启</w:t>
          </w:r>
          <w:r>
            <w:tab/>
          </w:r>
          <w:r>
            <w:fldChar w:fldCharType="begin"/>
          </w:r>
          <w:r>
            <w:instrText xml:space="preserve"> PAGEREF _Toc17038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"_Toc16068" </w:instrText>
          </w:r>
          <w:r>
            <w:fldChar w:fldCharType="separate"/>
          </w:r>
          <w:r>
            <w:rPr>
              <w:rFonts w:ascii="仿宋" w:hAnsi="仿宋" w:eastAsia="仿宋"/>
              <w:bCs/>
              <w:snapToGrid w:val="0"/>
              <w:szCs w:val="24"/>
            </w:rPr>
            <w:t>8.谈判时间和地点</w:t>
          </w:r>
          <w:r>
            <w:tab/>
          </w:r>
          <w:r>
            <w:fldChar w:fldCharType="begin"/>
          </w:r>
          <w:r>
            <w:instrText xml:space="preserve"> PAGEREF _Toc16068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"_Toc20517" </w:instrText>
          </w:r>
          <w:r>
            <w:fldChar w:fldCharType="separate"/>
          </w:r>
          <w:r>
            <w:rPr>
              <w:rFonts w:ascii="仿宋" w:hAnsi="仿宋" w:eastAsia="仿宋"/>
              <w:bCs/>
              <w:snapToGrid w:val="0"/>
              <w:szCs w:val="24"/>
            </w:rPr>
            <w:t>9.纪检监督</w:t>
          </w:r>
          <w:r>
            <w:tab/>
          </w:r>
          <w:r>
            <w:fldChar w:fldCharType="begin"/>
          </w:r>
          <w:r>
            <w:instrText xml:space="preserve"> PAGEREF _Toc20517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"_Toc12649" </w:instrText>
          </w:r>
          <w:r>
            <w:fldChar w:fldCharType="separate"/>
          </w:r>
          <w:r>
            <w:rPr>
              <w:rFonts w:ascii="仿宋" w:hAnsi="仿宋" w:eastAsia="仿宋"/>
              <w:bCs/>
              <w:snapToGrid w:val="0"/>
              <w:szCs w:val="24"/>
            </w:rPr>
            <w:t>10.其他</w:t>
          </w:r>
          <w:r>
            <w:tab/>
          </w:r>
          <w:r>
            <w:fldChar w:fldCharType="begin"/>
          </w:r>
          <w:r>
            <w:instrText xml:space="preserve"> PAGEREF _Toc12649 \h </w:instrText>
          </w:r>
          <w:r>
            <w:fldChar w:fldCharType="separate"/>
          </w:r>
          <w:r>
            <w:t>8</w:t>
          </w:r>
          <w:r>
            <w:fldChar w:fldCharType="end"/>
          </w:r>
          <w:r>
            <w:fldChar w:fldCharType="end"/>
          </w:r>
        </w:p>
        <w:p>
          <w:pPr>
            <w:pStyle w:val="13"/>
            <w:tabs>
              <w:tab w:val="right" w:leader="dot" w:pos="9552"/>
              <w:tab w:val="clear" w:pos="1260"/>
              <w:tab w:val="clear" w:pos="9350"/>
            </w:tabs>
          </w:pPr>
          <w:r>
            <w:fldChar w:fldCharType="begin"/>
          </w:r>
          <w:r>
            <w:instrText xml:space="preserve"> HYPERLINK \l "_Toc5913" </w:instrText>
          </w:r>
          <w:r>
            <w:fldChar w:fldCharType="separate"/>
          </w:r>
          <w:r>
            <w:rPr>
              <w:rFonts w:ascii="仿宋" w:hAnsi="仿宋" w:eastAsia="仿宋"/>
              <w:bCs/>
              <w:snapToGrid w:val="0"/>
              <w:szCs w:val="24"/>
            </w:rPr>
            <w:t>11.联系方式</w:t>
          </w:r>
          <w:r>
            <w:tab/>
          </w:r>
          <w:r>
            <w:fldChar w:fldCharType="begin"/>
          </w:r>
          <w:r>
            <w:instrText xml:space="preserve"> PAGEREF _Toc5913 \h </w:instrText>
          </w:r>
          <w:r>
            <w:fldChar w:fldCharType="separate"/>
          </w:r>
          <w:r>
            <w:t>9</w:t>
          </w:r>
          <w:r>
            <w:fldChar w:fldCharType="end"/>
          </w:r>
          <w:r>
            <w:fldChar w:fldCharType="end"/>
          </w:r>
        </w:p>
        <w:p>
          <w:pPr>
            <w:pStyle w:val="19"/>
            <w:tabs>
              <w:tab w:val="right" w:leader="dot" w:pos="9552"/>
              <w:tab w:val="clear" w:pos="9350"/>
            </w:tabs>
          </w:pPr>
          <w:r>
            <w:fldChar w:fldCharType="begin"/>
          </w:r>
          <w:r>
            <w:instrText xml:space="preserve"> HYPERLINK \l "_Toc11396"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供应商</w:t>
          </w:r>
          <w:r>
            <w:rPr>
              <w:rFonts w:hint="eastAsia" w:ascii="仿宋" w:hAnsi="仿宋" w:eastAsia="仿宋"/>
              <w:bCs/>
              <w:snapToGrid w:val="0"/>
              <w:szCs w:val="32"/>
            </w:rPr>
            <w:t>须知</w:t>
          </w:r>
          <w:r>
            <w:tab/>
          </w:r>
          <w:r>
            <w:fldChar w:fldCharType="begin"/>
          </w:r>
          <w:r>
            <w:instrText xml:space="preserve"> PAGEREF _Toc11396 \h </w:instrText>
          </w:r>
          <w:r>
            <w:fldChar w:fldCharType="separate"/>
          </w:r>
          <w:r>
            <w:t>10</w:t>
          </w:r>
          <w:r>
            <w:fldChar w:fldCharType="end"/>
          </w:r>
          <w:r>
            <w:fldChar w:fldCharType="end"/>
          </w:r>
        </w:p>
        <w:p>
          <w:pPr>
            <w:pStyle w:val="23"/>
            <w:tabs>
              <w:tab w:val="right" w:leader="dot" w:pos="9552"/>
            </w:tabs>
          </w:pPr>
          <w:r>
            <w:fldChar w:fldCharType="begin"/>
          </w:r>
          <w:r>
            <w:instrText xml:space="preserve"> HYPERLINK \l "_Toc12288" </w:instrText>
          </w:r>
          <w:r>
            <w:fldChar w:fldCharType="separate"/>
          </w:r>
          <w:r>
            <w:rPr>
              <w:rFonts w:ascii="仿宋" w:hAnsi="仿宋" w:eastAsia="仿宋"/>
              <w:bCs/>
              <w:snapToGrid w:val="0"/>
              <w:szCs w:val="32"/>
            </w:rPr>
            <w:t>供应商须知前附表</w:t>
          </w:r>
          <w:r>
            <w:tab/>
          </w:r>
          <w:r>
            <w:fldChar w:fldCharType="begin"/>
          </w:r>
          <w:r>
            <w:instrText xml:space="preserve"> PAGEREF _Toc12288 \h </w:instrText>
          </w:r>
          <w:r>
            <w:fldChar w:fldCharType="separate"/>
          </w:r>
          <w:r>
            <w:t>11</w:t>
          </w:r>
          <w:r>
            <w:fldChar w:fldCharType="end"/>
          </w:r>
          <w:r>
            <w:fldChar w:fldCharType="end"/>
          </w:r>
        </w:p>
        <w:p>
          <w:pPr>
            <w:pStyle w:val="23"/>
            <w:tabs>
              <w:tab w:val="right" w:leader="dot" w:pos="9552"/>
            </w:tabs>
          </w:pPr>
          <w:r>
            <w:fldChar w:fldCharType="begin"/>
          </w:r>
          <w:r>
            <w:instrText xml:space="preserve"> HYPERLINK \l "_Toc21704" </w:instrText>
          </w:r>
          <w:r>
            <w:fldChar w:fldCharType="separate"/>
          </w:r>
          <w:r>
            <w:rPr>
              <w:rFonts w:ascii="仿宋" w:hAnsi="仿宋" w:eastAsia="仿宋"/>
              <w:snapToGrid w:val="0"/>
              <w:szCs w:val="24"/>
            </w:rPr>
            <w:t>1</w:t>
          </w:r>
          <w:r>
            <w:rPr>
              <w:rFonts w:hint="eastAsia" w:ascii="仿宋" w:hAnsi="仿宋" w:eastAsia="仿宋"/>
              <w:snapToGrid w:val="0"/>
              <w:szCs w:val="24"/>
            </w:rPr>
            <w:t>.</w:t>
          </w:r>
          <w:r>
            <w:rPr>
              <w:rFonts w:ascii="仿宋" w:hAnsi="仿宋" w:eastAsia="仿宋"/>
              <w:snapToGrid w:val="0"/>
              <w:szCs w:val="24"/>
            </w:rPr>
            <w:t>总则</w:t>
          </w:r>
          <w:r>
            <w:tab/>
          </w:r>
          <w:r>
            <w:fldChar w:fldCharType="begin"/>
          </w:r>
          <w:r>
            <w:instrText xml:space="preserve"> PAGEREF _Toc21704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"_Toc10601" </w:instrText>
          </w:r>
          <w:r>
            <w:fldChar w:fldCharType="separate"/>
          </w:r>
          <w:r>
            <w:rPr>
              <w:rFonts w:ascii="仿宋" w:hAnsi="仿宋" w:eastAsia="仿宋"/>
              <w:bCs/>
              <w:snapToGrid w:val="0"/>
              <w:szCs w:val="24"/>
            </w:rPr>
            <w:t>1.1 采购方式</w:t>
          </w:r>
          <w:r>
            <w:tab/>
          </w:r>
          <w:r>
            <w:fldChar w:fldCharType="begin"/>
          </w:r>
          <w:r>
            <w:instrText xml:space="preserve"> PAGEREF _Toc10601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"_Toc12423" </w:instrText>
          </w:r>
          <w:r>
            <w:fldChar w:fldCharType="separate"/>
          </w:r>
          <w:r>
            <w:rPr>
              <w:rFonts w:ascii="仿宋" w:hAnsi="仿宋" w:eastAsia="仿宋"/>
              <w:bCs/>
              <w:snapToGrid w:val="0"/>
              <w:szCs w:val="24"/>
            </w:rPr>
            <w:t>1.2 采购项目概况和供应商资格要求</w:t>
          </w:r>
          <w:r>
            <w:tab/>
          </w:r>
          <w:r>
            <w:fldChar w:fldCharType="begin"/>
          </w:r>
          <w:r>
            <w:instrText xml:space="preserve"> PAGEREF _Toc12423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"_Toc25183" </w:instrText>
          </w:r>
          <w:r>
            <w:fldChar w:fldCharType="separate"/>
          </w:r>
          <w:r>
            <w:rPr>
              <w:rFonts w:ascii="仿宋" w:hAnsi="仿宋" w:eastAsia="仿宋"/>
              <w:bCs/>
              <w:snapToGrid w:val="0"/>
              <w:szCs w:val="24"/>
            </w:rPr>
            <w:t>1.3 费用承担</w:t>
          </w:r>
          <w:r>
            <w:tab/>
          </w:r>
          <w:r>
            <w:fldChar w:fldCharType="begin"/>
          </w:r>
          <w:r>
            <w:instrText xml:space="preserve"> PAGEREF _Toc25183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"_Toc13492" </w:instrText>
          </w:r>
          <w:r>
            <w:fldChar w:fldCharType="separate"/>
          </w:r>
          <w:r>
            <w:rPr>
              <w:rFonts w:ascii="仿宋" w:hAnsi="仿宋" w:eastAsia="仿宋"/>
              <w:bCs/>
              <w:snapToGrid w:val="0"/>
              <w:szCs w:val="24"/>
            </w:rPr>
            <w:t>1.4 保密</w:t>
          </w:r>
          <w:r>
            <w:tab/>
          </w:r>
          <w:r>
            <w:fldChar w:fldCharType="begin"/>
          </w:r>
          <w:r>
            <w:instrText xml:space="preserve"> PAGEREF _Toc13492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"_Toc3529" </w:instrText>
          </w:r>
          <w:r>
            <w:fldChar w:fldCharType="separate"/>
          </w:r>
          <w:r>
            <w:rPr>
              <w:rFonts w:ascii="仿宋" w:hAnsi="仿宋" w:eastAsia="仿宋"/>
              <w:bCs/>
              <w:snapToGrid w:val="0"/>
              <w:szCs w:val="24"/>
            </w:rPr>
            <w:t>1.5 语言文字</w:t>
          </w:r>
          <w:r>
            <w:tab/>
          </w:r>
          <w:r>
            <w:fldChar w:fldCharType="begin"/>
          </w:r>
          <w:r>
            <w:instrText xml:space="preserve"> PAGEREF _Toc3529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"_Toc15163" </w:instrText>
          </w:r>
          <w:r>
            <w:fldChar w:fldCharType="separate"/>
          </w:r>
          <w:r>
            <w:rPr>
              <w:rFonts w:ascii="仿宋" w:hAnsi="仿宋" w:eastAsia="仿宋"/>
              <w:bCs/>
              <w:snapToGrid w:val="0"/>
              <w:szCs w:val="24"/>
            </w:rPr>
            <w:t>1.6 计量单位</w:t>
          </w:r>
          <w:r>
            <w:tab/>
          </w:r>
          <w:r>
            <w:fldChar w:fldCharType="begin"/>
          </w:r>
          <w:r>
            <w:instrText xml:space="preserve"> PAGEREF _Toc15163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"_Toc19974" </w:instrText>
          </w:r>
          <w:r>
            <w:fldChar w:fldCharType="separate"/>
          </w:r>
          <w:r>
            <w:rPr>
              <w:rFonts w:ascii="仿宋" w:hAnsi="仿宋" w:eastAsia="仿宋"/>
              <w:bCs/>
              <w:snapToGrid w:val="0"/>
              <w:szCs w:val="24"/>
            </w:rPr>
            <w:t>1.7 踏勘现场</w:t>
          </w:r>
          <w:r>
            <w:tab/>
          </w:r>
          <w:r>
            <w:fldChar w:fldCharType="begin"/>
          </w:r>
          <w:r>
            <w:instrText xml:space="preserve"> PAGEREF _Toc19974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"_Toc13490" </w:instrText>
          </w:r>
          <w:r>
            <w:fldChar w:fldCharType="separate"/>
          </w:r>
          <w:r>
            <w:rPr>
              <w:rFonts w:ascii="仿宋" w:hAnsi="仿宋" w:eastAsia="仿宋"/>
              <w:bCs/>
              <w:snapToGrid w:val="0"/>
              <w:szCs w:val="24"/>
            </w:rPr>
            <w:t xml:space="preserve">1.8 </w:t>
          </w:r>
          <w:r>
            <w:rPr>
              <w:rFonts w:hint="eastAsia" w:ascii="仿宋" w:hAnsi="仿宋" w:eastAsia="仿宋"/>
              <w:bCs/>
              <w:snapToGrid w:val="0"/>
              <w:szCs w:val="24"/>
            </w:rPr>
            <w:t>谈判</w:t>
          </w:r>
          <w:r>
            <w:rPr>
              <w:rFonts w:ascii="仿宋" w:hAnsi="仿宋" w:eastAsia="仿宋"/>
              <w:bCs/>
              <w:snapToGrid w:val="0"/>
              <w:szCs w:val="24"/>
            </w:rPr>
            <w:t>采购预备会</w:t>
          </w:r>
          <w:r>
            <w:tab/>
          </w:r>
          <w:r>
            <w:fldChar w:fldCharType="begin"/>
          </w:r>
          <w:r>
            <w:instrText xml:space="preserve"> PAGEREF _Toc13490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"_Toc4666" </w:instrText>
          </w:r>
          <w:r>
            <w:fldChar w:fldCharType="separate"/>
          </w:r>
          <w:r>
            <w:rPr>
              <w:rFonts w:ascii="仿宋" w:hAnsi="仿宋" w:eastAsia="仿宋"/>
              <w:bCs/>
              <w:snapToGrid w:val="0"/>
              <w:szCs w:val="24"/>
            </w:rPr>
            <w:t>1.9 分包</w:t>
          </w:r>
          <w:r>
            <w:rPr>
              <w:rFonts w:hint="eastAsia" w:ascii="仿宋" w:hAnsi="仿宋" w:eastAsia="仿宋"/>
              <w:bCs/>
              <w:snapToGrid w:val="0"/>
              <w:szCs w:val="24"/>
            </w:rPr>
            <w:t>（不适用）</w:t>
          </w:r>
          <w:r>
            <w:tab/>
          </w:r>
          <w:r>
            <w:fldChar w:fldCharType="begin"/>
          </w:r>
          <w:r>
            <w:instrText xml:space="preserve"> PAGEREF _Toc4666 \h </w:instrText>
          </w:r>
          <w:r>
            <w:fldChar w:fldCharType="separate"/>
          </w:r>
          <w:r>
            <w:t>15</w:t>
          </w:r>
          <w:r>
            <w:fldChar w:fldCharType="end"/>
          </w:r>
          <w:r>
            <w:fldChar w:fldCharType="end"/>
          </w:r>
        </w:p>
        <w:p>
          <w:pPr>
            <w:pStyle w:val="13"/>
            <w:tabs>
              <w:tab w:val="right" w:leader="dot" w:pos="9552"/>
              <w:tab w:val="clear" w:pos="1260"/>
              <w:tab w:val="clear" w:pos="9350"/>
            </w:tabs>
          </w:pPr>
          <w:r>
            <w:fldChar w:fldCharType="begin"/>
          </w:r>
          <w:r>
            <w:instrText xml:space="preserve"> HYPERLINK \l "_Toc14573" </w:instrText>
          </w:r>
          <w:r>
            <w:fldChar w:fldCharType="separate"/>
          </w:r>
          <w:r>
            <w:rPr>
              <w:rFonts w:ascii="仿宋" w:hAnsi="仿宋" w:eastAsia="仿宋"/>
              <w:bCs/>
              <w:snapToGrid w:val="0"/>
              <w:szCs w:val="24"/>
            </w:rPr>
            <w:t>1.10 响应和偏差</w:t>
          </w:r>
          <w:r>
            <w:tab/>
          </w:r>
          <w:r>
            <w:fldChar w:fldCharType="begin"/>
          </w:r>
          <w:r>
            <w:instrText xml:space="preserve"> PAGEREF _Toc14573 \h </w:instrText>
          </w:r>
          <w:r>
            <w:fldChar w:fldCharType="separate"/>
          </w:r>
          <w:r>
            <w:t>16</w:t>
          </w:r>
          <w:r>
            <w:fldChar w:fldCharType="end"/>
          </w:r>
          <w:r>
            <w:fldChar w:fldCharType="end"/>
          </w:r>
        </w:p>
        <w:p>
          <w:pPr>
            <w:pStyle w:val="23"/>
            <w:tabs>
              <w:tab w:val="right" w:leader="dot" w:pos="9552"/>
            </w:tabs>
          </w:pPr>
          <w:r>
            <w:fldChar w:fldCharType="begin"/>
          </w:r>
          <w:r>
            <w:instrText xml:space="preserve"> HYPERLINK \l "_Toc27424"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_Toc27424 \h </w:instrText>
          </w:r>
          <w:r>
            <w:fldChar w:fldCharType="separate"/>
          </w:r>
          <w:r>
            <w:t>16</w:t>
          </w:r>
          <w:r>
            <w:fldChar w:fldCharType="end"/>
          </w:r>
          <w:r>
            <w:fldChar w:fldCharType="end"/>
          </w:r>
        </w:p>
        <w:p>
          <w:pPr>
            <w:pStyle w:val="13"/>
            <w:tabs>
              <w:tab w:val="right" w:leader="dot" w:pos="9552"/>
              <w:tab w:val="clear" w:pos="1260"/>
              <w:tab w:val="clear" w:pos="9350"/>
            </w:tabs>
          </w:pPr>
          <w:r>
            <w:fldChar w:fldCharType="begin"/>
          </w:r>
          <w:r>
            <w:instrText xml:space="preserve"> HYPERLINK \l "_Toc29965"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_Toc29965 \h </w:instrText>
          </w:r>
          <w:r>
            <w:fldChar w:fldCharType="separate"/>
          </w:r>
          <w:r>
            <w:t>16</w:t>
          </w:r>
          <w:r>
            <w:fldChar w:fldCharType="end"/>
          </w:r>
          <w:r>
            <w:fldChar w:fldCharType="end"/>
          </w:r>
        </w:p>
        <w:p>
          <w:pPr>
            <w:pStyle w:val="13"/>
            <w:tabs>
              <w:tab w:val="right" w:leader="dot" w:pos="9552"/>
              <w:tab w:val="clear" w:pos="1260"/>
              <w:tab w:val="clear" w:pos="9350"/>
            </w:tabs>
          </w:pPr>
          <w:r>
            <w:fldChar w:fldCharType="begin"/>
          </w:r>
          <w:r>
            <w:instrText xml:space="preserve"> HYPERLINK \l "_Toc31591"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_Toc31591 \h </w:instrText>
          </w:r>
          <w:r>
            <w:fldChar w:fldCharType="separate"/>
          </w:r>
          <w:r>
            <w:t>16</w:t>
          </w:r>
          <w:r>
            <w:fldChar w:fldCharType="end"/>
          </w:r>
          <w:r>
            <w:fldChar w:fldCharType="end"/>
          </w:r>
        </w:p>
        <w:p>
          <w:pPr>
            <w:pStyle w:val="23"/>
            <w:tabs>
              <w:tab w:val="right" w:leader="dot" w:pos="9552"/>
            </w:tabs>
          </w:pPr>
          <w:r>
            <w:fldChar w:fldCharType="begin"/>
          </w:r>
          <w:r>
            <w:instrText xml:space="preserve"> HYPERLINK \l "_Toc10987" </w:instrText>
          </w:r>
          <w:r>
            <w:fldChar w:fldCharType="separate"/>
          </w:r>
          <w:r>
            <w:rPr>
              <w:rFonts w:ascii="仿宋" w:hAnsi="仿宋" w:eastAsia="仿宋"/>
              <w:bCs/>
              <w:snapToGrid w:val="0"/>
              <w:szCs w:val="24"/>
            </w:rPr>
            <w:t>3.响应文件</w:t>
          </w:r>
          <w:r>
            <w:tab/>
          </w:r>
          <w:r>
            <w:fldChar w:fldCharType="begin"/>
          </w:r>
          <w:r>
            <w:instrText xml:space="preserve"> PAGEREF _Toc10987 \h </w:instrText>
          </w:r>
          <w:r>
            <w:fldChar w:fldCharType="separate"/>
          </w:r>
          <w:r>
            <w:t>17</w:t>
          </w:r>
          <w:r>
            <w:fldChar w:fldCharType="end"/>
          </w:r>
          <w:r>
            <w:fldChar w:fldCharType="end"/>
          </w:r>
        </w:p>
        <w:p>
          <w:pPr>
            <w:pStyle w:val="13"/>
            <w:tabs>
              <w:tab w:val="right" w:leader="dot" w:pos="9552"/>
              <w:tab w:val="clear" w:pos="1260"/>
              <w:tab w:val="clear" w:pos="9350"/>
            </w:tabs>
          </w:pPr>
          <w:r>
            <w:fldChar w:fldCharType="begin"/>
          </w:r>
          <w:r>
            <w:instrText xml:space="preserve"> HYPERLINK \l "_Toc2007" </w:instrText>
          </w:r>
          <w:r>
            <w:fldChar w:fldCharType="separate"/>
          </w:r>
          <w:r>
            <w:rPr>
              <w:rFonts w:hint="eastAsia" w:ascii="仿宋" w:hAnsi="仿宋" w:eastAsia="仿宋"/>
              <w:snapToGrid w:val="0"/>
              <w:szCs w:val="24"/>
            </w:rPr>
            <w:t>3</w:t>
          </w:r>
          <w:r>
            <w:rPr>
              <w:rFonts w:ascii="仿宋" w:hAnsi="仿宋" w:eastAsia="仿宋"/>
              <w:snapToGrid w:val="0"/>
              <w:szCs w:val="24"/>
            </w:rPr>
            <w:t>.1响应文件的组成</w:t>
          </w:r>
          <w:r>
            <w:tab/>
          </w:r>
          <w:r>
            <w:fldChar w:fldCharType="begin"/>
          </w:r>
          <w:r>
            <w:instrText xml:space="preserve"> PAGEREF _Toc2007 \h </w:instrText>
          </w:r>
          <w:r>
            <w:fldChar w:fldCharType="separate"/>
          </w:r>
          <w:r>
            <w:t>17</w:t>
          </w:r>
          <w:r>
            <w:fldChar w:fldCharType="end"/>
          </w:r>
          <w:r>
            <w:fldChar w:fldCharType="end"/>
          </w:r>
        </w:p>
        <w:p>
          <w:pPr>
            <w:pStyle w:val="13"/>
            <w:tabs>
              <w:tab w:val="right" w:leader="dot" w:pos="9552"/>
              <w:tab w:val="clear" w:pos="1260"/>
              <w:tab w:val="clear" w:pos="9350"/>
            </w:tabs>
          </w:pPr>
          <w:r>
            <w:fldChar w:fldCharType="begin"/>
          </w:r>
          <w:r>
            <w:instrText xml:space="preserve"> HYPERLINK \l "_Toc21788" </w:instrText>
          </w:r>
          <w:r>
            <w:fldChar w:fldCharType="separate"/>
          </w:r>
          <w:r>
            <w:rPr>
              <w:rFonts w:hint="eastAsia" w:ascii="仿宋" w:hAnsi="仿宋" w:eastAsia="仿宋"/>
              <w:snapToGrid w:val="0"/>
              <w:szCs w:val="24"/>
            </w:rPr>
            <w:t>3</w:t>
          </w:r>
          <w:r>
            <w:rPr>
              <w:rFonts w:ascii="仿宋" w:hAnsi="仿宋" w:eastAsia="仿宋"/>
              <w:snapToGrid w:val="0"/>
              <w:szCs w:val="24"/>
            </w:rPr>
            <w:t>.2 报价</w:t>
          </w:r>
          <w:r>
            <w:tab/>
          </w:r>
          <w:r>
            <w:fldChar w:fldCharType="begin"/>
          </w:r>
          <w:r>
            <w:instrText xml:space="preserve"> PAGEREF _Toc21788 \h </w:instrText>
          </w:r>
          <w:r>
            <w:fldChar w:fldCharType="separate"/>
          </w:r>
          <w:r>
            <w:t>17</w:t>
          </w:r>
          <w:r>
            <w:fldChar w:fldCharType="end"/>
          </w:r>
          <w:r>
            <w:fldChar w:fldCharType="end"/>
          </w:r>
        </w:p>
        <w:p>
          <w:pPr>
            <w:pStyle w:val="13"/>
            <w:tabs>
              <w:tab w:val="right" w:leader="dot" w:pos="9552"/>
              <w:tab w:val="clear" w:pos="1260"/>
              <w:tab w:val="clear" w:pos="9350"/>
            </w:tabs>
          </w:pPr>
          <w:r>
            <w:fldChar w:fldCharType="begin"/>
          </w:r>
          <w:r>
            <w:instrText xml:space="preserve"> HYPERLINK \l "_Toc3547"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_Toc3547 \h </w:instrText>
          </w:r>
          <w:r>
            <w:fldChar w:fldCharType="separate"/>
          </w:r>
          <w:r>
            <w:t>18</w:t>
          </w:r>
          <w:r>
            <w:fldChar w:fldCharType="end"/>
          </w:r>
          <w:r>
            <w:fldChar w:fldCharType="end"/>
          </w:r>
        </w:p>
        <w:p>
          <w:pPr>
            <w:pStyle w:val="13"/>
            <w:tabs>
              <w:tab w:val="right" w:leader="dot" w:pos="9552"/>
              <w:tab w:val="clear" w:pos="1260"/>
              <w:tab w:val="clear" w:pos="9350"/>
            </w:tabs>
          </w:pPr>
          <w:r>
            <w:fldChar w:fldCharType="begin"/>
          </w:r>
          <w:r>
            <w:instrText xml:space="preserve"> HYPERLINK \l "_Toc23525"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_Toc23525 \h </w:instrText>
          </w:r>
          <w:r>
            <w:fldChar w:fldCharType="separate"/>
          </w:r>
          <w:r>
            <w:t>18</w:t>
          </w:r>
          <w:r>
            <w:fldChar w:fldCharType="end"/>
          </w:r>
          <w:r>
            <w:fldChar w:fldCharType="end"/>
          </w:r>
        </w:p>
        <w:p>
          <w:pPr>
            <w:pStyle w:val="13"/>
            <w:tabs>
              <w:tab w:val="right" w:leader="dot" w:pos="9552"/>
              <w:tab w:val="clear" w:pos="1260"/>
              <w:tab w:val="clear" w:pos="9350"/>
            </w:tabs>
          </w:pPr>
          <w:r>
            <w:fldChar w:fldCharType="begin"/>
          </w:r>
          <w:r>
            <w:instrText xml:space="preserve"> HYPERLINK \l "_Toc15139"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_Toc15139 \h </w:instrText>
          </w:r>
          <w:r>
            <w:fldChar w:fldCharType="separate"/>
          </w:r>
          <w:r>
            <w:t>18</w:t>
          </w:r>
          <w:r>
            <w:fldChar w:fldCharType="end"/>
          </w:r>
          <w:r>
            <w:fldChar w:fldCharType="end"/>
          </w:r>
        </w:p>
        <w:p>
          <w:pPr>
            <w:pStyle w:val="13"/>
            <w:tabs>
              <w:tab w:val="right" w:leader="dot" w:pos="9552"/>
              <w:tab w:val="clear" w:pos="1260"/>
              <w:tab w:val="clear" w:pos="9350"/>
            </w:tabs>
          </w:pPr>
          <w:r>
            <w:fldChar w:fldCharType="begin"/>
          </w:r>
          <w:r>
            <w:instrText xml:space="preserve"> HYPERLINK \l "_Toc27335" </w:instrText>
          </w:r>
          <w:r>
            <w:fldChar w:fldCharType="separate"/>
          </w:r>
          <w:r>
            <w:rPr>
              <w:rFonts w:hint="eastAsia" w:ascii="仿宋" w:hAnsi="仿宋" w:eastAsia="仿宋"/>
              <w:snapToGrid w:val="0"/>
              <w:szCs w:val="24"/>
            </w:rPr>
            <w:t>3</w:t>
          </w:r>
          <w:r>
            <w:rPr>
              <w:rFonts w:ascii="仿宋" w:hAnsi="仿宋" w:eastAsia="仿宋"/>
              <w:snapToGrid w:val="0"/>
              <w:szCs w:val="24"/>
            </w:rPr>
            <w:t>.6 响应方案</w:t>
          </w:r>
          <w:r>
            <w:tab/>
          </w:r>
          <w:r>
            <w:fldChar w:fldCharType="begin"/>
          </w:r>
          <w:r>
            <w:instrText xml:space="preserve"> PAGEREF _Toc27335 \h </w:instrText>
          </w:r>
          <w:r>
            <w:fldChar w:fldCharType="separate"/>
          </w:r>
          <w:r>
            <w:t>18</w:t>
          </w:r>
          <w:r>
            <w:fldChar w:fldCharType="end"/>
          </w:r>
          <w:r>
            <w:fldChar w:fldCharType="end"/>
          </w:r>
        </w:p>
        <w:p>
          <w:pPr>
            <w:pStyle w:val="13"/>
            <w:tabs>
              <w:tab w:val="right" w:leader="dot" w:pos="9552"/>
              <w:tab w:val="clear" w:pos="1260"/>
              <w:tab w:val="clear" w:pos="9350"/>
            </w:tabs>
          </w:pPr>
          <w:r>
            <w:fldChar w:fldCharType="begin"/>
          </w:r>
          <w:r>
            <w:instrText xml:space="preserve"> HYPERLINK \l "_Toc14194"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_Toc14194 \h </w:instrText>
          </w:r>
          <w:r>
            <w:fldChar w:fldCharType="separate"/>
          </w:r>
          <w:r>
            <w:t>19</w:t>
          </w:r>
          <w:r>
            <w:fldChar w:fldCharType="end"/>
          </w:r>
          <w:r>
            <w:fldChar w:fldCharType="end"/>
          </w:r>
        </w:p>
        <w:p>
          <w:pPr>
            <w:pStyle w:val="23"/>
            <w:tabs>
              <w:tab w:val="right" w:leader="dot" w:pos="9552"/>
            </w:tabs>
          </w:pPr>
          <w:r>
            <w:fldChar w:fldCharType="begin"/>
          </w:r>
          <w:r>
            <w:instrText xml:space="preserve"> HYPERLINK \l "_Toc13209" </w:instrText>
          </w:r>
          <w:r>
            <w:fldChar w:fldCharType="separate"/>
          </w:r>
          <w:r>
            <w:rPr>
              <w:rFonts w:ascii="仿宋" w:hAnsi="仿宋" w:eastAsia="仿宋"/>
              <w:bCs/>
              <w:snapToGrid w:val="0"/>
              <w:szCs w:val="24"/>
            </w:rPr>
            <w:t>4</w:t>
          </w:r>
          <w:r>
            <w:rPr>
              <w:rFonts w:hint="eastAsia" w:ascii="仿宋" w:hAnsi="仿宋" w:eastAsia="仿宋"/>
              <w:bCs/>
              <w:snapToGrid w:val="0"/>
              <w:szCs w:val="24"/>
            </w:rPr>
            <w:t>.采购</w:t>
          </w:r>
          <w:r>
            <w:rPr>
              <w:rFonts w:ascii="仿宋" w:hAnsi="仿宋" w:eastAsia="仿宋"/>
              <w:bCs/>
              <w:snapToGrid w:val="0"/>
              <w:szCs w:val="24"/>
            </w:rPr>
            <w:t>和评审</w:t>
          </w:r>
          <w:r>
            <w:tab/>
          </w:r>
          <w:r>
            <w:fldChar w:fldCharType="begin"/>
          </w:r>
          <w:r>
            <w:instrText xml:space="preserve"> PAGEREF _Toc13209 \h </w:instrText>
          </w:r>
          <w:r>
            <w:fldChar w:fldCharType="separate"/>
          </w:r>
          <w:r>
            <w:t>19</w:t>
          </w:r>
          <w:r>
            <w:fldChar w:fldCharType="end"/>
          </w:r>
          <w:r>
            <w:fldChar w:fldCharType="end"/>
          </w:r>
        </w:p>
        <w:p>
          <w:pPr>
            <w:pStyle w:val="13"/>
            <w:tabs>
              <w:tab w:val="right" w:leader="dot" w:pos="9552"/>
              <w:tab w:val="clear" w:pos="1260"/>
              <w:tab w:val="clear" w:pos="9350"/>
            </w:tabs>
          </w:pPr>
          <w:r>
            <w:fldChar w:fldCharType="begin"/>
          </w:r>
          <w:r>
            <w:instrText xml:space="preserve"> HYPERLINK \l "_Toc31199" </w:instrText>
          </w:r>
          <w:r>
            <w:fldChar w:fldCharType="separate"/>
          </w:r>
          <w:r>
            <w:rPr>
              <w:rFonts w:ascii="仿宋" w:hAnsi="仿宋" w:eastAsia="仿宋"/>
              <w:snapToGrid w:val="0"/>
              <w:szCs w:val="24"/>
            </w:rPr>
            <w:t>4.1 采购小组</w:t>
          </w:r>
          <w:r>
            <w:tab/>
          </w:r>
          <w:r>
            <w:fldChar w:fldCharType="begin"/>
          </w:r>
          <w:r>
            <w:instrText xml:space="preserve"> PAGEREF _Toc31199 \h </w:instrText>
          </w:r>
          <w:r>
            <w:fldChar w:fldCharType="separate"/>
          </w:r>
          <w:r>
            <w:t>19</w:t>
          </w:r>
          <w:r>
            <w:fldChar w:fldCharType="end"/>
          </w:r>
          <w:r>
            <w:fldChar w:fldCharType="end"/>
          </w:r>
        </w:p>
        <w:p>
          <w:pPr>
            <w:pStyle w:val="13"/>
            <w:tabs>
              <w:tab w:val="right" w:leader="dot" w:pos="9552"/>
              <w:tab w:val="clear" w:pos="1260"/>
              <w:tab w:val="clear" w:pos="9350"/>
            </w:tabs>
          </w:pPr>
          <w:r>
            <w:fldChar w:fldCharType="begin"/>
          </w:r>
          <w:r>
            <w:instrText xml:space="preserve"> HYPERLINK \l "_Toc4936" </w:instrText>
          </w:r>
          <w:r>
            <w:fldChar w:fldCharType="separate"/>
          </w:r>
          <w:r>
            <w:rPr>
              <w:rFonts w:ascii="仿宋" w:hAnsi="仿宋" w:eastAsia="仿宋"/>
              <w:snapToGrid w:val="0"/>
              <w:szCs w:val="24"/>
            </w:rPr>
            <w:t>4.2 初步评审</w:t>
          </w:r>
          <w:r>
            <w:tab/>
          </w:r>
          <w:r>
            <w:fldChar w:fldCharType="begin"/>
          </w:r>
          <w:r>
            <w:instrText xml:space="preserve"> PAGEREF _Toc4936 \h </w:instrText>
          </w:r>
          <w:r>
            <w:fldChar w:fldCharType="separate"/>
          </w:r>
          <w:r>
            <w:t>20</w:t>
          </w:r>
          <w:r>
            <w:fldChar w:fldCharType="end"/>
          </w:r>
          <w:r>
            <w:fldChar w:fldCharType="end"/>
          </w:r>
        </w:p>
        <w:p>
          <w:pPr>
            <w:pStyle w:val="13"/>
            <w:tabs>
              <w:tab w:val="right" w:leader="dot" w:pos="9552"/>
              <w:tab w:val="clear" w:pos="1260"/>
              <w:tab w:val="clear" w:pos="9350"/>
            </w:tabs>
          </w:pPr>
          <w:r>
            <w:fldChar w:fldCharType="begin"/>
          </w:r>
          <w:r>
            <w:instrText xml:space="preserve"> HYPERLINK \l "_Toc27917" </w:instrText>
          </w:r>
          <w:r>
            <w:fldChar w:fldCharType="separate"/>
          </w:r>
          <w:r>
            <w:rPr>
              <w:rFonts w:ascii="仿宋" w:hAnsi="仿宋" w:eastAsia="仿宋"/>
              <w:snapToGrid w:val="0"/>
              <w:szCs w:val="24"/>
            </w:rPr>
            <w:t>4.3 谈判</w:t>
          </w:r>
          <w:r>
            <w:tab/>
          </w:r>
          <w:r>
            <w:fldChar w:fldCharType="begin"/>
          </w:r>
          <w:r>
            <w:instrText xml:space="preserve"> PAGEREF _Toc27917 \h </w:instrText>
          </w:r>
          <w:r>
            <w:fldChar w:fldCharType="separate"/>
          </w:r>
          <w:r>
            <w:t>20</w:t>
          </w:r>
          <w:r>
            <w:fldChar w:fldCharType="end"/>
          </w:r>
          <w:r>
            <w:fldChar w:fldCharType="end"/>
          </w:r>
        </w:p>
        <w:p>
          <w:pPr>
            <w:pStyle w:val="13"/>
            <w:tabs>
              <w:tab w:val="right" w:leader="dot" w:pos="9552"/>
              <w:tab w:val="clear" w:pos="1260"/>
              <w:tab w:val="clear" w:pos="9350"/>
            </w:tabs>
          </w:pPr>
          <w:r>
            <w:fldChar w:fldCharType="begin"/>
          </w:r>
          <w:r>
            <w:instrText xml:space="preserve"> HYPERLINK \l "_Toc28080" </w:instrText>
          </w:r>
          <w:r>
            <w:fldChar w:fldCharType="separate"/>
          </w:r>
          <w:r>
            <w:rPr>
              <w:rFonts w:ascii="仿宋" w:hAnsi="仿宋" w:eastAsia="仿宋"/>
              <w:snapToGrid w:val="0"/>
              <w:szCs w:val="24"/>
            </w:rPr>
            <w:t>4.4 递交补充响应文件</w:t>
          </w:r>
          <w:r>
            <w:tab/>
          </w:r>
          <w:r>
            <w:fldChar w:fldCharType="begin"/>
          </w:r>
          <w:r>
            <w:instrText xml:space="preserve"> PAGEREF _Toc28080 \h </w:instrText>
          </w:r>
          <w:r>
            <w:fldChar w:fldCharType="separate"/>
          </w:r>
          <w:r>
            <w:t>20</w:t>
          </w:r>
          <w:r>
            <w:fldChar w:fldCharType="end"/>
          </w:r>
          <w:r>
            <w:fldChar w:fldCharType="end"/>
          </w:r>
        </w:p>
        <w:p>
          <w:pPr>
            <w:pStyle w:val="13"/>
            <w:tabs>
              <w:tab w:val="right" w:leader="dot" w:pos="9552"/>
              <w:tab w:val="clear" w:pos="1260"/>
              <w:tab w:val="clear" w:pos="9350"/>
            </w:tabs>
          </w:pPr>
          <w:r>
            <w:fldChar w:fldCharType="begin"/>
          </w:r>
          <w:r>
            <w:instrText xml:space="preserve"> HYPERLINK \l "_Toc546" </w:instrText>
          </w:r>
          <w:r>
            <w:fldChar w:fldCharType="separate"/>
          </w:r>
          <w:r>
            <w:rPr>
              <w:rFonts w:ascii="仿宋" w:hAnsi="仿宋" w:eastAsia="仿宋"/>
              <w:snapToGrid w:val="0"/>
              <w:szCs w:val="24"/>
            </w:rPr>
            <w:t>4.5 递交最终报价</w:t>
          </w:r>
          <w:r>
            <w:tab/>
          </w:r>
          <w:r>
            <w:fldChar w:fldCharType="begin"/>
          </w:r>
          <w:r>
            <w:instrText xml:space="preserve"> PAGEREF _Toc546 \h </w:instrText>
          </w:r>
          <w:r>
            <w:fldChar w:fldCharType="separate"/>
          </w:r>
          <w:r>
            <w:t>21</w:t>
          </w:r>
          <w:r>
            <w:fldChar w:fldCharType="end"/>
          </w:r>
          <w:r>
            <w:fldChar w:fldCharType="end"/>
          </w:r>
        </w:p>
        <w:p>
          <w:pPr>
            <w:pStyle w:val="13"/>
            <w:tabs>
              <w:tab w:val="right" w:leader="dot" w:pos="9552"/>
              <w:tab w:val="clear" w:pos="1260"/>
              <w:tab w:val="clear" w:pos="9350"/>
            </w:tabs>
          </w:pPr>
          <w:r>
            <w:fldChar w:fldCharType="begin"/>
          </w:r>
          <w:r>
            <w:instrText xml:space="preserve"> HYPERLINK \l "_Toc303" </w:instrText>
          </w:r>
          <w:r>
            <w:fldChar w:fldCharType="separate"/>
          </w:r>
          <w:r>
            <w:rPr>
              <w:rFonts w:ascii="仿宋" w:hAnsi="仿宋" w:eastAsia="仿宋"/>
              <w:snapToGrid w:val="0"/>
              <w:szCs w:val="24"/>
            </w:rPr>
            <w:t xml:space="preserve">4.6 </w:t>
          </w:r>
          <w:r>
            <w:rPr>
              <w:rFonts w:eastAsia="仿宋" w:asciiTheme="minorEastAsia" w:hAnsiTheme="minorEastAsia"/>
              <w:snapToGrid w:val="0"/>
              <w:szCs w:val="24"/>
            </w:rPr>
            <w:t>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_Toc303 \h </w:instrText>
          </w:r>
          <w:r>
            <w:fldChar w:fldCharType="separate"/>
          </w:r>
          <w:r>
            <w:t>21</w:t>
          </w:r>
          <w:r>
            <w:fldChar w:fldCharType="end"/>
          </w:r>
          <w:r>
            <w:fldChar w:fldCharType="end"/>
          </w:r>
        </w:p>
        <w:p>
          <w:pPr>
            <w:pStyle w:val="13"/>
            <w:tabs>
              <w:tab w:val="right" w:leader="dot" w:pos="9552"/>
              <w:tab w:val="clear" w:pos="1260"/>
              <w:tab w:val="clear" w:pos="9350"/>
            </w:tabs>
          </w:pPr>
          <w:r>
            <w:fldChar w:fldCharType="begin"/>
          </w:r>
          <w:r>
            <w:instrText xml:space="preserve"> HYPERLINK \l "_Toc4234" </w:instrText>
          </w:r>
          <w:r>
            <w:fldChar w:fldCharType="separate"/>
          </w:r>
          <w:r>
            <w:rPr>
              <w:rFonts w:ascii="仿宋" w:hAnsi="仿宋" w:eastAsia="仿宋"/>
              <w:snapToGrid w:val="0"/>
              <w:szCs w:val="24"/>
            </w:rPr>
            <w:t>4.7 特殊情形处理</w:t>
          </w:r>
          <w:r>
            <w:tab/>
          </w:r>
          <w:r>
            <w:fldChar w:fldCharType="begin"/>
          </w:r>
          <w:r>
            <w:instrText xml:space="preserve"> PAGEREF _Toc4234 \h </w:instrText>
          </w:r>
          <w:r>
            <w:fldChar w:fldCharType="separate"/>
          </w:r>
          <w:r>
            <w:t>21</w:t>
          </w:r>
          <w:r>
            <w:fldChar w:fldCharType="end"/>
          </w:r>
          <w:r>
            <w:fldChar w:fldCharType="end"/>
          </w:r>
        </w:p>
        <w:p>
          <w:pPr>
            <w:pStyle w:val="23"/>
            <w:tabs>
              <w:tab w:val="right" w:leader="dot" w:pos="9552"/>
            </w:tabs>
          </w:pPr>
          <w:r>
            <w:fldChar w:fldCharType="begin"/>
          </w:r>
          <w:r>
            <w:instrText xml:space="preserve"> HYPERLINK \l "_Toc14306" </w:instrText>
          </w:r>
          <w:r>
            <w:fldChar w:fldCharType="separate"/>
          </w:r>
          <w:r>
            <w:rPr>
              <w:rFonts w:ascii="仿宋" w:hAnsi="仿宋" w:eastAsia="仿宋"/>
              <w:bCs/>
              <w:snapToGrid w:val="0"/>
              <w:szCs w:val="24"/>
            </w:rPr>
            <w:t>5</w:t>
          </w:r>
          <w:r>
            <w:rPr>
              <w:rFonts w:hint="eastAsia" w:ascii="仿宋" w:hAnsi="仿宋" w:eastAsia="仿宋"/>
              <w:bCs/>
              <w:snapToGrid w:val="0"/>
              <w:szCs w:val="24"/>
            </w:rPr>
            <w:t>．</w:t>
          </w:r>
          <w:r>
            <w:rPr>
              <w:rFonts w:ascii="仿宋" w:hAnsi="仿宋" w:eastAsia="仿宋"/>
              <w:bCs/>
              <w:snapToGrid w:val="0"/>
              <w:szCs w:val="24"/>
            </w:rPr>
            <w:t>合同授予</w:t>
          </w:r>
          <w:r>
            <w:tab/>
          </w:r>
          <w:r>
            <w:fldChar w:fldCharType="begin"/>
          </w:r>
          <w:r>
            <w:instrText xml:space="preserve"> PAGEREF _Toc14306 \h </w:instrText>
          </w:r>
          <w:r>
            <w:fldChar w:fldCharType="separate"/>
          </w:r>
          <w:r>
            <w:t>21</w:t>
          </w:r>
          <w:r>
            <w:fldChar w:fldCharType="end"/>
          </w:r>
          <w:r>
            <w:fldChar w:fldCharType="end"/>
          </w:r>
        </w:p>
        <w:p>
          <w:pPr>
            <w:pStyle w:val="13"/>
            <w:tabs>
              <w:tab w:val="right" w:leader="dot" w:pos="9552"/>
              <w:tab w:val="clear" w:pos="1260"/>
              <w:tab w:val="clear" w:pos="9350"/>
            </w:tabs>
          </w:pPr>
          <w:r>
            <w:fldChar w:fldCharType="begin"/>
          </w:r>
          <w:r>
            <w:instrText xml:space="preserve"> HYPERLINK \l "_Toc4300" </w:instrText>
          </w:r>
          <w:r>
            <w:fldChar w:fldCharType="separate"/>
          </w:r>
          <w:r>
            <w:rPr>
              <w:rFonts w:ascii="仿宋" w:hAnsi="仿宋" w:eastAsia="仿宋"/>
              <w:snapToGrid w:val="0"/>
              <w:szCs w:val="24"/>
            </w:rPr>
            <w:t>5.1 发出成交通知书</w:t>
          </w:r>
          <w:r>
            <w:tab/>
          </w:r>
          <w:r>
            <w:fldChar w:fldCharType="begin"/>
          </w:r>
          <w:r>
            <w:instrText xml:space="preserve"> PAGEREF _Toc4300 \h </w:instrText>
          </w:r>
          <w:r>
            <w:fldChar w:fldCharType="separate"/>
          </w:r>
          <w:r>
            <w:t>21</w:t>
          </w:r>
          <w:r>
            <w:fldChar w:fldCharType="end"/>
          </w:r>
          <w:r>
            <w:fldChar w:fldCharType="end"/>
          </w:r>
        </w:p>
        <w:p>
          <w:pPr>
            <w:pStyle w:val="13"/>
            <w:tabs>
              <w:tab w:val="right" w:leader="dot" w:pos="9552"/>
              <w:tab w:val="clear" w:pos="1260"/>
              <w:tab w:val="clear" w:pos="9350"/>
            </w:tabs>
          </w:pPr>
          <w:r>
            <w:fldChar w:fldCharType="begin"/>
          </w:r>
          <w:r>
            <w:instrText xml:space="preserve"> HYPERLINK \l "_Toc27561" </w:instrText>
          </w:r>
          <w:r>
            <w:fldChar w:fldCharType="separate"/>
          </w:r>
          <w:r>
            <w:rPr>
              <w:rFonts w:ascii="仿宋" w:hAnsi="仿宋" w:eastAsia="仿宋"/>
              <w:snapToGrid w:val="0"/>
              <w:szCs w:val="24"/>
            </w:rPr>
            <w:t>5.2 履约保证金</w:t>
          </w:r>
          <w:r>
            <w:tab/>
          </w:r>
          <w:r>
            <w:fldChar w:fldCharType="begin"/>
          </w:r>
          <w:r>
            <w:instrText xml:space="preserve"> PAGEREF _Toc27561 \h </w:instrText>
          </w:r>
          <w:r>
            <w:fldChar w:fldCharType="separate"/>
          </w:r>
          <w:r>
            <w:t>21</w:t>
          </w:r>
          <w:r>
            <w:fldChar w:fldCharType="end"/>
          </w:r>
          <w:r>
            <w:fldChar w:fldCharType="end"/>
          </w:r>
        </w:p>
        <w:p>
          <w:pPr>
            <w:pStyle w:val="13"/>
            <w:tabs>
              <w:tab w:val="right" w:leader="dot" w:pos="9552"/>
              <w:tab w:val="clear" w:pos="1260"/>
              <w:tab w:val="clear" w:pos="9350"/>
            </w:tabs>
          </w:pPr>
          <w:r>
            <w:fldChar w:fldCharType="begin"/>
          </w:r>
          <w:r>
            <w:instrText xml:space="preserve"> HYPERLINK \l "_Toc29428" </w:instrText>
          </w:r>
          <w:r>
            <w:fldChar w:fldCharType="separate"/>
          </w:r>
          <w:r>
            <w:rPr>
              <w:rFonts w:ascii="仿宋" w:hAnsi="仿宋" w:eastAsia="仿宋"/>
              <w:snapToGrid w:val="0"/>
              <w:szCs w:val="24"/>
            </w:rPr>
            <w:t>5.3 签订合同</w:t>
          </w:r>
          <w:r>
            <w:tab/>
          </w:r>
          <w:r>
            <w:fldChar w:fldCharType="begin"/>
          </w:r>
          <w:r>
            <w:instrText xml:space="preserve"> PAGEREF _Toc29428 \h </w:instrText>
          </w:r>
          <w:r>
            <w:fldChar w:fldCharType="separate"/>
          </w:r>
          <w:r>
            <w:t>22</w:t>
          </w:r>
          <w:r>
            <w:fldChar w:fldCharType="end"/>
          </w:r>
          <w:r>
            <w:fldChar w:fldCharType="end"/>
          </w:r>
        </w:p>
        <w:p>
          <w:pPr>
            <w:pStyle w:val="23"/>
            <w:tabs>
              <w:tab w:val="right" w:leader="dot" w:pos="9552"/>
            </w:tabs>
          </w:pPr>
          <w:r>
            <w:fldChar w:fldCharType="begin"/>
          </w:r>
          <w:r>
            <w:instrText xml:space="preserve"> HYPERLINK \l "_Toc31585" </w:instrText>
          </w:r>
          <w:r>
            <w:fldChar w:fldCharType="separate"/>
          </w:r>
          <w:r>
            <w:rPr>
              <w:rFonts w:ascii="仿宋" w:hAnsi="仿宋" w:eastAsia="仿宋"/>
              <w:snapToGrid w:val="0"/>
              <w:szCs w:val="24"/>
            </w:rPr>
            <w:t>6</w:t>
          </w:r>
          <w:r>
            <w:rPr>
              <w:rFonts w:hint="eastAsia" w:ascii="仿宋" w:hAnsi="仿宋" w:eastAsia="仿宋"/>
              <w:snapToGrid w:val="0"/>
              <w:szCs w:val="24"/>
            </w:rPr>
            <w:t>．</w:t>
          </w:r>
          <w:r>
            <w:rPr>
              <w:rFonts w:ascii="仿宋" w:hAnsi="仿宋" w:eastAsia="仿宋"/>
              <w:snapToGrid w:val="0"/>
              <w:szCs w:val="24"/>
            </w:rPr>
            <w:t>纪律要求</w:t>
          </w:r>
          <w:r>
            <w:tab/>
          </w:r>
          <w:r>
            <w:fldChar w:fldCharType="begin"/>
          </w:r>
          <w:r>
            <w:instrText xml:space="preserve"> PAGEREF _Toc31585 \h </w:instrText>
          </w:r>
          <w:r>
            <w:fldChar w:fldCharType="separate"/>
          </w:r>
          <w:r>
            <w:t>22</w:t>
          </w:r>
          <w:r>
            <w:fldChar w:fldCharType="end"/>
          </w:r>
          <w:r>
            <w:fldChar w:fldCharType="end"/>
          </w:r>
        </w:p>
        <w:p>
          <w:pPr>
            <w:pStyle w:val="13"/>
            <w:tabs>
              <w:tab w:val="right" w:leader="dot" w:pos="9552"/>
              <w:tab w:val="clear" w:pos="1260"/>
              <w:tab w:val="clear" w:pos="9350"/>
            </w:tabs>
          </w:pPr>
          <w:r>
            <w:fldChar w:fldCharType="begin"/>
          </w:r>
          <w:r>
            <w:instrText xml:space="preserve"> HYPERLINK \l "_Toc5471" </w:instrText>
          </w:r>
          <w:r>
            <w:fldChar w:fldCharType="separate"/>
          </w:r>
          <w:r>
            <w:rPr>
              <w:rFonts w:ascii="仿宋" w:hAnsi="仿宋" w:eastAsia="仿宋"/>
              <w:snapToGrid w:val="0"/>
              <w:szCs w:val="24"/>
            </w:rPr>
            <w:t>6.1 对采购人的纪律要求</w:t>
          </w:r>
          <w:r>
            <w:tab/>
          </w:r>
          <w:r>
            <w:fldChar w:fldCharType="begin"/>
          </w:r>
          <w:r>
            <w:instrText xml:space="preserve"> PAGEREF _Toc5471 \h </w:instrText>
          </w:r>
          <w:r>
            <w:fldChar w:fldCharType="separate"/>
          </w:r>
          <w:r>
            <w:t>22</w:t>
          </w:r>
          <w:r>
            <w:fldChar w:fldCharType="end"/>
          </w:r>
          <w:r>
            <w:fldChar w:fldCharType="end"/>
          </w:r>
        </w:p>
        <w:p>
          <w:pPr>
            <w:pStyle w:val="13"/>
            <w:tabs>
              <w:tab w:val="right" w:leader="dot" w:pos="9552"/>
              <w:tab w:val="clear" w:pos="1260"/>
              <w:tab w:val="clear" w:pos="9350"/>
            </w:tabs>
          </w:pPr>
          <w:r>
            <w:fldChar w:fldCharType="begin"/>
          </w:r>
          <w:r>
            <w:instrText xml:space="preserve"> HYPERLINK \l "_Toc17153" </w:instrText>
          </w:r>
          <w:r>
            <w:fldChar w:fldCharType="separate"/>
          </w:r>
          <w:r>
            <w:rPr>
              <w:rFonts w:ascii="仿宋" w:hAnsi="仿宋" w:eastAsia="仿宋"/>
              <w:snapToGrid w:val="0"/>
              <w:szCs w:val="24"/>
            </w:rPr>
            <w:t>6.2 对供应商的纪律要求</w:t>
          </w:r>
          <w:r>
            <w:tab/>
          </w:r>
          <w:r>
            <w:fldChar w:fldCharType="begin"/>
          </w:r>
          <w:r>
            <w:instrText xml:space="preserve"> PAGEREF _Toc17153 \h </w:instrText>
          </w:r>
          <w:r>
            <w:fldChar w:fldCharType="separate"/>
          </w:r>
          <w:r>
            <w:t>22</w:t>
          </w:r>
          <w:r>
            <w:fldChar w:fldCharType="end"/>
          </w:r>
          <w:r>
            <w:fldChar w:fldCharType="end"/>
          </w:r>
        </w:p>
        <w:p>
          <w:pPr>
            <w:pStyle w:val="13"/>
            <w:tabs>
              <w:tab w:val="right" w:leader="dot" w:pos="9552"/>
              <w:tab w:val="clear" w:pos="1260"/>
              <w:tab w:val="clear" w:pos="9350"/>
            </w:tabs>
          </w:pPr>
          <w:r>
            <w:fldChar w:fldCharType="begin"/>
          </w:r>
          <w:r>
            <w:instrText xml:space="preserve"> HYPERLINK \l "_Toc18166" </w:instrText>
          </w:r>
          <w:r>
            <w:fldChar w:fldCharType="separate"/>
          </w:r>
          <w:r>
            <w:rPr>
              <w:rFonts w:ascii="仿宋" w:hAnsi="仿宋" w:eastAsia="仿宋"/>
              <w:snapToGrid w:val="0"/>
              <w:szCs w:val="24"/>
            </w:rPr>
            <w:t>6.3 对采购小组成员的纪律要求</w:t>
          </w:r>
          <w:r>
            <w:tab/>
          </w:r>
          <w:r>
            <w:fldChar w:fldCharType="begin"/>
          </w:r>
          <w:r>
            <w:instrText xml:space="preserve"> PAGEREF _Toc18166 \h </w:instrText>
          </w:r>
          <w:r>
            <w:fldChar w:fldCharType="separate"/>
          </w:r>
          <w:r>
            <w:t>22</w:t>
          </w:r>
          <w:r>
            <w:fldChar w:fldCharType="end"/>
          </w:r>
          <w:r>
            <w:fldChar w:fldCharType="end"/>
          </w:r>
        </w:p>
        <w:p>
          <w:pPr>
            <w:pStyle w:val="13"/>
            <w:tabs>
              <w:tab w:val="right" w:leader="dot" w:pos="9552"/>
              <w:tab w:val="clear" w:pos="1260"/>
              <w:tab w:val="clear" w:pos="9350"/>
            </w:tabs>
          </w:pPr>
          <w:r>
            <w:fldChar w:fldCharType="begin"/>
          </w:r>
          <w:r>
            <w:instrText xml:space="preserve"> HYPERLINK \l "_Toc21877" </w:instrText>
          </w:r>
          <w:r>
            <w:fldChar w:fldCharType="separate"/>
          </w:r>
          <w:r>
            <w:rPr>
              <w:rFonts w:ascii="仿宋" w:hAnsi="仿宋" w:eastAsia="仿宋"/>
              <w:snapToGrid w:val="0"/>
              <w:szCs w:val="24"/>
            </w:rPr>
            <w:t>6.4 对与采购活动有关的工作人员的纪律要求</w:t>
          </w:r>
          <w:r>
            <w:tab/>
          </w:r>
          <w:r>
            <w:fldChar w:fldCharType="begin"/>
          </w:r>
          <w:r>
            <w:instrText xml:space="preserve"> PAGEREF _Toc21877 \h </w:instrText>
          </w:r>
          <w:r>
            <w:fldChar w:fldCharType="separate"/>
          </w:r>
          <w:r>
            <w:t>22</w:t>
          </w:r>
          <w:r>
            <w:fldChar w:fldCharType="end"/>
          </w:r>
          <w:r>
            <w:fldChar w:fldCharType="end"/>
          </w:r>
        </w:p>
        <w:p>
          <w:pPr>
            <w:pStyle w:val="23"/>
            <w:tabs>
              <w:tab w:val="right" w:leader="dot" w:pos="9552"/>
            </w:tabs>
          </w:pPr>
          <w:r>
            <w:fldChar w:fldCharType="begin"/>
          </w:r>
          <w:r>
            <w:instrText xml:space="preserve"> HYPERLINK \l "_Toc22545" </w:instrText>
          </w:r>
          <w:r>
            <w:fldChar w:fldCharType="separate"/>
          </w:r>
          <w:r>
            <w:rPr>
              <w:rFonts w:ascii="仿宋" w:hAnsi="仿宋" w:eastAsia="仿宋"/>
              <w:snapToGrid w:val="0"/>
              <w:szCs w:val="24"/>
            </w:rPr>
            <w:t>7</w:t>
          </w:r>
          <w:r>
            <w:rPr>
              <w:rFonts w:hint="eastAsia" w:ascii="仿宋" w:hAnsi="仿宋" w:eastAsia="仿宋"/>
              <w:snapToGrid w:val="0"/>
              <w:szCs w:val="24"/>
            </w:rPr>
            <w:t>．</w:t>
          </w:r>
          <w:r>
            <w:rPr>
              <w:rFonts w:ascii="仿宋" w:hAnsi="仿宋" w:eastAsia="仿宋"/>
              <w:snapToGrid w:val="0"/>
              <w:szCs w:val="24"/>
            </w:rPr>
            <w:t>需要补充的其他内容</w:t>
          </w:r>
          <w:r>
            <w:tab/>
          </w:r>
          <w:r>
            <w:fldChar w:fldCharType="begin"/>
          </w:r>
          <w:r>
            <w:instrText xml:space="preserve"> PAGEREF _Toc22545 \h </w:instrText>
          </w:r>
          <w:r>
            <w:fldChar w:fldCharType="separate"/>
          </w:r>
          <w:r>
            <w:t>22</w:t>
          </w:r>
          <w:r>
            <w:fldChar w:fldCharType="end"/>
          </w:r>
          <w:r>
            <w:fldChar w:fldCharType="end"/>
          </w:r>
        </w:p>
        <w:p>
          <w:pPr>
            <w:pStyle w:val="23"/>
            <w:tabs>
              <w:tab w:val="right" w:leader="dot" w:pos="9552"/>
            </w:tabs>
          </w:pPr>
          <w:r>
            <w:fldChar w:fldCharType="begin"/>
          </w:r>
          <w:r>
            <w:instrText xml:space="preserve"> HYPERLINK \l "_Toc3687" </w:instrText>
          </w:r>
          <w:r>
            <w:fldChar w:fldCharType="separate"/>
          </w:r>
          <w:r>
            <w:rPr>
              <w:rFonts w:ascii="仿宋" w:hAnsi="仿宋" w:eastAsia="仿宋"/>
              <w:snapToGrid w:val="0"/>
              <w:szCs w:val="24"/>
            </w:rPr>
            <w:t>附件1 问题澄清通知</w:t>
          </w:r>
          <w:r>
            <w:tab/>
          </w:r>
          <w:r>
            <w:fldChar w:fldCharType="begin"/>
          </w:r>
          <w:r>
            <w:instrText xml:space="preserve"> PAGEREF _Toc3687 \h </w:instrText>
          </w:r>
          <w:r>
            <w:fldChar w:fldCharType="separate"/>
          </w:r>
          <w:r>
            <w:t>23</w:t>
          </w:r>
          <w:r>
            <w:fldChar w:fldCharType="end"/>
          </w:r>
          <w:r>
            <w:fldChar w:fldCharType="end"/>
          </w:r>
        </w:p>
        <w:p>
          <w:pPr>
            <w:pStyle w:val="13"/>
            <w:tabs>
              <w:tab w:val="right" w:leader="dot" w:pos="9552"/>
              <w:tab w:val="clear" w:pos="1260"/>
              <w:tab w:val="clear" w:pos="9350"/>
            </w:tabs>
          </w:pPr>
          <w:r>
            <w:fldChar w:fldCharType="begin"/>
          </w:r>
          <w:r>
            <w:instrText xml:space="preserve"> HYPERLINK \l "_Toc6038" </w:instrText>
          </w:r>
          <w:r>
            <w:fldChar w:fldCharType="separate"/>
          </w:r>
          <w:r>
            <w:rPr>
              <w:rFonts w:ascii="仿宋" w:hAnsi="仿宋" w:eastAsia="仿宋"/>
              <w:bCs/>
              <w:snapToGrid w:val="0"/>
              <w:szCs w:val="32"/>
            </w:rPr>
            <w:t>问题澄清通知</w:t>
          </w:r>
          <w:r>
            <w:tab/>
          </w:r>
          <w:r>
            <w:fldChar w:fldCharType="begin"/>
          </w:r>
          <w:r>
            <w:instrText xml:space="preserve"> PAGEREF _Toc6038 \h </w:instrText>
          </w:r>
          <w:r>
            <w:fldChar w:fldCharType="separate"/>
          </w:r>
          <w:r>
            <w:t>23</w:t>
          </w:r>
          <w:r>
            <w:fldChar w:fldCharType="end"/>
          </w:r>
          <w:r>
            <w:fldChar w:fldCharType="end"/>
          </w:r>
        </w:p>
        <w:p>
          <w:pPr>
            <w:pStyle w:val="23"/>
            <w:tabs>
              <w:tab w:val="right" w:leader="dot" w:pos="9552"/>
            </w:tabs>
          </w:pPr>
          <w:r>
            <w:fldChar w:fldCharType="begin"/>
          </w:r>
          <w:r>
            <w:instrText xml:space="preserve"> HYPERLINK \l "_Toc867" </w:instrText>
          </w:r>
          <w:r>
            <w:fldChar w:fldCharType="separate"/>
          </w:r>
          <w:r>
            <w:rPr>
              <w:rFonts w:ascii="仿宋" w:hAnsi="仿宋" w:eastAsia="仿宋"/>
              <w:snapToGrid w:val="0"/>
              <w:szCs w:val="24"/>
            </w:rPr>
            <w:t>附件2 问题的澄清</w:t>
          </w:r>
          <w:r>
            <w:tab/>
          </w:r>
          <w:r>
            <w:fldChar w:fldCharType="begin"/>
          </w:r>
          <w:r>
            <w:instrText xml:space="preserve"> PAGEREF _Toc867 \h </w:instrText>
          </w:r>
          <w:r>
            <w:fldChar w:fldCharType="separate"/>
          </w:r>
          <w:r>
            <w:t>24</w:t>
          </w:r>
          <w:r>
            <w:fldChar w:fldCharType="end"/>
          </w:r>
          <w:r>
            <w:fldChar w:fldCharType="end"/>
          </w:r>
        </w:p>
        <w:p>
          <w:pPr>
            <w:pStyle w:val="13"/>
            <w:tabs>
              <w:tab w:val="right" w:leader="dot" w:pos="9552"/>
              <w:tab w:val="clear" w:pos="1260"/>
              <w:tab w:val="clear" w:pos="9350"/>
            </w:tabs>
          </w:pPr>
          <w:r>
            <w:fldChar w:fldCharType="begin"/>
          </w:r>
          <w:r>
            <w:instrText xml:space="preserve"> HYPERLINK \l "_Toc17951" </w:instrText>
          </w:r>
          <w:r>
            <w:fldChar w:fldCharType="separate"/>
          </w:r>
          <w:r>
            <w:rPr>
              <w:rFonts w:ascii="仿宋" w:hAnsi="仿宋" w:eastAsia="仿宋"/>
              <w:bCs/>
              <w:snapToGrid w:val="0"/>
              <w:szCs w:val="32"/>
            </w:rPr>
            <w:t>问题的澄清</w:t>
          </w:r>
          <w:r>
            <w:tab/>
          </w:r>
          <w:r>
            <w:fldChar w:fldCharType="begin"/>
          </w:r>
          <w:r>
            <w:instrText xml:space="preserve"> PAGEREF _Toc17951 \h </w:instrText>
          </w:r>
          <w:r>
            <w:fldChar w:fldCharType="separate"/>
          </w:r>
          <w:r>
            <w:t>24</w:t>
          </w:r>
          <w:r>
            <w:fldChar w:fldCharType="end"/>
          </w:r>
          <w:r>
            <w:fldChar w:fldCharType="end"/>
          </w:r>
        </w:p>
        <w:p>
          <w:pPr>
            <w:pStyle w:val="23"/>
            <w:tabs>
              <w:tab w:val="right" w:leader="dot" w:pos="9552"/>
            </w:tabs>
          </w:pPr>
          <w:r>
            <w:fldChar w:fldCharType="begin"/>
          </w:r>
          <w:r>
            <w:instrText xml:space="preserve"> HYPERLINK \l "_Toc22257" </w:instrText>
          </w:r>
          <w:r>
            <w:fldChar w:fldCharType="separate"/>
          </w:r>
          <w:r>
            <w:rPr>
              <w:rFonts w:ascii="仿宋" w:hAnsi="仿宋" w:eastAsia="仿宋"/>
              <w:snapToGrid w:val="0"/>
              <w:szCs w:val="24"/>
            </w:rPr>
            <w:t>附件3 成交通知书</w:t>
          </w:r>
          <w:r>
            <w:tab/>
          </w:r>
          <w:r>
            <w:fldChar w:fldCharType="begin"/>
          </w:r>
          <w:r>
            <w:instrText xml:space="preserve"> PAGEREF _Toc22257 \h </w:instrText>
          </w:r>
          <w:r>
            <w:fldChar w:fldCharType="separate"/>
          </w:r>
          <w:r>
            <w:t>25</w:t>
          </w:r>
          <w:r>
            <w:fldChar w:fldCharType="end"/>
          </w:r>
          <w:r>
            <w:fldChar w:fldCharType="end"/>
          </w:r>
        </w:p>
        <w:p>
          <w:pPr>
            <w:pStyle w:val="13"/>
            <w:tabs>
              <w:tab w:val="right" w:leader="dot" w:pos="9552"/>
              <w:tab w:val="clear" w:pos="1260"/>
              <w:tab w:val="clear" w:pos="9350"/>
            </w:tabs>
          </w:pPr>
          <w:r>
            <w:fldChar w:fldCharType="begin"/>
          </w:r>
          <w:r>
            <w:instrText xml:space="preserve"> HYPERLINK \l "_Toc5920" </w:instrText>
          </w:r>
          <w:r>
            <w:fldChar w:fldCharType="separate"/>
          </w:r>
          <w:r>
            <w:rPr>
              <w:rFonts w:ascii="仿宋" w:hAnsi="仿宋" w:eastAsia="仿宋"/>
              <w:bCs/>
              <w:snapToGrid w:val="0"/>
              <w:szCs w:val="32"/>
            </w:rPr>
            <w:t>成交通知书</w:t>
          </w:r>
          <w:r>
            <w:tab/>
          </w:r>
          <w:r>
            <w:fldChar w:fldCharType="begin"/>
          </w:r>
          <w:r>
            <w:instrText xml:space="preserve"> PAGEREF _Toc5920 \h </w:instrText>
          </w:r>
          <w:r>
            <w:fldChar w:fldCharType="separate"/>
          </w:r>
          <w:r>
            <w:t>25</w:t>
          </w:r>
          <w:r>
            <w:fldChar w:fldCharType="end"/>
          </w:r>
          <w:r>
            <w:fldChar w:fldCharType="end"/>
          </w:r>
        </w:p>
        <w:p>
          <w:pPr>
            <w:pStyle w:val="19"/>
            <w:tabs>
              <w:tab w:val="right" w:leader="dot" w:pos="9552"/>
              <w:tab w:val="clear" w:pos="9350"/>
            </w:tabs>
          </w:pPr>
          <w:r>
            <w:fldChar w:fldCharType="begin"/>
          </w:r>
          <w:r>
            <w:instrText xml:space="preserve"> HYPERLINK \l "_Toc17812"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章  评</w:t>
          </w:r>
          <w:r>
            <w:rPr>
              <w:rFonts w:ascii="仿宋" w:hAnsi="仿宋" w:eastAsia="仿宋"/>
              <w:bCs/>
              <w:snapToGrid w:val="0"/>
              <w:szCs w:val="32"/>
            </w:rPr>
            <w:t>审办法</w:t>
          </w:r>
          <w:r>
            <w:tab/>
          </w:r>
          <w:r>
            <w:fldChar w:fldCharType="begin"/>
          </w:r>
          <w:r>
            <w:instrText xml:space="preserve"> PAGEREF _Toc17812 \h </w:instrText>
          </w:r>
          <w:r>
            <w:fldChar w:fldCharType="separate"/>
          </w:r>
          <w:r>
            <w:t>26</w:t>
          </w:r>
          <w:r>
            <w:fldChar w:fldCharType="end"/>
          </w:r>
          <w:r>
            <w:fldChar w:fldCharType="end"/>
          </w:r>
        </w:p>
        <w:p>
          <w:pPr>
            <w:pStyle w:val="23"/>
            <w:tabs>
              <w:tab w:val="right" w:leader="dot" w:pos="9552"/>
            </w:tabs>
          </w:pPr>
          <w:r>
            <w:fldChar w:fldCharType="begin"/>
          </w:r>
          <w:r>
            <w:instrText xml:space="preserve"> HYPERLINK \l "_Toc22627" </w:instrText>
          </w:r>
          <w:r>
            <w:fldChar w:fldCharType="separate"/>
          </w:r>
          <w:r>
            <w:rPr>
              <w:rFonts w:ascii="仿宋" w:hAnsi="仿宋" w:eastAsia="仿宋"/>
              <w:bCs/>
              <w:snapToGrid w:val="0"/>
              <w:szCs w:val="32"/>
            </w:rPr>
            <w:t>评审办法前附表</w:t>
          </w:r>
          <w:r>
            <w:tab/>
          </w:r>
          <w:r>
            <w:fldChar w:fldCharType="begin"/>
          </w:r>
          <w:r>
            <w:instrText xml:space="preserve"> PAGEREF _Toc22627 \h </w:instrText>
          </w:r>
          <w:r>
            <w:fldChar w:fldCharType="separate"/>
          </w:r>
          <w:r>
            <w:t>27</w:t>
          </w:r>
          <w:r>
            <w:fldChar w:fldCharType="end"/>
          </w:r>
          <w:r>
            <w:fldChar w:fldCharType="end"/>
          </w:r>
        </w:p>
        <w:p>
          <w:pPr>
            <w:pStyle w:val="23"/>
            <w:tabs>
              <w:tab w:val="right" w:leader="dot" w:pos="9552"/>
            </w:tabs>
          </w:pPr>
          <w:r>
            <w:fldChar w:fldCharType="begin"/>
          </w:r>
          <w:r>
            <w:instrText xml:space="preserve"> HYPERLINK \l "_Toc17375" </w:instrText>
          </w:r>
          <w:r>
            <w:fldChar w:fldCharType="separate"/>
          </w:r>
          <w:r>
            <w:rPr>
              <w:rFonts w:ascii="仿宋" w:hAnsi="仿宋" w:eastAsia="仿宋"/>
              <w:bCs/>
              <w:snapToGrid w:val="0"/>
              <w:szCs w:val="24"/>
            </w:rPr>
            <w:t>1.评审方法（</w:t>
          </w:r>
          <w:r>
            <w:rPr>
              <w:rFonts w:eastAsia="仿宋" w:asciiTheme="minorEastAsia" w:hAnsiTheme="minorEastAsia"/>
              <w:bCs/>
              <w:snapToGrid w:val="0"/>
              <w:szCs w:val="24"/>
            </w:rPr>
            <w:t>综合评分法</w:t>
          </w:r>
          <w:r>
            <w:rPr>
              <w:rFonts w:ascii="仿宋" w:hAnsi="仿宋" w:eastAsia="仿宋"/>
              <w:bCs/>
              <w:snapToGrid w:val="0"/>
              <w:szCs w:val="24"/>
            </w:rPr>
            <w:t>）</w:t>
          </w:r>
          <w:r>
            <w:tab/>
          </w:r>
          <w:r>
            <w:fldChar w:fldCharType="begin"/>
          </w:r>
          <w:r>
            <w:instrText xml:space="preserve"> PAGEREF _Toc17375 \h </w:instrText>
          </w:r>
          <w:r>
            <w:fldChar w:fldCharType="separate"/>
          </w:r>
          <w:r>
            <w:t>30</w:t>
          </w:r>
          <w:r>
            <w:fldChar w:fldCharType="end"/>
          </w:r>
          <w:r>
            <w:fldChar w:fldCharType="end"/>
          </w:r>
        </w:p>
        <w:p>
          <w:pPr>
            <w:pStyle w:val="23"/>
            <w:tabs>
              <w:tab w:val="right" w:leader="dot" w:pos="9552"/>
            </w:tabs>
          </w:pPr>
          <w:r>
            <w:fldChar w:fldCharType="begin"/>
          </w:r>
          <w:r>
            <w:instrText xml:space="preserve"> HYPERLINK \l "_Toc23135" </w:instrText>
          </w:r>
          <w:r>
            <w:fldChar w:fldCharType="separate"/>
          </w:r>
          <w:r>
            <w:rPr>
              <w:rFonts w:ascii="仿宋" w:hAnsi="仿宋" w:eastAsia="仿宋"/>
              <w:snapToGrid w:val="0"/>
              <w:szCs w:val="24"/>
            </w:rPr>
            <w:t>2.初步评审标准和程序</w:t>
          </w:r>
          <w:r>
            <w:tab/>
          </w:r>
          <w:r>
            <w:fldChar w:fldCharType="begin"/>
          </w:r>
          <w:r>
            <w:instrText xml:space="preserve"> PAGEREF _Toc23135 \h </w:instrText>
          </w:r>
          <w:r>
            <w:fldChar w:fldCharType="separate"/>
          </w:r>
          <w:r>
            <w:t>30</w:t>
          </w:r>
          <w:r>
            <w:fldChar w:fldCharType="end"/>
          </w:r>
          <w:r>
            <w:fldChar w:fldCharType="end"/>
          </w:r>
        </w:p>
        <w:p>
          <w:pPr>
            <w:pStyle w:val="13"/>
            <w:tabs>
              <w:tab w:val="right" w:leader="dot" w:pos="9552"/>
              <w:tab w:val="clear" w:pos="1260"/>
              <w:tab w:val="clear" w:pos="9350"/>
            </w:tabs>
          </w:pPr>
          <w:r>
            <w:fldChar w:fldCharType="begin"/>
          </w:r>
          <w:r>
            <w:instrText xml:space="preserve"> HYPERLINK \l "_Toc32243"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_Toc32243 \h </w:instrText>
          </w:r>
          <w:r>
            <w:fldChar w:fldCharType="separate"/>
          </w:r>
          <w:r>
            <w:t>30</w:t>
          </w:r>
          <w:r>
            <w:fldChar w:fldCharType="end"/>
          </w:r>
          <w:r>
            <w:fldChar w:fldCharType="end"/>
          </w:r>
        </w:p>
        <w:p>
          <w:pPr>
            <w:pStyle w:val="13"/>
            <w:tabs>
              <w:tab w:val="right" w:leader="dot" w:pos="9552"/>
              <w:tab w:val="clear" w:pos="1260"/>
              <w:tab w:val="clear" w:pos="9350"/>
            </w:tabs>
          </w:pPr>
          <w:r>
            <w:fldChar w:fldCharType="begin"/>
          </w:r>
          <w:r>
            <w:instrText xml:space="preserve"> HYPERLINK \l "_Toc18473"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_Toc18473 \h </w:instrText>
          </w:r>
          <w:r>
            <w:fldChar w:fldCharType="separate"/>
          </w:r>
          <w:r>
            <w:t>30</w:t>
          </w:r>
          <w:r>
            <w:fldChar w:fldCharType="end"/>
          </w:r>
          <w:r>
            <w:fldChar w:fldCharType="end"/>
          </w:r>
        </w:p>
        <w:p>
          <w:pPr>
            <w:pStyle w:val="23"/>
            <w:tabs>
              <w:tab w:val="right" w:leader="dot" w:pos="9552"/>
            </w:tabs>
          </w:pPr>
          <w:r>
            <w:fldChar w:fldCharType="begin"/>
          </w:r>
          <w:r>
            <w:instrText xml:space="preserve"> HYPERLINK \l "_Toc19491"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_Toc19491 \h </w:instrText>
          </w:r>
          <w:r>
            <w:fldChar w:fldCharType="separate"/>
          </w:r>
          <w:r>
            <w:t>31</w:t>
          </w:r>
          <w:r>
            <w:fldChar w:fldCharType="end"/>
          </w:r>
          <w:r>
            <w:fldChar w:fldCharType="end"/>
          </w:r>
        </w:p>
        <w:p>
          <w:pPr>
            <w:pStyle w:val="13"/>
            <w:tabs>
              <w:tab w:val="right" w:leader="dot" w:pos="9552"/>
              <w:tab w:val="clear" w:pos="1260"/>
              <w:tab w:val="clear" w:pos="9350"/>
            </w:tabs>
          </w:pPr>
          <w:r>
            <w:fldChar w:fldCharType="begin"/>
          </w:r>
          <w:r>
            <w:instrText xml:space="preserve"> HYPERLINK \l "_Toc21523"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_Toc21523 \h </w:instrText>
          </w:r>
          <w:r>
            <w:fldChar w:fldCharType="separate"/>
          </w:r>
          <w:r>
            <w:t>31</w:t>
          </w:r>
          <w:r>
            <w:fldChar w:fldCharType="end"/>
          </w:r>
          <w:r>
            <w:fldChar w:fldCharType="end"/>
          </w:r>
        </w:p>
        <w:p>
          <w:pPr>
            <w:pStyle w:val="13"/>
            <w:tabs>
              <w:tab w:val="right" w:leader="dot" w:pos="9552"/>
              <w:tab w:val="clear" w:pos="1260"/>
              <w:tab w:val="clear" w:pos="9350"/>
            </w:tabs>
          </w:pPr>
          <w:r>
            <w:fldChar w:fldCharType="begin"/>
          </w:r>
          <w:r>
            <w:instrText xml:space="preserve"> HYPERLINK \l "_Toc3479" </w:instrText>
          </w:r>
          <w:r>
            <w:fldChar w:fldCharType="separate"/>
          </w:r>
          <w:r>
            <w:rPr>
              <w:rFonts w:hint="eastAsia" w:ascii="仿宋" w:hAnsi="仿宋" w:eastAsia="仿宋"/>
              <w:snapToGrid w:val="0"/>
              <w:szCs w:val="24"/>
            </w:rPr>
            <w:t>3</w:t>
          </w:r>
          <w:r>
            <w:rPr>
              <w:rFonts w:ascii="仿宋" w:hAnsi="仿宋" w:eastAsia="仿宋"/>
              <w:snapToGrid w:val="0"/>
              <w:szCs w:val="24"/>
            </w:rPr>
            <w:t>.2</w:t>
          </w:r>
          <w:r>
            <w:rPr>
              <w:rFonts w:hint="eastAsia" w:ascii="仿宋" w:hAnsi="仿宋" w:eastAsia="仿宋"/>
              <w:snapToGrid w:val="0"/>
              <w:szCs w:val="24"/>
            </w:rPr>
            <w:t xml:space="preserve"> 评审价格比较和排序</w:t>
          </w:r>
          <w:r>
            <w:rPr>
              <w:rFonts w:ascii="仿宋" w:hAnsi="仿宋" w:eastAsia="仿宋"/>
              <w:snapToGrid w:val="0"/>
              <w:szCs w:val="24"/>
            </w:rPr>
            <w:t>(</w:t>
          </w:r>
          <w:r>
            <w:rPr>
              <w:rFonts w:eastAsia="仿宋" w:asciiTheme="minorEastAsia" w:hAnsiTheme="minorEastAsia"/>
              <w:bCs/>
              <w:snapToGrid w:val="0"/>
              <w:szCs w:val="24"/>
            </w:rPr>
            <w:t>综合评分法</w:t>
          </w:r>
          <w:r>
            <w:rPr>
              <w:rFonts w:ascii="仿宋" w:hAnsi="仿宋" w:eastAsia="仿宋"/>
              <w:snapToGrid w:val="0"/>
              <w:szCs w:val="24"/>
            </w:rPr>
            <w:t>)</w:t>
          </w:r>
          <w:r>
            <w:tab/>
          </w:r>
          <w:r>
            <w:fldChar w:fldCharType="begin"/>
          </w:r>
          <w:r>
            <w:instrText xml:space="preserve"> PAGEREF _Toc3479 \h </w:instrText>
          </w:r>
          <w:r>
            <w:fldChar w:fldCharType="separate"/>
          </w:r>
          <w:r>
            <w:t>32</w:t>
          </w:r>
          <w:r>
            <w:fldChar w:fldCharType="end"/>
          </w:r>
          <w:r>
            <w:fldChar w:fldCharType="end"/>
          </w:r>
        </w:p>
        <w:p>
          <w:pPr>
            <w:pStyle w:val="23"/>
            <w:tabs>
              <w:tab w:val="right" w:leader="dot" w:pos="9552"/>
            </w:tabs>
          </w:pPr>
          <w:r>
            <w:fldChar w:fldCharType="begin"/>
          </w:r>
          <w:r>
            <w:instrText xml:space="preserve"> HYPERLINK \l "_Toc1599" </w:instrText>
          </w:r>
          <w:r>
            <w:fldChar w:fldCharType="separate"/>
          </w:r>
          <w:r>
            <w:rPr>
              <w:rFonts w:ascii="仿宋" w:hAnsi="仿宋" w:eastAsia="仿宋"/>
              <w:bCs/>
              <w:snapToGrid w:val="0"/>
              <w:szCs w:val="24"/>
            </w:rPr>
            <w:t>4</w:t>
          </w:r>
          <w:r>
            <w:rPr>
              <w:rFonts w:hint="eastAsia" w:ascii="仿宋" w:hAnsi="仿宋" w:eastAsia="仿宋"/>
              <w:bCs/>
              <w:snapToGrid w:val="0"/>
              <w:szCs w:val="24"/>
            </w:rPr>
            <w:t>.</w:t>
          </w:r>
          <w:r>
            <w:rPr>
              <w:rFonts w:ascii="仿宋" w:hAnsi="仿宋" w:eastAsia="仿宋"/>
              <w:bCs/>
              <w:snapToGrid w:val="0"/>
              <w:szCs w:val="24"/>
            </w:rPr>
            <w:t>评审结果</w:t>
          </w:r>
          <w:r>
            <w:tab/>
          </w:r>
          <w:r>
            <w:fldChar w:fldCharType="begin"/>
          </w:r>
          <w:r>
            <w:instrText xml:space="preserve"> PAGEREF _Toc1599 \h </w:instrText>
          </w:r>
          <w:r>
            <w:fldChar w:fldCharType="separate"/>
          </w:r>
          <w:r>
            <w:t>33</w:t>
          </w:r>
          <w:r>
            <w:fldChar w:fldCharType="end"/>
          </w:r>
          <w:r>
            <w:fldChar w:fldCharType="end"/>
          </w:r>
        </w:p>
        <w:p>
          <w:pPr>
            <w:pStyle w:val="13"/>
            <w:tabs>
              <w:tab w:val="right" w:leader="dot" w:pos="9552"/>
              <w:tab w:val="clear" w:pos="1260"/>
              <w:tab w:val="clear" w:pos="9350"/>
            </w:tabs>
          </w:pPr>
          <w:r>
            <w:fldChar w:fldCharType="begin"/>
          </w:r>
          <w:r>
            <w:instrText xml:space="preserve"> HYPERLINK \l "_Toc8481" </w:instrText>
          </w:r>
          <w:r>
            <w:fldChar w:fldCharType="separate"/>
          </w:r>
          <w:r>
            <w:rPr>
              <w:rFonts w:hint="eastAsia" w:ascii="仿宋" w:hAnsi="仿宋" w:eastAsia="仿宋"/>
              <w:snapToGrid w:val="0"/>
              <w:szCs w:val="24"/>
            </w:rPr>
            <w:t>4</w:t>
          </w:r>
          <w:r>
            <w:rPr>
              <w:rFonts w:ascii="仿宋" w:hAnsi="仿宋" w:eastAsia="仿宋"/>
              <w:snapToGrid w:val="0"/>
              <w:szCs w:val="24"/>
            </w:rPr>
            <w:t>.1 推荐成交供应商</w:t>
          </w:r>
          <w:r>
            <w:tab/>
          </w:r>
          <w:r>
            <w:fldChar w:fldCharType="begin"/>
          </w:r>
          <w:r>
            <w:instrText xml:space="preserve"> PAGEREF _Toc8481 \h </w:instrText>
          </w:r>
          <w:r>
            <w:fldChar w:fldCharType="separate"/>
          </w:r>
          <w:r>
            <w:t>34</w:t>
          </w:r>
          <w:r>
            <w:fldChar w:fldCharType="end"/>
          </w:r>
          <w:r>
            <w:fldChar w:fldCharType="end"/>
          </w:r>
        </w:p>
        <w:p>
          <w:pPr>
            <w:pStyle w:val="19"/>
            <w:tabs>
              <w:tab w:val="right" w:leader="dot" w:pos="9552"/>
              <w:tab w:val="clear" w:pos="9350"/>
            </w:tabs>
          </w:pPr>
          <w:r>
            <w:fldChar w:fldCharType="begin"/>
          </w:r>
          <w:r>
            <w:instrText xml:space="preserve"> HYPERLINK \l "_Toc9376"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章  劳务服务合同</w:t>
          </w:r>
          <w:r>
            <w:tab/>
          </w:r>
          <w:r>
            <w:fldChar w:fldCharType="begin"/>
          </w:r>
          <w:r>
            <w:instrText xml:space="preserve"> PAGEREF _Toc9376 \h </w:instrText>
          </w:r>
          <w:r>
            <w:fldChar w:fldCharType="separate"/>
          </w:r>
          <w:r>
            <w:t>35</w:t>
          </w:r>
          <w:r>
            <w:fldChar w:fldCharType="end"/>
          </w:r>
          <w:r>
            <w:fldChar w:fldCharType="end"/>
          </w:r>
        </w:p>
        <w:p>
          <w:pPr>
            <w:pStyle w:val="19"/>
            <w:tabs>
              <w:tab w:val="right" w:leader="dot" w:pos="9552"/>
              <w:tab w:val="clear" w:pos="9350"/>
            </w:tabs>
          </w:pPr>
          <w:r>
            <w:fldChar w:fldCharType="begin"/>
          </w:r>
          <w:r>
            <w:instrText xml:space="preserve"> HYPERLINK \l "_Toc13730"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五</w:t>
          </w:r>
          <w:r>
            <w:rPr>
              <w:rFonts w:hint="eastAsia" w:ascii="仿宋" w:hAnsi="仿宋" w:eastAsia="仿宋"/>
              <w:bCs/>
              <w:snapToGrid w:val="0"/>
              <w:szCs w:val="32"/>
            </w:rPr>
            <w:t>章</w:t>
          </w:r>
          <w:r>
            <w:rPr>
              <w:rFonts w:ascii="仿宋" w:hAnsi="仿宋" w:eastAsia="仿宋"/>
              <w:bCs/>
              <w:snapToGrid w:val="0"/>
              <w:szCs w:val="32"/>
            </w:rPr>
            <w:t xml:space="preserve">  </w:t>
          </w:r>
          <w:r>
            <w:rPr>
              <w:rFonts w:hint="eastAsia" w:ascii="仿宋" w:hAnsi="仿宋" w:eastAsia="仿宋"/>
              <w:bCs/>
              <w:snapToGrid w:val="0"/>
              <w:szCs w:val="32"/>
            </w:rPr>
            <w:t>采购需</w:t>
          </w:r>
          <w:r>
            <w:rPr>
              <w:rFonts w:ascii="仿宋" w:hAnsi="仿宋" w:eastAsia="仿宋"/>
              <w:bCs/>
              <w:snapToGrid w:val="0"/>
              <w:szCs w:val="32"/>
            </w:rPr>
            <w:t>求</w:t>
          </w:r>
          <w:r>
            <w:tab/>
          </w:r>
          <w:r>
            <w:fldChar w:fldCharType="begin"/>
          </w:r>
          <w:r>
            <w:instrText xml:space="preserve"> PAGEREF _Toc13730 \h </w:instrText>
          </w:r>
          <w:r>
            <w:fldChar w:fldCharType="separate"/>
          </w:r>
          <w:r>
            <w:t>50</w:t>
          </w:r>
          <w:r>
            <w:fldChar w:fldCharType="end"/>
          </w:r>
          <w:r>
            <w:fldChar w:fldCharType="end"/>
          </w:r>
        </w:p>
        <w:p>
          <w:pPr>
            <w:pStyle w:val="23"/>
            <w:tabs>
              <w:tab w:val="right" w:leader="dot" w:pos="9552"/>
            </w:tabs>
          </w:pPr>
          <w:r>
            <w:fldChar w:fldCharType="begin"/>
          </w:r>
          <w:r>
            <w:instrText xml:space="preserve"> HYPERLINK \l "_Toc10315" </w:instrText>
          </w:r>
          <w:r>
            <w:fldChar w:fldCharType="separate"/>
          </w:r>
          <w:r>
            <w:rPr>
              <w:rFonts w:ascii="仿宋" w:hAnsi="仿宋" w:eastAsia="仿宋"/>
              <w:bCs/>
              <w:snapToGrid w:val="0"/>
              <w:szCs w:val="32"/>
            </w:rPr>
            <w:t>—、响应函</w:t>
          </w:r>
          <w:r>
            <w:tab/>
          </w:r>
          <w:r>
            <w:fldChar w:fldCharType="begin"/>
          </w:r>
          <w:r>
            <w:instrText xml:space="preserve"> PAGEREF _Toc10315 \h </w:instrText>
          </w:r>
          <w:r>
            <w:fldChar w:fldCharType="separate"/>
          </w:r>
          <w:r>
            <w:t>54</w:t>
          </w:r>
          <w:r>
            <w:fldChar w:fldCharType="end"/>
          </w:r>
          <w:r>
            <w:fldChar w:fldCharType="end"/>
          </w:r>
        </w:p>
        <w:p>
          <w:pPr>
            <w:pStyle w:val="23"/>
            <w:tabs>
              <w:tab w:val="right" w:leader="dot" w:pos="9552"/>
            </w:tabs>
          </w:pPr>
          <w:r>
            <w:fldChar w:fldCharType="begin"/>
          </w:r>
          <w:r>
            <w:instrText xml:space="preserve"> HYPERLINK \l "_Toc14003" </w:instrText>
          </w:r>
          <w:r>
            <w:fldChar w:fldCharType="separate"/>
          </w:r>
          <w:r>
            <w:rPr>
              <w:rFonts w:ascii="仿宋" w:hAnsi="仿宋" w:eastAsia="仿宋"/>
              <w:bCs/>
              <w:snapToGrid w:val="0"/>
              <w:szCs w:val="32"/>
            </w:rPr>
            <w:t>二、授权委托书</w:t>
          </w:r>
          <w:r>
            <w:tab/>
          </w:r>
          <w:r>
            <w:fldChar w:fldCharType="begin"/>
          </w:r>
          <w:r>
            <w:instrText xml:space="preserve"> PAGEREF _Toc14003 \h </w:instrText>
          </w:r>
          <w:r>
            <w:fldChar w:fldCharType="separate"/>
          </w:r>
          <w:r>
            <w:t>55</w:t>
          </w:r>
          <w:r>
            <w:fldChar w:fldCharType="end"/>
          </w:r>
          <w:r>
            <w:fldChar w:fldCharType="end"/>
          </w:r>
        </w:p>
        <w:p>
          <w:pPr>
            <w:pStyle w:val="23"/>
            <w:tabs>
              <w:tab w:val="right" w:leader="dot" w:pos="9552"/>
            </w:tabs>
          </w:pPr>
          <w:r>
            <w:fldChar w:fldCharType="begin"/>
          </w:r>
          <w:r>
            <w:instrText xml:space="preserve"> HYPERLINK \l "_Toc4612" </w:instrText>
          </w:r>
          <w:r>
            <w:fldChar w:fldCharType="separate"/>
          </w:r>
          <w:r>
            <w:rPr>
              <w:rFonts w:ascii="仿宋" w:hAnsi="仿宋" w:eastAsia="仿宋"/>
              <w:bCs/>
              <w:snapToGrid w:val="0"/>
              <w:szCs w:val="32"/>
            </w:rPr>
            <w:t>三、联合体协议书</w:t>
          </w:r>
          <w:r>
            <w:tab/>
          </w:r>
          <w:r>
            <w:fldChar w:fldCharType="begin"/>
          </w:r>
          <w:r>
            <w:instrText xml:space="preserve"> PAGEREF _Toc4612 \h </w:instrText>
          </w:r>
          <w:r>
            <w:fldChar w:fldCharType="separate"/>
          </w:r>
          <w:r>
            <w:t>56</w:t>
          </w:r>
          <w:r>
            <w:fldChar w:fldCharType="end"/>
          </w:r>
          <w:r>
            <w:fldChar w:fldCharType="end"/>
          </w:r>
        </w:p>
        <w:p>
          <w:pPr>
            <w:pStyle w:val="23"/>
            <w:tabs>
              <w:tab w:val="right" w:leader="dot" w:pos="9552"/>
            </w:tabs>
          </w:pPr>
          <w:r>
            <w:fldChar w:fldCharType="begin"/>
          </w:r>
          <w:r>
            <w:instrText xml:space="preserve"> HYPERLINK \l "_Toc32617" </w:instrText>
          </w:r>
          <w:r>
            <w:fldChar w:fldCharType="separate"/>
          </w:r>
          <w:r>
            <w:rPr>
              <w:rFonts w:ascii="仿宋" w:hAnsi="仿宋" w:eastAsia="仿宋"/>
              <w:bCs/>
              <w:snapToGrid w:val="0"/>
              <w:szCs w:val="32"/>
            </w:rPr>
            <w:t>四、响应保证金</w:t>
          </w:r>
          <w:r>
            <w:tab/>
          </w:r>
          <w:r>
            <w:fldChar w:fldCharType="begin"/>
          </w:r>
          <w:r>
            <w:instrText xml:space="preserve"> PAGEREF _Toc32617 \h </w:instrText>
          </w:r>
          <w:r>
            <w:fldChar w:fldCharType="separate"/>
          </w:r>
          <w:r>
            <w:t>57</w:t>
          </w:r>
          <w:r>
            <w:fldChar w:fldCharType="end"/>
          </w:r>
          <w:r>
            <w:fldChar w:fldCharType="end"/>
          </w:r>
        </w:p>
        <w:p>
          <w:pPr>
            <w:pStyle w:val="23"/>
            <w:tabs>
              <w:tab w:val="right" w:leader="dot" w:pos="9552"/>
            </w:tabs>
          </w:pPr>
          <w:r>
            <w:fldChar w:fldCharType="begin"/>
          </w:r>
          <w:r>
            <w:instrText xml:space="preserve"> HYPERLINK \l "_Toc16481" </w:instrText>
          </w:r>
          <w:r>
            <w:fldChar w:fldCharType="separate"/>
          </w:r>
          <w:r>
            <w:rPr>
              <w:rFonts w:ascii="仿宋" w:hAnsi="仿宋" w:eastAsia="仿宋"/>
              <w:bCs/>
              <w:snapToGrid w:val="0"/>
              <w:szCs w:val="32"/>
            </w:rPr>
            <w:t>五、商务和技术偏差表</w:t>
          </w:r>
          <w:r>
            <w:tab/>
          </w:r>
          <w:r>
            <w:fldChar w:fldCharType="begin"/>
          </w:r>
          <w:r>
            <w:instrText xml:space="preserve"> PAGEREF _Toc16481 \h </w:instrText>
          </w:r>
          <w:r>
            <w:fldChar w:fldCharType="separate"/>
          </w:r>
          <w:r>
            <w:t>58</w:t>
          </w:r>
          <w:r>
            <w:fldChar w:fldCharType="end"/>
          </w:r>
          <w:r>
            <w:fldChar w:fldCharType="end"/>
          </w:r>
        </w:p>
        <w:p>
          <w:pPr>
            <w:pStyle w:val="23"/>
            <w:tabs>
              <w:tab w:val="right" w:leader="dot" w:pos="9552"/>
            </w:tabs>
          </w:pPr>
          <w:r>
            <w:fldChar w:fldCharType="begin"/>
          </w:r>
          <w:r>
            <w:instrText xml:space="preserve"> HYPERLINK \l "_Toc3184" </w:instrText>
          </w:r>
          <w:r>
            <w:fldChar w:fldCharType="separate"/>
          </w:r>
          <w:r>
            <w:rPr>
              <w:rFonts w:ascii="仿宋" w:hAnsi="仿宋" w:eastAsia="仿宋"/>
              <w:bCs/>
              <w:snapToGrid w:val="0"/>
              <w:szCs w:val="32"/>
            </w:rPr>
            <w:t>六、报价单</w:t>
          </w:r>
          <w:r>
            <w:tab/>
          </w:r>
          <w:r>
            <w:fldChar w:fldCharType="begin"/>
          </w:r>
          <w:r>
            <w:instrText xml:space="preserve"> PAGEREF _Toc3184 \h </w:instrText>
          </w:r>
          <w:r>
            <w:fldChar w:fldCharType="separate"/>
          </w:r>
          <w:r>
            <w:t>59</w:t>
          </w:r>
          <w:r>
            <w:fldChar w:fldCharType="end"/>
          </w:r>
          <w:r>
            <w:fldChar w:fldCharType="end"/>
          </w:r>
        </w:p>
        <w:p>
          <w:pPr>
            <w:pStyle w:val="23"/>
            <w:tabs>
              <w:tab w:val="right" w:leader="dot" w:pos="9552"/>
            </w:tabs>
          </w:pPr>
          <w:r>
            <w:fldChar w:fldCharType="begin"/>
          </w:r>
          <w:r>
            <w:instrText xml:space="preserve"> HYPERLINK \l "_Toc15371" </w:instrText>
          </w:r>
          <w:r>
            <w:fldChar w:fldCharType="separate"/>
          </w:r>
          <w:r>
            <w:rPr>
              <w:rFonts w:hint="eastAsia" w:ascii="仿宋" w:hAnsi="仿宋" w:eastAsia="仿宋"/>
              <w:bCs/>
              <w:snapToGrid w:val="0"/>
              <w:szCs w:val="32"/>
            </w:rPr>
            <w:t>七</w:t>
          </w:r>
          <w:r>
            <w:rPr>
              <w:rFonts w:ascii="仿宋" w:hAnsi="仿宋" w:eastAsia="仿宋"/>
              <w:bCs/>
              <w:snapToGrid w:val="0"/>
              <w:szCs w:val="32"/>
            </w:rPr>
            <w:t>、资格审查资料</w:t>
          </w:r>
          <w:r>
            <w:tab/>
          </w:r>
          <w:r>
            <w:fldChar w:fldCharType="begin"/>
          </w:r>
          <w:r>
            <w:instrText xml:space="preserve"> PAGEREF _Toc15371 \h </w:instrText>
          </w:r>
          <w:r>
            <w:fldChar w:fldCharType="separate"/>
          </w:r>
          <w:r>
            <w:t>60</w:t>
          </w:r>
          <w:r>
            <w:fldChar w:fldCharType="end"/>
          </w:r>
          <w:r>
            <w:fldChar w:fldCharType="end"/>
          </w:r>
        </w:p>
        <w:p>
          <w:pPr>
            <w:pStyle w:val="23"/>
            <w:tabs>
              <w:tab w:val="right" w:leader="dot" w:pos="9552"/>
            </w:tabs>
          </w:pPr>
          <w:r>
            <w:fldChar w:fldCharType="begin"/>
          </w:r>
          <w:r>
            <w:instrText xml:space="preserve"> HYPERLINK \l "_Toc28629" </w:instrText>
          </w:r>
          <w:r>
            <w:fldChar w:fldCharType="separate"/>
          </w:r>
          <w:r>
            <w:rPr>
              <w:rFonts w:hint="eastAsia" w:ascii="仿宋" w:hAnsi="仿宋" w:eastAsia="仿宋"/>
              <w:bCs/>
              <w:snapToGrid w:val="0"/>
              <w:szCs w:val="32"/>
            </w:rPr>
            <w:t>八</w:t>
          </w:r>
          <w:r>
            <w:rPr>
              <w:rFonts w:ascii="仿宋" w:hAnsi="仿宋" w:eastAsia="仿宋"/>
              <w:bCs/>
              <w:snapToGrid w:val="0"/>
              <w:szCs w:val="32"/>
            </w:rPr>
            <w:t>、响应方案</w:t>
          </w:r>
          <w:r>
            <w:tab/>
          </w:r>
          <w:r>
            <w:fldChar w:fldCharType="begin"/>
          </w:r>
          <w:r>
            <w:instrText xml:space="preserve"> PAGEREF _Toc28629 \h </w:instrText>
          </w:r>
          <w:r>
            <w:fldChar w:fldCharType="separate"/>
          </w:r>
          <w:r>
            <w:t>62</w:t>
          </w:r>
          <w:r>
            <w:fldChar w:fldCharType="end"/>
          </w:r>
          <w:r>
            <w:fldChar w:fldCharType="end"/>
          </w:r>
        </w:p>
        <w:p>
          <w:pPr>
            <w:pStyle w:val="23"/>
            <w:tabs>
              <w:tab w:val="right" w:leader="dot" w:pos="9552"/>
            </w:tabs>
          </w:pPr>
          <w:r>
            <w:fldChar w:fldCharType="begin"/>
          </w:r>
          <w:r>
            <w:instrText xml:space="preserve"> HYPERLINK \l "_Toc21205" </w:instrText>
          </w:r>
          <w:r>
            <w:fldChar w:fldCharType="separate"/>
          </w:r>
          <w:r>
            <w:rPr>
              <w:rFonts w:hint="eastAsia" w:ascii="仿宋" w:hAnsi="仿宋" w:eastAsia="仿宋"/>
              <w:bCs/>
              <w:snapToGrid w:val="0"/>
              <w:szCs w:val="32"/>
            </w:rPr>
            <w:t>九</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_Toc21205 \h </w:instrText>
          </w:r>
          <w:r>
            <w:fldChar w:fldCharType="separate"/>
          </w:r>
          <w:r>
            <w:t>63</w:t>
          </w:r>
          <w:r>
            <w:fldChar w:fldCharType="end"/>
          </w:r>
          <w:r>
            <w:fldChar w:fldCharType="end"/>
          </w:r>
        </w:p>
        <w:p>
          <w:pPr>
            <w:pStyle w:val="23"/>
            <w:tabs>
              <w:tab w:val="right" w:leader="dot" w:pos="9552"/>
            </w:tabs>
          </w:pPr>
          <w:r>
            <w:fldChar w:fldCharType="begin"/>
          </w:r>
          <w:r>
            <w:instrText xml:space="preserve"> HYPERLINK \l "_Toc7214" </w:instrText>
          </w:r>
          <w:r>
            <w:fldChar w:fldCharType="separate"/>
          </w:r>
          <w:r>
            <w:rPr>
              <w:rFonts w:hint="eastAsia" w:ascii="仿宋" w:hAnsi="仿宋" w:eastAsia="仿宋"/>
              <w:bCs/>
              <w:snapToGrid w:val="0"/>
              <w:szCs w:val="32"/>
            </w:rPr>
            <w:t>十、保密承诺书</w:t>
          </w:r>
          <w:r>
            <w:tab/>
          </w:r>
          <w:r>
            <w:fldChar w:fldCharType="begin"/>
          </w:r>
          <w:r>
            <w:instrText xml:space="preserve"> PAGEREF _Toc7214 \h </w:instrText>
          </w:r>
          <w:r>
            <w:fldChar w:fldCharType="separate"/>
          </w:r>
          <w:r>
            <w:t>64</w:t>
          </w:r>
          <w:r>
            <w:fldChar w:fldCharType="end"/>
          </w:r>
          <w:r>
            <w:fldChar w:fldCharType="end"/>
          </w:r>
        </w:p>
        <w:p>
          <w:pPr>
            <w:rPr>
              <w:rFonts w:ascii="仿宋" w:hAnsi="仿宋" w:eastAsia="仿宋"/>
            </w:rPr>
          </w:pPr>
          <w:r>
            <w:rPr>
              <w:rFonts w:ascii="仿宋" w:hAnsi="仿宋" w:eastAsia="仿宋"/>
              <w:bCs/>
              <w:lang w:val="zh-CN"/>
            </w:rPr>
            <w:fldChar w:fldCharType="end"/>
          </w:r>
        </w:p>
      </w:sdtContent>
    </w:sdt>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bookmarkStart w:id="1" w:name="扫描0001"/>
      <w:bookmarkEnd w:id="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tabs>
          <w:tab w:val="left" w:pos="8361"/>
        </w:tabs>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ab/>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2" w:name="扫描0006"/>
      <w:bookmarkEnd w:id="2"/>
      <w:bookmarkStart w:id="3" w:name="_Toc2718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谈判采购公告</w:t>
      </w:r>
      <w:bookmarkEnd w:id="3"/>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360" w:lineRule="auto"/>
        <w:jc w:val="center"/>
        <w:rPr>
          <w:rFonts w:ascii="仿宋" w:hAnsi="仿宋" w:eastAsia="仿宋"/>
          <w:b/>
          <w:bCs/>
          <w:snapToGrid w:val="0"/>
          <w:sz w:val="32"/>
          <w:szCs w:val="32"/>
          <w:lang w:eastAsia="zh-CN"/>
        </w:rPr>
      </w:pPr>
      <w:bookmarkStart w:id="4" w:name="_Toc6028"/>
      <w:r>
        <w:rPr>
          <w:rFonts w:hint="eastAsia" w:ascii="仿宋" w:hAnsi="仿宋" w:eastAsia="仿宋"/>
          <w:b/>
          <w:bCs/>
          <w:snapToGrid w:val="0"/>
          <w:sz w:val="32"/>
          <w:szCs w:val="32"/>
          <w:lang w:eastAsia="zh-CN"/>
        </w:rPr>
        <w:t>中粮梁河糖业勐养工厂压榨车间2023/2024榨季蔗场外包劳务服务项目</w:t>
      </w:r>
      <w:r>
        <w:rPr>
          <w:rFonts w:ascii="仿宋" w:hAnsi="仿宋" w:eastAsia="仿宋"/>
          <w:b/>
          <w:bCs/>
          <w:snapToGrid w:val="0"/>
          <w:sz w:val="32"/>
          <w:szCs w:val="32"/>
          <w:lang w:eastAsia="zh-CN"/>
        </w:rPr>
        <w:t>谈判采购公告</w:t>
      </w:r>
      <w:bookmarkEnd w:id="4"/>
    </w:p>
    <w:p>
      <w:pPr>
        <w:adjustRightInd w:val="0"/>
        <w:snapToGrid w:val="0"/>
        <w:spacing w:line="276" w:lineRule="auto"/>
        <w:rPr>
          <w:rFonts w:ascii="仿宋" w:hAnsi="仿宋" w:eastAsia="仿宋"/>
          <w:snapToGrid w:val="0"/>
          <w:sz w:val="24"/>
          <w:szCs w:val="24"/>
          <w:highlight w:val="yellow"/>
          <w:shd w:val="clear" w:color="auto" w:fill="FFFF00"/>
          <w:lang w:eastAsia="zh-CN"/>
        </w:rPr>
      </w:pPr>
    </w:p>
    <w:p>
      <w:pPr>
        <w:spacing w:line="360" w:lineRule="auto"/>
        <w:ind w:firstLine="480"/>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lang w:eastAsia="zh-CN"/>
        </w:rPr>
        <w:t>梁河糖业勐养工厂压榨车间2023/2024榨季蔗场外包劳务服务服务</w:t>
      </w:r>
      <w:r>
        <w:rPr>
          <w:rFonts w:ascii="仿宋" w:hAnsi="仿宋" w:eastAsia="仿宋"/>
          <w:snapToGrid w:val="0"/>
          <w:sz w:val="24"/>
          <w:szCs w:val="24"/>
          <w:lang w:eastAsia="zh-CN"/>
        </w:rPr>
        <w:t>已具备采购条件，现公开邀请供应商参加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w:t>
      </w:r>
    </w:p>
    <w:p>
      <w:pPr>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5" w:name="_Toc3134"/>
      <w:r>
        <w:rPr>
          <w:rFonts w:ascii="仿宋" w:hAnsi="仿宋" w:eastAsia="仿宋"/>
          <w:b/>
          <w:snapToGrid w:val="0"/>
          <w:sz w:val="24"/>
          <w:szCs w:val="24"/>
          <w:lang w:eastAsia="zh-CN"/>
        </w:rPr>
        <w:t>1.采购项目简介</w:t>
      </w:r>
      <w:bookmarkEnd w:id="5"/>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lang w:eastAsia="zh-CN"/>
        </w:rPr>
        <w:t>梁河糖业勐养工厂压榨车间2023/2024榨季蔗场外包劳务服务项目</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人</w:t>
      </w:r>
      <w:r>
        <w:rPr>
          <w:rFonts w:ascii="仿宋" w:hAnsi="仿宋" w:eastAsia="仿宋"/>
          <w:snapToGrid w:val="0"/>
          <w:sz w:val="24"/>
          <w:szCs w:val="24"/>
          <w:lang w:eastAsia="zh-CN"/>
        </w:rPr>
        <w:t>：</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中粮梁河糖业有限公司</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ascii="仿宋" w:hAnsi="仿宋" w:eastAsia="仿宋"/>
          <w:snapToGrid w:val="0"/>
          <w:sz w:val="24"/>
          <w:szCs w:val="24"/>
          <w:u w:val="single"/>
          <w:shd w:val="clear" w:color="auto" w:fill="FFFF00"/>
          <w:lang w:eastAsia="zh-CN"/>
        </w:rPr>
        <w:t xml:space="preserve"> </w:t>
      </w:r>
      <w:r>
        <w:rPr>
          <w:rFonts w:hint="eastAsia" w:ascii="仿宋" w:hAnsi="仿宋" w:eastAsia="仿宋"/>
          <w:snapToGrid w:val="0"/>
          <w:sz w:val="24"/>
          <w:szCs w:val="24"/>
          <w:u w:val="single"/>
          <w:shd w:val="clear" w:color="auto" w:fill="FFFF00"/>
          <w:lang w:eastAsia="zh-CN"/>
        </w:rPr>
        <w:t>为中粮梁河糖业有限公司提供劳务服务，劳务内容： 蔗场外包</w:t>
      </w:r>
      <w:r>
        <w:rPr>
          <w:rFonts w:ascii="仿宋" w:hAnsi="仿宋" w:eastAsia="仿宋"/>
          <w:snapToGrid w:val="0"/>
          <w:sz w:val="24"/>
          <w:szCs w:val="24"/>
          <w:u w:val="single"/>
          <w:shd w:val="clear" w:color="auto" w:fill="FFFF00"/>
          <w:lang w:eastAsia="zh-CN"/>
        </w:rPr>
        <w:t xml:space="preserve">             </w:t>
      </w:r>
    </w:p>
    <w:p>
      <w:pPr>
        <w:spacing w:line="500" w:lineRule="exact"/>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bookmarkStart w:id="6" w:name="_Toc2375"/>
      <w:r>
        <w:rPr>
          <w:rFonts w:ascii="仿宋" w:hAnsi="仿宋" w:eastAsia="仿宋"/>
          <w:b/>
          <w:snapToGrid w:val="0"/>
          <w:sz w:val="24"/>
          <w:szCs w:val="24"/>
          <w:lang w:eastAsia="zh-CN"/>
        </w:rPr>
        <w:t>2.采购范围及相关要求</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2023/2024榨季接到甲方通知到厂之日起至榨季结束为止（具体时间以甲方通知为准）</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梁河糖业有限公司勐养工厂</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2</w:t>
      </w:r>
      <w:r>
        <w:rPr>
          <w:rFonts w:ascii="仿宋" w:hAnsi="仿宋" w:eastAsia="仿宋"/>
          <w:snapToGrid w:val="0"/>
          <w:sz w:val="24"/>
          <w:szCs w:val="24"/>
          <w:u w:val="single"/>
          <w:shd w:val="clear" w:color="auto" w:fill="FFFF00"/>
          <w:lang w:eastAsia="zh-CN"/>
        </w:rPr>
        <w:t xml:space="preserve">.5 </w:t>
      </w:r>
      <w:r>
        <w:rPr>
          <w:rFonts w:hint="eastAsia" w:ascii="仿宋" w:hAnsi="仿宋" w:eastAsia="仿宋"/>
          <w:snapToGrid w:val="0"/>
          <w:sz w:val="24"/>
          <w:szCs w:val="24"/>
          <w:u w:val="single"/>
          <w:shd w:val="clear" w:color="auto" w:fill="FFFF00"/>
          <w:lang w:eastAsia="zh-CN"/>
        </w:rPr>
        <w:t>最高限价：</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ascii="仿宋" w:hAnsi="仿宋" w:eastAsia="仿宋"/>
          <w:snapToGrid w:val="0"/>
          <w:sz w:val="24"/>
          <w:szCs w:val="24"/>
          <w:u w:val="single"/>
          <w:shd w:val="clear" w:color="auto" w:fill="FFFF00"/>
          <w:lang w:eastAsia="zh-CN"/>
        </w:rPr>
        <w:t>设置最高限价，最高限价为</w:t>
      </w:r>
      <w:r>
        <w:rPr>
          <w:rFonts w:ascii="仿宋" w:hAnsi="仿宋" w:eastAsia="仿宋"/>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ind w:firstLine="480" w:firstLineChars="200"/>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7" w:name="_Toc19582"/>
      <w:r>
        <w:rPr>
          <w:rFonts w:ascii="仿宋" w:hAnsi="仿宋" w:eastAsia="仿宋"/>
          <w:b/>
          <w:snapToGrid w:val="0"/>
          <w:sz w:val="24"/>
          <w:szCs w:val="24"/>
          <w:lang w:eastAsia="zh-CN"/>
        </w:rPr>
        <w:t>3.供应商资格要求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spacing w:line="440" w:lineRule="exact"/>
        <w:ind w:firstLine="480"/>
        <w:rPr>
          <w:rFonts w:ascii="仿宋" w:hAnsi="仿宋" w:eastAsia="仿宋"/>
          <w:snapToGrid w:val="0"/>
          <w:sz w:val="24"/>
          <w:szCs w:val="24"/>
          <w:lang w:eastAsia="zh-CN"/>
        </w:rPr>
      </w:pPr>
      <w:r>
        <w:rPr>
          <w:rFonts w:ascii="仿宋" w:hAnsi="仿宋" w:eastAsia="仿宋"/>
          <w:snapToGrid w:val="0"/>
          <w:sz w:val="24"/>
          <w:szCs w:val="24"/>
          <w:lang w:eastAsia="zh-CN"/>
        </w:rPr>
        <w:t>资质要求：</w:t>
      </w:r>
      <w:r>
        <w:rPr>
          <w:rFonts w:hint="eastAsia" w:ascii="仿宋" w:hAnsi="仿宋" w:eastAsia="仿宋"/>
          <w:snapToGrid w:val="0"/>
          <w:sz w:val="24"/>
          <w:szCs w:val="24"/>
          <w:lang w:eastAsia="zh-CN"/>
        </w:rPr>
        <w:t>投标人应具有独立法人资格和独立签订合同的权利，应为中华人民共和国境内注册的企业法人。</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注册资本必须超过人民币 4</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sz w:val="24"/>
          <w:szCs w:val="24"/>
          <w:u w:val="single"/>
          <w:lang w:eastAsia="zh-CN"/>
        </w:rPr>
        <w:t>万元以上，经营状况良好。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eastAsia="仿宋" w:asciiTheme="minorEastAsia" w:hAnsiTheme="minorEastAsia"/>
          <w:snapToGrid w:val="0"/>
          <w:sz w:val="24"/>
          <w:szCs w:val="24"/>
          <w:u w:val="single"/>
          <w:shd w:val="clear" w:color="auto" w:fill="FFFF00"/>
          <w:lang w:eastAsia="zh-CN"/>
        </w:rPr>
        <w:t>类似外包业务的相关业绩</w:t>
      </w:r>
      <w:r>
        <w:rPr>
          <w:rFonts w:hint="eastAsia" w:ascii="仿宋" w:hAnsi="仿宋" w:eastAsia="仿宋"/>
          <w:snapToGrid w:val="0"/>
          <w:sz w:val="24"/>
          <w:szCs w:val="24"/>
          <w:u w:val="single"/>
          <w:lang w:eastAsia="zh-CN"/>
        </w:rPr>
        <w:t>相关案例。</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信誉要求：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☑信誉要求：</w:t>
      </w:r>
      <w:r>
        <w:rPr>
          <w:rFonts w:hint="eastAsia"/>
          <w:sz w:val="24"/>
          <w:highlight w:val="yellow"/>
          <w:u w:val="single"/>
          <w:lang w:eastAsia="zh-CN"/>
        </w:rPr>
        <w:t>在信用中国网查无不良信息记录；在中国政府采购网查无严重违法失信行</w:t>
      </w:r>
      <w:r>
        <w:rPr>
          <w:rFonts w:hint="eastAsia"/>
          <w:sz w:val="24"/>
          <w:u w:val="single"/>
          <w:lang w:eastAsia="zh-CN"/>
        </w:rPr>
        <w:t>为</w:t>
      </w:r>
      <w:r>
        <w:rPr>
          <w:rFonts w:eastAsia="仿宋" w:asciiTheme="minorEastAsia" w:hAnsiTheme="minorEastAsia"/>
          <w:snapToGrid w:val="0"/>
          <w:sz w:val="24"/>
          <w:szCs w:val="24"/>
          <w:u w:val="single"/>
          <w:shd w:val="clear" w:color="auto" w:fill="FFFF00"/>
          <w:lang w:eastAsia="zh-CN"/>
        </w:rPr>
        <w:t xml:space="preserve">  </w:t>
      </w:r>
    </w:p>
    <w:p>
      <w:pPr>
        <w:pStyle w:val="10"/>
        <w:adjustRightInd w:val="0"/>
        <w:snapToGrid w:val="0"/>
        <w:spacing w:line="360" w:lineRule="auto"/>
        <w:ind w:left="426"/>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GB/T19001系列/IS09001系列质量管理体系认证证书，且在有效期内的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GB/T28001系列/ISO45001系列职业健康安全管理体系认证证书，且在有效期内的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GB/T24001系列或ISO14001系列环境管理体系认证证书，且在有效期内的</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8" w:name="_Hlk91560203"/>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□年龄要求：不超过 </w:t>
      </w:r>
      <w:r>
        <w:rPr>
          <w:rFonts w:eastAsia="仿宋" w:asciiTheme="minorEastAsia" w:hAnsiTheme="minorEastAsia"/>
          <w:snapToGrid w:val="0"/>
          <w:sz w:val="24"/>
          <w:szCs w:val="24"/>
          <w:u w:val="single"/>
          <w:shd w:val="clear" w:color="auto" w:fill="FFFF00"/>
          <w:lang w:eastAsia="zh-CN"/>
        </w:rPr>
        <w:t xml:space="preserve">60 </w:t>
      </w:r>
      <w:r>
        <w:rPr>
          <w:rFonts w:hint="eastAsia" w:eastAsia="仿宋" w:asciiTheme="minorEastAsia" w:hAnsiTheme="minorEastAsia"/>
          <w:snapToGrid w:val="0"/>
          <w:sz w:val="24"/>
          <w:szCs w:val="24"/>
          <w:u w:val="single"/>
          <w:shd w:val="clear" w:color="auto" w:fill="FFFF00"/>
          <w:lang w:eastAsia="zh-CN"/>
        </w:rPr>
        <w:t>同岁；</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近三年内（2020年1月1日至响应截止日期）</w:t>
      </w:r>
      <w:r>
        <w:rPr>
          <w:rFonts w:hint="eastAsia" w:eastAsia="仿宋" w:asciiTheme="minorEastAsia" w:hAnsiTheme="minorEastAsia"/>
          <w:snapToGrid w:val="0"/>
          <w:sz w:val="24"/>
          <w:szCs w:val="24"/>
          <w:u w:val="single"/>
          <w:shd w:val="clear" w:color="auto" w:fill="FFFF00"/>
          <w:lang w:eastAsia="zh-CN"/>
        </w:rPr>
        <w:t>有担任类似项目负责人业绩（类似外包业务的相关业绩</w:t>
      </w:r>
      <w:r>
        <w:rPr>
          <w:rFonts w:eastAsia="仿宋" w:asciiTheme="minorEastAsia" w:hAnsiTheme="minorEastAsia"/>
          <w:snapToGrid w:val="0"/>
          <w:sz w:val="24"/>
          <w:szCs w:val="24"/>
          <w:u w:val="single"/>
          <w:shd w:val="clear" w:color="auto" w:fill="FFFF00"/>
          <w:lang w:eastAsia="zh-CN"/>
        </w:rPr>
        <w:t>相关案例</w:t>
      </w:r>
      <w:r>
        <w:rPr>
          <w:rFonts w:hint="eastAsia" w:eastAsia="仿宋" w:asciiTheme="minorEastAsia" w:hAnsiTheme="minorEastAsia"/>
          <w:snapToGrid w:val="0"/>
          <w:sz w:val="24"/>
          <w:szCs w:val="24"/>
          <w:u w:val="single"/>
          <w:shd w:val="clear" w:color="auto" w:fill="FFFF00"/>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蔗场外包</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w:t>
      </w:r>
      <w:r>
        <w:rPr>
          <w:rFonts w:hint="eastAsia" w:ascii="仿宋" w:hAnsi="仿宋" w:eastAsia="仿宋"/>
          <w:snapToGrid w:val="0"/>
          <w:sz w:val="24"/>
          <w:szCs w:val="24"/>
          <w:u w:val="single"/>
          <w:lang w:eastAsia="zh-CN"/>
        </w:rPr>
        <w:t xml:space="preserve">其他： </w:t>
      </w:r>
      <w:r>
        <w:rPr>
          <w:rFonts w:ascii="仿宋" w:hAnsi="仿宋" w:eastAsia="仿宋"/>
          <w:snapToGrid w:val="0"/>
          <w:sz w:val="24"/>
          <w:szCs w:val="24"/>
          <w:u w:val="single"/>
          <w:lang w:eastAsia="zh-CN"/>
        </w:rPr>
        <w:t xml:space="preserve">               </w:t>
      </w:r>
    </w:p>
    <w:bookmarkEnd w:id="8"/>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□装箱单位：提供关于装箱业务的相关资质。</w:t>
      </w:r>
    </w:p>
    <w:p>
      <w:pPr>
        <w:pStyle w:val="10"/>
        <w:adjustRightInd w:val="0"/>
        <w:snapToGrid w:val="0"/>
        <w:spacing w:line="360" w:lineRule="auto"/>
        <w:ind w:firstLine="480" w:firstLineChars="200"/>
        <w:outlineLvl w:val="4"/>
        <w:rPr>
          <w:rFonts w:ascii="仿宋" w:hAnsi="仿宋" w:eastAsia="仿宋"/>
          <w:snapToGrid w:val="0"/>
          <w:sz w:val="24"/>
          <w:szCs w:val="24"/>
          <w:u w:val="single"/>
          <w:shd w:val="clear" w:color="auto" w:fill="FFFF00"/>
          <w:lang w:eastAsia="zh-CN"/>
        </w:rPr>
      </w:pPr>
      <w:r>
        <w:rPr>
          <w:rFonts w:hint="eastAsia" w:ascii="仿宋" w:hAnsi="仿宋" w:eastAsia="仿宋"/>
          <w:snapToGrid w:val="0"/>
          <w:sz w:val="24"/>
          <w:szCs w:val="24"/>
          <w:u w:val="single"/>
          <w:shd w:val="clear" w:color="auto" w:fill="FFFF00"/>
          <w:lang w:eastAsia="zh-CN"/>
        </w:rPr>
        <w:t xml:space="preserve">□其他： </w:t>
      </w:r>
      <w:r>
        <w:rPr>
          <w:rFonts w:ascii="仿宋" w:hAnsi="仿宋" w:eastAsia="仿宋"/>
          <w:snapToGrid w:val="0"/>
          <w:sz w:val="24"/>
          <w:szCs w:val="24"/>
          <w:u w:val="single"/>
          <w:shd w:val="clear" w:color="auto" w:fill="FFFF00"/>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020</w:t>
      </w:r>
      <w:r>
        <w:rPr>
          <w:rFonts w:hint="eastAsia" w:ascii="仿宋" w:hAnsi="仿宋" w:eastAsia="仿宋"/>
          <w:snapToGrid w:val="0"/>
          <w:sz w:val="24"/>
          <w:szCs w:val="24"/>
          <w:lang w:eastAsia="zh-CN"/>
        </w:rPr>
        <w:t>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20年</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月</w:t>
      </w:r>
      <w:r>
        <w:rPr>
          <w:rFonts w:ascii="仿宋" w:hAnsi="仿宋" w:eastAsia="仿宋"/>
          <w:snapToGrid w:val="0"/>
          <w:sz w:val="24"/>
          <w:szCs w:val="24"/>
          <w:lang w:eastAsia="zh-CN"/>
        </w:rPr>
        <w:t>1</w:t>
      </w:r>
      <w:r>
        <w:rPr>
          <w:rFonts w:hint="eastAsia" w:ascii="仿宋" w:hAnsi="仿宋" w:eastAsia="仿宋"/>
          <w:snapToGrid w:val="0"/>
          <w:sz w:val="24"/>
          <w:szCs w:val="24"/>
          <w:lang w:eastAsia="zh-CN"/>
        </w:rPr>
        <w:t>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pStyle w:val="37"/>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ind w:firstLine="420"/>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否则相关响应文件均无效。</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9" w:name="_Toc12497"/>
      <w:r>
        <w:rPr>
          <w:rFonts w:ascii="仿宋" w:hAnsi="仿宋" w:eastAsia="仿宋"/>
          <w:b/>
          <w:bCs/>
          <w:snapToGrid w:val="0"/>
          <w:sz w:val="24"/>
          <w:szCs w:val="24"/>
          <w:lang w:eastAsia="zh-CN"/>
        </w:rPr>
        <w:t>4.采购文件的获取</w:t>
      </w:r>
      <w:bookmarkEnd w:id="9"/>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年</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月</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日</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eastAsia="zh-CN"/>
        </w:rPr>
        <w:t>17</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u w:val="single"/>
          <w:lang w:eastAsia="zh-CN"/>
        </w:rPr>
        <w:t xml:space="preserve"> 00 </w:t>
      </w:r>
      <w:r>
        <w:rPr>
          <w:rFonts w:ascii="仿宋" w:hAnsi="仿宋" w:eastAsia="仿宋"/>
          <w:snapToGrid w:val="0"/>
          <w:color w:val="FF000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eastAsia="zh-CN"/>
        </w:rPr>
        <w:t>202</w:t>
      </w:r>
      <w:r>
        <w:rPr>
          <w:rFonts w:hint="eastAsia" w:ascii="仿宋" w:hAnsi="仿宋" w:eastAsia="仿宋"/>
          <w:snapToGrid w:val="0"/>
          <w:color w:val="FF0000"/>
          <w:sz w:val="24"/>
          <w:szCs w:val="24"/>
          <w:u w:val="single"/>
          <w:lang w:val="en-US" w:eastAsia="zh-CN"/>
        </w:rPr>
        <w:t>4</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年</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月</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val="en-US" w:eastAsia="zh-CN"/>
        </w:rPr>
        <w:t>1</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日</w:t>
      </w:r>
      <w:r>
        <w:rPr>
          <w:rFonts w:ascii="仿宋" w:hAnsi="仿宋" w:eastAsia="仿宋"/>
          <w:snapToGrid w:val="0"/>
          <w:color w:val="FF0000"/>
          <w:sz w:val="24"/>
          <w:szCs w:val="24"/>
          <w:u w:val="single"/>
          <w:lang w:eastAsia="zh-CN"/>
        </w:rPr>
        <w:t xml:space="preserve"> </w:t>
      </w:r>
      <w:r>
        <w:rPr>
          <w:rFonts w:hint="eastAsia" w:ascii="仿宋" w:hAnsi="仿宋" w:eastAsia="仿宋"/>
          <w:snapToGrid w:val="0"/>
          <w:color w:val="FF0000"/>
          <w:sz w:val="24"/>
          <w:szCs w:val="24"/>
          <w:u w:val="single"/>
          <w:lang w:eastAsia="zh-CN"/>
        </w:rPr>
        <w:t>18</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时</w:t>
      </w:r>
      <w:r>
        <w:rPr>
          <w:rFonts w:hint="eastAsia" w:ascii="仿宋" w:hAnsi="仿宋" w:eastAsia="仿宋"/>
          <w:snapToGrid w:val="0"/>
          <w:color w:val="FF0000"/>
          <w:sz w:val="24"/>
          <w:szCs w:val="24"/>
          <w:u w:val="single"/>
          <w:lang w:eastAsia="zh-CN"/>
        </w:rPr>
        <w:t xml:space="preserve">  00</w:t>
      </w:r>
      <w:r>
        <w:rPr>
          <w:rFonts w:ascii="仿宋" w:hAnsi="仿宋" w:eastAsia="仿宋"/>
          <w:snapToGrid w:val="0"/>
          <w:color w:val="FF0000"/>
          <w:sz w:val="24"/>
          <w:szCs w:val="24"/>
          <w:u w:val="single"/>
          <w:lang w:eastAsia="zh-CN"/>
        </w:rPr>
        <w:t xml:space="preserve"> </w:t>
      </w:r>
      <w:r>
        <w:rPr>
          <w:rFonts w:ascii="仿宋" w:hAnsi="仿宋" w:eastAsia="仿宋"/>
          <w:snapToGrid w:val="0"/>
          <w:color w:val="FF000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0  </w:t>
      </w:r>
      <w:r>
        <w:rPr>
          <w:rFonts w:ascii="仿宋" w:hAnsi="仿宋" w:eastAsia="仿宋"/>
          <w:snapToGrid w:val="0"/>
          <w:sz w:val="24"/>
          <w:szCs w:val="24"/>
          <w:lang w:eastAsia="zh-CN"/>
        </w:rPr>
        <w:t>元，售后不退。</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0" w:name="_Toc8991"/>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0"/>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shd w:val="clear" w:color="auto" w:fill="FFFF00"/>
          <w:lang w:eastAsia="zh-CN"/>
        </w:rPr>
        <w:t xml:space="preserve">     0.2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13012"/>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1"/>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1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2" w:name="_Toc17038"/>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2"/>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1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0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adjustRightInd w:val="0"/>
        <w:snapToGrid w:val="0"/>
        <w:spacing w:line="360" w:lineRule="auto"/>
        <w:ind w:firstLine="480"/>
        <w:outlineLvl w:val="4"/>
        <w:rPr>
          <w:rFonts w:ascii="仿宋" w:hAnsi="仿宋" w:eastAsia="仿宋"/>
          <w:snapToGrid w:val="0"/>
          <w:sz w:val="24"/>
          <w:szCs w:val="24"/>
          <w:lang w:eastAsia="zh-CN"/>
        </w:rPr>
      </w:pPr>
    </w:p>
    <w:p>
      <w:pPr>
        <w:pStyle w:val="4"/>
        <w:ind w:left="0"/>
        <w:rPr>
          <w:rFonts w:ascii="仿宋" w:hAnsi="仿宋" w:eastAsia="仿宋"/>
          <w:b/>
          <w:bCs/>
          <w:snapToGrid w:val="0"/>
          <w:sz w:val="24"/>
          <w:szCs w:val="24"/>
          <w:lang w:eastAsia="zh-CN"/>
        </w:rPr>
      </w:pPr>
      <w:bookmarkStart w:id="13" w:name="_Toc16068"/>
      <w:r>
        <w:rPr>
          <w:rFonts w:ascii="仿宋" w:hAnsi="仿宋" w:eastAsia="仿宋"/>
          <w:b/>
          <w:bCs/>
          <w:snapToGrid w:val="0"/>
          <w:sz w:val="24"/>
          <w:szCs w:val="24"/>
          <w:lang w:eastAsia="zh-CN"/>
        </w:rPr>
        <w:t>8.谈判时间和地点</w:t>
      </w:r>
      <w:bookmarkEnd w:id="13"/>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响应文件的供应商应委派代表准时参加采购活动，谈判开始时间预计</w:t>
      </w:r>
      <w:r>
        <w:rPr>
          <w:rFonts w:hint="eastAsia" w:ascii="仿宋" w:hAnsi="仿宋" w:eastAsia="仿宋"/>
          <w:snapToGrid w:val="0"/>
          <w:sz w:val="24"/>
          <w:szCs w:val="24"/>
          <w:u w:val="single"/>
          <w:lang w:eastAsia="zh-CN"/>
        </w:rPr>
        <w:t xml:space="preserve">  202</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1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w:t>
      </w:r>
      <w:r>
        <w:rPr>
          <w:rFonts w:hint="eastAsia" w:ascii="仿宋" w:hAnsi="仿宋" w:eastAsia="仿宋"/>
          <w:snapToGrid w:val="0"/>
          <w:sz w:val="24"/>
          <w:szCs w:val="24"/>
          <w:u w:val="single"/>
          <w:lang w:eastAsia="zh-CN"/>
        </w:rPr>
        <w:t xml:space="preserve">0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分，与每一供应商进行</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 xml:space="preserve">具体时间另行通知。谈判地点为 </w:t>
      </w:r>
      <w:r>
        <w:rPr>
          <w:rFonts w:hint="eastAsia" w:eastAsia="仿宋" w:asciiTheme="minorEastAsia" w:hAnsiTheme="minorEastAsia"/>
          <w:snapToGrid w:val="0"/>
          <w:sz w:val="24"/>
          <w:szCs w:val="24"/>
          <w:u w:val="single"/>
          <w:lang w:eastAsia="zh-CN"/>
        </w:rPr>
        <w:t xml:space="preserve">梁河糖业勐养工厂会议室       </w:t>
      </w:r>
      <w:r>
        <w:rPr>
          <w:rFonts w:hint="eastAsia" w:eastAsia="仿宋" w:asciiTheme="minorEastAsia" w:hAnsiTheme="minorEastAsia"/>
          <w:snapToGrid w:val="0"/>
          <w:sz w:val="24"/>
          <w:szCs w:val="24"/>
          <w:lang w:eastAsia="zh-CN"/>
        </w:rPr>
        <w:t>。</w:t>
      </w:r>
    </w:p>
    <w:p>
      <w:pPr>
        <w:pStyle w:val="4"/>
        <w:ind w:left="0"/>
        <w:rPr>
          <w:rFonts w:ascii="仿宋" w:hAnsi="仿宋" w:eastAsia="仿宋"/>
          <w:b/>
          <w:bCs/>
          <w:snapToGrid w:val="0"/>
          <w:sz w:val="24"/>
          <w:szCs w:val="24"/>
          <w:lang w:eastAsia="zh-CN"/>
        </w:rPr>
      </w:pPr>
      <w:bookmarkStart w:id="14" w:name="_Toc20517"/>
      <w:r>
        <w:rPr>
          <w:rFonts w:ascii="仿宋" w:hAnsi="仿宋" w:eastAsia="仿宋"/>
          <w:b/>
          <w:bCs/>
          <w:snapToGrid w:val="0"/>
          <w:sz w:val="24"/>
          <w:szCs w:val="24"/>
          <w:lang w:eastAsia="zh-CN"/>
        </w:rPr>
        <w:t>9.纪检监督</w:t>
      </w:r>
      <w:bookmarkEnd w:id="14"/>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5" w:name="_Toc12649"/>
      <w:r>
        <w:rPr>
          <w:rFonts w:ascii="仿宋" w:hAnsi="仿宋" w:eastAsia="仿宋"/>
          <w:b/>
          <w:bCs/>
          <w:snapToGrid w:val="0"/>
          <w:sz w:val="24"/>
          <w:szCs w:val="24"/>
          <w:lang w:eastAsia="zh-CN"/>
        </w:rPr>
        <w:t>10.其他</w:t>
      </w:r>
      <w:bookmarkEnd w:id="15"/>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6" w:name="_Toc5913"/>
      <w:r>
        <w:rPr>
          <w:rFonts w:ascii="仿宋" w:hAnsi="仿宋" w:eastAsia="仿宋"/>
          <w:b/>
          <w:bCs/>
          <w:snapToGrid w:val="0"/>
          <w:sz w:val="24"/>
          <w:szCs w:val="24"/>
          <w:lang w:eastAsia="zh-CN"/>
        </w:rPr>
        <w:t>11.联系方式</w:t>
      </w:r>
      <w:bookmarkEnd w:id="16"/>
    </w:p>
    <w:tbl>
      <w:tblPr>
        <w:tblStyle w:val="27"/>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联系人：</w:t>
            </w:r>
            <w:r>
              <w:rPr>
                <w:rFonts w:hint="eastAsia" w:ascii="仿宋" w:hAnsi="仿宋" w:eastAsia="仿宋"/>
                <w:snapToGrid w:val="0"/>
                <w:sz w:val="24"/>
                <w:szCs w:val="24"/>
                <w:lang w:eastAsia="zh-CN"/>
              </w:rPr>
              <w:t>张有存</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rPr>
              <w:t>电话：</w:t>
            </w:r>
            <w:r>
              <w:rPr>
                <w:rFonts w:hint="eastAsia" w:ascii="仿宋" w:hAnsi="仿宋" w:eastAsia="仿宋"/>
                <w:snapToGrid w:val="0"/>
                <w:sz w:val="24"/>
                <w:szCs w:val="24"/>
                <w:lang w:eastAsia="zh-CN"/>
              </w:rPr>
              <w:t>1</w:t>
            </w:r>
            <w:r>
              <w:rPr>
                <w:rFonts w:ascii="仿宋" w:hAnsi="仿宋" w:eastAsia="仿宋"/>
                <w:snapToGrid w:val="0"/>
                <w:sz w:val="24"/>
                <w:szCs w:val="24"/>
                <w:lang w:eastAsia="zh-CN"/>
              </w:rPr>
              <w:t>3578270095</w:t>
            </w:r>
          </w:p>
        </w:tc>
      </w:tr>
    </w:tbl>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2023</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12</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24</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7" w:name="扫描0015"/>
      <w:bookmarkEnd w:id="17"/>
      <w:bookmarkStart w:id="18" w:name="_Toc11396"/>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18"/>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 w:name="_Toc12288"/>
      <w:r>
        <w:rPr>
          <w:rFonts w:ascii="仿宋" w:hAnsi="仿宋" w:eastAsia="仿宋"/>
          <w:b/>
          <w:bCs/>
          <w:snapToGrid w:val="0"/>
          <w:sz w:val="32"/>
          <w:szCs w:val="32"/>
          <w:lang w:eastAsia="zh-CN"/>
        </w:rPr>
        <w:t>供应商须知前附表</w:t>
      </w:r>
      <w:bookmarkEnd w:id="19"/>
    </w:p>
    <w:p>
      <w:pPr>
        <w:adjustRightInd w:val="0"/>
        <w:snapToGrid w:val="0"/>
        <w:spacing w:line="276" w:lineRule="auto"/>
        <w:rPr>
          <w:rFonts w:ascii="仿宋" w:hAnsi="仿宋" w:eastAsia="仿宋"/>
          <w:snapToGrid w:val="0"/>
          <w:sz w:val="24"/>
          <w:szCs w:val="24"/>
          <w:lang w:eastAsia="zh-CN"/>
        </w:rPr>
      </w:pPr>
    </w:p>
    <w:tbl>
      <w:tblPr>
        <w:tblStyle w:val="27"/>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对分包供应商的要求：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r>
              <w:rPr>
                <w:rFonts w:ascii="仿宋" w:hAnsi="仿宋" w:eastAsia="仿宋"/>
                <w:snapToGrid w:val="0"/>
                <w:sz w:val="21"/>
                <w:szCs w:val="21"/>
                <w:u w:val="single"/>
                <w:lang w:eastAsia="zh-CN"/>
              </w:rPr>
              <w:t xml:space="preserve">           </w:t>
            </w:r>
          </w:p>
          <w:p>
            <w:pPr>
              <w:adjustRightInd w:val="0"/>
              <w:snapToGrid w:val="0"/>
              <w:spacing w:line="276" w:lineRule="auto"/>
              <w:ind w:left="210" w:hanging="210" w:hangingChars="100"/>
              <w:jc w:val="both"/>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rPr>
              <w:t>截止时间：</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2024年1月2日17:00分</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2024年1月2日17:00分</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邮件、电话通知</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无</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有，最高限价或其计算方法：</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shd w:val="clear" w:color="auto" w:fill="FFFF00"/>
                <w:lang w:eastAsia="zh-CN"/>
              </w:rPr>
              <w:t xml:space="preserve">  90 </w:t>
            </w:r>
            <w:r>
              <w:rPr>
                <w:rFonts w:hint="eastAsia" w:ascii="仿宋" w:hAnsi="仿宋" w:eastAsia="仿宋"/>
                <w:snapToGrid w:val="0"/>
                <w:sz w:val="21"/>
                <w:szCs w:val="21"/>
                <w:shd w:val="clear" w:color="auto" w:fill="FFFF00"/>
                <w:lang w:eastAsia="zh-CN"/>
              </w:rPr>
              <w:t>日历天</w:t>
            </w: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2000元</w:t>
            </w:r>
            <w:r>
              <w:rPr>
                <w:rFonts w:ascii="仿宋" w:hAnsi="仿宋" w:eastAsia="仿宋"/>
                <w:snapToGrid w:val="0"/>
                <w:sz w:val="21"/>
                <w:szCs w:val="21"/>
                <w:u w:val="single"/>
                <w:lang w:eastAsia="zh-CN"/>
              </w:rPr>
              <w:t xml:space="preserve">     </w:t>
            </w:r>
          </w:p>
          <w:p>
            <w:pPr>
              <w:pStyle w:val="38"/>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adjustRightInd w:val="0"/>
              <w:snapToGrid w:val="0"/>
              <w:spacing w:line="276" w:lineRule="auto"/>
              <w:ind w:firstLine="420"/>
              <w:jc w:val="both"/>
              <w:rPr>
                <w:rFonts w:ascii="仿宋" w:hAnsi="仿宋" w:eastAsia="仿宋"/>
                <w:snapToGrid w:val="0"/>
                <w:sz w:val="21"/>
                <w:szCs w:val="21"/>
                <w:lang w:eastAsia="zh-CN"/>
              </w:rPr>
            </w:pPr>
            <w:r>
              <w:rPr>
                <w:rFonts w:eastAsia="仿宋" w:asciiTheme="minorEastAsia" w:hAnsiTheme="minorEastAsia"/>
                <w:snapToGrid w:val="0"/>
                <w:color w:val="FF0000"/>
                <w:sz w:val="21"/>
                <w:szCs w:val="21"/>
                <w:lang w:eastAsia="zh-CN"/>
              </w:rPr>
              <w:t>交款方式：电汇（交款时注明“</w:t>
            </w:r>
            <w:r>
              <w:rPr>
                <w:rFonts w:hint="eastAsia" w:eastAsia="仿宋" w:asciiTheme="minorEastAsia" w:hAnsiTheme="minorEastAsia"/>
                <w:snapToGrid w:val="0"/>
                <w:color w:val="FF0000"/>
                <w:sz w:val="21"/>
                <w:szCs w:val="21"/>
                <w:lang w:eastAsia="zh-CN"/>
              </w:rPr>
              <w:t>梁河糖业勐养工厂压榨车间2023/2024榨季蔗场外包劳务服务项目投标保证金</w:t>
            </w:r>
            <w:r>
              <w:rPr>
                <w:rFonts w:eastAsia="仿宋" w:asciiTheme="minorEastAsia" w:hAnsiTheme="minorEastAsia"/>
                <w:snapToGrid w:val="0"/>
                <w:color w:val="FF0000"/>
                <w:sz w:val="21"/>
                <w:szCs w:val="21"/>
                <w:lang w:eastAsia="zh-CN"/>
              </w:rPr>
              <w:t>”字样）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响应保证金于成交通知书发出后30工作日内退还；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（注：此处应填写资质证书的名称、等级、专业、颁发机构等内容。</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after="120"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适用。供应商应提供经会计师事务所或审计机构审计的近年财务会计报表复印件，包括资产负债表、现金流量表、利润表等。近年财务会计报表年份是指：</w:t>
            </w:r>
            <w:r>
              <w:rPr>
                <w:rFonts w:ascii="仿宋" w:hAnsi="仿宋" w:eastAsia="仿宋"/>
                <w:snapToGrid w:val="0"/>
                <w:sz w:val="21"/>
                <w:szCs w:val="21"/>
                <w:u w:val="single"/>
                <w:lang w:eastAsia="zh-CN"/>
              </w:rPr>
              <w:t xml:space="preserve">    2020</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2022  </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2020 </w:t>
            </w:r>
            <w:r>
              <w:rPr>
                <w:rFonts w:ascii="仿宋" w:hAnsi="仿宋" w:eastAsia="仿宋"/>
                <w:snapToGrid w:val="0"/>
                <w:sz w:val="21"/>
                <w:szCs w:val="21"/>
                <w:lang w:eastAsia="zh-CN"/>
              </w:rPr>
              <w:t>至</w:t>
            </w:r>
            <w:r>
              <w:rPr>
                <w:rFonts w:hint="eastAsia" w:ascii="仿宋" w:hAnsi="仿宋" w:eastAsia="仿宋"/>
                <w:snapToGrid w:val="0"/>
                <w:sz w:val="21"/>
                <w:szCs w:val="21"/>
                <w:lang w:eastAsia="zh-CN"/>
              </w:rPr>
              <w:t>今</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□其他材料：</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spacing w:line="276" w:lineRule="auto"/>
              <w:rPr>
                <w:rFonts w:ascii="仿宋" w:hAnsi="仿宋" w:eastAsia="仿宋"/>
                <w:snapToGrid w:val="0"/>
                <w:sz w:val="21"/>
                <w:szCs w:val="21"/>
                <w:lang w:eastAsia="zh-CN"/>
              </w:rPr>
            </w:pP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提供上述勾选的任一项证明材料即可</w:t>
            </w:r>
          </w:p>
          <w:p>
            <w:pPr>
              <w:adjustRightInd w:val="0"/>
              <w:snapToGrid w:val="0"/>
              <w:spacing w:line="276" w:lineRule="auto"/>
              <w:ind w:left="282" w:leftChars="128"/>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需同时提供上述勾选的所有证明材料</w:t>
            </w:r>
          </w:p>
          <w:p>
            <w:pPr>
              <w:adjustRightInd w:val="0"/>
              <w:snapToGrid w:val="0"/>
              <w:spacing w:line="276" w:lineRule="auto"/>
              <w:ind w:left="282" w:leftChars="128"/>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适用。供应商应提供相关信誉情况的证明材料，包括：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w:t>
            </w: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采购公告/</w:t>
            </w:r>
            <w:r>
              <w:rPr>
                <w:rFonts w:hint="eastAsia" w:ascii="仿宋" w:hAnsi="仿宋" w:eastAsia="仿宋"/>
                <w:snapToGrid w:val="0"/>
                <w:sz w:val="21"/>
                <w:szCs w:val="21"/>
                <w:lang w:eastAsia="zh-CN"/>
              </w:rPr>
              <w:t>谈判</w:t>
            </w:r>
            <w:r>
              <w:rPr>
                <w:rFonts w:ascii="仿宋" w:hAnsi="仿宋" w:eastAsia="仿宋"/>
                <w:snapToGrid w:val="0"/>
                <w:sz w:val="21"/>
                <w:szCs w:val="21"/>
                <w:lang w:eastAsia="zh-CN"/>
              </w:rPr>
              <w:t>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不需提供证明材料</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适用。供应商应按照采购文件提供的格式</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（格式见第六章“响应文件格式”三、联合体协议书）拟订联合体协议书，并提供联合体协议书的原件。联合体协议书应明确联合体各方的分工</w:t>
            </w:r>
            <w:r>
              <w:rPr>
                <w:rFonts w:hint="eastAsia"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w:t>
            </w:r>
            <w:r>
              <w:rPr>
                <w:rFonts w:hint="eastAsia" w:ascii="仿宋" w:hAnsi="仿宋" w:eastAsia="仿宋"/>
                <w:snapToGrid w:val="0"/>
                <w:sz w:val="21"/>
                <w:szCs w:val="21"/>
                <w:u w:val="single"/>
                <w:lang w:eastAsia="zh-CN"/>
              </w:rPr>
              <w:t>，</w:t>
            </w:r>
            <w:r>
              <w:rPr>
                <w:rFonts w:hint="eastAsia" w:ascii="仿宋" w:hAnsi="仿宋" w:eastAsia="仿宋"/>
                <w:snapToGrid w:val="0"/>
                <w:sz w:val="21"/>
                <w:szCs w:val="21"/>
                <w:u w:val="single"/>
                <w:lang w:val="en-US" w:eastAsia="zh-CN"/>
              </w:rPr>
              <w:t>纸质版文件一正二副</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u w:val="single"/>
                <w:lang w:eastAsia="zh-CN"/>
              </w:rPr>
              <w:t xml:space="preserve">  202</w:t>
            </w:r>
            <w:r>
              <w:rPr>
                <w:rFonts w:hint="eastAsia" w:ascii="仿宋" w:hAnsi="仿宋" w:eastAsia="仿宋"/>
                <w:snapToGrid w:val="0"/>
                <w:sz w:val="21"/>
                <w:szCs w:val="21"/>
                <w:u w:val="single"/>
                <w:lang w:val="en-US" w:eastAsia="zh-CN"/>
              </w:rPr>
              <w:t>4</w:t>
            </w:r>
            <w:r>
              <w:rPr>
                <w:rFonts w:hint="eastAsia" w:ascii="仿宋" w:hAnsi="仿宋" w:eastAsia="仿宋"/>
                <w:snapToGrid w:val="0"/>
                <w:sz w:val="21"/>
                <w:szCs w:val="21"/>
                <w:u w:val="single"/>
                <w:lang w:eastAsia="zh-CN"/>
              </w:rPr>
              <w:t>年</w:t>
            </w:r>
            <w:r>
              <w:rPr>
                <w:rFonts w:hint="eastAsia" w:ascii="仿宋" w:hAnsi="仿宋" w:eastAsia="仿宋"/>
                <w:snapToGrid w:val="0"/>
                <w:sz w:val="21"/>
                <w:szCs w:val="21"/>
                <w:u w:val="single"/>
                <w:lang w:val="en-US" w:eastAsia="zh-CN"/>
              </w:rPr>
              <w:t>1</w:t>
            </w:r>
            <w:r>
              <w:rPr>
                <w:rFonts w:hint="eastAsia" w:ascii="仿宋" w:hAnsi="仿宋" w:eastAsia="仿宋"/>
                <w:snapToGrid w:val="0"/>
                <w:sz w:val="21"/>
                <w:szCs w:val="21"/>
                <w:u w:val="single"/>
                <w:lang w:eastAsia="zh-CN"/>
              </w:rPr>
              <w:t>月</w:t>
            </w:r>
            <w:r>
              <w:rPr>
                <w:rFonts w:hint="eastAsia" w:ascii="仿宋" w:hAnsi="仿宋" w:eastAsia="仿宋"/>
                <w:snapToGrid w:val="0"/>
                <w:sz w:val="21"/>
                <w:szCs w:val="21"/>
                <w:u w:val="single"/>
                <w:lang w:val="en-US" w:eastAsia="zh-CN"/>
              </w:rPr>
              <w:t>3</w:t>
            </w:r>
            <w:r>
              <w:rPr>
                <w:rFonts w:hint="eastAsia" w:ascii="仿宋" w:hAnsi="仿宋" w:eastAsia="仿宋"/>
                <w:snapToGrid w:val="0"/>
                <w:sz w:val="21"/>
                <w:szCs w:val="21"/>
                <w:u w:val="single"/>
                <w:lang w:eastAsia="zh-CN"/>
              </w:rPr>
              <w:t>日</w:t>
            </w:r>
            <w:r>
              <w:rPr>
                <w:rFonts w:hint="eastAsia" w:ascii="仿宋" w:hAnsi="仿宋" w:eastAsia="仿宋"/>
                <w:snapToGrid w:val="0"/>
                <w:sz w:val="21"/>
                <w:szCs w:val="21"/>
                <w:u w:val="single"/>
                <w:lang w:val="en-US" w:eastAsia="zh-CN"/>
              </w:rPr>
              <w:t>10</w:t>
            </w:r>
            <w:r>
              <w:rPr>
                <w:rFonts w:hint="eastAsia" w:ascii="仿宋" w:hAnsi="仿宋" w:eastAsia="仿宋"/>
                <w:snapToGrid w:val="0"/>
                <w:sz w:val="21"/>
                <w:szCs w:val="21"/>
                <w:u w:val="single"/>
                <w:lang w:eastAsia="zh-CN"/>
              </w:rPr>
              <w:t>:00</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hint="eastAsia" w:eastAsia="仿宋" w:asciiTheme="minorEastAsia" w:hAnsiTheme="minorEastAsia"/>
                <w:snapToGrid w:val="0"/>
                <w:sz w:val="21"/>
                <w:szCs w:val="21"/>
                <w:u w:val="single"/>
                <w:lang w:eastAsia="zh-CN"/>
              </w:rPr>
              <w:t>纸质版当面递交或通过邮寄方式递交</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自采购人收到供应商递交的书面通知之日起14日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采购小组在首轮谈判前告知被邀请参加谈判的供应商谈判轮次</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履约保证金金额：</w:t>
            </w:r>
            <w:r>
              <w:rPr>
                <w:rFonts w:hint="eastAsia" w:ascii="仿宋" w:hAnsi="仿宋" w:eastAsia="仿宋"/>
                <w:snapToGrid w:val="0"/>
                <w:sz w:val="21"/>
                <w:szCs w:val="21"/>
                <w:u w:val="single"/>
                <w:lang w:eastAsia="zh-CN"/>
              </w:rPr>
              <w:t xml:space="preserve"> 2000元 </w:t>
            </w:r>
            <w:r>
              <w:rPr>
                <w:rFonts w:ascii="仿宋" w:hAnsi="仿宋" w:eastAsia="仿宋"/>
                <w:snapToGrid w:val="0"/>
                <w:sz w:val="21"/>
                <w:szCs w:val="21"/>
                <w:u w:val="single"/>
                <w:lang w:eastAsia="zh-CN"/>
              </w:rPr>
              <w:t xml:space="preserve">              </w:t>
            </w:r>
          </w:p>
          <w:p>
            <w:pPr>
              <w:tabs>
                <w:tab w:val="left" w:pos="4707"/>
              </w:tabs>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履约保证金形式：</w:t>
            </w:r>
            <w:r>
              <w:rPr>
                <w:rFonts w:hint="eastAsia" w:ascii="仿宋" w:hAnsi="仿宋" w:eastAsia="仿宋"/>
                <w:snapToGrid w:val="0"/>
                <w:sz w:val="21"/>
                <w:szCs w:val="21"/>
                <w:u w:val="single"/>
                <w:lang w:eastAsia="zh-CN"/>
              </w:rPr>
              <w:t xml:space="preserve"> </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w:t>
            </w:r>
            <w:r>
              <w:rPr>
                <w:rFonts w:hint="eastAsia" w:eastAsia="仿宋" w:asciiTheme="minorEastAsia" w:hAnsiTheme="minorEastAsia"/>
                <w:snapToGrid w:val="0"/>
                <w:sz w:val="21"/>
                <w:szCs w:val="21"/>
                <w:u w:val="single"/>
                <w:lang w:val="en-US" w:eastAsia="zh-CN"/>
              </w:rPr>
              <w:t>30</w:t>
            </w:r>
            <w:r>
              <w:rPr>
                <w:rFonts w:eastAsia="仿宋" w:asciiTheme="minorEastAsia" w:hAnsiTheme="minorEastAsia"/>
                <w:snapToGrid w:val="0"/>
                <w:sz w:val="21"/>
                <w:szCs w:val="21"/>
                <w:u w:val="single"/>
                <w:lang w:eastAsia="zh-CN"/>
              </w:rPr>
              <w:t>工作日内无息如数退还履约保证金</w:t>
            </w:r>
          </w:p>
          <w:p>
            <w:pPr>
              <w:tabs>
                <w:tab w:val="left" w:pos="4884"/>
              </w:tabs>
              <w:spacing w:line="276" w:lineRule="auto"/>
              <w:ind w:left="282" w:leftChars="128"/>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adjustRightInd w:val="0"/>
              <w:snapToGrid w:val="0"/>
              <w:spacing w:line="276" w:lineRule="auto"/>
              <w:ind w:left="282" w:leftChars="128"/>
              <w:jc w:val="both"/>
              <w:rPr>
                <w:rFonts w:ascii="仿宋" w:hAnsi="仿宋" w:eastAsia="仿宋"/>
                <w:snapToGrid w:val="0"/>
                <w:sz w:val="21"/>
                <w:szCs w:val="21"/>
                <w:lang w:eastAsia="zh-CN"/>
              </w:rPr>
            </w:pPr>
            <w:r>
              <w:rPr>
                <w:rFonts w:ascii="仿宋" w:hAnsi="仿宋" w:eastAsia="仿宋"/>
                <w:snapToGrid w:val="0"/>
                <w:sz w:val="21"/>
                <w:szCs w:val="21"/>
                <w:lang w:eastAsia="zh-CN"/>
              </w:rPr>
              <w:t>其他要求：</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p>
        </w:tc>
      </w:tr>
    </w:tbl>
    <w:p>
      <w:pPr>
        <w:adjustRightInd w:val="0"/>
        <w:snapToGrid w:val="0"/>
        <w:spacing w:line="276" w:lineRule="auto"/>
        <w:rPr>
          <w:rFonts w:ascii="仿宋" w:hAnsi="仿宋" w:eastAsia="仿宋" w:cs="Times New Roman"/>
          <w:snapToGrid w:val="0"/>
          <w:sz w:val="24"/>
          <w:szCs w:val="24"/>
          <w:lang w:eastAsia="zh-CN"/>
        </w:rPr>
      </w:pPr>
      <w:bookmarkStart w:id="20" w:name="扫描0017"/>
      <w:bookmarkEnd w:id="20"/>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1" w:name="扫描0020"/>
      <w:bookmarkEnd w:id="21"/>
    </w:p>
    <w:p>
      <w:pPr>
        <w:pStyle w:val="3"/>
        <w:spacing w:line="360" w:lineRule="auto"/>
        <w:rPr>
          <w:rFonts w:ascii="仿宋" w:hAnsi="仿宋" w:eastAsia="仿宋"/>
          <w:b/>
          <w:snapToGrid w:val="0"/>
          <w:sz w:val="24"/>
          <w:szCs w:val="24"/>
          <w:lang w:eastAsia="zh-CN"/>
        </w:rPr>
      </w:pPr>
      <w:bookmarkStart w:id="22" w:name="_Toc21704"/>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2"/>
    </w:p>
    <w:p>
      <w:pPr>
        <w:adjustRightInd w:val="0"/>
        <w:snapToGrid w:val="0"/>
        <w:spacing w:line="360" w:lineRule="auto"/>
        <w:ind w:left="400"/>
        <w:outlineLvl w:val="2"/>
        <w:rPr>
          <w:rFonts w:ascii="仿宋" w:hAnsi="仿宋" w:eastAsia="仿宋"/>
          <w:b/>
          <w:bCs/>
          <w:snapToGrid w:val="0"/>
          <w:sz w:val="24"/>
          <w:szCs w:val="24"/>
          <w:lang w:eastAsia="zh-CN"/>
        </w:rPr>
      </w:pPr>
      <w:bookmarkStart w:id="23" w:name="_Toc10601"/>
      <w:r>
        <w:rPr>
          <w:rFonts w:ascii="仿宋" w:hAnsi="仿宋" w:eastAsia="仿宋"/>
          <w:b/>
          <w:bCs/>
          <w:snapToGrid w:val="0"/>
          <w:sz w:val="24"/>
          <w:szCs w:val="24"/>
          <w:lang w:eastAsia="zh-CN"/>
        </w:rPr>
        <w:t>1.1 采购方式</w:t>
      </w:r>
      <w:bookmarkEnd w:id="23"/>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中粮糖业谈判</w:t>
      </w:r>
      <w:r>
        <w:rPr>
          <w:rFonts w:ascii="仿宋" w:hAnsi="仿宋" w:eastAsia="仿宋"/>
          <w:snapToGrid w:val="0"/>
          <w:sz w:val="24"/>
          <w:szCs w:val="24"/>
          <w:lang w:eastAsia="zh-CN"/>
        </w:rPr>
        <w:t>采购方式。</w:t>
      </w:r>
    </w:p>
    <w:p>
      <w:pPr>
        <w:adjustRightInd w:val="0"/>
        <w:snapToGrid w:val="0"/>
        <w:spacing w:line="360" w:lineRule="auto"/>
        <w:ind w:firstLine="400"/>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4" w:name="_Toc12423"/>
      <w:r>
        <w:rPr>
          <w:rFonts w:ascii="仿宋" w:hAnsi="仿宋" w:eastAsia="仿宋"/>
          <w:b/>
          <w:bCs/>
          <w:snapToGrid w:val="0"/>
          <w:sz w:val="24"/>
          <w:szCs w:val="24"/>
          <w:lang w:eastAsia="zh-CN"/>
        </w:rPr>
        <w:t>1.2 采购项目概况和供应商资格要求</w:t>
      </w:r>
      <w:bookmarkEnd w:id="2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25183"/>
      <w:r>
        <w:rPr>
          <w:rFonts w:ascii="仿宋" w:hAnsi="仿宋" w:eastAsia="仿宋"/>
          <w:b/>
          <w:bCs/>
          <w:snapToGrid w:val="0"/>
          <w:sz w:val="24"/>
          <w:szCs w:val="24"/>
          <w:lang w:eastAsia="zh-CN"/>
        </w:rPr>
        <w:t>1.3 费用承担</w:t>
      </w:r>
      <w:bookmarkEnd w:id="25"/>
    </w:p>
    <w:p>
      <w:pPr>
        <w:adjustRightInd w:val="0"/>
        <w:snapToGrid w:val="0"/>
        <w:spacing w:line="360" w:lineRule="auto"/>
        <w:ind w:firstLine="400"/>
        <w:rPr>
          <w:rFonts w:ascii="仿宋" w:hAnsi="仿宋" w:eastAsia="仿宋"/>
          <w:snapToGrid w:val="0"/>
          <w:sz w:val="24"/>
          <w:szCs w:val="24"/>
          <w:lang w:eastAsia="zh-CN"/>
        </w:rPr>
      </w:pPr>
      <w:bookmarkStart w:id="26" w:name="_bookmark1"/>
      <w:bookmarkEnd w:id="26"/>
      <w:r>
        <w:rPr>
          <w:rFonts w:ascii="仿宋" w:hAnsi="仿宋" w:eastAsia="仿宋"/>
          <w:snapToGrid w:val="0"/>
          <w:sz w:val="24"/>
          <w:szCs w:val="24"/>
          <w:lang w:eastAsia="zh-CN"/>
        </w:rPr>
        <w:t>供应商准备和参加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13492"/>
      <w:r>
        <w:rPr>
          <w:rFonts w:ascii="仿宋" w:hAnsi="仿宋" w:eastAsia="仿宋"/>
          <w:b/>
          <w:bCs/>
          <w:snapToGrid w:val="0"/>
          <w:sz w:val="24"/>
          <w:szCs w:val="24"/>
          <w:lang w:eastAsia="zh-CN"/>
        </w:rPr>
        <w:t>1.4 保密</w:t>
      </w:r>
      <w:bookmarkEnd w:id="2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3529"/>
      <w:r>
        <w:rPr>
          <w:rFonts w:ascii="仿宋" w:hAnsi="仿宋" w:eastAsia="仿宋"/>
          <w:b/>
          <w:bCs/>
          <w:snapToGrid w:val="0"/>
          <w:sz w:val="24"/>
          <w:szCs w:val="24"/>
          <w:lang w:eastAsia="zh-CN"/>
        </w:rPr>
        <w:t>1.5 语言文字</w:t>
      </w:r>
      <w:bookmarkEnd w:id="2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15163"/>
      <w:r>
        <w:rPr>
          <w:rFonts w:ascii="仿宋" w:hAnsi="仿宋" w:eastAsia="仿宋"/>
          <w:b/>
          <w:bCs/>
          <w:snapToGrid w:val="0"/>
          <w:sz w:val="24"/>
          <w:szCs w:val="24"/>
          <w:lang w:eastAsia="zh-CN"/>
        </w:rPr>
        <w:t>1.6 计量单位</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19974"/>
      <w:r>
        <w:rPr>
          <w:rFonts w:ascii="仿宋" w:hAnsi="仿宋" w:eastAsia="仿宋"/>
          <w:b/>
          <w:bCs/>
          <w:snapToGrid w:val="0"/>
          <w:sz w:val="24"/>
          <w:szCs w:val="24"/>
          <w:lang w:eastAsia="zh-CN"/>
        </w:rPr>
        <w:t>1.7 踏勘现场</w:t>
      </w:r>
      <w:bookmarkEnd w:id="3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13490"/>
      <w:r>
        <w:rPr>
          <w:rFonts w:ascii="仿宋" w:hAnsi="仿宋" w:eastAsia="仿宋"/>
          <w:b/>
          <w:bCs/>
          <w:snapToGrid w:val="0"/>
          <w:sz w:val="24"/>
          <w:szCs w:val="24"/>
          <w:lang w:eastAsia="zh-CN"/>
        </w:rPr>
        <w:t xml:space="preserve">1.8 </w:t>
      </w:r>
      <w:r>
        <w:rPr>
          <w:rFonts w:hint="eastAsia" w:ascii="仿宋" w:hAnsi="仿宋" w:eastAsia="仿宋"/>
          <w:b/>
          <w:bCs/>
          <w:snapToGrid w:val="0"/>
          <w:sz w:val="24"/>
          <w:szCs w:val="24"/>
          <w:lang w:eastAsia="zh-CN"/>
        </w:rPr>
        <w:t>谈判</w:t>
      </w:r>
      <w:r>
        <w:rPr>
          <w:rFonts w:ascii="仿宋" w:hAnsi="仿宋" w:eastAsia="仿宋"/>
          <w:b/>
          <w:bCs/>
          <w:snapToGrid w:val="0"/>
          <w:sz w:val="24"/>
          <w:szCs w:val="24"/>
          <w:lang w:eastAsia="zh-CN"/>
        </w:rPr>
        <w:t>采购预备会</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采购预备会的，采购人按供应商须知前附表规定的时间和地点召开</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4666"/>
      <w:r>
        <w:rPr>
          <w:rFonts w:ascii="仿宋" w:hAnsi="仿宋" w:eastAsia="仿宋"/>
          <w:b/>
          <w:bCs/>
          <w:snapToGrid w:val="0"/>
          <w:sz w:val="24"/>
          <w:szCs w:val="24"/>
          <w:lang w:eastAsia="zh-CN"/>
        </w:rPr>
        <w:t>1.9 分包</w:t>
      </w:r>
      <w:r>
        <w:rPr>
          <w:rFonts w:hint="eastAsia" w:ascii="仿宋" w:hAnsi="仿宋" w:eastAsia="仿宋"/>
          <w:b/>
          <w:bCs/>
          <w:snapToGrid w:val="0"/>
          <w:sz w:val="24"/>
          <w:szCs w:val="24"/>
          <w:lang w:eastAsia="zh-CN"/>
        </w:rPr>
        <w:t>（不适用）</w:t>
      </w:r>
      <w:bookmarkEnd w:id="32"/>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14573"/>
      <w:r>
        <w:rPr>
          <w:rFonts w:ascii="仿宋" w:hAnsi="仿宋" w:eastAsia="仿宋"/>
          <w:b/>
          <w:bCs/>
          <w:snapToGrid w:val="0"/>
          <w:sz w:val="24"/>
          <w:szCs w:val="24"/>
          <w:lang w:eastAsia="zh-CN"/>
        </w:rPr>
        <w:t>1.10 响应和偏差</w:t>
      </w:r>
      <w:bookmarkEnd w:id="33"/>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34" w:name="_Toc27424"/>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4"/>
    </w:p>
    <w:p>
      <w:pPr>
        <w:adjustRightInd w:val="0"/>
        <w:snapToGrid w:val="0"/>
        <w:spacing w:line="360" w:lineRule="auto"/>
        <w:ind w:left="400"/>
        <w:jc w:val="both"/>
        <w:outlineLvl w:val="2"/>
        <w:rPr>
          <w:rFonts w:ascii="仿宋" w:hAnsi="仿宋" w:eastAsia="仿宋"/>
          <w:b/>
          <w:snapToGrid w:val="0"/>
          <w:sz w:val="24"/>
          <w:szCs w:val="24"/>
          <w:lang w:eastAsia="zh-CN"/>
        </w:rPr>
      </w:pPr>
      <w:bookmarkStart w:id="35" w:name="_Toc2996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采购公告(或</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6" w:name="_bookmark3"/>
      <w:bookmarkEnd w:id="3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31591"/>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38" w:name="_Toc10987"/>
      <w:r>
        <w:rPr>
          <w:rFonts w:ascii="仿宋" w:hAnsi="仿宋" w:eastAsia="仿宋"/>
          <w:b/>
          <w:bCs/>
          <w:snapToGrid w:val="0"/>
          <w:sz w:val="24"/>
          <w:szCs w:val="24"/>
          <w:lang w:eastAsia="zh-CN"/>
        </w:rPr>
        <w:t>3.响应文件</w:t>
      </w:r>
      <w:bookmarkEnd w:id="38"/>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20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39"/>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217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1" w:name="_bookmark4"/>
      <w:bookmarkEnd w:id="41"/>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354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扫描0024"/>
      <w:bookmarkEnd w:id="4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2352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1513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27335"/>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color w:val="FF0000"/>
          <w:sz w:val="24"/>
          <w:szCs w:val="24"/>
          <w:lang w:eastAsia="zh-CN"/>
        </w:rPr>
      </w:pPr>
      <w:bookmarkStart w:id="47" w:name="_bookmark5"/>
      <w:bookmarkEnd w:id="47"/>
      <w:bookmarkStart w:id="48" w:name="扫描0025"/>
      <w:bookmarkEnd w:id="48"/>
      <w:bookmarkStart w:id="49" w:name="_Toc14194"/>
      <w:r>
        <w:rPr>
          <w:rFonts w:hint="eastAsia" w:ascii="仿宋" w:hAnsi="仿宋" w:eastAsia="仿宋"/>
          <w:b/>
          <w:snapToGrid w:val="0"/>
          <w:color w:val="FF0000"/>
          <w:sz w:val="24"/>
          <w:szCs w:val="24"/>
          <w:lang w:eastAsia="zh-CN"/>
        </w:rPr>
        <w:t>3</w:t>
      </w:r>
      <w:r>
        <w:rPr>
          <w:rFonts w:ascii="仿宋" w:hAnsi="仿宋" w:eastAsia="仿宋"/>
          <w:b/>
          <w:snapToGrid w:val="0"/>
          <w:color w:val="FF0000"/>
          <w:sz w:val="24"/>
          <w:szCs w:val="24"/>
          <w:lang w:eastAsia="zh-CN"/>
        </w:rPr>
        <w:t>.7 响应文件的编制</w:t>
      </w:r>
      <w:bookmarkEnd w:id="4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0" w:name="_Toc13209"/>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0"/>
    </w:p>
    <w:p>
      <w:pPr>
        <w:adjustRightInd w:val="0"/>
        <w:snapToGrid w:val="0"/>
        <w:spacing w:line="360" w:lineRule="auto"/>
        <w:ind w:left="400"/>
        <w:jc w:val="both"/>
        <w:outlineLvl w:val="2"/>
        <w:rPr>
          <w:rFonts w:ascii="仿宋" w:hAnsi="仿宋" w:eastAsia="仿宋"/>
          <w:b/>
          <w:snapToGrid w:val="0"/>
          <w:sz w:val="24"/>
          <w:szCs w:val="24"/>
          <w:lang w:eastAsia="zh-CN"/>
        </w:rPr>
      </w:pPr>
      <w:bookmarkStart w:id="51" w:name="_Toc31199"/>
      <w:r>
        <w:rPr>
          <w:rFonts w:ascii="仿宋" w:hAnsi="仿宋" w:eastAsia="仿宋"/>
          <w:b/>
          <w:snapToGrid w:val="0"/>
          <w:sz w:val="24"/>
          <w:szCs w:val="24"/>
          <w:lang w:eastAsia="zh-CN"/>
        </w:rPr>
        <w:t>4.1 采购小组</w:t>
      </w:r>
      <w:bookmarkEnd w:id="5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_Toc4936"/>
      <w:r>
        <w:rPr>
          <w:rFonts w:ascii="仿宋" w:hAnsi="仿宋" w:eastAsia="仿宋"/>
          <w:b/>
          <w:snapToGrid w:val="0"/>
          <w:sz w:val="24"/>
          <w:szCs w:val="24"/>
          <w:lang w:eastAsia="zh-CN"/>
        </w:rPr>
        <w:t>4.2 初步评审</w:t>
      </w:r>
      <w:bookmarkEnd w:id="5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27917"/>
      <w:r>
        <w:rPr>
          <w:rFonts w:ascii="仿宋" w:hAnsi="仿宋" w:eastAsia="仿宋"/>
          <w:b/>
          <w:snapToGrid w:val="0"/>
          <w:sz w:val="24"/>
          <w:szCs w:val="24"/>
          <w:lang w:eastAsia="zh-CN"/>
        </w:rPr>
        <w:t>4.3 谈判</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28080"/>
      <w:r>
        <w:rPr>
          <w:rFonts w:ascii="仿宋" w:hAnsi="仿宋" w:eastAsia="仿宋"/>
          <w:b/>
          <w:snapToGrid w:val="0"/>
          <w:sz w:val="24"/>
          <w:szCs w:val="24"/>
          <w:lang w:eastAsia="zh-CN"/>
        </w:rPr>
        <w:t>4.4 递交补充响应文件</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5" w:name="扫描0028"/>
      <w:bookmarkEnd w:id="55"/>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546"/>
      <w:r>
        <w:rPr>
          <w:rFonts w:ascii="仿宋" w:hAnsi="仿宋" w:eastAsia="仿宋"/>
          <w:b/>
          <w:snapToGrid w:val="0"/>
          <w:sz w:val="24"/>
          <w:szCs w:val="24"/>
          <w:lang w:eastAsia="zh-CN"/>
        </w:rPr>
        <w:t>4.5 递交最终报价</w:t>
      </w:r>
      <w:bookmarkEnd w:id="5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303"/>
      <w:r>
        <w:rPr>
          <w:rFonts w:ascii="仿宋" w:hAnsi="仿宋" w:eastAsia="仿宋"/>
          <w:b/>
          <w:snapToGrid w:val="0"/>
          <w:sz w:val="24"/>
          <w:szCs w:val="24"/>
          <w:lang w:eastAsia="zh-CN"/>
        </w:rPr>
        <w:t xml:space="preserve">4.6 </w:t>
      </w:r>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57"/>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4234"/>
      <w:r>
        <w:rPr>
          <w:rFonts w:ascii="仿宋" w:hAnsi="仿宋" w:eastAsia="仿宋"/>
          <w:b/>
          <w:snapToGrid w:val="0"/>
          <w:sz w:val="24"/>
          <w:szCs w:val="24"/>
          <w:lang w:eastAsia="zh-CN"/>
        </w:rPr>
        <w:t>4.7 特殊情形处理</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59" w:name="扫描0029"/>
      <w:bookmarkEnd w:id="59"/>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adjustRightInd w:val="0"/>
        <w:snapToGrid w:val="0"/>
        <w:spacing w:line="360" w:lineRule="auto"/>
        <w:ind w:firstLine="400"/>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60" w:name="_Toc14306"/>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0"/>
    </w:p>
    <w:p>
      <w:pPr>
        <w:adjustRightInd w:val="0"/>
        <w:snapToGrid w:val="0"/>
        <w:spacing w:line="360" w:lineRule="auto"/>
        <w:ind w:left="400"/>
        <w:jc w:val="both"/>
        <w:outlineLvl w:val="2"/>
        <w:rPr>
          <w:rFonts w:ascii="仿宋" w:hAnsi="仿宋" w:eastAsia="仿宋"/>
          <w:b/>
          <w:snapToGrid w:val="0"/>
          <w:sz w:val="24"/>
          <w:szCs w:val="24"/>
          <w:lang w:eastAsia="zh-CN"/>
        </w:rPr>
      </w:pPr>
      <w:bookmarkStart w:id="61" w:name="_Toc4300"/>
      <w:bookmarkStart w:id="62" w:name="_Toc91750572"/>
      <w:r>
        <w:rPr>
          <w:rFonts w:ascii="仿宋" w:hAnsi="仿宋" w:eastAsia="仿宋"/>
          <w:b/>
          <w:snapToGrid w:val="0"/>
          <w:sz w:val="24"/>
          <w:szCs w:val="24"/>
          <w:lang w:eastAsia="zh-CN"/>
        </w:rPr>
        <w:t>5.1 发出成交通知书</w:t>
      </w:r>
      <w:bookmarkEnd w:id="61"/>
      <w:bookmarkEnd w:id="6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91750574"/>
      <w:bookmarkStart w:id="64" w:name="_Toc27561"/>
      <w:r>
        <w:rPr>
          <w:rFonts w:ascii="仿宋" w:hAnsi="仿宋" w:eastAsia="仿宋"/>
          <w:b/>
          <w:snapToGrid w:val="0"/>
          <w:sz w:val="24"/>
          <w:szCs w:val="24"/>
          <w:lang w:eastAsia="zh-CN"/>
        </w:rPr>
        <w:t>5.2 履约保证金</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29428"/>
      <w:bookmarkStart w:id="66" w:name="_Toc91750575"/>
      <w:r>
        <w:rPr>
          <w:rFonts w:ascii="仿宋" w:hAnsi="仿宋" w:eastAsia="仿宋"/>
          <w:b/>
          <w:snapToGrid w:val="0"/>
          <w:sz w:val="24"/>
          <w:szCs w:val="24"/>
          <w:lang w:eastAsia="zh-CN"/>
        </w:rPr>
        <w:t>5.3 签订合同</w:t>
      </w:r>
      <w:bookmarkEnd w:id="65"/>
      <w:bookmarkEnd w:id="6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67" w:name="扫描0031"/>
      <w:bookmarkEnd w:id="67"/>
      <w:bookmarkStart w:id="68" w:name="_Toc31585"/>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68"/>
    </w:p>
    <w:p>
      <w:pPr>
        <w:adjustRightInd w:val="0"/>
        <w:snapToGrid w:val="0"/>
        <w:spacing w:line="360" w:lineRule="auto"/>
        <w:ind w:left="400"/>
        <w:jc w:val="both"/>
        <w:outlineLvl w:val="2"/>
        <w:rPr>
          <w:rFonts w:ascii="仿宋" w:hAnsi="仿宋" w:eastAsia="仿宋"/>
          <w:b/>
          <w:snapToGrid w:val="0"/>
          <w:sz w:val="24"/>
          <w:szCs w:val="24"/>
          <w:lang w:eastAsia="zh-CN"/>
        </w:rPr>
      </w:pPr>
      <w:bookmarkStart w:id="69" w:name="_Toc5471"/>
      <w:r>
        <w:rPr>
          <w:rFonts w:ascii="仿宋" w:hAnsi="仿宋" w:eastAsia="仿宋"/>
          <w:b/>
          <w:snapToGrid w:val="0"/>
          <w:sz w:val="24"/>
          <w:szCs w:val="24"/>
          <w:lang w:eastAsia="zh-CN"/>
        </w:rPr>
        <w:t>6.1 对采购人的纪律要求</w:t>
      </w:r>
      <w:bookmarkEnd w:id="6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17153"/>
      <w:r>
        <w:rPr>
          <w:rFonts w:ascii="仿宋" w:hAnsi="仿宋" w:eastAsia="仿宋"/>
          <w:b/>
          <w:snapToGrid w:val="0"/>
          <w:sz w:val="24"/>
          <w:szCs w:val="24"/>
          <w:lang w:eastAsia="zh-CN"/>
        </w:rPr>
        <w:t>6.2 对供应商的纪律要求</w:t>
      </w:r>
      <w:bookmarkEnd w:id="7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18166"/>
      <w:r>
        <w:rPr>
          <w:rFonts w:ascii="仿宋" w:hAnsi="仿宋" w:eastAsia="仿宋"/>
          <w:b/>
          <w:snapToGrid w:val="0"/>
          <w:sz w:val="24"/>
          <w:szCs w:val="24"/>
          <w:lang w:eastAsia="zh-CN"/>
        </w:rPr>
        <w:t>6.3 对采购小组成员的纪律要求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21877"/>
      <w:r>
        <w:rPr>
          <w:rFonts w:ascii="仿宋" w:hAnsi="仿宋" w:eastAsia="仿宋"/>
          <w:b/>
          <w:snapToGrid w:val="0"/>
          <w:sz w:val="24"/>
          <w:szCs w:val="24"/>
          <w:lang w:eastAsia="zh-CN"/>
        </w:rPr>
        <w:t>6.4 对与采购活动有关的工作人员的纪律要求</w:t>
      </w:r>
      <w:bookmarkEnd w:id="7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rPr>
          <w:rFonts w:ascii="仿宋" w:hAnsi="仿宋" w:eastAsia="仿宋"/>
          <w:lang w:eastAsia="zh-CN"/>
        </w:rPr>
      </w:pPr>
    </w:p>
    <w:p>
      <w:pPr>
        <w:pStyle w:val="3"/>
        <w:spacing w:line="360" w:lineRule="auto"/>
        <w:rPr>
          <w:rFonts w:ascii="仿宋" w:hAnsi="仿宋" w:eastAsia="仿宋"/>
          <w:b/>
          <w:snapToGrid w:val="0"/>
          <w:sz w:val="24"/>
          <w:szCs w:val="24"/>
          <w:lang w:eastAsia="zh-CN"/>
        </w:rPr>
      </w:pPr>
      <w:bookmarkStart w:id="73" w:name="_Toc22545"/>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4" w:name="扫描0033"/>
      <w:bookmarkEnd w:id="74"/>
    </w:p>
    <w:p>
      <w:pPr>
        <w:pStyle w:val="3"/>
        <w:spacing w:line="276" w:lineRule="auto"/>
        <w:rPr>
          <w:rFonts w:ascii="仿宋" w:hAnsi="仿宋" w:eastAsia="仿宋"/>
          <w:snapToGrid w:val="0"/>
          <w:sz w:val="24"/>
          <w:szCs w:val="24"/>
          <w:lang w:eastAsia="zh-CN"/>
        </w:rPr>
      </w:pPr>
      <w:bookmarkStart w:id="75" w:name="_Toc3687"/>
      <w:r>
        <w:rPr>
          <w:rFonts w:ascii="仿宋" w:hAnsi="仿宋" w:eastAsia="仿宋"/>
          <w:snapToGrid w:val="0"/>
          <w:sz w:val="24"/>
          <w:szCs w:val="24"/>
          <w:lang w:eastAsia="zh-CN"/>
        </w:rPr>
        <w:t>附件1 问题澄清通知</w:t>
      </w:r>
      <w:bookmarkEnd w:id="75"/>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6" w:name="_Toc6038"/>
      <w:r>
        <w:rPr>
          <w:rFonts w:ascii="仿宋" w:hAnsi="仿宋" w:eastAsia="仿宋"/>
          <w:b/>
          <w:bCs/>
          <w:snapToGrid w:val="0"/>
          <w:sz w:val="32"/>
          <w:szCs w:val="32"/>
          <w:lang w:eastAsia="zh-CN"/>
        </w:rPr>
        <w:t>问题澄清通知</w:t>
      </w:r>
      <w:bookmarkEnd w:id="76"/>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0" w:firstLine="48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7" w:name="扫描0034"/>
      <w:bookmarkEnd w:id="7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78" w:name="_Toc867"/>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7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9" w:name="_Toc17951"/>
      <w:r>
        <w:rPr>
          <w:rFonts w:ascii="仿宋" w:hAnsi="仿宋" w:eastAsia="仿宋"/>
          <w:b/>
          <w:bCs/>
          <w:snapToGrid w:val="0"/>
          <w:sz w:val="32"/>
          <w:szCs w:val="32"/>
          <w:lang w:eastAsia="zh-CN"/>
        </w:rPr>
        <w:t>问题的澄清</w:t>
      </w:r>
      <w:bookmarkEnd w:id="79"/>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1.</w:t>
      </w:r>
    </w:p>
    <w:p>
      <w:pPr>
        <w:pStyle w:val="5"/>
        <w:spacing w:line="360" w:lineRule="auto"/>
        <w:ind w:left="440" w:leftChars="200"/>
        <w:jc w:val="left"/>
        <w:rPr>
          <w:rFonts w:ascii="仿宋" w:hAnsi="仿宋" w:eastAsia="仿宋"/>
          <w:snapToGrid w:val="0"/>
          <w:szCs w:val="24"/>
          <w:shd w:val="clear" w:color="auto" w:fill="FFFF00"/>
          <w:lang w:eastAsia="zh-CN"/>
        </w:rPr>
      </w:pPr>
      <w:r>
        <w:rPr>
          <w:rFonts w:ascii="仿宋" w:hAnsi="仿宋" w:eastAsia="仿宋"/>
          <w:snapToGrid w:val="0"/>
          <w:szCs w:val="24"/>
          <w:shd w:val="clear" w:color="auto" w:fill="FFFF00"/>
          <w:lang w:eastAsia="zh-CN"/>
        </w:rPr>
        <w:t>2.</w:t>
      </w:r>
    </w:p>
    <w:p>
      <w:pPr>
        <w:adjustRightInd w:val="0"/>
        <w:snapToGrid w:val="0"/>
        <w:spacing w:line="360" w:lineRule="auto"/>
        <w:ind w:firstLine="480"/>
        <w:rPr>
          <w:rFonts w:ascii="仿宋" w:hAnsi="仿宋" w:eastAsia="仿宋"/>
          <w:snapToGrid w:val="0"/>
          <w:sz w:val="24"/>
          <w:szCs w:val="24"/>
          <w:shd w:val="clear" w:color="auto" w:fill="FFFF00"/>
          <w:lang w:eastAsia="zh-CN"/>
        </w:rPr>
      </w:pPr>
      <w:r>
        <w:rPr>
          <w:rFonts w:ascii="仿宋" w:hAnsi="仿宋" w:eastAsia="仿宋"/>
          <w:snapToGrid w:val="0"/>
          <w:sz w:val="24"/>
          <w:szCs w:val="24"/>
          <w:shd w:val="clear" w:color="auto" w:fill="FFFF00"/>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0" w:name="扫描0035"/>
      <w:bookmarkEnd w:id="8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81" w:name="_Toc22257"/>
      <w:r>
        <w:rPr>
          <w:rFonts w:ascii="仿宋" w:hAnsi="仿宋" w:eastAsia="仿宋"/>
          <w:snapToGrid w:val="0"/>
          <w:sz w:val="24"/>
          <w:szCs w:val="24"/>
          <w:lang w:eastAsia="zh-CN"/>
        </w:rPr>
        <w:t>附件3 成交通知书</w:t>
      </w:r>
      <w:bookmarkEnd w:id="8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82" w:name="_Toc5920"/>
      <w:r>
        <w:rPr>
          <w:rFonts w:ascii="仿宋" w:hAnsi="仿宋" w:eastAsia="仿宋"/>
          <w:b/>
          <w:bCs/>
          <w:snapToGrid w:val="0"/>
          <w:sz w:val="32"/>
          <w:szCs w:val="32"/>
          <w:lang w:eastAsia="zh-CN"/>
        </w:rPr>
        <w:t>成交通知书</w:t>
      </w:r>
      <w:bookmarkEnd w:id="82"/>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（成交供应商名称）:</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你方所递交的</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ascii="仿宋" w:hAnsi="仿宋" w:eastAsia="仿宋"/>
          <w:snapToGrid w:val="0"/>
          <w:sz w:val="24"/>
          <w:szCs w:val="24"/>
          <w:lang w:eastAsia="zh-CN"/>
        </w:rPr>
        <w:t>的响应文件已被我方接受，被确定为成交供应商。</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成交价：</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w:t>
      </w:r>
      <w:r>
        <w:rPr>
          <w:rFonts w:hint="eastAsia" w:ascii="仿宋" w:hAnsi="仿宋" w:eastAsia="仿宋"/>
          <w:snapToGrid w:val="0"/>
          <w:sz w:val="24"/>
          <w:szCs w:val="24"/>
          <w:lang w:eastAsia="zh-CN"/>
        </w:rPr>
        <w:t>你</w:t>
      </w:r>
      <w:r>
        <w:rPr>
          <w:rFonts w:ascii="仿宋" w:hAnsi="仿宋" w:eastAsia="仿宋"/>
          <w:snapToGrid w:val="0"/>
          <w:sz w:val="24"/>
          <w:szCs w:val="24"/>
          <w:lang w:eastAsia="zh-CN"/>
        </w:rPr>
        <w:t>方在接到本通知书后的</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日内到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（指定地点）</w:t>
      </w:r>
      <w:r>
        <w:rPr>
          <w:rFonts w:ascii="仿宋" w:hAnsi="仿宋" w:eastAsia="仿宋"/>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特此通知。</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678"/>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83" w:name="扫描0036"/>
      <w:bookmarkEnd w:id="83"/>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84" w:name="扫描0037"/>
      <w:bookmarkEnd w:id="84"/>
      <w:bookmarkStart w:id="85" w:name="_Toc1781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5"/>
    </w:p>
    <w:p>
      <w:pPr>
        <w:spacing w:line="276" w:lineRule="auto"/>
        <w:rPr>
          <w:rFonts w:ascii="仿宋" w:hAnsi="仿宋" w:eastAsia="仿宋"/>
          <w:snapToGrid w:val="0"/>
          <w:sz w:val="24"/>
          <w:szCs w:val="24"/>
          <w:lang w:eastAsia="zh-CN"/>
        </w:rPr>
      </w:pPr>
      <w:bookmarkStart w:id="86" w:name="扫描0038"/>
      <w:bookmarkEnd w:id="86"/>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7" w:name="_Toc22627"/>
      <w:r>
        <w:rPr>
          <w:rFonts w:ascii="仿宋" w:hAnsi="仿宋" w:eastAsia="仿宋"/>
          <w:b/>
          <w:bCs/>
          <w:snapToGrid w:val="0"/>
          <w:sz w:val="32"/>
          <w:szCs w:val="32"/>
          <w:lang w:eastAsia="zh-CN"/>
        </w:rPr>
        <w:t>评审办法前附表</w:t>
      </w:r>
      <w:bookmarkEnd w:id="87"/>
    </w:p>
    <w:tbl>
      <w:tblPr>
        <w:tblStyle w:val="27"/>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88" w:name="扫描0039"/>
            <w:bookmarkEnd w:id="88"/>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60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r>
              <w:rPr>
                <w:rFonts w:hint="eastAsia" w:ascii="仿宋" w:hAnsi="仿宋" w:eastAsia="仿宋"/>
                <w:snapToGrid w:val="0"/>
                <w:sz w:val="21"/>
                <w:szCs w:val="21"/>
                <w:lang w:eastAsia="zh-CN"/>
              </w:rPr>
              <w:t>按有效报价的平均值作为基准值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无效报价、响应文件被否决的供应商，其报价不参与评审基准价的计算。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2020  </w:t>
            </w:r>
            <w:r>
              <w:rPr>
                <w:rFonts w:hint="eastAsia" w:ascii="仿宋" w:hAnsi="仿宋" w:eastAsia="仿宋"/>
                <w:sz w:val="20"/>
                <w:szCs w:val="20"/>
                <w:lang w:eastAsia="zh-CN"/>
              </w:rPr>
              <w:t>年</w:t>
            </w:r>
            <w:r>
              <w:rPr>
                <w:rFonts w:ascii="仿宋" w:hAnsi="仿宋" w:eastAsia="仿宋"/>
                <w:sz w:val="20"/>
                <w:szCs w:val="20"/>
                <w:u w:val="single"/>
                <w:lang w:eastAsia="zh-CN"/>
              </w:rPr>
              <w:t xml:space="preserve">  1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1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5</w:t>
            </w:r>
          </w:p>
        </w:tc>
        <w:tc>
          <w:tcPr>
            <w:tcW w:w="4277" w:type="dxa"/>
            <w:tcBorders>
              <w:left w:val="single" w:color="auto" w:sz="4" w:space="0"/>
            </w:tcBorders>
            <w:vAlign w:val="center"/>
          </w:tcPr>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有开户银行出具的资信证明，评价为良好及以上或无不良记录的加</w:t>
            </w:r>
            <w:r>
              <w:rPr>
                <w:rStyle w:val="58"/>
                <w:rFonts w:hint="eastAsia" w:ascii="仿宋" w:hAnsi="仿宋" w:eastAsia="仿宋"/>
                <w:color w:val="auto"/>
                <w:sz w:val="21"/>
                <w:szCs w:val="21"/>
                <w:lang w:val="en-US" w:eastAsia="zh-CN" w:bidi="ar"/>
              </w:rPr>
              <w:t>2</w:t>
            </w:r>
            <w:r>
              <w:rPr>
                <w:rStyle w:val="58"/>
                <w:rFonts w:ascii="仿宋" w:hAnsi="仿宋" w:eastAsia="仿宋"/>
                <w:color w:val="auto"/>
                <w:sz w:val="21"/>
                <w:szCs w:val="21"/>
                <w:lang w:eastAsia="zh-CN" w:bidi="ar"/>
              </w:rPr>
              <w:t>分</w:t>
            </w:r>
            <w:r>
              <w:rPr>
                <w:rStyle w:val="58"/>
                <w:rFonts w:hint="eastAsia" w:ascii="仿宋" w:hAnsi="仿宋" w:eastAsia="仿宋"/>
                <w:color w:val="auto"/>
                <w:sz w:val="21"/>
                <w:szCs w:val="21"/>
                <w:lang w:eastAsia="zh-CN" w:bidi="ar"/>
              </w:rPr>
              <w:t>；</w:t>
            </w:r>
          </w:p>
          <w:p>
            <w:pPr>
              <w:adjustRightInd w:val="0"/>
              <w:snapToGrid w:val="0"/>
              <w:jc w:val="both"/>
              <w:rPr>
                <w:rStyle w:val="58"/>
                <w:rFonts w:ascii="仿宋" w:hAnsi="仿宋" w:eastAsia="仿宋"/>
                <w:color w:val="auto"/>
                <w:sz w:val="21"/>
                <w:szCs w:val="21"/>
                <w:lang w:eastAsia="zh-CN" w:bidi="ar"/>
              </w:rPr>
            </w:pPr>
            <w:r>
              <w:rPr>
                <w:rStyle w:val="58"/>
                <w:rFonts w:ascii="仿宋" w:hAnsi="仿宋" w:eastAsia="仿宋"/>
                <w:color w:val="auto"/>
                <w:sz w:val="21"/>
                <w:szCs w:val="21"/>
                <w:lang w:eastAsia="zh-CN" w:bidi="ar"/>
              </w:rPr>
              <w:t>通过ISO或国际同等系列质量管理体系认证的加</w:t>
            </w:r>
            <w:r>
              <w:rPr>
                <w:rStyle w:val="58"/>
                <w:rFonts w:hint="eastAsia" w:ascii="仿宋" w:hAnsi="仿宋" w:eastAsia="仿宋"/>
                <w:color w:val="auto"/>
                <w:sz w:val="21"/>
                <w:szCs w:val="21"/>
                <w:lang w:val="en-US" w:eastAsia="zh-CN" w:bidi="ar"/>
              </w:rPr>
              <w:t>1</w:t>
            </w:r>
            <w:r>
              <w:rPr>
                <w:rStyle w:val="58"/>
                <w:rFonts w:ascii="仿宋" w:hAnsi="仿宋" w:eastAsia="仿宋"/>
                <w:color w:val="auto"/>
                <w:sz w:val="21"/>
                <w:szCs w:val="21"/>
                <w:lang w:eastAsia="zh-CN" w:bidi="ar"/>
              </w:rPr>
              <w:t>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w:t>
            </w:r>
            <w:r>
              <w:rPr>
                <w:rFonts w:hint="eastAsia" w:eastAsia="仿宋" w:asciiTheme="minorEastAsia" w:hAnsiTheme="minorEastAsia"/>
                <w:snapToGrid w:val="0"/>
                <w:sz w:val="21"/>
                <w:szCs w:val="21"/>
                <w:lang w:val="en-US" w:eastAsia="zh-CN"/>
              </w:rPr>
              <w:t>1</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eastAsia="zh-CN"/>
              </w:rPr>
              <w:t>，最多加</w:t>
            </w:r>
            <w:r>
              <w:rPr>
                <w:rFonts w:hint="eastAsia" w:eastAsia="仿宋" w:asciiTheme="minorEastAsia" w:hAnsiTheme="minorEastAsia"/>
                <w:snapToGrid w:val="0"/>
                <w:sz w:val="21"/>
                <w:szCs w:val="21"/>
                <w:lang w:val="en-US" w:eastAsia="zh-CN"/>
              </w:rPr>
              <w:t>2</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hint="default" w:ascii="仿宋" w:hAnsi="仿宋" w:eastAsia="仿宋"/>
                <w:sz w:val="20"/>
                <w:szCs w:val="20"/>
                <w:lang w:val="en-US" w:eastAsia="zh-CN"/>
              </w:rPr>
            </w:pPr>
            <w:r>
              <w:rPr>
                <w:rFonts w:hint="eastAsia" w:ascii="仿宋" w:hAnsi="仿宋" w:eastAsia="仿宋"/>
                <w:sz w:val="20"/>
                <w:szCs w:val="20"/>
                <w:lang w:val="en-US" w:eastAsia="zh-CN"/>
              </w:rPr>
              <w:t>4</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8"/>
                <w:rFonts w:ascii="仿宋" w:hAnsi="仿宋" w:eastAsia="仿宋"/>
                <w:color w:val="auto"/>
                <w:sz w:val="21"/>
                <w:szCs w:val="21"/>
                <w:lang w:eastAsia="zh-CN" w:bidi="ar"/>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公司具有持证安全管理人员，每提供</w:t>
            </w:r>
            <w:r>
              <w:rPr>
                <w:rStyle w:val="58"/>
                <w:rFonts w:ascii="仿宋" w:hAnsi="仿宋" w:eastAsia="仿宋"/>
                <w:color w:val="auto"/>
                <w:sz w:val="21"/>
                <w:szCs w:val="21"/>
                <w:lang w:eastAsia="zh-CN" w:bidi="ar"/>
              </w:rPr>
              <w:t>1名得1分，最高得3分。</w:t>
            </w:r>
            <w:r>
              <w:rPr>
                <w:rStyle w:val="58"/>
                <w:rFonts w:hint="eastAsia" w:ascii="仿宋" w:hAnsi="仿宋" w:eastAsia="仿宋"/>
                <w:color w:val="auto"/>
                <w:sz w:val="21"/>
                <w:szCs w:val="21"/>
                <w:lang w:eastAsia="zh-CN" w:bidi="ar"/>
              </w:rPr>
              <w:t>无持证安全管理人员不得分。</w:t>
            </w:r>
          </w:p>
          <w:p>
            <w:pPr>
              <w:pStyle w:val="37"/>
              <w:numPr>
                <w:ilvl w:val="0"/>
                <w:numId w:val="8"/>
              </w:numPr>
              <w:adjustRightInd w:val="0"/>
              <w:snapToGrid w:val="0"/>
              <w:jc w:val="both"/>
              <w:rPr>
                <w:rStyle w:val="58"/>
                <w:rFonts w:ascii="仿宋" w:hAnsi="仿宋" w:eastAsia="仿宋"/>
                <w:color w:val="auto"/>
                <w:sz w:val="21"/>
                <w:szCs w:val="21"/>
                <w:lang w:eastAsia="zh-CN" w:bidi="ar"/>
              </w:rPr>
            </w:pPr>
            <w:r>
              <w:rPr>
                <w:rStyle w:val="58"/>
                <w:rFonts w:hint="eastAsia" w:ascii="仿宋" w:hAnsi="仿宋" w:eastAsia="仿宋"/>
                <w:color w:val="auto"/>
                <w:sz w:val="21"/>
                <w:szCs w:val="21"/>
                <w:lang w:eastAsia="zh-CN" w:bidi="ar"/>
              </w:rPr>
              <w:t>其他服务/操作人员，依据方案配置合理人数，人数配置合理得</w:t>
            </w:r>
            <w:r>
              <w:rPr>
                <w:rStyle w:val="58"/>
                <w:rFonts w:ascii="仿宋" w:hAnsi="仿宋" w:eastAsia="仿宋"/>
                <w:color w:val="auto"/>
                <w:sz w:val="21"/>
                <w:szCs w:val="21"/>
                <w:lang w:eastAsia="zh-CN" w:bidi="ar"/>
              </w:rPr>
              <w:t>3</w:t>
            </w:r>
            <w:r>
              <w:rPr>
                <w:rStyle w:val="58"/>
                <w:rFonts w:hint="eastAsia" w:ascii="仿宋" w:hAnsi="仿宋" w:eastAsia="仿宋"/>
                <w:color w:val="auto"/>
                <w:sz w:val="21"/>
                <w:szCs w:val="21"/>
                <w:lang w:eastAsia="zh-CN" w:bidi="ar"/>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16</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1</w:t>
            </w:r>
            <w:r>
              <w:rPr>
                <w:rFonts w:ascii="仿宋" w:hAnsi="仿宋" w:eastAsia="仿宋"/>
                <w:w w:val="105"/>
                <w:sz w:val="20"/>
                <w:szCs w:val="20"/>
                <w:lang w:eastAsia="zh-CN"/>
              </w:rPr>
              <w:t>0</w:t>
            </w:r>
            <w:r>
              <w:rPr>
                <w:rFonts w:hint="eastAsia" w:ascii="仿宋" w:hAnsi="仿宋" w:eastAsia="仿宋"/>
                <w:w w:val="105"/>
                <w:sz w:val="20"/>
                <w:szCs w:val="20"/>
                <w:lang w:eastAsia="zh-CN"/>
              </w:rPr>
              <w:t>-</w:t>
            </w:r>
            <w:r>
              <w:rPr>
                <w:rFonts w:ascii="仿宋" w:hAnsi="仿宋" w:eastAsia="仿宋"/>
                <w:w w:val="105"/>
                <w:sz w:val="20"/>
                <w:szCs w:val="20"/>
                <w:lang w:eastAsia="zh-CN"/>
              </w:rPr>
              <w:t>16</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对作业质量、安全控制等的承诺内容基本符合本次采购需求，有相关保证措施，对各项关键工作安排较合理；对本项目的风险预见、风险应对措施描述较简单；有违约责任及相关承诺，得5-</w:t>
            </w:r>
            <w:r>
              <w:rPr>
                <w:rFonts w:ascii="仿宋" w:hAnsi="仿宋" w:eastAsia="仿宋"/>
                <w:w w:val="105"/>
                <w:sz w:val="20"/>
                <w:szCs w:val="20"/>
                <w:lang w:eastAsia="zh-CN"/>
              </w:rPr>
              <w:t>9</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0-4</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Style w:val="58"/>
                <w:rFonts w:hint="eastAsia" w:ascii="仿宋" w:hAnsi="仿宋" w:eastAsia="仿宋"/>
                <w:color w:val="auto"/>
                <w:sz w:val="21"/>
                <w:szCs w:val="21"/>
                <w:lang w:bidi="ar"/>
              </w:rPr>
              <w:t>响应文件编制</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响应文件符合竞谈文件内容得</w:t>
            </w:r>
            <w:r>
              <w:rPr>
                <w:rFonts w:ascii="仿宋" w:hAnsi="仿宋" w:eastAsia="仿宋"/>
                <w:w w:val="105"/>
                <w:sz w:val="20"/>
                <w:szCs w:val="20"/>
                <w:lang w:eastAsia="zh-CN"/>
              </w:rPr>
              <w:t>2</w:t>
            </w:r>
            <w:r>
              <w:rPr>
                <w:rFonts w:hint="eastAsia" w:ascii="仿宋" w:hAnsi="仿宋" w:eastAsia="仿宋"/>
                <w:w w:val="105"/>
                <w:sz w:val="20"/>
                <w:szCs w:val="20"/>
                <w:lang w:eastAsia="zh-CN"/>
              </w:rPr>
              <w:t>分；响应文件符合竞谈文件装订要求得</w:t>
            </w:r>
            <w:r>
              <w:rPr>
                <w:rFonts w:ascii="仿宋" w:hAnsi="仿宋" w:eastAsia="仿宋"/>
                <w:w w:val="105"/>
                <w:sz w:val="20"/>
                <w:szCs w:val="20"/>
                <w:lang w:eastAsia="zh-CN"/>
              </w:rPr>
              <w:t>2</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60分，有效报价每高于基准价1%的减1分，有效报价每低于基准价1%的减0.5分，扣减至</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☑以最低有效报价为基准值，基准值为满分</w:t>
            </w:r>
            <w:r>
              <w:rPr>
                <w:rFonts w:ascii="仿宋" w:hAnsi="仿宋" w:eastAsia="仿宋"/>
                <w:snapToGrid w:val="0"/>
                <w:sz w:val="21"/>
                <w:szCs w:val="21"/>
                <w:lang w:eastAsia="zh-CN"/>
              </w:rPr>
              <w:t>60分，有效报价每高于基准价1%的减1分，扣减至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val="en-US" w:eastAsia="zh-CN"/>
              </w:rPr>
              <w:t>45</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p>
            <w:pPr>
              <w:adjustRightInd w:val="0"/>
              <w:snapToGrid w:val="0"/>
              <w:spacing w:line="276" w:lineRule="auto"/>
              <w:ind w:left="257" w:leftChars="117"/>
              <w:jc w:val="both"/>
              <w:rPr>
                <w:rFonts w:ascii="仿宋" w:hAnsi="仿宋" w:eastAsia="仿宋"/>
                <w:snapToGrid w:val="0"/>
                <w:sz w:val="21"/>
                <w:szCs w:val="21"/>
                <w:lang w:eastAsia="zh-CN"/>
              </w:rPr>
            </w:pPr>
            <w:r>
              <w:rPr>
                <w:rFonts w:ascii="等线" w:hAnsi="等线" w:eastAsia="仿宋"/>
                <w:snapToGrid w:val="0"/>
                <w:sz w:val="21"/>
                <w:szCs w:val="21"/>
                <w:lang w:eastAsia="zh-CN"/>
              </w:rPr>
              <w:t>□以最低有效报价为基准值，基准值为满分60分，</w:t>
            </w:r>
            <w:r>
              <w:rPr>
                <w:rFonts w:hint="eastAsia" w:ascii="等线" w:hAnsi="等线" w:eastAsia="仿宋"/>
                <w:snapToGrid w:val="0"/>
                <w:sz w:val="21"/>
                <w:szCs w:val="21"/>
                <w:lang w:eastAsia="zh-CN"/>
              </w:rPr>
              <w:t>其他报价得分按公式计算：</w:t>
            </w:r>
            <w:r>
              <w:rPr>
                <w:rFonts w:ascii="等线" w:hAnsi="等线" w:eastAsia="仿宋"/>
                <w:snapToGrid w:val="0"/>
                <w:sz w:val="21"/>
                <w:szCs w:val="21"/>
                <w:lang w:eastAsia="zh-CN"/>
              </w:rPr>
              <w:t>60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spacing w:line="360"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中间值线性插入，小数点后保留</w:t>
            </w:r>
            <w:r>
              <w:rPr>
                <w:rFonts w:ascii="仿宋" w:hAnsi="仿宋" w:eastAsia="仿宋"/>
                <w:snapToGrid w:val="0"/>
                <w:sz w:val="21"/>
                <w:szCs w:val="21"/>
                <w:lang w:eastAsia="zh-CN"/>
              </w:rPr>
              <w:t>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120" w:afterLines="50" w:line="360" w:lineRule="auto"/>
        <w:ind w:firstLine="442" w:firstLineChars="200"/>
        <w:rPr>
          <w:rFonts w:ascii="仿宋" w:hAnsi="仿宋" w:eastAsia="仿宋"/>
          <w:b/>
          <w:lang w:eastAsia="zh-CN"/>
        </w:rPr>
      </w:pPr>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89" w:name="_bookmark10"/>
      <w:bookmarkEnd w:id="89"/>
      <w:bookmarkStart w:id="90" w:name="_Toc17375"/>
      <w:r>
        <w:rPr>
          <w:rFonts w:ascii="仿宋" w:hAnsi="仿宋" w:eastAsia="仿宋"/>
          <w:b/>
          <w:bCs/>
          <w:snapToGrid w:val="0"/>
          <w:sz w:val="24"/>
          <w:szCs w:val="24"/>
          <w:lang w:eastAsia="zh-CN"/>
        </w:rPr>
        <w:t>1.评审方法（</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bookmarkEnd w:id="90"/>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91" w:name="_bookmark11"/>
      <w:bookmarkEnd w:id="91"/>
    </w:p>
    <w:p>
      <w:pPr>
        <w:pStyle w:val="3"/>
        <w:spacing w:line="360" w:lineRule="auto"/>
        <w:rPr>
          <w:rFonts w:ascii="仿宋" w:hAnsi="仿宋" w:eastAsia="仿宋"/>
          <w:b/>
          <w:snapToGrid w:val="0"/>
          <w:sz w:val="24"/>
          <w:szCs w:val="24"/>
          <w:lang w:eastAsia="zh-CN"/>
        </w:rPr>
      </w:pPr>
      <w:bookmarkStart w:id="92" w:name="_Toc23135"/>
      <w:r>
        <w:rPr>
          <w:rFonts w:ascii="仿宋" w:hAnsi="仿宋" w:eastAsia="仿宋"/>
          <w:b/>
          <w:snapToGrid w:val="0"/>
          <w:sz w:val="24"/>
          <w:szCs w:val="24"/>
          <w:lang w:eastAsia="zh-CN"/>
        </w:rPr>
        <w:t>2.初步评审标准和程序</w:t>
      </w:r>
      <w:bookmarkEnd w:id="92"/>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32243"/>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18473"/>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5" w:name="_Toc19491"/>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5"/>
    </w:p>
    <w:p>
      <w:pPr>
        <w:adjustRightInd w:val="0"/>
        <w:snapToGrid w:val="0"/>
        <w:spacing w:line="360" w:lineRule="auto"/>
        <w:ind w:left="400"/>
        <w:jc w:val="both"/>
        <w:outlineLvl w:val="2"/>
        <w:rPr>
          <w:rFonts w:ascii="仿宋" w:hAnsi="仿宋" w:eastAsia="仿宋"/>
          <w:b/>
          <w:snapToGrid w:val="0"/>
          <w:sz w:val="24"/>
          <w:szCs w:val="24"/>
          <w:lang w:eastAsia="zh-CN"/>
        </w:rPr>
      </w:pPr>
      <w:bookmarkStart w:id="96" w:name="_Toc2152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7" w:name="_bookmark13"/>
      <w:bookmarkEnd w:id="97"/>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347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eastAsia="仿宋" w:asciiTheme="minorEastAsia" w:hAnsiTheme="minorEastAsia"/>
          <w:snapToGrid w:val="0"/>
          <w:szCs w:val="24"/>
          <w:u w:val="single"/>
          <w:lang w:eastAsia="zh-CN"/>
        </w:rPr>
        <w:t>□</w:t>
      </w: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u w:val="single"/>
          <w:lang w:eastAsia="zh-CN"/>
        </w:rPr>
      </w:pPr>
      <w:r>
        <w:rPr>
          <w:rFonts w:hint="eastAsia" w:eastAsia="仿宋" w:asciiTheme="minorEastAsia" w:hAnsiTheme="minorEastAsia"/>
          <w:snapToGrid w:val="0"/>
          <w:szCs w:val="24"/>
          <w:u w:val="single"/>
          <w:lang w:eastAsia="zh-CN"/>
        </w:rPr>
        <w:t>☑以最低有效报价为基准值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99" w:name="扫描0043"/>
      <w:bookmarkEnd w:id="99"/>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pStyle w:val="10"/>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ascii="仿宋" w:hAnsi="仿宋" w:eastAsia="仿宋"/>
          <w:snapToGrid w:val="0"/>
          <w:sz w:val="24"/>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w:t>
      </w:r>
      <w:r>
        <w:rPr>
          <w:rFonts w:ascii="仿宋" w:hAnsi="仿宋" w:eastAsia="仿宋"/>
          <w:snapToGrid w:val="0"/>
          <w:sz w:val="21"/>
          <w:szCs w:val="21"/>
          <w:lang w:eastAsia="zh-CN"/>
        </w:rPr>
        <w:t>由采购小组投票决定</w:t>
      </w:r>
      <w:r>
        <w:rPr>
          <w:rFonts w:eastAsia="仿宋" w:asciiTheme="minorEastAsia" w:hAnsiTheme="minorEastAsia"/>
          <w:snapToGrid w:val="0"/>
          <w:szCs w:val="24"/>
          <w:lang w:eastAsia="zh-CN"/>
        </w:rPr>
        <w:t>。</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100" w:name="_Toc1599"/>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100"/>
    </w:p>
    <w:p>
      <w:pPr>
        <w:adjustRightInd w:val="0"/>
        <w:snapToGrid w:val="0"/>
        <w:spacing w:line="360" w:lineRule="auto"/>
        <w:ind w:left="400"/>
        <w:jc w:val="both"/>
        <w:outlineLvl w:val="2"/>
        <w:rPr>
          <w:rFonts w:ascii="仿宋" w:hAnsi="仿宋" w:eastAsia="仿宋"/>
          <w:b/>
          <w:snapToGrid w:val="0"/>
          <w:sz w:val="24"/>
          <w:szCs w:val="24"/>
          <w:lang w:eastAsia="zh-CN"/>
        </w:rPr>
      </w:pPr>
      <w:bookmarkStart w:id="101" w:name="_Toc8481"/>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101"/>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ascii="仿宋" w:hAnsi="仿宋" w:eastAsia="仿宋"/>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2</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2" w:name="扫描0044"/>
      <w:bookmarkEnd w:id="102"/>
      <w:bookmarkStart w:id="103" w:name="_Toc9376"/>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章  劳务服务合同</w:t>
      </w:r>
      <w:bookmarkEnd w:id="103"/>
    </w:p>
    <w:p>
      <w:pPr>
        <w:spacing w:line="276" w:lineRule="auto"/>
        <w:rPr>
          <w:rFonts w:ascii="仿宋" w:hAnsi="仿宋" w:eastAsia="仿宋"/>
          <w:snapToGrid w:val="0"/>
          <w:sz w:val="24"/>
          <w:szCs w:val="24"/>
          <w:lang w:eastAsia="zh-CN"/>
        </w:rPr>
      </w:pPr>
    </w:p>
    <w:p>
      <w:pPr>
        <w:jc w:val="center"/>
        <w:rPr>
          <w:rFonts w:ascii="仿宋" w:hAnsi="仿宋" w:eastAsia="仿宋"/>
          <w:sz w:val="24"/>
          <w:szCs w:val="24"/>
          <w:lang w:eastAsia="zh-CN"/>
        </w:rPr>
      </w:pPr>
    </w:p>
    <w:p>
      <w:pPr>
        <w:rPr>
          <w:rFonts w:ascii="仿宋" w:hAnsi="仿宋" w:eastAsia="仿宋"/>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3"/>
        <w:jc w:val="center"/>
        <w:rPr>
          <w:rFonts w:ascii="仿宋" w:hAnsi="仿宋" w:eastAsia="仿宋"/>
          <w:sz w:val="24"/>
          <w:szCs w:val="32"/>
          <w:lang w:eastAsia="zh-CN"/>
        </w:rPr>
      </w:pPr>
      <w:r>
        <w:rPr>
          <w:rFonts w:ascii="仿宋" w:hAnsi="仿宋" w:eastAsia="仿宋"/>
          <w:b/>
          <w:bCs/>
          <w:sz w:val="24"/>
          <w:lang w:eastAsia="zh-CN"/>
        </w:rPr>
        <w:br w:type="page"/>
      </w:r>
    </w:p>
    <w:p>
      <w:pPr>
        <w:spacing w:line="360" w:lineRule="auto"/>
        <w:jc w:val="center"/>
        <w:rPr>
          <w:rFonts w:ascii="仿宋" w:hAnsi="仿宋" w:eastAsia="仿宋"/>
          <w:sz w:val="44"/>
          <w:szCs w:val="44"/>
          <w:lang w:eastAsia="zh-CN"/>
        </w:rPr>
      </w:pPr>
      <w:r>
        <w:rPr>
          <w:rFonts w:hint="eastAsia" w:ascii="仿宋" w:hAnsi="仿宋" w:eastAsia="仿宋"/>
          <w:b/>
          <w:bCs/>
          <w:snapToGrid w:val="0"/>
          <w:sz w:val="36"/>
          <w:szCs w:val="36"/>
          <w:u w:val="single"/>
          <w:lang w:eastAsia="zh-CN"/>
        </w:rPr>
        <w:t xml:space="preserve">中粮糖业勐养工厂压榨车间2023/2024榨季蔗场外包项目  </w:t>
      </w:r>
      <w:r>
        <w:rPr>
          <w:rFonts w:hint="eastAsia" w:ascii="仿宋" w:hAnsi="仿宋" w:eastAsia="仿宋"/>
          <w:b/>
          <w:bCs/>
          <w:snapToGrid w:val="0"/>
          <w:sz w:val="36"/>
          <w:szCs w:val="36"/>
          <w:lang w:eastAsia="zh-CN"/>
        </w:rPr>
        <w:t>劳务服务合同</w:t>
      </w:r>
    </w:p>
    <w:p>
      <w:pPr>
        <w:spacing w:line="360" w:lineRule="auto"/>
        <w:jc w:val="center"/>
        <w:rPr>
          <w:rFonts w:ascii="仿宋" w:hAnsi="仿宋" w:eastAsia="仿宋"/>
          <w:sz w:val="44"/>
          <w:szCs w:val="4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 xml:space="preserve">          </w:t>
      </w:r>
      <w:r>
        <w:rPr>
          <w:rFonts w:hint="eastAsia" w:ascii="仿宋" w:hAnsi="仿宋" w:eastAsia="仿宋"/>
          <w:sz w:val="24"/>
          <w:szCs w:val="24"/>
          <w:lang w:eastAsia="zh-CN"/>
        </w:rPr>
        <w:t>合同号：</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甲方：中粮梁河糖业有限公司 </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乙方： </w:t>
      </w:r>
    </w:p>
    <w:p>
      <w:pPr>
        <w:spacing w:line="360" w:lineRule="auto"/>
        <w:rPr>
          <w:rFonts w:ascii="仿宋" w:hAnsi="仿宋" w:eastAsia="仿宋"/>
          <w:sz w:val="24"/>
          <w:szCs w:val="24"/>
          <w:lang w:eastAsia="zh-CN"/>
        </w:rPr>
      </w:pPr>
    </w:p>
    <w:p>
      <w:pPr>
        <w:spacing w:line="360" w:lineRule="auto"/>
        <w:rPr>
          <w:rFonts w:ascii="仿宋" w:hAnsi="仿宋" w:eastAsia="仿宋"/>
          <w:color w:val="FF0000"/>
          <w:sz w:val="24"/>
          <w:szCs w:val="24"/>
          <w:lang w:eastAsia="zh-CN"/>
        </w:rPr>
      </w:pPr>
      <w:r>
        <w:rPr>
          <w:rFonts w:hint="eastAsia" w:ascii="仿宋" w:hAnsi="仿宋" w:eastAsia="仿宋"/>
          <w:color w:val="FF0000"/>
          <w:sz w:val="24"/>
          <w:szCs w:val="24"/>
          <w:lang w:eastAsia="zh-CN"/>
        </w:rPr>
        <w:t>第一条：合同范围</w:t>
      </w:r>
    </w:p>
    <w:p>
      <w:pPr>
        <w:spacing w:line="500" w:lineRule="exact"/>
        <w:ind w:firstLine="601"/>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根据甲方工作需要，2023/2024</w:t>
      </w:r>
      <w:r>
        <w:rPr>
          <w:rFonts w:hint="eastAsia" w:ascii="仿宋" w:hAnsi="仿宋" w:eastAsia="仿宋"/>
          <w:color w:val="FF0000"/>
          <w:sz w:val="24"/>
          <w:szCs w:val="24"/>
          <w:lang w:val="en-US" w:eastAsia="zh-CN"/>
        </w:rPr>
        <w:t>年榨季</w:t>
      </w:r>
      <w:r>
        <w:rPr>
          <w:rFonts w:hint="eastAsia" w:ascii="仿宋" w:hAnsi="仿宋" w:eastAsia="仿宋"/>
          <w:color w:val="FF0000"/>
          <w:sz w:val="24"/>
          <w:szCs w:val="24"/>
          <w:lang w:eastAsia="zh-CN"/>
        </w:rPr>
        <w:t>压榨车间蔗场清洁、散蔗清理、蔗带清理、甘蔗挂钩、吊蔗钢丝绳管及相关清洁</w:t>
      </w:r>
      <w:r>
        <w:rPr>
          <w:rFonts w:hint="eastAsia" w:ascii="仿宋" w:hAnsi="仿宋" w:eastAsia="仿宋"/>
          <w:color w:val="FF0000"/>
          <w:sz w:val="24"/>
          <w:szCs w:val="24"/>
          <w:lang w:val="en-US" w:eastAsia="zh-CN"/>
        </w:rPr>
        <w:t>等</w:t>
      </w:r>
      <w:r>
        <w:rPr>
          <w:rFonts w:hint="eastAsia" w:ascii="仿宋" w:hAnsi="仿宋" w:eastAsia="仿宋"/>
          <w:color w:val="FF0000"/>
          <w:sz w:val="24"/>
          <w:szCs w:val="24"/>
          <w:lang w:eastAsia="zh-CN"/>
        </w:rPr>
        <w:t>工作，承包方按需配备满足生产要求的人员，相关工作无法按时、按质、按量完成的由承包方继续增加人员，费用由承包方负责，项目相关工作和人员要求如下表：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val="en-US" w:eastAsia="zh-CN"/>
              </w:rPr>
              <w:t>勐养</w:t>
            </w:r>
            <w:r>
              <w:rPr>
                <w:rFonts w:hint="eastAsia" w:ascii="仿宋" w:hAnsi="仿宋" w:eastAsia="仿宋"/>
                <w:snapToGrid w:val="0"/>
                <w:sz w:val="24"/>
                <w:szCs w:val="24"/>
                <w:lang w:eastAsia="zh-CN"/>
              </w:rPr>
              <w:t>工厂压榨车间2023/2024</w:t>
            </w:r>
            <w:r>
              <w:rPr>
                <w:rFonts w:hint="eastAsia" w:ascii="仿宋" w:hAnsi="仿宋" w:eastAsia="仿宋"/>
                <w:snapToGrid w:val="0"/>
                <w:sz w:val="24"/>
                <w:szCs w:val="24"/>
                <w:lang w:val="en-US" w:eastAsia="zh-CN"/>
              </w:rPr>
              <w:t>年</w:t>
            </w:r>
            <w:r>
              <w:rPr>
                <w:rFonts w:hint="eastAsia" w:ascii="仿宋" w:hAnsi="仿宋" w:eastAsia="仿宋"/>
                <w:snapToGrid w:val="0"/>
                <w:sz w:val="24"/>
                <w:szCs w:val="24"/>
                <w:lang w:eastAsia="zh-CN"/>
              </w:rPr>
              <w:t>榨季蔗场外包劳务服务</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压榨车间蔗场清洁、散蔗清理、蔗带清理、甘蔗挂钩、吊蔗钢丝绳管理等工作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numPr>
                <w:ilvl w:val="0"/>
                <w:numId w:val="13"/>
              </w:numPr>
              <w:spacing w:line="300" w:lineRule="exact"/>
              <w:rPr>
                <w:rFonts w:hint="eastAsia" w:ascii="仿宋_GB2312" w:eastAsia="仿宋_GB2312"/>
                <w:sz w:val="21"/>
                <w:szCs w:val="21"/>
                <w:lang w:eastAsia="zh-CN"/>
              </w:rPr>
            </w:pPr>
            <w:r>
              <w:rPr>
                <w:rFonts w:hint="eastAsia" w:ascii="仿宋_GB2312" w:eastAsia="仿宋_GB2312"/>
                <w:sz w:val="21"/>
                <w:szCs w:val="21"/>
                <w:lang w:val="en-US" w:eastAsia="zh-CN"/>
              </w:rPr>
              <w:t>说明：</w:t>
            </w:r>
            <w:r>
              <w:rPr>
                <w:rFonts w:hint="eastAsia" w:ascii="仿宋_GB2312" w:eastAsia="仿宋_GB2312"/>
                <w:sz w:val="21"/>
                <w:szCs w:val="21"/>
                <w:lang w:eastAsia="zh-CN"/>
              </w:rPr>
              <w:t>劳务人数：</w:t>
            </w:r>
            <w:r>
              <w:rPr>
                <w:rFonts w:hint="eastAsia" w:ascii="仿宋_GB2312" w:eastAsia="仿宋_GB2312"/>
                <w:sz w:val="21"/>
                <w:szCs w:val="21"/>
                <w:lang w:val="en-US" w:eastAsia="zh-CN"/>
              </w:rPr>
              <w:t>X</w:t>
            </w:r>
            <w:r>
              <w:rPr>
                <w:rFonts w:hint="eastAsia" w:ascii="仿宋_GB2312" w:eastAsia="仿宋_GB2312"/>
                <w:sz w:val="21"/>
                <w:szCs w:val="21"/>
                <w:lang w:eastAsia="zh-CN"/>
              </w:rPr>
              <w:t>人（其中：蔗场现场负责人（</w:t>
            </w:r>
            <w:r>
              <w:rPr>
                <w:rFonts w:hint="eastAsia" w:ascii="仿宋_GB2312" w:eastAsia="仿宋_GB2312"/>
                <w:sz w:val="21"/>
                <w:szCs w:val="21"/>
                <w:lang w:val="en-US" w:eastAsia="zh-CN"/>
              </w:rPr>
              <w:t>男性</w:t>
            </w:r>
            <w:r>
              <w:rPr>
                <w:rFonts w:hint="eastAsia" w:ascii="仿宋_GB2312" w:eastAsia="仿宋_GB2312"/>
                <w:sz w:val="21"/>
                <w:szCs w:val="21"/>
                <w:lang w:eastAsia="zh-CN"/>
              </w:rPr>
              <w:t>）</w:t>
            </w:r>
            <w:r>
              <w:rPr>
                <w:rFonts w:hint="eastAsia" w:ascii="仿宋_GB2312" w:eastAsia="仿宋_GB2312"/>
                <w:sz w:val="21"/>
                <w:szCs w:val="21"/>
                <w:lang w:val="en-US" w:eastAsia="zh-CN"/>
              </w:rPr>
              <w:t>X</w:t>
            </w:r>
            <w:r>
              <w:rPr>
                <w:rFonts w:hint="eastAsia" w:ascii="仿宋_GB2312" w:eastAsia="仿宋_GB2312"/>
                <w:sz w:val="21"/>
                <w:szCs w:val="21"/>
                <w:lang w:eastAsia="zh-CN"/>
              </w:rPr>
              <w:t>人：对当班蔗场岗位工作进行全面管理，并按照公司或车间的其他工作安排，及时做好布置与执行。兼职挂钩工作。</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蔗场挂钩工</w:t>
            </w:r>
            <w:r>
              <w:rPr>
                <w:rFonts w:hint="eastAsia" w:ascii="仿宋_GB2312" w:eastAsia="仿宋_GB2312"/>
                <w:sz w:val="21"/>
                <w:szCs w:val="21"/>
                <w:lang w:val="en-US" w:eastAsia="zh-CN"/>
              </w:rPr>
              <w:t>X</w:t>
            </w:r>
            <w:r>
              <w:rPr>
                <w:rFonts w:hint="eastAsia" w:ascii="仿宋_GB2312" w:eastAsia="仿宋_GB2312"/>
                <w:sz w:val="21"/>
                <w:szCs w:val="21"/>
                <w:lang w:eastAsia="zh-CN"/>
              </w:rPr>
              <w:t>人（</w:t>
            </w:r>
            <w:r>
              <w:rPr>
                <w:rFonts w:hint="eastAsia" w:ascii="仿宋_GB2312" w:eastAsia="仿宋_GB2312"/>
                <w:sz w:val="21"/>
                <w:szCs w:val="21"/>
                <w:lang w:val="en-US" w:eastAsia="zh-CN"/>
              </w:rPr>
              <w:t>男性</w:t>
            </w:r>
            <w:r>
              <w:rPr>
                <w:rFonts w:hint="eastAsia" w:ascii="仿宋_GB2312" w:eastAsia="仿宋_GB2312"/>
                <w:sz w:val="21"/>
                <w:szCs w:val="21"/>
                <w:lang w:eastAsia="zh-CN"/>
              </w:rPr>
              <w:t>）：主要负责运蔗车及堆码甘蔗钢丝绳的挂、脱钩。负责称喂蔗台机体及地面的掉落散蔗清理及卫生清扫，蔗场卫生清扫及撒石灰粉消毒等。负责蔗场蔗叠、翻堆工作，蔗刀口喷石灰石消毒工作等。负责喂蔗口甘蔗理顺，杂物清理（如木杆、竹片、石块等）。吊蔗钢丝绳管理。服从车间的其他工作安排。</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输蔗机清洁工</w:t>
            </w:r>
            <w:r>
              <w:rPr>
                <w:rFonts w:hint="eastAsia" w:ascii="仿宋_GB2312" w:eastAsia="仿宋_GB2312"/>
                <w:sz w:val="21"/>
                <w:szCs w:val="21"/>
                <w:lang w:val="en-US" w:eastAsia="zh-CN"/>
              </w:rPr>
              <w:t>X人（男性）：</w:t>
            </w:r>
            <w:r>
              <w:rPr>
                <w:rFonts w:hint="eastAsia" w:ascii="仿宋_GB2312" w:eastAsia="仿宋_GB2312"/>
                <w:sz w:val="21"/>
                <w:szCs w:val="21"/>
                <w:lang w:eastAsia="zh-CN"/>
              </w:rPr>
              <w:t>负责称喂蔗台机体及地面的掉落散蔗清理及卫生清扫，蔗场卫生清扫及撒石灰粉消毒等。负责1#、2#输蔗机槽底清洁及1#、2#输蔗机的日常消毒、杀菌工作。服从车间的其他工作安排。</w:t>
            </w:r>
          </w:p>
          <w:p>
            <w:pPr>
              <w:numPr>
                <w:ilvl w:val="0"/>
                <w:numId w:val="0"/>
              </w:numPr>
              <w:spacing w:line="300" w:lineRule="exact"/>
              <w:ind w:leftChars="0"/>
              <w:rPr>
                <w:rFonts w:hint="default" w:ascii="仿宋" w:hAnsi="仿宋" w:eastAsia="仿宋"/>
                <w:sz w:val="24"/>
                <w:szCs w:val="24"/>
                <w:vertAlign w:val="baseline"/>
                <w:lang w:val="en-US" w:eastAsia="zh-CN"/>
              </w:rPr>
            </w:pPr>
            <w:r>
              <w:rPr>
                <w:rFonts w:hint="eastAsia" w:ascii="仿宋_GB2312" w:eastAsia="仿宋_GB2312"/>
                <w:sz w:val="21"/>
                <w:szCs w:val="21"/>
                <w:lang w:val="en-US" w:eastAsia="zh-CN"/>
              </w:rPr>
              <w:t>4、</w:t>
            </w:r>
            <w:r>
              <w:rPr>
                <w:rFonts w:hint="eastAsia" w:ascii="仿宋_GB2312" w:eastAsia="仿宋_GB2312"/>
                <w:sz w:val="21"/>
                <w:szCs w:val="21"/>
                <w:lang w:eastAsia="zh-CN"/>
              </w:rPr>
              <w:t>落蔗工</w:t>
            </w:r>
            <w:r>
              <w:rPr>
                <w:rFonts w:hint="eastAsia" w:ascii="仿宋_GB2312" w:eastAsia="仿宋_GB2312"/>
                <w:sz w:val="21"/>
                <w:szCs w:val="21"/>
                <w:lang w:val="en-US" w:eastAsia="zh-CN"/>
              </w:rPr>
              <w:t>X人（不限）：</w:t>
            </w:r>
            <w:r>
              <w:rPr>
                <w:rFonts w:hint="eastAsia" w:ascii="仿宋_GB2312" w:eastAsia="仿宋_GB2312"/>
                <w:sz w:val="21"/>
                <w:szCs w:val="21"/>
                <w:lang w:eastAsia="zh-CN"/>
              </w:rPr>
              <w:t>负责压榨车间蔗场落蔗、蔗场清理及现场清扫卫生。服从车间的其他工作安排。</w:t>
            </w:r>
          </w:p>
        </w:tc>
      </w:tr>
    </w:tbl>
    <w:p>
      <w:pPr>
        <w:spacing w:line="360" w:lineRule="auto"/>
        <w:rPr>
          <w:rFonts w:ascii="楷体_GB2312" w:hAnsi="仿宋" w:eastAsia="楷体_GB2312"/>
          <w:color w:val="FF0000"/>
          <w:sz w:val="28"/>
          <w:szCs w:val="28"/>
          <w:lang w:eastAsia="zh-CN"/>
        </w:rPr>
      </w:pPr>
      <w:r>
        <w:rPr>
          <w:rFonts w:hint="eastAsia" w:ascii="楷体_GB2312" w:hAnsi="仿宋" w:eastAsia="楷体_GB2312"/>
          <w:color w:val="FF0000"/>
          <w:sz w:val="28"/>
          <w:szCs w:val="28"/>
          <w:lang w:eastAsia="zh-CN"/>
        </w:rPr>
        <w:t>（注：人员必须身体健康，并要求女性年龄18-49周岁，男性年龄在18-59周岁的中国籍合法公民或合法外籍工人。）</w:t>
      </w:r>
    </w:p>
    <w:p>
      <w:pPr>
        <w:spacing w:line="360" w:lineRule="auto"/>
        <w:rPr>
          <w:rFonts w:ascii="仿宋" w:hAnsi="仿宋" w:eastAsia="仿宋"/>
          <w:color w:val="FF0000"/>
          <w:sz w:val="21"/>
          <w:szCs w:val="21"/>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第二条：合同周期</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合同周期：</w:t>
      </w:r>
      <w:r>
        <w:rPr>
          <w:rFonts w:ascii="仿宋" w:hAnsi="仿宋" w:eastAsia="仿宋"/>
          <w:sz w:val="24"/>
          <w:szCs w:val="24"/>
          <w:lang w:eastAsia="zh-CN"/>
        </w:rPr>
        <w:t xml:space="preserve"> </w:t>
      </w:r>
      <w:r>
        <w:rPr>
          <w:rFonts w:hint="eastAsia" w:ascii="仿宋" w:hAnsi="仿宋" w:eastAsia="仿宋"/>
          <w:snapToGrid w:val="0"/>
          <w:sz w:val="24"/>
          <w:szCs w:val="24"/>
          <w:lang w:eastAsia="zh-CN"/>
        </w:rPr>
        <w:t>2023/2024榨季接到甲方通知到厂之日起至榨季结束为止（具体时间以甲方通知为准）</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第三条：结算方式</w:t>
      </w:r>
    </w:p>
    <w:p>
      <w:pPr>
        <w:numPr>
          <w:ilvl w:val="0"/>
          <w:numId w:val="14"/>
        </w:numPr>
        <w:spacing w:line="420" w:lineRule="exact"/>
        <w:ind w:firstLine="360" w:firstLineChars="150"/>
        <w:rPr>
          <w:rFonts w:ascii="仿宋" w:hAnsi="仿宋" w:eastAsia="仿宋"/>
          <w:sz w:val="24"/>
          <w:szCs w:val="24"/>
          <w:lang w:eastAsia="zh-CN"/>
        </w:rPr>
      </w:pPr>
      <w:r>
        <w:rPr>
          <w:rFonts w:hint="eastAsia" w:ascii="仿宋" w:hAnsi="仿宋" w:eastAsia="仿宋"/>
          <w:sz w:val="24"/>
          <w:szCs w:val="24"/>
          <w:lang w:eastAsia="zh-CN"/>
        </w:rPr>
        <w:t>结算付款方式</w:t>
      </w:r>
    </w:p>
    <w:p>
      <w:pPr>
        <w:pStyle w:val="37"/>
        <w:numPr>
          <w:ilvl w:val="0"/>
          <w:numId w:val="15"/>
        </w:numPr>
        <w:spacing w:line="500" w:lineRule="exact"/>
        <w:rPr>
          <w:rFonts w:ascii="仿宋" w:hAnsi="仿宋" w:eastAsia="仿宋"/>
          <w:snapToGrid w:val="0"/>
          <w:sz w:val="24"/>
          <w:szCs w:val="24"/>
          <w:lang w:eastAsia="zh-CN"/>
        </w:rPr>
      </w:pPr>
      <w:r>
        <w:rPr>
          <w:rFonts w:hint="eastAsia" w:ascii="仿宋" w:hAnsi="仿宋" w:eastAsia="仿宋"/>
          <w:snapToGrid w:val="0"/>
          <w:sz w:val="24"/>
          <w:szCs w:val="24"/>
          <w:lang w:eastAsia="zh-CN"/>
        </w:rPr>
        <w:t>（1）劳务费用的结算方式按甲、乙双方商定的日劳务费价格进行结算（以甲方生产数据为准），甲方每月15日前将根据乙方出勤情况进行上一个月的劳务费用结算，产生的其它费用一起结清并汇入乙方指定的银行账号。</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（2）榨季结束后的15个工作日内，甲方根据乙方借、领用物资的退还情况及未结清的费用情况进行补足或扣除，与乙方全部结清余款，并退还相应保证金。</w:t>
      </w:r>
    </w:p>
    <w:p>
      <w:pPr>
        <w:spacing w:line="360"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（3）费用均含税，由乙方到税务部门开具有效税务发票后到甲方财务部门凭票结算。</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2、合同签订后，乙方向甲方提交履约保证</w:t>
      </w:r>
      <w:r>
        <w:rPr>
          <w:rFonts w:hint="eastAsia" w:ascii="仿宋" w:hAnsi="仿宋" w:eastAsia="仿宋"/>
          <w:color w:val="FF0000"/>
          <w:sz w:val="24"/>
          <w:szCs w:val="24"/>
          <w:lang w:eastAsia="zh-CN"/>
        </w:rPr>
        <w:t xml:space="preserve">金 </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 xml:space="preserve">万人民币。如出现扣款,乙方需保证当月结账日前合同履约保证金不低于 </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 xml:space="preserve">万元,若履约保证金低于 </w:t>
      </w:r>
      <w:r>
        <w:rPr>
          <w:rFonts w:ascii="仿宋" w:hAnsi="仿宋" w:eastAsia="仿宋"/>
          <w:color w:val="FF0000"/>
          <w:sz w:val="24"/>
          <w:szCs w:val="24"/>
          <w:lang w:eastAsia="zh-CN"/>
        </w:rPr>
        <w:t>0.</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eastAsia="zh-CN"/>
        </w:rPr>
        <w:t>万,甲方有权解除合同.</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合同履约保证金于合同履约完毕后退回.(不含合同履约保证金所产生的利息)</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第四条：甲方权利和义务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、有权派代表监督管理，验收乙方作业情况。</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、有权利要求乙方保证质量，准时完成作业任务。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、有权利要乙方对不符合作业的人员进行管理和更换。</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、及时通知乙方作业地点及时间。</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、监管劳务人员，督促乙方及时完成作业任务。</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、对不符合要求的作业，甲方发现应及时告知乙方。</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、按时结算支付劳务费。</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第五条、乙方权利义务</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（一）权利</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、有权要求甲方提供准确的作业任务、时间、地点信息。</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、有权利要求甲方提供安全防范措施及安全教育。</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、有权利要求甲方及时支付劳务费用。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（二）义务</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1</w:t>
      </w:r>
      <w:r>
        <w:rPr>
          <w:rFonts w:hint="eastAsia" w:ascii="仿宋" w:hAnsi="仿宋" w:eastAsia="仿宋"/>
          <w:sz w:val="24"/>
          <w:szCs w:val="24"/>
          <w:lang w:eastAsia="zh-CN"/>
        </w:rPr>
        <w:t>、乙方作业人员进入甲方工作区域须统一着装并按甲方要求办理出入证，乙方对作业人员进行培训，工作人员应待人礼貌，尊敬甲方人员及客户。乙方作业人员名单交甲方备案。</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、乙方工作任务以保证甲方正常生产经营需要为前提，临时性工作任务乙方须按甲方要求及时完成；对于甲方要求整改或完善的工作，乙方应按照要求立即整改，并达到甲方要求。</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、乙方需配备专职管理人员,现场辅助甲方各项业务的开展。</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.1</w:t>
      </w:r>
      <w:r>
        <w:rPr>
          <w:rFonts w:hint="eastAsia" w:ascii="仿宋" w:hAnsi="仿宋" w:eastAsia="仿宋"/>
          <w:sz w:val="24"/>
          <w:szCs w:val="24"/>
          <w:lang w:eastAsia="zh-CN"/>
        </w:rPr>
        <w:t>现场劳务人员的安全作业、工作纪律管理;</w:t>
      </w:r>
    </w:p>
    <w:p>
      <w:pPr>
        <w:spacing w:line="360" w:lineRule="auto"/>
        <w:rPr>
          <w:rFonts w:ascii="仿宋" w:hAnsi="仿宋" w:eastAsia="仿宋"/>
          <w:sz w:val="24"/>
          <w:szCs w:val="24"/>
          <w:lang w:eastAsia="zh-CN"/>
        </w:rPr>
      </w:pPr>
      <w:r>
        <w:rPr>
          <w:rFonts w:ascii="仿宋" w:hAnsi="仿宋" w:eastAsia="仿宋"/>
          <w:sz w:val="24"/>
          <w:szCs w:val="24"/>
          <w:lang w:eastAsia="zh-CN"/>
        </w:rPr>
        <w:t>3.2</w:t>
      </w:r>
      <w:r>
        <w:rPr>
          <w:rFonts w:hint="eastAsia" w:ascii="仿宋" w:hAnsi="仿宋" w:eastAsia="仿宋"/>
          <w:sz w:val="24"/>
          <w:szCs w:val="24"/>
          <w:lang w:eastAsia="zh-CN"/>
        </w:rPr>
        <w:t>组织其它临时性作业活动;</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3根据实际情况</w:t>
      </w:r>
      <w:r>
        <w:rPr>
          <w:rFonts w:hint="eastAsia" w:ascii="仿宋" w:hAnsi="仿宋" w:eastAsia="仿宋"/>
          <w:sz w:val="24"/>
          <w:szCs w:val="24"/>
          <w:lang w:eastAsia="zh-CN"/>
        </w:rPr>
        <w:t>遵循甲方现场管理人员要求从事各项临时辅助</w:t>
      </w:r>
      <w:r>
        <w:rPr>
          <w:rFonts w:ascii="仿宋" w:hAnsi="仿宋" w:eastAsia="仿宋"/>
          <w:sz w:val="24"/>
          <w:szCs w:val="24"/>
          <w:lang w:eastAsia="zh-CN"/>
        </w:rPr>
        <w:t>工作</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该人员在岗期间须全程在厂区各业务现场巡视并保持</w:t>
      </w:r>
      <w:r>
        <w:rPr>
          <w:rFonts w:hint="eastAsia" w:ascii="仿宋" w:hAnsi="仿宋" w:eastAsia="仿宋"/>
          <w:sz w:val="24"/>
          <w:szCs w:val="24"/>
          <w:lang w:eastAsia="zh-CN"/>
        </w:rPr>
        <w:t>电话畅通。</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、乙方必须确保进厂作业人员经岗前体检，满足相关工作要求，作业人员总量保持稳定。</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、乙方必须树立良好环保意识，坚持文明作业，做好甲方环境保护、劳动保护和安全生产。</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、乙方负责为作业人员缴纳国家规定的应交的各种薪津、保险等费用。</w:t>
      </w:r>
    </w:p>
    <w:p>
      <w:pPr>
        <w:spacing w:line="440" w:lineRule="exact"/>
        <w:rPr>
          <w:rFonts w:hint="eastAsia"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w:t>
      </w:r>
      <w:r>
        <w:rPr>
          <w:rFonts w:hint="eastAsia" w:ascii="仿宋" w:hAnsi="仿宋" w:eastAsia="仿宋" w:cs="宋体"/>
          <w:sz w:val="24"/>
          <w:szCs w:val="24"/>
          <w:lang w:eastAsia="zh-CN"/>
        </w:rPr>
        <w:t>乙方必须为所有现场施工人员购买工伤保险或雇主责任保险（保额100万元以上）并提供入场人员健康体检报告, 并自负一切安全问题责任。</w:t>
      </w:r>
      <w:r>
        <w:rPr>
          <w:rFonts w:hint="eastAsia" w:ascii="仿宋" w:hAnsi="仿宋" w:eastAsia="仿宋"/>
          <w:sz w:val="24"/>
          <w:szCs w:val="24"/>
          <w:lang w:eastAsia="zh-CN"/>
        </w:rPr>
        <w:t>乙方工作人员在甲方工厂劳务时如发生工伤事故，由乙方或相关第三人承担责任。</w:t>
      </w:r>
    </w:p>
    <w:p>
      <w:pPr>
        <w:spacing w:line="440" w:lineRule="exact"/>
        <w:rPr>
          <w:rFonts w:ascii="仿宋" w:hAnsi="仿宋" w:eastAsia="仿宋"/>
          <w:sz w:val="24"/>
          <w:szCs w:val="24"/>
          <w:lang w:eastAsia="zh-CN"/>
        </w:rPr>
      </w:pPr>
      <w:r>
        <w:rPr>
          <w:rFonts w:hint="eastAsia" w:ascii="仿宋" w:hAnsi="仿宋" w:eastAsia="仿宋"/>
          <w:sz w:val="24"/>
          <w:szCs w:val="24"/>
          <w:lang w:eastAsia="zh-CN"/>
        </w:rPr>
        <w:t>第六条、安全管理规定</w:t>
      </w:r>
    </w:p>
    <w:p>
      <w:pPr>
        <w:spacing w:line="500" w:lineRule="exact"/>
        <w:rPr>
          <w:rFonts w:ascii="仿宋_GB2312" w:hAnsi="仿宋_GB2312" w:eastAsia="仿宋_GB2312" w:cs="仿宋_GB2312"/>
          <w:sz w:val="32"/>
          <w:szCs w:val="32"/>
          <w:lang w:eastAsia="zh-CN"/>
        </w:rPr>
      </w:pPr>
      <w:r>
        <w:rPr>
          <w:rFonts w:ascii="仿宋" w:hAnsi="仿宋" w:eastAsia="仿宋"/>
          <w:sz w:val="24"/>
          <w:szCs w:val="24"/>
          <w:lang w:eastAsia="zh-CN"/>
        </w:rPr>
        <w:t>1</w:t>
      </w:r>
      <w:r>
        <w:rPr>
          <w:rFonts w:hint="eastAsia" w:ascii="仿宋" w:hAnsi="仿宋" w:eastAsia="仿宋"/>
          <w:sz w:val="24"/>
          <w:szCs w:val="24"/>
          <w:lang w:eastAsia="zh-CN"/>
        </w:rPr>
        <w:t>、乙方工人上岗前及工作中，不允许饮酒，发现一次，甲方有权停止该工作人员的工作，</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 xml:space="preserve"> 2</w:t>
      </w:r>
      <w:r>
        <w:rPr>
          <w:rFonts w:hint="eastAsia" w:ascii="仿宋" w:hAnsi="仿宋" w:eastAsia="仿宋"/>
          <w:sz w:val="24"/>
          <w:szCs w:val="24"/>
          <w:lang w:eastAsia="zh-CN"/>
        </w:rPr>
        <w:t>、甲方工厂内除特定吸烟点外全厂禁烟，乙方工人进入厂区后，不允许流动吸烟，检查发现</w:t>
      </w:r>
      <w:r>
        <w:rPr>
          <w:rFonts w:hint="eastAsia" w:ascii="仿宋" w:hAnsi="仿宋" w:eastAsia="仿宋"/>
          <w:sz w:val="24"/>
          <w:szCs w:val="24"/>
          <w:highlight w:val="yellow"/>
          <w:lang w:eastAsia="zh-CN"/>
        </w:rPr>
        <w:t>扣减乙方费用</w:t>
      </w:r>
      <w:r>
        <w:rPr>
          <w:rFonts w:ascii="仿宋" w:hAnsi="仿宋" w:eastAsia="仿宋"/>
          <w:sz w:val="24"/>
          <w:szCs w:val="24"/>
          <w:highlight w:val="yellow"/>
          <w:lang w:eastAsia="zh-CN"/>
        </w:rPr>
        <w:t>1</w:t>
      </w:r>
      <w:r>
        <w:rPr>
          <w:rFonts w:hint="eastAsia" w:ascii="仿宋" w:hAnsi="仿宋" w:eastAsia="仿宋"/>
          <w:sz w:val="24"/>
          <w:szCs w:val="24"/>
          <w:highlight w:val="yellow"/>
          <w:lang w:eastAsia="zh-CN"/>
        </w:rPr>
        <w:t>00元/次</w:t>
      </w:r>
      <w:r>
        <w:rPr>
          <w:rFonts w:hint="eastAsia" w:ascii="仿宋" w:hAnsi="仿宋" w:eastAsia="仿宋"/>
          <w:sz w:val="24"/>
          <w:szCs w:val="24"/>
          <w:lang w:eastAsia="zh-CN"/>
        </w:rPr>
        <w:t>。</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、乙方工人进入工作区域后不得违规操作，登高作业、动火作业按甲方安全部门要求办理相应手续。</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、作业前对作业环境及设备进行安全评估，确保无安全隐患或具备有效防范措施后方可作业。</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5、乙方工人上下蔗码垛时使用安全扶梯，</w:t>
      </w:r>
      <w:r>
        <w:rPr>
          <w:rFonts w:hint="eastAsia" w:ascii="仿宋" w:hAnsi="仿宋" w:eastAsia="仿宋"/>
          <w:color w:val="FF0000"/>
          <w:sz w:val="24"/>
          <w:szCs w:val="24"/>
          <w:lang w:eastAsia="zh-CN"/>
        </w:rPr>
        <w:t>蔗码垛四周必须放置防坠落垫等安全防护措施</w:t>
      </w:r>
      <w:r>
        <w:rPr>
          <w:rFonts w:hint="eastAsia" w:ascii="仿宋" w:hAnsi="仿宋" w:eastAsia="仿宋"/>
          <w:sz w:val="24"/>
          <w:szCs w:val="24"/>
          <w:lang w:eastAsia="zh-CN"/>
        </w:rPr>
        <w:t>，严禁在蔗码垛位上或蔗码垛位周边休息或逗留。</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6、</w:t>
      </w:r>
      <w:r>
        <w:rPr>
          <w:rFonts w:hint="eastAsia" w:ascii="仿宋" w:hAnsi="仿宋" w:eastAsia="仿宋"/>
          <w:sz w:val="24"/>
          <w:szCs w:val="24"/>
          <w:highlight w:val="yellow"/>
          <w:lang w:eastAsia="zh-CN"/>
        </w:rPr>
        <w:t>为保护甲方的社会声誉，乙方人员严禁向司机及蔗主索要钱、物，一经发现，扣减乙方费用200-1000元/次。</w:t>
      </w:r>
    </w:p>
    <w:p>
      <w:pPr>
        <w:spacing w:line="500" w:lineRule="exact"/>
        <w:rPr>
          <w:rFonts w:ascii="仿宋" w:hAnsi="仿宋" w:eastAsia="仿宋"/>
          <w:sz w:val="24"/>
          <w:szCs w:val="24"/>
          <w:highlight w:val="yellow"/>
          <w:lang w:eastAsia="zh-CN"/>
        </w:rPr>
      </w:pPr>
      <w:r>
        <w:rPr>
          <w:rFonts w:hint="eastAsia" w:ascii="仿宋" w:hAnsi="仿宋" w:eastAsia="仿宋"/>
          <w:sz w:val="24"/>
          <w:szCs w:val="24"/>
          <w:lang w:eastAsia="zh-CN"/>
        </w:rPr>
        <w:t>7、</w:t>
      </w:r>
      <w:r>
        <w:rPr>
          <w:rFonts w:hint="eastAsia" w:ascii="仿宋" w:hAnsi="仿宋" w:eastAsia="仿宋"/>
          <w:sz w:val="24"/>
          <w:szCs w:val="24"/>
          <w:highlight w:val="yellow"/>
          <w:lang w:eastAsia="zh-CN"/>
        </w:rPr>
        <w:t>任何人员严禁偷吃原料蔗，一经发现，扣减乙方费用200元/次。</w:t>
      </w:r>
    </w:p>
    <w:p>
      <w:pPr>
        <w:spacing w:line="360" w:lineRule="auto"/>
        <w:rPr>
          <w:rFonts w:ascii="仿宋" w:hAnsi="仿宋" w:eastAsia="仿宋"/>
          <w:sz w:val="24"/>
          <w:szCs w:val="24"/>
          <w:highlight w:val="yellow"/>
          <w:lang w:eastAsia="zh-CN"/>
        </w:rPr>
      </w:pPr>
      <w:r>
        <w:rPr>
          <w:rFonts w:hint="eastAsia" w:ascii="仿宋" w:hAnsi="仿宋" w:eastAsia="仿宋"/>
          <w:sz w:val="24"/>
          <w:szCs w:val="24"/>
          <w:lang w:eastAsia="zh-CN"/>
        </w:rPr>
        <w:t>8、</w:t>
      </w:r>
      <w:r>
        <w:rPr>
          <w:rFonts w:hint="eastAsia" w:ascii="仿宋" w:hAnsi="仿宋" w:eastAsia="仿宋"/>
          <w:sz w:val="24"/>
          <w:szCs w:val="24"/>
          <w:highlight w:val="yellow"/>
          <w:lang w:eastAsia="zh-CN"/>
        </w:rPr>
        <w:t>因乙方作业人员与司机、蔗农发生的纠纷，由乙方负责解释和解决，如乙方无法解释和解决的甲方配合协调，但责任在乙方。</w:t>
      </w:r>
    </w:p>
    <w:p>
      <w:pPr>
        <w:spacing w:line="360" w:lineRule="auto"/>
        <w:rPr>
          <w:rFonts w:ascii="仿宋" w:hAnsi="仿宋" w:eastAsia="仿宋"/>
          <w:sz w:val="24"/>
          <w:szCs w:val="24"/>
          <w:highlight w:val="yellow"/>
          <w:lang w:eastAsia="zh-CN"/>
        </w:rPr>
      </w:pPr>
      <w:r>
        <w:rPr>
          <w:rFonts w:hint="eastAsia" w:ascii="仿宋" w:hAnsi="仿宋" w:eastAsia="仿宋"/>
          <w:sz w:val="24"/>
          <w:szCs w:val="24"/>
          <w:lang w:eastAsia="zh-CN"/>
        </w:rPr>
        <w:t>9、</w:t>
      </w:r>
      <w:r>
        <w:rPr>
          <w:rFonts w:hint="eastAsia" w:ascii="仿宋" w:hAnsi="仿宋" w:eastAsia="仿宋"/>
          <w:sz w:val="24"/>
          <w:szCs w:val="24"/>
          <w:highlight w:val="yellow"/>
          <w:lang w:eastAsia="zh-CN"/>
        </w:rPr>
        <w:t>乙方人员严禁将垃圾、灰尘、泥巴、石头等杂物铲到输蔗机链板上，一经发现，每次扣款100元，造成严重设备事故的，召开分析会追究责任。</w:t>
      </w:r>
    </w:p>
    <w:p>
      <w:pPr>
        <w:spacing w:line="360" w:lineRule="auto"/>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、甲乙双方需另签订《安全管理协议书》后乙方人员方可进厂作业。</w:t>
      </w:r>
    </w:p>
    <w:p>
      <w:pPr>
        <w:spacing w:line="360" w:lineRule="auto"/>
        <w:rPr>
          <w:rFonts w:ascii="仿宋" w:hAnsi="仿宋" w:eastAsia="仿宋"/>
          <w:sz w:val="24"/>
          <w:szCs w:val="24"/>
          <w:lang w:eastAsia="zh-CN"/>
        </w:rPr>
      </w:pPr>
    </w:p>
    <w:p>
      <w:pPr>
        <w:spacing w:line="3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第七条：违约责任</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1、为确甲方榨季正常生产，乙方必须根据采购人的生产需求保证人员正常上班，乙方相关人员在双休日、国家法定节假日、传统节假日上班的加班费用由承包方自理。</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2、现场负责人实行三班倒，与甲方三班倒上班时间一致，上班时间须在蔗场内管理蔗场劳务相关工作。如乙方现场负责人出现缺勤，</w:t>
      </w:r>
      <w:r>
        <w:rPr>
          <w:rFonts w:hint="eastAsia" w:ascii="仿宋" w:hAnsi="仿宋" w:eastAsia="仿宋"/>
          <w:color w:val="FF0000"/>
          <w:sz w:val="24"/>
          <w:szCs w:val="24"/>
          <w:lang w:eastAsia="zh-CN"/>
        </w:rPr>
        <w:t>按</w:t>
      </w:r>
      <w:r>
        <w:rPr>
          <w:rFonts w:ascii="仿宋" w:hAnsi="仿宋" w:eastAsia="仿宋"/>
          <w:color w:val="FF0000"/>
          <w:sz w:val="24"/>
          <w:szCs w:val="24"/>
          <w:lang w:eastAsia="zh-CN"/>
        </w:rPr>
        <w:t>200</w:t>
      </w:r>
      <w:r>
        <w:rPr>
          <w:rFonts w:hint="eastAsia" w:ascii="仿宋" w:hAnsi="仿宋" w:eastAsia="仿宋"/>
          <w:color w:val="FF0000"/>
          <w:sz w:val="24"/>
          <w:szCs w:val="24"/>
          <w:lang w:eastAsia="zh-CN"/>
        </w:rPr>
        <w:t>元/人</w:t>
      </w:r>
      <w:r>
        <w:rPr>
          <w:rFonts w:hint="eastAsia" w:ascii="仿宋" w:hAnsi="仿宋" w:eastAsia="仿宋"/>
          <w:sz w:val="24"/>
          <w:szCs w:val="24"/>
          <w:lang w:eastAsia="zh-CN"/>
        </w:rPr>
        <w:t>·班扣减乙方当月劳务费用。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3、如乙方的人员不能满足生产需求，需甲方协调组织人员完成工作时，根据乙方组织的实际人数按</w:t>
      </w:r>
      <w:r>
        <w:rPr>
          <w:rFonts w:ascii="仿宋" w:hAnsi="仿宋" w:eastAsia="仿宋"/>
          <w:color w:val="FF0000"/>
          <w:sz w:val="24"/>
          <w:szCs w:val="24"/>
          <w:lang w:eastAsia="zh-CN"/>
        </w:rPr>
        <w:t>150</w:t>
      </w:r>
      <w:r>
        <w:rPr>
          <w:rFonts w:hint="eastAsia" w:ascii="仿宋" w:hAnsi="仿宋" w:eastAsia="仿宋"/>
          <w:color w:val="FF0000"/>
          <w:sz w:val="24"/>
          <w:szCs w:val="24"/>
          <w:lang w:eastAsia="zh-CN"/>
        </w:rPr>
        <w:t>元</w:t>
      </w:r>
      <w:r>
        <w:rPr>
          <w:rFonts w:hint="eastAsia" w:ascii="仿宋" w:hAnsi="仿宋" w:eastAsia="仿宋"/>
          <w:sz w:val="24"/>
          <w:szCs w:val="24"/>
          <w:lang w:eastAsia="zh-CN"/>
        </w:rPr>
        <w:t>/人·天扣减中标人当月劳务费用。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4、乙方每班人员出勤情况由甲方当班蔗场组长进行考勤监督，出现缺勤情况，按</w:t>
      </w:r>
      <w:r>
        <w:rPr>
          <w:rFonts w:ascii="仿宋" w:hAnsi="仿宋" w:eastAsia="仿宋"/>
          <w:sz w:val="24"/>
          <w:szCs w:val="24"/>
          <w:lang w:eastAsia="zh-CN"/>
        </w:rPr>
        <w:t>100</w:t>
      </w:r>
      <w:r>
        <w:rPr>
          <w:rFonts w:hint="eastAsia" w:ascii="仿宋" w:hAnsi="仿宋" w:eastAsia="仿宋"/>
          <w:sz w:val="24"/>
          <w:szCs w:val="24"/>
          <w:lang w:eastAsia="zh-CN"/>
        </w:rPr>
        <w:t>元/人·天扣减中标人当月劳务费用。</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5、由于乙方人员不足影响招标人正常生产的，视影响严重程度每次扣乙方当月劳务费200元～1000元/次。</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6、蔗场各班翻、叠堆及清洁交班工作由乙方负责人自行调整人员完成，但需有规范，各班统一。</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乙方劳务人员在厂区作业时,进场作业劳务人员需严格遵循甲方现场管理，若出现不同意见，需向乙方当日管理人员反馈，由乙方管理人员进行沟通调解，禁止出现与现场人员争吵，罢工等现象。若劳务人员出现此现象，第一次给予乙方书面警告通知，第二次取消该劳务人员厂区作业资格，由此产生的作业影响，由乙方承担。</w:t>
      </w:r>
    </w:p>
    <w:p>
      <w:pPr>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8、乙方劳务人员在厂区作业时,须严格遵守甲方规章制度、安全操作规程，对于违规情况，对乙方责任人每次处于2</w:t>
      </w:r>
      <w:r>
        <w:rPr>
          <w:rFonts w:ascii="仿宋" w:hAnsi="仿宋" w:eastAsia="仿宋"/>
          <w:sz w:val="24"/>
          <w:szCs w:val="24"/>
          <w:lang w:eastAsia="zh-CN"/>
        </w:rPr>
        <w:t>00元罚款</w:t>
      </w:r>
      <w:r>
        <w:rPr>
          <w:rFonts w:hint="eastAsia" w:ascii="仿宋" w:hAnsi="仿宋" w:eastAsia="仿宋"/>
          <w:sz w:val="24"/>
          <w:szCs w:val="24"/>
          <w:lang w:eastAsia="zh-CN"/>
        </w:rPr>
        <w:t>，</w:t>
      </w:r>
      <w:r>
        <w:rPr>
          <w:rFonts w:ascii="仿宋" w:hAnsi="仿宋" w:eastAsia="仿宋"/>
          <w:sz w:val="24"/>
          <w:szCs w:val="24"/>
          <w:lang w:eastAsia="zh-CN"/>
        </w:rPr>
        <w:t>情节严重的</w:t>
      </w:r>
      <w:r>
        <w:rPr>
          <w:rFonts w:hint="eastAsia" w:ascii="仿宋" w:hAnsi="仿宋" w:eastAsia="仿宋"/>
          <w:sz w:val="24"/>
          <w:szCs w:val="24"/>
          <w:lang w:eastAsia="zh-CN"/>
        </w:rPr>
        <w:t>（带烟火、随地大小便、饮酒上岗等）给予5</w:t>
      </w:r>
      <w:r>
        <w:rPr>
          <w:rFonts w:ascii="仿宋" w:hAnsi="仿宋" w:eastAsia="仿宋"/>
          <w:sz w:val="24"/>
          <w:szCs w:val="24"/>
          <w:lang w:eastAsia="zh-CN"/>
        </w:rPr>
        <w:t>00元罚款</w:t>
      </w:r>
      <w:r>
        <w:rPr>
          <w:rFonts w:hint="eastAsia" w:ascii="仿宋" w:hAnsi="仿宋" w:eastAsia="仿宋"/>
          <w:sz w:val="24"/>
          <w:szCs w:val="24"/>
          <w:lang w:eastAsia="zh-CN"/>
        </w:rPr>
        <w:t>。同一年度违反3次以上的人员，永久取消进场作业资格。</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9</w:t>
      </w:r>
      <w:r>
        <w:rPr>
          <w:rFonts w:hint="eastAsia" w:ascii="仿宋" w:hAnsi="仿宋" w:eastAsia="仿宋"/>
          <w:color w:val="FF0000"/>
          <w:sz w:val="24"/>
          <w:szCs w:val="24"/>
          <w:highlight w:val="yellow"/>
          <w:lang w:eastAsia="zh-CN"/>
        </w:rPr>
        <w:t>、 合同履约期间乙方须配备项目负责人（1人）以及专职安全管理人员（至少1人）驻场管理各项事务，上述人员每月出勤时间不低于21日（白班8小时），于每月月初报甲方次月人员出勤计划，出现出勤调整的情况需向甲方报备，</w:t>
      </w:r>
      <w:r>
        <w:rPr>
          <w:rFonts w:hint="eastAsia" w:ascii="仿宋" w:hAnsi="仿宋" w:eastAsia="仿宋"/>
          <w:color w:val="FF0000"/>
          <w:sz w:val="24"/>
          <w:szCs w:val="24"/>
          <w:lang w:eastAsia="zh-CN"/>
        </w:rPr>
        <w:t>于该人员旷工、脱岗、失联、迟到、早退的情况每次对乙方处以</w:t>
      </w:r>
      <w:r>
        <w:rPr>
          <w:rFonts w:ascii="仿宋" w:hAnsi="仿宋" w:eastAsia="仿宋"/>
          <w:color w:val="FF0000"/>
          <w:sz w:val="24"/>
          <w:szCs w:val="24"/>
          <w:highlight w:val="yellow"/>
          <w:lang w:eastAsia="zh-CN"/>
        </w:rPr>
        <w:t>2</w:t>
      </w:r>
      <w:r>
        <w:rPr>
          <w:rFonts w:hint="eastAsia" w:ascii="仿宋" w:hAnsi="仿宋" w:eastAsia="仿宋"/>
          <w:color w:val="FF0000"/>
          <w:sz w:val="24"/>
          <w:szCs w:val="24"/>
          <w:highlight w:val="yellow"/>
          <w:lang w:eastAsia="zh-CN"/>
        </w:rPr>
        <w:t>00元罚</w:t>
      </w:r>
      <w:r>
        <w:rPr>
          <w:rFonts w:hint="eastAsia" w:ascii="仿宋" w:hAnsi="仿宋" w:eastAsia="仿宋"/>
          <w:color w:val="FF0000"/>
          <w:sz w:val="24"/>
          <w:szCs w:val="24"/>
          <w:lang w:eastAsia="zh-CN"/>
        </w:rPr>
        <w:t>款；乙方在厂内有任何劳务作业活动期间，必须配备专职脱产管理人员现场辅助甲方各项业务开展，对于该人员旷工、脱岗、失联、迟到、早退的情况每次对乙方处以</w:t>
      </w:r>
      <w:r>
        <w:rPr>
          <w:rFonts w:hint="eastAsia" w:ascii="仿宋" w:hAnsi="仿宋" w:eastAsia="仿宋"/>
          <w:color w:val="FF0000"/>
          <w:sz w:val="24"/>
          <w:szCs w:val="24"/>
          <w:highlight w:val="yellow"/>
          <w:lang w:eastAsia="zh-CN"/>
        </w:rPr>
        <w:t>500元</w:t>
      </w:r>
      <w:r>
        <w:rPr>
          <w:rFonts w:hint="eastAsia" w:ascii="仿宋" w:hAnsi="仿宋" w:eastAsia="仿宋"/>
          <w:color w:val="FF0000"/>
          <w:sz w:val="24"/>
          <w:szCs w:val="24"/>
          <w:lang w:eastAsia="zh-CN"/>
        </w:rPr>
        <w:t>罚款。</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10、乙方须在接到甲方罚款通知单后，需在当月20日之前缴清罚款，对于拒不缴纳或恶意拖欠的情况，对于延期缴费30日以上的情况，采购人将于当月从履约保证金内双倍扣除。</w:t>
      </w:r>
    </w:p>
    <w:p>
      <w:pPr>
        <w:spacing w:line="360" w:lineRule="auto"/>
        <w:ind w:firstLine="480" w:firstLineChars="200"/>
        <w:rPr>
          <w:rFonts w:ascii="仿宋" w:hAnsi="仿宋" w:eastAsia="仿宋"/>
          <w:color w:val="FF0000"/>
          <w:sz w:val="24"/>
          <w:szCs w:val="24"/>
          <w:lang w:eastAsia="zh-CN"/>
        </w:rPr>
      </w:pPr>
      <w:r>
        <w:rPr>
          <w:rFonts w:hint="eastAsia" w:ascii="仿宋" w:hAnsi="仿宋" w:eastAsia="仿宋"/>
          <w:color w:val="FF0000"/>
          <w:sz w:val="24"/>
          <w:szCs w:val="24"/>
          <w:lang w:eastAsia="zh-CN"/>
        </w:rPr>
        <w:t>11、中标方在作业中如违反梁河糖业有关规定，梁河糖业有权要求中标单位进行赔偿并追究中标单位的违约责任。如中标单位造成货物丢失、短缺或发生盗窃行为，梁河糖业除报公安机关追究中标方当事人的刑事责任外，有权终止合同并有权要求中标单位赔偿损失。上述违约处罚费在乙方须在接到甲方罚款通知单后，需在当月20日之前缴清罚款，对于拒不缴纳或恶意拖欠30日以上的情况，采购人将于当月从履约保证金内双倍扣除。</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第八条、甲方提供设备、设施及损坏赔偿要求</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1</w:t>
      </w:r>
      <w:r>
        <w:rPr>
          <w:rFonts w:hint="eastAsia" w:ascii="仿宋" w:hAnsi="仿宋" w:eastAsia="仿宋"/>
          <w:sz w:val="24"/>
          <w:szCs w:val="24"/>
          <w:lang w:eastAsia="zh-CN"/>
        </w:rPr>
        <w:t>、甲方向乙方免费提供防坠垫来完成挂钩过程中的高空作业防护，乙方劳务人员在移动防坠垫过程中应避免在地面拖拽、拉扯，出现防坠垫外套袋破损的情况时乙方需安排人员在7个工作日内完成修复，对于无法修复或故意拖延的情况，甲方有权对乙方按原价进行罚款（单价以采购清单为准）；</w:t>
      </w:r>
    </w:p>
    <w:p>
      <w:pPr>
        <w:spacing w:line="360" w:lineRule="auto"/>
        <w:ind w:firstLine="480"/>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第九条：其它条款</w:t>
      </w:r>
    </w:p>
    <w:p>
      <w:pPr>
        <w:spacing w:line="360" w:lineRule="auto"/>
        <w:rPr>
          <w:rFonts w:ascii="仿宋" w:hAnsi="仿宋" w:eastAsia="仿宋"/>
          <w:sz w:val="24"/>
          <w:szCs w:val="24"/>
          <w:lang w:eastAsia="zh-CN"/>
        </w:rPr>
      </w:pPr>
      <w:r>
        <w:rPr>
          <w:rFonts w:hint="eastAsia" w:ascii="仿宋" w:hAnsi="仿宋" w:eastAsia="仿宋"/>
          <w:sz w:val="24"/>
          <w:szCs w:val="24"/>
          <w:lang w:eastAsia="zh-CN"/>
        </w:rPr>
        <w:t>1、</w:t>
      </w:r>
      <w:r>
        <w:rPr>
          <w:rFonts w:hint="eastAsia" w:ascii="仿宋" w:hAnsi="仿宋" w:eastAsia="仿宋"/>
          <w:sz w:val="24"/>
          <w:szCs w:val="24"/>
          <w:highlight w:val="yellow"/>
          <w:lang w:eastAsia="zh-CN"/>
        </w:rPr>
        <w:t>乙方工作中所使用到的斗车、铁铲、扫把、砍刀等工器具，由甲方负责购买，乙方在使用过程中要爱护、收管，榨季结束后归还甲方。</w:t>
      </w:r>
    </w:p>
    <w:p>
      <w:pPr>
        <w:spacing w:line="360" w:lineRule="auto"/>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、乙方工作人员人身安全由乙方全权负责管理，因违反采购人安全管理制度等而产生的一切事故由乙方负责。</w:t>
      </w:r>
    </w:p>
    <w:p>
      <w:pPr>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、乙方与其工人产生的一切劳动纠纷由承包方自行负责，与甲方无关。</w:t>
      </w:r>
    </w:p>
    <w:p>
      <w:pPr>
        <w:spacing w:line="360" w:lineRule="auto"/>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、解决合同纠纷的方式：供需双方协商解决，如协商不成，应向甲方所在地法院提起诉讼，律师费等相关费用由违约方承担。</w:t>
      </w:r>
    </w:p>
    <w:p>
      <w:pPr>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、本合同执行期间，双方不得随意变更和解除合同，合同如有未尽事宜，由双方共同协商做出补充规定，补充规定与本合同具有同等法律效力。</w:t>
      </w:r>
    </w:p>
    <w:p>
      <w:pPr>
        <w:spacing w:line="360" w:lineRule="auto"/>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、未经我司书面许可，中标单位不得将本合同项下权利、义务转让给第三人。</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p>
    <w:p>
      <w:pPr>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甲方：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           乙方：                      </w:t>
      </w:r>
      <w:r>
        <w:rPr>
          <w:rFonts w:hint="eastAsia" w:ascii="仿宋" w:hAnsi="仿宋" w:eastAsia="仿宋"/>
          <w:sz w:val="24"/>
          <w:szCs w:val="24"/>
          <w:lang w:eastAsia="zh-CN"/>
        </w:rPr>
        <w:tab/>
      </w:r>
      <w:r>
        <w:rPr>
          <w:rFonts w:hint="eastAsia" w:ascii="仿宋" w:hAnsi="仿宋" w:eastAsia="仿宋"/>
          <w:sz w:val="24"/>
          <w:szCs w:val="24"/>
          <w:lang w:eastAsia="zh-CN"/>
        </w:rPr>
        <w:t xml:space="preserve">                </w:t>
      </w:r>
    </w:p>
    <w:p>
      <w:pPr>
        <w:spacing w:line="360" w:lineRule="auto"/>
        <w:rPr>
          <w:rFonts w:ascii="仿宋" w:hAnsi="仿宋" w:eastAsia="仿宋"/>
          <w:sz w:val="24"/>
          <w:szCs w:val="24"/>
          <w:lang w:eastAsia="zh-CN"/>
        </w:rPr>
      </w:pPr>
    </w:p>
    <w:p>
      <w:pPr>
        <w:spacing w:line="360" w:lineRule="auto"/>
        <w:rPr>
          <w:rFonts w:ascii="仿宋" w:hAnsi="仿宋" w:eastAsia="仿宋"/>
          <w:sz w:val="24"/>
          <w:szCs w:val="24"/>
        </w:rPr>
      </w:pPr>
      <w:r>
        <w:rPr>
          <w:rFonts w:hint="eastAsia" w:ascii="仿宋" w:hAnsi="仿宋" w:eastAsia="仿宋"/>
          <w:sz w:val="24"/>
          <w:szCs w:val="24"/>
        </w:rPr>
        <w:t>甲方代表：                            乙方代表：</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r>
        <w:rPr>
          <w:rFonts w:hint="eastAsia" w:ascii="仿宋" w:hAnsi="仿宋" w:eastAsia="仿宋"/>
          <w:sz w:val="24"/>
          <w:szCs w:val="24"/>
        </w:rPr>
        <w:t xml:space="preserve">        日期：</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年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月 </w:t>
      </w:r>
      <w:r>
        <w:rPr>
          <w:rFonts w:hint="eastAsia" w:ascii="仿宋" w:hAnsi="仿宋" w:eastAsia="仿宋"/>
          <w:sz w:val="24"/>
          <w:szCs w:val="24"/>
          <w:u w:val="single"/>
          <w:lang w:eastAsia="zh-CN"/>
        </w:rPr>
        <w:t xml:space="preserve">   </w:t>
      </w:r>
      <w:r>
        <w:rPr>
          <w:rFonts w:hint="eastAsia" w:ascii="仿宋" w:hAnsi="仿宋" w:eastAsia="仿宋"/>
          <w:sz w:val="24"/>
          <w:szCs w:val="24"/>
        </w:rPr>
        <w:t xml:space="preserve"> 日</w:t>
      </w:r>
      <w:r>
        <w:rPr>
          <w:rFonts w:hint="eastAsia" w:ascii="仿宋" w:hAnsi="仿宋" w:eastAsia="仿宋"/>
          <w:sz w:val="24"/>
          <w:szCs w:val="24"/>
        </w:rPr>
        <w:tab/>
      </w:r>
    </w:p>
    <w:p>
      <w:pPr>
        <w:spacing w:line="360" w:lineRule="auto"/>
        <w:rPr>
          <w:rFonts w:hint="eastAsia" w:ascii="仿宋" w:hAnsi="仿宋" w:eastAsia="仿宋"/>
          <w:sz w:val="24"/>
          <w:szCs w:val="24"/>
        </w:rPr>
      </w:pPr>
      <w:r>
        <w:rPr>
          <w:rFonts w:hint="eastAsia" w:ascii="仿宋" w:hAnsi="仿宋" w:eastAsia="仿宋"/>
          <w:sz w:val="24"/>
          <w:szCs w:val="24"/>
        </w:rPr>
        <w:t xml:space="preserve">          </w:t>
      </w:r>
    </w:p>
    <w:p>
      <w:pPr>
        <w:spacing w:line="360" w:lineRule="auto"/>
        <w:rPr>
          <w:rFonts w:ascii="仿宋" w:hAnsi="仿宋" w:eastAsia="仿宋" w:cs="仿宋"/>
          <w:b/>
          <w:sz w:val="24"/>
          <w:szCs w:val="24"/>
          <w:lang w:eastAsia="zh-CN"/>
        </w:rPr>
      </w:pPr>
      <w:r>
        <w:rPr>
          <w:rFonts w:hint="eastAsia" w:ascii="仿宋" w:hAnsi="仿宋" w:eastAsia="仿宋"/>
          <w:sz w:val="24"/>
          <w:szCs w:val="24"/>
        </w:rPr>
        <w:t xml:space="preserve"> </w:t>
      </w: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劳务</w:t>
      </w:r>
      <w:r>
        <w:rPr>
          <w:rFonts w:ascii="仿宋" w:hAnsi="仿宋" w:eastAsia="仿宋"/>
          <w:sz w:val="24"/>
          <w:szCs w:val="24"/>
          <w:u w:val="single"/>
          <w:lang w:eastAsia="zh-CN"/>
        </w:rPr>
        <w:t xml:space="preserve"> </w:t>
      </w:r>
      <w:r>
        <w:rPr>
          <w:rFonts w:ascii="仿宋" w:hAnsi="仿宋" w:eastAsia="仿宋"/>
          <w:sz w:val="24"/>
          <w:szCs w:val="24"/>
          <w:lang w:eastAsia="zh-CN"/>
        </w:rPr>
        <w:t>工作，保证产品质量，我们特向贵公司承诺如下事项：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我公司承诺所供之商品质量，数量均不出现假冒、短少现象，并随时按贵公司要求提供各种质量检测报告，如发生与之相关的客户投诉赔偿，待材料质量查明之后一概由本供应商负责。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ascii="仿宋" w:hAnsi="仿宋" w:eastAsia="仿宋" w:cs="仿宋"/>
          <w:b/>
          <w:sz w:val="24"/>
          <w:szCs w:val="24"/>
          <w:lang w:eastAsia="zh-CN"/>
        </w:rPr>
      </w:pPr>
      <w:r>
        <w:rPr>
          <w:rFonts w:ascii="仿宋" w:hAnsi="仿宋" w:eastAsia="仿宋" w:cs="仿宋"/>
          <w:b/>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ascii="仿宋" w:hAnsi="仿宋" w:eastAsia="仿宋" w:cs="仿宋"/>
          <w:b/>
          <w:sz w:val="24"/>
          <w:szCs w:val="24"/>
          <w:lang w:eastAsia="zh-CN"/>
        </w:rPr>
        <w:t>3</w:t>
      </w:r>
      <w:r>
        <w:rPr>
          <w:rFonts w:hint="eastAsia" w:ascii="仿宋" w:hAnsi="仿宋" w:eastAsia="仿宋" w:cs="仿宋"/>
          <w:b/>
          <w:sz w:val="24"/>
          <w:szCs w:val="24"/>
          <w:lang w:eastAsia="zh-CN"/>
        </w:rPr>
        <w:t>、环保协议书</w:t>
      </w:r>
    </w:p>
    <w:p>
      <w:pPr>
        <w:adjustRightInd w:val="0"/>
        <w:snapToGrid w:val="0"/>
        <w:spacing w:line="360" w:lineRule="auto"/>
        <w:jc w:val="center"/>
        <w:rPr>
          <w:rFonts w:ascii="仿宋" w:hAnsi="仿宋" w:eastAsia="仿宋" w:cs="仿宋"/>
          <w:b/>
          <w:sz w:val="24"/>
          <w:szCs w:val="24"/>
          <w:lang w:eastAsia="zh-CN"/>
        </w:rPr>
      </w:pPr>
      <w:r>
        <w:rPr>
          <w:rFonts w:hint="eastAsia" w:ascii="仿宋" w:hAnsi="仿宋" w:eastAsia="仿宋" w:cs="仿宋"/>
          <w:b/>
          <w:sz w:val="24"/>
          <w:szCs w:val="24"/>
          <w:lang w:eastAsia="zh-CN"/>
        </w:rPr>
        <w:t>环保协议书</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中粮梁河糖业糖业有限公司</w:t>
      </w:r>
      <w:r>
        <w:rPr>
          <w:rFonts w:ascii="仿宋" w:hAnsi="仿宋" w:eastAsia="仿宋"/>
          <w:sz w:val="24"/>
          <w:lang w:eastAsia="zh-CN"/>
        </w:rPr>
        <w:t xml:space="preserve"> </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乙方：</w:t>
      </w:r>
      <w:r>
        <w:rPr>
          <w:rFonts w:hint="eastAsia" w:ascii="仿宋" w:hAnsi="仿宋" w:eastAsia="仿宋"/>
          <w:sz w:val="24"/>
          <w:lang w:eastAsia="zh-CN"/>
        </w:rPr>
        <w:t xml:space="preserve"> </w:t>
      </w:r>
    </w:p>
    <w:p>
      <w:pPr>
        <w:spacing w:line="360" w:lineRule="auto"/>
        <w:ind w:firstLine="480" w:firstLineChars="200"/>
        <w:rPr>
          <w:rFonts w:ascii="仿宋" w:hAnsi="仿宋" w:eastAsia="仿宋"/>
          <w:sz w:val="24"/>
          <w:lang w:eastAsia="zh-CN"/>
        </w:rPr>
      </w:pPr>
      <w:r>
        <w:rPr>
          <w:rFonts w:ascii="仿宋" w:hAnsi="仿宋" w:eastAsia="仿宋"/>
          <w:sz w:val="24"/>
          <w:lang w:eastAsia="zh-CN"/>
        </w:rPr>
        <w:t>为做好</w:t>
      </w:r>
      <w:r>
        <w:rPr>
          <w:rFonts w:hint="eastAsia" w:ascii="仿宋" w:hAnsi="仿宋" w:eastAsia="仿宋"/>
          <w:sz w:val="24"/>
          <w:lang w:eastAsia="zh-CN"/>
        </w:rPr>
        <w:t>甲方</w:t>
      </w:r>
      <w:r>
        <w:rPr>
          <w:rFonts w:ascii="仿宋" w:hAnsi="仿宋" w:eastAsia="仿宋"/>
          <w:sz w:val="24"/>
          <w:lang w:eastAsia="zh-CN"/>
        </w:rPr>
        <w:t>环境保护工作，获得和保持良好的环境绩效，确保乙方给甲方提供</w:t>
      </w:r>
      <w:r>
        <w:rPr>
          <w:rFonts w:hint="eastAsia" w:ascii="仿宋" w:hAnsi="仿宋" w:eastAsia="仿宋"/>
          <w:sz w:val="24"/>
          <w:lang w:eastAsia="zh-CN"/>
        </w:rPr>
        <w:t>产品/服务</w:t>
      </w:r>
      <w:r>
        <w:rPr>
          <w:rFonts w:ascii="仿宋" w:hAnsi="仿宋" w:eastAsia="仿宋"/>
          <w:sz w:val="24"/>
          <w:lang w:eastAsia="zh-CN"/>
        </w:rPr>
        <w:t>过程中不对环境造成污染，</w:t>
      </w:r>
      <w:r>
        <w:rPr>
          <w:rFonts w:hint="eastAsia" w:ascii="仿宋" w:hAnsi="仿宋" w:eastAsia="仿宋"/>
          <w:sz w:val="24"/>
          <w:lang w:eastAsia="zh-CN"/>
        </w:rPr>
        <w:t>依据《</w:t>
      </w:r>
      <w:r>
        <w:rPr>
          <w:rFonts w:ascii="仿宋" w:hAnsi="仿宋" w:eastAsia="仿宋"/>
          <w:sz w:val="24"/>
          <w:lang w:eastAsia="zh-CN"/>
        </w:rPr>
        <w:t>中华人民共和国环境保护法》、《</w:t>
      </w:r>
      <w:r>
        <w:rPr>
          <w:rFonts w:hint="eastAsia" w:ascii="仿宋" w:hAnsi="仿宋" w:eastAsia="仿宋"/>
          <w:sz w:val="24"/>
          <w:lang w:eastAsia="zh-CN"/>
        </w:rPr>
        <w:t>中华人民共和国</w:t>
      </w:r>
      <w:r>
        <w:rPr>
          <w:rFonts w:ascii="仿宋" w:hAnsi="仿宋" w:eastAsia="仿宋"/>
          <w:sz w:val="24"/>
          <w:lang w:eastAsia="zh-CN"/>
        </w:rPr>
        <w:t>水污染防治法》、《</w:t>
      </w:r>
      <w:r>
        <w:rPr>
          <w:rFonts w:hint="eastAsia" w:ascii="仿宋" w:hAnsi="仿宋" w:eastAsia="仿宋"/>
          <w:sz w:val="24"/>
          <w:lang w:eastAsia="zh-CN"/>
        </w:rPr>
        <w:t>中华人民共和国</w:t>
      </w:r>
      <w:r>
        <w:rPr>
          <w:rFonts w:ascii="仿宋" w:hAnsi="仿宋" w:eastAsia="仿宋"/>
          <w:sz w:val="24"/>
          <w:lang w:eastAsia="zh-CN"/>
        </w:rPr>
        <w:t>环境噪声污染防治法》、《</w:t>
      </w:r>
      <w:r>
        <w:rPr>
          <w:rFonts w:hint="eastAsia" w:ascii="仿宋" w:hAnsi="仿宋" w:eastAsia="仿宋"/>
          <w:sz w:val="24"/>
          <w:lang w:eastAsia="zh-CN"/>
        </w:rPr>
        <w:t>中华人民共和国</w:t>
      </w:r>
      <w:r>
        <w:rPr>
          <w:rFonts w:ascii="仿宋" w:hAnsi="仿宋" w:eastAsia="仿宋"/>
          <w:sz w:val="24"/>
          <w:lang w:eastAsia="zh-CN"/>
        </w:rPr>
        <w:t>固体废物污染环境防治法》等相关</w:t>
      </w:r>
      <w:r>
        <w:rPr>
          <w:rFonts w:hint="eastAsia" w:ascii="仿宋" w:hAnsi="仿宋" w:eastAsia="仿宋"/>
          <w:sz w:val="24"/>
          <w:lang w:eastAsia="zh-CN"/>
        </w:rPr>
        <w:t>生态环境</w:t>
      </w:r>
      <w:r>
        <w:rPr>
          <w:rFonts w:ascii="仿宋" w:hAnsi="仿宋" w:eastAsia="仿宋"/>
          <w:sz w:val="24"/>
          <w:lang w:eastAsia="zh-CN"/>
        </w:rPr>
        <w:t>法律法规</w:t>
      </w:r>
      <w:r>
        <w:rPr>
          <w:rFonts w:hint="eastAsia" w:ascii="仿宋" w:hAnsi="仿宋" w:eastAsia="仿宋"/>
          <w:sz w:val="24"/>
          <w:lang w:eastAsia="zh-CN"/>
        </w:rPr>
        <w:t>，</w:t>
      </w:r>
      <w:r>
        <w:rPr>
          <w:rFonts w:ascii="仿宋" w:hAnsi="仿宋" w:eastAsia="仿宋"/>
          <w:sz w:val="24"/>
          <w:lang w:eastAsia="zh-CN"/>
        </w:rPr>
        <w:t>经甲、乙双方协商，特签订以下环保协议</w:t>
      </w:r>
      <w:r>
        <w:rPr>
          <w:rFonts w:hint="eastAsia" w:ascii="仿宋" w:hAnsi="仿宋" w:eastAsia="仿宋"/>
          <w:sz w:val="24"/>
          <w:lang w:eastAsia="zh-CN"/>
        </w:rPr>
        <w:t>：</w:t>
      </w:r>
    </w:p>
    <w:p>
      <w:pPr>
        <w:spacing w:line="360" w:lineRule="auto"/>
        <w:ind w:left="1200" w:hanging="1200" w:hangingChars="500"/>
        <w:rPr>
          <w:rFonts w:ascii="仿宋" w:hAnsi="仿宋" w:eastAsia="仿宋"/>
          <w:sz w:val="24"/>
          <w:lang w:eastAsia="zh-CN"/>
        </w:rPr>
      </w:pPr>
      <w:r>
        <w:rPr>
          <w:rFonts w:hint="eastAsia" w:ascii="仿宋" w:hAnsi="仿宋" w:eastAsia="仿宋"/>
          <w:sz w:val="24"/>
          <w:lang w:eastAsia="zh-CN"/>
        </w:rPr>
        <w:t>一、</w:t>
      </w:r>
      <w:r>
        <w:rPr>
          <w:rFonts w:ascii="仿宋" w:hAnsi="仿宋" w:eastAsia="仿宋"/>
          <w:sz w:val="24"/>
          <w:lang w:eastAsia="zh-CN"/>
        </w:rPr>
        <w:t>乙方为甲方</w:t>
      </w:r>
      <w:r>
        <w:rPr>
          <w:rFonts w:hint="eastAsia" w:ascii="仿宋" w:hAnsi="仿宋" w:eastAsia="仿宋"/>
          <w:sz w:val="24"/>
          <w:lang w:eastAsia="zh-CN"/>
        </w:rPr>
        <w:t>提供</w:t>
      </w:r>
      <w:r>
        <w:rPr>
          <w:rFonts w:ascii="仿宋" w:hAnsi="仿宋" w:eastAsia="仿宋"/>
          <w:sz w:val="24"/>
          <w:lang w:eastAsia="zh-CN"/>
        </w:rPr>
        <w:t>产品</w:t>
      </w:r>
      <w:r>
        <w:rPr>
          <w:rFonts w:hint="eastAsia" w:ascii="仿宋" w:hAnsi="仿宋" w:eastAsia="仿宋"/>
          <w:sz w:val="24"/>
          <w:lang w:eastAsia="zh-CN"/>
        </w:rPr>
        <w:t>/</w:t>
      </w:r>
      <w:r>
        <w:rPr>
          <w:rFonts w:ascii="仿宋" w:hAnsi="仿宋" w:eastAsia="仿宋"/>
          <w:sz w:val="24"/>
          <w:lang w:eastAsia="zh-CN"/>
        </w:rPr>
        <w:t>服务应满足如下</w:t>
      </w:r>
      <w:r>
        <w:rPr>
          <w:rFonts w:hint="eastAsia" w:ascii="仿宋" w:hAnsi="仿宋" w:eastAsia="仿宋"/>
          <w:sz w:val="24"/>
          <w:lang w:eastAsia="zh-CN"/>
        </w:rPr>
        <w:t>环保</w:t>
      </w:r>
      <w:r>
        <w:rPr>
          <w:rFonts w:ascii="仿宋" w:hAnsi="仿宋" w:eastAsia="仿宋"/>
          <w:sz w:val="24"/>
          <w:lang w:eastAsia="zh-CN"/>
        </w:rPr>
        <w:t>要求：</w:t>
      </w:r>
    </w:p>
    <w:p>
      <w:pPr>
        <w:spacing w:line="360" w:lineRule="auto"/>
        <w:rPr>
          <w:rFonts w:ascii="仿宋" w:hAnsi="仿宋" w:eastAsia="仿宋"/>
          <w:sz w:val="24"/>
          <w:lang w:eastAsia="zh-CN"/>
        </w:rPr>
      </w:pPr>
      <w:r>
        <w:rPr>
          <w:rFonts w:ascii="仿宋" w:hAnsi="仿宋" w:eastAsia="仿宋"/>
          <w:sz w:val="24"/>
          <w:lang w:eastAsia="zh-CN"/>
        </w:rPr>
        <w:t>（一）乙方提供给甲方的产品/服务的原材料、包装物等必须满足国家、地方、行业的有关环境保护的法律法规要求。</w:t>
      </w:r>
    </w:p>
    <w:p>
      <w:pPr>
        <w:spacing w:line="360" w:lineRule="auto"/>
        <w:rPr>
          <w:rFonts w:ascii="仿宋" w:hAnsi="仿宋" w:eastAsia="仿宋"/>
          <w:sz w:val="24"/>
          <w:lang w:eastAsia="zh-CN"/>
        </w:rPr>
      </w:pPr>
      <w:r>
        <w:rPr>
          <w:rFonts w:ascii="仿宋" w:hAnsi="仿宋" w:eastAsia="仿宋"/>
          <w:sz w:val="24"/>
          <w:lang w:eastAsia="zh-CN"/>
        </w:rPr>
        <w:t>（二）乙方在保证甲方要求的产品/服务质量条件下，要优先考虑采用无污染或少污染的生产工艺和原材料，不得采用国家或地方已禁止使用的产品和原材料。</w:t>
      </w:r>
    </w:p>
    <w:p>
      <w:pPr>
        <w:spacing w:line="360" w:lineRule="auto"/>
        <w:rPr>
          <w:rFonts w:ascii="仿宋" w:hAnsi="仿宋" w:eastAsia="仿宋"/>
          <w:sz w:val="24"/>
          <w:lang w:eastAsia="zh-CN"/>
        </w:rPr>
      </w:pPr>
      <w:r>
        <w:rPr>
          <w:rFonts w:ascii="仿宋" w:hAnsi="仿宋" w:eastAsia="仿宋"/>
          <w:sz w:val="24"/>
          <w:lang w:eastAsia="zh-CN"/>
        </w:rPr>
        <w:t>（三）乙方在产品/服务包装上除满足搬运和储存要求外，应优先采用可回收利用的包装材料，避免因资源浪费破坏环境。</w:t>
      </w:r>
    </w:p>
    <w:p>
      <w:pPr>
        <w:spacing w:line="360" w:lineRule="auto"/>
        <w:rPr>
          <w:rFonts w:ascii="仿宋" w:hAnsi="仿宋" w:eastAsia="仿宋"/>
          <w:sz w:val="24"/>
          <w:lang w:eastAsia="zh-CN"/>
        </w:rPr>
      </w:pPr>
      <w:r>
        <w:rPr>
          <w:rFonts w:ascii="仿宋" w:hAnsi="仿宋" w:eastAsia="仿宋"/>
          <w:sz w:val="24"/>
          <w:lang w:eastAsia="zh-CN"/>
        </w:rPr>
        <w:t>（四）乙方在提供产品/服务过程中排放的污染物（废水、废气、固废、噪声等），由乙方采取积极措施予以治理，确保在规定期限内达到国家或地方排放标准。</w:t>
      </w:r>
    </w:p>
    <w:p>
      <w:pPr>
        <w:spacing w:line="360" w:lineRule="auto"/>
        <w:rPr>
          <w:rFonts w:ascii="仿宋" w:hAnsi="仿宋" w:eastAsia="仿宋"/>
          <w:sz w:val="24"/>
          <w:lang w:eastAsia="zh-CN"/>
        </w:rPr>
      </w:pPr>
      <w:r>
        <w:rPr>
          <w:rFonts w:ascii="仿宋" w:hAnsi="仿宋" w:eastAsia="仿宋"/>
          <w:sz w:val="24"/>
          <w:lang w:eastAsia="zh-CN"/>
        </w:rPr>
        <w:t>（五）乙方对提供产品/服务过程中的危险物品以及危险废弃物堆放场应设立明显识别标志，并按照国家规定进行处置。</w:t>
      </w:r>
    </w:p>
    <w:p>
      <w:pPr>
        <w:spacing w:line="360" w:lineRule="auto"/>
        <w:rPr>
          <w:rFonts w:ascii="仿宋" w:hAnsi="仿宋" w:eastAsia="仿宋"/>
          <w:sz w:val="24"/>
          <w:lang w:eastAsia="zh-CN"/>
        </w:rPr>
      </w:pPr>
      <w:r>
        <w:rPr>
          <w:rFonts w:ascii="仿宋" w:hAnsi="仿宋" w:eastAsia="仿宋"/>
          <w:sz w:val="24"/>
          <w:lang w:eastAsia="zh-CN"/>
        </w:rPr>
        <w:t>（六）乙方应防止因提供产品/服务中造成跑、冒、滴、漏污染环境，产品安装应采取防渗漏措施。</w:t>
      </w:r>
    </w:p>
    <w:p>
      <w:pPr>
        <w:spacing w:line="360" w:lineRule="auto"/>
        <w:rPr>
          <w:rFonts w:ascii="仿宋" w:hAnsi="仿宋" w:eastAsia="仿宋"/>
          <w:sz w:val="24"/>
          <w:lang w:eastAsia="zh-CN"/>
        </w:rPr>
      </w:pPr>
      <w:r>
        <w:rPr>
          <w:rFonts w:ascii="仿宋" w:hAnsi="仿宋" w:eastAsia="仿宋"/>
          <w:sz w:val="24"/>
          <w:lang w:eastAsia="zh-CN"/>
        </w:rPr>
        <w:t>（七）乙方在甲方现场作业过程中应保持现场整洁干净无污染物泄漏。</w:t>
      </w:r>
    </w:p>
    <w:p>
      <w:pPr>
        <w:spacing w:line="360" w:lineRule="auto"/>
        <w:rPr>
          <w:rFonts w:ascii="仿宋" w:hAnsi="仿宋" w:eastAsia="仿宋"/>
          <w:sz w:val="24"/>
          <w:lang w:eastAsia="zh-CN"/>
        </w:rPr>
      </w:pPr>
      <w:r>
        <w:rPr>
          <w:rFonts w:ascii="仿宋" w:hAnsi="仿宋" w:eastAsia="仿宋"/>
          <w:sz w:val="24"/>
          <w:lang w:eastAsia="zh-CN"/>
        </w:rPr>
        <w:t>（八）乙方为甲方提供的产品如果是易燃易爆或有毒有害危险化学品，应向甲方提供MSDS，其容器或包装物应予回收。</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（九）原材料、包装物发生重大变化时应通知甲方。</w:t>
      </w:r>
    </w:p>
    <w:p>
      <w:pPr>
        <w:spacing w:line="360" w:lineRule="auto"/>
        <w:rPr>
          <w:rFonts w:ascii="仿宋" w:hAnsi="仿宋" w:eastAsia="仿宋"/>
          <w:sz w:val="24"/>
          <w:lang w:eastAsia="zh-CN"/>
        </w:rPr>
      </w:pPr>
      <w:r>
        <w:rPr>
          <w:rFonts w:ascii="仿宋" w:hAnsi="仿宋" w:eastAsia="仿宋"/>
          <w:sz w:val="24"/>
          <w:lang w:eastAsia="zh-CN"/>
        </w:rPr>
        <w:t>（十）乙方应对在甲方现场的作业人员进行必要的环境保护知识的培训，保证作业人员熟知在工作中因工作失误将对环境造成的不良影响，以及一旦污染事故发生如何采取应急措施，减少污染。</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甲方接受产品</w:t>
      </w:r>
      <w:r>
        <w:rPr>
          <w:rFonts w:ascii="仿宋" w:hAnsi="仿宋" w:eastAsia="仿宋"/>
          <w:sz w:val="24"/>
          <w:lang w:eastAsia="zh-CN"/>
        </w:rPr>
        <w:t>/</w:t>
      </w:r>
      <w:r>
        <w:rPr>
          <w:rFonts w:hint="cs" w:ascii="仿宋" w:hAnsi="仿宋" w:eastAsia="仿宋"/>
          <w:sz w:val="24"/>
          <w:lang w:eastAsia="zh-CN"/>
        </w:rPr>
        <w:t>服务的义务</w:t>
      </w:r>
    </w:p>
    <w:p>
      <w:pPr>
        <w:spacing w:line="360" w:lineRule="auto"/>
        <w:rPr>
          <w:rFonts w:ascii="仿宋" w:hAnsi="仿宋" w:eastAsia="仿宋"/>
          <w:sz w:val="24"/>
          <w:lang w:eastAsia="zh-CN"/>
        </w:rPr>
      </w:pPr>
      <w:r>
        <w:rPr>
          <w:rFonts w:ascii="仿宋" w:hAnsi="仿宋" w:eastAsia="仿宋"/>
          <w:sz w:val="24"/>
          <w:lang w:eastAsia="zh-CN"/>
        </w:rPr>
        <w:t>（一）甲方安排专人负责对接乙方提供产品/服务事宜，全过程提供协助服务，监督乙方产品/服务符合环保要求。</w:t>
      </w:r>
    </w:p>
    <w:p>
      <w:pPr>
        <w:spacing w:line="360" w:lineRule="auto"/>
        <w:rPr>
          <w:rFonts w:ascii="仿宋" w:hAnsi="仿宋" w:eastAsia="仿宋"/>
          <w:sz w:val="24"/>
          <w:lang w:eastAsia="zh-CN"/>
        </w:rPr>
      </w:pPr>
      <w:r>
        <w:rPr>
          <w:rFonts w:ascii="仿宋" w:hAnsi="仿宋" w:eastAsia="仿宋"/>
          <w:sz w:val="24"/>
          <w:lang w:eastAsia="zh-CN"/>
        </w:rPr>
        <w:t>（二）</w:t>
      </w:r>
      <w:r>
        <w:rPr>
          <w:rFonts w:hint="cs" w:ascii="仿宋" w:hAnsi="仿宋" w:eastAsia="仿宋"/>
          <w:sz w:val="24"/>
          <w:lang w:eastAsia="zh-CN"/>
        </w:rPr>
        <w:t>提前</w:t>
      </w:r>
      <w:r>
        <w:rPr>
          <w:rFonts w:ascii="仿宋" w:hAnsi="仿宋" w:eastAsia="仿宋"/>
          <w:sz w:val="24"/>
          <w:lang w:eastAsia="zh-CN"/>
        </w:rPr>
        <w:t>向乙方</w:t>
      </w:r>
      <w:r>
        <w:rPr>
          <w:rFonts w:hint="cs" w:ascii="仿宋" w:hAnsi="仿宋" w:eastAsia="仿宋"/>
          <w:sz w:val="24"/>
          <w:lang w:eastAsia="zh-CN"/>
        </w:rPr>
        <w:t>提供甲方对产品</w:t>
      </w:r>
      <w:r>
        <w:rPr>
          <w:rFonts w:ascii="仿宋" w:hAnsi="仿宋" w:eastAsia="仿宋"/>
          <w:sz w:val="24"/>
          <w:lang w:eastAsia="zh-CN"/>
        </w:rPr>
        <w:t>/</w:t>
      </w:r>
      <w:r>
        <w:rPr>
          <w:rFonts w:hint="cs" w:ascii="仿宋" w:hAnsi="仿宋" w:eastAsia="仿宋"/>
          <w:sz w:val="24"/>
          <w:lang w:eastAsia="zh-CN"/>
        </w:rPr>
        <w:t>服务的相关</w:t>
      </w:r>
      <w:r>
        <w:rPr>
          <w:rFonts w:ascii="仿宋" w:hAnsi="仿宋" w:eastAsia="仿宋"/>
          <w:sz w:val="24"/>
          <w:lang w:eastAsia="zh-CN"/>
        </w:rPr>
        <w:t>环保</w:t>
      </w:r>
      <w:r>
        <w:rPr>
          <w:rFonts w:hint="cs" w:ascii="仿宋" w:hAnsi="仿宋" w:eastAsia="仿宋"/>
          <w:sz w:val="24"/>
          <w:lang w:eastAsia="zh-CN"/>
        </w:rPr>
        <w:t>要求</w:t>
      </w:r>
      <w:r>
        <w:rPr>
          <w:rFonts w:ascii="仿宋" w:hAnsi="仿宋" w:eastAsia="仿宋"/>
          <w:sz w:val="24"/>
          <w:lang w:eastAsia="zh-CN"/>
        </w:rPr>
        <w:t>。</w:t>
      </w:r>
    </w:p>
    <w:p>
      <w:pPr>
        <w:spacing w:line="360" w:lineRule="auto"/>
        <w:rPr>
          <w:rFonts w:ascii="仿宋" w:hAnsi="仿宋" w:eastAsia="仿宋"/>
          <w:sz w:val="24"/>
          <w:lang w:eastAsia="zh-CN"/>
        </w:rPr>
      </w:pPr>
      <w:r>
        <w:rPr>
          <w:rFonts w:ascii="仿宋" w:hAnsi="仿宋" w:eastAsia="仿宋"/>
          <w:sz w:val="24"/>
          <w:lang w:eastAsia="zh-CN"/>
        </w:rPr>
        <w:t>（三）向</w:t>
      </w:r>
      <w:r>
        <w:rPr>
          <w:rFonts w:hint="cs" w:ascii="仿宋" w:hAnsi="仿宋" w:eastAsia="仿宋"/>
          <w:sz w:val="24"/>
          <w:lang w:eastAsia="zh-CN"/>
        </w:rPr>
        <w:t>乙方进行环保要求交底。</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三、甲方有权对乙方作业现场不定期检查，检查主要内容：</w:t>
      </w:r>
    </w:p>
    <w:p>
      <w:pPr>
        <w:spacing w:line="360" w:lineRule="auto"/>
        <w:rPr>
          <w:rFonts w:ascii="仿宋" w:hAnsi="仿宋" w:eastAsia="仿宋"/>
          <w:sz w:val="24"/>
          <w:lang w:eastAsia="zh-CN"/>
        </w:rPr>
      </w:pPr>
      <w:r>
        <w:rPr>
          <w:rFonts w:ascii="仿宋" w:hAnsi="仿宋" w:eastAsia="仿宋"/>
          <w:sz w:val="24"/>
          <w:lang w:eastAsia="zh-CN"/>
        </w:rPr>
        <w:t>（一）乙方的作业环境是否符合环保要求。</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（二）乙方排放的废水、废气、固废、噪声等是否达标。</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（三）乙方是否因环境保护问题受到相关方投诉。</w:t>
      </w:r>
    </w:p>
    <w:p>
      <w:pPr>
        <w:spacing w:line="360" w:lineRule="auto"/>
        <w:rPr>
          <w:rFonts w:ascii="仿宋" w:hAnsi="仿宋" w:eastAsia="仿宋"/>
          <w:sz w:val="24"/>
          <w:lang w:eastAsia="zh-CN"/>
        </w:rPr>
      </w:pPr>
      <w:r>
        <w:rPr>
          <w:rFonts w:ascii="仿宋" w:hAnsi="仿宋" w:eastAsia="仿宋"/>
          <w:sz w:val="24"/>
          <w:lang w:eastAsia="zh-CN"/>
        </w:rPr>
        <w:t>对不符合环保要求的，甲方有权提出整改意见，对整改不符或拒绝整改，可能造成严重环境污染的，甲方可以终止供货/服务合同，其损失由乙方承担。因乙方违反环保协议造成环境污染的，乙方承担全部法律后果以及甲方因此受到的损失。</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本协议</w:t>
      </w:r>
      <w:r>
        <w:rPr>
          <w:rFonts w:hint="eastAsia" w:ascii="仿宋" w:hAnsi="仿宋" w:eastAsia="仿宋"/>
          <w:sz w:val="24"/>
          <w:lang w:eastAsia="zh-CN"/>
        </w:rPr>
        <w:t>书一</w:t>
      </w:r>
      <w:r>
        <w:rPr>
          <w:rFonts w:ascii="仿宋" w:hAnsi="仿宋" w:eastAsia="仿宋"/>
          <w:sz w:val="24"/>
          <w:lang w:eastAsia="zh-CN"/>
        </w:rPr>
        <w:t>式</w:t>
      </w:r>
      <w:r>
        <w:rPr>
          <w:rFonts w:hint="eastAsia" w:ascii="仿宋" w:hAnsi="仿宋" w:eastAsia="仿宋"/>
          <w:sz w:val="24"/>
          <w:lang w:eastAsia="zh-CN"/>
        </w:rPr>
        <w:t>两</w:t>
      </w:r>
      <w:r>
        <w:rPr>
          <w:rFonts w:ascii="仿宋" w:hAnsi="仿宋" w:eastAsia="仿宋"/>
          <w:sz w:val="24"/>
          <w:lang w:eastAsia="zh-CN"/>
        </w:rPr>
        <w:t>份，甲乙双方各执</w:t>
      </w:r>
      <w:r>
        <w:rPr>
          <w:rFonts w:hint="eastAsia" w:ascii="仿宋" w:hAnsi="仿宋" w:eastAsia="仿宋"/>
          <w:sz w:val="24"/>
          <w:lang w:eastAsia="zh-CN"/>
        </w:rPr>
        <w:t>一</w:t>
      </w:r>
      <w:r>
        <w:rPr>
          <w:rFonts w:ascii="仿宋" w:hAnsi="仿宋" w:eastAsia="仿宋"/>
          <w:sz w:val="24"/>
          <w:lang w:eastAsia="zh-CN"/>
        </w:rPr>
        <w:t xml:space="preserve">份，自签订之日起执行。 </w:t>
      </w:r>
    </w:p>
    <w:p>
      <w:pPr>
        <w:spacing w:line="360" w:lineRule="auto"/>
        <w:ind w:left="1200" w:hanging="1200" w:hangingChars="500"/>
        <w:rPr>
          <w:rFonts w:ascii="仿宋" w:hAnsi="仿宋" w:eastAsia="仿宋"/>
          <w:sz w:val="24"/>
          <w:lang w:eastAsia="zh-CN"/>
        </w:rPr>
      </w:pP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甲方：</w:t>
      </w:r>
      <w:r>
        <w:rPr>
          <w:rFonts w:hint="eastAsia" w:ascii="仿宋" w:hAnsi="仿宋" w:eastAsia="仿宋"/>
          <w:sz w:val="24"/>
          <w:lang w:eastAsia="zh-CN"/>
        </w:rPr>
        <w:t xml:space="preserve">中粮梁河糖业有限公司  </w:t>
      </w:r>
      <w:r>
        <w:rPr>
          <w:rFonts w:ascii="仿宋" w:hAnsi="仿宋" w:eastAsia="仿宋"/>
          <w:sz w:val="24"/>
          <w:lang w:eastAsia="zh-CN"/>
        </w:rPr>
        <w:t>乙方：</w:t>
      </w:r>
      <w:r>
        <w:rPr>
          <w:rFonts w:hint="eastAsia" w:ascii="仿宋" w:hAnsi="仿宋" w:eastAsia="仿宋"/>
          <w:sz w:val="24"/>
          <w:lang w:eastAsia="zh-CN"/>
        </w:rPr>
        <w:t>xxxxxxxxx公司</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 xml:space="preserve">代表人：                     </w:t>
      </w:r>
      <w:r>
        <w:rPr>
          <w:rFonts w:hint="eastAsia" w:ascii="仿宋" w:hAnsi="仿宋" w:eastAsia="仿宋"/>
          <w:sz w:val="24"/>
          <w:lang w:eastAsia="zh-CN"/>
        </w:rPr>
        <w:t xml:space="preserve">   </w:t>
      </w:r>
      <w:r>
        <w:rPr>
          <w:rFonts w:ascii="仿宋" w:hAnsi="仿宋" w:eastAsia="仿宋"/>
          <w:sz w:val="24"/>
          <w:lang w:eastAsia="zh-CN"/>
        </w:rPr>
        <w:t>代表人：</w:t>
      </w:r>
    </w:p>
    <w:p>
      <w:pPr>
        <w:spacing w:line="360" w:lineRule="auto"/>
        <w:ind w:left="1200" w:hanging="1200" w:hangingChars="500"/>
        <w:rPr>
          <w:rFonts w:ascii="仿宋" w:hAnsi="仿宋" w:eastAsia="仿宋"/>
          <w:sz w:val="24"/>
          <w:lang w:eastAsia="zh-CN"/>
        </w:rPr>
      </w:pP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月  日   </w:t>
      </w:r>
      <w:r>
        <w:rPr>
          <w:rFonts w:hint="eastAsia" w:ascii="仿宋" w:hAnsi="仿宋" w:eastAsia="仿宋"/>
          <w:sz w:val="24"/>
          <w:lang w:eastAsia="zh-CN"/>
        </w:rPr>
        <w:t xml:space="preserve">   </w:t>
      </w:r>
      <w:r>
        <w:rPr>
          <w:rFonts w:ascii="仿宋" w:hAnsi="仿宋" w:eastAsia="仿宋"/>
          <w:sz w:val="24"/>
          <w:lang w:eastAsia="zh-CN"/>
        </w:rPr>
        <w:t>签订日期：</w:t>
      </w:r>
      <w:r>
        <w:rPr>
          <w:rFonts w:hint="eastAsia" w:ascii="仿宋" w:hAnsi="仿宋" w:eastAsia="仿宋"/>
          <w:sz w:val="24"/>
          <w:lang w:eastAsia="zh-CN"/>
        </w:rPr>
        <w:t xml:space="preserve">      </w:t>
      </w:r>
      <w:r>
        <w:rPr>
          <w:rFonts w:ascii="仿宋" w:hAnsi="仿宋" w:eastAsia="仿宋"/>
          <w:sz w:val="24"/>
          <w:lang w:eastAsia="zh-CN"/>
        </w:rPr>
        <w:t xml:space="preserve">年 </w:t>
      </w:r>
      <w:r>
        <w:rPr>
          <w:rFonts w:hint="eastAsia" w:ascii="仿宋" w:hAnsi="仿宋" w:eastAsia="仿宋"/>
          <w:sz w:val="24"/>
          <w:lang w:eastAsia="zh-CN"/>
        </w:rPr>
        <w:t xml:space="preserve"> </w:t>
      </w:r>
      <w:r>
        <w:rPr>
          <w:rFonts w:ascii="仿宋" w:hAnsi="仿宋" w:eastAsia="仿宋"/>
          <w:sz w:val="24"/>
          <w:lang w:eastAsia="zh-CN"/>
        </w:rPr>
        <w:t>月  日</w:t>
      </w:r>
    </w:p>
    <w:p>
      <w:pPr>
        <w:spacing w:line="320" w:lineRule="exact"/>
        <w:ind w:left="1200" w:hanging="1200" w:hangingChars="500"/>
        <w:rPr>
          <w:rFonts w:ascii="仿宋" w:hAnsi="仿宋" w:eastAsia="仿宋"/>
          <w:sz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snapToGrid w:val="0"/>
        <w:spacing w:line="360" w:lineRule="auto"/>
        <w:rPr>
          <w:rFonts w:ascii="仿宋" w:hAnsi="仿宋" w:eastAsia="仿宋" w:cs="仿宋"/>
          <w:sz w:val="24"/>
          <w:szCs w:val="24"/>
          <w:lang w:eastAsia="zh-CN"/>
        </w:rPr>
      </w:pPr>
    </w:p>
    <w:p>
      <w:pPr>
        <w:rPr>
          <w:rFonts w:ascii="仿宋" w:hAnsi="仿宋" w:eastAsia="仿宋" w:cs="仿宋"/>
          <w:sz w:val="24"/>
          <w:szCs w:val="24"/>
          <w:lang w:eastAsia="zh-CN"/>
        </w:rPr>
      </w:pPr>
      <w:r>
        <w:rPr>
          <w:rFonts w:ascii="仿宋" w:hAnsi="仿宋" w:eastAsia="仿宋" w:cs="仿宋"/>
          <w:sz w:val="24"/>
          <w:szCs w:val="24"/>
          <w:lang w:eastAsia="zh-CN"/>
        </w:rPr>
        <w:br w:type="page"/>
      </w:r>
    </w:p>
    <w:p>
      <w:pPr>
        <w:adjustRightInd w:val="0"/>
        <w:snapToGrid w:val="0"/>
        <w:spacing w:line="360" w:lineRule="auto"/>
        <w:rPr>
          <w:rFonts w:ascii="仿宋" w:hAnsi="仿宋" w:eastAsia="仿宋" w:cs="仿宋"/>
          <w:b/>
          <w:sz w:val="24"/>
          <w:szCs w:val="24"/>
          <w:lang w:eastAsia="zh-CN"/>
        </w:rPr>
      </w:pPr>
      <w:r>
        <w:rPr>
          <w:rFonts w:hint="eastAsia" w:ascii="仿宋" w:hAnsi="仿宋" w:eastAsia="仿宋" w:cs="仿宋"/>
          <w:b/>
          <w:sz w:val="24"/>
          <w:szCs w:val="24"/>
          <w:lang w:eastAsia="zh-CN"/>
        </w:rPr>
        <w:t>4、劳务外包安全管理协议</w:t>
      </w:r>
    </w:p>
    <w:p>
      <w:pPr>
        <w:adjustRightInd w:val="0"/>
        <w:snapToGrid w:val="0"/>
        <w:spacing w:line="360" w:lineRule="auto"/>
        <w:rPr>
          <w:rFonts w:ascii="仿宋" w:hAnsi="仿宋" w:eastAsia="仿宋" w:cs="仿宋"/>
          <w:b/>
          <w:sz w:val="24"/>
          <w:szCs w:val="24"/>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中粮</w:t>
      </w:r>
      <w:r>
        <w:rPr>
          <w:rFonts w:hint="eastAsia" w:ascii="仿宋" w:hAnsi="仿宋" w:eastAsia="仿宋"/>
          <w:b/>
          <w:snapToGrid w:val="0"/>
          <w:sz w:val="28"/>
          <w:szCs w:val="28"/>
          <w:u w:val="single"/>
          <w:lang w:eastAsia="zh-CN"/>
        </w:rPr>
        <w:t>梁河糖业</w:t>
      </w:r>
      <w:r>
        <w:rPr>
          <w:rFonts w:hint="eastAsia" w:ascii="仿宋" w:hAnsi="仿宋" w:eastAsia="仿宋"/>
          <w:b/>
          <w:snapToGrid w:val="0"/>
          <w:sz w:val="28"/>
          <w:szCs w:val="28"/>
          <w:lang w:eastAsia="zh-CN"/>
        </w:rPr>
        <w:t>有限公司</w:t>
      </w:r>
    </w:p>
    <w:p>
      <w:pPr>
        <w:adjustRightInd w:val="0"/>
        <w:snapToGrid w:val="0"/>
        <w:spacing w:line="276" w:lineRule="auto"/>
        <w:jc w:val="center"/>
        <w:rPr>
          <w:rFonts w:ascii="仿宋" w:hAnsi="仿宋" w:eastAsia="仿宋"/>
          <w:b/>
          <w:snapToGrid w:val="0"/>
          <w:sz w:val="28"/>
          <w:szCs w:val="28"/>
          <w:lang w:eastAsia="zh-CN"/>
        </w:rPr>
      </w:pPr>
    </w:p>
    <w:p>
      <w:pPr>
        <w:adjustRightInd w:val="0"/>
        <w:snapToGrid w:val="0"/>
        <w:spacing w:line="276" w:lineRule="auto"/>
        <w:jc w:val="center"/>
        <w:rPr>
          <w:rFonts w:ascii="仿宋" w:hAnsi="仿宋" w:eastAsia="仿宋"/>
          <w:b/>
          <w:snapToGrid w:val="0"/>
          <w:sz w:val="28"/>
          <w:szCs w:val="28"/>
          <w:lang w:eastAsia="zh-CN"/>
        </w:rPr>
      </w:pPr>
      <w:r>
        <w:rPr>
          <w:rFonts w:hint="eastAsia" w:ascii="仿宋" w:hAnsi="仿宋" w:eastAsia="仿宋"/>
          <w:b/>
          <w:snapToGrid w:val="0"/>
          <w:sz w:val="28"/>
          <w:szCs w:val="28"/>
          <w:lang w:eastAsia="zh-CN"/>
        </w:rPr>
        <w:t>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合同名称：《劳务外包安全管理协议》</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24"/>
          <w:szCs w:val="24"/>
          <w:lang w:eastAsia="zh-CN"/>
        </w:rPr>
        <w:t>中粮</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梁河糖业</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有限公司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用工单位（甲方）： 中粮梁河糖业有限公司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劳务外包单位（乙方）：</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为了贯彻落实《中华人民共和国安全生产法》和中粮（梁河）糖业有限公司等有关安全生产管理规定，明确甲乙双方的安全职责，确保中粮（梁河）糖业有限公司安全生产、稳定运营，乙方人员在甲方工作期间的人身安全，避免生产安全事故的发生，经双方协商一致签订本协议。</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一、劳务外包：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（一）外包项目：芒东工厂压榨车间蔗场外包。</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（二）外包期限：自2023/2024榨季接到甲方通知到厂之日起至榨季结束为止（具体时间以甲方通知为准）。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二、协议内容：</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（一）甲方的权利、义务、责任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⒈</w:t>
      </w:r>
      <w:r>
        <w:rPr>
          <w:rFonts w:ascii="仿宋" w:hAnsi="仿宋" w:eastAsia="仿宋"/>
          <w:snapToGrid w:val="0"/>
          <w:sz w:val="24"/>
          <w:szCs w:val="24"/>
          <w:lang w:eastAsia="zh-CN"/>
        </w:rPr>
        <w:t>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1）对乙方提供的单位资质、人员资质等资料进行审核并备案。需制定外包人员准入标准，明确年龄、性别、文化程度、工作经验和作业资质等内容。</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2）对乙方提供的外包人员健康检查报告等资料进行审核并备案。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3）对乙方提供的外包人员工伤保险或人身意外伤害保险等资料进行审核并备案。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4）对乙方机械设备、器具审查合规性证明材料，并确保其完好。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5）负责监督指导外包人员正确使用劳动防护用品。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6）对乙方外包人员在工作中履行安全管理协议、遵章守纪情况进行监督检查，对发现外包人员存在的违章违纪行为，及时进行教育并要求其整改。对不听劝告、严重违章违纪者，甲方有权将其驱逐出厂。</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7）甲方应组织相关单位及外包单位对其所从事的作业活动开展危险源辨识工作，并将危险源辨识的内容作为安全技术交底和安全工作交底的其中内容之一。</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负责对外包人员进行入厂级安全教育培训，取得安全教育培训合格证，持证上岗；书面告知外包人员本单位的安全生产管理规章制度，工作中存在的危险源、职业病危害因素、可能存在的安全隐患和应采取的防范措施等应注意的事项，建立外包人员花名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2）作业现场有两个以上单位交叉作业有可能危及对方安全或影响施工作业进度时，甲方有义务统一协调管理，督促双方签订安全管理协议。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1）将乙方外包人员纳入本单位从业人员统一管理。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2）甲方负责向乙方如实告知根据甲方能力所知的作业场所和岗位存在的危险因素，要求乙方制订防范措施以及事故应急预案。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3）甲方有义务对乙方的安全奖惩情况进行告知。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（二）乙方的权利、义务、责任</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1.权利</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 xml:space="preserve"> 1）乙方有权了解其作业场所和工作岗位存在的危险因素、防范措施及事故应急措施，有权对安全生产工作提出建议。</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2）乙方有权对作业场所安全生产工作中存在的问题提出批评、检举、控告;有权拒绝违章指挥和强令冒险作业。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义务</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1）乙方人员有义务接受安全生产教育和培训，掌握本职工作所需的安全生产知识，提高安全生产技能，同时对本单位员工开展“三级”安全教育。</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2）乙方人员有义务严格遵守甲方的安全生产规章制度和操作规程，服从管理。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责任</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1）必须具有独立的法人资质，具备核准从事相关经营范围的资质，在签订协议前将其相关的资质证照复印件交甲方备案，并对其真实性、合法性、有效性负责。</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2）应根据有关法律法规规定和甲方要求设置安全生产管理机构，配备专职的安全生产管理人员（至少一名），对外包业务进行安全生产管理，督促乙方人员遵守甲方的安全生产管理制度，接受甲方的安全生产监督管理。</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3）按照甲方安全生产管理体系要求，建立与甲方相配套的安全生产管理体系，建立健全以安全生产责任制为核心各项安全生产管理制度、流程，并严格执行。</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4）负责为外包人员购买用工期间的工伤保险或人身意外伤害保险（购买金额不低于100万），并将购买保单复印件交甲方备案。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5）负责为乙方人员办理相应作业资质，并将复印件交甲方备案。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6）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7）负责为员工提供符合国家相关质量标准要求的该作业岗位必须配备的劳动防护用品，并监督指导员工正确使用劳动防护用品。</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8）乙方人员在工作中发生伤亡事故时，乙方及时开展对伤亡人员的救援救治工作，保护好事故现场，承担伤亡人员的医疗费用、工伤认定、保险索赔及相关的善后处理工作。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9）乙方人员在申请进行职业病诊断、鉴定时，乙方负责处理职业病诊断、鉴定事宜，并如实提供职业病诊断、鉴定所需的劳动者职业史和职业危害接触史等资料。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10）乙方人员发生变更情况应及时书面告知甲方并履行人员变更手续。</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11）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12）乙方需按照甲方安全生产费用管理制度等相关制度要求，制定《年度安全生产费用使用计划》报甲方备案并严格实施。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（三）安全考核</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甲方可根据内部管理制度对乙方进行考核。</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三、附则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一）本协议约定的各项条款，经双方签字、盖章后生效，作为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（二）本协议内容如与国家有关法律、法规和规定不一致，按照国家有关规定执行。</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（三）协议有效期按照合同工期。合同工期变更，本协议有效期相应变更。</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（四）因不可抗力造成的双方设备损坏、人员伤亡，各自承担相应的损失。</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（五）其它未尽事宜：</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（六）本协议一式贰份。甲方、乙方各执壹份。</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甲方单位名称：中粮梁河糖业有限公司</w:t>
      </w:r>
      <w:r>
        <w:rPr>
          <w:rFonts w:ascii="仿宋" w:hAnsi="仿宋" w:eastAsia="仿宋"/>
          <w:snapToGrid w:val="0"/>
          <w:sz w:val="24"/>
          <w:szCs w:val="24"/>
          <w:lang w:eastAsia="zh-CN"/>
        </w:rPr>
        <w:t xml:space="preserve"> </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劳务外包部门负责人</w:t>
      </w:r>
      <w:r>
        <w:rPr>
          <w:rFonts w:ascii="仿宋" w:hAnsi="仿宋" w:eastAsia="仿宋"/>
          <w:snapToGrid w:val="0"/>
          <w:sz w:val="24"/>
          <w:szCs w:val="24"/>
          <w:lang w:eastAsia="zh-CN"/>
        </w:rPr>
        <w:t xml:space="preserve">                 法人代表或委托代理</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乙方单位名称：公司（盖章）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业务外包公司负责人</w:t>
      </w:r>
      <w:r>
        <w:rPr>
          <w:rFonts w:ascii="仿宋" w:hAnsi="仿宋" w:eastAsia="仿宋"/>
          <w:snapToGrid w:val="0"/>
          <w:sz w:val="24"/>
          <w:szCs w:val="24"/>
          <w:lang w:eastAsia="zh-CN"/>
        </w:rPr>
        <w:t xml:space="preserve">              法人代表或委托代理人</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签字日期：年月日</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4" w:name="_Toc13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4"/>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bookmarkStart w:id="105" w:name="扫描0045"/>
      <w:bookmarkEnd w:id="105"/>
      <w:bookmarkStart w:id="106" w:name="扫描0046"/>
      <w:bookmarkEnd w:id="106"/>
      <w:r>
        <w:rPr>
          <w:rFonts w:ascii="仿宋" w:hAnsi="仿宋" w:eastAsia="仿宋"/>
          <w:snapToGrid w:val="0"/>
          <w:sz w:val="24"/>
          <w:szCs w:val="24"/>
          <w:lang w:eastAsia="zh-CN"/>
        </w:rPr>
        <w:br w:type="page"/>
      </w:r>
    </w:p>
    <w:p>
      <w:pPr>
        <w:pStyle w:val="59"/>
        <w:ind w:firstLine="354"/>
        <w:rPr>
          <w:rFonts w:ascii="仿宋" w:hAnsi="仿宋" w:eastAsia="仿宋"/>
          <w:b/>
          <w:bCs/>
          <w:color w:val="auto"/>
        </w:rPr>
      </w:pPr>
      <w:bookmarkStart w:id="134" w:name="_GoBack"/>
      <w:r>
        <w:rPr>
          <w:rFonts w:hint="eastAsia" w:ascii="仿宋" w:hAnsi="仿宋" w:eastAsia="仿宋"/>
          <w:b/>
          <w:bCs/>
          <w:color w:val="auto"/>
        </w:rPr>
        <w:t>一、采购项目说明</w:t>
      </w:r>
    </w:p>
    <w:p>
      <w:pPr>
        <w:pStyle w:val="59"/>
        <w:ind w:firstLine="354"/>
        <w:rPr>
          <w:rFonts w:ascii="仿宋" w:hAnsi="仿宋" w:eastAsia="仿宋"/>
          <w:color w:val="auto"/>
        </w:rPr>
      </w:pPr>
      <w:r>
        <w:rPr>
          <w:rFonts w:hint="eastAsia" w:ascii="仿宋" w:hAnsi="仿宋" w:eastAsia="仿宋"/>
          <w:b/>
          <w:bCs/>
          <w:color w:val="auto"/>
        </w:rPr>
        <w:t>项目名称：</w:t>
      </w:r>
      <w:r>
        <w:rPr>
          <w:rFonts w:hint="eastAsia" w:ascii="仿宋" w:hAnsi="仿宋" w:eastAsia="仿宋"/>
          <w:color w:val="auto"/>
        </w:rPr>
        <w:t>蔗场劳务服务；</w:t>
      </w:r>
    </w:p>
    <w:p>
      <w:pPr>
        <w:pStyle w:val="59"/>
        <w:ind w:firstLine="354"/>
        <w:rPr>
          <w:rFonts w:ascii="仿宋" w:hAnsi="仿宋" w:eastAsia="仿宋"/>
          <w:b/>
          <w:bCs/>
          <w:color w:val="auto"/>
        </w:rPr>
      </w:pPr>
      <w:r>
        <w:rPr>
          <w:rFonts w:hint="eastAsia" w:ascii="仿宋" w:hAnsi="仿宋" w:eastAsia="仿宋"/>
          <w:b/>
          <w:bCs/>
          <w:color w:val="FF0000"/>
        </w:rPr>
        <w:t>预计天数：</w:t>
      </w:r>
      <w:r>
        <w:rPr>
          <w:rFonts w:hint="eastAsia" w:ascii="仿宋" w:hAnsi="仿宋" w:eastAsia="仿宋"/>
          <w:snapToGrid w:val="0"/>
          <w:color w:val="FF0000"/>
          <w:u w:val="single"/>
        </w:rPr>
        <w:t>到甲方通知到厂之日起至榨季结束为止</w:t>
      </w:r>
      <w:r>
        <w:rPr>
          <w:rFonts w:hint="eastAsia" w:ascii="仿宋" w:hAnsi="仿宋" w:eastAsia="仿宋"/>
          <w:color w:val="FF0000"/>
        </w:rPr>
        <w:t>（天数为暂估，按天结算）；</w:t>
      </w:r>
    </w:p>
    <w:p>
      <w:pPr>
        <w:pStyle w:val="59"/>
        <w:ind w:firstLine="354"/>
        <w:rPr>
          <w:rFonts w:ascii="仿宋" w:hAnsi="仿宋" w:eastAsia="仿宋"/>
          <w:color w:val="auto"/>
        </w:rPr>
      </w:pPr>
      <w:r>
        <w:rPr>
          <w:rFonts w:hint="eastAsia" w:ascii="仿宋" w:hAnsi="仿宋" w:eastAsia="仿宋"/>
          <w:b/>
          <w:bCs/>
          <w:color w:val="auto"/>
        </w:rPr>
        <w:t>服务期限：</w:t>
      </w:r>
      <w:r>
        <w:rPr>
          <w:rFonts w:hint="eastAsia" w:ascii="仿宋" w:hAnsi="仿宋" w:eastAsia="仿宋"/>
          <w:snapToGrid w:val="0"/>
          <w:u w:val="single"/>
        </w:rPr>
        <w:t>2023/2024榨季接到甲方通知到厂之日起至榨季结束为止（具体以甲方通知为准）</w:t>
      </w:r>
      <w:r>
        <w:rPr>
          <w:rFonts w:ascii="仿宋" w:hAnsi="仿宋" w:eastAsia="仿宋"/>
          <w:color w:val="auto"/>
          <w:u w:val="single"/>
        </w:rPr>
        <w:t xml:space="preserve">  </w:t>
      </w:r>
      <w:r>
        <w:rPr>
          <w:rFonts w:hint="eastAsia" w:ascii="仿宋" w:hAnsi="仿宋" w:eastAsia="仿宋"/>
          <w:color w:val="auto"/>
        </w:rPr>
        <w:t>；</w:t>
      </w:r>
    </w:p>
    <w:p>
      <w:pPr>
        <w:pStyle w:val="59"/>
        <w:ind w:firstLine="353"/>
        <w:rPr>
          <w:rFonts w:ascii="仿宋" w:hAnsi="仿宋" w:eastAsia="仿宋"/>
          <w:color w:val="auto"/>
        </w:rPr>
      </w:pPr>
    </w:p>
    <w:p>
      <w:pPr>
        <w:pStyle w:val="59"/>
        <w:ind w:firstLine="354"/>
        <w:rPr>
          <w:rFonts w:ascii="仿宋" w:hAnsi="仿宋" w:eastAsia="仿宋"/>
          <w:b/>
          <w:bCs/>
          <w:color w:val="auto"/>
        </w:rPr>
      </w:pPr>
      <w:r>
        <w:rPr>
          <w:rFonts w:hint="eastAsia" w:ascii="仿宋" w:hAnsi="仿宋" w:eastAsia="仿宋"/>
          <w:b/>
          <w:bCs/>
          <w:color w:val="auto"/>
        </w:rPr>
        <w:t>二、采购范围</w:t>
      </w:r>
    </w:p>
    <w:p>
      <w:pPr>
        <w:pStyle w:val="59"/>
        <w:numPr>
          <w:ilvl w:val="0"/>
          <w:numId w:val="16"/>
        </w:numPr>
        <w:ind w:hanging="574" w:firstLineChars="0"/>
        <w:jc w:val="left"/>
        <w:rPr>
          <w:rFonts w:ascii="仿宋" w:hAnsi="仿宋" w:eastAsia="仿宋"/>
          <w:b/>
          <w:bCs/>
          <w:color w:val="auto"/>
        </w:rPr>
      </w:pPr>
      <w:r>
        <w:rPr>
          <w:rFonts w:hint="eastAsia" w:ascii="仿宋" w:hAnsi="仿宋" w:eastAsia="仿宋"/>
          <w:b/>
          <w:bCs/>
          <w:color w:val="auto"/>
        </w:rPr>
        <w:t>采购范围</w:t>
      </w:r>
    </w:p>
    <w:p>
      <w:pPr>
        <w:pStyle w:val="59"/>
        <w:ind w:firstLine="354"/>
        <w:rPr>
          <w:rFonts w:ascii="仿宋" w:hAnsi="仿宋" w:eastAsia="仿宋"/>
          <w:b/>
          <w:bCs/>
          <w:color w:val="auto"/>
        </w:rPr>
      </w:pPr>
      <w:r>
        <w:rPr>
          <w:rFonts w:hint="eastAsia" w:ascii="仿宋" w:hAnsi="仿宋" w:eastAsia="仿宋"/>
          <w:b/>
          <w:bCs/>
          <w:color w:val="auto"/>
        </w:rPr>
        <w:t xml:space="preserve">  蔗场劳务服务：</w:t>
      </w:r>
    </w:p>
    <w:p>
      <w:pPr>
        <w:pStyle w:val="37"/>
        <w:numPr>
          <w:ilvl w:val="0"/>
          <w:numId w:val="17"/>
        </w:numPr>
        <w:spacing w:line="300" w:lineRule="exact"/>
        <w:rPr>
          <w:rFonts w:ascii="仿宋_GB2312" w:eastAsia="仿宋_GB2312"/>
          <w:sz w:val="24"/>
          <w:lang w:eastAsia="zh-CN"/>
        </w:rPr>
      </w:pPr>
      <w:r>
        <w:rPr>
          <w:rFonts w:hint="eastAsia" w:ascii="微软雅黑" w:hAnsi="微软雅黑" w:eastAsia="微软雅黑" w:cs="微软雅黑"/>
          <w:sz w:val="24"/>
          <w:lang w:eastAsia="zh-CN"/>
        </w:rPr>
        <w:t>、</w:t>
      </w:r>
      <w:r>
        <w:rPr>
          <w:rFonts w:hint="eastAsia" w:ascii="仿宋_GB2312" w:eastAsia="仿宋_GB2312"/>
          <w:sz w:val="24"/>
          <w:lang w:eastAsia="zh-CN"/>
        </w:rPr>
        <w:t>主要负责运蔗车及堆码甘蔗钢丝绳的挂、脱钩。</w:t>
      </w:r>
    </w:p>
    <w:p>
      <w:pPr>
        <w:spacing w:line="300" w:lineRule="exact"/>
        <w:ind w:firstLine="480" w:firstLineChars="200"/>
        <w:rPr>
          <w:rFonts w:ascii="仿宋_GB2312" w:eastAsia="仿宋_GB2312"/>
          <w:color w:val="FF0000"/>
          <w:sz w:val="24"/>
          <w:lang w:eastAsia="zh-CN"/>
        </w:rPr>
      </w:pPr>
      <w:r>
        <w:rPr>
          <w:rFonts w:hint="eastAsia" w:ascii="微软雅黑" w:hAnsi="微软雅黑" w:eastAsia="微软雅黑" w:cs="微软雅黑"/>
          <w:sz w:val="24"/>
          <w:lang w:eastAsia="zh-CN"/>
        </w:rPr>
        <w:t>②、</w:t>
      </w:r>
      <w:r>
        <w:rPr>
          <w:rFonts w:hint="eastAsia" w:ascii="仿宋_GB2312" w:eastAsia="仿宋_GB2312"/>
          <w:sz w:val="24"/>
          <w:lang w:eastAsia="zh-CN"/>
        </w:rPr>
        <w:t>负责称喂蔗台机体及蔗场地面的掉落散蔗清理及卫生清扫，蔗场卫生清</w:t>
      </w:r>
      <w:r>
        <w:rPr>
          <w:rFonts w:hint="eastAsia" w:ascii="仿宋_GB2312" w:eastAsia="仿宋_GB2312"/>
          <w:color w:val="FF0000"/>
          <w:sz w:val="24"/>
          <w:lang w:eastAsia="zh-CN"/>
        </w:rPr>
        <w:t>扫及喷石灰水蔗码消毒等。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③、</w:t>
      </w:r>
      <w:r>
        <w:rPr>
          <w:rFonts w:hint="eastAsia" w:ascii="仿宋_GB2312" w:eastAsia="仿宋_GB2312"/>
          <w:sz w:val="24"/>
          <w:lang w:eastAsia="zh-CN"/>
        </w:rPr>
        <w:t>负责蔗场蔗叠、翻堆工作，蔗刀口喷石灰石消毒工作等。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④</w:t>
      </w:r>
      <w:r>
        <w:rPr>
          <w:rFonts w:hint="eastAsia" w:ascii="仿宋_GB2312" w:eastAsia="仿宋_GB2312"/>
          <w:sz w:val="24"/>
          <w:lang w:eastAsia="zh-CN"/>
        </w:rPr>
        <w:t>、负责1#、2#输蔗机槽底清洁及1#、2#输蔗机冲洗等日常消毒、杀菌工作。</w:t>
      </w:r>
    </w:p>
    <w:p>
      <w:pPr>
        <w:spacing w:line="300" w:lineRule="exact"/>
        <w:ind w:left="440"/>
        <w:rPr>
          <w:rFonts w:ascii="仿宋_GB2312" w:eastAsia="仿宋_GB2312"/>
          <w:sz w:val="24"/>
          <w:lang w:eastAsia="zh-CN"/>
        </w:rPr>
      </w:pPr>
      <w:r>
        <w:rPr>
          <w:rFonts w:hint="eastAsia" w:ascii="微软雅黑" w:hAnsi="微软雅黑" w:eastAsia="微软雅黑" w:cs="微软雅黑"/>
          <w:sz w:val="24"/>
          <w:lang w:eastAsia="zh-CN"/>
        </w:rPr>
        <w:t>⑤、</w:t>
      </w:r>
      <w:r>
        <w:rPr>
          <w:rFonts w:hint="eastAsia" w:ascii="仿宋_GB2312" w:eastAsia="仿宋_GB2312"/>
          <w:sz w:val="24"/>
          <w:lang w:eastAsia="zh-CN"/>
        </w:rPr>
        <w:t>负责喂蔗口甘蔗理顺，杂物清理（如木杆、竹片、石块等）。</w:t>
      </w:r>
    </w:p>
    <w:p>
      <w:pPr>
        <w:spacing w:line="300" w:lineRule="exact"/>
        <w:ind w:firstLine="480" w:firstLineChars="200"/>
        <w:rPr>
          <w:rFonts w:ascii="仿宋_GB2312" w:eastAsia="仿宋_GB2312"/>
          <w:sz w:val="24"/>
          <w:lang w:eastAsia="zh-CN"/>
        </w:rPr>
      </w:pPr>
      <w:r>
        <w:rPr>
          <w:rFonts w:hint="eastAsia" w:ascii="微软雅黑" w:hAnsi="微软雅黑" w:eastAsia="微软雅黑" w:cs="微软雅黑"/>
          <w:sz w:val="24"/>
          <w:lang w:eastAsia="zh-CN"/>
        </w:rPr>
        <w:t>⑥、</w:t>
      </w:r>
      <w:r>
        <w:rPr>
          <w:rFonts w:hint="eastAsia" w:ascii="仿宋_GB2312" w:eastAsia="仿宋_GB2312"/>
          <w:sz w:val="24"/>
          <w:lang w:eastAsia="zh-CN"/>
        </w:rPr>
        <w:t>吊蔗钢丝绳管理。</w:t>
      </w:r>
    </w:p>
    <w:p>
      <w:pPr>
        <w:spacing w:line="300" w:lineRule="exact"/>
        <w:ind w:left="30" w:firstLine="480" w:firstLineChars="200"/>
        <w:rPr>
          <w:rFonts w:ascii="仿宋" w:hAnsi="仿宋" w:eastAsia="仿宋" w:cs="Times New Roman"/>
          <w:snapToGrid w:val="0"/>
          <w:color w:val="000000"/>
          <w:sz w:val="24"/>
          <w:szCs w:val="24"/>
          <w:lang w:eastAsia="zh-CN"/>
        </w:rPr>
      </w:pPr>
      <w:r>
        <w:rPr>
          <w:rFonts w:hint="eastAsia" w:ascii="微软雅黑" w:hAnsi="微软雅黑" w:eastAsia="微软雅黑" w:cs="微软雅黑"/>
          <w:sz w:val="24"/>
          <w:lang w:eastAsia="zh-CN"/>
        </w:rPr>
        <w:t>⑦、</w:t>
      </w:r>
      <w:r>
        <w:rPr>
          <w:rFonts w:hint="eastAsia" w:ascii="仿宋" w:hAnsi="仿宋" w:eastAsia="仿宋" w:cs="Times New Roman"/>
          <w:snapToGrid w:val="0"/>
          <w:color w:val="000000"/>
          <w:sz w:val="24"/>
          <w:szCs w:val="24"/>
          <w:lang w:eastAsia="zh-CN"/>
        </w:rPr>
        <w:t>配合车间管理好蔗场安全工作，（如：运蔗车辆、运蔗驾驶员、蔗农、其它人员等）</w:t>
      </w:r>
    </w:p>
    <w:p>
      <w:pPr>
        <w:spacing w:line="300" w:lineRule="exact"/>
        <w:ind w:firstLine="480" w:firstLineChars="200"/>
        <w:rPr>
          <w:rFonts w:ascii="仿宋_GB2312" w:eastAsia="仿宋_GB2312"/>
          <w:lang w:eastAsia="zh-CN"/>
        </w:rPr>
      </w:pPr>
      <w:r>
        <w:rPr>
          <w:rFonts w:hint="eastAsia" w:ascii="微软雅黑" w:hAnsi="微软雅黑" w:eastAsia="微软雅黑" w:cs="微软雅黑"/>
          <w:snapToGrid w:val="0"/>
          <w:color w:val="000000"/>
          <w:sz w:val="24"/>
          <w:szCs w:val="24"/>
          <w:lang w:eastAsia="zh-CN"/>
        </w:rPr>
        <w:t>⑧、</w:t>
      </w:r>
      <w:r>
        <w:rPr>
          <w:rFonts w:hint="eastAsia" w:ascii="仿宋_GB2312" w:eastAsia="仿宋_GB2312"/>
          <w:sz w:val="24"/>
          <w:lang w:eastAsia="zh-CN"/>
        </w:rPr>
        <w:t>服从车间的其他工作安排</w:t>
      </w:r>
      <w:r>
        <w:rPr>
          <w:rFonts w:hint="eastAsia" w:ascii="仿宋" w:hAnsi="仿宋" w:eastAsia="仿宋" w:cs="Times New Roman"/>
          <w:snapToGrid w:val="0"/>
          <w:color w:val="000000"/>
          <w:sz w:val="24"/>
          <w:szCs w:val="24"/>
          <w:lang w:eastAsia="zh-CN"/>
        </w:rPr>
        <w:t>。</w:t>
      </w:r>
    </w:p>
    <w:p>
      <w:pPr>
        <w:spacing w:line="360" w:lineRule="auto"/>
        <w:rPr>
          <w:rFonts w:ascii="仿宋" w:hAnsi="仿宋" w:eastAsia="仿宋"/>
          <w:color w:val="FF0000"/>
          <w:sz w:val="24"/>
          <w:lang w:eastAsia="zh-CN"/>
        </w:rPr>
      </w:pPr>
      <w:bookmarkStart w:id="107" w:name="扫描0048"/>
      <w:bookmarkEnd w:id="107"/>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 xml:space="preserve"> 中粮梁河糖业芒东工厂压榨车间2023/2024榨季</w:t>
      </w:r>
    </w:p>
    <w:p>
      <w:pPr>
        <w:adjustRightInd w:val="0"/>
        <w:snapToGrid w:val="0"/>
        <w:spacing w:line="480" w:lineRule="auto"/>
        <w:jc w:val="center"/>
        <w:rPr>
          <w:rFonts w:ascii="仿宋" w:hAnsi="仿宋" w:eastAsia="仿宋"/>
          <w:snapToGrid w:val="0"/>
          <w:sz w:val="36"/>
          <w:szCs w:val="36"/>
          <w:u w:val="single"/>
          <w:lang w:eastAsia="zh-CN"/>
        </w:rPr>
      </w:pPr>
      <w:r>
        <w:rPr>
          <w:rFonts w:hint="eastAsia" w:ascii="仿宋" w:hAnsi="仿宋" w:eastAsia="仿宋"/>
          <w:snapToGrid w:val="0"/>
          <w:sz w:val="36"/>
          <w:szCs w:val="36"/>
          <w:u w:val="single"/>
          <w:lang w:eastAsia="zh-CN"/>
        </w:rPr>
        <w:t>蔗场外包项目</w:t>
      </w: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劳务服务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2023</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08" w:name="扫描0049"/>
      <w:bookmarkEnd w:id="108"/>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三、联合体协议书（适用于供应商组成联合体的情况）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四、响应保证金（适用于递交响应保证金的情况）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七、资格审查资料</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八、响应方案</w:t>
      </w:r>
    </w:p>
    <w:p>
      <w:pPr>
        <w:adjustRightInd w:val="0"/>
        <w:snapToGrid w:val="0"/>
        <w:spacing w:line="276" w:lineRule="auto"/>
        <w:jc w:val="both"/>
        <w:rPr>
          <w:rFonts w:ascii="仿宋" w:hAnsi="仿宋" w:eastAsia="仿宋"/>
          <w:snapToGrid w:val="0"/>
          <w:sz w:val="24"/>
          <w:szCs w:val="24"/>
          <w:lang w:eastAsia="zh-CN"/>
        </w:rPr>
      </w:pPr>
      <w:r>
        <w:rPr>
          <w:rFonts w:ascii="仿宋" w:hAnsi="仿宋" w:eastAsia="仿宋"/>
          <w:snapToGrid w:val="0"/>
          <w:sz w:val="24"/>
          <w:szCs w:val="24"/>
          <w:lang w:eastAsia="zh-CN"/>
        </w:rPr>
        <w:t>九、</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十、保密协议书</w:t>
      </w:r>
    </w:p>
    <w:p>
      <w:pPr>
        <w:spacing w:line="276" w:lineRule="auto"/>
        <w:rPr>
          <w:rFonts w:ascii="仿宋" w:hAnsi="仿宋" w:eastAsia="仿宋" w:cs="Times New Roman"/>
          <w:snapToGrid w:val="0"/>
          <w:sz w:val="24"/>
          <w:szCs w:val="24"/>
          <w:lang w:eastAsia="zh-CN"/>
        </w:rPr>
      </w:pPr>
      <w:bookmarkStart w:id="109" w:name="扫描0050"/>
      <w:bookmarkEnd w:id="109"/>
      <w:r>
        <w:rPr>
          <w:rFonts w:ascii="仿宋" w:hAnsi="仿宋" w:eastAsia="仿宋" w:cs="Times New Roman"/>
          <w:snapToGrid w:val="0"/>
          <w:sz w:val="24"/>
          <w:szCs w:val="24"/>
          <w:lang w:eastAsia="zh-CN"/>
        </w:rPr>
        <w:br w:type="page"/>
      </w: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10" w:name="_bookmark17"/>
      <w:bookmarkEnd w:id="110"/>
      <w:bookmarkStart w:id="111" w:name="_Toc10315"/>
      <w:r>
        <w:rPr>
          <w:rFonts w:ascii="仿宋" w:hAnsi="仿宋" w:eastAsia="仿宋"/>
          <w:b/>
          <w:bCs/>
          <w:snapToGrid w:val="0"/>
          <w:sz w:val="32"/>
          <w:szCs w:val="32"/>
          <w:lang w:eastAsia="zh-CN"/>
        </w:rPr>
        <w:t>—、响应函</w:t>
      </w:r>
      <w:bookmarkEnd w:id="111"/>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8"/>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lang w:eastAsia="zh-CN"/>
        </w:rPr>
        <w:t>中粮梁河糖业</w:t>
      </w:r>
      <w:r>
        <w:rPr>
          <w:rFonts w:hint="eastAsia" w:ascii="仿宋" w:hAnsi="仿宋" w:eastAsia="仿宋"/>
          <w:snapToGrid w:val="0"/>
          <w:sz w:val="24"/>
          <w:szCs w:val="24"/>
          <w:u w:val="single"/>
          <w:lang w:eastAsia="zh-CN"/>
        </w:rPr>
        <w:t xml:space="preserve">勐养工厂压榨车间2023/2024榨季蔗场外包 </w:t>
      </w:r>
      <w:r>
        <w:rPr>
          <w:rFonts w:hint="eastAsia" w:ascii="仿宋" w:hAnsi="仿宋" w:eastAsia="仿宋"/>
          <w:snapToGrid w:val="0"/>
          <w:sz w:val="24"/>
          <w:szCs w:val="24"/>
          <w:lang w:eastAsia="zh-CN"/>
        </w:rPr>
        <w:t>劳务服务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20"/>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20"/>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20"/>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20"/>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采购公告/</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采购邀请书”中规定的供应商不得存在的情形。</w:t>
      </w:r>
    </w:p>
    <w:p>
      <w:pPr>
        <w:pStyle w:val="10"/>
        <w:numPr>
          <w:ilvl w:val="0"/>
          <w:numId w:val="18"/>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2" w:name="扫描0052"/>
      <w:bookmarkEnd w:id="112"/>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3" w:name="_Toc14003"/>
      <w:r>
        <w:rPr>
          <w:rFonts w:ascii="仿宋" w:hAnsi="仿宋" w:eastAsia="仿宋"/>
          <w:b/>
          <w:bCs/>
          <w:snapToGrid w:val="0"/>
          <w:sz w:val="32"/>
          <w:szCs w:val="32"/>
          <w:lang w:eastAsia="zh-CN"/>
        </w:rPr>
        <w:t>二、授权委托书</w:t>
      </w:r>
      <w:bookmarkEnd w:id="113"/>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4" w:name="扫描0053"/>
      <w:bookmarkEnd w:id="114"/>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5" w:name="_Toc4612"/>
      <w:r>
        <w:rPr>
          <w:rFonts w:ascii="仿宋" w:hAnsi="仿宋" w:eastAsia="仿宋"/>
          <w:b/>
          <w:bCs/>
          <w:snapToGrid w:val="0"/>
          <w:sz w:val="32"/>
          <w:szCs w:val="32"/>
          <w:lang w:eastAsia="zh-CN"/>
        </w:rPr>
        <w:t>三、联合体协议书</w:t>
      </w:r>
      <w:bookmarkEnd w:id="115"/>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ascii="仿宋" w:hAnsi="仿宋" w:eastAsia="仿宋"/>
          <w:snapToGrid w:val="0"/>
          <w:sz w:val="24"/>
          <w:szCs w:val="24"/>
          <w:u w:val="single"/>
          <w:lang w:eastAsia="zh-CN"/>
        </w:rPr>
        <w:t>（项目名称）</w:t>
      </w:r>
      <w:r>
        <w:rPr>
          <w:rFonts w:ascii="仿宋" w:hAnsi="仿宋" w:eastAsia="仿宋"/>
          <w:snapToGrid w:val="0"/>
          <w:sz w:val="24"/>
          <w:szCs w:val="24"/>
          <w:lang w:eastAsia="zh-CN"/>
        </w:rPr>
        <w:t>采购活动。现就组成联合体事宜订立如下协议。</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联合体各成员授权牵头人代表联合体参加谈判采购活动，签署文件，递交和接收相关的资料、信息及指示，进行合同采购活动，负责合同实施阶段的组织和协调工作，以及处理与本采购项目有关的一切事宜。</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w:t>
      </w:r>
      <w:r>
        <w:rPr>
          <w:rFonts w:hint="eastAsia" w:ascii="仿宋" w:hAnsi="仿宋" w:eastAsia="仿宋"/>
          <w:snapToGrid w:val="0"/>
          <w:sz w:val="24"/>
          <w:szCs w:val="24"/>
          <w:lang w:eastAsia="zh-CN"/>
        </w:rPr>
        <w:t>谈判</w:t>
      </w:r>
      <w:r>
        <w:rPr>
          <w:rFonts w:ascii="仿宋" w:hAnsi="仿宋" w:eastAsia="仿宋"/>
          <w:snapToGrid w:val="0"/>
          <w:sz w:val="24"/>
          <w:szCs w:val="24"/>
          <w:lang w:eastAsia="zh-CN"/>
        </w:rPr>
        <w:t>采购项目。</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10"/>
        <w:numPr>
          <w:ilvl w:val="1"/>
          <w:numId w:val="21"/>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360" w:lineRule="auto"/>
        <w:ind w:left="2125" w:leftChars="966"/>
        <w:rPr>
          <w:rFonts w:ascii="仿宋" w:hAnsi="仿宋" w:eastAsia="仿宋"/>
          <w:snapToGrid w:val="0"/>
          <w:sz w:val="24"/>
          <w:szCs w:val="24"/>
          <w:lang w:eastAsia="zh-CN"/>
        </w:rPr>
      </w:pP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6" w:name="扫描0054"/>
      <w:bookmarkEnd w:id="116"/>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7" w:name="_Toc32617"/>
      <w:r>
        <w:rPr>
          <w:rFonts w:ascii="仿宋" w:hAnsi="仿宋" w:eastAsia="仿宋"/>
          <w:b/>
          <w:bCs/>
          <w:snapToGrid w:val="0"/>
          <w:sz w:val="32"/>
          <w:szCs w:val="32"/>
          <w:lang w:eastAsia="zh-CN"/>
        </w:rPr>
        <w:t>四、响应保证金</w:t>
      </w:r>
      <w:bookmarkEnd w:id="117"/>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22"/>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中粮梁河糖业勐养工厂压榨车间2023/2024榨季蔗场外包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u w:val="single"/>
          <w:lang w:eastAsia="zh-CN"/>
        </w:rPr>
        <w:t>劳务</w:t>
      </w:r>
      <w:r>
        <w:rPr>
          <w:rFonts w:hint="eastAsia" w:ascii="仿宋" w:hAnsi="仿宋" w:eastAsia="仿宋"/>
          <w:snapToGrid w:val="0"/>
          <w:sz w:val="24"/>
          <w:szCs w:val="24"/>
          <w:lang w:eastAsia="zh-CN"/>
        </w:rPr>
        <w:t>服务谈判</w:t>
      </w:r>
      <w:r>
        <w:rPr>
          <w:rFonts w:ascii="仿宋" w:hAnsi="仿宋" w:eastAsia="仿宋"/>
          <w:snapToGrid w:val="0"/>
          <w:sz w:val="24"/>
          <w:szCs w:val="24"/>
          <w:lang w:eastAsia="zh-CN"/>
        </w:rPr>
        <w:t>采购活动，</w:t>
      </w:r>
      <w:r>
        <w:rPr>
          <w:rFonts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br w:type="textWrapping"/>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adjustRightInd w:val="0"/>
        <w:snapToGrid w:val="0"/>
        <w:spacing w:line="360" w:lineRule="auto"/>
        <w:jc w:val="right"/>
        <w:rPr>
          <w:rFonts w:ascii="仿宋" w:hAnsi="仿宋" w:eastAsia="仿宋"/>
          <w:snapToGrid w:val="0"/>
          <w:sz w:val="24"/>
          <w:szCs w:val="24"/>
          <w:lang w:eastAsia="zh-CN"/>
        </w:rPr>
      </w:pPr>
      <w:bookmarkStart w:id="118" w:name="扫描0055"/>
      <w:bookmarkEnd w:id="11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9" w:name="_bookmark18"/>
      <w:bookmarkEnd w:id="119"/>
      <w:bookmarkStart w:id="120" w:name="_Toc16481"/>
      <w:r>
        <w:rPr>
          <w:rFonts w:ascii="仿宋" w:hAnsi="仿宋" w:eastAsia="仿宋"/>
          <w:b/>
          <w:bCs/>
          <w:snapToGrid w:val="0"/>
          <w:sz w:val="32"/>
          <w:szCs w:val="32"/>
          <w:lang w:eastAsia="zh-CN"/>
        </w:rPr>
        <w:t>五、商务和技术偏差表</w:t>
      </w:r>
      <w:bookmarkEnd w:id="120"/>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21" w:name="扫描0056"/>
      <w:bookmarkEnd w:id="121"/>
    </w:p>
    <w:p>
      <w:pPr>
        <w:spacing w:line="276" w:lineRule="auto"/>
        <w:rPr>
          <w:rFonts w:ascii="仿宋" w:hAnsi="仿宋" w:eastAsia="仿宋" w:cs="Times New Roman"/>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22" w:name="扫描0057"/>
      <w:bookmarkEnd w:id="122"/>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3" w:name="_Toc3184"/>
      <w:r>
        <w:rPr>
          <w:rFonts w:ascii="仿宋" w:hAnsi="仿宋" w:eastAsia="仿宋"/>
          <w:b/>
          <w:bCs/>
          <w:snapToGrid w:val="0"/>
          <w:sz w:val="32"/>
          <w:szCs w:val="32"/>
          <w:lang w:eastAsia="zh-CN"/>
        </w:rPr>
        <w:t>六、报价单</w:t>
      </w:r>
      <w:bookmarkEnd w:id="123"/>
    </w:p>
    <w:p>
      <w:pPr>
        <w:spacing w:line="360" w:lineRule="auto"/>
        <w:rPr>
          <w:rFonts w:ascii="仿宋" w:hAnsi="仿宋" w:eastAsia="仿宋"/>
          <w:b/>
          <w:sz w:val="24"/>
          <w:szCs w:val="24"/>
          <w:lang w:eastAsia="zh-CN"/>
        </w:rPr>
      </w:pPr>
    </w:p>
    <w:p>
      <w:pPr>
        <w:spacing w:line="500" w:lineRule="exact"/>
        <w:ind w:firstLine="480" w:firstLineChars="200"/>
        <w:rPr>
          <w:rFonts w:ascii="仿宋" w:hAnsi="仿宋" w:eastAsia="仿宋"/>
          <w:sz w:val="24"/>
          <w:szCs w:val="24"/>
          <w:lang w:eastAsia="zh-CN"/>
        </w:rPr>
      </w:pPr>
      <w:bookmarkStart w:id="124" w:name="扫描0058"/>
      <w:bookmarkEnd w:id="124"/>
      <w:bookmarkStart w:id="125" w:name="扫描0059"/>
      <w:bookmarkEnd w:id="125"/>
      <w:r>
        <w:rPr>
          <w:rFonts w:ascii="仿宋" w:hAnsi="仿宋" w:eastAsia="仿宋"/>
          <w:sz w:val="24"/>
          <w:szCs w:val="24"/>
          <w:lang w:eastAsia="zh-CN"/>
        </w:rPr>
        <w:t>项目名称:</w:t>
      </w:r>
    </w:p>
    <w:p>
      <w:pPr>
        <w:spacing w:line="500" w:lineRule="exact"/>
        <w:ind w:firstLine="480" w:firstLineChars="200"/>
        <w:rPr>
          <w:rFonts w:ascii="仿宋" w:hAnsi="仿宋" w:eastAsia="仿宋"/>
          <w:sz w:val="24"/>
          <w:szCs w:val="24"/>
          <w:u w:val="single"/>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致：中粮梁河糖业有限公司</w:t>
      </w:r>
    </w:p>
    <w:p>
      <w:pPr>
        <w:spacing w:line="500" w:lineRule="exact"/>
        <w:ind w:firstLine="480" w:firstLineChars="200"/>
        <w:rPr>
          <w:rFonts w:ascii="仿宋" w:hAnsi="仿宋" w:eastAsia="仿宋"/>
          <w:sz w:val="24"/>
          <w:szCs w:val="24"/>
          <w:lang w:eastAsia="zh-CN"/>
        </w:rPr>
      </w:pPr>
    </w:p>
    <w:p>
      <w:pPr>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根据《中华人民共和国民法通则》、《中华人民共和国合同法》的有关规定，经甲、乙双方友好协商，就乙方代理</w:t>
      </w:r>
      <w:r>
        <w:rPr>
          <w:rFonts w:ascii="仿宋" w:hAnsi="仿宋" w:eastAsia="仿宋"/>
          <w:sz w:val="24"/>
          <w:szCs w:val="24"/>
          <w:u w:val="single"/>
          <w:lang w:eastAsia="zh-CN"/>
        </w:rPr>
        <w:t xml:space="preserve">                      </w:t>
      </w:r>
      <w:r>
        <w:rPr>
          <w:rFonts w:ascii="仿宋" w:hAnsi="仿宋" w:eastAsia="仿宋"/>
          <w:sz w:val="24"/>
          <w:szCs w:val="24"/>
          <w:lang w:eastAsia="zh-CN"/>
        </w:rPr>
        <w:t>等</w:t>
      </w:r>
      <w:r>
        <w:rPr>
          <w:rFonts w:hint="eastAsia" w:ascii="仿宋" w:hAnsi="仿宋" w:eastAsia="仿宋"/>
          <w:sz w:val="24"/>
          <w:szCs w:val="24"/>
          <w:lang w:eastAsia="zh-CN"/>
        </w:rPr>
        <w:t>劳务服务</w:t>
      </w:r>
      <w:r>
        <w:rPr>
          <w:rFonts w:ascii="仿宋" w:hAnsi="仿宋" w:eastAsia="仿宋"/>
          <w:sz w:val="24"/>
          <w:szCs w:val="24"/>
          <w:lang w:eastAsia="zh-CN"/>
        </w:rPr>
        <w:t>事宜，费用报价如下：</w:t>
      </w:r>
    </w:p>
    <w:p>
      <w:pPr>
        <w:pStyle w:val="37"/>
        <w:numPr>
          <w:ilvl w:val="0"/>
          <w:numId w:val="15"/>
        </w:numPr>
        <w:spacing w:line="500" w:lineRule="exact"/>
        <w:rPr>
          <w:rFonts w:ascii="仿宋" w:hAnsi="仿宋" w:eastAsia="仿宋"/>
          <w:sz w:val="24"/>
          <w:szCs w:val="24"/>
          <w:lang w:eastAsia="zh-CN"/>
        </w:rPr>
      </w:pPr>
      <w:r>
        <w:rPr>
          <w:rFonts w:hint="eastAsia" w:ascii="仿宋" w:hAnsi="仿宋" w:eastAsia="仿宋"/>
          <w:sz w:val="24"/>
          <w:szCs w:val="24"/>
          <w:lang w:eastAsia="zh-CN"/>
        </w:rPr>
        <w:t>劳务服务</w:t>
      </w:r>
      <w:r>
        <w:rPr>
          <w:rFonts w:ascii="仿宋" w:hAnsi="仿宋" w:eastAsia="仿宋"/>
          <w:sz w:val="24"/>
          <w:szCs w:val="24"/>
          <w:lang w:eastAsia="zh-CN"/>
        </w:rPr>
        <w:t>费用如下：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1"/>
        <w:gridCol w:w="769"/>
        <w:gridCol w:w="750"/>
        <w:gridCol w:w="1934"/>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序号</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内容</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单位</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数量</w:t>
            </w:r>
          </w:p>
        </w:tc>
        <w:tc>
          <w:tcPr>
            <w:tcW w:w="1934"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金额（元/天）</w:t>
            </w:r>
          </w:p>
        </w:tc>
        <w:tc>
          <w:tcPr>
            <w:tcW w:w="3376"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2071"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val="en-US" w:eastAsia="zh-CN"/>
              </w:rPr>
              <w:t>勐养</w:t>
            </w:r>
            <w:r>
              <w:rPr>
                <w:rFonts w:hint="eastAsia" w:ascii="仿宋" w:hAnsi="仿宋" w:eastAsia="仿宋"/>
                <w:snapToGrid w:val="0"/>
                <w:sz w:val="24"/>
                <w:szCs w:val="24"/>
                <w:lang w:eastAsia="zh-CN"/>
              </w:rPr>
              <w:t>工厂压榨车间2023/2024</w:t>
            </w:r>
            <w:r>
              <w:rPr>
                <w:rFonts w:hint="eastAsia" w:ascii="仿宋" w:hAnsi="仿宋" w:eastAsia="仿宋"/>
                <w:snapToGrid w:val="0"/>
                <w:sz w:val="24"/>
                <w:szCs w:val="24"/>
                <w:lang w:val="en-US" w:eastAsia="zh-CN"/>
              </w:rPr>
              <w:t>年</w:t>
            </w:r>
            <w:r>
              <w:rPr>
                <w:rFonts w:hint="eastAsia" w:ascii="仿宋" w:hAnsi="仿宋" w:eastAsia="仿宋"/>
                <w:snapToGrid w:val="0"/>
                <w:sz w:val="24"/>
                <w:szCs w:val="24"/>
                <w:lang w:eastAsia="zh-CN"/>
              </w:rPr>
              <w:t>榨季蔗场外包劳务服务</w:t>
            </w:r>
          </w:p>
        </w:tc>
        <w:tc>
          <w:tcPr>
            <w:tcW w:w="76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项</w:t>
            </w:r>
          </w:p>
        </w:tc>
        <w:tc>
          <w:tcPr>
            <w:tcW w:w="750"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1</w:t>
            </w:r>
          </w:p>
        </w:tc>
        <w:tc>
          <w:tcPr>
            <w:tcW w:w="1934" w:type="dxa"/>
            <w:vAlign w:val="center"/>
          </w:tcPr>
          <w:p>
            <w:pPr>
              <w:spacing w:line="360" w:lineRule="auto"/>
              <w:jc w:val="center"/>
              <w:rPr>
                <w:rFonts w:hint="eastAsia" w:ascii="仿宋" w:hAnsi="仿宋" w:eastAsia="仿宋"/>
                <w:sz w:val="24"/>
                <w:szCs w:val="24"/>
                <w:vertAlign w:val="baseline"/>
                <w:lang w:eastAsia="zh-CN"/>
              </w:rPr>
            </w:pPr>
          </w:p>
        </w:tc>
        <w:tc>
          <w:tcPr>
            <w:tcW w:w="337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sz w:val="24"/>
                <w:szCs w:val="24"/>
                <w:vertAlign w:val="baseline"/>
                <w:lang w:val="en-US" w:eastAsia="zh-CN"/>
              </w:rPr>
            </w:pPr>
            <w:r>
              <w:rPr>
                <w:rFonts w:hint="eastAsia" w:ascii="仿宋" w:hAnsi="仿宋" w:eastAsia="仿宋"/>
                <w:snapToGrid w:val="0"/>
                <w:sz w:val="24"/>
                <w:szCs w:val="24"/>
                <w:lang w:eastAsia="zh-CN"/>
              </w:rPr>
              <w:t>压榨车间蔗场清洁、散蔗清理、蔗带清理、甘蔗挂钩、吊蔗钢丝绳管理等工作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承包期限</w:t>
            </w:r>
          </w:p>
        </w:tc>
        <w:tc>
          <w:tcPr>
            <w:tcW w:w="6829" w:type="dxa"/>
            <w:gridSpan w:val="4"/>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2023/2024榨季开始至榨季结束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3</w:t>
            </w: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开票方式</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spacing w:line="360" w:lineRule="auto"/>
              <w:jc w:val="center"/>
              <w:rPr>
                <w:rFonts w:hint="eastAsia" w:ascii="仿宋" w:hAnsi="仿宋" w:eastAsia="仿宋"/>
                <w:sz w:val="24"/>
                <w:szCs w:val="24"/>
                <w:vertAlign w:val="baseline"/>
                <w:lang w:eastAsia="zh-CN"/>
              </w:rPr>
            </w:pPr>
          </w:p>
        </w:tc>
        <w:tc>
          <w:tcPr>
            <w:tcW w:w="2071" w:type="dxa"/>
            <w:vAlign w:val="center"/>
          </w:tcPr>
          <w:p>
            <w:pPr>
              <w:spacing w:line="360" w:lineRule="auto"/>
              <w:jc w:val="center"/>
              <w:rPr>
                <w:rFonts w:hint="default" w:ascii="仿宋" w:hAnsi="仿宋" w:eastAsia="仿宋"/>
                <w:sz w:val="24"/>
                <w:szCs w:val="24"/>
                <w:vertAlign w:val="baseline"/>
                <w:lang w:val="en-US" w:eastAsia="zh-CN"/>
              </w:rPr>
            </w:pPr>
            <w:r>
              <w:rPr>
                <w:rFonts w:hint="eastAsia" w:ascii="仿宋" w:hAnsi="仿宋" w:eastAsia="仿宋"/>
                <w:sz w:val="24"/>
                <w:szCs w:val="24"/>
                <w:vertAlign w:val="baseline"/>
                <w:lang w:val="en-US" w:eastAsia="zh-CN"/>
              </w:rPr>
              <w:t>其它</w:t>
            </w:r>
          </w:p>
        </w:tc>
        <w:tc>
          <w:tcPr>
            <w:tcW w:w="6829" w:type="dxa"/>
            <w:gridSpan w:val="4"/>
            <w:vAlign w:val="center"/>
          </w:tcPr>
          <w:p>
            <w:pPr>
              <w:spacing w:line="360" w:lineRule="auto"/>
              <w:jc w:val="center"/>
              <w:rPr>
                <w:rFonts w:hint="eastAsia" w:ascii="仿宋" w:hAnsi="仿宋" w:eastAsia="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9" w:type="dxa"/>
            <w:gridSpan w:val="6"/>
            <w:vAlign w:val="center"/>
          </w:tcPr>
          <w:p>
            <w:pPr>
              <w:numPr>
                <w:ilvl w:val="0"/>
                <w:numId w:val="13"/>
              </w:numPr>
              <w:spacing w:line="300" w:lineRule="exact"/>
              <w:rPr>
                <w:rFonts w:hint="eastAsia" w:ascii="仿宋_GB2312" w:eastAsia="仿宋_GB2312"/>
                <w:sz w:val="21"/>
                <w:szCs w:val="21"/>
                <w:lang w:eastAsia="zh-CN"/>
              </w:rPr>
            </w:pPr>
            <w:r>
              <w:rPr>
                <w:rFonts w:hint="eastAsia" w:ascii="仿宋_GB2312" w:eastAsia="仿宋_GB2312"/>
                <w:sz w:val="21"/>
                <w:szCs w:val="21"/>
                <w:lang w:val="en-US" w:eastAsia="zh-CN"/>
              </w:rPr>
              <w:t>说明：</w:t>
            </w:r>
            <w:r>
              <w:rPr>
                <w:rFonts w:hint="eastAsia" w:ascii="仿宋_GB2312" w:eastAsia="仿宋_GB2312"/>
                <w:sz w:val="21"/>
                <w:szCs w:val="21"/>
                <w:lang w:eastAsia="zh-CN"/>
              </w:rPr>
              <w:t>劳务人数：</w:t>
            </w:r>
            <w:r>
              <w:rPr>
                <w:rFonts w:hint="eastAsia" w:ascii="仿宋_GB2312" w:eastAsia="仿宋_GB2312"/>
                <w:sz w:val="21"/>
                <w:szCs w:val="21"/>
                <w:lang w:val="en-US" w:eastAsia="zh-CN"/>
              </w:rPr>
              <w:t>X</w:t>
            </w:r>
            <w:r>
              <w:rPr>
                <w:rFonts w:hint="eastAsia" w:ascii="仿宋_GB2312" w:eastAsia="仿宋_GB2312"/>
                <w:sz w:val="21"/>
                <w:szCs w:val="21"/>
                <w:lang w:eastAsia="zh-CN"/>
              </w:rPr>
              <w:t>人（其中：蔗场现场负责人（</w:t>
            </w:r>
            <w:r>
              <w:rPr>
                <w:rFonts w:hint="eastAsia" w:ascii="仿宋_GB2312" w:eastAsia="仿宋_GB2312"/>
                <w:sz w:val="21"/>
                <w:szCs w:val="21"/>
                <w:lang w:val="en-US" w:eastAsia="zh-CN"/>
              </w:rPr>
              <w:t>男性</w:t>
            </w:r>
            <w:r>
              <w:rPr>
                <w:rFonts w:hint="eastAsia" w:ascii="仿宋_GB2312" w:eastAsia="仿宋_GB2312"/>
                <w:sz w:val="21"/>
                <w:szCs w:val="21"/>
                <w:lang w:eastAsia="zh-CN"/>
              </w:rPr>
              <w:t>）</w:t>
            </w:r>
            <w:r>
              <w:rPr>
                <w:rFonts w:hint="eastAsia" w:ascii="仿宋_GB2312" w:eastAsia="仿宋_GB2312"/>
                <w:sz w:val="21"/>
                <w:szCs w:val="21"/>
                <w:lang w:val="en-US" w:eastAsia="zh-CN"/>
              </w:rPr>
              <w:t>X</w:t>
            </w:r>
            <w:r>
              <w:rPr>
                <w:rFonts w:hint="eastAsia" w:ascii="仿宋_GB2312" w:eastAsia="仿宋_GB2312"/>
                <w:sz w:val="21"/>
                <w:szCs w:val="21"/>
                <w:lang w:eastAsia="zh-CN"/>
              </w:rPr>
              <w:t>人：对当班蔗场岗位工作进行全面管理，并按照公司或车间的其他工作安排，及时做好布置与执行。兼职挂钩工作。</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蔗场挂钩工</w:t>
            </w:r>
            <w:r>
              <w:rPr>
                <w:rFonts w:hint="eastAsia" w:ascii="仿宋_GB2312" w:eastAsia="仿宋_GB2312"/>
                <w:sz w:val="21"/>
                <w:szCs w:val="21"/>
                <w:lang w:val="en-US" w:eastAsia="zh-CN"/>
              </w:rPr>
              <w:t>X</w:t>
            </w:r>
            <w:r>
              <w:rPr>
                <w:rFonts w:hint="eastAsia" w:ascii="仿宋_GB2312" w:eastAsia="仿宋_GB2312"/>
                <w:sz w:val="21"/>
                <w:szCs w:val="21"/>
                <w:lang w:eastAsia="zh-CN"/>
              </w:rPr>
              <w:t>人（</w:t>
            </w:r>
            <w:r>
              <w:rPr>
                <w:rFonts w:hint="eastAsia" w:ascii="仿宋_GB2312" w:eastAsia="仿宋_GB2312"/>
                <w:sz w:val="21"/>
                <w:szCs w:val="21"/>
                <w:lang w:val="en-US" w:eastAsia="zh-CN"/>
              </w:rPr>
              <w:t>男性</w:t>
            </w:r>
            <w:r>
              <w:rPr>
                <w:rFonts w:hint="eastAsia" w:ascii="仿宋_GB2312" w:eastAsia="仿宋_GB2312"/>
                <w:sz w:val="21"/>
                <w:szCs w:val="21"/>
                <w:lang w:eastAsia="zh-CN"/>
              </w:rPr>
              <w:t>）：主要负责运蔗车及堆码甘蔗钢丝绳的挂、脱钩。负责称喂蔗台机体及地面的掉落散蔗清理及卫生清扫，蔗场卫生清扫及撒石灰粉消毒等。负责蔗场蔗叠、翻堆工作，蔗刀口喷石灰石消毒工作等。负责喂蔗口甘蔗理顺，杂物清理（如木杆、竹片、石块等）。吊蔗钢丝绳管理。服从车间的其他工作安排。</w:t>
            </w:r>
          </w:p>
          <w:p>
            <w:pPr>
              <w:numPr>
                <w:ilvl w:val="0"/>
                <w:numId w:val="13"/>
              </w:numPr>
              <w:spacing w:line="300" w:lineRule="exact"/>
              <w:rPr>
                <w:rFonts w:hint="default" w:ascii="仿宋_GB2312" w:eastAsia="仿宋_GB2312"/>
                <w:sz w:val="21"/>
                <w:szCs w:val="21"/>
                <w:lang w:val="en-US" w:eastAsia="zh-CN"/>
              </w:rPr>
            </w:pPr>
            <w:r>
              <w:rPr>
                <w:rFonts w:hint="eastAsia" w:ascii="仿宋_GB2312" w:eastAsia="仿宋_GB2312"/>
                <w:sz w:val="21"/>
                <w:szCs w:val="21"/>
                <w:lang w:eastAsia="zh-CN"/>
              </w:rPr>
              <w:t>输蔗机清洁工</w:t>
            </w:r>
            <w:r>
              <w:rPr>
                <w:rFonts w:hint="eastAsia" w:ascii="仿宋_GB2312" w:eastAsia="仿宋_GB2312"/>
                <w:sz w:val="21"/>
                <w:szCs w:val="21"/>
                <w:lang w:val="en-US" w:eastAsia="zh-CN"/>
              </w:rPr>
              <w:t>X人（男性）：</w:t>
            </w:r>
            <w:r>
              <w:rPr>
                <w:rFonts w:hint="eastAsia" w:ascii="仿宋_GB2312" w:eastAsia="仿宋_GB2312"/>
                <w:sz w:val="21"/>
                <w:szCs w:val="21"/>
                <w:lang w:eastAsia="zh-CN"/>
              </w:rPr>
              <w:t>负责称喂蔗台机体及地面的掉落散蔗清理及卫生清扫，蔗场卫生清扫及撒石灰粉消毒等。负责1#、2#输蔗机槽底清洁及1#、2#输蔗机的日常消毒、杀菌工作。服从车间的其他工作安排。</w:t>
            </w:r>
          </w:p>
          <w:p>
            <w:pPr>
              <w:numPr>
                <w:ilvl w:val="0"/>
                <w:numId w:val="0"/>
              </w:numPr>
              <w:spacing w:line="300" w:lineRule="exact"/>
              <w:ind w:leftChars="0"/>
              <w:rPr>
                <w:rFonts w:hint="default" w:ascii="仿宋" w:hAnsi="仿宋" w:eastAsia="仿宋"/>
                <w:sz w:val="24"/>
                <w:szCs w:val="24"/>
                <w:vertAlign w:val="baseline"/>
                <w:lang w:val="en-US" w:eastAsia="zh-CN"/>
              </w:rPr>
            </w:pPr>
            <w:r>
              <w:rPr>
                <w:rFonts w:hint="eastAsia" w:ascii="仿宋_GB2312" w:eastAsia="仿宋_GB2312"/>
                <w:sz w:val="21"/>
                <w:szCs w:val="21"/>
                <w:lang w:val="en-US" w:eastAsia="zh-CN"/>
              </w:rPr>
              <w:t>4、</w:t>
            </w:r>
            <w:r>
              <w:rPr>
                <w:rFonts w:hint="eastAsia" w:ascii="仿宋_GB2312" w:eastAsia="仿宋_GB2312"/>
                <w:sz w:val="21"/>
                <w:szCs w:val="21"/>
                <w:lang w:eastAsia="zh-CN"/>
              </w:rPr>
              <w:t>落蔗工</w:t>
            </w:r>
            <w:r>
              <w:rPr>
                <w:rFonts w:hint="eastAsia" w:ascii="仿宋_GB2312" w:eastAsia="仿宋_GB2312"/>
                <w:sz w:val="21"/>
                <w:szCs w:val="21"/>
                <w:lang w:val="en-US" w:eastAsia="zh-CN"/>
              </w:rPr>
              <w:t>X人（不限）：</w:t>
            </w:r>
            <w:r>
              <w:rPr>
                <w:rFonts w:hint="eastAsia" w:ascii="仿宋_GB2312" w:eastAsia="仿宋_GB2312"/>
                <w:sz w:val="21"/>
                <w:szCs w:val="21"/>
                <w:lang w:eastAsia="zh-CN"/>
              </w:rPr>
              <w:t>负责压榨车间蔗场落蔗、蔗场清理及现场清扫卫生。服从车间的其他工作安排。</w:t>
            </w:r>
          </w:p>
        </w:tc>
      </w:tr>
    </w:tbl>
    <w:p>
      <w:pPr>
        <w:spacing w:line="360" w:lineRule="auto"/>
        <w:rPr>
          <w:rFonts w:ascii="楷体_GB2312" w:hAnsi="仿宋" w:eastAsia="楷体_GB2312"/>
          <w:color w:val="FF0000"/>
          <w:sz w:val="28"/>
          <w:szCs w:val="28"/>
          <w:lang w:eastAsia="zh-CN"/>
        </w:rPr>
      </w:pPr>
      <w:r>
        <w:rPr>
          <w:rFonts w:hint="eastAsia" w:ascii="楷体_GB2312" w:hAnsi="仿宋" w:eastAsia="楷体_GB2312"/>
          <w:color w:val="FF0000"/>
          <w:sz w:val="28"/>
          <w:szCs w:val="28"/>
          <w:lang w:eastAsia="zh-CN"/>
        </w:rPr>
        <w:t>（注：人员必须身体健康，并要求女性年龄18-49周岁，男性年龄在18-59周岁的中国籍合法公民或合法外籍工人。）</w:t>
      </w:r>
    </w:p>
    <w:p>
      <w:pPr>
        <w:pStyle w:val="37"/>
        <w:spacing w:line="500" w:lineRule="exact"/>
        <w:ind w:left="0" w:firstLine="0"/>
        <w:rPr>
          <w:rFonts w:ascii="仿宋" w:hAnsi="仿宋" w:eastAsia="仿宋"/>
          <w:sz w:val="24"/>
          <w:szCs w:val="24"/>
          <w:lang w:eastAsia="zh-CN"/>
        </w:rPr>
      </w:pPr>
    </w:p>
    <w:p>
      <w:pPr>
        <w:rPr>
          <w:rFonts w:ascii="仿宋" w:hAnsi="仿宋" w:eastAsia="仿宋"/>
          <w:sz w:val="24"/>
          <w:szCs w:val="24"/>
          <w:lang w:eastAsia="zh-CN"/>
        </w:rPr>
      </w:pPr>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b/>
          <w:sz w:val="24"/>
          <w:szCs w:val="24"/>
          <w:lang w:eastAsia="zh-CN"/>
        </w:rPr>
      </w:pPr>
    </w:p>
    <w:p>
      <w:pPr>
        <w:rPr>
          <w:rFonts w:ascii="仿宋" w:hAnsi="仿宋" w:eastAsia="仿宋"/>
          <w:lang w:val="zh-CN" w:eastAsia="zh-CN"/>
        </w:rPr>
      </w:pPr>
      <w:r>
        <w:rPr>
          <w:rFonts w:ascii="仿宋" w:hAnsi="仿宋" w:eastAsia="仿宋"/>
          <w:lang w:val="zh-CN"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6" w:name="_bookmark20"/>
      <w:bookmarkEnd w:id="126"/>
      <w:bookmarkStart w:id="127" w:name="_Toc15371"/>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、资格审查资料</w:t>
      </w:r>
      <w:bookmarkEnd w:id="127"/>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28" w:name="扫描0064"/>
      <w:bookmarkEnd w:id="128"/>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29" w:name="_Toc28629"/>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、响应方案</w:t>
      </w:r>
      <w:bookmarkEnd w:id="129"/>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3"/>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3"/>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3"/>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30" w:name="扫描0069"/>
      <w:bookmarkEnd w:id="130"/>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31" w:name="_bookmark23"/>
      <w:bookmarkEnd w:id="131"/>
      <w:bookmarkStart w:id="132" w:name="_Toc21205"/>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32"/>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3" w:name="_Toc7214"/>
      <w:r>
        <w:rPr>
          <w:rFonts w:hint="eastAsia" w:ascii="仿宋" w:hAnsi="仿宋" w:eastAsia="仿宋"/>
          <w:b/>
          <w:bCs/>
          <w:snapToGrid w:val="0"/>
          <w:sz w:val="32"/>
          <w:szCs w:val="32"/>
          <w:lang w:eastAsia="zh-CN"/>
        </w:rPr>
        <w:t>十、保密承诺书</w:t>
      </w:r>
      <w:bookmarkEnd w:id="133"/>
    </w:p>
    <w:p>
      <w:pPr>
        <w:rPr>
          <w:rFonts w:ascii="仿宋" w:hAnsi="仿宋" w:eastAsia="仿宋"/>
          <w:lang w:eastAsia="zh-CN"/>
        </w:rPr>
      </w:pPr>
    </w:p>
    <w:p>
      <w:pPr>
        <w:pStyle w:val="10"/>
        <w:spacing w:line="560" w:lineRule="exact"/>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中粮梁河糖业有限公司：</w:t>
      </w:r>
    </w:p>
    <w:p>
      <w:pPr>
        <w:pStyle w:val="10"/>
        <w:tabs>
          <w:tab w:val="left" w:pos="6626"/>
        </w:tabs>
        <w:spacing w:before="240" w:line="360" w:lineRule="auto"/>
        <w:ind w:right="382"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鉴于我方自愿参加</w:t>
      </w:r>
      <w:r>
        <w:rPr>
          <w:rFonts w:hint="eastAsia" w:ascii="仿宋" w:hAnsi="仿宋" w:eastAsia="仿宋" w:cs="仿宋_GB2312"/>
          <w:sz w:val="24"/>
          <w:szCs w:val="24"/>
          <w:u w:val="single"/>
          <w:lang w:eastAsia="zh-CN" w:bidi="ar"/>
        </w:rPr>
        <w:t>中粮梁河糖业勐养工厂压榨车间2023/2024榨季蔗场外包</w:t>
      </w:r>
      <w:r>
        <w:rPr>
          <w:rFonts w:ascii="仿宋" w:hAnsi="仿宋" w:eastAsia="仿宋" w:cs="仿宋_GB2312"/>
          <w:sz w:val="24"/>
          <w:szCs w:val="24"/>
          <w:u w:val="single"/>
          <w:lang w:eastAsia="zh-CN" w:bidi="ar"/>
        </w:rPr>
        <w:t>项目</w:t>
      </w:r>
      <w:r>
        <w:rPr>
          <w:rFonts w:hint="eastAsia" w:ascii="仿宋" w:hAnsi="仿宋" w:eastAsia="仿宋" w:cs="仿宋_GB2312"/>
          <w:sz w:val="24"/>
          <w:szCs w:val="24"/>
          <w:lang w:eastAsia="zh-CN" w:bidi="ar"/>
        </w:rPr>
        <w:t>采购活动，我方现就有关保密义务事项作出如下承诺：</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我方保证，未经采购人书面同意</w:t>
      </w:r>
      <w:r>
        <w:rPr>
          <w:rFonts w:ascii="仿宋" w:hAnsi="仿宋" w:eastAsia="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我方保证，如为本合同目的确实需要向第三方披露对方的敏感信息，需事先得到采购人的书面许可，并与该第三方签订保密合同。</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我方同意采取任何必要的，以及采购人要求的合理措施，保护采购人提供的敏感信息。</w:t>
      </w:r>
    </w:p>
    <w:p>
      <w:pPr>
        <w:pStyle w:val="10"/>
        <w:numPr>
          <w:ilvl w:val="0"/>
          <w:numId w:val="24"/>
        </w:numPr>
        <w:autoSpaceDE/>
        <w:autoSpaceDN/>
        <w:spacing w:line="360" w:lineRule="auto"/>
        <w:ind w:right="379" w:firstLine="482"/>
        <w:jc w:val="both"/>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bidi="ar"/>
        </w:rPr>
      </w:pPr>
      <w:r>
        <w:rPr>
          <w:rFonts w:hint="eastAsia" w:ascii="仿宋" w:hAnsi="仿宋" w:eastAsia="仿宋" w:cs="仿宋_GB2312"/>
          <w:sz w:val="24"/>
          <w:szCs w:val="24"/>
          <w:lang w:eastAsia="zh-CN" w:bidi="ar"/>
        </w:rPr>
        <w:t>特此承诺。</w:t>
      </w:r>
    </w:p>
    <w:p>
      <w:pPr>
        <w:pStyle w:val="10"/>
        <w:spacing w:line="560" w:lineRule="exact"/>
        <w:ind w:left="440" w:firstLine="640"/>
        <w:rPr>
          <w:rFonts w:ascii="仿宋" w:hAnsi="仿宋" w:eastAsia="仿宋" w:cs="仿宋_GB2312"/>
          <w:sz w:val="24"/>
          <w:szCs w:val="24"/>
          <w:lang w:eastAsia="zh-CN" w:bidi="ar"/>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lang w:eastAsia="zh-CN"/>
        </w:rPr>
        <w:t xml:space="preserve">  </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bookmarkEnd w:id="134"/>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65</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A8B477D"/>
    <w:multiLevelType w:val="multilevel"/>
    <w:tmpl w:val="2A8B4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48F2C834"/>
    <w:multiLevelType w:val="singleLevel"/>
    <w:tmpl w:val="48F2C834"/>
    <w:lvl w:ilvl="0" w:tentative="0">
      <w:start w:val="1"/>
      <w:numFmt w:val="decimal"/>
      <w:suff w:val="nothing"/>
      <w:lvlText w:val="%1、"/>
      <w:lvlJc w:val="left"/>
      <w:pPr>
        <w:ind w:left="0" w:firstLine="0"/>
      </w:pPr>
    </w:lvl>
  </w:abstractNum>
  <w:abstractNum w:abstractNumId="11">
    <w:nsid w:val="4CF932A4"/>
    <w:multiLevelType w:val="multilevel"/>
    <w:tmpl w:val="4CF932A4"/>
    <w:lvl w:ilvl="0" w:tentative="0">
      <w:start w:val="1"/>
      <w:numFmt w:val="decimal"/>
      <w:lvlText w:val="%1、"/>
      <w:lvlJc w:val="left"/>
      <w:pPr>
        <w:ind w:left="1141" w:hanging="720"/>
      </w:pPr>
      <w:rPr>
        <w:rFonts w:hint="default"/>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2">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3">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4">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5">
    <w:nsid w:val="550725AD"/>
    <w:multiLevelType w:val="multilevel"/>
    <w:tmpl w:val="550725AD"/>
    <w:lvl w:ilvl="0" w:tentative="0">
      <w:start w:val="2"/>
      <w:numFmt w:val="decimalEnclosedCircle"/>
      <w:lvlText w:val="%1"/>
      <w:lvlJc w:val="left"/>
      <w:pPr>
        <w:ind w:left="840" w:hanging="360"/>
      </w:pPr>
      <w:rPr>
        <w:rFonts w:hint="default" w:ascii="微软雅黑" w:hAnsi="微软雅黑" w:eastAsia="微软雅黑" w:cs="微软雅黑"/>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AD39405"/>
    <w:multiLevelType w:val="singleLevel"/>
    <w:tmpl w:val="5AD39405"/>
    <w:lvl w:ilvl="0" w:tentative="0">
      <w:start w:val="1"/>
      <w:numFmt w:val="decimal"/>
      <w:suff w:val="nothing"/>
      <w:lvlText w:val="%1、"/>
      <w:lvlJc w:val="left"/>
    </w:lvl>
  </w:abstractNum>
  <w:abstractNum w:abstractNumId="17">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9">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20">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2">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2"/>
  </w:num>
  <w:num w:numId="3">
    <w:abstractNumId w:val="19"/>
  </w:num>
  <w:num w:numId="4">
    <w:abstractNumId w:val="14"/>
  </w:num>
  <w:num w:numId="5">
    <w:abstractNumId w:val="7"/>
  </w:num>
  <w:num w:numId="6">
    <w:abstractNumId w:val="21"/>
  </w:num>
  <w:num w:numId="7">
    <w:abstractNumId w:val="0"/>
  </w:num>
  <w:num w:numId="8">
    <w:abstractNumId w:val="6"/>
  </w:num>
  <w:num w:numId="9">
    <w:abstractNumId w:val="23"/>
  </w:num>
  <w:num w:numId="10">
    <w:abstractNumId w:val="1"/>
  </w:num>
  <w:num w:numId="11">
    <w:abstractNumId w:val="20"/>
  </w:num>
  <w:num w:numId="12">
    <w:abstractNumId w:val="17"/>
  </w:num>
  <w:num w:numId="13">
    <w:abstractNumId w:val="10"/>
    <w:lvlOverride w:ilvl="0">
      <w:startOverride w:val="1"/>
    </w:lvlOverride>
  </w:num>
  <w:num w:numId="14">
    <w:abstractNumId w:val="16"/>
  </w:num>
  <w:num w:numId="15">
    <w:abstractNumId w:val="5"/>
  </w:num>
  <w:num w:numId="16">
    <w:abstractNumId w:val="11"/>
  </w:num>
  <w:num w:numId="17">
    <w:abstractNumId w:val="15"/>
  </w:num>
  <w:num w:numId="18">
    <w:abstractNumId w:val="13"/>
  </w:num>
  <w:num w:numId="19">
    <w:abstractNumId w:val="2"/>
  </w:num>
  <w:num w:numId="20">
    <w:abstractNumId w:val="18"/>
  </w:num>
  <w:num w:numId="21">
    <w:abstractNumId w:val="22"/>
  </w:num>
  <w:num w:numId="22">
    <w:abstractNumId w:val="9"/>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664D"/>
    <w:rsid w:val="00007326"/>
    <w:rsid w:val="00007EE5"/>
    <w:rsid w:val="00011702"/>
    <w:rsid w:val="000169DC"/>
    <w:rsid w:val="00016CFE"/>
    <w:rsid w:val="00017FC3"/>
    <w:rsid w:val="00022478"/>
    <w:rsid w:val="0002380B"/>
    <w:rsid w:val="00024320"/>
    <w:rsid w:val="0002558A"/>
    <w:rsid w:val="00031CBC"/>
    <w:rsid w:val="00033E28"/>
    <w:rsid w:val="000343C6"/>
    <w:rsid w:val="00034A38"/>
    <w:rsid w:val="00040D24"/>
    <w:rsid w:val="00041B76"/>
    <w:rsid w:val="00042471"/>
    <w:rsid w:val="000431F0"/>
    <w:rsid w:val="00044D19"/>
    <w:rsid w:val="00051372"/>
    <w:rsid w:val="00053D78"/>
    <w:rsid w:val="00053DBB"/>
    <w:rsid w:val="00061944"/>
    <w:rsid w:val="00065071"/>
    <w:rsid w:val="00066AA6"/>
    <w:rsid w:val="00070E65"/>
    <w:rsid w:val="00071D27"/>
    <w:rsid w:val="00073A9F"/>
    <w:rsid w:val="000770B9"/>
    <w:rsid w:val="00081B4E"/>
    <w:rsid w:val="00081BF4"/>
    <w:rsid w:val="0008725B"/>
    <w:rsid w:val="000874B6"/>
    <w:rsid w:val="0009117D"/>
    <w:rsid w:val="000916CA"/>
    <w:rsid w:val="0009540F"/>
    <w:rsid w:val="000A02EE"/>
    <w:rsid w:val="000A2724"/>
    <w:rsid w:val="000A4B84"/>
    <w:rsid w:val="000A4F29"/>
    <w:rsid w:val="000A60A1"/>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5BC3"/>
    <w:rsid w:val="000E1FB5"/>
    <w:rsid w:val="000E47A6"/>
    <w:rsid w:val="000E53D3"/>
    <w:rsid w:val="000E69FA"/>
    <w:rsid w:val="000E6E3E"/>
    <w:rsid w:val="000E7A8E"/>
    <w:rsid w:val="000F38CD"/>
    <w:rsid w:val="000F438D"/>
    <w:rsid w:val="00101754"/>
    <w:rsid w:val="00103B2B"/>
    <w:rsid w:val="00104C15"/>
    <w:rsid w:val="00105A40"/>
    <w:rsid w:val="00111574"/>
    <w:rsid w:val="00112C16"/>
    <w:rsid w:val="00113E57"/>
    <w:rsid w:val="00116EF9"/>
    <w:rsid w:val="00122A92"/>
    <w:rsid w:val="00124769"/>
    <w:rsid w:val="0012772B"/>
    <w:rsid w:val="00130025"/>
    <w:rsid w:val="00132AFF"/>
    <w:rsid w:val="00136518"/>
    <w:rsid w:val="00136542"/>
    <w:rsid w:val="00143C76"/>
    <w:rsid w:val="00145DD8"/>
    <w:rsid w:val="00155667"/>
    <w:rsid w:val="00156522"/>
    <w:rsid w:val="001578A4"/>
    <w:rsid w:val="00160DF7"/>
    <w:rsid w:val="00160EDC"/>
    <w:rsid w:val="001716AA"/>
    <w:rsid w:val="00172A8D"/>
    <w:rsid w:val="00175DB1"/>
    <w:rsid w:val="00184448"/>
    <w:rsid w:val="001865FA"/>
    <w:rsid w:val="00192D03"/>
    <w:rsid w:val="00192D8A"/>
    <w:rsid w:val="0019300F"/>
    <w:rsid w:val="00195317"/>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26F1"/>
    <w:rsid w:val="001E5559"/>
    <w:rsid w:val="001E5F99"/>
    <w:rsid w:val="001E618B"/>
    <w:rsid w:val="001F2615"/>
    <w:rsid w:val="001F41AD"/>
    <w:rsid w:val="001F67A0"/>
    <w:rsid w:val="001F7A89"/>
    <w:rsid w:val="00202FA0"/>
    <w:rsid w:val="002040CE"/>
    <w:rsid w:val="00207295"/>
    <w:rsid w:val="00211C82"/>
    <w:rsid w:val="00213F30"/>
    <w:rsid w:val="00214C24"/>
    <w:rsid w:val="00216DFB"/>
    <w:rsid w:val="00223077"/>
    <w:rsid w:val="0022389A"/>
    <w:rsid w:val="00225B12"/>
    <w:rsid w:val="00225D15"/>
    <w:rsid w:val="00231C86"/>
    <w:rsid w:val="002461DC"/>
    <w:rsid w:val="002464DD"/>
    <w:rsid w:val="00246E71"/>
    <w:rsid w:val="00253901"/>
    <w:rsid w:val="0025736B"/>
    <w:rsid w:val="00257760"/>
    <w:rsid w:val="00263565"/>
    <w:rsid w:val="00265C36"/>
    <w:rsid w:val="002670BC"/>
    <w:rsid w:val="002674B3"/>
    <w:rsid w:val="002710DB"/>
    <w:rsid w:val="00273BEC"/>
    <w:rsid w:val="00273F34"/>
    <w:rsid w:val="00274E25"/>
    <w:rsid w:val="00274E35"/>
    <w:rsid w:val="00275097"/>
    <w:rsid w:val="00275DEF"/>
    <w:rsid w:val="00275E42"/>
    <w:rsid w:val="00277D66"/>
    <w:rsid w:val="00280C19"/>
    <w:rsid w:val="00282E49"/>
    <w:rsid w:val="002849C3"/>
    <w:rsid w:val="00292AF6"/>
    <w:rsid w:val="00294464"/>
    <w:rsid w:val="00295375"/>
    <w:rsid w:val="0029648A"/>
    <w:rsid w:val="002A002F"/>
    <w:rsid w:val="002A26D4"/>
    <w:rsid w:val="002A4B87"/>
    <w:rsid w:val="002B27F4"/>
    <w:rsid w:val="002B31A3"/>
    <w:rsid w:val="002B560A"/>
    <w:rsid w:val="002B5991"/>
    <w:rsid w:val="002B599C"/>
    <w:rsid w:val="002B7043"/>
    <w:rsid w:val="002B713B"/>
    <w:rsid w:val="002B737A"/>
    <w:rsid w:val="002C0B93"/>
    <w:rsid w:val="002C39A9"/>
    <w:rsid w:val="002C7206"/>
    <w:rsid w:val="002D3BA9"/>
    <w:rsid w:val="002D5A10"/>
    <w:rsid w:val="002E324C"/>
    <w:rsid w:val="002E464E"/>
    <w:rsid w:val="002F49E8"/>
    <w:rsid w:val="002F5DF7"/>
    <w:rsid w:val="002F6432"/>
    <w:rsid w:val="002F7CCB"/>
    <w:rsid w:val="00302F1F"/>
    <w:rsid w:val="00304E99"/>
    <w:rsid w:val="00306A78"/>
    <w:rsid w:val="003078EB"/>
    <w:rsid w:val="003112E0"/>
    <w:rsid w:val="00313C70"/>
    <w:rsid w:val="003140CD"/>
    <w:rsid w:val="00314CCD"/>
    <w:rsid w:val="00314FDF"/>
    <w:rsid w:val="0031593D"/>
    <w:rsid w:val="00316C76"/>
    <w:rsid w:val="0032537F"/>
    <w:rsid w:val="00326CBF"/>
    <w:rsid w:val="00332EF7"/>
    <w:rsid w:val="003343F8"/>
    <w:rsid w:val="003352D1"/>
    <w:rsid w:val="00335473"/>
    <w:rsid w:val="00337847"/>
    <w:rsid w:val="0034134F"/>
    <w:rsid w:val="00344B03"/>
    <w:rsid w:val="0034672E"/>
    <w:rsid w:val="003503DB"/>
    <w:rsid w:val="0035099D"/>
    <w:rsid w:val="0035107B"/>
    <w:rsid w:val="00351D92"/>
    <w:rsid w:val="00354E85"/>
    <w:rsid w:val="00360C5B"/>
    <w:rsid w:val="003639C5"/>
    <w:rsid w:val="003731B1"/>
    <w:rsid w:val="00375BB0"/>
    <w:rsid w:val="00376512"/>
    <w:rsid w:val="00383CD1"/>
    <w:rsid w:val="00385C8B"/>
    <w:rsid w:val="003863D3"/>
    <w:rsid w:val="00397BD9"/>
    <w:rsid w:val="003A3DE0"/>
    <w:rsid w:val="003A3F1F"/>
    <w:rsid w:val="003A4FF3"/>
    <w:rsid w:val="003A5086"/>
    <w:rsid w:val="003B06D0"/>
    <w:rsid w:val="003B2A07"/>
    <w:rsid w:val="003B3B4B"/>
    <w:rsid w:val="003B4700"/>
    <w:rsid w:val="003C11FD"/>
    <w:rsid w:val="003C6007"/>
    <w:rsid w:val="003C63F0"/>
    <w:rsid w:val="003C76EC"/>
    <w:rsid w:val="003D32C1"/>
    <w:rsid w:val="003D5568"/>
    <w:rsid w:val="003D5BD7"/>
    <w:rsid w:val="003D7563"/>
    <w:rsid w:val="003E37C2"/>
    <w:rsid w:val="003E4F67"/>
    <w:rsid w:val="003F2EF6"/>
    <w:rsid w:val="003F5119"/>
    <w:rsid w:val="003F62A9"/>
    <w:rsid w:val="004020D3"/>
    <w:rsid w:val="00404AE5"/>
    <w:rsid w:val="0040537D"/>
    <w:rsid w:val="00414476"/>
    <w:rsid w:val="00414F8D"/>
    <w:rsid w:val="00415EB5"/>
    <w:rsid w:val="00420D55"/>
    <w:rsid w:val="004248ED"/>
    <w:rsid w:val="00433A6F"/>
    <w:rsid w:val="00434CAE"/>
    <w:rsid w:val="0044135B"/>
    <w:rsid w:val="00441F58"/>
    <w:rsid w:val="004427D5"/>
    <w:rsid w:val="004452CC"/>
    <w:rsid w:val="004459BC"/>
    <w:rsid w:val="004477E5"/>
    <w:rsid w:val="00454E14"/>
    <w:rsid w:val="0045595D"/>
    <w:rsid w:val="00456684"/>
    <w:rsid w:val="004566A9"/>
    <w:rsid w:val="00456D0B"/>
    <w:rsid w:val="004621C0"/>
    <w:rsid w:val="00462C0C"/>
    <w:rsid w:val="004635FA"/>
    <w:rsid w:val="00463621"/>
    <w:rsid w:val="00465852"/>
    <w:rsid w:val="004673AE"/>
    <w:rsid w:val="00474B8D"/>
    <w:rsid w:val="004777AF"/>
    <w:rsid w:val="00480D8E"/>
    <w:rsid w:val="004864A0"/>
    <w:rsid w:val="00492823"/>
    <w:rsid w:val="004947CB"/>
    <w:rsid w:val="0049592D"/>
    <w:rsid w:val="004A1AB8"/>
    <w:rsid w:val="004A574D"/>
    <w:rsid w:val="004A60F6"/>
    <w:rsid w:val="004A7189"/>
    <w:rsid w:val="004A790C"/>
    <w:rsid w:val="004A7B92"/>
    <w:rsid w:val="004B088B"/>
    <w:rsid w:val="004B1499"/>
    <w:rsid w:val="004B36F6"/>
    <w:rsid w:val="004B4208"/>
    <w:rsid w:val="004C06BC"/>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538B"/>
    <w:rsid w:val="00515475"/>
    <w:rsid w:val="0052468A"/>
    <w:rsid w:val="005250C8"/>
    <w:rsid w:val="0053125D"/>
    <w:rsid w:val="005326B9"/>
    <w:rsid w:val="0053521E"/>
    <w:rsid w:val="00536233"/>
    <w:rsid w:val="0053693F"/>
    <w:rsid w:val="0054133A"/>
    <w:rsid w:val="0055227E"/>
    <w:rsid w:val="00552E13"/>
    <w:rsid w:val="0055490A"/>
    <w:rsid w:val="005628B9"/>
    <w:rsid w:val="005648A7"/>
    <w:rsid w:val="00566940"/>
    <w:rsid w:val="00566D02"/>
    <w:rsid w:val="005672EE"/>
    <w:rsid w:val="00573404"/>
    <w:rsid w:val="00575DF6"/>
    <w:rsid w:val="00577EDF"/>
    <w:rsid w:val="00581CCE"/>
    <w:rsid w:val="00587F89"/>
    <w:rsid w:val="005948AF"/>
    <w:rsid w:val="00595F63"/>
    <w:rsid w:val="005968BE"/>
    <w:rsid w:val="00597257"/>
    <w:rsid w:val="005A0F24"/>
    <w:rsid w:val="005A49D5"/>
    <w:rsid w:val="005A55D7"/>
    <w:rsid w:val="005B0972"/>
    <w:rsid w:val="005B13A3"/>
    <w:rsid w:val="005B3D89"/>
    <w:rsid w:val="005B57B9"/>
    <w:rsid w:val="005B5D9C"/>
    <w:rsid w:val="005C077D"/>
    <w:rsid w:val="005C0DC8"/>
    <w:rsid w:val="005C3E7A"/>
    <w:rsid w:val="005C43C1"/>
    <w:rsid w:val="005C666D"/>
    <w:rsid w:val="005D1FB2"/>
    <w:rsid w:val="005E07E5"/>
    <w:rsid w:val="005F3A5F"/>
    <w:rsid w:val="005F5432"/>
    <w:rsid w:val="005F5984"/>
    <w:rsid w:val="006019E8"/>
    <w:rsid w:val="00603E4A"/>
    <w:rsid w:val="00610AF6"/>
    <w:rsid w:val="006139C6"/>
    <w:rsid w:val="0061428F"/>
    <w:rsid w:val="006150B2"/>
    <w:rsid w:val="0062056F"/>
    <w:rsid w:val="0062075A"/>
    <w:rsid w:val="0062173B"/>
    <w:rsid w:val="00622E26"/>
    <w:rsid w:val="006322CA"/>
    <w:rsid w:val="006328D3"/>
    <w:rsid w:val="00634279"/>
    <w:rsid w:val="00634508"/>
    <w:rsid w:val="00636CF0"/>
    <w:rsid w:val="0063779C"/>
    <w:rsid w:val="00637898"/>
    <w:rsid w:val="00637C10"/>
    <w:rsid w:val="00641FDC"/>
    <w:rsid w:val="006420A4"/>
    <w:rsid w:val="006426A9"/>
    <w:rsid w:val="00653876"/>
    <w:rsid w:val="00656A37"/>
    <w:rsid w:val="00656DDE"/>
    <w:rsid w:val="00657652"/>
    <w:rsid w:val="00660043"/>
    <w:rsid w:val="006620AE"/>
    <w:rsid w:val="0066240A"/>
    <w:rsid w:val="0066420C"/>
    <w:rsid w:val="00664639"/>
    <w:rsid w:val="006676FA"/>
    <w:rsid w:val="00674A9F"/>
    <w:rsid w:val="00675545"/>
    <w:rsid w:val="0067566D"/>
    <w:rsid w:val="0068532F"/>
    <w:rsid w:val="00686B37"/>
    <w:rsid w:val="006923A2"/>
    <w:rsid w:val="00695596"/>
    <w:rsid w:val="006966A4"/>
    <w:rsid w:val="00696C9F"/>
    <w:rsid w:val="006A1AAC"/>
    <w:rsid w:val="006A2024"/>
    <w:rsid w:val="006A2862"/>
    <w:rsid w:val="006A6DF2"/>
    <w:rsid w:val="006B0699"/>
    <w:rsid w:val="006B1316"/>
    <w:rsid w:val="006B1779"/>
    <w:rsid w:val="006B42E1"/>
    <w:rsid w:val="006C03F3"/>
    <w:rsid w:val="006C1351"/>
    <w:rsid w:val="006C142E"/>
    <w:rsid w:val="006C1ACE"/>
    <w:rsid w:val="006C4DA1"/>
    <w:rsid w:val="006C5D26"/>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1CD"/>
    <w:rsid w:val="00700326"/>
    <w:rsid w:val="00702E6B"/>
    <w:rsid w:val="00710322"/>
    <w:rsid w:val="007103CB"/>
    <w:rsid w:val="00713034"/>
    <w:rsid w:val="0071494A"/>
    <w:rsid w:val="00714D05"/>
    <w:rsid w:val="00723C6E"/>
    <w:rsid w:val="00724D73"/>
    <w:rsid w:val="00724E73"/>
    <w:rsid w:val="00730DDD"/>
    <w:rsid w:val="00731136"/>
    <w:rsid w:val="007346D7"/>
    <w:rsid w:val="00735D68"/>
    <w:rsid w:val="007368F7"/>
    <w:rsid w:val="007453FB"/>
    <w:rsid w:val="00751014"/>
    <w:rsid w:val="00753E35"/>
    <w:rsid w:val="00754225"/>
    <w:rsid w:val="00756BC8"/>
    <w:rsid w:val="00760BDC"/>
    <w:rsid w:val="00761595"/>
    <w:rsid w:val="00764690"/>
    <w:rsid w:val="00767577"/>
    <w:rsid w:val="00774046"/>
    <w:rsid w:val="00776247"/>
    <w:rsid w:val="007769DB"/>
    <w:rsid w:val="00781C91"/>
    <w:rsid w:val="00783019"/>
    <w:rsid w:val="00784790"/>
    <w:rsid w:val="00786703"/>
    <w:rsid w:val="007909C1"/>
    <w:rsid w:val="0079185B"/>
    <w:rsid w:val="007956A9"/>
    <w:rsid w:val="007A31E1"/>
    <w:rsid w:val="007A6050"/>
    <w:rsid w:val="007A7043"/>
    <w:rsid w:val="007B2624"/>
    <w:rsid w:val="007B390B"/>
    <w:rsid w:val="007B69C7"/>
    <w:rsid w:val="007B765D"/>
    <w:rsid w:val="007C10C9"/>
    <w:rsid w:val="007C2401"/>
    <w:rsid w:val="007C3BE7"/>
    <w:rsid w:val="007C56C4"/>
    <w:rsid w:val="007C5A30"/>
    <w:rsid w:val="007D3131"/>
    <w:rsid w:val="007D3E43"/>
    <w:rsid w:val="007E150B"/>
    <w:rsid w:val="007E2B76"/>
    <w:rsid w:val="007E72FF"/>
    <w:rsid w:val="007F3B5B"/>
    <w:rsid w:val="007F52F0"/>
    <w:rsid w:val="007F558E"/>
    <w:rsid w:val="007F5D1B"/>
    <w:rsid w:val="007F6570"/>
    <w:rsid w:val="007F6BF2"/>
    <w:rsid w:val="007F6C60"/>
    <w:rsid w:val="007F6E5A"/>
    <w:rsid w:val="00801DED"/>
    <w:rsid w:val="008040AA"/>
    <w:rsid w:val="00804FF1"/>
    <w:rsid w:val="0081402D"/>
    <w:rsid w:val="008146C3"/>
    <w:rsid w:val="00814F50"/>
    <w:rsid w:val="00815966"/>
    <w:rsid w:val="0081691B"/>
    <w:rsid w:val="00820C49"/>
    <w:rsid w:val="00825D7F"/>
    <w:rsid w:val="00827EB0"/>
    <w:rsid w:val="00830EB5"/>
    <w:rsid w:val="00841F1B"/>
    <w:rsid w:val="00844D1A"/>
    <w:rsid w:val="00845A2C"/>
    <w:rsid w:val="008466E1"/>
    <w:rsid w:val="00846D7B"/>
    <w:rsid w:val="00846E16"/>
    <w:rsid w:val="0085342C"/>
    <w:rsid w:val="0085472C"/>
    <w:rsid w:val="0085570C"/>
    <w:rsid w:val="00857653"/>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959FB"/>
    <w:rsid w:val="008A1688"/>
    <w:rsid w:val="008A630C"/>
    <w:rsid w:val="008A7F44"/>
    <w:rsid w:val="008B02EE"/>
    <w:rsid w:val="008C2B0E"/>
    <w:rsid w:val="008C3EC5"/>
    <w:rsid w:val="008C50D6"/>
    <w:rsid w:val="008C6878"/>
    <w:rsid w:val="008D15DC"/>
    <w:rsid w:val="008D3978"/>
    <w:rsid w:val="008D749B"/>
    <w:rsid w:val="008E1680"/>
    <w:rsid w:val="008E74EA"/>
    <w:rsid w:val="009032B7"/>
    <w:rsid w:val="009032E7"/>
    <w:rsid w:val="00903B7A"/>
    <w:rsid w:val="00906A56"/>
    <w:rsid w:val="009118B5"/>
    <w:rsid w:val="00916B7D"/>
    <w:rsid w:val="00921090"/>
    <w:rsid w:val="0092668E"/>
    <w:rsid w:val="00937522"/>
    <w:rsid w:val="009421EB"/>
    <w:rsid w:val="0094464A"/>
    <w:rsid w:val="00947216"/>
    <w:rsid w:val="0095639A"/>
    <w:rsid w:val="00961748"/>
    <w:rsid w:val="00962F78"/>
    <w:rsid w:val="00964794"/>
    <w:rsid w:val="00965DFA"/>
    <w:rsid w:val="009676D7"/>
    <w:rsid w:val="0097193C"/>
    <w:rsid w:val="009737F8"/>
    <w:rsid w:val="00982F79"/>
    <w:rsid w:val="009847C1"/>
    <w:rsid w:val="00985129"/>
    <w:rsid w:val="009865E9"/>
    <w:rsid w:val="00986A7A"/>
    <w:rsid w:val="009902F0"/>
    <w:rsid w:val="009908CB"/>
    <w:rsid w:val="00992600"/>
    <w:rsid w:val="00994C5C"/>
    <w:rsid w:val="00994F1D"/>
    <w:rsid w:val="00994FDA"/>
    <w:rsid w:val="00997C4D"/>
    <w:rsid w:val="009A3B89"/>
    <w:rsid w:val="009A473C"/>
    <w:rsid w:val="009A53AF"/>
    <w:rsid w:val="009B1C0F"/>
    <w:rsid w:val="009B4A33"/>
    <w:rsid w:val="009D0EC4"/>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2E16"/>
    <w:rsid w:val="00A1736C"/>
    <w:rsid w:val="00A26AFA"/>
    <w:rsid w:val="00A32BC5"/>
    <w:rsid w:val="00A33693"/>
    <w:rsid w:val="00A35C5E"/>
    <w:rsid w:val="00A35E9D"/>
    <w:rsid w:val="00A366AB"/>
    <w:rsid w:val="00A40292"/>
    <w:rsid w:val="00A436F6"/>
    <w:rsid w:val="00A43BEF"/>
    <w:rsid w:val="00A5108F"/>
    <w:rsid w:val="00A51268"/>
    <w:rsid w:val="00A51C74"/>
    <w:rsid w:val="00A529EF"/>
    <w:rsid w:val="00A618B7"/>
    <w:rsid w:val="00A65A32"/>
    <w:rsid w:val="00A6707B"/>
    <w:rsid w:val="00A70E40"/>
    <w:rsid w:val="00A7321F"/>
    <w:rsid w:val="00A74604"/>
    <w:rsid w:val="00A75204"/>
    <w:rsid w:val="00A75F63"/>
    <w:rsid w:val="00A82146"/>
    <w:rsid w:val="00A84229"/>
    <w:rsid w:val="00A85C77"/>
    <w:rsid w:val="00A86BE7"/>
    <w:rsid w:val="00A90738"/>
    <w:rsid w:val="00A9259F"/>
    <w:rsid w:val="00A9463F"/>
    <w:rsid w:val="00A95CD1"/>
    <w:rsid w:val="00A964FA"/>
    <w:rsid w:val="00AA3532"/>
    <w:rsid w:val="00AA78C6"/>
    <w:rsid w:val="00AB0D09"/>
    <w:rsid w:val="00AB24F3"/>
    <w:rsid w:val="00AB7EC0"/>
    <w:rsid w:val="00AC1143"/>
    <w:rsid w:val="00AC1AB2"/>
    <w:rsid w:val="00AC7BB9"/>
    <w:rsid w:val="00AD1773"/>
    <w:rsid w:val="00AD697A"/>
    <w:rsid w:val="00AD7097"/>
    <w:rsid w:val="00AD75FE"/>
    <w:rsid w:val="00AE0245"/>
    <w:rsid w:val="00AE65FF"/>
    <w:rsid w:val="00AF05CC"/>
    <w:rsid w:val="00AF276E"/>
    <w:rsid w:val="00AF27F7"/>
    <w:rsid w:val="00AF3138"/>
    <w:rsid w:val="00AF6DFB"/>
    <w:rsid w:val="00B02435"/>
    <w:rsid w:val="00B02627"/>
    <w:rsid w:val="00B02F1F"/>
    <w:rsid w:val="00B05999"/>
    <w:rsid w:val="00B065D4"/>
    <w:rsid w:val="00B0736A"/>
    <w:rsid w:val="00B10754"/>
    <w:rsid w:val="00B1127A"/>
    <w:rsid w:val="00B14C08"/>
    <w:rsid w:val="00B15B9A"/>
    <w:rsid w:val="00B20DCE"/>
    <w:rsid w:val="00B23DB0"/>
    <w:rsid w:val="00B242AB"/>
    <w:rsid w:val="00B26FEF"/>
    <w:rsid w:val="00B27FB7"/>
    <w:rsid w:val="00B32D09"/>
    <w:rsid w:val="00B34F3B"/>
    <w:rsid w:val="00B41665"/>
    <w:rsid w:val="00B52B93"/>
    <w:rsid w:val="00B571D1"/>
    <w:rsid w:val="00B57450"/>
    <w:rsid w:val="00B61438"/>
    <w:rsid w:val="00B61502"/>
    <w:rsid w:val="00B747BF"/>
    <w:rsid w:val="00B749F3"/>
    <w:rsid w:val="00B76B99"/>
    <w:rsid w:val="00B77869"/>
    <w:rsid w:val="00B83F5B"/>
    <w:rsid w:val="00B8525B"/>
    <w:rsid w:val="00B85560"/>
    <w:rsid w:val="00B85E1A"/>
    <w:rsid w:val="00B92263"/>
    <w:rsid w:val="00B93320"/>
    <w:rsid w:val="00B937C5"/>
    <w:rsid w:val="00B957E2"/>
    <w:rsid w:val="00BA09DB"/>
    <w:rsid w:val="00BA2FEF"/>
    <w:rsid w:val="00BA5AA6"/>
    <w:rsid w:val="00BA61D9"/>
    <w:rsid w:val="00BA76BB"/>
    <w:rsid w:val="00BB235C"/>
    <w:rsid w:val="00BB3A62"/>
    <w:rsid w:val="00BB4C92"/>
    <w:rsid w:val="00BB60AB"/>
    <w:rsid w:val="00BB6F83"/>
    <w:rsid w:val="00BC1B7E"/>
    <w:rsid w:val="00BC3C70"/>
    <w:rsid w:val="00BC713E"/>
    <w:rsid w:val="00BD1759"/>
    <w:rsid w:val="00BD2670"/>
    <w:rsid w:val="00BD4060"/>
    <w:rsid w:val="00BE2079"/>
    <w:rsid w:val="00BE288E"/>
    <w:rsid w:val="00BE581D"/>
    <w:rsid w:val="00BE768C"/>
    <w:rsid w:val="00BF125B"/>
    <w:rsid w:val="00BF1540"/>
    <w:rsid w:val="00C00B83"/>
    <w:rsid w:val="00C01771"/>
    <w:rsid w:val="00C07222"/>
    <w:rsid w:val="00C10252"/>
    <w:rsid w:val="00C107EC"/>
    <w:rsid w:val="00C10C19"/>
    <w:rsid w:val="00C12EC3"/>
    <w:rsid w:val="00C16A1F"/>
    <w:rsid w:val="00C202C6"/>
    <w:rsid w:val="00C269EF"/>
    <w:rsid w:val="00C27B87"/>
    <w:rsid w:val="00C300B3"/>
    <w:rsid w:val="00C30DB2"/>
    <w:rsid w:val="00C32657"/>
    <w:rsid w:val="00C343B5"/>
    <w:rsid w:val="00C40401"/>
    <w:rsid w:val="00C411F7"/>
    <w:rsid w:val="00C43E04"/>
    <w:rsid w:val="00C515C4"/>
    <w:rsid w:val="00C5553A"/>
    <w:rsid w:val="00C55B49"/>
    <w:rsid w:val="00C57437"/>
    <w:rsid w:val="00C63530"/>
    <w:rsid w:val="00C64343"/>
    <w:rsid w:val="00C701A0"/>
    <w:rsid w:val="00C73007"/>
    <w:rsid w:val="00C74521"/>
    <w:rsid w:val="00C76D62"/>
    <w:rsid w:val="00C82681"/>
    <w:rsid w:val="00C8579E"/>
    <w:rsid w:val="00C85D3A"/>
    <w:rsid w:val="00C86E37"/>
    <w:rsid w:val="00C93542"/>
    <w:rsid w:val="00C94ECE"/>
    <w:rsid w:val="00C961F0"/>
    <w:rsid w:val="00CA3A5A"/>
    <w:rsid w:val="00CA7DBC"/>
    <w:rsid w:val="00CB3AFA"/>
    <w:rsid w:val="00CB58C9"/>
    <w:rsid w:val="00CB76D4"/>
    <w:rsid w:val="00CD1625"/>
    <w:rsid w:val="00CD3D3E"/>
    <w:rsid w:val="00CD4AE0"/>
    <w:rsid w:val="00CE03C2"/>
    <w:rsid w:val="00CE3F3B"/>
    <w:rsid w:val="00CE4CD7"/>
    <w:rsid w:val="00CE6723"/>
    <w:rsid w:val="00CF3057"/>
    <w:rsid w:val="00CF50A6"/>
    <w:rsid w:val="00CF5C9C"/>
    <w:rsid w:val="00CF7C7C"/>
    <w:rsid w:val="00D0045D"/>
    <w:rsid w:val="00D0131C"/>
    <w:rsid w:val="00D01538"/>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19C"/>
    <w:rsid w:val="00D73805"/>
    <w:rsid w:val="00D756EE"/>
    <w:rsid w:val="00D763BD"/>
    <w:rsid w:val="00D769DE"/>
    <w:rsid w:val="00D8052A"/>
    <w:rsid w:val="00D82715"/>
    <w:rsid w:val="00D82FF7"/>
    <w:rsid w:val="00D90972"/>
    <w:rsid w:val="00D965D4"/>
    <w:rsid w:val="00DA16ED"/>
    <w:rsid w:val="00DA3CAD"/>
    <w:rsid w:val="00DA4E51"/>
    <w:rsid w:val="00DA51E4"/>
    <w:rsid w:val="00DA6F19"/>
    <w:rsid w:val="00DB1B06"/>
    <w:rsid w:val="00DC1109"/>
    <w:rsid w:val="00DC2C0C"/>
    <w:rsid w:val="00DE007C"/>
    <w:rsid w:val="00DE19FA"/>
    <w:rsid w:val="00DE2B50"/>
    <w:rsid w:val="00DE30FC"/>
    <w:rsid w:val="00DE4B48"/>
    <w:rsid w:val="00DE6B04"/>
    <w:rsid w:val="00DE70A2"/>
    <w:rsid w:val="00DF27C3"/>
    <w:rsid w:val="00DF5C90"/>
    <w:rsid w:val="00E0354F"/>
    <w:rsid w:val="00E0770A"/>
    <w:rsid w:val="00E1060F"/>
    <w:rsid w:val="00E11BFC"/>
    <w:rsid w:val="00E156BA"/>
    <w:rsid w:val="00E15CC7"/>
    <w:rsid w:val="00E230CA"/>
    <w:rsid w:val="00E238F7"/>
    <w:rsid w:val="00E24F2C"/>
    <w:rsid w:val="00E25D82"/>
    <w:rsid w:val="00E25FC7"/>
    <w:rsid w:val="00E30CA4"/>
    <w:rsid w:val="00E32B76"/>
    <w:rsid w:val="00E331E0"/>
    <w:rsid w:val="00E370E6"/>
    <w:rsid w:val="00E37E5F"/>
    <w:rsid w:val="00E40E66"/>
    <w:rsid w:val="00E41A5F"/>
    <w:rsid w:val="00E42E05"/>
    <w:rsid w:val="00E431E0"/>
    <w:rsid w:val="00E44825"/>
    <w:rsid w:val="00E46C53"/>
    <w:rsid w:val="00E46DC7"/>
    <w:rsid w:val="00E47A63"/>
    <w:rsid w:val="00E50433"/>
    <w:rsid w:val="00E50BFC"/>
    <w:rsid w:val="00E50E08"/>
    <w:rsid w:val="00E53DB7"/>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35B9"/>
    <w:rsid w:val="00E94474"/>
    <w:rsid w:val="00EA085D"/>
    <w:rsid w:val="00EA5107"/>
    <w:rsid w:val="00EA7D62"/>
    <w:rsid w:val="00EB1F98"/>
    <w:rsid w:val="00EB1FB1"/>
    <w:rsid w:val="00EC169C"/>
    <w:rsid w:val="00EC30DA"/>
    <w:rsid w:val="00EC5A18"/>
    <w:rsid w:val="00EC5EA4"/>
    <w:rsid w:val="00ED0541"/>
    <w:rsid w:val="00ED2C60"/>
    <w:rsid w:val="00ED379E"/>
    <w:rsid w:val="00ED5E52"/>
    <w:rsid w:val="00ED6566"/>
    <w:rsid w:val="00EE09AB"/>
    <w:rsid w:val="00EE2026"/>
    <w:rsid w:val="00EE2DB3"/>
    <w:rsid w:val="00EE2F67"/>
    <w:rsid w:val="00EE3457"/>
    <w:rsid w:val="00EF080C"/>
    <w:rsid w:val="00EF2145"/>
    <w:rsid w:val="00EF3697"/>
    <w:rsid w:val="00EF5F95"/>
    <w:rsid w:val="00EF69F3"/>
    <w:rsid w:val="00F02806"/>
    <w:rsid w:val="00F04544"/>
    <w:rsid w:val="00F072AD"/>
    <w:rsid w:val="00F13F19"/>
    <w:rsid w:val="00F229BA"/>
    <w:rsid w:val="00F23180"/>
    <w:rsid w:val="00F25079"/>
    <w:rsid w:val="00F2628B"/>
    <w:rsid w:val="00F271B8"/>
    <w:rsid w:val="00F32CDB"/>
    <w:rsid w:val="00F32E34"/>
    <w:rsid w:val="00F33291"/>
    <w:rsid w:val="00F35C1E"/>
    <w:rsid w:val="00F35FF3"/>
    <w:rsid w:val="00F40184"/>
    <w:rsid w:val="00F424FB"/>
    <w:rsid w:val="00F429D8"/>
    <w:rsid w:val="00F460D1"/>
    <w:rsid w:val="00F52685"/>
    <w:rsid w:val="00F531E6"/>
    <w:rsid w:val="00F53669"/>
    <w:rsid w:val="00F53B15"/>
    <w:rsid w:val="00F55E70"/>
    <w:rsid w:val="00F55F78"/>
    <w:rsid w:val="00F57FD0"/>
    <w:rsid w:val="00F63FC2"/>
    <w:rsid w:val="00F66BFC"/>
    <w:rsid w:val="00F70350"/>
    <w:rsid w:val="00F72DA8"/>
    <w:rsid w:val="00F81E3F"/>
    <w:rsid w:val="00F86F83"/>
    <w:rsid w:val="00F87026"/>
    <w:rsid w:val="00F93336"/>
    <w:rsid w:val="00F95E02"/>
    <w:rsid w:val="00F96A6F"/>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147778C"/>
    <w:rsid w:val="02A91D81"/>
    <w:rsid w:val="047B2B5A"/>
    <w:rsid w:val="06157994"/>
    <w:rsid w:val="0BC0070F"/>
    <w:rsid w:val="0C142961"/>
    <w:rsid w:val="0CB63A18"/>
    <w:rsid w:val="1045133B"/>
    <w:rsid w:val="18BA2FD5"/>
    <w:rsid w:val="19EF056A"/>
    <w:rsid w:val="1C3E1334"/>
    <w:rsid w:val="1E7C5ED0"/>
    <w:rsid w:val="1FBC2C9C"/>
    <w:rsid w:val="20B41BC5"/>
    <w:rsid w:val="20B85DB1"/>
    <w:rsid w:val="21D77A53"/>
    <w:rsid w:val="23E66539"/>
    <w:rsid w:val="249851FC"/>
    <w:rsid w:val="24C117D6"/>
    <w:rsid w:val="27DA63B5"/>
    <w:rsid w:val="2E683E0E"/>
    <w:rsid w:val="2EA84E65"/>
    <w:rsid w:val="305078F7"/>
    <w:rsid w:val="30A34045"/>
    <w:rsid w:val="31576CC8"/>
    <w:rsid w:val="33F75A4A"/>
    <w:rsid w:val="362C24D2"/>
    <w:rsid w:val="38D6196D"/>
    <w:rsid w:val="3A175247"/>
    <w:rsid w:val="3B422E7A"/>
    <w:rsid w:val="3E384FC6"/>
    <w:rsid w:val="3E910DDF"/>
    <w:rsid w:val="3F982986"/>
    <w:rsid w:val="423440E0"/>
    <w:rsid w:val="42D0403D"/>
    <w:rsid w:val="42DA6098"/>
    <w:rsid w:val="42DC702D"/>
    <w:rsid w:val="436A5E7E"/>
    <w:rsid w:val="48CF69D6"/>
    <w:rsid w:val="4DB47E3E"/>
    <w:rsid w:val="500B35A1"/>
    <w:rsid w:val="50373AF5"/>
    <w:rsid w:val="5D0D455B"/>
    <w:rsid w:val="5D235B2D"/>
    <w:rsid w:val="5EAD1D1F"/>
    <w:rsid w:val="5FC829BC"/>
    <w:rsid w:val="620D6DC6"/>
    <w:rsid w:val="62960927"/>
    <w:rsid w:val="64FD0658"/>
    <w:rsid w:val="66F05671"/>
    <w:rsid w:val="68B517A5"/>
    <w:rsid w:val="6F11602F"/>
    <w:rsid w:val="7053540E"/>
    <w:rsid w:val="70B5214E"/>
    <w:rsid w:val="71E52F59"/>
    <w:rsid w:val="72E555E9"/>
    <w:rsid w:val="73F045BC"/>
    <w:rsid w:val="761D53B8"/>
    <w:rsid w:val="792A61C9"/>
    <w:rsid w:val="7E1D4C86"/>
    <w:rsid w:val="7E9F0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0"/>
    <w:pPr>
      <w:spacing w:line="360" w:lineRule="auto"/>
      <w:jc w:val="center"/>
      <w:outlineLvl w:val="0"/>
    </w:pPr>
    <w:rPr>
      <w:sz w:val="60"/>
      <w:szCs w:val="60"/>
    </w:rPr>
  </w:style>
  <w:style w:type="paragraph" w:styleId="3">
    <w:name w:val="heading 2"/>
    <w:basedOn w:val="1"/>
    <w:unhideWhenUsed/>
    <w:qFormat/>
    <w:uiPriority w:val="0"/>
    <w:pPr>
      <w:outlineLvl w:val="1"/>
    </w:pPr>
    <w:rPr>
      <w:sz w:val="40"/>
      <w:szCs w:val="40"/>
    </w:rPr>
  </w:style>
  <w:style w:type="paragraph" w:styleId="4">
    <w:name w:val="heading 3"/>
    <w:basedOn w:val="1"/>
    <w:link w:val="34"/>
    <w:unhideWhenUsed/>
    <w:qFormat/>
    <w:uiPriority w:val="0"/>
    <w:pPr>
      <w:spacing w:line="360" w:lineRule="auto"/>
      <w:ind w:left="2041"/>
      <w:outlineLvl w:val="2"/>
    </w:pPr>
    <w:rPr>
      <w:sz w:val="34"/>
      <w:szCs w:val="34"/>
    </w:rPr>
  </w:style>
  <w:style w:type="paragraph" w:styleId="5">
    <w:name w:val="heading 4"/>
    <w:basedOn w:val="1"/>
    <w:unhideWhenUsed/>
    <w:qFormat/>
    <w:uiPriority w:val="0"/>
    <w:pPr>
      <w:ind w:left="2268"/>
      <w:jc w:val="center"/>
      <w:outlineLvl w:val="3"/>
    </w:pPr>
    <w:rPr>
      <w:sz w:val="24"/>
      <w:szCs w:val="30"/>
    </w:rPr>
  </w:style>
  <w:style w:type="paragraph" w:styleId="6">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unhideWhenUsed/>
    <w:qFormat/>
    <w:uiPriority w:val="9"/>
    <w:pPr>
      <w:spacing w:line="360" w:lineRule="auto"/>
      <w:ind w:left="978" w:leftChars="700" w:hanging="278"/>
      <w:outlineLvl w:val="5"/>
    </w:pPr>
    <w:rPr>
      <w:bCs/>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5"/>
    <w:qFormat/>
    <w:uiPriority w:val="0"/>
    <w:pPr>
      <w:autoSpaceDE/>
      <w:autoSpaceDN/>
    </w:pPr>
  </w:style>
  <w:style w:type="paragraph" w:styleId="10">
    <w:name w:val="Body Text"/>
    <w:basedOn w:val="1"/>
    <w:link w:val="36"/>
    <w:qFormat/>
    <w:uiPriority w:val="99"/>
    <w:rPr>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4"/>
    <w:qFormat/>
    <w:uiPriority w:val="0"/>
    <w:pPr>
      <w:autoSpaceDE/>
      <w:autoSpaceDN/>
      <w:jc w:val="both"/>
    </w:pPr>
    <w:rPr>
      <w:rFonts w:hAnsi="Courier New" w:cstheme="minorBidi"/>
      <w:kern w:val="2"/>
      <w:sz w:val="24"/>
      <w:szCs w:val="24"/>
      <w:lang w:eastAsia="zh-CN"/>
    </w:rPr>
  </w:style>
  <w:style w:type="paragraph" w:styleId="15">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Balloon Text"/>
    <w:basedOn w:val="1"/>
    <w:link w:val="51"/>
    <w:unhideWhenUsed/>
    <w:qFormat/>
    <w:uiPriority w:val="0"/>
    <w:rPr>
      <w:sz w:val="18"/>
      <w:szCs w:val="18"/>
    </w:rPr>
  </w:style>
  <w:style w:type="paragraph" w:styleId="17">
    <w:name w:val="footer"/>
    <w:basedOn w:val="1"/>
    <w:link w:val="40"/>
    <w:unhideWhenUsed/>
    <w:qFormat/>
    <w:uiPriority w:val="0"/>
    <w:pPr>
      <w:tabs>
        <w:tab w:val="center" w:pos="4153"/>
        <w:tab w:val="right" w:pos="8306"/>
      </w:tabs>
      <w:snapToGrid w:val="0"/>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0">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1">
    <w:name w:val="footnote text"/>
    <w:basedOn w:val="1"/>
    <w:link w:val="44"/>
    <w:semiHidden/>
    <w:qFormat/>
    <w:uiPriority w:val="0"/>
    <w:pPr>
      <w:autoSpaceDE/>
      <w:autoSpaceDN/>
      <w:snapToGrid w:val="0"/>
    </w:pPr>
    <w:rPr>
      <w:rFonts w:ascii="Times New Roman" w:hAnsi="Times New Roman" w:cs="Times New Roman"/>
      <w:kern w:val="2"/>
      <w:sz w:val="18"/>
      <w:szCs w:val="18"/>
      <w:lang w:eastAsia="zh-CN"/>
    </w:rPr>
  </w:style>
  <w:style w:type="paragraph" w:styleId="22">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4">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5">
    <w:name w:val="annotation subject"/>
    <w:basedOn w:val="9"/>
    <w:next w:val="9"/>
    <w:link w:val="48"/>
    <w:unhideWhenUsed/>
    <w:qFormat/>
    <w:uiPriority w:val="0"/>
    <w:pPr>
      <w:autoSpaceDE w:val="0"/>
      <w:autoSpaceDN w:val="0"/>
    </w:pPr>
    <w:rPr>
      <w:b/>
      <w:bCs/>
    </w:rPr>
  </w:style>
  <w:style w:type="paragraph" w:styleId="26">
    <w:name w:val="Body Text First Indent 2"/>
    <w:basedOn w:val="11"/>
    <w:next w:val="1"/>
    <w:link w:val="47"/>
    <w:qFormat/>
    <w:uiPriority w:val="99"/>
    <w:pPr>
      <w:autoSpaceDE/>
      <w:autoSpaceDN/>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800080" w:themeColor="followedHyperlink"/>
      <w:u w:val="single"/>
      <w14:textFill>
        <w14:solidFill>
          <w14:schemeClr w14:val="folHlink"/>
        </w14:solidFill>
      </w14:textFill>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qFormat/>
    <w:uiPriority w:val="99"/>
    <w:rPr>
      <w:rFonts w:cs="Times New Roman"/>
      <w:sz w:val="21"/>
      <w:szCs w:val="21"/>
    </w:rPr>
  </w:style>
  <w:style w:type="character" w:styleId="33">
    <w:name w:val="footnote reference"/>
    <w:semiHidden/>
    <w:qFormat/>
    <w:uiPriority w:val="0"/>
    <w:rPr>
      <w:vertAlign w:val="superscript"/>
    </w:rPr>
  </w:style>
  <w:style w:type="character" w:customStyle="1" w:styleId="34">
    <w:name w:val="标题 3 字符"/>
    <w:basedOn w:val="29"/>
    <w:link w:val="4"/>
    <w:qFormat/>
    <w:uiPriority w:val="9"/>
    <w:rPr>
      <w:rFonts w:ascii="宋体" w:hAnsi="宋体" w:eastAsia="宋体" w:cs="宋体"/>
      <w:sz w:val="34"/>
      <w:szCs w:val="34"/>
    </w:rPr>
  </w:style>
  <w:style w:type="table" w:customStyle="1" w:styleId="35">
    <w:name w:val="Table Normal"/>
    <w:semiHidden/>
    <w:unhideWhenUsed/>
    <w:qFormat/>
    <w:uiPriority w:val="2"/>
    <w:tblPr>
      <w:tblCellMar>
        <w:top w:w="0" w:type="dxa"/>
        <w:left w:w="0" w:type="dxa"/>
        <w:bottom w:w="0" w:type="dxa"/>
        <w:right w:w="0" w:type="dxa"/>
      </w:tblCellMar>
    </w:tblPr>
  </w:style>
  <w:style w:type="character" w:customStyle="1" w:styleId="36">
    <w:name w:val="正文文本 字符"/>
    <w:basedOn w:val="29"/>
    <w:link w:val="10"/>
    <w:qFormat/>
    <w:uiPriority w:val="99"/>
    <w:rPr>
      <w:rFonts w:ascii="宋体" w:hAnsi="宋体" w:eastAsia="宋体" w:cs="宋体"/>
      <w:sz w:val="20"/>
      <w:szCs w:val="20"/>
    </w:rPr>
  </w:style>
  <w:style w:type="paragraph" w:styleId="37">
    <w:name w:val="List Paragraph"/>
    <w:basedOn w:val="1"/>
    <w:qFormat/>
    <w:uiPriority w:val="99"/>
    <w:pPr>
      <w:ind w:left="390" w:hanging="276"/>
    </w:pPr>
  </w:style>
  <w:style w:type="paragraph" w:customStyle="1" w:styleId="38">
    <w:name w:val="Table Paragraph"/>
    <w:basedOn w:val="1"/>
    <w:qFormat/>
    <w:uiPriority w:val="1"/>
  </w:style>
  <w:style w:type="character" w:customStyle="1" w:styleId="39">
    <w:name w:val="页眉 字符"/>
    <w:basedOn w:val="29"/>
    <w:link w:val="18"/>
    <w:qFormat/>
    <w:uiPriority w:val="0"/>
    <w:rPr>
      <w:rFonts w:ascii="宋体" w:hAnsi="宋体" w:eastAsia="宋体" w:cs="宋体"/>
      <w:sz w:val="18"/>
      <w:szCs w:val="18"/>
    </w:rPr>
  </w:style>
  <w:style w:type="character" w:customStyle="1" w:styleId="40">
    <w:name w:val="页脚 字符"/>
    <w:basedOn w:val="29"/>
    <w:link w:val="17"/>
    <w:qFormat/>
    <w:uiPriority w:val="0"/>
    <w:rPr>
      <w:rFonts w:ascii="宋体" w:hAnsi="宋体" w:eastAsia="宋体" w:cs="宋体"/>
      <w:sz w:val="18"/>
      <w:szCs w:val="18"/>
    </w:rPr>
  </w:style>
  <w:style w:type="paragraph" w:customStyle="1" w:styleId="41">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2">
    <w:name w:val="样式 标题 3 + 新宋体"/>
    <w:basedOn w:val="4"/>
    <w:link w:val="43"/>
    <w:qFormat/>
    <w:uiPriority w:val="0"/>
    <w:pPr>
      <w:keepNext/>
      <w:keepLines/>
      <w:autoSpaceDE/>
      <w:autoSpaceDN/>
      <w:jc w:val="both"/>
    </w:pPr>
    <w:rPr>
      <w:rFonts w:ascii="新宋体" w:hAnsi="新宋体" w:cs="Times New Roman"/>
      <w:sz w:val="21"/>
      <w:szCs w:val="32"/>
      <w:lang w:val="zh-CN" w:eastAsia="zh-CN"/>
    </w:rPr>
  </w:style>
  <w:style w:type="character" w:customStyle="1" w:styleId="43">
    <w:name w:val="样式 标题 3 + 新宋体 Char"/>
    <w:link w:val="42"/>
    <w:qFormat/>
    <w:uiPriority w:val="0"/>
    <w:rPr>
      <w:rFonts w:ascii="新宋体" w:hAnsi="新宋体" w:eastAsia="宋体" w:cs="Times New Roman"/>
      <w:sz w:val="21"/>
      <w:szCs w:val="32"/>
      <w:lang w:val="zh-CN" w:eastAsia="zh-CN"/>
    </w:rPr>
  </w:style>
  <w:style w:type="character" w:customStyle="1" w:styleId="44">
    <w:name w:val="脚注文本 字符"/>
    <w:basedOn w:val="29"/>
    <w:link w:val="21"/>
    <w:semiHidden/>
    <w:qFormat/>
    <w:uiPriority w:val="0"/>
    <w:rPr>
      <w:rFonts w:ascii="Times New Roman" w:hAnsi="Times New Roman" w:eastAsia="宋体" w:cs="Times New Roman"/>
      <w:kern w:val="2"/>
      <w:sz w:val="18"/>
      <w:szCs w:val="18"/>
      <w:lang w:eastAsia="zh-CN"/>
    </w:rPr>
  </w:style>
  <w:style w:type="character" w:customStyle="1" w:styleId="45">
    <w:name w:val="批注文字 字符"/>
    <w:basedOn w:val="29"/>
    <w:link w:val="9"/>
    <w:qFormat/>
    <w:uiPriority w:val="0"/>
    <w:rPr>
      <w:rFonts w:ascii="宋体" w:hAnsi="宋体" w:eastAsia="宋体" w:cs="宋体"/>
    </w:rPr>
  </w:style>
  <w:style w:type="character" w:customStyle="1" w:styleId="46">
    <w:name w:val="正文文本缩进 字符"/>
    <w:basedOn w:val="29"/>
    <w:link w:val="11"/>
    <w:semiHidden/>
    <w:qFormat/>
    <w:uiPriority w:val="99"/>
    <w:rPr>
      <w:rFonts w:ascii="宋体" w:hAnsi="宋体" w:eastAsia="宋体" w:cs="宋体"/>
    </w:rPr>
  </w:style>
  <w:style w:type="character" w:customStyle="1" w:styleId="47">
    <w:name w:val="正文首行缩进 2 字符"/>
    <w:basedOn w:val="46"/>
    <w:link w:val="26"/>
    <w:qFormat/>
    <w:uiPriority w:val="99"/>
    <w:rPr>
      <w:rFonts w:ascii="宋体" w:hAnsi="宋体" w:eastAsia="宋体" w:cs="宋体"/>
    </w:rPr>
  </w:style>
  <w:style w:type="character" w:customStyle="1" w:styleId="48">
    <w:name w:val="批注主题 字符"/>
    <w:basedOn w:val="45"/>
    <w:link w:val="25"/>
    <w:qFormat/>
    <w:uiPriority w:val="0"/>
    <w:rPr>
      <w:rFonts w:ascii="宋体" w:hAnsi="宋体" w:eastAsia="宋体" w:cs="宋体"/>
      <w:b/>
      <w:bCs/>
    </w:rPr>
  </w:style>
  <w:style w:type="paragraph" w:customStyle="1" w:styleId="49">
    <w:name w:val="TOC 标题1"/>
    <w:basedOn w:val="2"/>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0">
    <w:name w:val="未处理的提及1"/>
    <w:basedOn w:val="29"/>
    <w:semiHidden/>
    <w:unhideWhenUsed/>
    <w:qFormat/>
    <w:uiPriority w:val="99"/>
    <w:rPr>
      <w:color w:val="605E5C"/>
      <w:shd w:val="clear" w:color="auto" w:fill="E1DFDD"/>
    </w:rPr>
  </w:style>
  <w:style w:type="character" w:customStyle="1" w:styleId="51">
    <w:name w:val="批注框文本 字符"/>
    <w:basedOn w:val="29"/>
    <w:link w:val="16"/>
    <w:qFormat/>
    <w:uiPriority w:val="0"/>
    <w:rPr>
      <w:rFonts w:ascii="宋体" w:hAnsi="宋体" w:eastAsia="宋体" w:cs="宋体"/>
      <w:sz w:val="18"/>
      <w:szCs w:val="18"/>
    </w:rPr>
  </w:style>
  <w:style w:type="paragraph" w:customStyle="1" w:styleId="52">
    <w:name w:val="修订1"/>
    <w:hidden/>
    <w:semiHidden/>
    <w:qFormat/>
    <w:uiPriority w:val="99"/>
    <w:rPr>
      <w:rFonts w:ascii="宋体" w:hAnsi="宋体" w:eastAsia="宋体" w:cs="宋体"/>
      <w:sz w:val="22"/>
      <w:szCs w:val="22"/>
      <w:lang w:val="en-US" w:eastAsia="en-US" w:bidi="ar-SA"/>
    </w:rPr>
  </w:style>
  <w:style w:type="character" w:customStyle="1" w:styleId="53">
    <w:name w:val="未处理的提及2"/>
    <w:basedOn w:val="29"/>
    <w:semiHidden/>
    <w:unhideWhenUsed/>
    <w:qFormat/>
    <w:uiPriority w:val="99"/>
    <w:rPr>
      <w:color w:val="605E5C"/>
      <w:shd w:val="clear" w:color="auto" w:fill="E1DFDD"/>
    </w:rPr>
  </w:style>
  <w:style w:type="character" w:customStyle="1" w:styleId="54">
    <w:name w:val="纯文本 字符"/>
    <w:link w:val="14"/>
    <w:qFormat/>
    <w:uiPriority w:val="0"/>
    <w:rPr>
      <w:rFonts w:ascii="宋体" w:hAnsi="Courier New" w:eastAsia="宋体"/>
      <w:kern w:val="2"/>
      <w:sz w:val="24"/>
      <w:szCs w:val="24"/>
      <w:lang w:eastAsia="zh-CN"/>
    </w:rPr>
  </w:style>
  <w:style w:type="character" w:customStyle="1" w:styleId="55">
    <w:name w:val="纯文本 字符1"/>
    <w:basedOn w:val="29"/>
    <w:semiHidden/>
    <w:qFormat/>
    <w:uiPriority w:val="99"/>
    <w:rPr>
      <w:rFonts w:hAnsi="Courier New" w:cs="Courier New" w:asciiTheme="minorEastAsia"/>
    </w:rPr>
  </w:style>
  <w:style w:type="character" w:customStyle="1" w:styleId="56">
    <w:name w:val="未处理的提及3"/>
    <w:basedOn w:val="29"/>
    <w:semiHidden/>
    <w:unhideWhenUsed/>
    <w:qFormat/>
    <w:uiPriority w:val="99"/>
    <w:rPr>
      <w:color w:val="605E5C"/>
      <w:shd w:val="clear" w:color="auto" w:fill="E1DFDD"/>
    </w:rPr>
  </w:style>
  <w:style w:type="paragraph" w:customStyle="1" w:styleId="57">
    <w:name w:val="Char Char Char Char Char Char Char"/>
    <w:basedOn w:val="1"/>
    <w:qFormat/>
    <w:uiPriority w:val="0"/>
    <w:pPr>
      <w:widowControl/>
      <w:autoSpaceDE/>
      <w:autoSpaceDN/>
      <w:spacing w:after="160" w:line="240" w:lineRule="exact"/>
    </w:pPr>
    <w:rPr>
      <w:rFonts w:ascii="Arial" w:hAnsi="Arial" w:eastAsia="Times New Roman" w:cs="Verdana"/>
      <w:b/>
      <w:sz w:val="24"/>
      <w:szCs w:val="20"/>
    </w:rPr>
  </w:style>
  <w:style w:type="character" w:customStyle="1" w:styleId="58">
    <w:name w:val="font41"/>
    <w:qFormat/>
    <w:uiPriority w:val="0"/>
    <w:rPr>
      <w:rFonts w:ascii="仿宋_GB2312" w:eastAsia="仿宋_GB2312" w:cs="仿宋_GB2312"/>
      <w:color w:val="000000"/>
      <w:sz w:val="20"/>
      <w:szCs w:val="20"/>
      <w:u w:val="none"/>
    </w:rPr>
  </w:style>
  <w:style w:type="paragraph" w:customStyle="1" w:styleId="59">
    <w:name w:val="Default"/>
    <w:qFormat/>
    <w:uiPriority w:val="99"/>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9F35-5DB8-44E2-B6A3-853B67E635C4}">
  <ds:schemaRefs/>
</ds:datastoreItem>
</file>

<file path=docProps/app.xml><?xml version="1.0" encoding="utf-8"?>
<Properties xmlns="http://schemas.openxmlformats.org/officeDocument/2006/extended-properties" xmlns:vt="http://schemas.openxmlformats.org/officeDocument/2006/docPropsVTypes">
  <Template>Normal</Template>
  <Pages>65</Pages>
  <Words>5943</Words>
  <Characters>33877</Characters>
  <Lines>282</Lines>
  <Paragraphs>79</Paragraphs>
  <TotalTime>229</TotalTime>
  <ScaleCrop>false</ScaleCrop>
  <LinksUpToDate>false</LinksUpToDate>
  <CharactersWithSpaces>39741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WPS_1558068846</cp:lastModifiedBy>
  <dcterms:modified xsi:type="dcterms:W3CDTF">2023-12-27T10:21:18Z</dcterms:modified>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ABA075179D2A4FCAA20C2F714381DFAF_12</vt:lpwstr>
  </property>
</Properties>
</file>