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D2" w:rsidRDefault="003C57C3">
      <w:pPr>
        <w:pStyle w:val="a4"/>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rsidR="00004FD2" w:rsidRDefault="00004FD2">
      <w:pPr>
        <w:pStyle w:val="a4"/>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rsidR="00004FD2" w:rsidRDefault="0079634D">
      <w:pPr>
        <w:pStyle w:val="a4"/>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询比</w:t>
      </w:r>
      <w:r w:rsidR="003C57C3">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文件</w:t>
      </w:r>
    </w:p>
    <w:p w:rsidR="00004FD2" w:rsidRDefault="00004FD2">
      <w:pPr>
        <w:spacing w:line="540" w:lineRule="exact"/>
        <w:ind w:firstLineChars="400" w:firstLine="1280"/>
        <w:rPr>
          <w:rFonts w:ascii="仿宋_GB2312" w:eastAsia="仿宋_GB2312" w:hAnsi="仿宋" w:cs="仿宋_GB2312"/>
          <w:sz w:val="32"/>
          <w:szCs w:val="32"/>
        </w:rPr>
      </w:pPr>
    </w:p>
    <w:p w:rsidR="00004FD2" w:rsidRDefault="00004FD2">
      <w:pPr>
        <w:spacing w:line="540" w:lineRule="exact"/>
        <w:ind w:firstLineChars="400" w:firstLine="1280"/>
        <w:rPr>
          <w:rFonts w:ascii="仿宋_GB2312" w:eastAsia="仿宋_GB2312" w:hAnsi="仿宋" w:cs="仿宋_GB2312"/>
          <w:sz w:val="32"/>
          <w:szCs w:val="32"/>
        </w:rPr>
      </w:pPr>
    </w:p>
    <w:p w:rsidR="00004FD2" w:rsidRDefault="00004FD2">
      <w:pPr>
        <w:pStyle w:val="a4"/>
        <w:ind w:firstLineChars="645" w:firstLine="2072"/>
        <w:rPr>
          <w:rFonts w:ascii="黑体" w:eastAsia="黑体" w:hAnsi="黑体" w:cs="仿宋_GB2312"/>
          <w:b/>
        </w:rPr>
      </w:pPr>
    </w:p>
    <w:p w:rsidR="00004FD2" w:rsidRDefault="003C57C3">
      <w:pPr>
        <w:pStyle w:val="a4"/>
        <w:ind w:firstLineChars="645" w:firstLine="2072"/>
        <w:rPr>
          <w:rFonts w:ascii="黑体" w:eastAsia="黑体" w:hAnsi="黑体" w:cs="仿宋_GB2312"/>
          <w:b/>
        </w:rPr>
      </w:pPr>
      <w:r>
        <w:rPr>
          <w:rFonts w:ascii="黑体" w:eastAsia="黑体" w:hAnsi="黑体" w:cs="仿宋_GB2312" w:hint="eastAsia"/>
          <w:b/>
        </w:rPr>
        <w:t xml:space="preserve"> </w:t>
      </w:r>
    </w:p>
    <w:p w:rsidR="00004FD2" w:rsidRDefault="003C57C3">
      <w:pPr>
        <w:pStyle w:val="a4"/>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w:t>
      </w:r>
      <w:r>
        <w:rPr>
          <w:rFonts w:ascii="仿宋_GB2312" w:eastAsia="仿宋_GB2312" w:hAnsi="黑体" w:cs="仿宋_GB2312" w:hint="eastAsia"/>
          <w:b/>
          <w:lang w:val="en-US"/>
        </w:rPr>
        <w:t>202</w:t>
      </w:r>
      <w:r w:rsidR="00293C00">
        <w:rPr>
          <w:rFonts w:ascii="仿宋_GB2312" w:eastAsia="仿宋_GB2312" w:hAnsi="黑体" w:cs="仿宋_GB2312"/>
          <w:b/>
          <w:lang w:val="en-US"/>
        </w:rPr>
        <w:t>4</w:t>
      </w:r>
      <w:r>
        <w:rPr>
          <w:rFonts w:ascii="仿宋_GB2312" w:eastAsia="仿宋_GB2312" w:hAnsi="黑体" w:cs="仿宋_GB2312" w:hint="eastAsia"/>
          <w:b/>
          <w:lang w:val="en-US"/>
        </w:rPr>
        <w:t>年度</w:t>
      </w:r>
      <w:r w:rsidR="00293C00">
        <w:rPr>
          <w:rFonts w:ascii="仿宋_GB2312" w:eastAsia="仿宋_GB2312" w:hAnsi="黑体" w:cs="仿宋_GB2312" w:hint="eastAsia"/>
          <w:b/>
          <w:lang w:val="en-US"/>
        </w:rPr>
        <w:t>白灰</w:t>
      </w:r>
      <w:r>
        <w:rPr>
          <w:rFonts w:ascii="仿宋_GB2312" w:eastAsia="仿宋_GB2312" w:hAnsi="黑体" w:cs="仿宋_GB2312" w:hint="eastAsia"/>
          <w:b/>
          <w:lang w:val="en-US"/>
        </w:rPr>
        <w:t>销售</w:t>
      </w:r>
    </w:p>
    <w:p w:rsidR="00004FD2" w:rsidRDefault="00004FD2">
      <w:pPr>
        <w:pStyle w:val="a4"/>
        <w:ind w:leftChars="524" w:left="2341" w:hangingChars="495" w:hanging="1188"/>
        <w:rPr>
          <w:rFonts w:ascii="仿宋_GB2312" w:eastAsia="仿宋_GB2312"/>
          <w:sz w:val="24"/>
        </w:rPr>
      </w:pPr>
    </w:p>
    <w:p w:rsidR="00004FD2" w:rsidRDefault="003C57C3">
      <w:pPr>
        <w:pStyle w:val="a4"/>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rsidR="00004FD2" w:rsidRDefault="00004FD2">
      <w:pPr>
        <w:tabs>
          <w:tab w:val="left" w:pos="632"/>
        </w:tabs>
        <w:rPr>
          <w:rFonts w:ascii="仿宋_GB2312" w:eastAsia="仿宋_GB2312"/>
          <w:b/>
          <w:bCs/>
          <w:color w:val="000000"/>
          <w:sz w:val="36"/>
          <w:szCs w:val="36"/>
        </w:rPr>
      </w:pPr>
    </w:p>
    <w:p w:rsidR="00004FD2" w:rsidRDefault="00004FD2">
      <w:pPr>
        <w:tabs>
          <w:tab w:val="left" w:pos="632"/>
        </w:tabs>
        <w:jc w:val="center"/>
        <w:rPr>
          <w:rFonts w:ascii="仿宋_GB2312" w:eastAsia="仿宋_GB2312"/>
          <w:b/>
          <w:bCs/>
          <w:color w:val="000000"/>
          <w:sz w:val="36"/>
          <w:szCs w:val="36"/>
        </w:rPr>
      </w:pPr>
    </w:p>
    <w:p w:rsidR="00004FD2" w:rsidRDefault="00004FD2">
      <w:pPr>
        <w:tabs>
          <w:tab w:val="left" w:pos="632"/>
        </w:tabs>
        <w:jc w:val="center"/>
        <w:rPr>
          <w:rFonts w:ascii="仿宋_GB2312" w:eastAsia="仿宋_GB2312"/>
          <w:b/>
          <w:bCs/>
          <w:color w:val="000000"/>
          <w:sz w:val="18"/>
          <w:szCs w:val="18"/>
        </w:rPr>
      </w:pPr>
    </w:p>
    <w:p w:rsidR="00004FD2" w:rsidRDefault="00004FD2">
      <w:pPr>
        <w:tabs>
          <w:tab w:val="left" w:pos="632"/>
        </w:tabs>
        <w:jc w:val="center"/>
        <w:rPr>
          <w:rFonts w:ascii="仿宋_GB2312" w:eastAsia="仿宋_GB2312"/>
          <w:b/>
          <w:bCs/>
          <w:color w:val="000000"/>
          <w:sz w:val="18"/>
          <w:szCs w:val="18"/>
        </w:rPr>
      </w:pPr>
    </w:p>
    <w:p w:rsidR="00004FD2" w:rsidRDefault="00004FD2">
      <w:pPr>
        <w:tabs>
          <w:tab w:val="left" w:pos="632"/>
        </w:tabs>
        <w:jc w:val="center"/>
        <w:rPr>
          <w:rFonts w:ascii="仿宋_GB2312" w:eastAsia="仿宋_GB2312"/>
          <w:b/>
          <w:bCs/>
          <w:color w:val="000000"/>
          <w:sz w:val="18"/>
          <w:szCs w:val="18"/>
        </w:rPr>
      </w:pPr>
    </w:p>
    <w:p w:rsidR="00004FD2" w:rsidRDefault="00004FD2">
      <w:pPr>
        <w:tabs>
          <w:tab w:val="left" w:pos="632"/>
        </w:tabs>
        <w:jc w:val="center"/>
        <w:rPr>
          <w:rFonts w:ascii="仿宋_GB2312" w:eastAsia="仿宋_GB2312"/>
          <w:b/>
          <w:bCs/>
          <w:color w:val="000000"/>
          <w:sz w:val="18"/>
          <w:szCs w:val="18"/>
        </w:rPr>
      </w:pPr>
    </w:p>
    <w:p w:rsidR="00004FD2" w:rsidRDefault="003C57C3">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w:t>
      </w:r>
      <w:r w:rsidR="00293C00">
        <w:rPr>
          <w:rFonts w:ascii="仿宋_GB2312" w:eastAsia="仿宋_GB2312" w:hAnsi="黑体" w:cs="仿宋_GB2312"/>
          <w:sz w:val="32"/>
          <w:szCs w:val="32"/>
        </w:rPr>
        <w:t>4</w:t>
      </w:r>
      <w:r>
        <w:rPr>
          <w:rFonts w:ascii="仿宋_GB2312" w:eastAsia="仿宋_GB2312" w:hAnsi="黑体" w:cs="仿宋_GB2312" w:hint="eastAsia"/>
          <w:sz w:val="32"/>
          <w:szCs w:val="32"/>
        </w:rPr>
        <w:t>年</w:t>
      </w:r>
      <w:r w:rsidR="00293C00">
        <w:rPr>
          <w:rFonts w:ascii="仿宋_GB2312" w:eastAsia="仿宋_GB2312" w:hAnsi="黑体" w:cs="仿宋_GB2312"/>
          <w:sz w:val="32"/>
          <w:szCs w:val="32"/>
        </w:rPr>
        <w:t>1</w:t>
      </w:r>
      <w:r>
        <w:rPr>
          <w:rFonts w:ascii="仿宋_GB2312" w:eastAsia="仿宋_GB2312" w:hAnsi="黑体" w:cs="仿宋_GB2312" w:hint="eastAsia"/>
          <w:sz w:val="32"/>
          <w:szCs w:val="32"/>
        </w:rPr>
        <w:t>月</w:t>
      </w:r>
      <w:r w:rsidR="00293C00">
        <w:rPr>
          <w:rFonts w:ascii="仿宋_GB2312" w:eastAsia="仿宋_GB2312" w:hAnsi="黑体" w:cs="仿宋_GB2312"/>
          <w:sz w:val="32"/>
          <w:szCs w:val="32"/>
        </w:rPr>
        <w:t>22</w:t>
      </w:r>
      <w:r>
        <w:rPr>
          <w:rFonts w:ascii="仿宋_GB2312" w:eastAsia="仿宋_GB2312" w:hAnsi="黑体" w:cs="仿宋_GB2312" w:hint="eastAsia"/>
          <w:sz w:val="32"/>
          <w:szCs w:val="32"/>
        </w:rPr>
        <w:t>日</w:t>
      </w: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3C57C3">
      <w:pPr>
        <w:spacing w:line="360" w:lineRule="auto"/>
        <w:ind w:firstLineChars="200" w:firstLine="643"/>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项目描述</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一、物资名称：</w:t>
      </w:r>
      <w:r w:rsidR="00293C00">
        <w:rPr>
          <w:rFonts w:asciiTheme="minorEastAsia" w:eastAsiaTheme="minorEastAsia" w:hAnsiTheme="minorEastAsia" w:cstheme="minorEastAsia" w:hint="eastAsia"/>
          <w:sz w:val="24"/>
          <w:szCs w:val="24"/>
        </w:rPr>
        <w:t>白灰</w:t>
      </w:r>
    </w:p>
    <w:p w:rsidR="00004FD2" w:rsidRDefault="003C57C3">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二、规格型号：投标方到发包方场地取样化验为准</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三、数量：约</w:t>
      </w:r>
      <w:r w:rsidR="00293C00">
        <w:rPr>
          <w:rFonts w:asciiTheme="minorEastAsia" w:eastAsiaTheme="minorEastAsia" w:hAnsiTheme="minorEastAsia" w:cstheme="minorEastAsia"/>
          <w:sz w:val="24"/>
          <w:szCs w:val="24"/>
        </w:rPr>
        <w:t>240</w:t>
      </w:r>
      <w:r>
        <w:rPr>
          <w:rFonts w:asciiTheme="minorEastAsia" w:eastAsiaTheme="minorEastAsia" w:hAnsiTheme="minorEastAsia" w:cstheme="minorEastAsia" w:hint="eastAsia"/>
          <w:sz w:val="24"/>
          <w:szCs w:val="24"/>
        </w:rPr>
        <w:t>吨；</w:t>
      </w:r>
    </w:p>
    <w:p w:rsidR="00004FD2" w:rsidRDefault="0079634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四、定价方式：询比</w:t>
      </w:r>
    </w:p>
    <w:p w:rsidR="00004FD2" w:rsidRDefault="00293C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五、定标方式：未税金额最高中标</w:t>
      </w:r>
    </w:p>
    <w:p w:rsidR="00004FD2" w:rsidRDefault="003C57C3">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六、合格投标人的资格条件</w:t>
      </w:r>
    </w:p>
    <w:p w:rsidR="00293C00" w:rsidRDefault="003C57C3">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参与投标单位提供</w:t>
      </w:r>
      <w:r w:rsidR="00293C00">
        <w:rPr>
          <w:rFonts w:asciiTheme="minorEastAsia" w:eastAsiaTheme="minorEastAsia" w:hAnsiTheme="minorEastAsia" w:cstheme="minorEastAsia" w:hint="eastAsia"/>
          <w:sz w:val="24"/>
          <w:szCs w:val="24"/>
        </w:rPr>
        <w:t>合理</w:t>
      </w:r>
      <w:r>
        <w:rPr>
          <w:rFonts w:asciiTheme="minorEastAsia" w:eastAsiaTheme="minorEastAsia" w:hAnsiTheme="minorEastAsia" w:cstheme="minorEastAsia" w:hint="eastAsia"/>
          <w:sz w:val="24"/>
          <w:szCs w:val="24"/>
        </w:rPr>
        <w:t>的处理方案</w:t>
      </w:r>
      <w:r w:rsidR="00293C00">
        <w:rPr>
          <w:rFonts w:asciiTheme="minorEastAsia" w:eastAsiaTheme="minorEastAsia" w:hAnsiTheme="minorEastAsia" w:cstheme="minorEastAsia" w:hint="eastAsia"/>
          <w:sz w:val="24"/>
          <w:szCs w:val="24"/>
        </w:rPr>
        <w:t>。</w:t>
      </w:r>
    </w:p>
    <w:p w:rsidR="00004FD2" w:rsidRDefault="003C57C3">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r w:rsidR="0079634D">
        <w:rPr>
          <w:rFonts w:asciiTheme="minorEastAsia" w:eastAsiaTheme="minorEastAsia" w:hAnsiTheme="minorEastAsia" w:cstheme="minorEastAsia" w:hint="eastAsia"/>
          <w:sz w:val="24"/>
          <w:szCs w:val="24"/>
        </w:rPr>
        <w:t>投</w:t>
      </w:r>
      <w:r>
        <w:rPr>
          <w:rFonts w:asciiTheme="minorEastAsia" w:eastAsiaTheme="minorEastAsia" w:hAnsiTheme="minorEastAsia" w:cstheme="minorEastAsia" w:hint="eastAsia"/>
          <w:sz w:val="24"/>
          <w:szCs w:val="24"/>
        </w:rPr>
        <w:t>标保证金：</w:t>
      </w:r>
      <w:r w:rsidR="00293C00">
        <w:rPr>
          <w:rFonts w:asciiTheme="minorEastAsia" w:eastAsiaTheme="minorEastAsia" w:hAnsiTheme="minorEastAsia" w:cstheme="minorEastAsia"/>
          <w:sz w:val="24"/>
          <w:szCs w:val="24"/>
        </w:rPr>
        <w:t>1</w:t>
      </w:r>
      <w:r w:rsidR="0079634D">
        <w:rPr>
          <w:rFonts w:asciiTheme="minorEastAsia" w:eastAsiaTheme="minorEastAsia" w:hAnsiTheme="minorEastAsia" w:cstheme="minorEastAsia"/>
          <w:sz w:val="24"/>
          <w:szCs w:val="24"/>
        </w:rPr>
        <w:t>0000</w:t>
      </w:r>
      <w:r>
        <w:rPr>
          <w:rFonts w:asciiTheme="minorEastAsia" w:eastAsiaTheme="minorEastAsia" w:hAnsiTheme="minorEastAsia" w:cstheme="minorEastAsia" w:hint="eastAsia"/>
          <w:sz w:val="24"/>
          <w:szCs w:val="24"/>
        </w:rPr>
        <w:t>元，开标之前未打保证金的供应商报价无效。未中标供应商</w:t>
      </w:r>
      <w:r w:rsidR="0079634D">
        <w:rPr>
          <w:rFonts w:asciiTheme="minorEastAsia" w:eastAsiaTheme="minorEastAsia" w:hAnsiTheme="minorEastAsia" w:cstheme="minorEastAsia" w:hint="eastAsia"/>
          <w:sz w:val="24"/>
          <w:szCs w:val="24"/>
        </w:rPr>
        <w:t>投</w:t>
      </w:r>
      <w:r>
        <w:rPr>
          <w:rFonts w:asciiTheme="minorEastAsia" w:eastAsiaTheme="minorEastAsia" w:hAnsiTheme="minorEastAsia" w:cstheme="minorEastAsia" w:hint="eastAsia"/>
          <w:sz w:val="24"/>
          <w:szCs w:val="24"/>
        </w:rPr>
        <w:t>标保证金将在次月退回，中标供应商将竞标保证金</w:t>
      </w:r>
      <w:r w:rsidR="00293C00">
        <w:rPr>
          <w:rFonts w:asciiTheme="minorEastAsia" w:eastAsiaTheme="minorEastAsia" w:hAnsiTheme="minorEastAsia" w:cstheme="minorEastAsia"/>
          <w:sz w:val="24"/>
          <w:szCs w:val="24"/>
        </w:rPr>
        <w:t>5</w:t>
      </w:r>
      <w:r w:rsidR="0079634D">
        <w:rPr>
          <w:rFonts w:asciiTheme="minorEastAsia" w:eastAsiaTheme="minorEastAsia" w:hAnsiTheme="minorEastAsia" w:cstheme="minorEastAsia"/>
          <w:sz w:val="24"/>
          <w:szCs w:val="24"/>
        </w:rPr>
        <w:t>000</w:t>
      </w:r>
      <w:r w:rsidR="0079634D">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转为合同履约保证金</w:t>
      </w:r>
      <w:r w:rsidR="0079634D">
        <w:rPr>
          <w:rFonts w:asciiTheme="minorEastAsia" w:eastAsiaTheme="minorEastAsia" w:hAnsiTheme="minorEastAsia" w:cstheme="minorEastAsia" w:hint="eastAsia"/>
          <w:sz w:val="24"/>
          <w:szCs w:val="24"/>
        </w:rPr>
        <w:t>，</w:t>
      </w:r>
      <w:r w:rsidR="00293C00">
        <w:rPr>
          <w:rFonts w:asciiTheme="minorEastAsia" w:eastAsiaTheme="minorEastAsia" w:hAnsiTheme="minorEastAsia" w:cstheme="minorEastAsia"/>
          <w:sz w:val="24"/>
          <w:szCs w:val="24"/>
        </w:rPr>
        <w:t>5</w:t>
      </w:r>
      <w:r w:rsidR="0079634D">
        <w:rPr>
          <w:rFonts w:asciiTheme="minorEastAsia" w:eastAsiaTheme="minorEastAsia" w:hAnsiTheme="minorEastAsia" w:cstheme="minorEastAsia"/>
          <w:sz w:val="24"/>
          <w:szCs w:val="24"/>
        </w:rPr>
        <w:t>000</w:t>
      </w:r>
      <w:r w:rsidR="0079634D">
        <w:rPr>
          <w:rFonts w:asciiTheme="minorEastAsia" w:eastAsiaTheme="minorEastAsia" w:hAnsiTheme="minorEastAsia" w:cstheme="minorEastAsia" w:hint="eastAsia"/>
          <w:sz w:val="24"/>
          <w:szCs w:val="24"/>
        </w:rPr>
        <w:t>元转为预付货款</w:t>
      </w:r>
      <w:r>
        <w:rPr>
          <w:rFonts w:asciiTheme="minorEastAsia" w:eastAsiaTheme="minorEastAsia" w:hAnsiTheme="minorEastAsia" w:cstheme="minorEastAsia" w:hint="eastAsia"/>
          <w:sz w:val="24"/>
          <w:szCs w:val="24"/>
        </w:rPr>
        <w:t>。</w:t>
      </w:r>
    </w:p>
    <w:p w:rsidR="00004FD2" w:rsidRDefault="003C57C3">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出现以下情况将扣除保证金：</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1、中标后拒不签订合同的；</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2、发现有围标串标情况的；</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3、签订合同后不按照甲方要求按时清运的；</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4、其他出现违约情况的。</w:t>
      </w:r>
    </w:p>
    <w:p w:rsidR="00004FD2" w:rsidRDefault="0079634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w:t>
      </w:r>
      <w:r w:rsidR="003C57C3">
        <w:rPr>
          <w:rFonts w:asciiTheme="minorEastAsia" w:eastAsiaTheme="minorEastAsia" w:hAnsiTheme="minorEastAsia" w:cstheme="minorEastAsia" w:hint="eastAsia"/>
          <w:sz w:val="24"/>
          <w:szCs w:val="24"/>
        </w:rPr>
        <w:t>标保证金：人民</w:t>
      </w:r>
      <w:r w:rsidR="00293C00">
        <w:rPr>
          <w:rFonts w:asciiTheme="minorEastAsia" w:eastAsiaTheme="minorEastAsia" w:hAnsiTheme="minorEastAsia" w:cstheme="minorEastAsia"/>
          <w:sz w:val="24"/>
          <w:szCs w:val="24"/>
        </w:rPr>
        <w:t>1</w:t>
      </w:r>
      <w:r>
        <w:rPr>
          <w:rFonts w:asciiTheme="minorEastAsia" w:eastAsiaTheme="minorEastAsia" w:hAnsiTheme="minorEastAsia" w:cstheme="minorEastAsia"/>
          <w:sz w:val="24"/>
          <w:szCs w:val="24"/>
        </w:rPr>
        <w:t>0000</w:t>
      </w:r>
      <w:r w:rsidR="003C57C3">
        <w:rPr>
          <w:rFonts w:asciiTheme="minorEastAsia" w:eastAsiaTheme="minorEastAsia" w:hAnsiTheme="minorEastAsia" w:cstheme="minorEastAsia" w:hint="eastAsia"/>
          <w:sz w:val="24"/>
          <w:szCs w:val="24"/>
        </w:rPr>
        <w:t>元整。</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交款账户名称：中粮糖业辽宁有限公司</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账号：0709001819223086193</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开户行：中国工商银行营口经济技术开发区支行</w:t>
      </w:r>
    </w:p>
    <w:p w:rsidR="00004FD2" w:rsidRDefault="003C57C3">
      <w:pPr>
        <w:numPr>
          <w:ilvl w:val="0"/>
          <w:numId w:val="1"/>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清运期限：</w:t>
      </w:r>
      <w:r>
        <w:rPr>
          <w:rFonts w:asciiTheme="minorEastAsia" w:eastAsiaTheme="minorEastAsia" w:hAnsiTheme="minorEastAsia" w:cstheme="minorEastAsia" w:hint="eastAsia"/>
          <w:color w:val="000000" w:themeColor="text1"/>
          <w:sz w:val="24"/>
          <w:szCs w:val="24"/>
        </w:rPr>
        <w:t>乙方在承包期内必须按照甲方的要求及时清运</w:t>
      </w:r>
      <w:r w:rsidR="00293C00">
        <w:rPr>
          <w:rFonts w:asciiTheme="minorEastAsia" w:eastAsiaTheme="minorEastAsia" w:hAnsiTheme="minorEastAsia" w:cstheme="minorEastAsia" w:hint="eastAsia"/>
          <w:color w:val="000000" w:themeColor="text1"/>
          <w:sz w:val="24"/>
          <w:szCs w:val="24"/>
        </w:rPr>
        <w:t>白灰</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sz w:val="24"/>
          <w:szCs w:val="24"/>
        </w:rPr>
        <w:t>。</w:t>
      </w:r>
    </w:p>
    <w:p w:rsidR="00004FD2" w:rsidRDefault="003C57C3">
      <w:pPr>
        <w:numPr>
          <w:ilvl w:val="0"/>
          <w:numId w:val="1"/>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投标须知：所有投标方仔细阅读询比价文件，完全符合要求后参与投标，一旦参与投标，表示供应商对发包方的所有的要求都满足。</w:t>
      </w:r>
    </w:p>
    <w:p w:rsidR="00004FD2" w:rsidRDefault="00004FD2">
      <w:pPr>
        <w:spacing w:line="360" w:lineRule="auto"/>
        <w:ind w:firstLineChars="200" w:firstLine="640"/>
        <w:rPr>
          <w:rFonts w:ascii="仿宋_GB2312" w:eastAsia="仿宋_GB2312"/>
          <w:sz w:val="32"/>
          <w:szCs w:val="32"/>
        </w:rPr>
      </w:pPr>
    </w:p>
    <w:p w:rsidR="00004FD2" w:rsidRDefault="00004FD2">
      <w:pPr>
        <w:spacing w:line="360" w:lineRule="auto"/>
        <w:ind w:firstLineChars="200" w:firstLine="562"/>
        <w:jc w:val="center"/>
        <w:rPr>
          <w:rFonts w:ascii="仿宋_GB2312" w:eastAsia="仿宋_GB2312" w:hAnsi="仿宋_GB2312" w:cs="仿宋_GB2312"/>
          <w:b/>
          <w:bCs/>
          <w:color w:val="000000" w:themeColor="text1"/>
          <w:sz w:val="28"/>
          <w:szCs w:val="28"/>
        </w:rPr>
      </w:pPr>
    </w:p>
    <w:p w:rsidR="00004FD2" w:rsidRDefault="00004FD2">
      <w:pPr>
        <w:spacing w:line="360" w:lineRule="auto"/>
        <w:ind w:firstLineChars="200" w:firstLine="562"/>
        <w:jc w:val="center"/>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004FD2" w:rsidRDefault="00004FD2">
      <w:pPr>
        <w:spacing w:line="360" w:lineRule="auto"/>
        <w:jc w:val="both"/>
        <w:rPr>
          <w:rFonts w:ascii="仿宋_GB2312" w:eastAsia="仿宋_GB2312" w:hAnsi="仿宋_GB2312" w:cs="仿宋_GB2312"/>
          <w:b/>
          <w:bCs/>
          <w:color w:val="000000" w:themeColor="text1"/>
          <w:sz w:val="28"/>
          <w:szCs w:val="28"/>
        </w:rPr>
      </w:pPr>
    </w:p>
    <w:p w:rsidR="004F5FEF" w:rsidRDefault="004F5FEF">
      <w:pPr>
        <w:spacing w:line="360" w:lineRule="auto"/>
        <w:jc w:val="both"/>
        <w:rPr>
          <w:rFonts w:ascii="仿宋_GB2312" w:eastAsia="仿宋_GB2312" w:hAnsi="仿宋_GB2312" w:cs="仿宋_GB2312"/>
          <w:b/>
          <w:bCs/>
          <w:color w:val="000000" w:themeColor="text1"/>
          <w:sz w:val="28"/>
          <w:szCs w:val="28"/>
        </w:rPr>
      </w:pPr>
    </w:p>
    <w:p w:rsidR="00004FD2" w:rsidRDefault="003C57C3">
      <w:pPr>
        <w:numPr>
          <w:ilvl w:val="0"/>
          <w:numId w:val="2"/>
        </w:num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合同主要条款</w:t>
      </w:r>
    </w:p>
    <w:p w:rsidR="00004FD2" w:rsidRDefault="003C57C3">
      <w:pPr>
        <w:spacing w:before="240" w:line="360" w:lineRule="auto"/>
        <w:rPr>
          <w:rFonts w:ascii="宋体" w:eastAsia="宋体" w:hAnsi="宋体" w:cs="宋体"/>
          <w:color w:val="000000" w:themeColor="text1"/>
          <w:sz w:val="24"/>
          <w:szCs w:val="24"/>
        </w:rPr>
      </w:pPr>
      <w:r>
        <w:rPr>
          <w:rFonts w:ascii="宋体" w:eastAsia="宋体" w:hAnsi="宋体" w:cs="宋体" w:hint="eastAsia"/>
          <w:sz w:val="24"/>
          <w:szCs w:val="24"/>
        </w:rPr>
        <w:t>甲</w:t>
      </w:r>
      <w:r>
        <w:rPr>
          <w:rFonts w:ascii="宋体" w:eastAsia="宋体" w:hAnsi="宋体" w:cs="宋体" w:hint="eastAsia"/>
          <w:color w:val="000000" w:themeColor="text1"/>
          <w:sz w:val="24"/>
          <w:szCs w:val="24"/>
        </w:rPr>
        <w:t>方：中粮糖业辽宁有限公司</w:t>
      </w:r>
    </w:p>
    <w:p w:rsidR="00004FD2" w:rsidRDefault="003C57C3">
      <w:pPr>
        <w:spacing w:line="360" w:lineRule="auto"/>
        <w:rPr>
          <w:rFonts w:ascii="仿宋_GB2312" w:eastAsia="仿宋_GB2312" w:hAnsi="仿宋_GB2312" w:cs="仿宋_GB2312"/>
          <w:b/>
          <w:bCs/>
          <w:color w:val="000000" w:themeColor="text1"/>
          <w:sz w:val="24"/>
          <w:szCs w:val="24"/>
        </w:rPr>
      </w:pPr>
      <w:r>
        <w:rPr>
          <w:rFonts w:ascii="宋体" w:eastAsia="宋体" w:hAnsi="宋体" w:cs="宋体" w:hint="eastAsia"/>
          <w:color w:val="000000" w:themeColor="text1"/>
          <w:sz w:val="24"/>
          <w:szCs w:val="24"/>
        </w:rPr>
        <w:t>乙方：</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甲乙双方依据《中华人民共和国民法典》及相关法律有关规定，自愿达成如下协议：</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一、甲方将本厂生产中的</w:t>
      </w:r>
      <w:r w:rsidR="005E2833">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 xml:space="preserve"> 全部销售承包给乙方，乙方需在承包期内及时清运</w:t>
      </w:r>
      <w:r w:rsidR="005E2833">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 xml:space="preserve"> 。</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二、期限：</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乙方承包甲方</w:t>
      </w:r>
      <w:r w:rsidR="005E2833">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期限为【 1年 】</w:t>
      </w:r>
    </w:p>
    <w:p w:rsidR="00004FD2" w:rsidRDefault="00293C00">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白灰</w:t>
      </w:r>
      <w:r w:rsidR="003C57C3">
        <w:rPr>
          <w:rFonts w:ascii="宋体" w:eastAsia="宋体" w:hAnsi="宋体" w:cs="宋体" w:hint="eastAsia"/>
          <w:color w:val="000000" w:themeColor="text1"/>
          <w:sz w:val="24"/>
          <w:szCs w:val="24"/>
        </w:rPr>
        <w:t>自</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年</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月</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日起至</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年</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月</w:t>
      </w:r>
      <w:r w:rsidR="003C57C3">
        <w:rPr>
          <w:rFonts w:ascii="宋体" w:eastAsia="宋体" w:hAnsi="宋体" w:cs="宋体" w:hint="eastAsia"/>
          <w:color w:val="000000" w:themeColor="text1"/>
          <w:sz w:val="24"/>
          <w:szCs w:val="24"/>
          <w:u w:val="single"/>
        </w:rPr>
        <w:t xml:space="preserve">  </w:t>
      </w:r>
      <w:r w:rsidR="003C57C3">
        <w:rPr>
          <w:rFonts w:ascii="宋体" w:eastAsia="宋体" w:hAnsi="宋体" w:cs="宋体" w:hint="eastAsia"/>
          <w:color w:val="000000" w:themeColor="text1"/>
          <w:sz w:val="24"/>
          <w:szCs w:val="24"/>
        </w:rPr>
        <w:t>日止</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三、结算方式：</w:t>
      </w:r>
    </w:p>
    <w:p w:rsidR="00004FD2" w:rsidRDefault="003C57C3">
      <w:pPr>
        <w:spacing w:line="360" w:lineRule="auto"/>
        <w:ind w:firstLineChars="300" w:firstLine="7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乙方在承包期间按照合同约定及时运输</w:t>
      </w:r>
      <w:r w:rsidR="005E2833">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 xml:space="preserve"> ，价格按中标价格</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元/吨，结合实际清理数量向甲方交纳货款(以甲方过磅单为准），运费、装卸费由乙方自行承担。</w:t>
      </w:r>
    </w:p>
    <w:p w:rsidR="00004FD2" w:rsidRDefault="003C57C3">
      <w:pPr>
        <w:pStyle w:val="a4"/>
        <w:rPr>
          <w:color w:val="000000" w:themeColor="text1"/>
          <w:sz w:val="24"/>
          <w:szCs w:val="24"/>
        </w:rPr>
      </w:pPr>
      <w:r>
        <w:rPr>
          <w:rFonts w:hint="eastAsia"/>
          <w:color w:val="000000" w:themeColor="text1"/>
          <w:sz w:val="24"/>
          <w:szCs w:val="24"/>
        </w:rPr>
        <w:t xml:space="preserve">      乙方中标后投标保证金</w:t>
      </w:r>
      <w:r w:rsidR="0079634D">
        <w:rPr>
          <w:rFonts w:hint="eastAsia"/>
          <w:color w:val="000000" w:themeColor="text1"/>
          <w:sz w:val="24"/>
          <w:szCs w:val="24"/>
        </w:rPr>
        <w:t>中</w:t>
      </w:r>
      <w:r w:rsidR="00293C00">
        <w:rPr>
          <w:color w:val="000000" w:themeColor="text1"/>
          <w:sz w:val="24"/>
          <w:szCs w:val="24"/>
        </w:rPr>
        <w:t>5</w:t>
      </w:r>
      <w:r w:rsidR="0079634D">
        <w:rPr>
          <w:color w:val="000000" w:themeColor="text1"/>
          <w:sz w:val="24"/>
          <w:szCs w:val="24"/>
        </w:rPr>
        <w:t>000</w:t>
      </w:r>
      <w:r w:rsidR="0079634D">
        <w:rPr>
          <w:rFonts w:hint="eastAsia"/>
          <w:color w:val="000000" w:themeColor="text1"/>
          <w:sz w:val="24"/>
          <w:szCs w:val="24"/>
        </w:rPr>
        <w:t>元</w:t>
      </w:r>
      <w:r>
        <w:rPr>
          <w:rFonts w:hint="eastAsia"/>
          <w:color w:val="000000" w:themeColor="text1"/>
          <w:sz w:val="24"/>
          <w:szCs w:val="24"/>
        </w:rPr>
        <w:t>自动转为履约保证金，待合同执行结束后无息退还。</w:t>
      </w:r>
    </w:p>
    <w:p w:rsidR="00004FD2" w:rsidRDefault="003C57C3">
      <w:pPr>
        <w:pStyle w:val="a3"/>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合同生效后，乙方</w:t>
      </w:r>
      <w:r w:rsidR="0079634D" w:rsidRPr="0079634D">
        <w:rPr>
          <w:rFonts w:ascii="宋体" w:eastAsia="宋体" w:hAnsi="宋体" w:cs="宋体" w:hint="eastAsia"/>
          <w:color w:val="000000" w:themeColor="text1"/>
          <w:sz w:val="24"/>
          <w:szCs w:val="24"/>
        </w:rPr>
        <w:t>投标保证金中</w:t>
      </w:r>
      <w:r w:rsidR="00293C00">
        <w:rPr>
          <w:rFonts w:ascii="宋体" w:eastAsia="宋体" w:hAnsi="宋体" w:cs="宋体"/>
          <w:color w:val="000000" w:themeColor="text1"/>
          <w:sz w:val="24"/>
          <w:szCs w:val="24"/>
        </w:rPr>
        <w:t>5</w:t>
      </w:r>
      <w:r w:rsidR="0079634D" w:rsidRPr="0079634D">
        <w:rPr>
          <w:rFonts w:ascii="宋体" w:eastAsia="宋体" w:hAnsi="宋体" w:cs="宋体" w:hint="eastAsia"/>
          <w:color w:val="000000" w:themeColor="text1"/>
          <w:sz w:val="24"/>
          <w:szCs w:val="24"/>
        </w:rPr>
        <w:t>000元</w:t>
      </w:r>
      <w:r w:rsidR="0079634D">
        <w:rPr>
          <w:rFonts w:ascii="宋体" w:eastAsia="宋体" w:hAnsi="宋体" w:cs="宋体" w:hint="eastAsia"/>
          <w:color w:val="000000" w:themeColor="text1"/>
          <w:sz w:val="24"/>
          <w:szCs w:val="24"/>
        </w:rPr>
        <w:t>转为</w:t>
      </w:r>
      <w:r>
        <w:rPr>
          <w:rFonts w:ascii="宋体" w:eastAsia="宋体" w:hAnsi="宋体" w:cs="宋体" w:hint="eastAsia"/>
          <w:color w:val="000000" w:themeColor="text1"/>
          <w:sz w:val="24"/>
          <w:szCs w:val="24"/>
        </w:rPr>
        <w:t>预存货款，货款不足时及时向甲方缴纳货款，合同结束后，剩余货款无息退还。</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四、双方的权利和义务</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1、乙方在承包期内必须按照甲方的要求及时清运</w:t>
      </w:r>
      <w:r w:rsidR="00293C00">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 xml:space="preserve"> ，如因乙方原因违法违规清运或未能按照甲方要求将</w:t>
      </w:r>
      <w:r w:rsidR="005E2833">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清运出甲方厂外，甲方有权自行委托第三方公司有偿处理，处理费从保证金内扣除；且甲方有权单方解除合同，合同自解除通知达到乙方时即行解除，解除合同不影响乙方承担相关责任。</w:t>
      </w:r>
      <w:bookmarkStart w:id="0" w:name="_GoBack"/>
      <w:bookmarkEnd w:id="0"/>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2、乙方在承包期间，清运、处理等相关行为应符合国家法律及法规的规定，清运</w:t>
      </w:r>
      <w:r w:rsidR="00293C00">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必须使用符合法律法规要求的的车辆，清运车辆出入甲方厂区需过磅记录。</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3、所采购</w:t>
      </w:r>
      <w:r w:rsidR="00293C00">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乙方只能进行综合利用方式，且不得从事违法活动。</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4、乙方进入甲方厂区后，应遵守甲方的各项管理规定，听从甲方人员的指挥，因乙方及其人员的过错造成损失的，由乙方负责赔偿。</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5、乙方因在清运、应用、处理</w:t>
      </w:r>
      <w:r w:rsidR="00293C00">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的过程中造成污染，或给甲方及第三方造成损失、遭受罚款等，由乙方承担，乙方应在损害发生后一个月内予以赔偿。</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6、合同期内，乙方自行安排人员及车辆，自行负责运输路线以及处理方式；甲方积极配合乙方装卸</w:t>
      </w:r>
      <w:r w:rsidR="00293C00">
        <w:rPr>
          <w:rFonts w:ascii="宋体" w:eastAsia="宋体" w:hAnsi="宋体" w:cs="宋体" w:hint="eastAsia"/>
          <w:color w:val="000000" w:themeColor="text1"/>
          <w:sz w:val="24"/>
          <w:szCs w:val="24"/>
        </w:rPr>
        <w:t>白灰</w:t>
      </w:r>
      <w:r>
        <w:rPr>
          <w:rFonts w:ascii="宋体" w:eastAsia="宋体" w:hAnsi="宋体" w:cs="宋体" w:hint="eastAsia"/>
          <w:color w:val="000000" w:themeColor="text1"/>
          <w:sz w:val="24"/>
          <w:szCs w:val="24"/>
        </w:rPr>
        <w:t>。</w:t>
      </w:r>
    </w:p>
    <w:p w:rsidR="00004FD2" w:rsidRDefault="005E2833">
      <w:pPr>
        <w:pStyle w:val="a3"/>
        <w:rPr>
          <w:rFonts w:ascii="宋体" w:eastAsia="宋体" w:hAnsi="宋体" w:cs="宋体"/>
          <w:color w:val="000000" w:themeColor="text1"/>
          <w:sz w:val="24"/>
          <w:szCs w:val="24"/>
        </w:rPr>
      </w:pPr>
      <w:r>
        <w:rPr>
          <w:rFonts w:ascii="宋体" w:eastAsia="宋体" w:hAnsi="宋体" w:cs="宋体"/>
          <w:color w:val="000000" w:themeColor="text1"/>
          <w:sz w:val="24"/>
          <w:szCs w:val="24"/>
        </w:rPr>
        <w:t>7</w:t>
      </w:r>
      <w:r w:rsidR="003C57C3">
        <w:rPr>
          <w:rFonts w:ascii="宋体" w:eastAsia="宋体" w:hAnsi="宋体" w:cs="宋体" w:hint="eastAsia"/>
          <w:color w:val="000000" w:themeColor="text1"/>
          <w:sz w:val="24"/>
          <w:szCs w:val="24"/>
        </w:rPr>
        <w:t>、乙方应积极配合甲方进行拉运，并清晰明确了解</w:t>
      </w:r>
      <w:r>
        <w:rPr>
          <w:rFonts w:ascii="宋体" w:eastAsia="宋体" w:hAnsi="宋体" w:cs="宋体" w:hint="eastAsia"/>
          <w:color w:val="000000" w:themeColor="text1"/>
          <w:sz w:val="24"/>
          <w:szCs w:val="24"/>
        </w:rPr>
        <w:t>白灰</w:t>
      </w:r>
      <w:r w:rsidR="003C57C3">
        <w:rPr>
          <w:rFonts w:ascii="宋体" w:eastAsia="宋体" w:hAnsi="宋体" w:cs="宋体" w:hint="eastAsia"/>
          <w:color w:val="000000" w:themeColor="text1"/>
          <w:sz w:val="24"/>
          <w:szCs w:val="24"/>
        </w:rPr>
        <w:t>质量情况及产量情况，不得以任何理由拖延或拒绝拉运。</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五、合同到期前30日内，乙方须向甲方递交下期合作意向书，如乙方有继续合作意愿，同等条件下甲方优先与乙方续签合同。乙方</w:t>
      </w:r>
      <w:r w:rsidR="0079634D">
        <w:rPr>
          <w:rFonts w:ascii="宋体" w:eastAsia="宋体" w:hAnsi="宋体" w:cs="宋体" w:hint="eastAsia"/>
          <w:color w:val="000000" w:themeColor="text1"/>
          <w:sz w:val="24"/>
          <w:szCs w:val="24"/>
        </w:rPr>
        <w:t>投</w:t>
      </w:r>
      <w:r>
        <w:rPr>
          <w:rFonts w:ascii="宋体" w:eastAsia="宋体" w:hAnsi="宋体" w:cs="宋体" w:hint="eastAsia"/>
          <w:color w:val="000000" w:themeColor="text1"/>
          <w:sz w:val="24"/>
          <w:szCs w:val="24"/>
        </w:rPr>
        <w:t>标保证金在合同生效后直接转为履约保证金，在运输到期后一并无息退还。</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六、违约责任：本协议签订生效后，如甲、乙双方中任何一方违反本协议的约定内容，需承担违约金</w:t>
      </w:r>
      <w:r w:rsidR="005E2833">
        <w:rPr>
          <w:rFonts w:ascii="宋体" w:eastAsia="宋体" w:hAnsi="宋体" w:cs="宋体"/>
          <w:color w:val="000000" w:themeColor="text1"/>
          <w:sz w:val="24"/>
          <w:szCs w:val="24"/>
        </w:rPr>
        <w:t>5</w:t>
      </w:r>
      <w:r w:rsidR="0079634D">
        <w:rPr>
          <w:rFonts w:ascii="宋体" w:eastAsia="宋体" w:hAnsi="宋体" w:cs="宋体"/>
          <w:color w:val="000000" w:themeColor="text1"/>
          <w:sz w:val="24"/>
          <w:szCs w:val="24"/>
        </w:rPr>
        <w:t>000</w:t>
      </w:r>
      <w:r>
        <w:rPr>
          <w:rFonts w:ascii="宋体" w:eastAsia="宋体" w:hAnsi="宋体" w:cs="宋体" w:hint="eastAsia"/>
          <w:color w:val="000000" w:themeColor="text1"/>
          <w:sz w:val="24"/>
          <w:szCs w:val="24"/>
        </w:rPr>
        <w:t>元人民币，违约金不足赔偿对方损失的，违约方应赔偿相关损失。</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七、争议解决：甲乙方双方在本协议签订生效后，如发生争议协商解决，协商不成后，到合同签订地人民法院起诉解决，诉讼费、律师费由违约方承担。</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八、本协议一式二份，甲乙双方各执一份，签字盖章后立即生效。</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九、联系方式</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甲方联系人： </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联系电话：           邮箱： </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地址：辽宁省营口仙人岛经济开发区中粮大道1号中粮糖业辽宁有限公司</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乙方联系人：</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联系电话：           邮箱： </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双方以上联系信息发生变化的，需书面通知对方，因未及时通知造成的损失，责任自行承担。</w:t>
      </w:r>
    </w:p>
    <w:p w:rsidR="00004FD2" w:rsidRDefault="003C57C3">
      <w:pPr>
        <w:pStyle w:val="a4"/>
        <w:numPr>
          <w:ilvl w:val="0"/>
          <w:numId w:val="3"/>
        </w:numPr>
        <w:rPr>
          <w:color w:val="000000" w:themeColor="text1"/>
          <w:sz w:val="24"/>
          <w:szCs w:val="24"/>
        </w:rPr>
      </w:pPr>
      <w:r>
        <w:rPr>
          <w:rFonts w:hint="eastAsia"/>
          <w:color w:val="000000" w:themeColor="text1"/>
          <w:sz w:val="24"/>
          <w:szCs w:val="24"/>
        </w:rPr>
        <w:t>廉洁条款：</w:t>
      </w:r>
    </w:p>
    <w:p w:rsidR="00004FD2" w:rsidRDefault="003C57C3">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供需双方及其员工不得向对方及其员工实施商业贿赂行为，包括但不限于给予回扣、礼品、馈赠、娱乐、招待等行为；供需双方及其员工不得向对方及其员工索要财物；需方发现供方或供方员工向需方或需方员工实施前两款行为的，需方有权单方解除本合同，同时供方应向需方支付合同总金额10%的违约金；供方发现需方或需方员工向供方或供方员工实施前两款行为的，应通过邮箱：thjjb@cofco.com；电话：010-85017235向需方予以举报，如供方不予举报的，需方发现后有权单方解除本合同。</w:t>
      </w: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004FD2">
      <w:pPr>
        <w:spacing w:line="360" w:lineRule="auto"/>
        <w:ind w:firstLineChars="200" w:firstLine="480"/>
        <w:rPr>
          <w:rFonts w:ascii="宋体" w:eastAsia="宋体" w:hAnsi="宋体" w:cs="宋体"/>
          <w:color w:val="000000" w:themeColor="text1"/>
          <w:sz w:val="24"/>
          <w:szCs w:val="24"/>
        </w:rPr>
      </w:pPr>
    </w:p>
    <w:p w:rsidR="00004FD2" w:rsidRDefault="003C57C3">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第三部分 中粮糖业采购监督联系方式</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一、中粮糖业纪检监督联系方式</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地址：北京市朝阳区朝阳门南大街8号9层904室监察部/ 新疆乌鲁木齐市黄河路2号招商大厦20楼监察部</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电话：010-85017235/ 0991-6173321</w:t>
      </w:r>
    </w:p>
    <w:p w:rsidR="00004FD2" w:rsidRDefault="004869E6">
      <w:pPr>
        <w:spacing w:line="360" w:lineRule="auto"/>
        <w:ind w:firstLineChars="200" w:firstLine="440"/>
        <w:rPr>
          <w:rFonts w:asciiTheme="minorEastAsia" w:eastAsiaTheme="minorEastAsia" w:hAnsiTheme="minorEastAsia" w:cstheme="minorEastAsia"/>
          <w:sz w:val="24"/>
          <w:szCs w:val="24"/>
        </w:rPr>
      </w:pPr>
      <w:hyperlink r:id="rId8">
        <w:r w:rsidR="003C57C3">
          <w:rPr>
            <w:rFonts w:asciiTheme="minorEastAsia" w:eastAsiaTheme="minorEastAsia" w:hAnsiTheme="minorEastAsia" w:cstheme="minorEastAsia" w:hint="eastAsia"/>
            <w:sz w:val="24"/>
            <w:szCs w:val="24"/>
          </w:rPr>
          <w:t>电子邮箱:thjjb@cofco.com</w:t>
        </w:r>
      </w:hyperlink>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二、采购项目监督人员联系方式</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姓名：刘海燕</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联系电话：0417-6562810</w:t>
      </w:r>
    </w:p>
    <w:p w:rsidR="00004FD2" w:rsidRDefault="003C57C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电子邮箱：liuhaiyan3@cofco.com</w:t>
      </w:r>
    </w:p>
    <w:p w:rsidR="00004FD2" w:rsidRDefault="00004FD2">
      <w:pPr>
        <w:spacing w:before="34" w:line="254" w:lineRule="auto"/>
        <w:ind w:left="1279" w:right="5573"/>
        <w:rPr>
          <w:sz w:val="24"/>
          <w:szCs w:val="24"/>
        </w:rPr>
      </w:pPr>
    </w:p>
    <w:p w:rsidR="00004FD2" w:rsidRDefault="00004FD2">
      <w:pPr>
        <w:spacing w:after="0" w:line="254" w:lineRule="auto"/>
        <w:rPr>
          <w:sz w:val="24"/>
          <w:szCs w:val="24"/>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both"/>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004FD2">
      <w:pPr>
        <w:spacing w:after="0" w:line="254" w:lineRule="auto"/>
        <w:jc w:val="center"/>
        <w:rPr>
          <w:rFonts w:asciiTheme="minorEastAsia" w:eastAsiaTheme="minorEastAsia" w:hAnsiTheme="minorEastAsia" w:cstheme="minorEastAsia"/>
          <w:sz w:val="18"/>
          <w:szCs w:val="18"/>
        </w:rPr>
      </w:pPr>
    </w:p>
    <w:p w:rsidR="00004FD2" w:rsidRDefault="003C57C3">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w:t>
      </w:r>
      <w:r w:rsidR="0079634D">
        <w:rPr>
          <w:rFonts w:ascii="仿宋_GB2312" w:eastAsia="仿宋_GB2312" w:hAnsi="仿宋_GB2312" w:cs="仿宋_GB2312" w:hint="eastAsia"/>
          <w:b/>
          <w:bCs/>
          <w:color w:val="000000" w:themeColor="text1"/>
          <w:sz w:val="28"/>
          <w:szCs w:val="28"/>
        </w:rPr>
        <w:t>四</w:t>
      </w:r>
      <w:r>
        <w:rPr>
          <w:rFonts w:ascii="仿宋_GB2312" w:eastAsia="仿宋_GB2312" w:hAnsi="仿宋_GB2312" w:cs="仿宋_GB2312" w:hint="eastAsia"/>
          <w:b/>
          <w:bCs/>
          <w:color w:val="000000" w:themeColor="text1"/>
          <w:sz w:val="28"/>
          <w:szCs w:val="28"/>
        </w:rPr>
        <w:t>部分  廉洁承诺书</w:t>
      </w:r>
    </w:p>
    <w:p w:rsidR="00004FD2" w:rsidRDefault="00004FD2">
      <w:pPr>
        <w:spacing w:after="0" w:line="254" w:lineRule="auto"/>
        <w:jc w:val="both"/>
        <w:rPr>
          <w:rFonts w:asciiTheme="minorEastAsia" w:eastAsiaTheme="minorEastAsia" w:hAnsiTheme="minorEastAsia" w:cstheme="minorEastAsia"/>
          <w:sz w:val="18"/>
          <w:szCs w:val="18"/>
        </w:rPr>
      </w:pPr>
    </w:p>
    <w:p w:rsidR="00004FD2" w:rsidRDefault="003C57C3">
      <w:pPr>
        <w:pStyle w:val="a4"/>
        <w:spacing w:before="57"/>
        <w:ind w:left="64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中粮糖业辽宁有限公司：</w:t>
      </w:r>
    </w:p>
    <w:p w:rsidR="00004FD2" w:rsidRDefault="003C57C3">
      <w:pPr>
        <w:pStyle w:val="a4"/>
        <w:spacing w:before="214" w:line="364" w:lineRule="auto"/>
        <w:ind w:left="640" w:right="474" w:firstLine="638"/>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lastRenderedPageBreak/>
        <w:t>为积极配合贵公司进行的项目招标工作，有效遏制不公平竞争和违规违纪问题的发生，确保招标工作的公平、公正、公开，我们特向贵公司承诺如下事项：</w:t>
      </w:r>
    </w:p>
    <w:p w:rsidR="00004FD2" w:rsidRDefault="003C57C3">
      <w:pPr>
        <w:pStyle w:val="a7"/>
        <w:tabs>
          <w:tab w:val="left" w:pos="1616"/>
        </w:tabs>
        <w:spacing w:before="3" w:after="0" w:line="364" w:lineRule="auto"/>
        <w:ind w:left="1278" w:right="637"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1.自觉遵守国家法律法规及中粮屯河公司有关廉政建设制度。</w:t>
      </w:r>
    </w:p>
    <w:p w:rsidR="00004FD2" w:rsidRDefault="003C57C3">
      <w:pPr>
        <w:pStyle w:val="a7"/>
        <w:tabs>
          <w:tab w:val="left" w:pos="1605"/>
        </w:tabs>
        <w:spacing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2.不使用不正当手段妨碍、排挤其它投标单位或串通投标。</w:t>
      </w:r>
    </w:p>
    <w:p w:rsidR="00004FD2" w:rsidRDefault="003C57C3">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004FD2" w:rsidRDefault="003C57C3">
      <w:pPr>
        <w:pStyle w:val="a7"/>
        <w:tabs>
          <w:tab w:val="left" w:pos="1605"/>
        </w:tabs>
        <w:spacing w:before="3"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4.不将主体、关键性工作进行分包（包括贴牌生产、转包等）。</w:t>
      </w:r>
    </w:p>
    <w:p w:rsidR="00004FD2" w:rsidRDefault="003C57C3">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004FD2" w:rsidRDefault="003C57C3">
      <w:pPr>
        <w:pStyle w:val="a7"/>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6.不向贵公司涉及招标的部门及个人支付好处费、介绍费；购置或提供通讯工具、交通工具、电脑等。</w:t>
      </w:r>
    </w:p>
    <w:p w:rsidR="00004FD2" w:rsidRDefault="003C57C3">
      <w:pPr>
        <w:pStyle w:val="a7"/>
        <w:tabs>
          <w:tab w:val="left" w:pos="1616"/>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7.一旦发现相关人员在招标过程中有索要财物等不廉洁行为，坚决予以抵制，并及时向贵公司纪检监察部举报（举报电话：***）。</w:t>
      </w:r>
    </w:p>
    <w:p w:rsidR="00004FD2" w:rsidRDefault="003C57C3">
      <w:pPr>
        <w:pStyle w:val="a7"/>
        <w:tabs>
          <w:tab w:val="left" w:pos="1605"/>
        </w:tabs>
        <w:spacing w:before="3" w:after="0" w:line="364" w:lineRule="auto"/>
        <w:ind w:left="1278" w:right="939"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8.我方自愿将本承诺书作为投标文件及合同的附件， 具有同等的法律效力。</w:t>
      </w:r>
    </w:p>
    <w:p w:rsidR="00004FD2" w:rsidRDefault="003C57C3">
      <w:pPr>
        <w:pStyle w:val="a7"/>
        <w:tabs>
          <w:tab w:val="left" w:pos="1605"/>
        </w:tabs>
        <w:spacing w:after="0" w:line="364" w:lineRule="auto"/>
        <w:ind w:left="1278" w:right="934"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9.若违反上述承诺或违反有关法律法规及贵公司有关规定，我方自愿永久放弃参与贵公司的所有业务往来，并承担贵公司制度规定的一切法律责任。</w:t>
      </w:r>
    </w:p>
    <w:p w:rsidR="00004FD2" w:rsidRDefault="003C57C3">
      <w:pPr>
        <w:pStyle w:val="a7"/>
        <w:tabs>
          <w:tab w:val="left" w:pos="1763"/>
        </w:tabs>
        <w:spacing w:before="3" w:after="0"/>
        <w:ind w:left="1278" w:right="0"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10本承诺书自签署之日起生效。</w:t>
      </w:r>
    </w:p>
    <w:p w:rsidR="00004FD2" w:rsidRDefault="00004FD2">
      <w:pPr>
        <w:pStyle w:val="a4"/>
        <w:rPr>
          <w:rFonts w:asciiTheme="minorEastAsia" w:eastAsiaTheme="minorEastAsia" w:hAnsiTheme="minorEastAsia" w:cstheme="minorEastAsia"/>
          <w:sz w:val="21"/>
          <w:szCs w:val="21"/>
          <w:lang w:val="en-US" w:bidi="ar-SA"/>
        </w:rPr>
      </w:pPr>
    </w:p>
    <w:p w:rsidR="00004FD2" w:rsidRDefault="00004FD2">
      <w:pPr>
        <w:pStyle w:val="a4"/>
        <w:rPr>
          <w:rFonts w:asciiTheme="minorEastAsia" w:eastAsiaTheme="minorEastAsia" w:hAnsiTheme="minorEastAsia" w:cstheme="minorEastAsia"/>
          <w:sz w:val="21"/>
          <w:szCs w:val="21"/>
          <w:lang w:val="en-US" w:bidi="ar-SA"/>
        </w:rPr>
      </w:pPr>
    </w:p>
    <w:p w:rsidR="00004FD2" w:rsidRDefault="00004FD2">
      <w:pPr>
        <w:pStyle w:val="a4"/>
        <w:rPr>
          <w:rFonts w:asciiTheme="minorEastAsia" w:eastAsiaTheme="minorEastAsia" w:hAnsiTheme="minorEastAsia" w:cstheme="minorEastAsia"/>
          <w:sz w:val="21"/>
          <w:szCs w:val="21"/>
          <w:lang w:val="en-US" w:bidi="ar-SA"/>
        </w:rPr>
      </w:pPr>
    </w:p>
    <w:p w:rsidR="00004FD2" w:rsidRDefault="003C57C3">
      <w:pPr>
        <w:pStyle w:val="a4"/>
        <w:spacing w:before="233"/>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投标单位（公章）：</w:t>
      </w:r>
    </w:p>
    <w:p w:rsidR="00004FD2" w:rsidRDefault="003C57C3">
      <w:pPr>
        <w:pStyle w:val="a4"/>
        <w:spacing w:before="214"/>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法定代表人或授权代理人（签名）：</w:t>
      </w:r>
    </w:p>
    <w:p w:rsidR="00004FD2" w:rsidRDefault="003C57C3">
      <w:pPr>
        <w:pStyle w:val="a4"/>
        <w:spacing w:before="214"/>
        <w:ind w:firstLineChars="2700" w:firstLine="5670"/>
        <w:rPr>
          <w:rFonts w:asciiTheme="minorEastAsia" w:eastAsiaTheme="minorEastAsia" w:hAnsiTheme="minorEastAsia" w:cstheme="minorEastAsia"/>
          <w:sz w:val="21"/>
          <w:szCs w:val="21"/>
          <w:lang w:val="en-US" w:bidi="ar-SA"/>
        </w:rPr>
        <w:sectPr w:rsidR="00004FD2">
          <w:pgSz w:w="11910" w:h="16840"/>
          <w:pgMar w:top="1980" w:right="1160" w:bottom="1160" w:left="1160" w:header="720" w:footer="720" w:gutter="0"/>
          <w:cols w:space="720"/>
        </w:sectPr>
      </w:pPr>
      <w:r>
        <w:rPr>
          <w:rFonts w:asciiTheme="minorEastAsia" w:eastAsiaTheme="minorEastAsia" w:hAnsiTheme="minorEastAsia" w:cstheme="minorEastAsia" w:hint="eastAsia"/>
          <w:sz w:val="21"/>
          <w:szCs w:val="21"/>
          <w:lang w:val="en-US" w:bidi="ar-SA"/>
        </w:rPr>
        <w:t>日期：    年     月      日</w:t>
      </w:r>
    </w:p>
    <w:p w:rsidR="00004FD2" w:rsidRDefault="003C57C3">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第</w:t>
      </w:r>
      <w:r w:rsidR="0079634D">
        <w:rPr>
          <w:rFonts w:ascii="仿宋_GB2312" w:eastAsia="仿宋_GB2312" w:hAnsi="仿宋_GB2312" w:cs="仿宋_GB2312" w:hint="eastAsia"/>
          <w:b/>
          <w:bCs/>
          <w:color w:val="000000" w:themeColor="text1"/>
          <w:sz w:val="28"/>
          <w:szCs w:val="28"/>
        </w:rPr>
        <w:t>五</w:t>
      </w:r>
      <w:r>
        <w:rPr>
          <w:rFonts w:ascii="仿宋_GB2312" w:eastAsia="仿宋_GB2312" w:hAnsi="仿宋_GB2312" w:cs="仿宋_GB2312" w:hint="eastAsia"/>
          <w:b/>
          <w:bCs/>
          <w:color w:val="000000" w:themeColor="text1"/>
          <w:sz w:val="28"/>
          <w:szCs w:val="28"/>
        </w:rPr>
        <w:t>部分  报价文件</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致：     </w:t>
      </w:r>
    </w:p>
    <w:p w:rsidR="00004FD2" w:rsidRDefault="003C57C3">
      <w:pPr>
        <w:numPr>
          <w:ilvl w:val="0"/>
          <w:numId w:val="4"/>
        </w:num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w:t>
      </w:r>
      <w:r w:rsidR="005E2833">
        <w:rPr>
          <w:rFonts w:asciiTheme="minorEastAsia" w:eastAsiaTheme="minorEastAsia" w:hAnsiTheme="minorEastAsia" w:cstheme="minorEastAsia" w:hint="eastAsia"/>
          <w:sz w:val="18"/>
          <w:szCs w:val="18"/>
        </w:rPr>
        <w:t>白灰</w:t>
      </w:r>
      <w:r>
        <w:rPr>
          <w:rFonts w:asciiTheme="minorEastAsia" w:eastAsiaTheme="minorEastAsia" w:hAnsiTheme="minorEastAsia" w:cstheme="minorEastAsia" w:hint="eastAsia"/>
          <w:sz w:val="18"/>
          <w:szCs w:val="18"/>
        </w:rPr>
        <w:t>销售</w:t>
      </w:r>
      <w:r w:rsidR="00B90CDF">
        <w:rPr>
          <w:rFonts w:asciiTheme="minorEastAsia" w:eastAsiaTheme="minorEastAsia" w:hAnsiTheme="minorEastAsia" w:cstheme="minorEastAsia" w:hint="eastAsia"/>
          <w:sz w:val="18"/>
          <w:szCs w:val="18"/>
        </w:rPr>
        <w:t>询</w:t>
      </w:r>
      <w:r>
        <w:rPr>
          <w:rFonts w:asciiTheme="minorEastAsia" w:eastAsiaTheme="minorEastAsia" w:hAnsiTheme="minorEastAsia" w:cstheme="minorEastAsia" w:hint="eastAsia"/>
          <w:sz w:val="18"/>
          <w:szCs w:val="18"/>
        </w:rPr>
        <w:t>比价文件，遵照《中华人民共和国招标投标法》等有关规定，经研究上述谈判文件的投标须知、合同条款、服务标准及其他有关文件后，我方报价如下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898"/>
        <w:gridCol w:w="651"/>
        <w:gridCol w:w="682"/>
        <w:gridCol w:w="3968"/>
        <w:gridCol w:w="777"/>
        <w:gridCol w:w="805"/>
        <w:gridCol w:w="1192"/>
        <w:gridCol w:w="1664"/>
      </w:tblGrid>
      <w:tr w:rsidR="00004FD2">
        <w:trPr>
          <w:trHeight w:hRule="exact" w:val="533"/>
          <w:jc w:val="center"/>
        </w:trPr>
        <w:tc>
          <w:tcPr>
            <w:tcW w:w="898"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1333" w:type="dxa"/>
            <w:gridSpan w:val="2"/>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968"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777"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05"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1192"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664"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004FD2">
        <w:trPr>
          <w:trHeight w:hRule="exact" w:val="953"/>
          <w:jc w:val="center"/>
        </w:trPr>
        <w:tc>
          <w:tcPr>
            <w:tcW w:w="898"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p>
        </w:tc>
        <w:tc>
          <w:tcPr>
            <w:tcW w:w="1333" w:type="dxa"/>
            <w:gridSpan w:val="2"/>
            <w:vAlign w:val="center"/>
          </w:tcPr>
          <w:p w:rsidR="00004FD2" w:rsidRDefault="005E283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白灰</w:t>
            </w:r>
          </w:p>
        </w:tc>
        <w:tc>
          <w:tcPr>
            <w:tcW w:w="3968" w:type="dxa"/>
            <w:vAlign w:val="center"/>
          </w:tcPr>
          <w:p w:rsidR="00004FD2" w:rsidRDefault="00004FD2">
            <w:pPr>
              <w:tabs>
                <w:tab w:val="left" w:pos="5760"/>
              </w:tabs>
              <w:spacing w:line="400" w:lineRule="atLeast"/>
              <w:jc w:val="both"/>
              <w:rPr>
                <w:rFonts w:asciiTheme="minorEastAsia" w:eastAsiaTheme="minorEastAsia" w:hAnsiTheme="minorEastAsia" w:cstheme="minorEastAsia"/>
                <w:color w:val="000000"/>
                <w:sz w:val="18"/>
                <w:szCs w:val="18"/>
              </w:rPr>
            </w:pPr>
          </w:p>
        </w:tc>
        <w:tc>
          <w:tcPr>
            <w:tcW w:w="777" w:type="dxa"/>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吨</w:t>
            </w:r>
          </w:p>
        </w:tc>
        <w:tc>
          <w:tcPr>
            <w:tcW w:w="805" w:type="dxa"/>
            <w:vAlign w:val="center"/>
          </w:tcPr>
          <w:p w:rsidR="00004FD2" w:rsidRDefault="005E2833" w:rsidP="00B90CDF">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color w:val="000000"/>
                <w:sz w:val="18"/>
                <w:szCs w:val="18"/>
              </w:rPr>
              <w:t>240</w:t>
            </w:r>
          </w:p>
        </w:tc>
        <w:tc>
          <w:tcPr>
            <w:tcW w:w="1192" w:type="dxa"/>
            <w:vAlign w:val="center"/>
          </w:tcPr>
          <w:p w:rsidR="00004FD2" w:rsidRDefault="00004FD2">
            <w:pPr>
              <w:tabs>
                <w:tab w:val="left" w:pos="5760"/>
              </w:tabs>
              <w:spacing w:line="400" w:lineRule="atLeast"/>
              <w:jc w:val="center"/>
              <w:rPr>
                <w:rFonts w:asciiTheme="minorEastAsia" w:eastAsiaTheme="minorEastAsia" w:hAnsiTheme="minorEastAsia" w:cstheme="minorEastAsia"/>
                <w:color w:val="000000"/>
                <w:sz w:val="18"/>
                <w:szCs w:val="18"/>
              </w:rPr>
            </w:pPr>
          </w:p>
        </w:tc>
        <w:tc>
          <w:tcPr>
            <w:tcW w:w="1664" w:type="dxa"/>
            <w:vAlign w:val="center"/>
          </w:tcPr>
          <w:p w:rsidR="00004FD2" w:rsidRDefault="00004FD2">
            <w:pPr>
              <w:tabs>
                <w:tab w:val="left" w:pos="5760"/>
              </w:tabs>
              <w:spacing w:line="400" w:lineRule="atLeast"/>
              <w:jc w:val="center"/>
              <w:rPr>
                <w:rFonts w:asciiTheme="minorEastAsia" w:eastAsiaTheme="minorEastAsia" w:hAnsiTheme="minorEastAsia" w:cstheme="minorEastAsia"/>
                <w:color w:val="000000"/>
                <w:sz w:val="18"/>
                <w:szCs w:val="18"/>
              </w:rPr>
            </w:pPr>
          </w:p>
        </w:tc>
      </w:tr>
      <w:tr w:rsidR="00004FD2">
        <w:trPr>
          <w:trHeight w:hRule="exact" w:val="394"/>
          <w:jc w:val="center"/>
        </w:trPr>
        <w:tc>
          <w:tcPr>
            <w:tcW w:w="10637" w:type="dxa"/>
            <w:gridSpan w:val="8"/>
            <w:vAlign w:val="center"/>
          </w:tcPr>
          <w:p w:rsidR="00004FD2" w:rsidRDefault="003C57C3">
            <w:pPr>
              <w:tabs>
                <w:tab w:val="left" w:pos="5760"/>
              </w:tabs>
              <w:spacing w:line="400" w:lineRule="atLeast"/>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004FD2">
        <w:trPr>
          <w:trHeight w:hRule="exact" w:val="434"/>
          <w:jc w:val="center"/>
        </w:trPr>
        <w:tc>
          <w:tcPr>
            <w:tcW w:w="1549" w:type="dxa"/>
            <w:gridSpan w:val="2"/>
            <w:vAlign w:val="center"/>
          </w:tcPr>
          <w:p w:rsidR="00004FD2" w:rsidRDefault="003C57C3">
            <w:pPr>
              <w:tabs>
                <w:tab w:val="left" w:pos="5760"/>
              </w:tabs>
              <w:spacing w:line="400" w:lineRule="atLeas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rsidR="00004FD2" w:rsidRDefault="00004FD2">
            <w:pPr>
              <w:tabs>
                <w:tab w:val="left" w:pos="5760"/>
              </w:tabs>
              <w:spacing w:line="400" w:lineRule="atLeast"/>
              <w:ind w:firstLineChars="2700" w:firstLine="4860"/>
              <w:rPr>
                <w:rFonts w:asciiTheme="minorEastAsia" w:eastAsiaTheme="minorEastAsia" w:hAnsiTheme="minorEastAsia" w:cstheme="minorEastAsia"/>
                <w:color w:val="000000"/>
                <w:sz w:val="18"/>
                <w:szCs w:val="18"/>
              </w:rPr>
            </w:pPr>
          </w:p>
        </w:tc>
      </w:tr>
      <w:tr w:rsidR="00004FD2">
        <w:trPr>
          <w:trHeight w:hRule="exact" w:val="380"/>
          <w:jc w:val="center"/>
        </w:trPr>
        <w:tc>
          <w:tcPr>
            <w:tcW w:w="1549" w:type="dxa"/>
            <w:gridSpan w:val="2"/>
            <w:vAlign w:val="center"/>
          </w:tcPr>
          <w:p w:rsidR="00004FD2" w:rsidRDefault="003C57C3">
            <w:pPr>
              <w:tabs>
                <w:tab w:val="left" w:pos="5760"/>
              </w:tabs>
              <w:spacing w:line="400" w:lineRule="atLeas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rsidR="00004FD2" w:rsidRDefault="00004FD2">
            <w:pPr>
              <w:tabs>
                <w:tab w:val="left" w:pos="5760"/>
              </w:tabs>
              <w:spacing w:line="400" w:lineRule="atLeast"/>
              <w:ind w:firstLineChars="2700" w:firstLine="4860"/>
              <w:rPr>
                <w:rFonts w:asciiTheme="minorEastAsia" w:eastAsiaTheme="minorEastAsia" w:hAnsiTheme="minorEastAsia" w:cstheme="minorEastAsia"/>
                <w:color w:val="000000"/>
                <w:sz w:val="18"/>
                <w:szCs w:val="18"/>
              </w:rPr>
            </w:pPr>
          </w:p>
        </w:tc>
      </w:tr>
      <w:tr w:rsidR="00004FD2">
        <w:trPr>
          <w:trHeight w:hRule="exact" w:val="423"/>
          <w:jc w:val="center"/>
        </w:trPr>
        <w:tc>
          <w:tcPr>
            <w:tcW w:w="1549" w:type="dxa"/>
            <w:gridSpan w:val="2"/>
            <w:vAlign w:val="center"/>
          </w:tcPr>
          <w:p w:rsidR="00004FD2" w:rsidRDefault="003C57C3">
            <w:pPr>
              <w:tabs>
                <w:tab w:val="left" w:pos="5760"/>
              </w:tabs>
              <w:spacing w:line="400" w:lineRule="atLeas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rsidR="00004FD2" w:rsidRDefault="00004FD2">
            <w:pPr>
              <w:tabs>
                <w:tab w:val="left" w:pos="5760"/>
              </w:tabs>
              <w:spacing w:line="400" w:lineRule="atLeast"/>
              <w:ind w:firstLineChars="2700" w:firstLine="4860"/>
              <w:rPr>
                <w:rFonts w:asciiTheme="minorEastAsia" w:eastAsiaTheme="minorEastAsia" w:hAnsiTheme="minorEastAsia" w:cstheme="minorEastAsia"/>
                <w:color w:val="000000"/>
                <w:sz w:val="18"/>
                <w:szCs w:val="18"/>
              </w:rPr>
            </w:pPr>
          </w:p>
        </w:tc>
      </w:tr>
    </w:tbl>
    <w:p w:rsidR="00004FD2" w:rsidRDefault="003C57C3">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2、我方已详细审核并认同全部招标文件，包括修改文件（如有时）及有关附件。</w:t>
      </w:r>
    </w:p>
    <w:p w:rsidR="00004FD2" w:rsidRDefault="003C57C3">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3、一旦我方中标，我方保证按招标文件及合同规定完成跟踪审计任务。</w:t>
      </w:r>
    </w:p>
    <w:p w:rsidR="00004FD2" w:rsidRDefault="003C57C3">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4、我方同意所提交的投标文件在招标文件中规定的投标有效期内有效，在此期间内如果中标，我方将受此约束。</w:t>
      </w:r>
    </w:p>
    <w:p w:rsidR="00004FD2" w:rsidRDefault="003C57C3">
      <w:pPr>
        <w:spacing w:line="400" w:lineRule="atLeas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rsidR="00004FD2" w:rsidRDefault="003C57C3">
      <w:pPr>
        <w:spacing w:line="400" w:lineRule="atLeas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日期：      年     月     日</w:t>
      </w:r>
    </w:p>
    <w:p w:rsidR="00004FD2" w:rsidRDefault="00004FD2">
      <w:pPr>
        <w:rPr>
          <w:sz w:val="24"/>
          <w:szCs w:val="24"/>
        </w:rPr>
      </w:pPr>
    </w:p>
    <w:sectPr w:rsidR="00004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E6" w:rsidRDefault="004869E6">
      <w:r>
        <w:separator/>
      </w:r>
    </w:p>
  </w:endnote>
  <w:endnote w:type="continuationSeparator" w:id="0">
    <w:p w:rsidR="004869E6" w:rsidRDefault="0048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E6" w:rsidRDefault="004869E6">
      <w:pPr>
        <w:spacing w:after="0"/>
      </w:pPr>
      <w:r>
        <w:separator/>
      </w:r>
    </w:p>
  </w:footnote>
  <w:footnote w:type="continuationSeparator" w:id="0">
    <w:p w:rsidR="004869E6" w:rsidRDefault="004869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51B58"/>
    <w:multiLevelType w:val="singleLevel"/>
    <w:tmpl w:val="91C51B58"/>
    <w:lvl w:ilvl="0">
      <w:start w:val="8"/>
      <w:numFmt w:val="chineseCounting"/>
      <w:suff w:val="nothing"/>
      <w:lvlText w:val="%1、"/>
      <w:lvlJc w:val="left"/>
      <w:rPr>
        <w:rFonts w:hint="eastAsia"/>
      </w:rPr>
    </w:lvl>
  </w:abstractNum>
  <w:abstractNum w:abstractNumId="1" w15:restartNumberingAfterBreak="0">
    <w:nsid w:val="BD4E8E0C"/>
    <w:multiLevelType w:val="singleLevel"/>
    <w:tmpl w:val="BD4E8E0C"/>
    <w:lvl w:ilvl="0">
      <w:start w:val="1"/>
      <w:numFmt w:val="decimal"/>
      <w:suff w:val="nothing"/>
      <w:lvlText w:val="%1、"/>
      <w:lvlJc w:val="left"/>
    </w:lvl>
  </w:abstractNum>
  <w:abstractNum w:abstractNumId="2" w15:restartNumberingAfterBreak="0">
    <w:nsid w:val="E27EBE36"/>
    <w:multiLevelType w:val="singleLevel"/>
    <w:tmpl w:val="E27EBE36"/>
    <w:lvl w:ilvl="0">
      <w:start w:val="10"/>
      <w:numFmt w:val="chineseCounting"/>
      <w:suff w:val="nothing"/>
      <w:lvlText w:val="%1、"/>
      <w:lvlJc w:val="left"/>
      <w:rPr>
        <w:rFonts w:hint="eastAsia"/>
      </w:rPr>
    </w:lvl>
  </w:abstractNum>
  <w:abstractNum w:abstractNumId="3" w15:restartNumberingAfterBreak="0">
    <w:nsid w:val="704EECB4"/>
    <w:multiLevelType w:val="singleLevel"/>
    <w:tmpl w:val="704EECB4"/>
    <w:lvl w:ilvl="0">
      <w:start w:val="2"/>
      <w:numFmt w:val="chineseCounting"/>
      <w:suff w:val="space"/>
      <w:lvlText w:val="第%1部分"/>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2"/>
    <w:rsid w:val="00004FD2"/>
    <w:rsid w:val="00293C00"/>
    <w:rsid w:val="003C57C3"/>
    <w:rsid w:val="004869E6"/>
    <w:rsid w:val="004F5FEF"/>
    <w:rsid w:val="005E2833"/>
    <w:rsid w:val="00651F47"/>
    <w:rsid w:val="0079634D"/>
    <w:rsid w:val="00A909FB"/>
    <w:rsid w:val="00B90CDF"/>
    <w:rsid w:val="044C35E8"/>
    <w:rsid w:val="04BA652A"/>
    <w:rsid w:val="0BF8418D"/>
    <w:rsid w:val="1E101C03"/>
    <w:rsid w:val="21FF7EF0"/>
    <w:rsid w:val="25B90201"/>
    <w:rsid w:val="295C7766"/>
    <w:rsid w:val="317C2612"/>
    <w:rsid w:val="363708CA"/>
    <w:rsid w:val="3CBB2E8C"/>
    <w:rsid w:val="3D1A4FF2"/>
    <w:rsid w:val="3D224C9E"/>
    <w:rsid w:val="437B4E32"/>
    <w:rsid w:val="44460156"/>
    <w:rsid w:val="48347857"/>
    <w:rsid w:val="4A837141"/>
    <w:rsid w:val="4ADC4BAC"/>
    <w:rsid w:val="4E2429C7"/>
    <w:rsid w:val="52FA1B87"/>
    <w:rsid w:val="5392722D"/>
    <w:rsid w:val="53AD6DF0"/>
    <w:rsid w:val="53EF5901"/>
    <w:rsid w:val="584B143F"/>
    <w:rsid w:val="5F5177C4"/>
    <w:rsid w:val="6150756B"/>
    <w:rsid w:val="649B3472"/>
    <w:rsid w:val="669F1E64"/>
    <w:rsid w:val="66D340AB"/>
    <w:rsid w:val="726A1637"/>
    <w:rsid w:val="74C34C32"/>
    <w:rsid w:val="76D67C26"/>
    <w:rsid w:val="7C504DAC"/>
    <w:rsid w:val="7C8A0F70"/>
    <w:rsid w:val="7CFE5FEE"/>
    <w:rsid w:val="7D5A61BF"/>
    <w:rsid w:val="7D80161E"/>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3A4F"/>
  <w15:docId w15:val="{CDE79A3F-BE59-4BEB-8CD6-D84779BD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next w:val="a3"/>
    <w:uiPriority w:val="1"/>
    <w:qFormat/>
    <w:rPr>
      <w:rFonts w:ascii="宋体" w:eastAsia="宋体" w:hAnsi="宋体" w:cs="宋体"/>
      <w:sz w:val="32"/>
      <w:szCs w:val="32"/>
      <w:lang w:val="zh-CN" w:bidi="zh-CN"/>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qFormat/>
    <w:rPr>
      <w:color w:val="0000FF"/>
      <w:u w:val="single"/>
    </w:rPr>
  </w:style>
  <w:style w:type="paragraph" w:styleId="a7">
    <w:name w:val="List Paragraph"/>
    <w:basedOn w:val="a"/>
    <w:uiPriority w:val="1"/>
    <w:qFormat/>
    <w:pPr>
      <w:spacing w:before="2"/>
      <w:ind w:left="640" w:right="632" w:firstLine="638"/>
    </w:pPr>
    <w:rPr>
      <w:rFonts w:ascii="宋体" w:eastAsia="宋体" w:hAnsi="宋体" w:cs="宋体"/>
      <w:lang w:val="zh-CN" w:bidi="zh-CN"/>
    </w:rPr>
  </w:style>
  <w:style w:type="paragraph" w:styleId="a8">
    <w:name w:val="header"/>
    <w:basedOn w:val="a"/>
    <w:link w:val="a9"/>
    <w:rsid w:val="00B90CDF"/>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rsid w:val="00B90CDF"/>
    <w:rPr>
      <w:rFonts w:ascii="Tahoma" w:eastAsia="微软雅黑" w:hAnsi="Tahoma" w:cstheme="minorBidi"/>
      <w:sz w:val="18"/>
      <w:szCs w:val="18"/>
    </w:rPr>
  </w:style>
  <w:style w:type="paragraph" w:styleId="aa">
    <w:name w:val="footer"/>
    <w:basedOn w:val="a"/>
    <w:link w:val="ab"/>
    <w:rsid w:val="00B90CDF"/>
    <w:pPr>
      <w:tabs>
        <w:tab w:val="center" w:pos="4153"/>
        <w:tab w:val="right" w:pos="8306"/>
      </w:tabs>
    </w:pPr>
    <w:rPr>
      <w:sz w:val="18"/>
      <w:szCs w:val="18"/>
    </w:rPr>
  </w:style>
  <w:style w:type="character" w:customStyle="1" w:styleId="ab">
    <w:name w:val="页脚 字符"/>
    <w:basedOn w:val="a0"/>
    <w:link w:val="aa"/>
    <w:rsid w:val="00B90CDF"/>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COFCO\duanmw</cp:lastModifiedBy>
  <cp:revision>5</cp:revision>
  <dcterms:created xsi:type="dcterms:W3CDTF">2020-06-15T06:13:00Z</dcterms:created>
  <dcterms:modified xsi:type="dcterms:W3CDTF">2024-01-22T01:05:00Z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1BC9C64B2C4240339F51E0EFC7E2A2B8</vt:lpwstr>
  </property>
</Properties>
</file>