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2</w:t>
            </w:r>
            <w:r>
              <w:rPr>
                <w:rFonts w:hint="default" w:ascii="Times New Roman" w:hAnsi="Times New Roman" w:eastAsia="黑体" w:cs="Times New Roman"/>
                <w:sz w:val="24"/>
                <w:lang w:eastAsia="zh-CN"/>
              </w:rPr>
              <w:t>月</w:t>
            </w:r>
            <w:r>
              <w:rPr>
                <w:rFonts w:hint="eastAsia" w:eastAsia="黑体" w:cs="Times New Roman"/>
                <w:sz w:val="24"/>
                <w:lang w:val="en-US" w:eastAsia="zh-CN"/>
              </w:rPr>
              <w:t>24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我公司将对202402中粮北海糖业工厂振筛振臂等加工件物资询价项目进行询比采购，请各供应商根据项目要求进行报名报价。具体要求如下：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4#振筛振臂 2655mm</w:t>
            </w:r>
          </w:p>
        </w:tc>
        <w:tc>
          <w:tcPr>
            <w:tcW w:w="67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条</w:t>
            </w:r>
          </w:p>
        </w:tc>
        <w:tc>
          <w:tcPr>
            <w:tcW w:w="810"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4#振筛皮带轮φ152*120</w:t>
            </w:r>
          </w:p>
        </w:tc>
        <w:tc>
          <w:tcPr>
            <w:tcW w:w="675" w:type="dxa"/>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10" w:type="dxa"/>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w:t>
            </w:r>
          </w:p>
        </w:tc>
        <w:tc>
          <w:tcPr>
            <w:tcW w:w="1547"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80目不锈钢滤网φ260*285</w:t>
            </w:r>
          </w:p>
        </w:tc>
        <w:tc>
          <w:tcPr>
            <w:tcW w:w="675" w:type="dxa"/>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810" w:type="dxa"/>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eastAsia" w:eastAsia="仿宋_GB2312" w:cs="Times New Roman"/>
          <w:color w:val="auto"/>
          <w:kern w:val="0"/>
          <w:sz w:val="32"/>
          <w:szCs w:val="32"/>
          <w:lang w:val="en-US" w:eastAsia="zh-CN"/>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符合国标，符合企标，企标要高于国标。按图加工</w:t>
      </w:r>
    </w:p>
    <w:p>
      <w:pPr>
        <w:pStyle w:val="2"/>
        <w:numPr>
          <w:numId w:val="0"/>
        </w:numPr>
        <w:rPr>
          <w:rFonts w:hint="eastAsia"/>
          <w:lang w:val="en-US" w:eastAsia="zh-CN"/>
        </w:rPr>
      </w:pPr>
      <w:r>
        <w:drawing>
          <wp:inline distT="0" distB="0" distL="114300" distR="114300">
            <wp:extent cx="5895975" cy="4441825"/>
            <wp:effectExtent l="0" t="0" r="952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895975" cy="4441825"/>
                    </a:xfrm>
                    <a:prstGeom prst="rect">
                      <a:avLst/>
                    </a:prstGeom>
                    <a:noFill/>
                    <a:ln>
                      <a:noFill/>
                    </a:ln>
                  </pic:spPr>
                </pic:pic>
              </a:graphicData>
            </a:graphic>
          </wp:inline>
        </w:drawing>
      </w:r>
    </w:p>
    <w:p>
      <w:pPr>
        <w:pStyle w:val="2"/>
        <w:rPr>
          <w:rFonts w:hint="default"/>
          <w:lang w:val="en-US" w:eastAsia="zh-C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drawing>
          <wp:inline distT="0" distB="0" distL="114300" distR="114300">
            <wp:extent cx="5894705" cy="3836035"/>
            <wp:effectExtent l="0" t="0" r="1079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894705" cy="3836035"/>
                    </a:xfrm>
                    <a:prstGeom prst="rect">
                      <a:avLst/>
                    </a:prstGeom>
                    <a:noFill/>
                    <a:ln>
                      <a:noFill/>
                    </a:ln>
                  </pic:spPr>
                </pic:pic>
              </a:graphicData>
            </a:graphic>
          </wp:inline>
        </w:drawing>
      </w:r>
    </w:p>
    <w:p>
      <w:pPr>
        <w:rPr>
          <w:rFonts w:hint="default" w:ascii="Times New Roman" w:hAnsi="Times New Roman" w:eastAsia="黑体" w:cs="Times New Roman"/>
          <w:sz w:val="32"/>
          <w:szCs w:val="32"/>
        </w:rPr>
      </w:pPr>
      <w:r>
        <w:drawing>
          <wp:anchor distT="0" distB="0" distL="114300" distR="114300" simplePos="0" relativeHeight="251658240" behindDoc="0" locked="0" layoutInCell="1" allowOverlap="1">
            <wp:simplePos x="0" y="0"/>
            <wp:positionH relativeFrom="column">
              <wp:posOffset>-391795</wp:posOffset>
            </wp:positionH>
            <wp:positionV relativeFrom="paragraph">
              <wp:posOffset>664845</wp:posOffset>
            </wp:positionV>
            <wp:extent cx="6934835" cy="2294890"/>
            <wp:effectExtent l="0" t="0" r="18415" b="1016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934835" cy="2294890"/>
                    </a:xfrm>
                    <a:prstGeom prst="rect">
                      <a:avLst/>
                    </a:prstGeom>
                  </pic:spPr>
                </pic:pic>
              </a:graphicData>
            </a:graphic>
          </wp:anchor>
        </w:drawing>
      </w:r>
      <w:r>
        <w:rPr>
          <w:rFonts w:hint="default" w:ascii="Times New Roman" w:hAnsi="Times New Roman" w:eastAsia="黑体"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w:t>
      </w:r>
      <w:bookmarkStart w:id="0" w:name="_GoBack"/>
      <w:bookmarkEnd w:id="0"/>
      <w:r>
        <w:rPr>
          <w:rFonts w:hint="eastAsia" w:ascii="Times New Roman" w:hAnsi="Times New Roman" w:eastAsia="仿宋" w:cs="Times New Roman"/>
          <w:sz w:val="32"/>
          <w:szCs w:val="32"/>
          <w:lang w:val="en-US" w:eastAsia="zh-CN"/>
        </w:rPr>
        <w:t>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3F23B"/>
    <w:multiLevelType w:val="singleLevel"/>
    <w:tmpl w:val="A763F23B"/>
    <w:lvl w:ilvl="0" w:tentative="0">
      <w:start w:val="3"/>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9E24C3F"/>
    <w:rsid w:val="0A6F5074"/>
    <w:rsid w:val="0AF97FDE"/>
    <w:rsid w:val="0F152B66"/>
    <w:rsid w:val="16760CB0"/>
    <w:rsid w:val="1699719C"/>
    <w:rsid w:val="17170C4B"/>
    <w:rsid w:val="18D65C3E"/>
    <w:rsid w:val="1BC5362E"/>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1304E9A"/>
    <w:rsid w:val="46FC0E56"/>
    <w:rsid w:val="4A05591A"/>
    <w:rsid w:val="4EDD7A9B"/>
    <w:rsid w:val="4FA84265"/>
    <w:rsid w:val="55DB05F7"/>
    <w:rsid w:val="56590DEF"/>
    <w:rsid w:val="57915128"/>
    <w:rsid w:val="586E4483"/>
    <w:rsid w:val="5C1F60E7"/>
    <w:rsid w:val="5D371E03"/>
    <w:rsid w:val="621809DE"/>
    <w:rsid w:val="63802CF2"/>
    <w:rsid w:val="64471C00"/>
    <w:rsid w:val="66533321"/>
    <w:rsid w:val="70BE33D3"/>
    <w:rsid w:val="70BF1BDC"/>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2024-02-24T09:20:36Z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