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r>
        <w:rPr>
          <w:rFonts w:ascii="仿宋" w:hAnsi="仿宋" w:eastAsia="仿宋" w:cs="宋体"/>
          <w:b/>
          <w:sz w:val="72"/>
          <w:szCs w:val="44"/>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207645</wp:posOffset>
                </wp:positionV>
                <wp:extent cx="6195060" cy="495300"/>
                <wp:effectExtent l="4445" t="4445" r="10795" b="146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a:effectLst/>
                      </wps:spPr>
                      <wps:txb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7.05pt;margin-top:16.35pt;height:39pt;width:487.8pt;z-index:251659264;mso-width-relative:page;mso-height-relative:page;" fillcolor="#FFFFFF" filled="t" stroked="t" coordsize="21600,21600" o:gfxdata="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gxBi2gAAAAoBAAAPAAAAAAAAAAEAIAAAACIAAABkcnMvZG93&#10;bnJldi54bWxQSwECFAAUAAAACACHTuJAYOGeNzcCAACUBAAADgAAAAAAAAABACAAAAApAQAAZHJz&#10;L2Uyb0RvYy54bWxQSwUGAAAAAAYABgBZAQAA0gUAAAAA&#10;">
                <v:fill on="t" focussize="0,0"/>
                <v:stroke color="#000000" miterlimit="8" joinstyle="miter"/>
                <v:imagedata o:title=""/>
                <o:lock v:ext="edit" aspectratio="f"/>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mc:Fallback>
        </mc:AlternateContent>
      </w: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方正小标宋_GBK" w:hAnsi="仿宋" w:eastAsia="方正小标宋_GBK" w:cs="宋体"/>
          <w:sz w:val="44"/>
          <w:szCs w:val="44"/>
        </w:rPr>
      </w:pPr>
      <w:r>
        <w:rPr>
          <w:rFonts w:hint="eastAsia" w:ascii="方正小标宋_GBK" w:hAnsi="仿宋" w:eastAsia="方正小标宋_GBK" w:cs="宋体"/>
          <w:sz w:val="44"/>
          <w:szCs w:val="44"/>
        </w:rPr>
        <w:t>中粮屯河昌吉番茄制品有限公司</w:t>
      </w:r>
    </w:p>
    <w:p>
      <w:pPr>
        <w:spacing w:line="360" w:lineRule="auto"/>
        <w:jc w:val="center"/>
        <w:rPr>
          <w:rFonts w:ascii="方正小标宋_GBK" w:hAnsi="仿宋" w:eastAsia="方正小标宋_GBK" w:cs="宋体"/>
          <w:sz w:val="44"/>
          <w:szCs w:val="44"/>
        </w:rPr>
      </w:pPr>
      <w:r>
        <w:rPr>
          <w:rFonts w:hint="eastAsia" w:ascii="方正小标宋_GBK" w:hAnsi="仿宋" w:eastAsia="方正小标宋_GBK" w:cs="宋体"/>
          <w:sz w:val="44"/>
          <w:szCs w:val="44"/>
        </w:rPr>
        <w:t>第三代厌氧反应器及配套设备</w:t>
      </w:r>
    </w:p>
    <w:p>
      <w:pPr>
        <w:spacing w:line="360" w:lineRule="auto"/>
        <w:jc w:val="center"/>
        <w:rPr>
          <w:rFonts w:ascii="方正小标宋_GBK" w:hAnsi="仿宋" w:eastAsia="方正小标宋_GBK" w:cs="宋体"/>
          <w:sz w:val="44"/>
          <w:szCs w:val="44"/>
        </w:rPr>
      </w:pPr>
      <w:r>
        <w:rPr>
          <w:rFonts w:hint="eastAsia" w:ascii="方正小标宋_GBK" w:hAnsi="仿宋" w:eastAsia="方正小标宋_GBK" w:cs="宋体"/>
          <w:sz w:val="44"/>
          <w:szCs w:val="44"/>
        </w:rPr>
        <w:t>谈判采购文件</w:t>
      </w: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b/>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编制单位：中粮屯河昌吉番茄制品有限公司</w:t>
      </w:r>
    </w:p>
    <w:p>
      <w:pPr>
        <w:adjustRightInd w:val="0"/>
        <w:snapToGrid w:val="0"/>
        <w:spacing w:before="156" w:beforeLines="50" w:line="360" w:lineRule="auto"/>
        <w:ind w:firstLine="1280" w:firstLineChars="4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编制日期：</w:t>
      </w:r>
      <w:r>
        <w:rPr>
          <w:rFonts w:hint="eastAsia" w:ascii="方正小标宋_GBK" w:hAnsi="方正小标宋_GBK" w:eastAsia="方正小标宋_GBK" w:cs="方正小标宋_GBK"/>
          <w:sz w:val="32"/>
          <w:szCs w:val="32"/>
        </w:rPr>
        <w:t>2024年3月</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p>
    <w:tbl>
      <w:tblPr>
        <w:tblStyle w:val="21"/>
        <w:tblpPr w:leftFromText="180" w:rightFromText="180" w:vertAnchor="text" w:tblpY="1"/>
        <w:tblOverlap w:val="never"/>
        <w:tblW w:w="9640" w:type="dxa"/>
        <w:tblInd w:w="0" w:type="dxa"/>
        <w:tblLayout w:type="autofit"/>
        <w:tblCellMar>
          <w:top w:w="0" w:type="dxa"/>
          <w:left w:w="108" w:type="dxa"/>
          <w:bottom w:w="0" w:type="dxa"/>
          <w:right w:w="108" w:type="dxa"/>
        </w:tblCellMar>
      </w:tblPr>
      <w:tblGrid>
        <w:gridCol w:w="1957"/>
        <w:gridCol w:w="2807"/>
        <w:gridCol w:w="1410"/>
        <w:gridCol w:w="3466"/>
      </w:tblGrid>
      <w:tr>
        <w:tblPrEx>
          <w:tblCellMar>
            <w:top w:w="0" w:type="dxa"/>
            <w:left w:w="108" w:type="dxa"/>
            <w:bottom w:w="0" w:type="dxa"/>
            <w:right w:w="108" w:type="dxa"/>
          </w:tblCellMar>
        </w:tblPrEx>
        <w:trPr>
          <w:trHeight w:val="690" w:hRule="atLeast"/>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 w:hAnsi="仿宋" w:eastAsia="仿宋" w:cstheme="minorBidi"/>
                <w:b/>
                <w:bCs/>
                <w:sz w:val="36"/>
                <w:szCs w:val="36"/>
              </w:rPr>
            </w:pPr>
            <w:r>
              <w:rPr>
                <w:rFonts w:hint="eastAsia" w:ascii="仿宋" w:hAnsi="仿宋" w:eastAsia="仿宋" w:cs="宋体"/>
                <w:b/>
                <w:bCs/>
                <w:sz w:val="36"/>
                <w:szCs w:val="36"/>
              </w:rPr>
              <w:t>招标文件内容</w:t>
            </w:r>
          </w:p>
        </w:tc>
      </w:tr>
      <w:tr>
        <w:tblPrEx>
          <w:tblCellMar>
            <w:top w:w="0" w:type="dxa"/>
            <w:left w:w="108" w:type="dxa"/>
            <w:bottom w:w="0" w:type="dxa"/>
            <w:right w:w="108" w:type="dxa"/>
          </w:tblCellMar>
        </w:tblPrEx>
        <w:trPr>
          <w:trHeight w:val="660" w:hRule="atLeast"/>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stheme="minorBidi"/>
                <w:sz w:val="28"/>
                <w:szCs w:val="28"/>
              </w:rPr>
            </w:pPr>
            <w:r>
              <w:rPr>
                <w:rFonts w:hint="eastAsia" w:ascii="仿宋" w:hAnsi="仿宋" w:eastAsia="仿宋" w:cs="宋体"/>
                <w:sz w:val="28"/>
                <w:szCs w:val="28"/>
              </w:rPr>
              <w:t>第一部分</w:t>
            </w:r>
          </w:p>
        </w:tc>
        <w:tc>
          <w:tcPr>
            <w:tcW w:w="2807"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stheme="minorBidi"/>
                <w:sz w:val="28"/>
                <w:szCs w:val="28"/>
              </w:rPr>
            </w:pPr>
            <w:r>
              <w:rPr>
                <w:rFonts w:hint="eastAsia" w:ascii="仿宋" w:hAnsi="仿宋" w:eastAsia="仿宋" w:cs="宋体"/>
                <w:sz w:val="28"/>
                <w:szCs w:val="28"/>
              </w:rPr>
              <w:t>谈判采购公告</w:t>
            </w:r>
          </w:p>
        </w:tc>
        <w:tc>
          <w:tcPr>
            <w:tcW w:w="1410"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stheme="minorBidi"/>
                <w:sz w:val="28"/>
                <w:szCs w:val="28"/>
              </w:rPr>
            </w:pPr>
            <w:r>
              <w:rPr>
                <w:rFonts w:hint="eastAsia" w:ascii="仿宋" w:hAnsi="仿宋" w:eastAsia="仿宋" w:cs="宋体"/>
                <w:sz w:val="28"/>
                <w:szCs w:val="28"/>
              </w:rPr>
              <w:t>第五部分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stheme="minorBidi"/>
                <w:sz w:val="28"/>
                <w:szCs w:val="28"/>
              </w:rPr>
            </w:pPr>
            <w:r>
              <w:rPr>
                <w:rFonts w:hint="eastAsia" w:ascii="仿宋" w:hAnsi="仿宋" w:eastAsia="仿宋" w:cstheme="minorBidi"/>
                <w:sz w:val="28"/>
                <w:szCs w:val="28"/>
              </w:rPr>
              <w:t>安全管理</w:t>
            </w:r>
          </w:p>
        </w:tc>
      </w:tr>
      <w:tr>
        <w:tblPrEx>
          <w:tblCellMar>
            <w:top w:w="0" w:type="dxa"/>
            <w:left w:w="108" w:type="dxa"/>
            <w:bottom w:w="0" w:type="dxa"/>
            <w:right w:w="108" w:type="dxa"/>
          </w:tblCellMar>
        </w:tblPrEx>
        <w:trPr>
          <w:trHeight w:val="660" w:hRule="atLeast"/>
        </w:trPr>
        <w:tc>
          <w:tcPr>
            <w:tcW w:w="1957" w:type="dxa"/>
            <w:tcBorders>
              <w:top w:val="single" w:color="auto" w:sz="4" w:space="0"/>
              <w:left w:val="single" w:color="auto" w:sz="4" w:space="0"/>
              <w:bottom w:val="single" w:color="auto" w:sz="4" w:space="0"/>
              <w:right w:val="single" w:color="auto" w:sz="4" w:space="0"/>
            </w:tcBorders>
            <w:shd w:val="clear" w:color="auto" w:fill="92D050"/>
            <w:noWrap/>
            <w:vAlign w:val="center"/>
          </w:tcPr>
          <w:p>
            <w:pPr>
              <w:widowControl/>
              <w:ind w:left="142" w:hanging="142"/>
              <w:jc w:val="center"/>
              <w:rPr>
                <w:rFonts w:ascii="仿宋" w:hAnsi="仿宋" w:eastAsia="仿宋" w:cstheme="minorBidi"/>
                <w:sz w:val="28"/>
                <w:szCs w:val="28"/>
              </w:rPr>
            </w:pPr>
            <w:r>
              <w:rPr>
                <w:rFonts w:hint="eastAsia" w:ascii="仿宋" w:hAnsi="仿宋" w:eastAsia="仿宋" w:cs="宋体"/>
                <w:sz w:val="28"/>
                <w:szCs w:val="28"/>
              </w:rPr>
              <w:t>第二部分</w:t>
            </w:r>
          </w:p>
        </w:tc>
        <w:tc>
          <w:tcPr>
            <w:tcW w:w="2807"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stheme="minorBidi"/>
                <w:sz w:val="28"/>
                <w:szCs w:val="28"/>
              </w:rPr>
            </w:pPr>
            <w:r>
              <w:rPr>
                <w:rFonts w:hint="eastAsia" w:ascii="仿宋" w:hAnsi="仿宋" w:eastAsia="仿宋" w:cs="宋体"/>
                <w:sz w:val="28"/>
                <w:szCs w:val="28"/>
              </w:rPr>
              <w:t>投标方须知</w:t>
            </w:r>
          </w:p>
        </w:tc>
        <w:tc>
          <w:tcPr>
            <w:tcW w:w="1410"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stheme="minorBidi"/>
                <w:sz w:val="28"/>
                <w:szCs w:val="28"/>
              </w:rPr>
            </w:pPr>
            <w:r>
              <w:rPr>
                <w:rFonts w:hint="eastAsia" w:ascii="仿宋" w:hAnsi="仿宋" w:eastAsia="仿宋" w:cstheme="minorBidi"/>
                <w:sz w:val="28"/>
                <w:szCs w:val="28"/>
              </w:rPr>
              <w:t>第六部分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stheme="minorBidi"/>
                <w:sz w:val="28"/>
                <w:szCs w:val="28"/>
              </w:rPr>
            </w:pPr>
            <w:r>
              <w:rPr>
                <w:rFonts w:hint="eastAsia" w:ascii="仿宋" w:hAnsi="仿宋" w:eastAsia="仿宋" w:cs="宋体"/>
                <w:sz w:val="28"/>
                <w:szCs w:val="28"/>
              </w:rPr>
              <w:t>合同书模板</w:t>
            </w:r>
          </w:p>
        </w:tc>
      </w:tr>
      <w:tr>
        <w:tblPrEx>
          <w:tblCellMar>
            <w:top w:w="0" w:type="dxa"/>
            <w:left w:w="108" w:type="dxa"/>
            <w:bottom w:w="0" w:type="dxa"/>
            <w:right w:w="108" w:type="dxa"/>
          </w:tblCellMar>
        </w:tblPrEx>
        <w:trPr>
          <w:trHeight w:val="660" w:hRule="atLeast"/>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stheme="minorBidi"/>
                <w:sz w:val="28"/>
                <w:szCs w:val="28"/>
              </w:rPr>
            </w:pPr>
            <w:r>
              <w:rPr>
                <w:rFonts w:hint="eastAsia" w:ascii="仿宋" w:hAnsi="仿宋" w:eastAsia="仿宋" w:cs="宋体"/>
                <w:sz w:val="28"/>
                <w:szCs w:val="28"/>
              </w:rPr>
              <w:t>第三部分</w:t>
            </w:r>
          </w:p>
        </w:tc>
        <w:tc>
          <w:tcPr>
            <w:tcW w:w="2807"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stheme="minorBidi"/>
                <w:sz w:val="28"/>
                <w:szCs w:val="28"/>
              </w:rPr>
            </w:pPr>
            <w:r>
              <w:rPr>
                <w:rFonts w:hint="eastAsia" w:ascii="仿宋" w:hAnsi="仿宋" w:eastAsia="仿宋" w:cstheme="minorBidi"/>
                <w:sz w:val="28"/>
                <w:szCs w:val="28"/>
              </w:rPr>
              <w:t>评标办法</w:t>
            </w:r>
          </w:p>
        </w:tc>
        <w:tc>
          <w:tcPr>
            <w:tcW w:w="1410"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stheme="minorBidi"/>
                <w:sz w:val="28"/>
                <w:szCs w:val="28"/>
              </w:rPr>
            </w:pPr>
            <w:r>
              <w:rPr>
                <w:rFonts w:hint="eastAsia" w:ascii="仿宋" w:hAnsi="仿宋" w:eastAsia="仿宋" w:cs="宋体"/>
                <w:sz w:val="28"/>
                <w:szCs w:val="28"/>
              </w:rPr>
              <w:t>第七部分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stheme="minorBidi"/>
                <w:sz w:val="28"/>
                <w:szCs w:val="28"/>
              </w:rPr>
            </w:pPr>
            <w:r>
              <w:rPr>
                <w:rFonts w:hint="eastAsia" w:ascii="仿宋" w:hAnsi="仿宋" w:eastAsia="仿宋" w:cstheme="minorBidi"/>
                <w:sz w:val="28"/>
                <w:szCs w:val="28"/>
              </w:rPr>
              <w:t>投标文件格式</w:t>
            </w:r>
          </w:p>
        </w:tc>
      </w:tr>
      <w:tr>
        <w:tblPrEx>
          <w:tblCellMar>
            <w:top w:w="0" w:type="dxa"/>
            <w:left w:w="108" w:type="dxa"/>
            <w:bottom w:w="0" w:type="dxa"/>
            <w:right w:w="108" w:type="dxa"/>
          </w:tblCellMar>
        </w:tblPrEx>
        <w:trPr>
          <w:trHeight w:val="660" w:hRule="atLeast"/>
        </w:trPr>
        <w:tc>
          <w:tcPr>
            <w:tcW w:w="1957" w:type="dxa"/>
            <w:tcBorders>
              <w:top w:val="single" w:color="auto" w:sz="4" w:space="0"/>
              <w:left w:val="single" w:color="auto" w:sz="4" w:space="0"/>
              <w:bottom w:val="single" w:color="auto" w:sz="4" w:space="0"/>
              <w:right w:val="single" w:color="auto" w:sz="4" w:space="0"/>
            </w:tcBorders>
            <w:shd w:val="clear" w:color="auto" w:fill="92D050"/>
            <w:noWrap/>
            <w:vAlign w:val="center"/>
          </w:tcPr>
          <w:p>
            <w:pPr>
              <w:widowControl/>
              <w:ind w:left="142" w:hanging="142"/>
              <w:jc w:val="center"/>
              <w:rPr>
                <w:rFonts w:ascii="仿宋" w:hAnsi="仿宋" w:eastAsia="仿宋" w:cs="宋体"/>
                <w:sz w:val="28"/>
                <w:szCs w:val="28"/>
              </w:rPr>
            </w:pPr>
            <w:r>
              <w:rPr>
                <w:rFonts w:hint="eastAsia" w:ascii="仿宋" w:hAnsi="仿宋" w:eastAsia="仿宋" w:cs="宋体"/>
                <w:sz w:val="28"/>
                <w:szCs w:val="28"/>
              </w:rPr>
              <w:t>第四部分</w:t>
            </w:r>
          </w:p>
        </w:tc>
        <w:tc>
          <w:tcPr>
            <w:tcW w:w="2807"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stheme="minorBidi"/>
                <w:sz w:val="28"/>
                <w:szCs w:val="28"/>
              </w:rPr>
            </w:pPr>
            <w:r>
              <w:rPr>
                <w:rFonts w:hint="eastAsia" w:ascii="仿宋" w:hAnsi="仿宋" w:eastAsia="仿宋" w:cs="宋体"/>
                <w:sz w:val="28"/>
                <w:szCs w:val="28"/>
              </w:rPr>
              <w:t>项目内容及技术要求</w:t>
            </w:r>
          </w:p>
        </w:tc>
        <w:tc>
          <w:tcPr>
            <w:tcW w:w="1410"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stheme="minorBidi"/>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stheme="minorBidi"/>
                <w:sz w:val="28"/>
                <w:szCs w:val="28"/>
                <w:highlight w:val="yellow"/>
              </w:rPr>
            </w:pPr>
          </w:p>
        </w:tc>
      </w:tr>
    </w:tbl>
    <w:p>
      <w:pPr>
        <w:pStyle w:val="2"/>
        <w:jc w:val="center"/>
        <w:rPr>
          <w:rFonts w:ascii="仿宋" w:hAnsi="仿宋" w:eastAsia="仿宋" w:cs="MS Gothic"/>
          <w:sz w:val="28"/>
          <w:szCs w:val="28"/>
        </w:rPr>
      </w:pPr>
      <w:r>
        <w:rPr>
          <w:rFonts w:hint="eastAsia" w:ascii="仿宋" w:hAnsi="仿宋" w:eastAsia="仿宋"/>
        </w:rPr>
        <w:t xml:space="preserve">第一部分 </w:t>
      </w:r>
      <w:r>
        <w:rPr>
          <w:rFonts w:ascii="仿宋" w:hAnsi="仿宋" w:eastAsia="仿宋"/>
        </w:rPr>
        <w:t xml:space="preserve"> </w:t>
      </w:r>
      <w:r>
        <w:rPr>
          <w:rFonts w:hint="eastAsia" w:ascii="仿宋" w:hAnsi="仿宋" w:eastAsia="仿宋"/>
        </w:rPr>
        <w:t>谈判采购公告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autoSpaceDE w:val="0"/>
        <w:autoSpaceDN w:val="0"/>
        <w:spacing w:line="520" w:lineRule="exact"/>
        <w:ind w:left="-31" w:leftChars="-15"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现将中粮屯河昌吉番茄制品有限公司2024年度</w:t>
      </w:r>
      <w:r>
        <w:rPr>
          <w:rFonts w:hint="eastAsia" w:ascii="仿宋_GB2312" w:hAnsi="仿宋_GB2312" w:eastAsia="仿宋_GB2312" w:cs="仿宋_GB2312"/>
          <w:sz w:val="32"/>
          <w:szCs w:val="32"/>
        </w:rPr>
        <w:t>第三代厌氧反应器及配套设备采购公告如下：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left="-31" w:leftChars="-15" w:firstLine="800" w:firstLineChars="25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本采购项目为中粮屯河昌吉番茄制品有限公司</w:t>
      </w:r>
      <w:r>
        <w:rPr>
          <w:rFonts w:hint="eastAsia" w:ascii="仿宋_GB2312" w:eastAsia="仿宋_GB2312" w:hAnsiTheme="minorEastAsia"/>
          <w:color w:val="000000" w:themeColor="text1"/>
          <w:sz w:val="32"/>
          <w:szCs w:val="32"/>
          <w14:textFill>
            <w14:solidFill>
              <w14:schemeClr w14:val="tx1"/>
            </w14:solidFill>
          </w14:textFill>
        </w:rPr>
        <w:t>2024年度</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sz w:val="32"/>
          <w:szCs w:val="32"/>
        </w:rPr>
        <w:t>厌氧反应器系统建设采购，采购方为中粮屯河昌吉番茄制品有限公司，项目资金来源为自筹。该项目已具备谈判采购条件。</w:t>
      </w:r>
    </w:p>
    <w:p>
      <w:pPr>
        <w:autoSpaceDE w:val="0"/>
        <w:autoSpaceDN w:val="0"/>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2、项目名称</w:t>
      </w:r>
      <w:r>
        <w:rPr>
          <w:rFonts w:hint="eastAsia" w:ascii="仿宋_GB2312" w:hAnsi="仿宋_GB2312" w:eastAsia="仿宋_GB2312" w:cs="仿宋_GB2312"/>
          <w:sz w:val="32"/>
          <w:szCs w:val="32"/>
        </w:rPr>
        <w:t>：第三代厌氧反应器及配套设备采购</w:t>
      </w:r>
    </w:p>
    <w:p>
      <w:pPr>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b/>
          <w:sz w:val="32"/>
          <w:szCs w:val="32"/>
        </w:rPr>
        <w:t>3、项目概况与内容：</w:t>
      </w:r>
    </w:p>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3.1</w:t>
      </w:r>
      <w:r>
        <w:rPr>
          <w:rFonts w:ascii="仿宋_GB2312" w:hAnsi="仿宋_GB2312" w:eastAsia="仿宋_GB2312" w:cs="仿宋_GB2312"/>
          <w:sz w:val="32"/>
          <w:szCs w:val="32"/>
          <w:lang w:bidi="zh-CN"/>
        </w:rPr>
        <w:t xml:space="preserve"> </w:t>
      </w:r>
      <w:r>
        <w:rPr>
          <w:rFonts w:hint="eastAsia" w:ascii="仿宋_GB2312" w:hAnsi="仿宋_GB2312" w:eastAsia="仿宋_GB2312" w:cs="仿宋_GB2312"/>
          <w:sz w:val="32"/>
          <w:szCs w:val="32"/>
          <w:lang w:bidi="zh-CN"/>
        </w:rPr>
        <w:t>采购内容：一套第三代厌氧反应器及配套设备。</w:t>
      </w:r>
    </w:p>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3.2 项目地点：中粮糖业控股股份有限公司昌吉糖业分公司院内。</w:t>
      </w:r>
    </w:p>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3.3</w:t>
      </w:r>
      <w:r>
        <w:rPr>
          <w:rFonts w:ascii="仿宋_GB2312" w:hAnsi="仿宋_GB2312" w:eastAsia="仿宋_GB2312" w:cs="仿宋_GB2312"/>
          <w:sz w:val="32"/>
          <w:szCs w:val="32"/>
          <w:lang w:bidi="zh-CN"/>
        </w:rPr>
        <w:t xml:space="preserve"> </w:t>
      </w:r>
      <w:r>
        <w:rPr>
          <w:rFonts w:hint="eastAsia" w:ascii="仿宋_GB2312" w:hAnsi="仿宋_GB2312" w:eastAsia="仿宋_GB2312" w:cs="仿宋_GB2312"/>
          <w:sz w:val="32"/>
          <w:szCs w:val="32"/>
          <w:lang w:bidi="zh-CN"/>
        </w:rPr>
        <w:t>完工日期：设备材料进场2024年4月30日前，设备安装完成5月30日前。</w:t>
      </w:r>
    </w:p>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w:t>
      </w:r>
      <w:r>
        <w:rPr>
          <w:rFonts w:ascii="仿宋_GB2312" w:hAnsi="仿宋_GB2312" w:eastAsia="仿宋_GB2312" w:cs="仿宋_GB2312"/>
          <w:sz w:val="32"/>
          <w:szCs w:val="32"/>
          <w:lang w:bidi="zh-CN"/>
        </w:rPr>
        <w:t xml:space="preserve"> </w:t>
      </w:r>
      <w:r>
        <w:rPr>
          <w:rFonts w:hint="eastAsia" w:ascii="仿宋_GB2312" w:hAnsi="仿宋_GB2312" w:eastAsia="仿宋_GB2312" w:cs="仿宋_GB2312"/>
          <w:sz w:val="32"/>
          <w:szCs w:val="32"/>
          <w:lang w:bidi="zh-CN"/>
        </w:rPr>
        <w:t>采购类型及评价标准：</w:t>
      </w:r>
      <w:r>
        <w:rPr>
          <w:rFonts w:hint="eastAsia" w:ascii="仿宋_GB2312" w:hAnsi="仿宋_GB2312" w:eastAsia="仿宋_GB2312" w:cs="仿宋_GB2312"/>
          <w:iCs/>
          <w:sz w:val="32"/>
          <w:szCs w:val="32"/>
          <w:u w:val="single" w:color="FFFFFF"/>
        </w:rPr>
        <w:t>谈判采购，综合评标。</w:t>
      </w:r>
    </w:p>
    <w:p>
      <w:pPr>
        <w:pStyle w:val="11"/>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独立法人企业、</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其他组织</w:t>
      </w:r>
    </w:p>
    <w:p>
      <w:pPr>
        <w:pStyle w:val="56"/>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14:textFill>
            <w14:solidFill>
              <w14:schemeClr w14:val="tx1"/>
            </w14:solidFill>
          </w14:textFill>
        </w:rPr>
        <w:t>2资质要求：具有环保工程专业承包三级及以上资质。</w:t>
      </w:r>
    </w:p>
    <w:p>
      <w:pPr>
        <w:pStyle w:val="56"/>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56"/>
        <w:ind w:left="157" w:leftChars="-15" w:right="-170"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4.4具有未被列入国家企业信用信息公示系统（http://www.gsxt.gov.cn/index.html）严重违法失信企业名单。</w:t>
      </w:r>
    </w:p>
    <w:p>
      <w:pPr>
        <w:pStyle w:val="56"/>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4.5投标单位管理人员及项目负责人未被列为失信执行人。</w:t>
      </w:r>
    </w:p>
    <w:p>
      <w:pPr>
        <w:pStyle w:val="56"/>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4.6本项目不接受中粮糖业投标方黑名单（以中粮糖业下发的黑名单为准）的企业参与投标。</w:t>
      </w:r>
    </w:p>
    <w:p>
      <w:pPr>
        <w:pStyle w:val="56"/>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4.7与采购人存在利害关系可能影响采购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5、采购文件的获取及递交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5.1项目采购文件的获取及递交方式</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 xml:space="preserve"> (投标方参与方式为公开)</w:t>
      </w:r>
      <w:r>
        <w:rPr>
          <w:rFonts w:hint="eastAsia" w:ascii="仿宋_GB2312" w:hAnsi="仿宋_GB2312" w:eastAsia="仿宋_GB2312" w:cs="仿宋_GB2312"/>
          <w:color w:val="000000" w:themeColor="text1"/>
          <w:sz w:val="32"/>
          <w:szCs w:val="32"/>
          <w14:textFill>
            <w14:solidFill>
              <w14:schemeClr w14:val="tx1"/>
            </w14:solidFill>
          </w14:textFill>
        </w:rPr>
        <w:t>投标方需在</w:t>
      </w:r>
      <w:r>
        <w:rPr>
          <w:rFonts w:hint="eastAsia" w:ascii="仿宋_GB2312" w:hAnsi="仿宋_GB2312" w:eastAsia="仿宋_GB2312" w:cs="仿宋_GB2312"/>
          <w:sz w:val="32"/>
          <w:szCs w:val="32"/>
        </w:rPr>
        <w:t>2024年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分前在中粮糖业EPS采购平台（网址：</w:t>
      </w:r>
      <w:r>
        <w:fldChar w:fldCharType="begin"/>
      </w:r>
      <w:r>
        <w:instrText xml:space="preserve"> HYPERLINK "https://eps.cofcosugar.com/" </w:instrText>
      </w:r>
      <w:r>
        <w:fldChar w:fldCharType="separate"/>
      </w:r>
      <w:r>
        <w:rPr>
          <w:rStyle w:val="25"/>
          <w:rFonts w:hint="eastAsia" w:ascii="仿宋_GB2312" w:hAnsi="仿宋_GB2312" w:eastAsia="仿宋_GB2312" w:cs="仿宋_GB2312"/>
          <w:sz w:val="32"/>
          <w:szCs w:val="32"/>
        </w:rPr>
        <w:t>https://eps.cofcosugar.com/</w:t>
      </w:r>
      <w:r>
        <w:rPr>
          <w:rStyle w:val="25"/>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）完成注册报名；采购方组织资格审查合格后，投标方</w:t>
      </w:r>
      <w:r>
        <w:rPr>
          <w:rFonts w:hint="eastAsia" w:ascii="仿宋_GB2312" w:hAnsi="仿宋_GB2312" w:eastAsia="仿宋_GB2312" w:cs="仿宋_GB2312"/>
          <w:sz w:val="32"/>
          <w:szCs w:val="32"/>
        </w:rPr>
        <w:t>2024年*月*日00:00</w:t>
      </w:r>
      <w:r>
        <w:rPr>
          <w:rFonts w:hint="eastAsia" w:ascii="仿宋_GB2312" w:hAnsi="仿宋_GB2312" w:eastAsia="仿宋_GB2312" w:cs="仿宋_GB2312"/>
          <w:color w:val="000000" w:themeColor="text1"/>
          <w:sz w:val="32"/>
          <w:szCs w:val="32"/>
          <w14:textFill>
            <w14:solidFill>
              <w14:schemeClr w14:val="tx1"/>
            </w14:solidFill>
          </w14:textFill>
        </w:rPr>
        <w:t>后通过EPS采购平台获取采购文件；</w:t>
      </w:r>
      <w:r>
        <w:rPr>
          <w:rFonts w:hint="eastAsia" w:ascii="仿宋_GB2312" w:hAnsi="仿宋_GB2312" w:eastAsia="仿宋_GB2312" w:cs="仿宋_GB2312"/>
          <w:sz w:val="32"/>
          <w:szCs w:val="32"/>
        </w:rPr>
        <w:t>2024年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 xml:space="preserve"> (投标方参与方式</w:t>
      </w:r>
      <w:r>
        <w:rPr>
          <w:rFonts w:hint="eastAsia" w:ascii="仿宋_GB2312" w:hAnsi="仿宋_GB2312" w:eastAsia="仿宋_GB2312" w:cs="仿宋_GB2312"/>
          <w:color w:val="000000" w:themeColor="text1"/>
          <w:sz w:val="32"/>
          <w:szCs w:val="32"/>
          <w14:textFill>
            <w14:solidFill>
              <w14:schemeClr w14:val="tx1"/>
            </w14:solidFill>
          </w14:textFill>
        </w:rPr>
        <w:t>为邀请)投标方需</w:t>
      </w:r>
      <w:r>
        <w:rPr>
          <w:rFonts w:hint="eastAsia" w:ascii="仿宋_GB2312" w:hAnsi="仿宋_GB2312" w:eastAsia="仿宋_GB2312" w:cs="仿宋_GB2312"/>
          <w:sz w:val="32"/>
          <w:szCs w:val="32"/>
        </w:rPr>
        <w:t>在202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19</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分前在中粮糖业EPS采购平台（网址：</w:t>
      </w:r>
      <w:r>
        <w:fldChar w:fldCharType="begin"/>
      </w:r>
      <w:r>
        <w:instrText xml:space="preserve"> HYPERLINK "https://eps.cofcosugar.com/" </w:instrText>
      </w:r>
      <w:r>
        <w:fldChar w:fldCharType="separate"/>
      </w:r>
      <w:r>
        <w:rPr>
          <w:rStyle w:val="25"/>
          <w:rFonts w:hint="eastAsia" w:ascii="仿宋_GB2312" w:hAnsi="仿宋_GB2312" w:eastAsia="仿宋_GB2312" w:cs="仿宋_GB2312"/>
          <w:color w:val="auto"/>
          <w:sz w:val="32"/>
          <w:szCs w:val="32"/>
        </w:rPr>
        <w:t>https://eps.cofcosugar.com/</w:t>
      </w:r>
      <w:r>
        <w:rPr>
          <w:rStyle w:val="2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rPr>
        <w:t>）完成注册；采购方组织资格审查合格后，投标方202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19</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后通过EPS采购平台获取采购文件；202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5.3谈判采购，计划进行</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一轮/</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多轮投标报价</w:t>
      </w:r>
    </w:p>
    <w:p>
      <w:pPr>
        <w:spacing w:line="520" w:lineRule="exact"/>
        <w:rPr>
          <w:rFonts w:ascii="仿宋_GB2312" w:hAnsi="仿宋_GB2312" w:eastAsia="仿宋_GB2312" w:cs="仿宋_GB2312"/>
          <w:b/>
          <w:bCs/>
          <w:color w:val="000000"/>
          <w:sz w:val="32"/>
          <w:szCs w:val="32"/>
        </w:rPr>
      </w:pPr>
      <w:bookmarkStart w:id="0" w:name="_Toc21651"/>
      <w:r>
        <w:rPr>
          <w:rFonts w:hint="eastAsia" w:ascii="仿宋_GB2312" w:hAnsi="仿宋_GB2312" w:eastAsia="仿宋_GB2312" w:cs="仿宋_GB2312"/>
          <w:b/>
          <w:bCs/>
          <w:color w:val="000000"/>
          <w:sz w:val="32"/>
          <w:szCs w:val="32"/>
        </w:rPr>
        <w:t>6. 发布公告的媒介</w:t>
      </w:r>
      <w:bookmarkEnd w:id="0"/>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1" w:name="_Toc43732955"/>
      <w:r>
        <w:rPr>
          <w:rFonts w:hint="eastAsia" w:ascii="仿宋_GB2312" w:hAnsi="仿宋_GB2312" w:eastAsia="仿宋_GB2312" w:cs="仿宋_GB2312"/>
          <w:color w:val="000000"/>
          <w:sz w:val="32"/>
          <w:szCs w:val="32"/>
        </w:rPr>
        <w:t>本次</w:t>
      </w:r>
      <w:bookmarkEnd w:id="1"/>
      <w:bookmarkStart w:id="2" w:name="_Toc25787"/>
      <w:bookmarkStart w:id="3" w:name="_Toc27851"/>
      <w:bookmarkStart w:id="4" w:name="_Toc18249"/>
      <w:bookmarkStart w:id="5" w:name="_Toc26629"/>
      <w:bookmarkStart w:id="6" w:name="_Toc5837"/>
      <w:bookmarkStart w:id="7" w:name="_Toc12326"/>
      <w:bookmarkStart w:id="8" w:name="_Toc17966"/>
      <w:bookmarkStart w:id="9" w:name="_Toc13094"/>
      <w:bookmarkStart w:id="10" w:name="_Toc25027"/>
      <w:bookmarkStart w:id="11" w:name="_Toc32404"/>
      <w:bookmarkStart w:id="12" w:name="_Toc30288"/>
      <w:bookmarkStart w:id="13" w:name="_Toc9870"/>
      <w:bookmarkStart w:id="14" w:name="_Toc1597"/>
      <w:r>
        <w:rPr>
          <w:rFonts w:hint="eastAsia" w:ascii="仿宋_GB2312" w:hAnsi="仿宋_GB2312" w:eastAsia="仿宋_GB2312" w:cs="仿宋_GB2312"/>
          <w:sz w:val="32"/>
          <w:szCs w:val="32"/>
        </w:rPr>
        <w:t>谈判项目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公开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color w:val="000000" w:themeColor="text1"/>
          <w:sz w:val="32"/>
          <w:szCs w:val="32"/>
          <w14:textFill>
            <w14:solidFill>
              <w14:schemeClr w14:val="tx1"/>
            </w14:solidFill>
          </w14:textFill>
        </w:rPr>
        <w:t>邀请）发</w:t>
      </w:r>
      <w:r>
        <w:rPr>
          <w:rFonts w:hint="eastAsia" w:ascii="仿宋_GB2312" w:hAnsi="仿宋_GB2312" w:eastAsia="仿宋_GB2312" w:cs="仿宋_GB2312"/>
          <w:color w:val="000000"/>
          <w:sz w:val="32"/>
          <w:szCs w:val="32"/>
        </w:rPr>
        <w:t>布。（网址：</w:t>
      </w:r>
      <w:r>
        <w:fldChar w:fldCharType="begin"/>
      </w:r>
      <w:r>
        <w:instrText xml:space="preserve"> HYPERLINK "https://eps.cofcosugar.com/" </w:instrText>
      </w:r>
      <w:r>
        <w:fldChar w:fldCharType="separate"/>
      </w:r>
      <w:r>
        <w:rPr>
          <w:rStyle w:val="25"/>
          <w:rFonts w:hint="eastAsia" w:ascii="仿宋_GB2312" w:hAnsi="仿宋_GB2312" w:eastAsia="仿宋_GB2312" w:cs="仿宋_GB2312"/>
          <w:sz w:val="32"/>
          <w:szCs w:val="32"/>
        </w:rPr>
        <w:t>https://eps.cofcosugar.com/</w:t>
      </w:r>
      <w:r>
        <w:rPr>
          <w:rStyle w:val="25"/>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7. </w:t>
      </w:r>
      <w:bookmarkEnd w:id="2"/>
      <w:bookmarkEnd w:id="3"/>
      <w:bookmarkEnd w:id="4"/>
      <w:bookmarkEnd w:id="5"/>
      <w:bookmarkEnd w:id="6"/>
      <w:bookmarkEnd w:id="7"/>
      <w:bookmarkEnd w:id="8"/>
      <w:bookmarkEnd w:id="9"/>
      <w:bookmarkEnd w:id="10"/>
      <w:bookmarkEnd w:id="11"/>
      <w:bookmarkEnd w:id="12"/>
      <w:bookmarkEnd w:id="13"/>
      <w:bookmarkEnd w:id="14"/>
      <w:r>
        <w:rPr>
          <w:rFonts w:hint="eastAsia" w:ascii="仿宋_GB2312" w:hAnsi="仿宋_GB2312" w:eastAsia="仿宋_GB2312" w:cs="仿宋_GB2312"/>
          <w:b/>
          <w:color w:val="000000"/>
          <w:sz w:val="32"/>
          <w:szCs w:val="32"/>
        </w:rPr>
        <w:t>采购方信息</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采购方名称：中粮屯河昌吉番茄制品有限公司</w:t>
      </w:r>
    </w:p>
    <w:p>
      <w:pPr>
        <w:spacing w:line="520" w:lineRule="exact"/>
        <w:ind w:firstLine="363" w:firstLineChars="121"/>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采购方地址：新疆昌吉市乌伊路西郊</w:t>
      </w:r>
    </w:p>
    <w:tbl>
      <w:tblPr>
        <w:tblStyle w:val="22"/>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437"/>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547" w:type="dxa"/>
          </w:tcPr>
          <w:p>
            <w:pPr>
              <w:spacing w:line="520" w:lineRule="exact"/>
              <w:contextualSpacing/>
              <w:jc w:val="center"/>
              <w:rPr>
                <w:rFonts w:ascii="仿宋" w:hAnsi="仿宋" w:eastAsia="仿宋" w:cs="仿宋_GB2312"/>
                <w:sz w:val="28"/>
                <w:szCs w:val="28"/>
              </w:rPr>
            </w:pPr>
            <w:r>
              <w:rPr>
                <w:rFonts w:hint="eastAsia" w:ascii="仿宋" w:hAnsi="仿宋" w:eastAsia="仿宋" w:cs="仿宋_GB2312"/>
                <w:sz w:val="28"/>
                <w:szCs w:val="28"/>
              </w:rPr>
              <w:t>职务</w:t>
            </w:r>
          </w:p>
        </w:tc>
        <w:tc>
          <w:tcPr>
            <w:tcW w:w="2437" w:type="dxa"/>
          </w:tcPr>
          <w:p>
            <w:pPr>
              <w:spacing w:line="520" w:lineRule="exact"/>
              <w:contextualSpacing/>
              <w:jc w:val="center"/>
              <w:rPr>
                <w:rFonts w:ascii="仿宋" w:hAnsi="仿宋" w:eastAsia="仿宋" w:cs="仿宋_GB2312"/>
                <w:sz w:val="28"/>
                <w:szCs w:val="28"/>
              </w:rPr>
            </w:pPr>
            <w:r>
              <w:rPr>
                <w:rFonts w:hint="eastAsia" w:ascii="仿宋" w:hAnsi="仿宋" w:eastAsia="仿宋" w:cs="仿宋_GB2312"/>
                <w:sz w:val="28"/>
                <w:szCs w:val="28"/>
              </w:rPr>
              <w:t>人员姓名</w:t>
            </w:r>
          </w:p>
        </w:tc>
        <w:tc>
          <w:tcPr>
            <w:tcW w:w="4540" w:type="dxa"/>
          </w:tcPr>
          <w:p>
            <w:pPr>
              <w:spacing w:line="520" w:lineRule="exact"/>
              <w:contextualSpacing/>
              <w:jc w:val="center"/>
              <w:rPr>
                <w:rFonts w:ascii="仿宋" w:hAnsi="仿宋" w:eastAsia="仿宋" w:cs="仿宋_GB2312"/>
                <w:sz w:val="28"/>
                <w:szCs w:val="28"/>
              </w:rPr>
            </w:pPr>
            <w:r>
              <w:rPr>
                <w:rFonts w:hint="eastAsia" w:ascii="仿宋" w:hAnsi="仿宋" w:eastAsia="仿宋" w:cs="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547" w:type="dxa"/>
          </w:tcPr>
          <w:p>
            <w:pPr>
              <w:spacing w:line="520" w:lineRule="exact"/>
              <w:contextualSpacing/>
              <w:jc w:val="left"/>
              <w:rPr>
                <w:rFonts w:ascii="仿宋" w:hAnsi="仿宋" w:eastAsia="仿宋" w:cs="仿宋_GB2312"/>
                <w:sz w:val="28"/>
                <w:szCs w:val="28"/>
              </w:rPr>
            </w:pPr>
            <w:r>
              <w:rPr>
                <w:rFonts w:hint="eastAsia" w:ascii="仿宋" w:hAnsi="仿宋" w:eastAsia="仿宋" w:cs="仿宋_GB2312"/>
                <w:sz w:val="28"/>
                <w:szCs w:val="28"/>
              </w:rPr>
              <w:t>EPS操作人员</w:t>
            </w:r>
          </w:p>
        </w:tc>
        <w:tc>
          <w:tcPr>
            <w:tcW w:w="2437" w:type="dxa"/>
          </w:tcPr>
          <w:p>
            <w:pPr>
              <w:spacing w:line="520" w:lineRule="exact"/>
              <w:contextualSpacing/>
              <w:jc w:val="center"/>
              <w:rPr>
                <w:rFonts w:ascii="仿宋" w:hAnsi="仿宋" w:eastAsia="仿宋" w:cs="仿宋_GB2312"/>
                <w:sz w:val="28"/>
                <w:szCs w:val="28"/>
              </w:rPr>
            </w:pPr>
            <w:r>
              <w:rPr>
                <w:rFonts w:hint="eastAsia" w:ascii="仿宋" w:hAnsi="仿宋" w:eastAsia="仿宋" w:cs="仿宋_GB2312"/>
                <w:sz w:val="28"/>
                <w:szCs w:val="28"/>
              </w:rPr>
              <w:t>徐鹏</w:t>
            </w:r>
          </w:p>
        </w:tc>
        <w:tc>
          <w:tcPr>
            <w:tcW w:w="4540" w:type="dxa"/>
          </w:tcPr>
          <w:p>
            <w:pPr>
              <w:spacing w:line="520" w:lineRule="exact"/>
              <w:contextualSpacing/>
              <w:jc w:val="center"/>
              <w:rPr>
                <w:rFonts w:ascii="仿宋" w:hAnsi="仿宋" w:eastAsia="仿宋" w:cs="仿宋_GB2312"/>
                <w:sz w:val="28"/>
                <w:szCs w:val="28"/>
              </w:rPr>
            </w:pPr>
            <w:r>
              <w:rPr>
                <w:rFonts w:hint="eastAsia" w:ascii="仿宋" w:hAnsi="仿宋" w:eastAsia="仿宋" w:cs="仿宋_GB2312"/>
                <w:sz w:val="28"/>
                <w:szCs w:val="28"/>
              </w:rPr>
              <w:t>13689953256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47" w:type="dxa"/>
          </w:tcPr>
          <w:p>
            <w:pPr>
              <w:spacing w:line="520" w:lineRule="exact"/>
              <w:contextualSpacing/>
              <w:jc w:val="left"/>
              <w:rPr>
                <w:rFonts w:ascii="仿宋" w:hAnsi="仿宋" w:eastAsia="仿宋" w:cs="仿宋_GB2312"/>
                <w:sz w:val="28"/>
                <w:szCs w:val="28"/>
              </w:rPr>
            </w:pPr>
            <w:r>
              <w:rPr>
                <w:rFonts w:hint="eastAsia" w:ascii="仿宋" w:hAnsi="仿宋" w:eastAsia="仿宋" w:cs="仿宋_GB2312"/>
                <w:sz w:val="28"/>
                <w:szCs w:val="28"/>
              </w:rPr>
              <w:t>业务联系人</w:t>
            </w:r>
          </w:p>
        </w:tc>
        <w:tc>
          <w:tcPr>
            <w:tcW w:w="2437" w:type="dxa"/>
          </w:tcPr>
          <w:p>
            <w:pPr>
              <w:spacing w:line="520" w:lineRule="exact"/>
              <w:contextualSpacing/>
              <w:jc w:val="center"/>
              <w:rPr>
                <w:rFonts w:ascii="仿宋" w:hAnsi="仿宋" w:eastAsia="仿宋" w:cs="仿宋_GB2312"/>
                <w:sz w:val="28"/>
                <w:szCs w:val="28"/>
              </w:rPr>
            </w:pPr>
            <w:r>
              <w:rPr>
                <w:rFonts w:hint="eastAsia" w:ascii="仿宋" w:hAnsi="仿宋" w:eastAsia="仿宋" w:cs="仿宋_GB2312"/>
                <w:sz w:val="28"/>
                <w:szCs w:val="28"/>
              </w:rPr>
              <w:t>徐鹏</w:t>
            </w:r>
          </w:p>
        </w:tc>
        <w:tc>
          <w:tcPr>
            <w:tcW w:w="4540" w:type="dxa"/>
          </w:tcPr>
          <w:p>
            <w:pPr>
              <w:spacing w:line="520" w:lineRule="exact"/>
              <w:contextualSpacing/>
              <w:jc w:val="center"/>
              <w:rPr>
                <w:rFonts w:ascii="仿宋" w:hAnsi="仿宋" w:eastAsia="仿宋" w:cs="仿宋_GB2312"/>
                <w:sz w:val="28"/>
                <w:szCs w:val="28"/>
              </w:rPr>
            </w:pPr>
            <w:r>
              <w:rPr>
                <w:rFonts w:hint="eastAsia" w:ascii="仿宋" w:hAnsi="仿宋" w:eastAsia="仿宋" w:cs="仿宋_GB2312"/>
                <w:sz w:val="28"/>
                <w:szCs w:val="28"/>
              </w:rPr>
              <w:t>13689953256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547" w:type="dxa"/>
          </w:tcPr>
          <w:p>
            <w:pPr>
              <w:spacing w:line="520" w:lineRule="exact"/>
              <w:contextualSpacing/>
              <w:jc w:val="left"/>
              <w:rPr>
                <w:rFonts w:ascii="仿宋" w:hAnsi="仿宋" w:eastAsia="仿宋" w:cs="仿宋_GB2312"/>
                <w:sz w:val="28"/>
                <w:szCs w:val="28"/>
              </w:rPr>
            </w:pPr>
            <w:r>
              <w:rPr>
                <w:rFonts w:hint="eastAsia" w:ascii="仿宋" w:hAnsi="仿宋" w:eastAsia="仿宋" w:cs="仿宋_GB2312"/>
                <w:sz w:val="28"/>
                <w:szCs w:val="28"/>
              </w:rPr>
              <w:t>监督人员</w:t>
            </w:r>
          </w:p>
        </w:tc>
        <w:tc>
          <w:tcPr>
            <w:tcW w:w="2437" w:type="dxa"/>
          </w:tcPr>
          <w:p>
            <w:pPr>
              <w:spacing w:line="520" w:lineRule="exact"/>
              <w:contextualSpacing/>
              <w:jc w:val="center"/>
              <w:rPr>
                <w:rFonts w:ascii="仿宋" w:hAnsi="仿宋" w:eastAsia="仿宋" w:cs="仿宋_GB2312"/>
                <w:sz w:val="28"/>
                <w:szCs w:val="28"/>
              </w:rPr>
            </w:pPr>
            <w:r>
              <w:rPr>
                <w:rFonts w:hint="eastAsia" w:ascii="仿宋" w:hAnsi="仿宋" w:eastAsia="仿宋" w:cs="仿宋_GB2312"/>
                <w:sz w:val="28"/>
                <w:szCs w:val="28"/>
              </w:rPr>
              <w:t>赵甲蓉</w:t>
            </w:r>
          </w:p>
        </w:tc>
        <w:tc>
          <w:tcPr>
            <w:tcW w:w="4540" w:type="dxa"/>
          </w:tcPr>
          <w:p>
            <w:pPr>
              <w:spacing w:line="520" w:lineRule="exact"/>
              <w:contextualSpacing/>
              <w:jc w:val="center"/>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3909941150</w:t>
            </w:r>
          </w:p>
        </w:tc>
      </w:tr>
    </w:tbl>
    <w:p>
      <w:pPr>
        <w:pStyle w:val="11"/>
        <w:spacing w:line="520" w:lineRule="exact"/>
        <w:rPr>
          <w:rFonts w:ascii="仿宋_GB2312" w:hAnsi="仿宋_GB2312" w:eastAsia="仿宋_GB2312" w:cs="仿宋_GB2312"/>
          <w:b/>
          <w:color w:val="000000"/>
          <w:sz w:val="32"/>
          <w:szCs w:val="32"/>
        </w:rPr>
      </w:pPr>
      <w:r>
        <w:rPr>
          <w:rFonts w:ascii="仿宋_GB2312" w:hAnsi="仿宋_GB2312" w:eastAsia="仿宋_GB2312" w:cs="仿宋_GB2312"/>
          <w:b/>
          <w:color w:val="000000"/>
          <w:sz w:val="32"/>
          <w:szCs w:val="32"/>
        </w:rPr>
        <w:t>8</w:t>
      </w:r>
      <w:r>
        <w:rPr>
          <w:rFonts w:hint="eastAsia" w:ascii="仿宋_GB2312" w:hAnsi="仿宋_GB2312" w:eastAsia="仿宋_GB2312" w:cs="仿宋_GB2312"/>
          <w:b/>
          <w:color w:val="000000"/>
          <w:sz w:val="32"/>
          <w:szCs w:val="32"/>
        </w:rPr>
        <w:t>.纪检监督部门及电话</w:t>
      </w:r>
    </w:p>
    <w:p>
      <w:pPr>
        <w:pStyle w:val="37"/>
        <w:spacing w:line="520" w:lineRule="exact"/>
        <w:ind w:left="375"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w:t>
      </w:r>
      <w:r>
        <w:rPr>
          <w:rFonts w:hint="eastAsia" w:ascii="仿宋_GB2312" w:hAnsi="仿宋_GB2312" w:eastAsia="仿宋_GB2312" w:cs="仿宋_GB2312"/>
          <w:sz w:val="32"/>
          <w:szCs w:val="32"/>
        </w:rPr>
        <w:t>层904室</w:t>
      </w:r>
      <w:r>
        <w:rPr>
          <w:rFonts w:hint="eastAsia" w:ascii="仿宋_GB2312" w:hAnsi="仿宋_GB2312" w:eastAsia="仿宋_GB2312" w:cs="仿宋_GB2312"/>
          <w:color w:val="000000"/>
          <w:sz w:val="32"/>
          <w:szCs w:val="32"/>
        </w:rPr>
        <w:t>纪委办公室（收），邮政编码：100020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sz w:val="32"/>
          <w:szCs w:val="32"/>
        </w:rPr>
        <w:t>致电  举报电话 18709967070</w:t>
      </w:r>
    </w:p>
    <w:p>
      <w:pPr>
        <w:pageBreakBefore/>
        <w:widowControl/>
        <w:jc w:val="center"/>
        <w:rPr>
          <w:rFonts w:ascii="仿宋" w:hAnsi="仿宋" w:eastAsia="仿宋" w:cs="方正小标宋_GBK"/>
          <w:b/>
          <w:kern w:val="0"/>
          <w:sz w:val="44"/>
          <w:szCs w:val="44"/>
        </w:rPr>
      </w:pPr>
      <w:r>
        <w:rPr>
          <w:rFonts w:hint="eastAsia" w:ascii="仿宋" w:hAnsi="仿宋" w:eastAsia="仿宋" w:cs="方正小标宋_GBK"/>
          <w:b/>
          <w:kern w:val="0"/>
          <w:sz w:val="44"/>
          <w:szCs w:val="44"/>
        </w:rPr>
        <w:t>第二部分   投标方须知</w:t>
      </w:r>
    </w:p>
    <w:tbl>
      <w:tblPr>
        <w:tblStyle w:val="21"/>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802"/>
        <w:gridCol w:w="7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37" w:type="dxa"/>
            <w:vAlign w:val="center"/>
          </w:tcPr>
          <w:p>
            <w:pPr>
              <w:pStyle w:val="11"/>
              <w:ind w:left="-170" w:leftChars="-8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802"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7538"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02"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项目名称</w:t>
            </w:r>
          </w:p>
        </w:tc>
        <w:tc>
          <w:tcPr>
            <w:tcW w:w="7538" w:type="dxa"/>
            <w:vAlign w:val="center"/>
          </w:tcPr>
          <w:p>
            <w:pPr>
              <w:jc w:val="left"/>
              <w:rPr>
                <w:rFonts w:ascii="仿宋_GB2312" w:hAnsi="仿宋_GB2312" w:eastAsia="仿宋_GB2312" w:cs="仿宋_GB2312"/>
                <w:color w:val="FF0000"/>
                <w:kern w:val="0"/>
                <w:sz w:val="24"/>
              </w:rPr>
            </w:pPr>
            <w:r>
              <w:rPr>
                <w:rFonts w:hint="eastAsia" w:ascii="仿宋_GB2312" w:hAnsi="仿宋_GB2312" w:eastAsia="仿宋_GB2312" w:cs="仿宋_GB2312"/>
                <w:kern w:val="0"/>
                <w:sz w:val="24"/>
              </w:rPr>
              <w:t>第三代厌氧反应器及配套设备采购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交付地点</w:t>
            </w:r>
          </w:p>
        </w:tc>
        <w:tc>
          <w:tcPr>
            <w:tcW w:w="753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中粮糖业控股股份有限公司昌吉糖业分公司污水处理站院内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7" w:type="dxa"/>
            <w:vAlign w:val="center"/>
          </w:tcPr>
          <w:p>
            <w:pPr>
              <w:pStyle w:val="56"/>
              <w:ind w:left="142" w:right="22" w:hanging="142"/>
              <w:jc w:val="center"/>
              <w:rPr>
                <w:rFonts w:ascii="仿宋_GB2312" w:hAnsi="仿宋_GB2312" w:eastAsia="仿宋_GB2312" w:cs="仿宋_GB2312"/>
                <w:sz w:val="24"/>
              </w:rPr>
            </w:pPr>
            <w:r>
              <w:rPr>
                <w:rFonts w:hint="eastAsia" w:ascii="仿宋_GB2312" w:hAnsi="仿宋_GB2312" w:eastAsia="仿宋_GB2312" w:cs="仿宋_GB2312"/>
                <w:color w:val="000000"/>
                <w:sz w:val="24"/>
              </w:rPr>
              <w:t>3</w:t>
            </w:r>
          </w:p>
        </w:tc>
        <w:tc>
          <w:tcPr>
            <w:tcW w:w="1802" w:type="dxa"/>
            <w:vAlign w:val="center"/>
          </w:tcPr>
          <w:p>
            <w:pPr>
              <w:pStyle w:val="56"/>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资金来源</w:t>
            </w:r>
          </w:p>
        </w:tc>
        <w:tc>
          <w:tcPr>
            <w:tcW w:w="7538" w:type="dxa"/>
            <w:vAlign w:val="center"/>
          </w:tcPr>
          <w:p>
            <w:pPr>
              <w:pStyle w:val="56"/>
              <w:ind w:left="142" w:right="22" w:hanging="142"/>
              <w:rPr>
                <w:rFonts w:ascii="仿宋_GB2312" w:hAnsi="仿宋_GB2312" w:eastAsia="仿宋_GB2312" w:cs="仿宋_GB2312"/>
                <w:sz w:val="24"/>
              </w:rPr>
            </w:pPr>
            <w:r>
              <w:rPr>
                <w:rFonts w:hint="eastAsia" w:ascii="仿宋_GB2312" w:hAnsi="仿宋_GB2312" w:eastAsia="仿宋_GB2312" w:cs="仿宋_GB2312"/>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7"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802" w:type="dxa"/>
            <w:vAlign w:val="center"/>
          </w:tcPr>
          <w:p>
            <w:pPr>
              <w:pStyle w:val="56"/>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项目范围</w:t>
            </w:r>
          </w:p>
        </w:tc>
        <w:tc>
          <w:tcPr>
            <w:tcW w:w="7538" w:type="dxa"/>
            <w:vAlign w:val="center"/>
          </w:tcPr>
          <w:p>
            <w:pPr>
              <w:pStyle w:val="56"/>
              <w:ind w:left="0"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详见第三部分，采购需求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7" w:type="dxa"/>
            <w:vAlign w:val="center"/>
          </w:tcPr>
          <w:p>
            <w:pPr>
              <w:pStyle w:val="5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802" w:type="dxa"/>
            <w:vAlign w:val="center"/>
          </w:tcPr>
          <w:p>
            <w:pPr>
              <w:pStyle w:val="56"/>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费用说明</w:t>
            </w:r>
          </w:p>
        </w:tc>
        <w:tc>
          <w:tcPr>
            <w:tcW w:w="7538" w:type="dxa"/>
            <w:vAlign w:val="center"/>
          </w:tcPr>
          <w:p>
            <w:pPr>
              <w:pStyle w:val="56"/>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报价含工资、加班工资、工作餐、社会统筹保险金、相关人员聘用的费用等、材料、焊接制作安装、设备租赁、交通、管理、保险、税金及酬金、安全费、环保费等一切相关费用,实行包干价。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802"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7538"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谈判采购，</w:t>
            </w:r>
            <w:r>
              <w:rPr>
                <w:rFonts w:hint="eastAsia" w:ascii="仿宋_GB2312" w:hAnsi="仿宋_GB2312" w:eastAsia="仿宋_GB2312" w:cs="仿宋_GB2312"/>
                <w:color w:val="000000" w:themeColor="text1"/>
                <w:kern w:val="0"/>
                <w:sz w:val="24"/>
                <w:lang w:val="zh-CN"/>
                <w14:textFill>
                  <w14:solidFill>
                    <w14:schemeClr w14:val="tx1"/>
                  </w14:solidFill>
                </w14:textFill>
              </w:rPr>
              <w:t>计划进行</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kern w:val="0"/>
                <w:sz w:val="24"/>
                <w:lang w:val="zh-CN"/>
                <w14:textFill>
                  <w14:solidFill>
                    <w14:schemeClr w14:val="tx1"/>
                  </w14:solidFill>
                </w14:textFill>
              </w:rPr>
              <w:t>一轮报价</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kern w:val="0"/>
                <w:sz w:val="24"/>
                <w:lang w:val="zh-CN"/>
                <w14:textFill>
                  <w14:solidFill>
                    <w14:schemeClr w14:val="tx1"/>
                  </w14:solidFill>
                </w14:textFill>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8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交货期</w:t>
            </w:r>
          </w:p>
        </w:tc>
        <w:tc>
          <w:tcPr>
            <w:tcW w:w="7538"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设备材料进场2024年4月30日前，设备安装完成5月30日前。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802" w:type="dxa"/>
            <w:vAlign w:val="center"/>
          </w:tcPr>
          <w:p>
            <w:pPr>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付款方式</w:t>
            </w:r>
          </w:p>
        </w:tc>
        <w:tc>
          <w:tcPr>
            <w:tcW w:w="7538" w:type="dxa"/>
            <w:vAlign w:val="center"/>
          </w:tcPr>
          <w:p>
            <w:pPr>
              <w:autoSpaceDE w:val="0"/>
              <w:autoSpaceDN w:val="0"/>
              <w:adjustRightInd w:val="0"/>
              <w:snapToGrid w:val="0"/>
              <w:ind w:left="134" w:leftChars="-15" w:hanging="165"/>
              <w:rPr>
                <w:rFonts w:ascii="仿宋_GB2312" w:hAnsi="仿宋_GB2312" w:eastAsia="仿宋_GB2312" w:cs="仿宋_GB2312"/>
                <w:sz w:val="24"/>
              </w:rPr>
            </w:pPr>
            <w:r>
              <w:rPr>
                <w:rFonts w:hint="eastAsia" w:ascii="仿宋_GB2312" w:hAnsi="仿宋_GB2312" w:eastAsia="仿宋_GB2312" w:cs="仿宋_GB2312"/>
                <w:sz w:val="24"/>
              </w:rPr>
              <w:t>（1）80%电汇，20%承兑汇票/粮信，承兑汇票/粮信期限不超过6个月</w:t>
            </w:r>
          </w:p>
          <w:p>
            <w:pPr>
              <w:autoSpaceDE w:val="0"/>
              <w:autoSpaceDN w:val="0"/>
              <w:adjustRightInd w:val="0"/>
              <w:snapToGrid w:val="0"/>
              <w:ind w:left="134" w:leftChars="-15" w:hanging="165"/>
              <w:rPr>
                <w:rFonts w:ascii="仿宋_GB2312" w:hAnsi="仿宋_GB2312" w:eastAsia="仿宋_GB2312" w:cs="仿宋_GB2312"/>
                <w:sz w:val="24"/>
              </w:rPr>
            </w:pPr>
            <w:r>
              <w:rPr>
                <w:rFonts w:hint="eastAsia" w:ascii="仿宋_GB2312" w:hAnsi="仿宋_GB2312" w:eastAsia="仿宋_GB2312" w:cs="仿宋_GB2312"/>
                <w:sz w:val="24"/>
              </w:rPr>
              <w:t>（2）设备、材料及人员均到场并经甲方查验合格后7天内，凭验收合格单据，开具全额**%的增值税专用发票，甲方收到发票后，支付合同金额40%的资金, 金额：（人民币大写）XXXX（￥XXXX元）；</w:t>
            </w:r>
          </w:p>
          <w:p>
            <w:pPr>
              <w:autoSpaceDE w:val="0"/>
              <w:autoSpaceDN w:val="0"/>
              <w:adjustRightInd w:val="0"/>
              <w:snapToGrid w:val="0"/>
              <w:ind w:left="134" w:leftChars="-15" w:hanging="165"/>
              <w:rPr>
                <w:rFonts w:ascii="仿宋_GB2312" w:hAnsi="仿宋_GB2312" w:eastAsia="仿宋_GB2312" w:cs="仿宋_GB2312"/>
                <w:bCs/>
                <w:sz w:val="24"/>
              </w:rPr>
            </w:pPr>
            <w:r>
              <w:rPr>
                <w:rFonts w:hint="eastAsia" w:ascii="仿宋_GB2312" w:hAnsi="仿宋_GB2312" w:eastAsia="仿宋_GB2312" w:cs="仿宋_GB2312"/>
                <w:sz w:val="24"/>
              </w:rPr>
              <w:t>(3)设备安装、调试验收合格，生产期结束,凭调试验收合格单据,支付合同金额50%的资金, 金额：（人民币大写）XXXX（￥XXXX元）；剩余10%作为质保金，于质保金有效期满且设备无任何质量问题后，凭质保期报告单据，甲方向乙方支付合同总额的10%，金额：（人民币大写）XXXX元整（￥XXXX元）。质保金有效期至**年** 月   ***日。（开票期间如遇国家税率调整，自调整之日起以合同中不含税价格为基数乘以（1+调整后税率）为开票金额）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0"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802" w:type="dxa"/>
            <w:vAlign w:val="center"/>
          </w:tcPr>
          <w:p>
            <w:pPr>
              <w:autoSpaceDE w:val="0"/>
              <w:autoSpaceDN w:val="0"/>
              <w:adjustRightInd w:val="0"/>
              <w:snapToGrid w:val="0"/>
              <w:ind w:left="134" w:leftChars="-15" w:hanging="165"/>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投标人资格要求</w:t>
            </w:r>
          </w:p>
        </w:tc>
        <w:tc>
          <w:tcPr>
            <w:tcW w:w="6803" w:type="dxa"/>
            <w:vAlign w:val="center"/>
          </w:tcPr>
          <w:p>
            <w:pPr>
              <w:autoSpaceDE w:val="0"/>
              <w:autoSpaceDN w:val="0"/>
              <w:adjustRightInd w:val="0"/>
              <w:snapToGrid w:val="0"/>
              <w:ind w:left="134" w:leftChars="-15" w:hanging="165"/>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1.投标方须为在中华人民共和国境内依法注册的</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独立法人企业、</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其他组织</w:t>
            </w:r>
          </w:p>
          <w:p>
            <w:pPr>
              <w:autoSpaceDE w:val="0"/>
              <w:autoSpaceDN w:val="0"/>
              <w:adjustRightInd w:val="0"/>
              <w:snapToGrid w:val="0"/>
              <w:ind w:left="134" w:leftChars="-15" w:hanging="165"/>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2.资质要求：环保工程专业承包三级及以上资质</w:t>
            </w:r>
          </w:p>
          <w:p>
            <w:pPr>
              <w:autoSpaceDE w:val="0"/>
              <w:autoSpaceDN w:val="0"/>
              <w:adjustRightInd w:val="0"/>
              <w:snapToGrid w:val="0"/>
              <w:ind w:left="134" w:leftChars="-15" w:hanging="165"/>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3.本次采购不接受联合体投标。</w:t>
            </w:r>
          </w:p>
          <w:p>
            <w:pPr>
              <w:autoSpaceDE w:val="0"/>
              <w:autoSpaceDN w:val="0"/>
              <w:adjustRightInd w:val="0"/>
              <w:snapToGrid w:val="0"/>
              <w:ind w:left="134" w:leftChars="-15" w:hanging="165"/>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4.具有未被列入国家企业信用信息公示系统（http://www.gsxt.gov.cn/index.html）严重违法失信企业名单；</w:t>
            </w:r>
          </w:p>
          <w:p>
            <w:pPr>
              <w:autoSpaceDE w:val="0"/>
              <w:autoSpaceDN w:val="0"/>
              <w:adjustRightInd w:val="0"/>
              <w:snapToGrid w:val="0"/>
              <w:ind w:left="134" w:leftChars="-15" w:hanging="165"/>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5.投标单位管理人员及项目负责人未被列为失信执行人。</w:t>
            </w:r>
          </w:p>
          <w:p>
            <w:pPr>
              <w:autoSpaceDE w:val="0"/>
              <w:autoSpaceDN w:val="0"/>
              <w:adjustRightInd w:val="0"/>
              <w:snapToGrid w:val="0"/>
              <w:ind w:left="134" w:leftChars="-15" w:hanging="165"/>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6.本项目不接受中粮糖业投标方黑名单（以中粮糖业下发的黑名单为准）的企业参与投标；</w:t>
            </w:r>
          </w:p>
          <w:p>
            <w:pPr>
              <w:autoSpaceDE w:val="0"/>
              <w:autoSpaceDN w:val="0"/>
              <w:adjustRightInd w:val="0"/>
              <w:snapToGrid w:val="0"/>
              <w:ind w:left="134" w:leftChars="-15" w:hanging="165"/>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pPr>
              <w:autoSpaceDE w:val="0"/>
              <w:autoSpaceDN w:val="0"/>
              <w:adjustRightInd w:val="0"/>
              <w:snapToGrid w:val="0"/>
              <w:ind w:left="134" w:leftChars="-15" w:hanging="165"/>
              <w:rPr>
                <w:rFonts w:hint="eastAsia"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．资格后审，未达资格要求投标的为无效响应，将取消中标资格。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8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报名截止时间</w:t>
            </w:r>
          </w:p>
        </w:tc>
        <w:tc>
          <w:tcPr>
            <w:tcW w:w="7538" w:type="dxa"/>
            <w:vAlign w:val="center"/>
          </w:tcPr>
          <w:p>
            <w:pPr>
              <w:pStyle w:val="11"/>
              <w:rPr>
                <w:rFonts w:ascii="仿宋_GB2312" w:hAnsi="仿宋_GB2312" w:eastAsia="仿宋_GB2312" w:cs="仿宋_GB2312"/>
                <w:sz w:val="24"/>
                <w:szCs w:val="24"/>
              </w:rPr>
            </w:pPr>
            <w:r>
              <w:rPr>
                <w:rFonts w:hint="eastAsia" w:ascii="仿宋_GB2312" w:hAnsi="仿宋_GB2312" w:eastAsia="仿宋_GB2312" w:cs="仿宋_GB2312"/>
                <w:sz w:val="24"/>
                <w:szCs w:val="24"/>
              </w:rPr>
              <w:t>投标报名：2024年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月2日</w:t>
            </w:r>
            <w:r>
              <w:rPr>
                <w:rFonts w:hint="eastAsia" w:ascii="仿宋_GB2312" w:hAnsi="仿宋_GB2312" w:eastAsia="仿宋_GB2312" w:cs="仿宋_GB2312"/>
                <w:color w:val="auto"/>
                <w:sz w:val="24"/>
                <w:szCs w:val="24"/>
              </w:rPr>
              <w:t>19</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0</w:t>
            </w:r>
            <w:r>
              <w:rPr>
                <w:rFonts w:ascii="仿宋_GB2312" w:hAnsi="仿宋_GB2312" w:eastAsia="仿宋_GB2312" w:cs="仿宋_GB2312"/>
                <w:color w:val="auto"/>
                <w:sz w:val="24"/>
                <w:szCs w:val="24"/>
              </w:rPr>
              <w:t>0</w:t>
            </w:r>
            <w:r>
              <w:rPr>
                <w:rFonts w:hint="eastAsia" w:ascii="仿宋_GB2312" w:hAnsi="仿宋_GB2312" w:eastAsia="仿宋_GB2312" w:cs="仿宋_GB2312"/>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37" w:type="dxa"/>
            <w:vAlign w:val="center"/>
          </w:tcPr>
          <w:p>
            <w:pPr>
              <w:pStyle w:val="56"/>
              <w:ind w:left="142" w:right="22" w:hanging="142"/>
              <w:jc w:val="center"/>
              <w:rPr>
                <w:rFonts w:ascii="仿宋_GB2312" w:hAnsi="仿宋_GB2312" w:eastAsia="仿宋_GB2312" w:cs="仿宋_GB2312"/>
                <w:sz w:val="24"/>
              </w:rPr>
            </w:pPr>
            <w:r>
              <w:rPr>
                <w:rFonts w:hint="eastAsia" w:ascii="仿宋_GB2312" w:hAnsi="仿宋_GB2312" w:eastAsia="仿宋_GB2312" w:cs="仿宋_GB2312"/>
                <w:color w:val="000000"/>
                <w:sz w:val="24"/>
              </w:rPr>
              <w:t>11</w:t>
            </w:r>
          </w:p>
        </w:tc>
        <w:tc>
          <w:tcPr>
            <w:tcW w:w="1802" w:type="dxa"/>
            <w:vAlign w:val="center"/>
          </w:tcPr>
          <w:p>
            <w:pPr>
              <w:pStyle w:val="56"/>
              <w:ind w:left="142" w:right="22" w:hanging="142"/>
              <w:jc w:val="center"/>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现场踏勘</w:t>
            </w:r>
          </w:p>
        </w:tc>
        <w:tc>
          <w:tcPr>
            <w:tcW w:w="7538" w:type="dxa"/>
            <w:vAlign w:val="center"/>
          </w:tcPr>
          <w:p>
            <w:pPr>
              <w:pStyle w:val="56"/>
              <w:ind w:left="142" w:right="22" w:hanging="142"/>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napToGrid w:val="0"/>
                <w:sz w:val="24"/>
              </w:rPr>
              <w:t>12</w:t>
            </w:r>
          </w:p>
        </w:tc>
        <w:tc>
          <w:tcPr>
            <w:tcW w:w="1802"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★最高限价</w:t>
            </w:r>
          </w:p>
        </w:tc>
        <w:tc>
          <w:tcPr>
            <w:tcW w:w="7538"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最高限价：</w:t>
            </w:r>
            <w:r>
              <w:rPr>
                <w:rFonts w:ascii="仿宋_GB2312" w:hAnsi="仿宋_GB2312" w:eastAsia="仿宋_GB2312" w:cs="仿宋_GB2312"/>
                <w:sz w:val="24"/>
              </w:rPr>
              <w:t>197</w:t>
            </w:r>
            <w:r>
              <w:rPr>
                <w:rFonts w:hint="eastAsia" w:ascii="仿宋_GB2312" w:hAnsi="仿宋_GB2312" w:eastAsia="仿宋_GB2312" w:cs="仿宋_GB2312"/>
                <w:sz w:val="24"/>
              </w:rPr>
              <w:t>万元，投标方报价超过最高限价，其投标视为无效。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7" w:type="dxa"/>
            <w:vAlign w:val="center"/>
          </w:tcPr>
          <w:p>
            <w:pPr>
              <w:pStyle w:val="11"/>
              <w:jc w:val="center"/>
              <w:rPr>
                <w:rFonts w:ascii="仿宋_GB2312" w:hAnsi="仿宋_GB2312" w:eastAsia="仿宋_GB2312" w:cs="仿宋_GB2312"/>
                <w:snapToGrid w:val="0"/>
                <w:sz w:val="24"/>
                <w:szCs w:val="24"/>
              </w:rPr>
            </w:pPr>
            <w:r>
              <w:rPr>
                <w:rFonts w:hint="eastAsia" w:ascii="仿宋_GB2312" w:hAnsi="仿宋_GB2312" w:eastAsia="仿宋_GB2312" w:cs="仿宋_GB2312"/>
                <w:sz w:val="24"/>
                <w:szCs w:val="24"/>
              </w:rPr>
              <w:t>13</w:t>
            </w:r>
          </w:p>
        </w:tc>
        <w:tc>
          <w:tcPr>
            <w:tcW w:w="18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分包</w:t>
            </w:r>
          </w:p>
        </w:tc>
        <w:tc>
          <w:tcPr>
            <w:tcW w:w="7538" w:type="dxa"/>
            <w:vAlign w:val="center"/>
          </w:tcPr>
          <w:p>
            <w:pPr>
              <w:pStyle w:val="11"/>
              <w:rPr>
                <w:rFonts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8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投标保证金</w:t>
            </w:r>
          </w:p>
        </w:tc>
        <w:tc>
          <w:tcPr>
            <w:tcW w:w="7538" w:type="dxa"/>
            <w:vAlign w:val="center"/>
          </w:tcPr>
          <w:p>
            <w:pPr>
              <w:pStyle w:val="56"/>
              <w:ind w:left="0" w:right="22" w:firstLine="0" w:firstLineChars="0"/>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napToGrid w:val="0"/>
                <w:sz w:val="24"/>
              </w:rPr>
              <w:t>15</w:t>
            </w:r>
          </w:p>
        </w:tc>
        <w:tc>
          <w:tcPr>
            <w:tcW w:w="1802" w:type="dxa"/>
            <w:vAlign w:val="center"/>
          </w:tcPr>
          <w:p>
            <w:pPr>
              <w:adjustRightInd w:val="0"/>
              <w:snapToGrid w:val="0"/>
              <w:jc w:val="left"/>
              <w:rPr>
                <w:rFonts w:ascii="仿宋_GB2312" w:hAnsi="仿宋_GB2312" w:eastAsia="仿宋_GB2312" w:cs="仿宋_GB2312"/>
                <w:sz w:val="24"/>
              </w:rPr>
            </w:pPr>
            <w:r>
              <w:rPr>
                <w:rFonts w:hint="eastAsia" w:ascii="仿宋_GB2312" w:eastAsia="仿宋_GB2312" w:hAnsiTheme="minorEastAsia"/>
                <w:bCs/>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投标响应文件编制（资质文件）</w:t>
            </w:r>
          </w:p>
        </w:tc>
        <w:tc>
          <w:tcPr>
            <w:tcW w:w="7538"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1、企业简介</w:t>
            </w:r>
          </w:p>
          <w:p>
            <w:pPr>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sz w:val="24"/>
              </w:rPr>
              <w:t>营业执照</w:t>
            </w:r>
          </w:p>
          <w:p>
            <w:pPr>
              <w:rPr>
                <w:rFonts w:ascii="仿宋_GB2312" w:hAnsi="仿宋_GB2312" w:eastAsia="仿宋_GB2312" w:cs="仿宋_GB2312"/>
                <w:sz w:val="24"/>
              </w:rPr>
            </w:pPr>
            <w:r>
              <w:rPr>
                <w:rFonts w:hint="eastAsia" w:ascii="仿宋_GB2312" w:hAnsi="仿宋_GB2312" w:eastAsia="仿宋_GB2312" w:cs="仿宋_GB2312"/>
                <w:sz w:val="24"/>
              </w:rPr>
              <w:t>3、专业资质文件</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4、法定代表人证明书（附法定代表人身份证复印件）</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5、法定代表人授权委托书（代理人身份证复印件）</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6、廉洁承诺书</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7、质量承诺书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napToGrid w:val="0"/>
                <w:sz w:val="24"/>
              </w:rPr>
              <w:t>16</w:t>
            </w:r>
          </w:p>
        </w:tc>
        <w:tc>
          <w:tcPr>
            <w:tcW w:w="1802" w:type="dxa"/>
            <w:vAlign w:val="center"/>
          </w:tcPr>
          <w:p>
            <w:pPr>
              <w:adjustRightInd w:val="0"/>
              <w:snapToGrid w:val="0"/>
              <w:jc w:val="left"/>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投标响应文件编制（商务文件）</w:t>
            </w:r>
          </w:p>
        </w:tc>
        <w:tc>
          <w:tcPr>
            <w:tcW w:w="7538" w:type="dxa"/>
            <w:vAlign w:val="center"/>
          </w:tcPr>
          <w:p>
            <w:pPr>
              <w:numPr>
                <w:ilvl w:val="0"/>
                <w:numId w:val="1"/>
              </w:numPr>
              <w:adjustRightInd w:val="0"/>
              <w:snapToGrid w:val="0"/>
              <w:spacing w:after="156" w:afterLines="50"/>
              <w:rPr>
                <w:rFonts w:ascii="仿宋_GB2312" w:hAnsi="仿宋_GB2312" w:eastAsia="仿宋_GB2312" w:cs="仿宋_GB2312"/>
                <w:sz w:val="24"/>
                <w:u w:val="single"/>
              </w:rPr>
            </w:pP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color w:val="000000" w:themeColor="text1"/>
                <w:sz w:val="24"/>
                <w14:textFill>
                  <w14:solidFill>
                    <w14:schemeClr w14:val="tx1"/>
                  </w14:solidFill>
                </w14:textFill>
              </w:rPr>
              <w:t>财务状况：</w:t>
            </w:r>
            <w:r>
              <w:rPr>
                <w:rFonts w:hint="eastAsia" w:ascii="仿宋_GB2312" w:hAnsi="仿宋_GB2312" w:eastAsia="仿宋_GB2312" w:cs="仿宋_GB2312"/>
                <w:color w:val="000000" w:themeColor="text1"/>
                <w:sz w:val="24"/>
                <w:u w:val="single"/>
                <w14:textFill>
                  <w14:solidFill>
                    <w14:schemeClr w14:val="tx1"/>
                  </w14:solidFill>
                </w14:textFill>
              </w:rPr>
              <w:t xml:space="preserve"> 投标方应提供近三年财务</w:t>
            </w:r>
            <w:r>
              <w:rPr>
                <w:rFonts w:hint="eastAsia" w:ascii="仿宋_GB2312" w:hAnsi="仿宋_GB2312" w:eastAsia="仿宋_GB2312" w:cs="仿宋_GB2312"/>
                <w:sz w:val="24"/>
                <w:u w:val="single"/>
              </w:rPr>
              <w:t xml:space="preserve">会计报表复印件，包括资产负债表、利润表。近年财务会计报表年份是指：2021至 2023年（供应商的成立时间少于该规定年份的，应提供成立以来的财务会计报表）                    </w:t>
            </w:r>
          </w:p>
          <w:p>
            <w:pPr>
              <w:numPr>
                <w:ilvl w:val="0"/>
                <w:numId w:val="1"/>
              </w:numPr>
              <w:adjustRightInd w:val="0"/>
              <w:snapToGrid w:val="0"/>
              <w:spacing w:after="156" w:afterLines="50"/>
              <w:rPr>
                <w:rFonts w:ascii="仿宋_GB2312" w:hAnsi="仿宋_GB2312" w:eastAsia="仿宋_GB2312" w:cs="仿宋_GB2312"/>
                <w:sz w:val="24"/>
                <w:u w:val="single"/>
              </w:rPr>
            </w:pP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sz w:val="24"/>
              </w:rPr>
              <w:t>企业信誉：</w:t>
            </w:r>
            <w:r>
              <w:rPr>
                <w:rFonts w:hint="eastAsia" w:ascii="仿宋_GB2312" w:hAnsi="仿宋_GB2312" w:eastAsia="仿宋_GB2312" w:cs="仿宋_GB2312"/>
                <w:sz w:val="24"/>
                <w:u w:val="single"/>
              </w:rPr>
              <w:t xml:space="preserve"> 投标方应提供企业信誉状况良好声明。（格式见第六章“投标响应文件格式”二、商务文件2.企业信誉）附通过“信用中国”网站查询无违法违规行为的查询记录并盖公章。                 </w:t>
            </w:r>
          </w:p>
          <w:p>
            <w:pPr>
              <w:numPr>
                <w:ilvl w:val="0"/>
                <w:numId w:val="1"/>
              </w:numPr>
              <w:adjustRightInd w:val="0"/>
              <w:snapToGrid w:val="0"/>
              <w:spacing w:after="156" w:afterLines="50"/>
              <w:rPr>
                <w:rFonts w:ascii="仿宋_GB2312" w:hAnsi="仿宋_GB2312" w:eastAsia="仿宋_GB2312" w:cs="仿宋_GB2312"/>
                <w:sz w:val="24"/>
                <w:u w:val="single"/>
              </w:rPr>
            </w:pP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sz w:val="24"/>
              </w:rPr>
              <w:t>企业业绩：</w:t>
            </w:r>
            <w:r>
              <w:rPr>
                <w:rFonts w:hint="eastAsia" w:ascii="仿宋_GB2312" w:hAnsi="仿宋_GB2312" w:eastAsia="仿宋_GB2312" w:cs="仿宋_GB2312"/>
                <w:sz w:val="24"/>
                <w:u w:val="single"/>
              </w:rPr>
              <w:t xml:space="preserve"> 投标方应提供近年的类似项目情况表 近年是指：2021年至今（格式见第六章“投标响应文件格式”二、商务文件3.企业业绩），以证明供应商具有承担本项目要求的业绩。业绩证明材料：合同扫描件。出具至少一份相关业绩合同复印件（含合同首尾页、盖章页、设备名称、型号及清单页等）作为证明材料。                    </w:t>
            </w:r>
          </w:p>
          <w:p>
            <w:pPr>
              <w:numPr>
                <w:ilvl w:val="0"/>
                <w:numId w:val="1"/>
              </w:numPr>
              <w:adjustRightInd w:val="0"/>
              <w:snapToGrid w:val="0"/>
              <w:spacing w:after="156" w:afterLines="50"/>
              <w:rPr>
                <w:rFonts w:ascii="仿宋_GB2312" w:hAnsi="仿宋_GB2312" w:eastAsia="仿宋_GB2312" w:cs="仿宋_GB2312"/>
                <w:sz w:val="24"/>
              </w:rPr>
            </w:pP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sz w:val="24"/>
              </w:rPr>
              <w:t>项目负责人</w:t>
            </w:r>
            <w:r>
              <w:rPr>
                <w:rFonts w:hint="eastAsia" w:ascii="仿宋_GB2312" w:hAnsi="仿宋_GB2312" w:eastAsia="仿宋_GB2312" w:cs="仿宋_GB2312"/>
                <w:snapToGrid w:val="0"/>
                <w:sz w:val="24"/>
              </w:rPr>
              <w:t>：</w:t>
            </w:r>
            <w:r>
              <w:rPr>
                <w:rFonts w:hint="eastAsia" w:ascii="仿宋_GB2312" w:hAnsi="仿宋_GB2312" w:eastAsia="仿宋_GB2312" w:cs="仿宋_GB2312"/>
                <w:snapToGrid w:val="0"/>
                <w:sz w:val="24"/>
                <w:u w:val="single"/>
              </w:rPr>
              <w:t xml:space="preserve"> 投标方应提供拟委任的项目负责人简历表（格式见第</w:t>
            </w:r>
            <w:r>
              <w:rPr>
                <w:rFonts w:hint="eastAsia" w:ascii="仿宋_GB2312" w:hAnsi="仿宋_GB2312" w:eastAsia="仿宋_GB2312" w:cs="仿宋_GB2312"/>
                <w:sz w:val="24"/>
                <w:u w:val="single"/>
              </w:rPr>
              <w:t>六</w:t>
            </w:r>
            <w:r>
              <w:rPr>
                <w:rFonts w:hint="eastAsia" w:ascii="仿宋_GB2312" w:hAnsi="仿宋_GB2312" w:eastAsia="仿宋_GB2312" w:cs="仿宋_GB2312"/>
                <w:snapToGrid w:val="0"/>
                <w:sz w:val="24"/>
                <w:u w:val="single"/>
              </w:rPr>
              <w:t xml:space="preserve">章“投标响应文件格式”二、商务文件4.项目负责人）。并按如下要求提供相关证明文件：项目负责人职称证书、执业证书、社保缴费证明                    </w:t>
            </w:r>
          </w:p>
          <w:p>
            <w:pPr>
              <w:numPr>
                <w:ilvl w:val="0"/>
                <w:numId w:val="1"/>
              </w:numPr>
              <w:adjustRightInd w:val="0"/>
              <w:snapToGrid w:val="0"/>
              <w:spacing w:after="156" w:afterLines="50"/>
              <w:rPr>
                <w:rFonts w:ascii="仿宋_GB2312" w:hAnsi="仿宋_GB2312" w:eastAsia="仿宋_GB2312" w:cs="仿宋_GB2312"/>
                <w:sz w:val="24"/>
              </w:rPr>
            </w:pP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sz w:val="24"/>
              </w:rPr>
              <w:t>项目人员配置</w:t>
            </w:r>
            <w:r>
              <w:rPr>
                <w:rFonts w:hint="eastAsia" w:ascii="仿宋_GB2312" w:hAnsi="仿宋_GB2312" w:eastAsia="仿宋_GB2312" w:cs="仿宋_GB2312"/>
                <w:snapToGrid w:val="0"/>
                <w:sz w:val="24"/>
              </w:rPr>
              <w:t>：</w:t>
            </w:r>
            <w:r>
              <w:rPr>
                <w:rFonts w:hint="eastAsia" w:ascii="仿宋_GB2312" w:hAnsi="仿宋_GB2312" w:eastAsia="仿宋_GB2312" w:cs="仿宋_GB2312"/>
                <w:snapToGrid w:val="0"/>
                <w:sz w:val="24"/>
                <w:u w:val="single"/>
              </w:rPr>
              <w:t xml:space="preserve"> 投标方应提供拟委任的项目人员配置表（格式见第</w:t>
            </w:r>
            <w:r>
              <w:rPr>
                <w:rFonts w:hint="eastAsia" w:ascii="仿宋_GB2312" w:hAnsi="仿宋_GB2312" w:eastAsia="仿宋_GB2312" w:cs="仿宋_GB2312"/>
                <w:sz w:val="24"/>
                <w:u w:val="single"/>
              </w:rPr>
              <w:t>六</w:t>
            </w:r>
            <w:r>
              <w:rPr>
                <w:rFonts w:hint="eastAsia" w:ascii="仿宋_GB2312" w:hAnsi="仿宋_GB2312" w:eastAsia="仿宋_GB2312" w:cs="仿宋_GB2312"/>
                <w:snapToGrid w:val="0"/>
                <w:sz w:val="24"/>
                <w:u w:val="single"/>
              </w:rPr>
              <w:t xml:space="preserve">章“投标响应文件格式”二、商务文件5.项目人员配置表）。并按如下要求提供相关证明文件：项目人员专业证书证明                        </w:t>
            </w:r>
          </w:p>
          <w:p>
            <w:pPr>
              <w:numPr>
                <w:ilvl w:val="0"/>
                <w:numId w:val="1"/>
              </w:numPr>
              <w:adjustRightInd w:val="0"/>
              <w:snapToGrid w:val="0"/>
              <w:spacing w:after="156" w:afterLines="50"/>
              <w:rPr>
                <w:rFonts w:ascii="仿宋_GB2312" w:hAnsi="仿宋_GB2312" w:eastAsia="仿宋_GB2312" w:cs="仿宋_GB2312"/>
                <w:sz w:val="24"/>
              </w:rPr>
            </w:pP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sz w:val="24"/>
              </w:rPr>
              <w:t>企业生产制造/施工/服务等履约能力</w:t>
            </w:r>
            <w:r>
              <w:rPr>
                <w:rFonts w:hint="eastAsia" w:ascii="仿宋_GB2312" w:hAnsi="仿宋_GB2312" w:eastAsia="仿宋_GB2312" w:cs="仿宋_GB2312"/>
                <w:snapToGrid w:val="0"/>
                <w:sz w:val="24"/>
              </w:rPr>
              <w:t>：</w:t>
            </w:r>
            <w:r>
              <w:rPr>
                <w:rFonts w:hint="eastAsia" w:ascii="仿宋_GB2312" w:hAnsi="仿宋_GB2312" w:eastAsia="仿宋_GB2312" w:cs="仿宋_GB2312"/>
                <w:snapToGrid w:val="0"/>
                <w:sz w:val="24"/>
                <w:u w:val="single"/>
              </w:rPr>
              <w:t xml:space="preserve">     自行编写              </w:t>
            </w:r>
          </w:p>
          <w:p>
            <w:pPr>
              <w:numPr>
                <w:ilvl w:val="0"/>
                <w:numId w:val="1"/>
              </w:numPr>
              <w:adjustRightInd w:val="0"/>
              <w:snapToGrid w:val="0"/>
              <w:spacing w:after="156" w:afterLines="50"/>
              <w:rPr>
                <w:rFonts w:ascii="仿宋_GB2312" w:hAnsi="仿宋_GB2312" w:eastAsia="仿宋_GB2312" w:cs="仿宋_GB2312"/>
                <w:sz w:val="24"/>
              </w:rPr>
            </w:pPr>
            <w:r>
              <w:rPr>
                <w:rFonts w:hint="eastAsia" w:ascii="仿宋_GB2312" w:eastAsia="仿宋_GB2312" w:hAnsiTheme="minorEastAsia"/>
                <w:bCs/>
                <w:sz w:val="28"/>
                <w:szCs w:val="28"/>
              </w:rPr>
              <w:t>★</w:t>
            </w:r>
            <w:r>
              <w:rPr>
                <w:rFonts w:hint="eastAsia" w:ascii="仿宋_GB2312" w:hAnsi="仿宋_GB2312" w:eastAsia="仿宋_GB2312" w:cs="仿宋_GB2312"/>
                <w:sz w:val="24"/>
              </w:rPr>
              <w:t>报价：</w:t>
            </w:r>
            <w:r>
              <w:rPr>
                <w:rFonts w:hint="eastAsia" w:ascii="仿宋_GB2312" w:hAnsi="仿宋_GB2312" w:eastAsia="仿宋_GB2312" w:cs="仿宋_GB2312"/>
                <w:sz w:val="24"/>
                <w:u w:val="single"/>
              </w:rPr>
              <w:t xml:space="preserve"> 投标方应在EPS系统及报价表中进行报价(格式见第六章“投标响应文件格式”二、商务文件7.报价表)。报价要求小数点后保留2位，四舍五入。 EPS系统报价和响应文件报价表中的报价一致，存在差异时，以EPS系统报价为准。                           </w:t>
            </w:r>
          </w:p>
          <w:p>
            <w:pPr>
              <w:numPr>
                <w:ilvl w:val="0"/>
                <w:numId w:val="1"/>
              </w:numPr>
              <w:adjustRightInd w:val="0"/>
              <w:snapToGrid w:val="0"/>
              <w:spacing w:after="156" w:afterLines="5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sz w:val="24"/>
              </w:rPr>
              <w:t>其他</w:t>
            </w:r>
            <w:r>
              <w:rPr>
                <w:rFonts w:hint="eastAsia" w:ascii="仿宋_GB2312" w:hAnsi="仿宋_GB2312" w:eastAsia="仿宋_GB2312" w:cs="仿宋_GB2312"/>
                <w:snapToGrid w:val="0"/>
                <w:sz w:val="24"/>
              </w:rPr>
              <w:t>：</w:t>
            </w:r>
            <w:r>
              <w:rPr>
                <w:rFonts w:hint="eastAsia" w:ascii="仿宋_GB2312" w:hAnsi="仿宋_GB2312" w:eastAsia="仿宋_GB2312" w:cs="仿宋_GB2312"/>
                <w:snapToGrid w:val="0"/>
                <w:sz w:val="24"/>
                <w:u w:val="single"/>
              </w:rPr>
              <w:t xml:space="preserve">   自行编写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napToGrid w:val="0"/>
                <w:sz w:val="24"/>
              </w:rPr>
              <w:t>17</w:t>
            </w:r>
          </w:p>
        </w:tc>
        <w:tc>
          <w:tcPr>
            <w:tcW w:w="1802" w:type="dxa"/>
            <w:vAlign w:val="center"/>
          </w:tcPr>
          <w:p>
            <w:pPr>
              <w:adjustRightInd w:val="0"/>
              <w:snapToGrid w:val="0"/>
              <w:jc w:val="left"/>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投标响应文件编制（技术文件）</w:t>
            </w:r>
          </w:p>
        </w:tc>
        <w:tc>
          <w:tcPr>
            <w:tcW w:w="7538" w:type="dxa"/>
            <w:vAlign w:val="center"/>
          </w:tcPr>
          <w:p>
            <w:pPr>
              <w:adjustRightInd w:val="0"/>
              <w:snapToGrid w:val="0"/>
              <w:spacing w:after="156" w:afterLines="50"/>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snapToGrid w:val="0"/>
                <w:sz w:val="24"/>
              </w:rPr>
              <w:t>1、</w:t>
            </w: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color w:val="000000" w:themeColor="text1"/>
                <w:sz w:val="24"/>
                <w14:textFill>
                  <w14:solidFill>
                    <w14:schemeClr w14:val="tx1"/>
                  </w14:solidFill>
                </w14:textFill>
              </w:rPr>
              <w:t>项目施工/实施方案：</w:t>
            </w:r>
            <w:r>
              <w:rPr>
                <w:rFonts w:hint="eastAsia" w:ascii="仿宋_GB2312" w:hAnsi="仿宋_GB2312" w:eastAsia="仿宋_GB2312" w:cs="仿宋_GB2312"/>
                <w:color w:val="000000" w:themeColor="text1"/>
                <w:sz w:val="24"/>
                <w:u w:val="single"/>
                <w14:textFill>
                  <w14:solidFill>
                    <w14:schemeClr w14:val="tx1"/>
                  </w14:solidFill>
                </w14:textFill>
              </w:rPr>
              <w:t xml:space="preserve"> 见第六章“投标响应文件格式”三、技术文件1.项目施工/实施方案要求                           </w:t>
            </w:r>
          </w:p>
          <w:p>
            <w:pPr>
              <w:adjustRightInd w:val="0"/>
              <w:snapToGrid w:val="0"/>
              <w:spacing w:after="156" w:afterLines="50"/>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snapToGrid w:val="0"/>
                <w:sz w:val="24"/>
              </w:rPr>
              <w:t>2、</w:t>
            </w: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color w:val="000000" w:themeColor="text1"/>
                <w:sz w:val="24"/>
                <w14:textFill>
                  <w14:solidFill>
                    <w14:schemeClr w14:val="tx1"/>
                  </w14:solidFill>
                </w14:textFill>
              </w:rPr>
              <w:t>项目安全措施方案：</w:t>
            </w:r>
            <w:r>
              <w:rPr>
                <w:rFonts w:hint="eastAsia" w:ascii="仿宋_GB2312" w:hAnsi="仿宋_GB2312" w:eastAsia="仿宋_GB2312" w:cs="仿宋_GB2312"/>
                <w:color w:val="000000" w:themeColor="text1"/>
                <w:sz w:val="24"/>
                <w:u w:val="single"/>
                <w14:textFill>
                  <w14:solidFill>
                    <w14:schemeClr w14:val="tx1"/>
                  </w14:solidFill>
                </w14:textFill>
              </w:rPr>
              <w:t xml:space="preserve"> 见第六章“投标响应文件格式”三、技术文件2.项目安全措施方案要求                       </w:t>
            </w:r>
          </w:p>
          <w:p>
            <w:pPr>
              <w:adjustRightInd w:val="0"/>
              <w:snapToGrid w:val="0"/>
              <w:spacing w:after="156" w:afterLines="50"/>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snapToGrid w:val="0"/>
                <w:sz w:val="24"/>
              </w:rPr>
              <w:t>3、</w:t>
            </w: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color w:val="000000" w:themeColor="text1"/>
                <w:sz w:val="24"/>
                <w14:textFill>
                  <w14:solidFill>
                    <w14:schemeClr w14:val="tx1"/>
                  </w14:solidFill>
                </w14:textFill>
              </w:rPr>
              <w:t>设备配置情况：</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snapToGrid w:val="0"/>
                <w:sz w:val="24"/>
                <w:u w:val="single"/>
              </w:rPr>
              <w:t>投标方应提供设备配置清单，（格式</w:t>
            </w:r>
            <w:r>
              <w:rPr>
                <w:rFonts w:hint="eastAsia" w:ascii="仿宋_GB2312" w:hAnsi="仿宋_GB2312" w:eastAsia="仿宋_GB2312" w:cs="仿宋_GB2312"/>
                <w:color w:val="000000" w:themeColor="text1"/>
                <w:sz w:val="24"/>
                <w:u w:val="single"/>
                <w14:textFill>
                  <w14:solidFill>
                    <w14:schemeClr w14:val="tx1"/>
                  </w14:solidFill>
                </w14:textFill>
              </w:rPr>
              <w:t xml:space="preserve">见第六章“投标响应文件格式”三、技术文件3.设备配置情况表                    </w:t>
            </w:r>
          </w:p>
          <w:p>
            <w:pPr>
              <w:adjustRightInd w:val="0"/>
              <w:snapToGrid w:val="0"/>
              <w:spacing w:after="156" w:afterLines="5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napToGrid w:val="0"/>
                <w:sz w:val="24"/>
              </w:rPr>
              <w:t>4、</w:t>
            </w: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color w:val="000000" w:themeColor="text1"/>
                <w:sz w:val="24"/>
                <w14:textFill>
                  <w14:solidFill>
                    <w14:schemeClr w14:val="tx1"/>
                  </w14:solidFill>
                </w14:textFill>
              </w:rPr>
              <w:t>售后服务</w:t>
            </w:r>
            <w:r>
              <w:rPr>
                <w:rFonts w:hint="eastAsia" w:ascii="仿宋_GB2312" w:hAnsi="仿宋_GB2312" w:eastAsia="仿宋_GB2312" w:cs="仿宋_GB2312"/>
                <w:snapToGrid w:val="0"/>
                <w:sz w:val="24"/>
              </w:rPr>
              <w:t>：</w:t>
            </w:r>
            <w:r>
              <w:rPr>
                <w:rFonts w:hint="eastAsia" w:ascii="仿宋_GB2312" w:hAnsi="仿宋_GB2312" w:eastAsia="仿宋_GB2312" w:cs="仿宋_GB2312"/>
                <w:snapToGrid w:val="0"/>
                <w:sz w:val="24"/>
                <w:u w:val="single"/>
              </w:rPr>
              <w:t xml:space="preserve">      自行编写             </w:t>
            </w:r>
          </w:p>
          <w:p>
            <w:pPr>
              <w:adjustRightInd w:val="0"/>
              <w:snapToGrid w:val="0"/>
              <w:spacing w:after="156" w:afterLines="5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napToGrid w:val="0"/>
                <w:sz w:val="24"/>
              </w:rPr>
              <w:t>5、</w:t>
            </w: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color w:val="000000" w:themeColor="text1"/>
                <w:sz w:val="24"/>
                <w14:textFill>
                  <w14:solidFill>
                    <w14:schemeClr w14:val="tx1"/>
                  </w14:solidFill>
                </w14:textFill>
              </w:rPr>
              <w:t>合理化建议</w:t>
            </w:r>
            <w:r>
              <w:rPr>
                <w:rFonts w:hint="eastAsia" w:ascii="仿宋_GB2312" w:hAnsi="仿宋_GB2312" w:eastAsia="仿宋_GB2312" w:cs="仿宋_GB2312"/>
                <w:snapToGrid w:val="0"/>
                <w:sz w:val="24"/>
              </w:rPr>
              <w:t>：</w:t>
            </w:r>
            <w:r>
              <w:rPr>
                <w:rFonts w:hint="eastAsia" w:ascii="仿宋_GB2312" w:hAnsi="仿宋_GB2312" w:eastAsia="仿宋_GB2312" w:cs="仿宋_GB2312"/>
                <w:snapToGrid w:val="0"/>
                <w:sz w:val="24"/>
                <w:u w:val="single"/>
              </w:rPr>
              <w:t xml:space="preserve">    自行编写             </w:t>
            </w:r>
          </w:p>
          <w:p>
            <w:pPr>
              <w:adjustRightInd w:val="0"/>
              <w:snapToGrid w:val="0"/>
              <w:spacing w:after="156" w:afterLines="5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napToGrid w:val="0"/>
                <w:sz w:val="24"/>
              </w:rPr>
              <w:t>6、</w:t>
            </w:r>
            <w:r>
              <w:rPr>
                <w:rFonts w:hint="eastAsia" w:ascii="仿宋_GB2312" w:hAnsi="仿宋_GB2312" w:eastAsia="仿宋_GB2312" w:cs="仿宋_GB2312"/>
                <w:snapToGrid w:val="0"/>
                <w:sz w:val="24"/>
              </w:rPr>
              <w:sym w:font="Wingdings" w:char="00FE"/>
            </w:r>
            <w:r>
              <w:rPr>
                <w:rFonts w:hint="eastAsia" w:ascii="仿宋_GB2312" w:hAnsi="仿宋_GB2312" w:eastAsia="仿宋_GB2312" w:cs="仿宋_GB2312"/>
                <w:color w:val="000000" w:themeColor="text1"/>
                <w:sz w:val="24"/>
                <w14:textFill>
                  <w14:solidFill>
                    <w14:schemeClr w14:val="tx1"/>
                  </w14:solidFill>
                </w14:textFill>
              </w:rPr>
              <w:t>其他</w:t>
            </w:r>
            <w:r>
              <w:rPr>
                <w:rFonts w:hint="eastAsia" w:ascii="仿宋_GB2312" w:hAnsi="仿宋_GB2312" w:eastAsia="仿宋_GB2312" w:cs="仿宋_GB2312"/>
                <w:snapToGrid w:val="0"/>
                <w:sz w:val="24"/>
              </w:rPr>
              <w:t>：</w:t>
            </w:r>
            <w:r>
              <w:rPr>
                <w:rFonts w:hint="eastAsia" w:ascii="仿宋_GB2312" w:hAnsi="仿宋_GB2312" w:eastAsia="仿宋_GB2312" w:cs="仿宋_GB2312"/>
                <w:snapToGrid w:val="0"/>
                <w:sz w:val="24"/>
                <w:u w:val="single"/>
              </w:rPr>
              <w:t xml:space="preserve">        </w:t>
            </w:r>
            <w:r>
              <w:rPr>
                <w:rFonts w:ascii="仿宋_GB2312" w:hAnsi="仿宋_GB2312" w:eastAsia="仿宋_GB2312" w:cs="仿宋_GB2312"/>
                <w:snapToGrid w:val="0"/>
                <w:sz w:val="24"/>
                <w:u w:val="single"/>
              </w:rPr>
              <w:t xml:space="preserve">  </w:t>
            </w:r>
            <w:r>
              <w:rPr>
                <w:rFonts w:hint="eastAsia" w:ascii="仿宋_GB2312" w:hAnsi="仿宋_GB2312" w:eastAsia="仿宋_GB2312" w:cs="仿宋_GB2312"/>
                <w:snapToGrid w:val="0"/>
                <w:sz w:val="24"/>
                <w:u w:val="single"/>
              </w:rPr>
              <w:t xml:space="preserve">自行编写        </w:t>
            </w:r>
            <w:r>
              <w:rPr>
                <w:rFonts w:ascii="仿宋_GB2312" w:hAnsi="仿宋_GB2312" w:eastAsia="仿宋_GB2312" w:cs="仿宋_GB2312"/>
                <w:snapToGrid w:val="0"/>
                <w:sz w:val="24"/>
                <w:u w:val="single"/>
              </w:rPr>
              <w:t xml:space="preserve">  </w:t>
            </w:r>
            <w:r>
              <w:rPr>
                <w:rFonts w:hint="eastAsia" w:ascii="仿宋_GB2312" w:hAnsi="仿宋_GB2312" w:eastAsia="仿宋_GB2312" w:cs="仿宋_GB2312"/>
                <w:snapToGrid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napToGrid w:val="0"/>
                <w:sz w:val="24"/>
              </w:rPr>
              <w:t>18</w:t>
            </w:r>
          </w:p>
        </w:tc>
        <w:tc>
          <w:tcPr>
            <w:tcW w:w="1802" w:type="dxa"/>
            <w:vAlign w:val="center"/>
          </w:tcPr>
          <w:p>
            <w:pPr>
              <w:adjustRightInd w:val="0"/>
              <w:snapToGrid w:val="0"/>
              <w:jc w:val="left"/>
              <w:rPr>
                <w:rFonts w:ascii="仿宋_GB2312" w:hAnsi="仿宋_GB2312" w:eastAsia="仿宋_GB2312" w:cs="仿宋_GB2312"/>
                <w:sz w:val="24"/>
              </w:rPr>
            </w:pPr>
            <w:r>
              <w:rPr>
                <w:rFonts w:hint="eastAsia" w:ascii="仿宋_GB2312" w:hAnsi="仿宋_GB2312" w:eastAsia="仿宋_GB2312" w:cs="仿宋_GB2312"/>
                <w:snapToGrid w:val="0"/>
                <w:sz w:val="24"/>
              </w:rPr>
              <w:t>其他要求的证明材料</w:t>
            </w:r>
          </w:p>
        </w:tc>
        <w:tc>
          <w:tcPr>
            <w:tcW w:w="7538"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802"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偏离</w:t>
            </w:r>
          </w:p>
        </w:tc>
        <w:tc>
          <w:tcPr>
            <w:tcW w:w="7538" w:type="dxa"/>
            <w:vAlign w:val="center"/>
          </w:tcPr>
          <w:p>
            <w:pPr>
              <w:pStyle w:val="11"/>
              <w:rPr>
                <w:rFonts w:ascii="仿宋_GB2312" w:hAnsi="仿宋_GB2312" w:eastAsia="仿宋_GB2312" w:cs="仿宋_GB2312"/>
                <w:sz w:val="24"/>
                <w:szCs w:val="24"/>
              </w:rPr>
            </w:pPr>
            <w:r>
              <w:rPr>
                <w:rFonts w:hint="eastAsia" w:ascii="仿宋_GB2312" w:hAnsi="仿宋_GB2312" w:eastAsia="仿宋_GB2312" w:cs="仿宋_GB2312"/>
                <w:snapToGrid w:val="0"/>
              </w:rPr>
              <w:sym w:font="Wingdings" w:char="00A8"/>
            </w:r>
            <w:r>
              <w:rPr>
                <w:rFonts w:hint="eastAsia" w:ascii="仿宋_GB2312" w:hAnsi="仿宋_GB2312" w:eastAsia="仿宋_GB2312" w:cs="仿宋_GB2312"/>
                <w:snapToGrid w:val="0"/>
                <w:sz w:val="24"/>
                <w:szCs w:val="24"/>
              </w:rPr>
              <w:t>不</w:t>
            </w:r>
            <w:r>
              <w:rPr>
                <w:rFonts w:hint="eastAsia" w:ascii="仿宋_GB2312" w:hAnsi="仿宋_GB2312" w:eastAsia="仿宋_GB2312" w:cs="仿宋_GB2312"/>
                <w:sz w:val="24"/>
                <w:szCs w:val="24"/>
              </w:rPr>
              <w:t>允许偏离</w:t>
            </w:r>
          </w:p>
          <w:p>
            <w:pPr>
              <w:pStyle w:val="5"/>
              <w:spacing w:line="24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napToGrid w:val="0"/>
              </w:rPr>
              <w:sym w:font="Wingdings" w:char="00FE"/>
            </w:r>
            <w:r>
              <w:rPr>
                <w:rFonts w:hint="eastAsia" w:ascii="仿宋_GB2312" w:hAnsi="仿宋_GB2312" w:eastAsia="仿宋_GB2312" w:cs="仿宋_GB2312"/>
                <w:b w:val="0"/>
                <w:bCs w:val="0"/>
                <w:spacing w:val="0"/>
              </w:rPr>
              <w:t>允许正偏离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802"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7538" w:type="dxa"/>
            <w:vAlign w:val="center"/>
          </w:tcPr>
          <w:p>
            <w:pPr>
              <w:pStyle w:val="56"/>
              <w:ind w:left="0" w:right="22" w:firstLine="0" w:firstLineChars="0"/>
              <w:rPr>
                <w:rFonts w:ascii="仿宋_GB2312" w:hAnsi="仿宋_GB2312" w:eastAsia="仿宋_GB2312" w:cs="仿宋_GB2312"/>
                <w:color w:val="FF0000"/>
                <w:sz w:val="24"/>
              </w:rPr>
            </w:pPr>
            <w:r>
              <w:rPr>
                <w:rFonts w:hint="eastAsia" w:ascii="仿宋_GB2312" w:hAnsi="仿宋_GB2312" w:eastAsia="仿宋_GB2312" w:cs="仿宋_GB2312"/>
                <w:color w:val="000000" w:themeColor="text1"/>
                <w:sz w:val="24"/>
                <w14:textFill>
                  <w14:solidFill>
                    <w14:schemeClr w14:val="tx1"/>
                  </w14:solidFill>
                </w14:textFill>
              </w:rPr>
              <w:t>报价文件递</w:t>
            </w:r>
            <w:r>
              <w:rPr>
                <w:rFonts w:hint="eastAsia" w:ascii="仿宋_GB2312" w:hAnsi="仿宋_GB2312" w:eastAsia="仿宋_GB2312" w:cs="仿宋_GB2312"/>
                <w:sz w:val="24"/>
              </w:rPr>
              <w:t>交截止时间：2024年</w:t>
            </w:r>
            <w:r>
              <w:rPr>
                <w:rFonts w:ascii="仿宋_GB2312" w:hAnsi="仿宋_GB2312" w:eastAsia="仿宋_GB2312" w:cs="仿宋_GB2312"/>
                <w:sz w:val="24"/>
              </w:rPr>
              <w:t>4</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日</w:t>
            </w:r>
            <w:r>
              <w:rPr>
                <w:rFonts w:hint="eastAsia" w:ascii="仿宋_GB2312" w:hAnsi="仿宋_GB2312" w:eastAsia="仿宋_GB2312" w:cs="仿宋_GB2312"/>
                <w:sz w:val="24"/>
                <w:lang w:val="en-US" w:eastAsia="zh-CN"/>
              </w:rPr>
              <w:t>11</w:t>
            </w:r>
            <w:bookmarkStart w:id="78" w:name="_GoBack"/>
            <w:bookmarkEnd w:id="78"/>
            <w:r>
              <w:rPr>
                <w:rFonts w:hint="eastAsia" w:ascii="仿宋_GB2312" w:hAnsi="仿宋_GB2312" w:eastAsia="仿宋_GB2312" w:cs="仿宋_GB2312"/>
                <w:sz w:val="24"/>
              </w:rPr>
              <w:t>:00之前</w:t>
            </w:r>
          </w:p>
          <w:p>
            <w:pPr>
              <w:pStyle w:val="11"/>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投标文件以电子版的方式递交至：EPS采购平台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802"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投标人提出异议的截止时间</w:t>
            </w:r>
          </w:p>
        </w:tc>
        <w:tc>
          <w:tcPr>
            <w:tcW w:w="7538" w:type="dxa"/>
            <w:vAlign w:val="center"/>
          </w:tcPr>
          <w:p>
            <w:pPr>
              <w:pStyle w:val="11"/>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投标截止时间</w:t>
            </w:r>
            <w:r>
              <w:rPr>
                <w:rFonts w:hint="eastAsia" w:ascii="仿宋_GB2312" w:hAnsi="仿宋_GB2312" w:eastAsia="仿宋_GB2312" w:cs="仿宋_GB2312"/>
                <w:sz w:val="24"/>
                <w:szCs w:val="24"/>
                <w:u w:val="single"/>
              </w:rPr>
              <w:t xml:space="preserve"> 3</w:t>
            </w:r>
            <w:r>
              <w:rPr>
                <w:rFonts w:hint="eastAsia" w:ascii="仿宋_GB2312" w:hAnsi="仿宋_GB2312" w:eastAsia="仿宋_GB2312" w:cs="仿宋_GB2312"/>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802"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投标响应有效期</w:t>
            </w:r>
          </w:p>
        </w:tc>
        <w:tc>
          <w:tcPr>
            <w:tcW w:w="7538" w:type="dxa"/>
            <w:vAlign w:val="center"/>
          </w:tcPr>
          <w:p>
            <w:pPr>
              <w:pStyle w:val="11"/>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响应有效期为开启响应文件之日起60日历天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802"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履约保证金</w:t>
            </w:r>
          </w:p>
        </w:tc>
        <w:tc>
          <w:tcPr>
            <w:tcW w:w="7538" w:type="dxa"/>
            <w:vAlign w:val="center"/>
          </w:tcPr>
          <w:p>
            <w:pPr>
              <w:pStyle w:val="56"/>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无</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中标方合同签订后，在</w:t>
            </w:r>
            <w:r>
              <w:rPr>
                <w:rFonts w:hint="eastAsia" w:ascii="仿宋_GB2312" w:hAnsi="仿宋_GB2312" w:eastAsia="仿宋_GB2312" w:cs="仿宋_GB2312"/>
                <w:color w:val="000000" w:themeColor="text1"/>
                <w:sz w:val="24"/>
                <w:u w:val="single"/>
                <w14:textFill>
                  <w14:solidFill>
                    <w14:schemeClr w14:val="tx1"/>
                  </w14:solidFill>
                </w14:textFill>
              </w:rPr>
              <w:t xml:space="preserve"> * </w:t>
            </w:r>
            <w:r>
              <w:rPr>
                <w:rFonts w:hint="eastAsia" w:ascii="仿宋_GB2312" w:hAnsi="仿宋_GB2312" w:eastAsia="仿宋_GB2312" w:cs="仿宋_GB2312"/>
                <w:color w:val="000000" w:themeColor="text1"/>
                <w:sz w:val="24"/>
                <w14:textFill>
                  <w14:solidFill>
                    <w14:schemeClr w14:val="tx1"/>
                  </w14:solidFill>
                </w14:textFill>
              </w:rPr>
              <w:t>工作日内以电汇方式向中粮************公司对公账户缴纳项目履约保证金</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元（人民币）大写：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元，否则取消其中标资格。项目完工验收后次月予以退还（无息）。（</w:t>
            </w:r>
            <w:r>
              <w:rPr>
                <w:rFonts w:ascii="仿宋_GB2312" w:hAnsi="仿宋_GB2312" w:eastAsia="仿宋_GB2312" w:cs="仿宋_GB2312"/>
                <w:color w:val="000000" w:themeColor="text1"/>
                <w:sz w:val="24"/>
                <w14:textFill>
                  <w14:solidFill>
                    <w14:schemeClr w14:val="tx1"/>
                  </w14:solidFill>
                </w14:textFill>
              </w:rPr>
              <w:t>履约保证金不得超过中标合同金额的10%。为防范管理风险，对物流类采购，可在双方协商一致的基础上提高投标保证金的缴纳比例，不得超过采购项目预算10%，最高不超过50万元人民币</w:t>
            </w:r>
            <w:r>
              <w:rPr>
                <w:rFonts w:hint="eastAsia" w:ascii="仿宋_GB2312" w:hAnsi="仿宋_GB2312" w:eastAsia="仿宋_GB2312" w:cs="仿宋_GB2312"/>
                <w:color w:val="000000" w:themeColor="text1"/>
                <w:sz w:val="24"/>
                <w14:textFill>
                  <w14:solidFill>
                    <w14:schemeClr w14:val="tx1"/>
                  </w14:solidFill>
                </w14:textFill>
              </w:rPr>
              <w:t>）</w:t>
            </w:r>
          </w:p>
          <w:p>
            <w:pPr>
              <w:pStyle w:val="56"/>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收款单位全称：****************************</w:t>
            </w:r>
          </w:p>
          <w:p>
            <w:pPr>
              <w:pStyle w:val="56"/>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开户行:********************************</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3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24</w:t>
            </w:r>
          </w:p>
        </w:tc>
        <w:tc>
          <w:tcPr>
            <w:tcW w:w="1802"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color w:val="000000"/>
                <w:sz w:val="24"/>
              </w:rPr>
              <w:t>确定成交人</w:t>
            </w:r>
          </w:p>
        </w:tc>
        <w:tc>
          <w:tcPr>
            <w:tcW w:w="7538"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次谈判采购按综合评标法评标，根据得分由高到低确定第一中标候选人和第二中标候选人，并将结果通过EPS系统进行发布，若出现第一中标候选人放弃成交或不能按采购文件规定签订合同等原因，取消中标资格，按排名顺序依次确定排名第二的中标候选人为中标投标方，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3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25</w:t>
            </w:r>
          </w:p>
        </w:tc>
        <w:tc>
          <w:tcPr>
            <w:tcW w:w="1802"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保密</w:t>
            </w:r>
          </w:p>
        </w:tc>
        <w:tc>
          <w:tcPr>
            <w:tcW w:w="7538"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参与采购投标活动的各方应对采购文件和投标文件中的商业和技术等秘密保密，违者应对由此造成的后果承担法律责任。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37" w:type="dxa"/>
            <w:vAlign w:val="center"/>
          </w:tcPr>
          <w:p>
            <w:pPr>
              <w:pStyle w:val="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802"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采购（评标）小组组成</w:t>
            </w:r>
          </w:p>
        </w:tc>
        <w:tc>
          <w:tcPr>
            <w:tcW w:w="7538" w:type="dxa"/>
            <w:vAlign w:val="center"/>
          </w:tcPr>
          <w:p>
            <w:pPr>
              <w:pStyle w:val="11"/>
              <w:rPr>
                <w:rFonts w:ascii="仿宋_GB2312" w:hAnsi="仿宋_GB2312" w:eastAsia="仿宋_GB2312" w:cs="仿宋_GB2312"/>
                <w:sz w:val="24"/>
                <w:szCs w:val="24"/>
              </w:rPr>
            </w:pPr>
            <w:r>
              <w:rPr>
                <w:rFonts w:hint="eastAsia" w:ascii="仿宋_GB2312" w:hAnsi="仿宋_GB2312" w:eastAsia="仿宋_GB2312" w:cs="仿宋_GB2312"/>
                <w:sz w:val="24"/>
                <w:szCs w:val="24"/>
              </w:rPr>
              <w:t>采购（评标）小组总人数为3人及以上单数，由采购部门、使用部门、其他部门三方组成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3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27</w:t>
            </w:r>
          </w:p>
        </w:tc>
        <w:tc>
          <w:tcPr>
            <w:tcW w:w="1802"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现场监督</w:t>
            </w:r>
          </w:p>
        </w:tc>
        <w:tc>
          <w:tcPr>
            <w:tcW w:w="753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监督人员：赵甲蓉，联系电话：13909941150</w:t>
            </w:r>
          </w:p>
        </w:tc>
      </w:tr>
    </w:tbl>
    <w:p>
      <w:pPr>
        <w:widowControl/>
        <w:rPr>
          <w:rFonts w:ascii="仿宋_GB2312" w:hAnsi="仿宋_GB2312" w:eastAsia="仿宋_GB2312" w:cs="仿宋_GB2312"/>
          <w:sz w:val="24"/>
        </w:rPr>
      </w:pPr>
    </w:p>
    <w:p>
      <w:pPr>
        <w:widowControl/>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投标须知中的“★”项目为废标条件，未响应或不满足的投标报价无效。</w:t>
      </w:r>
    </w:p>
    <w:p>
      <w:pPr>
        <w:pageBreakBefore/>
        <w:widowControl/>
        <w:spacing w:line="560" w:lineRule="exact"/>
        <w:ind w:firstLine="641"/>
        <w:jc w:val="center"/>
        <w:rPr>
          <w:rFonts w:ascii="仿宋" w:hAnsi="仿宋" w:eastAsia="仿宋" w:cs="方正小标宋_GBK"/>
          <w:b/>
          <w:kern w:val="0"/>
          <w:sz w:val="44"/>
          <w:szCs w:val="44"/>
        </w:rPr>
      </w:pPr>
      <w:r>
        <w:rPr>
          <w:rFonts w:hint="eastAsia" w:ascii="仿宋" w:hAnsi="仿宋" w:eastAsia="仿宋" w:cs="方正小标宋_GBK"/>
          <w:b/>
          <w:kern w:val="0"/>
          <w:sz w:val="44"/>
          <w:szCs w:val="44"/>
        </w:rPr>
        <w:t>第三部分 评标办法</w:t>
      </w:r>
    </w:p>
    <w:p>
      <w:pPr>
        <w:spacing w:line="560" w:lineRule="exact"/>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为保证谈判采购工作严格遵循公平、公正、公开的原则，维护采购方和投标方的合法权益，规范评标活动，根据《中华人民共和国招标投标法》等相关法律法规的要求制定本评标办法。</w:t>
      </w:r>
    </w:p>
    <w:p>
      <w:pPr>
        <w:spacing w:line="360" w:lineRule="auto"/>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1评审原则</w:t>
      </w:r>
    </w:p>
    <w:p>
      <w:pPr>
        <w:spacing w:line="360" w:lineRule="auto"/>
        <w:ind w:firstLine="560" w:firstLineChars="200"/>
        <w:rPr>
          <w:rFonts w:ascii="仿宋_GB2312" w:eastAsia="仿宋_GB2312" w:hAnsiTheme="minorEastAsia"/>
          <w:color w:val="000000" w:themeColor="text1"/>
          <w:sz w:val="28"/>
          <w:szCs w:val="28"/>
          <w14:textFill>
            <w14:solidFill>
              <w14:schemeClr w14:val="tx1"/>
            </w14:solidFill>
          </w14:textFill>
        </w:rPr>
      </w:pPr>
      <w:bookmarkStart w:id="15" w:name="_Toc250362514"/>
      <w:bookmarkEnd w:id="15"/>
      <w:bookmarkStart w:id="16" w:name="_Toc250361787"/>
      <w:bookmarkEnd w:id="16"/>
      <w:bookmarkStart w:id="17" w:name="_Toc261621668"/>
      <w:bookmarkEnd w:id="17"/>
      <w:r>
        <w:rPr>
          <w:rFonts w:hint="eastAsia" w:ascii="仿宋_GB2312" w:eastAsia="仿宋_GB2312" w:hAnsiTheme="minorEastAsia"/>
          <w:color w:val="000000" w:themeColor="text1"/>
          <w:sz w:val="28"/>
          <w:szCs w:val="28"/>
          <w14:textFill>
            <w14:solidFill>
              <w14:schemeClr w14:val="tx1"/>
            </w14:solidFill>
          </w14:textFill>
        </w:rPr>
        <w:t>1.1评委构成：由采购人依法组建的评标小组负责。评标小组人数为3人及以上单数。</w:t>
      </w:r>
    </w:p>
    <w:p>
      <w:pPr>
        <w:spacing w:line="560" w:lineRule="exact"/>
        <w:ind w:firstLine="560" w:firstLineChars="200"/>
        <w:rPr>
          <w:rFonts w:ascii="仿宋_GB2312" w:hAnsi="仿宋" w:eastAsia="仿宋_GB2312" w:cs="仿宋_GB2312"/>
          <w:bCs/>
          <w:kern w:val="0"/>
          <w:sz w:val="28"/>
          <w:szCs w:val="28"/>
        </w:rPr>
      </w:pPr>
      <w:bookmarkStart w:id="18" w:name="_Toc250362515"/>
      <w:bookmarkEnd w:id="18"/>
      <w:bookmarkStart w:id="19" w:name="_Toc250361788"/>
      <w:bookmarkEnd w:id="19"/>
      <w:bookmarkStart w:id="20" w:name="_Toc261621669"/>
      <w:bookmarkEnd w:id="20"/>
      <w:r>
        <w:rPr>
          <w:rFonts w:hint="eastAsia" w:ascii="仿宋_GB2312" w:eastAsia="仿宋_GB2312" w:hAnsiTheme="minorEastAsia"/>
          <w:color w:val="000000" w:themeColor="text1"/>
          <w:sz w:val="28"/>
          <w:szCs w:val="28"/>
          <w14:textFill>
            <w14:solidFill>
              <w14:schemeClr w14:val="tx1"/>
            </w14:solidFill>
          </w14:textFill>
        </w:rPr>
        <w:t>1.2评审依据：评委将以投标响应文件为评审依据，对投标方的响应报价（如有）、商务、技术等方面内容进行综合评审。</w:t>
      </w:r>
    </w:p>
    <w:p>
      <w:pPr>
        <w:spacing w:line="360" w:lineRule="auto"/>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2评审程序和内容</w:t>
      </w:r>
    </w:p>
    <w:p>
      <w:pPr>
        <w:spacing w:line="360" w:lineRule="auto"/>
        <w:ind w:firstLine="560" w:firstLineChars="200"/>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2.1初步评审</w:t>
      </w:r>
    </w:p>
    <w:p>
      <w:pPr>
        <w:spacing w:line="360" w:lineRule="auto"/>
        <w:ind w:firstLine="480"/>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投标方出现下列情形之一的，其响应将有否决响应处理的风险：</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2.1.1</w:t>
      </w:r>
      <w:r>
        <w:rPr>
          <w:rFonts w:hint="eastAsia" w:ascii="仿宋_GB2312" w:eastAsia="仿宋_GB2312" w:hAnsiTheme="minorEastAsia"/>
          <w:bCs/>
          <w:color w:val="000000" w:themeColor="text1"/>
          <w:sz w:val="28"/>
          <w:szCs w:val="28"/>
          <w14:textFill>
            <w14:solidFill>
              <w14:schemeClr w14:val="tx1"/>
            </w14:solidFill>
          </w14:textFill>
        </w:rPr>
        <w:t>单位负责人为同一人或者存在控股、管理关系的不同单位，参加同一标段（包件）或者未划分标段（包件）的同一采购项目响应；存在以上情况的，在通过资格预审的情况下，允许最先报名的潜在竞谈人参与投标；</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2.1.2</w:t>
      </w:r>
      <w:r>
        <w:rPr>
          <w:rFonts w:hint="eastAsia" w:ascii="仿宋_GB2312" w:eastAsia="仿宋_GB2312" w:hAnsiTheme="minorEastAsia"/>
          <w:bCs/>
          <w:color w:val="000000" w:themeColor="text1"/>
          <w:sz w:val="28"/>
          <w:szCs w:val="28"/>
          <w14:textFill>
            <w14:solidFill>
              <w14:schemeClr w14:val="tx1"/>
            </w14:solidFill>
          </w14:textFill>
        </w:rPr>
        <w:t>投标方未提交投标响应保证金（如有）或投标响应保证金金额不足、投标响应保证金的形式、投标响应保证金的有效期不符合谈判采购文件要求；</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2.1.3</w:t>
      </w:r>
      <w:r>
        <w:rPr>
          <w:rFonts w:hint="eastAsia" w:ascii="仿宋_GB2312" w:eastAsia="仿宋_GB2312" w:hAnsiTheme="minorEastAsia"/>
          <w:bCs/>
          <w:color w:val="000000" w:themeColor="text1"/>
          <w:sz w:val="28"/>
          <w:szCs w:val="28"/>
          <w14:textFill>
            <w14:solidFill>
              <w14:schemeClr w14:val="tx1"/>
            </w14:solidFill>
          </w14:textFill>
        </w:rPr>
        <w:t>投标响应文件中未按谈判采购文件要求加盖单位公章或法定代表人或法定代表人授权人签字或盖章的（谈判采购文件规定的签字或盖章之处）；或签字人无法定代表人有效授权书；</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2.1.4</w:t>
      </w:r>
      <w:r>
        <w:rPr>
          <w:rFonts w:hint="eastAsia" w:ascii="仿宋_GB2312" w:eastAsia="仿宋_GB2312" w:hAnsiTheme="minorEastAsia"/>
          <w:bCs/>
          <w:color w:val="000000" w:themeColor="text1"/>
          <w:sz w:val="28"/>
          <w:szCs w:val="28"/>
          <w14:textFill>
            <w14:solidFill>
              <w14:schemeClr w14:val="tx1"/>
            </w14:solidFill>
          </w14:textFill>
        </w:rPr>
        <w:t>未提供资格证明文件、资格证明文件不全、提供虚假材料或不符合国家或者谈判采购文件规定的资格条件；</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2.1.5</w:t>
      </w:r>
      <w:r>
        <w:rPr>
          <w:rFonts w:hint="eastAsia" w:ascii="仿宋_GB2312" w:eastAsia="仿宋_GB2312" w:hAnsiTheme="minorEastAsia"/>
          <w:bCs/>
          <w:color w:val="000000" w:themeColor="text1"/>
          <w:sz w:val="28"/>
          <w:szCs w:val="28"/>
          <w14:textFill>
            <w14:solidFill>
              <w14:schemeClr w14:val="tx1"/>
            </w14:solidFill>
          </w14:textFill>
        </w:rPr>
        <w:t>同一投标方递交两份或多份内容不同的投标响应文件，或在一份投标响应文件中对同一采购项目报有两个或多个报价，且未声明哪一个有效；</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2.1.6</w:t>
      </w:r>
      <w:r>
        <w:rPr>
          <w:rFonts w:hint="eastAsia" w:ascii="仿宋_GB2312" w:eastAsia="仿宋_GB2312" w:hAnsiTheme="minorEastAsia"/>
          <w:bCs/>
          <w:color w:val="000000" w:themeColor="text1"/>
          <w:sz w:val="28"/>
          <w:szCs w:val="28"/>
          <w14:textFill>
            <w14:solidFill>
              <w14:schemeClr w14:val="tx1"/>
            </w14:solidFill>
          </w14:textFill>
        </w:rPr>
        <w:t>响应报价高于谈判采购文件设定的最高响应限价（当谈判采购文件规定了最高响应限价或最高响应限价的计算方法）；</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2.1.7</w:t>
      </w:r>
      <w:r>
        <w:rPr>
          <w:rFonts w:hint="eastAsia" w:ascii="仿宋_GB2312" w:eastAsia="仿宋_GB2312" w:hAnsiTheme="minorEastAsia"/>
          <w:bCs/>
          <w:color w:val="000000" w:themeColor="text1"/>
          <w:sz w:val="28"/>
          <w:szCs w:val="28"/>
          <w14:textFill>
            <w14:solidFill>
              <w14:schemeClr w14:val="tx1"/>
            </w14:solidFill>
          </w14:textFill>
        </w:rPr>
        <w:t>投标响应文件没有对谈判采购文件的实质性要求和条件作出响应（技术规格中加注★号的条款为主要要求，必须作出实质性响应）；</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2.1.8</w:t>
      </w:r>
      <w:r>
        <w:rPr>
          <w:rFonts w:hint="eastAsia" w:ascii="仿宋_GB2312" w:eastAsia="仿宋_GB2312" w:hAnsiTheme="minorEastAsia"/>
          <w:bCs/>
          <w:color w:val="000000" w:themeColor="text1"/>
          <w:sz w:val="28"/>
          <w:szCs w:val="28"/>
          <w14:textFill>
            <w14:solidFill>
              <w14:schemeClr w14:val="tx1"/>
            </w14:solidFill>
          </w14:textFill>
        </w:rPr>
        <w:t>未按规定的格式填写，内容不全或关键字迹模糊、无法辨认；</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2.1.9</w:t>
      </w:r>
      <w:r>
        <w:rPr>
          <w:rFonts w:hint="eastAsia" w:ascii="仿宋_GB2312" w:eastAsia="仿宋_GB2312" w:hAnsiTheme="minorEastAsia"/>
          <w:bCs/>
          <w:color w:val="000000" w:themeColor="text1"/>
          <w:sz w:val="28"/>
          <w:szCs w:val="28"/>
          <w14:textFill>
            <w14:solidFill>
              <w14:schemeClr w14:val="tx1"/>
            </w14:solidFill>
          </w14:textFill>
        </w:rPr>
        <w:t>投标方有串通响应、弄虚作假、行贿等违法行为；</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有下列情形之一的，视为投标方相互串通响应：</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（a）不同投标方的投标响应文件由同一单位或者个人编制；</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（b）不同投标方委托同一单位或者个人办理响应事宜；</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（c）不同投标方的投标响应文件载明的项目管理成员为同一人；</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（d）不同投标方的投标响应文件异常一致或者响应报价呈规律性差异；</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（e）不同投标方的投标响应文件相互混合；</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（f）不同投标方的投标响应保证金从同一单位或者个人的账户转出；</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（g）其他被评标小组认定为投标方相互串通响应的情形；</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2.1.10</w:t>
      </w:r>
      <w:r>
        <w:rPr>
          <w:rFonts w:hint="eastAsia" w:ascii="仿宋_GB2312" w:eastAsia="仿宋_GB2312" w:hAnsiTheme="minorEastAsia"/>
          <w:bCs/>
          <w:color w:val="000000" w:themeColor="text1"/>
          <w:sz w:val="28"/>
          <w:szCs w:val="28"/>
          <w14:textFill>
            <w14:solidFill>
              <w14:schemeClr w14:val="tx1"/>
            </w14:solidFill>
          </w14:textFill>
        </w:rPr>
        <w:t>响应有效期不足；</w:t>
      </w:r>
    </w:p>
    <w:p>
      <w:pPr>
        <w:tabs>
          <w:tab w:val="left" w:pos="851"/>
        </w:tabs>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2.1.11</w:t>
      </w:r>
      <w:r>
        <w:rPr>
          <w:rFonts w:hint="eastAsia" w:ascii="仿宋_GB2312" w:eastAsia="仿宋_GB2312" w:hAnsiTheme="minorEastAsia"/>
          <w:bCs/>
          <w:color w:val="000000" w:themeColor="text1"/>
          <w:sz w:val="28"/>
          <w:szCs w:val="28"/>
          <w14:textFill>
            <w14:solidFill>
              <w14:schemeClr w14:val="tx1"/>
            </w14:solidFill>
          </w14:textFill>
        </w:rPr>
        <w:t>投标响应文件附有采购人不能接受的条件；</w:t>
      </w:r>
    </w:p>
    <w:p>
      <w:pPr>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ascii="仿宋_GB2312" w:eastAsia="仿宋_GB2312" w:hAnsiTheme="minorEastAsia"/>
          <w:bCs/>
          <w:color w:val="000000" w:themeColor="text1"/>
          <w:sz w:val="28"/>
          <w:szCs w:val="28"/>
          <w14:textFill>
            <w14:solidFill>
              <w14:schemeClr w14:val="tx1"/>
            </w14:solidFill>
          </w14:textFill>
        </w:rPr>
        <w:t>2.1.12</w:t>
      </w:r>
      <w:r>
        <w:rPr>
          <w:rFonts w:hint="eastAsia" w:ascii="仿宋_GB2312" w:eastAsia="仿宋_GB2312" w:hAnsiTheme="minorEastAsia"/>
          <w:bCs/>
          <w:color w:val="000000" w:themeColor="text1"/>
          <w:sz w:val="28"/>
          <w:szCs w:val="28"/>
          <w14:textFill>
            <w14:solidFill>
              <w14:schemeClr w14:val="tx1"/>
            </w14:solidFill>
          </w14:textFill>
        </w:rPr>
        <w:t>不符合相关法律、法规和采购文件中规定的其他实质性要求。</w:t>
      </w:r>
    </w:p>
    <w:p>
      <w:pPr>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2.3谈判</w:t>
      </w:r>
    </w:p>
    <w:p>
      <w:pPr>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2.</w:t>
      </w:r>
      <w:r>
        <w:rPr>
          <w:rFonts w:ascii="仿宋_GB2312" w:eastAsia="仿宋_GB2312" w:hAnsiTheme="minorEastAsia"/>
          <w:bCs/>
          <w:color w:val="000000" w:themeColor="text1"/>
          <w:sz w:val="28"/>
          <w:szCs w:val="28"/>
          <w14:textFill>
            <w14:solidFill>
              <w14:schemeClr w14:val="tx1"/>
            </w14:solidFill>
          </w14:textFill>
        </w:rPr>
        <w:t>3.1</w:t>
      </w:r>
      <w:r>
        <w:rPr>
          <w:rFonts w:hint="eastAsia" w:ascii="仿宋_GB2312" w:eastAsia="仿宋_GB2312" w:hAnsiTheme="minorEastAsia"/>
          <w:bCs/>
          <w:color w:val="000000" w:themeColor="text1"/>
          <w:sz w:val="28"/>
          <w:szCs w:val="28"/>
          <w14:textFill>
            <w14:solidFill>
              <w14:schemeClr w14:val="tx1"/>
            </w14:solidFill>
          </w14:textFill>
        </w:rPr>
        <w:t>采购小组将对有效的投标文件进行审阅，与投标响应方逐一谈判。谈判时，由采购小组提出问题，投标响应方首先做出口头解答，然后形成书面文字，经授权代表签字后，在规定的时间内提交E</w:t>
      </w:r>
      <w:r>
        <w:rPr>
          <w:rFonts w:ascii="仿宋_GB2312" w:eastAsia="仿宋_GB2312" w:hAnsiTheme="minorEastAsia"/>
          <w:bCs/>
          <w:color w:val="000000" w:themeColor="text1"/>
          <w:sz w:val="28"/>
          <w:szCs w:val="28"/>
          <w14:textFill>
            <w14:solidFill>
              <w14:schemeClr w14:val="tx1"/>
            </w14:solidFill>
          </w14:textFill>
        </w:rPr>
        <w:t>PS</w:t>
      </w:r>
      <w:r>
        <w:rPr>
          <w:rFonts w:hint="eastAsia" w:ascii="仿宋_GB2312" w:eastAsia="仿宋_GB2312" w:hAnsiTheme="minorEastAsia"/>
          <w:bCs/>
          <w:color w:val="000000" w:themeColor="text1"/>
          <w:sz w:val="28"/>
          <w:szCs w:val="28"/>
          <w14:textFill>
            <w14:solidFill>
              <w14:schemeClr w14:val="tx1"/>
            </w14:solidFill>
          </w14:textFill>
        </w:rPr>
        <w:t>系统；</w:t>
      </w:r>
    </w:p>
    <w:p>
      <w:pPr>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2.</w:t>
      </w:r>
      <w:r>
        <w:rPr>
          <w:rFonts w:ascii="仿宋_GB2312" w:eastAsia="仿宋_GB2312" w:hAnsiTheme="minorEastAsia"/>
          <w:bCs/>
          <w:color w:val="000000" w:themeColor="text1"/>
          <w:sz w:val="28"/>
          <w:szCs w:val="28"/>
          <w14:textFill>
            <w14:solidFill>
              <w14:schemeClr w14:val="tx1"/>
            </w14:solidFill>
          </w14:textFill>
        </w:rPr>
        <w:t>3.2</w:t>
      </w:r>
      <w:r>
        <w:rPr>
          <w:rFonts w:hint="eastAsia" w:ascii="仿宋_GB2312" w:eastAsia="仿宋_GB2312" w:hAnsiTheme="minorEastAsia"/>
          <w:bCs/>
          <w:sz w:val="28"/>
          <w:szCs w:val="28"/>
        </w:rPr>
        <w:t>本项目需报价；</w:t>
      </w:r>
    </w:p>
    <w:p>
      <w:pPr>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2.</w:t>
      </w:r>
      <w:r>
        <w:rPr>
          <w:rFonts w:ascii="仿宋_GB2312" w:eastAsia="仿宋_GB2312" w:hAnsiTheme="minorEastAsia"/>
          <w:bCs/>
          <w:color w:val="000000" w:themeColor="text1"/>
          <w:sz w:val="28"/>
          <w:szCs w:val="28"/>
          <w14:textFill>
            <w14:solidFill>
              <w14:schemeClr w14:val="tx1"/>
            </w14:solidFill>
          </w14:textFill>
        </w:rPr>
        <w:t>3.3</w:t>
      </w:r>
      <w:r>
        <w:rPr>
          <w:rFonts w:hint="eastAsia" w:ascii="仿宋_GB2312" w:eastAsia="仿宋_GB2312" w:hAnsiTheme="minorEastAsia"/>
          <w:bCs/>
          <w:color w:val="000000" w:themeColor="text1"/>
          <w:sz w:val="28"/>
          <w:szCs w:val="28"/>
          <w14:textFill>
            <w14:solidFill>
              <w14:schemeClr w14:val="tx1"/>
            </w14:solidFill>
          </w14:textFill>
        </w:rPr>
        <w:t>谈判结束后，当采购小组认为必要时，仍然可以对投标响应方的响应文件或承诺中含义不明确、对同类问题表述不一致或者有明显文字和计算错误的内容做必要的澄清、说明或者补充。投标响应方应对其以书面的形式进行澄清、说明或者补充。该书面的澄清、说明或补充将作为合同的组成部分；</w:t>
      </w:r>
    </w:p>
    <w:p>
      <w:pPr>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2.</w:t>
      </w:r>
      <w:r>
        <w:rPr>
          <w:rFonts w:ascii="仿宋_GB2312" w:eastAsia="仿宋_GB2312" w:hAnsiTheme="minorEastAsia"/>
          <w:bCs/>
          <w:color w:val="000000" w:themeColor="text1"/>
          <w:sz w:val="28"/>
          <w:szCs w:val="28"/>
          <w14:textFill>
            <w14:solidFill>
              <w14:schemeClr w14:val="tx1"/>
            </w14:solidFill>
          </w14:textFill>
        </w:rPr>
        <w:t>3.4</w:t>
      </w:r>
      <w:r>
        <w:rPr>
          <w:rFonts w:hint="eastAsia" w:ascii="仿宋_GB2312" w:eastAsia="仿宋_GB2312" w:hAnsiTheme="minorEastAsia"/>
          <w:bCs/>
          <w:color w:val="000000" w:themeColor="text1"/>
          <w:sz w:val="28"/>
          <w:szCs w:val="28"/>
          <w14:textFill>
            <w14:solidFill>
              <w14:schemeClr w14:val="tx1"/>
            </w14:solidFill>
          </w14:textFill>
        </w:rPr>
        <w:t>谈判中，谈判的任何一方不得透露与谈判有关的其他投标方的技术资料和其他信息。采购方对谈判过程和重要谈判内容进行记录。</w:t>
      </w:r>
    </w:p>
    <w:p>
      <w:pPr>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2.4详细评审</w:t>
      </w:r>
    </w:p>
    <w:p>
      <w:pPr>
        <w:spacing w:line="360" w:lineRule="auto"/>
        <w:ind w:firstLine="560" w:firstLineChars="200"/>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2.4.1详细评审将根据符合采购需求、质量和服务等，按综合评分制对项目响应报价、综合实力、技术水平进行评审，满分100分，并将评审结果按采购人的审批流程报批。</w:t>
      </w:r>
    </w:p>
    <w:p>
      <w:pPr>
        <w:spacing w:line="360" w:lineRule="auto"/>
        <w:ind w:firstLine="560" w:firstLineChars="200"/>
        <w:rPr>
          <w:rFonts w:ascii="仿宋_GB2312" w:eastAsia="仿宋_GB2312" w:hAnsiTheme="minorEastAsia"/>
          <w:bCs/>
          <w:sz w:val="28"/>
          <w:szCs w:val="28"/>
        </w:rPr>
      </w:pPr>
      <w:r>
        <w:rPr>
          <w:rFonts w:hint="eastAsia" w:ascii="仿宋_GB2312" w:eastAsia="仿宋_GB2312" w:hAnsiTheme="minorEastAsia"/>
          <w:bCs/>
          <w:sz w:val="28"/>
          <w:szCs w:val="28"/>
        </w:rPr>
        <w:t>2.4.2评分细则（按四舍五入取至小数点后两位）</w:t>
      </w:r>
    </w:p>
    <w:tbl>
      <w:tblPr>
        <w:tblStyle w:val="21"/>
        <w:tblW w:w="9459" w:type="dxa"/>
        <w:jc w:val="center"/>
        <w:tblLayout w:type="autofit"/>
        <w:tblCellMar>
          <w:top w:w="0" w:type="dxa"/>
          <w:left w:w="108" w:type="dxa"/>
          <w:bottom w:w="0" w:type="dxa"/>
          <w:right w:w="108" w:type="dxa"/>
        </w:tblCellMar>
      </w:tblPr>
      <w:tblGrid>
        <w:gridCol w:w="1096"/>
        <w:gridCol w:w="1134"/>
        <w:gridCol w:w="708"/>
        <w:gridCol w:w="6521"/>
      </w:tblGrid>
      <w:tr>
        <w:tblPrEx>
          <w:tblCellMar>
            <w:top w:w="0" w:type="dxa"/>
            <w:left w:w="108" w:type="dxa"/>
            <w:bottom w:w="0" w:type="dxa"/>
            <w:right w:w="108" w:type="dxa"/>
          </w:tblCellMar>
        </w:tblPrEx>
        <w:trPr>
          <w:trHeight w:val="270" w:hRule="atLeast"/>
          <w:jc w:val="center"/>
        </w:trPr>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r>
              <w:rPr>
                <w:rFonts w:hint="eastAsia" w:ascii="仿宋_GB2312" w:hAnsi="仿宋" w:eastAsia="仿宋_GB2312" w:cs="宋体"/>
                <w:bCs/>
                <w:kern w:val="0"/>
                <w:szCs w:val="21"/>
              </w:rPr>
              <w:t>评分因素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r>
              <w:rPr>
                <w:rFonts w:hint="eastAsia" w:ascii="仿宋_GB2312" w:hAnsi="仿宋" w:eastAsia="仿宋_GB2312" w:cs="宋体"/>
                <w:bCs/>
                <w:kern w:val="0"/>
                <w:szCs w:val="21"/>
              </w:rPr>
              <w:t>评分内容</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r>
              <w:rPr>
                <w:rFonts w:hint="eastAsia" w:ascii="仿宋_GB2312" w:hAnsi="仿宋" w:eastAsia="仿宋_GB2312" w:cs="宋体"/>
                <w:bCs/>
                <w:kern w:val="0"/>
                <w:szCs w:val="21"/>
              </w:rPr>
              <w:t>分值</w:t>
            </w:r>
          </w:p>
        </w:tc>
        <w:tc>
          <w:tcPr>
            <w:tcW w:w="652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r>
              <w:rPr>
                <w:rFonts w:hint="eastAsia" w:ascii="仿宋_GB2312" w:hAnsi="仿宋" w:eastAsia="仿宋_GB2312" w:cs="宋体"/>
                <w:bCs/>
                <w:kern w:val="0"/>
                <w:szCs w:val="21"/>
              </w:rPr>
              <w:t>评分办法</w:t>
            </w:r>
          </w:p>
        </w:tc>
      </w:tr>
      <w:tr>
        <w:tblPrEx>
          <w:tblCellMar>
            <w:top w:w="0" w:type="dxa"/>
            <w:left w:w="108" w:type="dxa"/>
            <w:bottom w:w="0" w:type="dxa"/>
            <w:right w:w="108" w:type="dxa"/>
          </w:tblCellMar>
        </w:tblPrEx>
        <w:trPr>
          <w:trHeight w:val="983" w:hRule="atLeast"/>
          <w:jc w:val="center"/>
        </w:trPr>
        <w:tc>
          <w:tcPr>
            <w:tcW w:w="109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r>
              <w:rPr>
                <w:rFonts w:hint="eastAsia" w:ascii="仿宋_GB2312" w:hAnsi="仿宋" w:eastAsia="仿宋_GB2312" w:cs="宋体"/>
                <w:bCs/>
                <w:kern w:val="0"/>
                <w:szCs w:val="21"/>
              </w:rPr>
              <w:t>价格部分（50分）</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 w:eastAsia="仿宋_GB2312" w:cs="宋体"/>
                <w:kern w:val="0"/>
                <w:szCs w:val="21"/>
              </w:rPr>
              <w:t>响应</w:t>
            </w:r>
          </w:p>
          <w:p>
            <w:pPr>
              <w:widowControl/>
              <w:spacing w:line="360" w:lineRule="auto"/>
              <w:jc w:val="center"/>
              <w:rPr>
                <w:rFonts w:ascii="仿宋_GB2312" w:hAnsi="仿宋" w:eastAsia="仿宋_GB2312" w:cs="宋体"/>
                <w:kern w:val="0"/>
                <w:szCs w:val="21"/>
              </w:rPr>
            </w:pPr>
            <w:r>
              <w:rPr>
                <w:rFonts w:hint="eastAsia" w:ascii="仿宋_GB2312" w:hAnsi="仿宋" w:eastAsia="仿宋_GB2312" w:cs="宋体"/>
                <w:kern w:val="0"/>
                <w:szCs w:val="21"/>
              </w:rPr>
              <w:t>报价</w:t>
            </w:r>
          </w:p>
        </w:tc>
        <w:tc>
          <w:tcPr>
            <w:tcW w:w="7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 w:eastAsia="仿宋_GB2312" w:cs="宋体"/>
                <w:kern w:val="0"/>
                <w:szCs w:val="21"/>
              </w:rPr>
              <w:t>50</w:t>
            </w:r>
          </w:p>
        </w:tc>
        <w:tc>
          <w:tcPr>
            <w:tcW w:w="652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Cs w:val="21"/>
              </w:rPr>
            </w:pPr>
            <w:r>
              <w:rPr>
                <w:rFonts w:ascii="仿宋_GB2312" w:hAnsi="仿宋" w:eastAsia="仿宋_GB2312" w:cs="宋体"/>
                <w:kern w:val="0"/>
                <w:szCs w:val="21"/>
              </w:rPr>
              <w:sym w:font="Wingdings 2" w:char="00A3"/>
            </w:r>
            <w:r>
              <w:rPr>
                <w:rFonts w:ascii="仿宋_GB2312" w:hAnsi="仿宋" w:eastAsia="仿宋_GB2312" w:cs="宋体"/>
                <w:kern w:val="0"/>
                <w:szCs w:val="21"/>
              </w:rPr>
              <w:t>按有效报价的平均值作为基准值，基准值为满分</w:t>
            </w:r>
            <w:r>
              <w:rPr>
                <w:rFonts w:hint="eastAsia" w:ascii="仿宋_GB2312" w:hAnsi="仿宋" w:eastAsia="仿宋_GB2312" w:cs="宋体"/>
                <w:kern w:val="0"/>
                <w:szCs w:val="21"/>
              </w:rPr>
              <w:t>**</w:t>
            </w:r>
            <w:r>
              <w:rPr>
                <w:rFonts w:ascii="仿宋_GB2312" w:hAnsi="仿宋" w:eastAsia="仿宋_GB2312" w:cs="宋体"/>
                <w:kern w:val="0"/>
                <w:szCs w:val="21"/>
              </w:rPr>
              <w:t>分，有效报价每高于基准价</w:t>
            </w:r>
            <w:r>
              <w:rPr>
                <w:rFonts w:hint="eastAsia" w:ascii="仿宋_GB2312" w:hAnsi="仿宋" w:eastAsia="仿宋_GB2312" w:cs="宋体"/>
                <w:kern w:val="0"/>
                <w:szCs w:val="21"/>
              </w:rPr>
              <w:t>**</w:t>
            </w:r>
            <w:r>
              <w:rPr>
                <w:rFonts w:ascii="仿宋_GB2312" w:hAnsi="仿宋" w:eastAsia="仿宋_GB2312" w:cs="宋体"/>
                <w:kern w:val="0"/>
                <w:szCs w:val="21"/>
              </w:rPr>
              <w:t>%的减</w:t>
            </w:r>
            <w:r>
              <w:rPr>
                <w:rFonts w:hint="eastAsia" w:ascii="仿宋_GB2312" w:hAnsi="仿宋" w:eastAsia="仿宋_GB2312" w:cs="宋体"/>
                <w:kern w:val="0"/>
                <w:szCs w:val="21"/>
              </w:rPr>
              <w:t>**</w:t>
            </w:r>
            <w:r>
              <w:rPr>
                <w:rFonts w:ascii="仿宋_GB2312" w:hAnsi="仿宋" w:eastAsia="仿宋_GB2312" w:cs="宋体"/>
                <w:kern w:val="0"/>
                <w:szCs w:val="21"/>
              </w:rPr>
              <w:t>分，有效报价每低于基准价</w:t>
            </w:r>
            <w:r>
              <w:rPr>
                <w:rFonts w:hint="eastAsia" w:ascii="仿宋_GB2312" w:hAnsi="仿宋" w:eastAsia="仿宋_GB2312" w:cs="宋体"/>
                <w:kern w:val="0"/>
                <w:szCs w:val="21"/>
              </w:rPr>
              <w:t>**</w:t>
            </w:r>
            <w:r>
              <w:rPr>
                <w:rFonts w:ascii="仿宋_GB2312" w:hAnsi="仿宋" w:eastAsia="仿宋_GB2312" w:cs="宋体"/>
                <w:kern w:val="0"/>
                <w:szCs w:val="21"/>
              </w:rPr>
              <w:t>%的减</w:t>
            </w:r>
            <w:r>
              <w:rPr>
                <w:rFonts w:hint="eastAsia" w:ascii="仿宋_GB2312" w:hAnsi="仿宋" w:eastAsia="仿宋_GB2312" w:cs="宋体"/>
                <w:kern w:val="0"/>
                <w:szCs w:val="21"/>
              </w:rPr>
              <w:t>**</w:t>
            </w:r>
            <w:r>
              <w:rPr>
                <w:rFonts w:ascii="仿宋_GB2312" w:hAnsi="仿宋" w:eastAsia="仿宋_GB2312" w:cs="宋体"/>
                <w:kern w:val="0"/>
                <w:szCs w:val="21"/>
              </w:rPr>
              <w:t>分，扣减至</w:t>
            </w:r>
            <w:r>
              <w:rPr>
                <w:rFonts w:hint="eastAsia" w:ascii="仿宋_GB2312" w:hAnsi="仿宋" w:eastAsia="仿宋_GB2312" w:cs="宋体"/>
                <w:kern w:val="0"/>
                <w:szCs w:val="21"/>
              </w:rPr>
              <w:t>**</w:t>
            </w:r>
            <w:r>
              <w:rPr>
                <w:rFonts w:ascii="仿宋_GB2312" w:hAnsi="仿宋" w:eastAsia="仿宋_GB2312" w:cs="宋体"/>
                <w:kern w:val="0"/>
                <w:szCs w:val="21"/>
              </w:rPr>
              <w:t>分为止。</w:t>
            </w:r>
          </w:p>
          <w:p>
            <w:pPr>
              <w:widowControl/>
              <w:spacing w:line="360" w:lineRule="auto"/>
              <w:jc w:val="left"/>
              <w:rPr>
                <w:rFonts w:ascii="仿宋_GB2312" w:hAnsi="仿宋" w:eastAsia="仿宋_GB2312" w:cs="宋体"/>
                <w:kern w:val="0"/>
                <w:szCs w:val="21"/>
              </w:rPr>
            </w:pPr>
            <w:r>
              <w:rPr>
                <w:rFonts w:hint="eastAsia" w:ascii="仿宋_GB2312" w:hAnsi="仿宋" w:eastAsia="仿宋_GB2312" w:cs="宋体"/>
                <w:kern w:val="0"/>
                <w:szCs w:val="21"/>
              </w:rPr>
              <w:t>☑</w:t>
            </w:r>
            <w:r>
              <w:rPr>
                <w:rFonts w:ascii="仿宋_GB2312" w:hAnsi="仿宋" w:eastAsia="仿宋_GB2312" w:cs="宋体"/>
                <w:kern w:val="0"/>
                <w:szCs w:val="21"/>
              </w:rPr>
              <w:t>以最低有效报价为基准值，基准值为满分</w:t>
            </w:r>
            <w:r>
              <w:rPr>
                <w:rFonts w:hint="eastAsia" w:ascii="仿宋_GB2312" w:hAnsi="仿宋" w:eastAsia="仿宋_GB2312" w:cs="宋体"/>
                <w:kern w:val="0"/>
                <w:szCs w:val="21"/>
              </w:rPr>
              <w:t>50</w:t>
            </w:r>
            <w:r>
              <w:rPr>
                <w:rFonts w:ascii="仿宋_GB2312" w:hAnsi="仿宋" w:eastAsia="仿宋_GB2312" w:cs="宋体"/>
                <w:kern w:val="0"/>
                <w:szCs w:val="21"/>
              </w:rPr>
              <w:t>分，有效报价每高于基准价</w:t>
            </w:r>
            <w:r>
              <w:rPr>
                <w:rFonts w:hint="eastAsia" w:ascii="仿宋_GB2312" w:hAnsi="仿宋" w:eastAsia="仿宋_GB2312" w:cs="宋体"/>
                <w:kern w:val="0"/>
                <w:szCs w:val="21"/>
              </w:rPr>
              <w:t>1</w:t>
            </w:r>
            <w:r>
              <w:rPr>
                <w:rFonts w:ascii="仿宋_GB2312" w:hAnsi="仿宋" w:eastAsia="仿宋_GB2312" w:cs="宋体"/>
                <w:kern w:val="0"/>
                <w:szCs w:val="21"/>
              </w:rPr>
              <w:t>%的减</w:t>
            </w:r>
            <w:r>
              <w:rPr>
                <w:rFonts w:hint="eastAsia" w:ascii="仿宋_GB2312" w:hAnsi="仿宋" w:eastAsia="仿宋_GB2312" w:cs="宋体"/>
                <w:kern w:val="0"/>
                <w:szCs w:val="21"/>
              </w:rPr>
              <w:t>0.5</w:t>
            </w:r>
            <w:r>
              <w:rPr>
                <w:rFonts w:ascii="仿宋_GB2312" w:hAnsi="仿宋" w:eastAsia="仿宋_GB2312" w:cs="宋体"/>
                <w:kern w:val="0"/>
                <w:szCs w:val="21"/>
              </w:rPr>
              <w:t>分，扣减至</w:t>
            </w:r>
            <w:r>
              <w:rPr>
                <w:rFonts w:hint="eastAsia" w:ascii="仿宋_GB2312" w:hAnsi="仿宋" w:eastAsia="仿宋_GB2312" w:cs="宋体"/>
                <w:kern w:val="0"/>
                <w:szCs w:val="21"/>
              </w:rPr>
              <w:t>30</w:t>
            </w:r>
            <w:r>
              <w:rPr>
                <w:rFonts w:ascii="仿宋_GB2312" w:hAnsi="仿宋" w:eastAsia="仿宋_GB2312" w:cs="宋体"/>
                <w:kern w:val="0"/>
                <w:szCs w:val="21"/>
              </w:rPr>
              <w:t>分为止。</w:t>
            </w:r>
          </w:p>
          <w:p>
            <w:pPr>
              <w:widowControl/>
              <w:spacing w:line="360" w:lineRule="auto"/>
              <w:jc w:val="left"/>
              <w:rPr>
                <w:rFonts w:ascii="仿宋_GB2312" w:hAnsi="仿宋" w:eastAsia="仿宋_GB2312" w:cs="宋体"/>
                <w:kern w:val="0"/>
                <w:szCs w:val="21"/>
              </w:rPr>
            </w:pPr>
            <w:r>
              <w:rPr>
                <w:rFonts w:hint="eastAsia" w:ascii="仿宋_GB2312" w:hAnsi="仿宋" w:eastAsia="仿宋_GB2312" w:cs="宋体"/>
                <w:kern w:val="0"/>
                <w:szCs w:val="21"/>
              </w:rPr>
              <w:t>□</w:t>
            </w:r>
            <w:r>
              <w:rPr>
                <w:rFonts w:ascii="仿宋_GB2312" w:hAnsi="仿宋" w:eastAsia="仿宋_GB2312" w:cs="宋体"/>
                <w:kern w:val="0"/>
                <w:szCs w:val="21"/>
              </w:rPr>
              <w:t>以最低有效报价为基准值，基准值为满分</w:t>
            </w:r>
            <w:r>
              <w:rPr>
                <w:rFonts w:hint="eastAsia" w:ascii="仿宋_GB2312" w:hAnsi="仿宋" w:eastAsia="仿宋_GB2312" w:cs="宋体"/>
                <w:kern w:val="0"/>
                <w:szCs w:val="21"/>
              </w:rPr>
              <w:t>50</w:t>
            </w:r>
            <w:r>
              <w:rPr>
                <w:rFonts w:ascii="仿宋_GB2312" w:hAnsi="仿宋" w:eastAsia="仿宋_GB2312" w:cs="宋体"/>
                <w:kern w:val="0"/>
                <w:szCs w:val="21"/>
              </w:rPr>
              <w:t>分，</w:t>
            </w:r>
            <w:r>
              <w:rPr>
                <w:rFonts w:hint="eastAsia" w:ascii="仿宋_GB2312" w:hAnsi="仿宋" w:eastAsia="仿宋_GB2312" w:cs="宋体"/>
                <w:kern w:val="0"/>
                <w:szCs w:val="21"/>
              </w:rPr>
              <w:t>其他报价得分按公式计算：50×</w:t>
            </w:r>
            <w:r>
              <w:rPr>
                <w:rFonts w:ascii="仿宋_GB2312" w:hAnsi="仿宋" w:eastAsia="仿宋_GB2312" w:cs="宋体"/>
                <w:kern w:val="0"/>
                <w:szCs w:val="21"/>
              </w:rPr>
              <w:t>基准价</w:t>
            </w:r>
            <w:r>
              <w:rPr>
                <w:rFonts w:hint="eastAsia" w:ascii="仿宋_GB2312" w:hAnsi="仿宋" w:eastAsia="仿宋_GB2312" w:cs="宋体"/>
                <w:kern w:val="0"/>
                <w:szCs w:val="21"/>
              </w:rPr>
              <w:t>/</w:t>
            </w:r>
            <w:r>
              <w:rPr>
                <w:rFonts w:ascii="仿宋_GB2312" w:hAnsi="仿宋" w:eastAsia="仿宋_GB2312" w:cs="宋体"/>
                <w:kern w:val="0"/>
                <w:szCs w:val="21"/>
              </w:rPr>
              <w:t>有效报价。</w:t>
            </w:r>
          </w:p>
          <w:p>
            <w:pPr>
              <w:widowControl/>
              <w:spacing w:line="360" w:lineRule="auto"/>
              <w:jc w:val="left"/>
              <w:rPr>
                <w:rFonts w:ascii="仿宋_GB2312" w:hAnsi="仿宋" w:eastAsia="仿宋_GB2312" w:cs="宋体"/>
                <w:kern w:val="0"/>
                <w:szCs w:val="21"/>
              </w:rPr>
            </w:pPr>
            <w:r>
              <w:rPr>
                <w:rFonts w:ascii="仿宋_GB2312" w:hAnsi="仿宋" w:eastAsia="仿宋_GB2312" w:cs="宋体"/>
                <w:kern w:val="0"/>
                <w:szCs w:val="21"/>
              </w:rPr>
              <w:t>评审基准价的计算：以不含税价计算</w:t>
            </w:r>
            <w:r>
              <w:rPr>
                <w:rFonts w:hint="eastAsia" w:ascii="仿宋_GB2312" w:hAnsi="仿宋" w:eastAsia="仿宋_GB2312" w:cs="宋体"/>
                <w:kern w:val="0"/>
                <w:szCs w:val="21"/>
              </w:rPr>
              <w:t>。</w:t>
            </w:r>
          </w:p>
          <w:p>
            <w:pPr>
              <w:widowControl/>
              <w:spacing w:line="360" w:lineRule="auto"/>
              <w:jc w:val="left"/>
              <w:rPr>
                <w:rFonts w:ascii="仿宋_GB2312" w:hAnsi="仿宋" w:eastAsia="仿宋_GB2312" w:cs="宋体"/>
                <w:kern w:val="0"/>
                <w:szCs w:val="21"/>
                <w:highlight w:val="yellow"/>
              </w:rPr>
            </w:pPr>
            <w:r>
              <w:rPr>
                <w:rFonts w:ascii="仿宋_GB2312" w:hAnsi="仿宋" w:eastAsia="仿宋_GB2312" w:cs="宋体"/>
                <w:kern w:val="0"/>
                <w:szCs w:val="21"/>
              </w:rPr>
              <w:t>小数点后保留2位，四舍五入。</w:t>
            </w:r>
          </w:p>
        </w:tc>
      </w:tr>
      <w:tr>
        <w:tblPrEx>
          <w:tblCellMar>
            <w:top w:w="0" w:type="dxa"/>
            <w:left w:w="108" w:type="dxa"/>
            <w:bottom w:w="0" w:type="dxa"/>
            <w:right w:w="108" w:type="dxa"/>
          </w:tblCellMar>
        </w:tblPrEx>
        <w:trPr>
          <w:trHeight w:val="209" w:hRule="atLeast"/>
          <w:jc w:val="center"/>
        </w:trPr>
        <w:tc>
          <w:tcPr>
            <w:tcW w:w="1096" w:type="dxa"/>
            <w:vMerge w:val="restart"/>
            <w:tcBorders>
              <w:left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r>
              <w:rPr>
                <w:rFonts w:hint="eastAsia" w:ascii="仿宋_GB2312" w:hAnsi="仿宋" w:eastAsia="仿宋_GB2312" w:cs="宋体"/>
                <w:bCs/>
                <w:kern w:val="0"/>
                <w:szCs w:val="21"/>
              </w:rPr>
              <w:t>商务部分（</w:t>
            </w:r>
            <w:r>
              <w:rPr>
                <w:rFonts w:ascii="仿宋_GB2312" w:hAnsi="仿宋" w:eastAsia="仿宋_GB2312" w:cs="宋体"/>
                <w:bCs/>
                <w:kern w:val="0"/>
                <w:szCs w:val="21"/>
              </w:rPr>
              <w:t>20</w:t>
            </w:r>
            <w:r>
              <w:rPr>
                <w:rFonts w:hint="eastAsia" w:ascii="仿宋_GB2312" w:hAnsi="仿宋" w:eastAsia="仿宋_GB2312" w:cs="宋体"/>
                <w:bCs/>
                <w:kern w:val="0"/>
                <w:szCs w:val="21"/>
              </w:rPr>
              <w:t>分）</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企业</w:t>
            </w:r>
          </w:p>
          <w:p>
            <w:pPr>
              <w:widowControl/>
              <w:spacing w:line="360" w:lineRule="auto"/>
              <w:jc w:val="center"/>
              <w:rPr>
                <w:rFonts w:ascii="仿宋_GB2312" w:hAnsi="仿宋" w:eastAsia="仿宋_GB2312" w:cs="宋体"/>
                <w:kern w:val="0"/>
                <w:szCs w:val="21"/>
              </w:rPr>
            </w:pPr>
            <w:r>
              <w:rPr>
                <w:rFonts w:hint="eastAsia" w:ascii="仿宋_GB2312" w:hAnsi="仿宋_GB2312" w:eastAsia="仿宋_GB2312" w:cs="仿宋_GB2312"/>
                <w:sz w:val="24"/>
              </w:rPr>
              <w:t>业绩</w:t>
            </w:r>
          </w:p>
        </w:tc>
        <w:tc>
          <w:tcPr>
            <w:tcW w:w="7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 w:eastAsia="仿宋_GB2312" w:cs="宋体"/>
                <w:kern w:val="0"/>
                <w:szCs w:val="21"/>
              </w:rPr>
              <w:t>7</w:t>
            </w:r>
          </w:p>
        </w:tc>
        <w:tc>
          <w:tcPr>
            <w:tcW w:w="652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Cs w:val="21"/>
              </w:rPr>
            </w:pPr>
            <w:r>
              <w:rPr>
                <w:rFonts w:hint="eastAsia" w:ascii="仿宋_GB2312" w:hAnsi="仿宋" w:eastAsia="仿宋_GB2312" w:cs="宋体"/>
                <w:kern w:val="0"/>
                <w:szCs w:val="21"/>
              </w:rPr>
              <w:t>应具有与本次采购内容类似的业绩。1个业绩不得分，每增加1个有效业绩加1分，满分7分</w:t>
            </w:r>
          </w:p>
        </w:tc>
      </w:tr>
      <w:tr>
        <w:tblPrEx>
          <w:tblCellMar>
            <w:top w:w="0" w:type="dxa"/>
            <w:left w:w="108" w:type="dxa"/>
            <w:bottom w:w="0" w:type="dxa"/>
            <w:right w:w="108" w:type="dxa"/>
          </w:tblCellMar>
        </w:tblPrEx>
        <w:trPr>
          <w:trHeight w:val="343" w:hRule="atLeast"/>
          <w:jc w:val="center"/>
        </w:trPr>
        <w:tc>
          <w:tcPr>
            <w:tcW w:w="109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p>
        </w:tc>
        <w:tc>
          <w:tcPr>
            <w:tcW w:w="1134" w:type="dxa"/>
            <w:tcBorders>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ascii="仿宋_GB2312" w:hAnsi="仿宋_GB2312" w:eastAsia="仿宋_GB2312" w:cs="仿宋_GB2312"/>
                <w:sz w:val="24"/>
              </w:rPr>
              <w:t>项目负责人</w:t>
            </w:r>
          </w:p>
        </w:tc>
        <w:tc>
          <w:tcPr>
            <w:tcW w:w="7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 w:eastAsia="仿宋_GB2312" w:cs="宋体"/>
                <w:kern w:val="0"/>
                <w:szCs w:val="21"/>
              </w:rPr>
              <w:t>3</w:t>
            </w:r>
          </w:p>
        </w:tc>
        <w:tc>
          <w:tcPr>
            <w:tcW w:w="652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Cs w:val="21"/>
              </w:rPr>
            </w:pPr>
            <w:r>
              <w:rPr>
                <w:rFonts w:hint="eastAsia" w:ascii="仿宋_GB2312" w:hAnsi="仿宋_GB2312" w:eastAsia="仿宋_GB2312" w:cs="仿宋_GB2312"/>
                <w:kern w:val="0"/>
                <w:szCs w:val="21"/>
              </w:rPr>
              <w:t>项目负责人有同类工程业绩，每1项业绩加1分，最高得3分（以合同文件或者中标公告或者成交公告或者履约评价等材料中项目负责人姓名为准）</w:t>
            </w:r>
          </w:p>
        </w:tc>
      </w:tr>
      <w:tr>
        <w:tblPrEx>
          <w:tblCellMar>
            <w:top w:w="0" w:type="dxa"/>
            <w:left w:w="108" w:type="dxa"/>
            <w:bottom w:w="0" w:type="dxa"/>
            <w:right w:w="108" w:type="dxa"/>
          </w:tblCellMar>
        </w:tblPrEx>
        <w:trPr>
          <w:trHeight w:val="343" w:hRule="atLeast"/>
          <w:jc w:val="center"/>
        </w:trPr>
        <w:tc>
          <w:tcPr>
            <w:tcW w:w="109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p>
        </w:tc>
        <w:tc>
          <w:tcPr>
            <w:tcW w:w="1134" w:type="dxa"/>
            <w:tcBorders>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完工</w:t>
            </w:r>
          </w:p>
          <w:p>
            <w:pPr>
              <w:widowControl/>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期限</w:t>
            </w:r>
          </w:p>
        </w:tc>
        <w:tc>
          <w:tcPr>
            <w:tcW w:w="7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 w:eastAsia="仿宋_GB2312" w:cs="宋体"/>
                <w:kern w:val="0"/>
                <w:szCs w:val="21"/>
              </w:rPr>
              <w:t>8</w:t>
            </w:r>
          </w:p>
        </w:tc>
        <w:tc>
          <w:tcPr>
            <w:tcW w:w="652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_GB2312" w:eastAsia="仿宋_GB2312" w:cs="仿宋_GB2312"/>
                <w:w w:val="105"/>
                <w:szCs w:val="21"/>
              </w:rPr>
            </w:pPr>
            <w:r>
              <w:rPr>
                <w:rFonts w:hint="eastAsia" w:ascii="仿宋_GB2312" w:hAnsi="仿宋" w:eastAsia="仿宋_GB2312" w:cs="宋体"/>
                <w:kern w:val="0"/>
                <w:szCs w:val="21"/>
              </w:rPr>
              <w:t>完全响应采购方交工期限的不得分；每提前1天完工，加1分，以此类推，最高得8分。</w:t>
            </w:r>
          </w:p>
        </w:tc>
      </w:tr>
      <w:tr>
        <w:tblPrEx>
          <w:tblCellMar>
            <w:top w:w="0" w:type="dxa"/>
            <w:left w:w="108" w:type="dxa"/>
            <w:bottom w:w="0" w:type="dxa"/>
            <w:right w:w="108" w:type="dxa"/>
          </w:tblCellMar>
        </w:tblPrEx>
        <w:trPr>
          <w:trHeight w:val="283" w:hRule="atLeast"/>
          <w:jc w:val="center"/>
        </w:trPr>
        <w:tc>
          <w:tcPr>
            <w:tcW w:w="109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付款</w:t>
            </w:r>
          </w:p>
          <w:p>
            <w:pPr>
              <w:widowControl/>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方式</w:t>
            </w:r>
          </w:p>
        </w:tc>
        <w:tc>
          <w:tcPr>
            <w:tcW w:w="7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ascii="仿宋_GB2312" w:hAnsi="仿宋" w:eastAsia="仿宋_GB2312" w:cs="宋体"/>
                <w:kern w:val="0"/>
                <w:szCs w:val="21"/>
              </w:rPr>
              <w:t>2</w:t>
            </w:r>
          </w:p>
        </w:tc>
        <w:tc>
          <w:tcPr>
            <w:tcW w:w="652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Cs w:val="21"/>
              </w:rPr>
            </w:pPr>
            <w:r>
              <w:rPr>
                <w:rFonts w:hint="eastAsia" w:ascii="仿宋_GB2312" w:hAnsi="仿宋" w:eastAsia="仿宋_GB2312" w:cs="宋体"/>
                <w:kern w:val="0"/>
                <w:szCs w:val="21"/>
              </w:rPr>
              <w:t>优于谈判文件中付款方式的得</w:t>
            </w:r>
            <w:r>
              <w:rPr>
                <w:rFonts w:ascii="仿宋_GB2312" w:hAnsi="仿宋" w:eastAsia="仿宋_GB2312" w:cs="宋体"/>
                <w:kern w:val="0"/>
                <w:szCs w:val="21"/>
              </w:rPr>
              <w:t>2</w:t>
            </w:r>
            <w:r>
              <w:rPr>
                <w:rFonts w:hint="eastAsia" w:ascii="仿宋_GB2312" w:hAnsi="仿宋" w:eastAsia="仿宋_GB2312" w:cs="宋体"/>
                <w:kern w:val="0"/>
                <w:szCs w:val="21"/>
              </w:rPr>
              <w:t>分；响应付款方式的不得分;</w:t>
            </w:r>
          </w:p>
        </w:tc>
      </w:tr>
      <w:tr>
        <w:tblPrEx>
          <w:tblCellMar>
            <w:top w:w="0" w:type="dxa"/>
            <w:left w:w="108" w:type="dxa"/>
            <w:bottom w:w="0" w:type="dxa"/>
            <w:right w:w="108" w:type="dxa"/>
          </w:tblCellMar>
        </w:tblPrEx>
        <w:trPr>
          <w:trHeight w:val="416" w:hRule="atLeast"/>
          <w:jc w:val="center"/>
        </w:trPr>
        <w:tc>
          <w:tcPr>
            <w:tcW w:w="1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r>
              <w:rPr>
                <w:rFonts w:hint="eastAsia" w:ascii="仿宋_GB2312" w:hAnsi="仿宋" w:eastAsia="仿宋_GB2312" w:cs="宋体"/>
                <w:bCs/>
                <w:kern w:val="0"/>
                <w:szCs w:val="21"/>
              </w:rPr>
              <w:t>技术部分（3</w:t>
            </w:r>
            <w:r>
              <w:rPr>
                <w:rFonts w:ascii="仿宋_GB2312" w:hAnsi="仿宋" w:eastAsia="仿宋_GB2312" w:cs="宋体"/>
                <w:bCs/>
                <w:kern w:val="0"/>
                <w:szCs w:val="21"/>
              </w:rPr>
              <w:t>0</w:t>
            </w:r>
            <w:r>
              <w:rPr>
                <w:rFonts w:hint="eastAsia" w:ascii="仿宋_GB2312" w:hAnsi="仿宋" w:eastAsia="仿宋_GB2312" w:cs="宋体"/>
                <w:bCs/>
                <w:kern w:val="0"/>
                <w:szCs w:val="21"/>
              </w:rPr>
              <w:t>分）</w:t>
            </w:r>
          </w:p>
          <w:p>
            <w:pPr>
              <w:widowControl/>
              <w:spacing w:line="360" w:lineRule="auto"/>
              <w:jc w:val="center"/>
              <w:rPr>
                <w:rFonts w:ascii="仿宋_GB2312" w:hAnsi="仿宋" w:eastAsia="仿宋_GB2312" w:cs="宋体"/>
                <w:bCs/>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_GB2312" w:eastAsia="仿宋_GB2312" w:cs="仿宋_GB2312"/>
                <w:sz w:val="24"/>
              </w:rPr>
              <w:t>项目施工/实施方案</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 w:eastAsia="仿宋_GB2312" w:cs="宋体"/>
                <w:kern w:val="0"/>
                <w:szCs w:val="21"/>
              </w:rPr>
              <w:t>10</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Cs w:val="21"/>
              </w:rPr>
            </w:pPr>
            <w:r>
              <w:rPr>
                <w:rFonts w:hint="eastAsia" w:ascii="仿宋_GB2312" w:hAnsi="仿宋" w:eastAsia="仿宋_GB2312" w:cs="宋体"/>
                <w:kern w:val="0"/>
                <w:szCs w:val="21"/>
              </w:rPr>
              <w:t>全部满足且部分优于谈判文件技术要求，得(9-10</w:t>
            </w:r>
            <w:r>
              <w:rPr>
                <w:rFonts w:ascii="仿宋_GB2312" w:hAnsi="仿宋" w:eastAsia="仿宋_GB2312" w:cs="宋体"/>
                <w:kern w:val="0"/>
                <w:szCs w:val="21"/>
              </w:rPr>
              <w:t>]</w:t>
            </w:r>
            <w:r>
              <w:rPr>
                <w:rFonts w:hint="eastAsia" w:ascii="仿宋_GB2312" w:hAnsi="仿宋" w:eastAsia="仿宋_GB2312" w:cs="宋体"/>
                <w:kern w:val="0"/>
                <w:szCs w:val="21"/>
              </w:rPr>
              <w:t>分；全部满足谈判文件技术要求，得（7-9</w:t>
            </w:r>
            <w:r>
              <w:rPr>
                <w:rFonts w:ascii="仿宋_GB2312" w:hAnsi="仿宋" w:eastAsia="仿宋_GB2312" w:cs="宋体"/>
                <w:kern w:val="0"/>
                <w:szCs w:val="21"/>
              </w:rPr>
              <w:t>]</w:t>
            </w:r>
            <w:r>
              <w:rPr>
                <w:rFonts w:hint="eastAsia" w:ascii="仿宋_GB2312" w:hAnsi="仿宋" w:eastAsia="仿宋_GB2312" w:cs="宋体"/>
                <w:kern w:val="0"/>
                <w:szCs w:val="21"/>
              </w:rPr>
              <w:t>分；部分满足谈判文件技术要求，得（4-7</w:t>
            </w:r>
            <w:r>
              <w:rPr>
                <w:rFonts w:ascii="仿宋_GB2312" w:hAnsi="仿宋" w:eastAsia="仿宋_GB2312" w:cs="宋体"/>
                <w:kern w:val="0"/>
                <w:szCs w:val="21"/>
              </w:rPr>
              <w:t>]</w:t>
            </w:r>
            <w:r>
              <w:rPr>
                <w:rFonts w:hint="eastAsia" w:ascii="仿宋_GB2312" w:hAnsi="仿宋" w:eastAsia="仿宋_GB2312" w:cs="宋体"/>
                <w:kern w:val="0"/>
                <w:szCs w:val="21"/>
              </w:rPr>
              <w:t>分；少部分满足谈判文件技术要求，得（0-4</w:t>
            </w:r>
            <w:r>
              <w:rPr>
                <w:rFonts w:ascii="仿宋_GB2312" w:hAnsi="仿宋" w:eastAsia="仿宋_GB2312" w:cs="宋体"/>
                <w:kern w:val="0"/>
                <w:szCs w:val="21"/>
              </w:rPr>
              <w:t>]</w:t>
            </w:r>
            <w:r>
              <w:rPr>
                <w:rFonts w:hint="eastAsia" w:ascii="仿宋_GB2312" w:hAnsi="仿宋" w:eastAsia="仿宋_GB2312" w:cs="宋体"/>
                <w:kern w:val="0"/>
                <w:szCs w:val="21"/>
              </w:rPr>
              <w:t>分。</w:t>
            </w:r>
          </w:p>
        </w:tc>
      </w:tr>
      <w:tr>
        <w:tblPrEx>
          <w:tblCellMar>
            <w:top w:w="0" w:type="dxa"/>
            <w:left w:w="108" w:type="dxa"/>
            <w:bottom w:w="0" w:type="dxa"/>
            <w:right w:w="108" w:type="dxa"/>
          </w:tblCellMar>
        </w:tblPrEx>
        <w:trPr>
          <w:trHeight w:val="416" w:hRule="atLeast"/>
          <w:jc w:val="center"/>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_GB2312" w:eastAsia="仿宋_GB2312" w:cs="仿宋_GB2312"/>
                <w:sz w:val="24"/>
              </w:rPr>
              <w:t>项目安全措施/方案</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ascii="仿宋_GB2312" w:hAnsi="仿宋" w:eastAsia="仿宋_GB2312" w:cs="宋体"/>
                <w:kern w:val="0"/>
                <w:szCs w:val="21"/>
              </w:rPr>
              <w:t>5</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Cs w:val="21"/>
              </w:rPr>
            </w:pPr>
            <w:r>
              <w:rPr>
                <w:rFonts w:hint="eastAsia" w:ascii="仿宋_GB2312" w:hAnsi="仿宋" w:eastAsia="仿宋_GB2312" w:cs="宋体"/>
                <w:kern w:val="0"/>
                <w:szCs w:val="21"/>
              </w:rPr>
              <w:t>方案一般，满足基本要求，得（0-2]分；方案符合谈判文件要求得(</w:t>
            </w:r>
            <w:r>
              <w:rPr>
                <w:rFonts w:ascii="仿宋_GB2312" w:hAnsi="仿宋" w:eastAsia="仿宋_GB2312" w:cs="宋体"/>
                <w:kern w:val="0"/>
                <w:szCs w:val="21"/>
              </w:rPr>
              <w:t>2</w:t>
            </w:r>
            <w:r>
              <w:rPr>
                <w:rFonts w:hint="eastAsia" w:ascii="仿宋_GB2312" w:hAnsi="仿宋" w:eastAsia="仿宋_GB2312" w:cs="宋体"/>
                <w:kern w:val="0"/>
                <w:szCs w:val="21"/>
              </w:rPr>
              <w:t>-4]分；方案符合谈判文件要求且内容全面详细，思路清晰得(</w:t>
            </w:r>
            <w:r>
              <w:rPr>
                <w:rFonts w:ascii="仿宋_GB2312" w:hAnsi="仿宋" w:eastAsia="仿宋_GB2312" w:cs="宋体"/>
                <w:kern w:val="0"/>
                <w:szCs w:val="21"/>
              </w:rPr>
              <w:t>4</w:t>
            </w:r>
            <w:r>
              <w:rPr>
                <w:rFonts w:hint="eastAsia" w:ascii="仿宋_GB2312" w:hAnsi="仿宋" w:eastAsia="仿宋_GB2312" w:cs="宋体"/>
                <w:kern w:val="0"/>
                <w:szCs w:val="21"/>
              </w:rPr>
              <w:t>-</w:t>
            </w:r>
            <w:r>
              <w:rPr>
                <w:rFonts w:ascii="仿宋_GB2312" w:hAnsi="仿宋" w:eastAsia="仿宋_GB2312" w:cs="宋体"/>
                <w:kern w:val="0"/>
                <w:szCs w:val="21"/>
              </w:rPr>
              <w:t>5</w:t>
            </w:r>
            <w:r>
              <w:rPr>
                <w:rFonts w:hint="eastAsia" w:ascii="仿宋_GB2312" w:hAnsi="仿宋" w:eastAsia="仿宋_GB2312" w:cs="宋体"/>
                <w:kern w:val="0"/>
                <w:szCs w:val="21"/>
              </w:rPr>
              <w:t>]分。</w:t>
            </w:r>
          </w:p>
        </w:tc>
      </w:tr>
      <w:tr>
        <w:tblPrEx>
          <w:tblCellMar>
            <w:top w:w="0" w:type="dxa"/>
            <w:left w:w="108" w:type="dxa"/>
            <w:bottom w:w="0" w:type="dxa"/>
            <w:right w:w="108" w:type="dxa"/>
          </w:tblCellMar>
        </w:tblPrEx>
        <w:trPr>
          <w:trHeight w:val="416" w:hRule="atLeast"/>
          <w:jc w:val="center"/>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_GB2312" w:eastAsia="仿宋_GB2312" w:cs="仿宋_GB2312"/>
                <w:sz w:val="24"/>
              </w:rPr>
              <w:t>设备配置情况</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 w:eastAsia="仿宋_GB2312" w:cs="宋体"/>
                <w:kern w:val="0"/>
                <w:szCs w:val="21"/>
              </w:rPr>
              <w:t>4</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heme="minorEastAsia" w:hAnsiTheme="minorEastAsia" w:eastAsiaTheme="minorEastAsia"/>
                <w:bCs/>
                <w:sz w:val="24"/>
                <w:highlight w:val="red"/>
              </w:rPr>
            </w:pPr>
            <w:r>
              <w:rPr>
                <w:rFonts w:hint="eastAsia" w:ascii="仿宋_GB2312" w:hAnsi="仿宋" w:eastAsia="仿宋_GB2312" w:cs="宋体"/>
                <w:kern w:val="0"/>
                <w:szCs w:val="21"/>
              </w:rPr>
              <w:t>清单内容详细，各材料、规格型号、品牌具体且符合要求，得（3-4]分；清单内容只列明主要设备/配件，品牌选型一般，勉强符合要求，得(2-3]分；清单内容不详细，品牌规格不具体，得（0-2]分。</w:t>
            </w:r>
          </w:p>
        </w:tc>
      </w:tr>
      <w:tr>
        <w:tblPrEx>
          <w:tblCellMar>
            <w:top w:w="0" w:type="dxa"/>
            <w:left w:w="108" w:type="dxa"/>
            <w:bottom w:w="0" w:type="dxa"/>
            <w:right w:w="108" w:type="dxa"/>
          </w:tblCellMar>
        </w:tblPrEx>
        <w:trPr>
          <w:trHeight w:val="370" w:hRule="atLeast"/>
          <w:jc w:val="center"/>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bCs/>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_GB2312" w:eastAsia="仿宋_GB2312" w:cs="仿宋_GB2312"/>
                <w:sz w:val="24"/>
              </w:rPr>
              <w:t>售后服务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ascii="仿宋_GB2312" w:hAnsi="仿宋" w:eastAsia="仿宋_GB2312" w:cs="宋体"/>
                <w:kern w:val="0"/>
                <w:szCs w:val="21"/>
              </w:rPr>
              <w:t>8</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Cs w:val="21"/>
              </w:rPr>
            </w:pPr>
            <w:r>
              <w:rPr>
                <w:rFonts w:hint="eastAsia" w:ascii="仿宋_GB2312" w:hAnsi="仿宋" w:eastAsia="仿宋_GB2312" w:cs="宋体"/>
                <w:kern w:val="0"/>
                <w:szCs w:val="21"/>
              </w:rPr>
              <w:t>质保期为一年的，再根据投标人售后服务方案的优劣进行评审，横向对比，售后服务最优得</w:t>
            </w:r>
            <w:r>
              <w:rPr>
                <w:rFonts w:ascii="仿宋_GB2312" w:hAnsi="仿宋" w:eastAsia="仿宋_GB2312" w:cs="宋体"/>
                <w:kern w:val="0"/>
                <w:szCs w:val="21"/>
              </w:rPr>
              <w:t>5</w:t>
            </w:r>
            <w:r>
              <w:rPr>
                <w:rFonts w:hint="eastAsia" w:ascii="仿宋_GB2312" w:hAnsi="仿宋" w:eastAsia="仿宋_GB2312" w:cs="宋体"/>
                <w:kern w:val="0"/>
                <w:szCs w:val="21"/>
              </w:rPr>
              <w:t>分，次之得</w:t>
            </w:r>
            <w:r>
              <w:rPr>
                <w:rFonts w:ascii="仿宋_GB2312" w:hAnsi="仿宋" w:eastAsia="仿宋_GB2312" w:cs="宋体"/>
                <w:kern w:val="0"/>
                <w:szCs w:val="21"/>
              </w:rPr>
              <w:t>4</w:t>
            </w:r>
            <w:r>
              <w:rPr>
                <w:rFonts w:hint="eastAsia" w:ascii="仿宋_GB2312" w:hAnsi="仿宋" w:eastAsia="仿宋_GB2312" w:cs="宋体"/>
                <w:kern w:val="0"/>
                <w:szCs w:val="21"/>
              </w:rPr>
              <w:t>分，以此类推；</w:t>
            </w:r>
          </w:p>
          <w:p>
            <w:pPr>
              <w:widowControl/>
              <w:spacing w:line="360" w:lineRule="auto"/>
              <w:jc w:val="left"/>
              <w:rPr>
                <w:rFonts w:ascii="仿宋_GB2312" w:hAnsi="仿宋" w:eastAsia="仿宋_GB2312" w:cs="宋体"/>
                <w:kern w:val="0"/>
                <w:szCs w:val="21"/>
              </w:rPr>
            </w:pPr>
            <w:r>
              <w:rPr>
                <w:rFonts w:hint="eastAsia" w:ascii="仿宋_GB2312" w:hAnsi="仿宋" w:eastAsia="仿宋_GB2312" w:cs="宋体"/>
                <w:kern w:val="0"/>
                <w:szCs w:val="21"/>
              </w:rPr>
              <w:t>质保期为两年的，再根据投标人售后服务方案的优劣进行评审，横向对比，售后服务最优得</w:t>
            </w:r>
            <w:r>
              <w:rPr>
                <w:rFonts w:ascii="仿宋_GB2312" w:hAnsi="仿宋" w:eastAsia="仿宋_GB2312" w:cs="宋体"/>
                <w:kern w:val="0"/>
                <w:szCs w:val="21"/>
              </w:rPr>
              <w:t>8</w:t>
            </w:r>
            <w:r>
              <w:rPr>
                <w:rFonts w:hint="eastAsia" w:ascii="仿宋_GB2312" w:hAnsi="仿宋" w:eastAsia="仿宋_GB2312" w:cs="宋体"/>
                <w:kern w:val="0"/>
                <w:szCs w:val="21"/>
              </w:rPr>
              <w:t>分，次之得</w:t>
            </w:r>
            <w:r>
              <w:rPr>
                <w:rFonts w:ascii="仿宋_GB2312" w:hAnsi="仿宋" w:eastAsia="仿宋_GB2312" w:cs="宋体"/>
                <w:kern w:val="0"/>
                <w:szCs w:val="21"/>
              </w:rPr>
              <w:t>7</w:t>
            </w:r>
            <w:r>
              <w:rPr>
                <w:rFonts w:hint="eastAsia" w:ascii="仿宋_GB2312" w:hAnsi="仿宋" w:eastAsia="仿宋_GB2312" w:cs="宋体"/>
                <w:kern w:val="0"/>
                <w:szCs w:val="21"/>
              </w:rPr>
              <w:t>分，以此类推。</w:t>
            </w:r>
          </w:p>
        </w:tc>
      </w:tr>
      <w:tr>
        <w:tblPrEx>
          <w:tblCellMar>
            <w:top w:w="0" w:type="dxa"/>
            <w:left w:w="108" w:type="dxa"/>
            <w:bottom w:w="0" w:type="dxa"/>
            <w:right w:w="108" w:type="dxa"/>
          </w:tblCellMar>
        </w:tblPrEx>
        <w:trPr>
          <w:trHeight w:val="320" w:hRule="atLeast"/>
          <w:jc w:val="center"/>
        </w:trPr>
        <w:tc>
          <w:tcPr>
            <w:tcW w:w="10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仿宋" w:eastAsia="仿宋_GB2312" w:cs="宋体"/>
                <w:bCs/>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_GB2312" w:eastAsia="仿宋_GB2312" w:cs="仿宋_GB2312"/>
                <w:sz w:val="24"/>
              </w:rPr>
              <w:t>合理化建议</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仿宋" w:eastAsia="仿宋_GB2312" w:cs="宋体"/>
                <w:kern w:val="0"/>
                <w:szCs w:val="21"/>
              </w:rPr>
            </w:pPr>
            <w:r>
              <w:rPr>
                <w:rFonts w:hint="eastAsia" w:ascii="仿宋_GB2312" w:hAnsi="仿宋" w:eastAsia="仿宋_GB2312" w:cs="宋体"/>
                <w:kern w:val="0"/>
                <w:szCs w:val="21"/>
              </w:rPr>
              <w:t>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仿宋_GB2312" w:hAnsi="仿宋" w:eastAsia="仿宋_GB2312" w:cs="宋体"/>
                <w:kern w:val="0"/>
                <w:szCs w:val="21"/>
              </w:rPr>
            </w:pPr>
            <w:r>
              <w:rPr>
                <w:rFonts w:hint="eastAsia" w:ascii="仿宋_GB2312" w:hAnsi="仿宋" w:eastAsia="仿宋_GB2312" w:cs="宋体"/>
                <w:kern w:val="0"/>
                <w:szCs w:val="21"/>
              </w:rPr>
              <w:t>对提出的合理化建议操作性进行评审， 横向比较，合理化建议具体、符合技术要求、可操作性强：（2-3]分；合理化建议操作性不足或针对性不强的：（0-2</w:t>
            </w:r>
            <w:r>
              <w:rPr>
                <w:rFonts w:ascii="仿宋_GB2312" w:hAnsi="仿宋" w:eastAsia="仿宋_GB2312" w:cs="宋体"/>
                <w:kern w:val="0"/>
                <w:szCs w:val="21"/>
              </w:rPr>
              <w:t>]</w:t>
            </w:r>
            <w:r>
              <w:rPr>
                <w:rFonts w:hint="eastAsia" w:ascii="仿宋_GB2312" w:hAnsi="仿宋" w:eastAsia="仿宋_GB2312" w:cs="宋体"/>
                <w:kern w:val="0"/>
                <w:szCs w:val="21"/>
              </w:rPr>
              <w:t>分；合理化建议不可行或无实质性建议不得分</w:t>
            </w:r>
          </w:p>
        </w:tc>
      </w:tr>
    </w:tbl>
    <w:p>
      <w:pPr>
        <w:spacing w:line="360" w:lineRule="auto"/>
        <w:rPr>
          <w:rFonts w:ascii="仿宋_GB2312" w:hAnsi="仿宋" w:eastAsia="仿宋_GB2312" w:cs="仿宋_GB2312"/>
          <w:b/>
          <w:bCs/>
          <w:kern w:val="0"/>
          <w:sz w:val="28"/>
          <w:szCs w:val="28"/>
        </w:rPr>
      </w:pPr>
      <w:r>
        <w:rPr>
          <w:rFonts w:hint="eastAsia" w:ascii="仿宋_GB2312" w:hAnsi="仿宋" w:eastAsia="仿宋_GB2312" w:cs="仿宋_GB2312"/>
          <w:b/>
          <w:bCs/>
          <w:kern w:val="0"/>
          <w:sz w:val="28"/>
          <w:szCs w:val="28"/>
        </w:rPr>
        <w:t>备注：评分因素表中得分部分“（”表示不包含此数，“]”表示包含此数，例如：得（0-2]分表示不包含0分，包含2分。</w:t>
      </w:r>
    </w:p>
    <w:p>
      <w:pPr>
        <w:spacing w:line="360" w:lineRule="auto"/>
        <w:rPr>
          <w:rFonts w:ascii="仿宋_GB2312" w:eastAsia="仿宋_GB2312" w:hAnsiTheme="minorEastAsia"/>
          <w:bCs/>
          <w:color w:val="000000" w:themeColor="text1"/>
          <w:sz w:val="28"/>
          <w:szCs w:val="28"/>
          <w14:textFill>
            <w14:solidFill>
              <w14:schemeClr w14:val="tx1"/>
            </w14:solidFill>
          </w14:textFill>
        </w:rPr>
      </w:pPr>
      <w:r>
        <w:rPr>
          <w:rFonts w:hint="eastAsia" w:ascii="仿宋_GB2312" w:hAnsi="仿宋" w:eastAsia="仿宋_GB2312" w:cs="仿宋_GB2312"/>
          <w:b/>
          <w:bCs/>
          <w:kern w:val="0"/>
          <w:sz w:val="28"/>
          <w:szCs w:val="28"/>
        </w:rPr>
        <w:t>总得分＝投标响应报价部分分值+商务部分分值+技术部分分值</w:t>
      </w:r>
    </w:p>
    <w:p>
      <w:pPr>
        <w:adjustRightInd w:val="0"/>
        <w:snapToGrid w:val="0"/>
        <w:ind w:left="719"/>
        <w:rPr>
          <w:rFonts w:ascii="仿宋_GB2312" w:hAnsi="仿宋_GB2312" w:eastAsia="仿宋_GB2312" w:cs="仿宋_GB2312"/>
          <w:snapToGrid w:val="0"/>
          <w:sz w:val="28"/>
          <w:szCs w:val="28"/>
        </w:rPr>
      </w:pPr>
      <w:r>
        <w:rPr>
          <w:rFonts w:hint="eastAsia" w:ascii="仿宋_GB2312" w:hAnsi="仿宋_GB2312" w:eastAsia="仿宋_GB2312" w:cs="仿宋_GB2312"/>
          <w:b/>
          <w:bCs/>
          <w:kern w:val="0"/>
          <w:sz w:val="28"/>
          <w:szCs w:val="28"/>
        </w:rPr>
        <w:t>2.4.3</w:t>
      </w:r>
      <w:bookmarkStart w:id="21" w:name="_Hlk91554426"/>
      <w:r>
        <w:rPr>
          <w:rFonts w:hint="eastAsia" w:ascii="仿宋_GB2312" w:hAnsi="仿宋_GB2312" w:eastAsia="仿宋_GB2312" w:cs="仿宋_GB2312"/>
          <w:snapToGrid w:val="0"/>
          <w:sz w:val="28"/>
          <w:szCs w:val="28"/>
        </w:rPr>
        <w:t>报价得分可采用如下方法计算：</w:t>
      </w:r>
    </w:p>
    <w:p>
      <w:pPr>
        <w:adjustRightInd w:val="0"/>
        <w:snapToGrid w:val="0"/>
        <w:spacing w:before="240"/>
        <w:ind w:left="719"/>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□方法一：按有效报价的算术平均值为评审基准价：</w:t>
      </w:r>
    </w:p>
    <w:p>
      <w:pPr>
        <w:adjustRightInd w:val="0"/>
        <w:snapToGrid w:val="0"/>
        <w:spacing w:line="360" w:lineRule="auto"/>
        <w:ind w:left="719"/>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偏差率=(供应商评审价格-评审基准价)/评审基准价×100%</w:t>
      </w:r>
    </w:p>
    <w:p>
      <w:pPr>
        <w:adjustRightInd w:val="0"/>
        <w:snapToGrid w:val="0"/>
        <w:spacing w:line="360" w:lineRule="auto"/>
        <w:ind w:left="719"/>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①如果供应商的评审价格＞评审基准价，则报价得分=F-偏差率×100×E</w:t>
      </w:r>
      <w:r>
        <w:rPr>
          <w:rFonts w:hint="eastAsia" w:ascii="仿宋_GB2312" w:hAnsi="仿宋_GB2312" w:eastAsia="仿宋_GB2312" w:cs="仿宋_GB2312"/>
          <w:snapToGrid w:val="0"/>
          <w:sz w:val="28"/>
          <w:szCs w:val="28"/>
          <w:vertAlign w:val="subscript"/>
        </w:rPr>
        <w:t>1</w:t>
      </w:r>
      <w:r>
        <w:rPr>
          <w:rFonts w:hint="eastAsia" w:ascii="仿宋_GB2312" w:hAnsi="仿宋_GB2312" w:eastAsia="仿宋_GB2312" w:cs="仿宋_GB2312"/>
          <w:snapToGrid w:val="0"/>
          <w:sz w:val="28"/>
          <w:szCs w:val="28"/>
        </w:rPr>
        <w:t>；</w:t>
      </w:r>
    </w:p>
    <w:p>
      <w:pPr>
        <w:adjustRightInd w:val="0"/>
        <w:snapToGrid w:val="0"/>
        <w:spacing w:line="360" w:lineRule="auto"/>
        <w:ind w:left="719"/>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②如果供应商的评审价格≤评审基准价，则报价得分=F+偏差率×100×E</w:t>
      </w:r>
      <w:r>
        <w:rPr>
          <w:rFonts w:hint="eastAsia" w:ascii="仿宋_GB2312" w:hAnsi="仿宋_GB2312" w:eastAsia="仿宋_GB2312" w:cs="仿宋_GB2312"/>
          <w:snapToGrid w:val="0"/>
          <w:sz w:val="28"/>
          <w:szCs w:val="28"/>
          <w:vertAlign w:val="subscript"/>
        </w:rPr>
        <w:t>2</w:t>
      </w:r>
      <w:r>
        <w:rPr>
          <w:rFonts w:hint="eastAsia" w:ascii="仿宋_GB2312" w:hAnsi="仿宋_GB2312" w:eastAsia="仿宋_GB2312" w:cs="仿宋_GB2312"/>
          <w:snapToGrid w:val="0"/>
          <w:sz w:val="28"/>
          <w:szCs w:val="28"/>
        </w:rPr>
        <w:t>；</w:t>
      </w:r>
    </w:p>
    <w:p>
      <w:pPr>
        <w:adjustRightInd w:val="0"/>
        <w:snapToGrid w:val="0"/>
        <w:spacing w:line="360" w:lineRule="auto"/>
        <w:ind w:left="284" w:firstLine="480"/>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其中F为规定的报价所占的分值；E</w:t>
      </w:r>
      <w:r>
        <w:rPr>
          <w:rFonts w:hint="eastAsia" w:ascii="仿宋_GB2312" w:hAnsi="仿宋_GB2312" w:eastAsia="仿宋_GB2312" w:cs="仿宋_GB2312"/>
          <w:snapToGrid w:val="0"/>
          <w:sz w:val="28"/>
          <w:szCs w:val="28"/>
          <w:vertAlign w:val="subscript"/>
        </w:rPr>
        <w:t>1</w:t>
      </w:r>
      <w:r>
        <w:rPr>
          <w:rFonts w:hint="eastAsia" w:ascii="仿宋_GB2312" w:hAnsi="仿宋_GB2312" w:eastAsia="仿宋_GB2312" w:cs="仿宋_GB2312"/>
          <w:snapToGrid w:val="0"/>
          <w:sz w:val="28"/>
          <w:szCs w:val="28"/>
        </w:rPr>
        <w:t>是评审价格每高于评审基准价一个百分点的扣分值、E</w:t>
      </w:r>
      <w:r>
        <w:rPr>
          <w:rFonts w:hint="eastAsia" w:ascii="仿宋_GB2312" w:hAnsi="仿宋_GB2312" w:eastAsia="仿宋_GB2312" w:cs="仿宋_GB2312"/>
          <w:snapToGrid w:val="0"/>
          <w:sz w:val="28"/>
          <w:szCs w:val="28"/>
          <w:vertAlign w:val="subscript"/>
        </w:rPr>
        <w:t>2</w:t>
      </w:r>
      <w:r>
        <w:rPr>
          <w:rFonts w:hint="eastAsia" w:ascii="仿宋_GB2312" w:hAnsi="仿宋_GB2312" w:eastAsia="仿宋_GB2312" w:cs="仿宋_GB2312"/>
          <w:snapToGrid w:val="0"/>
          <w:sz w:val="28"/>
          <w:szCs w:val="28"/>
        </w:rPr>
        <w:t>是评审价格每低于评审基准价一个百分点的扣分值，E</w:t>
      </w:r>
      <w:r>
        <w:rPr>
          <w:rFonts w:hint="eastAsia" w:ascii="仿宋_GB2312" w:hAnsi="仿宋_GB2312" w:eastAsia="仿宋_GB2312" w:cs="仿宋_GB2312"/>
          <w:snapToGrid w:val="0"/>
          <w:sz w:val="28"/>
          <w:szCs w:val="28"/>
          <w:vertAlign w:val="subscript"/>
        </w:rPr>
        <w:t>1</w:t>
      </w:r>
      <w:r>
        <w:rPr>
          <w:rFonts w:hint="eastAsia" w:ascii="仿宋_GB2312" w:hAnsi="仿宋_GB2312" w:eastAsia="仿宋_GB2312" w:cs="仿宋_GB2312"/>
          <w:snapToGrid w:val="0"/>
          <w:sz w:val="28"/>
          <w:szCs w:val="28"/>
        </w:rPr>
        <w:t>可大于或等于E</w:t>
      </w:r>
      <w:r>
        <w:rPr>
          <w:rFonts w:hint="eastAsia" w:ascii="仿宋_GB2312" w:hAnsi="仿宋_GB2312" w:eastAsia="仿宋_GB2312" w:cs="仿宋_GB2312"/>
          <w:snapToGrid w:val="0"/>
          <w:sz w:val="28"/>
          <w:szCs w:val="28"/>
          <w:vertAlign w:val="subscript"/>
        </w:rPr>
        <w:t>2</w:t>
      </w:r>
      <w:r>
        <w:rPr>
          <w:rFonts w:hint="eastAsia" w:ascii="仿宋_GB2312" w:hAnsi="仿宋_GB2312" w:eastAsia="仿宋_GB2312" w:cs="仿宋_GB2312"/>
          <w:snapToGrid w:val="0"/>
          <w:sz w:val="28"/>
          <w:szCs w:val="28"/>
        </w:rPr>
        <w:t>。E</w:t>
      </w:r>
      <w:r>
        <w:rPr>
          <w:rFonts w:hint="eastAsia" w:ascii="仿宋_GB2312" w:hAnsi="仿宋_GB2312" w:eastAsia="仿宋_GB2312" w:cs="仿宋_GB2312"/>
          <w:snapToGrid w:val="0"/>
          <w:sz w:val="28"/>
          <w:szCs w:val="28"/>
          <w:vertAlign w:val="subscript"/>
        </w:rPr>
        <w:t>1</w:t>
      </w:r>
      <w:r>
        <w:rPr>
          <w:rFonts w:hint="eastAsia" w:ascii="仿宋_GB2312" w:hAnsi="仿宋_GB2312" w:eastAsia="仿宋_GB2312" w:cs="仿宋_GB2312"/>
          <w:snapToGrid w:val="0"/>
          <w:sz w:val="28"/>
          <w:szCs w:val="28"/>
        </w:rPr>
        <w:t>、E</w:t>
      </w:r>
      <w:r>
        <w:rPr>
          <w:rFonts w:hint="eastAsia" w:ascii="仿宋_GB2312" w:hAnsi="仿宋_GB2312" w:eastAsia="仿宋_GB2312" w:cs="仿宋_GB2312"/>
          <w:snapToGrid w:val="0"/>
          <w:sz w:val="28"/>
          <w:szCs w:val="28"/>
          <w:vertAlign w:val="subscript"/>
        </w:rPr>
        <w:t>2</w:t>
      </w:r>
      <w:r>
        <w:rPr>
          <w:rFonts w:hint="eastAsia" w:ascii="仿宋_GB2312" w:hAnsi="仿宋_GB2312" w:eastAsia="仿宋_GB2312" w:cs="仿宋_GB2312"/>
          <w:snapToGrid w:val="0"/>
          <w:sz w:val="28"/>
          <w:szCs w:val="28"/>
        </w:rPr>
        <w:t>的取值见评审办法前附表。</w:t>
      </w:r>
    </w:p>
    <w:p>
      <w:pPr>
        <w:adjustRightInd w:val="0"/>
        <w:snapToGrid w:val="0"/>
        <w:spacing w:before="240" w:line="360" w:lineRule="auto"/>
        <w:ind w:left="719"/>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☑方法二：按最低有效报价作为评审基准价：</w:t>
      </w:r>
    </w:p>
    <w:p>
      <w:pPr>
        <w:adjustRightInd w:val="0"/>
        <w:snapToGrid w:val="0"/>
        <w:spacing w:line="360" w:lineRule="auto"/>
        <w:ind w:left="719"/>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偏差率=(供应商评审价格-评审基准价)/评审基准价×100%</w:t>
      </w:r>
    </w:p>
    <w:p>
      <w:pPr>
        <w:adjustRightInd w:val="0"/>
        <w:snapToGrid w:val="0"/>
        <w:spacing w:line="360" w:lineRule="auto"/>
        <w:ind w:left="284" w:firstLine="480"/>
        <w:rPr>
          <w:rFonts w:ascii="仿宋_GB2312" w:hAnsi="仿宋_GB2312" w:eastAsia="仿宋_GB2312" w:cs="仿宋_GB2312"/>
          <w:snapToGrid w:val="0"/>
          <w:sz w:val="28"/>
          <w:szCs w:val="28"/>
          <w:vertAlign w:val="subscript"/>
        </w:rPr>
      </w:pPr>
      <w:r>
        <w:rPr>
          <w:rFonts w:hint="eastAsia" w:ascii="仿宋_GB2312" w:hAnsi="仿宋_GB2312" w:eastAsia="仿宋_GB2312" w:cs="仿宋_GB2312"/>
          <w:snapToGrid w:val="0"/>
          <w:sz w:val="28"/>
          <w:szCs w:val="28"/>
        </w:rPr>
        <w:t>报价得分=F-偏差率×100×E</w:t>
      </w:r>
      <w:r>
        <w:rPr>
          <w:rFonts w:hint="eastAsia" w:ascii="仿宋_GB2312" w:hAnsi="仿宋_GB2312" w:eastAsia="仿宋_GB2312" w:cs="仿宋_GB2312"/>
          <w:snapToGrid w:val="0"/>
          <w:sz w:val="28"/>
          <w:szCs w:val="28"/>
          <w:vertAlign w:val="subscript"/>
        </w:rPr>
        <w:t>3</w:t>
      </w:r>
    </w:p>
    <w:p>
      <w:pPr>
        <w:adjustRightInd w:val="0"/>
        <w:snapToGrid w:val="0"/>
        <w:spacing w:line="360" w:lineRule="auto"/>
        <w:ind w:left="284" w:firstLine="480"/>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其中F为规定的报价所占的分值；E</w:t>
      </w:r>
      <w:r>
        <w:rPr>
          <w:rFonts w:hint="eastAsia" w:ascii="仿宋_GB2312" w:hAnsi="仿宋_GB2312" w:eastAsia="仿宋_GB2312" w:cs="仿宋_GB2312"/>
          <w:snapToGrid w:val="0"/>
          <w:sz w:val="28"/>
          <w:szCs w:val="28"/>
          <w:vertAlign w:val="subscript"/>
        </w:rPr>
        <w:t>3</w:t>
      </w:r>
      <w:r>
        <w:rPr>
          <w:rFonts w:hint="eastAsia" w:ascii="仿宋_GB2312" w:hAnsi="仿宋_GB2312" w:eastAsia="仿宋_GB2312" w:cs="仿宋_GB2312"/>
          <w:snapToGrid w:val="0"/>
          <w:sz w:val="28"/>
          <w:szCs w:val="28"/>
        </w:rPr>
        <w:t>是评审价格每高于评审基准价一个百分点的扣分值。E</w:t>
      </w:r>
      <w:r>
        <w:rPr>
          <w:rFonts w:hint="eastAsia" w:ascii="仿宋_GB2312" w:hAnsi="仿宋_GB2312" w:eastAsia="仿宋_GB2312" w:cs="仿宋_GB2312"/>
          <w:snapToGrid w:val="0"/>
          <w:sz w:val="28"/>
          <w:szCs w:val="28"/>
          <w:vertAlign w:val="subscript"/>
        </w:rPr>
        <w:t>3</w:t>
      </w:r>
      <w:r>
        <w:rPr>
          <w:rFonts w:hint="eastAsia" w:ascii="仿宋_GB2312" w:hAnsi="仿宋_GB2312" w:eastAsia="仿宋_GB2312" w:cs="仿宋_GB2312"/>
          <w:snapToGrid w:val="0"/>
          <w:sz w:val="28"/>
          <w:szCs w:val="28"/>
        </w:rPr>
        <w:t>的取值见评审办法。</w:t>
      </w:r>
    </w:p>
    <w:p>
      <w:pPr>
        <w:adjustRightInd w:val="0"/>
        <w:snapToGrid w:val="0"/>
        <w:spacing w:before="240" w:line="360" w:lineRule="auto"/>
        <w:ind w:left="719"/>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□方法三：按最低有效报价作为评审基准价：</w:t>
      </w:r>
    </w:p>
    <w:p>
      <w:pPr>
        <w:adjustRightInd w:val="0"/>
        <w:snapToGrid w:val="0"/>
        <w:spacing w:line="360" w:lineRule="auto"/>
        <w:ind w:left="719"/>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评审基准价为满分F分，其他报价得分=F×基准价/有效报价。</w:t>
      </w:r>
    </w:p>
    <w:p>
      <w:pPr>
        <w:adjustRightInd w:val="0"/>
        <w:snapToGrid w:val="0"/>
        <w:spacing w:line="360" w:lineRule="auto"/>
        <w:ind w:left="719"/>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其中F为规定的报价所占的分值。</w:t>
      </w:r>
    </w:p>
    <w:p>
      <w:pPr>
        <w:adjustRightInd w:val="0"/>
        <w:snapToGrid w:val="0"/>
        <w:spacing w:line="360" w:lineRule="auto"/>
        <w:ind w:left="284" w:firstLine="480"/>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小数点后保留2位，四舍五入。</w:t>
      </w:r>
    </w:p>
    <w:bookmarkEnd w:id="21"/>
    <w:p>
      <w:pPr>
        <w:spacing w:line="560" w:lineRule="exact"/>
        <w:ind w:firstLine="562" w:firstLineChars="200"/>
        <w:rPr>
          <w:rFonts w:ascii="仿宋_GB2312" w:hAnsi="仿宋" w:eastAsia="仿宋_GB2312" w:cs="仿宋_GB2312"/>
          <w:b/>
          <w:bCs/>
          <w:kern w:val="0"/>
          <w:sz w:val="28"/>
          <w:szCs w:val="28"/>
        </w:rPr>
      </w:pPr>
      <w:r>
        <w:rPr>
          <w:rFonts w:ascii="仿宋_GB2312" w:hAnsi="仿宋" w:eastAsia="仿宋_GB2312" w:cs="仿宋_GB2312"/>
          <w:b/>
          <w:bCs/>
          <w:kern w:val="0"/>
          <w:sz w:val="28"/>
          <w:szCs w:val="28"/>
        </w:rPr>
        <w:t>2</w:t>
      </w:r>
      <w:r>
        <w:rPr>
          <w:rFonts w:hint="eastAsia" w:ascii="仿宋_GB2312" w:hAnsi="仿宋" w:eastAsia="仿宋_GB2312" w:cs="仿宋_GB2312"/>
          <w:b/>
          <w:bCs/>
          <w:kern w:val="0"/>
          <w:sz w:val="28"/>
          <w:szCs w:val="28"/>
        </w:rPr>
        <w:t>.</w:t>
      </w:r>
      <w:r>
        <w:rPr>
          <w:rFonts w:ascii="仿宋_GB2312" w:hAnsi="仿宋" w:eastAsia="仿宋_GB2312" w:cs="仿宋_GB2312"/>
          <w:b/>
          <w:bCs/>
          <w:kern w:val="0"/>
          <w:sz w:val="28"/>
          <w:szCs w:val="28"/>
        </w:rPr>
        <w:t>5</w:t>
      </w:r>
      <w:r>
        <w:rPr>
          <w:rFonts w:hint="eastAsia" w:ascii="仿宋_GB2312" w:hAnsi="仿宋" w:eastAsia="仿宋_GB2312" w:cs="仿宋_GB2312"/>
          <w:b/>
          <w:bCs/>
          <w:kern w:val="0"/>
          <w:sz w:val="28"/>
          <w:szCs w:val="28"/>
        </w:rPr>
        <w:t>评标结果</w:t>
      </w:r>
    </w:p>
    <w:p>
      <w:pPr>
        <w:spacing w:line="560" w:lineRule="exact"/>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采购小组在E</w:t>
      </w:r>
      <w:r>
        <w:rPr>
          <w:rFonts w:ascii="仿宋_GB2312" w:hAnsi="仿宋" w:eastAsia="仿宋_GB2312" w:cs="仿宋_GB2312"/>
          <w:bCs/>
          <w:kern w:val="0"/>
          <w:sz w:val="28"/>
          <w:szCs w:val="28"/>
        </w:rPr>
        <w:t>PS系统审核确认</w:t>
      </w:r>
      <w:r>
        <w:rPr>
          <w:rFonts w:hint="eastAsia" w:ascii="仿宋_GB2312" w:hAnsi="仿宋" w:eastAsia="仿宋_GB2312" w:cs="仿宋_GB2312"/>
          <w:bCs/>
          <w:kern w:val="0"/>
          <w:sz w:val="28"/>
          <w:szCs w:val="28"/>
        </w:rPr>
        <w:t>。</w:t>
      </w:r>
    </w:p>
    <w:p>
      <w:pPr>
        <w:spacing w:line="560" w:lineRule="exact"/>
        <w:ind w:firstLine="562" w:firstLineChars="200"/>
        <w:rPr>
          <w:rFonts w:ascii="仿宋_GB2312" w:hAnsi="仿宋" w:eastAsia="仿宋_GB2312" w:cs="仿宋_GB2312"/>
          <w:b/>
          <w:bCs/>
          <w:kern w:val="0"/>
          <w:sz w:val="28"/>
          <w:szCs w:val="28"/>
        </w:rPr>
      </w:pPr>
      <w:r>
        <w:rPr>
          <w:rFonts w:ascii="仿宋_GB2312" w:hAnsi="仿宋" w:eastAsia="仿宋_GB2312" w:cs="仿宋_GB2312"/>
          <w:b/>
          <w:bCs/>
          <w:kern w:val="0"/>
          <w:sz w:val="28"/>
          <w:szCs w:val="28"/>
        </w:rPr>
        <w:t>2</w:t>
      </w:r>
      <w:r>
        <w:rPr>
          <w:rFonts w:hint="eastAsia" w:ascii="仿宋_GB2312" w:hAnsi="仿宋" w:eastAsia="仿宋_GB2312" w:cs="仿宋_GB2312"/>
          <w:b/>
          <w:bCs/>
          <w:kern w:val="0"/>
          <w:sz w:val="28"/>
          <w:szCs w:val="28"/>
        </w:rPr>
        <w:t>.</w:t>
      </w:r>
      <w:r>
        <w:rPr>
          <w:rFonts w:ascii="仿宋_GB2312" w:hAnsi="仿宋" w:eastAsia="仿宋_GB2312" w:cs="仿宋_GB2312"/>
          <w:b/>
          <w:bCs/>
          <w:kern w:val="0"/>
          <w:sz w:val="28"/>
          <w:szCs w:val="28"/>
        </w:rPr>
        <w:t>6</w:t>
      </w:r>
      <w:r>
        <w:rPr>
          <w:rFonts w:hint="eastAsia" w:ascii="仿宋_GB2312" w:hAnsi="仿宋" w:eastAsia="仿宋_GB2312" w:cs="仿宋_GB2312"/>
          <w:b/>
          <w:bCs/>
          <w:kern w:val="0"/>
          <w:sz w:val="28"/>
          <w:szCs w:val="28"/>
        </w:rPr>
        <w:t>确定中标人</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采购小组将按综合评分总得分由高到低确定第一中标候选人和第二中标候选人，（得分相同时，以响应报价由低到高顺序排列；得分相同且响应报价相同的，按技术指标优劣顺序排列），并将结果通过EPS系统进行发布。若出现第一中标候选人放弃成交或不能按采购文件规定签订合同等原因，取消中标资格，按排名顺序依次确定排名第二的中标候选人为中标投标方，以此类推。</w:t>
      </w: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spacing w:line="360" w:lineRule="auto"/>
        <w:ind w:firstLine="560" w:firstLineChars="200"/>
        <w:rPr>
          <w:rFonts w:ascii="仿宋_GB2312" w:hAnsi="仿宋" w:eastAsia="仿宋_GB2312" w:cs="仿宋_GB2312"/>
          <w:bCs/>
          <w:kern w:val="0"/>
          <w:sz w:val="28"/>
          <w:szCs w:val="28"/>
        </w:rPr>
      </w:pPr>
    </w:p>
    <w:p>
      <w:pPr>
        <w:pStyle w:val="2"/>
        <w:spacing w:line="560" w:lineRule="exact"/>
        <w:jc w:val="center"/>
        <w:rPr>
          <w:rFonts w:ascii="仿宋" w:hAnsi="仿宋" w:eastAsia="仿宋"/>
          <w:snapToGrid w:val="0"/>
          <w:sz w:val="32"/>
          <w:szCs w:val="32"/>
        </w:rPr>
      </w:pPr>
      <w:r>
        <w:rPr>
          <w:rFonts w:hint="eastAsia" w:ascii="仿宋" w:hAnsi="仿宋" w:eastAsia="仿宋" w:cs="方正小标宋_GBK"/>
          <w:kern w:val="0"/>
        </w:rPr>
        <w:t>第四章  项目内容及技术要求</w:t>
      </w:r>
    </w:p>
    <w:p>
      <w:pPr>
        <w:spacing w:line="360" w:lineRule="auto"/>
        <w:ind w:firstLine="560" w:firstLineChars="200"/>
        <w:rPr>
          <w:rFonts w:ascii="仿宋_GB2312" w:hAnsi="仿宋" w:eastAsia="仿宋_GB2312" w:cs="仿宋_GB2312"/>
          <w:bCs/>
          <w:kern w:val="0"/>
          <w:sz w:val="28"/>
          <w:szCs w:val="28"/>
        </w:rPr>
      </w:pPr>
      <w:bookmarkStart w:id="22" w:name="扫描0046"/>
      <w:bookmarkEnd w:id="22"/>
      <w:r>
        <w:rPr>
          <w:rFonts w:hint="eastAsia" w:ascii="仿宋_GB2312" w:hAnsi="仿宋" w:eastAsia="仿宋_GB2312" w:cs="仿宋_GB2312"/>
          <w:bCs/>
          <w:kern w:val="0"/>
          <w:sz w:val="28"/>
          <w:szCs w:val="28"/>
        </w:rPr>
        <w:t>一、项目内容</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项目名称：</w:t>
      </w:r>
      <w:r>
        <w:rPr>
          <w:rFonts w:hint="eastAsia" w:ascii="仿宋_GB2312" w:hAnsi="仿宋" w:eastAsia="仿宋_GB2312" w:cs="仿宋_GB2312"/>
          <w:bCs/>
          <w:kern w:val="0"/>
          <w:sz w:val="28"/>
          <w:szCs w:val="28"/>
        </w:rPr>
        <w:t>第三代厌氧反应器及配套设备采购</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项目地址：</w:t>
      </w:r>
      <w:r>
        <w:rPr>
          <w:rFonts w:hint="eastAsia" w:ascii="仿宋_GB2312" w:hAnsi="仿宋" w:eastAsia="仿宋_GB2312" w:cs="仿宋_GB2312"/>
          <w:bCs/>
          <w:kern w:val="0"/>
          <w:sz w:val="28"/>
          <w:szCs w:val="28"/>
        </w:rPr>
        <w:t>中粮糖业控股股份有限公司昌吉糖业分公司污水处理站院内</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设计规模：本项目水量共4</w:t>
      </w:r>
      <w:r>
        <w:rPr>
          <w:rFonts w:hint="eastAsia" w:ascii="仿宋_GB2312" w:hAnsi="仿宋" w:eastAsia="仿宋_GB2312" w:cs="仿宋_GB2312"/>
          <w:bCs/>
          <w:kern w:val="0"/>
          <w:sz w:val="28"/>
          <w:szCs w:val="28"/>
        </w:rPr>
        <w:t>0</w:t>
      </w:r>
      <w:r>
        <w:rPr>
          <w:rFonts w:ascii="仿宋_GB2312" w:hAnsi="仿宋" w:eastAsia="仿宋_GB2312" w:cs="仿宋_GB2312"/>
          <w:bCs/>
          <w:kern w:val="0"/>
          <w:sz w:val="28"/>
          <w:szCs w:val="28"/>
        </w:rPr>
        <w:t>00m</w:t>
      </w:r>
      <w:r>
        <w:rPr>
          <w:rFonts w:ascii="仿宋_GB2312" w:hAnsi="仿宋" w:eastAsia="仿宋_GB2312" w:cs="仿宋_GB2312"/>
          <w:bCs/>
          <w:kern w:val="0"/>
          <w:sz w:val="28"/>
          <w:szCs w:val="28"/>
          <w:vertAlign w:val="superscript"/>
        </w:rPr>
        <w:t>3</w:t>
      </w:r>
      <w:r>
        <w:rPr>
          <w:rFonts w:ascii="仿宋_GB2312" w:hAnsi="仿宋" w:eastAsia="仿宋_GB2312" w:cs="仿宋_GB2312"/>
          <w:bCs/>
          <w:kern w:val="0"/>
          <w:sz w:val="28"/>
          <w:szCs w:val="28"/>
        </w:rPr>
        <w:t>/d，运行时间每天按24h运行</w:t>
      </w:r>
      <w:bookmarkStart w:id="23" w:name="_Hlk125877967"/>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建设内容为</w:t>
      </w:r>
      <w:r>
        <w:rPr>
          <w:rFonts w:hint="eastAsia" w:ascii="仿宋_GB2312" w:hAnsi="仿宋" w:eastAsia="仿宋_GB2312" w:cs="仿宋_GB2312"/>
          <w:bCs/>
          <w:kern w:val="0"/>
          <w:sz w:val="28"/>
          <w:szCs w:val="28"/>
        </w:rPr>
        <w:t>制作</w:t>
      </w:r>
      <w:r>
        <w:rPr>
          <w:rFonts w:ascii="仿宋_GB2312" w:hAnsi="仿宋" w:eastAsia="仿宋_GB2312" w:cs="仿宋_GB2312"/>
          <w:bCs/>
          <w:kern w:val="0"/>
          <w:sz w:val="28"/>
          <w:szCs w:val="28"/>
        </w:rPr>
        <w:t>安装</w:t>
      </w:r>
      <w:r>
        <w:rPr>
          <w:rFonts w:hint="eastAsia" w:ascii="仿宋_GB2312" w:hAnsi="仿宋" w:eastAsia="仿宋_GB2312" w:cs="仿宋_GB2312"/>
          <w:bCs/>
          <w:kern w:val="0"/>
          <w:sz w:val="28"/>
          <w:szCs w:val="28"/>
        </w:rPr>
        <w:t>一</w:t>
      </w:r>
      <w:r>
        <w:rPr>
          <w:rFonts w:ascii="仿宋_GB2312" w:hAnsi="仿宋" w:eastAsia="仿宋_GB2312" w:cs="仿宋_GB2312"/>
          <w:bCs/>
          <w:kern w:val="0"/>
          <w:sz w:val="28"/>
          <w:szCs w:val="28"/>
        </w:rPr>
        <w:t>套厌氧反应器及其配套设备</w:t>
      </w:r>
      <w:bookmarkEnd w:id="23"/>
      <w:r>
        <w:rPr>
          <w:rFonts w:ascii="仿宋_GB2312" w:hAnsi="仿宋" w:eastAsia="仿宋_GB2312" w:cs="仿宋_GB2312"/>
          <w:bCs/>
          <w:kern w:val="0"/>
          <w:sz w:val="28"/>
          <w:szCs w:val="28"/>
        </w:rPr>
        <w:t>。</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工艺描述：污水通过顶上的布水装置依次进入底部的污泥层和中上部的污泥悬浮层，与其中的厌氧微生物进行反应生成沼气，气、液、固混合液通过上部的三相分离器进行分离，污泥回落到污泥悬浮区，分离后的污水排出系统。</w:t>
      </w:r>
      <w:bookmarkStart w:id="24" w:name="_Toc347476345"/>
      <w:bookmarkStart w:id="25" w:name="_Toc353636240"/>
      <w:bookmarkStart w:id="26" w:name="_Toc125889826"/>
      <w:bookmarkStart w:id="27" w:name="_Toc120373117"/>
      <w:bookmarkStart w:id="28" w:name="_Toc351651540"/>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二、</w:t>
      </w:r>
      <w:r>
        <w:rPr>
          <w:rFonts w:ascii="仿宋_GB2312" w:hAnsi="仿宋" w:eastAsia="仿宋_GB2312" w:cs="仿宋_GB2312"/>
          <w:bCs/>
          <w:kern w:val="0"/>
          <w:sz w:val="28"/>
          <w:szCs w:val="28"/>
        </w:rPr>
        <w:t>工作范围</w:t>
      </w:r>
      <w:bookmarkEnd w:id="24"/>
      <w:bookmarkEnd w:id="25"/>
      <w:bookmarkEnd w:id="26"/>
      <w:bookmarkEnd w:id="27"/>
      <w:bookmarkEnd w:id="28"/>
    </w:p>
    <w:p>
      <w:pPr>
        <w:spacing w:line="360" w:lineRule="auto"/>
        <w:ind w:firstLine="560" w:firstLineChars="200"/>
        <w:rPr>
          <w:rFonts w:ascii="仿宋_GB2312" w:hAnsi="仿宋" w:eastAsia="仿宋_GB2312" w:cs="仿宋_GB2312"/>
          <w:bCs/>
          <w:kern w:val="0"/>
          <w:sz w:val="28"/>
          <w:szCs w:val="28"/>
        </w:rPr>
      </w:pPr>
      <w:bookmarkStart w:id="29" w:name="_Toc347476346"/>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乙方工作范围</w:t>
      </w:r>
      <w:bookmarkEnd w:id="29"/>
    </w:p>
    <w:p>
      <w:pPr>
        <w:spacing w:line="360" w:lineRule="auto"/>
        <w:ind w:firstLine="560" w:firstLineChars="200"/>
        <w:rPr>
          <w:rFonts w:ascii="仿宋_GB2312" w:hAnsi="仿宋" w:eastAsia="仿宋_GB2312" w:cs="仿宋_GB2312"/>
          <w:bCs/>
          <w:kern w:val="0"/>
          <w:sz w:val="28"/>
          <w:szCs w:val="28"/>
        </w:rPr>
      </w:pPr>
      <w:bookmarkStart w:id="30" w:name="_Toc336074733"/>
      <w:bookmarkStart w:id="31" w:name="_Toc205278537"/>
      <w:bookmarkStart w:id="32" w:name="_Toc330909476"/>
      <w:r>
        <w:rPr>
          <w:rFonts w:ascii="仿宋_GB2312" w:hAnsi="仿宋" w:eastAsia="仿宋_GB2312" w:cs="仿宋_GB2312"/>
          <w:bCs/>
          <w:kern w:val="0"/>
          <w:sz w:val="28"/>
          <w:szCs w:val="28"/>
        </w:rPr>
        <w:t>1.</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乙方对设备的全部技术、性能、设计、安全、可靠性及加工制造的部件质量全面负责。</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2乙方的工作范围包括</w:t>
      </w:r>
      <w:r>
        <w:rPr>
          <w:rFonts w:hint="eastAsia" w:ascii="仿宋_GB2312" w:hAnsi="仿宋" w:eastAsia="仿宋_GB2312" w:cs="仿宋_GB2312"/>
          <w:bCs/>
          <w:kern w:val="0"/>
          <w:sz w:val="28"/>
          <w:szCs w:val="28"/>
        </w:rPr>
        <w:t>工艺包</w:t>
      </w:r>
      <w:r>
        <w:rPr>
          <w:rFonts w:ascii="仿宋_GB2312" w:hAnsi="仿宋" w:eastAsia="仿宋_GB2312" w:cs="仿宋_GB2312"/>
          <w:bCs/>
          <w:kern w:val="0"/>
          <w:sz w:val="28"/>
          <w:szCs w:val="28"/>
        </w:rPr>
        <w:t>的工艺施工图设计及供货范围内全部设备的</w:t>
      </w:r>
      <w:r>
        <w:rPr>
          <w:rFonts w:hint="eastAsia" w:ascii="仿宋_GB2312" w:hAnsi="仿宋" w:eastAsia="仿宋_GB2312" w:cs="仿宋_GB2312"/>
          <w:bCs/>
          <w:kern w:val="0"/>
          <w:sz w:val="28"/>
          <w:szCs w:val="28"/>
        </w:rPr>
        <w:t>设计</w:t>
      </w:r>
      <w:r>
        <w:rPr>
          <w:rFonts w:ascii="仿宋_GB2312" w:hAnsi="仿宋" w:eastAsia="仿宋_GB2312" w:cs="仿宋_GB2312"/>
          <w:bCs/>
          <w:kern w:val="0"/>
          <w:sz w:val="28"/>
          <w:szCs w:val="28"/>
        </w:rPr>
        <w:t>、制造、试验、包装和运输，还包括对设备的安装进行指导，并实施调试。乙方派出技术好、水平高、工作认真负责的技术人员、检查人员在设备启动调试期间进行现场技术指导和质量监督。</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3乙方提供设计、制造、安装、运行、检验、使用和维修的技术文件。</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4乙方保证所提供设备为设计思想先进、技术应用成熟、全新的、先进的、完整的和安全可靠的。</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5乙方应提供详细设备供货清单，清单中依次说明型号、数量、生产厂家等内容。</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1.6</w:t>
      </w:r>
      <w:r>
        <w:rPr>
          <w:rFonts w:ascii="仿宋_GB2312" w:hAnsi="仿宋" w:eastAsia="仿宋_GB2312" w:cs="仿宋_GB2312"/>
          <w:bCs/>
          <w:kern w:val="0"/>
          <w:sz w:val="28"/>
          <w:szCs w:val="28"/>
        </w:rPr>
        <w:t>乙方应确保供货范围完整，应满足甲方对安装、调试、运行和设备性能的要求，并提供保证设备调试、投运相关的技术服务和配合。</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7乙方需对</w:t>
      </w:r>
      <w:bookmarkStart w:id="33" w:name="_Hlk125878008"/>
      <w:r>
        <w:rPr>
          <w:rFonts w:ascii="仿宋_GB2312" w:hAnsi="仿宋" w:eastAsia="仿宋_GB2312" w:cs="仿宋_GB2312"/>
          <w:bCs/>
          <w:kern w:val="0"/>
          <w:sz w:val="28"/>
          <w:szCs w:val="28"/>
        </w:rPr>
        <w:t>1套厌氧反应器及其配套设备</w:t>
      </w:r>
      <w:bookmarkEnd w:id="33"/>
      <w:r>
        <w:rPr>
          <w:rFonts w:ascii="仿宋_GB2312" w:hAnsi="仿宋" w:eastAsia="仿宋_GB2312" w:cs="仿宋_GB2312"/>
          <w:bCs/>
          <w:kern w:val="0"/>
          <w:sz w:val="28"/>
          <w:szCs w:val="28"/>
        </w:rPr>
        <w:t>整体运行相关处理效果负责。乙方应对厌氧反应器所有设备进行水力流态、安装要求等进行复核，如对流速进行复核等，保证设备的安装、运行满足要求，所有设备由乙方现场安装及指导调试。乙方应对设备的整体性能负责。</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8乙方负责本工程1套厌氧反应器及其配套设备的供货、安装、指导调试和相应保修期内的维护。完成供货设备的指导单机调试，完成供货系统设备的指导调试，参加由业主组织的全系统和全厂调试。</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9所有设备设计、制造、试验、装运以及调试、运行应符合本技术规定的要求，达到应用条款指定的功能。</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1.10</w:t>
      </w:r>
      <w:r>
        <w:rPr>
          <w:rFonts w:ascii="仿宋_GB2312" w:hAnsi="仿宋" w:eastAsia="仿宋_GB2312" w:cs="仿宋_GB2312"/>
          <w:bCs/>
          <w:kern w:val="0"/>
          <w:sz w:val="28"/>
          <w:szCs w:val="28"/>
        </w:rPr>
        <w:t>提供的所有设备应能适合当地气象条件、适应该工程现场使用环境。乙方在选择所提供的设备时，应把这些条件充分考虑进去。</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1</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乙方有责任承担技术服务，如技术指导、售后服务、技术交底、设计联络等。</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1.12</w:t>
      </w:r>
      <w:r>
        <w:rPr>
          <w:rFonts w:ascii="仿宋_GB2312" w:hAnsi="仿宋" w:eastAsia="仿宋_GB2312" w:cs="仿宋_GB2312"/>
          <w:bCs/>
          <w:kern w:val="0"/>
          <w:sz w:val="28"/>
          <w:szCs w:val="28"/>
        </w:rPr>
        <w:t>乙方使用的标准如果在技术规定中没有规定，应对其进行说明。当所用标准和实施规则等效于或优于本技术规定要求时，该标准才可能为甲方接受。乙方应清楚的说明用于替代的标准或实际使用的标准，并提交所应用标准或实施的规范，明显的差异要说明。</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 xml:space="preserve">2 </w:t>
      </w:r>
      <w:r>
        <w:rPr>
          <w:rFonts w:ascii="仿宋_GB2312" w:hAnsi="仿宋" w:eastAsia="仿宋_GB2312" w:cs="仿宋_GB2312"/>
          <w:bCs/>
          <w:kern w:val="0"/>
          <w:sz w:val="28"/>
          <w:szCs w:val="28"/>
        </w:rPr>
        <w:t>甲方工作</w:t>
      </w:r>
      <w:bookmarkEnd w:id="30"/>
      <w:bookmarkEnd w:id="31"/>
      <w:bookmarkEnd w:id="32"/>
      <w:r>
        <w:rPr>
          <w:rFonts w:ascii="仿宋_GB2312" w:hAnsi="仿宋" w:eastAsia="仿宋_GB2312" w:cs="仿宋_GB2312"/>
          <w:bCs/>
          <w:kern w:val="0"/>
          <w:sz w:val="28"/>
          <w:szCs w:val="28"/>
        </w:rPr>
        <w:t>范围</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1确认设备的基本参数要求。</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2.</w:t>
      </w: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配合乙方的有关</w:t>
      </w:r>
      <w:r>
        <w:rPr>
          <w:rFonts w:hint="eastAsia" w:ascii="仿宋_GB2312" w:hAnsi="仿宋" w:eastAsia="仿宋_GB2312" w:cs="仿宋_GB2312"/>
          <w:bCs/>
          <w:kern w:val="0"/>
          <w:sz w:val="28"/>
          <w:szCs w:val="28"/>
        </w:rPr>
        <w:t>安装</w:t>
      </w:r>
      <w:r>
        <w:rPr>
          <w:rFonts w:ascii="仿宋_GB2312" w:hAnsi="仿宋" w:eastAsia="仿宋_GB2312" w:cs="仿宋_GB2312"/>
          <w:bCs/>
          <w:kern w:val="0"/>
          <w:sz w:val="28"/>
          <w:szCs w:val="28"/>
        </w:rPr>
        <w:t>工作。</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3 乙方</w:t>
      </w:r>
      <w:r>
        <w:rPr>
          <w:rFonts w:hint="eastAsia" w:ascii="仿宋_GB2312" w:hAnsi="仿宋" w:eastAsia="仿宋_GB2312" w:cs="仿宋_GB2312"/>
          <w:bCs/>
          <w:kern w:val="0"/>
          <w:sz w:val="28"/>
          <w:szCs w:val="28"/>
        </w:rPr>
        <w:t>供货清单</w:t>
      </w:r>
      <w:r>
        <w:rPr>
          <w:rFonts w:ascii="仿宋_GB2312" w:hAnsi="仿宋" w:eastAsia="仿宋_GB2312" w:cs="仿宋_GB2312"/>
          <w:bCs/>
          <w:kern w:val="0"/>
          <w:sz w:val="28"/>
          <w:szCs w:val="28"/>
        </w:rPr>
        <w:t>的确认和设备的验收。</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 xml:space="preserve">4 </w:t>
      </w:r>
      <w:r>
        <w:rPr>
          <w:rFonts w:hint="eastAsia" w:ascii="仿宋_GB2312" w:hAnsi="仿宋" w:eastAsia="仿宋_GB2312" w:cs="仿宋_GB2312"/>
          <w:bCs/>
          <w:kern w:val="0"/>
          <w:sz w:val="28"/>
          <w:szCs w:val="28"/>
        </w:rPr>
        <w:t>配合</w:t>
      </w:r>
      <w:r>
        <w:rPr>
          <w:rFonts w:ascii="仿宋_GB2312" w:hAnsi="仿宋" w:eastAsia="仿宋_GB2312" w:cs="仿宋_GB2312"/>
          <w:bCs/>
          <w:kern w:val="0"/>
          <w:sz w:val="28"/>
          <w:szCs w:val="28"/>
        </w:rPr>
        <w:t>乙方的指导进行设备调试。</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3 责任范围</w:t>
      </w:r>
      <w:r>
        <w:rPr>
          <w:rFonts w:ascii="仿宋_GB2312" w:hAnsi="仿宋" w:eastAsia="仿宋_GB2312" w:cs="仿宋_GB2312"/>
          <w:bCs/>
          <w:kern w:val="0"/>
          <w:sz w:val="28"/>
          <w:szCs w:val="28"/>
        </w:rPr>
        <w:t>划分</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3.</w:t>
      </w:r>
      <w:r>
        <w:rPr>
          <w:rFonts w:ascii="仿宋_GB2312" w:hAnsi="仿宋" w:eastAsia="仿宋_GB2312" w:cs="仿宋_GB2312"/>
          <w:bCs/>
          <w:kern w:val="0"/>
          <w:sz w:val="28"/>
          <w:szCs w:val="28"/>
        </w:rPr>
        <w:t>1.乙方负责厌氧反应器主体及其保温、</w:t>
      </w:r>
      <w:r>
        <w:rPr>
          <w:rFonts w:hint="eastAsia" w:ascii="仿宋_GB2312" w:hAnsi="仿宋" w:eastAsia="仿宋_GB2312" w:cs="仿宋_GB2312"/>
          <w:bCs/>
          <w:kern w:val="0"/>
          <w:sz w:val="28"/>
          <w:szCs w:val="28"/>
        </w:rPr>
        <w:t>布水装置、</w:t>
      </w:r>
      <w:r>
        <w:rPr>
          <w:rFonts w:ascii="仿宋_GB2312" w:hAnsi="仿宋" w:eastAsia="仿宋_GB2312" w:cs="仿宋_GB2312"/>
          <w:bCs/>
          <w:kern w:val="0"/>
          <w:sz w:val="28"/>
          <w:szCs w:val="28"/>
        </w:rPr>
        <w:t>三相分离器、三相分离器支架、出水槽、水封罐</w:t>
      </w:r>
      <w:r>
        <w:rPr>
          <w:rFonts w:hint="eastAsia" w:ascii="仿宋_GB2312" w:hAnsi="仿宋" w:eastAsia="仿宋_GB2312" w:cs="仿宋_GB2312"/>
          <w:bCs/>
          <w:kern w:val="0"/>
          <w:sz w:val="28"/>
          <w:szCs w:val="28"/>
        </w:rPr>
        <w:t>、排泥装置</w:t>
      </w:r>
      <w:r>
        <w:rPr>
          <w:rFonts w:ascii="仿宋_GB2312" w:hAnsi="仿宋" w:eastAsia="仿宋_GB2312" w:cs="仿宋_GB2312"/>
          <w:bCs/>
          <w:kern w:val="0"/>
          <w:sz w:val="28"/>
          <w:szCs w:val="28"/>
        </w:rPr>
        <w:t>的供货。供货范围包含支架及固定件。</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3.</w:t>
      </w:r>
      <w:r>
        <w:rPr>
          <w:rFonts w:ascii="仿宋_GB2312" w:hAnsi="仿宋" w:eastAsia="仿宋_GB2312" w:cs="仿宋_GB2312"/>
          <w:bCs/>
          <w:kern w:val="0"/>
          <w:sz w:val="28"/>
          <w:szCs w:val="28"/>
        </w:rPr>
        <w:t>2甲方提供管路至厌氧反应器</w:t>
      </w:r>
      <w:r>
        <w:rPr>
          <w:rFonts w:hint="eastAsia" w:ascii="仿宋_GB2312" w:hAnsi="仿宋" w:eastAsia="仿宋_GB2312" w:cs="仿宋_GB2312"/>
          <w:bCs/>
          <w:kern w:val="0"/>
          <w:sz w:val="28"/>
          <w:szCs w:val="28"/>
        </w:rPr>
        <w:t>布水装置</w:t>
      </w:r>
      <w:r>
        <w:rPr>
          <w:rFonts w:ascii="仿宋_GB2312" w:hAnsi="仿宋" w:eastAsia="仿宋_GB2312" w:cs="仿宋_GB2312"/>
          <w:bCs/>
          <w:kern w:val="0"/>
          <w:sz w:val="28"/>
          <w:szCs w:val="28"/>
        </w:rPr>
        <w:t>外1米，预留接口，之后管路归乙方负责，乙方负责自</w:t>
      </w:r>
      <w:r>
        <w:rPr>
          <w:rFonts w:hint="eastAsia" w:ascii="仿宋_GB2312" w:hAnsi="仿宋" w:eastAsia="仿宋_GB2312" w:cs="仿宋_GB2312"/>
          <w:bCs/>
          <w:kern w:val="0"/>
          <w:sz w:val="28"/>
          <w:szCs w:val="28"/>
        </w:rPr>
        <w:t>布水装置</w:t>
      </w:r>
      <w:r>
        <w:rPr>
          <w:rFonts w:ascii="仿宋_GB2312" w:hAnsi="仿宋" w:eastAsia="仿宋_GB2312" w:cs="仿宋_GB2312"/>
          <w:bCs/>
          <w:kern w:val="0"/>
          <w:sz w:val="28"/>
          <w:szCs w:val="28"/>
        </w:rPr>
        <w:t>外1米起至池内布水系统末端管路，管路材质为碳钢。</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3.</w:t>
      </w:r>
      <w:r>
        <w:rPr>
          <w:rFonts w:ascii="仿宋_GB2312" w:hAnsi="仿宋" w:eastAsia="仿宋_GB2312" w:cs="仿宋_GB2312"/>
          <w:bCs/>
          <w:kern w:val="0"/>
          <w:sz w:val="28"/>
          <w:szCs w:val="28"/>
        </w:rPr>
        <w:t>3穿孔排泥系统，甲方提供管路至厌氧反应器外1米，预留接口，之后管路归乙方负责，管路材质为碳钢。</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3.4 乙方负责厌氧反应器设备基础的设计图。</w:t>
      </w:r>
    </w:p>
    <w:p>
      <w:pPr>
        <w:spacing w:line="360" w:lineRule="auto"/>
        <w:ind w:firstLine="560" w:firstLineChars="200"/>
        <w:rPr>
          <w:rFonts w:ascii="仿宋_GB2312" w:hAnsi="仿宋" w:eastAsia="仿宋_GB2312" w:cs="仿宋_GB2312"/>
          <w:bCs/>
          <w:kern w:val="0"/>
          <w:sz w:val="28"/>
          <w:szCs w:val="28"/>
        </w:rPr>
      </w:pPr>
      <w:bookmarkStart w:id="34" w:name="_Toc125889827"/>
      <w:bookmarkStart w:id="35" w:name="_Toc120373118"/>
      <w:bookmarkStart w:id="36" w:name="_Toc353636241"/>
      <w:r>
        <w:rPr>
          <w:rFonts w:hint="eastAsia" w:ascii="仿宋_GB2312" w:hAnsi="仿宋" w:eastAsia="仿宋_GB2312" w:cs="仿宋_GB2312"/>
          <w:bCs/>
          <w:kern w:val="0"/>
          <w:sz w:val="28"/>
          <w:szCs w:val="28"/>
        </w:rPr>
        <w:t>4</w:t>
      </w:r>
      <w:r>
        <w:rPr>
          <w:rFonts w:ascii="仿宋_GB2312" w:hAnsi="仿宋" w:eastAsia="仿宋_GB2312" w:cs="仿宋_GB2312"/>
          <w:bCs/>
          <w:kern w:val="0"/>
          <w:sz w:val="28"/>
          <w:szCs w:val="28"/>
        </w:rPr>
        <w:t>供货范围</w:t>
      </w:r>
      <w:bookmarkEnd w:id="34"/>
      <w:bookmarkEnd w:id="35"/>
      <w:bookmarkEnd w:id="36"/>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乙方所供设备包含但不限于以下部件：</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4.1</w:t>
      </w:r>
      <w:r>
        <w:rPr>
          <w:rFonts w:ascii="仿宋_GB2312" w:hAnsi="仿宋" w:eastAsia="仿宋_GB2312" w:cs="仿宋_GB2312"/>
          <w:bCs/>
          <w:kern w:val="0"/>
          <w:sz w:val="28"/>
          <w:szCs w:val="28"/>
        </w:rPr>
        <w:t>厌氧</w:t>
      </w:r>
      <w:r>
        <w:rPr>
          <w:rFonts w:hint="eastAsia" w:ascii="仿宋_GB2312" w:hAnsi="仿宋" w:eastAsia="仿宋_GB2312" w:cs="仿宋_GB2312"/>
          <w:bCs/>
          <w:kern w:val="0"/>
          <w:sz w:val="28"/>
          <w:szCs w:val="28"/>
        </w:rPr>
        <w:t>反应器</w:t>
      </w:r>
      <w:r>
        <w:rPr>
          <w:rFonts w:ascii="仿宋_GB2312" w:hAnsi="仿宋" w:eastAsia="仿宋_GB2312" w:cs="仿宋_GB2312"/>
          <w:bCs/>
          <w:kern w:val="0"/>
          <w:sz w:val="28"/>
          <w:szCs w:val="28"/>
        </w:rPr>
        <w:t>主体及保温</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4.2</w:t>
      </w:r>
      <w:r>
        <w:rPr>
          <w:rFonts w:ascii="仿宋_GB2312" w:hAnsi="仿宋" w:eastAsia="仿宋_GB2312" w:cs="仿宋_GB2312"/>
          <w:bCs/>
          <w:kern w:val="0"/>
          <w:sz w:val="28"/>
          <w:szCs w:val="28"/>
        </w:rPr>
        <w:t xml:space="preserve"> 布水器</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4.3</w:t>
      </w:r>
      <w:r>
        <w:rPr>
          <w:rFonts w:ascii="仿宋_GB2312" w:hAnsi="仿宋" w:eastAsia="仿宋_GB2312" w:cs="仿宋_GB2312"/>
          <w:bCs/>
          <w:kern w:val="0"/>
          <w:sz w:val="28"/>
          <w:szCs w:val="28"/>
        </w:rPr>
        <w:t xml:space="preserve"> 厌氧布水系统所用的管道管件及阀门材料（材料统计至</w:t>
      </w:r>
      <w:r>
        <w:rPr>
          <w:rFonts w:hint="eastAsia" w:ascii="仿宋_GB2312" w:hAnsi="仿宋" w:eastAsia="仿宋_GB2312" w:cs="仿宋_GB2312"/>
          <w:bCs/>
          <w:kern w:val="0"/>
          <w:sz w:val="28"/>
          <w:szCs w:val="28"/>
        </w:rPr>
        <w:t>布水装置</w:t>
      </w:r>
      <w:r>
        <w:rPr>
          <w:rFonts w:ascii="仿宋_GB2312" w:hAnsi="仿宋" w:eastAsia="仿宋_GB2312" w:cs="仿宋_GB2312"/>
          <w:bCs/>
          <w:kern w:val="0"/>
          <w:sz w:val="28"/>
          <w:szCs w:val="28"/>
        </w:rPr>
        <w:t>外1m）</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4.4</w:t>
      </w:r>
      <w:r>
        <w:rPr>
          <w:rFonts w:ascii="仿宋_GB2312" w:hAnsi="仿宋" w:eastAsia="仿宋_GB2312" w:cs="仿宋_GB2312"/>
          <w:bCs/>
          <w:kern w:val="0"/>
          <w:sz w:val="28"/>
          <w:szCs w:val="28"/>
        </w:rPr>
        <w:t>三相分离器及其支架</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4.5</w:t>
      </w:r>
      <w:r>
        <w:rPr>
          <w:rFonts w:ascii="仿宋_GB2312" w:hAnsi="仿宋" w:eastAsia="仿宋_GB2312" w:cs="仿宋_GB2312"/>
          <w:bCs/>
          <w:kern w:val="0"/>
          <w:sz w:val="28"/>
          <w:szCs w:val="28"/>
        </w:rPr>
        <w:t>出水</w:t>
      </w:r>
      <w:r>
        <w:rPr>
          <w:rFonts w:hint="eastAsia" w:ascii="仿宋_GB2312" w:hAnsi="仿宋" w:eastAsia="仿宋_GB2312" w:cs="仿宋_GB2312"/>
          <w:bCs/>
          <w:kern w:val="0"/>
          <w:sz w:val="28"/>
          <w:szCs w:val="28"/>
        </w:rPr>
        <w:t>装置</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4.6排泥装置</w:t>
      </w:r>
      <w:r>
        <w:rPr>
          <w:rFonts w:ascii="仿宋_GB2312" w:hAnsi="仿宋" w:eastAsia="仿宋_GB2312" w:cs="仿宋_GB2312"/>
          <w:bCs/>
          <w:kern w:val="0"/>
          <w:sz w:val="28"/>
          <w:szCs w:val="28"/>
        </w:rPr>
        <w:t>所用的管道管件及阀门材料（材料统计至构筑物外1m）</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如有本规格书未提及而属成套设备必须的配件、附件、仪表等，需由乙方列出</w:t>
      </w:r>
      <w:r>
        <w:rPr>
          <w:rFonts w:hint="eastAsia" w:ascii="仿宋_GB2312" w:hAnsi="仿宋" w:eastAsia="仿宋_GB2312" w:cs="仿宋_GB2312"/>
          <w:bCs/>
          <w:kern w:val="0"/>
          <w:sz w:val="28"/>
          <w:szCs w:val="28"/>
        </w:rPr>
        <w:t>清单</w:t>
      </w:r>
      <w:r>
        <w:rPr>
          <w:rFonts w:ascii="仿宋_GB2312" w:hAnsi="仿宋" w:eastAsia="仿宋_GB2312" w:cs="仿宋_GB2312"/>
          <w:bCs/>
          <w:kern w:val="0"/>
          <w:sz w:val="28"/>
          <w:szCs w:val="28"/>
        </w:rPr>
        <w:t>并供货。</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4.7</w:t>
      </w:r>
      <w:r>
        <w:rPr>
          <w:rFonts w:ascii="仿宋_GB2312" w:hAnsi="仿宋" w:eastAsia="仿宋_GB2312" w:cs="仿宋_GB2312"/>
          <w:bCs/>
          <w:kern w:val="0"/>
          <w:sz w:val="28"/>
          <w:szCs w:val="28"/>
        </w:rPr>
        <w:t>设备清单</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乙方供货设备清单如表4-1所示：</w:t>
      </w:r>
    </w:p>
    <w:tbl>
      <w:tblPr>
        <w:tblStyle w:val="21"/>
        <w:tblW w:w="4437" w:type="pct"/>
        <w:tblInd w:w="392" w:type="dxa"/>
        <w:tblLayout w:type="autofit"/>
        <w:tblCellMar>
          <w:top w:w="0" w:type="dxa"/>
          <w:left w:w="108" w:type="dxa"/>
          <w:bottom w:w="0" w:type="dxa"/>
          <w:right w:w="108" w:type="dxa"/>
        </w:tblCellMar>
      </w:tblPr>
      <w:tblGrid>
        <w:gridCol w:w="1027"/>
        <w:gridCol w:w="4189"/>
        <w:gridCol w:w="1628"/>
        <w:gridCol w:w="1396"/>
      </w:tblGrid>
      <w:tr>
        <w:tblPrEx>
          <w:tblCellMar>
            <w:top w:w="0" w:type="dxa"/>
            <w:left w:w="108" w:type="dxa"/>
            <w:bottom w:w="0" w:type="dxa"/>
            <w:right w:w="108" w:type="dxa"/>
          </w:tblCellMar>
        </w:tblPrEx>
        <w:trPr>
          <w:trHeight w:val="152" w:hRule="atLeast"/>
        </w:trPr>
        <w:tc>
          <w:tcPr>
            <w:tcW w:w="623" w:type="pct"/>
            <w:tcBorders>
              <w:top w:val="double" w:color="auto" w:sz="6" w:space="0"/>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2542" w:type="pct"/>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名称</w:t>
            </w:r>
          </w:p>
        </w:tc>
        <w:tc>
          <w:tcPr>
            <w:tcW w:w="988" w:type="pct"/>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单位</w:t>
            </w:r>
          </w:p>
        </w:tc>
        <w:tc>
          <w:tcPr>
            <w:tcW w:w="847" w:type="pct"/>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r>
      <w:tr>
        <w:tblPrEx>
          <w:tblCellMar>
            <w:top w:w="0" w:type="dxa"/>
            <w:left w:w="108" w:type="dxa"/>
            <w:bottom w:w="0" w:type="dxa"/>
            <w:right w:w="108" w:type="dxa"/>
          </w:tblCellMar>
        </w:tblPrEx>
        <w:trPr>
          <w:trHeight w:val="309"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1</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钢结构塔体</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座</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2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2</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钢结构塔体保温及防腐</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项</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3</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布水装置</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4</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三相分离器</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5</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沼气系统</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254"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6</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出水</w:t>
            </w:r>
            <w:r>
              <w:rPr>
                <w:rFonts w:hint="eastAsia" w:ascii="仿宋" w:hAnsi="仿宋" w:eastAsia="仿宋" w:cs="Arial"/>
                <w:kern w:val="0"/>
                <w:sz w:val="24"/>
              </w:rPr>
              <w:t>收集装置</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06"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hint="eastAsia" w:ascii="仿宋" w:hAnsi="仿宋" w:eastAsia="仿宋"/>
                <w:kern w:val="0"/>
                <w:sz w:val="24"/>
              </w:rPr>
              <w:t>7</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排泥装置</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1</w:t>
            </w:r>
          </w:p>
        </w:tc>
      </w:tr>
      <w:tr>
        <w:tblPrEx>
          <w:tblCellMar>
            <w:top w:w="0" w:type="dxa"/>
            <w:left w:w="108" w:type="dxa"/>
            <w:bottom w:w="0" w:type="dxa"/>
            <w:right w:w="108" w:type="dxa"/>
          </w:tblCellMar>
        </w:tblPrEx>
        <w:trPr>
          <w:trHeight w:val="306"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hint="eastAsia" w:ascii="仿宋" w:hAnsi="仿宋" w:eastAsia="仿宋"/>
                <w:kern w:val="0"/>
                <w:sz w:val="24"/>
              </w:rPr>
              <w:t>8</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r>
      <w:tr>
        <w:tblPrEx>
          <w:tblCellMar>
            <w:top w:w="0" w:type="dxa"/>
            <w:left w:w="108" w:type="dxa"/>
            <w:bottom w:w="0" w:type="dxa"/>
            <w:right w:w="108" w:type="dxa"/>
          </w:tblCellMar>
        </w:tblPrEx>
        <w:trPr>
          <w:trHeight w:val="306"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hint="eastAsia" w:ascii="仿宋" w:hAnsi="仿宋" w:eastAsia="仿宋"/>
                <w:kern w:val="0"/>
                <w:sz w:val="24"/>
              </w:rPr>
              <w:t>9</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r>
    </w:tbl>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备注：</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1、设备清单中所列的设备材料数量及参数仅供乙方参考，乙方在保证</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套厌氧反应器及其配套设备的处理水量和出水水质、性能达到相应要求、满足技术规范要求的前提下（不得低于技术规范的要求），根据自身设备产品的设计情况和设备特点，可适当调整设备、材料及配套附件的数量、规格型号及布置。</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2、《设备清单》仅为对乙方要求的最低需求，乙方必须遵照本文件要求提供工艺包必须的所有设备及其配件、管道、管件等，而不论这些设备及其配件、管道、管件等在设备清单中是否详细列出。</w:t>
      </w:r>
    </w:p>
    <w:p>
      <w:pPr>
        <w:spacing w:line="360" w:lineRule="auto"/>
        <w:ind w:firstLine="560" w:firstLineChars="200"/>
        <w:rPr>
          <w:rFonts w:ascii="仿宋_GB2312" w:hAnsi="仿宋" w:eastAsia="仿宋_GB2312" w:cs="仿宋_GB2312"/>
          <w:bCs/>
          <w:kern w:val="0"/>
          <w:sz w:val="28"/>
          <w:szCs w:val="28"/>
        </w:rPr>
      </w:pPr>
      <w:bookmarkStart w:id="37" w:name="_Toc125889828"/>
      <w:bookmarkStart w:id="38" w:name="_Toc120373119"/>
      <w:r>
        <w:rPr>
          <w:rFonts w:hint="eastAsia" w:ascii="仿宋_GB2312" w:hAnsi="仿宋" w:eastAsia="仿宋_GB2312" w:cs="仿宋_GB2312"/>
          <w:bCs/>
          <w:kern w:val="0"/>
          <w:sz w:val="28"/>
          <w:szCs w:val="28"/>
        </w:rPr>
        <w:t>5</w:t>
      </w:r>
      <w:r>
        <w:rPr>
          <w:rFonts w:ascii="仿宋_GB2312" w:hAnsi="仿宋" w:eastAsia="仿宋_GB2312" w:cs="仿宋_GB2312"/>
          <w:bCs/>
          <w:kern w:val="0"/>
          <w:sz w:val="28"/>
          <w:szCs w:val="28"/>
        </w:rPr>
        <w:t>标准规范</w:t>
      </w:r>
      <w:bookmarkEnd w:id="37"/>
      <w:bookmarkEnd w:id="38"/>
    </w:p>
    <w:p>
      <w:pPr>
        <w:spacing w:line="360" w:lineRule="auto"/>
        <w:ind w:firstLine="560" w:firstLineChars="200"/>
        <w:rPr>
          <w:rFonts w:ascii="仿宋_GB2312" w:hAnsi="仿宋" w:eastAsia="仿宋_GB2312" w:cs="仿宋_GB2312"/>
          <w:bCs/>
          <w:kern w:val="0"/>
          <w:sz w:val="28"/>
          <w:szCs w:val="28"/>
        </w:rPr>
      </w:pPr>
      <w:bookmarkStart w:id="39" w:name="_Toc347476353"/>
      <w:r>
        <w:rPr>
          <w:rFonts w:hint="eastAsia" w:ascii="仿宋_GB2312" w:hAnsi="仿宋" w:eastAsia="仿宋_GB2312" w:cs="仿宋_GB2312"/>
          <w:bCs/>
          <w:kern w:val="0"/>
          <w:sz w:val="28"/>
          <w:szCs w:val="28"/>
        </w:rPr>
        <w:t>5.1</w:t>
      </w:r>
      <w:r>
        <w:rPr>
          <w:rFonts w:ascii="仿宋_GB2312" w:hAnsi="仿宋" w:eastAsia="仿宋_GB2312" w:cs="仿宋_GB2312"/>
          <w:bCs/>
          <w:kern w:val="0"/>
          <w:sz w:val="28"/>
          <w:szCs w:val="28"/>
        </w:rPr>
        <w:t>一般要求</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5.1.</w:t>
      </w:r>
      <w:r>
        <w:rPr>
          <w:rFonts w:ascii="仿宋_GB2312" w:hAnsi="仿宋" w:eastAsia="仿宋_GB2312" w:cs="仿宋_GB2312"/>
          <w:bCs/>
          <w:kern w:val="0"/>
          <w:sz w:val="28"/>
          <w:szCs w:val="28"/>
        </w:rPr>
        <w:t>1设计和设备材料的供货应完全符合本协议中所列的标准规范和工程规定中的要求，任何不符之处乙方均应提出并由甲方批准后方可使用。</w:t>
      </w:r>
      <w:bookmarkEnd w:id="39"/>
    </w:p>
    <w:p>
      <w:pPr>
        <w:spacing w:line="360" w:lineRule="auto"/>
        <w:ind w:firstLine="560" w:firstLineChars="200"/>
        <w:rPr>
          <w:rFonts w:ascii="仿宋_GB2312" w:hAnsi="仿宋" w:eastAsia="仿宋_GB2312" w:cs="仿宋_GB2312"/>
          <w:bCs/>
          <w:kern w:val="0"/>
          <w:sz w:val="28"/>
          <w:szCs w:val="28"/>
        </w:rPr>
      </w:pPr>
      <w:bookmarkStart w:id="40" w:name="_Toc347476354"/>
      <w:r>
        <w:rPr>
          <w:rFonts w:ascii="仿宋_GB2312" w:hAnsi="仿宋" w:eastAsia="仿宋_GB2312" w:cs="仿宋_GB2312"/>
          <w:bCs/>
          <w:kern w:val="0"/>
          <w:sz w:val="28"/>
          <w:szCs w:val="28"/>
        </w:rPr>
        <w:t>5.1.2针对规定同一内容，出现不同标准和规范时，除非甲方认可，否则执行其中最严格的标准和规范。</w:t>
      </w:r>
      <w:bookmarkEnd w:id="40"/>
    </w:p>
    <w:p>
      <w:pPr>
        <w:spacing w:line="360" w:lineRule="auto"/>
        <w:ind w:firstLine="560" w:firstLineChars="200"/>
        <w:rPr>
          <w:rFonts w:ascii="仿宋_GB2312" w:hAnsi="仿宋" w:eastAsia="仿宋_GB2312" w:cs="仿宋_GB2312"/>
          <w:bCs/>
          <w:kern w:val="0"/>
          <w:sz w:val="28"/>
          <w:szCs w:val="28"/>
        </w:rPr>
      </w:pPr>
      <w:bookmarkStart w:id="41" w:name="_Toc347476355"/>
      <w:r>
        <w:rPr>
          <w:rFonts w:ascii="仿宋_GB2312" w:hAnsi="仿宋" w:eastAsia="仿宋_GB2312" w:cs="仿宋_GB2312"/>
          <w:bCs/>
          <w:kern w:val="0"/>
          <w:sz w:val="28"/>
          <w:szCs w:val="28"/>
        </w:rPr>
        <w:t>5.1.3当所列标准和规范不能覆盖乙方的设计和供货时，在得到甲方批准后，制造厂的标准可以被使用。</w:t>
      </w:r>
      <w:bookmarkEnd w:id="41"/>
    </w:p>
    <w:p>
      <w:pPr>
        <w:spacing w:line="360" w:lineRule="auto"/>
        <w:ind w:firstLine="560" w:firstLineChars="200"/>
        <w:rPr>
          <w:rFonts w:ascii="仿宋_GB2312" w:hAnsi="仿宋" w:eastAsia="仿宋_GB2312" w:cs="仿宋_GB2312"/>
          <w:bCs/>
          <w:kern w:val="0"/>
          <w:sz w:val="28"/>
          <w:szCs w:val="28"/>
        </w:rPr>
      </w:pPr>
      <w:bookmarkStart w:id="42" w:name="_Toc347476357"/>
      <w:r>
        <w:rPr>
          <w:rFonts w:hint="eastAsia" w:ascii="仿宋_GB2312" w:hAnsi="仿宋" w:eastAsia="仿宋_GB2312" w:cs="仿宋_GB2312"/>
          <w:bCs/>
          <w:kern w:val="0"/>
          <w:sz w:val="28"/>
          <w:szCs w:val="28"/>
        </w:rPr>
        <w:t>5.2</w:t>
      </w:r>
      <w:r>
        <w:rPr>
          <w:rFonts w:ascii="仿宋_GB2312" w:hAnsi="仿宋" w:eastAsia="仿宋_GB2312" w:cs="仿宋_GB2312"/>
          <w:bCs/>
          <w:kern w:val="0"/>
          <w:sz w:val="28"/>
          <w:szCs w:val="28"/>
        </w:rPr>
        <w:t>应遵循的标准规范</w:t>
      </w:r>
      <w:bookmarkEnd w:id="42"/>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9"/>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265" w:type="pct"/>
            <w:vAlign w:val="center"/>
          </w:tcPr>
          <w:p>
            <w:pPr>
              <w:spacing w:line="360" w:lineRule="auto"/>
              <w:rPr>
                <w:rFonts w:ascii="仿宋_GB2312" w:hAnsi="仿宋" w:eastAsia="仿宋_GB2312" w:cs="仿宋_GB2312"/>
                <w:bCs/>
                <w:kern w:val="0"/>
                <w:sz w:val="24"/>
              </w:rPr>
            </w:pPr>
            <w:r>
              <w:rPr>
                <w:rFonts w:hint="eastAsia" w:ascii="仿宋_GB2312" w:hAnsi="仿宋" w:eastAsia="仿宋_GB2312" w:cs="仿宋_GB2312"/>
                <w:bCs/>
                <w:kern w:val="0"/>
                <w:sz w:val="24"/>
              </w:rPr>
              <w:t>《厌氧颗粒污泥膨胀床反应器废水处理工程技术规范》</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HJ 2023-2012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《钢制管法兰、垫片、紧固件》</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HG20592~20635-2009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《板式平焊钢制管法兰》</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GB/T 9119-2010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《工业设备、管道防腐蚀工程施工及验收规范》</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HGJ229-1991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 xml:space="preserve">《钢结构工程施工质量验收规范》               </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GB50205-2001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 xml:space="preserve">《热强钢焊条》                             </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GB/T 5118-2012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《工业设备、管道防腐蚀工程施工及验收规范》</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HGJ229-1991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《铸造铜合金技术条件》</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GB1176-1987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《不锈钢棒》</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GB1220-2007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《铸件尺寸公差》</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GB6414-1999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《灰铸铁件》</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GB9439-2010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《涂装前钢材表面锈蚀等级和除锈等级》</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GB8923.1-2011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《防锈包装》</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GB4879-2016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《电器控制设备》</w:t>
            </w:r>
          </w:p>
        </w:tc>
        <w:tc>
          <w:tcPr>
            <w:tcW w:w="1735" w:type="pct"/>
            <w:vAlign w:val="center"/>
          </w:tcPr>
          <w:p>
            <w:pPr>
              <w:spacing w:line="360" w:lineRule="auto"/>
              <w:ind w:firstLine="480" w:firstLineChars="200"/>
              <w:rPr>
                <w:rFonts w:ascii="仿宋_GB2312" w:hAnsi="仿宋" w:eastAsia="仿宋_GB2312" w:cs="仿宋_GB2312"/>
                <w:bCs/>
                <w:kern w:val="0"/>
                <w:sz w:val="24"/>
              </w:rPr>
            </w:pPr>
            <w:r>
              <w:rPr>
                <w:rFonts w:ascii="仿宋_GB2312" w:hAnsi="仿宋" w:eastAsia="仿宋_GB2312" w:cs="仿宋_GB2312"/>
                <w:bCs/>
                <w:kern w:val="0"/>
                <w:sz w:val="24"/>
              </w:rPr>
              <w:t>GB3797-2005</w:t>
            </w:r>
          </w:p>
        </w:tc>
      </w:tr>
    </w:tbl>
    <w:p>
      <w:pPr>
        <w:spacing w:line="360" w:lineRule="auto"/>
        <w:ind w:firstLine="560" w:firstLineChars="200"/>
        <w:rPr>
          <w:rFonts w:ascii="仿宋_GB2312" w:hAnsi="仿宋" w:eastAsia="仿宋_GB2312" w:cs="仿宋_GB2312"/>
          <w:bCs/>
          <w:kern w:val="0"/>
          <w:sz w:val="28"/>
          <w:szCs w:val="28"/>
        </w:rPr>
      </w:pPr>
      <w:bookmarkStart w:id="43" w:name="_Toc120373120"/>
      <w:bookmarkStart w:id="44" w:name="_Toc353636243"/>
      <w:bookmarkStart w:id="45" w:name="_Toc351651543"/>
      <w:bookmarkStart w:id="46" w:name="_Toc125889829"/>
      <w:bookmarkStart w:id="47" w:name="_Toc347476358"/>
      <w:r>
        <w:rPr>
          <w:rFonts w:hint="eastAsia" w:ascii="仿宋_GB2312" w:hAnsi="仿宋" w:eastAsia="仿宋_GB2312" w:cs="仿宋_GB2312"/>
          <w:bCs/>
          <w:kern w:val="0"/>
          <w:sz w:val="28"/>
          <w:szCs w:val="28"/>
        </w:rPr>
        <w:t>6</w:t>
      </w:r>
      <w:r>
        <w:rPr>
          <w:rFonts w:ascii="仿宋_GB2312" w:hAnsi="仿宋" w:eastAsia="仿宋_GB2312" w:cs="仿宋_GB2312"/>
          <w:bCs/>
          <w:kern w:val="0"/>
          <w:sz w:val="28"/>
          <w:szCs w:val="28"/>
        </w:rPr>
        <w:t>设备技术、质量要求</w:t>
      </w:r>
      <w:bookmarkEnd w:id="43"/>
      <w:bookmarkEnd w:id="44"/>
      <w:bookmarkEnd w:id="45"/>
      <w:bookmarkEnd w:id="46"/>
      <w:bookmarkEnd w:id="47"/>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设备的设计制造应满足国家的有关标准、规范的要求，并应充分考虑当地环境条件和使用条件的影响。</w:t>
      </w:r>
    </w:p>
    <w:p>
      <w:pPr>
        <w:spacing w:line="360" w:lineRule="auto"/>
        <w:ind w:firstLine="560" w:firstLineChars="200"/>
        <w:rPr>
          <w:rFonts w:ascii="仿宋_GB2312" w:hAnsi="仿宋" w:eastAsia="仿宋_GB2312" w:cs="仿宋_GB2312"/>
          <w:bCs/>
          <w:kern w:val="0"/>
          <w:sz w:val="28"/>
          <w:szCs w:val="28"/>
        </w:rPr>
      </w:pPr>
      <w:bookmarkStart w:id="48" w:name="_Toc98953314"/>
      <w:bookmarkStart w:id="49" w:name="_Toc98953355"/>
      <w:r>
        <w:rPr>
          <w:rFonts w:hint="eastAsia" w:ascii="仿宋_GB2312" w:hAnsi="仿宋" w:eastAsia="仿宋_GB2312" w:cs="仿宋_GB2312"/>
          <w:bCs/>
          <w:kern w:val="0"/>
          <w:sz w:val="28"/>
          <w:szCs w:val="28"/>
        </w:rPr>
        <w:t>6.1</w:t>
      </w:r>
      <w:r>
        <w:rPr>
          <w:rFonts w:ascii="仿宋_GB2312" w:hAnsi="仿宋" w:eastAsia="仿宋_GB2312" w:cs="仿宋_GB2312"/>
          <w:bCs/>
          <w:kern w:val="0"/>
          <w:sz w:val="28"/>
          <w:szCs w:val="28"/>
        </w:rPr>
        <w:t>基本要求</w:t>
      </w:r>
      <w:bookmarkEnd w:id="48"/>
      <w:bookmarkEnd w:id="49"/>
    </w:p>
    <w:p>
      <w:pPr>
        <w:spacing w:line="360" w:lineRule="auto"/>
        <w:ind w:firstLine="560" w:firstLineChars="200"/>
        <w:rPr>
          <w:rFonts w:ascii="仿宋_GB2312" w:hAnsi="仿宋" w:eastAsia="仿宋_GB2312" w:cs="仿宋_GB2312"/>
          <w:bCs/>
          <w:kern w:val="0"/>
          <w:sz w:val="28"/>
          <w:szCs w:val="28"/>
        </w:rPr>
      </w:pPr>
      <w:bookmarkStart w:id="50" w:name="_Toc98953356"/>
      <w:bookmarkStart w:id="51" w:name="_Toc98953315"/>
      <w:r>
        <w:rPr>
          <w:rFonts w:hint="eastAsia" w:ascii="仿宋_GB2312" w:hAnsi="仿宋" w:eastAsia="仿宋_GB2312" w:cs="仿宋_GB2312"/>
          <w:bCs/>
          <w:kern w:val="0"/>
          <w:sz w:val="28"/>
          <w:szCs w:val="28"/>
        </w:rPr>
        <w:t>6.</w:t>
      </w:r>
      <w:r>
        <w:rPr>
          <w:rFonts w:ascii="仿宋_GB2312" w:hAnsi="仿宋" w:eastAsia="仿宋_GB2312" w:cs="仿宋_GB2312"/>
          <w:bCs/>
          <w:kern w:val="0"/>
          <w:sz w:val="28"/>
          <w:szCs w:val="28"/>
        </w:rPr>
        <w:t>1</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对电气、仪表和控制系统的要求</w:t>
      </w:r>
      <w:bookmarkEnd w:id="50"/>
      <w:bookmarkEnd w:id="51"/>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乙方提供系统内所有设备、仪表的配电及控制要求。</w:t>
      </w:r>
    </w:p>
    <w:p>
      <w:pPr>
        <w:spacing w:line="360" w:lineRule="auto"/>
        <w:ind w:firstLine="560" w:firstLineChars="200"/>
        <w:rPr>
          <w:rFonts w:ascii="仿宋_GB2312" w:hAnsi="仿宋" w:eastAsia="仿宋_GB2312" w:cs="仿宋_GB2312"/>
          <w:bCs/>
          <w:kern w:val="0"/>
          <w:sz w:val="28"/>
          <w:szCs w:val="28"/>
        </w:rPr>
      </w:pPr>
      <w:bookmarkStart w:id="52" w:name="_Toc98953358"/>
      <w:bookmarkStart w:id="53" w:name="_Toc98953317"/>
      <w:r>
        <w:rPr>
          <w:rFonts w:hint="eastAsia" w:ascii="仿宋_GB2312" w:hAnsi="仿宋" w:eastAsia="仿宋_GB2312" w:cs="仿宋_GB2312"/>
          <w:bCs/>
          <w:kern w:val="0"/>
          <w:sz w:val="28"/>
          <w:szCs w:val="28"/>
        </w:rPr>
        <w:t>6.1.</w:t>
      </w:r>
      <w:r>
        <w:rPr>
          <w:rFonts w:ascii="仿宋_GB2312" w:hAnsi="仿宋" w:eastAsia="仿宋_GB2312" w:cs="仿宋_GB2312"/>
          <w:bCs/>
          <w:kern w:val="0"/>
          <w:sz w:val="28"/>
          <w:szCs w:val="28"/>
        </w:rPr>
        <w:t>2</w:t>
      </w:r>
      <w:r>
        <w:rPr>
          <w:rFonts w:hint="eastAsia" w:ascii="仿宋_GB2312" w:hAnsi="仿宋" w:eastAsia="仿宋_GB2312" w:cs="仿宋_GB2312"/>
          <w:bCs/>
          <w:kern w:val="0"/>
          <w:sz w:val="28"/>
          <w:szCs w:val="28"/>
        </w:rPr>
        <w:t>设计</w:t>
      </w:r>
      <w:r>
        <w:rPr>
          <w:rFonts w:ascii="仿宋_GB2312" w:hAnsi="仿宋" w:eastAsia="仿宋_GB2312" w:cs="仿宋_GB2312"/>
          <w:bCs/>
          <w:kern w:val="0"/>
          <w:sz w:val="28"/>
          <w:szCs w:val="28"/>
        </w:rPr>
        <w:t>配合要求</w:t>
      </w:r>
      <w:bookmarkEnd w:id="52"/>
      <w:bookmarkEnd w:id="53"/>
      <w:r>
        <w:rPr>
          <w:rFonts w:ascii="仿宋_GB2312" w:hAnsi="仿宋" w:eastAsia="仿宋_GB2312" w:cs="仿宋_GB2312"/>
          <w:bCs/>
          <w:kern w:val="0"/>
          <w:sz w:val="28"/>
          <w:szCs w:val="28"/>
        </w:rPr>
        <w:t xml:space="preserve"> </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乙方应按甲方要求及时提供所供货范围内全部设备尺寸、基础及荷载要求等设计条件，配合甲方完成与其供货范围相关的施工图设计。</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6.2</w:t>
      </w:r>
      <w:r>
        <w:rPr>
          <w:rFonts w:ascii="仿宋_GB2312" w:hAnsi="仿宋" w:eastAsia="仿宋_GB2312" w:cs="仿宋_GB2312"/>
          <w:bCs/>
          <w:kern w:val="0"/>
          <w:sz w:val="28"/>
          <w:szCs w:val="28"/>
        </w:rPr>
        <w:t>性能要求</w:t>
      </w:r>
    </w:p>
    <w:p>
      <w:pPr>
        <w:spacing w:line="360" w:lineRule="auto"/>
        <w:ind w:firstLine="560" w:firstLineChars="200"/>
        <w:rPr>
          <w:rFonts w:ascii="仿宋_GB2312" w:hAnsi="仿宋" w:eastAsia="仿宋_GB2312" w:cs="仿宋_GB2312"/>
          <w:bCs/>
          <w:kern w:val="0"/>
          <w:sz w:val="28"/>
          <w:szCs w:val="28"/>
        </w:rPr>
      </w:pPr>
      <w:bookmarkStart w:id="54" w:name="_Toc98953321"/>
      <w:bookmarkStart w:id="55" w:name="_Toc98953362"/>
      <w:r>
        <w:rPr>
          <w:rFonts w:ascii="仿宋_GB2312" w:hAnsi="仿宋" w:eastAsia="仿宋_GB2312" w:cs="仿宋_GB2312"/>
          <w:bCs/>
          <w:kern w:val="0"/>
          <w:sz w:val="28"/>
          <w:szCs w:val="28"/>
        </w:rPr>
        <w:t>进水水质水量满足如下条件时，厌氧反应器的出水应保证能达到如下的性能：</w:t>
      </w:r>
    </w:p>
    <w:tbl>
      <w:tblPr>
        <w:tblStyle w:val="21"/>
        <w:tblW w:w="494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39"/>
        <w:gridCol w:w="978"/>
        <w:gridCol w:w="995"/>
        <w:gridCol w:w="991"/>
        <w:gridCol w:w="993"/>
        <w:gridCol w:w="991"/>
        <w:gridCol w:w="1063"/>
        <w:gridCol w:w="10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55" w:type="pct"/>
            <w:shd w:val="clear" w:color="auto" w:fill="auto"/>
            <w:noWrap/>
            <w:vAlign w:val="center"/>
          </w:tcPr>
          <w:p>
            <w:pPr>
              <w:widowControl/>
              <w:jc w:val="center"/>
              <w:rPr>
                <w:rFonts w:ascii="宋体" w:hAnsi="宋体" w:cs="宋体"/>
                <w:b/>
                <w:bCs/>
                <w:kern w:val="0"/>
              </w:rPr>
            </w:pPr>
            <w:r>
              <w:rPr>
                <w:rFonts w:hint="eastAsia"/>
              </w:rPr>
              <w:t>序号</w:t>
            </w:r>
          </w:p>
        </w:tc>
        <w:tc>
          <w:tcPr>
            <w:tcW w:w="348" w:type="pct"/>
            <w:shd w:val="clear" w:color="auto" w:fill="auto"/>
            <w:vAlign w:val="center"/>
          </w:tcPr>
          <w:p>
            <w:pPr>
              <w:widowControl/>
              <w:jc w:val="center"/>
              <w:rPr>
                <w:rFonts w:ascii="宋体" w:hAnsi="宋体" w:cs="宋体"/>
                <w:b/>
                <w:bCs/>
                <w:kern w:val="0"/>
              </w:rPr>
            </w:pPr>
            <w:r>
              <w:rPr>
                <w:rFonts w:hint="eastAsia"/>
              </w:rPr>
              <w:t>处理单元</w:t>
            </w:r>
          </w:p>
        </w:tc>
        <w:tc>
          <w:tcPr>
            <w:tcW w:w="533" w:type="pct"/>
            <w:shd w:val="clear" w:color="auto" w:fill="auto"/>
            <w:vAlign w:val="center"/>
          </w:tcPr>
          <w:p>
            <w:pPr>
              <w:widowControl/>
              <w:jc w:val="center"/>
            </w:pPr>
            <w:r>
              <w:rPr>
                <w:rFonts w:hint="eastAsia"/>
              </w:rPr>
              <w:t>进水量(m3/D)</w:t>
            </w:r>
          </w:p>
        </w:tc>
        <w:tc>
          <w:tcPr>
            <w:tcW w:w="542" w:type="pct"/>
            <w:shd w:val="clear" w:color="auto" w:fill="auto"/>
            <w:vAlign w:val="center"/>
          </w:tcPr>
          <w:p>
            <w:pPr>
              <w:widowControl/>
              <w:jc w:val="center"/>
              <w:rPr>
                <w:rFonts w:ascii="宋体" w:hAnsi="宋体" w:cs="宋体"/>
                <w:b/>
                <w:bCs/>
                <w:kern w:val="0"/>
              </w:rPr>
            </w:pPr>
            <w:r>
              <w:rPr>
                <w:rFonts w:hint="eastAsia"/>
              </w:rPr>
              <w:t>指 标</w:t>
            </w:r>
          </w:p>
        </w:tc>
        <w:tc>
          <w:tcPr>
            <w:tcW w:w="540" w:type="pct"/>
            <w:shd w:val="clear" w:color="auto" w:fill="auto"/>
            <w:vAlign w:val="center"/>
          </w:tcPr>
          <w:p>
            <w:pPr>
              <w:widowControl/>
              <w:jc w:val="center"/>
              <w:rPr>
                <w:rFonts w:eastAsia="等线"/>
                <w:b/>
                <w:bCs/>
                <w:kern w:val="0"/>
              </w:rPr>
            </w:pPr>
            <w:r>
              <w:rPr>
                <w:rFonts w:hint="eastAsia"/>
              </w:rPr>
              <w:t>CODcr（mg/L）</w:t>
            </w:r>
          </w:p>
        </w:tc>
        <w:tc>
          <w:tcPr>
            <w:tcW w:w="541" w:type="pct"/>
            <w:shd w:val="clear" w:color="auto" w:fill="auto"/>
            <w:vAlign w:val="center"/>
          </w:tcPr>
          <w:p>
            <w:pPr>
              <w:widowControl/>
              <w:jc w:val="center"/>
            </w:pPr>
            <w:r>
              <w:rPr>
                <w:rFonts w:hint="eastAsia"/>
              </w:rPr>
              <w:t>BOD</w:t>
            </w:r>
          </w:p>
          <w:p>
            <w:pPr>
              <w:widowControl/>
              <w:jc w:val="center"/>
              <w:rPr>
                <w:rFonts w:eastAsia="等线"/>
                <w:b/>
                <w:bCs/>
                <w:kern w:val="0"/>
              </w:rPr>
            </w:pPr>
            <w:r>
              <w:rPr>
                <w:rFonts w:hint="eastAsia"/>
              </w:rPr>
              <w:t>（mg/L）</w:t>
            </w:r>
          </w:p>
        </w:tc>
        <w:tc>
          <w:tcPr>
            <w:tcW w:w="540" w:type="pct"/>
            <w:shd w:val="clear" w:color="auto" w:fill="auto"/>
            <w:vAlign w:val="center"/>
          </w:tcPr>
          <w:p>
            <w:pPr>
              <w:widowControl/>
              <w:jc w:val="center"/>
              <w:rPr>
                <w:rFonts w:eastAsia="等线"/>
                <w:b/>
                <w:bCs/>
                <w:kern w:val="0"/>
              </w:rPr>
            </w:pPr>
            <w:r>
              <w:rPr>
                <w:rFonts w:hint="eastAsia"/>
              </w:rPr>
              <w:t>NH3-N（mg/L）</w:t>
            </w:r>
          </w:p>
        </w:tc>
        <w:tc>
          <w:tcPr>
            <w:tcW w:w="579" w:type="pct"/>
            <w:shd w:val="clear" w:color="auto" w:fill="auto"/>
            <w:vAlign w:val="center"/>
          </w:tcPr>
          <w:p>
            <w:pPr>
              <w:widowControl/>
              <w:jc w:val="center"/>
              <w:rPr>
                <w:rFonts w:eastAsia="等线"/>
                <w:b/>
                <w:bCs/>
                <w:kern w:val="0"/>
              </w:rPr>
            </w:pPr>
            <w:r>
              <w:rPr>
                <w:rFonts w:hint="eastAsia"/>
              </w:rPr>
              <w:t>TN（mg/L）</w:t>
            </w:r>
          </w:p>
        </w:tc>
        <w:tc>
          <w:tcPr>
            <w:tcW w:w="554" w:type="pct"/>
            <w:shd w:val="clear" w:color="auto" w:fill="auto"/>
            <w:vAlign w:val="center"/>
          </w:tcPr>
          <w:p>
            <w:pPr>
              <w:widowControl/>
              <w:jc w:val="center"/>
              <w:rPr>
                <w:rFonts w:eastAsia="等线"/>
                <w:b/>
                <w:bCs/>
                <w:kern w:val="0"/>
              </w:rPr>
            </w:pPr>
            <w:r>
              <w:rPr>
                <w:rFonts w:hint="eastAsia"/>
              </w:rPr>
              <w:t>SS（mg/L）</w:t>
            </w:r>
          </w:p>
        </w:tc>
        <w:tc>
          <w:tcPr>
            <w:tcW w:w="468" w:type="pct"/>
            <w:shd w:val="clear" w:color="auto" w:fill="auto"/>
            <w:vAlign w:val="center"/>
          </w:tcPr>
          <w:p>
            <w:pPr>
              <w:widowControl/>
              <w:jc w:val="center"/>
              <w:rPr>
                <w:rFonts w:eastAsia="等线"/>
                <w:b/>
                <w:bCs/>
                <w:kern w:val="0"/>
              </w:rPr>
            </w:pPr>
            <w:r>
              <w:rPr>
                <w:rFonts w:hint="eastAsia"/>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1</w:t>
            </w:r>
          </w:p>
        </w:tc>
        <w:tc>
          <w:tcPr>
            <w:tcW w:w="348" w:type="pct"/>
            <w:vMerge w:val="restart"/>
            <w:shd w:val="clear" w:color="auto" w:fill="auto"/>
          </w:tcPr>
          <w:p>
            <w:pPr>
              <w:widowControl/>
              <w:jc w:val="center"/>
              <w:rPr>
                <w:rFonts w:ascii="宋体" w:hAnsi="宋体" w:cs="宋体"/>
                <w:kern w:val="0"/>
              </w:rPr>
            </w:pPr>
            <w:r>
              <w:rPr>
                <w:rFonts w:hint="eastAsia"/>
              </w:rPr>
              <w:t>厌氧反应器</w:t>
            </w:r>
          </w:p>
        </w:tc>
        <w:tc>
          <w:tcPr>
            <w:tcW w:w="533" w:type="pct"/>
            <w:vMerge w:val="restart"/>
            <w:vAlign w:val="center"/>
          </w:tcPr>
          <w:p>
            <w:pPr>
              <w:widowControl/>
              <w:jc w:val="center"/>
            </w:pPr>
            <w:r>
              <w:rPr>
                <w:rFonts w:hint="eastAsia"/>
              </w:rPr>
              <w:t>≤4000</w:t>
            </w:r>
          </w:p>
        </w:tc>
        <w:tc>
          <w:tcPr>
            <w:tcW w:w="542" w:type="pct"/>
            <w:shd w:val="clear" w:color="auto" w:fill="auto"/>
            <w:noWrap/>
          </w:tcPr>
          <w:p>
            <w:pPr>
              <w:widowControl/>
              <w:jc w:val="center"/>
              <w:rPr>
                <w:rFonts w:ascii="宋体" w:hAnsi="宋体" w:cs="宋体"/>
                <w:kern w:val="0"/>
              </w:rPr>
            </w:pPr>
            <w:r>
              <w:rPr>
                <w:rFonts w:hint="eastAsia"/>
              </w:rPr>
              <w:t>进水</w:t>
            </w:r>
          </w:p>
        </w:tc>
        <w:tc>
          <w:tcPr>
            <w:tcW w:w="540" w:type="pct"/>
            <w:shd w:val="clear" w:color="auto" w:fill="auto"/>
            <w:noWrap/>
          </w:tcPr>
          <w:p>
            <w:pPr>
              <w:widowControl/>
              <w:jc w:val="center"/>
              <w:rPr>
                <w:rFonts w:eastAsia="等线"/>
                <w:kern w:val="0"/>
              </w:rPr>
            </w:pPr>
            <w:r>
              <w:rPr>
                <w:rFonts w:hint="eastAsia"/>
              </w:rPr>
              <w:t>≤4000</w:t>
            </w:r>
          </w:p>
        </w:tc>
        <w:tc>
          <w:tcPr>
            <w:tcW w:w="541" w:type="pct"/>
            <w:shd w:val="clear" w:color="auto" w:fill="auto"/>
            <w:noWrap/>
          </w:tcPr>
          <w:p>
            <w:pPr>
              <w:widowControl/>
              <w:jc w:val="center"/>
              <w:rPr>
                <w:rFonts w:eastAsia="等线"/>
                <w:kern w:val="0"/>
              </w:rPr>
            </w:pPr>
            <w:r>
              <w:rPr>
                <w:rFonts w:hint="eastAsia"/>
              </w:rPr>
              <w:t>≤1824</w:t>
            </w:r>
          </w:p>
        </w:tc>
        <w:tc>
          <w:tcPr>
            <w:tcW w:w="540" w:type="pct"/>
            <w:shd w:val="clear" w:color="auto" w:fill="auto"/>
            <w:noWrap/>
          </w:tcPr>
          <w:p>
            <w:pPr>
              <w:widowControl/>
              <w:jc w:val="center"/>
              <w:rPr>
                <w:rFonts w:eastAsia="等线"/>
                <w:kern w:val="0"/>
              </w:rPr>
            </w:pPr>
            <w:r>
              <w:rPr>
                <w:rFonts w:hint="eastAsia"/>
              </w:rPr>
              <w:t>≤50</w:t>
            </w:r>
          </w:p>
        </w:tc>
        <w:tc>
          <w:tcPr>
            <w:tcW w:w="579" w:type="pct"/>
            <w:shd w:val="clear" w:color="auto" w:fill="auto"/>
            <w:noWrap/>
          </w:tcPr>
          <w:p>
            <w:pPr>
              <w:widowControl/>
              <w:jc w:val="center"/>
              <w:rPr>
                <w:rFonts w:eastAsia="等线"/>
                <w:kern w:val="0"/>
              </w:rPr>
            </w:pPr>
            <w:r>
              <w:rPr>
                <w:rFonts w:hint="eastAsia"/>
              </w:rPr>
              <w:t>≤100</w:t>
            </w:r>
          </w:p>
        </w:tc>
        <w:tc>
          <w:tcPr>
            <w:tcW w:w="554" w:type="pct"/>
            <w:shd w:val="clear" w:color="auto" w:fill="auto"/>
            <w:noWrap/>
          </w:tcPr>
          <w:p>
            <w:pPr>
              <w:widowControl/>
              <w:jc w:val="center"/>
              <w:rPr>
                <w:rFonts w:eastAsia="等线"/>
                <w:kern w:val="0"/>
              </w:rPr>
            </w:pPr>
            <w:r>
              <w:rPr>
                <w:rFonts w:hint="eastAsia"/>
              </w:rPr>
              <w:t>≤200</w:t>
            </w:r>
          </w:p>
        </w:tc>
        <w:tc>
          <w:tcPr>
            <w:tcW w:w="468" w:type="pct"/>
            <w:shd w:val="clear" w:color="auto" w:fill="auto"/>
          </w:tcPr>
          <w:p>
            <w:pPr>
              <w:widowControl/>
              <w:jc w:val="center"/>
              <w:rPr>
                <w:rFonts w:eastAsia="等线"/>
                <w:kern w:val="0"/>
              </w:rPr>
            </w:pPr>
            <w:r>
              <w:t>5</w:t>
            </w:r>
            <w:r>
              <w:rPr>
                <w:rFonts w:hint="eastAsia"/>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2</w:t>
            </w:r>
          </w:p>
        </w:tc>
        <w:tc>
          <w:tcPr>
            <w:tcW w:w="348" w:type="pct"/>
            <w:vMerge w:val="continue"/>
          </w:tcPr>
          <w:p>
            <w:pPr>
              <w:widowControl/>
              <w:jc w:val="left"/>
              <w:rPr>
                <w:rFonts w:ascii="宋体" w:hAnsi="宋体" w:cs="宋体"/>
                <w:kern w:val="0"/>
              </w:rPr>
            </w:pPr>
          </w:p>
        </w:tc>
        <w:tc>
          <w:tcPr>
            <w:tcW w:w="533" w:type="pct"/>
            <w:vMerge w:val="continue"/>
          </w:tcPr>
          <w:p>
            <w:pPr>
              <w:widowControl/>
              <w:jc w:val="center"/>
            </w:pPr>
          </w:p>
        </w:tc>
        <w:tc>
          <w:tcPr>
            <w:tcW w:w="542" w:type="pct"/>
            <w:shd w:val="clear" w:color="auto" w:fill="auto"/>
            <w:noWrap/>
          </w:tcPr>
          <w:p>
            <w:pPr>
              <w:widowControl/>
              <w:jc w:val="center"/>
              <w:rPr>
                <w:rFonts w:ascii="宋体" w:hAnsi="宋体" w:cs="宋体"/>
                <w:kern w:val="0"/>
              </w:rPr>
            </w:pPr>
            <w:r>
              <w:rPr>
                <w:rFonts w:hint="eastAsia"/>
              </w:rPr>
              <w:t>出水</w:t>
            </w:r>
          </w:p>
        </w:tc>
        <w:tc>
          <w:tcPr>
            <w:tcW w:w="540" w:type="pct"/>
            <w:shd w:val="clear" w:color="auto" w:fill="auto"/>
            <w:noWrap/>
          </w:tcPr>
          <w:p>
            <w:pPr>
              <w:widowControl/>
              <w:jc w:val="center"/>
              <w:rPr>
                <w:rFonts w:eastAsia="等线"/>
                <w:kern w:val="0"/>
              </w:rPr>
            </w:pPr>
            <w:r>
              <w:rPr>
                <w:rFonts w:hint="eastAsia"/>
              </w:rPr>
              <w:t>≤2000</w:t>
            </w:r>
          </w:p>
        </w:tc>
        <w:tc>
          <w:tcPr>
            <w:tcW w:w="541" w:type="pct"/>
            <w:shd w:val="clear" w:color="auto" w:fill="auto"/>
            <w:noWrap/>
          </w:tcPr>
          <w:p>
            <w:pPr>
              <w:widowControl/>
              <w:jc w:val="center"/>
              <w:rPr>
                <w:rFonts w:eastAsia="等线"/>
                <w:kern w:val="0"/>
              </w:rPr>
            </w:pPr>
            <w:r>
              <w:rPr>
                <w:rFonts w:hint="eastAsia"/>
              </w:rPr>
              <w:t>≤1094</w:t>
            </w:r>
          </w:p>
        </w:tc>
        <w:tc>
          <w:tcPr>
            <w:tcW w:w="540" w:type="pct"/>
            <w:shd w:val="clear" w:color="auto" w:fill="auto"/>
            <w:noWrap/>
          </w:tcPr>
          <w:p>
            <w:pPr>
              <w:widowControl/>
              <w:jc w:val="center"/>
              <w:rPr>
                <w:rFonts w:eastAsia="等线"/>
                <w:kern w:val="0"/>
              </w:rPr>
            </w:pPr>
            <w:r>
              <w:rPr>
                <w:rFonts w:hint="eastAsia"/>
              </w:rPr>
              <w:t>-</w:t>
            </w:r>
          </w:p>
        </w:tc>
        <w:tc>
          <w:tcPr>
            <w:tcW w:w="579" w:type="pct"/>
            <w:shd w:val="clear" w:color="auto" w:fill="auto"/>
            <w:noWrap/>
          </w:tcPr>
          <w:p>
            <w:pPr>
              <w:widowControl/>
              <w:jc w:val="center"/>
              <w:rPr>
                <w:rFonts w:eastAsia="等线"/>
                <w:kern w:val="0"/>
              </w:rPr>
            </w:pPr>
            <w:r>
              <w:rPr>
                <w:rFonts w:hint="eastAsia"/>
              </w:rPr>
              <w:t>-</w:t>
            </w:r>
          </w:p>
        </w:tc>
        <w:tc>
          <w:tcPr>
            <w:tcW w:w="554" w:type="pct"/>
            <w:shd w:val="clear" w:color="auto" w:fill="auto"/>
            <w:noWrap/>
          </w:tcPr>
          <w:p>
            <w:pPr>
              <w:widowControl/>
              <w:jc w:val="center"/>
              <w:rPr>
                <w:rFonts w:eastAsia="等线"/>
                <w:kern w:val="0"/>
              </w:rPr>
            </w:pPr>
            <w:r>
              <w:rPr>
                <w:rFonts w:hint="eastAsia"/>
              </w:rPr>
              <w:t>-</w:t>
            </w:r>
          </w:p>
        </w:tc>
        <w:tc>
          <w:tcPr>
            <w:tcW w:w="468" w:type="pct"/>
            <w:shd w:val="clear" w:color="auto" w:fill="auto"/>
          </w:tcPr>
          <w:p>
            <w:pPr>
              <w:widowControl/>
              <w:jc w:val="center"/>
              <w:rPr>
                <w:rFonts w:eastAsia="等线"/>
                <w:kern w:val="0"/>
              </w:rPr>
            </w:pPr>
            <w:r>
              <w:t>5</w:t>
            </w:r>
            <w:r>
              <w:rPr>
                <w:rFonts w:hint="eastAsia"/>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3</w:t>
            </w:r>
          </w:p>
        </w:tc>
        <w:tc>
          <w:tcPr>
            <w:tcW w:w="348" w:type="pct"/>
            <w:vMerge w:val="continue"/>
          </w:tcPr>
          <w:p>
            <w:pPr>
              <w:widowControl/>
              <w:jc w:val="left"/>
              <w:rPr>
                <w:rFonts w:ascii="宋体" w:hAnsi="宋体" w:cs="宋体"/>
                <w:kern w:val="0"/>
              </w:rPr>
            </w:pPr>
          </w:p>
        </w:tc>
        <w:tc>
          <w:tcPr>
            <w:tcW w:w="533" w:type="pct"/>
            <w:vMerge w:val="continue"/>
          </w:tcPr>
          <w:p>
            <w:pPr>
              <w:widowControl/>
              <w:jc w:val="center"/>
            </w:pPr>
          </w:p>
        </w:tc>
        <w:tc>
          <w:tcPr>
            <w:tcW w:w="542" w:type="pct"/>
            <w:shd w:val="clear" w:color="auto" w:fill="auto"/>
            <w:noWrap/>
          </w:tcPr>
          <w:p>
            <w:pPr>
              <w:widowControl/>
              <w:jc w:val="center"/>
              <w:rPr>
                <w:rFonts w:ascii="宋体" w:hAnsi="宋体" w:cs="宋体"/>
                <w:kern w:val="0"/>
              </w:rPr>
            </w:pPr>
            <w:r>
              <w:rPr>
                <w:rFonts w:hint="eastAsia"/>
              </w:rPr>
              <w:t>去除率</w:t>
            </w:r>
          </w:p>
        </w:tc>
        <w:tc>
          <w:tcPr>
            <w:tcW w:w="540" w:type="pct"/>
            <w:shd w:val="clear" w:color="auto" w:fill="auto"/>
            <w:noWrap/>
          </w:tcPr>
          <w:p>
            <w:pPr>
              <w:widowControl/>
              <w:jc w:val="center"/>
              <w:rPr>
                <w:rFonts w:eastAsia="等线"/>
                <w:kern w:val="0"/>
              </w:rPr>
            </w:pPr>
            <w:r>
              <w:rPr>
                <w:rFonts w:hint="eastAsia"/>
              </w:rPr>
              <w:t>≥50%</w:t>
            </w:r>
          </w:p>
        </w:tc>
        <w:tc>
          <w:tcPr>
            <w:tcW w:w="541" w:type="pct"/>
            <w:shd w:val="clear" w:color="auto" w:fill="auto"/>
            <w:noWrap/>
          </w:tcPr>
          <w:p>
            <w:pPr>
              <w:widowControl/>
              <w:jc w:val="center"/>
              <w:rPr>
                <w:rFonts w:eastAsia="等线"/>
                <w:kern w:val="0"/>
              </w:rPr>
            </w:pPr>
            <w:r>
              <w:rPr>
                <w:rFonts w:hint="eastAsia"/>
              </w:rPr>
              <w:t>≥40%</w:t>
            </w:r>
          </w:p>
        </w:tc>
        <w:tc>
          <w:tcPr>
            <w:tcW w:w="540" w:type="pct"/>
            <w:shd w:val="clear" w:color="auto" w:fill="auto"/>
            <w:noWrap/>
          </w:tcPr>
          <w:p>
            <w:pPr>
              <w:widowControl/>
              <w:jc w:val="center"/>
              <w:rPr>
                <w:rFonts w:eastAsia="等线"/>
                <w:kern w:val="0"/>
              </w:rPr>
            </w:pPr>
            <w:r>
              <w:rPr>
                <w:rFonts w:hint="eastAsia"/>
              </w:rPr>
              <w:t>-</w:t>
            </w:r>
          </w:p>
        </w:tc>
        <w:tc>
          <w:tcPr>
            <w:tcW w:w="579" w:type="pct"/>
            <w:shd w:val="clear" w:color="auto" w:fill="auto"/>
            <w:noWrap/>
          </w:tcPr>
          <w:p>
            <w:pPr>
              <w:widowControl/>
              <w:jc w:val="center"/>
              <w:rPr>
                <w:rFonts w:eastAsia="等线"/>
                <w:kern w:val="0"/>
              </w:rPr>
            </w:pPr>
            <w:r>
              <w:rPr>
                <w:rFonts w:hint="eastAsia"/>
              </w:rPr>
              <w:t>-</w:t>
            </w:r>
          </w:p>
        </w:tc>
        <w:tc>
          <w:tcPr>
            <w:tcW w:w="554" w:type="pct"/>
            <w:shd w:val="clear" w:color="auto" w:fill="auto"/>
            <w:noWrap/>
          </w:tcPr>
          <w:p>
            <w:pPr>
              <w:widowControl/>
              <w:jc w:val="center"/>
              <w:rPr>
                <w:rFonts w:eastAsia="等线"/>
                <w:kern w:val="0"/>
              </w:rPr>
            </w:pPr>
            <w:r>
              <w:rPr>
                <w:rFonts w:hint="eastAsia"/>
              </w:rPr>
              <w:t>-</w:t>
            </w:r>
          </w:p>
        </w:tc>
        <w:tc>
          <w:tcPr>
            <w:tcW w:w="468" w:type="pct"/>
            <w:shd w:val="clear" w:color="auto" w:fill="auto"/>
          </w:tcPr>
          <w:p>
            <w:pPr>
              <w:widowControl/>
              <w:jc w:val="center"/>
              <w:rPr>
                <w:rFonts w:eastAsia="等线"/>
                <w:kern w:val="0"/>
              </w:rPr>
            </w:pPr>
            <w:r>
              <w:rPr>
                <w:rFonts w:hint="eastAsia"/>
              </w:rPr>
              <w:t>-</w:t>
            </w:r>
          </w:p>
        </w:tc>
      </w:tr>
      <w:bookmarkEnd w:id="54"/>
      <w:bookmarkEnd w:id="55"/>
    </w:tbl>
    <w:p>
      <w:pPr>
        <w:spacing w:line="360" w:lineRule="auto"/>
        <w:ind w:firstLine="560" w:firstLineChars="200"/>
        <w:rPr>
          <w:rFonts w:ascii="仿宋_GB2312" w:hAnsi="仿宋" w:eastAsia="仿宋_GB2312" w:cs="仿宋_GB2312"/>
          <w:bCs/>
          <w:kern w:val="0"/>
          <w:sz w:val="28"/>
          <w:szCs w:val="28"/>
        </w:rPr>
      </w:pPr>
      <w:bookmarkStart w:id="56" w:name="_Toc125889830"/>
      <w:bookmarkStart w:id="57" w:name="_Toc120373121"/>
      <w:r>
        <w:rPr>
          <w:rFonts w:hint="eastAsia" w:ascii="仿宋_GB2312" w:hAnsi="仿宋" w:eastAsia="仿宋_GB2312" w:cs="仿宋_GB2312"/>
          <w:bCs/>
          <w:kern w:val="0"/>
          <w:sz w:val="28"/>
          <w:szCs w:val="28"/>
        </w:rPr>
        <w:t>7</w:t>
      </w:r>
      <w:r>
        <w:rPr>
          <w:rFonts w:ascii="仿宋_GB2312" w:hAnsi="仿宋" w:eastAsia="仿宋_GB2312" w:cs="仿宋_GB2312"/>
          <w:bCs/>
          <w:kern w:val="0"/>
          <w:sz w:val="28"/>
          <w:szCs w:val="28"/>
        </w:rPr>
        <w:t>设备技术性能及要求</w:t>
      </w:r>
      <w:bookmarkEnd w:id="56"/>
      <w:bookmarkEnd w:id="57"/>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7.1</w:t>
      </w:r>
      <w:r>
        <w:rPr>
          <w:rFonts w:ascii="仿宋_GB2312" w:hAnsi="仿宋" w:eastAsia="仿宋_GB2312" w:cs="仿宋_GB2312"/>
          <w:bCs/>
          <w:kern w:val="0"/>
          <w:sz w:val="28"/>
          <w:szCs w:val="28"/>
        </w:rPr>
        <w:t>主要设备技术性能及要求</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7.1.1</w:t>
      </w:r>
      <w:r>
        <w:rPr>
          <w:rFonts w:ascii="仿宋_GB2312" w:hAnsi="仿宋" w:eastAsia="仿宋_GB2312" w:cs="仿宋_GB2312"/>
          <w:bCs/>
          <w:kern w:val="0"/>
          <w:sz w:val="28"/>
          <w:szCs w:val="28"/>
        </w:rPr>
        <w:t>高效厌氧池主体</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厌氧</w:t>
      </w:r>
      <w:r>
        <w:rPr>
          <w:rFonts w:ascii="仿宋_GB2312" w:hAnsi="仿宋" w:eastAsia="仿宋_GB2312" w:cs="仿宋_GB2312"/>
          <w:bCs/>
          <w:kern w:val="0"/>
          <w:sz w:val="28"/>
          <w:szCs w:val="28"/>
        </w:rPr>
        <w:t>反应器废水自厌氧配水池提升泵输入，出水自流进入预酸化池。</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（1）设计上升流速3m/h；容积负荷6.17kgCOD/(m/d)</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（2）</w:t>
      </w:r>
      <w:r>
        <w:rPr>
          <w:rFonts w:hint="eastAsia" w:ascii="仿宋_GB2312" w:hAnsi="仿宋" w:eastAsia="仿宋_GB2312" w:cs="仿宋_GB2312"/>
          <w:bCs/>
          <w:kern w:val="0"/>
          <w:sz w:val="28"/>
          <w:szCs w:val="28"/>
        </w:rPr>
        <w:t>保证布水均匀。</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（3）厌氧反应器配备两台循环泵进行内循环，一用一备。</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（4）反应器</w:t>
      </w:r>
      <w:r>
        <w:rPr>
          <w:rFonts w:hint="eastAsia" w:ascii="仿宋_GB2312" w:hAnsi="仿宋" w:eastAsia="仿宋_GB2312" w:cs="仿宋_GB2312"/>
          <w:bCs/>
          <w:kern w:val="0"/>
          <w:sz w:val="28"/>
          <w:szCs w:val="28"/>
        </w:rPr>
        <w:t>水质</w:t>
      </w:r>
      <w:r>
        <w:rPr>
          <w:rFonts w:ascii="仿宋_GB2312" w:hAnsi="仿宋" w:eastAsia="仿宋_GB2312" w:cs="仿宋_GB2312"/>
          <w:bCs/>
          <w:kern w:val="0"/>
          <w:sz w:val="28"/>
          <w:szCs w:val="28"/>
        </w:rPr>
        <w:t>设计pH为</w:t>
      </w:r>
      <w:r>
        <w:rPr>
          <w:rFonts w:hint="eastAsia" w:ascii="仿宋_GB2312" w:hAnsi="仿宋" w:eastAsia="仿宋_GB2312" w:cs="仿宋_GB2312"/>
          <w:bCs/>
          <w:kern w:val="0"/>
          <w:sz w:val="28"/>
          <w:szCs w:val="28"/>
        </w:rPr>
        <w:t>5</w:t>
      </w:r>
      <w:r>
        <w:rPr>
          <w:rFonts w:ascii="仿宋_GB2312" w:hAnsi="仿宋" w:eastAsia="仿宋_GB2312" w:cs="仿宋_GB2312"/>
          <w:bCs/>
          <w:kern w:val="0"/>
          <w:sz w:val="28"/>
          <w:szCs w:val="28"/>
        </w:rPr>
        <w:t>.5</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7.8。</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（5）反应器污泥层应该维持在出水槽以下1.5m，当污泥过多时应排泥。</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（6）厌氧反应器罐顶必须带封盖，防止废气外溢。</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高效厌氧池主体安装前必须有基础施工记录和验收资料，并应按规范GB50128第4.2.2条的规定对基础进行复查，合格后安装。</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罐壁组装后要求：高度极限偏差为40mm；垂直度公差为32mm；局部凹凸变形应平缓，变形应≤15mm。</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法兰的螺栓通孔应与壳体主轴线或铅垂线跨中均布。</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基础沉降观测按GB50128-2014中附录B规定。</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设备要有防雷、防静电接地装置。</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梯子,平台施工及验收应按GB50205-2020 &lt;&lt;钢结构工程施工质量验收规范&gt;&gt;规定。</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厌氧罐应在防腐蚀</w:t>
      </w:r>
      <w:r>
        <w:rPr>
          <w:rFonts w:hint="eastAsia" w:ascii="仿宋_GB2312" w:hAnsi="仿宋" w:eastAsia="仿宋_GB2312" w:cs="仿宋_GB2312"/>
          <w:bCs/>
          <w:kern w:val="0"/>
          <w:sz w:val="28"/>
          <w:szCs w:val="28"/>
        </w:rPr>
        <w:t>处理前进行盛水试漏</w:t>
      </w:r>
      <w:r>
        <w:rPr>
          <w:rFonts w:ascii="仿宋_GB2312" w:hAnsi="仿宋" w:eastAsia="仿宋_GB2312" w:cs="仿宋_GB2312"/>
          <w:bCs/>
          <w:kern w:val="0"/>
          <w:sz w:val="28"/>
          <w:szCs w:val="28"/>
        </w:rPr>
        <w:t>，试漏合格后立即将水渍清除干净。</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厌氧罐建造完毕后，以不低于5℃洁净的淡水进行盛水试漏。水中的氯离子含量≤25ppm。</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a.罐底严密性:充水试验过程中罐底无渗漏为合格.</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b.罐壁强度及严密性:充水到16500mm并保持48h后,罐壁无渗漏,无异常变形为合格。</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配套各类法兰接口、盘梯、检修平台、连接平台、保温系统等。</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保温材料：岩棉/橡塑；保温厚度：100mm，外壳带金属保护板</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7.1.2布水装置</w:t>
      </w:r>
      <w:r>
        <w:rPr>
          <w:rFonts w:ascii="仿宋_GB2312" w:hAnsi="仿宋" w:eastAsia="仿宋_GB2312" w:cs="仿宋_GB2312"/>
          <w:bCs/>
          <w:kern w:val="0"/>
          <w:sz w:val="28"/>
          <w:szCs w:val="28"/>
        </w:rPr>
        <w:t>要求</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7.1.2</w:t>
      </w:r>
      <w:r>
        <w:rPr>
          <w:rFonts w:hint="eastAsia" w:ascii="仿宋_GB2312" w:hAnsi="仿宋" w:eastAsia="仿宋_GB2312" w:cs="仿宋_GB2312"/>
          <w:bCs/>
          <w:kern w:val="0"/>
          <w:sz w:val="28"/>
          <w:szCs w:val="28"/>
        </w:rPr>
        <w:t>.1布水应采用第三代厌氧反应器专用高效布水方式。</w:t>
      </w:r>
    </w:p>
    <w:p>
      <w:pPr>
        <w:spacing w:line="360" w:lineRule="auto"/>
        <w:ind w:firstLine="560" w:firstLineChars="200"/>
        <w:rPr>
          <w:rFonts w:ascii="仿宋_GB2312" w:hAnsi="仿宋" w:eastAsia="仿宋_GB2312" w:cs="仿宋_GB2312"/>
          <w:bCs/>
          <w:kern w:val="0"/>
          <w:sz w:val="28"/>
          <w:szCs w:val="28"/>
        </w:rPr>
      </w:pPr>
      <w:bookmarkStart w:id="58" w:name="_Toc98953368"/>
      <w:bookmarkStart w:id="59" w:name="_Toc98953327"/>
      <w:r>
        <w:rPr>
          <w:rFonts w:ascii="仿宋_GB2312" w:hAnsi="仿宋" w:eastAsia="仿宋_GB2312" w:cs="仿宋_GB2312"/>
          <w:bCs/>
          <w:kern w:val="0"/>
          <w:sz w:val="28"/>
          <w:szCs w:val="28"/>
        </w:rPr>
        <w:t>7.1.2</w:t>
      </w: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布水</w:t>
      </w:r>
      <w:r>
        <w:rPr>
          <w:rFonts w:hint="eastAsia" w:ascii="仿宋_GB2312" w:hAnsi="仿宋" w:eastAsia="仿宋_GB2312" w:cs="仿宋_GB2312"/>
          <w:bCs/>
          <w:kern w:val="0"/>
          <w:sz w:val="28"/>
          <w:szCs w:val="28"/>
        </w:rPr>
        <w:t>装置</w:t>
      </w:r>
      <w:r>
        <w:rPr>
          <w:rFonts w:ascii="仿宋_GB2312" w:hAnsi="仿宋" w:eastAsia="仿宋_GB2312" w:cs="仿宋_GB2312"/>
          <w:bCs/>
          <w:kern w:val="0"/>
          <w:sz w:val="28"/>
          <w:szCs w:val="28"/>
        </w:rPr>
        <w:t>为厌氧反应器核心设备，</w:t>
      </w:r>
      <w:r>
        <w:rPr>
          <w:rFonts w:hint="eastAsia" w:ascii="仿宋_GB2312" w:hAnsi="仿宋" w:eastAsia="仿宋_GB2312" w:cs="仿宋_GB2312"/>
          <w:bCs/>
          <w:kern w:val="0"/>
          <w:sz w:val="28"/>
          <w:szCs w:val="28"/>
        </w:rPr>
        <w:t>应充分考虑罐底周边及中心的布水均匀性。</w:t>
      </w:r>
    </w:p>
    <w:bookmarkEnd w:id="58"/>
    <w:bookmarkEnd w:id="59"/>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7.1.3</w:t>
      </w:r>
      <w:r>
        <w:rPr>
          <w:rFonts w:ascii="仿宋_GB2312" w:hAnsi="仿宋" w:eastAsia="仿宋_GB2312" w:cs="仿宋_GB2312"/>
          <w:bCs/>
          <w:kern w:val="0"/>
          <w:sz w:val="28"/>
          <w:szCs w:val="28"/>
        </w:rPr>
        <w:t>厌氧专用多点布水</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7.1.3</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布水</w:t>
      </w:r>
      <w:r>
        <w:rPr>
          <w:rFonts w:hint="eastAsia" w:ascii="仿宋_GB2312" w:hAnsi="仿宋" w:eastAsia="仿宋_GB2312" w:cs="仿宋_GB2312"/>
          <w:bCs/>
          <w:kern w:val="0"/>
          <w:sz w:val="28"/>
          <w:szCs w:val="28"/>
        </w:rPr>
        <w:t>装置</w:t>
      </w:r>
      <w:r>
        <w:rPr>
          <w:rFonts w:ascii="仿宋_GB2312" w:hAnsi="仿宋" w:eastAsia="仿宋_GB2312" w:cs="仿宋_GB2312"/>
          <w:bCs/>
          <w:kern w:val="0"/>
          <w:sz w:val="28"/>
          <w:szCs w:val="28"/>
        </w:rPr>
        <w:t>应满足防腐蚀要求，且应做到不堵塞、搅拌及冲洗功能全面，</w:t>
      </w:r>
      <w:r>
        <w:rPr>
          <w:rFonts w:hint="eastAsia" w:ascii="仿宋_GB2312" w:hAnsi="仿宋" w:eastAsia="仿宋_GB2312" w:cs="仿宋_GB2312"/>
          <w:bCs/>
          <w:kern w:val="0"/>
          <w:sz w:val="28"/>
          <w:szCs w:val="28"/>
        </w:rPr>
        <w:t>布水系统</w:t>
      </w:r>
      <w:r>
        <w:rPr>
          <w:rFonts w:ascii="仿宋_GB2312" w:hAnsi="仿宋" w:eastAsia="仿宋_GB2312" w:cs="仿宋_GB2312"/>
          <w:bCs/>
          <w:kern w:val="0"/>
          <w:sz w:val="28"/>
          <w:szCs w:val="28"/>
        </w:rPr>
        <w:t>无搅拌死角。应考虑管道间的固定</w:t>
      </w:r>
      <w:r>
        <w:rPr>
          <w:rFonts w:hint="eastAsia" w:ascii="仿宋_GB2312" w:hAnsi="仿宋" w:eastAsia="仿宋_GB2312" w:cs="仿宋_GB2312"/>
          <w:bCs/>
          <w:kern w:val="0"/>
          <w:sz w:val="28"/>
          <w:szCs w:val="28"/>
        </w:rPr>
        <w:t>应牢固，防止</w:t>
      </w:r>
      <w:r>
        <w:rPr>
          <w:rFonts w:ascii="仿宋_GB2312" w:hAnsi="仿宋" w:eastAsia="仿宋_GB2312" w:cs="仿宋_GB2312"/>
          <w:bCs/>
          <w:kern w:val="0"/>
          <w:sz w:val="28"/>
          <w:szCs w:val="28"/>
        </w:rPr>
        <w:t>管道脱出或滑落。</w:t>
      </w:r>
    </w:p>
    <w:p>
      <w:pPr>
        <w:spacing w:line="360" w:lineRule="auto"/>
        <w:ind w:firstLine="560" w:firstLineChars="200"/>
        <w:rPr>
          <w:rFonts w:ascii="仿宋_GB2312" w:hAnsi="仿宋" w:eastAsia="仿宋_GB2312" w:cs="仿宋_GB2312"/>
          <w:bCs/>
          <w:kern w:val="0"/>
          <w:sz w:val="28"/>
          <w:szCs w:val="28"/>
        </w:rPr>
      </w:pPr>
      <w:bookmarkStart w:id="60" w:name="_Hlk125885082"/>
      <w:r>
        <w:rPr>
          <w:rFonts w:hint="eastAsia" w:ascii="仿宋_GB2312" w:hAnsi="仿宋" w:eastAsia="仿宋_GB2312" w:cs="仿宋_GB2312"/>
          <w:bCs/>
          <w:kern w:val="0"/>
          <w:sz w:val="28"/>
          <w:szCs w:val="28"/>
        </w:rPr>
        <w:t>7.1.4</w:t>
      </w:r>
      <w:r>
        <w:rPr>
          <w:rFonts w:ascii="仿宋_GB2312" w:hAnsi="仿宋" w:eastAsia="仿宋_GB2312" w:cs="仿宋_GB2312"/>
          <w:bCs/>
          <w:kern w:val="0"/>
          <w:sz w:val="28"/>
          <w:szCs w:val="28"/>
        </w:rPr>
        <w:t>三相分离器</w:t>
      </w:r>
      <w:bookmarkEnd w:id="60"/>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7.1.4</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三相分离器应具备能收集从分离器下面的反应区产生的沼气和使在分离器之上的悬浮物沉淀下来的功能。</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7.1.4.</w:t>
      </w:r>
      <w:r>
        <w:rPr>
          <w:rFonts w:hint="eastAsia" w:ascii="仿宋_GB2312" w:hAnsi="仿宋" w:eastAsia="仿宋_GB2312" w:cs="仿宋_GB2312"/>
          <w:bCs/>
          <w:kern w:val="0"/>
          <w:sz w:val="28"/>
          <w:szCs w:val="28"/>
        </w:rPr>
        <w:t>2集气室的倾角应在 45-60°之间，并且壁面应光滑，</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7.1.4.</w:t>
      </w:r>
      <w:r>
        <w:rPr>
          <w:rFonts w:hint="eastAsia" w:ascii="仿宋_GB2312" w:hAnsi="仿宋" w:eastAsia="仿宋_GB2312" w:cs="仿宋_GB2312"/>
          <w:bCs/>
          <w:kern w:val="0"/>
          <w:sz w:val="28"/>
          <w:szCs w:val="28"/>
        </w:rPr>
        <w:t>3反应器最小的过水断面面积应是淀区出水截面面积的 15%-20%；</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7.1.4.</w:t>
      </w:r>
      <w:r>
        <w:rPr>
          <w:rFonts w:hint="eastAsia" w:ascii="仿宋_GB2312" w:hAnsi="仿宋" w:eastAsia="仿宋_GB2312" w:cs="仿宋_GB2312"/>
          <w:bCs/>
          <w:kern w:val="0"/>
          <w:sz w:val="28"/>
          <w:szCs w:val="28"/>
        </w:rPr>
        <w:t>4反射维体与集气室挡板之间重叠部分的宽度应该在 10-20cm 之间</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7.1.4.</w:t>
      </w:r>
      <w:r>
        <w:rPr>
          <w:rFonts w:hint="eastAsia" w:ascii="仿宋_GB2312" w:hAnsi="仿宋" w:eastAsia="仿宋_GB2312" w:cs="仿宋_GB2312"/>
          <w:bCs/>
          <w:kern w:val="0"/>
          <w:sz w:val="28"/>
          <w:szCs w:val="28"/>
        </w:rPr>
        <w:t>5气室出气管的直径应该足够大，以保证在有浮沫的情况下，气体也能顺利排出；</w:t>
      </w:r>
    </w:p>
    <w:p>
      <w:pPr>
        <w:spacing w:line="360" w:lineRule="auto"/>
        <w:ind w:firstLine="560" w:firstLineChars="200"/>
        <w:rPr>
          <w:rFonts w:ascii="仿宋_GB2312" w:hAnsi="仿宋" w:eastAsia="仿宋_GB2312" w:cs="仿宋_GB2312"/>
          <w:bCs/>
          <w:kern w:val="0"/>
          <w:sz w:val="28"/>
          <w:szCs w:val="28"/>
        </w:rPr>
      </w:pPr>
      <w:bookmarkStart w:id="61" w:name="_Hlk162043660"/>
      <w:bookmarkStart w:id="62" w:name="_Hlk125885157"/>
      <w:r>
        <w:rPr>
          <w:rFonts w:ascii="仿宋_GB2312" w:hAnsi="仿宋" w:eastAsia="仿宋_GB2312" w:cs="仿宋_GB2312"/>
          <w:bCs/>
          <w:kern w:val="0"/>
          <w:sz w:val="28"/>
          <w:szCs w:val="28"/>
        </w:rPr>
        <w:t>7.1.</w:t>
      </w:r>
      <w:r>
        <w:rPr>
          <w:rFonts w:hint="eastAsia" w:ascii="仿宋_GB2312" w:hAnsi="仿宋" w:eastAsia="仿宋_GB2312" w:cs="仿宋_GB2312"/>
          <w:bCs/>
          <w:kern w:val="0"/>
          <w:sz w:val="28"/>
          <w:szCs w:val="28"/>
        </w:rPr>
        <w:t>5</w:t>
      </w:r>
      <w:bookmarkEnd w:id="61"/>
      <w:r>
        <w:rPr>
          <w:rFonts w:ascii="仿宋_GB2312" w:hAnsi="仿宋" w:eastAsia="仿宋_GB2312" w:cs="仿宋_GB2312"/>
          <w:bCs/>
          <w:kern w:val="0"/>
          <w:sz w:val="28"/>
          <w:szCs w:val="28"/>
        </w:rPr>
        <w:t>三相分离器支架</w:t>
      </w:r>
    </w:p>
    <w:bookmarkEnd w:id="62"/>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7.1.5</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三相分离器支架应具备支撑三相分离器的功能。</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7.1.5</w:t>
      </w:r>
      <w:r>
        <w:rPr>
          <w:rFonts w:hint="eastAsia" w:ascii="仿宋_GB2312" w:hAnsi="仿宋" w:eastAsia="仿宋_GB2312" w:cs="仿宋_GB2312"/>
          <w:bCs/>
          <w:kern w:val="0"/>
          <w:sz w:val="28"/>
          <w:szCs w:val="28"/>
        </w:rPr>
        <w:t>.2支架至少承重2t。材质碳钢防腐；防腐采用环氧煤沥青漆。</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w:t>
      </w:r>
      <w:r>
        <w:rPr>
          <w:rFonts w:hint="eastAsia" w:ascii="仿宋_GB2312" w:hAnsi="仿宋" w:eastAsia="仿宋_GB2312" w:cs="仿宋_GB2312"/>
          <w:bCs/>
          <w:kern w:val="0"/>
          <w:sz w:val="28"/>
          <w:szCs w:val="28"/>
        </w:rPr>
        <w:t>6</w:t>
      </w:r>
      <w:r>
        <w:rPr>
          <w:rFonts w:ascii="仿宋_GB2312" w:hAnsi="仿宋" w:eastAsia="仿宋_GB2312" w:cs="仿宋_GB2312"/>
          <w:bCs/>
          <w:kern w:val="0"/>
          <w:sz w:val="28"/>
          <w:szCs w:val="28"/>
        </w:rPr>
        <w:t>出水槽</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7.1.6</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出水槽应具备防腐功能，且满足出水平稳要求。</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7.1.6</w:t>
      </w: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厌氧反应器出水槽需考虑与池体间的连接及固定，并配套相关连接件（如垫片、螺栓等）。</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w:t>
      </w:r>
      <w:r>
        <w:rPr>
          <w:rFonts w:hint="eastAsia" w:ascii="仿宋_GB2312" w:hAnsi="仿宋" w:eastAsia="仿宋_GB2312" w:cs="仿宋_GB2312"/>
          <w:bCs/>
          <w:kern w:val="0"/>
          <w:sz w:val="28"/>
          <w:szCs w:val="28"/>
        </w:rPr>
        <w:t>7</w:t>
      </w:r>
      <w:r>
        <w:rPr>
          <w:rFonts w:ascii="仿宋_GB2312" w:hAnsi="仿宋" w:eastAsia="仿宋_GB2312" w:cs="仿宋_GB2312"/>
          <w:bCs/>
          <w:kern w:val="0"/>
          <w:sz w:val="28"/>
          <w:szCs w:val="28"/>
        </w:rPr>
        <w:t>穿孔排泥系统</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7.1.7</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穿孔排泥系统应满足防腐蚀要求，且应做到不堵塞，无排泥死角。</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7.1.7</w:t>
      </w: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应考虑管道间的固定，避免脉冲导致管道脱出或滑落。</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7.1.7</w:t>
      </w:r>
      <w:r>
        <w:rPr>
          <w:rFonts w:hint="eastAsia" w:ascii="仿宋_GB2312" w:hAnsi="仿宋" w:eastAsia="仿宋_GB2312" w:cs="仿宋_GB2312"/>
          <w:bCs/>
          <w:kern w:val="0"/>
          <w:sz w:val="28"/>
          <w:szCs w:val="28"/>
        </w:rPr>
        <w:t>.3</w:t>
      </w:r>
      <w:r>
        <w:rPr>
          <w:rFonts w:ascii="仿宋_GB2312" w:hAnsi="仿宋" w:eastAsia="仿宋_GB2312" w:cs="仿宋_GB2312"/>
          <w:bCs/>
          <w:kern w:val="0"/>
          <w:sz w:val="28"/>
          <w:szCs w:val="28"/>
        </w:rPr>
        <w:t>穿孔排泥系统应预留接口用于排空及反向冲洗。</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7.2防腐</w:t>
      </w:r>
      <w:r>
        <w:rPr>
          <w:rFonts w:ascii="仿宋_GB2312" w:hAnsi="仿宋" w:eastAsia="仿宋_GB2312" w:cs="仿宋_GB2312"/>
          <w:bCs/>
          <w:kern w:val="0"/>
          <w:sz w:val="28"/>
          <w:szCs w:val="28"/>
        </w:rPr>
        <w:t>要求</w:t>
      </w:r>
    </w:p>
    <w:p>
      <w:pPr>
        <w:spacing w:line="360" w:lineRule="auto"/>
        <w:ind w:firstLine="560" w:firstLineChars="200"/>
        <w:rPr>
          <w:rFonts w:ascii="仿宋_GB2312" w:hAnsi="仿宋" w:eastAsia="仿宋_GB2312" w:cs="仿宋_GB2312"/>
          <w:bCs/>
          <w:kern w:val="0"/>
          <w:sz w:val="28"/>
          <w:szCs w:val="28"/>
        </w:rPr>
      </w:pPr>
      <w:bookmarkStart w:id="63" w:name="_Toc353636244"/>
      <w:r>
        <w:rPr>
          <w:rFonts w:ascii="仿宋_GB2312" w:hAnsi="仿宋" w:eastAsia="仿宋_GB2312" w:cs="仿宋_GB2312"/>
          <w:bCs/>
          <w:kern w:val="0"/>
          <w:sz w:val="28"/>
          <w:szCs w:val="28"/>
        </w:rPr>
        <w:t>7.2</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1不锈钢部件加工完后对其进行表面酸洗钝化处理；</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7.2</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2碳钢件、铸件表面除锈达Sa2.5级标准；</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7.2</w:t>
      </w:r>
      <w:r>
        <w:rPr>
          <w:rFonts w:hint="eastAsia" w:ascii="仿宋_GB2312" w:hAnsi="仿宋" w:eastAsia="仿宋_GB2312" w:cs="仿宋_GB2312"/>
          <w:bCs/>
          <w:kern w:val="0"/>
          <w:sz w:val="28"/>
          <w:szCs w:val="28"/>
        </w:rPr>
        <w:t>.3</w:t>
      </w:r>
      <w:r>
        <w:rPr>
          <w:rFonts w:ascii="仿宋_GB2312" w:hAnsi="仿宋" w:eastAsia="仿宋_GB2312" w:cs="仿宋_GB2312"/>
          <w:bCs/>
          <w:kern w:val="0"/>
          <w:sz w:val="28"/>
          <w:szCs w:val="28"/>
        </w:rPr>
        <w:t>包装前对机加工面按GB/T 4879-2016标准要求做防腐处理；</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7.2</w:t>
      </w:r>
      <w:r>
        <w:rPr>
          <w:rFonts w:hint="eastAsia" w:ascii="仿宋_GB2312" w:hAnsi="仿宋" w:eastAsia="仿宋_GB2312" w:cs="仿宋_GB2312"/>
          <w:bCs/>
          <w:kern w:val="0"/>
          <w:sz w:val="28"/>
          <w:szCs w:val="28"/>
        </w:rPr>
        <w:t>.4</w:t>
      </w:r>
      <w:r>
        <w:rPr>
          <w:rFonts w:ascii="仿宋_GB2312" w:hAnsi="仿宋" w:eastAsia="仿宋_GB2312" w:cs="仿宋_GB2312"/>
          <w:bCs/>
          <w:kern w:val="0"/>
          <w:sz w:val="28"/>
          <w:szCs w:val="28"/>
        </w:rPr>
        <w:t>运输安装过程中涂层破损，严格按涂。</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7.2</w:t>
      </w:r>
      <w:r>
        <w:rPr>
          <w:rFonts w:hint="eastAsia" w:ascii="仿宋_GB2312" w:hAnsi="仿宋" w:eastAsia="仿宋_GB2312" w:cs="仿宋_GB2312"/>
          <w:bCs/>
          <w:kern w:val="0"/>
          <w:sz w:val="28"/>
          <w:szCs w:val="28"/>
        </w:rPr>
        <w:t>.5</w:t>
      </w:r>
      <w:r>
        <w:rPr>
          <w:rFonts w:ascii="仿宋_GB2312" w:hAnsi="仿宋" w:eastAsia="仿宋_GB2312" w:cs="仿宋_GB2312"/>
          <w:bCs/>
          <w:kern w:val="0"/>
          <w:sz w:val="28"/>
          <w:szCs w:val="28"/>
        </w:rPr>
        <w:t>设备外表面涂漆层或化学处理层应平整、光滑、色泽均匀，无油污、压痕和其他机械损伤。</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7.3严禁选用列入工信部四批高耗能落后机电设备（产品）淘汰目录中的设备和产品，鼓励选用工信部节能机电产品设备名录中的机电设备，要求选用的机电设备能效等级满足二级以上能效标准。</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7.4涉及到不锈钢焊接均应采取氩弧焊接，所有的碳钢管道均需根据国家标准要求进行防腐刷漆处理，并标明介质流向。</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7.5所有的安装施工完成后须能够满足使用要求，施工现场清理干净，垃圾清理出厂。</w:t>
      </w:r>
    </w:p>
    <w:bookmarkEnd w:id="63"/>
    <w:p>
      <w:pPr>
        <w:spacing w:line="360" w:lineRule="auto"/>
        <w:ind w:firstLine="560" w:firstLineChars="200"/>
        <w:rPr>
          <w:rFonts w:ascii="仿宋_GB2312" w:hAnsi="仿宋" w:eastAsia="仿宋_GB2312" w:cs="仿宋_GB2312"/>
          <w:bCs/>
          <w:kern w:val="0"/>
          <w:sz w:val="28"/>
          <w:szCs w:val="28"/>
        </w:rPr>
      </w:pPr>
      <w:bookmarkStart w:id="64" w:name="_Toc353636245"/>
      <w:bookmarkStart w:id="65" w:name="_Toc125889831"/>
      <w:bookmarkStart w:id="66" w:name="_Toc120373123"/>
      <w:r>
        <w:rPr>
          <w:rFonts w:hint="eastAsia" w:ascii="仿宋_GB2312" w:hAnsi="仿宋" w:eastAsia="仿宋_GB2312" w:cs="仿宋_GB2312"/>
          <w:bCs/>
          <w:kern w:val="0"/>
          <w:sz w:val="28"/>
          <w:szCs w:val="28"/>
        </w:rPr>
        <w:t>8</w:t>
      </w:r>
      <w:r>
        <w:rPr>
          <w:rFonts w:ascii="仿宋_GB2312" w:hAnsi="仿宋" w:eastAsia="仿宋_GB2312" w:cs="仿宋_GB2312"/>
          <w:bCs/>
          <w:kern w:val="0"/>
          <w:sz w:val="28"/>
          <w:szCs w:val="28"/>
        </w:rPr>
        <w:t>性能保证</w:t>
      </w:r>
      <w:bookmarkEnd w:id="64"/>
      <w:bookmarkEnd w:id="65"/>
      <w:bookmarkEnd w:id="66"/>
    </w:p>
    <w:p>
      <w:pPr>
        <w:spacing w:line="360" w:lineRule="auto"/>
        <w:ind w:firstLine="560" w:firstLineChars="200"/>
        <w:rPr>
          <w:rFonts w:ascii="仿宋_GB2312" w:hAnsi="仿宋" w:eastAsia="仿宋_GB2312" w:cs="仿宋_GB2312"/>
          <w:bCs/>
          <w:kern w:val="0"/>
          <w:sz w:val="28"/>
          <w:szCs w:val="28"/>
        </w:rPr>
      </w:pPr>
      <w:bookmarkStart w:id="67" w:name="_Toc98953381"/>
      <w:bookmarkStart w:id="68" w:name="_Toc98953340"/>
      <w:r>
        <w:rPr>
          <w:rFonts w:hint="eastAsia" w:ascii="仿宋_GB2312" w:hAnsi="仿宋" w:eastAsia="仿宋_GB2312" w:cs="仿宋_GB2312"/>
          <w:bCs/>
          <w:kern w:val="0"/>
          <w:sz w:val="28"/>
          <w:szCs w:val="28"/>
        </w:rPr>
        <w:t>8.1</w:t>
      </w:r>
      <w:r>
        <w:rPr>
          <w:rFonts w:ascii="仿宋_GB2312" w:hAnsi="仿宋" w:eastAsia="仿宋_GB2312" w:cs="仿宋_GB2312"/>
          <w:bCs/>
          <w:kern w:val="0"/>
          <w:sz w:val="28"/>
          <w:szCs w:val="28"/>
        </w:rPr>
        <w:t>性能保证</w:t>
      </w:r>
      <w:bookmarkEnd w:id="67"/>
      <w:bookmarkEnd w:id="68"/>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8.1</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1乙方应保证其所提供的设备是全新的，未使用过的，采用最新设计和合适材料制造的，并满足技术规范中规定的所有质量、规格和性能要求。</w:t>
      </w:r>
      <w:r>
        <w:rPr>
          <w:rFonts w:hint="eastAsia" w:ascii="仿宋_GB2312" w:hAnsi="仿宋" w:eastAsia="仿宋_GB2312" w:cs="仿宋_GB2312"/>
          <w:bCs/>
          <w:kern w:val="0"/>
          <w:sz w:val="28"/>
          <w:szCs w:val="28"/>
        </w:rPr>
        <w:t>材料送达后，双方对货物的数量、规格参数、外观进行静态验收。</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8.1</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2在完成系统指导安装、调试后，将在甲方的监督下，按系统要求的程序进行试运转，由乙方的人员指导甲方进行操作，并进行必要的试运行来证明其所供设备情况良好，且符合合同中的要求，试运行后设备即可交付甲方作正常运行用。</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8.1</w:t>
      </w:r>
      <w:r>
        <w:rPr>
          <w:rFonts w:hint="eastAsia" w:ascii="仿宋_GB2312" w:hAnsi="仿宋" w:eastAsia="仿宋_GB2312" w:cs="仿宋_GB2312"/>
          <w:bCs/>
          <w:kern w:val="0"/>
          <w:sz w:val="28"/>
          <w:szCs w:val="28"/>
        </w:rPr>
        <w:t>.3</w:t>
      </w:r>
      <w:r>
        <w:rPr>
          <w:rFonts w:ascii="仿宋_GB2312" w:hAnsi="仿宋" w:eastAsia="仿宋_GB2312" w:cs="仿宋_GB2312"/>
          <w:bCs/>
          <w:kern w:val="0"/>
          <w:sz w:val="28"/>
          <w:szCs w:val="28"/>
        </w:rPr>
        <w:t>使用寿命不少于20年；</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8.1.</w:t>
      </w:r>
      <w:r>
        <w:rPr>
          <w:rFonts w:hint="eastAsia" w:ascii="仿宋_GB2312" w:hAnsi="仿宋" w:eastAsia="仿宋_GB2312" w:cs="仿宋_GB2312"/>
          <w:bCs/>
          <w:kern w:val="0"/>
          <w:sz w:val="28"/>
          <w:szCs w:val="28"/>
        </w:rPr>
        <w:t>4乙方制作的厌氧反应器在工艺设计、检测和控制、施工与验收、运行与维护等技术要求应符合HJ 2023-2012《厌氧颗粒污泥膨胀床反应器废水处理工程技术规范》的规定。</w:t>
      </w:r>
    </w:p>
    <w:p>
      <w:pPr>
        <w:spacing w:line="360" w:lineRule="auto"/>
        <w:ind w:firstLine="560" w:firstLineChars="200"/>
        <w:rPr>
          <w:rFonts w:ascii="仿宋_GB2312" w:hAnsi="仿宋" w:eastAsia="仿宋_GB2312" w:cs="仿宋_GB2312"/>
          <w:bCs/>
          <w:kern w:val="0"/>
          <w:sz w:val="28"/>
          <w:szCs w:val="28"/>
        </w:rPr>
      </w:pPr>
      <w:bookmarkStart w:id="69" w:name="_Toc98953341"/>
      <w:bookmarkStart w:id="70" w:name="_Toc98953382"/>
      <w:r>
        <w:rPr>
          <w:rFonts w:hint="eastAsia" w:ascii="仿宋_GB2312" w:hAnsi="仿宋" w:eastAsia="仿宋_GB2312" w:cs="仿宋_GB2312"/>
          <w:bCs/>
          <w:kern w:val="0"/>
          <w:sz w:val="28"/>
          <w:szCs w:val="28"/>
        </w:rPr>
        <w:t>8.2</w:t>
      </w:r>
      <w:r>
        <w:rPr>
          <w:rFonts w:ascii="仿宋_GB2312" w:hAnsi="仿宋" w:eastAsia="仿宋_GB2312" w:cs="仿宋_GB2312"/>
          <w:bCs/>
          <w:kern w:val="0"/>
          <w:sz w:val="28"/>
          <w:szCs w:val="28"/>
        </w:rPr>
        <w:t>性能考核</w:t>
      </w:r>
      <w:bookmarkEnd w:id="69"/>
      <w:bookmarkEnd w:id="70"/>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8.2.</w:t>
      </w:r>
      <w:r>
        <w:rPr>
          <w:rFonts w:ascii="仿宋_GB2312" w:hAnsi="仿宋" w:eastAsia="仿宋_GB2312" w:cs="仿宋_GB2312"/>
          <w:bCs/>
          <w:kern w:val="0"/>
          <w:sz w:val="28"/>
          <w:szCs w:val="28"/>
        </w:rPr>
        <w:t>1本工艺包联动试车完成，出水基本达标后，乙方向业主方提出考核申请，在7天内对工艺系统进行性能考核。考核由乙方主持，由业主方人员进行操作（包括但不限于设备操作、提供公用工程及药剂、水质化验分析、共同参与性能考核、出具验收报告等工作）。</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8.2.2本工艺包联动试车完成，出水基本达标后，由于</w:t>
      </w:r>
      <w:r>
        <w:rPr>
          <w:rFonts w:hint="eastAsia" w:ascii="仿宋_GB2312" w:hAnsi="仿宋" w:eastAsia="仿宋_GB2312" w:cs="仿宋_GB2312"/>
          <w:bCs/>
          <w:kern w:val="0"/>
          <w:sz w:val="28"/>
          <w:szCs w:val="28"/>
        </w:rPr>
        <w:t>非乙方</w:t>
      </w:r>
      <w:r>
        <w:rPr>
          <w:rFonts w:ascii="仿宋_GB2312" w:hAnsi="仿宋" w:eastAsia="仿宋_GB2312" w:cs="仿宋_GB2312"/>
          <w:bCs/>
          <w:kern w:val="0"/>
          <w:sz w:val="28"/>
          <w:szCs w:val="28"/>
        </w:rPr>
        <w:t>原因1个月内不能达到设计水量及水质，双方需协商进行减量考核，以满足当时现有水量水质达标处理。减量考核时间为3</w:t>
      </w:r>
      <w:r>
        <w:rPr>
          <w:rFonts w:hint="eastAsia" w:ascii="仿宋_GB2312" w:hAnsi="仿宋" w:eastAsia="仿宋_GB2312" w:cs="仿宋_GB2312"/>
          <w:bCs/>
          <w:kern w:val="0"/>
          <w:sz w:val="28"/>
          <w:szCs w:val="28"/>
        </w:rPr>
        <w:t>天</w:t>
      </w:r>
      <w:r>
        <w:rPr>
          <w:rFonts w:ascii="仿宋_GB2312" w:hAnsi="仿宋" w:eastAsia="仿宋_GB2312" w:cs="仿宋_GB2312"/>
          <w:bCs/>
          <w:kern w:val="0"/>
          <w:sz w:val="28"/>
          <w:szCs w:val="28"/>
        </w:rPr>
        <w:t>，考核水量及水质双方根据实际进水情况协商确定。</w:t>
      </w:r>
      <w:r>
        <w:rPr>
          <w:rFonts w:hint="eastAsia" w:ascii="仿宋_GB2312" w:hAnsi="仿宋" w:eastAsia="仿宋_GB2312" w:cs="仿宋_GB2312"/>
          <w:bCs/>
          <w:kern w:val="0"/>
          <w:sz w:val="28"/>
          <w:szCs w:val="28"/>
        </w:rPr>
        <w:t>如厌氧反应器系统安装完成后6个月内由于非乙方原因无法满足调试，则视为项目已完成调试检测合格，甲方应支付乙方相应款项。后序具备调试条件后，乙方派人继续进行调试培训与指导，并配合甲方完成相应整体系统验收工作。</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8.2.3如考核期间出现实际进水水质达不到设计进水的，按照实际进水水质进行考核。</w:t>
      </w:r>
    </w:p>
    <w:p>
      <w:pPr>
        <w:spacing w:line="360" w:lineRule="auto"/>
        <w:ind w:firstLine="560" w:firstLineChars="200"/>
      </w:pPr>
      <w:r>
        <w:rPr>
          <w:rFonts w:ascii="仿宋_GB2312" w:hAnsi="仿宋" w:eastAsia="仿宋_GB2312" w:cs="仿宋_GB2312"/>
          <w:bCs/>
          <w:kern w:val="0"/>
          <w:sz w:val="28"/>
          <w:szCs w:val="28"/>
        </w:rPr>
        <w:t>8.2.4考核期间，每次测试指标达标为考核达标（如环保局达标验收是按均值，可以调整按均值</w:t>
      </w:r>
      <w:r>
        <w:t>考核）。</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8.2.5考核内容和性能考核方法如下：</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对于满足工况下的进水水质，厌氧反应器的出水应保证能达到如下的性能：</w:t>
      </w:r>
    </w:p>
    <w:tbl>
      <w:tblPr>
        <w:tblStyle w:val="21"/>
        <w:tblW w:w="494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39"/>
        <w:gridCol w:w="978"/>
        <w:gridCol w:w="995"/>
        <w:gridCol w:w="991"/>
        <w:gridCol w:w="993"/>
        <w:gridCol w:w="991"/>
        <w:gridCol w:w="1063"/>
        <w:gridCol w:w="10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55" w:type="pct"/>
            <w:shd w:val="clear" w:color="auto" w:fill="auto"/>
            <w:noWrap/>
            <w:vAlign w:val="center"/>
          </w:tcPr>
          <w:p>
            <w:pPr>
              <w:widowControl/>
              <w:jc w:val="center"/>
              <w:rPr>
                <w:rFonts w:ascii="宋体" w:hAnsi="宋体" w:cs="宋体"/>
                <w:b/>
                <w:bCs/>
                <w:kern w:val="0"/>
              </w:rPr>
            </w:pPr>
            <w:r>
              <w:rPr>
                <w:rFonts w:hint="eastAsia"/>
              </w:rPr>
              <w:t>序号</w:t>
            </w:r>
          </w:p>
        </w:tc>
        <w:tc>
          <w:tcPr>
            <w:tcW w:w="348" w:type="pct"/>
            <w:shd w:val="clear" w:color="auto" w:fill="auto"/>
            <w:vAlign w:val="center"/>
          </w:tcPr>
          <w:p>
            <w:pPr>
              <w:widowControl/>
              <w:jc w:val="center"/>
              <w:rPr>
                <w:rFonts w:ascii="宋体" w:hAnsi="宋体" w:cs="宋体"/>
                <w:b/>
                <w:bCs/>
                <w:kern w:val="0"/>
              </w:rPr>
            </w:pPr>
            <w:r>
              <w:rPr>
                <w:rFonts w:hint="eastAsia"/>
              </w:rPr>
              <w:t>处理单元</w:t>
            </w:r>
          </w:p>
        </w:tc>
        <w:tc>
          <w:tcPr>
            <w:tcW w:w="533" w:type="pct"/>
            <w:shd w:val="clear" w:color="auto" w:fill="auto"/>
            <w:vAlign w:val="center"/>
          </w:tcPr>
          <w:p>
            <w:pPr>
              <w:widowControl/>
              <w:jc w:val="center"/>
            </w:pPr>
            <w:r>
              <w:rPr>
                <w:rFonts w:hint="eastAsia"/>
              </w:rPr>
              <w:t>进水量(m3/D)</w:t>
            </w:r>
          </w:p>
        </w:tc>
        <w:tc>
          <w:tcPr>
            <w:tcW w:w="542" w:type="pct"/>
            <w:shd w:val="clear" w:color="auto" w:fill="auto"/>
            <w:vAlign w:val="center"/>
          </w:tcPr>
          <w:p>
            <w:pPr>
              <w:widowControl/>
              <w:jc w:val="center"/>
              <w:rPr>
                <w:rFonts w:ascii="宋体" w:hAnsi="宋体" w:cs="宋体"/>
                <w:b/>
                <w:bCs/>
                <w:kern w:val="0"/>
              </w:rPr>
            </w:pPr>
            <w:r>
              <w:rPr>
                <w:rFonts w:hint="eastAsia"/>
              </w:rPr>
              <w:t>指 标</w:t>
            </w:r>
          </w:p>
        </w:tc>
        <w:tc>
          <w:tcPr>
            <w:tcW w:w="540" w:type="pct"/>
            <w:shd w:val="clear" w:color="auto" w:fill="auto"/>
            <w:vAlign w:val="center"/>
          </w:tcPr>
          <w:p>
            <w:pPr>
              <w:widowControl/>
              <w:jc w:val="center"/>
              <w:rPr>
                <w:rFonts w:eastAsia="等线"/>
                <w:b/>
                <w:bCs/>
                <w:kern w:val="0"/>
              </w:rPr>
            </w:pPr>
            <w:r>
              <w:rPr>
                <w:rFonts w:hint="eastAsia"/>
              </w:rPr>
              <w:t>CODcr（mg/L）</w:t>
            </w:r>
          </w:p>
        </w:tc>
        <w:tc>
          <w:tcPr>
            <w:tcW w:w="541" w:type="pct"/>
            <w:shd w:val="clear" w:color="auto" w:fill="auto"/>
            <w:vAlign w:val="center"/>
          </w:tcPr>
          <w:p>
            <w:pPr>
              <w:widowControl/>
              <w:jc w:val="center"/>
            </w:pPr>
            <w:r>
              <w:rPr>
                <w:rFonts w:hint="eastAsia"/>
              </w:rPr>
              <w:t>BOD</w:t>
            </w:r>
          </w:p>
          <w:p>
            <w:pPr>
              <w:widowControl/>
              <w:jc w:val="center"/>
              <w:rPr>
                <w:rFonts w:eastAsia="等线"/>
                <w:b/>
                <w:bCs/>
                <w:kern w:val="0"/>
              </w:rPr>
            </w:pPr>
            <w:r>
              <w:rPr>
                <w:rFonts w:hint="eastAsia"/>
              </w:rPr>
              <w:t>（mg/L）</w:t>
            </w:r>
          </w:p>
        </w:tc>
        <w:tc>
          <w:tcPr>
            <w:tcW w:w="540" w:type="pct"/>
            <w:shd w:val="clear" w:color="auto" w:fill="auto"/>
            <w:vAlign w:val="center"/>
          </w:tcPr>
          <w:p>
            <w:pPr>
              <w:widowControl/>
              <w:jc w:val="center"/>
              <w:rPr>
                <w:rFonts w:eastAsia="等线"/>
                <w:b/>
                <w:bCs/>
                <w:kern w:val="0"/>
              </w:rPr>
            </w:pPr>
            <w:r>
              <w:rPr>
                <w:rFonts w:hint="eastAsia"/>
              </w:rPr>
              <w:t>NH3-N（mg/L）</w:t>
            </w:r>
          </w:p>
        </w:tc>
        <w:tc>
          <w:tcPr>
            <w:tcW w:w="579" w:type="pct"/>
            <w:shd w:val="clear" w:color="auto" w:fill="auto"/>
            <w:vAlign w:val="center"/>
          </w:tcPr>
          <w:p>
            <w:pPr>
              <w:widowControl/>
              <w:jc w:val="center"/>
              <w:rPr>
                <w:rFonts w:eastAsia="等线"/>
                <w:b/>
                <w:bCs/>
                <w:kern w:val="0"/>
              </w:rPr>
            </w:pPr>
            <w:r>
              <w:rPr>
                <w:rFonts w:hint="eastAsia"/>
              </w:rPr>
              <w:t>TN（mg/L）</w:t>
            </w:r>
          </w:p>
        </w:tc>
        <w:tc>
          <w:tcPr>
            <w:tcW w:w="554" w:type="pct"/>
            <w:shd w:val="clear" w:color="auto" w:fill="auto"/>
            <w:vAlign w:val="center"/>
          </w:tcPr>
          <w:p>
            <w:pPr>
              <w:widowControl/>
              <w:jc w:val="center"/>
              <w:rPr>
                <w:rFonts w:eastAsia="等线"/>
                <w:b/>
                <w:bCs/>
                <w:kern w:val="0"/>
              </w:rPr>
            </w:pPr>
            <w:r>
              <w:rPr>
                <w:rFonts w:hint="eastAsia"/>
              </w:rPr>
              <w:t>SS（mg/L）</w:t>
            </w:r>
          </w:p>
        </w:tc>
        <w:tc>
          <w:tcPr>
            <w:tcW w:w="468" w:type="pct"/>
            <w:shd w:val="clear" w:color="auto" w:fill="auto"/>
            <w:vAlign w:val="center"/>
          </w:tcPr>
          <w:p>
            <w:pPr>
              <w:widowControl/>
              <w:jc w:val="center"/>
              <w:rPr>
                <w:rFonts w:eastAsia="等线"/>
                <w:b/>
                <w:bCs/>
                <w:kern w:val="0"/>
              </w:rPr>
            </w:pPr>
            <w:r>
              <w:rPr>
                <w:rFonts w:hint="eastAsia"/>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1</w:t>
            </w:r>
          </w:p>
        </w:tc>
        <w:tc>
          <w:tcPr>
            <w:tcW w:w="348" w:type="pct"/>
            <w:vMerge w:val="restart"/>
            <w:shd w:val="clear" w:color="auto" w:fill="auto"/>
          </w:tcPr>
          <w:p>
            <w:pPr>
              <w:widowControl/>
              <w:jc w:val="center"/>
              <w:rPr>
                <w:rFonts w:ascii="宋体" w:hAnsi="宋体" w:cs="宋体"/>
                <w:kern w:val="0"/>
              </w:rPr>
            </w:pPr>
            <w:r>
              <w:rPr>
                <w:rFonts w:hint="eastAsia"/>
              </w:rPr>
              <w:t>厌氧反应器</w:t>
            </w:r>
          </w:p>
        </w:tc>
        <w:tc>
          <w:tcPr>
            <w:tcW w:w="533" w:type="pct"/>
            <w:vMerge w:val="restart"/>
            <w:vAlign w:val="center"/>
          </w:tcPr>
          <w:p>
            <w:pPr>
              <w:widowControl/>
              <w:jc w:val="center"/>
            </w:pPr>
            <w:r>
              <w:rPr>
                <w:rFonts w:hint="eastAsia"/>
              </w:rPr>
              <w:t>≤4000</w:t>
            </w:r>
          </w:p>
        </w:tc>
        <w:tc>
          <w:tcPr>
            <w:tcW w:w="542" w:type="pct"/>
            <w:shd w:val="clear" w:color="auto" w:fill="auto"/>
            <w:noWrap/>
          </w:tcPr>
          <w:p>
            <w:pPr>
              <w:widowControl/>
              <w:jc w:val="center"/>
              <w:rPr>
                <w:rFonts w:ascii="宋体" w:hAnsi="宋体" w:cs="宋体"/>
                <w:kern w:val="0"/>
              </w:rPr>
            </w:pPr>
            <w:r>
              <w:rPr>
                <w:rFonts w:hint="eastAsia"/>
              </w:rPr>
              <w:t>进水</w:t>
            </w:r>
          </w:p>
        </w:tc>
        <w:tc>
          <w:tcPr>
            <w:tcW w:w="540" w:type="pct"/>
            <w:shd w:val="clear" w:color="auto" w:fill="auto"/>
            <w:noWrap/>
          </w:tcPr>
          <w:p>
            <w:pPr>
              <w:widowControl/>
              <w:jc w:val="center"/>
              <w:rPr>
                <w:rFonts w:eastAsia="等线"/>
                <w:kern w:val="0"/>
              </w:rPr>
            </w:pPr>
            <w:r>
              <w:rPr>
                <w:rFonts w:hint="eastAsia"/>
              </w:rPr>
              <w:t>≤4000</w:t>
            </w:r>
          </w:p>
        </w:tc>
        <w:tc>
          <w:tcPr>
            <w:tcW w:w="541" w:type="pct"/>
            <w:shd w:val="clear" w:color="auto" w:fill="auto"/>
            <w:noWrap/>
          </w:tcPr>
          <w:p>
            <w:pPr>
              <w:widowControl/>
              <w:jc w:val="center"/>
              <w:rPr>
                <w:rFonts w:eastAsia="等线"/>
                <w:kern w:val="0"/>
              </w:rPr>
            </w:pPr>
            <w:r>
              <w:rPr>
                <w:rFonts w:hint="eastAsia"/>
              </w:rPr>
              <w:t>≤1824</w:t>
            </w:r>
          </w:p>
        </w:tc>
        <w:tc>
          <w:tcPr>
            <w:tcW w:w="540" w:type="pct"/>
            <w:shd w:val="clear" w:color="auto" w:fill="auto"/>
            <w:noWrap/>
          </w:tcPr>
          <w:p>
            <w:pPr>
              <w:widowControl/>
              <w:jc w:val="center"/>
              <w:rPr>
                <w:rFonts w:eastAsia="等线"/>
                <w:kern w:val="0"/>
              </w:rPr>
            </w:pPr>
            <w:r>
              <w:rPr>
                <w:rFonts w:hint="eastAsia"/>
              </w:rPr>
              <w:t>≤50</w:t>
            </w:r>
          </w:p>
        </w:tc>
        <w:tc>
          <w:tcPr>
            <w:tcW w:w="579" w:type="pct"/>
            <w:shd w:val="clear" w:color="auto" w:fill="auto"/>
            <w:noWrap/>
          </w:tcPr>
          <w:p>
            <w:pPr>
              <w:widowControl/>
              <w:jc w:val="center"/>
              <w:rPr>
                <w:rFonts w:eastAsia="等线"/>
                <w:kern w:val="0"/>
              </w:rPr>
            </w:pPr>
            <w:r>
              <w:rPr>
                <w:rFonts w:hint="eastAsia"/>
              </w:rPr>
              <w:t>≤100</w:t>
            </w:r>
          </w:p>
        </w:tc>
        <w:tc>
          <w:tcPr>
            <w:tcW w:w="554" w:type="pct"/>
            <w:shd w:val="clear" w:color="auto" w:fill="auto"/>
            <w:noWrap/>
          </w:tcPr>
          <w:p>
            <w:pPr>
              <w:widowControl/>
              <w:jc w:val="center"/>
              <w:rPr>
                <w:rFonts w:eastAsia="等线"/>
                <w:kern w:val="0"/>
              </w:rPr>
            </w:pPr>
            <w:r>
              <w:rPr>
                <w:rFonts w:hint="eastAsia"/>
              </w:rPr>
              <w:t>≤200</w:t>
            </w:r>
          </w:p>
        </w:tc>
        <w:tc>
          <w:tcPr>
            <w:tcW w:w="468" w:type="pct"/>
            <w:shd w:val="clear" w:color="auto" w:fill="auto"/>
          </w:tcPr>
          <w:p>
            <w:pPr>
              <w:widowControl/>
              <w:jc w:val="center"/>
              <w:rPr>
                <w:rFonts w:eastAsia="等线"/>
                <w:kern w:val="0"/>
              </w:rPr>
            </w:pPr>
            <w:r>
              <w:t>5</w:t>
            </w:r>
            <w:r>
              <w:rPr>
                <w:rFonts w:hint="eastAsia"/>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2</w:t>
            </w:r>
          </w:p>
        </w:tc>
        <w:tc>
          <w:tcPr>
            <w:tcW w:w="348" w:type="pct"/>
            <w:vMerge w:val="continue"/>
          </w:tcPr>
          <w:p>
            <w:pPr>
              <w:widowControl/>
              <w:jc w:val="left"/>
              <w:rPr>
                <w:rFonts w:ascii="宋体" w:hAnsi="宋体" w:cs="宋体"/>
                <w:kern w:val="0"/>
              </w:rPr>
            </w:pPr>
          </w:p>
        </w:tc>
        <w:tc>
          <w:tcPr>
            <w:tcW w:w="533" w:type="pct"/>
            <w:vMerge w:val="continue"/>
          </w:tcPr>
          <w:p>
            <w:pPr>
              <w:widowControl/>
              <w:jc w:val="center"/>
            </w:pPr>
          </w:p>
        </w:tc>
        <w:tc>
          <w:tcPr>
            <w:tcW w:w="542" w:type="pct"/>
            <w:shd w:val="clear" w:color="auto" w:fill="auto"/>
            <w:noWrap/>
          </w:tcPr>
          <w:p>
            <w:pPr>
              <w:widowControl/>
              <w:jc w:val="center"/>
              <w:rPr>
                <w:rFonts w:ascii="宋体" w:hAnsi="宋体" w:cs="宋体"/>
                <w:kern w:val="0"/>
              </w:rPr>
            </w:pPr>
            <w:r>
              <w:rPr>
                <w:rFonts w:hint="eastAsia"/>
              </w:rPr>
              <w:t>出水</w:t>
            </w:r>
          </w:p>
        </w:tc>
        <w:tc>
          <w:tcPr>
            <w:tcW w:w="540" w:type="pct"/>
            <w:shd w:val="clear" w:color="auto" w:fill="auto"/>
            <w:noWrap/>
          </w:tcPr>
          <w:p>
            <w:pPr>
              <w:widowControl/>
              <w:jc w:val="center"/>
              <w:rPr>
                <w:rFonts w:eastAsia="等线"/>
                <w:kern w:val="0"/>
              </w:rPr>
            </w:pPr>
            <w:r>
              <w:rPr>
                <w:rFonts w:hint="eastAsia"/>
              </w:rPr>
              <w:t>≤2000</w:t>
            </w:r>
          </w:p>
        </w:tc>
        <w:tc>
          <w:tcPr>
            <w:tcW w:w="541" w:type="pct"/>
            <w:shd w:val="clear" w:color="auto" w:fill="auto"/>
            <w:noWrap/>
          </w:tcPr>
          <w:p>
            <w:pPr>
              <w:widowControl/>
              <w:jc w:val="center"/>
              <w:rPr>
                <w:rFonts w:eastAsia="等线"/>
                <w:kern w:val="0"/>
              </w:rPr>
            </w:pPr>
            <w:r>
              <w:rPr>
                <w:rFonts w:hint="eastAsia"/>
              </w:rPr>
              <w:t>≤1094</w:t>
            </w:r>
          </w:p>
        </w:tc>
        <w:tc>
          <w:tcPr>
            <w:tcW w:w="540" w:type="pct"/>
            <w:shd w:val="clear" w:color="auto" w:fill="auto"/>
            <w:noWrap/>
          </w:tcPr>
          <w:p>
            <w:pPr>
              <w:widowControl/>
              <w:jc w:val="center"/>
              <w:rPr>
                <w:rFonts w:eastAsia="等线"/>
                <w:kern w:val="0"/>
              </w:rPr>
            </w:pPr>
            <w:r>
              <w:rPr>
                <w:rFonts w:hint="eastAsia"/>
              </w:rPr>
              <w:t>-</w:t>
            </w:r>
          </w:p>
        </w:tc>
        <w:tc>
          <w:tcPr>
            <w:tcW w:w="579" w:type="pct"/>
            <w:shd w:val="clear" w:color="auto" w:fill="auto"/>
            <w:noWrap/>
          </w:tcPr>
          <w:p>
            <w:pPr>
              <w:widowControl/>
              <w:jc w:val="center"/>
              <w:rPr>
                <w:rFonts w:eastAsia="等线"/>
                <w:kern w:val="0"/>
              </w:rPr>
            </w:pPr>
            <w:r>
              <w:rPr>
                <w:rFonts w:hint="eastAsia"/>
              </w:rPr>
              <w:t>-</w:t>
            </w:r>
          </w:p>
        </w:tc>
        <w:tc>
          <w:tcPr>
            <w:tcW w:w="554" w:type="pct"/>
            <w:shd w:val="clear" w:color="auto" w:fill="auto"/>
            <w:noWrap/>
          </w:tcPr>
          <w:p>
            <w:pPr>
              <w:widowControl/>
              <w:jc w:val="center"/>
              <w:rPr>
                <w:rFonts w:eastAsia="等线"/>
                <w:kern w:val="0"/>
              </w:rPr>
            </w:pPr>
            <w:r>
              <w:rPr>
                <w:rFonts w:hint="eastAsia"/>
              </w:rPr>
              <w:t>-</w:t>
            </w:r>
          </w:p>
        </w:tc>
        <w:tc>
          <w:tcPr>
            <w:tcW w:w="468" w:type="pct"/>
            <w:shd w:val="clear" w:color="auto" w:fill="auto"/>
          </w:tcPr>
          <w:p>
            <w:pPr>
              <w:widowControl/>
              <w:jc w:val="center"/>
              <w:rPr>
                <w:rFonts w:eastAsia="等线"/>
                <w:kern w:val="0"/>
              </w:rPr>
            </w:pPr>
            <w:r>
              <w:t>5</w:t>
            </w:r>
            <w:r>
              <w:rPr>
                <w:rFonts w:hint="eastAsia"/>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3</w:t>
            </w:r>
          </w:p>
        </w:tc>
        <w:tc>
          <w:tcPr>
            <w:tcW w:w="348" w:type="pct"/>
            <w:vMerge w:val="continue"/>
          </w:tcPr>
          <w:p>
            <w:pPr>
              <w:widowControl/>
              <w:jc w:val="left"/>
              <w:rPr>
                <w:rFonts w:ascii="宋体" w:hAnsi="宋体" w:cs="宋体"/>
                <w:kern w:val="0"/>
              </w:rPr>
            </w:pPr>
          </w:p>
        </w:tc>
        <w:tc>
          <w:tcPr>
            <w:tcW w:w="533" w:type="pct"/>
            <w:vMerge w:val="continue"/>
          </w:tcPr>
          <w:p>
            <w:pPr>
              <w:widowControl/>
              <w:jc w:val="center"/>
            </w:pPr>
          </w:p>
        </w:tc>
        <w:tc>
          <w:tcPr>
            <w:tcW w:w="542" w:type="pct"/>
            <w:shd w:val="clear" w:color="auto" w:fill="auto"/>
            <w:noWrap/>
          </w:tcPr>
          <w:p>
            <w:pPr>
              <w:widowControl/>
              <w:jc w:val="center"/>
              <w:rPr>
                <w:rFonts w:ascii="宋体" w:hAnsi="宋体" w:cs="宋体"/>
                <w:kern w:val="0"/>
              </w:rPr>
            </w:pPr>
            <w:r>
              <w:rPr>
                <w:rFonts w:hint="eastAsia"/>
              </w:rPr>
              <w:t>去除率</w:t>
            </w:r>
          </w:p>
        </w:tc>
        <w:tc>
          <w:tcPr>
            <w:tcW w:w="540" w:type="pct"/>
            <w:shd w:val="clear" w:color="auto" w:fill="auto"/>
            <w:noWrap/>
          </w:tcPr>
          <w:p>
            <w:pPr>
              <w:widowControl/>
              <w:jc w:val="center"/>
              <w:rPr>
                <w:rFonts w:eastAsia="等线"/>
                <w:kern w:val="0"/>
              </w:rPr>
            </w:pPr>
            <w:r>
              <w:rPr>
                <w:rFonts w:hint="eastAsia"/>
              </w:rPr>
              <w:t>≥50%</w:t>
            </w:r>
          </w:p>
        </w:tc>
        <w:tc>
          <w:tcPr>
            <w:tcW w:w="541" w:type="pct"/>
            <w:shd w:val="clear" w:color="auto" w:fill="auto"/>
            <w:noWrap/>
          </w:tcPr>
          <w:p>
            <w:pPr>
              <w:widowControl/>
              <w:jc w:val="center"/>
              <w:rPr>
                <w:rFonts w:eastAsia="等线"/>
                <w:kern w:val="0"/>
              </w:rPr>
            </w:pPr>
            <w:r>
              <w:rPr>
                <w:rFonts w:hint="eastAsia"/>
              </w:rPr>
              <w:t>≥40%</w:t>
            </w:r>
          </w:p>
        </w:tc>
        <w:tc>
          <w:tcPr>
            <w:tcW w:w="540" w:type="pct"/>
            <w:shd w:val="clear" w:color="auto" w:fill="auto"/>
            <w:noWrap/>
          </w:tcPr>
          <w:p>
            <w:pPr>
              <w:widowControl/>
              <w:jc w:val="center"/>
              <w:rPr>
                <w:rFonts w:eastAsia="等线"/>
                <w:kern w:val="0"/>
              </w:rPr>
            </w:pPr>
            <w:r>
              <w:rPr>
                <w:rFonts w:hint="eastAsia"/>
              </w:rPr>
              <w:t>-</w:t>
            </w:r>
          </w:p>
        </w:tc>
        <w:tc>
          <w:tcPr>
            <w:tcW w:w="579" w:type="pct"/>
            <w:shd w:val="clear" w:color="auto" w:fill="auto"/>
            <w:noWrap/>
          </w:tcPr>
          <w:p>
            <w:pPr>
              <w:widowControl/>
              <w:jc w:val="center"/>
              <w:rPr>
                <w:rFonts w:eastAsia="等线"/>
                <w:kern w:val="0"/>
              </w:rPr>
            </w:pPr>
            <w:r>
              <w:rPr>
                <w:rFonts w:hint="eastAsia"/>
              </w:rPr>
              <w:t>-</w:t>
            </w:r>
          </w:p>
        </w:tc>
        <w:tc>
          <w:tcPr>
            <w:tcW w:w="554" w:type="pct"/>
            <w:shd w:val="clear" w:color="auto" w:fill="auto"/>
            <w:noWrap/>
          </w:tcPr>
          <w:p>
            <w:pPr>
              <w:widowControl/>
              <w:jc w:val="center"/>
              <w:rPr>
                <w:rFonts w:eastAsia="等线"/>
                <w:kern w:val="0"/>
              </w:rPr>
            </w:pPr>
            <w:r>
              <w:rPr>
                <w:rFonts w:hint="eastAsia"/>
              </w:rPr>
              <w:t>-</w:t>
            </w:r>
          </w:p>
        </w:tc>
        <w:tc>
          <w:tcPr>
            <w:tcW w:w="468" w:type="pct"/>
            <w:shd w:val="clear" w:color="auto" w:fill="auto"/>
          </w:tcPr>
          <w:p>
            <w:pPr>
              <w:widowControl/>
              <w:jc w:val="center"/>
              <w:rPr>
                <w:rFonts w:eastAsia="等线"/>
                <w:kern w:val="0"/>
              </w:rPr>
            </w:pPr>
            <w:r>
              <w:rPr>
                <w:rFonts w:hint="eastAsia"/>
              </w:rPr>
              <w:t>-</w:t>
            </w:r>
          </w:p>
        </w:tc>
      </w:tr>
    </w:tbl>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性能考核方法</w:t>
      </w:r>
    </w:p>
    <w:tbl>
      <w:tblPr>
        <w:tblStyle w:val="21"/>
        <w:tblW w:w="507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3"/>
        <w:gridCol w:w="184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exact"/>
        </w:trPr>
        <w:tc>
          <w:tcPr>
            <w:tcW w:w="924" w:type="pct"/>
            <w:vAlign w:val="center"/>
          </w:tcPr>
          <w:p>
            <w:pPr>
              <w:adjustRightInd w:val="0"/>
              <w:snapToGrid w:val="0"/>
              <w:jc w:val="center"/>
              <w:rPr>
                <w:bCs/>
              </w:rPr>
            </w:pPr>
            <w:r>
              <w:rPr>
                <w:bCs/>
              </w:rPr>
              <w:t>项目</w:t>
            </w:r>
          </w:p>
        </w:tc>
        <w:tc>
          <w:tcPr>
            <w:tcW w:w="999" w:type="pct"/>
            <w:vAlign w:val="center"/>
          </w:tcPr>
          <w:p>
            <w:pPr>
              <w:adjustRightInd w:val="0"/>
              <w:snapToGrid w:val="0"/>
              <w:ind w:firstLine="2" w:firstLineChars="1"/>
              <w:jc w:val="center"/>
              <w:rPr>
                <w:bCs/>
              </w:rPr>
            </w:pPr>
            <w:r>
              <w:rPr>
                <w:bCs/>
              </w:rPr>
              <w:t>测点</w:t>
            </w:r>
          </w:p>
        </w:tc>
        <w:tc>
          <w:tcPr>
            <w:tcW w:w="3077" w:type="pct"/>
            <w:vAlign w:val="center"/>
          </w:tcPr>
          <w:p>
            <w:pPr>
              <w:adjustRightInd w:val="0"/>
              <w:snapToGrid w:val="0"/>
              <w:ind w:firstLine="10" w:firstLineChars="5"/>
              <w:jc w:val="center"/>
              <w:rPr>
                <w:bCs/>
              </w:rPr>
            </w:pPr>
            <w:r>
              <w:rPr>
                <w:bCs/>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exact"/>
        </w:trPr>
        <w:tc>
          <w:tcPr>
            <w:tcW w:w="924" w:type="pct"/>
            <w:vAlign w:val="center"/>
          </w:tcPr>
          <w:p>
            <w:pPr>
              <w:adjustRightInd w:val="0"/>
              <w:snapToGrid w:val="0"/>
              <w:jc w:val="center"/>
            </w:pPr>
            <w:r>
              <w:t>污染物去除指标</w:t>
            </w:r>
          </w:p>
        </w:tc>
        <w:tc>
          <w:tcPr>
            <w:tcW w:w="999" w:type="pct"/>
            <w:vAlign w:val="center"/>
          </w:tcPr>
          <w:p>
            <w:pPr>
              <w:adjustRightInd w:val="0"/>
              <w:snapToGrid w:val="0"/>
              <w:jc w:val="center"/>
            </w:pPr>
            <w:r>
              <w:t>处理设施进</w:t>
            </w:r>
            <w:r>
              <w:rPr>
                <w:spacing w:val="-53"/>
              </w:rPr>
              <w:t>、</w:t>
            </w:r>
            <w:r>
              <w:t>出口</w:t>
            </w:r>
          </w:p>
        </w:tc>
        <w:tc>
          <w:tcPr>
            <w:tcW w:w="3077" w:type="pct"/>
            <w:vAlign w:val="center"/>
          </w:tcPr>
          <w:p>
            <w:pPr>
              <w:adjustRightInd w:val="0"/>
              <w:snapToGrid w:val="0"/>
            </w:pPr>
            <w:r>
              <w:t>每天取样测定2次，每次间隔不小于8小时，间隔期间运行时间不小于4小时，连续考核3</w:t>
            </w:r>
            <w:r>
              <w:rPr>
                <w:rFonts w:hint="eastAsia"/>
              </w:rPr>
              <w:t>天</w:t>
            </w:r>
            <w:r>
              <w:t>；均采用国标分析方法。</w:t>
            </w:r>
          </w:p>
        </w:tc>
      </w:tr>
    </w:tbl>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8.2.6性能考核试验结果的确认：</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8.2.</w:t>
      </w:r>
      <w:r>
        <w:rPr>
          <w:rFonts w:hint="eastAsia" w:ascii="仿宋_GB2312" w:hAnsi="仿宋" w:eastAsia="仿宋_GB2312" w:cs="仿宋_GB2312"/>
          <w:bCs/>
          <w:kern w:val="0"/>
          <w:sz w:val="28"/>
          <w:szCs w:val="28"/>
        </w:rPr>
        <w:t>6.</w:t>
      </w:r>
      <w:r>
        <w:rPr>
          <w:rFonts w:ascii="仿宋_GB2312" w:hAnsi="仿宋" w:eastAsia="仿宋_GB2312" w:cs="仿宋_GB2312"/>
          <w:bCs/>
          <w:kern w:val="0"/>
          <w:sz w:val="28"/>
          <w:szCs w:val="28"/>
        </w:rPr>
        <w:t>1性能考核通过后七日内，甲方应出具性能考核验收合格报告，</w:t>
      </w:r>
      <w:r>
        <w:rPr>
          <w:rFonts w:hint="eastAsia" w:ascii="仿宋_GB2312" w:hAnsi="仿宋" w:eastAsia="仿宋_GB2312" w:cs="仿宋_GB2312"/>
          <w:bCs/>
          <w:kern w:val="0"/>
          <w:sz w:val="28"/>
          <w:szCs w:val="28"/>
        </w:rPr>
        <w:t>甲、乙</w:t>
      </w:r>
      <w:r>
        <w:rPr>
          <w:rFonts w:ascii="仿宋_GB2312" w:hAnsi="仿宋" w:eastAsia="仿宋_GB2312" w:cs="仿宋_GB2312"/>
          <w:bCs/>
          <w:kern w:val="0"/>
          <w:sz w:val="28"/>
          <w:szCs w:val="28"/>
        </w:rPr>
        <w:t>双方共同签字盖章确认结论。如双方对试验的结果有不一致的意见，双方协商解决。</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8.2.6.2进行性能考核试验时，一方接到另一方试验通知而不派人参加试验，则被视为对验收试验结果的同意，并进行确认签字盖章。</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8.2.7本工艺包性能考核期间的公用工程（如水、电等）和药剂等物料不由乙方承担。第一次考核的检测费用不由乙方承担。后续考核的检测费用，是由乙方原因导致的，由乙方承担；是由甲方原因导致的，由甲方承担；其他情况，协商达成一致后再进行考核。</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8.2.8如性能考核不合格，乙方必须免费对设备进行维修、改造或升级，直至达到性能考核要求为止。</w:t>
      </w:r>
    </w:p>
    <w:p>
      <w:pPr>
        <w:spacing w:line="360" w:lineRule="auto"/>
        <w:ind w:firstLine="560" w:firstLineChars="200"/>
        <w:rPr>
          <w:rFonts w:ascii="仿宋_GB2312" w:hAnsi="仿宋" w:eastAsia="仿宋_GB2312" w:cs="仿宋_GB2312"/>
          <w:bCs/>
          <w:kern w:val="0"/>
          <w:sz w:val="28"/>
          <w:szCs w:val="28"/>
        </w:rPr>
      </w:pPr>
      <w:bookmarkStart w:id="71" w:name="_Toc120373124"/>
      <w:bookmarkStart w:id="72" w:name="_Toc125889832"/>
      <w:bookmarkStart w:id="73" w:name="_Toc353636246"/>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质量保证</w:t>
      </w:r>
      <w:bookmarkEnd w:id="71"/>
      <w:bookmarkEnd w:id="72"/>
      <w:bookmarkEnd w:id="73"/>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1乙方应满足本技术协议所提的技术要求。乙方应有措施确保产品和服务工作符合本技术协议。</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2乙方应向甲方保证所供设备是技术先进、成熟可靠的全新产品。在图纸设计和材料选择方面应准确无误，加工工艺无任何缺陷和差错。技术文件及图纸要清晰、正确、完整，能满足设备安装、启、停及正常运行和维护的要求。</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3乙方应具备有效方法，控制所有外协、外购件的质量和服务，使其符合本技术协议的要求。</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4设备的设计应满足国家的有关标准、规范的要求，并应充分考虑当地环境条件和使用条件的影响。</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9.5</w:t>
      </w:r>
      <w:r>
        <w:rPr>
          <w:rFonts w:ascii="仿宋_GB2312" w:hAnsi="仿宋" w:eastAsia="仿宋_GB2312" w:cs="仿宋_GB2312"/>
          <w:bCs/>
          <w:kern w:val="0"/>
          <w:sz w:val="28"/>
          <w:szCs w:val="28"/>
        </w:rPr>
        <w:t>如在安装和试运期间发现零部件的缺陷、损坏情况，在证实设备储存、安装、维护和运行都符合要求时，乙方应尽快免费更换。</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6乙方保证所供设备和货物经正确安装、正常运转和保养在其使用寿命期内具有满意的性能。</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9.7质保期内，重要零件因制造质量问题而产生的损坏，乙方负责免费更换。更换后零件的质保期自更换之日起一年内有效。</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8甲方保证本合同产品在已按操作、维修手册使用的情况下，质保期为自正常联机调试验收合格之日起</w:t>
      </w:r>
      <w:r>
        <w:rPr>
          <w:rFonts w:hint="eastAsia" w:ascii="仿宋_GB2312" w:hAnsi="仿宋" w:eastAsia="仿宋_GB2312" w:cs="仿宋_GB2312"/>
          <w:bCs/>
          <w:kern w:val="0"/>
          <w:sz w:val="28"/>
          <w:szCs w:val="28"/>
        </w:rPr>
        <w:t>24</w:t>
      </w:r>
      <w:r>
        <w:rPr>
          <w:rFonts w:ascii="仿宋_GB2312" w:hAnsi="仿宋" w:eastAsia="仿宋_GB2312" w:cs="仿宋_GB2312"/>
          <w:bCs/>
          <w:kern w:val="0"/>
          <w:sz w:val="28"/>
          <w:szCs w:val="28"/>
        </w:rPr>
        <w:t>个月</w:t>
      </w:r>
      <w:r>
        <w:rPr>
          <w:rFonts w:hint="eastAsia" w:ascii="仿宋_GB2312" w:hAnsi="仿宋" w:eastAsia="仿宋_GB2312" w:cs="仿宋_GB2312"/>
          <w:bCs/>
          <w:kern w:val="0"/>
          <w:sz w:val="28"/>
          <w:szCs w:val="28"/>
        </w:rPr>
        <w:t>，即为番茄加工二个生产季（两年）</w:t>
      </w:r>
      <w:r>
        <w:rPr>
          <w:rFonts w:ascii="仿宋_GB2312" w:hAnsi="仿宋" w:eastAsia="仿宋_GB2312" w:cs="仿宋_GB2312"/>
          <w:bCs/>
          <w:kern w:val="0"/>
          <w:sz w:val="28"/>
          <w:szCs w:val="28"/>
        </w:rPr>
        <w:t>。在此期间内如因乙方在设计或制造工艺上的缺陷使产品发生故障，乙方保证进行免费维修或更换，被更换的设备和附件质保期仍按本条款处理。</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9质保期内如出现设备且非安装质量问题，在接到甲方的电话或书面文件后，12小时内乙方做出回应，48小时内需派工程师到达故障现场，提供咨询、维修和更换零部件等服务，其中发生的一切费用由乙方承担。</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10在质量保证期内，若因非乙方设备质量问题造成设备零部件损坏时，乙方仍有义务协助甲方修理或更换，所需费用应由甲方负担。</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9.</w:t>
      </w:r>
      <w:r>
        <w:rPr>
          <w:rFonts w:ascii="仿宋_GB2312" w:hAnsi="仿宋" w:eastAsia="仿宋_GB2312" w:cs="仿宋_GB2312"/>
          <w:bCs/>
          <w:kern w:val="0"/>
          <w:sz w:val="28"/>
          <w:szCs w:val="28"/>
        </w:rPr>
        <w:t>11甲方发出质保通知后乙方需在5天内响应质保。</w:t>
      </w:r>
    </w:p>
    <w:p>
      <w:pPr>
        <w:spacing w:line="360" w:lineRule="auto"/>
        <w:ind w:firstLine="560" w:firstLineChars="200"/>
        <w:rPr>
          <w:rFonts w:ascii="仿宋_GB2312" w:hAnsi="仿宋" w:eastAsia="仿宋_GB2312" w:cs="仿宋_GB2312"/>
          <w:bCs/>
          <w:kern w:val="0"/>
          <w:sz w:val="28"/>
          <w:szCs w:val="28"/>
        </w:rPr>
      </w:pPr>
      <w:bookmarkStart w:id="74" w:name="_Toc353636247"/>
      <w:bookmarkStart w:id="75" w:name="_Toc120373126"/>
      <w:bookmarkStart w:id="76" w:name="_Toc125889833"/>
      <w:r>
        <w:rPr>
          <w:rFonts w:hint="eastAsia" w:ascii="仿宋_GB2312" w:hAnsi="仿宋" w:eastAsia="仿宋_GB2312" w:cs="仿宋_GB2312"/>
          <w:bCs/>
          <w:kern w:val="0"/>
          <w:sz w:val="28"/>
          <w:szCs w:val="28"/>
        </w:rPr>
        <w:t>10</w:t>
      </w:r>
      <w:r>
        <w:rPr>
          <w:rFonts w:ascii="仿宋_GB2312" w:hAnsi="仿宋" w:eastAsia="仿宋_GB2312" w:cs="仿宋_GB2312"/>
          <w:bCs/>
          <w:kern w:val="0"/>
          <w:sz w:val="28"/>
          <w:szCs w:val="28"/>
        </w:rPr>
        <w:t>技术服务</w:t>
      </w:r>
      <w:bookmarkEnd w:id="74"/>
      <w:bookmarkEnd w:id="75"/>
      <w:bookmarkEnd w:id="76"/>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10.1</w:t>
      </w:r>
      <w:r>
        <w:rPr>
          <w:rFonts w:ascii="仿宋_GB2312" w:hAnsi="仿宋" w:eastAsia="仿宋_GB2312" w:cs="仿宋_GB2312"/>
          <w:bCs/>
          <w:kern w:val="0"/>
          <w:sz w:val="28"/>
          <w:szCs w:val="28"/>
        </w:rPr>
        <w:t>技术资料</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10.1.1一般要求</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10.1.1.</w:t>
      </w:r>
      <w:r>
        <w:rPr>
          <w:rFonts w:hint="eastAsia" w:ascii="仿宋_GB2312" w:hAnsi="仿宋" w:eastAsia="仿宋_GB2312" w:cs="仿宋_GB2312"/>
          <w:bCs/>
          <w:kern w:val="0"/>
          <w:sz w:val="28"/>
          <w:szCs w:val="28"/>
        </w:rPr>
        <w:t>1</w:t>
      </w:r>
      <w:r>
        <w:rPr>
          <w:rFonts w:ascii="仿宋_GB2312" w:hAnsi="仿宋" w:eastAsia="仿宋_GB2312" w:cs="仿宋_GB2312"/>
          <w:bCs/>
          <w:kern w:val="0"/>
          <w:sz w:val="28"/>
          <w:szCs w:val="28"/>
        </w:rPr>
        <w:t>乙方提供的资料应使用国家法定单位制即国际单位制，语言为中文。除纸版资料外，图纸必须同时提供AUTOCAD-2004格式电子版，文本须同时提供OFFICE2003格式电子版。如电子文档与书面文件有差异时，以书面文件为准。</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10.1.1</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2资料的组织结构清晰、逻辑性强。资料内容正确、准确、一致、清晰完整，满足工程要求。</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10.1.1</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3乙方资料的提交应及时、充分，满足进度要求。</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10.1.1</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4乙方提供的技术资料一般可分为配合设计阶段，设备监造检验、施工调试试运、性能试验验收和运行维护等三个方面。乙方须满足以上三个方面的具体要求。</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10.1.1</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5对于其它没有列入技术资料清单，确是所必需的文件和资料，一经发现，乙方也应及时免费提供。</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10.1.1</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6甲方要及时提供与合同设备设计制造有关的资料。</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10.1.1</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7所有资料提交后不得任意修改，设备到货后与所提资料不符所造成的一切返工和损失均由乙方负责赔偿。</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10.1.2 图纸、资料</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乙方提供的资料</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①</w:t>
      </w:r>
      <w:r>
        <w:rPr>
          <w:rFonts w:ascii="仿宋_GB2312" w:hAnsi="仿宋" w:eastAsia="仿宋_GB2312" w:cs="仿宋_GB2312"/>
          <w:bCs/>
          <w:kern w:val="0"/>
          <w:sz w:val="28"/>
          <w:szCs w:val="28"/>
        </w:rPr>
        <w:t xml:space="preserve"> 设备安装尺寸图，设备荷载和土建条件图；</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②</w:t>
      </w:r>
      <w:r>
        <w:rPr>
          <w:rFonts w:ascii="仿宋_GB2312" w:hAnsi="仿宋" w:eastAsia="仿宋_GB2312" w:cs="仿宋_GB2312"/>
          <w:bCs/>
          <w:kern w:val="0"/>
          <w:sz w:val="28"/>
          <w:szCs w:val="28"/>
        </w:rPr>
        <w:t xml:space="preserve"> 详细设备材料清单；</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③</w:t>
      </w:r>
      <w:r>
        <w:rPr>
          <w:rFonts w:ascii="仿宋_GB2312" w:hAnsi="仿宋" w:eastAsia="仿宋_GB2312" w:cs="仿宋_GB2312"/>
          <w:bCs/>
          <w:kern w:val="0"/>
          <w:sz w:val="28"/>
          <w:szCs w:val="28"/>
        </w:rPr>
        <w:t xml:space="preserve"> 系统平面布置图及大样图；</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④</w:t>
      </w:r>
      <w:r>
        <w:rPr>
          <w:rFonts w:ascii="仿宋_GB2312" w:hAnsi="仿宋" w:eastAsia="仿宋_GB2312" w:cs="仿宋_GB2312"/>
          <w:bCs/>
          <w:kern w:val="0"/>
          <w:sz w:val="28"/>
          <w:szCs w:val="28"/>
        </w:rPr>
        <w:t xml:space="preserve"> 合格证；</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⑤</w:t>
      </w:r>
      <w:r>
        <w:rPr>
          <w:rFonts w:ascii="仿宋_GB2312" w:hAnsi="仿宋" w:eastAsia="仿宋_GB2312" w:cs="仿宋_GB2312"/>
          <w:bCs/>
          <w:kern w:val="0"/>
          <w:sz w:val="28"/>
          <w:szCs w:val="28"/>
        </w:rPr>
        <w:t xml:space="preserve"> 工艺控制方案；</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⑥</w:t>
      </w:r>
      <w:r>
        <w:rPr>
          <w:rFonts w:ascii="仿宋_GB2312" w:hAnsi="仿宋" w:eastAsia="仿宋_GB2312" w:cs="仿宋_GB2312"/>
          <w:bCs/>
          <w:kern w:val="0"/>
          <w:sz w:val="28"/>
          <w:szCs w:val="28"/>
        </w:rPr>
        <w:t xml:space="preserve"> 管道图；</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⑦</w:t>
      </w:r>
      <w:r>
        <w:rPr>
          <w:rFonts w:ascii="仿宋_GB2312" w:hAnsi="仿宋" w:eastAsia="仿宋_GB2312" w:cs="仿宋_GB2312"/>
          <w:bCs/>
          <w:kern w:val="0"/>
          <w:sz w:val="28"/>
          <w:szCs w:val="28"/>
        </w:rPr>
        <w:t xml:space="preserve"> 安装手册及与安装有关的图纸、资料；</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⑧</w:t>
      </w:r>
      <w:r>
        <w:rPr>
          <w:rFonts w:ascii="仿宋_GB2312" w:hAnsi="仿宋" w:eastAsia="仿宋_GB2312" w:cs="仿宋_GB2312"/>
          <w:bCs/>
          <w:kern w:val="0"/>
          <w:sz w:val="28"/>
          <w:szCs w:val="28"/>
        </w:rPr>
        <w:t xml:space="preserve"> 操作、维护手册；</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⑩</w:t>
      </w:r>
      <w:r>
        <w:rPr>
          <w:rFonts w:ascii="仿宋_GB2312" w:hAnsi="仿宋" w:eastAsia="仿宋_GB2312" w:cs="仿宋_GB2312"/>
          <w:bCs/>
          <w:kern w:val="0"/>
          <w:sz w:val="28"/>
          <w:szCs w:val="28"/>
        </w:rPr>
        <w:t xml:space="preserve"> 详细仪表清单；</w:t>
      </w:r>
    </w:p>
    <w:p>
      <w:pPr>
        <w:spacing w:line="360" w:lineRule="auto"/>
        <w:ind w:firstLine="560" w:firstLineChars="200"/>
        <w:rPr>
          <w:rFonts w:ascii="仿宋_GB2312" w:hAnsi="仿宋" w:eastAsia="仿宋_GB2312" w:cs="仿宋_GB2312"/>
          <w:bCs/>
          <w:kern w:val="0"/>
          <w:sz w:val="28"/>
          <w:szCs w:val="28"/>
        </w:rPr>
      </w:pPr>
      <w:r>
        <w:rPr>
          <w:rFonts w:ascii="Cambria Math" w:hAnsi="Cambria Math" w:eastAsia="仿宋_GB2312" w:cs="Cambria Math"/>
          <w:bCs/>
          <w:kern w:val="0"/>
          <w:sz w:val="28"/>
          <w:szCs w:val="28"/>
        </w:rPr>
        <w:t>⑪</w:t>
      </w:r>
      <w:r>
        <w:rPr>
          <w:rFonts w:ascii="仿宋_GB2312" w:hAnsi="仿宋" w:eastAsia="仿宋_GB2312" w:cs="仿宋_GB2312"/>
          <w:bCs/>
          <w:kern w:val="0"/>
          <w:sz w:val="28"/>
          <w:szCs w:val="28"/>
        </w:rPr>
        <w:t xml:space="preserve"> 项目实施过程中必要技术资料等；</w:t>
      </w:r>
    </w:p>
    <w:p>
      <w:pPr>
        <w:spacing w:line="360" w:lineRule="auto"/>
        <w:ind w:firstLine="560" w:firstLineChars="200"/>
        <w:rPr>
          <w:rFonts w:ascii="仿宋_GB2312" w:hAnsi="仿宋" w:eastAsia="仿宋_GB2312" w:cs="仿宋_GB2312"/>
          <w:bCs/>
          <w:kern w:val="0"/>
          <w:sz w:val="28"/>
          <w:szCs w:val="28"/>
        </w:rPr>
      </w:pPr>
      <w:r>
        <w:rPr>
          <w:rFonts w:ascii="Cambria Math" w:hAnsi="Cambria Math" w:eastAsia="仿宋_GB2312" w:cs="Cambria Math"/>
          <w:bCs/>
          <w:kern w:val="0"/>
          <w:sz w:val="28"/>
          <w:szCs w:val="28"/>
        </w:rPr>
        <w:t>⑫</w:t>
      </w:r>
      <w:r>
        <w:rPr>
          <w:rFonts w:ascii="仿宋_GB2312" w:hAnsi="仿宋" w:eastAsia="仿宋_GB2312" w:cs="仿宋_GB2312"/>
          <w:bCs/>
          <w:kern w:val="0"/>
          <w:sz w:val="28"/>
          <w:szCs w:val="28"/>
        </w:rPr>
        <w:t xml:space="preserve"> 施工完成后由乙方编制竣工图。</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以上资料需自合同签订之日起，根据进度所需分批提供，但需在30日内提供所需全部资料。</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10.1.3随机资料清单</w:t>
      </w:r>
    </w:p>
    <w:tbl>
      <w:tblPr>
        <w:tblStyle w:val="21"/>
        <w:tblW w:w="4672"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80"/>
        <w:gridCol w:w="3549"/>
        <w:gridCol w:w="1538"/>
        <w:gridCol w:w="1538"/>
        <w:gridCol w:w="107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3" w:hRule="atLeast"/>
          <w:tblHeader/>
          <w:jc w:val="center"/>
        </w:trPr>
        <w:tc>
          <w:tcPr>
            <w:tcW w:w="565" w:type="pct"/>
            <w:shd w:val="clear" w:color="auto" w:fill="auto"/>
            <w:vAlign w:val="center"/>
          </w:tcPr>
          <w:p>
            <w:pPr>
              <w:pStyle w:val="65"/>
              <w:rPr>
                <w:rFonts w:ascii="仿宋" w:hAnsi="仿宋" w:eastAsia="仿宋"/>
                <w:b/>
                <w:bCs/>
              </w:rPr>
            </w:pPr>
            <w:r>
              <w:rPr>
                <w:rFonts w:ascii="仿宋" w:hAnsi="仿宋" w:eastAsia="仿宋"/>
                <w:b/>
                <w:bCs/>
              </w:rPr>
              <w:t>序号</w:t>
            </w:r>
          </w:p>
        </w:tc>
        <w:tc>
          <w:tcPr>
            <w:tcW w:w="2045" w:type="pct"/>
            <w:shd w:val="clear" w:color="auto" w:fill="auto"/>
            <w:vAlign w:val="center"/>
          </w:tcPr>
          <w:p>
            <w:pPr>
              <w:pStyle w:val="65"/>
              <w:rPr>
                <w:rFonts w:ascii="仿宋" w:hAnsi="仿宋" w:eastAsia="仿宋"/>
                <w:b/>
                <w:bCs/>
              </w:rPr>
            </w:pPr>
            <w:r>
              <w:rPr>
                <w:rFonts w:ascii="仿宋" w:hAnsi="仿宋" w:eastAsia="仿宋"/>
                <w:b/>
                <w:bCs/>
              </w:rPr>
              <w:t>资料名称</w:t>
            </w:r>
          </w:p>
        </w:tc>
        <w:tc>
          <w:tcPr>
            <w:tcW w:w="886" w:type="pct"/>
            <w:shd w:val="clear" w:color="auto" w:fill="auto"/>
            <w:vAlign w:val="center"/>
          </w:tcPr>
          <w:p>
            <w:pPr>
              <w:pStyle w:val="65"/>
              <w:rPr>
                <w:rFonts w:ascii="仿宋" w:hAnsi="仿宋" w:eastAsia="仿宋"/>
                <w:b/>
                <w:bCs/>
              </w:rPr>
            </w:pPr>
            <w:r>
              <w:rPr>
                <w:rFonts w:ascii="仿宋" w:hAnsi="仿宋" w:eastAsia="仿宋"/>
                <w:b/>
                <w:bCs/>
              </w:rPr>
              <w:t>提交份数</w:t>
            </w:r>
          </w:p>
        </w:tc>
        <w:tc>
          <w:tcPr>
            <w:tcW w:w="886" w:type="pct"/>
            <w:shd w:val="clear" w:color="auto" w:fill="auto"/>
            <w:vAlign w:val="center"/>
          </w:tcPr>
          <w:p>
            <w:pPr>
              <w:pStyle w:val="65"/>
              <w:rPr>
                <w:rFonts w:ascii="仿宋" w:hAnsi="仿宋" w:eastAsia="仿宋"/>
                <w:b/>
                <w:bCs/>
              </w:rPr>
            </w:pPr>
            <w:r>
              <w:rPr>
                <w:rFonts w:ascii="仿宋" w:hAnsi="仿宋" w:eastAsia="仿宋"/>
                <w:b/>
                <w:bCs/>
              </w:rPr>
              <w:t>交付时间</w:t>
            </w:r>
          </w:p>
        </w:tc>
        <w:tc>
          <w:tcPr>
            <w:tcW w:w="618" w:type="pct"/>
            <w:shd w:val="clear" w:color="auto" w:fill="auto"/>
            <w:vAlign w:val="center"/>
          </w:tcPr>
          <w:p>
            <w:pPr>
              <w:pStyle w:val="65"/>
              <w:rPr>
                <w:rFonts w:ascii="仿宋" w:hAnsi="仿宋" w:eastAsia="仿宋"/>
                <w:b/>
                <w:bCs/>
              </w:rPr>
            </w:pPr>
            <w:r>
              <w:rPr>
                <w:rFonts w:ascii="仿宋" w:hAnsi="仿宋" w:eastAsia="仿宋"/>
                <w:b/>
                <w:bCs/>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65" w:type="pct"/>
            <w:vAlign w:val="center"/>
          </w:tcPr>
          <w:p>
            <w:pPr>
              <w:pStyle w:val="65"/>
              <w:rPr>
                <w:rFonts w:ascii="仿宋" w:hAnsi="仿宋" w:eastAsia="仿宋"/>
              </w:rPr>
            </w:pPr>
            <w:r>
              <w:rPr>
                <w:rFonts w:ascii="仿宋" w:hAnsi="仿宋" w:eastAsia="仿宋"/>
              </w:rPr>
              <w:t>1</w:t>
            </w:r>
          </w:p>
        </w:tc>
        <w:tc>
          <w:tcPr>
            <w:tcW w:w="2045" w:type="pct"/>
            <w:vAlign w:val="center"/>
          </w:tcPr>
          <w:p>
            <w:pPr>
              <w:pStyle w:val="65"/>
              <w:rPr>
                <w:rFonts w:ascii="仿宋" w:hAnsi="仿宋" w:eastAsia="仿宋"/>
              </w:rPr>
            </w:pPr>
            <w:r>
              <w:rPr>
                <w:rFonts w:ascii="仿宋" w:hAnsi="仿宋" w:eastAsia="仿宋"/>
              </w:rPr>
              <w:t>产品合格证书</w:t>
            </w:r>
          </w:p>
        </w:tc>
        <w:tc>
          <w:tcPr>
            <w:tcW w:w="886" w:type="pct"/>
            <w:vAlign w:val="center"/>
          </w:tcPr>
          <w:p>
            <w:pPr>
              <w:pStyle w:val="65"/>
              <w:rPr>
                <w:rFonts w:ascii="仿宋" w:hAnsi="仿宋" w:eastAsia="仿宋"/>
              </w:rPr>
            </w:pPr>
            <w:r>
              <w:rPr>
                <w:rFonts w:ascii="仿宋" w:hAnsi="仿宋" w:eastAsia="仿宋"/>
              </w:rPr>
              <w:t>1P、1E</w:t>
            </w:r>
          </w:p>
        </w:tc>
        <w:tc>
          <w:tcPr>
            <w:tcW w:w="886" w:type="pct"/>
            <w:vAlign w:val="center"/>
          </w:tcPr>
          <w:p>
            <w:pPr>
              <w:pStyle w:val="65"/>
              <w:rPr>
                <w:rFonts w:ascii="仿宋" w:hAnsi="仿宋" w:eastAsia="仿宋"/>
              </w:rPr>
            </w:pPr>
            <w:r>
              <w:rPr>
                <w:rFonts w:ascii="仿宋" w:hAnsi="仿宋" w:eastAsia="仿宋"/>
              </w:rPr>
              <w:t>随</w:t>
            </w:r>
            <w:r>
              <w:rPr>
                <w:rFonts w:hint="eastAsia" w:ascii="仿宋" w:hAnsi="仿宋" w:eastAsia="仿宋"/>
              </w:rPr>
              <w:t>设备</w:t>
            </w:r>
          </w:p>
        </w:tc>
        <w:tc>
          <w:tcPr>
            <w:tcW w:w="618" w:type="pct"/>
            <w:vAlign w:val="center"/>
          </w:tcPr>
          <w:p>
            <w:pPr>
              <w:pStyle w:val="65"/>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65" w:type="pct"/>
            <w:vAlign w:val="center"/>
          </w:tcPr>
          <w:p>
            <w:pPr>
              <w:pStyle w:val="65"/>
              <w:rPr>
                <w:rFonts w:ascii="仿宋" w:hAnsi="仿宋" w:eastAsia="仿宋"/>
              </w:rPr>
            </w:pPr>
            <w:r>
              <w:rPr>
                <w:rFonts w:ascii="仿宋" w:hAnsi="仿宋" w:eastAsia="仿宋"/>
              </w:rPr>
              <w:t>2</w:t>
            </w:r>
          </w:p>
        </w:tc>
        <w:tc>
          <w:tcPr>
            <w:tcW w:w="2045" w:type="pct"/>
            <w:vAlign w:val="center"/>
          </w:tcPr>
          <w:p>
            <w:pPr>
              <w:pStyle w:val="65"/>
              <w:rPr>
                <w:rFonts w:ascii="仿宋" w:hAnsi="仿宋" w:eastAsia="仿宋"/>
              </w:rPr>
            </w:pPr>
            <w:r>
              <w:rPr>
                <w:rFonts w:ascii="仿宋" w:hAnsi="仿宋" w:eastAsia="仿宋"/>
              </w:rPr>
              <w:t>装箱清单</w:t>
            </w:r>
          </w:p>
        </w:tc>
        <w:tc>
          <w:tcPr>
            <w:tcW w:w="886" w:type="pct"/>
            <w:vAlign w:val="center"/>
          </w:tcPr>
          <w:p>
            <w:pPr>
              <w:pStyle w:val="65"/>
              <w:rPr>
                <w:rFonts w:ascii="仿宋" w:hAnsi="仿宋" w:eastAsia="仿宋"/>
              </w:rPr>
            </w:pPr>
            <w:r>
              <w:rPr>
                <w:rFonts w:ascii="仿宋" w:hAnsi="仿宋" w:eastAsia="仿宋"/>
              </w:rPr>
              <w:t>1P、1E</w:t>
            </w:r>
          </w:p>
        </w:tc>
        <w:tc>
          <w:tcPr>
            <w:tcW w:w="886" w:type="pct"/>
            <w:vAlign w:val="center"/>
          </w:tcPr>
          <w:p>
            <w:pPr>
              <w:pStyle w:val="65"/>
              <w:rPr>
                <w:rFonts w:ascii="仿宋" w:hAnsi="仿宋" w:eastAsia="仿宋"/>
              </w:rPr>
            </w:pPr>
            <w:r>
              <w:rPr>
                <w:rFonts w:hint="eastAsia" w:ascii="仿宋" w:hAnsi="仿宋" w:eastAsia="仿宋"/>
              </w:rPr>
              <w:t>随设备</w:t>
            </w:r>
          </w:p>
        </w:tc>
        <w:tc>
          <w:tcPr>
            <w:tcW w:w="618" w:type="pct"/>
            <w:vAlign w:val="center"/>
          </w:tcPr>
          <w:p>
            <w:pPr>
              <w:pStyle w:val="65"/>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65" w:type="pct"/>
            <w:vAlign w:val="center"/>
          </w:tcPr>
          <w:p>
            <w:pPr>
              <w:pStyle w:val="65"/>
              <w:rPr>
                <w:rFonts w:ascii="仿宋" w:hAnsi="仿宋" w:eastAsia="仿宋"/>
              </w:rPr>
            </w:pPr>
            <w:r>
              <w:rPr>
                <w:rFonts w:ascii="仿宋" w:hAnsi="仿宋" w:eastAsia="仿宋"/>
              </w:rPr>
              <w:t>3</w:t>
            </w:r>
          </w:p>
        </w:tc>
        <w:tc>
          <w:tcPr>
            <w:tcW w:w="2045" w:type="pct"/>
            <w:vAlign w:val="center"/>
          </w:tcPr>
          <w:p>
            <w:pPr>
              <w:pStyle w:val="65"/>
              <w:rPr>
                <w:rFonts w:ascii="仿宋" w:hAnsi="仿宋" w:eastAsia="仿宋"/>
              </w:rPr>
            </w:pPr>
            <w:r>
              <w:rPr>
                <w:rFonts w:ascii="仿宋" w:hAnsi="仿宋" w:eastAsia="仿宋"/>
              </w:rPr>
              <w:t>资料清单</w:t>
            </w:r>
          </w:p>
        </w:tc>
        <w:tc>
          <w:tcPr>
            <w:tcW w:w="886" w:type="pct"/>
            <w:vAlign w:val="center"/>
          </w:tcPr>
          <w:p>
            <w:pPr>
              <w:pStyle w:val="65"/>
              <w:rPr>
                <w:rFonts w:ascii="仿宋" w:hAnsi="仿宋" w:eastAsia="仿宋"/>
              </w:rPr>
            </w:pPr>
            <w:r>
              <w:rPr>
                <w:rFonts w:ascii="仿宋" w:hAnsi="仿宋" w:eastAsia="仿宋"/>
              </w:rPr>
              <w:t>1P、1E</w:t>
            </w:r>
          </w:p>
        </w:tc>
        <w:tc>
          <w:tcPr>
            <w:tcW w:w="886" w:type="pct"/>
            <w:vAlign w:val="center"/>
          </w:tcPr>
          <w:p>
            <w:pPr>
              <w:pStyle w:val="65"/>
              <w:rPr>
                <w:rFonts w:ascii="仿宋" w:hAnsi="仿宋" w:eastAsia="仿宋"/>
              </w:rPr>
            </w:pPr>
            <w:r>
              <w:rPr>
                <w:rFonts w:hint="eastAsia" w:ascii="仿宋" w:hAnsi="仿宋" w:eastAsia="仿宋"/>
              </w:rPr>
              <w:t>随设备</w:t>
            </w:r>
          </w:p>
        </w:tc>
        <w:tc>
          <w:tcPr>
            <w:tcW w:w="618" w:type="pct"/>
            <w:vAlign w:val="center"/>
          </w:tcPr>
          <w:p>
            <w:pPr>
              <w:pStyle w:val="65"/>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65" w:type="pct"/>
            <w:vAlign w:val="center"/>
          </w:tcPr>
          <w:p>
            <w:pPr>
              <w:pStyle w:val="65"/>
              <w:rPr>
                <w:rFonts w:ascii="仿宋" w:hAnsi="仿宋" w:eastAsia="仿宋"/>
              </w:rPr>
            </w:pPr>
            <w:r>
              <w:rPr>
                <w:rFonts w:ascii="仿宋" w:hAnsi="仿宋" w:eastAsia="仿宋"/>
              </w:rPr>
              <w:t>4</w:t>
            </w:r>
          </w:p>
        </w:tc>
        <w:tc>
          <w:tcPr>
            <w:tcW w:w="2045" w:type="pct"/>
            <w:vAlign w:val="center"/>
          </w:tcPr>
          <w:p>
            <w:pPr>
              <w:pStyle w:val="65"/>
              <w:rPr>
                <w:rFonts w:ascii="仿宋" w:hAnsi="仿宋" w:eastAsia="仿宋"/>
              </w:rPr>
            </w:pPr>
            <w:r>
              <w:rPr>
                <w:rFonts w:ascii="仿宋" w:hAnsi="仿宋" w:eastAsia="仿宋"/>
              </w:rPr>
              <w:t>产品规格书</w:t>
            </w:r>
          </w:p>
        </w:tc>
        <w:tc>
          <w:tcPr>
            <w:tcW w:w="886" w:type="pct"/>
            <w:vAlign w:val="center"/>
          </w:tcPr>
          <w:p>
            <w:pPr>
              <w:pStyle w:val="65"/>
              <w:rPr>
                <w:rFonts w:ascii="仿宋" w:hAnsi="仿宋" w:eastAsia="仿宋"/>
              </w:rPr>
            </w:pPr>
            <w:r>
              <w:rPr>
                <w:rFonts w:ascii="仿宋" w:hAnsi="仿宋" w:eastAsia="仿宋"/>
              </w:rPr>
              <w:t>1P、1E</w:t>
            </w:r>
          </w:p>
        </w:tc>
        <w:tc>
          <w:tcPr>
            <w:tcW w:w="886" w:type="pct"/>
            <w:vAlign w:val="center"/>
          </w:tcPr>
          <w:p>
            <w:pPr>
              <w:pStyle w:val="65"/>
              <w:rPr>
                <w:rFonts w:ascii="仿宋" w:hAnsi="仿宋" w:eastAsia="仿宋"/>
              </w:rPr>
            </w:pPr>
            <w:r>
              <w:rPr>
                <w:rFonts w:hint="eastAsia" w:ascii="仿宋" w:hAnsi="仿宋" w:eastAsia="仿宋"/>
              </w:rPr>
              <w:t>随设备</w:t>
            </w:r>
          </w:p>
        </w:tc>
        <w:tc>
          <w:tcPr>
            <w:tcW w:w="618" w:type="pct"/>
            <w:vAlign w:val="center"/>
          </w:tcPr>
          <w:p>
            <w:pPr>
              <w:pStyle w:val="65"/>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65" w:type="pct"/>
            <w:vAlign w:val="center"/>
          </w:tcPr>
          <w:p>
            <w:pPr>
              <w:pStyle w:val="65"/>
              <w:rPr>
                <w:rFonts w:ascii="仿宋" w:hAnsi="仿宋" w:eastAsia="仿宋"/>
              </w:rPr>
            </w:pPr>
            <w:r>
              <w:rPr>
                <w:rFonts w:ascii="仿宋" w:hAnsi="仿宋" w:eastAsia="仿宋"/>
              </w:rPr>
              <w:t>5</w:t>
            </w:r>
          </w:p>
        </w:tc>
        <w:tc>
          <w:tcPr>
            <w:tcW w:w="2045" w:type="pct"/>
            <w:vAlign w:val="center"/>
          </w:tcPr>
          <w:p>
            <w:pPr>
              <w:pStyle w:val="65"/>
              <w:rPr>
                <w:rFonts w:ascii="仿宋" w:hAnsi="仿宋" w:eastAsia="仿宋"/>
              </w:rPr>
            </w:pPr>
            <w:r>
              <w:rPr>
                <w:rFonts w:ascii="仿宋" w:hAnsi="仿宋" w:eastAsia="仿宋"/>
              </w:rPr>
              <w:t>试验、检查报告或记录，原材料资料证明书</w:t>
            </w:r>
          </w:p>
        </w:tc>
        <w:tc>
          <w:tcPr>
            <w:tcW w:w="886" w:type="pct"/>
            <w:vAlign w:val="center"/>
          </w:tcPr>
          <w:p>
            <w:pPr>
              <w:pStyle w:val="65"/>
              <w:rPr>
                <w:rFonts w:ascii="仿宋" w:hAnsi="仿宋" w:eastAsia="仿宋"/>
              </w:rPr>
            </w:pPr>
            <w:r>
              <w:rPr>
                <w:rFonts w:ascii="仿宋" w:hAnsi="仿宋" w:eastAsia="仿宋"/>
              </w:rPr>
              <w:t>1P、1E</w:t>
            </w:r>
          </w:p>
        </w:tc>
        <w:tc>
          <w:tcPr>
            <w:tcW w:w="886" w:type="pct"/>
            <w:vAlign w:val="center"/>
          </w:tcPr>
          <w:p>
            <w:pPr>
              <w:pStyle w:val="65"/>
              <w:rPr>
                <w:rFonts w:ascii="仿宋" w:hAnsi="仿宋" w:eastAsia="仿宋"/>
              </w:rPr>
            </w:pPr>
            <w:r>
              <w:rPr>
                <w:rFonts w:hint="eastAsia" w:ascii="仿宋" w:hAnsi="仿宋" w:eastAsia="仿宋"/>
              </w:rPr>
              <w:t>随设备</w:t>
            </w:r>
          </w:p>
        </w:tc>
        <w:tc>
          <w:tcPr>
            <w:tcW w:w="618" w:type="pct"/>
            <w:vAlign w:val="center"/>
          </w:tcPr>
          <w:p>
            <w:pPr>
              <w:pStyle w:val="65"/>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65" w:type="pct"/>
            <w:vAlign w:val="center"/>
          </w:tcPr>
          <w:p>
            <w:pPr>
              <w:pStyle w:val="65"/>
              <w:rPr>
                <w:rFonts w:ascii="仿宋" w:hAnsi="仿宋" w:eastAsia="仿宋"/>
              </w:rPr>
            </w:pPr>
            <w:r>
              <w:rPr>
                <w:rFonts w:ascii="仿宋" w:hAnsi="仿宋" w:eastAsia="仿宋"/>
              </w:rPr>
              <w:t>6</w:t>
            </w:r>
          </w:p>
        </w:tc>
        <w:tc>
          <w:tcPr>
            <w:tcW w:w="2045" w:type="pct"/>
            <w:vAlign w:val="center"/>
          </w:tcPr>
          <w:p>
            <w:pPr>
              <w:pStyle w:val="65"/>
              <w:rPr>
                <w:rFonts w:ascii="仿宋" w:hAnsi="仿宋" w:eastAsia="仿宋"/>
              </w:rPr>
            </w:pPr>
            <w:r>
              <w:rPr>
                <w:rFonts w:ascii="仿宋" w:hAnsi="仿宋" w:eastAsia="仿宋"/>
              </w:rPr>
              <w:t>甲方认为必要的及所适用标准规范、最终装配图、文件及报告</w:t>
            </w:r>
          </w:p>
        </w:tc>
        <w:tc>
          <w:tcPr>
            <w:tcW w:w="886" w:type="pct"/>
            <w:vAlign w:val="center"/>
          </w:tcPr>
          <w:p>
            <w:pPr>
              <w:pStyle w:val="65"/>
              <w:rPr>
                <w:rFonts w:ascii="仿宋" w:hAnsi="仿宋" w:eastAsia="仿宋"/>
              </w:rPr>
            </w:pPr>
            <w:r>
              <w:rPr>
                <w:rFonts w:ascii="仿宋" w:hAnsi="仿宋" w:eastAsia="仿宋"/>
              </w:rPr>
              <w:t>1P、1E</w:t>
            </w:r>
          </w:p>
        </w:tc>
        <w:tc>
          <w:tcPr>
            <w:tcW w:w="886" w:type="pct"/>
            <w:vAlign w:val="center"/>
          </w:tcPr>
          <w:p>
            <w:pPr>
              <w:pStyle w:val="65"/>
              <w:rPr>
                <w:rFonts w:ascii="仿宋" w:hAnsi="仿宋" w:eastAsia="仿宋"/>
              </w:rPr>
            </w:pPr>
            <w:r>
              <w:rPr>
                <w:rFonts w:hint="eastAsia" w:ascii="仿宋" w:hAnsi="仿宋" w:eastAsia="仿宋"/>
              </w:rPr>
              <w:t>随设备</w:t>
            </w:r>
          </w:p>
        </w:tc>
        <w:tc>
          <w:tcPr>
            <w:tcW w:w="618" w:type="pct"/>
            <w:vAlign w:val="center"/>
          </w:tcPr>
          <w:p>
            <w:pPr>
              <w:pStyle w:val="65"/>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565" w:type="pct"/>
            <w:vAlign w:val="center"/>
          </w:tcPr>
          <w:p>
            <w:pPr>
              <w:pStyle w:val="65"/>
              <w:jc w:val="both"/>
              <w:rPr>
                <w:rFonts w:ascii="仿宋" w:hAnsi="仿宋" w:eastAsia="仿宋"/>
              </w:rPr>
            </w:pPr>
            <w:r>
              <w:rPr>
                <w:rFonts w:ascii="仿宋" w:hAnsi="仿宋" w:eastAsia="仿宋"/>
              </w:rPr>
              <w:t>说明：</w:t>
            </w:r>
          </w:p>
        </w:tc>
        <w:tc>
          <w:tcPr>
            <w:tcW w:w="4435" w:type="pct"/>
            <w:gridSpan w:val="4"/>
            <w:vAlign w:val="center"/>
          </w:tcPr>
          <w:p>
            <w:pPr>
              <w:pStyle w:val="65"/>
              <w:rPr>
                <w:rFonts w:ascii="仿宋" w:hAnsi="仿宋" w:eastAsia="仿宋"/>
              </w:rPr>
            </w:pPr>
            <w:r>
              <w:rPr>
                <w:rFonts w:ascii="仿宋" w:hAnsi="仿宋" w:eastAsia="仿宋"/>
              </w:rPr>
              <w:t>P-印刷文档       E-电子文档</w:t>
            </w:r>
          </w:p>
        </w:tc>
      </w:tr>
    </w:tbl>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10.2</w:t>
      </w:r>
      <w:r>
        <w:rPr>
          <w:rFonts w:ascii="仿宋_GB2312" w:hAnsi="仿宋" w:eastAsia="仿宋_GB2312" w:cs="仿宋_GB2312"/>
          <w:bCs/>
          <w:kern w:val="0"/>
          <w:sz w:val="28"/>
          <w:szCs w:val="28"/>
        </w:rPr>
        <w:t>现场服务</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10.2.1乙方现场技术服务</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10.2.1</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1为保证所供设备的正确安装、启动、安全运行和性能指标，以及相互的工作联系，乙方要派出合格的、能独立解决问题的现场技术指导人员</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乙方的服务应能满足工程需要，双方可以根据现场条件及进度协商人员安排。乙方现场技术服务人员所发生的一切费用包括工资、差旅费、办公及通讯联络等均包括在合同总价内。</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10.2.1.</w:t>
      </w:r>
      <w:r>
        <w:rPr>
          <w:rFonts w:hint="eastAsia" w:ascii="仿宋_GB2312" w:hAnsi="仿宋" w:eastAsia="仿宋_GB2312" w:cs="仿宋_GB2312"/>
          <w:bCs/>
          <w:kern w:val="0"/>
          <w:sz w:val="28"/>
          <w:szCs w:val="28"/>
        </w:rPr>
        <w:t>2</w:t>
      </w:r>
      <w:r>
        <w:rPr>
          <w:rFonts w:ascii="仿宋_GB2312" w:hAnsi="仿宋" w:eastAsia="仿宋_GB2312" w:cs="仿宋_GB2312"/>
          <w:bCs/>
          <w:kern w:val="0"/>
          <w:sz w:val="28"/>
          <w:szCs w:val="28"/>
        </w:rPr>
        <w:t>乙方现场服务人员的条件：</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a</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遵守中华人民共和国法律，遵守现场的各项规章和制度，熟悉并掌握现场和化工有关安全方面的规章制度。</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b</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工作责任心强，身体健康，适应现场工作的条件。</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c</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了解合同设备的设计，熟悉其结构，有相同或相近设备的现场工作经验，能够正确地进行现场指导。</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 xml:space="preserve">e. </w:t>
      </w:r>
      <w:r>
        <w:rPr>
          <w:rFonts w:ascii="仿宋_GB2312" w:hAnsi="仿宋" w:eastAsia="仿宋_GB2312" w:cs="仿宋_GB2312"/>
          <w:bCs/>
          <w:kern w:val="0"/>
          <w:sz w:val="28"/>
          <w:szCs w:val="28"/>
        </w:rPr>
        <w:t>甲方有权要求更换不称职的乙方现场技术服务人员，乙方应及时更换。</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10.2.2甲方现场技术服务</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甲方要配合乙方现场服务人员的工作，费用乙方自理。</w:t>
      </w:r>
    </w:p>
    <w:p>
      <w:pPr>
        <w:spacing w:line="360" w:lineRule="auto"/>
        <w:ind w:firstLine="560" w:firstLineChars="200"/>
        <w:rPr>
          <w:rFonts w:ascii="仿宋_GB2312" w:hAnsi="仿宋" w:eastAsia="仿宋_GB2312" w:cs="仿宋_GB2312"/>
          <w:bCs/>
          <w:kern w:val="0"/>
          <w:sz w:val="28"/>
          <w:szCs w:val="28"/>
        </w:rPr>
      </w:pPr>
      <w:r>
        <w:rPr>
          <w:rFonts w:hint="eastAsia" w:ascii="仿宋_GB2312" w:hAnsi="仿宋" w:eastAsia="仿宋_GB2312" w:cs="仿宋_GB2312"/>
          <w:bCs/>
          <w:kern w:val="0"/>
          <w:sz w:val="28"/>
          <w:szCs w:val="28"/>
        </w:rPr>
        <w:t>10.3</w:t>
      </w:r>
      <w:r>
        <w:rPr>
          <w:rFonts w:ascii="仿宋_GB2312" w:hAnsi="仿宋" w:eastAsia="仿宋_GB2312" w:cs="仿宋_GB2312"/>
          <w:bCs/>
          <w:kern w:val="0"/>
          <w:sz w:val="28"/>
          <w:szCs w:val="28"/>
        </w:rPr>
        <w:t>培训</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10.31.为使合同设备能正常安装和运行，乙方有责任提供相应的技术培训。培训内容应与项目进度相一致。</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10.3</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2乙方应提供该设备的结构原理及使用维护”等相关培训服务。</w:t>
      </w:r>
    </w:p>
    <w:p>
      <w:pPr>
        <w:spacing w:line="360" w:lineRule="auto"/>
        <w:ind w:firstLine="560" w:firstLineChars="200"/>
        <w:rPr>
          <w:rFonts w:ascii="仿宋_GB2312" w:hAnsi="仿宋" w:eastAsia="仿宋_GB2312" w:cs="仿宋_GB2312"/>
          <w:bCs/>
          <w:kern w:val="0"/>
          <w:sz w:val="28"/>
          <w:szCs w:val="28"/>
        </w:rPr>
      </w:pPr>
      <w:r>
        <w:rPr>
          <w:rFonts w:ascii="仿宋_GB2312" w:hAnsi="仿宋" w:eastAsia="仿宋_GB2312" w:cs="仿宋_GB2312"/>
          <w:bCs/>
          <w:kern w:val="0"/>
          <w:sz w:val="28"/>
          <w:szCs w:val="28"/>
        </w:rPr>
        <w:t>10.3</w:t>
      </w:r>
      <w:r>
        <w:rPr>
          <w:rFonts w:hint="eastAsia" w:ascii="仿宋_GB2312" w:hAnsi="仿宋" w:eastAsia="仿宋_GB2312" w:cs="仿宋_GB2312"/>
          <w:bCs/>
          <w:kern w:val="0"/>
          <w:sz w:val="28"/>
          <w:szCs w:val="28"/>
        </w:rPr>
        <w:t>.</w:t>
      </w:r>
      <w:r>
        <w:rPr>
          <w:rFonts w:ascii="仿宋_GB2312" w:hAnsi="仿宋" w:eastAsia="仿宋_GB2312" w:cs="仿宋_GB2312"/>
          <w:bCs/>
          <w:kern w:val="0"/>
          <w:sz w:val="28"/>
          <w:szCs w:val="28"/>
        </w:rPr>
        <w:t>3培训的时间等具体内容由</w:t>
      </w:r>
      <w:r>
        <w:rPr>
          <w:rFonts w:hint="eastAsia" w:ascii="仿宋_GB2312" w:hAnsi="仿宋" w:eastAsia="仿宋_GB2312" w:cs="仿宋_GB2312"/>
          <w:bCs/>
          <w:kern w:val="0"/>
          <w:sz w:val="28"/>
          <w:szCs w:val="28"/>
        </w:rPr>
        <w:t>甲、乙</w:t>
      </w:r>
      <w:r>
        <w:rPr>
          <w:rFonts w:ascii="仿宋_GB2312" w:hAnsi="仿宋" w:eastAsia="仿宋_GB2312" w:cs="仿宋_GB2312"/>
          <w:bCs/>
          <w:kern w:val="0"/>
          <w:sz w:val="28"/>
          <w:szCs w:val="28"/>
        </w:rPr>
        <w:t>双方商定。</w:t>
      </w:r>
    </w:p>
    <w:p>
      <w:pPr>
        <w:spacing w:line="560" w:lineRule="exact"/>
        <w:ind w:firstLine="560" w:firstLineChars="200"/>
        <w:rPr>
          <w:rFonts w:ascii="仿宋_GB2312" w:hAnsi="仿宋" w:eastAsia="仿宋_GB2312" w:cs="仿宋_GB2312"/>
          <w:bCs/>
          <w:kern w:val="0"/>
          <w:sz w:val="28"/>
          <w:szCs w:val="28"/>
        </w:rPr>
      </w:pPr>
    </w:p>
    <w:p>
      <w:pPr>
        <w:pageBreakBefore/>
        <w:spacing w:line="360" w:lineRule="auto"/>
        <w:jc w:val="center"/>
        <w:rPr>
          <w:rFonts w:ascii="仿宋" w:hAnsi="仿宋" w:eastAsia="仿宋" w:cs="方正小标宋_GBK"/>
          <w:b/>
          <w:kern w:val="0"/>
          <w:sz w:val="44"/>
          <w:szCs w:val="44"/>
        </w:rPr>
      </w:pPr>
      <w:r>
        <w:rPr>
          <w:rFonts w:hint="eastAsia" w:ascii="仿宋" w:hAnsi="仿宋" w:eastAsia="仿宋" w:cs="方正小标宋_GBK"/>
          <w:b/>
          <w:kern w:val="0"/>
          <w:sz w:val="44"/>
          <w:szCs w:val="44"/>
        </w:rPr>
        <w:t>第五部分安全管理</w:t>
      </w:r>
    </w:p>
    <w:p>
      <w:pPr>
        <w:numPr>
          <w:ilvl w:val="0"/>
          <w:numId w:val="2"/>
        </w:num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共性要求：</w:t>
      </w:r>
    </w:p>
    <w:p>
      <w:pPr>
        <w:numPr>
          <w:ilvl w:val="0"/>
          <w:numId w:val="3"/>
        </w:num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承包商发包应当符合相关法律法规规定，严禁发包给不具有相应资质和条件的单位或个人，严禁肢解发包，严禁发包给纳入中粮集团、中粮糖业、中粮番茄黑名单的承包商，严禁承包商转包或未经审批违法分包。</w:t>
      </w:r>
    </w:p>
    <w:p>
      <w:pPr>
        <w:numPr>
          <w:ilvl w:val="0"/>
          <w:numId w:val="3"/>
        </w:num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与甲方采购合同同时签订安全管理协议，作为采购合同附件。</w:t>
      </w:r>
    </w:p>
    <w:p>
      <w:pPr>
        <w:numPr>
          <w:ilvl w:val="0"/>
          <w:numId w:val="3"/>
        </w:num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承包商作业人员健康体检，包含但不限于以下体检项目：</w:t>
      </w:r>
    </w:p>
    <w:p>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（1）外科检查：五官、躯干四肢检查；</w:t>
      </w:r>
    </w:p>
    <w:p>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（2）内科检查：血常规、血压、血糖、心电图、心肺膈检查，检查总结论应为无任何异常或体检正常、合格之类的描述，并带有医师签章；</w:t>
      </w:r>
    </w:p>
    <w:p>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（3）体检报告：应为县级及以上的人民医院出具的报告为准，其余体检报告不作为有效体检依据。</w:t>
      </w:r>
    </w:p>
    <w:p>
      <w:pPr>
        <w:numPr>
          <w:ilvl w:val="0"/>
          <w:numId w:val="3"/>
        </w:numPr>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购买工伤保险或保险额度应不低于140万元/人（雇主责任险80万元/人+意外伤害保险等保险60万元/人）。</w:t>
      </w:r>
    </w:p>
    <w:p>
      <w:pPr>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二、对</w:t>
      </w:r>
      <w:r>
        <w:rPr>
          <w:rFonts w:hint="eastAsia" w:ascii="仿宋" w:hAnsi="仿宋" w:eastAsia="仿宋" w:cs="仿宋"/>
          <w:color w:val="000000" w:themeColor="text1"/>
          <w:sz w:val="24"/>
          <w14:textFill>
            <w14:solidFill>
              <w14:schemeClr w14:val="tx1"/>
            </w14:solidFill>
          </w14:textFill>
        </w:rPr>
        <w:t>乙类承包商（不实行监理的承包商）</w:t>
      </w:r>
      <w:r>
        <w:rPr>
          <w:rFonts w:hint="eastAsia" w:ascii="仿宋" w:hAnsi="仿宋" w:eastAsia="仿宋" w:cs="仿宋"/>
          <w:color w:val="000000" w:themeColor="text1"/>
          <w:kern w:val="0"/>
          <w:sz w:val="24"/>
          <w14:textFill>
            <w14:solidFill>
              <w14:schemeClr w14:val="tx1"/>
            </w14:solidFill>
          </w14:textFill>
        </w:rPr>
        <w:t>的安全要求</w:t>
      </w:r>
    </w:p>
    <w:p>
      <w:pPr>
        <w:widowControl/>
        <w:numPr>
          <w:ilvl w:val="0"/>
          <w:numId w:val="4"/>
        </w:numPr>
        <w:spacing w:line="360" w:lineRule="auto"/>
        <w:jc w:val="lef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资质要求：乙类承包商应具备以下资质，包括但不限于：</w:t>
      </w:r>
    </w:p>
    <w:p>
      <w:pPr>
        <w:widowControl/>
        <w:numPr>
          <w:ilvl w:val="0"/>
          <w:numId w:val="5"/>
        </w:num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具有独立法人资格的企业、营业执照等必要的资质证件；</w:t>
      </w:r>
    </w:p>
    <w:p>
      <w:pPr>
        <w:widowControl/>
        <w:numPr>
          <w:ilvl w:val="0"/>
          <w:numId w:val="5"/>
        </w:num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安全生产业绩良好，</w:t>
      </w:r>
      <w:r>
        <w:rPr>
          <w:rFonts w:hint="eastAsia" w:ascii="仿宋" w:hAnsi="仿宋" w:eastAsia="仿宋" w:cs="仿宋"/>
          <w:bCs/>
          <w:color w:val="000000" w:themeColor="text1"/>
          <w:sz w:val="24"/>
          <w14:textFill>
            <w14:solidFill>
              <w14:schemeClr w14:val="tx1"/>
            </w14:solidFill>
          </w14:textFill>
        </w:rPr>
        <w:t>提供近三年无事故证明，</w:t>
      </w:r>
      <w:r>
        <w:rPr>
          <w:rFonts w:hint="eastAsia" w:ascii="仿宋" w:hAnsi="仿宋" w:eastAsia="仿宋" w:cs="仿宋"/>
          <w:bCs/>
          <w:color w:val="000000" w:themeColor="text1"/>
          <w:sz w:val="24"/>
          <w:lang w:val="zh-CN"/>
          <w14:textFill>
            <w14:solidFill>
              <w14:schemeClr w14:val="tx1"/>
            </w14:solidFill>
          </w14:textFill>
        </w:rPr>
        <w:t>未纳入集团承包商黑名单；</w:t>
      </w:r>
    </w:p>
    <w:p>
      <w:pPr>
        <w:widowControl/>
        <w:numPr>
          <w:ilvl w:val="0"/>
          <w:numId w:val="5"/>
        </w:num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承包商所具备的安全管理机构人员配备齐全，项目负责人、安全管理人员、作业人员配置及相应安全（特种作业）资格证书符合法规标准要求；</w:t>
      </w:r>
    </w:p>
    <w:p>
      <w:pPr>
        <w:widowControl/>
        <w:numPr>
          <w:ilvl w:val="0"/>
          <w:numId w:val="5"/>
        </w:num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作业人员年龄应满18周岁，男性不应超过60周岁，女性不应超过55周岁，作业人员近一年内县级以上人民医院体检合格报告、保险证明等；</w:t>
      </w:r>
    </w:p>
    <w:p>
      <w:pPr>
        <w:widowControl/>
        <w:numPr>
          <w:ilvl w:val="0"/>
          <w:numId w:val="5"/>
        </w:num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作业设备设施、工具、物料、劳动保护用品等账物相符，并经检查符合质量和使用要求。</w:t>
      </w:r>
    </w:p>
    <w:p>
      <w:pPr>
        <w:widowControl/>
        <w:numPr>
          <w:ilvl w:val="0"/>
          <w:numId w:val="4"/>
        </w:num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管理要求：中标后承包商要提供（在甲方安全管理信息平台上填报）</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（1）施工方案；</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现场应急处置方案；</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3</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 xml:space="preserve"> 承包商公司管理制度（重点是安全生产管理制度和安全生产责任任制）；</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工器具材料清单；</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5</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人员花名册；</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6</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职业禁忌病症承诺单；</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7</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劳动防护用品发放登记表；</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8</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现场负责人和安全管理人员任命书（附安全员证）；</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9</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特种作业人员信息登记表；</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10</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每日作业计划书；</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11</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每日作业安全检查表；</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12</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危险作业表单；</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13</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变更作业表单；</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交叉作业表单；</w:t>
      </w:r>
    </w:p>
    <w:p>
      <w:pPr>
        <w:spacing w:line="360" w:lineRule="auto"/>
        <w:ind w:firstLine="420"/>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15</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开工申请。</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三、对丙类承包商（实行监理的</w:t>
      </w:r>
      <w:r>
        <w:rPr>
          <w:rFonts w:hint="eastAsia" w:ascii="仿宋" w:hAnsi="仿宋" w:eastAsia="仿宋" w:cs="仿宋"/>
          <w:color w:val="000000" w:themeColor="text1"/>
          <w:sz w:val="24"/>
          <w:lang w:val="zh-CN" w:bidi="zh-CN"/>
          <w14:textFill>
            <w14:solidFill>
              <w14:schemeClr w14:val="tx1"/>
            </w14:solidFill>
          </w14:textFill>
        </w:rPr>
        <w:t>建设工程</w:t>
      </w:r>
      <w:r>
        <w:rPr>
          <w:rFonts w:hint="eastAsia" w:ascii="仿宋" w:hAnsi="仿宋" w:eastAsia="仿宋" w:cs="仿宋"/>
          <w:color w:val="000000" w:themeColor="text1"/>
          <w:sz w:val="24"/>
          <w14:textFill>
            <w14:solidFill>
              <w14:schemeClr w14:val="tx1"/>
            </w14:solidFill>
          </w14:textFill>
        </w:rPr>
        <w:t>承包商）的安全要求</w:t>
      </w:r>
    </w:p>
    <w:p>
      <w:pPr>
        <w:spacing w:line="360" w:lineRule="auto"/>
        <w:ind w:firstLine="480" w:firstLineChars="200"/>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1、监理单位负责核查承包商准入相关资质，</w:t>
      </w:r>
      <w:r>
        <w:rPr>
          <w:rFonts w:hint="eastAsia" w:ascii="仿宋" w:hAnsi="仿宋" w:eastAsia="仿宋" w:cs="仿宋"/>
          <w:bCs/>
          <w:color w:val="000000" w:themeColor="text1"/>
          <w:sz w:val="24"/>
          <w:lang w:val="zh-CN"/>
          <w14:textFill>
            <w14:solidFill>
              <w14:schemeClr w14:val="tx1"/>
            </w14:solidFill>
          </w14:textFill>
        </w:rPr>
        <w:t>监理单位结合危大工程专项施工方案编制监理实施细则。</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2、中标后</w:t>
      </w:r>
      <w:r>
        <w:rPr>
          <w:rFonts w:hint="eastAsia" w:ascii="仿宋" w:hAnsi="仿宋" w:eastAsia="仿宋" w:cs="仿宋"/>
          <w:color w:val="000000" w:themeColor="text1"/>
          <w:sz w:val="24"/>
          <w14:textFill>
            <w14:solidFill>
              <w14:schemeClr w14:val="tx1"/>
            </w14:solidFill>
          </w14:textFill>
        </w:rPr>
        <w:t>监理单位</w:t>
      </w:r>
      <w:r>
        <w:rPr>
          <w:rFonts w:hint="eastAsia" w:ascii="仿宋" w:hAnsi="仿宋" w:eastAsia="仿宋" w:cs="仿宋"/>
          <w:bCs/>
          <w:color w:val="000000" w:themeColor="text1"/>
          <w:sz w:val="24"/>
          <w14:textFill>
            <w14:solidFill>
              <w14:schemeClr w14:val="tx1"/>
            </w14:solidFill>
          </w14:textFill>
        </w:rPr>
        <w:t>要提供（在甲方安全管理信息平台上填报），</w:t>
      </w:r>
      <w:r>
        <w:rPr>
          <w:rFonts w:hint="eastAsia" w:ascii="仿宋" w:hAnsi="仿宋" w:eastAsia="仿宋" w:cs="仿宋"/>
          <w:bCs/>
          <w:color w:val="000000" w:themeColor="text1"/>
          <w:sz w:val="24"/>
          <w:lang w:val="zh-CN"/>
          <w14:textFill>
            <w14:solidFill>
              <w14:schemeClr w14:val="tx1"/>
            </w14:solidFill>
          </w14:textFill>
        </w:rPr>
        <w:t>包括但不限于</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（1）监理单位关键岗位人员审查备案表；</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（2）安全监督检查记录；</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（3）隐患整改通知单；</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（4）隐患整改清单（整改前、整改后、整改验证）</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（5）危险性较大的分部分项工程监理巡视检查记录表。</w:t>
      </w:r>
    </w:p>
    <w:p>
      <w:pPr>
        <w:widowControl/>
        <w:spacing w:line="360" w:lineRule="auto"/>
        <w:ind w:firstLine="360" w:firstLineChars="150"/>
        <w:jc w:val="lef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3、丙类承包商资质要求，</w:t>
      </w:r>
      <w:r>
        <w:rPr>
          <w:rFonts w:hint="eastAsia" w:ascii="仿宋" w:hAnsi="仿宋" w:eastAsia="仿宋" w:cs="仿宋"/>
          <w:bCs/>
          <w:color w:val="000000" w:themeColor="text1"/>
          <w:sz w:val="24"/>
          <w:lang w:val="zh-CN"/>
          <w14:textFill>
            <w14:solidFill>
              <w14:schemeClr w14:val="tx1"/>
            </w14:solidFill>
          </w14:textFill>
        </w:rPr>
        <w:t>包括但不限于</w:t>
      </w:r>
      <w:r>
        <w:rPr>
          <w:rFonts w:hint="eastAsia" w:ascii="仿宋" w:hAnsi="仿宋" w:eastAsia="仿宋" w:cs="仿宋"/>
          <w:color w:val="000000" w:themeColor="text1"/>
          <w:sz w:val="24"/>
          <w14:textFill>
            <w14:solidFill>
              <w14:schemeClr w14:val="tx1"/>
            </w14:solidFill>
          </w14:textFill>
        </w:rPr>
        <w:t>：</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1）法人资质</w:t>
      </w:r>
      <w:r>
        <w:rPr>
          <w:rFonts w:hint="eastAsia" w:ascii="仿宋" w:hAnsi="仿宋" w:eastAsia="仿宋" w:cs="仿宋"/>
          <w:bCs/>
          <w:color w:val="000000" w:themeColor="text1"/>
          <w:sz w:val="24"/>
          <w:lang w:val="zh-CN"/>
          <w14:textFill>
            <w14:solidFill>
              <w14:schemeClr w14:val="tx1"/>
            </w14:solidFill>
          </w14:textFill>
        </w:rPr>
        <w:t>营业执照、施工资质、安全许可证等必要的资质证件；</w:t>
      </w:r>
    </w:p>
    <w:p>
      <w:pPr>
        <w:widowControl/>
        <w:spacing w:line="360" w:lineRule="auto"/>
        <w:ind w:firstLine="480" w:firstLineChars="200"/>
        <w:jc w:val="lef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w:t>
      </w:r>
      <w:r>
        <w:rPr>
          <w:rFonts w:hint="eastAsia" w:ascii="仿宋" w:hAnsi="仿宋" w:eastAsia="仿宋" w:cs="仿宋"/>
          <w:bCs/>
          <w:color w:val="000000" w:themeColor="text1"/>
          <w:sz w:val="24"/>
          <w:lang w:val="zh-CN"/>
          <w14:textFill>
            <w14:solidFill>
              <w14:schemeClr w14:val="tx1"/>
            </w14:solidFill>
          </w14:textFill>
        </w:rPr>
        <w:t>安全生产业绩良好，</w:t>
      </w:r>
      <w:r>
        <w:rPr>
          <w:rFonts w:hint="eastAsia" w:ascii="仿宋" w:hAnsi="仿宋" w:eastAsia="仿宋" w:cs="仿宋"/>
          <w:bCs/>
          <w:color w:val="000000" w:themeColor="text1"/>
          <w:sz w:val="24"/>
          <w14:textFill>
            <w14:solidFill>
              <w14:schemeClr w14:val="tx1"/>
            </w14:solidFill>
          </w14:textFill>
        </w:rPr>
        <w:t>提供近三年无事故证明，</w:t>
      </w:r>
      <w:r>
        <w:rPr>
          <w:rFonts w:hint="eastAsia" w:ascii="仿宋" w:hAnsi="仿宋" w:eastAsia="仿宋" w:cs="仿宋"/>
          <w:bCs/>
          <w:color w:val="000000" w:themeColor="text1"/>
          <w:sz w:val="24"/>
          <w:lang w:val="zh-CN"/>
          <w14:textFill>
            <w14:solidFill>
              <w14:schemeClr w14:val="tx1"/>
            </w14:solidFill>
          </w14:textFill>
        </w:rPr>
        <w:t>未纳入集团承包商黑名单；</w:t>
      </w:r>
    </w:p>
    <w:p>
      <w:pPr>
        <w:widowControl/>
        <w:spacing w:line="360" w:lineRule="auto"/>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承包商所具备的安全管理机构人员配备齐全，项目负责人、安全管理人员、作业人员配置及相应安全（特种作业）资格证书符合法规标准要求；</w:t>
      </w:r>
    </w:p>
    <w:p>
      <w:pPr>
        <w:widowControl/>
        <w:spacing w:line="360" w:lineRule="auto"/>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w:t>
      </w:r>
      <w:r>
        <w:rPr>
          <w:rFonts w:hint="eastAsia" w:ascii="仿宋" w:hAnsi="仿宋" w:eastAsia="仿宋" w:cs="仿宋"/>
          <w:bCs/>
          <w:color w:val="000000" w:themeColor="text1"/>
          <w:sz w:val="24"/>
          <w:lang w:val="zh-CN"/>
          <w14:textFill>
            <w14:solidFill>
              <w14:schemeClr w14:val="tx1"/>
            </w14:solidFill>
          </w14:textFill>
        </w:rPr>
        <w:t>作业人员年龄应满18周岁，男性不应超过60周岁，女性不应超过55周岁，作业人员近一年内县级以上人民医院体检合格报告、保险证明、安全教育培训档案等；</w:t>
      </w:r>
    </w:p>
    <w:p>
      <w:pPr>
        <w:spacing w:line="360" w:lineRule="auto"/>
        <w:ind w:firstLine="480" w:firstLineChars="200"/>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w:t>
      </w:r>
      <w:r>
        <w:rPr>
          <w:rFonts w:hint="eastAsia" w:ascii="仿宋" w:hAnsi="仿宋" w:eastAsia="仿宋" w:cs="仿宋"/>
          <w:bCs/>
          <w:color w:val="000000" w:themeColor="text1"/>
          <w:sz w:val="24"/>
          <w:lang w:val="zh-CN"/>
          <w14:textFill>
            <w14:solidFill>
              <w14:schemeClr w14:val="tx1"/>
            </w14:solidFill>
          </w14:textFill>
        </w:rPr>
        <w:t>作业设备设施、工具、物料、劳动保护用品等账物相符，并经检查符合质量和使用要求。</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4、管理要求：中标后承包商要提供（在甲方安全管理信息平台上填报），</w:t>
      </w:r>
      <w:r>
        <w:rPr>
          <w:rFonts w:hint="eastAsia" w:ascii="仿宋" w:hAnsi="仿宋" w:eastAsia="仿宋" w:cs="仿宋"/>
          <w:bCs/>
          <w:color w:val="000000" w:themeColor="text1"/>
          <w:sz w:val="24"/>
          <w:lang w:val="zh-CN"/>
          <w14:textFill>
            <w14:solidFill>
              <w14:schemeClr w14:val="tx1"/>
            </w14:solidFill>
          </w14:textFill>
        </w:rPr>
        <w:t>包括但不限于</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 xml:space="preserve">关键设备、设施及防护用品审查备案表； </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（2）承包商关键岗位人员审查备案表；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承包商安全管理制度体系审查备案表；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（4）施工组织设计及专项施工方案审查备案表；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（5）承包商应急物资清单；</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（6）项目全生命周期固有风险清单；</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（7）承包商安全条件确认表；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（8）安全会议记录表；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（9）应急演练评估表；</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r>
        <w:rPr>
          <w:rFonts w:hint="eastAsia" w:ascii="仿宋" w:hAnsi="仿宋" w:eastAsia="仿宋" w:cs="仿宋"/>
          <w:bCs/>
          <w:color w:val="000000" w:themeColor="text1"/>
          <w:sz w:val="24"/>
          <w:lang w:val="zh-CN"/>
          <w14:textFill>
            <w14:solidFill>
              <w14:schemeClr w14:val="tx1"/>
            </w14:solidFill>
          </w14:textFill>
        </w:rPr>
        <w:t>单独编制危大工程专项施工方案，明确并落实安全措施。</w:t>
      </w:r>
    </w:p>
    <w:p>
      <w:pPr>
        <w:rPr>
          <w:rFonts w:ascii="仿宋" w:hAnsi="仿宋" w:eastAsia="仿宋" w:cs="方正小标宋_GBK"/>
          <w:sz w:val="44"/>
          <w:szCs w:val="44"/>
        </w:rPr>
      </w:pPr>
    </w:p>
    <w:p>
      <w:pPr>
        <w:pageBreakBefore/>
        <w:spacing w:line="360" w:lineRule="auto"/>
        <w:jc w:val="center"/>
        <w:rPr>
          <w:rFonts w:ascii="仿宋" w:hAnsi="仿宋" w:eastAsia="仿宋" w:cs="方正小标宋_GBK"/>
          <w:b/>
          <w:kern w:val="0"/>
          <w:sz w:val="44"/>
          <w:szCs w:val="44"/>
        </w:rPr>
      </w:pPr>
      <w:r>
        <w:rPr>
          <w:rFonts w:hint="eastAsia" w:ascii="仿宋" w:hAnsi="仿宋" w:eastAsia="仿宋" w:cs="方正小标宋_GBK"/>
          <w:b/>
          <w:kern w:val="0"/>
          <w:sz w:val="44"/>
          <w:szCs w:val="44"/>
        </w:rPr>
        <w:t>第六部分合同模板</w:t>
      </w:r>
    </w:p>
    <w:p>
      <w:pPr>
        <w:jc w:val="center"/>
      </w:pPr>
      <w:r>
        <w:rPr>
          <w:rFonts w:hint="eastAsia"/>
        </w:rPr>
        <w:tab/>
      </w:r>
    </w:p>
    <w:p>
      <w:pPr>
        <w:jc w:val="center"/>
      </w:pPr>
    </w:p>
    <w:p>
      <w:pPr>
        <w:jc w:val="center"/>
      </w:pPr>
    </w:p>
    <w:p>
      <w:pPr>
        <w:jc w:val="center"/>
      </w:pPr>
    </w:p>
    <w:p>
      <w:pPr>
        <w:jc w:val="center"/>
        <w:rPr>
          <w:rFonts w:ascii="楷体_GB2312" w:hAnsi="宋体" w:eastAsia="楷体_GB2312"/>
          <w:b/>
          <w:sz w:val="44"/>
          <w:szCs w:val="44"/>
        </w:rPr>
      </w:pPr>
      <w:r>
        <w:rPr>
          <w:rFonts w:hint="eastAsia" w:ascii="楷体_GB2312" w:hAnsi="宋体" w:eastAsia="楷体_GB2312"/>
          <w:b/>
          <w:sz w:val="44"/>
          <w:szCs w:val="44"/>
        </w:rPr>
        <w:t>中粮糖业昌吉番茄扩建1500t/d生产线项目</w:t>
      </w:r>
    </w:p>
    <w:p>
      <w:pPr>
        <w:jc w:val="center"/>
        <w:rPr>
          <w:rFonts w:ascii="楷体_GB2312" w:hAnsi="宋体" w:eastAsia="楷体_GB2312"/>
          <w:b/>
          <w:sz w:val="44"/>
          <w:szCs w:val="44"/>
        </w:rPr>
      </w:pPr>
      <w:r>
        <w:rPr>
          <w:rFonts w:hint="eastAsia" w:ascii="楷体_GB2312" w:hAnsi="宋体" w:eastAsia="楷体_GB2312"/>
          <w:b/>
          <w:sz w:val="44"/>
          <w:szCs w:val="44"/>
        </w:rPr>
        <w:t>第三代厌氧反应器及配套设备采购合同</w:t>
      </w:r>
    </w:p>
    <w:p>
      <w:pPr>
        <w:jc w:val="center"/>
        <w:rPr>
          <w:rFonts w:ascii="楷体_GB2312" w:hAnsi="宋体" w:eastAsia="楷体_GB2312"/>
          <w:sz w:val="28"/>
          <w:szCs w:val="28"/>
        </w:rPr>
      </w:pPr>
    </w:p>
    <w:p>
      <w:pPr>
        <w:jc w:val="center"/>
        <w:rPr>
          <w:rFonts w:ascii="楷体_GB2312" w:hAnsi="宋体" w:eastAsia="楷体_GB2312"/>
          <w:sz w:val="28"/>
          <w:szCs w:val="28"/>
        </w:rPr>
      </w:pPr>
    </w:p>
    <w:p>
      <w:pPr>
        <w:jc w:val="center"/>
        <w:rPr>
          <w:rFonts w:ascii="楷体_GB2312" w:hAnsi="宋体" w:eastAsia="楷体_GB2312"/>
          <w:sz w:val="28"/>
          <w:szCs w:val="28"/>
        </w:rPr>
      </w:pPr>
    </w:p>
    <w:p>
      <w:pPr>
        <w:ind w:left="2245" w:leftChars="400" w:hanging="1405" w:hangingChars="500"/>
        <w:rPr>
          <w:rFonts w:ascii="楷体_GB2312" w:hAnsi="宋体" w:eastAsia="楷体_GB2312"/>
          <w:sz w:val="28"/>
          <w:szCs w:val="28"/>
          <w:u w:val="single"/>
        </w:rPr>
      </w:pPr>
      <w:r>
        <w:rPr>
          <w:rFonts w:hint="eastAsia" w:ascii="楷体_GB2312" w:hAnsi="宋体" w:eastAsia="楷体_GB2312"/>
          <w:b/>
          <w:sz w:val="28"/>
          <w:szCs w:val="28"/>
        </w:rPr>
        <w:t>项目名称</w:t>
      </w:r>
      <w:r>
        <w:rPr>
          <w:rFonts w:hint="eastAsia" w:ascii="楷体_GB2312" w:hAnsi="宋体" w:eastAsia="楷体_GB2312"/>
          <w:sz w:val="28"/>
          <w:szCs w:val="28"/>
        </w:rPr>
        <w:t>:</w:t>
      </w:r>
      <w:r>
        <w:rPr>
          <w:rFonts w:hint="eastAsia" w:ascii="楷体_GB2312" w:hAnsi="宋体" w:eastAsia="楷体_GB2312"/>
          <w:sz w:val="28"/>
          <w:szCs w:val="28"/>
          <w:u w:val="single"/>
        </w:rPr>
        <w:t xml:space="preserve">   第三代厌氧反应器及配套设备采购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p>
    <w:p>
      <w:pPr>
        <w:ind w:left="2245" w:leftChars="400" w:hanging="1405" w:hangingChars="500"/>
        <w:rPr>
          <w:rFonts w:ascii="楷体_GB2312" w:hAnsi="宋体" w:eastAsia="楷体_GB2312"/>
          <w:b/>
          <w:sz w:val="28"/>
          <w:szCs w:val="28"/>
        </w:rPr>
      </w:pPr>
    </w:p>
    <w:p>
      <w:pPr>
        <w:ind w:left="2245" w:leftChars="400" w:hanging="1405" w:hangingChars="500"/>
        <w:rPr>
          <w:rFonts w:ascii="楷体_GB2312" w:hAnsi="宋体" w:eastAsia="楷体_GB2312"/>
          <w:sz w:val="28"/>
          <w:szCs w:val="28"/>
        </w:rPr>
      </w:pPr>
      <w:r>
        <w:rPr>
          <w:rFonts w:hint="eastAsia" w:ascii="楷体_GB2312" w:hAnsi="宋体" w:eastAsia="楷体_GB2312"/>
          <w:b/>
          <w:sz w:val="28"/>
          <w:szCs w:val="28"/>
        </w:rPr>
        <w:t xml:space="preserve">地 </w:t>
      </w:r>
      <w:r>
        <w:rPr>
          <w:rFonts w:ascii="楷体_GB2312" w:hAnsi="宋体" w:eastAsia="楷体_GB2312"/>
          <w:b/>
          <w:sz w:val="28"/>
          <w:szCs w:val="28"/>
        </w:rPr>
        <w:t xml:space="preserve">   </w:t>
      </w:r>
      <w:r>
        <w:rPr>
          <w:rFonts w:hint="eastAsia" w:ascii="楷体_GB2312" w:hAnsi="宋体" w:eastAsia="楷体_GB2312"/>
          <w:b/>
          <w:sz w:val="28"/>
          <w:szCs w:val="28"/>
        </w:rPr>
        <w:t>点</w:t>
      </w:r>
      <w:r>
        <w:rPr>
          <w:rFonts w:hint="eastAsia" w:ascii="楷体_GB2312" w:hAnsi="宋体" w:eastAsia="楷体_GB2312"/>
          <w:sz w:val="28"/>
          <w:szCs w:val="28"/>
        </w:rPr>
        <w:t>:</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p>
    <w:p>
      <w:pPr>
        <w:ind w:left="840" w:leftChars="400"/>
        <w:rPr>
          <w:rFonts w:ascii="楷体_GB2312" w:hAnsi="宋体" w:eastAsia="楷体_GB2312"/>
          <w:sz w:val="28"/>
          <w:szCs w:val="28"/>
        </w:rPr>
      </w:pPr>
    </w:p>
    <w:p>
      <w:pPr>
        <w:ind w:left="840" w:leftChars="400"/>
        <w:rPr>
          <w:rFonts w:ascii="楷体_GB2312" w:hAnsi="宋体" w:eastAsia="楷体_GB2312"/>
          <w:sz w:val="28"/>
          <w:szCs w:val="28"/>
        </w:rPr>
      </w:pPr>
      <w:r>
        <w:rPr>
          <w:rFonts w:hint="eastAsia" w:ascii="楷体_GB2312" w:hAnsi="宋体" w:eastAsia="楷体_GB2312"/>
          <w:b/>
          <w:sz w:val="28"/>
          <w:szCs w:val="28"/>
        </w:rPr>
        <w:t>合同编号</w:t>
      </w:r>
      <w:r>
        <w:rPr>
          <w:rFonts w:hint="eastAsia" w:ascii="楷体_GB2312" w:hAnsi="宋体" w:eastAsia="楷体_GB2312"/>
          <w:sz w:val="28"/>
          <w:szCs w:val="28"/>
        </w:rPr>
        <w:t>:</w:t>
      </w:r>
      <w:r>
        <w:rPr>
          <w:rFonts w:hint="eastAsia" w:ascii="楷体_GB2312" w:hAnsi="宋体" w:eastAsia="楷体_GB2312"/>
          <w:sz w:val="28"/>
          <w:szCs w:val="28"/>
          <w:u w:val="single"/>
        </w:rPr>
        <w:t xml:space="preserve">   </w:t>
      </w:r>
      <w:r>
        <w:rPr>
          <w:rFonts w:hint="eastAsia" w:ascii="楷体_GB2312" w:hAnsi="宋体" w:eastAsia="楷体_GB2312"/>
          <w:color w:val="000000"/>
          <w:sz w:val="28"/>
          <w:szCs w:val="28"/>
          <w:u w:val="single"/>
        </w:rPr>
        <w:t xml:space="preserve">  </w:t>
      </w:r>
      <w:r>
        <w:rPr>
          <w:rFonts w:ascii="楷体_GB2312" w:hAnsi="宋体" w:eastAsia="楷体_GB2312"/>
          <w:color w:val="000000"/>
          <w:sz w:val="28"/>
          <w:szCs w:val="28"/>
          <w:u w:val="single"/>
        </w:rPr>
        <w:t xml:space="preserve">   Y10-VII2024-AHB 009  </w:t>
      </w:r>
      <w:r>
        <w:rPr>
          <w:rFonts w:hint="eastAsia" w:ascii="楷体_GB2312" w:hAnsi="宋体" w:eastAsia="楷体_GB2312"/>
          <w:color w:val="000000"/>
          <w:sz w:val="28"/>
          <w:szCs w:val="28"/>
          <w:u w:val="single"/>
        </w:rPr>
        <w:t xml:space="preserve"> </w:t>
      </w:r>
      <w:r>
        <w:rPr>
          <w:rFonts w:hint="eastAsia" w:ascii="楷体_GB2312" w:hAnsi="宋体" w:eastAsia="楷体_GB2312"/>
          <w:sz w:val="28"/>
          <w:szCs w:val="28"/>
          <w:u w:val="single"/>
        </w:rPr>
        <w:t xml:space="preserve">           </w:t>
      </w:r>
    </w:p>
    <w:p>
      <w:pPr>
        <w:ind w:left="840" w:leftChars="400"/>
        <w:rPr>
          <w:rFonts w:ascii="楷体_GB2312" w:hAnsi="宋体" w:eastAsia="楷体_GB2312"/>
          <w:sz w:val="28"/>
          <w:szCs w:val="28"/>
        </w:rPr>
      </w:pPr>
    </w:p>
    <w:p>
      <w:pPr>
        <w:ind w:left="840" w:leftChars="400"/>
        <w:rPr>
          <w:rFonts w:ascii="楷体_GB2312" w:hAnsi="宋体" w:eastAsia="楷体_GB2312"/>
          <w:sz w:val="28"/>
          <w:szCs w:val="28"/>
        </w:rPr>
      </w:pPr>
      <w:r>
        <w:rPr>
          <w:rFonts w:hint="eastAsia" w:ascii="楷体_GB2312" w:hAnsi="宋体" w:eastAsia="楷体_GB2312"/>
          <w:b/>
          <w:sz w:val="28"/>
          <w:szCs w:val="28"/>
        </w:rPr>
        <w:t xml:space="preserve">甲 </w:t>
      </w:r>
      <w:r>
        <w:rPr>
          <w:rFonts w:ascii="楷体_GB2312" w:hAnsi="宋体" w:eastAsia="楷体_GB2312"/>
          <w:b/>
          <w:sz w:val="28"/>
          <w:szCs w:val="28"/>
        </w:rPr>
        <w:t xml:space="preserve">   </w:t>
      </w:r>
      <w:r>
        <w:rPr>
          <w:rFonts w:hint="eastAsia" w:ascii="楷体_GB2312" w:hAnsi="宋体" w:eastAsia="楷体_GB2312"/>
          <w:b/>
          <w:sz w:val="28"/>
          <w:szCs w:val="28"/>
        </w:rPr>
        <w:t>方</w:t>
      </w:r>
      <w:r>
        <w:rPr>
          <w:rFonts w:hint="eastAsia" w:ascii="楷体_GB2312" w:hAnsi="宋体" w:eastAsia="楷体_GB2312"/>
          <w:sz w:val="28"/>
          <w:szCs w:val="28"/>
        </w:rPr>
        <w:t>:</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中粮屯河昌吉番茄制品有限公司</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p>
    <w:p>
      <w:pPr>
        <w:ind w:left="840" w:leftChars="400"/>
        <w:rPr>
          <w:rFonts w:ascii="楷体_GB2312" w:hAnsi="宋体" w:eastAsia="楷体_GB2312"/>
          <w:sz w:val="28"/>
          <w:szCs w:val="28"/>
        </w:rPr>
      </w:pPr>
    </w:p>
    <w:p>
      <w:pPr>
        <w:ind w:left="840" w:leftChars="400"/>
        <w:rPr>
          <w:rFonts w:ascii="楷体_GB2312" w:hAnsi="宋体" w:eastAsia="楷体_GB2312"/>
          <w:sz w:val="28"/>
          <w:szCs w:val="28"/>
          <w:u w:val="single"/>
        </w:rPr>
      </w:pPr>
      <w:r>
        <w:rPr>
          <w:rFonts w:hint="eastAsia" w:ascii="楷体_GB2312" w:hAnsi="宋体" w:eastAsia="楷体_GB2312"/>
          <w:b/>
          <w:sz w:val="28"/>
          <w:szCs w:val="28"/>
        </w:rPr>
        <w:t xml:space="preserve">乙 </w:t>
      </w:r>
      <w:r>
        <w:rPr>
          <w:rFonts w:ascii="楷体_GB2312" w:hAnsi="宋体" w:eastAsia="楷体_GB2312"/>
          <w:b/>
          <w:sz w:val="28"/>
          <w:szCs w:val="28"/>
        </w:rPr>
        <w:t xml:space="preserve">   </w:t>
      </w:r>
      <w:r>
        <w:rPr>
          <w:rFonts w:hint="eastAsia" w:ascii="楷体_GB2312" w:hAnsi="宋体" w:eastAsia="楷体_GB2312"/>
          <w:b/>
          <w:sz w:val="28"/>
          <w:szCs w:val="28"/>
        </w:rPr>
        <w:t>方</w:t>
      </w:r>
      <w:r>
        <w:rPr>
          <w:rFonts w:hint="eastAsia" w:ascii="楷体_GB2312" w:hAnsi="宋体" w:eastAsia="楷体_GB2312"/>
          <w:sz w:val="28"/>
          <w:szCs w:val="28"/>
        </w:rPr>
        <w:t>：</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p>
    <w:p>
      <w:pPr>
        <w:ind w:left="840" w:leftChars="400"/>
        <w:rPr>
          <w:rFonts w:ascii="楷体_GB2312" w:hAnsi="宋体" w:eastAsia="楷体_GB2312"/>
          <w:sz w:val="28"/>
          <w:szCs w:val="28"/>
        </w:rPr>
      </w:pPr>
    </w:p>
    <w:p>
      <w:pPr>
        <w:ind w:left="840" w:leftChars="400"/>
        <w:rPr>
          <w:rFonts w:ascii="楷体_GB2312" w:hAnsi="宋体" w:eastAsia="楷体_GB2312"/>
          <w:sz w:val="28"/>
          <w:szCs w:val="28"/>
          <w:u w:val="single"/>
        </w:rPr>
      </w:pPr>
      <w:r>
        <w:rPr>
          <w:rFonts w:hint="eastAsia" w:ascii="楷体_GB2312" w:hAnsi="宋体" w:eastAsia="楷体_GB2312"/>
          <w:b/>
          <w:sz w:val="28"/>
          <w:szCs w:val="28"/>
        </w:rPr>
        <w:t>签订日期</w:t>
      </w:r>
      <w:r>
        <w:rPr>
          <w:rFonts w:hint="eastAsia" w:ascii="楷体_GB2312" w:hAnsi="宋体" w:eastAsia="楷体_GB2312"/>
          <w:sz w:val="28"/>
          <w:szCs w:val="28"/>
        </w:rPr>
        <w:t>：</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spacing w:line="360" w:lineRule="auto"/>
        <w:jc w:val="left"/>
        <w:rPr>
          <w:rFonts w:ascii="楷体_GB2312" w:hAnsi="宋体" w:eastAsia="楷体_GB2312"/>
          <w:sz w:val="28"/>
          <w:szCs w:val="20"/>
        </w:rPr>
      </w:pPr>
      <w:r>
        <w:rPr>
          <w:rFonts w:hint="eastAsia" w:ascii="楷体_GB2312" w:hAnsi="宋体" w:eastAsia="楷体_GB2312"/>
          <w:sz w:val="28"/>
          <w:szCs w:val="20"/>
        </w:rPr>
        <w:t xml:space="preserve">甲 </w:t>
      </w:r>
      <w:r>
        <w:rPr>
          <w:rFonts w:ascii="楷体_GB2312" w:hAnsi="宋体" w:eastAsia="楷体_GB2312"/>
          <w:sz w:val="28"/>
          <w:szCs w:val="20"/>
        </w:rPr>
        <w:t xml:space="preserve">    </w:t>
      </w:r>
      <w:r>
        <w:rPr>
          <w:rFonts w:hint="eastAsia" w:ascii="楷体_GB2312" w:hAnsi="宋体" w:eastAsia="楷体_GB2312"/>
          <w:sz w:val="28"/>
          <w:szCs w:val="20"/>
        </w:rPr>
        <w:t>方：</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0"/>
          <w:u w:val="single"/>
        </w:rPr>
        <w:t xml:space="preserve"> </w:t>
      </w:r>
    </w:p>
    <w:p>
      <w:pPr>
        <w:spacing w:line="360" w:lineRule="auto"/>
        <w:rPr>
          <w:rFonts w:ascii="楷体_GB2312" w:hAnsi="宋体" w:eastAsia="楷体_GB2312"/>
          <w:sz w:val="28"/>
        </w:rPr>
      </w:pPr>
      <w:r>
        <w:rPr>
          <w:rFonts w:hint="eastAsia" w:ascii="楷体_GB2312" w:hAnsi="宋体" w:eastAsia="楷体_GB2312"/>
          <w:sz w:val="28"/>
        </w:rPr>
        <w:t xml:space="preserve">乙 </w:t>
      </w:r>
      <w:r>
        <w:rPr>
          <w:rFonts w:ascii="楷体_GB2312" w:hAnsi="宋体" w:eastAsia="楷体_GB2312"/>
          <w:sz w:val="28"/>
        </w:rPr>
        <w:t xml:space="preserve">  </w:t>
      </w:r>
      <w:r>
        <w:rPr>
          <w:rFonts w:hint="eastAsia" w:ascii="楷体_GB2312" w:hAnsi="宋体" w:eastAsia="楷体_GB2312"/>
          <w:sz w:val="28"/>
        </w:rPr>
        <w:t xml:space="preserve"> </w:t>
      </w:r>
      <w:r>
        <w:rPr>
          <w:rFonts w:ascii="楷体_GB2312" w:hAnsi="宋体" w:eastAsia="楷体_GB2312"/>
          <w:sz w:val="28"/>
        </w:rPr>
        <w:t xml:space="preserve"> </w:t>
      </w:r>
      <w:r>
        <w:rPr>
          <w:rFonts w:hint="eastAsia" w:ascii="楷体_GB2312" w:hAnsi="宋体" w:eastAsia="楷体_GB2312"/>
          <w:sz w:val="28"/>
        </w:rPr>
        <w:t>方：</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p>
    <w:p>
      <w:pPr>
        <w:spacing w:line="360" w:lineRule="auto"/>
        <w:rPr>
          <w:rFonts w:ascii="楷体_GB2312" w:hAnsi="宋体" w:eastAsia="楷体_GB2312"/>
          <w:sz w:val="28"/>
          <w:u w:val="single"/>
        </w:rPr>
      </w:pPr>
      <w:r>
        <w:rPr>
          <w:rFonts w:hint="eastAsia" w:ascii="楷体_GB2312" w:hAnsi="宋体" w:eastAsia="楷体_GB2312"/>
          <w:sz w:val="28"/>
        </w:rPr>
        <w:t>合同签订地：</w:t>
      </w:r>
      <w:r>
        <w:rPr>
          <w:rFonts w:hint="eastAsia" w:ascii="楷体_GB2312" w:hAnsi="宋体" w:eastAsia="楷体_GB2312"/>
          <w:sz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p>
    <w:p>
      <w:pPr>
        <w:spacing w:line="360" w:lineRule="auto"/>
        <w:ind w:firstLine="560" w:firstLineChars="200"/>
        <w:rPr>
          <w:rFonts w:ascii="楷体_GB2312" w:hAnsi="宋体" w:eastAsia="楷体_GB2312"/>
          <w:kern w:val="10"/>
          <w:sz w:val="28"/>
          <w:szCs w:val="28"/>
        </w:rPr>
      </w:pPr>
      <w:r>
        <w:rPr>
          <w:rFonts w:hint="eastAsia" w:ascii="楷体_GB2312" w:hAnsi="宋体" w:eastAsia="楷体_GB2312"/>
          <w:sz w:val="28"/>
        </w:rPr>
        <w:t>经甲、乙双方充分协商，为进一步明确各自的责任，加强互相配合协作，按照《民法典》、《中华人民共和国建筑法》、《中华人民共和国环境</w:t>
      </w:r>
      <w:r>
        <w:rPr>
          <w:rFonts w:hint="eastAsia" w:ascii="楷体_GB2312" w:hAnsi="宋体" w:eastAsia="楷体_GB2312"/>
          <w:sz w:val="28"/>
          <w:szCs w:val="28"/>
        </w:rPr>
        <w:t>保护法》及其它有关法律、行政法规，</w:t>
      </w:r>
      <w:r>
        <w:rPr>
          <w:rFonts w:hint="eastAsia" w:ascii="楷体_GB2312" w:hAnsi="宋体" w:eastAsia="楷体_GB2312"/>
          <w:kern w:val="10"/>
          <w:sz w:val="28"/>
          <w:szCs w:val="28"/>
        </w:rPr>
        <w:t>双方就本项目建设事项协商一致，订立本合同。</w:t>
      </w:r>
    </w:p>
    <w:p>
      <w:pPr>
        <w:spacing w:line="360" w:lineRule="auto"/>
        <w:rPr>
          <w:rFonts w:ascii="楷体_GB2312" w:hAnsi="宋体" w:eastAsia="楷体_GB2312"/>
          <w:b/>
          <w:sz w:val="30"/>
        </w:rPr>
      </w:pPr>
      <w:r>
        <w:rPr>
          <w:rFonts w:hint="eastAsia" w:ascii="楷体_GB2312" w:hAnsi="宋体" w:eastAsia="楷体_GB2312"/>
          <w:b/>
          <w:sz w:val="30"/>
        </w:rPr>
        <w:t>第一章 项目概况</w:t>
      </w:r>
    </w:p>
    <w:p>
      <w:pPr>
        <w:numPr>
          <w:ilvl w:val="0"/>
          <w:numId w:val="6"/>
        </w:numPr>
        <w:rPr>
          <w:rFonts w:ascii="楷体_GB2312" w:hAnsi="宋体" w:eastAsia="楷体_GB2312"/>
          <w:sz w:val="28"/>
          <w:u w:val="single"/>
        </w:rPr>
      </w:pPr>
      <w:r>
        <w:rPr>
          <w:rFonts w:hint="eastAsia" w:ascii="楷体_GB2312" w:hAnsi="宋体" w:eastAsia="楷体_GB2312"/>
          <w:sz w:val="28"/>
        </w:rPr>
        <w:t>项目名称：</w:t>
      </w:r>
      <w:r>
        <w:rPr>
          <w:rFonts w:hint="eastAsia" w:ascii="楷体_GB2312" w:hAnsi="宋体" w:eastAsia="楷体_GB2312"/>
          <w:sz w:val="28"/>
          <w:u w:val="single"/>
        </w:rPr>
        <w:t xml:space="preserve"> </w:t>
      </w:r>
      <w:r>
        <w:rPr>
          <w:rFonts w:ascii="楷体_GB2312" w:hAnsi="宋体" w:eastAsia="楷体_GB2312"/>
          <w:sz w:val="28"/>
          <w:u w:val="single"/>
        </w:rPr>
        <w:t xml:space="preserve">    </w:t>
      </w:r>
      <w:r>
        <w:rPr>
          <w:rFonts w:hint="eastAsia" w:ascii="楷体_GB2312" w:hAnsi="宋体" w:eastAsia="楷体_GB2312"/>
          <w:sz w:val="28"/>
          <w:szCs w:val="28"/>
          <w:u w:val="single"/>
        </w:rPr>
        <w:t xml:space="preserve">第三代厌氧反应器及配套设备采购 </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ascii="楷体_GB2312" w:hAnsi="宋体" w:eastAsia="楷体_GB2312"/>
          <w:sz w:val="28"/>
          <w:szCs w:val="28"/>
          <w:u w:val="single"/>
        </w:rPr>
        <w:t xml:space="preserve">   </w:t>
      </w:r>
    </w:p>
    <w:p>
      <w:pPr>
        <w:numPr>
          <w:ilvl w:val="0"/>
          <w:numId w:val="6"/>
        </w:numPr>
        <w:rPr>
          <w:rFonts w:ascii="楷体_GB2312" w:hAnsi="宋体" w:eastAsia="楷体_GB2312"/>
          <w:sz w:val="28"/>
        </w:rPr>
      </w:pPr>
      <w:r>
        <w:rPr>
          <w:rFonts w:hint="eastAsia" w:ascii="楷体_GB2312" w:hAnsi="宋体" w:eastAsia="楷体_GB2312"/>
          <w:sz w:val="28"/>
        </w:rPr>
        <w:t>项目地点：</w:t>
      </w:r>
      <w:r>
        <w:rPr>
          <w:rFonts w:hint="eastAsia" w:ascii="楷体_GB2312" w:hAnsi="宋体" w:eastAsia="楷体_GB2312"/>
          <w:sz w:val="28"/>
          <w:u w:val="single"/>
        </w:rPr>
        <w:t xml:space="preserve"> </w:t>
      </w:r>
      <w:r>
        <w:rPr>
          <w:rFonts w:ascii="楷体_GB2312" w:hAnsi="宋体" w:eastAsia="楷体_GB2312"/>
          <w:sz w:val="28"/>
          <w:u w:val="single"/>
        </w:rPr>
        <w:t xml:space="preserve"> </w:t>
      </w:r>
      <w:r>
        <w:rPr>
          <w:rFonts w:hint="eastAsia" w:ascii="楷体_GB2312" w:hAnsi="宋体" w:eastAsia="楷体_GB2312"/>
          <w:sz w:val="28"/>
          <w:szCs w:val="28"/>
          <w:u w:val="single"/>
        </w:rPr>
        <w:t xml:space="preserve">中粮糖业控股股份有限公司昌吉糖业分公司院内 </w:t>
      </w:r>
      <w:r>
        <w:rPr>
          <w:rFonts w:ascii="楷体_GB2312" w:hAnsi="宋体" w:eastAsia="楷体_GB2312"/>
          <w:sz w:val="28"/>
          <w:szCs w:val="28"/>
          <w:u w:val="single"/>
        </w:rPr>
        <w:t xml:space="preserve">    </w:t>
      </w:r>
      <w:r>
        <w:rPr>
          <w:rFonts w:hint="eastAsia" w:ascii="楷体_GB2312" w:hAnsi="宋体" w:eastAsia="楷体_GB2312"/>
          <w:sz w:val="28"/>
          <w:szCs w:val="28"/>
        </w:rPr>
        <w:t xml:space="preserve"> </w:t>
      </w:r>
    </w:p>
    <w:p>
      <w:pPr>
        <w:numPr>
          <w:ilvl w:val="0"/>
          <w:numId w:val="6"/>
        </w:numPr>
        <w:rPr>
          <w:rFonts w:ascii="楷体_GB2312" w:hAnsi="宋体" w:eastAsia="楷体_GB2312"/>
          <w:sz w:val="28"/>
        </w:rPr>
      </w:pPr>
      <w:r>
        <w:rPr>
          <w:rFonts w:hint="eastAsia" w:ascii="楷体_GB2312" w:hAnsi="宋体" w:eastAsia="楷体_GB2312"/>
          <w:sz w:val="28"/>
          <w:u w:val="single"/>
        </w:rPr>
        <w:t>项目设计规模：</w:t>
      </w:r>
      <w:r>
        <w:rPr>
          <w:rFonts w:hint="eastAsia" w:ascii="楷体_GB2312" w:hAnsi="宋体" w:eastAsia="楷体_GB2312"/>
          <w:sz w:val="28"/>
        </w:rPr>
        <w:t>本项目水量共4000m</w:t>
      </w:r>
      <w:r>
        <w:rPr>
          <w:rFonts w:hint="eastAsia" w:ascii="楷体_GB2312" w:hAnsi="宋体" w:eastAsia="楷体_GB2312"/>
          <w:sz w:val="28"/>
          <w:vertAlign w:val="superscript"/>
        </w:rPr>
        <w:t>3</w:t>
      </w:r>
      <w:r>
        <w:rPr>
          <w:rFonts w:hint="eastAsia" w:ascii="楷体_GB2312" w:hAnsi="宋体" w:eastAsia="楷体_GB2312"/>
          <w:sz w:val="28"/>
        </w:rPr>
        <w:t>/d，运行时间每天按24h运行，建设内容为乙方现场制作安装一套厌氧反应器及其配套设备，其中设备基础由乙方设计甲方施工。</w:t>
      </w:r>
    </w:p>
    <w:p>
      <w:pPr>
        <w:spacing w:line="360" w:lineRule="auto"/>
        <w:rPr>
          <w:rFonts w:ascii="楷体_GB2312" w:hAnsi="宋体" w:eastAsia="楷体_GB2312"/>
          <w:b/>
          <w:sz w:val="30"/>
        </w:rPr>
      </w:pPr>
      <w:r>
        <w:rPr>
          <w:rFonts w:hint="eastAsia" w:ascii="楷体_GB2312" w:hAnsi="宋体" w:eastAsia="楷体_GB2312"/>
          <w:b/>
          <w:sz w:val="30"/>
        </w:rPr>
        <w:t>第二章 双方责任范围</w:t>
      </w:r>
    </w:p>
    <w:p>
      <w:pPr>
        <w:numPr>
          <w:ilvl w:val="0"/>
          <w:numId w:val="7"/>
        </w:numPr>
        <w:rPr>
          <w:rFonts w:ascii="楷体_GB2312" w:hAnsi="宋体" w:eastAsia="楷体_GB2312"/>
          <w:sz w:val="28"/>
        </w:rPr>
      </w:pPr>
      <w:r>
        <w:rPr>
          <w:rFonts w:hint="eastAsia" w:ascii="楷体_GB2312" w:hAnsi="宋体" w:eastAsia="楷体_GB2312"/>
          <w:sz w:val="28"/>
        </w:rPr>
        <w:t>根据甲方提供的资料，乙方依据</w:t>
      </w:r>
      <w:r>
        <w:rPr>
          <w:rFonts w:ascii="楷体_GB2312" w:hAnsi="宋体" w:eastAsia="楷体_GB2312"/>
          <w:sz w:val="28"/>
        </w:rPr>
        <w:t>HJ 2023-2012</w:t>
      </w:r>
      <w:r>
        <w:rPr>
          <w:rFonts w:hint="eastAsia" w:ascii="楷体_GB2312" w:hAnsi="宋体" w:eastAsia="楷体_GB2312"/>
          <w:sz w:val="28"/>
        </w:rPr>
        <w:t>《厌氧颗粒污泥膨胀床反应器废水处理工程技术规范》对本项目的厌氧反应器进行设计、采购、施工总承包，包括厌氧反应器底部的基础设计图、厌氧反应器的设计图（工艺、电气、自控）设计、运输及安装、调试技术服务、人员培训、售后服务等工程项目。</w:t>
      </w:r>
    </w:p>
    <w:p>
      <w:pPr>
        <w:numPr>
          <w:ilvl w:val="0"/>
          <w:numId w:val="7"/>
        </w:numPr>
        <w:spacing w:line="360" w:lineRule="auto"/>
        <w:rPr>
          <w:rFonts w:ascii="楷体_GB2312" w:hAnsi="宋体" w:eastAsia="楷体_GB2312"/>
          <w:sz w:val="28"/>
        </w:rPr>
      </w:pPr>
      <w:r>
        <w:rPr>
          <w:rFonts w:hint="eastAsia" w:ascii="楷体_GB2312" w:hAnsi="宋体" w:eastAsia="楷体_GB2312"/>
          <w:sz w:val="28"/>
        </w:rPr>
        <w:t>责任范围</w:t>
      </w:r>
      <w:r>
        <w:rPr>
          <w:rFonts w:ascii="楷体_GB2312" w:hAnsi="宋体" w:eastAsia="楷体_GB2312"/>
          <w:sz w:val="28"/>
        </w:rPr>
        <w:t>划分</w:t>
      </w:r>
    </w:p>
    <w:p>
      <w:pPr>
        <w:numPr>
          <w:ilvl w:val="0"/>
          <w:numId w:val="8"/>
        </w:numPr>
        <w:spacing w:after="120"/>
        <w:rPr>
          <w:rFonts w:ascii="楷体_GB2312" w:hAnsi="宋体" w:eastAsia="楷体_GB2312"/>
          <w:sz w:val="28"/>
        </w:rPr>
      </w:pPr>
      <w:r>
        <w:rPr>
          <w:rFonts w:ascii="楷体_GB2312" w:hAnsi="宋体" w:eastAsia="楷体_GB2312"/>
          <w:sz w:val="28"/>
        </w:rPr>
        <w:t>乙方负责厌氧反应器主体及其保温、</w:t>
      </w:r>
      <w:r>
        <w:rPr>
          <w:rFonts w:hint="eastAsia" w:ascii="楷体_GB2312" w:hAnsi="宋体" w:eastAsia="楷体_GB2312"/>
          <w:sz w:val="28"/>
        </w:rPr>
        <w:t>布水装置</w:t>
      </w:r>
      <w:r>
        <w:rPr>
          <w:rFonts w:ascii="楷体_GB2312" w:hAnsi="宋体" w:eastAsia="楷体_GB2312"/>
          <w:sz w:val="28"/>
        </w:rPr>
        <w:t>、三相分离器、三相分离器支架、出水</w:t>
      </w:r>
      <w:r>
        <w:rPr>
          <w:rFonts w:hint="eastAsia" w:ascii="楷体_GB2312" w:hAnsi="宋体" w:eastAsia="楷体_GB2312"/>
          <w:sz w:val="28"/>
        </w:rPr>
        <w:t>装置</w:t>
      </w:r>
      <w:r>
        <w:rPr>
          <w:rFonts w:ascii="楷体_GB2312" w:hAnsi="宋体" w:eastAsia="楷体_GB2312"/>
          <w:sz w:val="28"/>
        </w:rPr>
        <w:t>、水封罐</w:t>
      </w:r>
      <w:r>
        <w:rPr>
          <w:rFonts w:hint="eastAsia" w:ascii="楷体_GB2312" w:hAnsi="宋体" w:eastAsia="楷体_GB2312"/>
          <w:sz w:val="28"/>
        </w:rPr>
        <w:t>、排泥装置</w:t>
      </w:r>
      <w:r>
        <w:rPr>
          <w:rFonts w:ascii="楷体_GB2312" w:hAnsi="宋体" w:eastAsia="楷体_GB2312"/>
          <w:sz w:val="28"/>
        </w:rPr>
        <w:t>的供货。供货范围包含支架及固定件。</w:t>
      </w:r>
    </w:p>
    <w:p>
      <w:pPr>
        <w:numPr>
          <w:ilvl w:val="0"/>
          <w:numId w:val="8"/>
        </w:numPr>
        <w:rPr>
          <w:rFonts w:ascii="楷体_GB2312" w:hAnsi="宋体" w:eastAsia="楷体_GB2312"/>
          <w:sz w:val="28"/>
        </w:rPr>
      </w:pPr>
      <w:r>
        <w:rPr>
          <w:rFonts w:ascii="楷体_GB2312" w:hAnsi="宋体" w:eastAsia="楷体_GB2312"/>
          <w:sz w:val="28"/>
        </w:rPr>
        <w:t>甲方提供管路至厌氧反应器</w:t>
      </w:r>
      <w:r>
        <w:rPr>
          <w:rFonts w:hint="eastAsia" w:ascii="楷体_GB2312" w:hAnsi="宋体" w:eastAsia="楷体_GB2312"/>
          <w:sz w:val="28"/>
        </w:rPr>
        <w:t>布水装置</w:t>
      </w:r>
      <w:r>
        <w:rPr>
          <w:rFonts w:ascii="楷体_GB2312" w:hAnsi="宋体" w:eastAsia="楷体_GB2312"/>
          <w:sz w:val="28"/>
        </w:rPr>
        <w:t>外1米，预留接口，之后管路归乙方负责，乙方负责自</w:t>
      </w:r>
      <w:r>
        <w:rPr>
          <w:rFonts w:hint="eastAsia" w:ascii="楷体_GB2312" w:hAnsi="宋体" w:eastAsia="楷体_GB2312"/>
          <w:sz w:val="28"/>
        </w:rPr>
        <w:t>布水装置</w:t>
      </w:r>
      <w:r>
        <w:rPr>
          <w:rFonts w:ascii="楷体_GB2312" w:hAnsi="宋体" w:eastAsia="楷体_GB2312"/>
          <w:sz w:val="28"/>
        </w:rPr>
        <w:t>外1米起至池内布水系统末端管路，管路材质为碳钢。</w:t>
      </w:r>
    </w:p>
    <w:p>
      <w:pPr>
        <w:numPr>
          <w:ilvl w:val="0"/>
          <w:numId w:val="8"/>
        </w:numPr>
        <w:rPr>
          <w:rFonts w:ascii="楷体_GB2312" w:hAnsi="宋体" w:eastAsia="楷体_GB2312"/>
          <w:sz w:val="28"/>
        </w:rPr>
      </w:pPr>
      <w:r>
        <w:rPr>
          <w:rFonts w:hint="eastAsia" w:ascii="楷体_GB2312" w:hAnsi="宋体" w:eastAsia="楷体_GB2312"/>
          <w:sz w:val="28"/>
        </w:rPr>
        <w:t>排泥装置</w:t>
      </w:r>
      <w:r>
        <w:rPr>
          <w:rFonts w:ascii="楷体_GB2312" w:hAnsi="宋体" w:eastAsia="楷体_GB2312"/>
          <w:sz w:val="28"/>
        </w:rPr>
        <w:t>，甲方提供管路至厌氧反应器外1米，预留接口，之后管路归乙方负责，管路材质为碳钢。</w:t>
      </w:r>
    </w:p>
    <w:p>
      <w:pPr>
        <w:numPr>
          <w:ilvl w:val="0"/>
          <w:numId w:val="8"/>
        </w:numPr>
        <w:rPr>
          <w:rFonts w:ascii="楷体_GB2312" w:hAnsi="宋体" w:eastAsia="楷体_GB2312"/>
          <w:sz w:val="28"/>
        </w:rPr>
      </w:pPr>
      <w:r>
        <w:rPr>
          <w:rFonts w:hint="eastAsia" w:ascii="楷体_GB2312" w:hAnsi="宋体" w:eastAsia="楷体_GB2312"/>
          <w:sz w:val="28"/>
        </w:rPr>
        <w:t>双方工程责任范围明细</w:t>
      </w:r>
    </w:p>
    <w:tbl>
      <w:tblPr>
        <w:tblStyle w:val="21"/>
        <w:tblW w:w="94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34"/>
        <w:gridCol w:w="4282"/>
        <w:gridCol w:w="806"/>
        <w:gridCol w:w="807"/>
        <w:gridCol w:w="25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7" w:hRule="atLeast"/>
          <w:tblHeader/>
          <w:jc w:val="center"/>
        </w:trPr>
        <w:tc>
          <w:tcPr>
            <w:tcW w:w="934"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序号</w:t>
            </w:r>
          </w:p>
        </w:tc>
        <w:tc>
          <w:tcPr>
            <w:tcW w:w="4282" w:type="dxa"/>
            <w:tcBorders>
              <w:tl2br w:val="nil"/>
              <w:tr2bl w:val="nil"/>
            </w:tcBorders>
            <w:vAlign w:val="center"/>
          </w:tcPr>
          <w:p>
            <w:pPr>
              <w:ind w:firstLine="420"/>
              <w:jc w:val="center"/>
              <w:rPr>
                <w:rFonts w:ascii="仿宋" w:hAnsi="仿宋" w:eastAsia="仿宋" w:cs="宋体"/>
                <w:sz w:val="24"/>
              </w:rPr>
            </w:pPr>
            <w:r>
              <w:rPr>
                <w:rFonts w:hint="eastAsia" w:ascii="仿宋" w:hAnsi="仿宋" w:eastAsia="仿宋" w:cs="宋体"/>
                <w:sz w:val="24"/>
              </w:rPr>
              <w:t>内    容</w:t>
            </w:r>
          </w:p>
        </w:tc>
        <w:tc>
          <w:tcPr>
            <w:tcW w:w="806"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甲方</w:t>
            </w:r>
          </w:p>
        </w:tc>
        <w:tc>
          <w:tcPr>
            <w:tcW w:w="807"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乙方</w:t>
            </w:r>
          </w:p>
        </w:tc>
        <w:tc>
          <w:tcPr>
            <w:tcW w:w="2590" w:type="dxa"/>
            <w:tcBorders>
              <w:tl2br w:val="nil"/>
              <w:tr2bl w:val="nil"/>
            </w:tcBorders>
            <w:vAlign w:val="center"/>
          </w:tcPr>
          <w:p>
            <w:pPr>
              <w:ind w:firstLine="420"/>
              <w:jc w:val="center"/>
              <w:rPr>
                <w:rFonts w:ascii="仿宋" w:hAnsi="仿宋" w:eastAsia="仿宋" w:cs="宋体"/>
                <w:sz w:val="24"/>
              </w:rPr>
            </w:pPr>
            <w:r>
              <w:rPr>
                <w:rFonts w:hint="eastAsia" w:ascii="仿宋" w:hAnsi="仿宋" w:eastAsia="仿宋" w:cs="宋体"/>
                <w:sz w:val="24"/>
              </w:rPr>
              <w:t>备  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88" w:hRule="atLeast"/>
          <w:jc w:val="center"/>
        </w:trPr>
        <w:tc>
          <w:tcPr>
            <w:tcW w:w="934"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（一）</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临时措施</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ind w:firstLine="420"/>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240" w:firstLineChars="100"/>
              <w:jc w:val="center"/>
              <w:rPr>
                <w:rFonts w:ascii="仿宋" w:hAnsi="仿宋" w:eastAsia="仿宋" w:cs="宋体"/>
                <w:sz w:val="24"/>
              </w:rPr>
            </w:pPr>
            <w:r>
              <w:rPr>
                <w:rFonts w:hint="eastAsia" w:ascii="仿宋" w:hAnsi="仿宋" w:eastAsia="仿宋" w:cs="宋体"/>
                <w:sz w:val="24"/>
              </w:rPr>
              <w:t>1</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临时水、电接口接入罐体界区1.0m处</w:t>
            </w:r>
          </w:p>
        </w:tc>
        <w:tc>
          <w:tcPr>
            <w:tcW w:w="806"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甲方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199" w:firstLineChars="83"/>
              <w:jc w:val="center"/>
              <w:rPr>
                <w:rFonts w:ascii="仿宋" w:hAnsi="仿宋" w:eastAsia="仿宋" w:cs="宋体"/>
                <w:sz w:val="24"/>
              </w:rPr>
            </w:pPr>
            <w:r>
              <w:rPr>
                <w:rFonts w:hint="eastAsia" w:ascii="仿宋" w:hAnsi="仿宋" w:eastAsia="仿宋" w:cs="宋体"/>
                <w:sz w:val="24"/>
              </w:rPr>
              <w:t>2</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施工安全措施</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乙方（除土建）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199" w:firstLineChars="83"/>
              <w:jc w:val="center"/>
              <w:rPr>
                <w:rFonts w:ascii="仿宋" w:hAnsi="仿宋" w:eastAsia="仿宋" w:cs="宋体"/>
                <w:sz w:val="24"/>
              </w:rPr>
            </w:pPr>
            <w:r>
              <w:rPr>
                <w:rFonts w:hint="eastAsia" w:ascii="仿宋" w:hAnsi="仿宋" w:eastAsia="仿宋" w:cs="宋体"/>
                <w:sz w:val="24"/>
              </w:rPr>
              <w:t>3</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施工安全及场地清洁</w:t>
            </w:r>
          </w:p>
        </w:tc>
        <w:tc>
          <w:tcPr>
            <w:tcW w:w="806"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（二）</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土建工程</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ind w:firstLine="420"/>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199" w:firstLineChars="83"/>
              <w:jc w:val="center"/>
              <w:rPr>
                <w:rFonts w:ascii="仿宋" w:hAnsi="仿宋" w:eastAsia="仿宋" w:cs="宋体"/>
                <w:sz w:val="24"/>
              </w:rPr>
            </w:pPr>
            <w:r>
              <w:rPr>
                <w:rFonts w:hint="eastAsia" w:ascii="仿宋" w:hAnsi="仿宋" w:eastAsia="仿宋" w:cs="宋体"/>
                <w:sz w:val="24"/>
              </w:rPr>
              <w:t>1</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罐体及设备基础、管架基础施工工程等</w:t>
            </w:r>
          </w:p>
        </w:tc>
        <w:tc>
          <w:tcPr>
            <w:tcW w:w="806"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甲方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199" w:firstLineChars="83"/>
              <w:jc w:val="center"/>
              <w:rPr>
                <w:rFonts w:ascii="仿宋" w:hAnsi="仿宋" w:eastAsia="仿宋" w:cs="宋体"/>
                <w:sz w:val="24"/>
              </w:rPr>
            </w:pPr>
            <w:r>
              <w:rPr>
                <w:rFonts w:hint="eastAsia" w:ascii="仿宋" w:hAnsi="仿宋" w:eastAsia="仿宋" w:cs="宋体"/>
                <w:sz w:val="24"/>
              </w:rPr>
              <w:t>2</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预埋件</w:t>
            </w:r>
          </w:p>
        </w:tc>
        <w:tc>
          <w:tcPr>
            <w:tcW w:w="806"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甲方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199" w:firstLineChars="83"/>
              <w:jc w:val="center"/>
              <w:rPr>
                <w:rFonts w:ascii="仿宋" w:hAnsi="仿宋" w:eastAsia="仿宋" w:cs="宋体"/>
                <w:sz w:val="24"/>
              </w:rPr>
            </w:pPr>
            <w:r>
              <w:rPr>
                <w:rFonts w:hint="eastAsia" w:ascii="仿宋" w:hAnsi="仿宋" w:eastAsia="仿宋" w:cs="宋体"/>
                <w:sz w:val="24"/>
              </w:rPr>
              <w:t>3</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管道沟开挖与修复</w:t>
            </w:r>
          </w:p>
        </w:tc>
        <w:tc>
          <w:tcPr>
            <w:tcW w:w="806"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甲方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（三）</w:t>
            </w:r>
          </w:p>
        </w:tc>
        <w:tc>
          <w:tcPr>
            <w:tcW w:w="4282"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机械工程</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ind w:firstLine="420"/>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199" w:firstLineChars="83"/>
              <w:jc w:val="center"/>
              <w:rPr>
                <w:rFonts w:ascii="仿宋" w:hAnsi="仿宋" w:eastAsia="仿宋" w:cs="宋体"/>
                <w:sz w:val="24"/>
              </w:rPr>
            </w:pPr>
            <w:r>
              <w:rPr>
                <w:rFonts w:hint="eastAsia" w:ascii="仿宋" w:hAnsi="仿宋" w:eastAsia="仿宋" w:cs="宋体"/>
                <w:sz w:val="24"/>
              </w:rPr>
              <w:t>1</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厌氧反应器配套设备清单（具体详见附件清单）</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乙方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199" w:firstLineChars="83"/>
              <w:jc w:val="center"/>
              <w:rPr>
                <w:rFonts w:ascii="仿宋" w:hAnsi="仿宋" w:eastAsia="仿宋" w:cs="宋体"/>
                <w:sz w:val="24"/>
              </w:rPr>
            </w:pPr>
            <w:r>
              <w:rPr>
                <w:rFonts w:hint="eastAsia" w:ascii="仿宋" w:hAnsi="仿宋" w:eastAsia="仿宋" w:cs="宋体"/>
                <w:sz w:val="24"/>
              </w:rPr>
              <w:t>2</w:t>
            </w:r>
          </w:p>
        </w:tc>
        <w:tc>
          <w:tcPr>
            <w:tcW w:w="4282"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设备及材料包装、运输、卸货、就位等</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乙方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199" w:firstLineChars="83"/>
              <w:jc w:val="center"/>
              <w:rPr>
                <w:rFonts w:ascii="仿宋" w:hAnsi="仿宋" w:eastAsia="仿宋" w:cs="宋体"/>
                <w:sz w:val="24"/>
              </w:rPr>
            </w:pPr>
            <w:r>
              <w:rPr>
                <w:rFonts w:hint="eastAsia" w:ascii="仿宋" w:hAnsi="仿宋" w:eastAsia="仿宋" w:cs="宋体"/>
                <w:sz w:val="24"/>
              </w:rPr>
              <w:t>3</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设备及材料制作、安装、防腐、保温施工</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乙方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（四）</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配管工程</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ind w:firstLine="420"/>
              <w:jc w:val="center"/>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420"/>
              <w:rPr>
                <w:rFonts w:ascii="仿宋" w:hAnsi="仿宋" w:eastAsia="仿宋" w:cs="宋体"/>
                <w:sz w:val="24"/>
              </w:rPr>
            </w:pPr>
            <w:r>
              <w:rPr>
                <w:rFonts w:hint="eastAsia" w:ascii="仿宋" w:hAnsi="仿宋" w:eastAsia="仿宋" w:cs="宋体"/>
                <w:sz w:val="24"/>
              </w:rPr>
              <w:t>1</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IC所需配管、配件</w:t>
            </w:r>
          </w:p>
        </w:tc>
        <w:tc>
          <w:tcPr>
            <w:tcW w:w="806"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 xml:space="preserve">  </w:t>
            </w: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乙方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ind w:firstLine="420"/>
              <w:rPr>
                <w:rFonts w:ascii="仿宋" w:hAnsi="仿宋" w:eastAsia="仿宋" w:cs="宋体"/>
                <w:sz w:val="24"/>
              </w:rPr>
            </w:pPr>
            <w:r>
              <w:rPr>
                <w:rFonts w:hint="eastAsia" w:ascii="仿宋" w:hAnsi="仿宋" w:eastAsia="仿宋" w:cs="宋体"/>
                <w:sz w:val="24"/>
              </w:rPr>
              <w:t>2</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厌氧反应器进水管</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240" w:firstLineChars="100"/>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spacing w:after="120"/>
              <w:rPr>
                <w:rFonts w:ascii="仿宋" w:hAnsi="仿宋" w:eastAsia="仿宋"/>
                <w:sz w:val="24"/>
              </w:rPr>
            </w:pPr>
            <w:r>
              <w:rPr>
                <w:rFonts w:hint="eastAsia" w:ascii="仿宋" w:hAnsi="仿宋" w:eastAsia="仿宋"/>
                <w:sz w:val="24"/>
              </w:rPr>
              <w:t>自原2#厌氧罐进水分支管以后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41" w:hRule="atLeast"/>
          <w:jc w:val="center"/>
        </w:trPr>
        <w:tc>
          <w:tcPr>
            <w:tcW w:w="934" w:type="dxa"/>
            <w:tcBorders>
              <w:tl2br w:val="nil"/>
              <w:tr2bl w:val="nil"/>
            </w:tcBorders>
            <w:vAlign w:val="center"/>
          </w:tcPr>
          <w:p>
            <w:pPr>
              <w:ind w:firstLine="420"/>
              <w:rPr>
                <w:rFonts w:ascii="仿宋" w:hAnsi="仿宋" w:eastAsia="仿宋" w:cs="宋体"/>
                <w:sz w:val="24"/>
              </w:rPr>
            </w:pPr>
            <w:r>
              <w:rPr>
                <w:rFonts w:hint="eastAsia" w:ascii="仿宋" w:hAnsi="仿宋" w:eastAsia="仿宋" w:cs="宋体"/>
                <w:sz w:val="24"/>
              </w:rPr>
              <w:t>3</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厌氧反应器排水管</w:t>
            </w:r>
          </w:p>
        </w:tc>
        <w:tc>
          <w:tcPr>
            <w:tcW w:w="806" w:type="dxa"/>
            <w:tcBorders>
              <w:tl2br w:val="nil"/>
              <w:tr2bl w:val="nil"/>
            </w:tcBorders>
            <w:vAlign w:val="center"/>
          </w:tcPr>
          <w:p>
            <w:pPr>
              <w:ind w:firstLine="240" w:firstLineChars="100"/>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kern w:val="0"/>
                <w:sz w:val="24"/>
              </w:rPr>
              <w:t xml:space="preserve"> 接至好氧池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3" w:hRule="atLeast"/>
          <w:jc w:val="center"/>
        </w:trPr>
        <w:tc>
          <w:tcPr>
            <w:tcW w:w="934" w:type="dxa"/>
            <w:tcBorders>
              <w:tl2br w:val="nil"/>
              <w:tr2bl w:val="nil"/>
            </w:tcBorders>
            <w:vAlign w:val="center"/>
          </w:tcPr>
          <w:p>
            <w:pPr>
              <w:ind w:firstLine="420"/>
              <w:rPr>
                <w:rFonts w:ascii="仿宋" w:hAnsi="仿宋" w:eastAsia="仿宋" w:cs="宋体"/>
                <w:sz w:val="24"/>
              </w:rPr>
            </w:pPr>
            <w:r>
              <w:rPr>
                <w:rFonts w:hint="eastAsia" w:ascii="仿宋" w:hAnsi="仿宋" w:eastAsia="仿宋" w:cs="宋体"/>
                <w:sz w:val="24"/>
              </w:rPr>
              <w:t>4</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沼气管道</w:t>
            </w:r>
          </w:p>
        </w:tc>
        <w:tc>
          <w:tcPr>
            <w:tcW w:w="806" w:type="dxa"/>
            <w:tcBorders>
              <w:tl2br w:val="nil"/>
              <w:tr2bl w:val="nil"/>
            </w:tcBorders>
            <w:vAlign w:val="center"/>
          </w:tcPr>
          <w:p>
            <w:pPr>
              <w:ind w:firstLine="240" w:firstLineChars="100"/>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kern w:val="0"/>
                <w:sz w:val="24"/>
              </w:rPr>
            </w:pPr>
            <w:r>
              <w:rPr>
                <w:rFonts w:hint="eastAsia" w:ascii="仿宋" w:hAnsi="仿宋" w:eastAsia="仿宋" w:cs="宋体"/>
                <w:kern w:val="0"/>
                <w:sz w:val="24"/>
              </w:rPr>
              <w:t>接至3#塔气柜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7" w:hRule="atLeast"/>
          <w:jc w:val="center"/>
        </w:trPr>
        <w:tc>
          <w:tcPr>
            <w:tcW w:w="934" w:type="dxa"/>
            <w:tcBorders>
              <w:tl2br w:val="nil"/>
              <w:tr2bl w:val="nil"/>
            </w:tcBorders>
            <w:vAlign w:val="center"/>
          </w:tcPr>
          <w:p>
            <w:pPr>
              <w:ind w:firstLine="420"/>
              <w:rPr>
                <w:rFonts w:ascii="仿宋" w:hAnsi="仿宋" w:eastAsia="仿宋" w:cs="宋体"/>
                <w:sz w:val="24"/>
              </w:rPr>
            </w:pPr>
            <w:r>
              <w:rPr>
                <w:rFonts w:hint="eastAsia" w:ascii="仿宋" w:hAnsi="仿宋" w:eastAsia="仿宋" w:cs="宋体"/>
                <w:sz w:val="24"/>
              </w:rPr>
              <w:t>5</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自来水管道</w:t>
            </w:r>
          </w:p>
        </w:tc>
        <w:tc>
          <w:tcPr>
            <w:tcW w:w="806"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接至水封器处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（五）</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厌氧反应器配套电气系统</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电源在甲方配电室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（六）</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调试及操作培训、竣工资料</w:t>
            </w:r>
          </w:p>
        </w:tc>
        <w:tc>
          <w:tcPr>
            <w:tcW w:w="806" w:type="dxa"/>
            <w:tcBorders>
              <w:tl2br w:val="nil"/>
              <w:tr2bl w:val="nil"/>
            </w:tcBorders>
            <w:vAlign w:val="center"/>
          </w:tcPr>
          <w:p>
            <w:pPr>
              <w:ind w:firstLine="199" w:firstLineChars="83"/>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乙方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（七）</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设计土建施工图</w:t>
            </w:r>
          </w:p>
        </w:tc>
        <w:tc>
          <w:tcPr>
            <w:tcW w:w="806" w:type="dxa"/>
            <w:tcBorders>
              <w:tl2br w:val="nil"/>
              <w:tr2bl w:val="nil"/>
            </w:tcBorders>
            <w:vAlign w:val="center"/>
          </w:tcPr>
          <w:p>
            <w:pPr>
              <w:rPr>
                <w:rFonts w:ascii="仿宋" w:hAnsi="仿宋" w:eastAsia="仿宋" w:cs="宋体"/>
                <w:sz w:val="24"/>
              </w:rPr>
            </w:pPr>
          </w:p>
        </w:tc>
        <w:tc>
          <w:tcPr>
            <w:tcW w:w="807" w:type="dxa"/>
            <w:tcBorders>
              <w:tl2br w:val="nil"/>
              <w:tr2bl w:val="nil"/>
            </w:tcBorders>
            <w:vAlign w:val="center"/>
          </w:tcPr>
          <w:p>
            <w:pPr>
              <w:ind w:firstLine="199" w:firstLineChars="83"/>
              <w:rPr>
                <w:rFonts w:ascii="仿宋" w:hAnsi="仿宋" w:eastAsia="仿宋" w:cs="宋体"/>
                <w:sz w:val="24"/>
              </w:rPr>
            </w:pPr>
            <w:r>
              <w:rPr>
                <w:rFonts w:hint="eastAsia" w:ascii="仿宋" w:hAnsi="仿宋" w:eastAsia="仿宋" w:cs="宋体"/>
                <w:sz w:val="24"/>
              </w:rPr>
              <w:t>√</w:t>
            </w: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乙方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 w:hRule="atLeast"/>
          <w:jc w:val="center"/>
        </w:trPr>
        <w:tc>
          <w:tcPr>
            <w:tcW w:w="934"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（八）</w:t>
            </w:r>
          </w:p>
        </w:tc>
        <w:tc>
          <w:tcPr>
            <w:tcW w:w="4282"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厌氧颗粒菌种购买及投加</w:t>
            </w:r>
          </w:p>
        </w:tc>
        <w:tc>
          <w:tcPr>
            <w:tcW w:w="806"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w:t>
            </w:r>
          </w:p>
        </w:tc>
        <w:tc>
          <w:tcPr>
            <w:tcW w:w="807" w:type="dxa"/>
            <w:tcBorders>
              <w:tl2br w:val="nil"/>
              <w:tr2bl w:val="nil"/>
            </w:tcBorders>
            <w:vAlign w:val="center"/>
          </w:tcPr>
          <w:p>
            <w:pPr>
              <w:ind w:firstLine="199" w:firstLineChars="83"/>
              <w:rPr>
                <w:rFonts w:ascii="仿宋" w:hAnsi="仿宋" w:eastAsia="仿宋" w:cs="宋体"/>
                <w:sz w:val="24"/>
              </w:rPr>
            </w:pPr>
          </w:p>
        </w:tc>
        <w:tc>
          <w:tcPr>
            <w:tcW w:w="2590" w:type="dxa"/>
            <w:tcBorders>
              <w:tl2br w:val="nil"/>
              <w:tr2bl w:val="nil"/>
            </w:tcBorders>
            <w:vAlign w:val="center"/>
          </w:tcPr>
          <w:p>
            <w:pPr>
              <w:rPr>
                <w:rFonts w:ascii="仿宋" w:hAnsi="仿宋" w:eastAsia="仿宋" w:cs="宋体"/>
                <w:sz w:val="24"/>
              </w:rPr>
            </w:pPr>
            <w:r>
              <w:rPr>
                <w:rFonts w:hint="eastAsia" w:ascii="仿宋" w:hAnsi="仿宋" w:eastAsia="仿宋" w:cs="宋体"/>
                <w:sz w:val="24"/>
              </w:rPr>
              <w:t>甲方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74" w:hRule="atLeast"/>
          <w:jc w:val="center"/>
        </w:trPr>
        <w:tc>
          <w:tcPr>
            <w:tcW w:w="9422" w:type="dxa"/>
            <w:gridSpan w:val="5"/>
            <w:tcBorders>
              <w:tl2br w:val="nil"/>
              <w:tr2bl w:val="nil"/>
            </w:tcBorders>
            <w:vAlign w:val="center"/>
          </w:tcPr>
          <w:p>
            <w:pPr>
              <w:ind w:firstLine="420"/>
              <w:jc w:val="center"/>
              <w:rPr>
                <w:rFonts w:ascii="仿宋" w:hAnsi="仿宋" w:eastAsia="仿宋" w:cs="宋体"/>
                <w:sz w:val="24"/>
              </w:rPr>
            </w:pPr>
            <w:r>
              <w:rPr>
                <w:rFonts w:hint="eastAsia" w:ascii="仿宋" w:hAnsi="仿宋" w:eastAsia="仿宋" w:cs="宋体"/>
                <w:sz w:val="24"/>
              </w:rPr>
              <w:t>注：√为责任方</w:t>
            </w:r>
          </w:p>
        </w:tc>
      </w:tr>
    </w:tbl>
    <w:p>
      <w:pPr>
        <w:ind w:left="900"/>
        <w:rPr>
          <w:rFonts w:ascii="楷体_GB2312" w:hAnsi="宋体" w:eastAsia="楷体_GB2312"/>
          <w:sz w:val="28"/>
        </w:rPr>
      </w:pPr>
    </w:p>
    <w:p>
      <w:pPr>
        <w:numPr>
          <w:ilvl w:val="0"/>
          <w:numId w:val="7"/>
        </w:numPr>
        <w:rPr>
          <w:rFonts w:ascii="楷体_GB2312" w:hAnsi="宋体" w:eastAsia="楷体_GB2312"/>
          <w:color w:val="000000" w:themeColor="text1"/>
          <w:sz w:val="28"/>
          <w14:textFill>
            <w14:solidFill>
              <w14:schemeClr w14:val="tx1"/>
            </w14:solidFill>
          </w14:textFill>
        </w:rPr>
      </w:pPr>
      <w:r>
        <w:rPr>
          <w:rFonts w:hint="eastAsia" w:ascii="楷体_GB2312" w:hAnsi="宋体" w:eastAsia="楷体_GB2312"/>
          <w:color w:val="000000" w:themeColor="text1"/>
          <w:sz w:val="28"/>
          <w14:textFill>
            <w14:solidFill>
              <w14:schemeClr w14:val="tx1"/>
            </w14:solidFill>
          </w14:textFill>
        </w:rPr>
        <w:t>乙方所供设备包含但不限于以下部件：</w:t>
      </w:r>
    </w:p>
    <w:p>
      <w:pPr>
        <w:numPr>
          <w:ilvl w:val="0"/>
          <w:numId w:val="9"/>
        </w:numPr>
        <w:rPr>
          <w:rFonts w:ascii="楷体_GB2312" w:hAnsi="宋体" w:eastAsia="楷体_GB2312"/>
          <w:color w:val="000000" w:themeColor="text1"/>
          <w:sz w:val="28"/>
          <w14:textFill>
            <w14:solidFill>
              <w14:schemeClr w14:val="tx1"/>
            </w14:solidFill>
          </w14:textFill>
        </w:rPr>
      </w:pPr>
      <w:r>
        <w:rPr>
          <w:rFonts w:hint="eastAsia" w:ascii="楷体_GB2312" w:hAnsi="宋体" w:eastAsia="楷体_GB2312"/>
          <w:color w:val="000000" w:themeColor="text1"/>
          <w:sz w:val="28"/>
          <w14:textFill>
            <w14:solidFill>
              <w14:schemeClr w14:val="tx1"/>
            </w14:solidFill>
          </w14:textFill>
        </w:rPr>
        <w:t>厌氧反应器主体及保温</w:t>
      </w:r>
    </w:p>
    <w:p>
      <w:pPr>
        <w:numPr>
          <w:ilvl w:val="0"/>
          <w:numId w:val="9"/>
        </w:numPr>
        <w:rPr>
          <w:rFonts w:ascii="楷体_GB2312" w:hAnsi="宋体" w:eastAsia="楷体_GB2312"/>
          <w:color w:val="000000" w:themeColor="text1"/>
          <w:sz w:val="28"/>
          <w14:textFill>
            <w14:solidFill>
              <w14:schemeClr w14:val="tx1"/>
            </w14:solidFill>
          </w14:textFill>
        </w:rPr>
      </w:pPr>
      <w:r>
        <w:rPr>
          <w:rFonts w:hint="eastAsia" w:ascii="楷体_GB2312" w:hAnsi="宋体" w:eastAsia="楷体_GB2312"/>
          <w:color w:val="000000" w:themeColor="text1"/>
          <w:sz w:val="28"/>
          <w14:textFill>
            <w14:solidFill>
              <w14:schemeClr w14:val="tx1"/>
            </w14:solidFill>
          </w14:textFill>
        </w:rPr>
        <w:t>布水装置</w:t>
      </w:r>
    </w:p>
    <w:p>
      <w:pPr>
        <w:pStyle w:val="37"/>
        <w:numPr>
          <w:ilvl w:val="0"/>
          <w:numId w:val="9"/>
        </w:numPr>
        <w:ind w:firstLineChars="0"/>
        <w:rPr>
          <w:rFonts w:ascii="楷体_GB2312" w:hAnsi="宋体" w:eastAsia="楷体_GB2312"/>
          <w:sz w:val="28"/>
        </w:rPr>
      </w:pPr>
      <w:r>
        <w:rPr>
          <w:rFonts w:hint="eastAsia" w:ascii="楷体_GB2312" w:hAnsi="宋体" w:eastAsia="楷体_GB2312"/>
          <w:sz w:val="28"/>
        </w:rPr>
        <w:t>厌氧布水系统所用的管道管件及阀门材料（材料统计至布水装置外1m）</w:t>
      </w:r>
    </w:p>
    <w:p>
      <w:pPr>
        <w:numPr>
          <w:ilvl w:val="0"/>
          <w:numId w:val="9"/>
        </w:numPr>
        <w:rPr>
          <w:rFonts w:ascii="楷体_GB2312" w:hAnsi="宋体" w:eastAsia="楷体_GB2312"/>
          <w:sz w:val="28"/>
        </w:rPr>
      </w:pPr>
      <w:r>
        <w:rPr>
          <w:rFonts w:hint="eastAsia" w:ascii="楷体_GB2312" w:hAnsi="宋体" w:eastAsia="楷体_GB2312"/>
          <w:sz w:val="28"/>
        </w:rPr>
        <w:t>三相分离器及其支架</w:t>
      </w:r>
    </w:p>
    <w:p>
      <w:pPr>
        <w:numPr>
          <w:ilvl w:val="0"/>
          <w:numId w:val="9"/>
        </w:numPr>
        <w:rPr>
          <w:rFonts w:ascii="楷体_GB2312" w:hAnsi="宋体" w:eastAsia="楷体_GB2312"/>
          <w:sz w:val="28"/>
        </w:rPr>
      </w:pPr>
      <w:r>
        <w:rPr>
          <w:rFonts w:hint="eastAsia" w:ascii="楷体_GB2312" w:hAnsi="宋体" w:eastAsia="楷体_GB2312"/>
          <w:sz w:val="28"/>
        </w:rPr>
        <w:t>出水收集装置</w:t>
      </w:r>
    </w:p>
    <w:p>
      <w:pPr>
        <w:numPr>
          <w:ilvl w:val="0"/>
          <w:numId w:val="9"/>
        </w:numPr>
        <w:rPr>
          <w:rFonts w:ascii="楷体_GB2312" w:hAnsi="宋体" w:eastAsia="楷体_GB2312"/>
          <w:sz w:val="28"/>
        </w:rPr>
      </w:pPr>
      <w:r>
        <w:rPr>
          <w:rFonts w:hint="eastAsia" w:ascii="楷体_GB2312" w:hAnsi="宋体" w:eastAsia="楷体_GB2312"/>
          <w:sz w:val="28"/>
        </w:rPr>
        <w:t>排污装置所用的管道管件及阀门材料（材料统计至构筑物外1m）</w:t>
      </w:r>
    </w:p>
    <w:p>
      <w:pPr>
        <w:numPr>
          <w:ilvl w:val="1"/>
          <w:numId w:val="9"/>
        </w:numPr>
        <w:spacing w:line="360" w:lineRule="auto"/>
        <w:jc w:val="left"/>
        <w:rPr>
          <w:rFonts w:ascii="楷体_GB2312" w:eastAsia="楷体_GB2312"/>
          <w:b/>
          <w:bCs/>
          <w:sz w:val="28"/>
          <w:szCs w:val="28"/>
        </w:rPr>
      </w:pPr>
      <w:r>
        <w:rPr>
          <w:rFonts w:hint="eastAsia" w:ascii="楷体_GB2312" w:eastAsia="楷体_GB2312"/>
          <w:b/>
          <w:bCs/>
          <w:sz w:val="28"/>
          <w:szCs w:val="28"/>
        </w:rPr>
        <w:t>设备清单</w:t>
      </w:r>
    </w:p>
    <w:p>
      <w:pPr>
        <w:spacing w:after="120" w:line="360" w:lineRule="auto"/>
        <w:ind w:firstLine="480"/>
        <w:rPr>
          <w:rFonts w:ascii="楷体_GB2312" w:eastAsia="楷体_GB2312"/>
          <w:sz w:val="28"/>
          <w:szCs w:val="28"/>
        </w:rPr>
      </w:pPr>
      <w:r>
        <w:rPr>
          <w:rFonts w:hint="eastAsia" w:ascii="楷体_GB2312" w:eastAsia="楷体_GB2312"/>
          <w:sz w:val="28"/>
          <w:szCs w:val="28"/>
        </w:rPr>
        <w:t>乙方供货设备清单如下所示：</w:t>
      </w:r>
    </w:p>
    <w:tbl>
      <w:tblPr>
        <w:tblStyle w:val="21"/>
        <w:tblW w:w="4437" w:type="pct"/>
        <w:tblInd w:w="392" w:type="dxa"/>
        <w:tblLayout w:type="autofit"/>
        <w:tblCellMar>
          <w:top w:w="0" w:type="dxa"/>
          <w:left w:w="108" w:type="dxa"/>
          <w:bottom w:w="0" w:type="dxa"/>
          <w:right w:w="108" w:type="dxa"/>
        </w:tblCellMar>
      </w:tblPr>
      <w:tblGrid>
        <w:gridCol w:w="1027"/>
        <w:gridCol w:w="4189"/>
        <w:gridCol w:w="1628"/>
        <w:gridCol w:w="1396"/>
      </w:tblGrid>
      <w:tr>
        <w:tblPrEx>
          <w:tblCellMar>
            <w:top w:w="0" w:type="dxa"/>
            <w:left w:w="108" w:type="dxa"/>
            <w:bottom w:w="0" w:type="dxa"/>
            <w:right w:w="108" w:type="dxa"/>
          </w:tblCellMar>
        </w:tblPrEx>
        <w:trPr>
          <w:trHeight w:val="152" w:hRule="atLeast"/>
        </w:trPr>
        <w:tc>
          <w:tcPr>
            <w:tcW w:w="623" w:type="pct"/>
            <w:tcBorders>
              <w:top w:val="double" w:color="auto" w:sz="6" w:space="0"/>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2542" w:type="pct"/>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名称</w:t>
            </w:r>
          </w:p>
        </w:tc>
        <w:tc>
          <w:tcPr>
            <w:tcW w:w="988" w:type="pct"/>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单位</w:t>
            </w:r>
          </w:p>
        </w:tc>
        <w:tc>
          <w:tcPr>
            <w:tcW w:w="847" w:type="pct"/>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r>
      <w:tr>
        <w:tblPrEx>
          <w:tblCellMar>
            <w:top w:w="0" w:type="dxa"/>
            <w:left w:w="108" w:type="dxa"/>
            <w:bottom w:w="0" w:type="dxa"/>
            <w:right w:w="108" w:type="dxa"/>
          </w:tblCellMar>
        </w:tblPrEx>
        <w:trPr>
          <w:trHeight w:val="309"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1</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钢结构塔体</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座</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2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2</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钢结构塔体保温及防腐</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项</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3</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布水装置</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4</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三相分离器</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5</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沼气系统</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254"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6</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出水</w:t>
            </w:r>
            <w:r>
              <w:rPr>
                <w:rFonts w:hint="eastAsia" w:ascii="仿宋" w:hAnsi="仿宋" w:eastAsia="仿宋" w:cs="Arial"/>
                <w:kern w:val="0"/>
                <w:sz w:val="24"/>
              </w:rPr>
              <w:t>收集装置</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06"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hint="eastAsia" w:ascii="仿宋" w:hAnsi="仿宋" w:eastAsia="仿宋"/>
                <w:kern w:val="0"/>
                <w:sz w:val="24"/>
              </w:rPr>
              <w:t>7</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排泥装置</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1</w:t>
            </w:r>
          </w:p>
        </w:tc>
      </w:tr>
      <w:tr>
        <w:tblPrEx>
          <w:tblCellMar>
            <w:top w:w="0" w:type="dxa"/>
            <w:left w:w="108" w:type="dxa"/>
            <w:bottom w:w="0" w:type="dxa"/>
            <w:right w:w="108" w:type="dxa"/>
          </w:tblCellMar>
        </w:tblPrEx>
        <w:trPr>
          <w:trHeight w:val="306"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hint="eastAsia" w:ascii="仿宋" w:hAnsi="仿宋" w:eastAsia="仿宋"/>
                <w:kern w:val="0"/>
                <w:sz w:val="24"/>
              </w:rPr>
              <w:t>8</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r>
      <w:tr>
        <w:tblPrEx>
          <w:tblCellMar>
            <w:top w:w="0" w:type="dxa"/>
            <w:left w:w="108" w:type="dxa"/>
            <w:bottom w:w="0" w:type="dxa"/>
            <w:right w:w="108" w:type="dxa"/>
          </w:tblCellMar>
        </w:tblPrEx>
        <w:trPr>
          <w:trHeight w:val="306"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hint="eastAsia" w:ascii="仿宋" w:hAnsi="仿宋" w:eastAsia="仿宋"/>
                <w:kern w:val="0"/>
                <w:sz w:val="24"/>
              </w:rPr>
              <w:t>9</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r>
    </w:tbl>
    <w:p>
      <w:pPr>
        <w:spacing w:line="360" w:lineRule="auto"/>
        <w:ind w:firstLine="420"/>
        <w:rPr>
          <w:rFonts w:ascii="楷体_GB2312" w:eastAsia="楷体_GB2312"/>
          <w:sz w:val="28"/>
          <w:szCs w:val="28"/>
        </w:rPr>
      </w:pPr>
      <w:r>
        <w:rPr>
          <w:rFonts w:hint="eastAsia" w:ascii="楷体_GB2312" w:eastAsia="楷体_GB2312"/>
          <w:sz w:val="28"/>
          <w:szCs w:val="28"/>
        </w:rPr>
        <w:t>备注：</w:t>
      </w:r>
    </w:p>
    <w:p>
      <w:pPr>
        <w:spacing w:line="360" w:lineRule="auto"/>
        <w:ind w:firstLine="420"/>
        <w:rPr>
          <w:rFonts w:ascii="楷体_GB2312" w:eastAsia="楷体_GB2312"/>
          <w:sz w:val="28"/>
          <w:szCs w:val="28"/>
        </w:rPr>
      </w:pPr>
      <w:r>
        <w:rPr>
          <w:rFonts w:hint="eastAsia" w:ascii="楷体_GB2312" w:eastAsia="楷体_GB2312"/>
          <w:sz w:val="28"/>
          <w:szCs w:val="28"/>
        </w:rPr>
        <w:t>1、设备清单中所列的设备材料数量及参数仅供乙方参考，乙方在保证1套厌氧反应器及其配套设备的处理水量和出水水质、性能达到相应要求、满足技术规范要求的前提下（不得低于技术规范的要求），根据自身设备产品的设计情况和设备特点，可适当调整设备、材料及配套附件的数量、规格型号及布置。</w:t>
      </w:r>
    </w:p>
    <w:p>
      <w:pPr>
        <w:spacing w:line="360" w:lineRule="auto"/>
        <w:ind w:firstLine="420"/>
        <w:rPr>
          <w:rFonts w:ascii="楷体_GB2312" w:eastAsia="楷体_GB2312"/>
          <w:sz w:val="28"/>
          <w:szCs w:val="28"/>
        </w:rPr>
      </w:pPr>
      <w:r>
        <w:rPr>
          <w:rFonts w:hint="eastAsia" w:ascii="楷体_GB2312" w:eastAsia="楷体_GB2312"/>
          <w:sz w:val="28"/>
          <w:szCs w:val="28"/>
        </w:rPr>
        <w:t>2、《设备清单》仅为对乙方要求的最低需求，乙方必须遵照本文件要求提供工艺包必须的所有设备及其配件、管道、管件等，而不论这些设备及其配件、管道、管件等在设备清单中是否详细列出。</w:t>
      </w:r>
    </w:p>
    <w:p>
      <w:pPr>
        <w:spacing w:line="360" w:lineRule="auto"/>
        <w:rPr>
          <w:rFonts w:ascii="楷体_GB2312" w:hAnsi="宋体" w:eastAsia="楷体_GB2312"/>
          <w:b/>
          <w:sz w:val="30"/>
        </w:rPr>
      </w:pPr>
      <w:r>
        <w:rPr>
          <w:rFonts w:hint="eastAsia" w:ascii="楷体_GB2312" w:hAnsi="宋体" w:eastAsia="楷体_GB2312"/>
          <w:b/>
          <w:sz w:val="30"/>
        </w:rPr>
        <w:t>第三章 合同价款与计价方式</w:t>
      </w:r>
    </w:p>
    <w:p>
      <w:pPr>
        <w:numPr>
          <w:ilvl w:val="0"/>
          <w:numId w:val="10"/>
        </w:numPr>
        <w:spacing w:line="360" w:lineRule="auto"/>
        <w:rPr>
          <w:rFonts w:ascii="楷体_GB2312" w:hAnsi="宋体" w:eastAsia="楷体_GB2312"/>
          <w:sz w:val="28"/>
        </w:rPr>
      </w:pPr>
      <w:r>
        <w:rPr>
          <w:rFonts w:hint="eastAsia" w:ascii="楷体_GB2312" w:hAnsi="宋体" w:eastAsia="楷体_GB2312"/>
          <w:sz w:val="28"/>
        </w:rPr>
        <w:t>本合同价款为闭口包干价，除约定情况外合同总价不作调整。</w:t>
      </w:r>
    </w:p>
    <w:p>
      <w:pPr>
        <w:numPr>
          <w:ilvl w:val="0"/>
          <w:numId w:val="10"/>
        </w:numPr>
        <w:spacing w:line="360" w:lineRule="auto"/>
        <w:rPr>
          <w:rFonts w:ascii="楷体_GB2312" w:hAnsi="宋体" w:eastAsia="楷体_GB2312"/>
          <w:b/>
          <w:sz w:val="30"/>
        </w:rPr>
      </w:pPr>
      <w:r>
        <w:rPr>
          <w:rFonts w:hint="eastAsia" w:ascii="楷体_GB2312" w:hAnsi="宋体" w:eastAsia="楷体_GB2312"/>
          <w:sz w:val="28"/>
        </w:rPr>
        <w:t>本合同包干总价为人民币</w:t>
      </w:r>
      <w:r>
        <w:rPr>
          <w:rFonts w:hint="eastAsia" w:ascii="楷体_GB2312" w:hAnsi="宋体" w:eastAsia="楷体_GB2312"/>
          <w:sz w:val="28"/>
          <w:u w:val="single"/>
        </w:rPr>
        <w:t xml:space="preserve">         元（大写：    整）</w:t>
      </w:r>
      <w:r>
        <w:rPr>
          <w:rFonts w:hint="eastAsia" w:ascii="楷体_GB2312" w:hAnsi="宋体" w:eastAsia="楷体_GB2312"/>
          <w:sz w:val="28"/>
        </w:rPr>
        <w:t>,税率为*%，不含税价为人民币</w:t>
      </w:r>
      <w:r>
        <w:rPr>
          <w:rFonts w:hint="eastAsia" w:ascii="楷体_GB2312" w:hAnsi="宋体" w:eastAsia="楷体_GB2312"/>
          <w:sz w:val="28"/>
          <w:u w:val="single"/>
        </w:rPr>
        <w:t xml:space="preserve">         整（大写：    整）</w:t>
      </w:r>
      <w:r>
        <w:rPr>
          <w:rFonts w:hint="eastAsia" w:ascii="楷体_GB2312" w:hAnsi="宋体" w:eastAsia="楷体_GB2312"/>
          <w:sz w:val="28"/>
        </w:rPr>
        <w:t>。税额为人民币</w:t>
      </w:r>
      <w:r>
        <w:rPr>
          <w:rFonts w:hint="eastAsia" w:ascii="楷体_GB2312" w:hAnsi="宋体" w:eastAsia="楷体_GB2312"/>
          <w:sz w:val="28"/>
          <w:u w:val="single"/>
        </w:rPr>
        <w:t xml:space="preserve">       元</w:t>
      </w:r>
      <w:r>
        <w:rPr>
          <w:rFonts w:hint="eastAsia" w:ascii="楷体_GB2312" w:hAnsi="宋体" w:eastAsia="楷体_GB2312"/>
          <w:b/>
          <w:sz w:val="30"/>
        </w:rPr>
        <w:t xml:space="preserve"> </w:t>
      </w:r>
    </w:p>
    <w:p>
      <w:pPr>
        <w:spacing w:line="360" w:lineRule="auto"/>
        <w:rPr>
          <w:rFonts w:ascii="楷体_GB2312" w:hAnsi="宋体" w:eastAsia="楷体_GB2312"/>
          <w:b/>
          <w:sz w:val="30"/>
        </w:rPr>
      </w:pPr>
      <w:r>
        <w:rPr>
          <w:rFonts w:hint="eastAsia" w:ascii="楷体_GB2312" w:hAnsi="宋体" w:eastAsia="楷体_GB2312"/>
          <w:b/>
          <w:sz w:val="30"/>
        </w:rPr>
        <w:t>第四章 付款方式</w:t>
      </w:r>
    </w:p>
    <w:p>
      <w:pPr>
        <w:spacing w:line="360" w:lineRule="auto"/>
        <w:rPr>
          <w:rFonts w:ascii="楷体_GB2312" w:eastAsia="楷体_GB2312"/>
          <w:sz w:val="28"/>
          <w:szCs w:val="28"/>
        </w:rPr>
      </w:pPr>
      <w:r>
        <w:rPr>
          <w:rFonts w:hint="eastAsia" w:ascii="楷体_GB2312" w:eastAsia="楷体_GB2312"/>
          <w:sz w:val="28"/>
          <w:szCs w:val="28"/>
        </w:rPr>
        <w:t>（1）80%电汇，20%承兑汇票/粮信，承兑汇票/粮信期限不超过6个月</w:t>
      </w:r>
    </w:p>
    <w:p>
      <w:pPr>
        <w:spacing w:line="360" w:lineRule="auto"/>
        <w:rPr>
          <w:rFonts w:ascii="楷体_GB2312" w:eastAsia="楷体_GB2312"/>
          <w:sz w:val="28"/>
          <w:szCs w:val="28"/>
        </w:rPr>
      </w:pPr>
      <w:r>
        <w:rPr>
          <w:rFonts w:hint="eastAsia" w:ascii="楷体_GB2312" w:eastAsia="楷体_GB2312"/>
          <w:sz w:val="28"/>
          <w:szCs w:val="28"/>
        </w:rPr>
        <w:t>（2）设备、材料及人员均到场并经甲方查验合格后7天内，凭验收合格单据，开具全额**%的增值税专用发票，甲方收到发票后，支付合同金额40%的资金, 金额：（人民币大写）XXXX（￥XXXX元）；</w:t>
      </w:r>
    </w:p>
    <w:p>
      <w:pPr>
        <w:spacing w:line="360" w:lineRule="auto"/>
        <w:rPr>
          <w:rFonts w:ascii="楷体_GB2312" w:eastAsia="楷体_GB2312"/>
          <w:sz w:val="28"/>
          <w:szCs w:val="28"/>
        </w:rPr>
      </w:pPr>
      <w:r>
        <w:rPr>
          <w:rFonts w:hint="eastAsia" w:ascii="楷体_GB2312" w:eastAsia="楷体_GB2312"/>
          <w:sz w:val="28"/>
          <w:szCs w:val="28"/>
        </w:rPr>
        <w:t>(3)设备安装、调试验收合格，生产期结束,凭调试验收合格单据,支付合同金额50%的资金, 金额：（人民币大写）XXXX（￥XXXX元）；剩余10%作为质保金，于质保金有效期满且设备无任何质量问题后，凭质保期报告单据，甲方向乙方支付合同总额的10%，金额：（人民币大写）XXXX元整（￥XXXX元）。质保金有效期至**年**月***日。（开票期间如遇国家税率调整，自调整之日起以合同中不含税价格为基数乘以（1+调整后税率）为开票金额）</w:t>
      </w:r>
    </w:p>
    <w:p>
      <w:pPr>
        <w:spacing w:line="360" w:lineRule="auto"/>
        <w:rPr>
          <w:rFonts w:ascii="楷体_GB2312" w:hAnsi="宋体" w:eastAsia="楷体_GB2312"/>
          <w:b/>
          <w:sz w:val="30"/>
        </w:rPr>
      </w:pPr>
      <w:r>
        <w:rPr>
          <w:rFonts w:hint="eastAsia" w:ascii="楷体_GB2312" w:hAnsi="宋体" w:eastAsia="楷体_GB2312"/>
          <w:b/>
          <w:sz w:val="30"/>
        </w:rPr>
        <w:t>第五章 技术要求</w:t>
      </w:r>
    </w:p>
    <w:p>
      <w:pPr>
        <w:numPr>
          <w:ilvl w:val="0"/>
          <w:numId w:val="11"/>
        </w:numPr>
        <w:spacing w:line="360" w:lineRule="auto"/>
        <w:rPr>
          <w:rFonts w:ascii="楷体_GB2312" w:hAnsi="宋体" w:eastAsia="楷体_GB2312"/>
          <w:sz w:val="28"/>
        </w:rPr>
      </w:pPr>
      <w:r>
        <w:rPr>
          <w:rFonts w:hint="eastAsia" w:ascii="楷体_GB2312" w:hAnsi="宋体" w:eastAsia="楷体_GB2312"/>
          <w:sz w:val="28"/>
        </w:rPr>
        <w:t>排水量：</w:t>
      </w:r>
      <w:r>
        <w:rPr>
          <w:rFonts w:ascii="楷体_GB2312" w:hAnsi="宋体" w:eastAsia="楷体_GB2312"/>
          <w:sz w:val="28"/>
        </w:rPr>
        <w:t>根据业主提供的资料，本项目厌氧反应器的处理水量为</w:t>
      </w:r>
      <w:r>
        <w:rPr>
          <w:rFonts w:hint="eastAsia" w:ascii="楷体_GB2312" w:hAnsi="宋体" w:eastAsia="楷体_GB2312"/>
          <w:sz w:val="28"/>
          <w:lang w:bidi="ar"/>
        </w:rPr>
        <w:t>4</w:t>
      </w:r>
      <w:r>
        <w:rPr>
          <w:rFonts w:ascii="楷体_GB2312" w:hAnsi="宋体" w:eastAsia="楷体_GB2312"/>
          <w:sz w:val="28"/>
          <w:lang w:bidi="ar"/>
        </w:rPr>
        <w:t>000</w:t>
      </w:r>
      <w:r>
        <w:rPr>
          <w:rFonts w:ascii="楷体_GB2312" w:hAnsi="宋体" w:eastAsia="楷体_GB2312"/>
          <w:sz w:val="28"/>
        </w:rPr>
        <w:t>m³</w:t>
      </w:r>
      <w:r>
        <w:rPr>
          <w:rFonts w:hint="eastAsia" w:ascii="楷体_GB2312" w:hAnsi="宋体" w:eastAsia="楷体_GB2312"/>
          <w:sz w:val="28"/>
          <w:lang w:bidi="ar"/>
        </w:rPr>
        <w:t>/d</w:t>
      </w:r>
    </w:p>
    <w:p>
      <w:pPr>
        <w:numPr>
          <w:ilvl w:val="0"/>
          <w:numId w:val="11"/>
        </w:numPr>
        <w:spacing w:after="120"/>
        <w:rPr>
          <w:rFonts w:ascii="楷体_GB2312" w:hAnsi="宋体" w:eastAsia="楷体_GB2312"/>
          <w:sz w:val="28"/>
        </w:rPr>
      </w:pPr>
      <w:r>
        <w:rPr>
          <w:rFonts w:ascii="楷体_GB2312" w:hAnsi="宋体" w:eastAsia="楷体_GB2312"/>
          <w:sz w:val="28"/>
        </w:rPr>
        <w:t>进水水质水量满足如下条件时，厌氧反应器的出水应保证能达到如下的性能：</w:t>
      </w:r>
    </w:p>
    <w:tbl>
      <w:tblPr>
        <w:tblStyle w:val="21"/>
        <w:tblW w:w="494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39"/>
        <w:gridCol w:w="978"/>
        <w:gridCol w:w="995"/>
        <w:gridCol w:w="991"/>
        <w:gridCol w:w="993"/>
        <w:gridCol w:w="991"/>
        <w:gridCol w:w="1063"/>
        <w:gridCol w:w="10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355" w:type="pct"/>
            <w:shd w:val="clear" w:color="auto" w:fill="auto"/>
            <w:noWrap/>
            <w:vAlign w:val="center"/>
          </w:tcPr>
          <w:p>
            <w:pPr>
              <w:widowControl/>
              <w:jc w:val="center"/>
              <w:rPr>
                <w:rFonts w:ascii="宋体" w:hAnsi="宋体" w:cs="宋体"/>
                <w:b/>
                <w:bCs/>
                <w:kern w:val="0"/>
              </w:rPr>
            </w:pPr>
            <w:r>
              <w:rPr>
                <w:rFonts w:hint="eastAsia"/>
              </w:rPr>
              <w:t>序号</w:t>
            </w:r>
          </w:p>
        </w:tc>
        <w:tc>
          <w:tcPr>
            <w:tcW w:w="348" w:type="pct"/>
            <w:shd w:val="clear" w:color="auto" w:fill="auto"/>
            <w:vAlign w:val="center"/>
          </w:tcPr>
          <w:p>
            <w:pPr>
              <w:widowControl/>
              <w:jc w:val="center"/>
              <w:rPr>
                <w:rFonts w:ascii="宋体" w:hAnsi="宋体" w:cs="宋体"/>
                <w:b/>
                <w:bCs/>
                <w:kern w:val="0"/>
              </w:rPr>
            </w:pPr>
            <w:r>
              <w:rPr>
                <w:rFonts w:hint="eastAsia"/>
              </w:rPr>
              <w:t>处理单元</w:t>
            </w:r>
          </w:p>
        </w:tc>
        <w:tc>
          <w:tcPr>
            <w:tcW w:w="533" w:type="pct"/>
            <w:shd w:val="clear" w:color="auto" w:fill="auto"/>
            <w:vAlign w:val="center"/>
          </w:tcPr>
          <w:p>
            <w:pPr>
              <w:widowControl/>
              <w:jc w:val="center"/>
            </w:pPr>
            <w:r>
              <w:rPr>
                <w:rFonts w:hint="eastAsia"/>
              </w:rPr>
              <w:t>进水量(m</w:t>
            </w:r>
            <w:r>
              <w:rPr>
                <w:rFonts w:hint="eastAsia"/>
                <w:vertAlign w:val="superscript"/>
              </w:rPr>
              <w:t>3</w:t>
            </w:r>
            <w:r>
              <w:t>/D</w:t>
            </w:r>
            <w:r>
              <w:rPr>
                <w:rFonts w:hint="eastAsia"/>
              </w:rPr>
              <w:t>)</w:t>
            </w:r>
          </w:p>
        </w:tc>
        <w:tc>
          <w:tcPr>
            <w:tcW w:w="542" w:type="pct"/>
            <w:shd w:val="clear" w:color="auto" w:fill="auto"/>
            <w:vAlign w:val="center"/>
          </w:tcPr>
          <w:p>
            <w:pPr>
              <w:widowControl/>
              <w:jc w:val="center"/>
              <w:rPr>
                <w:rFonts w:ascii="宋体" w:hAnsi="宋体" w:cs="宋体"/>
                <w:b/>
                <w:bCs/>
                <w:kern w:val="0"/>
              </w:rPr>
            </w:pPr>
            <w:r>
              <w:rPr>
                <w:rFonts w:hint="eastAsia"/>
              </w:rPr>
              <w:t>指 标</w:t>
            </w:r>
          </w:p>
        </w:tc>
        <w:tc>
          <w:tcPr>
            <w:tcW w:w="540" w:type="pct"/>
            <w:shd w:val="clear" w:color="auto" w:fill="auto"/>
            <w:vAlign w:val="center"/>
          </w:tcPr>
          <w:p>
            <w:pPr>
              <w:widowControl/>
              <w:jc w:val="center"/>
              <w:rPr>
                <w:rFonts w:eastAsia="等线"/>
                <w:b/>
                <w:bCs/>
                <w:kern w:val="0"/>
              </w:rPr>
            </w:pPr>
            <w:r>
              <w:rPr>
                <w:rFonts w:hint="eastAsia"/>
              </w:rPr>
              <w:t>CODcr（mg/L）</w:t>
            </w:r>
          </w:p>
        </w:tc>
        <w:tc>
          <w:tcPr>
            <w:tcW w:w="541" w:type="pct"/>
            <w:shd w:val="clear" w:color="auto" w:fill="auto"/>
            <w:vAlign w:val="center"/>
          </w:tcPr>
          <w:p>
            <w:pPr>
              <w:widowControl/>
              <w:jc w:val="center"/>
            </w:pPr>
            <w:r>
              <w:rPr>
                <w:rFonts w:hint="eastAsia"/>
              </w:rPr>
              <w:t>BOD</w:t>
            </w:r>
          </w:p>
          <w:p>
            <w:pPr>
              <w:widowControl/>
              <w:jc w:val="center"/>
              <w:rPr>
                <w:rFonts w:eastAsia="等线"/>
                <w:b/>
                <w:bCs/>
                <w:kern w:val="0"/>
              </w:rPr>
            </w:pPr>
            <w:r>
              <w:rPr>
                <w:rFonts w:hint="eastAsia"/>
              </w:rPr>
              <w:t>（mg/L）</w:t>
            </w:r>
          </w:p>
        </w:tc>
        <w:tc>
          <w:tcPr>
            <w:tcW w:w="540" w:type="pct"/>
            <w:shd w:val="clear" w:color="auto" w:fill="auto"/>
            <w:vAlign w:val="center"/>
          </w:tcPr>
          <w:p>
            <w:pPr>
              <w:widowControl/>
              <w:jc w:val="center"/>
              <w:rPr>
                <w:rFonts w:eastAsia="等线"/>
                <w:b/>
                <w:bCs/>
                <w:kern w:val="0"/>
              </w:rPr>
            </w:pPr>
            <w:r>
              <w:rPr>
                <w:rFonts w:hint="eastAsia"/>
              </w:rPr>
              <w:t>NH3-N（mg/L）</w:t>
            </w:r>
          </w:p>
        </w:tc>
        <w:tc>
          <w:tcPr>
            <w:tcW w:w="579" w:type="pct"/>
            <w:shd w:val="clear" w:color="auto" w:fill="auto"/>
            <w:vAlign w:val="center"/>
          </w:tcPr>
          <w:p>
            <w:pPr>
              <w:widowControl/>
              <w:jc w:val="center"/>
              <w:rPr>
                <w:rFonts w:eastAsia="等线"/>
                <w:b/>
                <w:bCs/>
                <w:kern w:val="0"/>
              </w:rPr>
            </w:pPr>
            <w:r>
              <w:rPr>
                <w:rFonts w:hint="eastAsia"/>
              </w:rPr>
              <w:t>TN（mg/L）</w:t>
            </w:r>
          </w:p>
        </w:tc>
        <w:tc>
          <w:tcPr>
            <w:tcW w:w="554" w:type="pct"/>
            <w:shd w:val="clear" w:color="auto" w:fill="auto"/>
            <w:vAlign w:val="center"/>
          </w:tcPr>
          <w:p>
            <w:pPr>
              <w:widowControl/>
              <w:jc w:val="center"/>
              <w:rPr>
                <w:rFonts w:eastAsia="等线"/>
                <w:b/>
                <w:bCs/>
                <w:kern w:val="0"/>
              </w:rPr>
            </w:pPr>
            <w:r>
              <w:rPr>
                <w:rFonts w:hint="eastAsia"/>
              </w:rPr>
              <w:t>SS（mg/L）</w:t>
            </w:r>
          </w:p>
        </w:tc>
        <w:tc>
          <w:tcPr>
            <w:tcW w:w="468" w:type="pct"/>
            <w:shd w:val="clear" w:color="auto" w:fill="auto"/>
            <w:vAlign w:val="center"/>
          </w:tcPr>
          <w:p>
            <w:pPr>
              <w:widowControl/>
              <w:jc w:val="center"/>
              <w:rPr>
                <w:rFonts w:eastAsia="等线"/>
                <w:b/>
                <w:bCs/>
                <w:kern w:val="0"/>
              </w:rPr>
            </w:pPr>
            <w:r>
              <w:rPr>
                <w:rFonts w:hint="eastAsia"/>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1</w:t>
            </w:r>
          </w:p>
        </w:tc>
        <w:tc>
          <w:tcPr>
            <w:tcW w:w="348" w:type="pct"/>
            <w:vMerge w:val="restart"/>
            <w:shd w:val="clear" w:color="auto" w:fill="auto"/>
          </w:tcPr>
          <w:p>
            <w:pPr>
              <w:widowControl/>
              <w:jc w:val="center"/>
              <w:rPr>
                <w:rFonts w:ascii="宋体" w:hAnsi="宋体" w:cs="宋体"/>
                <w:kern w:val="0"/>
              </w:rPr>
            </w:pPr>
            <w:r>
              <w:rPr>
                <w:rFonts w:hint="eastAsia"/>
              </w:rPr>
              <w:t>厌氧反应器</w:t>
            </w:r>
          </w:p>
        </w:tc>
        <w:tc>
          <w:tcPr>
            <w:tcW w:w="533" w:type="pct"/>
            <w:vMerge w:val="restart"/>
            <w:vAlign w:val="center"/>
          </w:tcPr>
          <w:p>
            <w:pPr>
              <w:widowControl/>
              <w:jc w:val="center"/>
            </w:pPr>
            <w:r>
              <w:rPr>
                <w:rFonts w:hint="eastAsia"/>
              </w:rPr>
              <w:t>≤4000</w:t>
            </w:r>
          </w:p>
        </w:tc>
        <w:tc>
          <w:tcPr>
            <w:tcW w:w="542" w:type="pct"/>
            <w:shd w:val="clear" w:color="auto" w:fill="auto"/>
            <w:noWrap/>
          </w:tcPr>
          <w:p>
            <w:pPr>
              <w:widowControl/>
              <w:jc w:val="center"/>
              <w:rPr>
                <w:rFonts w:ascii="宋体" w:hAnsi="宋体" w:cs="宋体"/>
                <w:kern w:val="0"/>
              </w:rPr>
            </w:pPr>
            <w:r>
              <w:rPr>
                <w:rFonts w:hint="eastAsia"/>
              </w:rPr>
              <w:t>进水</w:t>
            </w:r>
          </w:p>
        </w:tc>
        <w:tc>
          <w:tcPr>
            <w:tcW w:w="540" w:type="pct"/>
            <w:shd w:val="clear" w:color="auto" w:fill="auto"/>
            <w:noWrap/>
          </w:tcPr>
          <w:p>
            <w:pPr>
              <w:widowControl/>
              <w:jc w:val="center"/>
              <w:rPr>
                <w:rFonts w:eastAsia="等线"/>
                <w:kern w:val="0"/>
              </w:rPr>
            </w:pPr>
            <w:r>
              <w:rPr>
                <w:rFonts w:hint="eastAsia"/>
              </w:rPr>
              <w:t>≤4000</w:t>
            </w:r>
          </w:p>
        </w:tc>
        <w:tc>
          <w:tcPr>
            <w:tcW w:w="541" w:type="pct"/>
            <w:shd w:val="clear" w:color="auto" w:fill="auto"/>
            <w:noWrap/>
          </w:tcPr>
          <w:p>
            <w:pPr>
              <w:widowControl/>
              <w:jc w:val="center"/>
              <w:rPr>
                <w:rFonts w:eastAsia="等线"/>
                <w:kern w:val="0"/>
              </w:rPr>
            </w:pPr>
            <w:r>
              <w:rPr>
                <w:rFonts w:hint="eastAsia"/>
              </w:rPr>
              <w:t>≤1824</w:t>
            </w:r>
          </w:p>
        </w:tc>
        <w:tc>
          <w:tcPr>
            <w:tcW w:w="540" w:type="pct"/>
            <w:shd w:val="clear" w:color="auto" w:fill="auto"/>
            <w:noWrap/>
          </w:tcPr>
          <w:p>
            <w:pPr>
              <w:widowControl/>
              <w:jc w:val="center"/>
              <w:rPr>
                <w:rFonts w:eastAsia="等线"/>
                <w:kern w:val="0"/>
              </w:rPr>
            </w:pPr>
            <w:r>
              <w:rPr>
                <w:rFonts w:hint="eastAsia"/>
              </w:rPr>
              <w:t>≤50</w:t>
            </w:r>
          </w:p>
        </w:tc>
        <w:tc>
          <w:tcPr>
            <w:tcW w:w="579" w:type="pct"/>
            <w:shd w:val="clear" w:color="auto" w:fill="auto"/>
            <w:noWrap/>
          </w:tcPr>
          <w:p>
            <w:pPr>
              <w:widowControl/>
              <w:jc w:val="center"/>
              <w:rPr>
                <w:rFonts w:eastAsia="等线"/>
                <w:kern w:val="0"/>
              </w:rPr>
            </w:pPr>
            <w:r>
              <w:rPr>
                <w:rFonts w:hint="eastAsia"/>
              </w:rPr>
              <w:t>≤100</w:t>
            </w:r>
          </w:p>
        </w:tc>
        <w:tc>
          <w:tcPr>
            <w:tcW w:w="554" w:type="pct"/>
            <w:shd w:val="clear" w:color="auto" w:fill="auto"/>
            <w:noWrap/>
          </w:tcPr>
          <w:p>
            <w:pPr>
              <w:widowControl/>
              <w:jc w:val="center"/>
              <w:rPr>
                <w:rFonts w:eastAsia="等线"/>
                <w:kern w:val="0"/>
              </w:rPr>
            </w:pPr>
            <w:r>
              <w:rPr>
                <w:rFonts w:hint="eastAsia"/>
              </w:rPr>
              <w:t>≤200</w:t>
            </w:r>
          </w:p>
        </w:tc>
        <w:tc>
          <w:tcPr>
            <w:tcW w:w="468" w:type="pct"/>
            <w:shd w:val="clear" w:color="auto" w:fill="auto"/>
          </w:tcPr>
          <w:p>
            <w:pPr>
              <w:widowControl/>
              <w:jc w:val="center"/>
              <w:rPr>
                <w:rFonts w:eastAsia="等线"/>
                <w:kern w:val="0"/>
              </w:rPr>
            </w:pPr>
            <w:r>
              <w:t>5</w:t>
            </w:r>
            <w:r>
              <w:rPr>
                <w:rFonts w:hint="eastAsia"/>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2</w:t>
            </w:r>
          </w:p>
        </w:tc>
        <w:tc>
          <w:tcPr>
            <w:tcW w:w="348" w:type="pct"/>
            <w:vMerge w:val="continue"/>
          </w:tcPr>
          <w:p>
            <w:pPr>
              <w:widowControl/>
              <w:jc w:val="left"/>
              <w:rPr>
                <w:rFonts w:ascii="宋体" w:hAnsi="宋体" w:cs="宋体"/>
                <w:kern w:val="0"/>
              </w:rPr>
            </w:pPr>
          </w:p>
        </w:tc>
        <w:tc>
          <w:tcPr>
            <w:tcW w:w="533" w:type="pct"/>
            <w:vMerge w:val="continue"/>
          </w:tcPr>
          <w:p>
            <w:pPr>
              <w:widowControl/>
              <w:jc w:val="center"/>
            </w:pPr>
          </w:p>
        </w:tc>
        <w:tc>
          <w:tcPr>
            <w:tcW w:w="542" w:type="pct"/>
            <w:shd w:val="clear" w:color="auto" w:fill="auto"/>
            <w:noWrap/>
          </w:tcPr>
          <w:p>
            <w:pPr>
              <w:widowControl/>
              <w:jc w:val="center"/>
              <w:rPr>
                <w:rFonts w:ascii="宋体" w:hAnsi="宋体" w:cs="宋体"/>
                <w:kern w:val="0"/>
              </w:rPr>
            </w:pPr>
            <w:r>
              <w:rPr>
                <w:rFonts w:hint="eastAsia"/>
              </w:rPr>
              <w:t>出水</w:t>
            </w:r>
          </w:p>
        </w:tc>
        <w:tc>
          <w:tcPr>
            <w:tcW w:w="540" w:type="pct"/>
            <w:shd w:val="clear" w:color="auto" w:fill="auto"/>
            <w:noWrap/>
          </w:tcPr>
          <w:p>
            <w:pPr>
              <w:widowControl/>
              <w:jc w:val="center"/>
              <w:rPr>
                <w:rFonts w:eastAsia="等线"/>
                <w:kern w:val="0"/>
              </w:rPr>
            </w:pPr>
            <w:r>
              <w:rPr>
                <w:rFonts w:hint="eastAsia"/>
              </w:rPr>
              <w:t>≤2000</w:t>
            </w:r>
          </w:p>
        </w:tc>
        <w:tc>
          <w:tcPr>
            <w:tcW w:w="541" w:type="pct"/>
            <w:shd w:val="clear" w:color="auto" w:fill="auto"/>
            <w:noWrap/>
          </w:tcPr>
          <w:p>
            <w:pPr>
              <w:widowControl/>
              <w:jc w:val="center"/>
              <w:rPr>
                <w:rFonts w:eastAsia="等线"/>
                <w:kern w:val="0"/>
              </w:rPr>
            </w:pPr>
            <w:r>
              <w:rPr>
                <w:rFonts w:hint="eastAsia"/>
              </w:rPr>
              <w:t>≤1094</w:t>
            </w:r>
          </w:p>
        </w:tc>
        <w:tc>
          <w:tcPr>
            <w:tcW w:w="540" w:type="pct"/>
            <w:shd w:val="clear" w:color="auto" w:fill="auto"/>
            <w:noWrap/>
          </w:tcPr>
          <w:p>
            <w:pPr>
              <w:widowControl/>
              <w:jc w:val="center"/>
              <w:rPr>
                <w:rFonts w:eastAsia="等线"/>
                <w:kern w:val="0"/>
              </w:rPr>
            </w:pPr>
            <w:r>
              <w:rPr>
                <w:rFonts w:hint="eastAsia"/>
              </w:rPr>
              <w:t>-</w:t>
            </w:r>
          </w:p>
        </w:tc>
        <w:tc>
          <w:tcPr>
            <w:tcW w:w="579" w:type="pct"/>
            <w:shd w:val="clear" w:color="auto" w:fill="auto"/>
            <w:noWrap/>
          </w:tcPr>
          <w:p>
            <w:pPr>
              <w:widowControl/>
              <w:jc w:val="center"/>
              <w:rPr>
                <w:rFonts w:eastAsia="等线"/>
                <w:kern w:val="0"/>
              </w:rPr>
            </w:pPr>
            <w:r>
              <w:rPr>
                <w:rFonts w:hint="eastAsia"/>
              </w:rPr>
              <w:t>-</w:t>
            </w:r>
          </w:p>
        </w:tc>
        <w:tc>
          <w:tcPr>
            <w:tcW w:w="554" w:type="pct"/>
            <w:shd w:val="clear" w:color="auto" w:fill="auto"/>
            <w:noWrap/>
          </w:tcPr>
          <w:p>
            <w:pPr>
              <w:widowControl/>
              <w:jc w:val="center"/>
              <w:rPr>
                <w:rFonts w:eastAsia="等线"/>
                <w:kern w:val="0"/>
              </w:rPr>
            </w:pPr>
            <w:r>
              <w:rPr>
                <w:rFonts w:hint="eastAsia"/>
              </w:rPr>
              <w:t>-</w:t>
            </w:r>
          </w:p>
        </w:tc>
        <w:tc>
          <w:tcPr>
            <w:tcW w:w="468" w:type="pct"/>
            <w:shd w:val="clear" w:color="auto" w:fill="auto"/>
          </w:tcPr>
          <w:p>
            <w:pPr>
              <w:widowControl/>
              <w:jc w:val="center"/>
              <w:rPr>
                <w:rFonts w:eastAsia="等线"/>
                <w:kern w:val="0"/>
              </w:rPr>
            </w:pPr>
            <w:r>
              <w:t>5</w:t>
            </w:r>
            <w:r>
              <w:rPr>
                <w:rFonts w:hint="eastAsia"/>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3</w:t>
            </w:r>
          </w:p>
        </w:tc>
        <w:tc>
          <w:tcPr>
            <w:tcW w:w="348" w:type="pct"/>
            <w:vMerge w:val="continue"/>
          </w:tcPr>
          <w:p>
            <w:pPr>
              <w:widowControl/>
              <w:jc w:val="left"/>
              <w:rPr>
                <w:rFonts w:ascii="宋体" w:hAnsi="宋体" w:cs="宋体"/>
                <w:kern w:val="0"/>
              </w:rPr>
            </w:pPr>
          </w:p>
        </w:tc>
        <w:tc>
          <w:tcPr>
            <w:tcW w:w="533" w:type="pct"/>
            <w:vMerge w:val="continue"/>
          </w:tcPr>
          <w:p>
            <w:pPr>
              <w:widowControl/>
              <w:jc w:val="center"/>
            </w:pPr>
          </w:p>
        </w:tc>
        <w:tc>
          <w:tcPr>
            <w:tcW w:w="542" w:type="pct"/>
            <w:shd w:val="clear" w:color="auto" w:fill="auto"/>
            <w:noWrap/>
          </w:tcPr>
          <w:p>
            <w:pPr>
              <w:widowControl/>
              <w:jc w:val="center"/>
              <w:rPr>
                <w:rFonts w:ascii="宋体" w:hAnsi="宋体" w:cs="宋体"/>
                <w:kern w:val="0"/>
              </w:rPr>
            </w:pPr>
            <w:r>
              <w:rPr>
                <w:rFonts w:hint="eastAsia"/>
              </w:rPr>
              <w:t>去除率</w:t>
            </w:r>
          </w:p>
        </w:tc>
        <w:tc>
          <w:tcPr>
            <w:tcW w:w="540" w:type="pct"/>
            <w:shd w:val="clear" w:color="auto" w:fill="auto"/>
            <w:noWrap/>
          </w:tcPr>
          <w:p>
            <w:pPr>
              <w:widowControl/>
              <w:jc w:val="center"/>
              <w:rPr>
                <w:rFonts w:eastAsia="等线"/>
                <w:kern w:val="0"/>
              </w:rPr>
            </w:pPr>
            <w:r>
              <w:rPr>
                <w:rFonts w:hint="eastAsia"/>
              </w:rPr>
              <w:t>≥50%</w:t>
            </w:r>
          </w:p>
        </w:tc>
        <w:tc>
          <w:tcPr>
            <w:tcW w:w="541" w:type="pct"/>
            <w:shd w:val="clear" w:color="auto" w:fill="auto"/>
            <w:noWrap/>
          </w:tcPr>
          <w:p>
            <w:pPr>
              <w:widowControl/>
              <w:jc w:val="center"/>
              <w:rPr>
                <w:rFonts w:eastAsia="等线"/>
                <w:kern w:val="0"/>
              </w:rPr>
            </w:pPr>
            <w:r>
              <w:rPr>
                <w:rFonts w:hint="eastAsia"/>
              </w:rPr>
              <w:t>≥40%</w:t>
            </w:r>
          </w:p>
        </w:tc>
        <w:tc>
          <w:tcPr>
            <w:tcW w:w="540" w:type="pct"/>
            <w:shd w:val="clear" w:color="auto" w:fill="auto"/>
            <w:noWrap/>
          </w:tcPr>
          <w:p>
            <w:pPr>
              <w:widowControl/>
              <w:jc w:val="center"/>
              <w:rPr>
                <w:rFonts w:eastAsia="等线"/>
                <w:kern w:val="0"/>
              </w:rPr>
            </w:pPr>
            <w:r>
              <w:rPr>
                <w:rFonts w:hint="eastAsia"/>
              </w:rPr>
              <w:t>-</w:t>
            </w:r>
          </w:p>
        </w:tc>
        <w:tc>
          <w:tcPr>
            <w:tcW w:w="579" w:type="pct"/>
            <w:shd w:val="clear" w:color="auto" w:fill="auto"/>
            <w:noWrap/>
          </w:tcPr>
          <w:p>
            <w:pPr>
              <w:widowControl/>
              <w:jc w:val="center"/>
              <w:rPr>
                <w:rFonts w:eastAsia="等线"/>
                <w:kern w:val="0"/>
              </w:rPr>
            </w:pPr>
            <w:r>
              <w:rPr>
                <w:rFonts w:hint="eastAsia"/>
              </w:rPr>
              <w:t>-</w:t>
            </w:r>
          </w:p>
        </w:tc>
        <w:tc>
          <w:tcPr>
            <w:tcW w:w="554" w:type="pct"/>
            <w:shd w:val="clear" w:color="auto" w:fill="auto"/>
            <w:noWrap/>
          </w:tcPr>
          <w:p>
            <w:pPr>
              <w:widowControl/>
              <w:jc w:val="center"/>
              <w:rPr>
                <w:rFonts w:eastAsia="等线"/>
                <w:kern w:val="0"/>
              </w:rPr>
            </w:pPr>
            <w:r>
              <w:rPr>
                <w:rFonts w:hint="eastAsia"/>
              </w:rPr>
              <w:t>-</w:t>
            </w:r>
          </w:p>
        </w:tc>
        <w:tc>
          <w:tcPr>
            <w:tcW w:w="468" w:type="pct"/>
            <w:shd w:val="clear" w:color="auto" w:fill="auto"/>
          </w:tcPr>
          <w:p>
            <w:pPr>
              <w:widowControl/>
              <w:jc w:val="center"/>
              <w:rPr>
                <w:rFonts w:eastAsia="等线"/>
                <w:kern w:val="0"/>
              </w:rPr>
            </w:pPr>
            <w:r>
              <w:rPr>
                <w:rFonts w:hint="eastAsia"/>
              </w:rPr>
              <w:t>-</w:t>
            </w:r>
          </w:p>
        </w:tc>
      </w:tr>
    </w:tbl>
    <w:p>
      <w:pPr>
        <w:numPr>
          <w:ilvl w:val="0"/>
          <w:numId w:val="11"/>
        </w:numPr>
        <w:spacing w:line="360" w:lineRule="auto"/>
        <w:rPr>
          <w:rFonts w:ascii="楷体_GB2312" w:eastAsia="楷体_GB2312"/>
          <w:sz w:val="28"/>
        </w:rPr>
      </w:pPr>
      <w:r>
        <w:rPr>
          <w:rFonts w:hint="eastAsia" w:ascii="楷体_GB2312" w:eastAsia="楷体_GB2312"/>
          <w:sz w:val="28"/>
        </w:rPr>
        <w:t>主要设备技术性能及要求</w:t>
      </w:r>
    </w:p>
    <w:p>
      <w:pPr>
        <w:numPr>
          <w:ilvl w:val="0"/>
          <w:numId w:val="12"/>
        </w:numPr>
        <w:spacing w:line="360" w:lineRule="auto"/>
        <w:ind w:left="420"/>
        <w:rPr>
          <w:rFonts w:ascii="楷体_GB2312" w:eastAsia="楷体_GB2312"/>
          <w:sz w:val="28"/>
        </w:rPr>
      </w:pPr>
      <w:r>
        <w:rPr>
          <w:rFonts w:hint="eastAsia" w:ascii="楷体_GB2312" w:eastAsia="楷体_GB2312"/>
          <w:sz w:val="28"/>
        </w:rPr>
        <w:t>高效厌氧池主体</w:t>
      </w:r>
    </w:p>
    <w:p>
      <w:pPr>
        <w:spacing w:line="360" w:lineRule="auto"/>
        <w:ind w:left="426"/>
        <w:rPr>
          <w:rFonts w:ascii="楷体_GB2312" w:eastAsia="楷体_GB2312"/>
          <w:sz w:val="28"/>
        </w:rPr>
      </w:pPr>
      <w:r>
        <w:rPr>
          <w:rFonts w:hint="eastAsia" w:ascii="楷体_GB2312" w:eastAsia="楷体_GB2312"/>
          <w:sz w:val="28"/>
        </w:rPr>
        <w:t>（1）设计上升流速3m/h；容积负荷6.17kgCOD/(m/d)</w:t>
      </w:r>
    </w:p>
    <w:p>
      <w:pPr>
        <w:spacing w:line="360" w:lineRule="auto"/>
        <w:ind w:left="426"/>
        <w:rPr>
          <w:rFonts w:ascii="楷体_GB2312" w:eastAsia="楷体_GB2312"/>
          <w:sz w:val="28"/>
        </w:rPr>
      </w:pPr>
      <w:r>
        <w:rPr>
          <w:rFonts w:hint="eastAsia" w:ascii="楷体_GB2312" w:eastAsia="楷体_GB2312"/>
          <w:sz w:val="28"/>
        </w:rPr>
        <w:t>（2）布水装置配套多点布水均匀布水。</w:t>
      </w:r>
    </w:p>
    <w:p>
      <w:pPr>
        <w:spacing w:line="360" w:lineRule="auto"/>
        <w:ind w:left="426"/>
        <w:rPr>
          <w:rFonts w:ascii="楷体_GB2312" w:eastAsia="楷体_GB2312"/>
          <w:sz w:val="28"/>
        </w:rPr>
      </w:pPr>
      <w:r>
        <w:rPr>
          <w:rFonts w:hint="eastAsia" w:ascii="楷体_GB2312" w:eastAsia="楷体_GB2312"/>
          <w:sz w:val="28"/>
        </w:rPr>
        <w:t>（3）厌氧反应器配备两台循环泵进行内循环，一用一备。</w:t>
      </w:r>
    </w:p>
    <w:p>
      <w:pPr>
        <w:spacing w:line="360" w:lineRule="auto"/>
        <w:ind w:left="426"/>
        <w:rPr>
          <w:rFonts w:ascii="楷体_GB2312" w:eastAsia="楷体_GB2312"/>
          <w:sz w:val="28"/>
        </w:rPr>
      </w:pPr>
      <w:r>
        <w:rPr>
          <w:rFonts w:hint="eastAsia" w:ascii="楷体_GB2312" w:eastAsia="楷体_GB2312"/>
          <w:sz w:val="28"/>
        </w:rPr>
        <w:t>（4）反应器水质设计pH为</w:t>
      </w:r>
      <w:r>
        <w:rPr>
          <w:rFonts w:ascii="楷体_GB2312" w:eastAsia="楷体_GB2312"/>
          <w:sz w:val="28"/>
        </w:rPr>
        <w:t>5</w:t>
      </w:r>
      <w:r>
        <w:rPr>
          <w:rFonts w:hint="eastAsia" w:ascii="楷体_GB2312" w:eastAsia="楷体_GB2312"/>
          <w:sz w:val="28"/>
        </w:rPr>
        <w:t>.5-7.8。</w:t>
      </w:r>
    </w:p>
    <w:p>
      <w:pPr>
        <w:spacing w:line="360" w:lineRule="auto"/>
        <w:ind w:left="426"/>
        <w:rPr>
          <w:rFonts w:ascii="楷体_GB2312" w:eastAsia="楷体_GB2312"/>
          <w:sz w:val="28"/>
        </w:rPr>
      </w:pPr>
      <w:r>
        <w:rPr>
          <w:rFonts w:hint="eastAsia" w:ascii="楷体_GB2312" w:eastAsia="楷体_GB2312"/>
          <w:sz w:val="28"/>
        </w:rPr>
        <w:t>（5）反应器污泥层应该维持在出水槽以下1.5m，当污泥过多时应排泥。</w:t>
      </w:r>
    </w:p>
    <w:p>
      <w:pPr>
        <w:spacing w:line="360" w:lineRule="auto"/>
        <w:ind w:left="426"/>
        <w:rPr>
          <w:rFonts w:ascii="楷体_GB2312" w:eastAsia="楷体_GB2312"/>
          <w:sz w:val="28"/>
        </w:rPr>
      </w:pPr>
      <w:r>
        <w:rPr>
          <w:rFonts w:hint="eastAsia" w:ascii="楷体_GB2312" w:eastAsia="楷体_GB2312"/>
          <w:sz w:val="28"/>
        </w:rPr>
        <w:t>（6）厌氧反应器罐顶必须带封盖，防止废气外溢。</w:t>
      </w:r>
    </w:p>
    <w:p>
      <w:pPr>
        <w:numPr>
          <w:ilvl w:val="0"/>
          <w:numId w:val="13"/>
        </w:numPr>
        <w:spacing w:line="360" w:lineRule="auto"/>
        <w:ind w:left="420" w:firstLine="426"/>
        <w:jc w:val="left"/>
        <w:rPr>
          <w:rFonts w:ascii="楷体_GB2312" w:eastAsia="楷体_GB2312"/>
          <w:sz w:val="28"/>
        </w:rPr>
      </w:pPr>
      <w:r>
        <w:rPr>
          <w:rFonts w:hint="eastAsia" w:ascii="楷体_GB2312" w:eastAsia="楷体_GB2312"/>
          <w:sz w:val="28"/>
        </w:rPr>
        <w:t>高效厌氧池主体安装前必须按规范GB50128第4.2.2条的规定对基础进行复查，合格后安装。</w:t>
      </w:r>
    </w:p>
    <w:p>
      <w:pPr>
        <w:numPr>
          <w:ilvl w:val="0"/>
          <w:numId w:val="13"/>
        </w:numPr>
        <w:spacing w:line="360" w:lineRule="auto"/>
        <w:ind w:left="420" w:firstLine="284"/>
        <w:jc w:val="left"/>
        <w:rPr>
          <w:rFonts w:ascii="楷体_GB2312" w:eastAsia="楷体_GB2312"/>
          <w:sz w:val="28"/>
        </w:rPr>
      </w:pPr>
      <w:r>
        <w:rPr>
          <w:rFonts w:hint="eastAsia" w:ascii="楷体_GB2312" w:eastAsia="楷体_GB2312"/>
          <w:sz w:val="28"/>
        </w:rPr>
        <w:t>罐壁组装后要求：高度极限偏差为40mm；垂直度公差为32mm；局部凹凸变形应平缓，变形应≤15mm。</w:t>
      </w:r>
    </w:p>
    <w:p>
      <w:pPr>
        <w:numPr>
          <w:ilvl w:val="0"/>
          <w:numId w:val="13"/>
        </w:numPr>
        <w:spacing w:line="360" w:lineRule="auto"/>
        <w:jc w:val="left"/>
        <w:rPr>
          <w:rFonts w:ascii="楷体_GB2312" w:eastAsia="楷体_GB2312"/>
          <w:sz w:val="28"/>
        </w:rPr>
      </w:pPr>
      <w:r>
        <w:rPr>
          <w:rFonts w:hint="eastAsia" w:ascii="楷体_GB2312" w:eastAsia="楷体_GB2312"/>
          <w:sz w:val="28"/>
        </w:rPr>
        <w:t>法兰的螺栓通孔应与壳体主轴线或铅垂线跨中均布。</w:t>
      </w:r>
    </w:p>
    <w:p>
      <w:pPr>
        <w:numPr>
          <w:ilvl w:val="0"/>
          <w:numId w:val="13"/>
        </w:numPr>
        <w:spacing w:line="360" w:lineRule="auto"/>
        <w:jc w:val="left"/>
        <w:rPr>
          <w:rFonts w:ascii="楷体_GB2312" w:eastAsia="楷体_GB2312"/>
          <w:sz w:val="28"/>
        </w:rPr>
      </w:pPr>
      <w:r>
        <w:rPr>
          <w:rFonts w:hint="eastAsia" w:ascii="楷体_GB2312" w:eastAsia="楷体_GB2312"/>
          <w:sz w:val="28"/>
        </w:rPr>
        <w:t>基础沉降观测按GB50128-2014中附录B规定。</w:t>
      </w:r>
    </w:p>
    <w:p>
      <w:pPr>
        <w:numPr>
          <w:ilvl w:val="0"/>
          <w:numId w:val="13"/>
        </w:numPr>
        <w:spacing w:line="360" w:lineRule="auto"/>
        <w:jc w:val="left"/>
        <w:rPr>
          <w:rFonts w:ascii="楷体_GB2312" w:eastAsia="楷体_GB2312"/>
          <w:sz w:val="28"/>
        </w:rPr>
      </w:pPr>
      <w:r>
        <w:rPr>
          <w:rFonts w:hint="eastAsia" w:ascii="楷体_GB2312" w:eastAsia="楷体_GB2312"/>
          <w:sz w:val="28"/>
        </w:rPr>
        <w:t>设备要有防雷、防静电接地装置。</w:t>
      </w:r>
    </w:p>
    <w:p>
      <w:pPr>
        <w:numPr>
          <w:ilvl w:val="0"/>
          <w:numId w:val="13"/>
        </w:numPr>
        <w:rPr>
          <w:rFonts w:ascii="楷体_GB2312" w:eastAsia="楷体_GB2312"/>
          <w:sz w:val="28"/>
        </w:rPr>
      </w:pPr>
      <w:r>
        <w:rPr>
          <w:rFonts w:hint="eastAsia" w:ascii="楷体_GB2312" w:eastAsia="楷体_GB2312"/>
          <w:sz w:val="28"/>
        </w:rPr>
        <w:t>梯子,平台施工及验收应按GB50205-2020 &lt;&lt;钢结构工程施工质量验收规范&gt;&gt;规定。</w:t>
      </w:r>
    </w:p>
    <w:p>
      <w:pPr>
        <w:numPr>
          <w:ilvl w:val="0"/>
          <w:numId w:val="13"/>
        </w:numPr>
        <w:rPr>
          <w:rFonts w:ascii="楷体_GB2312" w:eastAsia="楷体_GB2312"/>
          <w:sz w:val="28"/>
        </w:rPr>
      </w:pPr>
      <w:r>
        <w:rPr>
          <w:rFonts w:hint="eastAsia" w:ascii="楷体_GB2312" w:eastAsia="楷体_GB2312"/>
          <w:sz w:val="28"/>
        </w:rPr>
        <w:t>梯子,平台施工及验收应按GB50205-2020 &lt;&lt;钢结构工程施工质量验收规范&gt;&gt;规定。</w:t>
      </w:r>
    </w:p>
    <w:p>
      <w:pPr>
        <w:numPr>
          <w:ilvl w:val="0"/>
          <w:numId w:val="13"/>
        </w:numPr>
        <w:rPr>
          <w:rFonts w:ascii="楷体_GB2312" w:eastAsia="楷体_GB2312"/>
          <w:sz w:val="28"/>
        </w:rPr>
      </w:pPr>
      <w:r>
        <w:rPr>
          <w:rFonts w:hint="eastAsia" w:ascii="楷体_GB2312" w:eastAsia="楷体_GB2312"/>
          <w:sz w:val="28"/>
        </w:rPr>
        <w:t>厌氧罐应在防腐蚀处理前进行罐底盛水试漏，试漏合格后立即将水渍清除干净。</w:t>
      </w:r>
    </w:p>
    <w:p>
      <w:pPr>
        <w:numPr>
          <w:ilvl w:val="0"/>
          <w:numId w:val="13"/>
        </w:numPr>
        <w:rPr>
          <w:rFonts w:ascii="楷体_GB2312" w:eastAsia="楷体_GB2312"/>
          <w:sz w:val="28"/>
        </w:rPr>
      </w:pPr>
      <w:r>
        <w:rPr>
          <w:rFonts w:hint="eastAsia" w:ascii="楷体_GB2312" w:eastAsia="楷体_GB2312"/>
          <w:sz w:val="28"/>
        </w:rPr>
        <w:t>厌氧罐建造完毕后，以不低于5℃洁净的淡水进行盛水试漏。水中的氯离子含量≤25ppm。</w:t>
      </w:r>
    </w:p>
    <w:p>
      <w:pPr>
        <w:ind w:left="845"/>
        <w:rPr>
          <w:rFonts w:ascii="楷体_GB2312" w:eastAsia="楷体_GB2312"/>
          <w:sz w:val="28"/>
        </w:rPr>
      </w:pPr>
      <w:r>
        <w:rPr>
          <w:rFonts w:hint="eastAsia" w:ascii="楷体_GB2312" w:eastAsia="楷体_GB2312"/>
          <w:sz w:val="28"/>
        </w:rPr>
        <w:t>a.罐底严密性:充水试验过程中罐底无渗漏为合格.</w:t>
      </w:r>
    </w:p>
    <w:p>
      <w:pPr>
        <w:ind w:left="845"/>
        <w:rPr>
          <w:rFonts w:ascii="楷体_GB2312" w:eastAsia="楷体_GB2312"/>
          <w:sz w:val="28"/>
        </w:rPr>
      </w:pPr>
      <w:r>
        <w:rPr>
          <w:rFonts w:hint="eastAsia" w:ascii="楷体_GB2312" w:eastAsia="楷体_GB2312"/>
          <w:sz w:val="28"/>
        </w:rPr>
        <w:t>b.罐壁强度及严密性:充水到16500mm并保持48h后,罐壁无渗漏,无异常变形为合格。</w:t>
      </w:r>
    </w:p>
    <w:p>
      <w:pPr>
        <w:numPr>
          <w:ilvl w:val="0"/>
          <w:numId w:val="13"/>
        </w:numPr>
        <w:rPr>
          <w:rFonts w:ascii="楷体_GB2312" w:eastAsia="楷体_GB2312"/>
          <w:sz w:val="28"/>
        </w:rPr>
      </w:pPr>
      <w:r>
        <w:rPr>
          <w:rFonts w:hint="eastAsia" w:ascii="楷体_GB2312" w:eastAsia="楷体_GB2312"/>
          <w:sz w:val="28"/>
        </w:rPr>
        <w:t>配套各类法兰接口、盘梯、检修平台、连接平台、保温系统等。</w:t>
      </w:r>
    </w:p>
    <w:p>
      <w:pPr>
        <w:numPr>
          <w:ilvl w:val="0"/>
          <w:numId w:val="13"/>
        </w:numPr>
        <w:spacing w:line="360" w:lineRule="auto"/>
        <w:jc w:val="left"/>
        <w:rPr>
          <w:rFonts w:ascii="楷体_GB2312" w:eastAsia="楷体_GB2312"/>
          <w:sz w:val="28"/>
        </w:rPr>
      </w:pPr>
      <w:r>
        <w:rPr>
          <w:rFonts w:hint="eastAsia" w:ascii="楷体_GB2312" w:eastAsia="楷体_GB2312"/>
          <w:sz w:val="28"/>
        </w:rPr>
        <w:t xml:space="preserve">保温材料：岩棉/橡塑；保温厚度：100mm（在保证反应器反应温度下，也可以适当调整），外壳带金属保护板。 </w:t>
      </w:r>
      <w:r>
        <w:rPr>
          <w:rFonts w:ascii="楷体_GB2312" w:eastAsia="楷体_GB2312"/>
          <w:sz w:val="28"/>
        </w:rPr>
        <w:t xml:space="preserve">  </w:t>
      </w:r>
    </w:p>
    <w:p>
      <w:pPr>
        <w:numPr>
          <w:ilvl w:val="0"/>
          <w:numId w:val="12"/>
        </w:numPr>
        <w:spacing w:line="360" w:lineRule="auto"/>
        <w:ind w:left="420" w:firstLine="330" w:firstLineChars="118"/>
        <w:rPr>
          <w:rFonts w:ascii="楷体_GB2312" w:eastAsia="楷体_GB2312"/>
          <w:sz w:val="28"/>
        </w:rPr>
      </w:pPr>
      <w:r>
        <w:rPr>
          <w:rFonts w:hint="eastAsia" w:ascii="楷体_GB2312" w:eastAsia="楷体_GB2312"/>
          <w:sz w:val="28"/>
        </w:rPr>
        <w:t>布水装置要求</w:t>
      </w:r>
    </w:p>
    <w:p>
      <w:pPr>
        <w:spacing w:line="360" w:lineRule="auto"/>
        <w:ind w:firstLine="700" w:firstLineChars="250"/>
        <w:rPr>
          <w:rFonts w:ascii="楷体_GB2312" w:eastAsia="楷体_GB2312"/>
          <w:sz w:val="28"/>
        </w:rPr>
      </w:pPr>
      <w:r>
        <w:rPr>
          <w:rFonts w:hint="eastAsia" w:ascii="楷体_GB2312" w:eastAsia="楷体_GB2312"/>
          <w:sz w:val="28"/>
        </w:rPr>
        <w:t>布水器出水具备搅拌能力。</w:t>
      </w:r>
    </w:p>
    <w:p>
      <w:pPr>
        <w:numPr>
          <w:ilvl w:val="0"/>
          <w:numId w:val="12"/>
        </w:numPr>
        <w:spacing w:line="360" w:lineRule="auto"/>
        <w:ind w:left="420" w:firstLine="330" w:firstLineChars="118"/>
        <w:rPr>
          <w:rFonts w:ascii="楷体_GB2312" w:eastAsia="楷体_GB2312"/>
          <w:sz w:val="28"/>
        </w:rPr>
      </w:pPr>
      <w:r>
        <w:rPr>
          <w:rFonts w:hint="eastAsia" w:ascii="楷体_GB2312" w:eastAsia="楷体_GB2312"/>
          <w:sz w:val="28"/>
        </w:rPr>
        <w:t>厌氧专用多点布水</w:t>
      </w:r>
    </w:p>
    <w:p>
      <w:pPr>
        <w:spacing w:line="360" w:lineRule="auto"/>
        <w:ind w:firstLine="700" w:firstLineChars="250"/>
        <w:rPr>
          <w:rFonts w:ascii="楷体_GB2312" w:eastAsia="楷体_GB2312"/>
          <w:sz w:val="28"/>
        </w:rPr>
      </w:pPr>
      <w:r>
        <w:rPr>
          <w:rFonts w:hint="eastAsia" w:ascii="楷体_GB2312" w:eastAsia="楷体_GB2312"/>
          <w:sz w:val="28"/>
        </w:rPr>
        <w:t>布水系统应满足防腐蚀要求，且应做到不堵塞、搅拌及冲洗功能全面，布水系统无搅拌死角。应考虑管道间的固定应牢固防止管道脱出或滑落。</w:t>
      </w:r>
    </w:p>
    <w:p>
      <w:pPr>
        <w:numPr>
          <w:ilvl w:val="0"/>
          <w:numId w:val="12"/>
        </w:numPr>
        <w:spacing w:line="360" w:lineRule="auto"/>
        <w:ind w:left="420" w:firstLine="330" w:firstLineChars="118"/>
        <w:rPr>
          <w:rFonts w:ascii="楷体_GB2312" w:eastAsia="楷体_GB2312"/>
          <w:sz w:val="28"/>
        </w:rPr>
      </w:pPr>
      <w:r>
        <w:rPr>
          <w:rFonts w:hint="eastAsia" w:ascii="楷体_GB2312" w:eastAsia="楷体_GB2312"/>
          <w:sz w:val="28"/>
        </w:rPr>
        <w:t>三相分离器</w:t>
      </w:r>
    </w:p>
    <w:p>
      <w:pPr>
        <w:spacing w:line="360" w:lineRule="auto"/>
        <w:ind w:firstLine="750" w:firstLineChars="268"/>
        <w:rPr>
          <w:rFonts w:ascii="楷体_GB2312" w:eastAsia="楷体_GB2312"/>
          <w:sz w:val="28"/>
        </w:rPr>
      </w:pPr>
      <w:r>
        <w:rPr>
          <w:rFonts w:hint="eastAsia" w:ascii="楷体_GB2312" w:eastAsia="楷体_GB2312"/>
          <w:sz w:val="28"/>
        </w:rPr>
        <w:t>三相分离器应具备能收集从分离器下面的反应区产生的沼气和使在分离器之上的悬浮物沉淀下来的功能。</w:t>
      </w:r>
    </w:p>
    <w:p>
      <w:pPr>
        <w:spacing w:line="360" w:lineRule="auto"/>
        <w:ind w:left="420" w:firstLine="480"/>
        <w:rPr>
          <w:rFonts w:ascii="楷体_GB2312" w:eastAsia="楷体_GB2312"/>
          <w:sz w:val="28"/>
        </w:rPr>
      </w:pPr>
      <w:r>
        <w:rPr>
          <w:rFonts w:hint="eastAsia" w:ascii="楷体_GB2312" w:eastAsia="楷体_GB2312"/>
          <w:sz w:val="28"/>
        </w:rPr>
        <w:t>集气室的倾角应在 45-60°之间，并且壁面应光滑</w:t>
      </w:r>
    </w:p>
    <w:p>
      <w:pPr>
        <w:spacing w:line="360" w:lineRule="auto"/>
        <w:ind w:left="420" w:firstLine="480"/>
        <w:rPr>
          <w:rFonts w:ascii="楷体_GB2312" w:eastAsia="楷体_GB2312"/>
          <w:sz w:val="28"/>
        </w:rPr>
      </w:pPr>
      <w:r>
        <w:rPr>
          <w:rFonts w:hint="eastAsia" w:ascii="楷体_GB2312" w:eastAsia="楷体_GB2312"/>
          <w:sz w:val="28"/>
        </w:rPr>
        <w:t>反应器最小的过水断面面积应是淀区出水截面面积的 15%-20%；</w:t>
      </w:r>
    </w:p>
    <w:p>
      <w:pPr>
        <w:spacing w:line="360" w:lineRule="auto"/>
        <w:ind w:left="420" w:firstLine="480"/>
        <w:rPr>
          <w:rFonts w:ascii="楷体_GB2312" w:eastAsia="楷体_GB2312"/>
          <w:sz w:val="28"/>
        </w:rPr>
      </w:pPr>
      <w:r>
        <w:rPr>
          <w:rFonts w:hint="eastAsia" w:ascii="楷体_GB2312" w:eastAsia="楷体_GB2312"/>
          <w:sz w:val="28"/>
        </w:rPr>
        <w:t>反射维体与集气室挡板之间重叠部分的宽度应该在 10-20cm 之间</w:t>
      </w:r>
    </w:p>
    <w:p>
      <w:pPr>
        <w:spacing w:line="360" w:lineRule="auto"/>
        <w:ind w:left="420" w:firstLine="480"/>
        <w:rPr>
          <w:rFonts w:ascii="楷体_GB2312" w:eastAsia="楷体_GB2312"/>
          <w:sz w:val="28"/>
        </w:rPr>
      </w:pPr>
      <w:r>
        <w:rPr>
          <w:rFonts w:hint="eastAsia" w:ascii="楷体_GB2312" w:eastAsia="楷体_GB2312"/>
          <w:sz w:val="28"/>
        </w:rPr>
        <w:t>气室出气管的直径应该足够大，以保证在有浮沫的情况下，气体也能顺利排出；</w:t>
      </w:r>
    </w:p>
    <w:p>
      <w:pPr>
        <w:numPr>
          <w:ilvl w:val="0"/>
          <w:numId w:val="12"/>
        </w:numPr>
        <w:spacing w:line="360" w:lineRule="auto"/>
        <w:ind w:left="420" w:firstLine="330" w:firstLineChars="118"/>
        <w:rPr>
          <w:rFonts w:ascii="楷体_GB2312" w:eastAsia="楷体_GB2312"/>
          <w:sz w:val="28"/>
        </w:rPr>
      </w:pPr>
      <w:r>
        <w:rPr>
          <w:rFonts w:hint="eastAsia" w:ascii="楷体_GB2312" w:eastAsia="楷体_GB2312"/>
          <w:sz w:val="28"/>
        </w:rPr>
        <w:t>三相分离器支架</w:t>
      </w:r>
    </w:p>
    <w:p>
      <w:pPr>
        <w:spacing w:line="360" w:lineRule="auto"/>
        <w:ind w:firstLine="480"/>
        <w:rPr>
          <w:rFonts w:ascii="楷体_GB2312" w:eastAsia="楷体_GB2312"/>
          <w:sz w:val="28"/>
        </w:rPr>
      </w:pPr>
      <w:r>
        <w:rPr>
          <w:rFonts w:hint="eastAsia" w:ascii="楷体_GB2312" w:eastAsia="楷体_GB2312"/>
          <w:sz w:val="28"/>
        </w:rPr>
        <w:t>三相分离器支架应具备支撑三相分离器的功能。</w:t>
      </w:r>
    </w:p>
    <w:p>
      <w:pPr>
        <w:spacing w:line="360" w:lineRule="auto"/>
        <w:ind w:firstLine="480"/>
        <w:rPr>
          <w:rFonts w:ascii="楷体_GB2312" w:eastAsia="楷体_GB2312"/>
          <w:sz w:val="28"/>
        </w:rPr>
      </w:pPr>
      <w:r>
        <w:rPr>
          <w:rFonts w:hint="eastAsia" w:ascii="楷体_GB2312" w:eastAsia="楷体_GB2312"/>
          <w:sz w:val="28"/>
        </w:rPr>
        <w:t>支架至少承重2t。材质碳钢防腐；防腐采用环氧煤沥青漆。</w:t>
      </w:r>
    </w:p>
    <w:p>
      <w:pPr>
        <w:numPr>
          <w:ilvl w:val="0"/>
          <w:numId w:val="12"/>
        </w:numPr>
        <w:spacing w:line="360" w:lineRule="auto"/>
        <w:ind w:left="420" w:firstLine="330" w:firstLineChars="118"/>
        <w:rPr>
          <w:rFonts w:ascii="楷体_GB2312" w:eastAsia="楷体_GB2312"/>
          <w:sz w:val="28"/>
        </w:rPr>
      </w:pPr>
      <w:r>
        <w:rPr>
          <w:rFonts w:hint="eastAsia" w:ascii="楷体_GB2312" w:eastAsia="楷体_GB2312"/>
          <w:sz w:val="28"/>
        </w:rPr>
        <w:t>出水装置</w:t>
      </w:r>
    </w:p>
    <w:p>
      <w:pPr>
        <w:spacing w:line="360" w:lineRule="auto"/>
        <w:ind w:firstLine="495" w:firstLineChars="177"/>
        <w:rPr>
          <w:rFonts w:ascii="楷体_GB2312" w:eastAsia="楷体_GB2312"/>
          <w:sz w:val="28"/>
        </w:rPr>
      </w:pPr>
      <w:r>
        <w:rPr>
          <w:rFonts w:hint="eastAsia" w:ascii="楷体_GB2312" w:eastAsia="楷体_GB2312"/>
          <w:sz w:val="28"/>
        </w:rPr>
        <w:t>出水装置应具备防腐功能，且满足出水平稳要求。</w:t>
      </w:r>
    </w:p>
    <w:p>
      <w:pPr>
        <w:spacing w:line="360" w:lineRule="auto"/>
        <w:ind w:firstLine="560" w:firstLineChars="200"/>
        <w:rPr>
          <w:rFonts w:ascii="楷体_GB2312" w:eastAsia="楷体_GB2312"/>
          <w:sz w:val="28"/>
        </w:rPr>
      </w:pPr>
      <w:r>
        <w:rPr>
          <w:rFonts w:hint="eastAsia" w:ascii="楷体_GB2312" w:eastAsia="楷体_GB2312"/>
          <w:sz w:val="28"/>
        </w:rPr>
        <w:t>厌氧反应器出水装置需考虑与池体间的连接及固定，并配套相关连接件（如垫片、螺栓等）。</w:t>
      </w:r>
    </w:p>
    <w:p>
      <w:pPr>
        <w:numPr>
          <w:ilvl w:val="0"/>
          <w:numId w:val="12"/>
        </w:numPr>
        <w:spacing w:line="360" w:lineRule="auto"/>
        <w:ind w:left="420" w:firstLine="330" w:firstLineChars="118"/>
        <w:rPr>
          <w:rFonts w:ascii="楷体_GB2312" w:eastAsia="楷体_GB2312"/>
          <w:sz w:val="28"/>
        </w:rPr>
      </w:pPr>
      <w:r>
        <w:rPr>
          <w:rFonts w:hint="eastAsia" w:ascii="楷体_GB2312" w:eastAsia="楷体_GB2312"/>
          <w:sz w:val="28"/>
        </w:rPr>
        <w:t>排泥装置</w:t>
      </w:r>
    </w:p>
    <w:p>
      <w:pPr>
        <w:spacing w:line="360" w:lineRule="auto"/>
        <w:ind w:firstLine="775" w:firstLineChars="277"/>
        <w:rPr>
          <w:rFonts w:ascii="楷体_GB2312" w:eastAsia="楷体_GB2312"/>
          <w:sz w:val="28"/>
        </w:rPr>
      </w:pPr>
      <w:r>
        <w:rPr>
          <w:rFonts w:hint="eastAsia" w:ascii="楷体_GB2312" w:eastAsia="楷体_GB2312"/>
          <w:sz w:val="28"/>
        </w:rPr>
        <w:t>排泥装置应满足防腐蚀要求，且应做到不堵塞，无排泥死角。</w:t>
      </w:r>
    </w:p>
    <w:p>
      <w:pPr>
        <w:spacing w:line="360" w:lineRule="auto"/>
        <w:ind w:firstLine="775" w:firstLineChars="277"/>
        <w:rPr>
          <w:rFonts w:ascii="楷体_GB2312" w:eastAsia="楷体_GB2312"/>
          <w:sz w:val="28"/>
        </w:rPr>
      </w:pPr>
      <w:r>
        <w:rPr>
          <w:rFonts w:hint="eastAsia" w:ascii="楷体_GB2312" w:eastAsia="楷体_GB2312"/>
          <w:sz w:val="28"/>
        </w:rPr>
        <w:t>应考虑管道间的固定应牢固，防止管道脱出或滑落。</w:t>
      </w:r>
    </w:p>
    <w:p>
      <w:pPr>
        <w:spacing w:line="360" w:lineRule="auto"/>
        <w:ind w:firstLine="775" w:firstLineChars="277"/>
        <w:rPr>
          <w:rFonts w:ascii="楷体_GB2312" w:eastAsia="楷体_GB2312"/>
          <w:sz w:val="28"/>
        </w:rPr>
      </w:pPr>
      <w:r>
        <w:rPr>
          <w:rFonts w:hint="eastAsia" w:ascii="楷体_GB2312" w:eastAsia="楷体_GB2312"/>
          <w:sz w:val="28"/>
        </w:rPr>
        <w:t>排泥装置应预留接口用于排空及反向冲洗。</w:t>
      </w:r>
    </w:p>
    <w:p>
      <w:pPr>
        <w:numPr>
          <w:ilvl w:val="0"/>
          <w:numId w:val="12"/>
        </w:numPr>
        <w:spacing w:line="360" w:lineRule="auto"/>
        <w:ind w:left="420" w:firstLine="330" w:firstLineChars="118"/>
        <w:rPr>
          <w:rFonts w:ascii="楷体_GB2312" w:eastAsia="楷体_GB2312"/>
          <w:sz w:val="28"/>
        </w:rPr>
      </w:pPr>
      <w:r>
        <w:rPr>
          <w:rFonts w:hint="eastAsia" w:ascii="楷体_GB2312" w:eastAsia="楷体_GB2312"/>
          <w:sz w:val="28"/>
        </w:rPr>
        <w:t>防腐要求</w:t>
      </w:r>
    </w:p>
    <w:p>
      <w:pPr>
        <w:spacing w:line="360" w:lineRule="auto"/>
        <w:ind w:firstLine="700" w:firstLineChars="250"/>
        <w:rPr>
          <w:rFonts w:ascii="楷体_GB2312" w:eastAsia="楷体_GB2312"/>
          <w:sz w:val="28"/>
        </w:rPr>
      </w:pPr>
      <w:r>
        <w:rPr>
          <w:rFonts w:ascii="楷体_GB2312" w:eastAsia="楷体_GB2312"/>
          <w:sz w:val="28"/>
        </w:rPr>
        <w:t>8.</w:t>
      </w:r>
      <w:r>
        <w:rPr>
          <w:rFonts w:hint="eastAsia" w:ascii="楷体_GB2312" w:eastAsia="楷体_GB2312"/>
          <w:sz w:val="28"/>
        </w:rPr>
        <w:t>1不锈钢部件加工完后对其进行表面酸洗钝化处理；</w:t>
      </w:r>
    </w:p>
    <w:p>
      <w:pPr>
        <w:spacing w:line="360" w:lineRule="auto"/>
        <w:ind w:firstLine="700" w:firstLineChars="250"/>
        <w:rPr>
          <w:rFonts w:ascii="楷体_GB2312" w:eastAsia="楷体_GB2312"/>
          <w:sz w:val="28"/>
        </w:rPr>
      </w:pPr>
      <w:r>
        <w:rPr>
          <w:rFonts w:ascii="楷体_GB2312" w:eastAsia="楷体_GB2312"/>
          <w:sz w:val="28"/>
        </w:rPr>
        <w:t>8.2</w:t>
      </w:r>
      <w:r>
        <w:rPr>
          <w:rFonts w:hint="eastAsia" w:ascii="楷体_GB2312" w:eastAsia="楷体_GB2312"/>
          <w:sz w:val="28"/>
        </w:rPr>
        <w:t>碳钢件、铸件表面除锈达Sa2.5级标准；</w:t>
      </w:r>
    </w:p>
    <w:p>
      <w:pPr>
        <w:spacing w:line="360" w:lineRule="auto"/>
        <w:ind w:firstLine="700" w:firstLineChars="250"/>
        <w:rPr>
          <w:rFonts w:ascii="楷体_GB2312" w:eastAsia="楷体_GB2312"/>
          <w:sz w:val="28"/>
        </w:rPr>
      </w:pPr>
      <w:r>
        <w:rPr>
          <w:rFonts w:ascii="楷体_GB2312" w:eastAsia="楷体_GB2312"/>
          <w:sz w:val="28"/>
        </w:rPr>
        <w:t>8.3</w:t>
      </w:r>
      <w:r>
        <w:rPr>
          <w:rFonts w:hint="eastAsia" w:ascii="楷体_GB2312" w:eastAsia="楷体_GB2312"/>
          <w:sz w:val="28"/>
        </w:rPr>
        <w:t>包装前对机加工面按GB/T 4879-2016标准要求做防腐处理；</w:t>
      </w:r>
    </w:p>
    <w:p>
      <w:pPr>
        <w:spacing w:line="360" w:lineRule="auto"/>
        <w:ind w:firstLine="700" w:firstLineChars="250"/>
        <w:rPr>
          <w:rFonts w:ascii="楷体_GB2312" w:eastAsia="楷体_GB2312"/>
          <w:sz w:val="28"/>
        </w:rPr>
      </w:pPr>
      <w:r>
        <w:rPr>
          <w:rFonts w:ascii="楷体_GB2312" w:eastAsia="楷体_GB2312"/>
          <w:sz w:val="28"/>
        </w:rPr>
        <w:t>8.4</w:t>
      </w:r>
      <w:r>
        <w:rPr>
          <w:rFonts w:hint="eastAsia" w:ascii="楷体_GB2312" w:eastAsia="楷体_GB2312"/>
          <w:sz w:val="28"/>
        </w:rPr>
        <w:t>运输安装过程中涂层破损，严格按涂。</w:t>
      </w:r>
    </w:p>
    <w:p>
      <w:pPr>
        <w:spacing w:line="360" w:lineRule="auto"/>
        <w:ind w:firstLine="700" w:firstLineChars="250"/>
        <w:rPr>
          <w:rFonts w:ascii="楷体_GB2312" w:eastAsia="楷体_GB2312"/>
          <w:sz w:val="28"/>
        </w:rPr>
      </w:pPr>
      <w:r>
        <w:rPr>
          <w:rFonts w:ascii="楷体_GB2312" w:eastAsia="楷体_GB2312"/>
          <w:sz w:val="28"/>
        </w:rPr>
        <w:t>8.5</w:t>
      </w:r>
      <w:r>
        <w:rPr>
          <w:rFonts w:hint="eastAsia" w:ascii="楷体_GB2312" w:eastAsia="楷体_GB2312"/>
          <w:sz w:val="28"/>
        </w:rPr>
        <w:t>设备外表面涂漆层或化学处理层应平整、光滑、色泽均匀，无油污、压痕和其他机械损伤。</w:t>
      </w:r>
    </w:p>
    <w:p>
      <w:pPr>
        <w:spacing w:line="360" w:lineRule="auto"/>
        <w:ind w:firstLine="700" w:firstLineChars="250"/>
        <w:rPr>
          <w:rFonts w:ascii="楷体_GB2312" w:eastAsia="楷体_GB2312"/>
          <w:sz w:val="28"/>
        </w:rPr>
      </w:pPr>
      <w:r>
        <w:rPr>
          <w:rFonts w:hint="eastAsia" w:ascii="楷体_GB2312" w:eastAsia="楷体_GB2312"/>
          <w:sz w:val="28"/>
        </w:rPr>
        <w:t>9</w:t>
      </w:r>
      <w:r>
        <w:rPr>
          <w:rFonts w:ascii="楷体_GB2312" w:eastAsia="楷体_GB2312"/>
          <w:sz w:val="28"/>
        </w:rPr>
        <w:t>.</w:t>
      </w:r>
      <w:r>
        <w:rPr>
          <w:rFonts w:hint="eastAsia" w:ascii="楷体_GB2312" w:eastAsia="楷体_GB2312"/>
          <w:sz w:val="28"/>
        </w:rPr>
        <w:t>其它要求</w:t>
      </w:r>
    </w:p>
    <w:p>
      <w:pPr>
        <w:spacing w:line="360" w:lineRule="auto"/>
        <w:ind w:firstLine="700" w:firstLineChars="250"/>
        <w:rPr>
          <w:rFonts w:ascii="楷体_GB2312" w:eastAsia="楷体_GB2312"/>
          <w:sz w:val="28"/>
        </w:rPr>
      </w:pPr>
      <w:r>
        <w:rPr>
          <w:rFonts w:ascii="楷体_GB2312" w:eastAsia="楷体_GB2312"/>
          <w:sz w:val="28"/>
        </w:rPr>
        <w:t>9</w:t>
      </w:r>
      <w:r>
        <w:rPr>
          <w:rFonts w:hint="eastAsia" w:ascii="楷体_GB2312" w:eastAsia="楷体_GB2312"/>
          <w:sz w:val="28"/>
        </w:rPr>
        <w:t>.</w:t>
      </w:r>
      <w:r>
        <w:rPr>
          <w:rFonts w:ascii="楷体_GB2312" w:eastAsia="楷体_GB2312"/>
          <w:sz w:val="28"/>
        </w:rPr>
        <w:t>1</w:t>
      </w:r>
      <w:r>
        <w:rPr>
          <w:rFonts w:hint="eastAsia" w:ascii="楷体_GB2312" w:eastAsia="楷体_GB2312"/>
          <w:sz w:val="28"/>
        </w:rPr>
        <w:t>严禁选用列入工信部四批高耗能落后机电设备（产品）淘汰目录中的设备和产品，鼓励选用工信部节能机电产品设备名录中的机电设备，要求选用的机电设备能效等级满足二级以上能效标准。</w:t>
      </w:r>
    </w:p>
    <w:p>
      <w:pPr>
        <w:spacing w:line="360" w:lineRule="auto"/>
        <w:ind w:firstLine="700" w:firstLineChars="250"/>
        <w:rPr>
          <w:rFonts w:ascii="楷体_GB2312" w:eastAsia="楷体_GB2312"/>
          <w:sz w:val="28"/>
        </w:rPr>
      </w:pPr>
      <w:r>
        <w:rPr>
          <w:rFonts w:ascii="楷体_GB2312" w:eastAsia="楷体_GB2312"/>
          <w:sz w:val="28"/>
        </w:rPr>
        <w:t>9.2</w:t>
      </w:r>
      <w:r>
        <w:rPr>
          <w:rFonts w:hint="eastAsia" w:ascii="楷体_GB2312" w:eastAsia="楷体_GB2312"/>
          <w:sz w:val="28"/>
        </w:rPr>
        <w:t>涉及到不锈钢焊接均应采取氩弧焊接，所有的碳钢管道均需根据国家标准要求进行防腐刷漆处理，并标明介质流向。</w:t>
      </w:r>
    </w:p>
    <w:p>
      <w:pPr>
        <w:spacing w:line="360" w:lineRule="auto"/>
        <w:ind w:firstLine="700" w:firstLineChars="250"/>
        <w:rPr>
          <w:rFonts w:ascii="楷体_GB2312" w:eastAsia="楷体_GB2312"/>
          <w:sz w:val="28"/>
        </w:rPr>
      </w:pPr>
      <w:r>
        <w:rPr>
          <w:rFonts w:ascii="楷体_GB2312" w:eastAsia="楷体_GB2312"/>
          <w:sz w:val="28"/>
        </w:rPr>
        <w:t>9.3</w:t>
      </w:r>
      <w:r>
        <w:rPr>
          <w:rFonts w:hint="eastAsia" w:ascii="楷体_GB2312" w:eastAsia="楷体_GB2312"/>
          <w:sz w:val="28"/>
        </w:rPr>
        <w:t>所有的安装施工完成后须能够满足使用要求，施工现场清理干净，垃圾清理出厂。</w:t>
      </w:r>
    </w:p>
    <w:p>
      <w:pPr>
        <w:spacing w:line="360" w:lineRule="auto"/>
        <w:rPr>
          <w:rFonts w:ascii="楷体_GB2312" w:hAnsi="宋体" w:eastAsia="楷体_GB2312"/>
          <w:b/>
          <w:sz w:val="30"/>
        </w:rPr>
      </w:pPr>
      <w:r>
        <w:rPr>
          <w:rFonts w:hint="eastAsia" w:ascii="楷体_GB2312" w:hAnsi="宋体" w:eastAsia="楷体_GB2312"/>
          <w:b/>
          <w:sz w:val="30"/>
        </w:rPr>
        <w:t>第六章 性能保证</w:t>
      </w:r>
    </w:p>
    <w:p>
      <w:pPr>
        <w:numPr>
          <w:ilvl w:val="1"/>
          <w:numId w:val="14"/>
        </w:numPr>
        <w:spacing w:line="360" w:lineRule="auto"/>
        <w:rPr>
          <w:rFonts w:ascii="楷体_GB2312" w:eastAsia="楷体_GB2312"/>
          <w:b/>
          <w:bCs/>
          <w:sz w:val="28"/>
          <w:szCs w:val="28"/>
        </w:rPr>
      </w:pPr>
      <w:r>
        <w:rPr>
          <w:rFonts w:hint="eastAsia" w:ascii="楷体_GB2312" w:eastAsia="楷体_GB2312"/>
          <w:b/>
          <w:bCs/>
          <w:sz w:val="28"/>
          <w:szCs w:val="28"/>
        </w:rPr>
        <w:t>性能保证</w:t>
      </w:r>
    </w:p>
    <w:p>
      <w:pPr>
        <w:ind w:firstLine="480"/>
        <w:rPr>
          <w:rFonts w:ascii="楷体_GB2312" w:eastAsia="楷体_GB2312"/>
          <w:sz w:val="28"/>
          <w:szCs w:val="28"/>
        </w:rPr>
      </w:pPr>
      <w:r>
        <w:rPr>
          <w:rFonts w:hint="eastAsia" w:ascii="楷体_GB2312" w:eastAsia="楷体_GB2312"/>
          <w:sz w:val="28"/>
          <w:szCs w:val="28"/>
        </w:rPr>
        <w:t>1.乙方应保证其所提供的设备是全新的，未使用过的，采用最新设计和合适材料制造的，并满足技术规范中规定的所有质量、规格和性能要求。材料送达后，双方对货物的数量、规格参数、外观进行静态验收。</w:t>
      </w:r>
    </w:p>
    <w:p>
      <w:pPr>
        <w:ind w:firstLine="480"/>
        <w:rPr>
          <w:rFonts w:ascii="楷体_GB2312" w:eastAsia="楷体_GB2312"/>
          <w:sz w:val="28"/>
          <w:szCs w:val="28"/>
        </w:rPr>
      </w:pPr>
      <w:r>
        <w:rPr>
          <w:rFonts w:hint="eastAsia" w:ascii="楷体_GB2312" w:eastAsia="楷体_GB2312"/>
          <w:sz w:val="28"/>
          <w:szCs w:val="28"/>
        </w:rPr>
        <w:t>2.在完成系统指导安装、调试后，将在甲方的监督下，按系统要求的程序进行试运转，由乙方的人员指导甲方进行操作，并进行必要的试运行来证明其所供设备情况良好，且符合合同中的要求，试运行后设备即可交付甲方作正常运行用。</w:t>
      </w:r>
    </w:p>
    <w:p>
      <w:pPr>
        <w:ind w:firstLine="480"/>
        <w:rPr>
          <w:rFonts w:ascii="楷体_GB2312" w:eastAsia="楷体_GB2312"/>
          <w:sz w:val="28"/>
          <w:szCs w:val="28"/>
        </w:rPr>
      </w:pPr>
      <w:r>
        <w:rPr>
          <w:rFonts w:hint="eastAsia" w:ascii="楷体_GB2312" w:eastAsia="楷体_GB2312"/>
          <w:sz w:val="28"/>
          <w:szCs w:val="28"/>
        </w:rPr>
        <w:t>3.使用寿命不少于20年；</w:t>
      </w:r>
    </w:p>
    <w:p>
      <w:pPr>
        <w:ind w:firstLine="480"/>
        <w:rPr>
          <w:rFonts w:ascii="楷体_GB2312" w:eastAsia="楷体_GB2312"/>
          <w:sz w:val="28"/>
          <w:szCs w:val="28"/>
        </w:rPr>
      </w:pPr>
      <w:r>
        <w:rPr>
          <w:rFonts w:hint="eastAsia" w:ascii="楷体_GB2312" w:eastAsia="楷体_GB2312"/>
          <w:sz w:val="28"/>
          <w:szCs w:val="28"/>
        </w:rPr>
        <w:t>4．乙方制作的厌氧反馈器在工艺设计、检测和控制、施工与验收、运行与维护等技术要求应符合HJ 2023-2012《厌氧颗粒污泥膨胀床反应器废水处理工程技术规范》的规定。</w:t>
      </w:r>
    </w:p>
    <w:p>
      <w:pPr>
        <w:numPr>
          <w:ilvl w:val="1"/>
          <w:numId w:val="14"/>
        </w:numPr>
        <w:spacing w:line="360" w:lineRule="auto"/>
        <w:rPr>
          <w:rFonts w:ascii="楷体_GB2312" w:eastAsia="楷体_GB2312"/>
          <w:b/>
          <w:bCs/>
          <w:sz w:val="28"/>
          <w:szCs w:val="28"/>
        </w:rPr>
      </w:pPr>
      <w:r>
        <w:rPr>
          <w:rFonts w:hint="eastAsia" w:ascii="楷体_GB2312" w:eastAsia="楷体_GB2312"/>
          <w:b/>
          <w:bCs/>
          <w:sz w:val="28"/>
          <w:szCs w:val="28"/>
        </w:rPr>
        <w:t>性能考核</w:t>
      </w:r>
    </w:p>
    <w:p>
      <w:pPr>
        <w:ind w:firstLine="480"/>
        <w:rPr>
          <w:rFonts w:ascii="楷体_GB2312" w:eastAsia="楷体_GB2312"/>
          <w:sz w:val="28"/>
          <w:szCs w:val="28"/>
        </w:rPr>
      </w:pPr>
      <w:r>
        <w:rPr>
          <w:rFonts w:hint="eastAsia" w:ascii="楷体_GB2312" w:eastAsia="楷体_GB2312"/>
          <w:sz w:val="28"/>
          <w:szCs w:val="28"/>
        </w:rPr>
        <w:t>1.本工艺包联动试车完成，出水基本达标后，乙方向业主方提出考核申请，在7天内对工艺系统进行性能考核。考核由乙方主持，由业主方人员进行操作（包括但不限于设备操作、提供公用工程及药剂、水质化验分析、共同参与性能考核、出具验收报告等工作）。</w:t>
      </w:r>
    </w:p>
    <w:p>
      <w:pPr>
        <w:ind w:firstLine="480"/>
        <w:rPr>
          <w:rFonts w:ascii="楷体_GB2312" w:eastAsia="楷体_GB2312"/>
          <w:sz w:val="28"/>
          <w:szCs w:val="28"/>
        </w:rPr>
      </w:pPr>
      <w:r>
        <w:rPr>
          <w:rFonts w:hint="eastAsia" w:ascii="楷体_GB2312" w:eastAsia="楷体_GB2312"/>
          <w:sz w:val="28"/>
          <w:szCs w:val="28"/>
        </w:rPr>
        <w:t>2.本工艺包联动试车完成，出水基本达标后，由于非乙方原因1个月内不能达到设计水量及水质，双方需协商进行减量考核，以满足当时现有水量水质达标处理。减量考核时间为3天，考核水量及水质双方根据实际进水情况协商确定。后序具备调试条件后，乙方派人继续进行调试培训与指导，并配合甲方完成相应整体系统验收工作。</w:t>
      </w:r>
    </w:p>
    <w:p>
      <w:pPr>
        <w:ind w:firstLine="480"/>
        <w:rPr>
          <w:rFonts w:ascii="楷体_GB2312" w:eastAsia="楷体_GB2312"/>
          <w:sz w:val="28"/>
          <w:szCs w:val="28"/>
        </w:rPr>
      </w:pPr>
      <w:r>
        <w:rPr>
          <w:rFonts w:hint="eastAsia" w:ascii="楷体_GB2312" w:eastAsia="楷体_GB2312"/>
          <w:sz w:val="28"/>
          <w:szCs w:val="28"/>
        </w:rPr>
        <w:t>3.如考核期间出现实际进水水质达不到设计进水的，按照实际进水水质进行考核。</w:t>
      </w:r>
    </w:p>
    <w:p>
      <w:pPr>
        <w:ind w:firstLine="480"/>
        <w:rPr>
          <w:rFonts w:ascii="楷体_GB2312" w:eastAsia="楷体_GB2312"/>
          <w:sz w:val="28"/>
          <w:szCs w:val="28"/>
        </w:rPr>
      </w:pPr>
      <w:r>
        <w:rPr>
          <w:rFonts w:hint="eastAsia" w:ascii="楷体_GB2312" w:eastAsia="楷体_GB2312"/>
          <w:sz w:val="28"/>
          <w:szCs w:val="28"/>
        </w:rPr>
        <w:t>4.考核期间，每次测试指标达标为考核达标（如环保局达标验收是按均值，可以调整按均值考核）。</w:t>
      </w:r>
    </w:p>
    <w:p>
      <w:pPr>
        <w:ind w:firstLine="480"/>
        <w:rPr>
          <w:rFonts w:ascii="楷体_GB2312" w:eastAsia="楷体_GB2312"/>
          <w:sz w:val="28"/>
          <w:szCs w:val="28"/>
        </w:rPr>
      </w:pPr>
      <w:r>
        <w:rPr>
          <w:rFonts w:hint="eastAsia" w:ascii="楷体_GB2312" w:eastAsia="楷体_GB2312"/>
          <w:sz w:val="28"/>
          <w:szCs w:val="28"/>
        </w:rPr>
        <w:t>5.考核内容和性能考核方法如下：</w:t>
      </w:r>
    </w:p>
    <w:p>
      <w:pPr>
        <w:ind w:firstLine="422"/>
        <w:rPr>
          <w:rFonts w:ascii="楷体_GB2312" w:eastAsia="楷体_GB2312"/>
          <w:b/>
          <w:bCs/>
          <w:sz w:val="28"/>
          <w:szCs w:val="28"/>
        </w:rPr>
      </w:pPr>
      <w:r>
        <w:rPr>
          <w:rFonts w:hint="eastAsia" w:ascii="楷体_GB2312" w:eastAsia="楷体_GB2312"/>
          <w:b/>
          <w:bCs/>
          <w:sz w:val="28"/>
          <w:szCs w:val="28"/>
        </w:rPr>
        <w:t>对于满足工况下的进水水质，厌氧反应器的出水应保证能达到如下的性能：</w:t>
      </w:r>
    </w:p>
    <w:tbl>
      <w:tblPr>
        <w:tblStyle w:val="21"/>
        <w:tblW w:w="494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39"/>
        <w:gridCol w:w="978"/>
        <w:gridCol w:w="995"/>
        <w:gridCol w:w="991"/>
        <w:gridCol w:w="993"/>
        <w:gridCol w:w="991"/>
        <w:gridCol w:w="1063"/>
        <w:gridCol w:w="10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55" w:type="pct"/>
            <w:shd w:val="clear" w:color="auto" w:fill="auto"/>
            <w:noWrap/>
            <w:vAlign w:val="center"/>
          </w:tcPr>
          <w:p>
            <w:pPr>
              <w:widowControl/>
              <w:jc w:val="center"/>
              <w:rPr>
                <w:rFonts w:ascii="宋体" w:hAnsi="宋体" w:cs="宋体"/>
                <w:b/>
                <w:bCs/>
                <w:kern w:val="0"/>
              </w:rPr>
            </w:pPr>
            <w:r>
              <w:rPr>
                <w:rFonts w:hint="eastAsia"/>
              </w:rPr>
              <w:t>序号</w:t>
            </w:r>
          </w:p>
        </w:tc>
        <w:tc>
          <w:tcPr>
            <w:tcW w:w="348" w:type="pct"/>
            <w:shd w:val="clear" w:color="auto" w:fill="auto"/>
            <w:vAlign w:val="center"/>
          </w:tcPr>
          <w:p>
            <w:pPr>
              <w:widowControl/>
              <w:jc w:val="center"/>
              <w:rPr>
                <w:rFonts w:ascii="宋体" w:hAnsi="宋体" w:cs="宋体"/>
                <w:b/>
                <w:bCs/>
                <w:kern w:val="0"/>
              </w:rPr>
            </w:pPr>
            <w:r>
              <w:rPr>
                <w:rFonts w:hint="eastAsia"/>
              </w:rPr>
              <w:t>处理单元</w:t>
            </w:r>
          </w:p>
        </w:tc>
        <w:tc>
          <w:tcPr>
            <w:tcW w:w="533" w:type="pct"/>
            <w:shd w:val="clear" w:color="auto" w:fill="auto"/>
            <w:vAlign w:val="center"/>
          </w:tcPr>
          <w:p>
            <w:pPr>
              <w:widowControl/>
              <w:jc w:val="center"/>
            </w:pPr>
            <w:r>
              <w:rPr>
                <w:rFonts w:hint="eastAsia"/>
              </w:rPr>
              <w:t>进水量(m</w:t>
            </w:r>
            <w:r>
              <w:rPr>
                <w:rFonts w:hint="eastAsia"/>
                <w:vertAlign w:val="superscript"/>
              </w:rPr>
              <w:t>3</w:t>
            </w:r>
            <w:r>
              <w:t>/D</w:t>
            </w:r>
            <w:r>
              <w:rPr>
                <w:rFonts w:hint="eastAsia"/>
              </w:rPr>
              <w:t>)</w:t>
            </w:r>
          </w:p>
        </w:tc>
        <w:tc>
          <w:tcPr>
            <w:tcW w:w="542" w:type="pct"/>
            <w:shd w:val="clear" w:color="auto" w:fill="auto"/>
            <w:vAlign w:val="center"/>
          </w:tcPr>
          <w:p>
            <w:pPr>
              <w:widowControl/>
              <w:jc w:val="center"/>
              <w:rPr>
                <w:rFonts w:ascii="宋体" w:hAnsi="宋体" w:cs="宋体"/>
                <w:b/>
                <w:bCs/>
                <w:kern w:val="0"/>
              </w:rPr>
            </w:pPr>
            <w:r>
              <w:rPr>
                <w:rFonts w:hint="eastAsia"/>
              </w:rPr>
              <w:t>指 标</w:t>
            </w:r>
          </w:p>
        </w:tc>
        <w:tc>
          <w:tcPr>
            <w:tcW w:w="540" w:type="pct"/>
            <w:shd w:val="clear" w:color="auto" w:fill="auto"/>
            <w:vAlign w:val="center"/>
          </w:tcPr>
          <w:p>
            <w:pPr>
              <w:widowControl/>
              <w:jc w:val="center"/>
              <w:rPr>
                <w:rFonts w:eastAsia="等线"/>
                <w:b/>
                <w:bCs/>
                <w:kern w:val="0"/>
              </w:rPr>
            </w:pPr>
            <w:r>
              <w:rPr>
                <w:rFonts w:hint="eastAsia"/>
              </w:rPr>
              <w:t>CODcr（mg/L）</w:t>
            </w:r>
          </w:p>
        </w:tc>
        <w:tc>
          <w:tcPr>
            <w:tcW w:w="541" w:type="pct"/>
            <w:shd w:val="clear" w:color="auto" w:fill="auto"/>
            <w:vAlign w:val="center"/>
          </w:tcPr>
          <w:p>
            <w:pPr>
              <w:widowControl/>
              <w:jc w:val="center"/>
            </w:pPr>
            <w:r>
              <w:rPr>
                <w:rFonts w:hint="eastAsia"/>
              </w:rPr>
              <w:t>BOD</w:t>
            </w:r>
          </w:p>
          <w:p>
            <w:pPr>
              <w:widowControl/>
              <w:jc w:val="center"/>
              <w:rPr>
                <w:rFonts w:eastAsia="等线"/>
                <w:b/>
                <w:bCs/>
                <w:kern w:val="0"/>
              </w:rPr>
            </w:pPr>
            <w:r>
              <w:rPr>
                <w:rFonts w:hint="eastAsia"/>
              </w:rPr>
              <w:t>（mg/L）</w:t>
            </w:r>
          </w:p>
        </w:tc>
        <w:tc>
          <w:tcPr>
            <w:tcW w:w="540" w:type="pct"/>
            <w:shd w:val="clear" w:color="auto" w:fill="auto"/>
            <w:vAlign w:val="center"/>
          </w:tcPr>
          <w:p>
            <w:pPr>
              <w:widowControl/>
              <w:jc w:val="center"/>
              <w:rPr>
                <w:rFonts w:eastAsia="等线"/>
                <w:b/>
                <w:bCs/>
                <w:kern w:val="0"/>
              </w:rPr>
            </w:pPr>
            <w:r>
              <w:rPr>
                <w:rFonts w:hint="eastAsia"/>
              </w:rPr>
              <w:t>NH3-N（mg/L）</w:t>
            </w:r>
          </w:p>
        </w:tc>
        <w:tc>
          <w:tcPr>
            <w:tcW w:w="579" w:type="pct"/>
            <w:shd w:val="clear" w:color="auto" w:fill="auto"/>
            <w:vAlign w:val="center"/>
          </w:tcPr>
          <w:p>
            <w:pPr>
              <w:widowControl/>
              <w:jc w:val="center"/>
              <w:rPr>
                <w:rFonts w:eastAsia="等线"/>
                <w:b/>
                <w:bCs/>
                <w:kern w:val="0"/>
              </w:rPr>
            </w:pPr>
            <w:r>
              <w:rPr>
                <w:rFonts w:hint="eastAsia"/>
              </w:rPr>
              <w:t>TN（mg/L）</w:t>
            </w:r>
          </w:p>
        </w:tc>
        <w:tc>
          <w:tcPr>
            <w:tcW w:w="554" w:type="pct"/>
            <w:shd w:val="clear" w:color="auto" w:fill="auto"/>
            <w:vAlign w:val="center"/>
          </w:tcPr>
          <w:p>
            <w:pPr>
              <w:widowControl/>
              <w:jc w:val="center"/>
              <w:rPr>
                <w:rFonts w:eastAsia="等线"/>
                <w:b/>
                <w:bCs/>
                <w:kern w:val="0"/>
              </w:rPr>
            </w:pPr>
            <w:r>
              <w:rPr>
                <w:rFonts w:hint="eastAsia"/>
              </w:rPr>
              <w:t>SS（mg/L）</w:t>
            </w:r>
          </w:p>
        </w:tc>
        <w:tc>
          <w:tcPr>
            <w:tcW w:w="468" w:type="pct"/>
            <w:shd w:val="clear" w:color="auto" w:fill="auto"/>
            <w:vAlign w:val="center"/>
          </w:tcPr>
          <w:p>
            <w:pPr>
              <w:widowControl/>
              <w:jc w:val="center"/>
              <w:rPr>
                <w:rFonts w:eastAsia="等线"/>
                <w:b/>
                <w:bCs/>
                <w:kern w:val="0"/>
              </w:rPr>
            </w:pPr>
            <w:r>
              <w:rPr>
                <w:rFonts w:hint="eastAsia"/>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1</w:t>
            </w:r>
          </w:p>
        </w:tc>
        <w:tc>
          <w:tcPr>
            <w:tcW w:w="348" w:type="pct"/>
            <w:vMerge w:val="restart"/>
            <w:shd w:val="clear" w:color="auto" w:fill="auto"/>
          </w:tcPr>
          <w:p>
            <w:pPr>
              <w:widowControl/>
              <w:jc w:val="center"/>
              <w:rPr>
                <w:rFonts w:ascii="宋体" w:hAnsi="宋体" w:cs="宋体"/>
                <w:kern w:val="0"/>
              </w:rPr>
            </w:pPr>
            <w:r>
              <w:rPr>
                <w:rFonts w:hint="eastAsia"/>
              </w:rPr>
              <w:t>厌氧反应器</w:t>
            </w:r>
          </w:p>
        </w:tc>
        <w:tc>
          <w:tcPr>
            <w:tcW w:w="533" w:type="pct"/>
            <w:vMerge w:val="restart"/>
            <w:vAlign w:val="center"/>
          </w:tcPr>
          <w:p>
            <w:pPr>
              <w:widowControl/>
              <w:jc w:val="center"/>
            </w:pPr>
            <w:r>
              <w:rPr>
                <w:rFonts w:hint="eastAsia"/>
              </w:rPr>
              <w:t>≤4000</w:t>
            </w:r>
          </w:p>
        </w:tc>
        <w:tc>
          <w:tcPr>
            <w:tcW w:w="542" w:type="pct"/>
            <w:shd w:val="clear" w:color="auto" w:fill="auto"/>
            <w:noWrap/>
          </w:tcPr>
          <w:p>
            <w:pPr>
              <w:widowControl/>
              <w:jc w:val="center"/>
              <w:rPr>
                <w:rFonts w:ascii="宋体" w:hAnsi="宋体" w:cs="宋体"/>
                <w:kern w:val="0"/>
              </w:rPr>
            </w:pPr>
            <w:r>
              <w:rPr>
                <w:rFonts w:hint="eastAsia"/>
              </w:rPr>
              <w:t>进水</w:t>
            </w:r>
          </w:p>
        </w:tc>
        <w:tc>
          <w:tcPr>
            <w:tcW w:w="540" w:type="pct"/>
            <w:shd w:val="clear" w:color="auto" w:fill="auto"/>
            <w:noWrap/>
          </w:tcPr>
          <w:p>
            <w:pPr>
              <w:widowControl/>
              <w:jc w:val="center"/>
              <w:rPr>
                <w:rFonts w:eastAsia="等线"/>
                <w:kern w:val="0"/>
              </w:rPr>
            </w:pPr>
            <w:r>
              <w:rPr>
                <w:rFonts w:hint="eastAsia"/>
              </w:rPr>
              <w:t>≤4000</w:t>
            </w:r>
          </w:p>
        </w:tc>
        <w:tc>
          <w:tcPr>
            <w:tcW w:w="541" w:type="pct"/>
            <w:shd w:val="clear" w:color="auto" w:fill="auto"/>
            <w:noWrap/>
          </w:tcPr>
          <w:p>
            <w:pPr>
              <w:widowControl/>
              <w:jc w:val="center"/>
              <w:rPr>
                <w:rFonts w:eastAsia="等线"/>
                <w:kern w:val="0"/>
              </w:rPr>
            </w:pPr>
            <w:r>
              <w:rPr>
                <w:rFonts w:hint="eastAsia"/>
              </w:rPr>
              <w:t>≤1824</w:t>
            </w:r>
          </w:p>
        </w:tc>
        <w:tc>
          <w:tcPr>
            <w:tcW w:w="540" w:type="pct"/>
            <w:shd w:val="clear" w:color="auto" w:fill="auto"/>
            <w:noWrap/>
          </w:tcPr>
          <w:p>
            <w:pPr>
              <w:widowControl/>
              <w:jc w:val="center"/>
              <w:rPr>
                <w:rFonts w:eastAsia="等线"/>
                <w:kern w:val="0"/>
              </w:rPr>
            </w:pPr>
            <w:r>
              <w:rPr>
                <w:rFonts w:hint="eastAsia"/>
              </w:rPr>
              <w:t>≤50</w:t>
            </w:r>
          </w:p>
        </w:tc>
        <w:tc>
          <w:tcPr>
            <w:tcW w:w="579" w:type="pct"/>
            <w:shd w:val="clear" w:color="auto" w:fill="auto"/>
            <w:noWrap/>
          </w:tcPr>
          <w:p>
            <w:pPr>
              <w:widowControl/>
              <w:jc w:val="center"/>
              <w:rPr>
                <w:rFonts w:eastAsia="等线"/>
                <w:kern w:val="0"/>
              </w:rPr>
            </w:pPr>
            <w:r>
              <w:rPr>
                <w:rFonts w:hint="eastAsia"/>
              </w:rPr>
              <w:t>≤100</w:t>
            </w:r>
          </w:p>
        </w:tc>
        <w:tc>
          <w:tcPr>
            <w:tcW w:w="554" w:type="pct"/>
            <w:shd w:val="clear" w:color="auto" w:fill="auto"/>
            <w:noWrap/>
          </w:tcPr>
          <w:p>
            <w:pPr>
              <w:widowControl/>
              <w:jc w:val="center"/>
              <w:rPr>
                <w:rFonts w:eastAsia="等线"/>
                <w:kern w:val="0"/>
              </w:rPr>
            </w:pPr>
            <w:r>
              <w:rPr>
                <w:rFonts w:hint="eastAsia"/>
              </w:rPr>
              <w:t>≤200</w:t>
            </w:r>
          </w:p>
        </w:tc>
        <w:tc>
          <w:tcPr>
            <w:tcW w:w="468" w:type="pct"/>
            <w:shd w:val="clear" w:color="auto" w:fill="auto"/>
          </w:tcPr>
          <w:p>
            <w:pPr>
              <w:widowControl/>
              <w:jc w:val="center"/>
              <w:rPr>
                <w:rFonts w:eastAsia="等线"/>
                <w:kern w:val="0"/>
              </w:rPr>
            </w:pPr>
            <w:r>
              <w:t>5</w:t>
            </w:r>
            <w:r>
              <w:rPr>
                <w:rFonts w:hint="eastAsia"/>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2</w:t>
            </w:r>
          </w:p>
        </w:tc>
        <w:tc>
          <w:tcPr>
            <w:tcW w:w="348" w:type="pct"/>
            <w:vMerge w:val="continue"/>
          </w:tcPr>
          <w:p>
            <w:pPr>
              <w:widowControl/>
              <w:jc w:val="left"/>
              <w:rPr>
                <w:rFonts w:ascii="宋体" w:hAnsi="宋体" w:cs="宋体"/>
                <w:kern w:val="0"/>
              </w:rPr>
            </w:pPr>
          </w:p>
        </w:tc>
        <w:tc>
          <w:tcPr>
            <w:tcW w:w="533" w:type="pct"/>
            <w:vMerge w:val="continue"/>
          </w:tcPr>
          <w:p>
            <w:pPr>
              <w:widowControl/>
              <w:jc w:val="center"/>
            </w:pPr>
          </w:p>
        </w:tc>
        <w:tc>
          <w:tcPr>
            <w:tcW w:w="542" w:type="pct"/>
            <w:shd w:val="clear" w:color="auto" w:fill="auto"/>
            <w:noWrap/>
          </w:tcPr>
          <w:p>
            <w:pPr>
              <w:widowControl/>
              <w:jc w:val="center"/>
              <w:rPr>
                <w:rFonts w:ascii="宋体" w:hAnsi="宋体" w:cs="宋体"/>
                <w:kern w:val="0"/>
              </w:rPr>
            </w:pPr>
            <w:r>
              <w:rPr>
                <w:rFonts w:hint="eastAsia"/>
              </w:rPr>
              <w:t>出水</w:t>
            </w:r>
          </w:p>
        </w:tc>
        <w:tc>
          <w:tcPr>
            <w:tcW w:w="540" w:type="pct"/>
            <w:shd w:val="clear" w:color="auto" w:fill="auto"/>
            <w:noWrap/>
          </w:tcPr>
          <w:p>
            <w:pPr>
              <w:widowControl/>
              <w:jc w:val="center"/>
              <w:rPr>
                <w:rFonts w:eastAsia="等线"/>
                <w:kern w:val="0"/>
              </w:rPr>
            </w:pPr>
            <w:r>
              <w:rPr>
                <w:rFonts w:hint="eastAsia"/>
              </w:rPr>
              <w:t>≤2000</w:t>
            </w:r>
          </w:p>
        </w:tc>
        <w:tc>
          <w:tcPr>
            <w:tcW w:w="541" w:type="pct"/>
            <w:shd w:val="clear" w:color="auto" w:fill="auto"/>
            <w:noWrap/>
          </w:tcPr>
          <w:p>
            <w:pPr>
              <w:widowControl/>
              <w:jc w:val="center"/>
              <w:rPr>
                <w:rFonts w:eastAsia="等线"/>
                <w:kern w:val="0"/>
              </w:rPr>
            </w:pPr>
            <w:r>
              <w:rPr>
                <w:rFonts w:hint="eastAsia"/>
              </w:rPr>
              <w:t>≤1094</w:t>
            </w:r>
          </w:p>
        </w:tc>
        <w:tc>
          <w:tcPr>
            <w:tcW w:w="540" w:type="pct"/>
            <w:shd w:val="clear" w:color="auto" w:fill="auto"/>
            <w:noWrap/>
          </w:tcPr>
          <w:p>
            <w:pPr>
              <w:widowControl/>
              <w:jc w:val="center"/>
              <w:rPr>
                <w:rFonts w:eastAsia="等线"/>
                <w:kern w:val="0"/>
              </w:rPr>
            </w:pPr>
            <w:r>
              <w:rPr>
                <w:rFonts w:hint="eastAsia"/>
              </w:rPr>
              <w:t>-</w:t>
            </w:r>
          </w:p>
        </w:tc>
        <w:tc>
          <w:tcPr>
            <w:tcW w:w="579" w:type="pct"/>
            <w:shd w:val="clear" w:color="auto" w:fill="auto"/>
            <w:noWrap/>
          </w:tcPr>
          <w:p>
            <w:pPr>
              <w:widowControl/>
              <w:jc w:val="center"/>
              <w:rPr>
                <w:rFonts w:eastAsia="等线"/>
                <w:kern w:val="0"/>
              </w:rPr>
            </w:pPr>
            <w:r>
              <w:rPr>
                <w:rFonts w:hint="eastAsia"/>
              </w:rPr>
              <w:t>-</w:t>
            </w:r>
          </w:p>
        </w:tc>
        <w:tc>
          <w:tcPr>
            <w:tcW w:w="554" w:type="pct"/>
            <w:shd w:val="clear" w:color="auto" w:fill="auto"/>
            <w:noWrap/>
          </w:tcPr>
          <w:p>
            <w:pPr>
              <w:widowControl/>
              <w:jc w:val="center"/>
              <w:rPr>
                <w:rFonts w:eastAsia="等线"/>
                <w:kern w:val="0"/>
              </w:rPr>
            </w:pPr>
            <w:r>
              <w:rPr>
                <w:rFonts w:hint="eastAsia"/>
              </w:rPr>
              <w:t>-</w:t>
            </w:r>
          </w:p>
        </w:tc>
        <w:tc>
          <w:tcPr>
            <w:tcW w:w="468" w:type="pct"/>
            <w:shd w:val="clear" w:color="auto" w:fill="auto"/>
          </w:tcPr>
          <w:p>
            <w:pPr>
              <w:widowControl/>
              <w:jc w:val="center"/>
              <w:rPr>
                <w:rFonts w:eastAsia="等线"/>
                <w:kern w:val="0"/>
              </w:rPr>
            </w:pPr>
            <w:r>
              <w:t>5</w:t>
            </w:r>
            <w:r>
              <w:rPr>
                <w:rFonts w:hint="eastAsia"/>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5" w:type="pct"/>
            <w:shd w:val="clear" w:color="auto" w:fill="auto"/>
            <w:noWrap/>
          </w:tcPr>
          <w:p>
            <w:pPr>
              <w:widowControl/>
              <w:jc w:val="center"/>
              <w:rPr>
                <w:rFonts w:eastAsia="等线"/>
                <w:kern w:val="0"/>
              </w:rPr>
            </w:pPr>
            <w:r>
              <w:rPr>
                <w:rFonts w:hint="eastAsia"/>
              </w:rPr>
              <w:t>3</w:t>
            </w:r>
          </w:p>
        </w:tc>
        <w:tc>
          <w:tcPr>
            <w:tcW w:w="348" w:type="pct"/>
            <w:vMerge w:val="continue"/>
          </w:tcPr>
          <w:p>
            <w:pPr>
              <w:widowControl/>
              <w:jc w:val="left"/>
              <w:rPr>
                <w:rFonts w:ascii="宋体" w:hAnsi="宋体" w:cs="宋体"/>
                <w:kern w:val="0"/>
              </w:rPr>
            </w:pPr>
          </w:p>
        </w:tc>
        <w:tc>
          <w:tcPr>
            <w:tcW w:w="533" w:type="pct"/>
            <w:vMerge w:val="continue"/>
          </w:tcPr>
          <w:p>
            <w:pPr>
              <w:widowControl/>
              <w:jc w:val="center"/>
            </w:pPr>
          </w:p>
        </w:tc>
        <w:tc>
          <w:tcPr>
            <w:tcW w:w="542" w:type="pct"/>
            <w:shd w:val="clear" w:color="auto" w:fill="auto"/>
            <w:noWrap/>
          </w:tcPr>
          <w:p>
            <w:pPr>
              <w:widowControl/>
              <w:jc w:val="center"/>
              <w:rPr>
                <w:rFonts w:ascii="宋体" w:hAnsi="宋体" w:cs="宋体"/>
                <w:kern w:val="0"/>
              </w:rPr>
            </w:pPr>
            <w:r>
              <w:rPr>
                <w:rFonts w:hint="eastAsia"/>
              </w:rPr>
              <w:t>去除率</w:t>
            </w:r>
          </w:p>
        </w:tc>
        <w:tc>
          <w:tcPr>
            <w:tcW w:w="540" w:type="pct"/>
            <w:shd w:val="clear" w:color="auto" w:fill="auto"/>
            <w:noWrap/>
          </w:tcPr>
          <w:p>
            <w:pPr>
              <w:widowControl/>
              <w:jc w:val="center"/>
              <w:rPr>
                <w:rFonts w:eastAsia="等线"/>
                <w:kern w:val="0"/>
              </w:rPr>
            </w:pPr>
            <w:r>
              <w:rPr>
                <w:rFonts w:hint="eastAsia"/>
              </w:rPr>
              <w:t>≥50%</w:t>
            </w:r>
          </w:p>
        </w:tc>
        <w:tc>
          <w:tcPr>
            <w:tcW w:w="541" w:type="pct"/>
            <w:shd w:val="clear" w:color="auto" w:fill="auto"/>
            <w:noWrap/>
          </w:tcPr>
          <w:p>
            <w:pPr>
              <w:widowControl/>
              <w:jc w:val="center"/>
              <w:rPr>
                <w:rFonts w:eastAsia="等线"/>
                <w:kern w:val="0"/>
              </w:rPr>
            </w:pPr>
            <w:r>
              <w:rPr>
                <w:rFonts w:hint="eastAsia"/>
              </w:rPr>
              <w:t>≥40%</w:t>
            </w:r>
          </w:p>
        </w:tc>
        <w:tc>
          <w:tcPr>
            <w:tcW w:w="540" w:type="pct"/>
            <w:shd w:val="clear" w:color="auto" w:fill="auto"/>
            <w:noWrap/>
          </w:tcPr>
          <w:p>
            <w:pPr>
              <w:widowControl/>
              <w:jc w:val="center"/>
              <w:rPr>
                <w:rFonts w:eastAsia="等线"/>
                <w:kern w:val="0"/>
              </w:rPr>
            </w:pPr>
            <w:r>
              <w:rPr>
                <w:rFonts w:hint="eastAsia"/>
              </w:rPr>
              <w:t>-</w:t>
            </w:r>
          </w:p>
        </w:tc>
        <w:tc>
          <w:tcPr>
            <w:tcW w:w="579" w:type="pct"/>
            <w:shd w:val="clear" w:color="auto" w:fill="auto"/>
            <w:noWrap/>
          </w:tcPr>
          <w:p>
            <w:pPr>
              <w:widowControl/>
              <w:jc w:val="center"/>
              <w:rPr>
                <w:rFonts w:eastAsia="等线"/>
                <w:kern w:val="0"/>
              </w:rPr>
            </w:pPr>
            <w:r>
              <w:rPr>
                <w:rFonts w:hint="eastAsia"/>
              </w:rPr>
              <w:t>-</w:t>
            </w:r>
          </w:p>
        </w:tc>
        <w:tc>
          <w:tcPr>
            <w:tcW w:w="554" w:type="pct"/>
            <w:shd w:val="clear" w:color="auto" w:fill="auto"/>
            <w:noWrap/>
          </w:tcPr>
          <w:p>
            <w:pPr>
              <w:widowControl/>
              <w:jc w:val="center"/>
              <w:rPr>
                <w:rFonts w:eastAsia="等线"/>
                <w:kern w:val="0"/>
              </w:rPr>
            </w:pPr>
            <w:r>
              <w:rPr>
                <w:rFonts w:hint="eastAsia"/>
              </w:rPr>
              <w:t>-</w:t>
            </w:r>
          </w:p>
        </w:tc>
        <w:tc>
          <w:tcPr>
            <w:tcW w:w="468" w:type="pct"/>
            <w:shd w:val="clear" w:color="auto" w:fill="auto"/>
          </w:tcPr>
          <w:p>
            <w:pPr>
              <w:widowControl/>
              <w:jc w:val="center"/>
              <w:rPr>
                <w:rFonts w:eastAsia="等线"/>
                <w:kern w:val="0"/>
              </w:rPr>
            </w:pPr>
            <w:r>
              <w:rPr>
                <w:rFonts w:hint="eastAsia"/>
              </w:rPr>
              <w:t>-</w:t>
            </w:r>
          </w:p>
        </w:tc>
      </w:tr>
    </w:tbl>
    <w:p>
      <w:pPr>
        <w:spacing w:after="120"/>
        <w:ind w:firstLine="482"/>
        <w:rPr>
          <w:rFonts w:ascii="楷体_GB2312" w:eastAsia="楷体_GB2312"/>
          <w:b/>
          <w:sz w:val="28"/>
          <w:szCs w:val="28"/>
        </w:rPr>
      </w:pPr>
      <w:r>
        <w:rPr>
          <w:rFonts w:hint="eastAsia" w:ascii="楷体_GB2312" w:eastAsia="楷体_GB2312"/>
          <w:b/>
          <w:sz w:val="28"/>
          <w:szCs w:val="28"/>
        </w:rPr>
        <w:t>性能考核方法</w:t>
      </w:r>
    </w:p>
    <w:tbl>
      <w:tblPr>
        <w:tblStyle w:val="21"/>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5"/>
        <w:gridCol w:w="2110"/>
        <w:gridCol w:w="5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exact"/>
          <w:jc w:val="center"/>
        </w:trPr>
        <w:tc>
          <w:tcPr>
            <w:tcW w:w="925" w:type="pct"/>
            <w:vAlign w:val="center"/>
          </w:tcPr>
          <w:p>
            <w:pPr>
              <w:adjustRightInd w:val="0"/>
              <w:snapToGrid w:val="0"/>
              <w:jc w:val="center"/>
              <w:rPr>
                <w:rFonts w:ascii="楷体_GB2312" w:eastAsia="楷体_GB2312"/>
                <w:bCs/>
                <w:sz w:val="24"/>
              </w:rPr>
            </w:pPr>
            <w:r>
              <w:rPr>
                <w:rFonts w:hint="eastAsia" w:ascii="楷体_GB2312" w:eastAsia="楷体_GB2312"/>
                <w:bCs/>
                <w:sz w:val="24"/>
              </w:rPr>
              <w:t>项目</w:t>
            </w:r>
          </w:p>
        </w:tc>
        <w:tc>
          <w:tcPr>
            <w:tcW w:w="1145" w:type="pct"/>
            <w:vAlign w:val="center"/>
          </w:tcPr>
          <w:p>
            <w:pPr>
              <w:adjustRightInd w:val="0"/>
              <w:snapToGrid w:val="0"/>
              <w:ind w:firstLine="2" w:firstLineChars="1"/>
              <w:jc w:val="center"/>
              <w:rPr>
                <w:rFonts w:ascii="楷体_GB2312" w:eastAsia="楷体_GB2312"/>
                <w:bCs/>
                <w:sz w:val="24"/>
              </w:rPr>
            </w:pPr>
            <w:r>
              <w:rPr>
                <w:rFonts w:hint="eastAsia" w:ascii="楷体_GB2312" w:eastAsia="楷体_GB2312"/>
                <w:bCs/>
                <w:sz w:val="24"/>
              </w:rPr>
              <w:t>测点</w:t>
            </w:r>
          </w:p>
        </w:tc>
        <w:tc>
          <w:tcPr>
            <w:tcW w:w="2929" w:type="pct"/>
            <w:vAlign w:val="center"/>
          </w:tcPr>
          <w:p>
            <w:pPr>
              <w:adjustRightInd w:val="0"/>
              <w:snapToGrid w:val="0"/>
              <w:ind w:firstLine="12" w:firstLineChars="5"/>
              <w:jc w:val="center"/>
              <w:rPr>
                <w:rFonts w:ascii="楷体_GB2312" w:eastAsia="楷体_GB2312"/>
                <w:bCs/>
                <w:sz w:val="24"/>
              </w:rPr>
            </w:pPr>
            <w:r>
              <w:rPr>
                <w:rFonts w:hint="eastAsia" w:ascii="楷体_GB2312" w:eastAsia="楷体_GB2312"/>
                <w:bCs/>
                <w:sz w:val="24"/>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exact"/>
          <w:jc w:val="center"/>
        </w:trPr>
        <w:tc>
          <w:tcPr>
            <w:tcW w:w="925" w:type="pct"/>
            <w:vAlign w:val="center"/>
          </w:tcPr>
          <w:p>
            <w:pPr>
              <w:adjustRightInd w:val="0"/>
              <w:snapToGrid w:val="0"/>
              <w:jc w:val="center"/>
              <w:rPr>
                <w:rFonts w:ascii="楷体_GB2312" w:eastAsia="楷体_GB2312"/>
                <w:sz w:val="24"/>
              </w:rPr>
            </w:pPr>
            <w:r>
              <w:rPr>
                <w:rFonts w:hint="eastAsia" w:ascii="楷体_GB2312" w:eastAsia="楷体_GB2312"/>
                <w:sz w:val="24"/>
              </w:rPr>
              <w:t>污染物去除指标</w:t>
            </w:r>
          </w:p>
        </w:tc>
        <w:tc>
          <w:tcPr>
            <w:tcW w:w="1145" w:type="pct"/>
            <w:vAlign w:val="center"/>
          </w:tcPr>
          <w:p>
            <w:pPr>
              <w:adjustRightInd w:val="0"/>
              <w:snapToGrid w:val="0"/>
              <w:jc w:val="center"/>
              <w:rPr>
                <w:rFonts w:ascii="楷体_GB2312" w:eastAsia="楷体_GB2312"/>
                <w:sz w:val="24"/>
              </w:rPr>
            </w:pPr>
            <w:r>
              <w:rPr>
                <w:rFonts w:hint="eastAsia" w:ascii="楷体_GB2312" w:eastAsia="楷体_GB2312"/>
                <w:sz w:val="24"/>
              </w:rPr>
              <w:t>处理设施进</w:t>
            </w:r>
            <w:r>
              <w:rPr>
                <w:rFonts w:hint="eastAsia" w:ascii="楷体_GB2312" w:eastAsia="楷体_GB2312"/>
                <w:spacing w:val="-53"/>
                <w:sz w:val="24"/>
              </w:rPr>
              <w:t>、</w:t>
            </w:r>
            <w:r>
              <w:rPr>
                <w:rFonts w:hint="eastAsia" w:ascii="楷体_GB2312" w:eastAsia="楷体_GB2312"/>
                <w:sz w:val="24"/>
              </w:rPr>
              <w:t>出口</w:t>
            </w:r>
          </w:p>
        </w:tc>
        <w:tc>
          <w:tcPr>
            <w:tcW w:w="2929" w:type="pct"/>
            <w:vAlign w:val="center"/>
          </w:tcPr>
          <w:p>
            <w:pPr>
              <w:adjustRightInd w:val="0"/>
              <w:snapToGrid w:val="0"/>
              <w:rPr>
                <w:rFonts w:ascii="楷体_GB2312" w:eastAsia="楷体_GB2312"/>
                <w:sz w:val="24"/>
              </w:rPr>
            </w:pPr>
            <w:r>
              <w:rPr>
                <w:rFonts w:hint="eastAsia" w:ascii="楷体_GB2312" w:eastAsia="楷体_GB2312"/>
                <w:sz w:val="24"/>
              </w:rPr>
              <w:t>每天取样测定2次，每次间隔不小于8小时，间隔期间运行时间不小于4小时，连续考核3天；均采用国标分析方法。</w:t>
            </w:r>
          </w:p>
        </w:tc>
      </w:tr>
    </w:tbl>
    <w:p>
      <w:pPr>
        <w:ind w:firstLine="480"/>
        <w:rPr>
          <w:rFonts w:ascii="楷体_GB2312" w:eastAsia="楷体_GB2312"/>
          <w:sz w:val="28"/>
          <w:szCs w:val="28"/>
        </w:rPr>
      </w:pPr>
      <w:r>
        <w:rPr>
          <w:rFonts w:hint="eastAsia" w:ascii="楷体_GB2312" w:eastAsia="楷体_GB2312"/>
          <w:sz w:val="28"/>
          <w:szCs w:val="28"/>
        </w:rPr>
        <w:t>6.性能考核试验结果的确认：</w:t>
      </w:r>
    </w:p>
    <w:p>
      <w:pPr>
        <w:ind w:firstLine="480"/>
        <w:rPr>
          <w:rFonts w:ascii="楷体_GB2312" w:eastAsia="楷体_GB2312"/>
          <w:sz w:val="28"/>
          <w:szCs w:val="28"/>
        </w:rPr>
      </w:pPr>
      <w:r>
        <w:rPr>
          <w:rFonts w:hint="eastAsia" w:ascii="楷体_GB2312" w:eastAsia="楷体_GB2312"/>
          <w:sz w:val="28"/>
          <w:szCs w:val="28"/>
        </w:rPr>
        <w:t>1）性能考核通过后七日内，甲方应出具性能考核验收合格报告，甲、乙双方共同签字盖章确认结论。如双方对试验的结果有不一致的意见，双方协商解决。</w:t>
      </w:r>
    </w:p>
    <w:p>
      <w:pPr>
        <w:ind w:firstLine="480"/>
        <w:rPr>
          <w:rFonts w:ascii="楷体_GB2312" w:eastAsia="楷体_GB2312"/>
          <w:sz w:val="28"/>
          <w:szCs w:val="28"/>
        </w:rPr>
      </w:pPr>
      <w:r>
        <w:rPr>
          <w:rFonts w:hint="eastAsia" w:ascii="楷体_GB2312" w:eastAsia="楷体_GB2312"/>
          <w:sz w:val="28"/>
          <w:szCs w:val="28"/>
        </w:rPr>
        <w:t>2）进行性能考核试验时，一方接到另一方试验通知而不派人参加试验，则被视为对验收试验结果的同意，并进行确认签字盖章。</w:t>
      </w:r>
    </w:p>
    <w:p>
      <w:pPr>
        <w:ind w:firstLine="480"/>
        <w:rPr>
          <w:rFonts w:ascii="楷体_GB2312" w:eastAsia="楷体_GB2312"/>
          <w:sz w:val="28"/>
          <w:szCs w:val="28"/>
        </w:rPr>
      </w:pPr>
      <w:r>
        <w:rPr>
          <w:rFonts w:hint="eastAsia" w:ascii="楷体_GB2312" w:eastAsia="楷体_GB2312"/>
          <w:sz w:val="28"/>
          <w:szCs w:val="28"/>
        </w:rPr>
        <w:t>7.本工艺包性能考核期间的公用工程（如水、电等）和药剂等物料不由乙方承担。第一次考核的检测费用不由乙方承担。后续考核的检测费用，是由乙方原因导致的，由乙方承担；是由甲方原因导致的，由甲方承担；其他情况，协商达成一致后再进行考核。</w:t>
      </w:r>
    </w:p>
    <w:p>
      <w:pPr>
        <w:ind w:firstLine="480"/>
        <w:rPr>
          <w:rFonts w:ascii="楷体_GB2312" w:eastAsia="楷体_GB2312"/>
          <w:sz w:val="28"/>
          <w:szCs w:val="28"/>
        </w:rPr>
      </w:pPr>
      <w:r>
        <w:rPr>
          <w:rFonts w:hint="eastAsia" w:ascii="楷体_GB2312" w:eastAsia="楷体_GB2312"/>
          <w:sz w:val="28"/>
          <w:szCs w:val="28"/>
        </w:rPr>
        <w:t>8.如性能考核不合格，乙方必须免费对设备进行维修、改造或升级，直至达到性能考核要求为止。</w:t>
      </w:r>
    </w:p>
    <w:p>
      <w:pPr>
        <w:spacing w:line="360" w:lineRule="auto"/>
        <w:rPr>
          <w:rFonts w:ascii="楷体_GB2312" w:hAnsi="宋体" w:eastAsia="楷体_GB2312"/>
          <w:b/>
          <w:sz w:val="30"/>
        </w:rPr>
      </w:pPr>
      <w:r>
        <w:rPr>
          <w:rFonts w:hint="eastAsia" w:ascii="楷体_GB2312" w:hAnsi="宋体" w:eastAsia="楷体_GB2312"/>
          <w:b/>
          <w:sz w:val="30"/>
        </w:rPr>
        <w:t>第七章 工期</w:t>
      </w:r>
    </w:p>
    <w:p>
      <w:pPr>
        <w:spacing w:line="360" w:lineRule="auto"/>
        <w:ind w:left="425"/>
        <w:rPr>
          <w:rFonts w:ascii="楷体_GB2312" w:hAnsi="宋体" w:eastAsia="楷体_GB2312"/>
          <w:sz w:val="28"/>
        </w:rPr>
      </w:pPr>
      <w:r>
        <w:rPr>
          <w:rFonts w:ascii="楷体_GB2312" w:hAnsi="宋体" w:eastAsia="楷体_GB2312"/>
          <w:sz w:val="28"/>
        </w:rPr>
        <w:t>1.</w:t>
      </w:r>
      <w:r>
        <w:rPr>
          <w:rFonts w:hint="eastAsia" w:ascii="楷体_GB2312" w:hAnsi="宋体" w:eastAsia="楷体_GB2312"/>
          <w:sz w:val="28"/>
        </w:rPr>
        <w:t>合同签订后3个工作日内，乙方交付给甲方罐体基础施工图纸。</w:t>
      </w:r>
    </w:p>
    <w:p>
      <w:pPr>
        <w:autoSpaceDE w:val="0"/>
        <w:autoSpaceDN w:val="0"/>
        <w:spacing w:line="360" w:lineRule="auto"/>
        <w:ind w:left="425"/>
        <w:jc w:val="left"/>
        <w:rPr>
          <w:rFonts w:ascii="楷体_GB2312" w:eastAsia="楷体_GB2312"/>
          <w:color w:val="000000"/>
          <w:sz w:val="28"/>
          <w:szCs w:val="28"/>
        </w:rPr>
      </w:pPr>
      <w:r>
        <w:rPr>
          <w:rFonts w:ascii="楷体_GB2312" w:eastAsia="楷体_GB2312"/>
          <w:color w:val="000000"/>
          <w:sz w:val="28"/>
          <w:szCs w:val="28"/>
        </w:rPr>
        <w:t>2.</w:t>
      </w:r>
      <w:r>
        <w:rPr>
          <w:rFonts w:hint="eastAsia" w:ascii="楷体_GB2312" w:eastAsia="楷体_GB2312"/>
          <w:color w:val="000000"/>
          <w:sz w:val="28"/>
          <w:szCs w:val="28"/>
        </w:rPr>
        <w:t>工期进度如下：设备基础完成具备安装</w:t>
      </w:r>
      <w:r>
        <w:rPr>
          <w:rFonts w:hint="eastAsia" w:ascii="楷体_GB2312" w:eastAsia="楷体_GB2312"/>
          <w:sz w:val="28"/>
          <w:szCs w:val="28"/>
        </w:rPr>
        <w:t>条件后1个工作日</w:t>
      </w:r>
      <w:r>
        <w:rPr>
          <w:rFonts w:hint="eastAsia" w:ascii="楷体_GB2312" w:eastAsia="楷体_GB2312"/>
          <w:color w:val="000000"/>
          <w:sz w:val="28"/>
          <w:szCs w:val="28"/>
        </w:rPr>
        <w:t>内乙方施工人员进驻现场开始准备工作。</w:t>
      </w:r>
    </w:p>
    <w:p>
      <w:pPr>
        <w:autoSpaceDE w:val="0"/>
        <w:autoSpaceDN w:val="0"/>
        <w:spacing w:line="360" w:lineRule="auto"/>
        <w:ind w:left="425"/>
        <w:jc w:val="left"/>
        <w:rPr>
          <w:rFonts w:ascii="楷体_GB2312" w:eastAsia="楷体_GB2312"/>
          <w:color w:val="000000"/>
          <w:sz w:val="28"/>
          <w:szCs w:val="28"/>
        </w:rPr>
      </w:pPr>
      <w:r>
        <w:rPr>
          <w:rFonts w:hint="eastAsia" w:ascii="楷体_GB2312" w:eastAsia="楷体_GB2312"/>
          <w:sz w:val="28"/>
          <w:szCs w:val="28"/>
        </w:rPr>
        <w:t>3</w:t>
      </w:r>
      <w:r>
        <w:rPr>
          <w:rFonts w:ascii="楷体_GB2312" w:eastAsia="楷体_GB2312"/>
          <w:sz w:val="28"/>
          <w:szCs w:val="28"/>
        </w:rPr>
        <w:t>.</w:t>
      </w:r>
      <w:r>
        <w:rPr>
          <w:rFonts w:hint="eastAsia"/>
        </w:rPr>
        <w:t xml:space="preserve"> </w:t>
      </w:r>
      <w:r>
        <w:rPr>
          <w:rFonts w:hint="eastAsia" w:ascii="楷体_GB2312" w:eastAsia="楷体_GB2312"/>
          <w:sz w:val="28"/>
          <w:szCs w:val="28"/>
        </w:rPr>
        <w:t>设计、采购、制作、安装工期65天。调试工期35天。</w:t>
      </w:r>
      <w:r>
        <w:rPr>
          <w:rFonts w:hint="eastAsia" w:ascii="楷体_GB2312" w:eastAsia="楷体_GB2312"/>
          <w:color w:val="000000"/>
          <w:sz w:val="28"/>
          <w:szCs w:val="28"/>
        </w:rPr>
        <w:t>如因承包方原因造成工程不能在以上预计时间内达标，承包方负责免费整改，如超过调试工期仍未达标，乙方须按合同总金额 0.1%/天向甲方支付违约金，累计总额不超过 10%。（如遇不可抗拒因素造成无法施工，乙方的安装工期相应顺延）。</w:t>
      </w:r>
    </w:p>
    <w:p>
      <w:pPr>
        <w:autoSpaceDE w:val="0"/>
        <w:autoSpaceDN w:val="0"/>
        <w:spacing w:line="360" w:lineRule="auto"/>
        <w:ind w:left="425"/>
        <w:jc w:val="left"/>
        <w:rPr>
          <w:rFonts w:ascii="楷体_GB2312" w:eastAsia="楷体_GB2312"/>
          <w:color w:val="000000"/>
          <w:sz w:val="28"/>
          <w:szCs w:val="28"/>
        </w:rPr>
      </w:pPr>
      <w:r>
        <w:rPr>
          <w:rFonts w:ascii="楷体_GB2312" w:eastAsia="楷体_GB2312"/>
          <w:color w:val="000000"/>
          <w:sz w:val="28"/>
          <w:szCs w:val="28"/>
        </w:rPr>
        <w:t>4</w:t>
      </w:r>
      <w:r>
        <w:rPr>
          <w:rFonts w:hint="eastAsia" w:ascii="楷体_GB2312" w:eastAsia="楷体_GB2312"/>
          <w:color w:val="000000"/>
          <w:sz w:val="28"/>
          <w:szCs w:val="28"/>
        </w:rPr>
        <w:t>.</w:t>
      </w:r>
      <w:r>
        <w:rPr>
          <w:rFonts w:hint="eastAsia" w:ascii="楷体_GB2312" w:eastAsia="楷体_GB2312"/>
          <w:color w:val="000000"/>
          <w:sz w:val="28"/>
          <w:szCs w:val="28"/>
        </w:rPr>
        <w:tab/>
      </w:r>
      <w:r>
        <w:rPr>
          <w:rFonts w:hint="eastAsia" w:ascii="楷体_GB2312" w:eastAsia="楷体_GB2312"/>
          <w:color w:val="000000"/>
          <w:sz w:val="28"/>
          <w:szCs w:val="28"/>
        </w:rPr>
        <w:t>进度计划</w:t>
      </w:r>
    </w:p>
    <w:p>
      <w:pPr>
        <w:autoSpaceDE w:val="0"/>
        <w:autoSpaceDN w:val="0"/>
        <w:spacing w:line="360" w:lineRule="auto"/>
        <w:ind w:left="425"/>
        <w:jc w:val="left"/>
        <w:rPr>
          <w:rFonts w:ascii="楷体_GB2312" w:eastAsia="楷体_GB2312"/>
          <w:color w:val="000000"/>
          <w:sz w:val="28"/>
          <w:szCs w:val="28"/>
        </w:rPr>
      </w:pPr>
      <w:r>
        <w:rPr>
          <w:rFonts w:hint="eastAsia" w:ascii="楷体_GB2312" w:eastAsia="楷体_GB2312"/>
          <w:color w:val="000000"/>
          <w:sz w:val="28"/>
          <w:szCs w:val="28"/>
        </w:rPr>
        <w:t>(1)乙方应在双方约定的日期，将施工方案和进度计划提交甲方代表，甲方代表应按双方约定的时间（具体时间另定）予以批准或提出修改意见。</w:t>
      </w:r>
    </w:p>
    <w:p>
      <w:pPr>
        <w:autoSpaceDE w:val="0"/>
        <w:autoSpaceDN w:val="0"/>
        <w:spacing w:line="360" w:lineRule="auto"/>
        <w:ind w:left="425"/>
        <w:jc w:val="left"/>
        <w:rPr>
          <w:rFonts w:ascii="楷体_GB2312" w:eastAsia="楷体_GB2312"/>
          <w:color w:val="000000"/>
          <w:sz w:val="28"/>
          <w:szCs w:val="28"/>
        </w:rPr>
      </w:pPr>
      <w:r>
        <w:rPr>
          <w:rFonts w:hint="eastAsia" w:ascii="楷体_GB2312" w:eastAsia="楷体_GB2312"/>
          <w:color w:val="000000"/>
          <w:sz w:val="28"/>
          <w:szCs w:val="28"/>
        </w:rPr>
        <w:t>(2)乙方必须按批准的施工方案组织施工，接受甲方代表对进度的检查、监督。如实际进度达不到计划进度时，乙方应按甲方代表的要求提出改进措施，报甲方代表批准后执行。</w:t>
      </w:r>
    </w:p>
    <w:p>
      <w:pPr>
        <w:autoSpaceDE w:val="0"/>
        <w:autoSpaceDN w:val="0"/>
        <w:spacing w:line="360" w:lineRule="auto"/>
        <w:ind w:left="425"/>
        <w:jc w:val="left"/>
        <w:rPr>
          <w:rFonts w:ascii="楷体_GB2312" w:eastAsia="楷体_GB2312"/>
          <w:color w:val="000000"/>
          <w:sz w:val="28"/>
          <w:szCs w:val="28"/>
        </w:rPr>
      </w:pPr>
      <w:r>
        <w:rPr>
          <w:rFonts w:hint="eastAsia" w:ascii="楷体_GB2312" w:eastAsia="楷体_GB2312"/>
          <w:color w:val="000000"/>
          <w:sz w:val="28"/>
          <w:szCs w:val="28"/>
        </w:rPr>
        <w:t>(3)乙方提供施工方案和进度计划的时间。乙方按施工图在开工后七日内提交详细的施工组织设计和进度计划。</w:t>
      </w:r>
    </w:p>
    <w:p>
      <w:pPr>
        <w:autoSpaceDE w:val="0"/>
        <w:autoSpaceDN w:val="0"/>
        <w:spacing w:line="360" w:lineRule="auto"/>
        <w:ind w:left="425"/>
        <w:jc w:val="left"/>
        <w:rPr>
          <w:rFonts w:ascii="楷体_GB2312" w:eastAsia="楷体_GB2312"/>
          <w:color w:val="000000"/>
          <w:sz w:val="28"/>
          <w:szCs w:val="28"/>
        </w:rPr>
      </w:pPr>
      <w:r>
        <w:rPr>
          <w:rFonts w:hint="eastAsia" w:ascii="楷体_GB2312" w:eastAsia="楷体_GB2312"/>
          <w:color w:val="000000"/>
          <w:sz w:val="28"/>
          <w:szCs w:val="28"/>
        </w:rPr>
        <w:t>(4)如果乙方的实际的施工进度不能满足本合同的要求，甲方可以通知乙方采取某些必要的措施以改善进度。如果在一个甲方确定的合理的时间阶段中乙方没有改善其施工状况来满足上面规定的合同计划节点日完工，甲方可以要求乙方增加其劳动力，进而增加施工班次，延长施工时间，每周的施工天数，加快材料设备的运送，增加施工机械设备。</w:t>
      </w:r>
    </w:p>
    <w:p>
      <w:pPr>
        <w:autoSpaceDE w:val="0"/>
        <w:autoSpaceDN w:val="0"/>
        <w:spacing w:line="360" w:lineRule="auto"/>
        <w:ind w:left="425"/>
        <w:jc w:val="left"/>
        <w:rPr>
          <w:rFonts w:ascii="楷体_GB2312" w:eastAsia="楷体_GB2312"/>
          <w:color w:val="000000"/>
          <w:sz w:val="28"/>
          <w:szCs w:val="28"/>
        </w:rPr>
      </w:pPr>
      <w:r>
        <w:rPr>
          <w:rFonts w:ascii="楷体_GB2312" w:eastAsia="楷体_GB2312"/>
          <w:color w:val="000000"/>
          <w:sz w:val="28"/>
          <w:szCs w:val="28"/>
        </w:rPr>
        <w:t>5</w:t>
      </w:r>
      <w:r>
        <w:rPr>
          <w:rFonts w:hint="eastAsia" w:ascii="楷体_GB2312" w:eastAsia="楷体_GB2312"/>
          <w:color w:val="000000"/>
          <w:sz w:val="28"/>
          <w:szCs w:val="28"/>
        </w:rPr>
        <w:t>.暂停施工：乙方在施工过程中存在施工错误、严重安全隐患、没有按施工进度、施工图纸施工等，甲方可要求乙方暂停施工，并在提出要求后48小时内提出处理意见。乙方按甲方要求停止施工，妥善保护已完工程，实施甲方代表处理意见后向其提出复工要求，甲方代表同意后继续施工。</w:t>
      </w:r>
    </w:p>
    <w:p>
      <w:pPr>
        <w:autoSpaceDE w:val="0"/>
        <w:autoSpaceDN w:val="0"/>
        <w:spacing w:line="360" w:lineRule="auto"/>
        <w:ind w:left="425"/>
        <w:jc w:val="left"/>
        <w:rPr>
          <w:rFonts w:ascii="楷体_GB2312" w:eastAsia="楷体_GB2312"/>
          <w:color w:val="000000"/>
          <w:sz w:val="28"/>
          <w:szCs w:val="28"/>
        </w:rPr>
      </w:pPr>
      <w:r>
        <w:rPr>
          <w:rFonts w:ascii="楷体_GB2312" w:eastAsia="楷体_GB2312"/>
          <w:color w:val="000000"/>
          <w:sz w:val="28"/>
          <w:szCs w:val="28"/>
        </w:rPr>
        <w:t>6</w:t>
      </w:r>
      <w:r>
        <w:rPr>
          <w:rFonts w:hint="eastAsia" w:ascii="楷体_GB2312" w:eastAsia="楷体_GB2312"/>
          <w:color w:val="000000"/>
          <w:sz w:val="28"/>
          <w:szCs w:val="28"/>
        </w:rPr>
        <w:t>.工期延误：对以下造成工期推迟的延误，经甲方代表确认后工期相应顺延：(1)不可抗力；(2)甲方代表同意给予顺延的其它情况；(3)非上述原因，工程不能按合同工期完工，乙方承担违约责任。</w:t>
      </w:r>
    </w:p>
    <w:p>
      <w:pPr>
        <w:spacing w:line="360" w:lineRule="auto"/>
        <w:rPr>
          <w:rFonts w:ascii="楷体_GB2312" w:hAnsi="宋体" w:eastAsia="楷体_GB2312"/>
          <w:b/>
          <w:sz w:val="30"/>
        </w:rPr>
      </w:pPr>
      <w:r>
        <w:rPr>
          <w:rFonts w:hint="eastAsia" w:ascii="楷体_GB2312" w:hAnsi="宋体" w:eastAsia="楷体_GB2312"/>
          <w:b/>
          <w:sz w:val="30"/>
        </w:rPr>
        <w:t>第八章 双方权利及责任</w:t>
      </w:r>
    </w:p>
    <w:p>
      <w:pPr>
        <w:numPr>
          <w:ilvl w:val="0"/>
          <w:numId w:val="15"/>
        </w:numPr>
        <w:spacing w:line="360" w:lineRule="auto"/>
        <w:rPr>
          <w:rFonts w:ascii="楷体_GB2312" w:hAnsi="宋体" w:eastAsia="楷体_GB2312"/>
          <w:sz w:val="28"/>
        </w:rPr>
      </w:pPr>
      <w:r>
        <w:rPr>
          <w:rFonts w:hint="eastAsia" w:ascii="楷体_GB2312" w:hAnsi="宋体" w:eastAsia="楷体_GB2312"/>
          <w:sz w:val="28"/>
        </w:rPr>
        <w:t>甲方代表</w:t>
      </w:r>
    </w:p>
    <w:p>
      <w:pPr>
        <w:numPr>
          <w:ilvl w:val="0"/>
          <w:numId w:val="16"/>
        </w:numPr>
        <w:spacing w:line="360" w:lineRule="auto"/>
        <w:rPr>
          <w:rFonts w:ascii="楷体_GB2312" w:hAnsi="宋体" w:eastAsia="楷体_GB2312"/>
          <w:sz w:val="28"/>
        </w:rPr>
      </w:pPr>
      <w:r>
        <w:rPr>
          <w:rFonts w:hint="eastAsia" w:ascii="楷体_GB2312" w:hAnsi="宋体" w:eastAsia="楷体_GB2312"/>
          <w:sz w:val="28"/>
        </w:rPr>
        <w:t>甲方任命</w:t>
      </w:r>
      <w:r>
        <w:rPr>
          <w:rFonts w:hint="eastAsia" w:ascii="楷体_GB2312" w:hAnsi="宋体" w:eastAsia="楷体_GB2312"/>
          <w:sz w:val="28"/>
          <w:u w:val="single"/>
        </w:rPr>
        <w:t xml:space="preserve">  </w:t>
      </w:r>
      <w:r>
        <w:rPr>
          <w:rFonts w:hint="eastAsia" w:ascii="楷体_GB2312" w:hAnsi="宋体" w:eastAsia="楷体_GB2312"/>
          <w:color w:val="FF0000"/>
          <w:sz w:val="28"/>
          <w:u w:val="single"/>
        </w:rPr>
        <w:t xml:space="preserve">  </w:t>
      </w:r>
      <w:r>
        <w:rPr>
          <w:rFonts w:hint="eastAsia" w:ascii="楷体_GB2312" w:hAnsi="宋体" w:eastAsia="楷体_GB2312"/>
          <w:sz w:val="28"/>
          <w:u w:val="single"/>
        </w:rPr>
        <w:t xml:space="preserve">   </w:t>
      </w:r>
      <w:r>
        <w:rPr>
          <w:rFonts w:hint="eastAsia" w:ascii="楷体_GB2312" w:hAnsi="宋体" w:eastAsia="楷体_GB2312"/>
          <w:sz w:val="28"/>
        </w:rPr>
        <w:t>为现场代表，按照以下要求行使合同约定的权力，履行合同约定的职责：</w:t>
      </w:r>
    </w:p>
    <w:p>
      <w:pPr>
        <w:numPr>
          <w:ilvl w:val="0"/>
          <w:numId w:val="16"/>
        </w:numPr>
        <w:spacing w:line="360" w:lineRule="auto"/>
        <w:rPr>
          <w:rFonts w:ascii="楷体_GB2312" w:hAnsi="宋体" w:eastAsia="楷体_GB2312"/>
          <w:sz w:val="28"/>
        </w:rPr>
      </w:pPr>
      <w:r>
        <w:rPr>
          <w:rFonts w:hint="eastAsia" w:ascii="楷体_GB2312" w:hAnsi="宋体" w:eastAsia="楷体_GB2312"/>
          <w:sz w:val="28"/>
        </w:rPr>
        <w:t>甲方代表可委派有关具体管理人员，承担自己部分权力和职责，并可在任何时候撤回这种委派。委派和撤回均应提前五天通知乙方。</w:t>
      </w:r>
    </w:p>
    <w:p>
      <w:pPr>
        <w:numPr>
          <w:ilvl w:val="0"/>
          <w:numId w:val="16"/>
        </w:numPr>
        <w:spacing w:line="360" w:lineRule="auto"/>
        <w:rPr>
          <w:rFonts w:ascii="楷体_GB2312" w:hAnsi="宋体" w:eastAsia="楷体_GB2312"/>
          <w:sz w:val="28"/>
        </w:rPr>
      </w:pPr>
      <w:r>
        <w:rPr>
          <w:rFonts w:hint="eastAsia" w:ascii="楷体_GB2312" w:hAnsi="宋体" w:eastAsia="楷体_GB2312"/>
          <w:sz w:val="28"/>
        </w:rPr>
        <w:t>甲方代表的指令、通知由其本人签字后，以书面形式交给乙方代表，乙方代表在回执上签署姓名和收到时间后生效。必要时，甲方代表可发出口头指令，并在48小时内给予书面确认，乙方对甲方代表的指令应予执行。</w:t>
      </w:r>
    </w:p>
    <w:p>
      <w:pPr>
        <w:numPr>
          <w:ilvl w:val="0"/>
          <w:numId w:val="16"/>
        </w:numPr>
        <w:spacing w:line="360" w:lineRule="auto"/>
        <w:rPr>
          <w:rFonts w:ascii="楷体_GB2312" w:hAnsi="宋体" w:eastAsia="楷体_GB2312"/>
          <w:sz w:val="28"/>
        </w:rPr>
      </w:pPr>
      <w:r>
        <w:rPr>
          <w:rFonts w:hint="eastAsia" w:ascii="楷体_GB2312" w:hAnsi="宋体" w:eastAsia="楷体_GB2312"/>
          <w:sz w:val="28"/>
        </w:rPr>
        <w:t>甲方代表在履行合同的过程中，发现乙方代表或乙方的管理人员、施工人员，或经双方认可的分包单位不称职或不能履行合同规定时，有权向乙方提出要求撤换不称职的人员。</w:t>
      </w:r>
    </w:p>
    <w:p>
      <w:pPr>
        <w:numPr>
          <w:ilvl w:val="0"/>
          <w:numId w:val="15"/>
        </w:numPr>
        <w:spacing w:line="360" w:lineRule="auto"/>
        <w:rPr>
          <w:rFonts w:ascii="楷体_GB2312" w:hAnsi="宋体" w:eastAsia="楷体_GB2312"/>
          <w:sz w:val="28"/>
        </w:rPr>
      </w:pPr>
      <w:r>
        <w:rPr>
          <w:rFonts w:hint="eastAsia" w:ascii="楷体_GB2312" w:hAnsi="宋体" w:eastAsia="楷体_GB2312"/>
          <w:sz w:val="28"/>
        </w:rPr>
        <w:t>乙方代表</w:t>
      </w:r>
    </w:p>
    <w:p>
      <w:pPr>
        <w:numPr>
          <w:ilvl w:val="0"/>
          <w:numId w:val="17"/>
        </w:numPr>
        <w:spacing w:line="360" w:lineRule="auto"/>
        <w:rPr>
          <w:rFonts w:ascii="楷体_GB2312" w:hAnsi="宋体" w:eastAsia="楷体_GB2312"/>
          <w:sz w:val="28"/>
        </w:rPr>
      </w:pPr>
      <w:r>
        <w:rPr>
          <w:rFonts w:hint="eastAsia" w:ascii="楷体_GB2312" w:hAnsi="宋体" w:eastAsia="楷体_GB2312"/>
          <w:sz w:val="28"/>
        </w:rPr>
        <w:t>乙方任命</w:t>
      </w:r>
      <w:r>
        <w:rPr>
          <w:rFonts w:hint="eastAsia" w:ascii="楷体_GB2312" w:hAnsi="宋体" w:eastAsia="楷体_GB2312"/>
          <w:color w:val="FF0000"/>
          <w:sz w:val="28"/>
          <w:u w:val="single"/>
        </w:rPr>
        <w:t xml:space="preserve">         </w:t>
      </w:r>
      <w:r>
        <w:rPr>
          <w:rFonts w:hint="eastAsia" w:ascii="楷体_GB2312" w:hAnsi="宋体" w:eastAsia="楷体_GB2312"/>
          <w:sz w:val="28"/>
        </w:rPr>
        <w:t>为乙方代表，按以下要求行使合同约定的权力,履行合同约定的职责；</w:t>
      </w:r>
    </w:p>
    <w:p>
      <w:pPr>
        <w:numPr>
          <w:ilvl w:val="0"/>
          <w:numId w:val="17"/>
        </w:numPr>
        <w:spacing w:line="360" w:lineRule="auto"/>
        <w:rPr>
          <w:rFonts w:ascii="楷体_GB2312" w:hAnsi="宋体" w:eastAsia="楷体_GB2312"/>
          <w:sz w:val="28"/>
        </w:rPr>
      </w:pPr>
      <w:r>
        <w:rPr>
          <w:rFonts w:hint="eastAsia" w:ascii="楷体_GB2312" w:hAnsi="宋体" w:eastAsia="楷体_GB2312"/>
          <w:sz w:val="28"/>
        </w:rPr>
        <w:t>乙方的要求、请求和通知，以书面形式由乙方代表签字后送交甲方代表，甲方代表在回执上签署姓名和收到日期后生效；</w:t>
      </w:r>
    </w:p>
    <w:p>
      <w:pPr>
        <w:numPr>
          <w:ilvl w:val="0"/>
          <w:numId w:val="17"/>
        </w:numPr>
        <w:spacing w:line="360" w:lineRule="auto"/>
        <w:rPr>
          <w:rFonts w:ascii="楷体_GB2312" w:hAnsi="宋体" w:eastAsia="楷体_GB2312"/>
          <w:sz w:val="28"/>
        </w:rPr>
      </w:pPr>
      <w:r>
        <w:rPr>
          <w:rFonts w:hint="eastAsia" w:ascii="楷体_GB2312" w:hAnsi="宋体" w:eastAsia="楷体_GB2312"/>
          <w:sz w:val="28"/>
        </w:rPr>
        <w:t>乙方代表按甲方代表书面批准的组织设计（或施工方）和依据合同发出的指令、要求组织施工。在情况紧急且无法与甲方代表联系的情况下，可采取保证工程和人员生命、财产安全的紧急措施，并在采取措施后24小时内向甲方代表送交报告。乙方代表易人应提前三天通知甲方，并须经甲方同意后方可更换后任继续承担前任应负的责任（合同文件约定的义务和其职权内的承诺）。</w:t>
      </w:r>
    </w:p>
    <w:p>
      <w:pPr>
        <w:numPr>
          <w:ilvl w:val="0"/>
          <w:numId w:val="15"/>
        </w:numPr>
        <w:spacing w:line="360" w:lineRule="auto"/>
        <w:rPr>
          <w:rFonts w:ascii="楷体_GB2312" w:hAnsi="宋体" w:eastAsia="楷体_GB2312"/>
          <w:sz w:val="28"/>
        </w:rPr>
      </w:pPr>
      <w:r>
        <w:rPr>
          <w:rFonts w:hint="eastAsia" w:ascii="楷体_GB2312" w:hAnsi="宋体" w:eastAsia="楷体_GB2312"/>
          <w:sz w:val="28"/>
        </w:rPr>
        <w:t>甲方工作</w:t>
      </w:r>
    </w:p>
    <w:p>
      <w:pPr>
        <w:numPr>
          <w:ilvl w:val="0"/>
          <w:numId w:val="18"/>
        </w:numPr>
        <w:spacing w:line="360" w:lineRule="auto"/>
        <w:rPr>
          <w:rFonts w:ascii="楷体_GB2312" w:hAnsi="宋体" w:eastAsia="楷体_GB2312"/>
          <w:sz w:val="28"/>
        </w:rPr>
      </w:pPr>
      <w:r>
        <w:rPr>
          <w:rFonts w:hint="eastAsia" w:ascii="楷体_GB2312" w:hAnsi="宋体" w:eastAsia="楷体_GB2312"/>
          <w:sz w:val="28"/>
        </w:rPr>
        <w:t>提供废水水样、参数。</w:t>
      </w:r>
    </w:p>
    <w:p>
      <w:pPr>
        <w:numPr>
          <w:ilvl w:val="0"/>
          <w:numId w:val="18"/>
        </w:numPr>
        <w:spacing w:line="360" w:lineRule="auto"/>
        <w:rPr>
          <w:rFonts w:ascii="楷体_GB2312" w:hAnsi="宋体" w:eastAsia="楷体_GB2312"/>
          <w:sz w:val="28"/>
        </w:rPr>
      </w:pPr>
      <w:r>
        <w:rPr>
          <w:rFonts w:hint="eastAsia" w:ascii="楷体_GB2312" w:hAnsi="宋体" w:eastAsia="楷体_GB2312"/>
          <w:sz w:val="28"/>
        </w:rPr>
        <w:t>向乙方提供施工场地现有状况的有关资料，并尽量保证资料的真实准确。</w:t>
      </w:r>
    </w:p>
    <w:p>
      <w:pPr>
        <w:numPr>
          <w:ilvl w:val="0"/>
          <w:numId w:val="18"/>
        </w:numPr>
        <w:spacing w:line="360" w:lineRule="auto"/>
        <w:rPr>
          <w:rFonts w:ascii="楷体_GB2312" w:hAnsi="宋体" w:eastAsia="楷体_GB2312"/>
          <w:sz w:val="28"/>
        </w:rPr>
      </w:pPr>
      <w:r>
        <w:rPr>
          <w:rFonts w:hint="eastAsia" w:ascii="楷体_GB2312" w:hAnsi="宋体" w:eastAsia="楷体_GB2312"/>
          <w:sz w:val="28"/>
        </w:rPr>
        <w:t>办理项目开工中的甲方应办理的各项手续及相关文件。办理乙方施工期间验收确认手续。</w:t>
      </w:r>
    </w:p>
    <w:p>
      <w:pPr>
        <w:numPr>
          <w:ilvl w:val="0"/>
          <w:numId w:val="18"/>
        </w:numPr>
        <w:spacing w:line="360" w:lineRule="auto"/>
        <w:rPr>
          <w:rFonts w:ascii="楷体_GB2312" w:hAnsi="宋体" w:eastAsia="楷体_GB2312"/>
          <w:sz w:val="28"/>
        </w:rPr>
      </w:pPr>
      <w:r>
        <w:rPr>
          <w:rFonts w:ascii="楷体_GB2312" w:hAnsi="宋体" w:eastAsia="楷体_GB2312"/>
          <w:sz w:val="28"/>
        </w:rPr>
        <w:t>负责</w:t>
      </w:r>
      <w:r>
        <w:rPr>
          <w:rFonts w:hint="eastAsia" w:ascii="楷体_GB2312" w:hAnsi="宋体" w:eastAsia="楷体_GB2312"/>
          <w:sz w:val="28"/>
        </w:rPr>
        <w:t>提供完善的设计基础资料，并结合乙方提供的土建施工图进行土建施工</w:t>
      </w:r>
    </w:p>
    <w:p>
      <w:pPr>
        <w:numPr>
          <w:ilvl w:val="0"/>
          <w:numId w:val="18"/>
        </w:numPr>
        <w:spacing w:line="360" w:lineRule="auto"/>
        <w:rPr>
          <w:rFonts w:ascii="楷体_GB2312" w:hAnsi="宋体" w:eastAsia="楷体_GB2312"/>
          <w:sz w:val="28"/>
        </w:rPr>
      </w:pPr>
      <w:r>
        <w:rPr>
          <w:rFonts w:ascii="楷体_GB2312" w:hAnsi="宋体" w:eastAsia="楷体_GB2312"/>
          <w:sz w:val="28"/>
        </w:rPr>
        <w:t>应按合同规定的付款条件和方式及时支付合同款项。</w:t>
      </w:r>
    </w:p>
    <w:p>
      <w:pPr>
        <w:numPr>
          <w:ilvl w:val="0"/>
          <w:numId w:val="18"/>
        </w:numPr>
        <w:spacing w:line="360" w:lineRule="auto"/>
        <w:rPr>
          <w:rFonts w:ascii="楷体_GB2312" w:hAnsi="宋体" w:eastAsia="楷体_GB2312"/>
          <w:sz w:val="28"/>
        </w:rPr>
      </w:pPr>
      <w:r>
        <w:rPr>
          <w:rFonts w:ascii="楷体_GB2312" w:hAnsi="宋体" w:eastAsia="楷体_GB2312"/>
          <w:sz w:val="28"/>
        </w:rPr>
        <w:t>应遵守合同规定的</w:t>
      </w:r>
      <w:r>
        <w:rPr>
          <w:rFonts w:hint="eastAsia" w:ascii="楷体_GB2312" w:hAnsi="宋体" w:eastAsia="楷体_GB2312"/>
          <w:sz w:val="28"/>
        </w:rPr>
        <w:t>专利</w:t>
      </w:r>
      <w:r>
        <w:rPr>
          <w:rFonts w:ascii="楷体_GB2312" w:hAnsi="宋体" w:eastAsia="楷体_GB2312"/>
          <w:sz w:val="28"/>
        </w:rPr>
        <w:t>保密责任和义务。</w:t>
      </w:r>
    </w:p>
    <w:p>
      <w:pPr>
        <w:numPr>
          <w:ilvl w:val="0"/>
          <w:numId w:val="18"/>
        </w:numPr>
        <w:spacing w:line="360" w:lineRule="auto"/>
        <w:rPr>
          <w:rFonts w:ascii="楷体_GB2312" w:hAnsi="宋体" w:eastAsia="楷体_GB2312"/>
          <w:sz w:val="28"/>
        </w:rPr>
      </w:pPr>
      <w:r>
        <w:rPr>
          <w:rFonts w:hint="eastAsia" w:ascii="楷体_GB2312" w:hAnsi="宋体" w:eastAsia="楷体_GB2312"/>
          <w:sz w:val="28"/>
        </w:rPr>
        <w:t>按合同规定按时向乙方支付各种款项。</w:t>
      </w:r>
    </w:p>
    <w:p>
      <w:pPr>
        <w:numPr>
          <w:ilvl w:val="0"/>
          <w:numId w:val="18"/>
        </w:numPr>
        <w:spacing w:line="360" w:lineRule="auto"/>
        <w:rPr>
          <w:rFonts w:ascii="楷体_GB2312" w:hAnsi="宋体" w:eastAsia="楷体_GB2312"/>
          <w:color w:val="000000"/>
          <w:sz w:val="28"/>
          <w:szCs w:val="28"/>
        </w:rPr>
      </w:pPr>
      <w:r>
        <w:rPr>
          <w:rFonts w:hint="eastAsia" w:ascii="楷体_GB2312" w:hAnsi="宋体" w:eastAsia="楷体_GB2312"/>
          <w:color w:val="000000"/>
          <w:sz w:val="28"/>
          <w:szCs w:val="28"/>
        </w:rPr>
        <w:t>甲方负责提供调试期间的废水水量、接种污泥、运行期间的合格药剂和满足负荷的动力电源，废水处理岗位的相应操作人员。</w:t>
      </w:r>
    </w:p>
    <w:p>
      <w:pPr>
        <w:numPr>
          <w:ilvl w:val="0"/>
          <w:numId w:val="15"/>
        </w:numPr>
        <w:spacing w:line="360" w:lineRule="auto"/>
        <w:rPr>
          <w:rFonts w:ascii="楷体_GB2312" w:hAnsi="宋体" w:eastAsia="楷体_GB2312"/>
          <w:sz w:val="28"/>
        </w:rPr>
      </w:pPr>
      <w:r>
        <w:rPr>
          <w:rFonts w:hint="eastAsia" w:ascii="楷体_GB2312" w:hAnsi="宋体" w:eastAsia="楷体_GB2312"/>
          <w:sz w:val="28"/>
        </w:rPr>
        <w:t>乙方工作</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乙方对承包范围内工程内容进行现场协调、质量、安全及进度的管理和控制，设立现场项目管理部，参加甲方定期召开的工程施工协调会。</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按图施工，如有变更需甲方确认后方可施工。</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乙方不定期派设计代表到现场协助土建工程施工，并予以指导。</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按工程需要提供和维修施工使用的照明、看守、围栏、警卫及其他安全施工设施等。如乙方未履行上述义务造成工程、财产和人身伤害，由乙方承担责任及所发生的费用。</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遵守地方政府和有关部门对施工场地交通和环保卫生等管理规定，并承担由于违反规定引起的罚款。</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乙方承包范围内已竣工的工程未交付甲方之前，乙方负责已完工程的成品保护工作。如保护期间发生损失、损坏，乙方应自费予以修复或赔偿。</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保证施工现场清洁符合有关规定。交工前按甲方要求清理现场，承担因违反有关规定造成的损失和罚款。</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向甲方代表提供月、周工程进度计划及相应统计报表和工程事故报告。</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配合甲方办理工程竣工验收，配合甲方进行环保验收。</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工程验收前，负责清理施工场地。</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负责甲方水处理岗位人员的培训,直到能够熟练操作设备为止。</w:t>
      </w:r>
    </w:p>
    <w:p>
      <w:pPr>
        <w:numPr>
          <w:ilvl w:val="0"/>
          <w:numId w:val="19"/>
        </w:numPr>
        <w:spacing w:line="360" w:lineRule="auto"/>
        <w:rPr>
          <w:rFonts w:ascii="楷体_GB2312" w:hAnsi="宋体" w:eastAsia="楷体_GB2312"/>
          <w:sz w:val="28"/>
        </w:rPr>
      </w:pPr>
      <w:r>
        <w:rPr>
          <w:rFonts w:hint="eastAsia" w:ascii="楷体_GB2312" w:hAnsi="宋体" w:eastAsia="楷体_GB2312"/>
          <w:sz w:val="28"/>
        </w:rPr>
        <w:t>参加甲方组织的图纸会审，向甲方进行技术交底。</w:t>
      </w:r>
    </w:p>
    <w:p>
      <w:pPr>
        <w:numPr>
          <w:ilvl w:val="0"/>
          <w:numId w:val="19"/>
        </w:numPr>
        <w:spacing w:line="360" w:lineRule="auto"/>
        <w:rPr>
          <w:rFonts w:ascii="楷体_GB2312" w:hAnsi="宋体" w:eastAsia="楷体_GB2312"/>
          <w:sz w:val="28"/>
        </w:rPr>
      </w:pPr>
      <w:r>
        <w:rPr>
          <w:rFonts w:ascii="楷体_GB2312" w:hAnsi="宋体" w:eastAsia="楷体_GB2312"/>
          <w:sz w:val="28"/>
        </w:rPr>
        <w:t>乙方应遵守合同规定的</w:t>
      </w:r>
      <w:r>
        <w:rPr>
          <w:rFonts w:hint="eastAsia" w:ascii="楷体_GB2312" w:hAnsi="宋体" w:eastAsia="楷体_GB2312"/>
          <w:sz w:val="28"/>
        </w:rPr>
        <w:t>专利</w:t>
      </w:r>
      <w:r>
        <w:rPr>
          <w:rFonts w:ascii="楷体_GB2312" w:hAnsi="宋体" w:eastAsia="楷体_GB2312"/>
          <w:sz w:val="28"/>
        </w:rPr>
        <w:t>保密责任和义务</w:t>
      </w:r>
    </w:p>
    <w:p>
      <w:pPr>
        <w:spacing w:line="360" w:lineRule="auto"/>
        <w:rPr>
          <w:rFonts w:ascii="楷体_GB2312" w:hAnsi="宋体" w:eastAsia="楷体_GB2312"/>
          <w:b/>
          <w:sz w:val="32"/>
        </w:rPr>
      </w:pPr>
      <w:r>
        <w:rPr>
          <w:rFonts w:hint="eastAsia" w:ascii="楷体_GB2312" w:hAnsi="宋体" w:eastAsia="楷体_GB2312"/>
          <w:b/>
          <w:sz w:val="30"/>
        </w:rPr>
        <w:t xml:space="preserve">第九章  </w:t>
      </w:r>
      <w:r>
        <w:rPr>
          <w:rFonts w:hint="eastAsia" w:ascii="楷体_GB2312" w:hAnsi="宋体" w:eastAsia="楷体_GB2312"/>
          <w:b/>
          <w:sz w:val="32"/>
        </w:rPr>
        <w:t>质量与验收</w:t>
      </w:r>
    </w:p>
    <w:p>
      <w:pPr>
        <w:numPr>
          <w:ilvl w:val="0"/>
          <w:numId w:val="20"/>
        </w:numPr>
        <w:spacing w:line="360" w:lineRule="auto"/>
        <w:rPr>
          <w:rFonts w:ascii="楷体_GB2312" w:hAnsi="宋体" w:eastAsia="楷体_GB2312"/>
          <w:sz w:val="28"/>
        </w:rPr>
      </w:pPr>
      <w:r>
        <w:rPr>
          <w:rFonts w:hint="eastAsia" w:ascii="楷体_GB2312" w:hAnsi="宋体" w:eastAsia="楷体_GB2312"/>
          <w:sz w:val="28"/>
        </w:rPr>
        <w:t>检查和返工：乙方应认真按照标准、规范和设计的要求以及甲方代表依据合同发出的指令施工，接受甲方代表及委派人员的要求返工、修改，承担由自身原因导致返工、修改的费用。</w:t>
      </w:r>
    </w:p>
    <w:p>
      <w:pPr>
        <w:numPr>
          <w:ilvl w:val="0"/>
          <w:numId w:val="20"/>
        </w:numPr>
        <w:spacing w:line="360" w:lineRule="auto"/>
        <w:rPr>
          <w:rFonts w:ascii="楷体_GB2312" w:hAnsi="宋体" w:eastAsia="楷体_GB2312"/>
          <w:sz w:val="30"/>
        </w:rPr>
      </w:pPr>
      <w:r>
        <w:rPr>
          <w:rFonts w:hint="eastAsia" w:ascii="楷体_GB2312" w:hAnsi="宋体" w:eastAsia="楷体_GB2312"/>
          <w:sz w:val="28"/>
        </w:rPr>
        <w:t>工程质量标准：</w:t>
      </w:r>
      <w:r>
        <w:rPr>
          <w:rFonts w:hint="eastAsia" w:ascii="楷体_GB2312" w:hAnsi="宋体" w:eastAsia="楷体_GB2312"/>
          <w:sz w:val="30"/>
        </w:rPr>
        <w:t>按HJ 2023-2012《厌氧颗粒污泥膨胀床反应器废水处理工程技术规范》及国家相关的设备、电气安装验收规范及标准要求，并确保达到合格质量等级。</w:t>
      </w:r>
    </w:p>
    <w:p>
      <w:pPr>
        <w:numPr>
          <w:ilvl w:val="0"/>
          <w:numId w:val="20"/>
        </w:numPr>
        <w:spacing w:line="360" w:lineRule="auto"/>
        <w:rPr>
          <w:rFonts w:ascii="楷体_GB2312" w:hAnsi="宋体" w:eastAsia="楷体_GB2312"/>
          <w:color w:val="000000"/>
          <w:sz w:val="28"/>
        </w:rPr>
      </w:pPr>
      <w:r>
        <w:rPr>
          <w:rFonts w:hint="eastAsia" w:ascii="楷体_GB2312" w:hAnsi="宋体" w:eastAsia="楷体_GB2312"/>
          <w:sz w:val="28"/>
        </w:rPr>
        <w:t>材料和设备：</w:t>
      </w:r>
      <w:r>
        <w:rPr>
          <w:rFonts w:hint="eastAsia" w:ascii="楷体_GB2312" w:hAnsi="宋体" w:eastAsia="楷体_GB2312"/>
          <w:color w:val="000000"/>
          <w:sz w:val="28"/>
        </w:rPr>
        <w:t>乙方所采购的主要材料和设备必须是由正规厂商生产符合国家标准的合格产品，并有质量保证证明。乙方承担由其提供的材料和设备的产品质量责任。</w:t>
      </w:r>
    </w:p>
    <w:p>
      <w:pPr>
        <w:numPr>
          <w:ilvl w:val="0"/>
          <w:numId w:val="20"/>
        </w:numPr>
        <w:spacing w:line="360" w:lineRule="auto"/>
        <w:rPr>
          <w:rFonts w:ascii="楷体_GB2312" w:hAnsi="宋体" w:eastAsia="楷体_GB2312"/>
          <w:sz w:val="28"/>
        </w:rPr>
      </w:pPr>
      <w:r>
        <w:rPr>
          <w:rFonts w:hint="eastAsia" w:ascii="楷体_GB2312" w:hAnsi="宋体" w:eastAsia="楷体_GB2312"/>
          <w:sz w:val="28"/>
        </w:rPr>
        <w:t>乙方在完成合同范围内的全部工程内容后，应向甲方提设备操作手册、竣工图及工程施工文件。</w:t>
      </w:r>
    </w:p>
    <w:p>
      <w:pPr>
        <w:numPr>
          <w:ilvl w:val="0"/>
          <w:numId w:val="20"/>
        </w:numPr>
        <w:spacing w:line="360" w:lineRule="auto"/>
        <w:rPr>
          <w:rFonts w:ascii="楷体_GB2312" w:hAnsi="宋体" w:eastAsia="楷体_GB2312"/>
          <w:color w:val="000000"/>
          <w:sz w:val="28"/>
        </w:rPr>
      </w:pPr>
      <w:r>
        <w:rPr>
          <w:rFonts w:hint="eastAsia" w:ascii="楷体_GB2312" w:hAnsi="宋体" w:eastAsia="楷体_GB2312"/>
          <w:sz w:val="28"/>
        </w:rPr>
        <w:t>乙方必须完成训练甲方之技术人员熟练操作废水处理工艺、设备操作技能。</w:t>
      </w:r>
    </w:p>
    <w:p>
      <w:pPr>
        <w:numPr>
          <w:ilvl w:val="0"/>
          <w:numId w:val="20"/>
        </w:numPr>
        <w:spacing w:line="360" w:lineRule="auto"/>
        <w:rPr>
          <w:rFonts w:ascii="楷体_GB2312" w:hAnsi="宋体" w:eastAsia="楷体_GB2312"/>
          <w:sz w:val="28"/>
        </w:rPr>
      </w:pPr>
      <w:r>
        <w:rPr>
          <w:rFonts w:hint="eastAsia" w:ascii="楷体_GB2312" w:hAnsi="宋体" w:eastAsia="楷体_GB2312"/>
          <w:sz w:val="28"/>
        </w:rPr>
        <w:t>安装工程验收后，系统出水通过具有CMA认证资质的监测单位对出水水质主要考核指标进行监测并取得合格的监测报告。具备调试条件后，乙方派人继续进行调试培训与指导，并配合业主完成检测、环保验收。</w:t>
      </w:r>
    </w:p>
    <w:p>
      <w:pPr>
        <w:pStyle w:val="37"/>
        <w:tabs>
          <w:tab w:val="left" w:pos="0"/>
        </w:tabs>
        <w:autoSpaceDE w:val="0"/>
        <w:autoSpaceDN w:val="0"/>
        <w:adjustRightInd w:val="0"/>
        <w:snapToGrid w:val="0"/>
        <w:spacing w:line="560" w:lineRule="exact"/>
        <w:ind w:firstLine="0" w:firstLineChars="0"/>
        <w:rPr>
          <w:rFonts w:ascii="楷体_GB2312" w:hAnsi="宋体" w:eastAsia="楷体_GB2312"/>
          <w:b/>
          <w:color w:val="000000"/>
          <w:sz w:val="32"/>
        </w:rPr>
      </w:pPr>
      <w:r>
        <w:rPr>
          <w:rFonts w:hint="eastAsia" w:ascii="楷体_GB2312" w:hAnsi="宋体" w:eastAsia="楷体_GB2312"/>
          <w:b/>
          <w:color w:val="000000"/>
          <w:sz w:val="32"/>
        </w:rPr>
        <w:t>第十章 质保期：</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1.质保期为番茄两个生产季（两年），在质保期内因设备、材料、安装、施工质量问题影响到采购方正常生产的，其产生的损失由乙方承担，并从质保金中扣除。</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2.</w:t>
      </w:r>
      <w:r>
        <w:rPr>
          <w:rFonts w:hint="eastAsia"/>
        </w:rPr>
        <w:t xml:space="preserve"> </w:t>
      </w:r>
      <w:r>
        <w:rPr>
          <w:rFonts w:hint="eastAsia" w:ascii="楷体_GB2312" w:hAnsi="宋体" w:eastAsia="楷体_GB2312"/>
          <w:sz w:val="28"/>
        </w:rPr>
        <w:t>质保期内，重要零件因制造质量问题而产生的损坏，乙方负责免费更换。更换后零件的质保期自更换之日起一年内有效。</w:t>
      </w:r>
    </w:p>
    <w:p>
      <w:pPr>
        <w:tabs>
          <w:tab w:val="left" w:pos="0"/>
        </w:tabs>
        <w:autoSpaceDE w:val="0"/>
        <w:autoSpaceDN w:val="0"/>
        <w:adjustRightInd w:val="0"/>
        <w:snapToGrid w:val="0"/>
        <w:spacing w:line="560" w:lineRule="exact"/>
        <w:rPr>
          <w:rFonts w:ascii="楷体_GB2312" w:hAnsi="宋体" w:eastAsia="楷体_GB2312"/>
          <w:sz w:val="28"/>
        </w:rPr>
      </w:pPr>
      <w:r>
        <w:rPr>
          <w:rFonts w:hint="eastAsia" w:ascii="楷体_GB2312" w:hAnsi="宋体" w:eastAsia="楷体_GB2312"/>
          <w:b/>
          <w:color w:val="000000"/>
          <w:sz w:val="32"/>
        </w:rPr>
        <w:t>第十一章 违约责任：</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1.乙方未按约定期限交付完成，每逾期一日，乙方需依照约定向甲方支付合同款3%的迟延履行金，逾期交付超过30日，甲方有权单方解除本合同或终止合同，解除本合同并不妨碍甲方主张违约责任。</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3.乙方无法按期完成交货服务或交付货物/服务不符合质量约定情形的，乙方负责赔偿甲方因此造成的直接和间接经济损失。</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5.甲方对投标人围标、串标等不诚信行为，将参照《中华人民共和国招投标法》规定，对于参与串通行为的投标人，其中标无效，列入供应商黑名单，并对投标人处中标项目金额千分之五以上千分之十以下的罚款。</w:t>
      </w:r>
    </w:p>
    <w:p>
      <w:pPr>
        <w:tabs>
          <w:tab w:val="left" w:pos="0"/>
        </w:tabs>
        <w:autoSpaceDE w:val="0"/>
        <w:autoSpaceDN w:val="0"/>
        <w:adjustRightInd w:val="0"/>
        <w:snapToGrid w:val="0"/>
        <w:spacing w:line="560" w:lineRule="exact"/>
        <w:rPr>
          <w:rFonts w:ascii="楷体_GB2312" w:hAnsi="宋体" w:eastAsia="楷体_GB2312"/>
          <w:sz w:val="28"/>
        </w:rPr>
      </w:pPr>
      <w:r>
        <w:rPr>
          <w:rFonts w:hint="eastAsia" w:ascii="楷体_GB2312" w:hAnsi="宋体" w:eastAsia="楷体_GB2312"/>
          <w:b/>
          <w:color w:val="000000"/>
          <w:sz w:val="32"/>
        </w:rPr>
        <w:t>第十二章 争议解决方式：</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如发生合同纠纷由当事人协商解决，协商不成通过甲方所在地法院诉讼解决。由此产生的律师费、住宿费等相关费用由违约方承担。</w:t>
      </w:r>
    </w:p>
    <w:p>
      <w:pPr>
        <w:tabs>
          <w:tab w:val="left" w:pos="0"/>
        </w:tabs>
        <w:autoSpaceDE w:val="0"/>
        <w:autoSpaceDN w:val="0"/>
        <w:adjustRightInd w:val="0"/>
        <w:snapToGrid w:val="0"/>
        <w:spacing w:line="560" w:lineRule="exact"/>
        <w:rPr>
          <w:rFonts w:ascii="楷体_GB2312" w:hAnsi="宋体" w:eastAsia="楷体_GB2312"/>
          <w:b/>
          <w:color w:val="000000"/>
          <w:sz w:val="32"/>
        </w:rPr>
      </w:pPr>
      <w:r>
        <w:rPr>
          <w:rFonts w:hint="eastAsia" w:ascii="楷体_GB2312" w:hAnsi="宋体" w:eastAsia="楷体_GB2312"/>
          <w:b/>
          <w:color w:val="000000"/>
          <w:sz w:val="32"/>
        </w:rPr>
        <w:t>第十三章 其它约定事项：</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1.与本合同相关的《谈判文件》《响应文件》作为此合同项目内容的附件，具有与合同同等的法律效力。</w:t>
      </w:r>
    </w:p>
    <w:p>
      <w:pPr>
        <w:pStyle w:val="37"/>
        <w:tabs>
          <w:tab w:val="left" w:pos="0"/>
        </w:tabs>
        <w:autoSpaceDE w:val="0"/>
        <w:autoSpaceDN w:val="0"/>
        <w:adjustRightInd w:val="0"/>
        <w:snapToGrid w:val="0"/>
        <w:spacing w:line="560" w:lineRule="exact"/>
        <w:ind w:firstLine="560"/>
        <w:rPr>
          <w:rFonts w:ascii="楷体_GB2312" w:hAnsi="宋体" w:eastAsia="楷体_GB2312"/>
          <w:sz w:val="28"/>
        </w:rPr>
      </w:pPr>
      <w:r>
        <w:rPr>
          <w:rFonts w:hint="eastAsia" w:ascii="楷体_GB2312" w:hAnsi="宋体" w:eastAsia="楷体_GB2312"/>
          <w:sz w:val="28"/>
        </w:rPr>
        <w:t>2、本合同一式肆份，甲方叁份，乙方壹份，经甲乙双方自合同盖章之日起生效（加盖骑缝章）。</w:t>
      </w:r>
    </w:p>
    <w:tbl>
      <w:tblPr>
        <w:tblStyle w:val="21"/>
        <w:tblW w:w="0" w:type="dxa"/>
        <w:tblInd w:w="0" w:type="dxa"/>
        <w:tblLayout w:type="fixed"/>
        <w:tblCellMar>
          <w:top w:w="0" w:type="dxa"/>
          <w:left w:w="108" w:type="dxa"/>
          <w:bottom w:w="0" w:type="dxa"/>
          <w:right w:w="108" w:type="dxa"/>
        </w:tblCellMar>
      </w:tblPr>
      <w:tblGrid>
        <w:gridCol w:w="5066"/>
        <w:gridCol w:w="4653"/>
      </w:tblGrid>
      <w:tr>
        <w:tblPrEx>
          <w:tblCellMar>
            <w:top w:w="0" w:type="dxa"/>
            <w:left w:w="108" w:type="dxa"/>
            <w:bottom w:w="0" w:type="dxa"/>
            <w:right w:w="108" w:type="dxa"/>
          </w:tblCellMar>
        </w:tblPrEx>
        <w:trPr>
          <w:trHeight w:val="466" w:hRule="atLeast"/>
        </w:trPr>
        <w:tc>
          <w:tcPr>
            <w:tcW w:w="50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130" w:hanging="130"/>
              <w:jc w:val="center"/>
              <w:textAlignment w:val="center"/>
              <w:rPr>
                <w:rFonts w:ascii="仿宋" w:hAnsi="仿宋" w:eastAsia="仿宋" w:cs="黑体"/>
                <w:b/>
                <w:sz w:val="24"/>
              </w:rPr>
            </w:pPr>
            <w:r>
              <w:rPr>
                <w:rFonts w:hint="eastAsia" w:ascii="仿宋" w:hAnsi="仿宋" w:eastAsia="仿宋" w:cs="黑体"/>
                <w:b/>
                <w:kern w:val="0"/>
                <w:sz w:val="24"/>
              </w:rPr>
              <w:t>甲       方</w:t>
            </w:r>
          </w:p>
        </w:tc>
        <w:tc>
          <w:tcPr>
            <w:tcW w:w="465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ind w:left="130" w:hanging="130"/>
              <w:jc w:val="center"/>
              <w:textAlignment w:val="center"/>
              <w:rPr>
                <w:rFonts w:ascii="仿宋" w:hAnsi="仿宋" w:eastAsia="仿宋" w:cs="黑体"/>
                <w:b/>
                <w:sz w:val="24"/>
              </w:rPr>
            </w:pPr>
            <w:r>
              <w:rPr>
                <w:rFonts w:hint="eastAsia" w:ascii="仿宋" w:hAnsi="仿宋" w:eastAsia="仿宋" w:cs="黑体"/>
                <w:b/>
                <w:kern w:val="0"/>
                <w:sz w:val="24"/>
              </w:rPr>
              <w:t>乙  方</w:t>
            </w:r>
          </w:p>
        </w:tc>
      </w:tr>
      <w:tr>
        <w:tblPrEx>
          <w:tblCellMar>
            <w:top w:w="0" w:type="dxa"/>
            <w:left w:w="108" w:type="dxa"/>
            <w:bottom w:w="0" w:type="dxa"/>
            <w:right w:w="108" w:type="dxa"/>
          </w:tblCellMar>
        </w:tblPrEx>
        <w:trPr>
          <w:trHeight w:val="824" w:hRule="atLeast"/>
        </w:trPr>
        <w:tc>
          <w:tcPr>
            <w:tcW w:w="506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Fonts w:ascii="仿宋" w:hAnsi="仿宋" w:eastAsia="仿宋" w:cs="宋体"/>
                <w:b/>
                <w:sz w:val="24"/>
              </w:rPr>
            </w:pPr>
            <w:r>
              <w:rPr>
                <w:rFonts w:hint="eastAsia" w:ascii="仿宋" w:hAnsi="仿宋" w:eastAsia="仿宋" w:cs="宋体"/>
                <w:b/>
                <w:kern w:val="0"/>
                <w:sz w:val="24"/>
              </w:rPr>
              <w:t>单位名称(盖章）：</w:t>
            </w:r>
            <w:r>
              <w:rPr>
                <w:rStyle w:val="60"/>
                <w:rFonts w:hint="default" w:ascii="仿宋" w:hAnsi="仿宋" w:eastAsia="仿宋"/>
                <w:sz w:val="24"/>
              </w:rPr>
              <w:t>中粮屯河昌吉番茄制品有限公司</w:t>
            </w:r>
          </w:p>
        </w:tc>
        <w:tc>
          <w:tcPr>
            <w:tcW w:w="4653"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Style w:val="60"/>
                <w:rFonts w:hint="default" w:ascii="仿宋" w:hAnsi="仿宋" w:eastAsia="仿宋"/>
                <w:sz w:val="24"/>
              </w:rPr>
            </w:pPr>
            <w:r>
              <w:rPr>
                <w:rStyle w:val="60"/>
                <w:rFonts w:hint="default" w:ascii="仿宋" w:hAnsi="仿宋" w:eastAsia="仿宋"/>
                <w:sz w:val="24"/>
              </w:rPr>
              <w:t>单位名称（盖</w:t>
            </w:r>
            <w:r>
              <w:rPr>
                <w:rFonts w:hint="eastAsia" w:ascii="仿宋" w:hAnsi="仿宋" w:eastAsia="仿宋" w:cs="宋体"/>
                <w:b/>
                <w:kern w:val="0"/>
                <w:sz w:val="24"/>
              </w:rPr>
              <w:t>章</w:t>
            </w:r>
            <w:r>
              <w:rPr>
                <w:rStyle w:val="60"/>
                <w:rFonts w:hint="default" w:ascii="仿宋" w:hAnsi="仿宋" w:eastAsia="仿宋"/>
                <w:sz w:val="24"/>
              </w:rPr>
              <w:t xml:space="preserve">）： </w:t>
            </w:r>
          </w:p>
        </w:tc>
      </w:tr>
      <w:tr>
        <w:tblPrEx>
          <w:tblCellMar>
            <w:top w:w="0" w:type="dxa"/>
            <w:left w:w="108" w:type="dxa"/>
            <w:bottom w:w="0" w:type="dxa"/>
            <w:right w:w="108" w:type="dxa"/>
          </w:tblCellMar>
        </w:tblPrEx>
        <w:trPr>
          <w:trHeight w:val="442" w:hRule="atLeast"/>
        </w:trPr>
        <w:tc>
          <w:tcPr>
            <w:tcW w:w="506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Fonts w:ascii="仿宋" w:hAnsi="仿宋" w:eastAsia="仿宋"/>
                <w:b/>
              </w:rPr>
            </w:pPr>
            <w:r>
              <w:rPr>
                <w:rFonts w:hint="eastAsia" w:ascii="仿宋" w:hAnsi="仿宋" w:eastAsia="仿宋" w:cs="宋体"/>
                <w:b/>
                <w:kern w:val="0"/>
                <w:sz w:val="24"/>
              </w:rPr>
              <w:t>单位地址：</w:t>
            </w:r>
            <w:r>
              <w:rPr>
                <w:rFonts w:hint="eastAsia" w:ascii="仿宋" w:hAnsi="仿宋" w:eastAsia="仿宋"/>
                <w:b/>
                <w:sz w:val="24"/>
              </w:rPr>
              <w:t>新疆昌吉州昌吉市西郊(乌伊西路</w:t>
            </w:r>
            <w:r>
              <w:rPr>
                <w:rFonts w:hint="eastAsia" w:ascii="仿宋" w:hAnsi="仿宋" w:eastAsia="仿宋"/>
                <w:sz w:val="24"/>
              </w:rPr>
              <w:t>)</w:t>
            </w:r>
          </w:p>
        </w:tc>
        <w:tc>
          <w:tcPr>
            <w:tcW w:w="4653"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Style w:val="60"/>
                <w:rFonts w:hint="default" w:ascii="仿宋" w:hAnsi="仿宋" w:eastAsia="仿宋"/>
                <w:sz w:val="24"/>
              </w:rPr>
            </w:pPr>
            <w:r>
              <w:rPr>
                <w:rStyle w:val="60"/>
                <w:rFonts w:hint="default" w:ascii="仿宋" w:hAnsi="仿宋" w:eastAsia="仿宋"/>
                <w:sz w:val="24"/>
              </w:rPr>
              <w:t>单 位地 址：</w:t>
            </w:r>
          </w:p>
          <w:p>
            <w:pPr>
              <w:widowControl/>
              <w:ind w:left="130" w:hanging="130"/>
              <w:jc w:val="left"/>
              <w:textAlignment w:val="top"/>
              <w:rPr>
                <w:rStyle w:val="60"/>
                <w:rFonts w:hint="default" w:ascii="仿宋" w:hAnsi="仿宋" w:eastAsia="仿宋"/>
                <w:sz w:val="24"/>
              </w:rPr>
            </w:pPr>
            <w:r>
              <w:rPr>
                <w:rStyle w:val="60"/>
                <w:rFonts w:hint="default" w:ascii="仿宋" w:hAnsi="仿宋" w:eastAsia="仿宋"/>
                <w:sz w:val="24"/>
              </w:rPr>
              <w:t xml:space="preserve"> </w:t>
            </w:r>
          </w:p>
        </w:tc>
      </w:tr>
      <w:tr>
        <w:tblPrEx>
          <w:tblCellMar>
            <w:top w:w="0" w:type="dxa"/>
            <w:left w:w="108" w:type="dxa"/>
            <w:bottom w:w="0" w:type="dxa"/>
            <w:right w:w="108" w:type="dxa"/>
          </w:tblCellMar>
        </w:tblPrEx>
        <w:trPr>
          <w:trHeight w:val="442" w:hRule="atLeast"/>
        </w:trPr>
        <w:tc>
          <w:tcPr>
            <w:tcW w:w="506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Fonts w:ascii="仿宋" w:hAnsi="仿宋" w:eastAsia="仿宋"/>
                <w:b/>
              </w:rPr>
            </w:pPr>
            <w:r>
              <w:rPr>
                <w:rFonts w:hint="eastAsia" w:ascii="仿宋" w:hAnsi="仿宋" w:eastAsia="仿宋" w:cs="宋体"/>
                <w:b/>
                <w:kern w:val="0"/>
                <w:sz w:val="24"/>
              </w:rPr>
              <w:t>法定代表人：</w:t>
            </w:r>
          </w:p>
        </w:tc>
        <w:tc>
          <w:tcPr>
            <w:tcW w:w="4653"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Style w:val="60"/>
                <w:rFonts w:hint="default" w:ascii="仿宋" w:hAnsi="仿宋" w:eastAsia="仿宋"/>
                <w:sz w:val="24"/>
              </w:rPr>
            </w:pPr>
            <w:r>
              <w:rPr>
                <w:rStyle w:val="60"/>
                <w:rFonts w:hint="default" w:ascii="仿宋" w:hAnsi="仿宋" w:eastAsia="仿宋"/>
                <w:sz w:val="24"/>
              </w:rPr>
              <w:t>法定代表人：</w:t>
            </w:r>
          </w:p>
        </w:tc>
      </w:tr>
      <w:tr>
        <w:tblPrEx>
          <w:tblCellMar>
            <w:top w:w="0" w:type="dxa"/>
            <w:left w:w="108" w:type="dxa"/>
            <w:bottom w:w="0" w:type="dxa"/>
            <w:right w:w="108" w:type="dxa"/>
          </w:tblCellMar>
        </w:tblPrEx>
        <w:trPr>
          <w:trHeight w:val="442" w:hRule="atLeast"/>
        </w:trPr>
        <w:tc>
          <w:tcPr>
            <w:tcW w:w="506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Fonts w:ascii="仿宋" w:hAnsi="仿宋" w:eastAsia="仿宋"/>
              </w:rPr>
            </w:pPr>
            <w:r>
              <w:rPr>
                <w:rFonts w:hint="eastAsia" w:ascii="仿宋" w:hAnsi="仿宋" w:eastAsia="仿宋" w:cs="宋体"/>
                <w:b/>
                <w:kern w:val="0"/>
                <w:sz w:val="24"/>
              </w:rPr>
              <w:t>委托代理人：</w:t>
            </w:r>
          </w:p>
        </w:tc>
        <w:tc>
          <w:tcPr>
            <w:tcW w:w="4653"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Style w:val="60"/>
                <w:rFonts w:hint="default" w:ascii="仿宋" w:hAnsi="仿宋" w:eastAsia="仿宋"/>
                <w:sz w:val="24"/>
              </w:rPr>
            </w:pPr>
            <w:r>
              <w:rPr>
                <w:rStyle w:val="60"/>
                <w:rFonts w:hint="default" w:ascii="仿宋" w:hAnsi="仿宋" w:eastAsia="仿宋"/>
                <w:sz w:val="24"/>
              </w:rPr>
              <w:t>委托代理人：</w:t>
            </w:r>
          </w:p>
        </w:tc>
      </w:tr>
      <w:tr>
        <w:tblPrEx>
          <w:tblCellMar>
            <w:top w:w="0" w:type="dxa"/>
            <w:left w:w="108" w:type="dxa"/>
            <w:bottom w:w="0" w:type="dxa"/>
            <w:right w:w="108" w:type="dxa"/>
          </w:tblCellMar>
        </w:tblPrEx>
        <w:trPr>
          <w:trHeight w:val="442" w:hRule="atLeast"/>
        </w:trPr>
        <w:tc>
          <w:tcPr>
            <w:tcW w:w="506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Fonts w:ascii="仿宋" w:hAnsi="仿宋" w:eastAsia="仿宋"/>
              </w:rPr>
            </w:pPr>
            <w:r>
              <w:rPr>
                <w:rFonts w:hint="eastAsia" w:ascii="仿宋" w:hAnsi="仿宋" w:eastAsia="仿宋" w:cs="宋体"/>
                <w:b/>
                <w:kern w:val="0"/>
                <w:sz w:val="24"/>
              </w:rPr>
              <w:t>电      话：</w:t>
            </w:r>
            <w:r>
              <w:rPr>
                <w:rFonts w:hint="eastAsia" w:ascii="仿宋" w:hAnsi="仿宋" w:eastAsia="仿宋"/>
                <w:b/>
                <w:sz w:val="24"/>
              </w:rPr>
              <w:t>0994-2261922</w:t>
            </w:r>
          </w:p>
        </w:tc>
        <w:tc>
          <w:tcPr>
            <w:tcW w:w="4653"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Style w:val="60"/>
                <w:rFonts w:hint="default" w:ascii="仿宋" w:hAnsi="仿宋" w:eastAsia="仿宋"/>
                <w:sz w:val="24"/>
              </w:rPr>
            </w:pPr>
            <w:r>
              <w:rPr>
                <w:rStyle w:val="60"/>
                <w:rFonts w:hint="default" w:ascii="仿宋" w:hAnsi="仿宋" w:eastAsia="仿宋"/>
                <w:sz w:val="24"/>
              </w:rPr>
              <w:t>电      话：</w:t>
            </w:r>
            <w:r>
              <w:rPr>
                <w:rFonts w:hint="eastAsia" w:ascii="仿宋" w:hAnsi="仿宋" w:eastAsia="仿宋" w:cs="Arial"/>
                <w:b/>
                <w:color w:val="000000"/>
                <w:sz w:val="24"/>
                <w:shd w:val="clear" w:color="auto" w:fill="FFFFFF"/>
              </w:rPr>
              <w:t xml:space="preserve"> </w:t>
            </w:r>
          </w:p>
        </w:tc>
      </w:tr>
      <w:tr>
        <w:tblPrEx>
          <w:tblCellMar>
            <w:top w:w="0" w:type="dxa"/>
            <w:left w:w="108" w:type="dxa"/>
            <w:bottom w:w="0" w:type="dxa"/>
            <w:right w:w="108" w:type="dxa"/>
          </w:tblCellMar>
        </w:tblPrEx>
        <w:trPr>
          <w:trHeight w:val="442" w:hRule="atLeast"/>
        </w:trPr>
        <w:tc>
          <w:tcPr>
            <w:tcW w:w="506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1347" w:hanging="1347" w:hangingChars="559"/>
              <w:jc w:val="left"/>
              <w:textAlignment w:val="top"/>
              <w:rPr>
                <w:rFonts w:ascii="仿宋" w:hAnsi="仿宋" w:eastAsia="仿宋"/>
                <w:b/>
              </w:rPr>
            </w:pPr>
            <w:r>
              <w:rPr>
                <w:rFonts w:hint="eastAsia" w:ascii="仿宋" w:hAnsi="仿宋" w:eastAsia="仿宋" w:cs="宋体"/>
                <w:b/>
                <w:kern w:val="0"/>
                <w:sz w:val="24"/>
              </w:rPr>
              <w:t>开 户银 行：</w:t>
            </w:r>
            <w:r>
              <w:rPr>
                <w:rFonts w:hint="eastAsia" w:ascii="仿宋" w:hAnsi="仿宋" w:eastAsia="仿宋"/>
                <w:b/>
                <w:sz w:val="24"/>
              </w:rPr>
              <w:t>中国银行股份有限公司昌吉回族自治州分行</w:t>
            </w:r>
          </w:p>
        </w:tc>
        <w:tc>
          <w:tcPr>
            <w:tcW w:w="4653"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ind w:left="1588" w:hanging="1588" w:hangingChars="659"/>
              <w:jc w:val="left"/>
              <w:textAlignment w:val="top"/>
              <w:rPr>
                <w:rStyle w:val="60"/>
                <w:rFonts w:hint="default" w:ascii="仿宋" w:hAnsi="仿宋" w:eastAsia="仿宋"/>
                <w:sz w:val="24"/>
              </w:rPr>
            </w:pPr>
            <w:r>
              <w:rPr>
                <w:rStyle w:val="60"/>
                <w:rFonts w:hint="default" w:ascii="仿宋" w:hAnsi="仿宋" w:eastAsia="仿宋"/>
                <w:sz w:val="24"/>
              </w:rPr>
              <w:t xml:space="preserve">开 户银 行： </w:t>
            </w:r>
          </w:p>
        </w:tc>
      </w:tr>
      <w:tr>
        <w:tblPrEx>
          <w:tblCellMar>
            <w:top w:w="0" w:type="dxa"/>
            <w:left w:w="108" w:type="dxa"/>
            <w:bottom w:w="0" w:type="dxa"/>
            <w:right w:w="108" w:type="dxa"/>
          </w:tblCellMar>
        </w:tblPrEx>
        <w:trPr>
          <w:trHeight w:val="442" w:hRule="atLeast"/>
        </w:trPr>
        <w:tc>
          <w:tcPr>
            <w:tcW w:w="506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Fonts w:ascii="仿宋" w:hAnsi="仿宋" w:eastAsia="仿宋"/>
                <w:b/>
              </w:rPr>
            </w:pPr>
            <w:r>
              <w:rPr>
                <w:rFonts w:hint="eastAsia" w:ascii="仿宋" w:hAnsi="仿宋" w:eastAsia="仿宋" w:cs="宋体"/>
                <w:b/>
                <w:kern w:val="0"/>
                <w:sz w:val="24"/>
              </w:rPr>
              <w:t>帐      号：</w:t>
            </w:r>
            <w:r>
              <w:rPr>
                <w:rFonts w:hint="eastAsia" w:ascii="仿宋" w:hAnsi="仿宋" w:eastAsia="仿宋"/>
                <w:b/>
                <w:sz w:val="24"/>
              </w:rPr>
              <w:t>107606935574</w:t>
            </w:r>
          </w:p>
        </w:tc>
        <w:tc>
          <w:tcPr>
            <w:tcW w:w="4653" w:type="dxa"/>
            <w:tcBorders>
              <w:top w:val="nil"/>
              <w:left w:val="nil"/>
              <w:bottom w:val="single" w:color="000000" w:sz="4" w:space="0"/>
              <w:right w:val="single" w:color="000000" w:sz="4" w:space="0"/>
            </w:tcBorders>
            <w:tcMar>
              <w:top w:w="15" w:type="dxa"/>
              <w:left w:w="15" w:type="dxa"/>
              <w:bottom w:w="15" w:type="dxa"/>
              <w:right w:w="15" w:type="dxa"/>
            </w:tcMar>
            <w:vAlign w:val="center"/>
          </w:tcPr>
          <w:p>
            <w:pPr>
              <w:rPr>
                <w:rStyle w:val="60"/>
                <w:rFonts w:hint="default" w:ascii="仿宋" w:hAnsi="仿宋" w:eastAsia="仿宋"/>
                <w:sz w:val="24"/>
              </w:rPr>
            </w:pPr>
            <w:r>
              <w:rPr>
                <w:rStyle w:val="60"/>
                <w:rFonts w:hint="default" w:ascii="仿宋" w:hAnsi="仿宋" w:eastAsia="仿宋"/>
                <w:sz w:val="24"/>
              </w:rPr>
              <w:t>帐      号：</w:t>
            </w:r>
          </w:p>
        </w:tc>
      </w:tr>
      <w:tr>
        <w:tblPrEx>
          <w:tblCellMar>
            <w:top w:w="0" w:type="dxa"/>
            <w:left w:w="108" w:type="dxa"/>
            <w:bottom w:w="0" w:type="dxa"/>
            <w:right w:w="108" w:type="dxa"/>
          </w:tblCellMar>
        </w:tblPrEx>
        <w:trPr>
          <w:trHeight w:val="466" w:hRule="atLeast"/>
        </w:trPr>
        <w:tc>
          <w:tcPr>
            <w:tcW w:w="506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Fonts w:ascii="仿宋" w:hAnsi="仿宋" w:eastAsia="仿宋"/>
                <w:b/>
              </w:rPr>
            </w:pPr>
            <w:r>
              <w:rPr>
                <w:rFonts w:hint="eastAsia" w:ascii="仿宋" w:hAnsi="仿宋" w:eastAsia="仿宋" w:cs="宋体"/>
                <w:b/>
                <w:kern w:val="0"/>
                <w:sz w:val="24"/>
              </w:rPr>
              <w:t>纳税人识别号：</w:t>
            </w:r>
            <w:r>
              <w:rPr>
                <w:rFonts w:hint="eastAsia" w:ascii="仿宋" w:hAnsi="仿宋" w:eastAsia="仿宋"/>
                <w:b/>
                <w:sz w:val="24"/>
              </w:rPr>
              <w:t>91652300299201690H</w:t>
            </w:r>
          </w:p>
        </w:tc>
        <w:tc>
          <w:tcPr>
            <w:tcW w:w="4653"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ind w:left="130" w:hanging="130"/>
              <w:jc w:val="left"/>
              <w:textAlignment w:val="top"/>
              <w:rPr>
                <w:rStyle w:val="60"/>
                <w:rFonts w:hint="default" w:ascii="仿宋" w:hAnsi="仿宋" w:eastAsia="仿宋"/>
                <w:sz w:val="24"/>
              </w:rPr>
            </w:pPr>
            <w:r>
              <w:rPr>
                <w:rStyle w:val="60"/>
                <w:rFonts w:hint="default" w:ascii="仿宋" w:hAnsi="仿宋" w:eastAsia="仿宋"/>
                <w:sz w:val="24"/>
              </w:rPr>
              <w:t>税      号：</w:t>
            </w:r>
          </w:p>
        </w:tc>
      </w:tr>
    </w:tbl>
    <w:p>
      <w:pPr>
        <w:spacing w:line="560" w:lineRule="exact"/>
        <w:jc w:val="center"/>
        <w:rPr>
          <w:rFonts w:ascii="宋体" w:hAnsi="宋体"/>
          <w:b/>
          <w:bCs/>
          <w:sz w:val="36"/>
          <w:szCs w:val="36"/>
        </w:rPr>
      </w:pPr>
      <w:bookmarkStart w:id="77" w:name="_Hlk162216259"/>
    </w:p>
    <w:p>
      <w:pPr>
        <w:spacing w:line="560" w:lineRule="exact"/>
        <w:jc w:val="center"/>
        <w:rPr>
          <w:rFonts w:ascii="宋体" w:hAnsi="宋体"/>
          <w:b/>
          <w:bCs/>
          <w:sz w:val="36"/>
          <w:szCs w:val="36"/>
        </w:rPr>
      </w:pPr>
      <w:r>
        <w:rPr>
          <w:rFonts w:hint="eastAsia" w:ascii="宋体" w:hAnsi="宋体"/>
          <w:b/>
          <w:bCs/>
          <w:sz w:val="36"/>
          <w:szCs w:val="36"/>
        </w:rPr>
        <w:t>安全管理协议</w:t>
      </w:r>
    </w:p>
    <w:p>
      <w:pPr>
        <w:snapToGrid w:val="0"/>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甲 </w:t>
      </w:r>
      <w:r>
        <w:rPr>
          <w:rFonts w:ascii="仿宋_GB2312" w:hAnsi="仿宋" w:eastAsia="仿宋_GB2312" w:cs="仿宋"/>
          <w:sz w:val="28"/>
          <w:szCs w:val="28"/>
        </w:rPr>
        <w:t xml:space="preserve">   </w:t>
      </w:r>
      <w:r>
        <w:rPr>
          <w:rFonts w:hint="eastAsia" w:ascii="仿宋_GB2312" w:hAnsi="仿宋" w:eastAsia="仿宋_GB2312" w:cs="仿宋"/>
          <w:sz w:val="28"/>
          <w:szCs w:val="28"/>
        </w:rPr>
        <w:t xml:space="preserve">方： </w:t>
      </w:r>
    </w:p>
    <w:p>
      <w:pPr>
        <w:snapToGrid w:val="0"/>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乙 </w:t>
      </w:r>
      <w:r>
        <w:rPr>
          <w:rFonts w:ascii="仿宋_GB2312" w:hAnsi="仿宋" w:eastAsia="仿宋_GB2312" w:cs="仿宋"/>
          <w:sz w:val="28"/>
          <w:szCs w:val="28"/>
        </w:rPr>
        <w:t xml:space="preserve">   </w:t>
      </w:r>
      <w:r>
        <w:rPr>
          <w:rFonts w:hint="eastAsia" w:ascii="仿宋_GB2312" w:hAnsi="仿宋" w:eastAsia="仿宋_GB2312" w:cs="仿宋"/>
          <w:sz w:val="28"/>
          <w:szCs w:val="28"/>
        </w:rPr>
        <w:t xml:space="preserve">方： </w:t>
      </w:r>
    </w:p>
    <w:p>
      <w:pPr>
        <w:pStyle w:val="2"/>
        <w:shd w:val="clear" w:color="auto" w:fill="FFFFFF"/>
        <w:snapToGrid w:val="0"/>
        <w:spacing w:before="0" w:after="0" w:line="360" w:lineRule="auto"/>
        <w:ind w:firstLine="560" w:firstLineChars="200"/>
        <w:rPr>
          <w:rFonts w:ascii="仿宋_GB2312" w:hAnsi="仿宋" w:eastAsia="仿宋_GB2312" w:cs="仿宋"/>
          <w:b w:val="0"/>
          <w:sz w:val="28"/>
          <w:szCs w:val="28"/>
        </w:rPr>
      </w:pPr>
      <w:r>
        <w:rPr>
          <w:rFonts w:hint="eastAsia" w:ascii="仿宋_GB2312" w:hAnsi="楷体" w:eastAsia="仿宋_GB2312" w:cs="楷体"/>
          <w:b w:val="0"/>
          <w:bCs w:val="0"/>
          <w:kern w:val="2"/>
          <w:sz w:val="28"/>
          <w:szCs w:val="28"/>
        </w:rPr>
        <w:t>为了确保**项目全过程的安全管理，杜绝发生安全生产事故，根据《安全生产法》、《民法典》、《建设工程安全生产管理条例》等法律法规和甲方承包商制度要求，经双方友好协商，对甲乙双方的安全生产责任、权利规定如下：</w:t>
      </w:r>
    </w:p>
    <w:p>
      <w:pPr>
        <w:adjustRightInd w:val="0"/>
        <w:snapToGrid w:val="0"/>
        <w:spacing w:line="360" w:lineRule="auto"/>
        <w:rPr>
          <w:rFonts w:ascii="黑体" w:hAnsi="黑体" w:eastAsia="黑体" w:cs="黑体"/>
          <w:sz w:val="28"/>
          <w:szCs w:val="28"/>
        </w:rPr>
      </w:pPr>
      <w:r>
        <w:rPr>
          <w:rFonts w:hint="eastAsia" w:ascii="黑体" w:hAnsi="黑体" w:eastAsia="黑体" w:cs="黑体"/>
          <w:sz w:val="28"/>
          <w:szCs w:val="28"/>
        </w:rPr>
        <w:t>1 甲方的职责、权利、义务</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1.1 甲方职责</w:t>
      </w:r>
    </w:p>
    <w:p>
      <w:pPr>
        <w:snapToGrid w:val="0"/>
        <w:spacing w:line="360" w:lineRule="auto"/>
        <w:ind w:firstLine="560" w:firstLineChars="200"/>
        <w:rPr>
          <w:rFonts w:ascii="仿宋_GB2312" w:hAnsi="楷体" w:eastAsia="仿宋_GB2312" w:cs="楷体"/>
          <w:sz w:val="28"/>
          <w:szCs w:val="28"/>
        </w:rPr>
      </w:pPr>
      <w:r>
        <w:rPr>
          <w:rFonts w:hint="eastAsia" w:ascii="仿宋_GB2312" w:hAnsi="仿宋" w:eastAsia="仿宋_GB2312" w:cs="仿宋"/>
          <w:sz w:val="28"/>
          <w:szCs w:val="28"/>
        </w:rPr>
        <w:t>甲方有责任</w:t>
      </w:r>
      <w:r>
        <w:rPr>
          <w:rFonts w:hint="eastAsia" w:ascii="仿宋_GB2312" w:hAnsi="楷体" w:eastAsia="仿宋_GB2312" w:cs="楷体"/>
          <w:sz w:val="28"/>
          <w:szCs w:val="28"/>
        </w:rPr>
        <w:t>监督指导乙方按照甲方的信息化管理系统进行承包商全生命周期管理，确保乙方正确理解和应用该系统并遵循相关要求。</w:t>
      </w:r>
    </w:p>
    <w:p>
      <w:pPr>
        <w:numPr>
          <w:ilvl w:val="2"/>
          <w:numId w:val="21"/>
        </w:numPr>
        <w:snapToGrid w:val="0"/>
        <w:spacing w:line="360" w:lineRule="auto"/>
        <w:rPr>
          <w:rFonts w:ascii="仿宋_GB2312" w:hAnsi="楷体" w:eastAsia="仿宋_GB2312" w:cs="楷体"/>
          <w:sz w:val="28"/>
          <w:szCs w:val="28"/>
        </w:rPr>
      </w:pPr>
      <w:r>
        <w:rPr>
          <w:rFonts w:hint="eastAsia" w:ascii="仿宋_GB2312" w:hAnsi="楷体" w:eastAsia="仿宋_GB2312" w:cs="楷体"/>
          <w:sz w:val="28"/>
          <w:szCs w:val="28"/>
        </w:rPr>
        <w:t>作业前管理要求</w:t>
      </w:r>
    </w:p>
    <w:p>
      <w:pPr>
        <w:snapToGrid w:val="0"/>
        <w:spacing w:line="360" w:lineRule="auto"/>
        <w:ind w:firstLine="560" w:firstLineChars="200"/>
        <w:rPr>
          <w:rFonts w:ascii="仿宋_GB2312" w:hAnsi="楷体" w:eastAsia="仿宋_GB2312" w:cs="楷体"/>
          <w:sz w:val="28"/>
          <w:szCs w:val="28"/>
        </w:rPr>
      </w:pPr>
      <w:r>
        <w:rPr>
          <w:rFonts w:hint="eastAsia" w:ascii="仿宋_GB2312" w:hAnsi="仿宋_GB2312" w:eastAsia="仿宋_GB2312" w:cs="仿宋_GB2312"/>
          <w:sz w:val="28"/>
          <w:szCs w:val="28"/>
          <w:lang w:val="zh-CN" w:bidi="zh-CN"/>
        </w:rPr>
        <w:t>开展作业前准入资质核验，</w:t>
      </w:r>
      <w:r>
        <w:rPr>
          <w:rFonts w:hint="eastAsia" w:ascii="仿宋_GB2312" w:eastAsia="仿宋_GB2312"/>
          <w:sz w:val="28"/>
          <w:szCs w:val="28"/>
        </w:rPr>
        <w:t>审查验证乙方作业安全条件，对乙方人员进行进场安全交底</w:t>
      </w:r>
      <w:r>
        <w:rPr>
          <w:rFonts w:hint="eastAsia" w:ascii="仿宋_GB2312" w:hAnsi="仿宋" w:eastAsia="仿宋_GB2312" w:cs="仿宋"/>
          <w:kern w:val="36"/>
          <w:sz w:val="28"/>
          <w:szCs w:val="28"/>
        </w:rPr>
        <w:t>。</w:t>
      </w:r>
    </w:p>
    <w:p>
      <w:pPr>
        <w:widowControl/>
        <w:spacing w:line="360" w:lineRule="auto"/>
        <w:ind w:firstLine="646" w:firstLineChars="231"/>
        <w:rPr>
          <w:rFonts w:ascii="仿宋_GB2312" w:hAnsi="仿宋" w:eastAsia="仿宋_GB2312" w:cs="仿宋"/>
          <w:sz w:val="28"/>
          <w:szCs w:val="28"/>
        </w:rPr>
      </w:pPr>
      <w:r>
        <w:rPr>
          <w:rFonts w:hint="eastAsia" w:ascii="仿宋_GB2312" w:hAnsi="楷体" w:eastAsia="仿宋_GB2312" w:cs="楷体"/>
          <w:sz w:val="28"/>
          <w:szCs w:val="28"/>
        </w:rPr>
        <w:t>——负责</w:t>
      </w:r>
      <w:r>
        <w:rPr>
          <w:rFonts w:hint="eastAsia" w:ascii="仿宋_GB2312" w:hAnsi="仿宋" w:eastAsia="仿宋_GB2312" w:cs="仿宋"/>
          <w:kern w:val="36"/>
          <w:sz w:val="28"/>
          <w:szCs w:val="28"/>
        </w:rPr>
        <w:t>审核乙方承包资质证件及提供的各类无事故证明、保险、安全培训、作业方案、现场处置方案等文件资料</w:t>
      </w:r>
      <w:r>
        <w:rPr>
          <w:rFonts w:hint="eastAsia" w:ascii="仿宋_GB2312" w:hAnsi="仿宋" w:eastAsia="仿宋_GB2312" w:cs="仿宋"/>
          <w:sz w:val="28"/>
          <w:szCs w:val="28"/>
        </w:rPr>
        <w:t>。</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——核验乙方安全管理机构及人员配备情况及</w:t>
      </w:r>
      <w:r>
        <w:rPr>
          <w:rFonts w:hint="eastAsia" w:ascii="仿宋_GB2312" w:eastAsia="仿宋_GB2312"/>
          <w:sz w:val="28"/>
          <w:szCs w:val="28"/>
        </w:rPr>
        <w:t>相应安全（特种作业）资格证书</w:t>
      </w:r>
      <w:r>
        <w:rPr>
          <w:rFonts w:hint="eastAsia" w:ascii="仿宋_GB2312" w:hAnsi="楷体" w:eastAsia="仿宋_GB2312" w:cs="楷体"/>
          <w:sz w:val="28"/>
          <w:szCs w:val="28"/>
        </w:rPr>
        <w:t>；</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——核验乙方</w:t>
      </w:r>
      <w:r>
        <w:rPr>
          <w:rFonts w:hint="eastAsia" w:ascii="仿宋_GB2312" w:eastAsia="仿宋_GB2312"/>
          <w:sz w:val="28"/>
          <w:szCs w:val="28"/>
        </w:rPr>
        <w:t>作业设备设施、工具、物料、劳动保护用品等与乙方承包项目的匹配性以及安全性等；</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——负责对乙方人员</w:t>
      </w:r>
      <w:r>
        <w:rPr>
          <w:rFonts w:hint="eastAsia" w:ascii="仿宋_GB2312" w:hAnsi="仿宋" w:eastAsia="仿宋_GB2312" w:cs="仿宋"/>
          <w:sz w:val="28"/>
          <w:szCs w:val="28"/>
        </w:rPr>
        <w:t>进行安全风险交底；</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提供必要的工作条件；</w:t>
      </w:r>
    </w:p>
    <w:p>
      <w:pPr>
        <w:snapToGrid w:val="0"/>
        <w:spacing w:line="360" w:lineRule="auto"/>
        <w:ind w:left="720"/>
        <w:rPr>
          <w:rFonts w:ascii="仿宋_GB2312" w:hAnsi="楷体" w:eastAsia="仿宋_GB2312" w:cs="楷体"/>
          <w:sz w:val="28"/>
          <w:szCs w:val="28"/>
        </w:rPr>
      </w:pPr>
      <w:r>
        <w:rPr>
          <w:rFonts w:hint="eastAsia" w:ascii="仿宋_GB2312" w:hAnsi="仿宋" w:eastAsia="仿宋_GB2312" w:cs="仿宋"/>
          <w:sz w:val="28"/>
          <w:szCs w:val="28"/>
        </w:rPr>
        <w:t xml:space="preserve">1.1.2 </w:t>
      </w:r>
      <w:r>
        <w:rPr>
          <w:rFonts w:hint="eastAsia" w:ascii="仿宋_GB2312" w:hAnsi="楷体" w:eastAsia="仿宋_GB2312" w:cs="楷体"/>
          <w:sz w:val="28"/>
          <w:szCs w:val="28"/>
        </w:rPr>
        <w:t>作业中管理要求</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建立信息交流机制，对乙方提报的工作计划或作业任务进行确认，开展作业监督检查，监督办理危险作业等作业许可，指导协调应急处置。</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——负责审查乙方提报的《每日作业计划》；</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——监督检查乙方风险管控措施和</w:t>
      </w:r>
      <w:r>
        <w:rPr>
          <w:rFonts w:hint="eastAsia" w:ascii="仿宋_GB2312" w:hAnsi="仿宋" w:eastAsia="仿宋_GB2312" w:cs="仿宋"/>
          <w:sz w:val="28"/>
          <w:szCs w:val="28"/>
        </w:rPr>
        <w:t>危大工程的方案落实情况，并督促整改闭环。</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——负责指挥协调</w:t>
      </w:r>
      <w:r>
        <w:rPr>
          <w:rFonts w:hint="eastAsia" w:ascii="仿宋_GB2312" w:hAnsi="仿宋" w:eastAsia="仿宋_GB2312" w:cs="仿宋"/>
          <w:sz w:val="28"/>
          <w:szCs w:val="28"/>
        </w:rPr>
        <w:t>乙方现场安全生产事故应急救援工作，充分调动甲乙双方的应急资源。</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——对承包商危险作业实施许可管理；按照变更作业相关制度实施变更作业管理；</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w:t>
      </w:r>
      <w:r>
        <w:rPr>
          <w:rFonts w:hint="eastAsia" w:ascii="仿宋_GB2312" w:eastAsia="仿宋_GB2312"/>
          <w:sz w:val="28"/>
          <w:szCs w:val="28"/>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1.1.3作业后管理要求</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组织对乙方按照甲方考核评价相关制度进行考核评价，开展项目验收。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1.1.4生态环境保护管理要求</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甲方随时对乙方生产现场进行环保检查，包括：现场噪声、扬尘控制及施工过程产生的建筑垃圾、生活垃圾控制等，对乙方的环保隐患提出整改建议，乙方应立即采取措施进行整改。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甲方负责向乙方传达市、州环保局在重污染天气预警期间应急响应措施要求，并督促乙方严格执行；乙方须严格执行应急响应措施要求，否则，乙方承担因违反应急响应措施要求给甲方造成的一切损失，包括政府生态环境监督管理部门因此对甲方的经济处罚金额均由乙方承担。</w:t>
      </w:r>
    </w:p>
    <w:p>
      <w:pPr>
        <w:snapToGrid w:val="0"/>
        <w:spacing w:line="360" w:lineRule="auto"/>
        <w:ind w:firstLine="560" w:firstLineChars="200"/>
        <w:rPr>
          <w:rFonts w:ascii="仿宋_GB2312" w:eastAsia="仿宋_GB2312"/>
          <w:sz w:val="28"/>
          <w:szCs w:val="28"/>
        </w:rPr>
      </w:pPr>
      <w:r>
        <w:rPr>
          <w:rFonts w:hint="eastAsia" w:ascii="仿宋" w:hAnsi="仿宋" w:eastAsia="仿宋"/>
          <w:sz w:val="28"/>
          <w:szCs w:val="28"/>
        </w:rPr>
        <w:t>——甲方负责对乙方运输车辆排放标准进行检查；乙方货运车辆</w:t>
      </w:r>
      <w:r>
        <w:rPr>
          <w:rFonts w:hint="eastAsia" w:ascii="仿宋_GB2312" w:eastAsia="仿宋_GB2312"/>
          <w:sz w:val="28"/>
          <w:szCs w:val="28"/>
        </w:rPr>
        <w:t>必须为国五及以上排放标准；乙方非道路移动机械（包括：挖掘机、起重机、推土机、装载机、压路机、叉车、牵引车等）必须取得环保局下发的非道路移动机械环保标牌，如不符合上述要求，涉及车辆一律禁止进入甲方厂区。</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——涉及建筑施工时，乙方（施工单位）提交施工扬尘污染防治实施方案、建筑垃圾处理方案，并对施工工地设置围挡、洒水降尘、建筑垃圾暂存遮盖及清运措施等，甲方有权实施监督检查。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涉及煤炭、垃圾、渣土、砂石、土方、灰浆等散装、流体物料运输时，乙方须对车辆采取密闭或者其他措施防止物料遗撒措施，甲方有权实施监督检查。</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1.2 甲方权利</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1.2.1 有权否决乙方的分包方案。</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1.2.3 有权对乙方现场安全工作不称职的现场负责人、安全管理负责人和作业人员，提出约谈、警告、调离岗位、直至撤换等要求。</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1.2.4 有权制止并纠正乙方作业现场的“三违”行为，遇到危及安全生产的紧急情况，有权下令停止作业。</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1.2.5 乙方实施过程中违反国家有关法律法规的，甲方有权决定解除与乙方之间的合同及本协议。</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1.2.6 有权要求乙方遵守并执行甲方制定或发布的全部的安全方面的管理制度和要求。</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_GB2312"/>
          <w:spacing w:val="6"/>
          <w:sz w:val="28"/>
          <w:szCs w:val="28"/>
        </w:rPr>
      </w:pPr>
      <w:r>
        <w:rPr>
          <w:rFonts w:hint="eastAsia" w:ascii="仿宋_GB2312" w:hAnsi="仿宋" w:eastAsia="仿宋_GB2312" w:cs="仿宋"/>
          <w:kern w:val="2"/>
          <w:sz w:val="28"/>
          <w:szCs w:val="28"/>
        </w:rPr>
        <w:t>1.2.7 对乙方提供</w:t>
      </w:r>
      <w:r>
        <w:rPr>
          <w:rFonts w:hint="eastAsia" w:ascii="仿宋_GB2312" w:hAnsi="仿宋" w:eastAsia="仿宋_GB2312" w:cs="仿宋_GB2312"/>
          <w:spacing w:val="6"/>
          <w:sz w:val="28"/>
          <w:szCs w:val="28"/>
        </w:rPr>
        <w:t>的单位资质、人员资质等资料进行审核并备案。制定乙方作业人员准入标准，明确年龄、性别、文化程度、工作经验和作业资质等内容。</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_GB2312"/>
          <w:spacing w:val="6"/>
          <w:sz w:val="28"/>
          <w:szCs w:val="28"/>
        </w:rPr>
      </w:pPr>
      <w:r>
        <w:rPr>
          <w:rFonts w:hint="eastAsia" w:ascii="仿宋_GB2312" w:hAnsi="仿宋" w:eastAsia="仿宋_GB2312" w:cs="仿宋"/>
          <w:kern w:val="2"/>
          <w:sz w:val="28"/>
          <w:szCs w:val="28"/>
        </w:rPr>
        <w:t>1.2.</w:t>
      </w:r>
      <w:r>
        <w:rPr>
          <w:rFonts w:hint="eastAsia" w:ascii="仿宋_GB2312" w:hAnsi="仿宋" w:eastAsia="仿宋_GB2312" w:cs="Calibri"/>
          <w:kern w:val="2"/>
          <w:sz w:val="28"/>
          <w:szCs w:val="28"/>
        </w:rPr>
        <w:t xml:space="preserve">8 </w:t>
      </w:r>
      <w:r>
        <w:rPr>
          <w:rFonts w:hint="eastAsia" w:ascii="仿宋_GB2312" w:hAnsi="仿宋" w:eastAsia="仿宋_GB2312" w:cs="仿宋_GB2312"/>
          <w:spacing w:val="6"/>
          <w:sz w:val="28"/>
          <w:szCs w:val="28"/>
        </w:rPr>
        <w:t>对乙方提供的乙方作业人员健康检查报告等资料进行审核并备案。</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_GB2312"/>
          <w:spacing w:val="6"/>
          <w:sz w:val="28"/>
          <w:szCs w:val="28"/>
        </w:rPr>
      </w:pPr>
      <w:r>
        <w:rPr>
          <w:rFonts w:hint="eastAsia" w:ascii="仿宋_GB2312" w:hAnsi="仿宋" w:eastAsia="仿宋_GB2312" w:cs="仿宋"/>
          <w:kern w:val="2"/>
          <w:sz w:val="28"/>
          <w:szCs w:val="28"/>
        </w:rPr>
        <w:t>1.2.</w:t>
      </w:r>
      <w:r>
        <w:rPr>
          <w:rFonts w:hint="eastAsia" w:ascii="仿宋_GB2312" w:hAnsi="仿宋" w:eastAsia="仿宋_GB2312" w:cs="Calibri"/>
          <w:kern w:val="2"/>
          <w:sz w:val="28"/>
          <w:szCs w:val="28"/>
        </w:rPr>
        <w:t xml:space="preserve">9 </w:t>
      </w:r>
      <w:r>
        <w:rPr>
          <w:rFonts w:hint="eastAsia" w:ascii="仿宋_GB2312" w:hAnsi="仿宋" w:eastAsia="仿宋_GB2312" w:cs="仿宋_GB2312"/>
          <w:spacing w:val="6"/>
          <w:sz w:val="28"/>
          <w:szCs w:val="28"/>
        </w:rPr>
        <w:t>对乙方提供的乙方作业人员工伤保险或雇主责任险等资料进行审核并备案。</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_GB2312"/>
          <w:spacing w:val="6"/>
          <w:sz w:val="28"/>
          <w:szCs w:val="28"/>
        </w:rPr>
      </w:pPr>
      <w:r>
        <w:rPr>
          <w:rFonts w:hint="eastAsia" w:ascii="仿宋_GB2312" w:hAnsi="仿宋" w:eastAsia="仿宋_GB2312" w:cs="仿宋"/>
          <w:kern w:val="2"/>
          <w:sz w:val="28"/>
          <w:szCs w:val="28"/>
        </w:rPr>
        <w:t>1.2.</w:t>
      </w:r>
      <w:r>
        <w:rPr>
          <w:rFonts w:hint="eastAsia" w:ascii="仿宋_GB2312" w:hAnsi="仿宋" w:eastAsia="仿宋_GB2312" w:cs="Calibri"/>
          <w:kern w:val="2"/>
          <w:sz w:val="28"/>
          <w:szCs w:val="28"/>
        </w:rPr>
        <w:t xml:space="preserve">10 </w:t>
      </w:r>
      <w:r>
        <w:rPr>
          <w:rFonts w:hint="eastAsia" w:ascii="仿宋_GB2312" w:hAnsi="仿宋" w:eastAsia="仿宋_GB2312" w:cs="仿宋_GB2312"/>
          <w:spacing w:val="6"/>
          <w:sz w:val="28"/>
          <w:szCs w:val="28"/>
        </w:rPr>
        <w:t>有权对乙方机械设备、器具进行安全检查。</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_GB2312"/>
          <w:spacing w:val="6"/>
          <w:sz w:val="28"/>
          <w:szCs w:val="28"/>
        </w:rPr>
      </w:pPr>
      <w:r>
        <w:rPr>
          <w:rFonts w:hint="eastAsia" w:ascii="仿宋_GB2312" w:hAnsi="仿宋" w:eastAsia="仿宋_GB2312" w:cs="仿宋"/>
          <w:kern w:val="2"/>
          <w:sz w:val="28"/>
          <w:szCs w:val="28"/>
        </w:rPr>
        <w:t>1.2.</w:t>
      </w:r>
      <w:r>
        <w:rPr>
          <w:rFonts w:hint="eastAsia" w:ascii="仿宋_GB2312" w:hAnsi="仿宋" w:eastAsia="仿宋_GB2312" w:cs="Calibri"/>
          <w:kern w:val="2"/>
          <w:sz w:val="28"/>
          <w:szCs w:val="28"/>
        </w:rPr>
        <w:t xml:space="preserve">11 </w:t>
      </w:r>
      <w:r>
        <w:rPr>
          <w:rFonts w:hint="eastAsia" w:ascii="仿宋_GB2312" w:hAnsi="仿宋" w:eastAsia="仿宋_GB2312" w:cs="仿宋_GB2312"/>
          <w:spacing w:val="6"/>
          <w:sz w:val="28"/>
          <w:szCs w:val="28"/>
        </w:rPr>
        <w:t>对乙方作业人员在工作中履行安全管理协议、遵章守纪情况进行监督检查，对发现乙方作业人员存在的违章违纪行为，及时进行教育并要求其整改。对不听劝告、严重违章违纪者，甲方有权将其驱逐出厂。</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_GB2312"/>
          <w:spacing w:val="6"/>
          <w:sz w:val="28"/>
          <w:szCs w:val="28"/>
        </w:rPr>
      </w:pPr>
      <w:r>
        <w:rPr>
          <w:rFonts w:hint="eastAsia" w:ascii="仿宋_GB2312" w:hAnsi="仿宋" w:eastAsia="仿宋_GB2312" w:cs="仿宋"/>
          <w:kern w:val="2"/>
          <w:sz w:val="28"/>
          <w:szCs w:val="28"/>
        </w:rPr>
        <w:t>1.2.</w:t>
      </w:r>
      <w:r>
        <w:rPr>
          <w:rFonts w:hint="eastAsia" w:ascii="仿宋_GB2312" w:hAnsi="仿宋" w:eastAsia="仿宋_GB2312" w:cs="Calibri"/>
          <w:kern w:val="2"/>
          <w:sz w:val="28"/>
          <w:szCs w:val="28"/>
        </w:rPr>
        <w:t xml:space="preserve">12 </w:t>
      </w:r>
      <w:r>
        <w:rPr>
          <w:rFonts w:hint="eastAsia" w:ascii="仿宋_GB2312" w:hAnsi="仿宋" w:eastAsia="仿宋_GB2312" w:cs="仿宋_GB2312"/>
          <w:spacing w:val="6"/>
          <w:sz w:val="28"/>
          <w:szCs w:val="28"/>
        </w:rPr>
        <w:t>甲方有权审查乙方相应的作业资格证书、作业方案和外包商、作业现场的设备、设施、建（构）筑物和人员作业安全状况等。</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_GB2312"/>
          <w:spacing w:val="6"/>
          <w:sz w:val="28"/>
          <w:szCs w:val="28"/>
        </w:rPr>
      </w:pPr>
      <w:r>
        <w:rPr>
          <w:rFonts w:hint="eastAsia" w:ascii="仿宋_GB2312" w:hAnsi="仿宋" w:eastAsia="仿宋_GB2312" w:cs="仿宋"/>
          <w:kern w:val="2"/>
          <w:sz w:val="28"/>
          <w:szCs w:val="28"/>
        </w:rPr>
        <w:t>1.2.</w:t>
      </w:r>
      <w:r>
        <w:rPr>
          <w:rFonts w:hint="eastAsia" w:ascii="仿宋_GB2312" w:hAnsi="仿宋" w:eastAsia="仿宋_GB2312" w:cs="Calibri"/>
          <w:kern w:val="2"/>
          <w:sz w:val="28"/>
          <w:szCs w:val="28"/>
        </w:rPr>
        <w:t xml:space="preserve">13 </w:t>
      </w:r>
      <w:r>
        <w:rPr>
          <w:rFonts w:hint="eastAsia" w:ascii="仿宋_GB2312" w:hAnsi="仿宋" w:eastAsia="仿宋_GB2312" w:cs="仿宋_GB2312"/>
          <w:spacing w:val="6"/>
          <w:sz w:val="28"/>
          <w:szCs w:val="28"/>
        </w:rPr>
        <w:t>甲方对乙方的安全生产工作统一协调、管理，甲方有权对乙方施工作业区的设备、设施、建（构）筑物和人员作业安全状况进行安全检查，发现安全问题的，应当及时督促乙方进行整改。甲方有权提出撤换外包方项目</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_GB2312"/>
          <w:spacing w:val="6"/>
          <w:sz w:val="28"/>
          <w:szCs w:val="28"/>
        </w:rPr>
      </w:pPr>
      <w:r>
        <w:rPr>
          <w:rFonts w:hint="eastAsia" w:ascii="仿宋_GB2312" w:hAnsi="仿宋" w:eastAsia="仿宋_GB2312" w:cs="仿宋"/>
          <w:kern w:val="2"/>
          <w:sz w:val="28"/>
          <w:szCs w:val="28"/>
        </w:rPr>
        <w:t>1.2.</w:t>
      </w:r>
      <w:r>
        <w:rPr>
          <w:rFonts w:hint="eastAsia" w:ascii="仿宋_GB2312" w:hAnsi="仿宋" w:eastAsia="仿宋_GB2312" w:cs="Calibri"/>
          <w:kern w:val="2"/>
          <w:sz w:val="28"/>
          <w:szCs w:val="28"/>
        </w:rPr>
        <w:t xml:space="preserve">14 </w:t>
      </w:r>
      <w:r>
        <w:rPr>
          <w:rFonts w:hint="eastAsia" w:ascii="仿宋_GB2312" w:hAnsi="仿宋" w:eastAsia="仿宋_GB2312" w:cs="仿宋_GB2312"/>
          <w:spacing w:val="6"/>
          <w:sz w:val="28"/>
          <w:szCs w:val="28"/>
        </w:rPr>
        <w:t>乙方因自身原因作业人员不足，无法按时完成甲方工作任务，为不影响作业工期，甲方有权自行或委托第三方代为执行上述工作，所产生的费用由乙方负责。</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
          <w:sz w:val="28"/>
          <w:szCs w:val="28"/>
        </w:rPr>
      </w:pPr>
      <w:r>
        <w:rPr>
          <w:rFonts w:hint="eastAsia" w:ascii="仿宋_GB2312" w:hAnsi="仿宋" w:eastAsia="仿宋_GB2312" w:cs="仿宋"/>
          <w:kern w:val="2"/>
          <w:sz w:val="28"/>
          <w:szCs w:val="28"/>
        </w:rPr>
        <w:t>1.2.</w:t>
      </w:r>
      <w:r>
        <w:rPr>
          <w:rFonts w:hint="eastAsia" w:ascii="仿宋_GB2312" w:hAnsi="仿宋" w:eastAsia="仿宋_GB2312" w:cs="Calibri"/>
          <w:kern w:val="2"/>
          <w:sz w:val="28"/>
          <w:szCs w:val="28"/>
        </w:rPr>
        <w:t xml:space="preserve">15 </w:t>
      </w:r>
      <w:r>
        <w:rPr>
          <w:rFonts w:hint="eastAsia" w:ascii="仿宋_GB2312" w:hAnsi="仿宋" w:eastAsia="仿宋_GB2312" w:cs="仿宋_GB2312"/>
          <w:spacing w:val="6"/>
          <w:sz w:val="28"/>
          <w:szCs w:val="28"/>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61"/>
        <w:shd w:val="clear" w:color="auto" w:fill="FFFFFF"/>
        <w:snapToGrid w:val="0"/>
        <w:spacing w:before="0" w:beforeAutospacing="0" w:after="0" w:afterAutospacing="0" w:line="360" w:lineRule="auto"/>
        <w:ind w:firstLine="584" w:firstLineChars="200"/>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1.3甲方义务</w:t>
      </w:r>
    </w:p>
    <w:p>
      <w:pPr>
        <w:pStyle w:val="61"/>
        <w:shd w:val="clear" w:color="auto" w:fill="FFFFFF"/>
        <w:snapToGrid w:val="0"/>
        <w:spacing w:before="0" w:beforeAutospacing="0" w:after="0" w:afterAutospacing="0" w:line="360" w:lineRule="auto"/>
        <w:ind w:firstLine="584" w:firstLineChars="200"/>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1.3.1负责对乙方进行</w:t>
      </w:r>
      <w:r>
        <w:rPr>
          <w:rFonts w:hint="eastAsia" w:ascii="仿宋_GB2312" w:hAnsi="仿宋" w:eastAsia="仿宋_GB2312"/>
          <w:sz w:val="28"/>
          <w:szCs w:val="28"/>
        </w:rPr>
        <w:t>进场安全技术交底，告知甲方的安全管理制度标准、 作业场所安全风险、事故应急和报告要求等。</w:t>
      </w:r>
      <w:r>
        <w:rPr>
          <w:rFonts w:hint="eastAsia" w:ascii="仿宋_GB2312" w:hAnsi="仿宋" w:eastAsia="仿宋_GB2312" w:cs="仿宋_GB2312"/>
          <w:spacing w:val="6"/>
          <w:sz w:val="28"/>
          <w:szCs w:val="28"/>
        </w:rPr>
        <w:t>甲方有义务对乙方的安全奖惩情况进行告知。</w:t>
      </w:r>
    </w:p>
    <w:p>
      <w:pPr>
        <w:pStyle w:val="61"/>
        <w:shd w:val="clear" w:color="auto" w:fill="FFFFFF"/>
        <w:snapToGrid w:val="0"/>
        <w:spacing w:before="0" w:beforeAutospacing="0" w:after="0" w:afterAutospacing="0" w:line="360" w:lineRule="auto"/>
        <w:ind w:firstLine="584" w:firstLineChars="200"/>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1.3.2作业现场有两个以上单位交叉作业有可能危及对方安全或影响施工作业进度时，甲方有义务统一协调管理，督促双方签订安全管理协议。</w:t>
      </w:r>
    </w:p>
    <w:p>
      <w:pPr>
        <w:adjustRightInd w:val="0"/>
        <w:snapToGrid w:val="0"/>
        <w:spacing w:line="360" w:lineRule="auto"/>
        <w:rPr>
          <w:rFonts w:ascii="黑体" w:hAnsi="黑体" w:eastAsia="黑体" w:cs="黑体"/>
          <w:sz w:val="28"/>
          <w:szCs w:val="28"/>
        </w:rPr>
      </w:pPr>
      <w:r>
        <w:rPr>
          <w:rFonts w:hint="eastAsia" w:ascii="黑体" w:hAnsi="黑体" w:eastAsia="黑体" w:cs="黑体"/>
          <w:sz w:val="28"/>
          <w:szCs w:val="28"/>
        </w:rPr>
        <w:t>2 乙方的职责、权利、义务</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 xml:space="preserve">2.1 乙方职责 </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乙方按照甲方承包商管理制度及信息化管理系统要求，提供、上传相关资料文件，对资料的真实性、有效性、合法性负责。安全合规有序开展作业，确保项目满足质量及使用要求。</w:t>
      </w:r>
    </w:p>
    <w:p>
      <w:pPr>
        <w:snapToGrid w:val="0"/>
        <w:spacing w:line="360" w:lineRule="auto"/>
        <w:ind w:firstLine="630" w:firstLineChars="225"/>
        <w:rPr>
          <w:rFonts w:ascii="仿宋_GB2312" w:hAnsi="楷体" w:eastAsia="仿宋_GB2312" w:cs="楷体"/>
          <w:sz w:val="28"/>
          <w:szCs w:val="28"/>
        </w:rPr>
      </w:pPr>
      <w:r>
        <w:rPr>
          <w:rFonts w:hint="eastAsia" w:ascii="仿宋_GB2312" w:hAnsi="仿宋" w:eastAsia="仿宋_GB2312" w:cs="仿宋"/>
          <w:sz w:val="28"/>
          <w:szCs w:val="28"/>
        </w:rPr>
        <w:t>2.1.1</w:t>
      </w:r>
      <w:r>
        <w:rPr>
          <w:rFonts w:hint="eastAsia" w:ascii="仿宋_GB2312" w:hAnsi="楷体" w:eastAsia="仿宋_GB2312" w:cs="楷体"/>
          <w:sz w:val="28"/>
          <w:szCs w:val="28"/>
        </w:rPr>
        <w:t>作业前工作要求</w:t>
      </w:r>
    </w:p>
    <w:p>
      <w:pPr>
        <w:snapToGrid w:val="0"/>
        <w:spacing w:line="360" w:lineRule="auto"/>
        <w:ind w:firstLine="630" w:firstLineChars="225"/>
        <w:rPr>
          <w:rFonts w:ascii="仿宋_GB2312" w:hAnsi="楷体" w:eastAsia="仿宋_GB2312" w:cs="楷体"/>
          <w:sz w:val="28"/>
          <w:szCs w:val="28"/>
        </w:rPr>
      </w:pPr>
      <w:r>
        <w:rPr>
          <w:rFonts w:hint="eastAsia" w:ascii="仿宋_GB2312" w:hAnsi="楷体" w:eastAsia="仿宋_GB2312" w:cs="楷体"/>
          <w:sz w:val="28"/>
          <w:szCs w:val="28"/>
        </w:rPr>
        <w:t>提供企业相关信息，签订安全协议，接受安全条件审查，开展安全培训交底工作。</w:t>
      </w:r>
    </w:p>
    <w:p>
      <w:pPr>
        <w:pStyle w:val="61"/>
        <w:shd w:val="clear" w:color="auto" w:fill="FFFFFF"/>
        <w:snapToGrid w:val="0"/>
        <w:spacing w:before="0" w:beforeAutospacing="0" w:after="0" w:afterAutospacing="0"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——提交</w:t>
      </w:r>
      <w:r>
        <w:rPr>
          <w:rFonts w:hint="eastAsia" w:ascii="仿宋_GB2312" w:hAnsi="仿宋" w:eastAsia="仿宋_GB2312" w:cs="仿宋"/>
          <w:kern w:val="36"/>
          <w:sz w:val="28"/>
          <w:szCs w:val="28"/>
        </w:rPr>
        <w:t>资质证件、无事故证明、</w:t>
      </w:r>
      <w:r>
        <w:rPr>
          <w:rFonts w:hint="eastAsia" w:ascii="仿宋_GB2312" w:hAnsi="仿宋" w:eastAsia="仿宋_GB2312" w:cs="楷体"/>
          <w:kern w:val="2"/>
          <w:sz w:val="28"/>
          <w:szCs w:val="28"/>
        </w:rPr>
        <w:t>人员保险(工</w:t>
      </w:r>
      <w:r>
        <w:rPr>
          <w:rFonts w:hint="eastAsia" w:ascii="仿宋_GB2312" w:hAnsi="仿宋" w:eastAsia="仿宋_GB2312" w:cs="微软雅黑"/>
          <w:kern w:val="2"/>
          <w:sz w:val="28"/>
          <w:szCs w:val="28"/>
        </w:rPr>
        <w:t>伤</w:t>
      </w:r>
      <w:r>
        <w:rPr>
          <w:rFonts w:hint="eastAsia" w:ascii="仿宋_GB2312" w:hAnsi="仿宋" w:eastAsia="仿宋_GB2312" w:cs="___WRD_EMBED_SUB_41"/>
          <w:kern w:val="2"/>
          <w:sz w:val="28"/>
          <w:szCs w:val="28"/>
        </w:rPr>
        <w:t>保险或</w:t>
      </w:r>
      <w:r>
        <w:rPr>
          <w:rFonts w:hint="eastAsia" w:ascii="仿宋_GB2312" w:hAnsi="仿宋" w:eastAsia="仿宋_GB2312" w:cs="微软雅黑"/>
          <w:kern w:val="2"/>
          <w:sz w:val="28"/>
          <w:szCs w:val="28"/>
        </w:rPr>
        <w:t>购买</w:t>
      </w:r>
      <w:r>
        <w:rPr>
          <w:rFonts w:hint="eastAsia" w:ascii="仿宋_GB2312" w:hAnsi="仿宋" w:eastAsia="仿宋_GB2312" w:cs="___WRD_EMBED_SUB_41"/>
          <w:kern w:val="2"/>
          <w:sz w:val="28"/>
          <w:szCs w:val="28"/>
        </w:rPr>
        <w:t>保</w:t>
      </w:r>
      <w:r>
        <w:rPr>
          <w:rFonts w:hint="eastAsia" w:ascii="仿宋_GB2312" w:hAnsi="仿宋" w:eastAsia="仿宋_GB2312" w:cs="微软雅黑"/>
          <w:kern w:val="2"/>
          <w:sz w:val="28"/>
          <w:szCs w:val="28"/>
        </w:rPr>
        <w:t>额</w:t>
      </w:r>
      <w:r>
        <w:rPr>
          <w:rFonts w:hint="eastAsia" w:ascii="仿宋_GB2312" w:hAnsi="仿宋" w:eastAsia="仿宋_GB2312" w:cs="___WRD_EMBED_SUB_41"/>
          <w:kern w:val="2"/>
          <w:sz w:val="28"/>
          <w:szCs w:val="28"/>
        </w:rPr>
        <w:t>不</w:t>
      </w:r>
      <w:r>
        <w:rPr>
          <w:rFonts w:hint="eastAsia" w:ascii="仿宋_GB2312" w:hAnsi="仿宋" w:eastAsia="仿宋_GB2312" w:cs="微软雅黑"/>
          <w:kern w:val="2"/>
          <w:sz w:val="28"/>
          <w:szCs w:val="28"/>
        </w:rPr>
        <w:t>低</w:t>
      </w:r>
      <w:r>
        <w:rPr>
          <w:rFonts w:hint="eastAsia" w:ascii="仿宋_GB2312" w:hAnsi="仿宋" w:eastAsia="仿宋_GB2312" w:cs="___WRD_EMBED_SUB_41"/>
          <w:kern w:val="2"/>
          <w:sz w:val="28"/>
          <w:szCs w:val="28"/>
        </w:rPr>
        <w:t>于</w:t>
      </w:r>
      <w:r>
        <w:rPr>
          <w:rFonts w:hint="eastAsia" w:ascii="仿宋_GB2312" w:hAnsi="仿宋" w:eastAsia="仿宋_GB2312" w:cs="楷体"/>
          <w:kern w:val="2"/>
          <w:sz w:val="28"/>
          <w:szCs w:val="28"/>
        </w:rPr>
        <w:t>80</w:t>
      </w:r>
      <w:r>
        <w:rPr>
          <w:rFonts w:hint="eastAsia" w:ascii="仿宋_GB2312" w:hAnsi="仿宋" w:eastAsia="仿宋_GB2312" w:cs="微软雅黑"/>
          <w:kern w:val="2"/>
          <w:sz w:val="28"/>
          <w:szCs w:val="28"/>
        </w:rPr>
        <w:t>万</w:t>
      </w:r>
      <w:r>
        <w:rPr>
          <w:rFonts w:hint="eastAsia" w:ascii="仿宋_GB2312" w:hAnsi="仿宋" w:eastAsia="仿宋_GB2312" w:cs="楷体"/>
          <w:kern w:val="2"/>
          <w:sz w:val="28"/>
          <w:szCs w:val="28"/>
        </w:rPr>
        <w:t>/人的</w:t>
      </w:r>
      <w:r>
        <w:rPr>
          <w:rFonts w:hint="eastAsia" w:ascii="仿宋_GB2312" w:hAnsi="仿宋" w:eastAsia="仿宋_GB2312" w:cs="微软雅黑"/>
          <w:kern w:val="2"/>
          <w:sz w:val="28"/>
          <w:szCs w:val="28"/>
        </w:rPr>
        <w:t>雇主</w:t>
      </w:r>
      <w:r>
        <w:rPr>
          <w:rFonts w:hint="eastAsia" w:ascii="仿宋_GB2312" w:hAnsi="仿宋" w:eastAsia="仿宋_GB2312" w:cs="___WRD_EMBED_SUB_41"/>
          <w:kern w:val="2"/>
          <w:sz w:val="28"/>
          <w:szCs w:val="28"/>
        </w:rPr>
        <w:t>责任险</w:t>
      </w:r>
      <w:r>
        <w:rPr>
          <w:rFonts w:hint="eastAsia" w:ascii="仿宋_GB2312" w:hAnsi="仿宋" w:eastAsia="仿宋_GB2312" w:cs="楷体"/>
          <w:kern w:val="2"/>
          <w:sz w:val="28"/>
          <w:szCs w:val="28"/>
        </w:rPr>
        <w:t>和</w:t>
      </w:r>
      <w:r>
        <w:rPr>
          <w:rFonts w:hint="eastAsia" w:ascii="仿宋_GB2312" w:hAnsi="仿宋" w:eastAsia="仿宋_GB2312" w:cs="微软雅黑"/>
          <w:kern w:val="2"/>
          <w:sz w:val="28"/>
          <w:szCs w:val="28"/>
        </w:rPr>
        <w:t>购买</w:t>
      </w:r>
      <w:r>
        <w:rPr>
          <w:rFonts w:hint="eastAsia" w:ascii="仿宋_GB2312" w:hAnsi="仿宋" w:eastAsia="仿宋_GB2312" w:cs="楷体"/>
          <w:kern w:val="2"/>
          <w:sz w:val="28"/>
          <w:szCs w:val="28"/>
        </w:rPr>
        <w:t>其</w:t>
      </w:r>
      <w:r>
        <w:rPr>
          <w:rFonts w:hint="eastAsia" w:ascii="仿宋_GB2312" w:hAnsi="仿宋" w:eastAsia="仿宋_GB2312" w:cs="微软雅黑"/>
          <w:kern w:val="2"/>
          <w:sz w:val="28"/>
          <w:szCs w:val="28"/>
        </w:rPr>
        <w:t>它</w:t>
      </w:r>
      <w:r>
        <w:rPr>
          <w:rFonts w:hint="eastAsia" w:ascii="仿宋_GB2312" w:hAnsi="仿宋" w:eastAsia="仿宋_GB2312" w:cs="楷体"/>
          <w:kern w:val="2"/>
          <w:sz w:val="28"/>
          <w:szCs w:val="28"/>
        </w:rPr>
        <w:t>保险保</w:t>
      </w:r>
      <w:r>
        <w:rPr>
          <w:rFonts w:hint="eastAsia" w:ascii="仿宋_GB2312" w:hAnsi="仿宋" w:eastAsia="仿宋_GB2312" w:cs="微软雅黑"/>
          <w:kern w:val="2"/>
          <w:sz w:val="28"/>
          <w:szCs w:val="28"/>
        </w:rPr>
        <w:t>额</w:t>
      </w:r>
      <w:r>
        <w:rPr>
          <w:rFonts w:hint="eastAsia" w:ascii="仿宋_GB2312" w:hAnsi="仿宋" w:eastAsia="仿宋_GB2312" w:cs="___WRD_EMBED_SUB_41"/>
          <w:kern w:val="2"/>
          <w:sz w:val="28"/>
          <w:szCs w:val="28"/>
        </w:rPr>
        <w:t>不</w:t>
      </w:r>
      <w:r>
        <w:rPr>
          <w:rFonts w:hint="eastAsia" w:ascii="仿宋_GB2312" w:hAnsi="仿宋" w:eastAsia="仿宋_GB2312" w:cs="微软雅黑"/>
          <w:kern w:val="2"/>
          <w:sz w:val="28"/>
          <w:szCs w:val="28"/>
        </w:rPr>
        <w:t>低</w:t>
      </w:r>
      <w:r>
        <w:rPr>
          <w:rFonts w:hint="eastAsia" w:ascii="仿宋_GB2312" w:hAnsi="仿宋" w:eastAsia="仿宋_GB2312" w:cs="___WRD_EMBED_SUB_41"/>
          <w:kern w:val="2"/>
          <w:sz w:val="28"/>
          <w:szCs w:val="28"/>
        </w:rPr>
        <w:t>于</w:t>
      </w:r>
      <w:r>
        <w:rPr>
          <w:rFonts w:hint="eastAsia" w:ascii="仿宋_GB2312" w:hAnsi="仿宋" w:eastAsia="仿宋_GB2312" w:cs="楷体"/>
          <w:kern w:val="2"/>
          <w:sz w:val="28"/>
          <w:szCs w:val="28"/>
        </w:rPr>
        <w:t>60</w:t>
      </w:r>
      <w:r>
        <w:rPr>
          <w:rFonts w:hint="eastAsia" w:ascii="仿宋_GB2312" w:hAnsi="仿宋" w:eastAsia="仿宋_GB2312" w:cs="微软雅黑"/>
          <w:kern w:val="2"/>
          <w:sz w:val="28"/>
          <w:szCs w:val="28"/>
        </w:rPr>
        <w:t>万</w:t>
      </w:r>
      <w:r>
        <w:rPr>
          <w:rFonts w:hint="eastAsia" w:ascii="仿宋_GB2312" w:hAnsi="仿宋" w:eastAsia="仿宋_GB2312" w:cs="楷体"/>
          <w:kern w:val="2"/>
          <w:sz w:val="28"/>
          <w:szCs w:val="28"/>
        </w:rPr>
        <w:t>/人，</w:t>
      </w:r>
      <w:r>
        <w:rPr>
          <w:rFonts w:hint="eastAsia" w:ascii="仿宋_GB2312" w:hAnsi="仿宋" w:eastAsia="仿宋_GB2312" w:cs="微软雅黑"/>
          <w:kern w:val="2"/>
          <w:sz w:val="28"/>
          <w:szCs w:val="28"/>
        </w:rPr>
        <w:t>所购</w:t>
      </w:r>
      <w:r>
        <w:rPr>
          <w:rFonts w:hint="eastAsia" w:ascii="仿宋_GB2312" w:hAnsi="仿宋" w:eastAsia="仿宋_GB2312" w:cs="___WRD_EMBED_SUB_41"/>
          <w:kern w:val="2"/>
          <w:sz w:val="28"/>
          <w:szCs w:val="28"/>
        </w:rPr>
        <w:t>保险</w:t>
      </w:r>
      <w:r>
        <w:rPr>
          <w:rFonts w:hint="eastAsia" w:ascii="仿宋_GB2312" w:hAnsi="仿宋" w:eastAsia="仿宋_GB2312" w:cs="微软雅黑"/>
          <w:kern w:val="2"/>
          <w:sz w:val="28"/>
          <w:szCs w:val="28"/>
        </w:rPr>
        <w:t>总赔</w:t>
      </w:r>
      <w:r>
        <w:rPr>
          <w:rFonts w:hint="eastAsia" w:ascii="仿宋_GB2312" w:hAnsi="仿宋" w:eastAsia="仿宋_GB2312" w:cs="___WRD_EMBED_SUB_41"/>
          <w:kern w:val="2"/>
          <w:sz w:val="28"/>
          <w:szCs w:val="28"/>
        </w:rPr>
        <w:t>付</w:t>
      </w:r>
      <w:r>
        <w:rPr>
          <w:rFonts w:hint="eastAsia" w:ascii="仿宋_GB2312" w:hAnsi="仿宋" w:eastAsia="仿宋_GB2312" w:cs="微软雅黑"/>
          <w:kern w:val="2"/>
          <w:sz w:val="28"/>
          <w:szCs w:val="28"/>
        </w:rPr>
        <w:t>额达</w:t>
      </w:r>
      <w:r>
        <w:rPr>
          <w:rFonts w:hint="eastAsia" w:ascii="仿宋_GB2312" w:hAnsi="仿宋" w:eastAsia="仿宋_GB2312" w:cs="___WRD_EMBED_SUB_41"/>
          <w:kern w:val="2"/>
          <w:sz w:val="28"/>
          <w:szCs w:val="28"/>
        </w:rPr>
        <w:t>到</w:t>
      </w:r>
      <w:r>
        <w:rPr>
          <w:rFonts w:hint="eastAsia" w:ascii="仿宋_GB2312" w:hAnsi="仿宋" w:eastAsia="仿宋_GB2312" w:cs="楷体"/>
          <w:kern w:val="2"/>
          <w:sz w:val="28"/>
          <w:szCs w:val="28"/>
        </w:rPr>
        <w:t>140</w:t>
      </w:r>
      <w:r>
        <w:rPr>
          <w:rFonts w:hint="eastAsia" w:ascii="仿宋_GB2312" w:hAnsi="仿宋" w:eastAsia="仿宋_GB2312" w:cs="微软雅黑"/>
          <w:kern w:val="2"/>
          <w:sz w:val="28"/>
          <w:szCs w:val="28"/>
        </w:rPr>
        <w:t>万/人)</w:t>
      </w:r>
      <w:r>
        <w:rPr>
          <w:rFonts w:hint="eastAsia" w:ascii="仿宋_GB2312" w:hAnsi="楷体" w:eastAsia="仿宋_GB2312" w:cs="楷体"/>
          <w:kern w:val="2"/>
          <w:sz w:val="28"/>
          <w:szCs w:val="28"/>
        </w:rPr>
        <w:t>、</w:t>
      </w:r>
      <w:r>
        <w:rPr>
          <w:rFonts w:hint="eastAsia" w:ascii="仿宋_GB2312" w:hAnsi="仿宋" w:eastAsia="仿宋_GB2312" w:cs="仿宋"/>
          <w:kern w:val="36"/>
          <w:sz w:val="28"/>
          <w:szCs w:val="28"/>
        </w:rPr>
        <w:t>人员资格证书、安全培训、作业方案、现场处置方案等文件资料</w:t>
      </w:r>
      <w:r>
        <w:rPr>
          <w:rFonts w:hint="eastAsia" w:ascii="仿宋_GB2312" w:hAnsi="仿宋" w:eastAsia="仿宋_GB2312" w:cs="仿宋"/>
          <w:sz w:val="28"/>
          <w:szCs w:val="28"/>
        </w:rPr>
        <w:t>，并对真实性、有效性和合法性负责。</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——配备安全管理机构及人员；</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——配备</w:t>
      </w:r>
      <w:r>
        <w:rPr>
          <w:rFonts w:hint="eastAsia" w:ascii="仿宋_GB2312" w:eastAsia="仿宋_GB2312"/>
          <w:sz w:val="28"/>
          <w:szCs w:val="28"/>
        </w:rPr>
        <w:t>作业设备设施、工具、物料、劳动保护用品等物品，并对符合性、安全性和完好性负责；</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——负责对乙方作业人员</w:t>
      </w:r>
      <w:r>
        <w:rPr>
          <w:rFonts w:hint="eastAsia" w:ascii="仿宋_GB2312" w:hAnsi="仿宋" w:eastAsia="仿宋_GB2312" w:cs="仿宋"/>
          <w:sz w:val="28"/>
          <w:szCs w:val="28"/>
        </w:rPr>
        <w:t>进行安全风险交底；</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eastAsia="仿宋_GB2312"/>
          <w:sz w:val="28"/>
          <w:szCs w:val="28"/>
        </w:rPr>
        <w:t>严禁违法分包和挂靠资质</w:t>
      </w:r>
      <w:r>
        <w:rPr>
          <w:rFonts w:hint="eastAsia" w:ascii="仿宋_GB2312" w:hAnsi="仿宋" w:eastAsia="仿宋_GB2312" w:cs="仿宋"/>
          <w:sz w:val="28"/>
          <w:szCs w:val="28"/>
        </w:rPr>
        <w:t>。如违反，则甲方有权决定解除与乙方之间的合同及本协议。</w:t>
      </w:r>
    </w:p>
    <w:p>
      <w:pPr>
        <w:snapToGrid w:val="0"/>
        <w:spacing w:line="360" w:lineRule="auto"/>
        <w:ind w:left="720"/>
        <w:rPr>
          <w:rFonts w:ascii="仿宋_GB2312" w:hAnsi="楷体" w:eastAsia="仿宋_GB2312" w:cs="楷体"/>
          <w:sz w:val="28"/>
          <w:szCs w:val="28"/>
        </w:rPr>
      </w:pPr>
      <w:r>
        <w:rPr>
          <w:rFonts w:hint="eastAsia" w:ascii="仿宋_GB2312" w:hAnsi="楷体" w:eastAsia="仿宋_GB2312" w:cs="楷体"/>
          <w:sz w:val="28"/>
          <w:szCs w:val="28"/>
        </w:rPr>
        <w:t>2.1.2作业中管理要求</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按照甲方要求参加值班例会或项目例会，按时提报的工作计划或作业任务，定期开展安全检查并整改关闭，按照规定办理危险作业等作业许可，开展安全事故应急处置。</w:t>
      </w:r>
    </w:p>
    <w:p>
      <w:pPr>
        <w:snapToGrid w:val="0"/>
        <w:spacing w:line="360" w:lineRule="auto"/>
        <w:ind w:firstLine="560" w:firstLineChars="200"/>
        <w:rPr>
          <w:rFonts w:ascii="仿宋_GB2312" w:hAnsi="楷体" w:eastAsia="仿宋_GB2312" w:cs="楷体"/>
          <w:sz w:val="28"/>
          <w:szCs w:val="28"/>
        </w:rPr>
      </w:pPr>
      <w:r>
        <w:rPr>
          <w:rFonts w:hint="eastAsia" w:ascii="仿宋_GB2312" w:eastAsia="仿宋_GB2312"/>
          <w:sz w:val="28"/>
          <w:szCs w:val="28"/>
        </w:rPr>
        <w:t>禁止擅自改变每日作业活动的性质、范围和条件，禁止在作业任务规定时间之外开展作业，禁止在无人监管的情况下开展作业。</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——负责提报的《每日作业计划》；</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——按照施工方案落实风险管控措施</w:t>
      </w:r>
      <w:r>
        <w:rPr>
          <w:rFonts w:hint="eastAsia" w:ascii="仿宋_GB2312" w:hAnsi="仿宋" w:eastAsia="仿宋_GB2312" w:cs="仿宋"/>
          <w:sz w:val="28"/>
          <w:szCs w:val="28"/>
        </w:rPr>
        <w:t>；</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——负责指挥</w:t>
      </w:r>
      <w:r>
        <w:rPr>
          <w:rFonts w:hint="eastAsia" w:ascii="仿宋_GB2312" w:hAnsi="仿宋" w:eastAsia="仿宋_GB2312" w:cs="仿宋"/>
          <w:sz w:val="28"/>
          <w:szCs w:val="28"/>
        </w:rPr>
        <w:t>现场安全生产事故应急救援工作，并及时向甲方报告，并积极配合甲方的应急指挥、协调事故救援工作。</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——按照甲方制度要求，危险作业办理许可方可作业；按照甲方变更作业相关制度实施变更作业管理；</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——特种作业人员须持有与作业相应的、合格的特种作业证，特种设备操作人员需持有效的特种设备操作员证；</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现场存在交叉作业时，应服从甲方协调、指挥。</w:t>
      </w:r>
    </w:p>
    <w:p>
      <w:pPr>
        <w:snapToGrid w:val="0"/>
        <w:spacing w:line="360" w:lineRule="auto"/>
        <w:ind w:firstLine="630" w:firstLineChars="225"/>
        <w:rPr>
          <w:rFonts w:ascii="仿宋_GB2312" w:hAnsi="楷体" w:eastAsia="仿宋_GB2312" w:cs="楷体"/>
          <w:sz w:val="28"/>
          <w:szCs w:val="28"/>
        </w:rPr>
      </w:pPr>
      <w:r>
        <w:rPr>
          <w:rFonts w:hint="eastAsia" w:ascii="仿宋_GB2312" w:hAnsi="楷体" w:eastAsia="仿宋_GB2312" w:cs="楷体"/>
          <w:sz w:val="28"/>
          <w:szCs w:val="28"/>
        </w:rPr>
        <w:t>——施工过程中，存在重大变更（方案、工具、人员等）或重大隐患、事故征兆以及事故的情况，应及时、如实报告甲方。</w:t>
      </w:r>
    </w:p>
    <w:p>
      <w:pPr>
        <w:widowControl/>
        <w:spacing w:line="360" w:lineRule="auto"/>
        <w:ind w:firstLine="560" w:firstLineChars="200"/>
        <w:jc w:val="left"/>
        <w:rPr>
          <w:rFonts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涉及危大工程的，</w:t>
      </w:r>
      <w:r>
        <w:rPr>
          <w:rFonts w:hint="eastAsia" w:ascii="仿宋_GB2312" w:eastAsia="仿宋_GB2312"/>
          <w:sz w:val="28"/>
          <w:szCs w:val="28"/>
        </w:rPr>
        <w:t>根据《危险性较大的分部分项工程安全管理规定》及甲方相关制度标准，组织编制危大工程专项施工方案。</w:t>
      </w:r>
    </w:p>
    <w:p>
      <w:pPr>
        <w:widowControl/>
        <w:spacing w:line="360" w:lineRule="auto"/>
        <w:ind w:firstLine="560" w:firstLineChars="200"/>
        <w:jc w:val="left"/>
        <w:rPr>
          <w:rFonts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作业过程中违反国家有关法律法规造成损失的，承担相应责任，若因此给甲方造成损失或处罚的，承担经济损失。</w:t>
      </w:r>
    </w:p>
    <w:p>
      <w:pPr>
        <w:snapToGrid w:val="0"/>
        <w:spacing w:line="360" w:lineRule="auto"/>
        <w:ind w:firstLine="560" w:firstLineChars="200"/>
        <w:rPr>
          <w:rFonts w:ascii="仿宋_GB2312" w:hAnsi="仿宋" w:eastAsia="仿宋_GB2312" w:cs="仿宋"/>
          <w:sz w:val="28"/>
          <w:szCs w:val="28"/>
        </w:rPr>
      </w:pPr>
      <w:r>
        <w:rPr>
          <w:rFonts w:hint="eastAsia" w:ascii="仿宋_GB2312" w:hAnsi="楷体" w:eastAsia="仿宋_GB2312" w:cs="楷体"/>
          <w:sz w:val="28"/>
          <w:szCs w:val="28"/>
        </w:rPr>
        <w:t>——</w:t>
      </w:r>
      <w:r>
        <w:rPr>
          <w:rFonts w:hint="eastAsia" w:ascii="仿宋_GB2312" w:hAnsi="仿宋" w:eastAsia="仿宋_GB2312" w:cs="仿宋"/>
          <w:sz w:val="28"/>
          <w:szCs w:val="28"/>
        </w:rPr>
        <w:t>作业过程中严禁使用国家明令禁止使用或耗能大、对环境造成较大破坏的设备设施，运输车辆需符合排放标准要求，作业现场需做好防扬撒措施，规范处置作业过程中产生的固废、危废。</w:t>
      </w:r>
    </w:p>
    <w:p>
      <w:pPr>
        <w:snapToGrid w:val="0"/>
        <w:spacing w:line="360" w:lineRule="auto"/>
        <w:ind w:left="720"/>
        <w:rPr>
          <w:rFonts w:ascii="仿宋_GB2312" w:hAnsi="楷体" w:eastAsia="仿宋_GB2312" w:cs="楷体"/>
          <w:sz w:val="28"/>
          <w:szCs w:val="28"/>
        </w:rPr>
      </w:pPr>
      <w:r>
        <w:rPr>
          <w:rFonts w:hint="eastAsia" w:ascii="仿宋_GB2312" w:hAnsi="楷体" w:eastAsia="仿宋_GB2312" w:cs="楷体"/>
          <w:sz w:val="28"/>
          <w:szCs w:val="28"/>
        </w:rPr>
        <w:t>2.1.3作业后管理要求</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对甲方提供的技术资料保密，并提供真实有效的竣工验收资料。</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——对甲方提供的技术资料的保密性负责；</w:t>
      </w:r>
    </w:p>
    <w:p>
      <w:pPr>
        <w:snapToGrid w:val="0"/>
        <w:spacing w:line="360" w:lineRule="auto"/>
        <w:ind w:firstLine="560" w:firstLineChars="200"/>
        <w:rPr>
          <w:rFonts w:ascii="仿宋_GB2312" w:hAnsi="楷体" w:eastAsia="仿宋_GB2312" w:cs="楷体"/>
          <w:sz w:val="28"/>
          <w:szCs w:val="28"/>
        </w:rPr>
      </w:pPr>
      <w:r>
        <w:rPr>
          <w:rFonts w:hint="eastAsia" w:ascii="仿宋_GB2312" w:hAnsi="仿宋" w:eastAsia="仿宋_GB2312" w:cs="仿宋"/>
          <w:sz w:val="28"/>
          <w:szCs w:val="28"/>
        </w:rPr>
        <w:t>——对提交竣工验收相关资料的真实性负责</w:t>
      </w:r>
      <w:r>
        <w:rPr>
          <w:rFonts w:hint="eastAsia" w:ascii="仿宋_GB2312" w:hAnsi="楷体" w:eastAsia="仿宋_GB2312" w:cs="楷体"/>
          <w:sz w:val="28"/>
          <w:szCs w:val="28"/>
        </w:rPr>
        <w:t>。</w:t>
      </w:r>
    </w:p>
    <w:p>
      <w:pPr>
        <w:snapToGrid w:val="0"/>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2.2 乙方权利</w:t>
      </w:r>
    </w:p>
    <w:p>
      <w:pPr>
        <w:snapToGrid w:val="0"/>
        <w:spacing w:line="360" w:lineRule="auto"/>
        <w:ind w:firstLine="584" w:firstLineChars="200"/>
        <w:rPr>
          <w:rFonts w:ascii="仿宋_GB2312" w:hAnsi="仿宋" w:eastAsia="仿宋_GB2312" w:cs="仿宋_GB2312"/>
          <w:spacing w:val="6"/>
          <w:kern w:val="0"/>
          <w:sz w:val="28"/>
          <w:szCs w:val="28"/>
        </w:rPr>
      </w:pPr>
      <w:r>
        <w:rPr>
          <w:rFonts w:hint="eastAsia" w:ascii="仿宋_GB2312" w:hAnsi="仿宋" w:eastAsia="仿宋_GB2312" w:cs="仿宋_GB2312"/>
          <w:spacing w:val="6"/>
          <w:kern w:val="0"/>
          <w:sz w:val="28"/>
          <w:szCs w:val="28"/>
        </w:rPr>
        <w:t>2.2.1 有权拒绝甲方的违章指挥、强令冒险作业要求。</w:t>
      </w:r>
    </w:p>
    <w:p>
      <w:pPr>
        <w:pStyle w:val="61"/>
        <w:shd w:val="clear" w:color="auto" w:fill="FFFFFF"/>
        <w:snapToGrid w:val="0"/>
        <w:spacing w:before="0" w:beforeAutospacing="0" w:after="0" w:afterAutospacing="0" w:line="360" w:lineRule="auto"/>
        <w:ind w:firstLine="584" w:firstLineChars="200"/>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2.2.2 乙方有权了解其作业场所和工作岗位存在的危险因素、防范措施及事故应急措施，有权对安全生产工作提出建议。</w:t>
      </w:r>
    </w:p>
    <w:p>
      <w:pPr>
        <w:pStyle w:val="61"/>
        <w:shd w:val="clear" w:color="auto" w:fill="FFFFFF"/>
        <w:snapToGrid w:val="0"/>
        <w:spacing w:before="0" w:beforeAutospacing="0" w:after="0" w:afterAutospacing="0" w:line="360" w:lineRule="auto"/>
        <w:ind w:firstLine="584" w:firstLineChars="200"/>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2.2.3 乙方有权对作业场所安全生产工作中存在的问题提出检举、和整改建议;有权拒绝违章指挥和强令冒险作业。</w:t>
      </w:r>
    </w:p>
    <w:p>
      <w:pPr>
        <w:pStyle w:val="61"/>
        <w:shd w:val="clear" w:color="auto" w:fill="FFFFFF"/>
        <w:snapToGrid w:val="0"/>
        <w:spacing w:before="0" w:beforeAutospacing="0" w:after="0" w:afterAutospacing="0" w:line="360" w:lineRule="auto"/>
        <w:ind w:firstLine="584" w:firstLineChars="200"/>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2.2.4 乙方应组织相关单位及外包单位对其所从事的作业活动开展危险源辨识工作，并将危险源辨识的内容作为安全技术交底和安全工作交底的其中内容之一。</w:t>
      </w:r>
    </w:p>
    <w:p>
      <w:pPr>
        <w:pStyle w:val="61"/>
        <w:shd w:val="clear" w:color="auto" w:fill="FFFFFF"/>
        <w:snapToGrid w:val="0"/>
        <w:spacing w:before="0" w:beforeAutospacing="0" w:after="0" w:afterAutospacing="0" w:line="360" w:lineRule="auto"/>
        <w:ind w:firstLine="703" w:firstLineChars="241"/>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2.3乙方义务</w:t>
      </w:r>
    </w:p>
    <w:p>
      <w:pPr>
        <w:pStyle w:val="61"/>
        <w:shd w:val="clear" w:color="auto" w:fill="FFFFFF"/>
        <w:snapToGrid w:val="0"/>
        <w:spacing w:before="0" w:beforeAutospacing="0" w:after="0" w:afterAutospacing="0" w:line="360" w:lineRule="auto"/>
        <w:ind w:firstLine="703" w:firstLineChars="241"/>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2.3.1乙方应对作业人员进行安全生产教育和培训，确保作业人员掌握本职工作所需的安全生产知识，提高安全生产技能，同时对本单位员工开展“三级”安全教育。</w:t>
      </w:r>
    </w:p>
    <w:p>
      <w:pPr>
        <w:pStyle w:val="61"/>
        <w:shd w:val="clear" w:color="auto" w:fill="FFFFFF"/>
        <w:snapToGrid w:val="0"/>
        <w:spacing w:before="0" w:beforeAutospacing="0" w:after="0" w:afterAutospacing="0" w:line="360" w:lineRule="auto"/>
        <w:ind w:firstLine="703" w:firstLineChars="241"/>
        <w:rPr>
          <w:rFonts w:ascii="仿宋_GB2312" w:hAnsi="仿宋" w:eastAsia="仿宋_GB2312" w:cs="仿宋_GB2312"/>
          <w:spacing w:val="6"/>
          <w:sz w:val="28"/>
          <w:szCs w:val="28"/>
        </w:rPr>
      </w:pPr>
      <w:r>
        <w:rPr>
          <w:rFonts w:hint="eastAsia" w:ascii="仿宋_GB2312" w:hAnsi="仿宋" w:eastAsia="仿宋_GB2312" w:cs="仿宋_GB2312"/>
          <w:spacing w:val="6"/>
          <w:sz w:val="28"/>
          <w:szCs w:val="28"/>
        </w:rPr>
        <w:t>2.3.2 乙方及乙方作业人员有义务严格遵守甲方的安全生产规章制度和操作规程，服从管理。</w:t>
      </w:r>
    </w:p>
    <w:p>
      <w:pPr>
        <w:pStyle w:val="61"/>
        <w:shd w:val="clear" w:color="auto" w:fill="FFFFFF"/>
        <w:snapToGrid w:val="0"/>
        <w:spacing w:before="0" w:beforeAutospacing="0" w:after="0" w:afterAutospacing="0" w:line="360" w:lineRule="auto"/>
        <w:ind w:firstLine="674" w:firstLineChars="241"/>
        <w:rPr>
          <w:rFonts w:ascii="仿宋_GB2312" w:hAnsi="仿宋" w:eastAsia="仿宋_GB2312"/>
          <w:sz w:val="28"/>
          <w:szCs w:val="28"/>
        </w:rPr>
      </w:pPr>
      <w:r>
        <w:rPr>
          <w:rFonts w:hint="eastAsia" w:ascii="仿宋_GB2312" w:hAnsi="仿宋" w:eastAsia="仿宋_GB2312"/>
          <w:sz w:val="28"/>
          <w:szCs w:val="28"/>
        </w:rPr>
        <w:t>2.3.3 乙方对甲方所提供的作业相关的项目资料必须保密，非经甲方书面同意不能向外透露，作业完毕后，应及时退还甲方。</w:t>
      </w:r>
    </w:p>
    <w:p>
      <w:pPr>
        <w:pStyle w:val="61"/>
        <w:shd w:val="clear" w:color="auto" w:fill="FFFFFF"/>
        <w:snapToGrid w:val="0"/>
        <w:spacing w:before="0" w:beforeAutospacing="0" w:after="0" w:afterAutospacing="0" w:line="360" w:lineRule="auto"/>
        <w:ind w:firstLine="674" w:firstLineChars="241"/>
        <w:rPr>
          <w:rFonts w:ascii="仿宋_GB2312" w:hAnsi="仿宋" w:eastAsia="仿宋_GB2312"/>
          <w:sz w:val="28"/>
          <w:szCs w:val="28"/>
        </w:rPr>
      </w:pPr>
      <w:r>
        <w:rPr>
          <w:rFonts w:hint="eastAsia" w:ascii="仿宋_GB2312" w:hAnsi="仿宋" w:eastAsia="仿宋_GB2312"/>
          <w:sz w:val="28"/>
          <w:szCs w:val="28"/>
        </w:rPr>
        <w:t>2.3.4 乙方有义务配合、服从甲方对作业现场的安全检查，对检查发现的安全隐患无条件进行整改。</w:t>
      </w:r>
    </w:p>
    <w:p>
      <w:pPr>
        <w:pStyle w:val="61"/>
        <w:shd w:val="clear" w:color="auto" w:fill="FFFFFF"/>
        <w:snapToGrid w:val="0"/>
        <w:spacing w:before="0" w:beforeAutospacing="0" w:after="0" w:afterAutospacing="0" w:line="360" w:lineRule="auto"/>
        <w:ind w:firstLine="674" w:firstLineChars="241"/>
        <w:rPr>
          <w:rFonts w:ascii="仿宋_GB2312" w:hAnsi="仿宋" w:eastAsia="仿宋_GB2312" w:cs="仿宋"/>
          <w:sz w:val="28"/>
          <w:szCs w:val="28"/>
        </w:rPr>
      </w:pPr>
      <w:r>
        <w:rPr>
          <w:rFonts w:hint="eastAsia" w:ascii="仿宋_GB2312" w:hAnsi="仿宋" w:eastAsia="仿宋_GB2312"/>
          <w:sz w:val="28"/>
          <w:szCs w:val="28"/>
        </w:rPr>
        <w:t>2.3.5</w:t>
      </w:r>
      <w:r>
        <w:rPr>
          <w:rFonts w:hint="eastAsia" w:ascii="仿宋_GB2312" w:hAnsi="仿宋" w:eastAsia="仿宋_GB2312" w:cs="仿宋_GB2312"/>
          <w:spacing w:val="6"/>
          <w:sz w:val="28"/>
          <w:szCs w:val="28"/>
        </w:rPr>
        <w:t>作业现场有两个以上单位交叉作业有可能危及对方安全或影响施工作业进度时，两个以上乙方单位有义务服从甲方统一协调，相互签订安全管理协议。</w:t>
      </w:r>
    </w:p>
    <w:p>
      <w:pPr>
        <w:adjustRightInd w:val="0"/>
        <w:snapToGrid w:val="0"/>
        <w:spacing w:line="360" w:lineRule="auto"/>
        <w:rPr>
          <w:rFonts w:ascii="黑体" w:hAnsi="黑体" w:eastAsia="黑体" w:cs="黑体"/>
          <w:sz w:val="28"/>
          <w:szCs w:val="28"/>
        </w:rPr>
      </w:pPr>
      <w:r>
        <w:rPr>
          <w:rFonts w:hint="eastAsia" w:ascii="黑体" w:hAnsi="黑体" w:eastAsia="黑体" w:cs="黑体"/>
          <w:sz w:val="28"/>
          <w:szCs w:val="28"/>
        </w:rPr>
        <w:t>3 违约追偿</w:t>
      </w:r>
    </w:p>
    <w:p>
      <w:pPr>
        <w:snapToGrid w:val="0"/>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3.1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pStyle w:val="61"/>
        <w:shd w:val="clear" w:color="auto" w:fill="FFFFFF"/>
        <w:snapToGrid w:val="0"/>
        <w:spacing w:before="0" w:beforeAutospacing="0" w:after="0" w:afterAutospacing="0" w:line="360" w:lineRule="auto"/>
        <w:ind w:firstLine="552" w:firstLineChars="200"/>
        <w:rPr>
          <w:rFonts w:ascii="仿宋_GB2312" w:hAnsi="宋体" w:eastAsia="仿宋_GB2312" w:cs="仿宋_GB2312"/>
          <w:spacing w:val="-3"/>
          <w:sz w:val="28"/>
          <w:szCs w:val="28"/>
        </w:rPr>
      </w:pPr>
      <w:r>
        <w:rPr>
          <w:rFonts w:hint="eastAsia" w:ascii="仿宋_GB2312" w:hAnsi="宋体" w:eastAsia="仿宋_GB2312" w:cs="仿宋_GB2312"/>
          <w:spacing w:val="-2"/>
          <w:sz w:val="28"/>
          <w:szCs w:val="28"/>
        </w:rPr>
        <w:t>3.2</w:t>
      </w:r>
      <w:r>
        <w:rPr>
          <w:rFonts w:hint="eastAsia" w:ascii="仿宋_GB2312" w:hAnsi="宋体" w:eastAsia="仿宋_GB2312" w:cs="仿宋_GB2312"/>
          <w:spacing w:val="-3"/>
          <w:sz w:val="28"/>
          <w:szCs w:val="28"/>
        </w:rPr>
        <w:t>安全考核</w:t>
      </w:r>
    </w:p>
    <w:p>
      <w:pPr>
        <w:pStyle w:val="61"/>
        <w:shd w:val="clear" w:color="auto" w:fill="FFFFFF"/>
        <w:snapToGrid w:val="0"/>
        <w:spacing w:before="0" w:beforeAutospacing="0" w:after="0" w:afterAutospacing="0" w:line="360" w:lineRule="auto"/>
        <w:ind w:firstLine="584" w:firstLineChars="200"/>
        <w:rPr>
          <w:rFonts w:ascii="仿宋_GB2312" w:hAnsi="宋体" w:eastAsia="仿宋_GB2312" w:cs="仿宋_GB2312"/>
          <w:spacing w:val="6"/>
          <w:sz w:val="28"/>
          <w:szCs w:val="28"/>
        </w:rPr>
      </w:pPr>
      <w:r>
        <w:rPr>
          <w:rFonts w:hint="eastAsia" w:ascii="仿宋_GB2312" w:hAnsi="宋体" w:eastAsia="仿宋_GB2312" w:cs="仿宋_GB2312"/>
          <w:spacing w:val="6"/>
          <w:sz w:val="28"/>
          <w:szCs w:val="28"/>
        </w:rPr>
        <w:t>甲方可根据内部管理制度对乙方进行考核，并有权根据考核结果对项目费用进行核减。</w:t>
      </w:r>
    </w:p>
    <w:p>
      <w:pPr>
        <w:pStyle w:val="61"/>
        <w:shd w:val="clear" w:color="auto" w:fill="FFFFFF"/>
        <w:snapToGrid w:val="0"/>
        <w:spacing w:before="0" w:beforeAutospacing="0" w:after="0" w:afterAutospacing="0" w:line="360" w:lineRule="auto"/>
        <w:ind w:firstLine="584" w:firstLineChars="200"/>
        <w:rPr>
          <w:rFonts w:ascii="仿宋_GB2312" w:hAnsi="宋体" w:eastAsia="仿宋_GB2312" w:cs="仿宋_GB2312"/>
          <w:spacing w:val="6"/>
          <w:sz w:val="28"/>
          <w:szCs w:val="28"/>
        </w:rPr>
      </w:pPr>
      <w:r>
        <w:rPr>
          <w:rFonts w:hint="eastAsia" w:ascii="仿宋_GB2312" w:hAnsi="宋体" w:eastAsia="仿宋_GB2312" w:cs="仿宋_GB2312"/>
          <w:spacing w:val="6"/>
          <w:sz w:val="28"/>
          <w:szCs w:val="28"/>
        </w:rPr>
        <w:t>(1) 根据本项目安全管理工作，乙方向甲方缴纳XXXXX【请各单位自行填写】万元（大写：XXX万元）的安全管理风险押金，用于甲方对乙方的安全管理。当乙方发生未履行安全管理责任或者造成安全事故时，甲方可以根据协议扣除部分或全部安全管理风险押金。</w:t>
      </w:r>
    </w:p>
    <w:p>
      <w:pPr>
        <w:pStyle w:val="61"/>
        <w:shd w:val="clear" w:color="auto" w:fill="FFFFFF"/>
        <w:snapToGrid w:val="0"/>
        <w:spacing w:before="0" w:beforeAutospacing="0" w:after="0" w:afterAutospacing="0" w:line="360" w:lineRule="auto"/>
        <w:ind w:firstLine="584" w:firstLineChars="200"/>
        <w:rPr>
          <w:rFonts w:ascii="仿宋_GB2312" w:hAnsi="宋体" w:eastAsia="仿宋_GB2312" w:cs="仿宋_GB2312"/>
          <w:spacing w:val="6"/>
          <w:sz w:val="28"/>
          <w:szCs w:val="28"/>
        </w:rPr>
      </w:pPr>
      <w:r>
        <w:rPr>
          <w:rFonts w:hint="eastAsia" w:ascii="仿宋_GB2312" w:hAnsi="宋体" w:eastAsia="仿宋_GB2312" w:cs="仿宋_GB2312"/>
          <w:spacing w:val="6"/>
          <w:sz w:val="28"/>
          <w:szCs w:val="28"/>
        </w:rPr>
        <w:t>乙方违反本协议规定的，甲方有权按甲方安全管理制度规定及《安全文明施工现场违约情形及违约金》（见附表）对乙方处以罚金，由乙方在接到处罚通知单两个工作日内到甲方财务部门足额缴纳违章处罚金。愈期未缴纳的，按罚金的50%计算滞纳金；未足额缴纳违章处罚金及滞纳金的，甲方有权在乙方缴纳的安全管理风险押金中按每项次处罚金加滞纳金总额的200%予以扣除。违规情节严重的由甲方组织讨论决定，视情况作停工整顿处理，停工所造成的损失由乙方负责。</w:t>
      </w:r>
    </w:p>
    <w:p>
      <w:pPr>
        <w:pStyle w:val="61"/>
        <w:shd w:val="clear" w:color="auto" w:fill="FFFFFF"/>
        <w:snapToGrid w:val="0"/>
        <w:spacing w:before="0" w:beforeAutospacing="0" w:after="0" w:afterAutospacing="0" w:line="360" w:lineRule="auto"/>
        <w:ind w:firstLine="584" w:firstLineChars="200"/>
        <w:rPr>
          <w:rFonts w:ascii="仿宋_GB2312" w:hAnsi="宋体" w:eastAsia="仿宋_GB2312" w:cs="仿宋_GB2312"/>
          <w:spacing w:val="6"/>
          <w:sz w:val="28"/>
          <w:szCs w:val="28"/>
        </w:rPr>
      </w:pPr>
      <w:r>
        <w:rPr>
          <w:rFonts w:hint="eastAsia" w:ascii="仿宋_GB2312" w:hAnsi="宋体" w:eastAsia="仿宋_GB2312" w:cs="仿宋_GB2312"/>
          <w:spacing w:val="6"/>
          <w:sz w:val="28"/>
          <w:szCs w:val="28"/>
        </w:rPr>
        <w:t>(2)若乙方施工现场发生重伤1-2 人责任事故，甲方扣罚该项目风险抵押金总额的20％（1人）、60%（2人）；若乙方施工现场发生死亡1人及以上或重伤3人及以上责任事故，甲方扣罚该项目全部风险抵押金。</w:t>
      </w:r>
    </w:p>
    <w:p>
      <w:pPr>
        <w:pStyle w:val="61"/>
        <w:shd w:val="clear" w:color="auto" w:fill="FFFFFF"/>
        <w:snapToGrid w:val="0"/>
        <w:spacing w:before="0" w:beforeAutospacing="0" w:after="0" w:afterAutospacing="0" w:line="360" w:lineRule="auto"/>
        <w:ind w:firstLine="584" w:firstLineChars="200"/>
        <w:rPr>
          <w:rFonts w:ascii="仿宋_GB2312" w:hAnsi="仿宋" w:eastAsia="仿宋_GB2312" w:cs="仿宋"/>
          <w:sz w:val="28"/>
          <w:szCs w:val="28"/>
        </w:rPr>
      </w:pPr>
      <w:r>
        <w:rPr>
          <w:rFonts w:hint="eastAsia" w:ascii="仿宋_GB2312" w:hAnsi="宋体" w:eastAsia="仿宋_GB2312" w:cs="仿宋_GB2312"/>
          <w:spacing w:val="6"/>
          <w:sz w:val="28"/>
          <w:szCs w:val="28"/>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adjustRightInd w:val="0"/>
        <w:snapToGrid w:val="0"/>
        <w:spacing w:line="360" w:lineRule="auto"/>
        <w:rPr>
          <w:rFonts w:ascii="黑体" w:hAnsi="黑体" w:eastAsia="黑体" w:cs="黑体"/>
          <w:sz w:val="28"/>
          <w:szCs w:val="28"/>
        </w:rPr>
      </w:pPr>
      <w:r>
        <w:rPr>
          <w:rFonts w:hint="eastAsia" w:ascii="黑体" w:hAnsi="黑体" w:eastAsia="黑体" w:cs="黑体"/>
          <w:sz w:val="28"/>
          <w:szCs w:val="28"/>
        </w:rPr>
        <w:t>4 协议有效期</w:t>
      </w:r>
    </w:p>
    <w:p>
      <w:pPr>
        <w:pStyle w:val="20"/>
        <w:snapToGrid w:val="0"/>
        <w:spacing w:after="0" w:line="360" w:lineRule="auto"/>
        <w:ind w:firstLine="596" w:firstLineChars="213"/>
        <w:rPr>
          <w:rFonts w:ascii="仿宋_GB2312" w:hAnsi="仿宋" w:eastAsia="仿宋_GB2312" w:cs="仿宋"/>
          <w:sz w:val="28"/>
          <w:szCs w:val="28"/>
        </w:rPr>
      </w:pPr>
      <w:r>
        <w:rPr>
          <w:rFonts w:hint="eastAsia" w:ascii="仿宋_GB2312" w:hAnsi="仿宋" w:eastAsia="仿宋_GB2312" w:cs="仿宋"/>
          <w:sz w:val="28"/>
          <w:szCs w:val="28"/>
        </w:rPr>
        <w:t>本协议有效期与合同一致，到期后双方尚有合同的权利义务未履行完毕的，协议有效期延续至合同履行完毕时止。</w:t>
      </w:r>
    </w:p>
    <w:p>
      <w:pPr>
        <w:adjustRightInd w:val="0"/>
        <w:snapToGrid w:val="0"/>
        <w:spacing w:line="360" w:lineRule="auto"/>
        <w:rPr>
          <w:rFonts w:ascii="黑体" w:hAnsi="黑体" w:eastAsia="黑体" w:cs="黑体"/>
          <w:sz w:val="28"/>
          <w:szCs w:val="28"/>
        </w:rPr>
      </w:pPr>
      <w:r>
        <w:rPr>
          <w:rFonts w:hint="eastAsia" w:ascii="黑体" w:hAnsi="黑体" w:eastAsia="黑体" w:cs="黑体"/>
          <w:sz w:val="28"/>
          <w:szCs w:val="28"/>
        </w:rPr>
        <w:t>5 协议效力</w:t>
      </w:r>
    </w:p>
    <w:p>
      <w:pPr>
        <w:snapToGrid w:val="0"/>
        <w:spacing w:line="360" w:lineRule="auto"/>
        <w:ind w:firstLine="596" w:firstLineChars="213"/>
        <w:rPr>
          <w:rFonts w:ascii="仿宋_GB2312" w:hAnsi="仿宋" w:eastAsia="仿宋_GB2312" w:cs="仿宋"/>
          <w:sz w:val="28"/>
          <w:szCs w:val="28"/>
        </w:rPr>
      </w:pPr>
      <w:r>
        <w:rPr>
          <w:rFonts w:hint="eastAsia" w:ascii="仿宋_GB2312" w:hAnsi="仿宋" w:eastAsia="仿宋_GB2312" w:cs="仿宋"/>
          <w:sz w:val="28"/>
          <w:szCs w:val="28"/>
        </w:rPr>
        <w:t>本协议与合同具有同等效力。本协议一式两份，甲、乙双方各持一份，双方盖章后生效，具有同等的法律效力。</w:t>
      </w:r>
    </w:p>
    <w:p>
      <w:pPr>
        <w:snapToGrid w:val="0"/>
        <w:spacing w:line="575" w:lineRule="exact"/>
        <w:rPr>
          <w:rFonts w:ascii="仿宋_GB2312" w:hAnsi="仿宋" w:eastAsia="仿宋_GB2312" w:cs="仿宋"/>
          <w:sz w:val="28"/>
          <w:szCs w:val="28"/>
        </w:rPr>
      </w:pPr>
    </w:p>
    <w:p>
      <w:pPr>
        <w:snapToGrid w:val="0"/>
        <w:spacing w:line="575" w:lineRule="exact"/>
        <w:rPr>
          <w:rFonts w:ascii="仿宋_GB2312" w:hAnsi="仿宋" w:eastAsia="仿宋_GB2312" w:cs="仿宋"/>
          <w:sz w:val="28"/>
          <w:szCs w:val="28"/>
        </w:rPr>
      </w:pPr>
      <w:r>
        <w:rPr>
          <w:rFonts w:hint="eastAsia" w:ascii="仿宋_GB2312" w:hAnsi="仿宋" w:eastAsia="仿宋_GB2312" w:cs="仿宋"/>
          <w:sz w:val="28"/>
          <w:szCs w:val="28"/>
        </w:rPr>
        <w:t>甲   方（盖 章）：                 乙   方（盖 章）：</w:t>
      </w:r>
    </w:p>
    <w:p>
      <w:pPr>
        <w:snapToGrid w:val="0"/>
        <w:spacing w:line="575" w:lineRule="exact"/>
        <w:rPr>
          <w:rFonts w:ascii="仿宋_GB2312" w:hAnsi="仿宋" w:eastAsia="仿宋_GB2312" w:cs="仿宋"/>
          <w:sz w:val="28"/>
          <w:szCs w:val="28"/>
        </w:rPr>
      </w:pPr>
      <w:r>
        <w:rPr>
          <w:rFonts w:hint="eastAsia" w:ascii="仿宋_GB2312" w:hAnsi="仿宋" w:eastAsia="仿宋_GB2312" w:cs="微软雅黑"/>
          <w:sz w:val="28"/>
          <w:szCs w:val="28"/>
        </w:rPr>
        <w:t>授</w:t>
      </w:r>
      <w:r>
        <w:rPr>
          <w:rFonts w:hint="eastAsia" w:ascii="仿宋_GB2312" w:hAnsi="仿宋" w:eastAsia="仿宋_GB2312" w:cs="___WRD_EMBED_SUB_41"/>
          <w:sz w:val="28"/>
          <w:szCs w:val="28"/>
        </w:rPr>
        <w:t>权</w:t>
      </w:r>
      <w:r>
        <w:rPr>
          <w:rFonts w:hint="eastAsia" w:ascii="仿宋_GB2312" w:hAnsi="仿宋" w:eastAsia="仿宋_GB2312" w:cs="微软雅黑"/>
          <w:sz w:val="28"/>
          <w:szCs w:val="28"/>
        </w:rPr>
        <w:t>代</w:t>
      </w:r>
      <w:r>
        <w:rPr>
          <w:rFonts w:hint="eastAsia" w:ascii="仿宋_GB2312" w:hAnsi="仿宋" w:eastAsia="仿宋_GB2312" w:cs="___WRD_EMBED_SUB_41"/>
          <w:sz w:val="28"/>
          <w:szCs w:val="28"/>
        </w:rPr>
        <w:t>表</w:t>
      </w:r>
      <w:r>
        <w:rPr>
          <w:rFonts w:hint="eastAsia" w:ascii="仿宋_GB2312" w:hAnsi="仿宋" w:eastAsia="仿宋_GB2312" w:cs="仿宋"/>
          <w:sz w:val="28"/>
          <w:szCs w:val="28"/>
        </w:rPr>
        <w:t>（签</w:t>
      </w:r>
      <w:r>
        <w:rPr>
          <w:rFonts w:hint="eastAsia" w:ascii="仿宋_GB2312" w:hAnsi="仿宋" w:eastAsia="仿宋_GB2312" w:cs="微软雅黑"/>
          <w:sz w:val="28"/>
          <w:szCs w:val="28"/>
        </w:rPr>
        <w:t>字</w:t>
      </w:r>
      <w:r>
        <w:rPr>
          <w:rFonts w:hint="eastAsia" w:ascii="仿宋_GB2312" w:hAnsi="仿宋" w:eastAsia="仿宋_GB2312" w:cs="___WRD_EMBED_SUB_41"/>
          <w:sz w:val="28"/>
          <w:szCs w:val="28"/>
        </w:rPr>
        <w:t>）</w:t>
      </w:r>
      <w:r>
        <w:rPr>
          <w:rFonts w:hint="eastAsia" w:ascii="仿宋_GB2312" w:hAnsi="仿宋" w:eastAsia="仿宋_GB2312" w:cs="仿宋"/>
          <w:sz w:val="28"/>
          <w:szCs w:val="28"/>
        </w:rPr>
        <w:t xml:space="preserve">：                 </w:t>
      </w:r>
      <w:r>
        <w:rPr>
          <w:rFonts w:hint="eastAsia" w:ascii="仿宋_GB2312" w:hAnsi="仿宋" w:eastAsia="仿宋_GB2312" w:cs="微软雅黑"/>
          <w:sz w:val="28"/>
          <w:szCs w:val="28"/>
        </w:rPr>
        <w:t>授</w:t>
      </w:r>
      <w:r>
        <w:rPr>
          <w:rFonts w:hint="eastAsia" w:ascii="仿宋_GB2312" w:hAnsi="仿宋" w:eastAsia="仿宋_GB2312" w:cs="___WRD_EMBED_SUB_41"/>
          <w:sz w:val="28"/>
          <w:szCs w:val="28"/>
        </w:rPr>
        <w:t>权</w:t>
      </w:r>
      <w:r>
        <w:rPr>
          <w:rFonts w:hint="eastAsia" w:ascii="仿宋_GB2312" w:hAnsi="仿宋" w:eastAsia="仿宋_GB2312" w:cs="微软雅黑"/>
          <w:sz w:val="28"/>
          <w:szCs w:val="28"/>
        </w:rPr>
        <w:t>代</w:t>
      </w:r>
      <w:r>
        <w:rPr>
          <w:rFonts w:hint="eastAsia" w:ascii="仿宋_GB2312" w:hAnsi="仿宋" w:eastAsia="仿宋_GB2312" w:cs="___WRD_EMBED_SUB_41"/>
          <w:sz w:val="28"/>
          <w:szCs w:val="28"/>
        </w:rPr>
        <w:t>表</w:t>
      </w:r>
      <w:r>
        <w:rPr>
          <w:rFonts w:hint="eastAsia" w:ascii="仿宋_GB2312" w:hAnsi="仿宋" w:eastAsia="仿宋_GB2312" w:cs="仿宋"/>
          <w:sz w:val="28"/>
          <w:szCs w:val="28"/>
        </w:rPr>
        <w:t>（签</w:t>
      </w:r>
      <w:r>
        <w:rPr>
          <w:rFonts w:hint="eastAsia" w:ascii="仿宋_GB2312" w:hAnsi="仿宋" w:eastAsia="仿宋_GB2312" w:cs="微软雅黑"/>
          <w:sz w:val="28"/>
          <w:szCs w:val="28"/>
        </w:rPr>
        <w:t>字</w:t>
      </w:r>
      <w:r>
        <w:rPr>
          <w:rFonts w:hint="eastAsia" w:ascii="仿宋_GB2312" w:hAnsi="仿宋" w:eastAsia="仿宋_GB2312" w:cs="___WRD_EMBED_SUB_41"/>
          <w:sz w:val="28"/>
          <w:szCs w:val="28"/>
        </w:rPr>
        <w:t>）</w:t>
      </w:r>
      <w:r>
        <w:rPr>
          <w:rFonts w:hint="eastAsia" w:ascii="仿宋_GB2312" w:hAnsi="仿宋" w:eastAsia="仿宋_GB2312" w:cs="仿宋"/>
          <w:sz w:val="28"/>
          <w:szCs w:val="28"/>
        </w:rPr>
        <w:t>：</w:t>
      </w:r>
    </w:p>
    <w:p>
      <w:pPr>
        <w:snapToGrid w:val="0"/>
        <w:spacing w:line="575" w:lineRule="exact"/>
        <w:rPr>
          <w:rFonts w:ascii="仿宋_GB2312" w:hAnsi="仿宋" w:eastAsia="仿宋_GB2312" w:cs="仿宋"/>
          <w:kern w:val="0"/>
          <w:sz w:val="28"/>
          <w:szCs w:val="28"/>
        </w:rPr>
      </w:pPr>
      <w:r>
        <w:rPr>
          <w:rFonts w:hint="eastAsia" w:ascii="仿宋_GB2312" w:hAnsi="仿宋" w:eastAsia="仿宋_GB2312" w:cs="仿宋"/>
          <w:sz w:val="28"/>
          <w:szCs w:val="28"/>
        </w:rPr>
        <w:t xml:space="preserve">   年   月   日                       年   月   日</w:t>
      </w:r>
      <w:r>
        <w:rPr>
          <w:rFonts w:hint="eastAsia" w:ascii="仿宋_GB2312" w:hAnsi="仿宋" w:eastAsia="仿宋_GB2312" w:cs="仿宋"/>
          <w:kern w:val="0"/>
          <w:sz w:val="28"/>
          <w:szCs w:val="28"/>
        </w:rPr>
        <w:t xml:space="preserve">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rPr>
          <w:rFonts w:ascii="仿宋" w:hAnsi="仿宋" w:eastAsia="仿宋" w:cs="仿宋"/>
          <w:sz w:val="24"/>
        </w:rPr>
      </w:pPr>
      <w:r>
        <w:rPr>
          <w:rFonts w:hint="eastAsia" w:ascii="仿宋_GB2312" w:hAnsi="仿宋" w:eastAsia="仿宋_GB2312" w:cs="仿宋"/>
          <w:sz w:val="24"/>
        </w:rPr>
        <w:t>附表：安全文明施工现场违约情形及违约金</w:t>
      </w:r>
    </w:p>
    <w:tbl>
      <w:tblPr>
        <w:tblStyle w:val="21"/>
        <w:tblW w:w="52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6615"/>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4" w:type="pct"/>
            <w:vAlign w:val="center"/>
          </w:tcPr>
          <w:p>
            <w:pPr>
              <w:jc w:val="center"/>
              <w:rPr>
                <w:rFonts w:ascii="仿宋" w:hAnsi="仿宋" w:eastAsia="仿宋" w:cs="仿宋"/>
                <w:szCs w:val="21"/>
              </w:rPr>
            </w:pPr>
            <w:r>
              <w:rPr>
                <w:rFonts w:hint="eastAsia" w:ascii="仿宋" w:hAnsi="仿宋" w:eastAsia="仿宋" w:cs="仿宋"/>
                <w:szCs w:val="21"/>
              </w:rPr>
              <w:t>项目</w:t>
            </w:r>
          </w:p>
        </w:tc>
        <w:tc>
          <w:tcPr>
            <w:tcW w:w="3388" w:type="pct"/>
            <w:vAlign w:val="center"/>
          </w:tcPr>
          <w:p>
            <w:pPr>
              <w:jc w:val="center"/>
              <w:rPr>
                <w:rFonts w:ascii="仿宋" w:hAnsi="仿宋" w:eastAsia="仿宋" w:cs="仿宋"/>
                <w:szCs w:val="21"/>
              </w:rPr>
            </w:pPr>
            <w:r>
              <w:rPr>
                <w:rFonts w:hint="eastAsia" w:ascii="仿宋" w:hAnsi="仿宋" w:eastAsia="仿宋" w:cs="仿宋"/>
                <w:szCs w:val="21"/>
              </w:rPr>
              <w:t>违反文明安全施工行为</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restart"/>
            <w:vAlign w:val="center"/>
          </w:tcPr>
          <w:p>
            <w:pPr>
              <w:rPr>
                <w:rFonts w:ascii="仿宋" w:hAnsi="仿宋" w:eastAsia="仿宋" w:cs="仿宋"/>
                <w:szCs w:val="21"/>
              </w:rPr>
            </w:pPr>
            <w:r>
              <w:rPr>
                <w:rFonts w:hint="eastAsia" w:ascii="仿宋" w:hAnsi="仿宋" w:eastAsia="仿宋" w:cs="仿宋"/>
                <w:szCs w:val="21"/>
              </w:rPr>
              <w:t>安全防护</w:t>
            </w:r>
          </w:p>
        </w:tc>
        <w:tc>
          <w:tcPr>
            <w:tcW w:w="3388" w:type="pct"/>
            <w:vAlign w:val="center"/>
          </w:tcPr>
          <w:p>
            <w:pPr>
              <w:rPr>
                <w:rFonts w:ascii="仿宋" w:hAnsi="仿宋" w:eastAsia="仿宋" w:cs="仿宋"/>
                <w:szCs w:val="21"/>
              </w:rPr>
            </w:pPr>
            <w:r>
              <w:rPr>
                <w:rFonts w:hint="eastAsia" w:ascii="仿宋" w:hAnsi="仿宋" w:eastAsia="仿宋" w:cs="仿宋"/>
                <w:szCs w:val="21"/>
              </w:rPr>
              <w:t>1、作业时未穿戴相应合规的防护用品用具的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100—500元∕人∕次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2、脚手架拆装无防护措施；</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3、使用未检验合格的防护用品或防护用品失效；</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4、临边洞口无防护措施；</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restart"/>
            <w:vAlign w:val="center"/>
          </w:tcPr>
          <w:p>
            <w:pPr>
              <w:rPr>
                <w:rFonts w:ascii="仿宋" w:hAnsi="仿宋" w:eastAsia="仿宋" w:cs="仿宋"/>
                <w:szCs w:val="21"/>
              </w:rPr>
            </w:pPr>
            <w:r>
              <w:rPr>
                <w:rFonts w:hint="eastAsia" w:ascii="仿宋" w:hAnsi="仿宋" w:eastAsia="仿宋" w:cs="仿宋"/>
                <w:szCs w:val="21"/>
              </w:rPr>
              <w:t>文明施工</w:t>
            </w:r>
          </w:p>
        </w:tc>
        <w:tc>
          <w:tcPr>
            <w:tcW w:w="3388" w:type="pct"/>
            <w:vAlign w:val="center"/>
          </w:tcPr>
          <w:p>
            <w:pPr>
              <w:rPr>
                <w:rFonts w:ascii="仿宋" w:hAnsi="仿宋" w:eastAsia="仿宋" w:cs="仿宋"/>
                <w:szCs w:val="21"/>
              </w:rPr>
            </w:pPr>
            <w:r>
              <w:rPr>
                <w:rFonts w:hint="eastAsia" w:ascii="仿宋" w:hAnsi="仿宋" w:eastAsia="仿宋" w:cs="仿宋"/>
                <w:szCs w:val="21"/>
              </w:rPr>
              <w:t>5、在厂区内吸烟的；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6、不文明作业（如：随地大小便、酒后上岗、吵骂打架、随意占用、堵塞道路、通道的）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7、驾驶车辆超速的（门口及转弯处5公里/小时，厂内道路15公里/小时，厂前路20公里/小时）；</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8、施工现场杂乱(如：严重脏、乱、差、垃圾未及时清理的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9、未经许可，随意进入生产区域的；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restart"/>
            <w:vAlign w:val="center"/>
          </w:tcPr>
          <w:p>
            <w:pPr>
              <w:rPr>
                <w:rFonts w:ascii="仿宋" w:hAnsi="仿宋" w:eastAsia="仿宋" w:cs="仿宋"/>
                <w:szCs w:val="21"/>
              </w:rPr>
            </w:pPr>
            <w:r>
              <w:rPr>
                <w:rFonts w:hint="eastAsia" w:ascii="仿宋" w:hAnsi="仿宋" w:eastAsia="仿宋" w:cs="仿宋"/>
                <w:szCs w:val="21"/>
              </w:rPr>
              <w:t>现场管理</w:t>
            </w:r>
          </w:p>
        </w:tc>
        <w:tc>
          <w:tcPr>
            <w:tcW w:w="3388" w:type="pct"/>
            <w:vAlign w:val="center"/>
          </w:tcPr>
          <w:p>
            <w:pPr>
              <w:rPr>
                <w:rFonts w:ascii="仿宋" w:hAnsi="仿宋" w:eastAsia="仿宋" w:cs="仿宋"/>
                <w:szCs w:val="21"/>
              </w:rPr>
            </w:pPr>
            <w:r>
              <w:rPr>
                <w:rFonts w:hint="eastAsia" w:ascii="仿宋" w:hAnsi="仿宋" w:eastAsia="仿宋" w:cs="仿宋"/>
                <w:szCs w:val="21"/>
              </w:rPr>
              <w:t>10、现场安全隐患未定期整改的；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11、现场作业未开具作业证就动工作业的（包含动火、吊装、高处、受限空间、临时用电等）；</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300元∕人∕次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12、特种作业人员及特殊工种人员未持证上岗的；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1000元∕人∕次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64" w:type="pct"/>
            <w:vMerge w:val="restart"/>
            <w:vAlign w:val="center"/>
          </w:tcPr>
          <w:p>
            <w:pPr>
              <w:rPr>
                <w:rFonts w:ascii="仿宋" w:hAnsi="仿宋" w:eastAsia="仿宋" w:cs="仿宋"/>
                <w:szCs w:val="21"/>
              </w:rPr>
            </w:pPr>
            <w:r>
              <w:rPr>
                <w:rFonts w:hint="eastAsia" w:ascii="仿宋" w:hAnsi="仿宋" w:eastAsia="仿宋" w:cs="仿宋"/>
                <w:szCs w:val="21"/>
              </w:rPr>
              <w:t>电气安全</w:t>
            </w:r>
          </w:p>
        </w:tc>
        <w:tc>
          <w:tcPr>
            <w:tcW w:w="3388" w:type="pct"/>
            <w:vAlign w:val="center"/>
          </w:tcPr>
          <w:p>
            <w:pPr>
              <w:rPr>
                <w:rFonts w:ascii="仿宋" w:hAnsi="仿宋" w:eastAsia="仿宋" w:cs="仿宋"/>
                <w:szCs w:val="21"/>
              </w:rPr>
            </w:pPr>
            <w:r>
              <w:rPr>
                <w:rFonts w:hint="eastAsia" w:ascii="仿宋" w:hAnsi="仿宋" w:eastAsia="仿宋" w:cs="仿宋"/>
                <w:szCs w:val="21"/>
              </w:rPr>
              <w:t xml:space="preserve">13 临时用电未采用三级配电、三相五线制、二级漏电保护系统；                                       </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14、未执行“一机、一闸、一漏”的规定；</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15、分配电箱与开关箱距离大于30米，开关箱与用电设备距离大于3米；</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restart"/>
            <w:vAlign w:val="center"/>
          </w:tcPr>
          <w:p>
            <w:pPr>
              <w:rPr>
                <w:rFonts w:ascii="仿宋" w:hAnsi="仿宋" w:eastAsia="仿宋" w:cs="仿宋"/>
                <w:szCs w:val="21"/>
              </w:rPr>
            </w:pPr>
            <w:r>
              <w:rPr>
                <w:rFonts w:hint="eastAsia" w:ascii="仿宋" w:hAnsi="仿宋" w:eastAsia="仿宋" w:cs="仿宋"/>
                <w:szCs w:val="21"/>
              </w:rPr>
              <w:t>消防安全</w:t>
            </w:r>
          </w:p>
        </w:tc>
        <w:tc>
          <w:tcPr>
            <w:tcW w:w="3388" w:type="pct"/>
            <w:vAlign w:val="center"/>
          </w:tcPr>
          <w:p>
            <w:pPr>
              <w:rPr>
                <w:rFonts w:ascii="仿宋" w:hAnsi="仿宋" w:eastAsia="仿宋" w:cs="仿宋"/>
                <w:szCs w:val="21"/>
              </w:rPr>
            </w:pPr>
            <w:r>
              <w:rPr>
                <w:rFonts w:hint="eastAsia" w:ascii="仿宋" w:hAnsi="仿宋" w:eastAsia="仿宋" w:cs="仿宋"/>
                <w:szCs w:val="21"/>
              </w:rPr>
              <w:t>16、氧气瓶与乙炔气瓶距离小于5米，二者距火源小于10米</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17、动用明火未配置消防器材的；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18、氧气、乙炔瓶阳光下直晒；</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19、乙炔气瓶平放；</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20、气瓶压力表损坏或失准；</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21、非紧急情况私自动用公司消防器材、消防水的；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vAlign w:val="center"/>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22、未按规定配置合规灭火器材的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restart"/>
            <w:vAlign w:val="center"/>
          </w:tcPr>
          <w:p>
            <w:pPr>
              <w:rPr>
                <w:rFonts w:ascii="仿宋" w:hAnsi="仿宋" w:eastAsia="仿宋" w:cs="仿宋"/>
                <w:szCs w:val="21"/>
              </w:rPr>
            </w:pPr>
            <w:r>
              <w:rPr>
                <w:rFonts w:hint="eastAsia" w:ascii="仿宋" w:hAnsi="仿宋" w:eastAsia="仿宋" w:cs="仿宋"/>
                <w:szCs w:val="21"/>
              </w:rPr>
              <w:t>其他</w:t>
            </w:r>
          </w:p>
        </w:tc>
        <w:tc>
          <w:tcPr>
            <w:tcW w:w="3388" w:type="pct"/>
            <w:vAlign w:val="center"/>
          </w:tcPr>
          <w:p>
            <w:pPr>
              <w:rPr>
                <w:rFonts w:ascii="仿宋" w:hAnsi="仿宋" w:eastAsia="仿宋" w:cs="仿宋"/>
                <w:szCs w:val="21"/>
              </w:rPr>
            </w:pPr>
            <w:r>
              <w:rPr>
                <w:rFonts w:hint="eastAsia" w:ascii="仿宋" w:hAnsi="仿宋" w:eastAsia="仿宋" w:cs="仿宋"/>
                <w:szCs w:val="21"/>
              </w:rPr>
              <w:t>23、发生安全事故，未及时上报或隐瞒事故原因及责任人的；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24、随意动用公司物品及标志牌造成损坏的；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25、偷盗公司物品的每次给予相关单位违约追偿处理，严重者交公安机关处理；</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1000元∕人∕次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26、施工方案或安全措施方案未经批准擅自施工和操作；</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300元∕人∕次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27、安排未经过培训教育、安全交底人员进入现场作业，随意更换未备案作业人员进厂作业；</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300元∕人∕次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28、危险作业监护人不在现场；</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4" w:type="pct"/>
            <w:vMerge w:val="continue"/>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29、未经甲方许可擅自开展危险作业的</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500元-1000元/次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64" w:type="pct"/>
            <w:vMerge w:val="continue"/>
          </w:tcPr>
          <w:p>
            <w:pPr>
              <w:rPr>
                <w:rFonts w:ascii="仿宋" w:hAnsi="仿宋" w:eastAsia="仿宋" w:cs="仿宋"/>
                <w:szCs w:val="21"/>
              </w:rPr>
            </w:pPr>
          </w:p>
        </w:tc>
        <w:tc>
          <w:tcPr>
            <w:tcW w:w="3388" w:type="pct"/>
            <w:vAlign w:val="center"/>
          </w:tcPr>
          <w:p>
            <w:pPr>
              <w:rPr>
                <w:rFonts w:ascii="仿宋" w:hAnsi="仿宋" w:eastAsia="仿宋" w:cs="仿宋"/>
                <w:szCs w:val="21"/>
              </w:rPr>
            </w:pPr>
            <w:r>
              <w:rPr>
                <w:rFonts w:hint="eastAsia" w:ascii="仿宋" w:hAnsi="仿宋" w:eastAsia="仿宋" w:cs="仿宋"/>
                <w:szCs w:val="21"/>
              </w:rPr>
              <w:t>30、其他以上未列明的三违、安全隐患或不文明作业现象，视乙方违规情节轻重予以50-10000元∕人∕次处罚，同时，如果被政府安全监督管理部门列为重大安全隐患事项查处的，乙方承担所有该项行为给甲方造成的损失。</w:t>
            </w:r>
          </w:p>
        </w:tc>
        <w:tc>
          <w:tcPr>
            <w:tcW w:w="1246" w:type="pct"/>
            <w:vAlign w:val="center"/>
          </w:tcPr>
          <w:p>
            <w:pPr>
              <w:jc w:val="center"/>
              <w:rPr>
                <w:rFonts w:ascii="仿宋" w:hAnsi="仿宋" w:eastAsia="仿宋" w:cs="仿宋"/>
                <w:szCs w:val="21"/>
              </w:rPr>
            </w:pPr>
            <w:r>
              <w:rPr>
                <w:rFonts w:hint="eastAsia" w:ascii="仿宋" w:hAnsi="仿宋" w:eastAsia="仿宋" w:cs="仿宋"/>
                <w:szCs w:val="21"/>
              </w:rPr>
              <w:t>50-10000元∕人∕次</w:t>
            </w:r>
          </w:p>
        </w:tc>
      </w:tr>
      <w:bookmarkEnd w:id="77"/>
    </w:tbl>
    <w:p>
      <w:pPr>
        <w:pageBreakBefore/>
        <w:spacing w:line="360" w:lineRule="auto"/>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第七部分投标</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响应文件格式</w:t>
      </w:r>
    </w:p>
    <w:p>
      <w:pPr>
        <w:spacing w:line="360" w:lineRule="auto"/>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14:textFill>
            <w14:solidFill>
              <w14:schemeClr w14:val="tx1"/>
            </w14:solidFill>
          </w14:textFill>
        </w:rPr>
        <w:t>一 ：资质文件</w:t>
      </w:r>
    </w:p>
    <w:p>
      <w:pPr>
        <w:numPr>
          <w:ilvl w:val="0"/>
          <w:numId w:val="22"/>
        </w:numPr>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企业简介</w:t>
      </w: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numPr>
          <w:ilvl w:val="0"/>
          <w:numId w:val="22"/>
        </w:numPr>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营业执照（原件扫描）</w:t>
      </w: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numPr>
          <w:ilvl w:val="0"/>
          <w:numId w:val="22"/>
        </w:numPr>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专业资质文件（原件扫描）</w:t>
      </w: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numPr>
          <w:ilvl w:val="0"/>
          <w:numId w:val="22"/>
        </w:numPr>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法定代表人证明书（附法定代表人身份证复印件）</w:t>
      </w:r>
    </w:p>
    <w:p>
      <w:pPr>
        <w:spacing w:line="360" w:lineRule="auto"/>
        <w:jc w:val="center"/>
        <w:rPr>
          <w:rFonts w:ascii="宋体" w:hAnsi="宋体" w:cs="宋体"/>
          <w:b/>
          <w:color w:val="000000"/>
          <w:sz w:val="36"/>
          <w:szCs w:val="36"/>
        </w:rPr>
      </w:pPr>
      <w:r>
        <w:rPr>
          <w:rFonts w:hint="eastAsia" w:ascii="宋体" w:hAnsi="宋体" w:cs="宋体"/>
          <w:color w:val="000000"/>
          <w:sz w:val="36"/>
          <w:szCs w:val="36"/>
        </w:rPr>
        <w:t>法定代表人资格证书</w:t>
      </w:r>
    </w:p>
    <w:p>
      <w:pPr>
        <w:spacing w:line="360" w:lineRule="auto"/>
        <w:jc w:val="center"/>
        <w:rPr>
          <w:rFonts w:ascii="宋体" w:hAnsi="宋体" w:cs="宋体"/>
          <w:color w:val="000000"/>
          <w:sz w:val="28"/>
          <w:szCs w:val="28"/>
        </w:rPr>
      </w:pPr>
    </w:p>
    <w:p>
      <w:pPr>
        <w:ind w:firstLine="600" w:firstLineChars="200"/>
        <w:rPr>
          <w:rFonts w:ascii="宋体" w:hAnsi="宋体" w:cs="宋体"/>
          <w:color w:val="000000"/>
          <w:sz w:val="30"/>
          <w:szCs w:val="30"/>
          <w:u w:val="single"/>
        </w:rPr>
      </w:pPr>
      <w:r>
        <w:rPr>
          <w:rFonts w:hint="eastAsia" w:ascii="宋体" w:hAnsi="宋体" w:cs="宋体"/>
          <w:color w:val="000000"/>
          <w:sz w:val="30"/>
          <w:szCs w:val="30"/>
        </w:rPr>
        <w:t>单位名称：</w:t>
      </w:r>
      <w:r>
        <w:rPr>
          <w:rFonts w:hint="eastAsia" w:ascii="宋体" w:hAnsi="宋体" w:cs="宋体"/>
          <w:color w:val="000000"/>
          <w:sz w:val="30"/>
          <w:szCs w:val="30"/>
          <w:u w:val="single"/>
        </w:rPr>
        <w:t xml:space="preserve">             </w:t>
      </w:r>
      <w:r>
        <w:rPr>
          <w:rFonts w:hint="eastAsia" w:ascii="宋体" w:hAnsi="宋体" w:cs="宋体"/>
          <w:color w:val="000000"/>
          <w:sz w:val="30"/>
          <w:szCs w:val="30"/>
        </w:rPr>
        <w:t>地址：</w:t>
      </w:r>
      <w:r>
        <w:rPr>
          <w:rFonts w:hint="eastAsia" w:ascii="宋体" w:hAnsi="宋体" w:cs="宋体"/>
          <w:color w:val="000000"/>
          <w:sz w:val="30"/>
          <w:szCs w:val="30"/>
          <w:u w:val="single"/>
        </w:rPr>
        <w:t xml:space="preserve">                           </w:t>
      </w:r>
    </w:p>
    <w:p>
      <w:pPr>
        <w:ind w:left="-2"/>
        <w:rPr>
          <w:rFonts w:ascii="宋体" w:hAnsi="宋体" w:cs="宋体"/>
          <w:color w:val="000000"/>
          <w:sz w:val="30"/>
          <w:szCs w:val="30"/>
        </w:rPr>
      </w:pPr>
      <w:r>
        <w:rPr>
          <w:rFonts w:hint="eastAsia" w:ascii="宋体" w:hAnsi="宋体" w:cs="宋体"/>
          <w:color w:val="000000"/>
          <w:sz w:val="30"/>
          <w:szCs w:val="30"/>
        </w:rPr>
        <w:t>姓名：</w:t>
      </w:r>
      <w:r>
        <w:rPr>
          <w:rFonts w:hint="eastAsia" w:ascii="宋体" w:hAnsi="宋体" w:cs="宋体"/>
          <w:color w:val="000000"/>
          <w:sz w:val="30"/>
          <w:szCs w:val="30"/>
          <w:u w:val="single"/>
        </w:rPr>
        <w:t xml:space="preserve">     </w:t>
      </w:r>
      <w:r>
        <w:rPr>
          <w:rFonts w:hint="eastAsia" w:ascii="宋体" w:hAnsi="宋体" w:cs="宋体"/>
          <w:color w:val="000000"/>
          <w:sz w:val="30"/>
          <w:szCs w:val="30"/>
        </w:rPr>
        <w:t xml:space="preserve"> 性别：</w:t>
      </w:r>
      <w:r>
        <w:rPr>
          <w:rFonts w:hint="eastAsia" w:ascii="宋体" w:hAnsi="宋体" w:cs="宋体"/>
          <w:color w:val="000000"/>
          <w:sz w:val="30"/>
          <w:szCs w:val="30"/>
          <w:u w:val="single"/>
        </w:rPr>
        <w:t xml:space="preserve">    ，</w:t>
      </w:r>
      <w:r>
        <w:rPr>
          <w:rFonts w:hint="eastAsia" w:ascii="宋体" w:hAnsi="宋体" w:cs="宋体"/>
          <w:color w:val="000000"/>
          <w:sz w:val="30"/>
          <w:szCs w:val="30"/>
        </w:rPr>
        <w:t>年龄：</w:t>
      </w:r>
      <w:r>
        <w:rPr>
          <w:rFonts w:hint="eastAsia" w:ascii="宋体" w:hAnsi="宋体" w:cs="宋体"/>
          <w:color w:val="000000"/>
          <w:sz w:val="30"/>
          <w:szCs w:val="30"/>
          <w:u w:val="single"/>
        </w:rPr>
        <w:t xml:space="preserve">    </w:t>
      </w:r>
      <w:r>
        <w:rPr>
          <w:rFonts w:hint="eastAsia" w:ascii="宋体" w:hAnsi="宋体" w:cs="宋体"/>
          <w:color w:val="000000"/>
          <w:sz w:val="30"/>
          <w:szCs w:val="30"/>
        </w:rPr>
        <w:t>职务：</w:t>
      </w:r>
      <w:r>
        <w:rPr>
          <w:rFonts w:hint="eastAsia" w:ascii="宋体" w:hAnsi="宋体" w:cs="宋体"/>
          <w:color w:val="000000"/>
          <w:sz w:val="30"/>
          <w:szCs w:val="30"/>
          <w:u w:val="single"/>
        </w:rPr>
        <w:t xml:space="preserve">                   </w:t>
      </w:r>
      <w:r>
        <w:rPr>
          <w:rFonts w:hint="eastAsia" w:ascii="宋体" w:hAnsi="宋体" w:cs="宋体"/>
          <w:color w:val="000000"/>
          <w:sz w:val="30"/>
          <w:szCs w:val="30"/>
        </w:rPr>
        <w:t>系</w:t>
      </w:r>
    </w:p>
    <w:p>
      <w:pPr>
        <w:ind w:left="-2"/>
        <w:rPr>
          <w:rFonts w:ascii="宋体" w:hAnsi="宋体" w:cs="宋体"/>
          <w:color w:val="000000"/>
          <w:sz w:val="30"/>
          <w:szCs w:val="30"/>
        </w:rPr>
      </w:pPr>
      <w:r>
        <w:rPr>
          <w:rFonts w:hint="eastAsia" w:ascii="宋体" w:hAnsi="宋体" w:cs="宋体"/>
          <w:color w:val="000000"/>
          <w:sz w:val="30"/>
          <w:szCs w:val="30"/>
          <w:u w:val="single"/>
        </w:rPr>
        <w:t xml:space="preserve">                 公司</w:t>
      </w:r>
      <w:r>
        <w:rPr>
          <w:rFonts w:hint="eastAsia" w:ascii="宋体" w:hAnsi="宋体" w:cs="宋体"/>
          <w:color w:val="000000"/>
          <w:sz w:val="30"/>
          <w:szCs w:val="30"/>
        </w:rPr>
        <w:t>（投标方名称）的</w:t>
      </w:r>
      <w:r>
        <w:rPr>
          <w:rFonts w:hint="eastAsia" w:ascii="宋体" w:hAnsi="宋体" w:cs="宋体"/>
          <w:color w:val="000000"/>
          <w:sz w:val="30"/>
          <w:szCs w:val="30"/>
          <w:u w:val="single"/>
        </w:rPr>
        <w:t xml:space="preserve">                   </w:t>
      </w:r>
      <w:r>
        <w:rPr>
          <w:rFonts w:hint="eastAsia" w:ascii="宋体" w:hAnsi="宋体" w:cs="宋体"/>
          <w:color w:val="000000"/>
          <w:sz w:val="30"/>
          <w:szCs w:val="30"/>
        </w:rPr>
        <w:t>。为</w:t>
      </w:r>
      <w:r>
        <w:rPr>
          <w:rFonts w:hint="eastAsia" w:ascii="宋体" w:hAnsi="宋体" w:cs="宋体"/>
          <w:color w:val="000000"/>
          <w:sz w:val="30"/>
          <w:szCs w:val="30"/>
          <w:u w:val="single"/>
        </w:rPr>
        <w:t>中粮糖业及其下属各分子公司</w:t>
      </w:r>
      <w:r>
        <w:rPr>
          <w:rFonts w:hint="eastAsia" w:ascii="宋体" w:hAnsi="宋体" w:cs="宋体"/>
          <w:color w:val="000000"/>
          <w:sz w:val="30"/>
          <w:szCs w:val="30"/>
        </w:rPr>
        <w:t>招标采购项目签署上述项目的报价文件、进行合同谈判、签署合同和处理与之有关的一切事务。</w:t>
      </w:r>
    </w:p>
    <w:p>
      <w:pPr>
        <w:ind w:firstLine="600" w:firstLineChars="200"/>
        <w:rPr>
          <w:rFonts w:ascii="宋体" w:hAnsi="宋体" w:cs="宋体"/>
          <w:color w:val="000000"/>
          <w:sz w:val="30"/>
          <w:szCs w:val="30"/>
        </w:rPr>
      </w:pPr>
      <w:r>
        <w:rPr>
          <w:rFonts w:hint="eastAsia" w:ascii="宋体" w:hAnsi="宋体" w:cs="宋体"/>
          <w:color w:val="000000"/>
          <w:sz w:val="30"/>
          <w:szCs w:val="30"/>
        </w:rPr>
        <w:t>特此证明。</w:t>
      </w:r>
    </w:p>
    <w:p>
      <w:pPr>
        <w:ind w:firstLine="450" w:firstLineChars="150"/>
        <w:rPr>
          <w:rFonts w:ascii="宋体" w:hAnsi="宋体" w:cs="宋体"/>
          <w:color w:val="000000"/>
          <w:sz w:val="30"/>
          <w:szCs w:val="30"/>
        </w:rPr>
      </w:pPr>
      <w:r>
        <w:rPr>
          <w:rFonts w:hint="eastAsia" w:ascii="宋体" w:hAnsi="宋体" w:cs="宋体"/>
          <w:color w:val="000000"/>
          <w:sz w:val="30"/>
          <w:szCs w:val="30"/>
        </w:rPr>
        <w:t>附：法定代表人身份证扫描件</w:t>
      </w: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ind w:firstLine="600" w:firstLineChars="200"/>
        <w:rPr>
          <w:rFonts w:ascii="宋体" w:hAnsi="宋体" w:cs="宋体"/>
          <w:color w:val="000000"/>
          <w:sz w:val="30"/>
          <w:szCs w:val="30"/>
        </w:rPr>
      </w:pPr>
    </w:p>
    <w:p>
      <w:pPr>
        <w:rPr>
          <w:rFonts w:ascii="宋体" w:hAnsi="宋体" w:cs="宋体"/>
          <w:color w:val="000000"/>
          <w:sz w:val="30"/>
          <w:szCs w:val="30"/>
        </w:rPr>
      </w:pPr>
    </w:p>
    <w:p>
      <w:pPr>
        <w:ind w:firstLine="600" w:firstLineChars="200"/>
        <w:rPr>
          <w:rFonts w:ascii="宋体" w:hAnsi="宋体" w:cs="宋体"/>
          <w:color w:val="000000"/>
          <w:sz w:val="30"/>
          <w:szCs w:val="30"/>
        </w:rPr>
      </w:pPr>
    </w:p>
    <w:p>
      <w:pPr>
        <w:rPr>
          <w:rFonts w:ascii="宋体" w:hAnsi="宋体" w:cs="宋体"/>
          <w:color w:val="000000"/>
          <w:sz w:val="30"/>
          <w:szCs w:val="30"/>
          <w:u w:val="single"/>
        </w:rPr>
      </w:pPr>
      <w:r>
        <w:rPr>
          <w:rFonts w:hint="eastAsia" w:ascii="宋体" w:hAnsi="宋体" w:cs="宋体"/>
          <w:color w:val="000000"/>
          <w:sz w:val="30"/>
          <w:szCs w:val="30"/>
        </w:rPr>
        <w:t>投标方（盖章）：</w:t>
      </w:r>
    </w:p>
    <w:p>
      <w:pPr>
        <w:rPr>
          <w:rFonts w:ascii="宋体" w:hAnsi="宋体" w:cs="宋体"/>
          <w:color w:val="000000"/>
          <w:sz w:val="30"/>
          <w:szCs w:val="30"/>
        </w:rPr>
      </w:pPr>
      <w:r>
        <w:rPr>
          <w:rFonts w:hint="eastAsia" w:ascii="宋体" w:hAnsi="宋体" w:cs="宋体"/>
          <w:sz w:val="28"/>
          <w:szCs w:val="28"/>
        </w:rPr>
        <w:t>法人（签字或盖章）：</w:t>
      </w:r>
      <w:r>
        <w:rPr>
          <w:rFonts w:hint="eastAsia" w:ascii="宋体" w:hAnsi="宋体" w:cs="宋体"/>
          <w:sz w:val="28"/>
          <w:szCs w:val="28"/>
          <w:u w:val="single"/>
        </w:rPr>
        <w:t xml:space="preserve">               </w:t>
      </w: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p>
    <w:p>
      <w:pPr>
        <w:numPr>
          <w:ilvl w:val="0"/>
          <w:numId w:val="22"/>
        </w:numPr>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法定代表人授权委托书（代理人身份证复印件）</w:t>
      </w:r>
    </w:p>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授权委托书</w:t>
      </w:r>
    </w:p>
    <w:p>
      <w:pPr>
        <w:adjustRightInd w:val="0"/>
        <w:snapToGrid w:val="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color w:val="000000"/>
          <w:sz w:val="32"/>
          <w:szCs w:val="32"/>
          <w:u w:val="single"/>
        </w:rPr>
        <w:t xml:space="preserve">                </w:t>
      </w:r>
    </w:p>
    <w:p>
      <w:pPr>
        <w:adjustRightInd w:val="0"/>
        <w:snapToGrid w:val="0"/>
        <w:ind w:left="1920" w:hanging="1920" w:hangingChars="6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sz w:val="32"/>
          <w:szCs w:val="32"/>
        </w:rPr>
        <w:t>注册地址：</w:t>
      </w:r>
      <w:r>
        <w:rPr>
          <w:rFonts w:hint="eastAsia" w:ascii="仿宋_GB2312" w:hAnsi="仿宋_GB2312" w:eastAsia="仿宋_GB2312" w:cs="仿宋_GB2312"/>
          <w:color w:val="000000"/>
          <w:sz w:val="32"/>
          <w:szCs w:val="32"/>
          <w:u w:val="single"/>
        </w:rPr>
        <w:t xml:space="preserve">                                        </w:t>
      </w:r>
    </w:p>
    <w:p>
      <w:pPr>
        <w:adjustRightInd w:val="0"/>
        <w:snapToGrid w:val="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社会唯一信用代码</w:t>
      </w:r>
      <w:r>
        <w:rPr>
          <w:rFonts w:hint="eastAsia" w:ascii="仿宋_GB2312" w:hAnsi="仿宋_GB2312" w:eastAsia="仿宋_GB2312" w:cs="仿宋_GB2312"/>
          <w:sz w:val="32"/>
          <w:szCs w:val="32"/>
          <w:u w:val="single"/>
        </w:rPr>
        <w:t xml:space="preserve">：               </w:t>
      </w:r>
    </w:p>
    <w:p>
      <w:pPr>
        <w:adjustRightInd w:val="0"/>
        <w:snapToGrid w:val="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p>
    <w:p>
      <w:pPr>
        <w:adjustRightInd w:val="0"/>
        <w:snapToGri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系公司</w:t>
      </w:r>
    </w:p>
    <w:p>
      <w:pPr>
        <w:adjustRightInd w:val="0"/>
        <w:snapToGri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，现户籍所在地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授权事项：</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1、委托人委托代理人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代表委托人参加</w:t>
      </w:r>
      <w:r>
        <w:rPr>
          <w:rFonts w:hint="eastAsia" w:ascii="仿宋_GB2312" w:hAnsi="仿宋_GB2312" w:eastAsia="仿宋_GB2312" w:cs="仿宋_GB2312"/>
          <w:b/>
          <w:color w:val="000000"/>
          <w:sz w:val="32"/>
          <w:szCs w:val="32"/>
        </w:rPr>
        <w:t>中粮糖业及下属各公司</w:t>
      </w:r>
      <w:r>
        <w:rPr>
          <w:rFonts w:hint="eastAsia" w:ascii="仿宋_GB2312" w:hAnsi="仿宋_GB2312" w:eastAsia="仿宋_GB2312" w:cs="仿宋_GB2312"/>
          <w:sz w:val="32"/>
          <w:szCs w:val="32"/>
        </w:rPr>
        <w:t>招标和议标活动，以委托人的名义全权办理招标和议标过程中的投标、报价、议标谈判等一切以招标或议标相关的事宜。</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2、如委托人中标，代理人以委托人的名义与</w:t>
      </w:r>
      <w:r>
        <w:rPr>
          <w:rFonts w:hint="eastAsia" w:ascii="仿宋_GB2312" w:hAnsi="仿宋_GB2312" w:eastAsia="仿宋_GB2312" w:cs="仿宋_GB2312"/>
          <w:b/>
          <w:color w:val="000000"/>
          <w:sz w:val="32"/>
          <w:szCs w:val="32"/>
        </w:rPr>
        <w:t>中粮糖业及下属各公司</w:t>
      </w:r>
      <w:r>
        <w:rPr>
          <w:rFonts w:hint="eastAsia" w:ascii="仿宋_GB2312" w:hAnsi="仿宋_GB2312" w:eastAsia="仿宋_GB2312" w:cs="仿宋_GB2312"/>
          <w:sz w:val="32"/>
          <w:szCs w:val="32"/>
        </w:rPr>
        <w:t>签订合同，并办理合同履约过程中的一切相关事宜。</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本公司对代理人的上述代理行为均予以认可并承担责任。</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本授权委托书自授权之日起生效，并</w:t>
      </w:r>
      <w:r>
        <w:rPr>
          <w:rFonts w:hint="eastAsia" w:ascii="仿宋_GB2312" w:hAnsi="仿宋_GB2312" w:eastAsia="仿宋_GB2312" w:cs="仿宋_GB2312"/>
          <w:sz w:val="32"/>
          <w:szCs w:val="32"/>
          <w:u w:val="single"/>
        </w:rPr>
        <w:t>长期/202*年**月**日前</w:t>
      </w:r>
      <w:r>
        <w:rPr>
          <w:rFonts w:hint="eastAsia" w:ascii="仿宋_GB2312" w:hAnsi="仿宋_GB2312" w:eastAsia="仿宋_GB2312" w:cs="仿宋_GB2312"/>
          <w:sz w:val="32"/>
          <w:szCs w:val="32"/>
        </w:rPr>
        <w:t>有效！</w:t>
      </w:r>
    </w:p>
    <w:p>
      <w:pPr>
        <w:adjustRightInd w:val="0"/>
        <w:snapToGrid w:val="0"/>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代理人身份证正反面粘贴处：</w:t>
      </w:r>
    </w:p>
    <w:p>
      <w:pPr>
        <w:ind w:left="-7" w:leftChars="-70" w:hanging="140" w:hangingChars="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ind w:left="-7" w:leftChars="-70" w:hanging="140" w:hangingChars="50"/>
        <w:rPr>
          <w:rFonts w:ascii="仿宋_GB2312" w:hAnsi="仿宋_GB2312" w:eastAsia="仿宋_GB2312" w:cs="仿宋_GB2312"/>
          <w:sz w:val="28"/>
          <w:szCs w:val="28"/>
        </w:rPr>
      </w:pPr>
    </w:p>
    <w:p>
      <w:pPr>
        <w:ind w:left="-7" w:leftChars="-70" w:hanging="140" w:hangingChars="50"/>
        <w:rPr>
          <w:rFonts w:ascii="仿宋_GB2312" w:hAnsi="仿宋_GB2312" w:eastAsia="仿宋_GB2312" w:cs="仿宋_GB2312"/>
          <w:sz w:val="28"/>
          <w:szCs w:val="28"/>
        </w:rPr>
      </w:pPr>
    </w:p>
    <w:p>
      <w:pPr>
        <w:ind w:left="-7" w:leftChars="-70" w:hanging="140" w:hangingChars="50"/>
        <w:rPr>
          <w:rFonts w:ascii="仿宋_GB2312" w:hAnsi="仿宋_GB2312" w:eastAsia="仿宋_GB2312" w:cs="仿宋_GB2312"/>
          <w:sz w:val="28"/>
          <w:szCs w:val="28"/>
        </w:rPr>
      </w:pPr>
    </w:p>
    <w:p>
      <w:pPr>
        <w:ind w:left="-7" w:leftChars="-70" w:hanging="140" w:hangingChars="50"/>
        <w:rPr>
          <w:rFonts w:ascii="仿宋_GB2312" w:hAnsi="仿宋_GB2312" w:eastAsia="仿宋_GB2312" w:cs="仿宋_GB2312"/>
          <w:sz w:val="28"/>
          <w:szCs w:val="28"/>
        </w:rPr>
      </w:pPr>
    </w:p>
    <w:p>
      <w:pPr>
        <w:ind w:left="-7" w:leftChars="-70" w:hanging="140" w:hangingChars="50"/>
        <w:rPr>
          <w:rFonts w:ascii="仿宋_GB2312" w:hAnsi="仿宋_GB2312" w:eastAsia="仿宋_GB2312" w:cs="仿宋_GB2312"/>
          <w:sz w:val="28"/>
          <w:szCs w:val="28"/>
        </w:rPr>
      </w:pPr>
    </w:p>
    <w:p>
      <w:pPr>
        <w:rPr>
          <w:rFonts w:ascii="仿宋_GB2312" w:hAnsi="仿宋_GB2312" w:eastAsia="仿宋_GB2312" w:cs="仿宋_GB2312"/>
          <w:sz w:val="32"/>
          <w:szCs w:val="32"/>
        </w:rPr>
      </w:pPr>
    </w:p>
    <w:p>
      <w:pPr>
        <w:wordWrap w:val="0"/>
        <w:adjustRightInd w:val="0"/>
        <w:snapToGrid w:val="0"/>
        <w:ind w:right="560" w:firstLine="800" w:firstLineChars="25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单位名称（盖章）：</w:t>
      </w:r>
      <w:r>
        <w:rPr>
          <w:rFonts w:hint="eastAsia" w:ascii="仿宋_GB2312" w:hAnsi="仿宋_GB2312" w:eastAsia="仿宋_GB2312" w:cs="仿宋_GB2312"/>
          <w:sz w:val="32"/>
          <w:szCs w:val="32"/>
          <w:u w:val="single"/>
        </w:rPr>
        <w:t xml:space="preserve">                           </w:t>
      </w:r>
    </w:p>
    <w:p>
      <w:pPr>
        <w:wordWrap w:val="0"/>
        <w:adjustRightInd w:val="0"/>
        <w:snapToGrid w:val="0"/>
        <w:ind w:right="560" w:firstLine="800" w:firstLineChars="25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法定代表人或负责人（签字或盖章）：</w:t>
      </w:r>
      <w:r>
        <w:rPr>
          <w:rFonts w:hint="eastAsia" w:ascii="仿宋_GB2312" w:hAnsi="仿宋_GB2312" w:eastAsia="仿宋_GB2312" w:cs="仿宋_GB2312"/>
          <w:sz w:val="32"/>
          <w:szCs w:val="32"/>
          <w:u w:val="single"/>
        </w:rPr>
        <w:t xml:space="preserve">           </w:t>
      </w:r>
    </w:p>
    <w:p>
      <w:pPr>
        <w:wordWrap w:val="0"/>
        <w:adjustRightInd w:val="0"/>
        <w:snapToGrid w:val="0"/>
        <w:ind w:right="560" w:firstLine="1478" w:firstLineChars="462"/>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授权日期: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宋体" w:hAnsi="宋体"/>
          <w:sz w:val="28"/>
          <w:szCs w:val="28"/>
        </w:rPr>
        <w:t xml:space="preserve">              </w:t>
      </w:r>
    </w:p>
    <w:p>
      <w:pPr>
        <w:numPr>
          <w:ilvl w:val="0"/>
          <w:numId w:val="22"/>
        </w:numPr>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廉洁承诺书</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中粮糖业廉洁承诺书</w:t>
      </w:r>
    </w:p>
    <w:p>
      <w:pPr>
        <w:autoSpaceDE w:val="0"/>
        <w:autoSpaceDN w:val="0"/>
        <w:adjustRightInd w:val="0"/>
        <w:snapToGrid w:val="0"/>
        <w:spacing w:line="360" w:lineRule="atLeast"/>
        <w:ind w:left="-9" w:leftChars="-67" w:hanging="132" w:hangingChars="44"/>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中粮糖业及下属分子公司：</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1.自觉遵守国家法律法规及中粮糖业有关廉政建设制度。</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2.不使用不正当手段妨碍、排挤其它投标单位或串通投标。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4.不将主体、关键性工作进行分包（包括贴牌生产、转包等）。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6、 不向贵公司涉及采购与招投标的部门及个人支付好处费、介绍费；也不为其购置或提供通讯工具、交通工具、电脑等。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7、经查实的有参与串通行为的投标人，其中标无效，列入供应商黑名单，并依据中粮糖业采购制度相关规定对投标人处中标项目金额的千分之五以上千分之十以下的保证金扣除。</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8.一旦发现相关人员在招标过程中有索要财物等不廉洁行为，坚决予以抵制，并及时向贵公司纪委办公室举报。</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9.我方自愿将本承诺书作为投标文件及合同的附件，具有同等的法律效力。</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10.若违反上述承诺或违反有关法律法规及贵公司有关规定，我方自愿永久放弃参与贵公司的所有业务往来，并承担贵公司制度规定的一切法律责任。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11.本承诺书自签署之日起生效。</w:t>
      </w:r>
    </w:p>
    <w:p>
      <w:pPr>
        <w:autoSpaceDE w:val="0"/>
        <w:autoSpaceDN w:val="0"/>
        <w:adjustRightInd w:val="0"/>
        <w:snapToGrid w:val="0"/>
        <w:spacing w:line="360" w:lineRule="atLeast"/>
        <w:rPr>
          <w:rFonts w:ascii="仿宋_GB2312" w:hAnsi="仿宋_GB2312" w:eastAsia="仿宋_GB2312" w:cs="仿宋_GB2312"/>
          <w:color w:val="000000" w:themeColor="text1"/>
          <w:kern w:val="0"/>
          <w:sz w:val="30"/>
          <w:szCs w:val="30"/>
          <w14:textFill>
            <w14:solidFill>
              <w14:schemeClr w14:val="tx1"/>
            </w14:solidFill>
          </w14:textFill>
        </w:rPr>
      </w:pPr>
    </w:p>
    <w:p>
      <w:pPr>
        <w:autoSpaceDE w:val="0"/>
        <w:autoSpaceDN w:val="0"/>
        <w:adjustRightInd w:val="0"/>
        <w:snapToGrid w:val="0"/>
        <w:spacing w:line="360" w:lineRule="atLeast"/>
        <w:ind w:firstLine="2175" w:firstLineChars="725"/>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投标单位（公章）：</w:t>
      </w:r>
    </w:p>
    <w:p>
      <w:pPr>
        <w:autoSpaceDE w:val="0"/>
        <w:autoSpaceDN w:val="0"/>
        <w:adjustRightInd w:val="0"/>
        <w:snapToGrid w:val="0"/>
        <w:spacing w:line="360" w:lineRule="atLeast"/>
        <w:ind w:firstLine="2100" w:firstLineChars="700"/>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法定代表人或授权代理人（签字或盖章）：</w:t>
      </w:r>
    </w:p>
    <w:p>
      <w:pPr>
        <w:autoSpaceDE w:val="0"/>
        <w:autoSpaceDN w:val="0"/>
        <w:adjustRightInd w:val="0"/>
        <w:snapToGrid w:val="0"/>
        <w:spacing w:line="360" w:lineRule="atLeast"/>
        <w:ind w:firstLine="2175" w:firstLineChars="725"/>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日期： 年 月 日</w:t>
      </w:r>
    </w:p>
    <w:p>
      <w:pPr>
        <w:autoSpaceDE w:val="0"/>
        <w:autoSpaceDN w:val="0"/>
        <w:adjustRightInd w:val="0"/>
        <w:snapToGrid w:val="0"/>
        <w:spacing w:line="360" w:lineRule="atLeast"/>
        <w:ind w:firstLine="2320" w:firstLineChars="725"/>
        <w:rPr>
          <w:rFonts w:ascii="仿宋_GB2312" w:hAnsi="仿宋_GB2312" w:eastAsia="仿宋_GB2312" w:cs="仿宋_GB2312"/>
          <w:color w:val="000000" w:themeColor="text1"/>
          <w:sz w:val="32"/>
          <w:szCs w:val="32"/>
          <w14:textFill>
            <w14:solidFill>
              <w14:schemeClr w14:val="tx1"/>
            </w14:solidFill>
          </w14:textFill>
        </w:rPr>
      </w:pPr>
    </w:p>
    <w:p>
      <w:pPr>
        <w:numPr>
          <w:ilvl w:val="0"/>
          <w:numId w:val="22"/>
        </w:numPr>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质量承诺书</w:t>
      </w: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质量承诺书</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u w:val="single"/>
          <w14:textFill>
            <w14:solidFill>
              <w14:schemeClr w14:val="tx1"/>
            </w14:solidFill>
          </w14:textFill>
        </w:rPr>
        <w:t>中粮糖业及下属各</w:t>
      </w:r>
      <w:r>
        <w:rPr>
          <w:rFonts w:hint="eastAsia" w:ascii="仿宋_GB2312" w:hAnsi="仿宋_GB2312" w:eastAsia="仿宋_GB2312" w:cs="仿宋_GB2312"/>
          <w:color w:val="000000" w:themeColor="text1"/>
          <w:sz w:val="32"/>
          <w:szCs w:val="32"/>
          <w:u w:val="single"/>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为积极配合贵公司进行的</w:t>
      </w:r>
      <w:r>
        <w:rPr>
          <w:rFonts w:hint="eastAsia" w:ascii="仿宋_GB2312" w:hAnsi="仿宋_GB2312" w:eastAsia="仿宋_GB2312" w:cs="仿宋_GB2312"/>
          <w:color w:val="000000" w:themeColor="text1"/>
          <w:sz w:val="32"/>
          <w:szCs w:val="32"/>
          <w:u w:val="single"/>
          <w14:textFill>
            <w14:solidFill>
              <w14:schemeClr w14:val="tx1"/>
            </w14:solidFill>
          </w14:textFill>
        </w:rPr>
        <w:t>采购/招标</w:t>
      </w:r>
      <w:r>
        <w:rPr>
          <w:rFonts w:hint="eastAsia" w:ascii="仿宋_GB2312" w:hAnsi="仿宋_GB2312" w:eastAsia="仿宋_GB2312" w:cs="仿宋_GB2312"/>
          <w:color w:val="000000" w:themeColor="text1"/>
          <w:sz w:val="32"/>
          <w:szCs w:val="32"/>
          <w14:textFill>
            <w14:solidFill>
              <w14:schemeClr w14:val="tx1"/>
            </w14:solidFill>
          </w14:textFill>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1.我公司承诺所供之商品质量，数量均不出现假冒、短少现象，并随时按贵公司要求提供各种质量检测报告，如发生与之相关的客户投诉赔偿，待材料质量查明之后一概由本投标方负责。</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我公司严格执行投标方应尽义务，做到送货及时，货物质量优质，货物装箱整齐方便运输。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法定代表人或授权代理人（签字或盖章）：</w:t>
      </w:r>
    </w:p>
    <w:p>
      <w:pPr>
        <w:numPr>
          <w:ilvl w:val="0"/>
          <w:numId w:val="22"/>
        </w:numPr>
        <w:spacing w:line="360" w:lineRule="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其他资质文件</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numPr>
          <w:ilvl w:val="0"/>
          <w:numId w:val="23"/>
        </w:numPr>
        <w:spacing w:line="360" w:lineRule="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商务文件</w:t>
      </w:r>
    </w:p>
    <w:p>
      <w:pPr>
        <w:numPr>
          <w:ilvl w:val="0"/>
          <w:numId w:val="24"/>
        </w:numPr>
        <w:adjustRightInd w:val="0"/>
        <w:snapToGrid w:val="0"/>
        <w:spacing w:after="156" w:afterLines="50" w:line="276"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财务状况：</w:t>
      </w:r>
    </w:p>
    <w:p>
      <w:pPr>
        <w:adjustRightInd w:val="0"/>
        <w:snapToGrid w:val="0"/>
        <w:spacing w:after="156" w:afterLines="50" w:line="276"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投标方应提供近三年财务会计报表复印件，包括资产负债表、利润表。近年财务会计报表年份是指：</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2021</w:t>
      </w:r>
      <w:r>
        <w:rPr>
          <w:rFonts w:hint="eastAsia" w:ascii="仿宋_GB2312" w:hAnsi="仿宋_GB2312" w:eastAsia="仿宋_GB2312" w:cs="仿宋_GB2312"/>
          <w:color w:val="000000" w:themeColor="text1"/>
          <w:sz w:val="32"/>
          <w:szCs w:val="32"/>
          <w14:textFill>
            <w14:solidFill>
              <w14:schemeClr w14:val="tx1"/>
            </w14:solidFill>
          </w14:textFill>
        </w:rPr>
        <w:t>至</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2023</w:t>
      </w:r>
      <w:r>
        <w:rPr>
          <w:rFonts w:hint="eastAsia" w:ascii="仿宋_GB2312" w:hAnsi="仿宋_GB2312" w:eastAsia="仿宋_GB2312" w:cs="仿宋_GB2312"/>
          <w:color w:val="000000" w:themeColor="text1"/>
          <w:sz w:val="32"/>
          <w:szCs w:val="32"/>
          <w14:textFill>
            <w14:solidFill>
              <w14:schemeClr w14:val="tx1"/>
            </w14:solidFill>
          </w14:textFill>
        </w:rPr>
        <w:t>年（供应商的成立时间少于该规定年份的，应提供成立以来的财务会计报表）</w:t>
      </w:r>
    </w:p>
    <w:p>
      <w:pPr>
        <w:numPr>
          <w:ilvl w:val="0"/>
          <w:numId w:val="24"/>
        </w:numPr>
        <w:adjustRightInd w:val="0"/>
        <w:snapToGrid w:val="0"/>
        <w:spacing w:after="156" w:afterLines="50" w:line="276"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企业信誉：</w:t>
      </w:r>
    </w:p>
    <w:p>
      <w:pPr>
        <w:adjustRightInd w:val="0"/>
        <w:snapToGrid w:val="0"/>
        <w:spacing w:after="156" w:afterLines="50" w:line="276" w:lineRule="auto"/>
        <w:jc w:val="center"/>
        <w:rPr>
          <w:rFonts w:ascii="宋体" w:hAnsi="宋体"/>
          <w:sz w:val="30"/>
          <w:szCs w:val="30"/>
        </w:rPr>
      </w:pPr>
      <w:r>
        <w:rPr>
          <w:rFonts w:hint="eastAsia" w:ascii="仿宋" w:hAnsi="仿宋" w:eastAsia="仿宋" w:cstheme="majorBidi"/>
          <w:b/>
          <w:bCs/>
          <w:color w:val="000000"/>
          <w:sz w:val="36"/>
          <w:szCs w:val="36"/>
        </w:rPr>
        <w:t>企业信誉状况良好声明</w:t>
      </w:r>
    </w:p>
    <w:tbl>
      <w:tblPr>
        <w:tblStyle w:val="21"/>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82"/>
        <w:gridCol w:w="2387"/>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86" w:type="dxa"/>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企业名称</w:t>
            </w:r>
          </w:p>
        </w:tc>
        <w:tc>
          <w:tcPr>
            <w:tcW w:w="7153" w:type="dxa"/>
            <w:gridSpan w:val="3"/>
            <w:shd w:val="clear" w:color="auto" w:fill="auto"/>
          </w:tcPr>
          <w:p>
            <w:pPr>
              <w:spacing w:line="3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86" w:type="dxa"/>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企业电话</w:t>
            </w:r>
          </w:p>
        </w:tc>
        <w:tc>
          <w:tcPr>
            <w:tcW w:w="2382" w:type="dxa"/>
            <w:shd w:val="clear" w:color="auto" w:fill="auto"/>
          </w:tcPr>
          <w:p>
            <w:pPr>
              <w:spacing w:line="360" w:lineRule="auto"/>
              <w:rPr>
                <w:rFonts w:ascii="仿宋_GB2312" w:hAnsi="宋体" w:eastAsia="仿宋_GB2312"/>
                <w:sz w:val="28"/>
                <w:szCs w:val="28"/>
              </w:rPr>
            </w:pPr>
          </w:p>
        </w:tc>
        <w:tc>
          <w:tcPr>
            <w:tcW w:w="2387" w:type="dxa"/>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证书编号</w:t>
            </w:r>
          </w:p>
        </w:tc>
        <w:tc>
          <w:tcPr>
            <w:tcW w:w="2384" w:type="dxa"/>
            <w:shd w:val="clear" w:color="auto" w:fill="auto"/>
          </w:tcPr>
          <w:p>
            <w:pPr>
              <w:spacing w:line="3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86" w:type="dxa"/>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注册地址</w:t>
            </w:r>
          </w:p>
        </w:tc>
        <w:tc>
          <w:tcPr>
            <w:tcW w:w="7153" w:type="dxa"/>
            <w:gridSpan w:val="3"/>
            <w:shd w:val="clear" w:color="auto" w:fill="auto"/>
          </w:tcPr>
          <w:p>
            <w:pPr>
              <w:spacing w:line="3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86" w:type="dxa"/>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法定代表人</w:t>
            </w:r>
          </w:p>
        </w:tc>
        <w:tc>
          <w:tcPr>
            <w:tcW w:w="2382" w:type="dxa"/>
            <w:shd w:val="clear" w:color="auto" w:fill="auto"/>
          </w:tcPr>
          <w:p>
            <w:pPr>
              <w:spacing w:line="360" w:lineRule="auto"/>
              <w:rPr>
                <w:rFonts w:ascii="仿宋_GB2312" w:hAnsi="宋体" w:eastAsia="仿宋_GB2312"/>
                <w:sz w:val="28"/>
                <w:szCs w:val="28"/>
              </w:rPr>
            </w:pPr>
          </w:p>
        </w:tc>
        <w:tc>
          <w:tcPr>
            <w:tcW w:w="2387" w:type="dxa"/>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电话</w:t>
            </w:r>
          </w:p>
        </w:tc>
        <w:tc>
          <w:tcPr>
            <w:tcW w:w="2384" w:type="dxa"/>
            <w:shd w:val="clear" w:color="auto" w:fill="auto"/>
          </w:tcPr>
          <w:p>
            <w:pPr>
              <w:spacing w:line="3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86" w:type="dxa"/>
            <w:vMerge w:val="restart"/>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委托代理人</w:t>
            </w:r>
          </w:p>
        </w:tc>
        <w:tc>
          <w:tcPr>
            <w:tcW w:w="2382" w:type="dxa"/>
            <w:vMerge w:val="restart"/>
            <w:shd w:val="clear" w:color="auto" w:fill="auto"/>
          </w:tcPr>
          <w:p>
            <w:pPr>
              <w:spacing w:line="360" w:lineRule="auto"/>
              <w:rPr>
                <w:rFonts w:ascii="仿宋_GB2312" w:hAnsi="宋体" w:eastAsia="仿宋_GB2312"/>
                <w:sz w:val="28"/>
                <w:szCs w:val="28"/>
              </w:rPr>
            </w:pPr>
          </w:p>
        </w:tc>
        <w:tc>
          <w:tcPr>
            <w:tcW w:w="2387" w:type="dxa"/>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身份证</w:t>
            </w:r>
          </w:p>
        </w:tc>
        <w:tc>
          <w:tcPr>
            <w:tcW w:w="2384" w:type="dxa"/>
            <w:shd w:val="clear" w:color="auto" w:fill="auto"/>
          </w:tcPr>
          <w:p>
            <w:pPr>
              <w:spacing w:line="3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86" w:type="dxa"/>
            <w:vMerge w:val="continue"/>
            <w:shd w:val="clear" w:color="auto" w:fill="auto"/>
          </w:tcPr>
          <w:p>
            <w:pPr>
              <w:spacing w:line="360" w:lineRule="auto"/>
              <w:rPr>
                <w:rFonts w:ascii="仿宋_GB2312" w:hAnsi="宋体" w:eastAsia="仿宋_GB2312"/>
                <w:sz w:val="28"/>
                <w:szCs w:val="28"/>
              </w:rPr>
            </w:pPr>
          </w:p>
        </w:tc>
        <w:tc>
          <w:tcPr>
            <w:tcW w:w="2382" w:type="dxa"/>
            <w:vMerge w:val="continue"/>
            <w:shd w:val="clear" w:color="auto" w:fill="auto"/>
          </w:tcPr>
          <w:p>
            <w:pPr>
              <w:spacing w:line="360" w:lineRule="auto"/>
              <w:rPr>
                <w:rFonts w:ascii="仿宋_GB2312" w:hAnsi="宋体" w:eastAsia="仿宋_GB2312"/>
                <w:sz w:val="28"/>
                <w:szCs w:val="28"/>
              </w:rPr>
            </w:pPr>
          </w:p>
        </w:tc>
        <w:tc>
          <w:tcPr>
            <w:tcW w:w="2387" w:type="dxa"/>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电话</w:t>
            </w:r>
          </w:p>
        </w:tc>
        <w:tc>
          <w:tcPr>
            <w:tcW w:w="2384" w:type="dxa"/>
            <w:shd w:val="clear" w:color="auto" w:fill="auto"/>
          </w:tcPr>
          <w:p>
            <w:pPr>
              <w:spacing w:line="3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9539" w:type="dxa"/>
            <w:gridSpan w:val="4"/>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企业保证：</w:t>
            </w:r>
          </w:p>
          <w:p>
            <w:pPr>
              <w:spacing w:line="360" w:lineRule="auto"/>
              <w:rPr>
                <w:rFonts w:ascii="仿宋_GB2312" w:hAnsi="宋体" w:eastAsia="仿宋_GB2312"/>
                <w:sz w:val="28"/>
                <w:szCs w:val="28"/>
              </w:rPr>
            </w:pPr>
            <w:r>
              <w:rPr>
                <w:rFonts w:hint="eastAsia" w:ascii="仿宋_GB2312" w:hAnsi="宋体" w:eastAsia="仿宋_GB2312"/>
                <w:sz w:val="28"/>
                <w:szCs w:val="28"/>
              </w:rPr>
              <w:t xml:space="preserve">    本公司郑重承诺声明：</w:t>
            </w:r>
            <w:r>
              <w:rPr>
                <w:rFonts w:hint="eastAsia" w:ascii="仿宋_GB2312" w:hAnsi="宋体" w:eastAsia="仿宋_GB2312"/>
                <w:sz w:val="28"/>
                <w:szCs w:val="28"/>
                <w:u w:val="single"/>
              </w:rPr>
              <w:t>2021</w:t>
            </w:r>
            <w:r>
              <w:rPr>
                <w:rFonts w:hint="eastAsia" w:ascii="仿宋_GB2312" w:hAnsi="宋体" w:eastAsia="仿宋_GB2312"/>
                <w:sz w:val="28"/>
                <w:szCs w:val="28"/>
              </w:rPr>
              <w:t>年以来本</w:t>
            </w:r>
            <w:r>
              <w:rPr>
                <w:rFonts w:hint="eastAsia" w:ascii="仿宋_GB2312" w:hAnsi="仿宋" w:eastAsia="仿宋_GB2312" w:cs="MS Mincho"/>
                <w:sz w:val="28"/>
                <w:szCs w:val="28"/>
              </w:rPr>
              <w:t>企业信誉状况良好，没有处于被责令停业、财产被接管、冻结、破产状态，没有骗取中标、严重违约以及</w:t>
            </w:r>
            <w:r>
              <w:rPr>
                <w:rFonts w:hint="eastAsia" w:ascii="仿宋_GB2312" w:hAnsi="宋体" w:eastAsia="仿宋_GB2312"/>
                <w:sz w:val="28"/>
                <w:szCs w:val="28"/>
              </w:rPr>
              <w:t>无违法违规行为</w:t>
            </w:r>
            <w:r>
              <w:rPr>
                <w:rFonts w:hint="eastAsia" w:ascii="仿宋_GB2312" w:hAnsi="仿宋" w:eastAsia="仿宋_GB2312" w:cs="MS Mincho"/>
                <w:sz w:val="28"/>
                <w:szCs w:val="28"/>
              </w:rPr>
              <w:t>。</w:t>
            </w:r>
            <w:r>
              <w:rPr>
                <w:rFonts w:hint="eastAsia" w:ascii="仿宋_GB2312" w:hAnsi="宋体" w:eastAsia="仿宋_GB2312"/>
                <w:sz w:val="28"/>
                <w:szCs w:val="28"/>
              </w:rPr>
              <w:t>如经核实存在上述情况并影响投标及合同履行给采购方带来损失的，承担相应的赔偿责任。特此声明。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9539" w:type="dxa"/>
            <w:gridSpan w:val="4"/>
            <w:shd w:val="clear" w:color="auto" w:fill="auto"/>
          </w:tcPr>
          <w:p>
            <w:pPr>
              <w:spacing w:line="360" w:lineRule="auto"/>
              <w:rPr>
                <w:rFonts w:ascii="仿宋_GB2312" w:hAnsi="宋体" w:eastAsia="仿宋_GB2312"/>
                <w:sz w:val="28"/>
                <w:szCs w:val="28"/>
              </w:rPr>
            </w:pPr>
            <w:r>
              <w:rPr>
                <w:rFonts w:hint="eastAsia" w:ascii="仿宋_GB2312" w:hAnsi="宋体" w:eastAsia="仿宋_GB2312"/>
                <w:sz w:val="28"/>
                <w:szCs w:val="28"/>
              </w:rPr>
              <w:t>法定代表人或委托代理人签字：</w:t>
            </w: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r>
              <w:rPr>
                <w:rFonts w:hint="eastAsia" w:ascii="仿宋_GB2312" w:hAnsi="宋体" w:eastAsia="仿宋_GB2312"/>
                <w:sz w:val="28"/>
                <w:szCs w:val="28"/>
              </w:rPr>
              <w:t>企业名称（印章）</w:t>
            </w:r>
          </w:p>
          <w:p>
            <w:pPr>
              <w:spacing w:line="360" w:lineRule="auto"/>
              <w:ind w:firstLine="5600" w:firstLineChars="2000"/>
              <w:rPr>
                <w:rFonts w:ascii="仿宋_GB2312" w:hAnsi="宋体" w:eastAsia="仿宋_GB2312"/>
                <w:sz w:val="28"/>
                <w:szCs w:val="28"/>
              </w:rPr>
            </w:pPr>
            <w:r>
              <w:rPr>
                <w:rFonts w:hint="eastAsia" w:ascii="仿宋_GB2312" w:hAnsi="宋体" w:eastAsia="仿宋_GB2312"/>
                <w:sz w:val="28"/>
                <w:szCs w:val="28"/>
              </w:rPr>
              <w:t>年  月   日</w:t>
            </w:r>
          </w:p>
        </w:tc>
      </w:tr>
    </w:tbl>
    <w:p>
      <w:pPr>
        <w:spacing w:line="360" w:lineRule="auto"/>
        <w:rPr>
          <w:rFonts w:ascii="宋体" w:hAnsi="宋体"/>
          <w:sz w:val="28"/>
          <w:szCs w:val="28"/>
        </w:rPr>
      </w:pPr>
      <w:r>
        <w:rPr>
          <w:rFonts w:hint="eastAsia" w:ascii="宋体" w:hAnsi="宋体"/>
          <w:sz w:val="28"/>
          <w:szCs w:val="28"/>
        </w:rPr>
        <w:t>附通过“信用中国”网站查询无违法违规行为的查询记录并盖公章。</w:t>
      </w:r>
    </w:p>
    <w:p>
      <w:pPr>
        <w:spacing w:line="360" w:lineRule="auto"/>
        <w:rPr>
          <w:rFonts w:ascii="宋体" w:hAnsi="宋体"/>
          <w:sz w:val="28"/>
          <w:szCs w:val="28"/>
        </w:rPr>
      </w:pPr>
    </w:p>
    <w:p>
      <w:pPr>
        <w:numPr>
          <w:ilvl w:val="0"/>
          <w:numId w:val="24"/>
        </w:numPr>
        <w:adjustRightInd w:val="0"/>
        <w:snapToGrid w:val="0"/>
        <w:spacing w:after="156" w:afterLines="50" w:line="276"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企业业绩：</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3"/>
        <w:gridCol w:w="2123"/>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9" w:type="dxa"/>
            <w:vAlign w:val="center"/>
          </w:tcPr>
          <w:p>
            <w:pPr>
              <w:pStyle w:val="11"/>
              <w:jc w:val="center"/>
              <w:rPr>
                <w:rFonts w:ascii="微软雅黑" w:hAnsi="微软雅黑" w:eastAsia="微软雅黑" w:cstheme="minorBidi"/>
              </w:rPr>
            </w:pPr>
            <w:r>
              <w:rPr>
                <w:rFonts w:hint="eastAsia" w:ascii="微软雅黑" w:hAnsi="微软雅黑" w:eastAsia="微软雅黑" w:cstheme="minorBidi"/>
              </w:rPr>
              <w:t>业绩</w:t>
            </w:r>
          </w:p>
        </w:tc>
        <w:tc>
          <w:tcPr>
            <w:tcW w:w="3263" w:type="dxa"/>
            <w:vAlign w:val="center"/>
          </w:tcPr>
          <w:p>
            <w:pPr>
              <w:pStyle w:val="11"/>
              <w:jc w:val="center"/>
              <w:rPr>
                <w:rFonts w:ascii="微软雅黑" w:hAnsi="微软雅黑" w:eastAsia="微软雅黑" w:cstheme="minorBidi"/>
              </w:rPr>
            </w:pPr>
            <w:r>
              <w:rPr>
                <w:rFonts w:hint="eastAsia" w:ascii="微软雅黑" w:hAnsi="微软雅黑" w:eastAsia="微软雅黑" w:cstheme="minorBidi"/>
              </w:rPr>
              <w:t>建设单位</w:t>
            </w:r>
          </w:p>
        </w:tc>
        <w:tc>
          <w:tcPr>
            <w:tcW w:w="2123" w:type="dxa"/>
            <w:vAlign w:val="center"/>
          </w:tcPr>
          <w:p>
            <w:pPr>
              <w:pStyle w:val="11"/>
              <w:jc w:val="center"/>
              <w:rPr>
                <w:rFonts w:ascii="微软雅黑" w:hAnsi="微软雅黑" w:eastAsia="微软雅黑" w:cstheme="minorBidi"/>
              </w:rPr>
            </w:pPr>
            <w:r>
              <w:rPr>
                <w:rFonts w:hint="eastAsia" w:ascii="微软雅黑" w:hAnsi="微软雅黑" w:eastAsia="微软雅黑" w:cstheme="minorBidi"/>
              </w:rPr>
              <w:t>项目内容</w:t>
            </w:r>
          </w:p>
        </w:tc>
        <w:tc>
          <w:tcPr>
            <w:tcW w:w="2941" w:type="dxa"/>
            <w:vAlign w:val="center"/>
          </w:tcPr>
          <w:p>
            <w:pPr>
              <w:pStyle w:val="11"/>
              <w:jc w:val="center"/>
              <w:rPr>
                <w:rFonts w:ascii="微软雅黑" w:hAnsi="微软雅黑" w:eastAsia="微软雅黑" w:cstheme="minorBidi"/>
              </w:rPr>
            </w:pPr>
            <w:r>
              <w:rPr>
                <w:rFonts w:hint="eastAsia" w:ascii="微软雅黑" w:hAnsi="微软雅黑" w:eastAsia="微软雅黑" w:cstheme="minorBidi"/>
              </w:rPr>
              <w:t>承揽金额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vAlign w:val="center"/>
          </w:tcPr>
          <w:p>
            <w:pPr>
              <w:pStyle w:val="11"/>
              <w:jc w:val="center"/>
              <w:rPr>
                <w:rFonts w:eastAsiaTheme="minorEastAsia" w:cstheme="minorBidi"/>
              </w:rPr>
            </w:pPr>
            <w:r>
              <w:rPr>
                <w:rFonts w:hint="eastAsia" w:eastAsiaTheme="minorEastAsia" w:cstheme="minorBidi"/>
              </w:rPr>
              <w:t>业绩一</w:t>
            </w:r>
          </w:p>
        </w:tc>
        <w:tc>
          <w:tcPr>
            <w:tcW w:w="3263" w:type="dxa"/>
            <w:vAlign w:val="center"/>
          </w:tcPr>
          <w:p>
            <w:pPr>
              <w:pStyle w:val="11"/>
              <w:jc w:val="center"/>
              <w:rPr>
                <w:rFonts w:eastAsiaTheme="minorEastAsia" w:cstheme="minorBidi"/>
              </w:rPr>
            </w:pPr>
          </w:p>
        </w:tc>
        <w:tc>
          <w:tcPr>
            <w:tcW w:w="2123" w:type="dxa"/>
            <w:vAlign w:val="center"/>
          </w:tcPr>
          <w:p>
            <w:pPr>
              <w:pStyle w:val="11"/>
              <w:jc w:val="center"/>
              <w:rPr>
                <w:rFonts w:eastAsiaTheme="minorEastAsia" w:cstheme="minorBidi"/>
              </w:rPr>
            </w:pPr>
          </w:p>
        </w:tc>
        <w:tc>
          <w:tcPr>
            <w:tcW w:w="2941" w:type="dxa"/>
            <w:vAlign w:val="center"/>
          </w:tcPr>
          <w:p>
            <w:pPr>
              <w:pStyle w:val="11"/>
              <w:jc w:val="center"/>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959" w:type="dxa"/>
            <w:vAlign w:val="center"/>
          </w:tcPr>
          <w:p>
            <w:pPr>
              <w:pStyle w:val="11"/>
              <w:jc w:val="center"/>
              <w:rPr>
                <w:rFonts w:eastAsiaTheme="minorEastAsia" w:cstheme="minorBidi"/>
              </w:rPr>
            </w:pPr>
            <w:r>
              <w:rPr>
                <w:rFonts w:hint="eastAsia" w:eastAsiaTheme="minorEastAsia" w:cstheme="minorBidi"/>
              </w:rPr>
              <w:t>业绩二</w:t>
            </w:r>
          </w:p>
        </w:tc>
        <w:tc>
          <w:tcPr>
            <w:tcW w:w="3263" w:type="dxa"/>
            <w:vAlign w:val="center"/>
          </w:tcPr>
          <w:p>
            <w:pPr>
              <w:pStyle w:val="11"/>
              <w:jc w:val="center"/>
              <w:rPr>
                <w:rFonts w:eastAsiaTheme="minorEastAsia" w:cstheme="minorBidi"/>
              </w:rPr>
            </w:pPr>
          </w:p>
        </w:tc>
        <w:tc>
          <w:tcPr>
            <w:tcW w:w="2123" w:type="dxa"/>
            <w:vAlign w:val="center"/>
          </w:tcPr>
          <w:p>
            <w:pPr>
              <w:pStyle w:val="11"/>
              <w:jc w:val="center"/>
              <w:rPr>
                <w:rFonts w:eastAsiaTheme="minorEastAsia" w:cstheme="minorBidi"/>
              </w:rPr>
            </w:pPr>
          </w:p>
        </w:tc>
        <w:tc>
          <w:tcPr>
            <w:tcW w:w="2941" w:type="dxa"/>
            <w:vAlign w:val="center"/>
          </w:tcPr>
          <w:p>
            <w:pPr>
              <w:pStyle w:val="11"/>
              <w:jc w:val="center"/>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vAlign w:val="center"/>
          </w:tcPr>
          <w:p>
            <w:pPr>
              <w:pStyle w:val="11"/>
              <w:jc w:val="center"/>
              <w:rPr>
                <w:rFonts w:eastAsiaTheme="minorEastAsia" w:cstheme="minorBidi"/>
              </w:rPr>
            </w:pPr>
            <w:r>
              <w:rPr>
                <w:rFonts w:hint="eastAsia" w:eastAsiaTheme="minorEastAsia" w:cstheme="minorBidi"/>
              </w:rPr>
              <w:t>业绩三</w:t>
            </w:r>
          </w:p>
        </w:tc>
        <w:tc>
          <w:tcPr>
            <w:tcW w:w="3263" w:type="dxa"/>
            <w:vAlign w:val="center"/>
          </w:tcPr>
          <w:p>
            <w:pPr>
              <w:pStyle w:val="11"/>
              <w:jc w:val="center"/>
              <w:rPr>
                <w:rFonts w:eastAsiaTheme="minorEastAsia" w:cstheme="minorBidi"/>
              </w:rPr>
            </w:pPr>
          </w:p>
        </w:tc>
        <w:tc>
          <w:tcPr>
            <w:tcW w:w="2123" w:type="dxa"/>
            <w:vAlign w:val="center"/>
          </w:tcPr>
          <w:p>
            <w:pPr>
              <w:pStyle w:val="11"/>
              <w:jc w:val="center"/>
              <w:rPr>
                <w:rFonts w:eastAsiaTheme="minorEastAsia" w:cstheme="minorBidi"/>
              </w:rPr>
            </w:pPr>
          </w:p>
        </w:tc>
        <w:tc>
          <w:tcPr>
            <w:tcW w:w="2941" w:type="dxa"/>
            <w:vAlign w:val="center"/>
          </w:tcPr>
          <w:p>
            <w:pPr>
              <w:pStyle w:val="11"/>
              <w:jc w:val="center"/>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vAlign w:val="center"/>
          </w:tcPr>
          <w:p>
            <w:pPr>
              <w:pStyle w:val="11"/>
              <w:jc w:val="center"/>
              <w:rPr>
                <w:rFonts w:eastAsiaTheme="minorEastAsia" w:cstheme="minorBidi"/>
              </w:rPr>
            </w:pPr>
            <w:r>
              <w:rPr>
                <w:rFonts w:hint="eastAsia" w:eastAsiaTheme="minorEastAsia" w:cstheme="minorBidi"/>
              </w:rPr>
              <w:t>。。。。。。</w:t>
            </w:r>
          </w:p>
        </w:tc>
        <w:tc>
          <w:tcPr>
            <w:tcW w:w="3263" w:type="dxa"/>
            <w:vAlign w:val="center"/>
          </w:tcPr>
          <w:p>
            <w:pPr>
              <w:pStyle w:val="11"/>
              <w:jc w:val="center"/>
              <w:rPr>
                <w:rFonts w:eastAsiaTheme="minorEastAsia" w:cstheme="minorBidi"/>
              </w:rPr>
            </w:pPr>
          </w:p>
        </w:tc>
        <w:tc>
          <w:tcPr>
            <w:tcW w:w="2123" w:type="dxa"/>
            <w:vAlign w:val="center"/>
          </w:tcPr>
          <w:p>
            <w:pPr>
              <w:pStyle w:val="11"/>
              <w:jc w:val="center"/>
              <w:rPr>
                <w:rFonts w:eastAsiaTheme="minorEastAsia" w:cstheme="minorBidi"/>
              </w:rPr>
            </w:pPr>
          </w:p>
        </w:tc>
        <w:tc>
          <w:tcPr>
            <w:tcW w:w="2941" w:type="dxa"/>
            <w:vAlign w:val="center"/>
          </w:tcPr>
          <w:p>
            <w:pPr>
              <w:pStyle w:val="11"/>
              <w:jc w:val="center"/>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vAlign w:val="center"/>
          </w:tcPr>
          <w:p>
            <w:pPr>
              <w:pStyle w:val="11"/>
              <w:jc w:val="center"/>
              <w:rPr>
                <w:rFonts w:eastAsiaTheme="minorEastAsia" w:cstheme="minorBidi"/>
              </w:rPr>
            </w:pPr>
          </w:p>
        </w:tc>
        <w:tc>
          <w:tcPr>
            <w:tcW w:w="3263" w:type="dxa"/>
            <w:vAlign w:val="center"/>
          </w:tcPr>
          <w:p>
            <w:pPr>
              <w:pStyle w:val="11"/>
              <w:jc w:val="center"/>
              <w:rPr>
                <w:rFonts w:eastAsiaTheme="minorEastAsia" w:cstheme="minorBidi"/>
              </w:rPr>
            </w:pPr>
          </w:p>
        </w:tc>
        <w:tc>
          <w:tcPr>
            <w:tcW w:w="2123" w:type="dxa"/>
            <w:vAlign w:val="center"/>
          </w:tcPr>
          <w:p>
            <w:pPr>
              <w:pStyle w:val="11"/>
              <w:jc w:val="center"/>
              <w:rPr>
                <w:rFonts w:eastAsiaTheme="minorEastAsia" w:cstheme="minorBidi"/>
              </w:rPr>
            </w:pPr>
          </w:p>
        </w:tc>
        <w:tc>
          <w:tcPr>
            <w:tcW w:w="2941" w:type="dxa"/>
            <w:vAlign w:val="center"/>
          </w:tcPr>
          <w:p>
            <w:pPr>
              <w:pStyle w:val="11"/>
              <w:jc w:val="center"/>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vAlign w:val="center"/>
          </w:tcPr>
          <w:p>
            <w:pPr>
              <w:pStyle w:val="11"/>
              <w:jc w:val="center"/>
              <w:rPr>
                <w:rFonts w:eastAsiaTheme="minorEastAsia" w:cstheme="minorBidi"/>
              </w:rPr>
            </w:pPr>
          </w:p>
        </w:tc>
        <w:tc>
          <w:tcPr>
            <w:tcW w:w="3263" w:type="dxa"/>
            <w:vAlign w:val="center"/>
          </w:tcPr>
          <w:p>
            <w:pPr>
              <w:pStyle w:val="11"/>
              <w:jc w:val="center"/>
              <w:rPr>
                <w:rFonts w:eastAsiaTheme="minorEastAsia" w:cstheme="minorBidi"/>
              </w:rPr>
            </w:pPr>
          </w:p>
        </w:tc>
        <w:tc>
          <w:tcPr>
            <w:tcW w:w="2123" w:type="dxa"/>
            <w:vAlign w:val="center"/>
          </w:tcPr>
          <w:p>
            <w:pPr>
              <w:pStyle w:val="11"/>
              <w:jc w:val="center"/>
              <w:rPr>
                <w:rFonts w:eastAsiaTheme="minorEastAsia" w:cstheme="minorBidi"/>
              </w:rPr>
            </w:pPr>
          </w:p>
        </w:tc>
        <w:tc>
          <w:tcPr>
            <w:tcW w:w="2941" w:type="dxa"/>
            <w:vAlign w:val="center"/>
          </w:tcPr>
          <w:p>
            <w:pPr>
              <w:pStyle w:val="11"/>
              <w:jc w:val="center"/>
              <w:rPr>
                <w:rFonts w:eastAsiaTheme="minorEastAsia" w:cstheme="minorBidi"/>
              </w:rPr>
            </w:pPr>
          </w:p>
        </w:tc>
      </w:tr>
    </w:tbl>
    <w:p>
      <w:pPr>
        <w:adjustRightInd w:val="0"/>
        <w:snapToGrid w:val="0"/>
        <w:spacing w:after="156" w:afterLines="50" w:line="276" w:lineRule="auto"/>
        <w:rPr>
          <w:rFonts w:ascii="仿宋" w:hAnsi="仿宋" w:eastAsia="仿宋"/>
          <w:snapToGrid w:val="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注：</w:t>
      </w:r>
      <w:r>
        <w:rPr>
          <w:rFonts w:hint="eastAsia" w:ascii="仿宋" w:hAnsi="仿宋" w:eastAsia="仿宋"/>
          <w:snapToGrid w:val="0"/>
          <w:sz w:val="28"/>
          <w:szCs w:val="28"/>
        </w:rPr>
        <w:t>投标方应提供近年的类似项目情况表 近年是指：2021年至今。附业绩证明材料：合同文件扫描件。出具至少一份相关业绩合同复印件（含合同首尾页、盖章页、设备名称、型号及清单页等）作为证明材料。</w:t>
      </w:r>
    </w:p>
    <w:p>
      <w:pPr>
        <w:adjustRightInd w:val="0"/>
        <w:snapToGrid w:val="0"/>
        <w:spacing w:after="156" w:afterLines="50" w:line="276" w:lineRule="auto"/>
        <w:rPr>
          <w:rFonts w:ascii="仿宋" w:hAnsi="仿宋" w:eastAsia="仿宋"/>
          <w:snapToGrid w:val="0"/>
          <w:sz w:val="28"/>
          <w:szCs w:val="28"/>
        </w:rPr>
      </w:pPr>
    </w:p>
    <w:p>
      <w:pPr>
        <w:adjustRightInd w:val="0"/>
        <w:snapToGrid w:val="0"/>
        <w:spacing w:after="156" w:afterLines="50" w:line="276" w:lineRule="auto"/>
        <w:rPr>
          <w:rFonts w:ascii="仿宋" w:hAnsi="仿宋" w:eastAsia="仿宋"/>
          <w:snapToGrid w:val="0"/>
          <w:sz w:val="28"/>
          <w:szCs w:val="28"/>
        </w:rPr>
      </w:pPr>
    </w:p>
    <w:p>
      <w:pPr>
        <w:adjustRightInd w:val="0"/>
        <w:snapToGrid w:val="0"/>
        <w:spacing w:after="156" w:afterLines="50" w:line="276" w:lineRule="auto"/>
        <w:rPr>
          <w:rFonts w:ascii="仿宋" w:hAnsi="仿宋" w:eastAsia="仿宋"/>
          <w:snapToGrid w:val="0"/>
          <w:sz w:val="28"/>
          <w:szCs w:val="28"/>
        </w:rPr>
      </w:pPr>
    </w:p>
    <w:p>
      <w:pPr>
        <w:adjustRightInd w:val="0"/>
        <w:snapToGrid w:val="0"/>
        <w:spacing w:after="156" w:afterLines="50" w:line="276" w:lineRule="auto"/>
        <w:rPr>
          <w:rFonts w:ascii="仿宋" w:hAnsi="仿宋" w:eastAsia="仿宋"/>
          <w:snapToGrid w:val="0"/>
          <w:sz w:val="28"/>
          <w:szCs w:val="28"/>
        </w:rPr>
      </w:pPr>
    </w:p>
    <w:p>
      <w:pPr>
        <w:adjustRightInd w:val="0"/>
        <w:snapToGrid w:val="0"/>
        <w:spacing w:after="156" w:afterLines="50" w:line="276" w:lineRule="auto"/>
        <w:rPr>
          <w:rFonts w:ascii="仿宋" w:hAnsi="仿宋" w:eastAsia="仿宋"/>
          <w:snapToGrid w:val="0"/>
          <w:sz w:val="28"/>
          <w:szCs w:val="28"/>
        </w:rPr>
      </w:pPr>
    </w:p>
    <w:p>
      <w:pPr>
        <w:adjustRightInd w:val="0"/>
        <w:snapToGrid w:val="0"/>
        <w:spacing w:after="156" w:afterLines="50" w:line="276" w:lineRule="auto"/>
        <w:rPr>
          <w:rFonts w:ascii="仿宋" w:hAnsi="仿宋" w:eastAsia="仿宋"/>
          <w:snapToGrid w:val="0"/>
          <w:sz w:val="28"/>
          <w:szCs w:val="28"/>
        </w:rPr>
      </w:pPr>
    </w:p>
    <w:p>
      <w:pPr>
        <w:numPr>
          <w:ilvl w:val="0"/>
          <w:numId w:val="24"/>
        </w:numPr>
        <w:adjustRightInd w:val="0"/>
        <w:snapToGrid w:val="0"/>
        <w:spacing w:after="156"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项目负责人</w:t>
      </w:r>
      <w:r>
        <w:rPr>
          <w:rFonts w:hint="eastAsia" w:ascii="仿宋_GB2312" w:hAnsi="仿宋_GB2312" w:eastAsia="仿宋_GB2312" w:cs="仿宋_GB2312"/>
          <w:snapToGrid w:val="0"/>
          <w:sz w:val="32"/>
          <w:szCs w:val="32"/>
        </w:rPr>
        <w:t>：</w:t>
      </w:r>
    </w:p>
    <w:p>
      <w:pPr>
        <w:adjustRightInd w:val="0"/>
        <w:snapToGrid w:val="0"/>
        <w:spacing w:after="156" w:afterLines="50" w:line="276" w:lineRule="auto"/>
        <w:jc w:val="center"/>
        <w:rPr>
          <w:rFonts w:ascii="仿宋_GB2312" w:hAnsi="仿宋_GB2312" w:eastAsia="仿宋_GB2312" w:cs="仿宋_GB2312"/>
          <w:snapToGrid w:val="0"/>
          <w:sz w:val="32"/>
          <w:szCs w:val="32"/>
        </w:rPr>
      </w:pPr>
      <w:r>
        <w:rPr>
          <w:rFonts w:hint="eastAsia" w:ascii="仿宋" w:hAnsi="仿宋" w:eastAsia="仿宋" w:cstheme="majorBidi"/>
          <w:b/>
          <w:bCs/>
          <w:color w:val="000000"/>
          <w:sz w:val="36"/>
          <w:szCs w:val="36"/>
        </w:rPr>
        <w:t xml:space="preserve">      项目负责人简历表</w:t>
      </w:r>
    </w:p>
    <w:tbl>
      <w:tblPr>
        <w:tblStyle w:val="21"/>
        <w:tblW w:w="9207"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姓名</w:t>
            </w:r>
          </w:p>
        </w:tc>
        <w:tc>
          <w:tcPr>
            <w:tcW w:w="1046" w:type="dxa"/>
            <w:gridSpan w:val="2"/>
            <w:vAlign w:val="center"/>
          </w:tcPr>
          <w:p>
            <w:pPr>
              <w:adjustRightInd w:val="0"/>
              <w:snapToGrid w:val="0"/>
              <w:spacing w:line="276" w:lineRule="auto"/>
              <w:jc w:val="center"/>
              <w:rPr>
                <w:rFonts w:ascii="仿宋" w:hAnsi="仿宋" w:eastAsia="仿宋"/>
                <w:snapToGrid w:val="0"/>
                <w:sz w:val="24"/>
              </w:rPr>
            </w:pPr>
          </w:p>
        </w:tc>
        <w:tc>
          <w:tcPr>
            <w:tcW w:w="960" w:type="dxa"/>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年龄</w:t>
            </w:r>
          </w:p>
        </w:tc>
        <w:tc>
          <w:tcPr>
            <w:tcW w:w="1066" w:type="dxa"/>
            <w:vAlign w:val="center"/>
          </w:tcPr>
          <w:p>
            <w:pPr>
              <w:adjustRightInd w:val="0"/>
              <w:snapToGrid w:val="0"/>
              <w:spacing w:line="276" w:lineRule="auto"/>
              <w:jc w:val="center"/>
              <w:rPr>
                <w:rFonts w:ascii="仿宋" w:hAnsi="仿宋" w:eastAsia="仿宋"/>
                <w:snapToGrid w:val="0"/>
                <w:sz w:val="24"/>
              </w:rPr>
            </w:pPr>
          </w:p>
        </w:tc>
        <w:tc>
          <w:tcPr>
            <w:tcW w:w="2371" w:type="dxa"/>
            <w:gridSpan w:val="3"/>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执业或职业资格</w:t>
            </w:r>
          </w:p>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证书名称</w:t>
            </w:r>
            <w:r>
              <w:rPr>
                <w:rFonts w:hint="eastAsia" w:ascii="仿宋" w:hAnsi="仿宋" w:eastAsia="仿宋"/>
                <w:snapToGrid w:val="0"/>
                <w:sz w:val="24"/>
              </w:rPr>
              <w:t>和证号</w:t>
            </w:r>
          </w:p>
        </w:tc>
        <w:tc>
          <w:tcPr>
            <w:tcW w:w="2477" w:type="dxa"/>
            <w:vAlign w:val="center"/>
          </w:tcPr>
          <w:p>
            <w:pPr>
              <w:adjustRightInd w:val="0"/>
              <w:snapToGrid w:val="0"/>
              <w:spacing w:line="276" w:lineRule="auto"/>
              <w:jc w:val="center"/>
              <w:rPr>
                <w:rFonts w:ascii="仿宋" w:hAnsi="仿宋"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职称</w:t>
            </w:r>
          </w:p>
        </w:tc>
        <w:tc>
          <w:tcPr>
            <w:tcW w:w="1046" w:type="dxa"/>
            <w:gridSpan w:val="2"/>
            <w:vAlign w:val="center"/>
          </w:tcPr>
          <w:p>
            <w:pPr>
              <w:adjustRightInd w:val="0"/>
              <w:snapToGrid w:val="0"/>
              <w:spacing w:line="276" w:lineRule="auto"/>
              <w:jc w:val="center"/>
              <w:rPr>
                <w:rFonts w:ascii="仿宋" w:hAnsi="仿宋" w:eastAsia="仿宋"/>
                <w:snapToGrid w:val="0"/>
                <w:sz w:val="24"/>
              </w:rPr>
            </w:pPr>
          </w:p>
        </w:tc>
        <w:tc>
          <w:tcPr>
            <w:tcW w:w="960" w:type="dxa"/>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学历</w:t>
            </w:r>
          </w:p>
        </w:tc>
        <w:tc>
          <w:tcPr>
            <w:tcW w:w="1066" w:type="dxa"/>
            <w:vAlign w:val="center"/>
          </w:tcPr>
          <w:p>
            <w:pPr>
              <w:adjustRightInd w:val="0"/>
              <w:snapToGrid w:val="0"/>
              <w:spacing w:line="276" w:lineRule="auto"/>
              <w:jc w:val="center"/>
              <w:rPr>
                <w:rFonts w:ascii="仿宋" w:hAnsi="仿宋" w:eastAsia="仿宋"/>
                <w:snapToGrid w:val="0"/>
                <w:sz w:val="24"/>
              </w:rPr>
            </w:pPr>
          </w:p>
        </w:tc>
        <w:tc>
          <w:tcPr>
            <w:tcW w:w="2371" w:type="dxa"/>
            <w:gridSpan w:val="3"/>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拟在本项目任职</w:t>
            </w:r>
          </w:p>
        </w:tc>
        <w:tc>
          <w:tcPr>
            <w:tcW w:w="2477" w:type="dxa"/>
            <w:vAlign w:val="center"/>
          </w:tcPr>
          <w:p>
            <w:pPr>
              <w:adjustRightInd w:val="0"/>
              <w:snapToGrid w:val="0"/>
              <w:spacing w:line="276" w:lineRule="auto"/>
              <w:jc w:val="center"/>
              <w:rPr>
                <w:rFonts w:ascii="仿宋" w:hAnsi="仿宋"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工作年限</w:t>
            </w:r>
          </w:p>
        </w:tc>
        <w:tc>
          <w:tcPr>
            <w:tcW w:w="3072" w:type="dxa"/>
            <w:gridSpan w:val="4"/>
            <w:vAlign w:val="center"/>
          </w:tcPr>
          <w:p>
            <w:pPr>
              <w:adjustRightInd w:val="0"/>
              <w:snapToGrid w:val="0"/>
              <w:spacing w:line="276" w:lineRule="auto"/>
              <w:jc w:val="center"/>
              <w:rPr>
                <w:rFonts w:ascii="仿宋" w:hAnsi="仿宋" w:eastAsia="仿宋"/>
                <w:snapToGrid w:val="0"/>
                <w:sz w:val="24"/>
              </w:rPr>
            </w:pPr>
          </w:p>
        </w:tc>
        <w:tc>
          <w:tcPr>
            <w:tcW w:w="2371" w:type="dxa"/>
            <w:gridSpan w:val="3"/>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从事类似工作年限</w:t>
            </w:r>
          </w:p>
        </w:tc>
        <w:tc>
          <w:tcPr>
            <w:tcW w:w="2477" w:type="dxa"/>
            <w:vAlign w:val="center"/>
          </w:tcPr>
          <w:p>
            <w:pPr>
              <w:adjustRightInd w:val="0"/>
              <w:snapToGrid w:val="0"/>
              <w:spacing w:line="276" w:lineRule="auto"/>
              <w:jc w:val="center"/>
              <w:rPr>
                <w:rFonts w:ascii="仿宋" w:hAnsi="仿宋"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毕业学校</w:t>
            </w:r>
          </w:p>
        </w:tc>
        <w:tc>
          <w:tcPr>
            <w:tcW w:w="7920" w:type="dxa"/>
            <w:gridSpan w:val="8"/>
            <w:vAlign w:val="center"/>
          </w:tcPr>
          <w:p>
            <w:pPr>
              <w:adjustRightInd w:val="0"/>
              <w:snapToGrid w:val="0"/>
              <w:spacing w:line="276" w:lineRule="auto"/>
              <w:ind w:firstLine="244" w:firstLineChars="102"/>
              <w:jc w:val="center"/>
              <w:rPr>
                <w:rFonts w:ascii="仿宋" w:hAnsi="仿宋" w:eastAsia="仿宋"/>
                <w:snapToGrid w:val="0"/>
                <w:sz w:val="24"/>
              </w:rPr>
            </w:pPr>
            <w:r>
              <w:rPr>
                <w:rFonts w:eastAsia="仿宋" w:asciiTheme="minorEastAsia" w:hAnsiTheme="minorEastAsia"/>
                <w:snapToGrid w:val="0"/>
                <w:sz w:val="24"/>
                <w:u w:val="single"/>
              </w:rPr>
              <w:t xml:space="preserve">         </w:t>
            </w:r>
            <w:r>
              <w:rPr>
                <w:rFonts w:eastAsia="仿宋" w:asciiTheme="minorEastAsia" w:hAnsiTheme="minorEastAsia"/>
                <w:snapToGrid w:val="0"/>
                <w:sz w:val="24"/>
              </w:rPr>
              <w:t>年毕业于</w:t>
            </w:r>
            <w:r>
              <w:rPr>
                <w:rFonts w:eastAsia="仿宋" w:asciiTheme="minorEastAsia" w:hAnsiTheme="minorEastAsia"/>
                <w:snapToGrid w:val="0"/>
                <w:sz w:val="24"/>
                <w:u w:val="single"/>
              </w:rPr>
              <w:t xml:space="preserve">             </w:t>
            </w:r>
            <w:r>
              <w:rPr>
                <w:rFonts w:eastAsia="仿宋" w:asciiTheme="minorEastAsia" w:hAnsiTheme="minorEastAsia"/>
                <w:snapToGrid w:val="0"/>
                <w:sz w:val="24"/>
              </w:rPr>
              <w:t>学校</w:t>
            </w:r>
            <w:r>
              <w:rPr>
                <w:rFonts w:eastAsia="仿宋" w:asciiTheme="minorEastAsia" w:hAnsiTheme="minorEastAsia"/>
                <w:snapToGrid w:val="0"/>
                <w:sz w:val="24"/>
                <w:u w:val="single"/>
              </w:rPr>
              <w:t xml:space="preserve">       </w:t>
            </w:r>
            <w:r>
              <w:rPr>
                <w:rFonts w:eastAsia="仿宋" w:asciiTheme="minorEastAsia" w:hAnsiTheme="minorEastAsia"/>
                <w:snapToGrid w:val="0"/>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时间</w:t>
            </w:r>
          </w:p>
        </w:tc>
        <w:tc>
          <w:tcPr>
            <w:tcW w:w="3428" w:type="dxa"/>
            <w:gridSpan w:val="4"/>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参加过的类似项目</w:t>
            </w:r>
          </w:p>
        </w:tc>
        <w:tc>
          <w:tcPr>
            <w:tcW w:w="1257" w:type="dxa"/>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担任职务</w:t>
            </w:r>
          </w:p>
        </w:tc>
        <w:tc>
          <w:tcPr>
            <w:tcW w:w="2938" w:type="dxa"/>
            <w:gridSpan w:val="2"/>
            <w:vAlign w:val="center"/>
          </w:tcPr>
          <w:p>
            <w:pPr>
              <w:adjustRightInd w:val="0"/>
              <w:snapToGrid w:val="0"/>
              <w:spacing w:line="276" w:lineRule="auto"/>
              <w:jc w:val="center"/>
              <w:rPr>
                <w:rFonts w:ascii="仿宋" w:hAnsi="仿宋" w:eastAsia="仿宋"/>
                <w:snapToGrid w:val="0"/>
                <w:sz w:val="24"/>
              </w:rPr>
            </w:pPr>
            <w:r>
              <w:rPr>
                <w:rFonts w:ascii="仿宋" w:hAnsi="仿宋" w:eastAsia="仿宋"/>
                <w:snapToGrid w:val="0"/>
                <w:sz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仿宋" w:hAnsi="仿宋" w:eastAsia="仿宋"/>
                <w:snapToGrid w:val="0"/>
                <w:sz w:val="24"/>
              </w:rPr>
            </w:pPr>
          </w:p>
        </w:tc>
        <w:tc>
          <w:tcPr>
            <w:tcW w:w="3428" w:type="dxa"/>
            <w:gridSpan w:val="4"/>
            <w:vAlign w:val="center"/>
          </w:tcPr>
          <w:p>
            <w:pPr>
              <w:adjustRightInd w:val="0"/>
              <w:snapToGrid w:val="0"/>
              <w:spacing w:line="276" w:lineRule="auto"/>
              <w:jc w:val="center"/>
              <w:rPr>
                <w:rFonts w:ascii="仿宋" w:hAnsi="仿宋" w:eastAsia="仿宋"/>
                <w:snapToGrid w:val="0"/>
                <w:sz w:val="24"/>
              </w:rPr>
            </w:pPr>
          </w:p>
        </w:tc>
        <w:tc>
          <w:tcPr>
            <w:tcW w:w="1257" w:type="dxa"/>
            <w:vAlign w:val="center"/>
          </w:tcPr>
          <w:p>
            <w:pPr>
              <w:adjustRightInd w:val="0"/>
              <w:snapToGrid w:val="0"/>
              <w:spacing w:line="276" w:lineRule="auto"/>
              <w:jc w:val="center"/>
              <w:rPr>
                <w:rFonts w:ascii="仿宋" w:hAnsi="仿宋" w:eastAsia="仿宋"/>
                <w:snapToGrid w:val="0"/>
                <w:sz w:val="24"/>
              </w:rPr>
            </w:pPr>
          </w:p>
        </w:tc>
        <w:tc>
          <w:tcPr>
            <w:tcW w:w="2938" w:type="dxa"/>
            <w:gridSpan w:val="2"/>
            <w:vAlign w:val="center"/>
          </w:tcPr>
          <w:p>
            <w:pPr>
              <w:adjustRightInd w:val="0"/>
              <w:snapToGrid w:val="0"/>
              <w:spacing w:line="276" w:lineRule="auto"/>
              <w:jc w:val="center"/>
              <w:rPr>
                <w:rFonts w:ascii="仿宋" w:hAnsi="仿宋"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仿宋" w:hAnsi="仿宋" w:eastAsia="仿宋"/>
                <w:snapToGrid w:val="0"/>
                <w:sz w:val="24"/>
              </w:rPr>
            </w:pPr>
          </w:p>
        </w:tc>
        <w:tc>
          <w:tcPr>
            <w:tcW w:w="3428" w:type="dxa"/>
            <w:gridSpan w:val="4"/>
            <w:vAlign w:val="center"/>
          </w:tcPr>
          <w:p>
            <w:pPr>
              <w:adjustRightInd w:val="0"/>
              <w:snapToGrid w:val="0"/>
              <w:spacing w:line="276" w:lineRule="auto"/>
              <w:jc w:val="center"/>
              <w:rPr>
                <w:rFonts w:ascii="仿宋" w:hAnsi="仿宋" w:eastAsia="仿宋"/>
                <w:snapToGrid w:val="0"/>
                <w:sz w:val="24"/>
              </w:rPr>
            </w:pPr>
          </w:p>
        </w:tc>
        <w:tc>
          <w:tcPr>
            <w:tcW w:w="1257" w:type="dxa"/>
            <w:vAlign w:val="center"/>
          </w:tcPr>
          <w:p>
            <w:pPr>
              <w:adjustRightInd w:val="0"/>
              <w:snapToGrid w:val="0"/>
              <w:spacing w:line="276" w:lineRule="auto"/>
              <w:jc w:val="center"/>
              <w:rPr>
                <w:rFonts w:ascii="仿宋" w:hAnsi="仿宋" w:eastAsia="仿宋"/>
                <w:snapToGrid w:val="0"/>
                <w:sz w:val="24"/>
              </w:rPr>
            </w:pPr>
          </w:p>
        </w:tc>
        <w:tc>
          <w:tcPr>
            <w:tcW w:w="2938" w:type="dxa"/>
            <w:gridSpan w:val="2"/>
            <w:vAlign w:val="center"/>
          </w:tcPr>
          <w:p>
            <w:pPr>
              <w:adjustRightInd w:val="0"/>
              <w:snapToGrid w:val="0"/>
              <w:spacing w:line="276" w:lineRule="auto"/>
              <w:jc w:val="center"/>
              <w:rPr>
                <w:rFonts w:ascii="仿宋" w:hAnsi="仿宋"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仿宋" w:hAnsi="仿宋" w:eastAsia="仿宋"/>
                <w:snapToGrid w:val="0"/>
                <w:sz w:val="24"/>
              </w:rPr>
            </w:pPr>
          </w:p>
        </w:tc>
        <w:tc>
          <w:tcPr>
            <w:tcW w:w="3428" w:type="dxa"/>
            <w:gridSpan w:val="4"/>
            <w:vAlign w:val="center"/>
          </w:tcPr>
          <w:p>
            <w:pPr>
              <w:adjustRightInd w:val="0"/>
              <w:snapToGrid w:val="0"/>
              <w:spacing w:line="276" w:lineRule="auto"/>
              <w:jc w:val="center"/>
              <w:rPr>
                <w:rFonts w:ascii="仿宋" w:hAnsi="仿宋" w:eastAsia="仿宋"/>
                <w:snapToGrid w:val="0"/>
                <w:sz w:val="24"/>
              </w:rPr>
            </w:pPr>
          </w:p>
        </w:tc>
        <w:tc>
          <w:tcPr>
            <w:tcW w:w="1257" w:type="dxa"/>
            <w:vAlign w:val="center"/>
          </w:tcPr>
          <w:p>
            <w:pPr>
              <w:adjustRightInd w:val="0"/>
              <w:snapToGrid w:val="0"/>
              <w:spacing w:line="276" w:lineRule="auto"/>
              <w:jc w:val="center"/>
              <w:rPr>
                <w:rFonts w:ascii="仿宋" w:hAnsi="仿宋" w:eastAsia="仿宋"/>
                <w:snapToGrid w:val="0"/>
                <w:sz w:val="24"/>
              </w:rPr>
            </w:pPr>
          </w:p>
        </w:tc>
        <w:tc>
          <w:tcPr>
            <w:tcW w:w="2938" w:type="dxa"/>
            <w:gridSpan w:val="2"/>
            <w:vAlign w:val="center"/>
          </w:tcPr>
          <w:p>
            <w:pPr>
              <w:adjustRightInd w:val="0"/>
              <w:snapToGrid w:val="0"/>
              <w:spacing w:line="276" w:lineRule="auto"/>
              <w:jc w:val="center"/>
              <w:rPr>
                <w:rFonts w:ascii="仿宋" w:hAnsi="仿宋"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仿宋" w:hAnsi="仿宋" w:eastAsia="仿宋"/>
                <w:snapToGrid w:val="0"/>
                <w:sz w:val="24"/>
              </w:rPr>
            </w:pPr>
          </w:p>
        </w:tc>
        <w:tc>
          <w:tcPr>
            <w:tcW w:w="3428" w:type="dxa"/>
            <w:gridSpan w:val="4"/>
            <w:vAlign w:val="center"/>
          </w:tcPr>
          <w:p>
            <w:pPr>
              <w:adjustRightInd w:val="0"/>
              <w:snapToGrid w:val="0"/>
              <w:spacing w:line="276" w:lineRule="auto"/>
              <w:jc w:val="center"/>
              <w:rPr>
                <w:rFonts w:ascii="仿宋" w:hAnsi="仿宋" w:eastAsia="仿宋"/>
                <w:snapToGrid w:val="0"/>
                <w:sz w:val="24"/>
              </w:rPr>
            </w:pPr>
          </w:p>
        </w:tc>
        <w:tc>
          <w:tcPr>
            <w:tcW w:w="1257" w:type="dxa"/>
            <w:vAlign w:val="center"/>
          </w:tcPr>
          <w:p>
            <w:pPr>
              <w:adjustRightInd w:val="0"/>
              <w:snapToGrid w:val="0"/>
              <w:spacing w:line="276" w:lineRule="auto"/>
              <w:jc w:val="center"/>
              <w:rPr>
                <w:rFonts w:ascii="仿宋" w:hAnsi="仿宋" w:eastAsia="仿宋"/>
                <w:snapToGrid w:val="0"/>
                <w:sz w:val="24"/>
              </w:rPr>
            </w:pPr>
          </w:p>
        </w:tc>
        <w:tc>
          <w:tcPr>
            <w:tcW w:w="2938" w:type="dxa"/>
            <w:gridSpan w:val="2"/>
            <w:vAlign w:val="center"/>
          </w:tcPr>
          <w:p>
            <w:pPr>
              <w:adjustRightInd w:val="0"/>
              <w:snapToGrid w:val="0"/>
              <w:spacing w:line="276" w:lineRule="auto"/>
              <w:jc w:val="center"/>
              <w:rPr>
                <w:rFonts w:ascii="仿宋" w:hAnsi="仿宋" w:eastAsia="仿宋"/>
                <w:snapToGrid w:val="0"/>
                <w:sz w:val="24"/>
              </w:rPr>
            </w:pPr>
          </w:p>
        </w:tc>
      </w:tr>
    </w:tbl>
    <w:p>
      <w:pPr>
        <w:adjustRightInd w:val="0"/>
        <w:snapToGrid w:val="0"/>
        <w:spacing w:after="156" w:afterLines="50" w:line="276" w:lineRule="auto"/>
        <w:ind w:left="279" w:leftChars="133"/>
        <w:rPr>
          <w:rFonts w:ascii="仿宋" w:hAnsi="仿宋" w:eastAsia="仿宋"/>
          <w:snapToGrid w:val="0"/>
          <w:sz w:val="28"/>
          <w:szCs w:val="28"/>
        </w:rPr>
      </w:pPr>
      <w:r>
        <w:rPr>
          <w:rFonts w:ascii="仿宋" w:hAnsi="仿宋" w:eastAsia="仿宋"/>
          <w:snapToGrid w:val="0"/>
          <w:sz w:val="28"/>
          <w:szCs w:val="28"/>
        </w:rPr>
        <w:t>注：</w:t>
      </w:r>
      <w:r>
        <w:rPr>
          <w:rFonts w:hint="eastAsia" w:ascii="仿宋" w:hAnsi="仿宋" w:eastAsia="仿宋"/>
          <w:snapToGrid w:val="0"/>
          <w:sz w:val="28"/>
          <w:szCs w:val="28"/>
        </w:rPr>
        <w:t>投标人须</w:t>
      </w:r>
      <w:r>
        <w:rPr>
          <w:rFonts w:ascii="仿宋" w:hAnsi="仿宋" w:eastAsia="仿宋"/>
          <w:snapToGrid w:val="0"/>
          <w:sz w:val="28"/>
          <w:szCs w:val="28"/>
        </w:rPr>
        <w:t>在本表后附</w:t>
      </w:r>
      <w:r>
        <w:rPr>
          <w:rFonts w:hint="eastAsia" w:ascii="仿宋" w:hAnsi="仿宋" w:eastAsia="仿宋"/>
          <w:snapToGrid w:val="0"/>
          <w:sz w:val="28"/>
          <w:szCs w:val="28"/>
        </w:rPr>
        <w:t>项目负责人</w:t>
      </w:r>
      <w:r>
        <w:rPr>
          <w:rFonts w:ascii="仿宋" w:hAnsi="仿宋" w:eastAsia="仿宋"/>
          <w:snapToGrid w:val="0"/>
          <w:sz w:val="28"/>
          <w:szCs w:val="28"/>
        </w:rPr>
        <w:t>职称证书、执业证书、社保缴费证明</w:t>
      </w:r>
      <w:r>
        <w:rPr>
          <w:rFonts w:hint="eastAsia" w:ascii="仿宋" w:hAnsi="仿宋" w:eastAsia="仿宋"/>
          <w:snapToGrid w:val="0"/>
          <w:sz w:val="28"/>
          <w:szCs w:val="28"/>
        </w:rPr>
        <w:t>、参与同类工程业绩证明（以合同文件或者中标公告或者成交公告或者履约评价等材料中项目负责人姓名为准）。</w:t>
      </w:r>
    </w:p>
    <w:p>
      <w:pPr>
        <w:adjustRightInd w:val="0"/>
        <w:snapToGrid w:val="0"/>
        <w:spacing w:after="156" w:afterLines="50" w:line="276" w:lineRule="auto"/>
        <w:ind w:left="279" w:leftChars="133"/>
        <w:rPr>
          <w:rFonts w:ascii="仿宋" w:hAnsi="仿宋" w:eastAsia="仿宋"/>
          <w:snapToGrid w:val="0"/>
          <w:sz w:val="28"/>
          <w:szCs w:val="28"/>
        </w:rPr>
      </w:pPr>
    </w:p>
    <w:p>
      <w:pPr>
        <w:adjustRightInd w:val="0"/>
        <w:snapToGrid w:val="0"/>
        <w:spacing w:after="156" w:afterLines="50" w:line="276" w:lineRule="auto"/>
        <w:ind w:left="279" w:leftChars="133"/>
        <w:rPr>
          <w:rFonts w:ascii="仿宋" w:hAnsi="仿宋" w:eastAsia="仿宋"/>
          <w:snapToGrid w:val="0"/>
          <w:sz w:val="28"/>
          <w:szCs w:val="28"/>
        </w:rPr>
      </w:pPr>
    </w:p>
    <w:p>
      <w:pPr>
        <w:adjustRightInd w:val="0"/>
        <w:snapToGrid w:val="0"/>
        <w:spacing w:after="156" w:afterLines="50" w:line="276" w:lineRule="auto"/>
        <w:ind w:left="279" w:leftChars="133"/>
        <w:rPr>
          <w:rFonts w:ascii="仿宋" w:hAnsi="仿宋" w:eastAsia="仿宋"/>
          <w:snapToGrid w:val="0"/>
          <w:sz w:val="28"/>
          <w:szCs w:val="28"/>
        </w:rPr>
      </w:pPr>
    </w:p>
    <w:p>
      <w:pPr>
        <w:adjustRightInd w:val="0"/>
        <w:snapToGrid w:val="0"/>
        <w:spacing w:after="156" w:afterLines="50" w:line="276" w:lineRule="auto"/>
        <w:rPr>
          <w:rFonts w:ascii="仿宋" w:hAnsi="仿宋" w:eastAsia="仿宋"/>
          <w:snapToGrid w:val="0"/>
          <w:sz w:val="28"/>
          <w:szCs w:val="28"/>
        </w:rPr>
      </w:pPr>
    </w:p>
    <w:p>
      <w:pPr>
        <w:numPr>
          <w:ilvl w:val="0"/>
          <w:numId w:val="24"/>
        </w:numPr>
        <w:adjustRightInd w:val="0"/>
        <w:snapToGrid w:val="0"/>
        <w:spacing w:after="156"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项目人员配置</w:t>
      </w:r>
      <w:r>
        <w:rPr>
          <w:rFonts w:hint="eastAsia" w:ascii="仿宋_GB2312" w:hAnsi="仿宋_GB2312" w:eastAsia="仿宋_GB2312" w:cs="仿宋_GB2312"/>
          <w:snapToGrid w:val="0"/>
          <w:sz w:val="32"/>
          <w:szCs w:val="32"/>
        </w:rPr>
        <w:t>：</w:t>
      </w:r>
    </w:p>
    <w:p>
      <w:pPr>
        <w:adjustRightInd w:val="0"/>
        <w:snapToGrid w:val="0"/>
        <w:spacing w:after="156" w:afterLines="50" w:line="276" w:lineRule="auto"/>
        <w:ind w:firstLine="3520" w:firstLineChars="1100"/>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项目人员配置表</w:t>
      </w:r>
    </w:p>
    <w:tbl>
      <w:tblPr>
        <w:tblStyle w:val="2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982"/>
        <w:gridCol w:w="797"/>
        <w:gridCol w:w="1248"/>
        <w:gridCol w:w="855"/>
        <w:gridCol w:w="1221"/>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r>
              <w:rPr>
                <w:rFonts w:eastAsia="仿宋" w:asciiTheme="minorEastAsia" w:hAnsiTheme="minorEastAsia"/>
                <w:b/>
                <w:bCs/>
                <w:snapToGrid w:val="0"/>
                <w:sz w:val="24"/>
              </w:rPr>
              <w:t>序号</w:t>
            </w:r>
          </w:p>
        </w:tc>
        <w:tc>
          <w:tcPr>
            <w:tcW w:w="1418"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r>
              <w:rPr>
                <w:rFonts w:eastAsia="仿宋" w:asciiTheme="minorEastAsia" w:hAnsiTheme="minorEastAsia"/>
                <w:b/>
                <w:bCs/>
                <w:snapToGrid w:val="0"/>
                <w:sz w:val="24"/>
              </w:rPr>
              <w:t>本项目任职</w:t>
            </w:r>
          </w:p>
        </w:tc>
        <w:tc>
          <w:tcPr>
            <w:tcW w:w="99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r>
              <w:rPr>
                <w:rFonts w:eastAsia="仿宋" w:asciiTheme="minorEastAsia" w:hAnsiTheme="minorEastAsia"/>
                <w:b/>
                <w:bCs/>
                <w:snapToGrid w:val="0"/>
                <w:sz w:val="24"/>
              </w:rPr>
              <w:t>姓名</w:t>
            </w:r>
          </w:p>
        </w:tc>
        <w:tc>
          <w:tcPr>
            <w:tcW w:w="98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r>
              <w:rPr>
                <w:rFonts w:eastAsia="仿宋" w:asciiTheme="minorEastAsia" w:hAnsiTheme="minorEastAsia"/>
                <w:b/>
                <w:bCs/>
                <w:snapToGrid w:val="0"/>
                <w:sz w:val="24"/>
              </w:rPr>
              <w:t>职称</w:t>
            </w:r>
          </w:p>
        </w:tc>
        <w:tc>
          <w:tcPr>
            <w:tcW w:w="797"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r>
              <w:rPr>
                <w:rFonts w:eastAsia="仿宋" w:asciiTheme="minorEastAsia" w:hAnsiTheme="minorEastAsia"/>
                <w:b/>
                <w:bCs/>
                <w:snapToGrid w:val="0"/>
                <w:sz w:val="24"/>
              </w:rPr>
              <w:t>专业</w:t>
            </w:r>
          </w:p>
        </w:tc>
        <w:tc>
          <w:tcPr>
            <w:tcW w:w="3324" w:type="dxa"/>
            <w:gridSpan w:val="3"/>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r>
              <w:rPr>
                <w:rFonts w:eastAsia="仿宋" w:asciiTheme="minorEastAsia" w:hAnsiTheme="minorEastAsia"/>
                <w:b/>
                <w:bCs/>
                <w:snapToGrid w:val="0"/>
                <w:sz w:val="24"/>
              </w:rPr>
              <w:t>执业或职业资格证明</w:t>
            </w:r>
          </w:p>
        </w:tc>
        <w:tc>
          <w:tcPr>
            <w:tcW w:w="1266" w:type="dxa"/>
            <w:vMerge w:val="restart"/>
            <w:tcMar>
              <w:left w:w="57" w:type="dxa"/>
              <w:right w:w="57" w:type="dxa"/>
            </w:tcMar>
            <w:vAlign w:val="center"/>
          </w:tcPr>
          <w:p>
            <w:pPr>
              <w:adjustRightInd w:val="0"/>
              <w:snapToGrid w:val="0"/>
              <w:spacing w:line="276" w:lineRule="auto"/>
              <w:jc w:val="center"/>
              <w:rPr>
                <w:rFonts w:eastAsia="仿宋" w:asciiTheme="minorEastAsia" w:hAnsiTheme="minorEastAsia"/>
                <w:b/>
                <w:bCs/>
                <w:snapToGrid w:val="0"/>
                <w:sz w:val="24"/>
              </w:rPr>
            </w:pPr>
            <w:r>
              <w:rPr>
                <w:rFonts w:hint="eastAsia" w:eastAsia="仿宋" w:asciiTheme="minorEastAsia" w:hAnsiTheme="minorEastAsia"/>
                <w:b/>
                <w:bCs/>
                <w:snapToGrid w:val="0"/>
                <w:sz w:val="24"/>
              </w:rPr>
              <w:t>从事相关</w:t>
            </w:r>
          </w:p>
          <w:p>
            <w:pPr>
              <w:adjustRightInd w:val="0"/>
              <w:snapToGrid w:val="0"/>
              <w:spacing w:line="276" w:lineRule="auto"/>
              <w:jc w:val="center"/>
              <w:rPr>
                <w:rFonts w:eastAsia="仿宋" w:asciiTheme="minorEastAsia" w:hAnsiTheme="minorEastAsia"/>
                <w:b/>
                <w:bCs/>
                <w:snapToGrid w:val="0"/>
                <w:sz w:val="24"/>
              </w:rPr>
            </w:pPr>
            <w:r>
              <w:rPr>
                <w:rFonts w:hint="eastAsia" w:eastAsia="仿宋" w:asciiTheme="minorEastAsia" w:hAnsiTheme="minorEastAsia"/>
                <w:b/>
                <w:bCs/>
                <w:snapToGrid w:val="0"/>
                <w:sz w:val="24"/>
              </w:rPr>
              <w:t>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p>
        </w:tc>
        <w:tc>
          <w:tcPr>
            <w:tcW w:w="1418"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p>
        </w:tc>
        <w:tc>
          <w:tcPr>
            <w:tcW w:w="99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p>
        </w:tc>
        <w:tc>
          <w:tcPr>
            <w:tcW w:w="98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p>
        </w:tc>
        <w:tc>
          <w:tcPr>
            <w:tcW w:w="797"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r>
              <w:rPr>
                <w:rFonts w:eastAsia="仿宋" w:asciiTheme="minorEastAsia" w:hAnsiTheme="minorEastAsia"/>
                <w:b/>
                <w:bCs/>
                <w:snapToGrid w:val="0"/>
                <w:sz w:val="24"/>
              </w:rPr>
              <w:t>证书名称</w:t>
            </w: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r>
              <w:rPr>
                <w:rFonts w:eastAsia="仿宋" w:asciiTheme="minorEastAsia" w:hAnsiTheme="minorEastAsia"/>
                <w:b/>
                <w:bCs/>
                <w:snapToGrid w:val="0"/>
                <w:sz w:val="24"/>
              </w:rPr>
              <w:t>级别</w:t>
            </w: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rPr>
            </w:pPr>
            <w:r>
              <w:rPr>
                <w:rFonts w:eastAsia="仿宋" w:asciiTheme="minorEastAsia" w:hAnsiTheme="minorEastAsia"/>
                <w:b/>
                <w:bCs/>
                <w:snapToGrid w:val="0"/>
                <w:sz w:val="24"/>
              </w:rPr>
              <w:t>证号</w:t>
            </w:r>
          </w:p>
        </w:tc>
        <w:tc>
          <w:tcPr>
            <w:tcW w:w="1266" w:type="dxa"/>
            <w:vMerge w:val="continue"/>
            <w:tcBorders>
              <w:top w:val="nil"/>
            </w:tcBorders>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rPr>
            </w:pPr>
          </w:p>
        </w:tc>
      </w:tr>
    </w:tbl>
    <w:p>
      <w:pPr>
        <w:adjustRightInd w:val="0"/>
        <w:snapToGrid w:val="0"/>
        <w:spacing w:after="156" w:afterLines="50" w:line="276" w:lineRule="auto"/>
        <w:rPr>
          <w:rFonts w:ascii="仿宋_GB2312" w:hAnsi="仿宋_GB2312" w:eastAsia="仿宋_GB2312" w:cs="仿宋_GB2312"/>
          <w:snapToGrid w:val="0"/>
          <w:sz w:val="32"/>
          <w:szCs w:val="32"/>
        </w:rPr>
      </w:pPr>
    </w:p>
    <w:p>
      <w:pPr>
        <w:numPr>
          <w:ilvl w:val="0"/>
          <w:numId w:val="24"/>
        </w:numPr>
        <w:adjustRightInd w:val="0"/>
        <w:snapToGrid w:val="0"/>
        <w:spacing w:after="156"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企业生产制造/施工/服务等履约能力</w:t>
      </w:r>
      <w:r>
        <w:rPr>
          <w:rFonts w:hint="eastAsia" w:ascii="仿宋_GB2312" w:hAnsi="仿宋_GB2312" w:eastAsia="仿宋_GB2312" w:cs="仿宋_GB2312"/>
          <w:snapToGrid w:val="0"/>
          <w:sz w:val="32"/>
          <w:szCs w:val="32"/>
        </w:rPr>
        <w:t>：</w:t>
      </w:r>
    </w:p>
    <w:p>
      <w:pPr>
        <w:adjustRightInd w:val="0"/>
        <w:snapToGrid w:val="0"/>
        <w:spacing w:after="156" w:afterLines="50" w:line="276" w:lineRule="auto"/>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自行编写</w:t>
      </w:r>
    </w:p>
    <w:p>
      <w:pPr>
        <w:numPr>
          <w:ilvl w:val="0"/>
          <w:numId w:val="24"/>
        </w:numPr>
        <w:adjustRightInd w:val="0"/>
        <w:snapToGrid w:val="0"/>
        <w:spacing w:after="156" w:afterLines="50" w:line="276"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报价：</w:t>
      </w:r>
    </w:p>
    <w:p>
      <w:pPr>
        <w:adjustRightInd w:val="0"/>
        <w:snapToGrid w:val="0"/>
        <w:spacing w:after="156" w:afterLines="50" w:line="276" w:lineRule="auto"/>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报价表</w:t>
      </w:r>
    </w:p>
    <w:tbl>
      <w:tblPr>
        <w:tblStyle w:val="21"/>
        <w:tblW w:w="9495" w:type="dxa"/>
        <w:tblInd w:w="0" w:type="dxa"/>
        <w:tblLayout w:type="fixed"/>
        <w:tblCellMar>
          <w:top w:w="0" w:type="dxa"/>
          <w:left w:w="108" w:type="dxa"/>
          <w:bottom w:w="0" w:type="dxa"/>
          <w:right w:w="108" w:type="dxa"/>
        </w:tblCellMar>
      </w:tblPr>
      <w:tblGrid>
        <w:gridCol w:w="796"/>
        <w:gridCol w:w="1722"/>
        <w:gridCol w:w="709"/>
        <w:gridCol w:w="709"/>
        <w:gridCol w:w="1417"/>
        <w:gridCol w:w="677"/>
        <w:gridCol w:w="1340"/>
        <w:gridCol w:w="963"/>
        <w:gridCol w:w="1162"/>
      </w:tblGrid>
      <w:tr>
        <w:tblPrEx>
          <w:tblCellMar>
            <w:top w:w="0" w:type="dxa"/>
            <w:left w:w="108" w:type="dxa"/>
            <w:bottom w:w="0" w:type="dxa"/>
            <w:right w:w="108" w:type="dxa"/>
          </w:tblCellMar>
        </w:tblPrEx>
        <w:trPr>
          <w:trHeight w:val="702" w:hRule="atLeast"/>
        </w:trPr>
        <w:tc>
          <w:tcPr>
            <w:tcW w:w="7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72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名称</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单位</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数量</w:t>
            </w: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单价</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（元）</w:t>
            </w:r>
          </w:p>
        </w:tc>
        <w:tc>
          <w:tcPr>
            <w:tcW w:w="6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税率</w:t>
            </w:r>
          </w:p>
        </w:tc>
        <w:tc>
          <w:tcPr>
            <w:tcW w:w="134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不含税金额（元）</w:t>
            </w:r>
          </w:p>
        </w:tc>
        <w:tc>
          <w:tcPr>
            <w:tcW w:w="96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税额（元）</w:t>
            </w:r>
          </w:p>
        </w:tc>
        <w:tc>
          <w:tcPr>
            <w:tcW w:w="116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含税金额（元）</w:t>
            </w:r>
          </w:p>
        </w:tc>
      </w:tr>
      <w:tr>
        <w:tblPrEx>
          <w:tblCellMar>
            <w:top w:w="0" w:type="dxa"/>
            <w:left w:w="108" w:type="dxa"/>
            <w:bottom w:w="0" w:type="dxa"/>
            <w:right w:w="108" w:type="dxa"/>
          </w:tblCellMar>
        </w:tblPrEx>
        <w:trPr>
          <w:trHeight w:val="674" w:hRule="atLeast"/>
        </w:trPr>
        <w:tc>
          <w:tcPr>
            <w:tcW w:w="7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72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24"/>
              </w:rPr>
            </w:pPr>
            <w:r>
              <w:rPr>
                <w:rFonts w:hint="eastAsia" w:ascii="仿宋" w:hAnsi="仿宋" w:eastAsia="仿宋" w:cs="宋体"/>
                <w:kern w:val="0"/>
                <w:sz w:val="24"/>
              </w:rPr>
              <w:t>第三代厌氧反应器及配套设备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333333"/>
                <w:sz w:val="24"/>
              </w:rPr>
            </w:pPr>
          </w:p>
        </w:tc>
        <w:tc>
          <w:tcPr>
            <w:tcW w:w="677" w:type="dxa"/>
            <w:tcBorders>
              <w:top w:val="single" w:color="auto" w:sz="4" w:space="0"/>
              <w:left w:val="single" w:color="auto" w:sz="4" w:space="0"/>
              <w:bottom w:val="single" w:color="auto" w:sz="4" w:space="0"/>
              <w:right w:val="single" w:color="auto" w:sz="4" w:space="0"/>
            </w:tcBorders>
            <w:noWrap/>
          </w:tcPr>
          <w:p>
            <w:pPr>
              <w:jc w:val="center"/>
              <w:rPr>
                <w:rFonts w:ascii="仿宋" w:hAnsi="仿宋" w:eastAsia="仿宋"/>
                <w:color w:val="333333"/>
                <w:sz w:val="24"/>
              </w:rPr>
            </w:pPr>
          </w:p>
        </w:tc>
        <w:tc>
          <w:tcPr>
            <w:tcW w:w="1340" w:type="dxa"/>
            <w:tcBorders>
              <w:top w:val="single" w:color="auto" w:sz="4" w:space="0"/>
              <w:left w:val="single" w:color="auto" w:sz="4" w:space="0"/>
              <w:bottom w:val="single" w:color="auto" w:sz="4" w:space="0"/>
              <w:right w:val="single" w:color="auto" w:sz="4" w:space="0"/>
            </w:tcBorders>
            <w:noWrap/>
          </w:tcPr>
          <w:p>
            <w:pPr>
              <w:jc w:val="center"/>
              <w:rPr>
                <w:rFonts w:ascii="仿宋" w:hAnsi="仿宋" w:eastAsia="仿宋"/>
                <w:color w:val="333333"/>
                <w:sz w:val="24"/>
              </w:rPr>
            </w:pPr>
          </w:p>
        </w:tc>
        <w:tc>
          <w:tcPr>
            <w:tcW w:w="963" w:type="dxa"/>
            <w:tcBorders>
              <w:top w:val="single" w:color="auto" w:sz="4" w:space="0"/>
              <w:left w:val="single" w:color="auto" w:sz="4" w:space="0"/>
              <w:bottom w:val="single" w:color="auto" w:sz="4" w:space="0"/>
              <w:right w:val="single" w:color="auto" w:sz="4" w:space="0"/>
            </w:tcBorders>
            <w:noWrap/>
          </w:tcPr>
          <w:p>
            <w:pPr>
              <w:jc w:val="center"/>
              <w:rPr>
                <w:rFonts w:ascii="仿宋" w:hAnsi="仿宋" w:eastAsia="仿宋"/>
                <w:color w:val="333333"/>
                <w:sz w:val="24"/>
              </w:rPr>
            </w:pPr>
          </w:p>
        </w:tc>
        <w:tc>
          <w:tcPr>
            <w:tcW w:w="11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540" w:hRule="atLeast"/>
        </w:trPr>
        <w:tc>
          <w:tcPr>
            <w:tcW w:w="3936"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合计</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333333"/>
                <w:sz w:val="24"/>
              </w:rPr>
            </w:pPr>
          </w:p>
        </w:tc>
        <w:tc>
          <w:tcPr>
            <w:tcW w:w="677" w:type="dxa"/>
            <w:tcBorders>
              <w:top w:val="single" w:color="auto" w:sz="4" w:space="0"/>
              <w:left w:val="single" w:color="auto" w:sz="4" w:space="0"/>
              <w:bottom w:val="single" w:color="auto" w:sz="4" w:space="0"/>
              <w:right w:val="single" w:color="auto" w:sz="4" w:space="0"/>
            </w:tcBorders>
            <w:noWrap/>
          </w:tcPr>
          <w:p>
            <w:pPr>
              <w:jc w:val="center"/>
              <w:rPr>
                <w:rFonts w:ascii="仿宋" w:hAnsi="仿宋" w:eastAsia="仿宋"/>
                <w:color w:val="333333"/>
                <w:sz w:val="24"/>
              </w:rPr>
            </w:pPr>
          </w:p>
        </w:tc>
        <w:tc>
          <w:tcPr>
            <w:tcW w:w="1340" w:type="dxa"/>
            <w:tcBorders>
              <w:top w:val="single" w:color="auto" w:sz="4" w:space="0"/>
              <w:left w:val="single" w:color="auto" w:sz="4" w:space="0"/>
              <w:bottom w:val="single" w:color="auto" w:sz="4" w:space="0"/>
              <w:right w:val="single" w:color="auto" w:sz="4" w:space="0"/>
            </w:tcBorders>
            <w:noWrap/>
          </w:tcPr>
          <w:p>
            <w:pPr>
              <w:jc w:val="center"/>
              <w:rPr>
                <w:rFonts w:ascii="仿宋" w:hAnsi="仿宋" w:eastAsia="仿宋"/>
                <w:color w:val="333333"/>
                <w:sz w:val="24"/>
              </w:rPr>
            </w:pPr>
          </w:p>
        </w:tc>
        <w:tc>
          <w:tcPr>
            <w:tcW w:w="963" w:type="dxa"/>
            <w:tcBorders>
              <w:top w:val="single" w:color="auto" w:sz="4" w:space="0"/>
              <w:left w:val="single" w:color="auto" w:sz="4" w:space="0"/>
              <w:bottom w:val="single" w:color="auto" w:sz="4" w:space="0"/>
              <w:right w:val="single" w:color="auto" w:sz="4" w:space="0"/>
            </w:tcBorders>
            <w:noWrap/>
          </w:tcPr>
          <w:p>
            <w:pPr>
              <w:jc w:val="center"/>
              <w:rPr>
                <w:rFonts w:ascii="仿宋" w:hAnsi="仿宋" w:eastAsia="仿宋"/>
                <w:color w:val="333333"/>
                <w:sz w:val="24"/>
              </w:rPr>
            </w:pPr>
          </w:p>
        </w:tc>
        <w:tc>
          <w:tcPr>
            <w:tcW w:w="11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1773" w:hRule="atLeast"/>
        </w:trPr>
        <w:tc>
          <w:tcPr>
            <w:tcW w:w="9495" w:type="dxa"/>
            <w:gridSpan w:val="9"/>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说明：1、报价含工资、加班工资、工作餐、社会统筹保险金、相关人员聘用的费用等、材料、焊接制作安装、设备租赁、交通、管理、保险、税金及酬金、安全费、环保费等一切相关费用,实行包干价。</w:t>
            </w:r>
          </w:p>
          <w:p>
            <w:pPr>
              <w:jc w:val="left"/>
              <w:rPr>
                <w:rFonts w:ascii="仿宋" w:hAnsi="仿宋" w:eastAsia="仿宋" w:cs="宋体"/>
                <w:color w:val="000000"/>
                <w:kern w:val="0"/>
                <w:sz w:val="24"/>
              </w:rPr>
            </w:pPr>
            <w:r>
              <w:rPr>
                <w:rFonts w:hint="eastAsia" w:ascii="仿宋" w:hAnsi="仿宋" w:eastAsia="仿宋" w:cs="宋体"/>
                <w:color w:val="000000"/>
                <w:kern w:val="0"/>
                <w:sz w:val="24"/>
              </w:rPr>
              <w:t>2、响应报价要求保留小数点后两位有效</w:t>
            </w:r>
          </w:p>
        </w:tc>
      </w:tr>
    </w:tbl>
    <w:p>
      <w:pPr>
        <w:pStyle w:val="11"/>
        <w:spacing w:line="52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1、付款方式：</w:t>
      </w:r>
    </w:p>
    <w:p>
      <w:pPr>
        <w:pStyle w:val="11"/>
        <w:numPr>
          <w:ilvl w:val="0"/>
          <w:numId w:val="25"/>
        </w:numPr>
        <w:spacing w:line="52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响应我公司付款方式的无需填写</w:t>
      </w:r>
    </w:p>
    <w:p>
      <w:pPr>
        <w:pStyle w:val="11"/>
        <w:numPr>
          <w:ilvl w:val="0"/>
          <w:numId w:val="25"/>
        </w:numPr>
        <w:spacing w:line="52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优于我公司付款方式另行填写，具体付款条款如下：</w:t>
      </w:r>
    </w:p>
    <w:p>
      <w:pPr>
        <w:pStyle w:val="11"/>
        <w:spacing w:line="52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2、完工期限：</w:t>
      </w:r>
    </w:p>
    <w:p>
      <w:pPr>
        <w:pStyle w:val="11"/>
        <w:numPr>
          <w:ilvl w:val="0"/>
          <w:numId w:val="26"/>
        </w:numPr>
        <w:spacing w:line="52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响应我公司的完工期限的无需填写</w:t>
      </w:r>
    </w:p>
    <w:p>
      <w:pPr>
        <w:pStyle w:val="11"/>
        <w:numPr>
          <w:ilvl w:val="0"/>
          <w:numId w:val="26"/>
        </w:numPr>
        <w:spacing w:line="52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优于我公司完工期限的另行填写，具体完工期限如下：</w:t>
      </w:r>
    </w:p>
    <w:p>
      <w:pPr>
        <w:adjustRightInd w:val="0"/>
        <w:snapToGrid w:val="0"/>
        <w:spacing w:after="156" w:afterLines="50" w:line="276"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3、1套第三代厌氧反应器及配套设备供货清单，如下表：</w:t>
      </w:r>
    </w:p>
    <w:tbl>
      <w:tblPr>
        <w:tblStyle w:val="21"/>
        <w:tblW w:w="4437" w:type="pct"/>
        <w:tblInd w:w="392" w:type="dxa"/>
        <w:tblLayout w:type="autofit"/>
        <w:tblCellMar>
          <w:top w:w="0" w:type="dxa"/>
          <w:left w:w="108" w:type="dxa"/>
          <w:bottom w:w="0" w:type="dxa"/>
          <w:right w:w="108" w:type="dxa"/>
        </w:tblCellMar>
      </w:tblPr>
      <w:tblGrid>
        <w:gridCol w:w="1027"/>
        <w:gridCol w:w="4189"/>
        <w:gridCol w:w="1628"/>
        <w:gridCol w:w="1396"/>
      </w:tblGrid>
      <w:tr>
        <w:tblPrEx>
          <w:tblCellMar>
            <w:top w:w="0" w:type="dxa"/>
            <w:left w:w="108" w:type="dxa"/>
            <w:bottom w:w="0" w:type="dxa"/>
            <w:right w:w="108" w:type="dxa"/>
          </w:tblCellMar>
        </w:tblPrEx>
        <w:trPr>
          <w:trHeight w:val="152" w:hRule="atLeast"/>
        </w:trPr>
        <w:tc>
          <w:tcPr>
            <w:tcW w:w="623" w:type="pct"/>
            <w:tcBorders>
              <w:top w:val="double" w:color="auto" w:sz="6" w:space="0"/>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2542" w:type="pct"/>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名称</w:t>
            </w:r>
          </w:p>
        </w:tc>
        <w:tc>
          <w:tcPr>
            <w:tcW w:w="988" w:type="pct"/>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单位</w:t>
            </w:r>
          </w:p>
        </w:tc>
        <w:tc>
          <w:tcPr>
            <w:tcW w:w="847" w:type="pct"/>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r>
      <w:tr>
        <w:tblPrEx>
          <w:tblCellMar>
            <w:top w:w="0" w:type="dxa"/>
            <w:left w:w="108" w:type="dxa"/>
            <w:bottom w:w="0" w:type="dxa"/>
            <w:right w:w="108" w:type="dxa"/>
          </w:tblCellMar>
        </w:tblPrEx>
        <w:trPr>
          <w:trHeight w:val="309"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1</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钢结构塔体</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座</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2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2</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钢结构塔体保温及防腐</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项</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3</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布水装置</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4</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三相分离器</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72"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5</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沼气系统</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254"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ascii="仿宋" w:hAnsi="仿宋" w:eastAsia="仿宋"/>
                <w:kern w:val="0"/>
                <w:sz w:val="24"/>
              </w:rPr>
              <w:t>6</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出水</w:t>
            </w:r>
            <w:r>
              <w:rPr>
                <w:rFonts w:hint="eastAsia" w:ascii="仿宋" w:hAnsi="仿宋" w:eastAsia="仿宋" w:cs="Arial"/>
                <w:kern w:val="0"/>
                <w:sz w:val="24"/>
              </w:rPr>
              <w:t>收集装置</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1</w:t>
            </w:r>
          </w:p>
        </w:tc>
      </w:tr>
      <w:tr>
        <w:tblPrEx>
          <w:tblCellMar>
            <w:top w:w="0" w:type="dxa"/>
            <w:left w:w="108" w:type="dxa"/>
            <w:bottom w:w="0" w:type="dxa"/>
            <w:right w:w="108" w:type="dxa"/>
          </w:tblCellMar>
        </w:tblPrEx>
        <w:trPr>
          <w:trHeight w:val="306"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hint="eastAsia" w:ascii="仿宋" w:hAnsi="仿宋" w:eastAsia="仿宋"/>
                <w:kern w:val="0"/>
                <w:sz w:val="24"/>
              </w:rPr>
              <w:t>7</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排泥装置</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套</w:t>
            </w: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hint="eastAsia" w:ascii="仿宋" w:hAnsi="仿宋" w:eastAsia="仿宋" w:cs="Arial"/>
                <w:kern w:val="0"/>
                <w:sz w:val="24"/>
              </w:rPr>
              <w:t>1</w:t>
            </w:r>
          </w:p>
        </w:tc>
      </w:tr>
      <w:tr>
        <w:tblPrEx>
          <w:tblCellMar>
            <w:top w:w="0" w:type="dxa"/>
            <w:left w:w="108" w:type="dxa"/>
            <w:bottom w:w="0" w:type="dxa"/>
            <w:right w:w="108" w:type="dxa"/>
          </w:tblCellMar>
        </w:tblPrEx>
        <w:trPr>
          <w:trHeight w:val="306"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hint="eastAsia" w:ascii="仿宋" w:hAnsi="仿宋" w:eastAsia="仿宋"/>
                <w:kern w:val="0"/>
                <w:sz w:val="24"/>
              </w:rPr>
              <w:t>8</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r>
      <w:tr>
        <w:tblPrEx>
          <w:tblCellMar>
            <w:top w:w="0" w:type="dxa"/>
            <w:left w:w="108" w:type="dxa"/>
            <w:bottom w:w="0" w:type="dxa"/>
            <w:right w:w="108" w:type="dxa"/>
          </w:tblCellMar>
        </w:tblPrEx>
        <w:trPr>
          <w:trHeight w:val="306" w:hRule="atLeast"/>
        </w:trPr>
        <w:tc>
          <w:tcPr>
            <w:tcW w:w="623" w:type="pct"/>
            <w:tcBorders>
              <w:top w:val="nil"/>
              <w:left w:val="double" w:color="auto" w:sz="6" w:space="0"/>
              <w:bottom w:val="single" w:color="auto" w:sz="4" w:space="0"/>
              <w:right w:val="single" w:color="auto" w:sz="4" w:space="0"/>
            </w:tcBorders>
            <w:shd w:val="clear" w:color="auto" w:fill="auto"/>
            <w:noWrap/>
            <w:vAlign w:val="center"/>
          </w:tcPr>
          <w:p>
            <w:pPr>
              <w:widowControl/>
              <w:jc w:val="center"/>
              <w:rPr>
                <w:rFonts w:ascii="仿宋" w:hAnsi="仿宋" w:eastAsia="仿宋"/>
                <w:kern w:val="0"/>
                <w:sz w:val="24"/>
              </w:rPr>
            </w:pPr>
            <w:r>
              <w:rPr>
                <w:rFonts w:hint="eastAsia" w:ascii="仿宋" w:hAnsi="仿宋" w:eastAsia="仿宋"/>
                <w:kern w:val="0"/>
                <w:sz w:val="24"/>
              </w:rPr>
              <w:t>9</w:t>
            </w:r>
          </w:p>
        </w:tc>
        <w:tc>
          <w:tcPr>
            <w:tcW w:w="25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r>
              <w:rPr>
                <w:rFonts w:ascii="仿宋" w:hAnsi="仿宋" w:eastAsia="仿宋" w:cs="Arial"/>
                <w:kern w:val="0"/>
                <w:sz w:val="24"/>
              </w:rPr>
              <w:t>…</w:t>
            </w:r>
          </w:p>
        </w:tc>
        <w:tc>
          <w:tcPr>
            <w:tcW w:w="9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c>
          <w:tcPr>
            <w:tcW w:w="84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rPr>
            </w:pPr>
          </w:p>
        </w:tc>
      </w:tr>
    </w:tbl>
    <w:p>
      <w:pPr>
        <w:adjustRightInd w:val="0"/>
        <w:snapToGrid w:val="0"/>
        <w:spacing w:after="156" w:afterLines="50" w:line="276" w:lineRule="auto"/>
        <w:rPr>
          <w:rFonts w:ascii="仿宋_GB2312" w:hAnsi="仿宋_GB2312" w:eastAsia="仿宋_GB2312" w:cs="仿宋_GB2312"/>
          <w:color w:val="000000" w:themeColor="text1"/>
          <w:sz w:val="28"/>
          <w:szCs w:val="28"/>
          <w14:textFill>
            <w14:solidFill>
              <w14:schemeClr w14:val="tx1"/>
            </w14:solidFill>
          </w14:textFill>
        </w:rPr>
      </w:pPr>
    </w:p>
    <w:p>
      <w:pPr>
        <w:adjustRightInd w:val="0"/>
        <w:snapToGrid w:val="0"/>
        <w:spacing w:after="156" w:afterLines="50" w:line="276" w:lineRule="auto"/>
        <w:ind w:firstLine="2940" w:firstLineChars="10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投标方名称：（盖单位公章)</w:t>
      </w:r>
    </w:p>
    <w:p>
      <w:pPr>
        <w:adjustRightInd w:val="0"/>
        <w:snapToGrid w:val="0"/>
        <w:spacing w:after="156" w:afterLines="50" w:line="276" w:lineRule="auto"/>
        <w:ind w:firstLine="2940" w:firstLineChars="10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法定代表人或其授权的代理人：(签字)</w:t>
      </w:r>
    </w:p>
    <w:p>
      <w:pPr>
        <w:adjustRightInd w:val="0"/>
        <w:snapToGrid w:val="0"/>
        <w:spacing w:after="156" w:afterLines="50" w:line="276" w:lineRule="auto"/>
        <w:ind w:firstLine="2940" w:firstLineChars="10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日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期：  年   月    日</w:t>
      </w:r>
    </w:p>
    <w:p>
      <w:pPr>
        <w:numPr>
          <w:ilvl w:val="0"/>
          <w:numId w:val="24"/>
        </w:numPr>
        <w:adjustRightInd w:val="0"/>
        <w:snapToGrid w:val="0"/>
        <w:spacing w:after="156"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其他</w:t>
      </w:r>
      <w:r>
        <w:rPr>
          <w:rFonts w:hint="eastAsia" w:ascii="仿宋_GB2312" w:hAnsi="仿宋_GB2312" w:eastAsia="仿宋_GB2312" w:cs="仿宋_GB2312"/>
          <w:snapToGrid w:val="0"/>
          <w:sz w:val="32"/>
          <w:szCs w:val="32"/>
        </w:rPr>
        <w:t>：其他需要说明的内容自行编写</w:t>
      </w:r>
    </w:p>
    <w:p>
      <w:pPr>
        <w:numPr>
          <w:ilvl w:val="0"/>
          <w:numId w:val="23"/>
        </w:numPr>
        <w:adjustRightInd w:val="0"/>
        <w:snapToGrid w:val="0"/>
        <w:spacing w:after="156" w:afterLines="50" w:line="276" w:lineRule="auto"/>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技术文件</w:t>
      </w:r>
    </w:p>
    <w:p>
      <w:pPr>
        <w:numPr>
          <w:ilvl w:val="0"/>
          <w:numId w:val="27"/>
        </w:numPr>
        <w:adjustRightInd w:val="0"/>
        <w:snapToGrid w:val="0"/>
        <w:spacing w:after="156" w:afterLines="50" w:line="276"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项目施工/实施方案：</w:t>
      </w:r>
    </w:p>
    <w:p>
      <w:pPr>
        <w:rPr>
          <w:rFonts w:ascii="仿宋" w:hAnsi="仿宋" w:eastAsia="仿宋"/>
          <w:b/>
          <w:sz w:val="28"/>
          <w:szCs w:val="28"/>
        </w:rPr>
      </w:pPr>
      <w:r>
        <w:rPr>
          <w:rFonts w:hint="eastAsia" w:ascii="仿宋" w:hAnsi="仿宋" w:eastAsia="仿宋"/>
          <w:sz w:val="28"/>
          <w:szCs w:val="28"/>
        </w:rPr>
        <w:t>1.1、项目施工</w:t>
      </w:r>
      <w:r>
        <w:rPr>
          <w:rFonts w:ascii="仿宋" w:hAnsi="仿宋" w:eastAsia="仿宋"/>
          <w:sz w:val="28"/>
          <w:szCs w:val="28"/>
        </w:rPr>
        <w:t>方案</w:t>
      </w:r>
    </w:p>
    <w:p>
      <w:pPr>
        <w:pStyle w:val="56"/>
        <w:ind w:left="165" w:hanging="165"/>
        <w:rPr>
          <w:rFonts w:ascii="仿宋" w:hAnsi="仿宋" w:eastAsia="仿宋"/>
          <w:sz w:val="28"/>
          <w:szCs w:val="28"/>
        </w:rPr>
      </w:pPr>
      <w:r>
        <w:rPr>
          <w:rFonts w:hint="eastAsia" w:ascii="仿宋" w:hAnsi="仿宋" w:eastAsia="仿宋"/>
          <w:sz w:val="28"/>
          <w:szCs w:val="28"/>
        </w:rPr>
        <w:t>1.2、明确施工准备、施工过程及垃圾处理方案；</w:t>
      </w:r>
    </w:p>
    <w:p>
      <w:pPr>
        <w:pStyle w:val="56"/>
        <w:ind w:left="165" w:hanging="165"/>
        <w:rPr>
          <w:rFonts w:ascii="仿宋" w:hAnsi="仿宋" w:eastAsia="仿宋"/>
          <w:sz w:val="28"/>
          <w:szCs w:val="28"/>
        </w:rPr>
      </w:pPr>
      <w:r>
        <w:rPr>
          <w:rFonts w:hint="eastAsia" w:ascii="仿宋" w:hAnsi="仿宋" w:eastAsia="仿宋"/>
          <w:sz w:val="28"/>
          <w:szCs w:val="28"/>
        </w:rPr>
        <w:t>1.3、施工计划表；</w:t>
      </w:r>
    </w:p>
    <w:p>
      <w:pPr>
        <w:pStyle w:val="56"/>
        <w:ind w:left="165" w:hanging="165"/>
        <w:rPr>
          <w:rFonts w:ascii="仿宋" w:hAnsi="仿宋" w:eastAsia="仿宋"/>
          <w:sz w:val="28"/>
          <w:szCs w:val="28"/>
        </w:rPr>
      </w:pPr>
      <w:r>
        <w:rPr>
          <w:rFonts w:hint="eastAsia" w:ascii="仿宋" w:hAnsi="仿宋" w:eastAsia="仿宋"/>
          <w:sz w:val="28"/>
          <w:szCs w:val="28"/>
        </w:rPr>
        <w:t>1.4、其他内容自行编写。</w:t>
      </w:r>
    </w:p>
    <w:p>
      <w:pPr>
        <w:pStyle w:val="56"/>
        <w:ind w:left="165" w:hanging="165"/>
        <w:rPr>
          <w:rFonts w:ascii="仿宋" w:hAnsi="仿宋" w:eastAsia="仿宋"/>
          <w:sz w:val="28"/>
          <w:szCs w:val="28"/>
        </w:rPr>
      </w:pPr>
    </w:p>
    <w:p>
      <w:pPr>
        <w:adjustRightInd w:val="0"/>
        <w:snapToGrid w:val="0"/>
        <w:spacing w:after="156" w:afterLines="50" w:line="276" w:lineRule="auto"/>
        <w:ind w:firstLine="3360" w:firstLineChars="1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投标方名称：（盖单位公章)</w:t>
      </w:r>
    </w:p>
    <w:p>
      <w:pPr>
        <w:adjustRightInd w:val="0"/>
        <w:snapToGrid w:val="0"/>
        <w:spacing w:after="156" w:afterLines="50" w:line="276" w:lineRule="auto"/>
        <w:ind w:firstLine="1120" w:firstLineChars="4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法定代表人或其授权的代理人：(签字)</w:t>
      </w:r>
    </w:p>
    <w:p>
      <w:pPr>
        <w:adjustRightInd w:val="0"/>
        <w:snapToGrid w:val="0"/>
        <w:spacing w:after="156" w:afterLines="50" w:line="276" w:lineRule="auto"/>
        <w:ind w:firstLine="4200" w:firstLineChars="15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日期：  年   月    日</w:t>
      </w:r>
    </w:p>
    <w:p>
      <w:pPr>
        <w:adjustRightInd w:val="0"/>
        <w:snapToGrid w:val="0"/>
        <w:spacing w:after="156" w:afterLines="50" w:line="276" w:lineRule="auto"/>
        <w:ind w:firstLine="4200" w:firstLineChars="1500"/>
        <w:rPr>
          <w:rFonts w:ascii="仿宋_GB2312" w:hAnsi="仿宋_GB2312" w:eastAsia="仿宋_GB2312" w:cs="仿宋_GB2312"/>
          <w:color w:val="000000" w:themeColor="text1"/>
          <w:sz w:val="28"/>
          <w:szCs w:val="28"/>
          <w14:textFill>
            <w14:solidFill>
              <w14:schemeClr w14:val="tx1"/>
            </w14:solidFill>
          </w14:textFill>
        </w:rPr>
      </w:pPr>
    </w:p>
    <w:p>
      <w:pPr>
        <w:numPr>
          <w:ilvl w:val="0"/>
          <w:numId w:val="27"/>
        </w:numPr>
        <w:adjustRightInd w:val="0"/>
        <w:snapToGrid w:val="0"/>
        <w:spacing w:after="156" w:afterLines="50" w:line="276"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项目安全措施/方案：</w:t>
      </w:r>
    </w:p>
    <w:p>
      <w:pPr>
        <w:pStyle w:val="56"/>
        <w:ind w:left="165" w:hanging="165"/>
        <w:rPr>
          <w:rFonts w:ascii="仿宋" w:hAnsi="仿宋" w:eastAsia="仿宋"/>
          <w:sz w:val="28"/>
          <w:szCs w:val="28"/>
        </w:rPr>
      </w:pPr>
      <w:r>
        <w:rPr>
          <w:rFonts w:hint="eastAsia" w:ascii="仿宋" w:hAnsi="仿宋" w:eastAsia="仿宋"/>
          <w:sz w:val="28"/>
          <w:szCs w:val="28"/>
        </w:rPr>
        <w:t>2.1、明确双方签订《安全环保管理协议》，完全响应协议内容并遵照执行；</w:t>
      </w:r>
    </w:p>
    <w:p>
      <w:pPr>
        <w:pStyle w:val="56"/>
        <w:ind w:left="165" w:hanging="165"/>
        <w:rPr>
          <w:rFonts w:ascii="仿宋" w:hAnsi="仿宋" w:eastAsia="仿宋"/>
          <w:sz w:val="28"/>
          <w:szCs w:val="28"/>
        </w:rPr>
      </w:pPr>
      <w:r>
        <w:rPr>
          <w:rFonts w:hint="eastAsia" w:ascii="仿宋" w:hAnsi="仿宋" w:eastAsia="仿宋"/>
          <w:sz w:val="28"/>
          <w:szCs w:val="28"/>
        </w:rPr>
        <w:t>2.2、明确劳保用品、防护用品配备情况；</w:t>
      </w:r>
    </w:p>
    <w:p>
      <w:pPr>
        <w:pStyle w:val="56"/>
        <w:ind w:left="165" w:hanging="165"/>
        <w:rPr>
          <w:rFonts w:ascii="仿宋" w:hAnsi="仿宋" w:eastAsia="仿宋"/>
          <w:sz w:val="28"/>
          <w:szCs w:val="28"/>
        </w:rPr>
      </w:pPr>
      <w:r>
        <w:rPr>
          <w:rFonts w:hint="eastAsia" w:ascii="仿宋" w:hAnsi="仿宋" w:eastAsia="仿宋"/>
          <w:sz w:val="28"/>
          <w:szCs w:val="28"/>
        </w:rPr>
        <w:t>2.4、明确安全用具、安全设施配备情况；</w:t>
      </w:r>
    </w:p>
    <w:p>
      <w:pPr>
        <w:pStyle w:val="56"/>
        <w:ind w:left="165" w:hanging="165"/>
        <w:rPr>
          <w:rFonts w:ascii="仿宋" w:hAnsi="仿宋" w:eastAsia="仿宋"/>
          <w:sz w:val="28"/>
          <w:szCs w:val="28"/>
        </w:rPr>
      </w:pPr>
      <w:r>
        <w:rPr>
          <w:rFonts w:hint="eastAsia" w:ascii="仿宋" w:hAnsi="仿宋" w:eastAsia="仿宋"/>
          <w:sz w:val="28"/>
          <w:szCs w:val="28"/>
        </w:rPr>
        <w:t>2.5、高处、吊装、动火作业等危险作业人员证书、现场防护和安全保障措施；</w:t>
      </w:r>
    </w:p>
    <w:p>
      <w:pPr>
        <w:pStyle w:val="56"/>
        <w:ind w:left="165" w:hanging="165"/>
        <w:rPr>
          <w:rFonts w:ascii="仿宋" w:hAnsi="仿宋" w:eastAsia="仿宋"/>
          <w:sz w:val="28"/>
          <w:szCs w:val="28"/>
        </w:rPr>
      </w:pPr>
      <w:r>
        <w:rPr>
          <w:rFonts w:hint="eastAsia" w:ascii="仿宋" w:hAnsi="仿宋" w:eastAsia="仿宋"/>
          <w:sz w:val="28"/>
          <w:szCs w:val="28"/>
        </w:rPr>
        <w:t>2.6、其他事项自行编写。</w:t>
      </w:r>
    </w:p>
    <w:p>
      <w:pPr>
        <w:adjustRightInd w:val="0"/>
        <w:snapToGrid w:val="0"/>
        <w:spacing w:after="156" w:afterLines="50" w:line="276" w:lineRule="auto"/>
        <w:ind w:firstLine="3360" w:firstLineChars="1200"/>
        <w:rPr>
          <w:rFonts w:ascii="仿宋_GB2312" w:hAnsi="仿宋_GB2312" w:eastAsia="仿宋_GB2312" w:cs="仿宋_GB2312"/>
          <w:color w:val="000000" w:themeColor="text1"/>
          <w:sz w:val="28"/>
          <w:szCs w:val="28"/>
          <w14:textFill>
            <w14:solidFill>
              <w14:schemeClr w14:val="tx1"/>
            </w14:solidFill>
          </w14:textFill>
        </w:rPr>
      </w:pPr>
    </w:p>
    <w:p>
      <w:pPr>
        <w:adjustRightInd w:val="0"/>
        <w:snapToGrid w:val="0"/>
        <w:spacing w:after="156" w:afterLines="50" w:line="276" w:lineRule="auto"/>
        <w:ind w:firstLine="3360" w:firstLineChars="1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投标方名称：（盖单位公章)</w:t>
      </w:r>
    </w:p>
    <w:p>
      <w:pPr>
        <w:adjustRightInd w:val="0"/>
        <w:snapToGrid w:val="0"/>
        <w:spacing w:after="156" w:afterLines="50" w:line="276" w:lineRule="auto"/>
        <w:ind w:firstLine="1120" w:firstLineChars="4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法定代表人或其授权的代理人：(签字)</w:t>
      </w:r>
    </w:p>
    <w:p>
      <w:pPr>
        <w:adjustRightInd w:val="0"/>
        <w:snapToGrid w:val="0"/>
        <w:spacing w:after="156" w:afterLines="50" w:line="276" w:lineRule="auto"/>
        <w:ind w:firstLine="4200" w:firstLineChars="15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日期：  年   月    日</w:t>
      </w:r>
    </w:p>
    <w:p/>
    <w:p/>
    <w:p/>
    <w:p/>
    <w:p/>
    <w:p>
      <w:pPr>
        <w:numPr>
          <w:ilvl w:val="0"/>
          <w:numId w:val="27"/>
        </w:numPr>
        <w:adjustRightInd w:val="0"/>
        <w:snapToGrid w:val="0"/>
        <w:spacing w:after="156" w:afterLines="50" w:line="276"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设备配置情况：</w:t>
      </w:r>
    </w:p>
    <w:p>
      <w:pPr>
        <w:adjustRightInd w:val="0"/>
        <w:snapToGrid w:val="0"/>
        <w:spacing w:after="156" w:afterLines="50" w:line="276"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设备配置情况表</w:t>
      </w:r>
    </w:p>
    <w:tbl>
      <w:tblPr>
        <w:tblStyle w:val="21"/>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513"/>
        <w:gridCol w:w="2127"/>
        <w:gridCol w:w="1843"/>
        <w:gridCol w:w="1020"/>
        <w:gridCol w:w="99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序号</w:t>
            </w:r>
          </w:p>
        </w:tc>
        <w:tc>
          <w:tcPr>
            <w:tcW w:w="151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设备仪器名称</w:t>
            </w: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规格型号</w:t>
            </w: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品牌</w:t>
            </w: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单位</w:t>
            </w: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数量</w:t>
            </w:r>
          </w:p>
        </w:tc>
        <w:tc>
          <w:tcPr>
            <w:tcW w:w="141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1</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2</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3</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4</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5</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6</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7</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8</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ascii="仿宋" w:hAnsi="仿宋" w:eastAsia="仿宋"/>
                <w:sz w:val="28"/>
                <w:szCs w:val="28"/>
              </w:rPr>
              <w:t>9</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63" w:type="dxa"/>
            <w:vAlign w:val="center"/>
          </w:tcPr>
          <w:p>
            <w:pPr>
              <w:pStyle w:val="28"/>
              <w:adjustRightInd w:val="0"/>
              <w:snapToGrid w:val="0"/>
              <w:ind w:firstLine="0" w:firstLineChars="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p>
        </w:tc>
        <w:tc>
          <w:tcPr>
            <w:tcW w:w="1513" w:type="dxa"/>
            <w:vAlign w:val="center"/>
          </w:tcPr>
          <w:p>
            <w:pPr>
              <w:pStyle w:val="28"/>
              <w:adjustRightInd w:val="0"/>
              <w:snapToGrid w:val="0"/>
              <w:ind w:firstLine="0" w:firstLineChars="0"/>
              <w:jc w:val="center"/>
              <w:rPr>
                <w:rFonts w:ascii="仿宋" w:hAnsi="仿宋" w:eastAsia="仿宋"/>
                <w:sz w:val="28"/>
                <w:szCs w:val="28"/>
              </w:rPr>
            </w:pPr>
          </w:p>
        </w:tc>
        <w:tc>
          <w:tcPr>
            <w:tcW w:w="2127"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843" w:type="dxa"/>
            <w:tcBorders>
              <w:left w:val="single" w:color="auto" w:sz="4" w:space="0"/>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020" w:type="dxa"/>
            <w:tcBorders>
              <w:lef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993" w:type="dxa"/>
            <w:tcBorders>
              <w:right w:val="single" w:color="auto" w:sz="4" w:space="0"/>
            </w:tcBorders>
            <w:vAlign w:val="center"/>
          </w:tcPr>
          <w:p>
            <w:pPr>
              <w:pStyle w:val="28"/>
              <w:adjustRightInd w:val="0"/>
              <w:snapToGrid w:val="0"/>
              <w:ind w:firstLine="0" w:firstLineChars="0"/>
              <w:jc w:val="center"/>
              <w:rPr>
                <w:rFonts w:ascii="仿宋" w:hAnsi="仿宋" w:eastAsia="仿宋"/>
                <w:sz w:val="28"/>
                <w:szCs w:val="28"/>
              </w:rPr>
            </w:pPr>
          </w:p>
        </w:tc>
        <w:tc>
          <w:tcPr>
            <w:tcW w:w="1417" w:type="dxa"/>
            <w:tcBorders>
              <w:right w:val="single" w:color="auto" w:sz="4" w:space="0"/>
            </w:tcBorders>
          </w:tcPr>
          <w:p>
            <w:pPr>
              <w:pStyle w:val="28"/>
              <w:adjustRightInd w:val="0"/>
              <w:snapToGrid w:val="0"/>
              <w:ind w:firstLine="0" w:firstLineChars="0"/>
              <w:jc w:val="center"/>
              <w:rPr>
                <w:rFonts w:ascii="仿宋" w:hAnsi="仿宋" w:eastAsia="仿宋"/>
                <w:sz w:val="28"/>
                <w:szCs w:val="28"/>
              </w:rPr>
            </w:pPr>
          </w:p>
        </w:tc>
      </w:tr>
    </w:tbl>
    <w:p>
      <w:pPr>
        <w:adjustRightInd w:val="0"/>
        <w:snapToGrid w:val="0"/>
        <w:spacing w:after="156" w:afterLines="50" w:line="276" w:lineRule="auto"/>
        <w:rPr>
          <w:rFonts w:ascii="仿宋_GB2312" w:hAnsi="仿宋_GB2312" w:eastAsia="仿宋_GB2312" w:cs="仿宋_GB2312"/>
          <w:color w:val="000000" w:themeColor="text1"/>
          <w:sz w:val="32"/>
          <w:szCs w:val="32"/>
          <w14:textFill>
            <w14:solidFill>
              <w14:schemeClr w14:val="tx1"/>
            </w14:solidFill>
          </w14:textFill>
        </w:rPr>
      </w:pPr>
    </w:p>
    <w:p>
      <w:pPr>
        <w:numPr>
          <w:ilvl w:val="0"/>
          <w:numId w:val="27"/>
        </w:numPr>
        <w:adjustRightInd w:val="0"/>
        <w:snapToGrid w:val="0"/>
        <w:spacing w:after="156"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售后服务</w:t>
      </w:r>
      <w:r>
        <w:rPr>
          <w:rFonts w:hint="eastAsia" w:ascii="仿宋_GB2312" w:hAnsi="仿宋_GB2312" w:eastAsia="仿宋_GB2312" w:cs="仿宋_GB2312"/>
          <w:snapToGrid w:val="0"/>
          <w:sz w:val="32"/>
          <w:szCs w:val="32"/>
        </w:rPr>
        <w:t>：</w:t>
      </w:r>
    </w:p>
    <w:p>
      <w:pPr>
        <w:adjustRightInd w:val="0"/>
        <w:snapToGrid w:val="0"/>
        <w:spacing w:after="156" w:afterLines="50" w:line="276" w:lineRule="auto"/>
        <w:ind w:firstLine="280" w:firstLineChars="100"/>
        <w:rPr>
          <w:rFonts w:ascii="仿宋_GB2312" w:hAnsi="仿宋_GB2312" w:eastAsia="仿宋_GB2312" w:cs="仿宋_GB2312"/>
          <w:snapToGrid w:val="0"/>
          <w:sz w:val="28"/>
          <w:szCs w:val="28"/>
        </w:rPr>
      </w:pPr>
      <w:r>
        <w:rPr>
          <w:rFonts w:hint="eastAsia" w:ascii="宋体" w:hAnsi="宋体" w:cs="宋体"/>
          <w:color w:val="000000" w:themeColor="text1"/>
          <w:sz w:val="28"/>
          <w:szCs w:val="28"/>
          <w14:textFill>
            <w14:solidFill>
              <w14:schemeClr w14:val="tx1"/>
            </w14:solidFill>
          </w14:textFill>
        </w:rPr>
        <w:t>自行编写</w:t>
      </w:r>
    </w:p>
    <w:p>
      <w:pPr>
        <w:numPr>
          <w:ilvl w:val="0"/>
          <w:numId w:val="27"/>
        </w:numPr>
        <w:adjustRightInd w:val="0"/>
        <w:snapToGrid w:val="0"/>
        <w:spacing w:after="156" w:afterLines="50" w:line="276" w:lineRule="auto"/>
        <w:rPr>
          <w:rFonts w:ascii="仿宋_GB2312" w:hAnsi="仿宋_GB2312" w:eastAsia="仿宋_GB2312" w:cs="仿宋_GB2312"/>
          <w:snapToGrid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合理化建议</w:t>
      </w:r>
      <w:r>
        <w:rPr>
          <w:rFonts w:hint="eastAsia" w:ascii="仿宋_GB2312" w:hAnsi="仿宋_GB2312" w:eastAsia="仿宋_GB2312" w:cs="仿宋_GB2312"/>
          <w:snapToGrid w:val="0"/>
          <w:sz w:val="32"/>
          <w:szCs w:val="32"/>
        </w:rPr>
        <w:t>：</w:t>
      </w:r>
    </w:p>
    <w:p>
      <w:pPr>
        <w:adjustRightInd w:val="0"/>
        <w:snapToGrid w:val="0"/>
        <w:spacing w:after="156" w:afterLines="50" w:line="276" w:lineRule="auto"/>
        <w:ind w:firstLine="280" w:firstLineChars="100"/>
        <w:rPr>
          <w:rFonts w:ascii="仿宋_GB2312" w:hAnsi="仿宋_GB2312" w:eastAsia="仿宋_GB2312" w:cs="仿宋_GB2312"/>
          <w:snapToGrid w:val="0"/>
          <w:sz w:val="32"/>
          <w:szCs w:val="32"/>
        </w:rPr>
      </w:pPr>
      <w:r>
        <w:rPr>
          <w:rFonts w:hint="eastAsia" w:ascii="宋体" w:hAnsi="宋体" w:cs="宋体"/>
          <w:color w:val="000000" w:themeColor="text1"/>
          <w:sz w:val="28"/>
          <w:szCs w:val="28"/>
          <w14:textFill>
            <w14:solidFill>
              <w14:schemeClr w14:val="tx1"/>
            </w14:solidFill>
          </w14:textFill>
        </w:rPr>
        <w:t>自行编写</w:t>
      </w:r>
    </w:p>
    <w:p>
      <w:pPr>
        <w:numPr>
          <w:ilvl w:val="0"/>
          <w:numId w:val="27"/>
        </w:numPr>
        <w:adjustRightInd w:val="0"/>
        <w:snapToGrid w:val="0"/>
        <w:spacing w:after="156" w:afterLines="50" w:line="276"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w:t>
      </w:r>
    </w:p>
    <w:p>
      <w:pPr>
        <w:adjustRightInd w:val="0"/>
        <w:snapToGrid w:val="0"/>
        <w:spacing w:after="156" w:afterLines="50" w:line="276" w:lineRule="auto"/>
        <w:ind w:firstLine="280" w:firstLineChars="100"/>
        <w:rPr>
          <w:rFonts w:ascii="仿宋_GB2312" w:hAnsi="仿宋_GB2312" w:eastAsia="仿宋_GB2312" w:cs="仿宋_GB2312"/>
          <w:snapToGrid w:val="0"/>
          <w:sz w:val="28"/>
          <w:szCs w:val="28"/>
        </w:rPr>
      </w:pPr>
      <w:r>
        <w:rPr>
          <w:rFonts w:hint="eastAsia" w:ascii="宋体" w:hAnsi="宋体" w:cs="宋体"/>
          <w:color w:val="000000" w:themeColor="text1"/>
          <w:sz w:val="28"/>
          <w:szCs w:val="28"/>
          <w14:textFill>
            <w14:solidFill>
              <w14:schemeClr w14:val="tx1"/>
            </w14:solidFill>
          </w14:textFill>
        </w:rPr>
        <w:t>自行编写</w:t>
      </w:r>
    </w:p>
    <w:p>
      <w:pPr>
        <w:adjustRightInd w:val="0"/>
        <w:snapToGrid w:val="0"/>
        <w:spacing w:after="156" w:afterLines="50" w:line="276" w:lineRule="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四、其他证明性文件（如有）</w:t>
      </w:r>
    </w:p>
    <w:p>
      <w:pPr>
        <w:spacing w:line="360" w:lineRule="auto"/>
        <w:jc w:val="center"/>
        <w:rPr>
          <w:rFonts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响  应  书</w:t>
      </w:r>
    </w:p>
    <w:p>
      <w:pPr>
        <w:spacing w:line="440" w:lineRule="exac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u w:val="single"/>
          <w14:textFill>
            <w14:solidFill>
              <w14:schemeClr w14:val="tx1"/>
            </w14:solidFill>
          </w14:textFill>
        </w:rPr>
        <w:t>中粮昌吉番茄制品有限公司</w:t>
      </w:r>
      <w:r>
        <w:rPr>
          <w:rFonts w:hint="eastAsia" w:ascii="仿宋_GB2312" w:eastAsia="仿宋_GB2312" w:hAnsiTheme="minorEastAsia"/>
          <w:color w:val="000000" w:themeColor="text1"/>
          <w:sz w:val="32"/>
          <w:szCs w:val="32"/>
          <w14:textFill>
            <w14:solidFill>
              <w14:schemeClr w14:val="tx1"/>
            </w14:solidFill>
          </w14:textFill>
        </w:rPr>
        <w:t>：</w:t>
      </w:r>
    </w:p>
    <w:p>
      <w:pPr>
        <w:spacing w:line="440" w:lineRule="exact"/>
        <w:ind w:firstLine="640" w:firstLineChars="20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sz w:val="32"/>
          <w:szCs w:val="32"/>
        </w:rPr>
        <w:t>依据贵方2024年</w:t>
      </w:r>
      <w:r>
        <w:rPr>
          <w:rFonts w:hint="eastAsia" w:ascii="仿宋_GB2312" w:eastAsia="仿宋_GB2312" w:hAnsiTheme="minorEastAsia"/>
          <w:sz w:val="32"/>
          <w:szCs w:val="32"/>
          <w:u w:val="single"/>
        </w:rPr>
        <w:t>一套第三代厌氧反应器及配套设备</w:t>
      </w:r>
      <w:r>
        <w:rPr>
          <w:rFonts w:hint="eastAsia" w:ascii="仿宋_GB2312" w:eastAsia="仿宋_GB2312" w:hAnsiTheme="minorEastAsia"/>
          <w:sz w:val="32"/>
          <w:szCs w:val="32"/>
        </w:rPr>
        <w:t>采购的邀</w:t>
      </w:r>
      <w:r>
        <w:rPr>
          <w:rFonts w:hint="eastAsia" w:ascii="仿宋_GB2312" w:eastAsia="仿宋_GB2312" w:hAnsiTheme="minorEastAsia"/>
          <w:color w:val="000000" w:themeColor="text1"/>
          <w:sz w:val="32"/>
          <w:szCs w:val="32"/>
          <w14:textFill>
            <w14:solidFill>
              <w14:schemeClr w14:val="tx1"/>
            </w14:solidFill>
          </w14:textFill>
        </w:rPr>
        <w:t>请，我方</w:t>
      </w:r>
      <w:r>
        <w:rPr>
          <w:rFonts w:hint="eastAsia" w:ascii="仿宋_GB2312" w:eastAsia="仿宋_GB2312" w:hAnsiTheme="minorEastAsia"/>
          <w:color w:val="000000" w:themeColor="text1"/>
          <w:sz w:val="32"/>
          <w:szCs w:val="32"/>
          <w:u w:val="single"/>
          <w14:textFill>
            <w14:solidFill>
              <w14:schemeClr w14:val="tx1"/>
            </w14:solidFill>
          </w14:textFill>
        </w:rPr>
        <w:t xml:space="preserve">        （姓名和职务）</w:t>
      </w:r>
      <w:r>
        <w:rPr>
          <w:rFonts w:hint="eastAsia" w:ascii="仿宋_GB2312" w:eastAsia="仿宋_GB2312" w:hAnsiTheme="minorEastAsia"/>
          <w:color w:val="000000" w:themeColor="text1"/>
          <w:sz w:val="32"/>
          <w:szCs w:val="32"/>
          <w14:textFill>
            <w14:solidFill>
              <w14:schemeClr w14:val="tx1"/>
            </w14:solidFill>
          </w14:textFill>
        </w:rPr>
        <w:t>经正式授权并代表投标方</w:t>
      </w:r>
      <w:r>
        <w:rPr>
          <w:rFonts w:hint="eastAsia" w:ascii="仿宋_GB2312" w:eastAsia="仿宋_GB2312" w:hAnsiTheme="minorEastAsia"/>
          <w:color w:val="000000" w:themeColor="text1"/>
          <w:sz w:val="32"/>
          <w:szCs w:val="32"/>
          <w:u w:val="single"/>
          <w14:textFill>
            <w14:solidFill>
              <w14:schemeClr w14:val="tx1"/>
            </w14:solidFill>
          </w14:textFill>
        </w:rPr>
        <w:t xml:space="preserve">                  （投标方名称、地址）</w:t>
      </w:r>
      <w:r>
        <w:rPr>
          <w:rFonts w:hint="eastAsia" w:ascii="仿宋_GB2312" w:eastAsia="仿宋_GB2312" w:hAnsiTheme="minorEastAsia"/>
          <w:color w:val="000000" w:themeColor="text1"/>
          <w:sz w:val="32"/>
          <w:szCs w:val="32"/>
          <w14:textFill>
            <w14:solidFill>
              <w14:schemeClr w14:val="tx1"/>
            </w14:solidFill>
          </w14:textFill>
        </w:rPr>
        <w:t>提交下述投标响应文件价格文件和商务技术文件。</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 报价表（如有）；</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 技术规格响应、偏离情况说明表；</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 按采购文件投标人须知提供的有关文件；</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 资格证明文件；</w:t>
      </w:r>
    </w:p>
    <w:p>
      <w:pPr>
        <w:spacing w:before="240"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在此，授权代表宣布同意如下：</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 将按投标采购文件的约定履行合同责任和义务；</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 已详细审查全部采购文件；我们完全理解并同意放弃对这方面有不明及误解的权力；</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 同意提供按照贵方可能要求的与本次项目谈判有关的一切数据或资料；</w:t>
      </w:r>
    </w:p>
    <w:p>
      <w:pPr>
        <w:spacing w:line="440" w:lineRule="exact"/>
        <w:ind w:firstLine="48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 与本项目有关的一切正式往来信函请寄：</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p>
    <w:p>
      <w:pPr>
        <w:spacing w:line="440" w:lineRule="exact"/>
        <w:ind w:firstLine="320" w:firstLineChars="1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电话/传真：</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r>
        <w:rPr>
          <w:rFonts w:hint="eastAsia" w:ascii="仿宋_GB2312" w:eastAsia="仿宋_GB2312" w:hAnsiTheme="minorEastAsia"/>
          <w:color w:val="000000" w:themeColor="text1"/>
          <w:sz w:val="32"/>
          <w:szCs w:val="32"/>
          <w14:textFill>
            <w14:solidFill>
              <w14:schemeClr w14:val="tx1"/>
            </w14:solidFill>
          </w14:textFill>
        </w:rPr>
        <w:t xml:space="preserve"> 电子函件：</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p>
    <w:p>
      <w:pPr>
        <w:spacing w:line="440" w:lineRule="exact"/>
        <w:ind w:firstLine="320" w:firstLineChars="100"/>
        <w:rPr>
          <w:rFonts w:ascii="仿宋_GB2312" w:eastAsia="仿宋_GB2312" w:hAnsiTheme="minorEastAsia"/>
          <w:color w:val="000000" w:themeColor="text1"/>
          <w:sz w:val="32"/>
          <w:szCs w:val="32"/>
          <w:u w:val="single"/>
          <w14:textFill>
            <w14:solidFill>
              <w14:schemeClr w14:val="tx1"/>
            </w14:solidFill>
          </w14:textFill>
        </w:rPr>
      </w:pPr>
    </w:p>
    <w:p>
      <w:pPr>
        <w:spacing w:line="440" w:lineRule="exact"/>
        <w:ind w:firstLine="320" w:firstLineChars="1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ind w:left="1842" w:leftChars="877"/>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投标方（章）或法定代表人授权代表签字：</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p>
    <w:p>
      <w:pPr>
        <w:spacing w:line="440" w:lineRule="exact"/>
        <w:ind w:left="1842" w:leftChars="877"/>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日期：      年   月    日</w:t>
      </w:r>
    </w:p>
    <w:p>
      <w:pPr>
        <w:spacing w:line="440" w:lineRule="exact"/>
        <w:ind w:left="1842" w:leftChars="877"/>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开户银行：</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ind w:left="1842" w:leftChars="877"/>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账号/行号：</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ind w:left="1842" w:leftChars="877"/>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日期：</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r>
        <w:rPr>
          <w:rFonts w:hint="eastAsia" w:ascii="仿宋_GB2312" w:eastAsia="仿宋_GB2312" w:hAnsiTheme="minorEastAsia"/>
          <w:color w:val="000000" w:themeColor="text1"/>
          <w:sz w:val="32"/>
          <w:szCs w:val="32"/>
          <w14:textFill>
            <w14:solidFill>
              <w14:schemeClr w14:val="tx1"/>
            </w14:solidFill>
          </w14:textFill>
        </w:rPr>
        <w:t>年</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r>
        <w:rPr>
          <w:rFonts w:hint="eastAsia" w:ascii="仿宋_GB2312" w:eastAsia="仿宋_GB2312" w:hAnsiTheme="minorEastAsia"/>
          <w:color w:val="000000" w:themeColor="text1"/>
          <w:sz w:val="32"/>
          <w:szCs w:val="32"/>
          <w14:textFill>
            <w14:solidFill>
              <w14:schemeClr w14:val="tx1"/>
            </w14:solidFill>
          </w14:textFill>
        </w:rPr>
        <w:t>月</w:t>
      </w:r>
      <w:r>
        <w:rPr>
          <w:rFonts w:hint="eastAsia" w:ascii="仿宋_GB2312" w:eastAsia="仿宋_GB2312" w:hAnsiTheme="minorEastAsia"/>
          <w:color w:val="000000" w:themeColor="text1"/>
          <w:sz w:val="32"/>
          <w:szCs w:val="32"/>
          <w:u w:val="single"/>
          <w14:textFill>
            <w14:solidFill>
              <w14:schemeClr w14:val="tx1"/>
            </w14:solidFill>
          </w14:textFill>
        </w:rPr>
        <w:t xml:space="preserve">    </w:t>
      </w:r>
      <w:r>
        <w:rPr>
          <w:rFonts w:hint="eastAsia" w:ascii="仿宋_GB2312" w:eastAsia="仿宋_GB2312" w:hAnsiTheme="minorEastAsia"/>
          <w:color w:val="000000" w:themeColor="text1"/>
          <w:sz w:val="32"/>
          <w:szCs w:val="32"/>
          <w14:textFill>
            <w14:solidFill>
              <w14:schemeClr w14:val="tx1"/>
            </w14:solidFill>
          </w14:textFill>
        </w:rPr>
        <w:t>日</w:t>
      </w:r>
    </w:p>
    <w:p>
      <w:pPr>
        <w:spacing w:line="360" w:lineRule="auto"/>
        <w:rPr>
          <w:rFonts w:ascii="仿宋_GB2312" w:eastAsia="仿宋_GB2312" w:hAnsiTheme="minorEastAsia"/>
          <w:b/>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r>
        <w:rPr>
          <w:rFonts w:hint="eastAsia" w:ascii="仿宋_GB2312" w:eastAsia="仿宋_GB2312" w:cs="Arial" w:hAnsiTheme="minorEastAsia"/>
          <w:color w:val="000000" w:themeColor="text1"/>
          <w:sz w:val="24"/>
          <w14:textFill>
            <w14:solidFill>
              <w14:schemeClr w14:val="tx1"/>
            </w14:solidFill>
          </w14:textFill>
        </w:rPr>
        <w:br w:type="page"/>
      </w:r>
    </w:p>
    <w:p>
      <w:pPr>
        <w:spacing w:line="360" w:lineRule="auto"/>
        <w:jc w:val="center"/>
        <w:rPr>
          <w:rFonts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技术响应、偏离情况说明表</w:t>
      </w:r>
    </w:p>
    <w:p>
      <w:pPr>
        <w:spacing w:line="360" w:lineRule="auto"/>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项目名称：厌氧反应器系统建设</w:t>
      </w:r>
    </w:p>
    <w:tbl>
      <w:tblPr>
        <w:tblStyle w:val="21"/>
        <w:tblW w:w="5000" w:type="pct"/>
        <w:tblInd w:w="0" w:type="dxa"/>
        <w:tblLayout w:type="autofit"/>
        <w:tblCellMar>
          <w:top w:w="0" w:type="dxa"/>
          <w:left w:w="108" w:type="dxa"/>
          <w:bottom w:w="0" w:type="dxa"/>
          <w:right w:w="108" w:type="dxa"/>
        </w:tblCellMar>
      </w:tblPr>
      <w:tblGrid>
        <w:gridCol w:w="458"/>
        <w:gridCol w:w="782"/>
        <w:gridCol w:w="680"/>
        <w:gridCol w:w="3315"/>
        <w:gridCol w:w="2423"/>
        <w:gridCol w:w="953"/>
        <w:gridCol w:w="675"/>
      </w:tblGrid>
      <w:tr>
        <w:tblPrEx>
          <w:tblCellMar>
            <w:top w:w="0" w:type="dxa"/>
            <w:left w:w="108" w:type="dxa"/>
            <w:bottom w:w="0" w:type="dxa"/>
            <w:right w:w="108" w:type="dxa"/>
          </w:tblCellMar>
        </w:tblPrEx>
        <w:trPr>
          <w:trHeight w:val="720" w:hRule="atLeast"/>
        </w:trPr>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eastAsia="仿宋_GB2312" w:hAnsiTheme="minorEastAsia"/>
                <w:color w:val="000000" w:themeColor="text1"/>
                <w:sz w:val="24"/>
                <w14:textFill>
                  <w14:solidFill>
                    <w14:schemeClr w14:val="tx1"/>
                  </w14:solidFill>
                </w14:textFill>
              </w:rPr>
              <w:t xml:space="preserve">  </w:t>
            </w:r>
            <w:r>
              <w:rPr>
                <w:rFonts w:hint="eastAsia" w:ascii="仿宋_GB2312" w:hAnsi="宋体" w:eastAsia="仿宋_GB2312" w:cs="宋体"/>
                <w:b/>
                <w:bCs/>
                <w:color w:val="000000"/>
                <w:kern w:val="0"/>
                <w:sz w:val="24"/>
              </w:rPr>
              <w:t>序号</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标的</w:t>
            </w:r>
          </w:p>
        </w:tc>
        <w:tc>
          <w:tcPr>
            <w:tcW w:w="3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w:t>
            </w:r>
          </w:p>
        </w:tc>
        <w:tc>
          <w:tcPr>
            <w:tcW w:w="17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采购文件要求</w:t>
            </w:r>
          </w:p>
        </w:tc>
        <w:tc>
          <w:tcPr>
            <w:tcW w:w="13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响应文件具体响应</w:t>
            </w:r>
          </w:p>
        </w:tc>
        <w:tc>
          <w:tcPr>
            <w:tcW w:w="5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响应/偏离</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说 明</w:t>
            </w:r>
          </w:p>
        </w:tc>
      </w:tr>
      <w:tr>
        <w:tblPrEx>
          <w:tblCellMar>
            <w:top w:w="0" w:type="dxa"/>
            <w:left w:w="108" w:type="dxa"/>
            <w:bottom w:w="0" w:type="dxa"/>
            <w:right w:w="108" w:type="dxa"/>
          </w:tblCellMar>
        </w:tblPrEx>
        <w:trPr>
          <w:trHeight w:val="420"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42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84" w:type="pct"/>
            <w:tcBorders>
              <w:top w:val="single" w:color="auto" w:sz="4" w:space="0"/>
              <w:left w:val="nil"/>
              <w:bottom w:val="single" w:color="auto" w:sz="4" w:space="0"/>
              <w:right w:val="nil"/>
            </w:tcBorders>
            <w:shd w:val="clear" w:color="auto" w:fill="auto"/>
            <w:noWrap/>
            <w:vAlign w:val="center"/>
          </w:tcPr>
          <w:p>
            <w:pPr>
              <w:widowControl/>
              <w:jc w:val="left"/>
              <w:rPr>
                <w:rFonts w:ascii="仿宋_GB2312" w:hAnsi="微软雅黑" w:eastAsia="仿宋_GB2312" w:cs="宋体"/>
                <w:color w:val="000000"/>
                <w:kern w:val="0"/>
                <w:sz w:val="24"/>
              </w:rPr>
            </w:pPr>
          </w:p>
        </w:tc>
        <w:tc>
          <w:tcPr>
            <w:tcW w:w="13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c>
          <w:tcPr>
            <w:tcW w:w="5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r>
      <w:tr>
        <w:tblPrEx>
          <w:tblCellMar>
            <w:top w:w="0" w:type="dxa"/>
            <w:left w:w="108" w:type="dxa"/>
            <w:bottom w:w="0" w:type="dxa"/>
            <w:right w:w="108" w:type="dxa"/>
          </w:tblCellMar>
        </w:tblPrEx>
        <w:trPr>
          <w:trHeight w:val="279"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single" w:color="auto" w:sz="4" w:space="0"/>
              <w:left w:val="nil"/>
              <w:bottom w:val="single" w:color="auto" w:sz="4" w:space="0"/>
              <w:right w:val="nil"/>
            </w:tcBorders>
            <w:shd w:val="clear" w:color="auto" w:fill="auto"/>
            <w:noWrap/>
            <w:vAlign w:val="center"/>
          </w:tcPr>
          <w:p>
            <w:pPr>
              <w:widowControl/>
              <w:jc w:val="left"/>
              <w:rPr>
                <w:rFonts w:ascii="仿宋_GB2312" w:hAnsi="微软雅黑" w:eastAsia="仿宋_GB2312" w:cs="宋体"/>
                <w:color w:val="000000"/>
                <w:kern w:val="0"/>
                <w:sz w:val="24"/>
              </w:rPr>
            </w:pPr>
          </w:p>
        </w:tc>
        <w:tc>
          <w:tcPr>
            <w:tcW w:w="13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c>
          <w:tcPr>
            <w:tcW w:w="5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r>
      <w:tr>
        <w:tblPrEx>
          <w:tblCellMar>
            <w:top w:w="0" w:type="dxa"/>
            <w:left w:w="108" w:type="dxa"/>
            <w:bottom w:w="0" w:type="dxa"/>
            <w:right w:w="108" w:type="dxa"/>
          </w:tblCellMar>
        </w:tblPrEx>
        <w:trPr>
          <w:trHeight w:val="413"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84"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9"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1"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7"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6</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23"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7</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6"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8</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07"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9</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3"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9"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11</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12" w:hRule="atLeast"/>
        </w:trPr>
        <w:tc>
          <w:tcPr>
            <w:tcW w:w="2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12</w:t>
            </w:r>
          </w:p>
        </w:tc>
        <w:tc>
          <w:tcPr>
            <w:tcW w:w="42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6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8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p>
        </w:tc>
        <w:tc>
          <w:tcPr>
            <w:tcW w:w="1304"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1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63"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360" w:lineRule="auto"/>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说明：应对照采购文件“第二章 投标人须知”，逐条说明所提供货物和服务已对采购文件的技术规格做出了实质性的响应，并申明与技术规格条文的响应和偏离。</w:t>
      </w:r>
    </w:p>
    <w:p>
      <w:pPr>
        <w:spacing w:line="360" w:lineRule="auto"/>
        <w:rPr>
          <w:rFonts w:ascii="仿宋_GB2312" w:eastAsia="仿宋_GB2312" w:hAnsiTheme="minorEastAsia"/>
          <w:color w:val="000000" w:themeColor="text1"/>
          <w:sz w:val="24"/>
          <w14:textFill>
            <w14:solidFill>
              <w14:schemeClr w14:val="tx1"/>
            </w14:solidFill>
          </w14:textFill>
        </w:rPr>
      </w:pPr>
    </w:p>
    <w:p>
      <w:pPr>
        <w:pStyle w:val="8"/>
        <w:ind w:firstLine="480"/>
        <w:rPr>
          <w:rFonts w:ascii="仿宋_GB2312" w:eastAsia="仿宋_GB2312"/>
          <w:sz w:val="24"/>
        </w:rPr>
      </w:pPr>
    </w:p>
    <w:p>
      <w:pPr>
        <w:spacing w:line="360" w:lineRule="auto"/>
        <w:ind w:firstLine="3600" w:firstLineChars="1500"/>
        <w:rPr>
          <w:rFonts w:ascii="仿宋_GB2312" w:eastAsia="仿宋_GB2312" w:cs="Arial" w:hAnsiTheme="minorEastAsia"/>
          <w:color w:val="000000" w:themeColor="text1"/>
          <w:sz w:val="24"/>
          <w14:textFill>
            <w14:solidFill>
              <w14:schemeClr w14:val="tx1"/>
            </w14:solidFill>
          </w14:textFill>
        </w:rPr>
      </w:pPr>
      <w:r>
        <w:rPr>
          <w:rFonts w:hint="eastAsia" w:ascii="仿宋_GB2312" w:eastAsia="仿宋_GB2312" w:cs="Arial" w:hAnsiTheme="minorEastAsia"/>
          <w:color w:val="000000" w:themeColor="text1"/>
          <w:sz w:val="24"/>
          <w14:textFill>
            <w14:solidFill>
              <w14:schemeClr w14:val="tx1"/>
            </w14:solidFill>
          </w14:textFill>
        </w:rPr>
        <w:t>投标方（章）或法定代表人授权代表签字：</w:t>
      </w:r>
      <w:r>
        <w:rPr>
          <w:rFonts w:hint="eastAsia" w:ascii="仿宋_GB2312" w:eastAsia="仿宋_GB2312" w:cs="Arial" w:hAnsiTheme="minorEastAsia"/>
          <w:color w:val="000000" w:themeColor="text1"/>
          <w:sz w:val="24"/>
          <w:u w:val="single"/>
          <w14:textFill>
            <w14:solidFill>
              <w14:schemeClr w14:val="tx1"/>
            </w14:solidFill>
          </w14:textFill>
        </w:rPr>
        <w:t xml:space="preserve">               </w:t>
      </w:r>
    </w:p>
    <w:p>
      <w:pPr>
        <w:spacing w:line="360" w:lineRule="auto"/>
        <w:ind w:firstLine="5520" w:firstLineChars="2300"/>
        <w:rPr>
          <w:rFonts w:ascii="仿宋_GB2312" w:eastAsia="仿宋_GB2312" w:cs="Arial" w:hAnsiTheme="minorEastAsia"/>
          <w:color w:val="000000" w:themeColor="text1"/>
          <w:sz w:val="24"/>
          <w14:textFill>
            <w14:solidFill>
              <w14:schemeClr w14:val="tx1"/>
            </w14:solidFill>
          </w14:textFill>
        </w:rPr>
      </w:pPr>
      <w:r>
        <w:rPr>
          <w:rFonts w:hint="eastAsia" w:ascii="仿宋_GB2312" w:eastAsia="仿宋_GB2312" w:cs="Arial" w:hAnsiTheme="minorEastAsia"/>
          <w:color w:val="000000" w:themeColor="text1"/>
          <w:sz w:val="24"/>
          <w:u w:val="single"/>
          <w14:textFill>
            <w14:solidFill>
              <w14:schemeClr w14:val="tx1"/>
            </w14:solidFill>
          </w14:textFill>
        </w:rPr>
        <w:t xml:space="preserve">           </w:t>
      </w:r>
      <w:r>
        <w:rPr>
          <w:rFonts w:hint="eastAsia" w:ascii="仿宋_GB2312" w:eastAsia="仿宋_GB2312" w:cs="Arial" w:hAnsiTheme="minorEastAsia"/>
          <w:color w:val="000000" w:themeColor="text1"/>
          <w:sz w:val="24"/>
          <w14:textFill>
            <w14:solidFill>
              <w14:schemeClr w14:val="tx1"/>
            </w14:solidFill>
          </w14:textFill>
        </w:rPr>
        <w:t>年</w:t>
      </w:r>
      <w:r>
        <w:rPr>
          <w:rFonts w:hint="eastAsia" w:ascii="仿宋_GB2312" w:eastAsia="仿宋_GB2312" w:cs="Arial" w:hAnsiTheme="minorEastAsia"/>
          <w:color w:val="000000" w:themeColor="text1"/>
          <w:sz w:val="24"/>
          <w:u w:val="single"/>
          <w14:textFill>
            <w14:solidFill>
              <w14:schemeClr w14:val="tx1"/>
            </w14:solidFill>
          </w14:textFill>
        </w:rPr>
        <w:t xml:space="preserve">      </w:t>
      </w:r>
      <w:r>
        <w:rPr>
          <w:rFonts w:hint="eastAsia" w:ascii="仿宋_GB2312" w:eastAsia="仿宋_GB2312" w:cs="Arial" w:hAnsiTheme="minorEastAsia"/>
          <w:color w:val="000000" w:themeColor="text1"/>
          <w:sz w:val="24"/>
          <w14:textFill>
            <w14:solidFill>
              <w14:schemeClr w14:val="tx1"/>
            </w14:solidFill>
          </w14:textFill>
        </w:rPr>
        <w:t>月</w:t>
      </w:r>
      <w:r>
        <w:rPr>
          <w:rFonts w:hint="eastAsia" w:ascii="仿宋_GB2312" w:eastAsia="仿宋_GB2312" w:cs="Arial" w:hAnsiTheme="minorEastAsia"/>
          <w:color w:val="000000" w:themeColor="text1"/>
          <w:sz w:val="24"/>
          <w:u w:val="single"/>
          <w14:textFill>
            <w14:solidFill>
              <w14:schemeClr w14:val="tx1"/>
            </w14:solidFill>
          </w14:textFill>
        </w:rPr>
        <w:t xml:space="preserve">      </w:t>
      </w:r>
      <w:r>
        <w:rPr>
          <w:rFonts w:hint="eastAsia" w:ascii="仿宋_GB2312" w:eastAsia="仿宋_GB2312" w:cs="Arial" w:hAnsiTheme="minorEastAsia"/>
          <w:color w:val="000000" w:themeColor="text1"/>
          <w:sz w:val="24"/>
          <w14:textFill>
            <w14:solidFill>
              <w14:schemeClr w14:val="tx1"/>
            </w14:solidFill>
          </w14:textFill>
        </w:rPr>
        <w:t>日</w:t>
      </w:r>
    </w:p>
    <w:p>
      <w:pPr>
        <w:spacing w:line="360" w:lineRule="auto"/>
        <w:ind w:firstLine="5520" w:firstLineChars="2300"/>
        <w:rPr>
          <w:rFonts w:ascii="仿宋_GB2312" w:eastAsia="仿宋_GB2312" w:cs="Arial" w:hAnsiTheme="minorEastAsia"/>
          <w:color w:val="000000" w:themeColor="text1"/>
          <w:sz w:val="24"/>
          <w14:textFill>
            <w14:solidFill>
              <w14:schemeClr w14:val="tx1"/>
            </w14:solidFill>
          </w14:textFill>
        </w:rPr>
      </w:pPr>
    </w:p>
    <w:p>
      <w:pPr>
        <w:spacing w:line="360" w:lineRule="auto"/>
        <w:ind w:firstLine="5520" w:firstLineChars="2300"/>
        <w:rPr>
          <w:rFonts w:ascii="仿宋_GB2312" w:eastAsia="仿宋_GB2312" w:cs="Arial" w:hAnsiTheme="minorEastAsia"/>
          <w:color w:val="000000" w:themeColor="text1"/>
          <w:sz w:val="24"/>
          <w14:textFill>
            <w14:solidFill>
              <w14:schemeClr w14:val="tx1"/>
            </w14:solidFill>
          </w14:textFill>
        </w:rPr>
      </w:pPr>
    </w:p>
    <w:p>
      <w:pPr>
        <w:spacing w:line="360" w:lineRule="auto"/>
        <w:ind w:firstLine="5520" w:firstLineChars="2300"/>
        <w:rPr>
          <w:rFonts w:ascii="仿宋_GB2312" w:eastAsia="仿宋_GB2312" w:cs="Arial" w:hAnsiTheme="minorEastAsia"/>
          <w:color w:val="000000" w:themeColor="text1"/>
          <w:sz w:val="24"/>
          <w14:textFill>
            <w14:solidFill>
              <w14:schemeClr w14:val="tx1"/>
            </w14:solidFill>
          </w14:textFill>
        </w:rPr>
      </w:pPr>
    </w:p>
    <w:p>
      <w:pPr>
        <w:spacing w:line="360" w:lineRule="auto"/>
        <w:ind w:firstLine="5520" w:firstLineChars="2300"/>
        <w:rPr>
          <w:rFonts w:ascii="仿宋_GB2312" w:eastAsia="仿宋_GB2312" w:cs="Arial" w:hAnsiTheme="minorEastAsia"/>
          <w:color w:val="000000" w:themeColor="text1"/>
          <w:sz w:val="24"/>
          <w14:textFill>
            <w14:solidFill>
              <w14:schemeClr w14:val="tx1"/>
            </w14:solidFill>
          </w14:textFill>
        </w:rPr>
      </w:pPr>
    </w:p>
    <w:p>
      <w:pPr>
        <w:spacing w:line="360" w:lineRule="auto"/>
        <w:ind w:firstLine="5520" w:firstLineChars="2300"/>
        <w:rPr>
          <w:rFonts w:ascii="仿宋_GB2312" w:eastAsia="仿宋_GB2312" w:cs="Arial" w:hAnsiTheme="minorEastAsia"/>
          <w:color w:val="000000" w:themeColor="text1"/>
          <w:sz w:val="24"/>
          <w14:textFill>
            <w14:solidFill>
              <w14:schemeClr w14:val="tx1"/>
            </w14:solidFill>
          </w14:textFill>
        </w:rPr>
      </w:pPr>
    </w:p>
    <w:p>
      <w:pPr>
        <w:spacing w:line="360" w:lineRule="auto"/>
        <w:ind w:firstLine="5520" w:firstLineChars="2300"/>
        <w:rPr>
          <w:rFonts w:ascii="仿宋_GB2312" w:eastAsia="仿宋_GB2312" w:cs="Arial" w:hAnsiTheme="minorEastAsia"/>
          <w:color w:val="000000" w:themeColor="text1"/>
          <w:sz w:val="24"/>
          <w14:textFill>
            <w14:solidFill>
              <w14:schemeClr w14:val="tx1"/>
            </w14:solidFill>
          </w14:textFill>
        </w:rPr>
      </w:pPr>
    </w:p>
    <w:p>
      <w:pPr>
        <w:spacing w:line="360" w:lineRule="auto"/>
        <w:ind w:firstLine="5520" w:firstLineChars="2300"/>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5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5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廉  洁  告  知  书</w:t>
      </w:r>
    </w:p>
    <w:p>
      <w:pPr>
        <w:spacing w:line="320" w:lineRule="exact"/>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尊敬的投标方，您好！</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中粮屯河番茄有限公司（简称中粮番茄）对领导干部和员工实施廉洁从业管理，致力于保障投标方与我公司合作的正当权益，建立良好的合作关系。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我公司明确要求领导干部和相关采购工作人员在与投标方交往的过程中不得收取报酬或礼品，请您理解我公司人员谢绝接受报酬或礼品的做法。同时，请您不要向我公司工作人员输送利益或好处。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我公司不允许领导干部和员工吃、拿、卡、要为难投标方，请您监督。</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我们竭诚的希望与投标方共同建立公平、阳光的伙伴关系，如果中粮番茄公司的领导干部、员工出现舞弊行为、存在不廉洁的行为，请通过投诉受理渠道反映。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我公司向每位投标方（含潜在投标方）发放《廉洁告知书》，接受您的监督。</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p>
    <w:p>
      <w:pPr>
        <w:pStyle w:val="37"/>
        <w:numPr>
          <w:ilvl w:val="0"/>
          <w:numId w:val="28"/>
        </w:numPr>
        <w:spacing w:line="320" w:lineRule="exact"/>
        <w:ind w:firstLineChars="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中粮糖业控股股份有限公司纪检信访举报联络方式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通讯地址：北京市朝阳区朝阳门南大街8号中粮福临门大厦9层904室纪委办公室（收），邮政编码：100020</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010-85017235</w:t>
      </w:r>
    </w:p>
    <w:p>
      <w:pPr>
        <w:spacing w:line="320" w:lineRule="exact"/>
        <w:ind w:firstLine="300" w:firstLineChars="1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二、中粮屯河番茄有限公司纪检信访举报联络方式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通讯地址：新疆乌鲁木齐市黄河路2号招商银行大厦20楼中粮屯河番茄有限公司党群纪检部（收），邮政编码：830000</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18709967070</w:t>
      </w:r>
    </w:p>
    <w:p>
      <w:pPr>
        <w:spacing w:line="320" w:lineRule="exact"/>
        <w:ind w:firstLine="5400" w:firstLineChars="1800"/>
        <w:rPr>
          <w:rFonts w:ascii="仿宋_GB2312" w:hAnsi="仿宋_GB2312" w:eastAsia="仿宋_GB2312" w:cs="仿宋_GB2312"/>
          <w:color w:val="000000" w:themeColor="text1"/>
          <w:sz w:val="30"/>
          <w:szCs w:val="30"/>
          <w14:textFill>
            <w14:solidFill>
              <w14:schemeClr w14:val="tx1"/>
            </w14:solidFill>
          </w14:textFill>
        </w:rPr>
      </w:pPr>
    </w:p>
    <w:p>
      <w:pPr>
        <w:spacing w:line="320" w:lineRule="exact"/>
        <w:ind w:firstLine="5400" w:firstLineChars="1800"/>
        <w:rPr>
          <w:rFonts w:ascii="仿宋_GB2312" w:hAnsi="仿宋_GB2312" w:eastAsia="仿宋_GB2312" w:cs="仿宋_GB2312"/>
          <w:color w:val="000000" w:themeColor="text1"/>
          <w:sz w:val="30"/>
          <w:szCs w:val="30"/>
          <w14:textFill>
            <w14:solidFill>
              <w14:schemeClr w14:val="tx1"/>
            </w14:solidFill>
          </w14:textFill>
        </w:rPr>
      </w:pPr>
    </w:p>
    <w:p>
      <w:pPr>
        <w:spacing w:line="320" w:lineRule="exact"/>
        <w:ind w:firstLine="5400" w:firstLineChars="1800"/>
        <w:rPr>
          <w:rFonts w:ascii="仿宋_GB2312" w:hAnsi="仿宋_GB2312" w:eastAsia="仿宋_GB2312" w:cs="仿宋_GB2312"/>
          <w:color w:val="000000" w:themeColor="text1"/>
          <w:sz w:val="30"/>
          <w:szCs w:val="30"/>
          <w14:textFill>
            <w14:solidFill>
              <w14:schemeClr w14:val="tx1"/>
            </w14:solidFill>
          </w14:textFill>
        </w:rPr>
      </w:pPr>
    </w:p>
    <w:p>
      <w:pPr>
        <w:spacing w:line="320" w:lineRule="exact"/>
        <w:ind w:firstLine="5400" w:firstLineChars="18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w:t>
      </w:r>
    </w:p>
    <w:p>
      <w:pPr>
        <w:spacing w:line="320" w:lineRule="exact"/>
        <w:ind w:firstLine="6600" w:firstLineChars="2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年   月   日</w:t>
      </w:r>
    </w:p>
    <w:p>
      <w:pPr>
        <w:widowControl/>
        <w:jc w:val="left"/>
        <w:rPr>
          <w:rFonts w:ascii="仿宋_GB2312" w:eastAsia="仿宋_GB2312"/>
          <w:color w:val="000000" w:themeColor="text1"/>
          <w:sz w:val="24"/>
          <w14:textFill>
            <w14:solidFill>
              <w14:schemeClr w14:val="tx1"/>
            </w14:solidFill>
          </w14:textFill>
        </w:rPr>
      </w:pP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___WRD_EMBED_SUB_41">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Microsoft YaHei U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69</w:t>
    </w:r>
    <w: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5"/>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B59DD"/>
    <w:multiLevelType w:val="singleLevel"/>
    <w:tmpl w:val="848B59DD"/>
    <w:lvl w:ilvl="0" w:tentative="0">
      <w:start w:val="1"/>
      <w:numFmt w:val="decimal"/>
      <w:lvlText w:val="(%1)"/>
      <w:lvlJc w:val="left"/>
      <w:pPr>
        <w:ind w:left="425" w:hanging="425"/>
      </w:pPr>
      <w:rPr>
        <w:rFonts w:hint="default"/>
      </w:rPr>
    </w:lvl>
  </w:abstractNum>
  <w:abstractNum w:abstractNumId="1">
    <w:nsid w:val="8E62B216"/>
    <w:multiLevelType w:val="singleLevel"/>
    <w:tmpl w:val="8E62B216"/>
    <w:lvl w:ilvl="0" w:tentative="0">
      <w:start w:val="1"/>
      <w:numFmt w:val="decimal"/>
      <w:suff w:val="nothing"/>
      <w:lvlText w:val="%1、"/>
      <w:lvlJc w:val="left"/>
    </w:lvl>
  </w:abstractNum>
  <w:abstractNum w:abstractNumId="2">
    <w:nsid w:val="920C4134"/>
    <w:multiLevelType w:val="singleLevel"/>
    <w:tmpl w:val="920C4134"/>
    <w:lvl w:ilvl="0" w:tentative="0">
      <w:start w:val="1"/>
      <w:numFmt w:val="decimal"/>
      <w:lvlText w:val="%1."/>
      <w:lvlJc w:val="left"/>
      <w:pPr>
        <w:ind w:left="425" w:hanging="425"/>
      </w:pPr>
      <w:rPr>
        <w:rFonts w:hint="default"/>
      </w:rPr>
    </w:lvl>
  </w:abstractNum>
  <w:abstractNum w:abstractNumId="3">
    <w:nsid w:val="A07D2C9D"/>
    <w:multiLevelType w:val="singleLevel"/>
    <w:tmpl w:val="A07D2C9D"/>
    <w:lvl w:ilvl="0" w:tentative="0">
      <w:start w:val="1"/>
      <w:numFmt w:val="decimal"/>
      <w:lvlText w:val="(%1)"/>
      <w:lvlJc w:val="left"/>
      <w:pPr>
        <w:ind w:left="425" w:hanging="425"/>
      </w:pPr>
      <w:rPr>
        <w:rFonts w:hint="default"/>
      </w:rPr>
    </w:lvl>
  </w:abstractNum>
  <w:abstractNum w:abstractNumId="4">
    <w:nsid w:val="ABB0D30F"/>
    <w:multiLevelType w:val="singleLevel"/>
    <w:tmpl w:val="ABB0D30F"/>
    <w:lvl w:ilvl="0" w:tentative="0">
      <w:start w:val="1"/>
      <w:numFmt w:val="decimal"/>
      <w:lvlText w:val="(%1)"/>
      <w:lvlJc w:val="left"/>
      <w:pPr>
        <w:ind w:left="425" w:hanging="425"/>
      </w:pPr>
      <w:rPr>
        <w:rFonts w:hint="default"/>
      </w:rPr>
    </w:lvl>
  </w:abstractNum>
  <w:abstractNum w:abstractNumId="5">
    <w:nsid w:val="BC60D1F2"/>
    <w:multiLevelType w:val="singleLevel"/>
    <w:tmpl w:val="BC60D1F2"/>
    <w:lvl w:ilvl="0" w:tentative="0">
      <w:start w:val="1"/>
      <w:numFmt w:val="decimal"/>
      <w:suff w:val="nothing"/>
      <w:lvlText w:val="%1、"/>
      <w:lvlJc w:val="left"/>
    </w:lvl>
  </w:abstractNum>
  <w:abstractNum w:abstractNumId="6">
    <w:nsid w:val="DC33F7D1"/>
    <w:multiLevelType w:val="singleLevel"/>
    <w:tmpl w:val="DC33F7D1"/>
    <w:lvl w:ilvl="0" w:tentative="0">
      <w:start w:val="1"/>
      <w:numFmt w:val="decimal"/>
      <w:suff w:val="nothing"/>
      <w:lvlText w:val="%1、"/>
      <w:lvlJc w:val="left"/>
    </w:lvl>
  </w:abstractNum>
  <w:abstractNum w:abstractNumId="7">
    <w:nsid w:val="DC81F569"/>
    <w:multiLevelType w:val="singleLevel"/>
    <w:tmpl w:val="DC81F569"/>
    <w:lvl w:ilvl="0" w:tentative="0">
      <w:start w:val="1"/>
      <w:numFmt w:val="decimal"/>
      <w:lvlText w:val="%1."/>
      <w:lvlJc w:val="left"/>
      <w:pPr>
        <w:ind w:left="425" w:hanging="425"/>
      </w:pPr>
      <w:rPr>
        <w:rFonts w:hint="default"/>
      </w:rPr>
    </w:lvl>
  </w:abstractNum>
  <w:abstractNum w:abstractNumId="8">
    <w:nsid w:val="DCEFA1ED"/>
    <w:multiLevelType w:val="singleLevel"/>
    <w:tmpl w:val="DCEFA1ED"/>
    <w:lvl w:ilvl="0" w:tentative="0">
      <w:start w:val="1"/>
      <w:numFmt w:val="decimal"/>
      <w:suff w:val="nothing"/>
      <w:lvlText w:val="%1、"/>
      <w:lvlJc w:val="left"/>
      <w:rPr>
        <w:rFonts w:ascii="仿宋" w:hAnsi="仿宋" w:eastAsia="仿宋" w:cs="仿宋"/>
      </w:rPr>
    </w:lvl>
  </w:abstractNum>
  <w:abstractNum w:abstractNumId="9">
    <w:nsid w:val="DFDB6591"/>
    <w:multiLevelType w:val="singleLevel"/>
    <w:tmpl w:val="DFDB6591"/>
    <w:lvl w:ilvl="0" w:tentative="0">
      <w:start w:val="1"/>
      <w:numFmt w:val="decimal"/>
      <w:lvlText w:val="(%1)"/>
      <w:lvlJc w:val="left"/>
      <w:pPr>
        <w:ind w:left="425" w:hanging="425"/>
      </w:pPr>
      <w:rPr>
        <w:rFonts w:hint="default"/>
      </w:rPr>
    </w:lvl>
  </w:abstractNum>
  <w:abstractNum w:abstractNumId="10">
    <w:nsid w:val="0000001D"/>
    <w:multiLevelType w:val="multilevel"/>
    <w:tmpl w:val="0000001D"/>
    <w:lvl w:ilvl="0" w:tentative="0">
      <w:start w:val="1"/>
      <w:numFmt w:val="decimal"/>
      <w:lvlText w:val="%1."/>
      <w:lvlJc w:val="left"/>
      <w:pPr>
        <w:tabs>
          <w:tab w:val="left" w:pos="360"/>
        </w:tabs>
        <w:ind w:left="0" w:firstLine="0"/>
      </w:pPr>
      <w:rPr>
        <w:rFonts w:hint="eastAsia"/>
        <w:b/>
        <w:i w:val="0"/>
        <w:sz w:val="28"/>
        <w:szCs w:val="28"/>
      </w:rPr>
    </w:lvl>
    <w:lvl w:ilvl="1" w:tentative="0">
      <w:start w:val="1"/>
      <w:numFmt w:val="decimal"/>
      <w:lvlText w:val="%2)"/>
      <w:lvlJc w:val="left"/>
      <w:pPr>
        <w:tabs>
          <w:tab w:val="left" w:pos="644"/>
        </w:tabs>
        <w:ind w:left="284" w:firstLine="0"/>
      </w:pPr>
      <w:rPr>
        <w:rFonts w:hint="default"/>
        <w:b w:val="0"/>
        <w:bCs/>
        <w:i w:val="0"/>
        <w:spacing w:val="0"/>
        <w:w w:val="100"/>
        <w:position w:val="0"/>
        <w:sz w:val="24"/>
        <w:szCs w:val="24"/>
      </w:rPr>
    </w:lvl>
    <w:lvl w:ilvl="2" w:tentative="0">
      <w:start w:val="1"/>
      <w:numFmt w:val="decimal"/>
      <w:lvlText w:val="%1.%2.%3"/>
      <w:lvlJc w:val="left"/>
      <w:pPr>
        <w:tabs>
          <w:tab w:val="left" w:pos="1296"/>
        </w:tabs>
        <w:ind w:left="576" w:firstLine="0"/>
      </w:pPr>
      <w:rPr>
        <w:rFonts w:hint="default" w:ascii="Arial Unicode MS" w:hAnsi="Arial Unicode MS" w:eastAsia="Arial Unicode MS" w:cs="Arial Unicode MS"/>
        <w:b/>
        <w:i w:val="0"/>
        <w:sz w:val="24"/>
        <w:szCs w:val="24"/>
      </w:rPr>
    </w:lvl>
    <w:lvl w:ilvl="3" w:tentative="0">
      <w:start w:val="1"/>
      <w:numFmt w:val="decimal"/>
      <w:lvlText w:val="%1.%2.%3.%4"/>
      <w:lvlJc w:val="left"/>
      <w:pPr>
        <w:tabs>
          <w:tab w:val="left" w:pos="1440"/>
        </w:tabs>
        <w:ind w:left="1440" w:hanging="864"/>
      </w:pPr>
      <w:rPr>
        <w:rFonts w:hint="eastAsia" w:cs="Times New Roman"/>
      </w:rPr>
    </w:lvl>
    <w:lvl w:ilvl="4" w:tentative="0">
      <w:start w:val="1"/>
      <w:numFmt w:val="decimal"/>
      <w:lvlText w:val="%1.%2.%3.%4.%5"/>
      <w:lvlJc w:val="left"/>
      <w:pPr>
        <w:tabs>
          <w:tab w:val="left" w:pos="1584"/>
        </w:tabs>
        <w:ind w:left="1584" w:hanging="1008"/>
      </w:pPr>
      <w:rPr>
        <w:rFonts w:hint="eastAsia" w:cs="Times New Roman"/>
      </w:rPr>
    </w:lvl>
    <w:lvl w:ilvl="5" w:tentative="0">
      <w:start w:val="1"/>
      <w:numFmt w:val="decimal"/>
      <w:lvlText w:val="%1.%2.%3.%4.%5.%6"/>
      <w:lvlJc w:val="left"/>
      <w:pPr>
        <w:tabs>
          <w:tab w:val="left" w:pos="1728"/>
        </w:tabs>
        <w:ind w:left="1728" w:hanging="1152"/>
      </w:pPr>
      <w:rPr>
        <w:rFonts w:hint="eastAsia" w:cs="Times New Roman"/>
      </w:rPr>
    </w:lvl>
    <w:lvl w:ilvl="6" w:tentative="0">
      <w:start w:val="1"/>
      <w:numFmt w:val="decimal"/>
      <w:lvlText w:val="%1.%2.%3.%4.%5.%6.%7"/>
      <w:lvlJc w:val="left"/>
      <w:pPr>
        <w:tabs>
          <w:tab w:val="left" w:pos="1872"/>
        </w:tabs>
        <w:ind w:left="1872" w:hanging="1296"/>
      </w:pPr>
      <w:rPr>
        <w:rFonts w:hint="eastAsia" w:cs="Times New Roman"/>
      </w:rPr>
    </w:lvl>
    <w:lvl w:ilvl="7" w:tentative="0">
      <w:start w:val="1"/>
      <w:numFmt w:val="decimal"/>
      <w:lvlText w:val="%1.%2.%3.%4.%5.%6.%7.%8"/>
      <w:lvlJc w:val="left"/>
      <w:pPr>
        <w:tabs>
          <w:tab w:val="left" w:pos="2016"/>
        </w:tabs>
        <w:ind w:left="2016" w:hanging="1440"/>
      </w:pPr>
      <w:rPr>
        <w:rFonts w:hint="eastAsia" w:cs="Times New Roman"/>
      </w:rPr>
    </w:lvl>
    <w:lvl w:ilvl="8" w:tentative="0">
      <w:start w:val="1"/>
      <w:numFmt w:val="decimal"/>
      <w:lvlText w:val="%1.%2.%3.%4.%5.%6.%7.%8.%9"/>
      <w:lvlJc w:val="left"/>
      <w:pPr>
        <w:tabs>
          <w:tab w:val="left" w:pos="2160"/>
        </w:tabs>
        <w:ind w:left="2160" w:hanging="1584"/>
      </w:pPr>
      <w:rPr>
        <w:rFonts w:hint="eastAsia" w:cs="Times New Roman"/>
      </w:rPr>
    </w:lvl>
  </w:abstractNum>
  <w:abstractNum w:abstractNumId="11">
    <w:nsid w:val="06133CE6"/>
    <w:multiLevelType w:val="multilevel"/>
    <w:tmpl w:val="06133CE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7F6334A"/>
    <w:multiLevelType w:val="singleLevel"/>
    <w:tmpl w:val="07F6334A"/>
    <w:lvl w:ilvl="0" w:tentative="0">
      <w:start w:val="1"/>
      <w:numFmt w:val="decimal"/>
      <w:lvlText w:val="%1."/>
      <w:lvlJc w:val="left"/>
      <w:pPr>
        <w:ind w:left="425" w:hanging="425"/>
      </w:pPr>
      <w:rPr>
        <w:rFonts w:hint="default"/>
      </w:rPr>
    </w:lvl>
  </w:abstractNum>
  <w:abstractNum w:abstractNumId="13">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15D30159"/>
    <w:multiLevelType w:val="multilevel"/>
    <w:tmpl w:val="15D30159"/>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5">
    <w:nsid w:val="33575C22"/>
    <w:multiLevelType w:val="multilevel"/>
    <w:tmpl w:val="33575C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9CC7A2E"/>
    <w:multiLevelType w:val="multilevel"/>
    <w:tmpl w:val="39CC7A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7FD865"/>
    <w:multiLevelType w:val="singleLevel"/>
    <w:tmpl w:val="3E7FD865"/>
    <w:lvl w:ilvl="0" w:tentative="0">
      <w:start w:val="2"/>
      <w:numFmt w:val="chineseCounting"/>
      <w:suff w:val="nothing"/>
      <w:lvlText w:val="%1、"/>
      <w:lvlJc w:val="left"/>
      <w:rPr>
        <w:rFonts w:hint="eastAsia"/>
      </w:rPr>
    </w:lvl>
  </w:abstractNum>
  <w:abstractNum w:abstractNumId="18">
    <w:nsid w:val="3F3644E6"/>
    <w:multiLevelType w:val="singleLevel"/>
    <w:tmpl w:val="3F3644E6"/>
    <w:lvl w:ilvl="0" w:tentative="0">
      <w:start w:val="1"/>
      <w:numFmt w:val="decimal"/>
      <w:lvlText w:val="%1."/>
      <w:lvlJc w:val="left"/>
      <w:pPr>
        <w:ind w:left="425" w:hanging="425"/>
      </w:pPr>
      <w:rPr>
        <w:rFonts w:hint="default"/>
      </w:rPr>
    </w:lvl>
  </w:abstractNum>
  <w:abstractNum w:abstractNumId="19">
    <w:nsid w:val="4162F99E"/>
    <w:multiLevelType w:val="singleLevel"/>
    <w:tmpl w:val="4162F99E"/>
    <w:lvl w:ilvl="0" w:tentative="0">
      <w:start w:val="1"/>
      <w:numFmt w:val="decimal"/>
      <w:lvlText w:val="%1."/>
      <w:lvlJc w:val="left"/>
      <w:pPr>
        <w:ind w:left="425" w:hanging="425"/>
      </w:pPr>
      <w:rPr>
        <w:rFonts w:hint="default"/>
      </w:rPr>
    </w:lvl>
  </w:abstractNum>
  <w:abstractNum w:abstractNumId="20">
    <w:nsid w:val="466F5B9D"/>
    <w:multiLevelType w:val="multilevel"/>
    <w:tmpl w:val="466F5B9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54A57EC1"/>
    <w:multiLevelType w:val="multilevel"/>
    <w:tmpl w:val="54A57EC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55B704D0"/>
    <w:multiLevelType w:val="singleLevel"/>
    <w:tmpl w:val="55B704D0"/>
    <w:lvl w:ilvl="0" w:tentative="0">
      <w:start w:val="1"/>
      <w:numFmt w:val="decimal"/>
      <w:suff w:val="nothing"/>
      <w:lvlText w:val="%1、"/>
      <w:lvlJc w:val="left"/>
    </w:lvl>
  </w:abstractNum>
  <w:abstractNum w:abstractNumId="23">
    <w:nsid w:val="5DA3E5F2"/>
    <w:multiLevelType w:val="singleLevel"/>
    <w:tmpl w:val="5DA3E5F2"/>
    <w:lvl w:ilvl="0" w:tentative="0">
      <w:start w:val="1"/>
      <w:numFmt w:val="chineseCounting"/>
      <w:suff w:val="nothing"/>
      <w:lvlText w:val="%1、"/>
      <w:lvlJc w:val="left"/>
      <w:rPr>
        <w:rFonts w:hint="eastAsia"/>
      </w:rPr>
    </w:lvl>
  </w:abstractNum>
  <w:abstractNum w:abstractNumId="24">
    <w:nsid w:val="604037B9"/>
    <w:multiLevelType w:val="multilevel"/>
    <w:tmpl w:val="604037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E8664F5"/>
    <w:multiLevelType w:val="multilevel"/>
    <w:tmpl w:val="6E8664F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abstractNum w:abstractNumId="27">
    <w:nsid w:val="78565540"/>
    <w:multiLevelType w:val="singleLevel"/>
    <w:tmpl w:val="78565540"/>
    <w:lvl w:ilvl="0" w:tentative="0">
      <w:start w:val="1"/>
      <w:numFmt w:val="decimal"/>
      <w:lvlText w:val="%1."/>
      <w:lvlJc w:val="left"/>
      <w:pPr>
        <w:ind w:left="425" w:hanging="425"/>
      </w:pPr>
      <w:rPr>
        <w:rFonts w:hint="default"/>
      </w:rPr>
    </w:lvl>
  </w:abstractNum>
  <w:num w:numId="1">
    <w:abstractNumId w:val="22"/>
  </w:num>
  <w:num w:numId="2">
    <w:abstractNumId w:val="23"/>
  </w:num>
  <w:num w:numId="3">
    <w:abstractNumId w:val="8"/>
  </w:num>
  <w:num w:numId="4">
    <w:abstractNumId w:val="24"/>
  </w:num>
  <w:num w:numId="5">
    <w:abstractNumId w:val="11"/>
  </w:num>
  <w:num w:numId="6">
    <w:abstractNumId w:val="19"/>
  </w:num>
  <w:num w:numId="7">
    <w:abstractNumId w:val="27"/>
  </w:num>
  <w:num w:numId="8">
    <w:abstractNumId w:val="20"/>
  </w:num>
  <w:num w:numId="9">
    <w:abstractNumId w:val="16"/>
  </w:num>
  <w:num w:numId="10">
    <w:abstractNumId w:val="2"/>
  </w:num>
  <w:num w:numId="11">
    <w:abstractNumId w:val="18"/>
  </w:num>
  <w:num w:numId="12">
    <w:abstractNumId w:val="21"/>
  </w:num>
  <w:num w:numId="13">
    <w:abstractNumId w:val="14"/>
  </w:num>
  <w:num w:numId="14">
    <w:abstractNumId w:val="10"/>
  </w:num>
  <w:num w:numId="15">
    <w:abstractNumId w:val="7"/>
  </w:num>
  <w:num w:numId="16">
    <w:abstractNumId w:val="4"/>
  </w:num>
  <w:num w:numId="17">
    <w:abstractNumId w:val="9"/>
  </w:num>
  <w:num w:numId="18">
    <w:abstractNumId w:val="0"/>
  </w:num>
  <w:num w:numId="19">
    <w:abstractNumId w:val="3"/>
  </w:num>
  <w:num w:numId="20">
    <w:abstractNumId w:val="12"/>
  </w:num>
  <w:num w:numId="21">
    <w:abstractNumId w:val="26"/>
  </w:num>
  <w:num w:numId="22">
    <w:abstractNumId w:val="6"/>
  </w:num>
  <w:num w:numId="23">
    <w:abstractNumId w:val="17"/>
  </w:num>
  <w:num w:numId="24">
    <w:abstractNumId w:val="5"/>
  </w:num>
  <w:num w:numId="25">
    <w:abstractNumId w:val="15"/>
  </w:num>
  <w:num w:numId="26">
    <w:abstractNumId w:val="25"/>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NmFhMjhiYzk1OTljYTNkYTkxYzBmYTQzZWNhYjUifQ=="/>
  </w:docVars>
  <w:rsids>
    <w:rsidRoot w:val="00172A27"/>
    <w:rsid w:val="000027B9"/>
    <w:rsid w:val="000043B8"/>
    <w:rsid w:val="00006DCF"/>
    <w:rsid w:val="00007AC2"/>
    <w:rsid w:val="00013526"/>
    <w:rsid w:val="00014507"/>
    <w:rsid w:val="00014DA8"/>
    <w:rsid w:val="00016CEB"/>
    <w:rsid w:val="00017403"/>
    <w:rsid w:val="000174FD"/>
    <w:rsid w:val="000201B6"/>
    <w:rsid w:val="00021F65"/>
    <w:rsid w:val="00022B1C"/>
    <w:rsid w:val="0002452E"/>
    <w:rsid w:val="00025E05"/>
    <w:rsid w:val="00026507"/>
    <w:rsid w:val="00026C98"/>
    <w:rsid w:val="00027CD3"/>
    <w:rsid w:val="00030173"/>
    <w:rsid w:val="000304C8"/>
    <w:rsid w:val="000308E2"/>
    <w:rsid w:val="0003164C"/>
    <w:rsid w:val="000357BF"/>
    <w:rsid w:val="0004015A"/>
    <w:rsid w:val="00040562"/>
    <w:rsid w:val="00042F15"/>
    <w:rsid w:val="00042F43"/>
    <w:rsid w:val="00052740"/>
    <w:rsid w:val="00052B75"/>
    <w:rsid w:val="00054B98"/>
    <w:rsid w:val="0005745F"/>
    <w:rsid w:val="000578A1"/>
    <w:rsid w:val="00057BF7"/>
    <w:rsid w:val="00061044"/>
    <w:rsid w:val="0006310D"/>
    <w:rsid w:val="000636B8"/>
    <w:rsid w:val="0006371E"/>
    <w:rsid w:val="000670DD"/>
    <w:rsid w:val="00071BE6"/>
    <w:rsid w:val="000733C3"/>
    <w:rsid w:val="0007407D"/>
    <w:rsid w:val="00074BE8"/>
    <w:rsid w:val="00075F7E"/>
    <w:rsid w:val="00076D3D"/>
    <w:rsid w:val="00076F6F"/>
    <w:rsid w:val="0007748C"/>
    <w:rsid w:val="000824B3"/>
    <w:rsid w:val="00090D0A"/>
    <w:rsid w:val="00092D05"/>
    <w:rsid w:val="00096552"/>
    <w:rsid w:val="000966BA"/>
    <w:rsid w:val="000A3C01"/>
    <w:rsid w:val="000A614A"/>
    <w:rsid w:val="000A7CF1"/>
    <w:rsid w:val="000B0DA6"/>
    <w:rsid w:val="000B1571"/>
    <w:rsid w:val="000B4250"/>
    <w:rsid w:val="000B728A"/>
    <w:rsid w:val="000B7826"/>
    <w:rsid w:val="000C061C"/>
    <w:rsid w:val="000C0C3F"/>
    <w:rsid w:val="000C23BA"/>
    <w:rsid w:val="000C2D5F"/>
    <w:rsid w:val="000C3049"/>
    <w:rsid w:val="000C42CB"/>
    <w:rsid w:val="000D0303"/>
    <w:rsid w:val="000D1B9E"/>
    <w:rsid w:val="000D630B"/>
    <w:rsid w:val="000D69B2"/>
    <w:rsid w:val="000D7D2C"/>
    <w:rsid w:val="000E0CFC"/>
    <w:rsid w:val="000E17B8"/>
    <w:rsid w:val="000F09A7"/>
    <w:rsid w:val="000F2087"/>
    <w:rsid w:val="000F27A2"/>
    <w:rsid w:val="000F29B8"/>
    <w:rsid w:val="00100F64"/>
    <w:rsid w:val="00101F13"/>
    <w:rsid w:val="001021AB"/>
    <w:rsid w:val="00102FED"/>
    <w:rsid w:val="00107F59"/>
    <w:rsid w:val="00111E91"/>
    <w:rsid w:val="00114119"/>
    <w:rsid w:val="00115CF9"/>
    <w:rsid w:val="00115EE5"/>
    <w:rsid w:val="00117CF6"/>
    <w:rsid w:val="001210EC"/>
    <w:rsid w:val="00121CE3"/>
    <w:rsid w:val="00122431"/>
    <w:rsid w:val="00122F3A"/>
    <w:rsid w:val="00124F2D"/>
    <w:rsid w:val="00126BA4"/>
    <w:rsid w:val="00127892"/>
    <w:rsid w:val="00127BBF"/>
    <w:rsid w:val="00130325"/>
    <w:rsid w:val="00132A8F"/>
    <w:rsid w:val="00133043"/>
    <w:rsid w:val="001354ED"/>
    <w:rsid w:val="00135E54"/>
    <w:rsid w:val="00140EE6"/>
    <w:rsid w:val="00141C3D"/>
    <w:rsid w:val="001440A1"/>
    <w:rsid w:val="00144B13"/>
    <w:rsid w:val="0014507D"/>
    <w:rsid w:val="001456C4"/>
    <w:rsid w:val="00146BA7"/>
    <w:rsid w:val="0015578B"/>
    <w:rsid w:val="00155D04"/>
    <w:rsid w:val="00156CA9"/>
    <w:rsid w:val="00160408"/>
    <w:rsid w:val="00160805"/>
    <w:rsid w:val="00163DBC"/>
    <w:rsid w:val="00166D9A"/>
    <w:rsid w:val="0017095F"/>
    <w:rsid w:val="00170C3B"/>
    <w:rsid w:val="00171139"/>
    <w:rsid w:val="001712C8"/>
    <w:rsid w:val="0017176C"/>
    <w:rsid w:val="00171947"/>
    <w:rsid w:val="00172A27"/>
    <w:rsid w:val="001735B3"/>
    <w:rsid w:val="0017406E"/>
    <w:rsid w:val="001746D2"/>
    <w:rsid w:val="00174CF2"/>
    <w:rsid w:val="001804B2"/>
    <w:rsid w:val="00180755"/>
    <w:rsid w:val="001816F4"/>
    <w:rsid w:val="00181803"/>
    <w:rsid w:val="00181F26"/>
    <w:rsid w:val="001832CE"/>
    <w:rsid w:val="001842B2"/>
    <w:rsid w:val="00185537"/>
    <w:rsid w:val="00186179"/>
    <w:rsid w:val="001871F8"/>
    <w:rsid w:val="00191838"/>
    <w:rsid w:val="00193278"/>
    <w:rsid w:val="001959BB"/>
    <w:rsid w:val="001A0B8C"/>
    <w:rsid w:val="001A1B81"/>
    <w:rsid w:val="001A3B22"/>
    <w:rsid w:val="001A4661"/>
    <w:rsid w:val="001A611F"/>
    <w:rsid w:val="001A6D3C"/>
    <w:rsid w:val="001B25F3"/>
    <w:rsid w:val="001B6488"/>
    <w:rsid w:val="001B7683"/>
    <w:rsid w:val="001C05BE"/>
    <w:rsid w:val="001C39AF"/>
    <w:rsid w:val="001C57CA"/>
    <w:rsid w:val="001C74BA"/>
    <w:rsid w:val="001D146B"/>
    <w:rsid w:val="001D18AD"/>
    <w:rsid w:val="001D324F"/>
    <w:rsid w:val="001D547D"/>
    <w:rsid w:val="001D7884"/>
    <w:rsid w:val="001E2063"/>
    <w:rsid w:val="001E4079"/>
    <w:rsid w:val="001E7B66"/>
    <w:rsid w:val="001F0BD5"/>
    <w:rsid w:val="001F0D2F"/>
    <w:rsid w:val="001F1473"/>
    <w:rsid w:val="001F1E9C"/>
    <w:rsid w:val="001F5D34"/>
    <w:rsid w:val="001F6061"/>
    <w:rsid w:val="001F6C5F"/>
    <w:rsid w:val="00200201"/>
    <w:rsid w:val="002005E5"/>
    <w:rsid w:val="00200661"/>
    <w:rsid w:val="00200B27"/>
    <w:rsid w:val="00200E11"/>
    <w:rsid w:val="002030B3"/>
    <w:rsid w:val="002046FC"/>
    <w:rsid w:val="00210A08"/>
    <w:rsid w:val="00210D3C"/>
    <w:rsid w:val="002115FC"/>
    <w:rsid w:val="00211EF2"/>
    <w:rsid w:val="00215417"/>
    <w:rsid w:val="00221343"/>
    <w:rsid w:val="00223615"/>
    <w:rsid w:val="00223743"/>
    <w:rsid w:val="00223765"/>
    <w:rsid w:val="00225293"/>
    <w:rsid w:val="00225A50"/>
    <w:rsid w:val="00225B3C"/>
    <w:rsid w:val="002260B0"/>
    <w:rsid w:val="00226132"/>
    <w:rsid w:val="002265B4"/>
    <w:rsid w:val="002267DF"/>
    <w:rsid w:val="00226CF2"/>
    <w:rsid w:val="00231B8C"/>
    <w:rsid w:val="00232E8F"/>
    <w:rsid w:val="002331C4"/>
    <w:rsid w:val="002362DD"/>
    <w:rsid w:val="00236ED0"/>
    <w:rsid w:val="002434B9"/>
    <w:rsid w:val="002461B6"/>
    <w:rsid w:val="00246662"/>
    <w:rsid w:val="00247A35"/>
    <w:rsid w:val="00250C82"/>
    <w:rsid w:val="00253639"/>
    <w:rsid w:val="00255794"/>
    <w:rsid w:val="00256322"/>
    <w:rsid w:val="0025780B"/>
    <w:rsid w:val="0026142B"/>
    <w:rsid w:val="00261873"/>
    <w:rsid w:val="0026189F"/>
    <w:rsid w:val="002618B6"/>
    <w:rsid w:val="00264967"/>
    <w:rsid w:val="00264CA3"/>
    <w:rsid w:val="0027576F"/>
    <w:rsid w:val="00276C7C"/>
    <w:rsid w:val="00281479"/>
    <w:rsid w:val="00282D45"/>
    <w:rsid w:val="002855D9"/>
    <w:rsid w:val="00293044"/>
    <w:rsid w:val="00293346"/>
    <w:rsid w:val="00293A8D"/>
    <w:rsid w:val="0029629E"/>
    <w:rsid w:val="00297623"/>
    <w:rsid w:val="002A1B0B"/>
    <w:rsid w:val="002A31FE"/>
    <w:rsid w:val="002A520F"/>
    <w:rsid w:val="002A6B30"/>
    <w:rsid w:val="002B0478"/>
    <w:rsid w:val="002B1EBB"/>
    <w:rsid w:val="002B1EF0"/>
    <w:rsid w:val="002B2FC5"/>
    <w:rsid w:val="002B3DDC"/>
    <w:rsid w:val="002B50DC"/>
    <w:rsid w:val="002B5FCE"/>
    <w:rsid w:val="002B73F9"/>
    <w:rsid w:val="002C0522"/>
    <w:rsid w:val="002D08CB"/>
    <w:rsid w:val="002D19BA"/>
    <w:rsid w:val="002D2118"/>
    <w:rsid w:val="002D2448"/>
    <w:rsid w:val="002D31C1"/>
    <w:rsid w:val="002D3500"/>
    <w:rsid w:val="002D3888"/>
    <w:rsid w:val="002D47D3"/>
    <w:rsid w:val="002E0393"/>
    <w:rsid w:val="002E06FD"/>
    <w:rsid w:val="002E193B"/>
    <w:rsid w:val="002E25CE"/>
    <w:rsid w:val="002E3FFC"/>
    <w:rsid w:val="002E5D9C"/>
    <w:rsid w:val="002E5DDF"/>
    <w:rsid w:val="002F16B3"/>
    <w:rsid w:val="00301563"/>
    <w:rsid w:val="003015B7"/>
    <w:rsid w:val="00304DD7"/>
    <w:rsid w:val="00305771"/>
    <w:rsid w:val="00307294"/>
    <w:rsid w:val="003105BF"/>
    <w:rsid w:val="003109BB"/>
    <w:rsid w:val="00311FED"/>
    <w:rsid w:val="00312C32"/>
    <w:rsid w:val="00313166"/>
    <w:rsid w:val="003134DE"/>
    <w:rsid w:val="003166F8"/>
    <w:rsid w:val="00321727"/>
    <w:rsid w:val="00322CF7"/>
    <w:rsid w:val="00322DFA"/>
    <w:rsid w:val="0032480C"/>
    <w:rsid w:val="003272EE"/>
    <w:rsid w:val="0033248F"/>
    <w:rsid w:val="00334ED9"/>
    <w:rsid w:val="00336E89"/>
    <w:rsid w:val="00342593"/>
    <w:rsid w:val="00345BC5"/>
    <w:rsid w:val="0034667C"/>
    <w:rsid w:val="003469AE"/>
    <w:rsid w:val="003501E0"/>
    <w:rsid w:val="00351483"/>
    <w:rsid w:val="003602B9"/>
    <w:rsid w:val="003606D4"/>
    <w:rsid w:val="003608EE"/>
    <w:rsid w:val="00363F36"/>
    <w:rsid w:val="00364ABF"/>
    <w:rsid w:val="003664CF"/>
    <w:rsid w:val="003666BE"/>
    <w:rsid w:val="00367FF7"/>
    <w:rsid w:val="00374408"/>
    <w:rsid w:val="00374CCE"/>
    <w:rsid w:val="00375933"/>
    <w:rsid w:val="00376452"/>
    <w:rsid w:val="00380064"/>
    <w:rsid w:val="003828A5"/>
    <w:rsid w:val="00386C11"/>
    <w:rsid w:val="003917AF"/>
    <w:rsid w:val="00392394"/>
    <w:rsid w:val="0039243F"/>
    <w:rsid w:val="0039450B"/>
    <w:rsid w:val="00394950"/>
    <w:rsid w:val="00394A2B"/>
    <w:rsid w:val="0039714F"/>
    <w:rsid w:val="003A03F7"/>
    <w:rsid w:val="003A478C"/>
    <w:rsid w:val="003A479F"/>
    <w:rsid w:val="003A4900"/>
    <w:rsid w:val="003A4C7F"/>
    <w:rsid w:val="003C10DA"/>
    <w:rsid w:val="003C79FE"/>
    <w:rsid w:val="003D0EED"/>
    <w:rsid w:val="003D44E9"/>
    <w:rsid w:val="003D59B3"/>
    <w:rsid w:val="003D692E"/>
    <w:rsid w:val="003D6A42"/>
    <w:rsid w:val="003E07FA"/>
    <w:rsid w:val="003E08EF"/>
    <w:rsid w:val="003E41F1"/>
    <w:rsid w:val="003E4B1B"/>
    <w:rsid w:val="003E5467"/>
    <w:rsid w:val="003E70F3"/>
    <w:rsid w:val="003F002E"/>
    <w:rsid w:val="003F010C"/>
    <w:rsid w:val="003F189C"/>
    <w:rsid w:val="003F2012"/>
    <w:rsid w:val="003F61F0"/>
    <w:rsid w:val="004028A5"/>
    <w:rsid w:val="004108B1"/>
    <w:rsid w:val="004163FC"/>
    <w:rsid w:val="004167A0"/>
    <w:rsid w:val="004200A7"/>
    <w:rsid w:val="00420A53"/>
    <w:rsid w:val="0042134B"/>
    <w:rsid w:val="00421366"/>
    <w:rsid w:val="00423B94"/>
    <w:rsid w:val="00423D78"/>
    <w:rsid w:val="00426B4D"/>
    <w:rsid w:val="00427D3D"/>
    <w:rsid w:val="00430740"/>
    <w:rsid w:val="0043278B"/>
    <w:rsid w:val="00433984"/>
    <w:rsid w:val="00434865"/>
    <w:rsid w:val="00437462"/>
    <w:rsid w:val="00441656"/>
    <w:rsid w:val="004426EC"/>
    <w:rsid w:val="004432AF"/>
    <w:rsid w:val="00445A9E"/>
    <w:rsid w:val="00447104"/>
    <w:rsid w:val="00447F9D"/>
    <w:rsid w:val="004511C8"/>
    <w:rsid w:val="004535FF"/>
    <w:rsid w:val="00454000"/>
    <w:rsid w:val="00454DF4"/>
    <w:rsid w:val="00456648"/>
    <w:rsid w:val="004601F1"/>
    <w:rsid w:val="00461DDC"/>
    <w:rsid w:val="004622CC"/>
    <w:rsid w:val="00462B27"/>
    <w:rsid w:val="00466809"/>
    <w:rsid w:val="004669FD"/>
    <w:rsid w:val="00472003"/>
    <w:rsid w:val="0047339A"/>
    <w:rsid w:val="00474793"/>
    <w:rsid w:val="0048094B"/>
    <w:rsid w:val="00480C9B"/>
    <w:rsid w:val="004830F7"/>
    <w:rsid w:val="0048310F"/>
    <w:rsid w:val="00487C9D"/>
    <w:rsid w:val="004908B0"/>
    <w:rsid w:val="0049465B"/>
    <w:rsid w:val="00494C77"/>
    <w:rsid w:val="004956FC"/>
    <w:rsid w:val="004964C2"/>
    <w:rsid w:val="00496843"/>
    <w:rsid w:val="004A0074"/>
    <w:rsid w:val="004A056C"/>
    <w:rsid w:val="004A1FE7"/>
    <w:rsid w:val="004A229C"/>
    <w:rsid w:val="004A5797"/>
    <w:rsid w:val="004A6301"/>
    <w:rsid w:val="004A7C61"/>
    <w:rsid w:val="004B2995"/>
    <w:rsid w:val="004B63DD"/>
    <w:rsid w:val="004B66A8"/>
    <w:rsid w:val="004C29BA"/>
    <w:rsid w:val="004C2FC1"/>
    <w:rsid w:val="004C40D1"/>
    <w:rsid w:val="004C575A"/>
    <w:rsid w:val="004C57F8"/>
    <w:rsid w:val="004C77C6"/>
    <w:rsid w:val="004D22D5"/>
    <w:rsid w:val="004D30A2"/>
    <w:rsid w:val="004D4499"/>
    <w:rsid w:val="004D530E"/>
    <w:rsid w:val="004E3B89"/>
    <w:rsid w:val="004E487C"/>
    <w:rsid w:val="004E5FCE"/>
    <w:rsid w:val="004F0689"/>
    <w:rsid w:val="004F0ABD"/>
    <w:rsid w:val="004F12EE"/>
    <w:rsid w:val="004F2E60"/>
    <w:rsid w:val="004F3507"/>
    <w:rsid w:val="004F406E"/>
    <w:rsid w:val="004F43A2"/>
    <w:rsid w:val="004F5CB8"/>
    <w:rsid w:val="0050324A"/>
    <w:rsid w:val="00503E89"/>
    <w:rsid w:val="00510C0A"/>
    <w:rsid w:val="00511A80"/>
    <w:rsid w:val="00511AFD"/>
    <w:rsid w:val="00511D70"/>
    <w:rsid w:val="005134EE"/>
    <w:rsid w:val="005135BF"/>
    <w:rsid w:val="00514230"/>
    <w:rsid w:val="00514D8A"/>
    <w:rsid w:val="00515F75"/>
    <w:rsid w:val="005160A1"/>
    <w:rsid w:val="005161AD"/>
    <w:rsid w:val="00516539"/>
    <w:rsid w:val="00516AC8"/>
    <w:rsid w:val="00522BD7"/>
    <w:rsid w:val="00525AFA"/>
    <w:rsid w:val="00526125"/>
    <w:rsid w:val="00527704"/>
    <w:rsid w:val="00530FD0"/>
    <w:rsid w:val="0053373A"/>
    <w:rsid w:val="0053657A"/>
    <w:rsid w:val="00536D1D"/>
    <w:rsid w:val="00537C24"/>
    <w:rsid w:val="00543A0D"/>
    <w:rsid w:val="00543E88"/>
    <w:rsid w:val="00546836"/>
    <w:rsid w:val="0054695F"/>
    <w:rsid w:val="00547545"/>
    <w:rsid w:val="005475F2"/>
    <w:rsid w:val="00550AF7"/>
    <w:rsid w:val="0055136C"/>
    <w:rsid w:val="00551DFB"/>
    <w:rsid w:val="00557B5E"/>
    <w:rsid w:val="00562AEB"/>
    <w:rsid w:val="00562DE5"/>
    <w:rsid w:val="00564334"/>
    <w:rsid w:val="00567123"/>
    <w:rsid w:val="0056752B"/>
    <w:rsid w:val="00572157"/>
    <w:rsid w:val="00572F68"/>
    <w:rsid w:val="00574304"/>
    <w:rsid w:val="0057455A"/>
    <w:rsid w:val="0057739E"/>
    <w:rsid w:val="0058122B"/>
    <w:rsid w:val="00581740"/>
    <w:rsid w:val="005821EA"/>
    <w:rsid w:val="00582562"/>
    <w:rsid w:val="00582DB7"/>
    <w:rsid w:val="005831F5"/>
    <w:rsid w:val="00584420"/>
    <w:rsid w:val="00586CBA"/>
    <w:rsid w:val="005873D5"/>
    <w:rsid w:val="00587C42"/>
    <w:rsid w:val="0059256F"/>
    <w:rsid w:val="00593A71"/>
    <w:rsid w:val="0059417E"/>
    <w:rsid w:val="00594F61"/>
    <w:rsid w:val="00595087"/>
    <w:rsid w:val="0059669F"/>
    <w:rsid w:val="0059790F"/>
    <w:rsid w:val="005A1C8F"/>
    <w:rsid w:val="005A3406"/>
    <w:rsid w:val="005A4761"/>
    <w:rsid w:val="005A659B"/>
    <w:rsid w:val="005A79D1"/>
    <w:rsid w:val="005A7E86"/>
    <w:rsid w:val="005B1146"/>
    <w:rsid w:val="005B1250"/>
    <w:rsid w:val="005B6639"/>
    <w:rsid w:val="005B6C6A"/>
    <w:rsid w:val="005C0403"/>
    <w:rsid w:val="005C0DBE"/>
    <w:rsid w:val="005C36E1"/>
    <w:rsid w:val="005C4177"/>
    <w:rsid w:val="005C668E"/>
    <w:rsid w:val="005C7A1D"/>
    <w:rsid w:val="005C7BB8"/>
    <w:rsid w:val="005D005E"/>
    <w:rsid w:val="005D199A"/>
    <w:rsid w:val="005D2219"/>
    <w:rsid w:val="005D2C86"/>
    <w:rsid w:val="005D3EDB"/>
    <w:rsid w:val="005D4649"/>
    <w:rsid w:val="005D7AA8"/>
    <w:rsid w:val="005E021B"/>
    <w:rsid w:val="005E0283"/>
    <w:rsid w:val="005E28ED"/>
    <w:rsid w:val="005E52AC"/>
    <w:rsid w:val="005E6343"/>
    <w:rsid w:val="005E6B34"/>
    <w:rsid w:val="005E6E46"/>
    <w:rsid w:val="005F0468"/>
    <w:rsid w:val="005F4DC1"/>
    <w:rsid w:val="006024CC"/>
    <w:rsid w:val="00607F6F"/>
    <w:rsid w:val="00612E7B"/>
    <w:rsid w:val="0061317B"/>
    <w:rsid w:val="0061471E"/>
    <w:rsid w:val="006178CF"/>
    <w:rsid w:val="0062131F"/>
    <w:rsid w:val="00623995"/>
    <w:rsid w:val="00624AA1"/>
    <w:rsid w:val="00625059"/>
    <w:rsid w:val="006306FD"/>
    <w:rsid w:val="0063164F"/>
    <w:rsid w:val="00634395"/>
    <w:rsid w:val="00641590"/>
    <w:rsid w:val="006429EB"/>
    <w:rsid w:val="00643283"/>
    <w:rsid w:val="006442B7"/>
    <w:rsid w:val="0065240C"/>
    <w:rsid w:val="00654A98"/>
    <w:rsid w:val="006567CC"/>
    <w:rsid w:val="00656B18"/>
    <w:rsid w:val="0065713A"/>
    <w:rsid w:val="00657ADF"/>
    <w:rsid w:val="0066156A"/>
    <w:rsid w:val="00664DE6"/>
    <w:rsid w:val="00665A6C"/>
    <w:rsid w:val="0066722F"/>
    <w:rsid w:val="006703EA"/>
    <w:rsid w:val="00670770"/>
    <w:rsid w:val="00670DD3"/>
    <w:rsid w:val="00672968"/>
    <w:rsid w:val="00672C11"/>
    <w:rsid w:val="00673B9B"/>
    <w:rsid w:val="00674547"/>
    <w:rsid w:val="00675FE9"/>
    <w:rsid w:val="00676273"/>
    <w:rsid w:val="00676A95"/>
    <w:rsid w:val="006771A8"/>
    <w:rsid w:val="0068036D"/>
    <w:rsid w:val="006808DE"/>
    <w:rsid w:val="00683E1A"/>
    <w:rsid w:val="006861FE"/>
    <w:rsid w:val="00694997"/>
    <w:rsid w:val="0069798F"/>
    <w:rsid w:val="006A1DD8"/>
    <w:rsid w:val="006A1FA6"/>
    <w:rsid w:val="006A207F"/>
    <w:rsid w:val="006A2AB9"/>
    <w:rsid w:val="006A3F72"/>
    <w:rsid w:val="006A4D9B"/>
    <w:rsid w:val="006A4F37"/>
    <w:rsid w:val="006A57AD"/>
    <w:rsid w:val="006A5CF2"/>
    <w:rsid w:val="006A6A94"/>
    <w:rsid w:val="006A6B06"/>
    <w:rsid w:val="006B23B0"/>
    <w:rsid w:val="006B38A9"/>
    <w:rsid w:val="006B4D7B"/>
    <w:rsid w:val="006B55E8"/>
    <w:rsid w:val="006B7BEF"/>
    <w:rsid w:val="006C040A"/>
    <w:rsid w:val="006C0E0D"/>
    <w:rsid w:val="006C3A8A"/>
    <w:rsid w:val="006C4BA4"/>
    <w:rsid w:val="006C5E6A"/>
    <w:rsid w:val="006C64EE"/>
    <w:rsid w:val="006D049B"/>
    <w:rsid w:val="006D120B"/>
    <w:rsid w:val="006D3520"/>
    <w:rsid w:val="006D6EC8"/>
    <w:rsid w:val="006E1883"/>
    <w:rsid w:val="006E28B2"/>
    <w:rsid w:val="006F4012"/>
    <w:rsid w:val="00703C9E"/>
    <w:rsid w:val="00705A5C"/>
    <w:rsid w:val="007060AF"/>
    <w:rsid w:val="00706FED"/>
    <w:rsid w:val="007110AC"/>
    <w:rsid w:val="007110AF"/>
    <w:rsid w:val="007120D6"/>
    <w:rsid w:val="007129F8"/>
    <w:rsid w:val="00714108"/>
    <w:rsid w:val="007153DB"/>
    <w:rsid w:val="007172CF"/>
    <w:rsid w:val="007224E2"/>
    <w:rsid w:val="00723C3D"/>
    <w:rsid w:val="00726B38"/>
    <w:rsid w:val="00730316"/>
    <w:rsid w:val="007304C5"/>
    <w:rsid w:val="00731BE6"/>
    <w:rsid w:val="00734737"/>
    <w:rsid w:val="007368B1"/>
    <w:rsid w:val="007378AB"/>
    <w:rsid w:val="00737A68"/>
    <w:rsid w:val="007421EA"/>
    <w:rsid w:val="0074371B"/>
    <w:rsid w:val="00743D89"/>
    <w:rsid w:val="007456AF"/>
    <w:rsid w:val="00750A1A"/>
    <w:rsid w:val="00751297"/>
    <w:rsid w:val="00753AEA"/>
    <w:rsid w:val="00754FE0"/>
    <w:rsid w:val="007550D8"/>
    <w:rsid w:val="00755247"/>
    <w:rsid w:val="00755E1C"/>
    <w:rsid w:val="00757789"/>
    <w:rsid w:val="00757F47"/>
    <w:rsid w:val="00760C74"/>
    <w:rsid w:val="00762537"/>
    <w:rsid w:val="00763544"/>
    <w:rsid w:val="00763E84"/>
    <w:rsid w:val="00763FC2"/>
    <w:rsid w:val="0076481D"/>
    <w:rsid w:val="00764C3F"/>
    <w:rsid w:val="0076606F"/>
    <w:rsid w:val="00767D83"/>
    <w:rsid w:val="00771FF8"/>
    <w:rsid w:val="00773381"/>
    <w:rsid w:val="007746F5"/>
    <w:rsid w:val="00774A7F"/>
    <w:rsid w:val="00777727"/>
    <w:rsid w:val="00781ABE"/>
    <w:rsid w:val="00784E06"/>
    <w:rsid w:val="0078689E"/>
    <w:rsid w:val="00790888"/>
    <w:rsid w:val="007954AF"/>
    <w:rsid w:val="00795835"/>
    <w:rsid w:val="007A03D1"/>
    <w:rsid w:val="007A099F"/>
    <w:rsid w:val="007A0FE9"/>
    <w:rsid w:val="007A6D31"/>
    <w:rsid w:val="007B252A"/>
    <w:rsid w:val="007B37BA"/>
    <w:rsid w:val="007B37EF"/>
    <w:rsid w:val="007B59CF"/>
    <w:rsid w:val="007B6523"/>
    <w:rsid w:val="007B7A4A"/>
    <w:rsid w:val="007B7E82"/>
    <w:rsid w:val="007B7FFA"/>
    <w:rsid w:val="007C0848"/>
    <w:rsid w:val="007C1813"/>
    <w:rsid w:val="007C2026"/>
    <w:rsid w:val="007C2AD1"/>
    <w:rsid w:val="007C3757"/>
    <w:rsid w:val="007C37FC"/>
    <w:rsid w:val="007C67FB"/>
    <w:rsid w:val="007D06F5"/>
    <w:rsid w:val="007D30BB"/>
    <w:rsid w:val="007D6DA2"/>
    <w:rsid w:val="007E1E86"/>
    <w:rsid w:val="007E47A0"/>
    <w:rsid w:val="007E494D"/>
    <w:rsid w:val="007E4EE3"/>
    <w:rsid w:val="007E6A00"/>
    <w:rsid w:val="007E6F2C"/>
    <w:rsid w:val="007E73B6"/>
    <w:rsid w:val="007F052B"/>
    <w:rsid w:val="007F0F7F"/>
    <w:rsid w:val="007F1D7E"/>
    <w:rsid w:val="007F2AF1"/>
    <w:rsid w:val="00800BE2"/>
    <w:rsid w:val="0080261E"/>
    <w:rsid w:val="008026DC"/>
    <w:rsid w:val="008037E5"/>
    <w:rsid w:val="008040C2"/>
    <w:rsid w:val="00806915"/>
    <w:rsid w:val="00806B70"/>
    <w:rsid w:val="00806F96"/>
    <w:rsid w:val="008107B7"/>
    <w:rsid w:val="00810CB2"/>
    <w:rsid w:val="00811162"/>
    <w:rsid w:val="00811E50"/>
    <w:rsid w:val="00815FFC"/>
    <w:rsid w:val="00821350"/>
    <w:rsid w:val="008216BA"/>
    <w:rsid w:val="00822560"/>
    <w:rsid w:val="00822A9E"/>
    <w:rsid w:val="00823253"/>
    <w:rsid w:val="00824967"/>
    <w:rsid w:val="00824B30"/>
    <w:rsid w:val="00826794"/>
    <w:rsid w:val="00826A9E"/>
    <w:rsid w:val="0083066A"/>
    <w:rsid w:val="008312CE"/>
    <w:rsid w:val="008342DF"/>
    <w:rsid w:val="0083696B"/>
    <w:rsid w:val="00837CF1"/>
    <w:rsid w:val="00841397"/>
    <w:rsid w:val="00843837"/>
    <w:rsid w:val="00844A2D"/>
    <w:rsid w:val="00850261"/>
    <w:rsid w:val="00851B6D"/>
    <w:rsid w:val="00853AC0"/>
    <w:rsid w:val="0085559D"/>
    <w:rsid w:val="00856DE6"/>
    <w:rsid w:val="008572D0"/>
    <w:rsid w:val="00861FD6"/>
    <w:rsid w:val="0086544F"/>
    <w:rsid w:val="0087142D"/>
    <w:rsid w:val="008721B3"/>
    <w:rsid w:val="008727F4"/>
    <w:rsid w:val="008739F3"/>
    <w:rsid w:val="008748F1"/>
    <w:rsid w:val="00875027"/>
    <w:rsid w:val="00884717"/>
    <w:rsid w:val="008851C7"/>
    <w:rsid w:val="00890693"/>
    <w:rsid w:val="008934EE"/>
    <w:rsid w:val="00893D7B"/>
    <w:rsid w:val="00894C4F"/>
    <w:rsid w:val="008A380B"/>
    <w:rsid w:val="008A46A4"/>
    <w:rsid w:val="008A5A5F"/>
    <w:rsid w:val="008A5F71"/>
    <w:rsid w:val="008A64FC"/>
    <w:rsid w:val="008B04E7"/>
    <w:rsid w:val="008B33AA"/>
    <w:rsid w:val="008B4480"/>
    <w:rsid w:val="008B74E9"/>
    <w:rsid w:val="008C06CC"/>
    <w:rsid w:val="008C28C8"/>
    <w:rsid w:val="008C2D62"/>
    <w:rsid w:val="008C59E9"/>
    <w:rsid w:val="008C614E"/>
    <w:rsid w:val="008D0EBC"/>
    <w:rsid w:val="008D1DDD"/>
    <w:rsid w:val="008D45AF"/>
    <w:rsid w:val="008D5934"/>
    <w:rsid w:val="008E18EF"/>
    <w:rsid w:val="008E20D8"/>
    <w:rsid w:val="008E237E"/>
    <w:rsid w:val="008E2B17"/>
    <w:rsid w:val="008E53E0"/>
    <w:rsid w:val="008E6578"/>
    <w:rsid w:val="008E72E8"/>
    <w:rsid w:val="008F5C63"/>
    <w:rsid w:val="008F6BD8"/>
    <w:rsid w:val="008F6DED"/>
    <w:rsid w:val="00904AC6"/>
    <w:rsid w:val="0090699C"/>
    <w:rsid w:val="00906B39"/>
    <w:rsid w:val="00906B91"/>
    <w:rsid w:val="0091005A"/>
    <w:rsid w:val="009101DE"/>
    <w:rsid w:val="009104E5"/>
    <w:rsid w:val="00914792"/>
    <w:rsid w:val="00920A54"/>
    <w:rsid w:val="009217E2"/>
    <w:rsid w:val="00922640"/>
    <w:rsid w:val="00926517"/>
    <w:rsid w:val="00926619"/>
    <w:rsid w:val="00926A70"/>
    <w:rsid w:val="009278D8"/>
    <w:rsid w:val="00932D79"/>
    <w:rsid w:val="00934429"/>
    <w:rsid w:val="009416F5"/>
    <w:rsid w:val="009437B2"/>
    <w:rsid w:val="00944866"/>
    <w:rsid w:val="00944F76"/>
    <w:rsid w:val="00946290"/>
    <w:rsid w:val="0094711F"/>
    <w:rsid w:val="009504AE"/>
    <w:rsid w:val="0095169E"/>
    <w:rsid w:val="00960349"/>
    <w:rsid w:val="00962F58"/>
    <w:rsid w:val="00963908"/>
    <w:rsid w:val="00964E6B"/>
    <w:rsid w:val="00973E09"/>
    <w:rsid w:val="00974C27"/>
    <w:rsid w:val="009761B9"/>
    <w:rsid w:val="009768FB"/>
    <w:rsid w:val="00980875"/>
    <w:rsid w:val="00980A52"/>
    <w:rsid w:val="0098181F"/>
    <w:rsid w:val="00982668"/>
    <w:rsid w:val="0098507C"/>
    <w:rsid w:val="00985971"/>
    <w:rsid w:val="009878DB"/>
    <w:rsid w:val="00990B07"/>
    <w:rsid w:val="00990B0F"/>
    <w:rsid w:val="00990E77"/>
    <w:rsid w:val="00991F8F"/>
    <w:rsid w:val="009925A5"/>
    <w:rsid w:val="0099411A"/>
    <w:rsid w:val="009A0B5B"/>
    <w:rsid w:val="009A222B"/>
    <w:rsid w:val="009A2C3E"/>
    <w:rsid w:val="009A326E"/>
    <w:rsid w:val="009A67BA"/>
    <w:rsid w:val="009A6F2A"/>
    <w:rsid w:val="009B1CB9"/>
    <w:rsid w:val="009B4886"/>
    <w:rsid w:val="009B4E10"/>
    <w:rsid w:val="009B5D27"/>
    <w:rsid w:val="009B7D82"/>
    <w:rsid w:val="009C1AD1"/>
    <w:rsid w:val="009C27DF"/>
    <w:rsid w:val="009C36CE"/>
    <w:rsid w:val="009C5ACE"/>
    <w:rsid w:val="009C6352"/>
    <w:rsid w:val="009C7654"/>
    <w:rsid w:val="009C7A85"/>
    <w:rsid w:val="009C7DA6"/>
    <w:rsid w:val="009D163B"/>
    <w:rsid w:val="009D3249"/>
    <w:rsid w:val="009D3D8C"/>
    <w:rsid w:val="009D4D13"/>
    <w:rsid w:val="009D5D21"/>
    <w:rsid w:val="009E2E0E"/>
    <w:rsid w:val="009E3CDC"/>
    <w:rsid w:val="009E5E5A"/>
    <w:rsid w:val="009E641A"/>
    <w:rsid w:val="009F046B"/>
    <w:rsid w:val="009F2BE8"/>
    <w:rsid w:val="009F30D4"/>
    <w:rsid w:val="009F3497"/>
    <w:rsid w:val="009F3657"/>
    <w:rsid w:val="009F7036"/>
    <w:rsid w:val="00A01638"/>
    <w:rsid w:val="00A0756C"/>
    <w:rsid w:val="00A1102B"/>
    <w:rsid w:val="00A11E3C"/>
    <w:rsid w:val="00A13A4A"/>
    <w:rsid w:val="00A13B8A"/>
    <w:rsid w:val="00A2079C"/>
    <w:rsid w:val="00A21447"/>
    <w:rsid w:val="00A2357B"/>
    <w:rsid w:val="00A23F23"/>
    <w:rsid w:val="00A24F0D"/>
    <w:rsid w:val="00A25D01"/>
    <w:rsid w:val="00A25F03"/>
    <w:rsid w:val="00A30BD4"/>
    <w:rsid w:val="00A311E1"/>
    <w:rsid w:val="00A3722B"/>
    <w:rsid w:val="00A37E54"/>
    <w:rsid w:val="00A4079F"/>
    <w:rsid w:val="00A40D21"/>
    <w:rsid w:val="00A42551"/>
    <w:rsid w:val="00A43948"/>
    <w:rsid w:val="00A4511E"/>
    <w:rsid w:val="00A45A63"/>
    <w:rsid w:val="00A470DA"/>
    <w:rsid w:val="00A47B27"/>
    <w:rsid w:val="00A505E9"/>
    <w:rsid w:val="00A541E6"/>
    <w:rsid w:val="00A56E17"/>
    <w:rsid w:val="00A61F7E"/>
    <w:rsid w:val="00A61FB8"/>
    <w:rsid w:val="00A62B63"/>
    <w:rsid w:val="00A659A3"/>
    <w:rsid w:val="00A72718"/>
    <w:rsid w:val="00A73790"/>
    <w:rsid w:val="00A73976"/>
    <w:rsid w:val="00A7641E"/>
    <w:rsid w:val="00A80C88"/>
    <w:rsid w:val="00A81432"/>
    <w:rsid w:val="00A84FE7"/>
    <w:rsid w:val="00A8646B"/>
    <w:rsid w:val="00A86E20"/>
    <w:rsid w:val="00A87594"/>
    <w:rsid w:val="00A91111"/>
    <w:rsid w:val="00A91354"/>
    <w:rsid w:val="00A91B07"/>
    <w:rsid w:val="00A93641"/>
    <w:rsid w:val="00A94BDF"/>
    <w:rsid w:val="00A95D3D"/>
    <w:rsid w:val="00A97DF8"/>
    <w:rsid w:val="00AA330F"/>
    <w:rsid w:val="00AA48EB"/>
    <w:rsid w:val="00AA5A87"/>
    <w:rsid w:val="00AA5B3B"/>
    <w:rsid w:val="00AB0DB8"/>
    <w:rsid w:val="00AB0DCA"/>
    <w:rsid w:val="00AB35A4"/>
    <w:rsid w:val="00AB3AD1"/>
    <w:rsid w:val="00AB3DC1"/>
    <w:rsid w:val="00AB4043"/>
    <w:rsid w:val="00AB4462"/>
    <w:rsid w:val="00AB4869"/>
    <w:rsid w:val="00AB4975"/>
    <w:rsid w:val="00AB5208"/>
    <w:rsid w:val="00AB6407"/>
    <w:rsid w:val="00AC01AF"/>
    <w:rsid w:val="00AC2B52"/>
    <w:rsid w:val="00AC3C11"/>
    <w:rsid w:val="00AC4AFB"/>
    <w:rsid w:val="00AC71E4"/>
    <w:rsid w:val="00AD0EDE"/>
    <w:rsid w:val="00AD1C23"/>
    <w:rsid w:val="00AD33F3"/>
    <w:rsid w:val="00AD4723"/>
    <w:rsid w:val="00AD4E5D"/>
    <w:rsid w:val="00AD5155"/>
    <w:rsid w:val="00AD6AE4"/>
    <w:rsid w:val="00AE048E"/>
    <w:rsid w:val="00AE1623"/>
    <w:rsid w:val="00AE4EC1"/>
    <w:rsid w:val="00AE5BA3"/>
    <w:rsid w:val="00AE6829"/>
    <w:rsid w:val="00AF0E9C"/>
    <w:rsid w:val="00AF243F"/>
    <w:rsid w:val="00AF24C2"/>
    <w:rsid w:val="00AF38BC"/>
    <w:rsid w:val="00AF4E8D"/>
    <w:rsid w:val="00B02F81"/>
    <w:rsid w:val="00B07367"/>
    <w:rsid w:val="00B07929"/>
    <w:rsid w:val="00B1125F"/>
    <w:rsid w:val="00B1219B"/>
    <w:rsid w:val="00B136AF"/>
    <w:rsid w:val="00B16346"/>
    <w:rsid w:val="00B23618"/>
    <w:rsid w:val="00B2397A"/>
    <w:rsid w:val="00B24BE2"/>
    <w:rsid w:val="00B25D2B"/>
    <w:rsid w:val="00B264AC"/>
    <w:rsid w:val="00B27452"/>
    <w:rsid w:val="00B27AD0"/>
    <w:rsid w:val="00B30020"/>
    <w:rsid w:val="00B32212"/>
    <w:rsid w:val="00B332C4"/>
    <w:rsid w:val="00B33BE8"/>
    <w:rsid w:val="00B40F09"/>
    <w:rsid w:val="00B416B6"/>
    <w:rsid w:val="00B4346A"/>
    <w:rsid w:val="00B4371A"/>
    <w:rsid w:val="00B442BA"/>
    <w:rsid w:val="00B47471"/>
    <w:rsid w:val="00B47827"/>
    <w:rsid w:val="00B47C58"/>
    <w:rsid w:val="00B50400"/>
    <w:rsid w:val="00B5223F"/>
    <w:rsid w:val="00B53DAE"/>
    <w:rsid w:val="00B57321"/>
    <w:rsid w:val="00B742F4"/>
    <w:rsid w:val="00B75783"/>
    <w:rsid w:val="00B800BB"/>
    <w:rsid w:val="00B80CA5"/>
    <w:rsid w:val="00B81455"/>
    <w:rsid w:val="00B82FBE"/>
    <w:rsid w:val="00B83A49"/>
    <w:rsid w:val="00B90A7B"/>
    <w:rsid w:val="00B91874"/>
    <w:rsid w:val="00B9336F"/>
    <w:rsid w:val="00B9546A"/>
    <w:rsid w:val="00B9564A"/>
    <w:rsid w:val="00BA048F"/>
    <w:rsid w:val="00BA12C7"/>
    <w:rsid w:val="00BA1923"/>
    <w:rsid w:val="00BA3F1F"/>
    <w:rsid w:val="00BA405A"/>
    <w:rsid w:val="00BA648B"/>
    <w:rsid w:val="00BB0109"/>
    <w:rsid w:val="00BB05B8"/>
    <w:rsid w:val="00BB0F43"/>
    <w:rsid w:val="00BB17A7"/>
    <w:rsid w:val="00BB4D8B"/>
    <w:rsid w:val="00BB52A9"/>
    <w:rsid w:val="00BB67BC"/>
    <w:rsid w:val="00BB6F88"/>
    <w:rsid w:val="00BB71AC"/>
    <w:rsid w:val="00BB7E89"/>
    <w:rsid w:val="00BC2178"/>
    <w:rsid w:val="00BC405E"/>
    <w:rsid w:val="00BD03D9"/>
    <w:rsid w:val="00BD1A35"/>
    <w:rsid w:val="00BD1B9C"/>
    <w:rsid w:val="00BD383D"/>
    <w:rsid w:val="00BD3AF2"/>
    <w:rsid w:val="00BD3CD1"/>
    <w:rsid w:val="00BD4041"/>
    <w:rsid w:val="00BD4488"/>
    <w:rsid w:val="00BD47D0"/>
    <w:rsid w:val="00BD4D2D"/>
    <w:rsid w:val="00BD4F4B"/>
    <w:rsid w:val="00BD598F"/>
    <w:rsid w:val="00BE1446"/>
    <w:rsid w:val="00BE1C73"/>
    <w:rsid w:val="00BE3EFF"/>
    <w:rsid w:val="00BE45F6"/>
    <w:rsid w:val="00BE4E50"/>
    <w:rsid w:val="00BE71B9"/>
    <w:rsid w:val="00BF01BE"/>
    <w:rsid w:val="00BF4D76"/>
    <w:rsid w:val="00BF6D09"/>
    <w:rsid w:val="00C0078A"/>
    <w:rsid w:val="00C01929"/>
    <w:rsid w:val="00C0489C"/>
    <w:rsid w:val="00C04F2D"/>
    <w:rsid w:val="00C05919"/>
    <w:rsid w:val="00C1152E"/>
    <w:rsid w:val="00C11B3E"/>
    <w:rsid w:val="00C13FF6"/>
    <w:rsid w:val="00C14436"/>
    <w:rsid w:val="00C163E9"/>
    <w:rsid w:val="00C17242"/>
    <w:rsid w:val="00C23300"/>
    <w:rsid w:val="00C25ED8"/>
    <w:rsid w:val="00C27677"/>
    <w:rsid w:val="00C30808"/>
    <w:rsid w:val="00C31209"/>
    <w:rsid w:val="00C31557"/>
    <w:rsid w:val="00C3391C"/>
    <w:rsid w:val="00C35986"/>
    <w:rsid w:val="00C37065"/>
    <w:rsid w:val="00C417F7"/>
    <w:rsid w:val="00C463F8"/>
    <w:rsid w:val="00C466AB"/>
    <w:rsid w:val="00C50576"/>
    <w:rsid w:val="00C50CF4"/>
    <w:rsid w:val="00C51C7C"/>
    <w:rsid w:val="00C53254"/>
    <w:rsid w:val="00C54A11"/>
    <w:rsid w:val="00C5549D"/>
    <w:rsid w:val="00C55769"/>
    <w:rsid w:val="00C5593A"/>
    <w:rsid w:val="00C61871"/>
    <w:rsid w:val="00C639A9"/>
    <w:rsid w:val="00C642D5"/>
    <w:rsid w:val="00C645F6"/>
    <w:rsid w:val="00C655AC"/>
    <w:rsid w:val="00C65FEA"/>
    <w:rsid w:val="00C67A5A"/>
    <w:rsid w:val="00C71CA6"/>
    <w:rsid w:val="00C72AC5"/>
    <w:rsid w:val="00C7360B"/>
    <w:rsid w:val="00C74BC9"/>
    <w:rsid w:val="00C750F9"/>
    <w:rsid w:val="00C75BB8"/>
    <w:rsid w:val="00C77834"/>
    <w:rsid w:val="00C77DE8"/>
    <w:rsid w:val="00C80AB6"/>
    <w:rsid w:val="00C80CCD"/>
    <w:rsid w:val="00C816ED"/>
    <w:rsid w:val="00C8329E"/>
    <w:rsid w:val="00C837F2"/>
    <w:rsid w:val="00C86467"/>
    <w:rsid w:val="00C86655"/>
    <w:rsid w:val="00C90004"/>
    <w:rsid w:val="00C93E01"/>
    <w:rsid w:val="00C960F1"/>
    <w:rsid w:val="00C97276"/>
    <w:rsid w:val="00CA1E8A"/>
    <w:rsid w:val="00CA2EB4"/>
    <w:rsid w:val="00CB1192"/>
    <w:rsid w:val="00CB157F"/>
    <w:rsid w:val="00CB432C"/>
    <w:rsid w:val="00CB778A"/>
    <w:rsid w:val="00CC27A2"/>
    <w:rsid w:val="00CC51B0"/>
    <w:rsid w:val="00CC7F58"/>
    <w:rsid w:val="00CD362E"/>
    <w:rsid w:val="00CD37DC"/>
    <w:rsid w:val="00CD3DC8"/>
    <w:rsid w:val="00CD4316"/>
    <w:rsid w:val="00CD59AB"/>
    <w:rsid w:val="00CD5AD8"/>
    <w:rsid w:val="00CE1DAD"/>
    <w:rsid w:val="00CE25A1"/>
    <w:rsid w:val="00CE540C"/>
    <w:rsid w:val="00CE7810"/>
    <w:rsid w:val="00CF0B5E"/>
    <w:rsid w:val="00CF109E"/>
    <w:rsid w:val="00CF16C2"/>
    <w:rsid w:val="00CF2A2B"/>
    <w:rsid w:val="00CF30CC"/>
    <w:rsid w:val="00CF3161"/>
    <w:rsid w:val="00CF39ED"/>
    <w:rsid w:val="00CF518F"/>
    <w:rsid w:val="00CF5F9B"/>
    <w:rsid w:val="00D016B0"/>
    <w:rsid w:val="00D0199B"/>
    <w:rsid w:val="00D03BA9"/>
    <w:rsid w:val="00D0415F"/>
    <w:rsid w:val="00D10909"/>
    <w:rsid w:val="00D12E83"/>
    <w:rsid w:val="00D145C8"/>
    <w:rsid w:val="00D14EEE"/>
    <w:rsid w:val="00D15A32"/>
    <w:rsid w:val="00D16A40"/>
    <w:rsid w:val="00D16CC4"/>
    <w:rsid w:val="00D17E3C"/>
    <w:rsid w:val="00D211F1"/>
    <w:rsid w:val="00D23BE8"/>
    <w:rsid w:val="00D27DC9"/>
    <w:rsid w:val="00D3063F"/>
    <w:rsid w:val="00D32157"/>
    <w:rsid w:val="00D32E4C"/>
    <w:rsid w:val="00D3697E"/>
    <w:rsid w:val="00D3773B"/>
    <w:rsid w:val="00D43F62"/>
    <w:rsid w:val="00D45F86"/>
    <w:rsid w:val="00D46C85"/>
    <w:rsid w:val="00D46DEB"/>
    <w:rsid w:val="00D51DCD"/>
    <w:rsid w:val="00D533DD"/>
    <w:rsid w:val="00D53D37"/>
    <w:rsid w:val="00D613E0"/>
    <w:rsid w:val="00D628D8"/>
    <w:rsid w:val="00D703E9"/>
    <w:rsid w:val="00D707FA"/>
    <w:rsid w:val="00D713F7"/>
    <w:rsid w:val="00D7180A"/>
    <w:rsid w:val="00D724D4"/>
    <w:rsid w:val="00D74E6D"/>
    <w:rsid w:val="00D7546E"/>
    <w:rsid w:val="00D84963"/>
    <w:rsid w:val="00D866F2"/>
    <w:rsid w:val="00D8736F"/>
    <w:rsid w:val="00D87591"/>
    <w:rsid w:val="00D87963"/>
    <w:rsid w:val="00D9311C"/>
    <w:rsid w:val="00D94371"/>
    <w:rsid w:val="00D94FDE"/>
    <w:rsid w:val="00D95E06"/>
    <w:rsid w:val="00D9728B"/>
    <w:rsid w:val="00D978B4"/>
    <w:rsid w:val="00DA0B9B"/>
    <w:rsid w:val="00DA2680"/>
    <w:rsid w:val="00DA3B53"/>
    <w:rsid w:val="00DA6D9A"/>
    <w:rsid w:val="00DA7804"/>
    <w:rsid w:val="00DA7E71"/>
    <w:rsid w:val="00DB2061"/>
    <w:rsid w:val="00DB2873"/>
    <w:rsid w:val="00DB4A8E"/>
    <w:rsid w:val="00DB5D4C"/>
    <w:rsid w:val="00DB737D"/>
    <w:rsid w:val="00DC04E0"/>
    <w:rsid w:val="00DC0F43"/>
    <w:rsid w:val="00DC1507"/>
    <w:rsid w:val="00DC27EB"/>
    <w:rsid w:val="00DC38DA"/>
    <w:rsid w:val="00DC5DAF"/>
    <w:rsid w:val="00DC7519"/>
    <w:rsid w:val="00DD2E54"/>
    <w:rsid w:val="00DD3F2E"/>
    <w:rsid w:val="00DD4272"/>
    <w:rsid w:val="00DD5F02"/>
    <w:rsid w:val="00DD72A8"/>
    <w:rsid w:val="00DE06D5"/>
    <w:rsid w:val="00DE50DA"/>
    <w:rsid w:val="00DE567E"/>
    <w:rsid w:val="00DF13AF"/>
    <w:rsid w:val="00DF2C6B"/>
    <w:rsid w:val="00DF397D"/>
    <w:rsid w:val="00DF3CCE"/>
    <w:rsid w:val="00DF4DDC"/>
    <w:rsid w:val="00DF527B"/>
    <w:rsid w:val="00DF6AC4"/>
    <w:rsid w:val="00E01E8D"/>
    <w:rsid w:val="00E02288"/>
    <w:rsid w:val="00E024F9"/>
    <w:rsid w:val="00E033A3"/>
    <w:rsid w:val="00E0481A"/>
    <w:rsid w:val="00E132F9"/>
    <w:rsid w:val="00E14040"/>
    <w:rsid w:val="00E156AE"/>
    <w:rsid w:val="00E16BA2"/>
    <w:rsid w:val="00E17CD7"/>
    <w:rsid w:val="00E218BD"/>
    <w:rsid w:val="00E22597"/>
    <w:rsid w:val="00E23BD3"/>
    <w:rsid w:val="00E24B35"/>
    <w:rsid w:val="00E2573A"/>
    <w:rsid w:val="00E25E33"/>
    <w:rsid w:val="00E270C5"/>
    <w:rsid w:val="00E3335E"/>
    <w:rsid w:val="00E3570A"/>
    <w:rsid w:val="00E360FC"/>
    <w:rsid w:val="00E365B4"/>
    <w:rsid w:val="00E42BE2"/>
    <w:rsid w:val="00E444D1"/>
    <w:rsid w:val="00E45BE4"/>
    <w:rsid w:val="00E460F7"/>
    <w:rsid w:val="00E4777F"/>
    <w:rsid w:val="00E4785D"/>
    <w:rsid w:val="00E50A18"/>
    <w:rsid w:val="00E51771"/>
    <w:rsid w:val="00E5242F"/>
    <w:rsid w:val="00E5367E"/>
    <w:rsid w:val="00E54B90"/>
    <w:rsid w:val="00E557A5"/>
    <w:rsid w:val="00E56575"/>
    <w:rsid w:val="00E5742C"/>
    <w:rsid w:val="00E57691"/>
    <w:rsid w:val="00E60097"/>
    <w:rsid w:val="00E61C2C"/>
    <w:rsid w:val="00E62F4A"/>
    <w:rsid w:val="00E63DDB"/>
    <w:rsid w:val="00E664CE"/>
    <w:rsid w:val="00E67213"/>
    <w:rsid w:val="00E709D6"/>
    <w:rsid w:val="00E71D39"/>
    <w:rsid w:val="00E7384B"/>
    <w:rsid w:val="00E743CC"/>
    <w:rsid w:val="00E777F7"/>
    <w:rsid w:val="00E804F2"/>
    <w:rsid w:val="00E80DF6"/>
    <w:rsid w:val="00E8296F"/>
    <w:rsid w:val="00E837DF"/>
    <w:rsid w:val="00E84F41"/>
    <w:rsid w:val="00E86005"/>
    <w:rsid w:val="00E935E6"/>
    <w:rsid w:val="00E95A3B"/>
    <w:rsid w:val="00E96B27"/>
    <w:rsid w:val="00EA1C4D"/>
    <w:rsid w:val="00EA2761"/>
    <w:rsid w:val="00EA2867"/>
    <w:rsid w:val="00EA6446"/>
    <w:rsid w:val="00EA6CE5"/>
    <w:rsid w:val="00EA727D"/>
    <w:rsid w:val="00EA7400"/>
    <w:rsid w:val="00EB1598"/>
    <w:rsid w:val="00EB169B"/>
    <w:rsid w:val="00EB1DD3"/>
    <w:rsid w:val="00EB30C4"/>
    <w:rsid w:val="00EB3C38"/>
    <w:rsid w:val="00EB462D"/>
    <w:rsid w:val="00EB5306"/>
    <w:rsid w:val="00EB56C5"/>
    <w:rsid w:val="00EB6446"/>
    <w:rsid w:val="00EB6976"/>
    <w:rsid w:val="00EB72E8"/>
    <w:rsid w:val="00EC1A2C"/>
    <w:rsid w:val="00EC2301"/>
    <w:rsid w:val="00EC4682"/>
    <w:rsid w:val="00EC5098"/>
    <w:rsid w:val="00EC533F"/>
    <w:rsid w:val="00EC5F53"/>
    <w:rsid w:val="00EC6EA4"/>
    <w:rsid w:val="00EC75B5"/>
    <w:rsid w:val="00EC7781"/>
    <w:rsid w:val="00EC7A53"/>
    <w:rsid w:val="00ED096C"/>
    <w:rsid w:val="00ED1EDF"/>
    <w:rsid w:val="00ED5E0B"/>
    <w:rsid w:val="00ED79A6"/>
    <w:rsid w:val="00EE531E"/>
    <w:rsid w:val="00EE5D5E"/>
    <w:rsid w:val="00EE6AFF"/>
    <w:rsid w:val="00EF00FF"/>
    <w:rsid w:val="00EF0885"/>
    <w:rsid w:val="00EF0B88"/>
    <w:rsid w:val="00EF11CF"/>
    <w:rsid w:val="00EF4644"/>
    <w:rsid w:val="00EF7F54"/>
    <w:rsid w:val="00F020DF"/>
    <w:rsid w:val="00F02466"/>
    <w:rsid w:val="00F02DF4"/>
    <w:rsid w:val="00F07C85"/>
    <w:rsid w:val="00F136D5"/>
    <w:rsid w:val="00F13956"/>
    <w:rsid w:val="00F16CF3"/>
    <w:rsid w:val="00F219DC"/>
    <w:rsid w:val="00F22115"/>
    <w:rsid w:val="00F31CA2"/>
    <w:rsid w:val="00F33AF9"/>
    <w:rsid w:val="00F35DB7"/>
    <w:rsid w:val="00F35E9C"/>
    <w:rsid w:val="00F367FD"/>
    <w:rsid w:val="00F403DF"/>
    <w:rsid w:val="00F4423B"/>
    <w:rsid w:val="00F44577"/>
    <w:rsid w:val="00F5044F"/>
    <w:rsid w:val="00F51133"/>
    <w:rsid w:val="00F514CD"/>
    <w:rsid w:val="00F55916"/>
    <w:rsid w:val="00F63674"/>
    <w:rsid w:val="00F70DDB"/>
    <w:rsid w:val="00F718BE"/>
    <w:rsid w:val="00F738EE"/>
    <w:rsid w:val="00F759C8"/>
    <w:rsid w:val="00F7672D"/>
    <w:rsid w:val="00F77DC9"/>
    <w:rsid w:val="00F800D1"/>
    <w:rsid w:val="00F82FFE"/>
    <w:rsid w:val="00F83309"/>
    <w:rsid w:val="00F8552B"/>
    <w:rsid w:val="00F87299"/>
    <w:rsid w:val="00F90CB1"/>
    <w:rsid w:val="00F91C60"/>
    <w:rsid w:val="00F925E0"/>
    <w:rsid w:val="00F92C4C"/>
    <w:rsid w:val="00F95D71"/>
    <w:rsid w:val="00FA0994"/>
    <w:rsid w:val="00FA0D27"/>
    <w:rsid w:val="00FA10AB"/>
    <w:rsid w:val="00FA27A1"/>
    <w:rsid w:val="00FA3742"/>
    <w:rsid w:val="00FA3B14"/>
    <w:rsid w:val="00FA3E96"/>
    <w:rsid w:val="00FA6799"/>
    <w:rsid w:val="00FB0836"/>
    <w:rsid w:val="00FB37D8"/>
    <w:rsid w:val="00FB475B"/>
    <w:rsid w:val="00FB6EEE"/>
    <w:rsid w:val="00FB7FD3"/>
    <w:rsid w:val="00FC0667"/>
    <w:rsid w:val="00FC41BE"/>
    <w:rsid w:val="00FC5575"/>
    <w:rsid w:val="00FC619F"/>
    <w:rsid w:val="00FC717E"/>
    <w:rsid w:val="00FD043A"/>
    <w:rsid w:val="00FD21CA"/>
    <w:rsid w:val="00FD4E6B"/>
    <w:rsid w:val="00FD6022"/>
    <w:rsid w:val="00FD61B4"/>
    <w:rsid w:val="00FF527C"/>
    <w:rsid w:val="00FF6150"/>
    <w:rsid w:val="00FF6961"/>
    <w:rsid w:val="01F241CD"/>
    <w:rsid w:val="02F87536"/>
    <w:rsid w:val="030F5936"/>
    <w:rsid w:val="04F92033"/>
    <w:rsid w:val="05216D18"/>
    <w:rsid w:val="05860158"/>
    <w:rsid w:val="05B141E7"/>
    <w:rsid w:val="068C6DFC"/>
    <w:rsid w:val="06E45A7E"/>
    <w:rsid w:val="06F55595"/>
    <w:rsid w:val="0934744A"/>
    <w:rsid w:val="09CF031F"/>
    <w:rsid w:val="09F50D92"/>
    <w:rsid w:val="0A370316"/>
    <w:rsid w:val="0AB13557"/>
    <w:rsid w:val="0BA63810"/>
    <w:rsid w:val="0C010D29"/>
    <w:rsid w:val="0CE461AF"/>
    <w:rsid w:val="0D3249B2"/>
    <w:rsid w:val="0D336E17"/>
    <w:rsid w:val="0DAF4D1F"/>
    <w:rsid w:val="0E034A3B"/>
    <w:rsid w:val="0E546143"/>
    <w:rsid w:val="0EF1568F"/>
    <w:rsid w:val="0F164417"/>
    <w:rsid w:val="106F0166"/>
    <w:rsid w:val="11220530"/>
    <w:rsid w:val="121B46FA"/>
    <w:rsid w:val="12616350"/>
    <w:rsid w:val="12A762DD"/>
    <w:rsid w:val="13304DFA"/>
    <w:rsid w:val="137E2105"/>
    <w:rsid w:val="138A5A29"/>
    <w:rsid w:val="13CF2835"/>
    <w:rsid w:val="146733B7"/>
    <w:rsid w:val="14AB3737"/>
    <w:rsid w:val="15FA7FE4"/>
    <w:rsid w:val="166167A3"/>
    <w:rsid w:val="173019CB"/>
    <w:rsid w:val="17C57205"/>
    <w:rsid w:val="194C34E3"/>
    <w:rsid w:val="1A1D0C33"/>
    <w:rsid w:val="1A553684"/>
    <w:rsid w:val="1A560864"/>
    <w:rsid w:val="1ABA46D4"/>
    <w:rsid w:val="1BD23C9F"/>
    <w:rsid w:val="1BD51615"/>
    <w:rsid w:val="1C0874AD"/>
    <w:rsid w:val="1C664547"/>
    <w:rsid w:val="1CD0280C"/>
    <w:rsid w:val="1CE41A63"/>
    <w:rsid w:val="1D772D50"/>
    <w:rsid w:val="1DEF46AF"/>
    <w:rsid w:val="1DF60118"/>
    <w:rsid w:val="20112ABF"/>
    <w:rsid w:val="20C52024"/>
    <w:rsid w:val="21896DDA"/>
    <w:rsid w:val="21B856E5"/>
    <w:rsid w:val="21C2643E"/>
    <w:rsid w:val="22C2210E"/>
    <w:rsid w:val="235652E7"/>
    <w:rsid w:val="238B4600"/>
    <w:rsid w:val="249069D4"/>
    <w:rsid w:val="24D4676A"/>
    <w:rsid w:val="251D41DD"/>
    <w:rsid w:val="25492878"/>
    <w:rsid w:val="257A162F"/>
    <w:rsid w:val="268E2266"/>
    <w:rsid w:val="26AD12C5"/>
    <w:rsid w:val="26B75F6B"/>
    <w:rsid w:val="270D202F"/>
    <w:rsid w:val="27D11B30"/>
    <w:rsid w:val="28152C19"/>
    <w:rsid w:val="283917B1"/>
    <w:rsid w:val="28FC50D6"/>
    <w:rsid w:val="298D0FED"/>
    <w:rsid w:val="299D769A"/>
    <w:rsid w:val="29BF5862"/>
    <w:rsid w:val="2BA90A66"/>
    <w:rsid w:val="2BAE2033"/>
    <w:rsid w:val="2BC33672"/>
    <w:rsid w:val="2BF437BD"/>
    <w:rsid w:val="2C1B1D16"/>
    <w:rsid w:val="2C245E51"/>
    <w:rsid w:val="2FDD5E6E"/>
    <w:rsid w:val="308E7DBE"/>
    <w:rsid w:val="31AB491E"/>
    <w:rsid w:val="31EA5405"/>
    <w:rsid w:val="32135A93"/>
    <w:rsid w:val="322F2868"/>
    <w:rsid w:val="326C2300"/>
    <w:rsid w:val="343412A5"/>
    <w:rsid w:val="35897434"/>
    <w:rsid w:val="367C7E81"/>
    <w:rsid w:val="36B75421"/>
    <w:rsid w:val="38561B21"/>
    <w:rsid w:val="38BD518E"/>
    <w:rsid w:val="39472B23"/>
    <w:rsid w:val="39FE4185"/>
    <w:rsid w:val="3AE96BE3"/>
    <w:rsid w:val="3B1D4ADF"/>
    <w:rsid w:val="3B8561E0"/>
    <w:rsid w:val="3D0F0457"/>
    <w:rsid w:val="3DAC2E36"/>
    <w:rsid w:val="3DE23DBE"/>
    <w:rsid w:val="3F74302C"/>
    <w:rsid w:val="3F87183A"/>
    <w:rsid w:val="410E46E1"/>
    <w:rsid w:val="414F605C"/>
    <w:rsid w:val="42721624"/>
    <w:rsid w:val="433D6922"/>
    <w:rsid w:val="43586151"/>
    <w:rsid w:val="43D85A47"/>
    <w:rsid w:val="448979F5"/>
    <w:rsid w:val="44E361D6"/>
    <w:rsid w:val="45062140"/>
    <w:rsid w:val="45112DB9"/>
    <w:rsid w:val="45A71EE5"/>
    <w:rsid w:val="460C7262"/>
    <w:rsid w:val="479C7D67"/>
    <w:rsid w:val="47A71BAD"/>
    <w:rsid w:val="47B32908"/>
    <w:rsid w:val="47D02FAE"/>
    <w:rsid w:val="48253782"/>
    <w:rsid w:val="486D69A8"/>
    <w:rsid w:val="48C04CFB"/>
    <w:rsid w:val="490B41C9"/>
    <w:rsid w:val="49276E0C"/>
    <w:rsid w:val="493D1AFE"/>
    <w:rsid w:val="497F5A45"/>
    <w:rsid w:val="4ABD5996"/>
    <w:rsid w:val="4AD66266"/>
    <w:rsid w:val="4B081EFC"/>
    <w:rsid w:val="4BED20ED"/>
    <w:rsid w:val="4C10554C"/>
    <w:rsid w:val="4D1B3285"/>
    <w:rsid w:val="4D615FE1"/>
    <w:rsid w:val="4E907DD5"/>
    <w:rsid w:val="4EF46A99"/>
    <w:rsid w:val="4F093341"/>
    <w:rsid w:val="4F6E0759"/>
    <w:rsid w:val="513A4522"/>
    <w:rsid w:val="52A82A88"/>
    <w:rsid w:val="52B117DA"/>
    <w:rsid w:val="52C64F0C"/>
    <w:rsid w:val="52FE6B4C"/>
    <w:rsid w:val="53934702"/>
    <w:rsid w:val="540E4E42"/>
    <w:rsid w:val="54626083"/>
    <w:rsid w:val="54CF254E"/>
    <w:rsid w:val="55343CCE"/>
    <w:rsid w:val="553B68DE"/>
    <w:rsid w:val="55486DD7"/>
    <w:rsid w:val="554D5487"/>
    <w:rsid w:val="556E1077"/>
    <w:rsid w:val="56637714"/>
    <w:rsid w:val="56843E8F"/>
    <w:rsid w:val="57364B06"/>
    <w:rsid w:val="584F18E4"/>
    <w:rsid w:val="585325A4"/>
    <w:rsid w:val="5854505F"/>
    <w:rsid w:val="592E180D"/>
    <w:rsid w:val="595E64A0"/>
    <w:rsid w:val="599F2E79"/>
    <w:rsid w:val="59DF7CE5"/>
    <w:rsid w:val="5A1B1E52"/>
    <w:rsid w:val="5A560EBE"/>
    <w:rsid w:val="5BA81A96"/>
    <w:rsid w:val="5CDC1CAC"/>
    <w:rsid w:val="5D5F3199"/>
    <w:rsid w:val="5D8D4A01"/>
    <w:rsid w:val="5E007B43"/>
    <w:rsid w:val="5E792EDD"/>
    <w:rsid w:val="5F105C0B"/>
    <w:rsid w:val="5F520402"/>
    <w:rsid w:val="60076625"/>
    <w:rsid w:val="603E60BF"/>
    <w:rsid w:val="60E92BEA"/>
    <w:rsid w:val="615E6F39"/>
    <w:rsid w:val="61C62F2B"/>
    <w:rsid w:val="621A62A3"/>
    <w:rsid w:val="62C11CB7"/>
    <w:rsid w:val="630945E4"/>
    <w:rsid w:val="63860A37"/>
    <w:rsid w:val="64B27796"/>
    <w:rsid w:val="64DE534F"/>
    <w:rsid w:val="655F4C96"/>
    <w:rsid w:val="656C4A7E"/>
    <w:rsid w:val="66D734E4"/>
    <w:rsid w:val="679B09B6"/>
    <w:rsid w:val="68E02B24"/>
    <w:rsid w:val="69377A3D"/>
    <w:rsid w:val="69C772C7"/>
    <w:rsid w:val="6A40472D"/>
    <w:rsid w:val="6B323C8F"/>
    <w:rsid w:val="6B4A76AE"/>
    <w:rsid w:val="6B792C6D"/>
    <w:rsid w:val="6B8B24E1"/>
    <w:rsid w:val="6CC46257"/>
    <w:rsid w:val="6D6E35EF"/>
    <w:rsid w:val="6EAA5898"/>
    <w:rsid w:val="6F773AB6"/>
    <w:rsid w:val="6F8F0E00"/>
    <w:rsid w:val="6FC614C4"/>
    <w:rsid w:val="71096990"/>
    <w:rsid w:val="71411E12"/>
    <w:rsid w:val="72596224"/>
    <w:rsid w:val="72650E19"/>
    <w:rsid w:val="727E0C6F"/>
    <w:rsid w:val="737722D7"/>
    <w:rsid w:val="738332A8"/>
    <w:rsid w:val="73B53DE9"/>
    <w:rsid w:val="73FF5501"/>
    <w:rsid w:val="74453A0B"/>
    <w:rsid w:val="753A180E"/>
    <w:rsid w:val="7610256F"/>
    <w:rsid w:val="767A68A9"/>
    <w:rsid w:val="789C55D2"/>
    <w:rsid w:val="79553229"/>
    <w:rsid w:val="797D7F1B"/>
    <w:rsid w:val="79CD67A5"/>
    <w:rsid w:val="7A2218DA"/>
    <w:rsid w:val="7A2E2EA3"/>
    <w:rsid w:val="7A3E0A64"/>
    <w:rsid w:val="7ABE6A3D"/>
    <w:rsid w:val="7AFE31C4"/>
    <w:rsid w:val="7C02414C"/>
    <w:rsid w:val="7C7A6F04"/>
    <w:rsid w:val="7CE41F2F"/>
    <w:rsid w:val="7CF04BBD"/>
    <w:rsid w:val="7DA939D5"/>
    <w:rsid w:val="7DB303AF"/>
    <w:rsid w:val="7DB50159"/>
    <w:rsid w:val="7DC46119"/>
    <w:rsid w:val="7E24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9"/>
    <w:qFormat/>
    <w:uiPriority w:val="0"/>
    <w:pPr>
      <w:keepNext/>
      <w:spacing w:line="440" w:lineRule="exact"/>
      <w:outlineLvl w:val="3"/>
    </w:pPr>
    <w:rPr>
      <w:rFonts w:ascii="CG Times" w:hAnsi="CG Times"/>
      <w:b/>
      <w:bCs/>
      <w:spacing w:val="2"/>
      <w:sz w:val="24"/>
    </w:rPr>
  </w:style>
  <w:style w:type="paragraph" w:styleId="6">
    <w:name w:val="heading 5"/>
    <w:basedOn w:val="1"/>
    <w:next w:val="1"/>
    <w:link w:val="50"/>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1"/>
    <w:qFormat/>
    <w:uiPriority w:val="0"/>
    <w:pPr>
      <w:keepNext/>
      <w:spacing w:line="440" w:lineRule="exact"/>
      <w:ind w:left="360"/>
      <w:outlineLvl w:val="5"/>
    </w:pPr>
    <w:rPr>
      <w:b/>
      <w:spacing w:val="2"/>
      <w:sz w:val="22"/>
    </w:rPr>
  </w:style>
  <w:style w:type="character" w:default="1" w:styleId="23">
    <w:name w:val="Default Paragraph Font"/>
    <w:semiHidden/>
    <w:unhideWhenUsed/>
    <w:uiPriority w:val="1"/>
  </w:style>
  <w:style w:type="table" w:default="1" w:styleId="21">
    <w:name w:val="Normal Table"/>
    <w:autoRedefine/>
    <w:semiHidden/>
    <w:unhideWhenUsed/>
    <w:uiPriority w:val="99"/>
    <w:tblPr>
      <w:tblCellMar>
        <w:top w:w="0" w:type="dxa"/>
        <w:left w:w="108" w:type="dxa"/>
        <w:bottom w:w="0" w:type="dxa"/>
        <w:right w:w="108" w:type="dxa"/>
      </w:tblCellMar>
    </w:tblPr>
  </w:style>
  <w:style w:type="paragraph" w:styleId="8">
    <w:name w:val="Normal Indent"/>
    <w:basedOn w:val="1"/>
    <w:link w:val="55"/>
    <w:qFormat/>
    <w:uiPriority w:val="0"/>
    <w:pPr>
      <w:ind w:firstLine="420" w:firstLineChars="200"/>
    </w:pPr>
  </w:style>
  <w:style w:type="paragraph" w:styleId="9">
    <w:name w:val="annotation text"/>
    <w:basedOn w:val="1"/>
    <w:link w:val="33"/>
    <w:qFormat/>
    <w:uiPriority w:val="99"/>
    <w:pPr>
      <w:jc w:val="left"/>
    </w:pPr>
  </w:style>
  <w:style w:type="paragraph" w:styleId="10">
    <w:name w:val="Body Text"/>
    <w:basedOn w:val="1"/>
    <w:link w:val="54"/>
    <w:unhideWhenUsed/>
    <w:qFormat/>
    <w:uiPriority w:val="99"/>
    <w:pPr>
      <w:spacing w:after="120"/>
    </w:pPr>
  </w:style>
  <w:style w:type="paragraph" w:styleId="11">
    <w:name w:val="Plain Text"/>
    <w:basedOn w:val="1"/>
    <w:link w:val="31"/>
    <w:qFormat/>
    <w:uiPriority w:val="0"/>
    <w:rPr>
      <w:rFonts w:ascii="宋体" w:hAnsi="Courier New"/>
      <w:szCs w:val="20"/>
    </w:rPr>
  </w:style>
  <w:style w:type="paragraph" w:styleId="12">
    <w:name w:val="Date"/>
    <w:basedOn w:val="1"/>
    <w:next w:val="1"/>
    <w:link w:val="30"/>
    <w:semiHidden/>
    <w:unhideWhenUsed/>
    <w:qFormat/>
    <w:uiPriority w:val="99"/>
    <w:pPr>
      <w:ind w:left="100" w:leftChars="2500"/>
    </w:pPr>
  </w:style>
  <w:style w:type="paragraph" w:styleId="13">
    <w:name w:val="Body Text Indent 2"/>
    <w:basedOn w:val="1"/>
    <w:link w:val="52"/>
    <w:qFormat/>
    <w:uiPriority w:val="0"/>
    <w:pPr>
      <w:spacing w:line="440" w:lineRule="exact"/>
      <w:ind w:left="360"/>
    </w:pPr>
    <w:rPr>
      <w:color w:val="000000"/>
      <w:spacing w:val="2"/>
      <w:sz w:val="22"/>
    </w:rPr>
  </w:style>
  <w:style w:type="paragraph" w:styleId="14">
    <w:name w:val="Balloon Text"/>
    <w:basedOn w:val="1"/>
    <w:link w:val="35"/>
    <w:unhideWhenUsed/>
    <w:qFormat/>
    <w:uiPriority w:val="0"/>
    <w:rPr>
      <w:sz w:val="18"/>
      <w:szCs w:val="18"/>
    </w:rPr>
  </w:style>
  <w:style w:type="paragraph" w:styleId="15">
    <w:name w:val="footer"/>
    <w:basedOn w:val="1"/>
    <w:link w:val="42"/>
    <w:qFormat/>
    <w:uiPriority w:val="99"/>
    <w:pPr>
      <w:tabs>
        <w:tab w:val="center" w:pos="4153"/>
        <w:tab w:val="right" w:pos="8306"/>
      </w:tabs>
      <w:snapToGrid w:val="0"/>
      <w:jc w:val="left"/>
    </w:pPr>
    <w:rPr>
      <w:sz w:val="18"/>
    </w:rPr>
  </w:style>
  <w:style w:type="paragraph" w:styleId="16">
    <w:name w:val="header"/>
    <w:basedOn w:val="1"/>
    <w:link w:val="4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Body Text 2"/>
    <w:basedOn w:val="1"/>
    <w:link w:val="53"/>
    <w:autoRedefine/>
    <w:qFormat/>
    <w:uiPriority w:val="0"/>
    <w:pPr>
      <w:spacing w:line="440" w:lineRule="exact"/>
    </w:pPr>
    <w:rPr>
      <w:rFonts w:ascii="CG Times" w:hAnsi="CG Times"/>
      <w:b/>
      <w:spacing w:val="2"/>
    </w:rPr>
  </w:style>
  <w:style w:type="paragraph" w:styleId="19">
    <w:name w:val="annotation subject"/>
    <w:basedOn w:val="9"/>
    <w:next w:val="9"/>
    <w:link w:val="40"/>
    <w:unhideWhenUsed/>
    <w:qFormat/>
    <w:uiPriority w:val="99"/>
    <w:rPr>
      <w:b/>
      <w:bCs/>
      <w:szCs w:val="22"/>
    </w:rPr>
  </w:style>
  <w:style w:type="paragraph" w:styleId="20">
    <w:name w:val="Body Text First Indent"/>
    <w:basedOn w:val="10"/>
    <w:link w:val="67"/>
    <w:semiHidden/>
    <w:unhideWhenUsed/>
    <w:qFormat/>
    <w:uiPriority w:val="99"/>
    <w:pPr>
      <w:ind w:firstLine="420" w:firstLineChars="100"/>
    </w:pPr>
  </w:style>
  <w:style w:type="table" w:styleId="22">
    <w:name w:val="Table Grid"/>
    <w:basedOn w:val="2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99"/>
    <w:rPr>
      <w:sz w:val="21"/>
      <w:szCs w:val="21"/>
    </w:rPr>
  </w:style>
  <w:style w:type="character" w:customStyle="1" w:styleId="27">
    <w:name w:val="apple-style-span"/>
    <w:basedOn w:val="23"/>
    <w:qFormat/>
    <w:uiPriority w:val="0"/>
  </w:style>
  <w:style w:type="paragraph" w:customStyle="1" w:styleId="28">
    <w:name w:val="列出段落1"/>
    <w:basedOn w:val="1"/>
    <w:qFormat/>
    <w:uiPriority w:val="1"/>
    <w:pPr>
      <w:ind w:firstLine="420" w:firstLineChars="200"/>
    </w:pPr>
  </w:style>
  <w:style w:type="paragraph" w:customStyle="1" w:styleId="29">
    <w:name w:val="Char"/>
    <w:basedOn w:val="1"/>
    <w:qFormat/>
    <w:uiPriority w:val="0"/>
    <w:pPr>
      <w:snapToGrid w:val="0"/>
      <w:spacing w:line="360" w:lineRule="auto"/>
      <w:ind w:firstLine="200" w:firstLineChars="200"/>
    </w:pPr>
  </w:style>
  <w:style w:type="character" w:customStyle="1" w:styleId="30">
    <w:name w:val="日期 字符"/>
    <w:basedOn w:val="23"/>
    <w:link w:val="12"/>
    <w:semiHidden/>
    <w:qFormat/>
    <w:uiPriority w:val="99"/>
    <w:rPr>
      <w:kern w:val="2"/>
      <w:sz w:val="21"/>
      <w:szCs w:val="24"/>
    </w:rPr>
  </w:style>
  <w:style w:type="character" w:customStyle="1" w:styleId="31">
    <w:name w:val="纯文本 字符"/>
    <w:link w:val="11"/>
    <w:qFormat/>
    <w:uiPriority w:val="0"/>
    <w:rPr>
      <w:rFonts w:ascii="宋体" w:hAnsi="Courier New"/>
      <w:kern w:val="2"/>
      <w:sz w:val="21"/>
    </w:rPr>
  </w:style>
  <w:style w:type="character" w:customStyle="1" w:styleId="32">
    <w:name w:val="纯文本 Char1"/>
    <w:basedOn w:val="23"/>
    <w:autoRedefine/>
    <w:semiHidden/>
    <w:qFormat/>
    <w:uiPriority w:val="99"/>
    <w:rPr>
      <w:rFonts w:ascii="宋体" w:hAnsi="Courier New" w:cs="Courier New"/>
      <w:kern w:val="2"/>
      <w:sz w:val="21"/>
      <w:szCs w:val="21"/>
    </w:rPr>
  </w:style>
  <w:style w:type="character" w:customStyle="1" w:styleId="33">
    <w:name w:val="批注文字 字符"/>
    <w:link w:val="9"/>
    <w:autoRedefine/>
    <w:qFormat/>
    <w:uiPriority w:val="99"/>
    <w:rPr>
      <w:kern w:val="2"/>
      <w:sz w:val="21"/>
      <w:szCs w:val="24"/>
    </w:rPr>
  </w:style>
  <w:style w:type="character" w:customStyle="1" w:styleId="34">
    <w:name w:val="批注文字 Char1"/>
    <w:basedOn w:val="23"/>
    <w:semiHidden/>
    <w:qFormat/>
    <w:uiPriority w:val="99"/>
    <w:rPr>
      <w:kern w:val="2"/>
      <w:sz w:val="21"/>
      <w:szCs w:val="24"/>
    </w:rPr>
  </w:style>
  <w:style w:type="character" w:customStyle="1" w:styleId="35">
    <w:name w:val="批注框文本 字符"/>
    <w:basedOn w:val="23"/>
    <w:link w:val="14"/>
    <w:autoRedefine/>
    <w:semiHidden/>
    <w:qFormat/>
    <w:uiPriority w:val="99"/>
    <w:rPr>
      <w:kern w:val="2"/>
      <w:sz w:val="18"/>
      <w:szCs w:val="18"/>
    </w:rPr>
  </w:style>
  <w:style w:type="table" w:customStyle="1" w:styleId="36">
    <w:name w:val="网格型1"/>
    <w:basedOn w:val="21"/>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7">
    <w:name w:val="List Paragraph"/>
    <w:basedOn w:val="1"/>
    <w:autoRedefine/>
    <w:qFormat/>
    <w:uiPriority w:val="34"/>
    <w:pPr>
      <w:ind w:firstLine="420" w:firstLineChars="200"/>
    </w:pPr>
  </w:style>
  <w:style w:type="character" w:customStyle="1" w:styleId="38">
    <w:name w:val="标题 2 字符"/>
    <w:basedOn w:val="23"/>
    <w:link w:val="3"/>
    <w:qFormat/>
    <w:uiPriority w:val="9"/>
    <w:rPr>
      <w:rFonts w:ascii="Cambria" w:hAnsi="Cambria"/>
      <w:b/>
      <w:bCs/>
      <w:kern w:val="2"/>
      <w:sz w:val="32"/>
      <w:szCs w:val="32"/>
    </w:rPr>
  </w:style>
  <w:style w:type="character" w:customStyle="1" w:styleId="39">
    <w:name w:val="标题 3 字符"/>
    <w:basedOn w:val="23"/>
    <w:link w:val="4"/>
    <w:autoRedefine/>
    <w:qFormat/>
    <w:uiPriority w:val="9"/>
    <w:rPr>
      <w:rFonts w:ascii="Calibri" w:hAnsi="Calibri"/>
      <w:b/>
      <w:bCs/>
      <w:kern w:val="2"/>
      <w:sz w:val="32"/>
      <w:szCs w:val="32"/>
    </w:rPr>
  </w:style>
  <w:style w:type="character" w:customStyle="1" w:styleId="40">
    <w:name w:val="批注主题 字符"/>
    <w:link w:val="19"/>
    <w:qFormat/>
    <w:uiPriority w:val="99"/>
    <w:rPr>
      <w:b/>
      <w:bCs/>
      <w:kern w:val="2"/>
      <w:sz w:val="21"/>
      <w:szCs w:val="22"/>
    </w:rPr>
  </w:style>
  <w:style w:type="character" w:customStyle="1" w:styleId="41">
    <w:name w:val="页眉 字符"/>
    <w:link w:val="16"/>
    <w:qFormat/>
    <w:uiPriority w:val="0"/>
    <w:rPr>
      <w:kern w:val="2"/>
      <w:sz w:val="18"/>
      <w:szCs w:val="24"/>
    </w:rPr>
  </w:style>
  <w:style w:type="character" w:customStyle="1" w:styleId="42">
    <w:name w:val="页脚 字符"/>
    <w:link w:val="15"/>
    <w:autoRedefine/>
    <w:qFormat/>
    <w:uiPriority w:val="99"/>
    <w:rPr>
      <w:kern w:val="2"/>
      <w:sz w:val="18"/>
      <w:szCs w:val="24"/>
    </w:rPr>
  </w:style>
  <w:style w:type="character" w:customStyle="1" w:styleId="43">
    <w:name w:val="样式 标题 2 + Times New Roman 四号 非加粗 段前: 5 磅 段后: 0 磅 行距: 固定值 20... Char"/>
    <w:link w:val="44"/>
    <w:qFormat/>
    <w:locked/>
    <w:uiPriority w:val="0"/>
    <w:rPr>
      <w:rFonts w:eastAsia="黑体"/>
      <w:sz w:val="28"/>
    </w:rPr>
  </w:style>
  <w:style w:type="paragraph" w:customStyle="1" w:styleId="44">
    <w:name w:val="样式 标题 2 + Times New Roman 四号 非加粗 段前: 5 磅 段后: 0 磅 行距: 固定值 20..."/>
    <w:basedOn w:val="3"/>
    <w:link w:val="43"/>
    <w:qFormat/>
    <w:uiPriority w:val="0"/>
    <w:pPr>
      <w:spacing w:before="100" w:after="0" w:line="400" w:lineRule="exact"/>
    </w:pPr>
    <w:rPr>
      <w:rFonts w:ascii="Times New Roman" w:hAnsi="Times New Roman" w:eastAsia="黑体"/>
      <w:b w:val="0"/>
      <w:bCs w:val="0"/>
      <w:kern w:val="0"/>
      <w:sz w:val="28"/>
      <w:szCs w:val="20"/>
    </w:rPr>
  </w:style>
  <w:style w:type="character" w:customStyle="1" w:styleId="45">
    <w:name w:val="标题 1 字符"/>
    <w:link w:val="2"/>
    <w:autoRedefine/>
    <w:qFormat/>
    <w:uiPriority w:val="9"/>
    <w:rPr>
      <w:b/>
      <w:bCs/>
      <w:kern w:val="44"/>
      <w:sz w:val="44"/>
      <w:szCs w:val="44"/>
    </w:rPr>
  </w:style>
  <w:style w:type="character" w:customStyle="1" w:styleId="46">
    <w:name w:val="批注主题 Char1"/>
    <w:basedOn w:val="33"/>
    <w:autoRedefine/>
    <w:semiHidden/>
    <w:qFormat/>
    <w:uiPriority w:val="99"/>
    <w:rPr>
      <w:b/>
      <w:bCs/>
      <w:kern w:val="2"/>
      <w:sz w:val="21"/>
      <w:szCs w:val="24"/>
    </w:rPr>
  </w:style>
  <w:style w:type="paragraph" w:customStyle="1" w:styleId="47">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table" w:customStyle="1" w:styleId="48">
    <w:name w:val="网格型浅色1"/>
    <w:basedOn w:val="21"/>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9">
    <w:name w:val="标题 4 字符"/>
    <w:basedOn w:val="23"/>
    <w:link w:val="5"/>
    <w:qFormat/>
    <w:uiPriority w:val="0"/>
    <w:rPr>
      <w:rFonts w:ascii="CG Times" w:hAnsi="CG Times"/>
      <w:b/>
      <w:bCs/>
      <w:spacing w:val="2"/>
      <w:kern w:val="2"/>
      <w:sz w:val="24"/>
      <w:szCs w:val="24"/>
    </w:rPr>
  </w:style>
  <w:style w:type="character" w:customStyle="1" w:styleId="50">
    <w:name w:val="标题 5 字符"/>
    <w:basedOn w:val="23"/>
    <w:link w:val="6"/>
    <w:qFormat/>
    <w:uiPriority w:val="0"/>
    <w:rPr>
      <w:rFonts w:ascii="CG Times" w:hAnsi="CG Times"/>
      <w:b/>
      <w:bCs/>
      <w:color w:val="000000"/>
      <w:spacing w:val="2"/>
      <w:kern w:val="2"/>
      <w:sz w:val="24"/>
      <w:szCs w:val="24"/>
    </w:rPr>
  </w:style>
  <w:style w:type="character" w:customStyle="1" w:styleId="51">
    <w:name w:val="标题 6 字符"/>
    <w:basedOn w:val="23"/>
    <w:link w:val="7"/>
    <w:autoRedefine/>
    <w:qFormat/>
    <w:uiPriority w:val="0"/>
    <w:rPr>
      <w:b/>
      <w:spacing w:val="2"/>
      <w:kern w:val="2"/>
      <w:sz w:val="22"/>
      <w:szCs w:val="24"/>
    </w:rPr>
  </w:style>
  <w:style w:type="character" w:customStyle="1" w:styleId="52">
    <w:name w:val="正文文本缩进 2 字符"/>
    <w:basedOn w:val="23"/>
    <w:link w:val="13"/>
    <w:autoRedefine/>
    <w:qFormat/>
    <w:uiPriority w:val="0"/>
    <w:rPr>
      <w:color w:val="000000"/>
      <w:spacing w:val="2"/>
      <w:kern w:val="2"/>
      <w:sz w:val="22"/>
      <w:szCs w:val="24"/>
    </w:rPr>
  </w:style>
  <w:style w:type="character" w:customStyle="1" w:styleId="53">
    <w:name w:val="正文文本 2 字符"/>
    <w:basedOn w:val="23"/>
    <w:link w:val="18"/>
    <w:qFormat/>
    <w:uiPriority w:val="0"/>
    <w:rPr>
      <w:rFonts w:ascii="CG Times" w:hAnsi="CG Times"/>
      <w:b/>
      <w:spacing w:val="2"/>
      <w:kern w:val="2"/>
      <w:sz w:val="21"/>
      <w:szCs w:val="24"/>
    </w:rPr>
  </w:style>
  <w:style w:type="character" w:customStyle="1" w:styleId="54">
    <w:name w:val="正文文本 字符"/>
    <w:basedOn w:val="23"/>
    <w:link w:val="10"/>
    <w:autoRedefine/>
    <w:qFormat/>
    <w:uiPriority w:val="99"/>
    <w:rPr>
      <w:kern w:val="2"/>
      <w:sz w:val="21"/>
      <w:szCs w:val="24"/>
    </w:rPr>
  </w:style>
  <w:style w:type="character" w:customStyle="1" w:styleId="55">
    <w:name w:val="正文缩进 字符"/>
    <w:link w:val="8"/>
    <w:qFormat/>
    <w:locked/>
    <w:uiPriority w:val="0"/>
    <w:rPr>
      <w:kern w:val="2"/>
      <w:sz w:val="21"/>
      <w:szCs w:val="24"/>
    </w:rPr>
  </w:style>
  <w:style w:type="paragraph" w:styleId="56">
    <w:name w:val="No Spacing"/>
    <w:basedOn w:val="1"/>
    <w:autoRedefine/>
    <w:qFormat/>
    <w:uiPriority w:val="99"/>
    <w:pPr>
      <w:ind w:left="59" w:right="23" w:hanging="59" w:hangingChars="59"/>
    </w:pPr>
  </w:style>
  <w:style w:type="table" w:customStyle="1" w:styleId="57">
    <w:name w:val="Table Normal"/>
    <w:autoRedefine/>
    <w:semiHidden/>
    <w:unhideWhenUsed/>
    <w:qFormat/>
    <w:uiPriority w:val="2"/>
    <w:tblPr>
      <w:tblCellMar>
        <w:top w:w="0" w:type="dxa"/>
        <w:left w:w="0" w:type="dxa"/>
        <w:bottom w:w="0" w:type="dxa"/>
        <w:right w:w="0" w:type="dxa"/>
      </w:tblCellMar>
    </w:tblPr>
  </w:style>
  <w:style w:type="paragraph" w:customStyle="1" w:styleId="58">
    <w:name w:val="Table Paragraph"/>
    <w:basedOn w:val="1"/>
    <w:qFormat/>
    <w:uiPriority w:val="1"/>
  </w:style>
  <w:style w:type="paragraph" w:customStyle="1" w:styleId="5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0">
    <w:name w:val="font61"/>
    <w:basedOn w:val="23"/>
    <w:qFormat/>
    <w:uiPriority w:val="0"/>
    <w:rPr>
      <w:rFonts w:hint="eastAsia" w:ascii="宋体" w:hAnsi="宋体" w:eastAsia="宋体" w:cs="宋体"/>
      <w:b/>
      <w:color w:val="000000"/>
      <w:sz w:val="21"/>
      <w:szCs w:val="21"/>
      <w:u w:val="none"/>
    </w:rPr>
  </w:style>
  <w:style w:type="paragraph" w:customStyle="1" w:styleId="61">
    <w:name w:val="reader-word-layer"/>
    <w:basedOn w:val="1"/>
    <w:autoRedefine/>
    <w:qFormat/>
    <w:uiPriority w:val="0"/>
    <w:pPr>
      <w:widowControl/>
      <w:spacing w:before="100" w:beforeAutospacing="1" w:after="100" w:afterAutospacing="1"/>
      <w:jc w:val="left"/>
    </w:pPr>
    <w:rPr>
      <w:rFonts w:ascii="宋体" w:cs="宋体"/>
      <w:kern w:val="0"/>
      <w:sz w:val="24"/>
    </w:rPr>
  </w:style>
  <w:style w:type="character" w:customStyle="1" w:styleId="62">
    <w:name w:val="font11"/>
    <w:basedOn w:val="23"/>
    <w:autoRedefine/>
    <w:qFormat/>
    <w:uiPriority w:val="0"/>
    <w:rPr>
      <w:rFonts w:hint="eastAsia" w:ascii="微软雅黑" w:hAnsi="微软雅黑" w:eastAsia="微软雅黑" w:cs="微软雅黑"/>
      <w:color w:val="000000"/>
      <w:sz w:val="20"/>
      <w:szCs w:val="20"/>
      <w:u w:val="none"/>
    </w:rPr>
  </w:style>
  <w:style w:type="character" w:customStyle="1" w:styleId="63">
    <w:name w:val="font21"/>
    <w:basedOn w:val="23"/>
    <w:qFormat/>
    <w:uiPriority w:val="0"/>
    <w:rPr>
      <w:rFonts w:hint="eastAsia" w:ascii="宋体" w:hAnsi="宋体" w:eastAsia="宋体" w:cs="宋体"/>
      <w:color w:val="000000"/>
      <w:sz w:val="20"/>
      <w:szCs w:val="20"/>
      <w:u w:val="none"/>
    </w:rPr>
  </w:style>
  <w:style w:type="paragraph" w:customStyle="1" w:styleId="64">
    <w:name w:val="列出段落11"/>
    <w:basedOn w:val="1"/>
    <w:qFormat/>
    <w:uiPriority w:val="1"/>
    <w:pPr>
      <w:spacing w:line="360" w:lineRule="auto"/>
      <w:ind w:firstLine="420" w:firstLineChars="200"/>
      <w:jc w:val="left"/>
    </w:pPr>
    <w:rPr>
      <w:rFonts w:cs="Calibri"/>
      <w:kern w:val="0"/>
      <w:sz w:val="24"/>
      <w:szCs w:val="21"/>
      <w:lang w:eastAsia="en-US"/>
    </w:rPr>
  </w:style>
  <w:style w:type="paragraph" w:customStyle="1" w:styleId="65">
    <w:name w:val="表格字体1"/>
    <w:basedOn w:val="10"/>
    <w:link w:val="66"/>
    <w:qFormat/>
    <w:uiPriority w:val="0"/>
    <w:pPr>
      <w:spacing w:after="0"/>
      <w:jc w:val="center"/>
    </w:pPr>
    <w:rPr>
      <w:kern w:val="0"/>
      <w:sz w:val="24"/>
    </w:rPr>
  </w:style>
  <w:style w:type="character" w:customStyle="1" w:styleId="66">
    <w:name w:val="表格字体1 字符"/>
    <w:link w:val="65"/>
    <w:qFormat/>
    <w:uiPriority w:val="0"/>
    <w:rPr>
      <w:sz w:val="24"/>
      <w:szCs w:val="24"/>
    </w:rPr>
  </w:style>
  <w:style w:type="character" w:customStyle="1" w:styleId="67">
    <w:name w:val="正文首行缩进 字符"/>
    <w:basedOn w:val="54"/>
    <w:link w:val="20"/>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21088-A997-4FC8-8905-CFA0F3F7B7FC}">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75</Pages>
  <Words>5931</Words>
  <Characters>33812</Characters>
  <Lines>281</Lines>
  <Paragraphs>79</Paragraphs>
  <TotalTime>2</TotalTime>
  <ScaleCrop>false</ScaleCrop>
  <LinksUpToDate>false</LinksUpToDate>
  <CharactersWithSpaces>39664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So what?</cp:lastModifiedBy>
  <cp:lastPrinted>2018-03-23T04:20:00Z</cp:lastPrinted>
  <dcterms:modified xsi:type="dcterms:W3CDTF">2024-04-01T15:45:02Z</dcterms:modified>
  <dc:title>水投公司内控建设招标咨询单位</dc:title>
  <cp:revision>787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2D0EC22E34634C2BBCB22B69016492A1_13</vt:lpwstr>
  </property>
</Properties>
</file>