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37"/>
          <w:rFonts w:hint="eastAsia" w:ascii="仿宋_GB2312" w:hAnsi="仿宋_GB2312" w:eastAsia="仿宋_GB2312" w:cs="仿宋_GB2312"/>
          <w:bCs/>
          <w:sz w:val="32"/>
          <w:szCs w:val="32"/>
          <w:highlight w:val="none"/>
        </w:rPr>
      </w:pPr>
      <w:r>
        <w:rPr>
          <w:rFonts w:hint="eastAsia" w:ascii="仿宋_GB2312" w:hAnsi="仿宋_GB2312" w:eastAsia="仿宋_GB2312" w:cs="仿宋_GB2312"/>
          <w:sz w:val="32"/>
          <w:szCs w:val="32"/>
          <w:highlight w:val="none"/>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pPr>
        <w:snapToGrid w:val="0"/>
        <w:rPr>
          <w:rStyle w:val="37"/>
          <w:rFonts w:hint="eastAsia" w:ascii="仿宋_GB2312" w:hAnsi="仿宋_GB2312" w:eastAsia="仿宋_GB2312" w:cs="仿宋_GB2312"/>
          <w:bCs/>
          <w:sz w:val="32"/>
          <w:szCs w:val="32"/>
          <w:highlight w:val="none"/>
        </w:rPr>
      </w:pPr>
    </w:p>
    <w:p>
      <w:pPr>
        <w:snapToGrid w:val="0"/>
        <w:rPr>
          <w:rStyle w:val="37"/>
          <w:rFonts w:hint="eastAsia" w:ascii="仿宋_GB2312" w:hAnsi="仿宋_GB2312" w:eastAsia="仿宋_GB2312" w:cs="仿宋_GB2312"/>
          <w:bCs/>
          <w:sz w:val="32"/>
          <w:szCs w:val="32"/>
          <w:highlight w:val="none"/>
        </w:rPr>
      </w:pPr>
    </w:p>
    <w:p>
      <w:pPr>
        <w:pStyle w:val="14"/>
        <w:spacing w:line="700" w:lineRule="exact"/>
        <w:jc w:val="center"/>
        <w:rPr>
          <w:rFonts w:hint="eastAsia" w:ascii="仿宋_GB2312" w:hAnsi="仿宋_GB2312" w:eastAsia="仿宋_GB2312" w:cs="仿宋_GB2312"/>
          <w:b/>
          <w:sz w:val="52"/>
          <w:szCs w:val="52"/>
          <w:highlight w:val="none"/>
        </w:rPr>
      </w:pPr>
      <w:bookmarkStart w:id="0" w:name="_Hlk79410308"/>
      <w:r>
        <w:rPr>
          <w:rFonts w:hint="eastAsia" w:ascii="仿宋_GB2312" w:hAnsi="仿宋_GB2312" w:eastAsia="仿宋_GB2312" w:cs="仿宋_GB2312"/>
          <w:b/>
          <w:sz w:val="52"/>
          <w:szCs w:val="52"/>
          <w:highlight w:val="none"/>
        </w:rPr>
        <w:t>中粮糖业</w:t>
      </w:r>
      <w:r>
        <w:rPr>
          <w:rFonts w:hint="eastAsia" w:ascii="仿宋_GB2312" w:hAnsi="仿宋_GB2312" w:eastAsia="仿宋_GB2312" w:cs="仿宋_GB2312"/>
          <w:b/>
          <w:sz w:val="52"/>
          <w:szCs w:val="52"/>
          <w:highlight w:val="none"/>
          <w:lang w:val="en-US" w:eastAsia="zh-CN"/>
        </w:rPr>
        <w:t>产品委托检验服务</w:t>
      </w:r>
      <w:r>
        <w:rPr>
          <w:rFonts w:hint="eastAsia" w:ascii="仿宋_GB2312" w:hAnsi="仿宋_GB2312" w:eastAsia="仿宋_GB2312" w:cs="仿宋_GB2312"/>
          <w:b/>
          <w:sz w:val="52"/>
          <w:szCs w:val="52"/>
          <w:highlight w:val="none"/>
        </w:rPr>
        <w:t>集中采购项目</w:t>
      </w:r>
    </w:p>
    <w:bookmarkEnd w:id="0"/>
    <w:p>
      <w:pPr>
        <w:spacing w:line="276" w:lineRule="auto"/>
        <w:jc w:val="center"/>
        <w:outlineLvl w:val="0"/>
        <w:rPr>
          <w:rFonts w:hint="eastAsia" w:ascii="仿宋_GB2312" w:hAnsi="仿宋_GB2312" w:eastAsia="仿宋_GB2312" w:cs="仿宋_GB2312"/>
          <w:b/>
          <w:bCs/>
          <w:snapToGrid w:val="0"/>
          <w:sz w:val="52"/>
          <w:szCs w:val="52"/>
          <w:highlight w:val="none"/>
          <w:u w:val="single"/>
          <w:lang w:val="en-US" w:eastAsia="zh-CN"/>
        </w:rPr>
      </w:pPr>
    </w:p>
    <w:p>
      <w:pPr>
        <w:spacing w:before="120" w:beforeLines="50"/>
        <w:jc w:val="center"/>
        <w:rPr>
          <w:rFonts w:hint="eastAsia" w:ascii="仿宋_GB2312" w:hAnsi="仿宋_GB2312" w:eastAsia="仿宋_GB2312" w:cs="仿宋_GB2312"/>
          <w:b/>
          <w:spacing w:val="60"/>
          <w:sz w:val="52"/>
          <w:szCs w:val="52"/>
          <w:highlight w:val="none"/>
        </w:rPr>
      </w:pPr>
      <w:r>
        <w:rPr>
          <w:rFonts w:hint="eastAsia" w:ascii="仿宋_GB2312" w:hAnsi="仿宋_GB2312" w:eastAsia="仿宋_GB2312" w:cs="仿宋_GB2312"/>
          <w:b/>
          <w:spacing w:val="60"/>
          <w:sz w:val="52"/>
          <w:szCs w:val="52"/>
          <w:highlight w:val="none"/>
          <w:lang w:val="en-US" w:eastAsia="zh-CN"/>
        </w:rPr>
        <w:t>询比</w:t>
      </w:r>
      <w:r>
        <w:rPr>
          <w:rFonts w:hint="eastAsia" w:ascii="仿宋_GB2312" w:hAnsi="仿宋_GB2312" w:eastAsia="仿宋_GB2312" w:cs="仿宋_GB2312"/>
          <w:b/>
          <w:spacing w:val="60"/>
          <w:sz w:val="52"/>
          <w:szCs w:val="52"/>
          <w:highlight w:val="none"/>
        </w:rPr>
        <w:t>采购文件</w:t>
      </w: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ind w:firstLine="2200" w:firstLineChars="500"/>
        <w:rPr>
          <w:rStyle w:val="37"/>
          <w:rFonts w:hint="eastAsia" w:ascii="仿宋_GB2312" w:hAnsi="仿宋_GB2312" w:eastAsia="仿宋_GB2312" w:cs="仿宋_GB2312"/>
          <w:bCs/>
          <w:sz w:val="44"/>
          <w:szCs w:val="44"/>
          <w:highlight w:val="none"/>
        </w:rPr>
      </w:pPr>
      <w:r>
        <w:rPr>
          <w:rStyle w:val="37"/>
          <w:rFonts w:hint="eastAsia" w:ascii="仿宋_GB2312" w:hAnsi="仿宋_GB2312" w:eastAsia="仿宋_GB2312" w:cs="仿宋_GB2312"/>
          <w:bCs/>
          <w:sz w:val="44"/>
          <w:szCs w:val="44"/>
          <w:highlight w:val="none"/>
        </w:rPr>
        <w:t>单位：中粮糖业</w:t>
      </w:r>
      <w:r>
        <w:rPr>
          <w:rStyle w:val="37"/>
          <w:rFonts w:hint="eastAsia" w:ascii="仿宋_GB2312" w:hAnsi="仿宋_GB2312" w:eastAsia="仿宋_GB2312" w:cs="仿宋_GB2312"/>
          <w:bCs/>
          <w:sz w:val="44"/>
          <w:szCs w:val="44"/>
          <w:highlight w:val="none"/>
          <w:lang w:val="en-US" w:eastAsia="zh-CN"/>
        </w:rPr>
        <w:t>炼糖</w:t>
      </w:r>
      <w:r>
        <w:rPr>
          <w:rStyle w:val="37"/>
          <w:rFonts w:hint="eastAsia" w:ascii="仿宋_GB2312" w:hAnsi="仿宋_GB2312" w:eastAsia="仿宋_GB2312" w:cs="仿宋_GB2312"/>
          <w:bCs/>
          <w:sz w:val="44"/>
          <w:szCs w:val="44"/>
          <w:highlight w:val="none"/>
        </w:rPr>
        <w:t>部</w:t>
      </w: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pStyle w:val="14"/>
        <w:snapToGrid w:val="0"/>
        <w:spacing w:before="120" w:after="120" w:line="800" w:lineRule="exact"/>
        <w:ind w:firstLine="3358" w:firstLineChars="800"/>
        <w:jc w:val="both"/>
        <w:rPr>
          <w:rFonts w:hint="eastAsia" w:ascii="仿宋_GB2312" w:hAnsi="仿宋_GB2312" w:eastAsia="仿宋_GB2312" w:cs="仿宋_GB2312"/>
          <w:b/>
          <w:bCs/>
          <w:w w:val="95"/>
          <w:sz w:val="44"/>
          <w:szCs w:val="44"/>
          <w:highlight w:val="none"/>
        </w:rPr>
        <w:sectPr>
          <w:headerReference r:id="rId3" w:type="default"/>
          <w:footerReference r:id="rId4" w:type="default"/>
          <w:pgSz w:w="11910" w:h="16840"/>
          <w:pgMar w:top="2154" w:right="1531" w:bottom="1531" w:left="1531" w:header="890" w:footer="692" w:gutter="0"/>
          <w:cols w:space="720" w:num="1"/>
        </w:sectPr>
      </w:pPr>
      <w:r>
        <w:rPr>
          <w:rFonts w:hint="eastAsia" w:ascii="仿宋_GB2312" w:hAnsi="仿宋_GB2312" w:eastAsia="仿宋_GB2312" w:cs="仿宋_GB2312"/>
          <w:b/>
          <w:bCs/>
          <w:w w:val="95"/>
          <w:sz w:val="44"/>
          <w:szCs w:val="44"/>
          <w:highlight w:val="none"/>
        </w:rPr>
        <w:t>202</w:t>
      </w:r>
      <w:r>
        <w:rPr>
          <w:rFonts w:hint="eastAsia" w:ascii="仿宋_GB2312" w:hAnsi="仿宋_GB2312" w:eastAsia="仿宋_GB2312" w:cs="仿宋_GB2312"/>
          <w:b/>
          <w:bCs/>
          <w:w w:val="95"/>
          <w:sz w:val="44"/>
          <w:szCs w:val="44"/>
          <w:highlight w:val="none"/>
          <w:lang w:val="en-US" w:eastAsia="zh-CN"/>
        </w:rPr>
        <w:t>4</w:t>
      </w:r>
      <w:r>
        <w:rPr>
          <w:rFonts w:hint="eastAsia" w:ascii="仿宋_GB2312" w:hAnsi="仿宋_GB2312" w:eastAsia="仿宋_GB2312" w:cs="仿宋_GB2312"/>
          <w:b/>
          <w:bCs/>
          <w:w w:val="95"/>
          <w:sz w:val="44"/>
          <w:szCs w:val="44"/>
          <w:highlight w:val="none"/>
        </w:rPr>
        <w:t>年</w:t>
      </w:r>
      <w:r>
        <w:rPr>
          <w:rFonts w:hint="eastAsia" w:ascii="仿宋_GB2312" w:hAnsi="仿宋_GB2312" w:eastAsia="仿宋_GB2312" w:cs="仿宋_GB2312"/>
          <w:b/>
          <w:bCs/>
          <w:w w:val="95"/>
          <w:sz w:val="44"/>
          <w:szCs w:val="44"/>
          <w:highlight w:val="none"/>
          <w:lang w:val="en-US" w:eastAsia="zh-CN"/>
        </w:rPr>
        <w:t>3</w:t>
      </w:r>
      <w:r>
        <w:rPr>
          <w:rFonts w:hint="eastAsia" w:ascii="仿宋_GB2312" w:hAnsi="仿宋_GB2312" w:eastAsia="仿宋_GB2312" w:cs="仿宋_GB2312"/>
          <w:b/>
          <w:bCs/>
          <w:w w:val="95"/>
          <w:sz w:val="44"/>
          <w:szCs w:val="44"/>
          <w:highlight w:val="none"/>
        </w:rPr>
        <w:t>月</w:t>
      </w:r>
    </w:p>
    <w:p>
      <w:pPr>
        <w:snapToGrid w:val="0"/>
        <w:jc w:val="center"/>
        <w:rPr>
          <w:rStyle w:val="37"/>
          <w:rFonts w:hint="eastAsia" w:ascii="仿宋_GB2312" w:hAnsi="仿宋_GB2312" w:eastAsia="仿宋_GB2312" w:cs="仿宋_GB2312"/>
          <w:bCs/>
          <w:sz w:val="32"/>
          <w:szCs w:val="32"/>
          <w:highlight w:val="none"/>
        </w:rPr>
      </w:pPr>
    </w:p>
    <w:p>
      <w:pPr>
        <w:snapToGrid w:val="0"/>
        <w:jc w:val="center"/>
        <w:rPr>
          <w:rStyle w:val="37"/>
          <w:rFonts w:hint="eastAsia" w:ascii="仿宋_GB2312" w:hAnsi="仿宋_GB2312" w:eastAsia="仿宋_GB2312" w:cs="仿宋_GB2312"/>
          <w:bCs/>
          <w:sz w:val="32"/>
          <w:szCs w:val="32"/>
          <w:highlight w:val="none"/>
        </w:rPr>
      </w:pPr>
      <w:r>
        <w:rPr>
          <w:rStyle w:val="37"/>
          <w:rFonts w:hint="eastAsia" w:ascii="仿宋_GB2312" w:hAnsi="仿宋_GB2312" w:eastAsia="仿宋_GB2312" w:cs="仿宋_GB2312"/>
          <w:bCs/>
          <w:sz w:val="32"/>
          <w:szCs w:val="32"/>
          <w:highlight w:val="none"/>
        </w:rPr>
        <w:t>目          录</w:t>
      </w:r>
    </w:p>
    <w:p>
      <w:pPr>
        <w:snapToGrid w:val="0"/>
        <w:jc w:val="center"/>
        <w:rPr>
          <w:rStyle w:val="37"/>
          <w:rFonts w:hint="eastAsia" w:ascii="仿宋_GB2312" w:hAnsi="仿宋_GB2312" w:eastAsia="仿宋_GB2312" w:cs="仿宋_GB2312"/>
          <w:bCs/>
          <w:sz w:val="32"/>
          <w:szCs w:val="32"/>
          <w:highlight w:val="none"/>
        </w:rPr>
      </w:pPr>
    </w:p>
    <w:p>
      <w:pPr>
        <w:snapToGrid w:val="0"/>
        <w:jc w:val="center"/>
        <w:rPr>
          <w:rStyle w:val="37"/>
          <w:rFonts w:hint="eastAsia" w:ascii="仿宋_GB2312" w:hAnsi="仿宋_GB2312" w:eastAsia="仿宋_GB2312" w:cs="仿宋_GB2312"/>
          <w:bCs/>
          <w:sz w:val="32"/>
          <w:szCs w:val="32"/>
          <w:highlight w:val="none"/>
        </w:rPr>
      </w:pPr>
    </w:p>
    <w:p>
      <w:pPr>
        <w:snapToGrid w:val="0"/>
        <w:jc w:val="center"/>
        <w:rPr>
          <w:rStyle w:val="37"/>
          <w:rFonts w:hint="eastAsia" w:ascii="仿宋_GB2312" w:hAnsi="仿宋_GB2312" w:eastAsia="仿宋_GB2312" w:cs="仿宋_GB2312"/>
          <w:bCs/>
          <w:sz w:val="32"/>
          <w:szCs w:val="32"/>
          <w:highlight w:val="none"/>
        </w:rPr>
      </w:pP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第一章  供应商须知</w:t>
      </w:r>
    </w:p>
    <w:p>
      <w:pPr>
        <w:numPr>
          <w:ilvl w:val="0"/>
          <w:numId w:val="0"/>
        </w:numPr>
        <w:snapToGrid w:val="0"/>
        <w:ind w:left="3619" w:leftChars="0"/>
        <w:jc w:val="center"/>
        <w:rPr>
          <w:rStyle w:val="37"/>
          <w:rFonts w:hint="default" w:ascii="仿宋_GB2312" w:hAnsi="仿宋_GB2312" w:eastAsia="仿宋_GB2312" w:cs="仿宋_GB2312"/>
          <w:bCs/>
          <w:sz w:val="32"/>
          <w:szCs w:val="32"/>
          <w:highlight w:val="none"/>
          <w:lang w:val="en-US" w:eastAsia="zh-CN"/>
        </w:rPr>
      </w:pPr>
    </w:p>
    <w:p>
      <w:pPr>
        <w:numPr>
          <w:ilvl w:val="0"/>
          <w:numId w:val="0"/>
        </w:numPr>
        <w:snapToGrid w:val="0"/>
        <w:ind w:firstLine="3520" w:firstLineChars="1100"/>
        <w:jc w:val="both"/>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第二章  采购需求</w:t>
      </w: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第三章  合同及保险主要条款</w:t>
      </w: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p>
    <w:p>
      <w:pPr>
        <w:snapToGrid w:val="0"/>
        <w:jc w:val="center"/>
        <w:rPr>
          <w:rStyle w:val="37"/>
          <w:rFonts w:hint="eastAsia" w:ascii="仿宋_GB2312" w:hAnsi="仿宋_GB2312" w:eastAsia="仿宋_GB2312" w:cs="仿宋_GB2312"/>
          <w:bCs/>
          <w:sz w:val="32"/>
          <w:szCs w:val="32"/>
          <w:highlight w:val="none"/>
        </w:rPr>
      </w:pPr>
      <w:r>
        <w:rPr>
          <w:rStyle w:val="37"/>
          <w:rFonts w:hint="eastAsia" w:ascii="仿宋_GB2312" w:hAnsi="仿宋_GB2312" w:eastAsia="仿宋_GB2312" w:cs="仿宋_GB2312"/>
          <w:bCs/>
          <w:sz w:val="32"/>
          <w:szCs w:val="32"/>
          <w:highlight w:val="none"/>
          <w:lang w:val="en-US" w:eastAsia="zh-CN"/>
        </w:rPr>
        <w:t>第四章  投标文件</w:t>
      </w:r>
    </w:p>
    <w:p>
      <w:pPr>
        <w:snapToGrid w:val="0"/>
        <w:rPr>
          <w:rStyle w:val="37"/>
          <w:rFonts w:hint="eastAsia" w:ascii="仿宋_GB2312" w:hAnsi="仿宋_GB2312" w:eastAsia="仿宋_GB2312" w:cs="仿宋_GB2312"/>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r>
        <w:rPr>
          <w:rStyle w:val="37"/>
          <w:rFonts w:hint="eastAsia" w:ascii="仿宋_GB2312" w:hAnsi="仿宋_GB2312" w:eastAsia="仿宋_GB2312" w:cs="仿宋_GB2312"/>
          <w:b/>
          <w:bCs/>
          <w:sz w:val="32"/>
          <w:szCs w:val="32"/>
          <w:highlight w:val="none"/>
        </w:rPr>
        <w:br w:type="page"/>
      </w:r>
    </w:p>
    <w:p>
      <w:pPr>
        <w:snapToGrid w:val="0"/>
        <w:jc w:val="center"/>
        <w:rPr>
          <w:rStyle w:val="37"/>
          <w:rFonts w:hint="eastAsia" w:ascii="仿宋_GB2312" w:hAnsi="仿宋_GB2312" w:eastAsia="仿宋_GB2312" w:cs="仿宋_GB2312"/>
          <w:b/>
          <w:bCs/>
          <w:sz w:val="36"/>
          <w:szCs w:val="36"/>
          <w:highlight w:val="none"/>
        </w:rPr>
      </w:pPr>
    </w:p>
    <w:p>
      <w:pPr>
        <w:snapToGrid w:val="0"/>
        <w:jc w:val="center"/>
        <w:rPr>
          <w:rStyle w:val="37"/>
          <w:rFonts w:hint="eastAsia" w:ascii="仿宋_GB2312" w:hAnsi="仿宋_GB2312" w:eastAsia="仿宋_GB2312" w:cs="仿宋_GB2312"/>
          <w:b/>
          <w:bCs/>
          <w:sz w:val="40"/>
          <w:szCs w:val="40"/>
          <w:highlight w:val="none"/>
        </w:rPr>
      </w:pPr>
      <w:r>
        <w:rPr>
          <w:rStyle w:val="37"/>
          <w:rFonts w:hint="eastAsia" w:ascii="仿宋_GB2312" w:hAnsi="仿宋_GB2312" w:eastAsia="仿宋_GB2312" w:cs="仿宋_GB2312"/>
          <w:b/>
          <w:bCs/>
          <w:sz w:val="40"/>
          <w:szCs w:val="40"/>
          <w:highlight w:val="none"/>
        </w:rPr>
        <w:t>第一章 供应商须知</w:t>
      </w:r>
    </w:p>
    <w:p>
      <w:pPr>
        <w:snapToGrid w:val="0"/>
        <w:spacing w:line="560" w:lineRule="exact"/>
        <w:ind w:firstLine="640" w:firstLineChars="200"/>
        <w:rPr>
          <w:rStyle w:val="37"/>
          <w:rFonts w:hint="eastAsia" w:ascii="仿宋_GB2312" w:hAnsi="仿宋_GB2312" w:eastAsia="仿宋_GB2312" w:cs="仿宋_GB2312"/>
          <w:bCs/>
          <w:sz w:val="32"/>
          <w:szCs w:val="32"/>
          <w:highlight w:val="none"/>
        </w:rPr>
      </w:pPr>
    </w:p>
    <w:p>
      <w:pPr>
        <w:snapToGrid w:val="0"/>
        <w:spacing w:line="560" w:lineRule="exact"/>
        <w:ind w:firstLine="640" w:firstLineChars="200"/>
        <w:rPr>
          <w:rStyle w:val="37"/>
          <w:rFonts w:hint="eastAsia" w:ascii="仿宋_GB2312" w:hAnsi="仿宋_GB2312" w:eastAsia="仿宋_GB2312" w:cs="仿宋_GB2312"/>
          <w:bCs/>
          <w:sz w:val="32"/>
          <w:szCs w:val="32"/>
          <w:highlight w:val="none"/>
        </w:rPr>
      </w:pPr>
      <w:r>
        <w:rPr>
          <w:rStyle w:val="37"/>
          <w:rFonts w:hint="eastAsia" w:ascii="仿宋_GB2312" w:hAnsi="仿宋_GB2312" w:eastAsia="仿宋_GB2312" w:cs="仿宋_GB2312"/>
          <w:bCs/>
          <w:sz w:val="32"/>
          <w:szCs w:val="32"/>
          <w:highlight w:val="none"/>
        </w:rPr>
        <w:t>一、202</w:t>
      </w:r>
      <w:r>
        <w:rPr>
          <w:rStyle w:val="37"/>
          <w:rFonts w:hint="eastAsia" w:ascii="仿宋_GB2312" w:hAnsi="仿宋_GB2312" w:eastAsia="仿宋_GB2312" w:cs="仿宋_GB2312"/>
          <w:bCs/>
          <w:sz w:val="32"/>
          <w:szCs w:val="32"/>
          <w:highlight w:val="none"/>
          <w:lang w:val="en-US" w:eastAsia="zh-CN"/>
        </w:rPr>
        <w:t>4</w:t>
      </w:r>
      <w:r>
        <w:rPr>
          <w:rStyle w:val="37"/>
          <w:rFonts w:hint="eastAsia" w:ascii="仿宋_GB2312" w:hAnsi="仿宋_GB2312" w:eastAsia="仿宋_GB2312" w:cs="仿宋_GB2312"/>
          <w:bCs/>
          <w:sz w:val="32"/>
          <w:szCs w:val="32"/>
          <w:highlight w:val="none"/>
        </w:rPr>
        <w:t>年</w:t>
      </w:r>
      <w:r>
        <w:rPr>
          <w:rStyle w:val="37"/>
          <w:rFonts w:hint="eastAsia" w:ascii="仿宋_GB2312" w:hAnsi="仿宋_GB2312" w:eastAsia="仿宋_GB2312" w:cs="仿宋_GB2312"/>
          <w:bCs/>
          <w:sz w:val="32"/>
          <w:szCs w:val="32"/>
          <w:highlight w:val="none"/>
          <w:lang w:val="en-US" w:eastAsia="zh-CN"/>
        </w:rPr>
        <w:t>3</w:t>
      </w:r>
      <w:r>
        <w:rPr>
          <w:rStyle w:val="37"/>
          <w:rFonts w:hint="eastAsia" w:ascii="仿宋_GB2312" w:hAnsi="仿宋_GB2312" w:eastAsia="仿宋_GB2312" w:cs="仿宋_GB2312"/>
          <w:bCs/>
          <w:sz w:val="32"/>
          <w:szCs w:val="32"/>
          <w:highlight w:val="none"/>
        </w:rPr>
        <w:t>月</w:t>
      </w:r>
      <w:r>
        <w:rPr>
          <w:rStyle w:val="37"/>
          <w:rFonts w:hint="eastAsia" w:ascii="仿宋_GB2312" w:hAnsi="仿宋_GB2312" w:eastAsia="仿宋_GB2312" w:cs="仿宋_GB2312"/>
          <w:bCs/>
          <w:sz w:val="32"/>
          <w:szCs w:val="32"/>
          <w:highlight w:val="none"/>
          <w:lang w:val="en-US" w:eastAsia="zh-CN"/>
        </w:rPr>
        <w:t>炼糖</w:t>
      </w:r>
      <w:r>
        <w:rPr>
          <w:rStyle w:val="37"/>
          <w:rFonts w:hint="eastAsia" w:ascii="仿宋_GB2312" w:hAnsi="仿宋_GB2312" w:eastAsia="仿宋_GB2312" w:cs="仿宋_GB2312"/>
          <w:bCs/>
          <w:sz w:val="32"/>
          <w:szCs w:val="32"/>
          <w:highlight w:val="none"/>
        </w:rPr>
        <w:t>部拟开展202</w:t>
      </w:r>
      <w:r>
        <w:rPr>
          <w:rStyle w:val="37"/>
          <w:rFonts w:hint="eastAsia" w:ascii="仿宋_GB2312" w:hAnsi="仿宋_GB2312" w:eastAsia="仿宋_GB2312" w:cs="仿宋_GB2312"/>
          <w:bCs/>
          <w:sz w:val="32"/>
          <w:szCs w:val="32"/>
          <w:highlight w:val="none"/>
          <w:lang w:val="en-US" w:eastAsia="zh-CN"/>
        </w:rPr>
        <w:t>4</w:t>
      </w:r>
      <w:r>
        <w:rPr>
          <w:rStyle w:val="37"/>
          <w:rFonts w:hint="eastAsia" w:ascii="仿宋_GB2312" w:hAnsi="仿宋_GB2312" w:eastAsia="仿宋_GB2312" w:cs="仿宋_GB2312"/>
          <w:bCs/>
          <w:sz w:val="32"/>
          <w:szCs w:val="32"/>
          <w:highlight w:val="none"/>
        </w:rPr>
        <w:t>-202</w:t>
      </w:r>
      <w:r>
        <w:rPr>
          <w:rStyle w:val="37"/>
          <w:rFonts w:hint="eastAsia" w:ascii="仿宋_GB2312" w:hAnsi="仿宋_GB2312" w:eastAsia="仿宋_GB2312" w:cs="仿宋_GB2312"/>
          <w:bCs/>
          <w:sz w:val="32"/>
          <w:szCs w:val="32"/>
          <w:highlight w:val="none"/>
          <w:lang w:val="en-US" w:eastAsia="zh-CN"/>
        </w:rPr>
        <w:t>5</w:t>
      </w:r>
      <w:r>
        <w:rPr>
          <w:rStyle w:val="37"/>
          <w:rFonts w:hint="eastAsia" w:ascii="仿宋_GB2312" w:hAnsi="仿宋_GB2312" w:eastAsia="仿宋_GB2312" w:cs="仿宋_GB2312"/>
          <w:bCs/>
          <w:sz w:val="32"/>
          <w:szCs w:val="32"/>
          <w:highlight w:val="none"/>
        </w:rPr>
        <w:t>年</w:t>
      </w:r>
      <w:r>
        <w:rPr>
          <w:rStyle w:val="37"/>
          <w:rFonts w:hint="eastAsia" w:ascii="仿宋_GB2312" w:hAnsi="仿宋_GB2312" w:eastAsia="仿宋_GB2312" w:cs="仿宋_GB2312"/>
          <w:bCs/>
          <w:sz w:val="32"/>
          <w:szCs w:val="32"/>
          <w:highlight w:val="none"/>
          <w:lang w:val="en-US" w:eastAsia="zh-CN"/>
        </w:rPr>
        <w:t>炼糖</w:t>
      </w:r>
      <w:r>
        <w:rPr>
          <w:rStyle w:val="37"/>
          <w:rFonts w:hint="eastAsia" w:ascii="仿宋_GB2312" w:hAnsi="仿宋_GB2312" w:eastAsia="仿宋_GB2312" w:cs="仿宋_GB2312"/>
          <w:bCs/>
          <w:sz w:val="32"/>
          <w:szCs w:val="32"/>
          <w:highlight w:val="none"/>
        </w:rPr>
        <w:t>部</w:t>
      </w:r>
      <w:r>
        <w:rPr>
          <w:rStyle w:val="37"/>
          <w:rFonts w:hint="eastAsia" w:ascii="仿宋_GB2312" w:hAnsi="仿宋_GB2312" w:eastAsia="仿宋_GB2312" w:cs="仿宋_GB2312"/>
          <w:bCs/>
          <w:sz w:val="32"/>
          <w:szCs w:val="32"/>
          <w:highlight w:val="none"/>
          <w:lang w:eastAsia="zh-CN"/>
        </w:rPr>
        <w:t>产品委托检验</w:t>
      </w:r>
      <w:r>
        <w:rPr>
          <w:rStyle w:val="37"/>
          <w:rFonts w:hint="eastAsia" w:ascii="仿宋_GB2312" w:hAnsi="仿宋_GB2312" w:eastAsia="仿宋_GB2312" w:cs="仿宋_GB2312"/>
          <w:bCs/>
          <w:sz w:val="32"/>
          <w:szCs w:val="32"/>
          <w:highlight w:val="none"/>
        </w:rPr>
        <w:t>采购</w:t>
      </w:r>
      <w:r>
        <w:rPr>
          <w:rStyle w:val="37"/>
          <w:rFonts w:hint="eastAsia" w:ascii="仿宋_GB2312" w:hAnsi="仿宋_GB2312" w:eastAsia="仿宋_GB2312" w:cs="仿宋_GB2312"/>
          <w:bCs/>
          <w:sz w:val="32"/>
          <w:szCs w:val="32"/>
          <w:highlight w:val="none"/>
          <w:lang w:eastAsia="zh-CN"/>
        </w:rPr>
        <w:t>询比</w:t>
      </w:r>
      <w:r>
        <w:rPr>
          <w:rStyle w:val="37"/>
          <w:rFonts w:hint="eastAsia" w:ascii="仿宋_GB2312" w:hAnsi="仿宋_GB2312" w:eastAsia="仿宋_GB2312" w:cs="仿宋_GB2312"/>
          <w:bCs/>
          <w:sz w:val="32"/>
          <w:szCs w:val="32"/>
          <w:highlight w:val="none"/>
        </w:rPr>
        <w:t>工作；</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rPr>
        <w:t>二、本</w:t>
      </w:r>
      <w:r>
        <w:rPr>
          <w:rStyle w:val="37"/>
          <w:rFonts w:hint="eastAsia" w:ascii="仿宋_GB2312" w:hAnsi="仿宋_GB2312" w:eastAsia="仿宋_GB2312" w:cs="仿宋_GB2312"/>
          <w:bCs/>
          <w:sz w:val="32"/>
          <w:szCs w:val="32"/>
          <w:highlight w:val="none"/>
          <w:lang w:val="en-US" w:eastAsia="zh-CN"/>
        </w:rPr>
        <w:t>次采购定价形式采用询比的方式（统谈分签）。</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三、参与方式：邀请</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四、投标方式：分包投标，分项报价</w:t>
      </w:r>
    </w:p>
    <w:p>
      <w:pPr>
        <w:snapToGrid w:val="0"/>
        <w:spacing w:line="560" w:lineRule="exact"/>
        <w:ind w:firstLine="640" w:firstLineChars="200"/>
        <w:rPr>
          <w:rStyle w:val="37"/>
          <w:rFonts w:hint="default"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五、服务期限：在授标结果下发后炼糖部下属单位与中标供应商在2024年3月30日之前完成签订合同。服务期限为1年。</w:t>
      </w:r>
    </w:p>
    <w:p>
      <w:pPr>
        <w:tabs>
          <w:tab w:val="left" w:pos="0"/>
        </w:tabs>
        <w:autoSpaceDE w:val="0"/>
        <w:autoSpaceDN w:val="0"/>
        <w:adjustRightInd w:val="0"/>
        <w:spacing w:line="480" w:lineRule="exact"/>
        <w:ind w:firstLine="640" w:firstLineChars="200"/>
        <w:jc w:val="left"/>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六、定价方式：分包件、单价未税价最低中标。</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七、响应有效：响应有效期为开启响应文件之日起90日历天</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八、询比文件发布及报名截止时间：</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询比文件发放方式：中粮糖业EPS采购平台发布；</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询比文件发出时间：XXX年XXX月XXX日</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请投标单位于XXX年XX月XX日前完成报名。</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本次报价时间截至XXX年XX月XX日XX点；</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开标时间：XXX年XX月XX日XX点开标</w:t>
      </w:r>
    </w:p>
    <w:p>
      <w:pPr>
        <w:numPr>
          <w:ilvl w:val="0"/>
          <w:numId w:val="1"/>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报价轮数：本次询比不限定具体报价轮数，采购工作组根据开标后实际情况现场决定是否发布二次报价相应轮数。</w:t>
      </w:r>
    </w:p>
    <w:p>
      <w:pPr>
        <w:numPr>
          <w:ilvl w:val="0"/>
          <w:numId w:val="1"/>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在授标结果下发后炼糖部下属单位与中标供应商签订合同。</w:t>
      </w:r>
    </w:p>
    <w:p>
      <w:pPr>
        <w:numPr>
          <w:ilvl w:val="0"/>
          <w:numId w:val="0"/>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十一、采购方联系方式：</w:t>
      </w:r>
    </w:p>
    <w:p>
      <w:pPr>
        <w:numPr>
          <w:ilvl w:val="0"/>
          <w:numId w:val="0"/>
        </w:numPr>
        <w:snapToGrid w:val="0"/>
        <w:spacing w:line="560" w:lineRule="exact"/>
        <w:ind w:firstLine="1280" w:firstLineChars="4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包件1联系方式：联系人：方欣桐，电话：13130562020</w:t>
      </w:r>
    </w:p>
    <w:p>
      <w:pPr>
        <w:numPr>
          <w:ilvl w:val="0"/>
          <w:numId w:val="0"/>
        </w:numPr>
        <w:snapToGrid w:val="0"/>
        <w:spacing w:line="560" w:lineRule="exact"/>
        <w:ind w:firstLine="3840" w:firstLineChars="1200"/>
        <w:rPr>
          <w:rStyle w:val="37"/>
          <w:rFonts w:hint="default"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采购联系人：陶源，电话：15009862055</w:t>
      </w:r>
    </w:p>
    <w:p>
      <w:pPr>
        <w:numPr>
          <w:ilvl w:val="0"/>
          <w:numId w:val="0"/>
        </w:numPr>
        <w:snapToGrid w:val="0"/>
        <w:spacing w:line="560" w:lineRule="exact"/>
        <w:ind w:firstLine="1280" w:firstLineChars="4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包件2联系方式：联系人：左长</w:t>
      </w:r>
      <w:r>
        <w:rPr>
          <w:rStyle w:val="37"/>
          <w:rFonts w:hint="eastAsia" w:ascii="仿宋_GB2312" w:hAnsi="仿宋_GB2312" w:eastAsia="仿宋_GB2312" w:cs="仿宋_GB2312"/>
          <w:bCs/>
          <w:sz w:val="32"/>
          <w:szCs w:val="32"/>
          <w:highlight w:val="none"/>
        </w:rPr>
        <w:t>平，电话：</w:t>
      </w:r>
      <w:r>
        <w:rPr>
          <w:rStyle w:val="37"/>
          <w:rFonts w:ascii="仿宋_GB2312" w:hAnsi="仿宋_GB2312" w:eastAsia="仿宋_GB2312" w:cs="仿宋_GB2312"/>
          <w:bCs/>
          <w:sz w:val="32"/>
          <w:szCs w:val="32"/>
          <w:highlight w:val="none"/>
        </w:rPr>
        <w:t>17736548537</w:t>
      </w:r>
    </w:p>
    <w:p>
      <w:pPr>
        <w:numPr>
          <w:ilvl w:val="0"/>
          <w:numId w:val="0"/>
        </w:numPr>
        <w:snapToGrid w:val="0"/>
        <w:spacing w:line="560" w:lineRule="exact"/>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采购联系人：肖跃，电话：18231535777</w:t>
      </w:r>
    </w:p>
    <w:p>
      <w:pPr>
        <w:numPr>
          <w:ilvl w:val="0"/>
          <w:numId w:val="0"/>
        </w:numPr>
        <w:snapToGrid w:val="0"/>
        <w:spacing w:line="560" w:lineRule="exact"/>
        <w:ind w:firstLine="1600" w:firstLineChars="5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包件3联系方式：联系人：黄若苹，电话：13850159347</w:t>
      </w:r>
    </w:p>
    <w:p>
      <w:pPr>
        <w:numPr>
          <w:ilvl w:val="0"/>
          <w:numId w:val="0"/>
        </w:numPr>
        <w:snapToGrid w:val="0"/>
        <w:spacing w:line="560" w:lineRule="exact"/>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采购联系人：齐宁，电话：18341342420</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十二、纪委监督方式：中粮糖业纪检监督:</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地址：北京市朝阳区朝阳门南大街8号中粮福临门大厦9层905房间，中粮糖业纪委办公室收，邮编100020</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电话：010-85017235</w:t>
      </w:r>
    </w:p>
    <w:p>
      <w:pPr>
        <w:numPr>
          <w:ilvl w:val="0"/>
          <w:numId w:val="2"/>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投标人注册：</w:t>
      </w:r>
    </w:p>
    <w:p>
      <w:pPr>
        <w:numPr>
          <w:ilvl w:val="0"/>
          <w:numId w:val="0"/>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1.意向投标人须在中粮糖业采购平台进行注册登记，通过审核的才能够在EPS系统内报名，进行查看公告等业务操作；采购平台网。</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2.已注册的意向投标人在EPS系统内自行更新资料，补充不足部分，更新已过期资质，重新提交审核，资质审核不通过的不得参与报价； </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3.请参与本次报价的意向投标人注册填报采购组织时，三个工厂都需要注册，</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需选择：</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包件1：中粮糖业（辽宁）工厂</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包件2：中粮糖业（唐山）工厂</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包件3：中粮糖业（漳州）工厂</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系统固定注册资料需有：营业执照、法人代表授权委托书、质量承诺书、廉洁承诺书、信用中国报告</w:t>
      </w:r>
    </w:p>
    <w:p>
      <w:pPr>
        <w:numPr>
          <w:ilvl w:val="0"/>
          <w:numId w:val="2"/>
        </w:numPr>
        <w:snapToGrid w:val="0"/>
        <w:spacing w:line="560" w:lineRule="exact"/>
        <w:ind w:left="0" w:leftChars="0"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说明</w:t>
      </w:r>
    </w:p>
    <w:p>
      <w:pPr>
        <w:spacing w:line="360" w:lineRule="auto"/>
        <w:ind w:firstLine="480" w:firstLineChars="150"/>
        <w:jc w:val="both"/>
        <w:rPr>
          <w:rFonts w:hint="eastAsia" w:ascii="仿宋_GB2312" w:hAnsi="仿宋_GB2312" w:eastAsia="仿宋_GB2312" w:cs="仿宋_GB2312"/>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t>1.采购工作小组对报送资料初审。初审期间将对报名供应商通过天眼查、信用中国、政府采购网等网站核查供应商关联关系进行核查，对于存在不良记录或报送资料严重不符合要求的将被直接淘汰，对报送资料中非重要部分填写不完整的，审核小组以邮件或微信通知的方式通知供应商补充完善，未补充完成的视为自动放弃本次询价；请报名供应商主动与审核小组人员联系，确认资质审核结果；</w:t>
      </w:r>
    </w:p>
    <w:p>
      <w:pPr>
        <w:spacing w:line="360" w:lineRule="auto"/>
        <w:ind w:firstLine="480" w:firstLineChars="150"/>
        <w:jc w:val="both"/>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供应商投标报名成功即视为接受采购方提出的采购文件规则并承担违规法律责任；供应商不需到达开标现场，电话答疑，具体答疑安排另行通知；中标供应商弃标造成采购方损失的由弃标投标方承担全部赔偿</w:t>
      </w:r>
      <w:r>
        <w:rPr>
          <w:rFonts w:hint="eastAsia" w:ascii="仿宋_GB2312" w:hAnsi="仿宋_GB2312" w:eastAsia="仿宋_GB2312" w:cs="仿宋_GB2312"/>
          <w:sz w:val="32"/>
          <w:szCs w:val="32"/>
          <w:highlight w:val="none"/>
          <w:lang w:eastAsia="zh-CN"/>
        </w:rPr>
        <w:t>；</w:t>
      </w:r>
    </w:p>
    <w:p>
      <w:pPr>
        <w:tabs>
          <w:tab w:val="left" w:pos="0"/>
        </w:tabs>
        <w:autoSpaceDE w:val="0"/>
        <w:autoSpaceDN w:val="0"/>
        <w:adjustRightInd w:val="0"/>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投标人填报的报价书由投标人自行承担全部成活风险并达到预期的质量要求，中标后除采购文件及服务合同条款规定外，不得以任何理由调整报价或追加任何费用。</w:t>
      </w:r>
    </w:p>
    <w:p>
      <w:pPr>
        <w:tabs>
          <w:tab w:val="left" w:pos="851"/>
        </w:tabs>
        <w:spacing w:line="360" w:lineRule="auto"/>
        <w:ind w:firstLine="640" w:firstLineChars="200"/>
        <w:rPr>
          <w:rFonts w:hint="eastAsia" w:ascii="仿宋_GB2312" w:hAnsi="仿宋_GB2312" w:eastAsia="仿宋_GB2312" w:cs="仿宋_GB2312"/>
          <w:sz w:val="32"/>
          <w:szCs w:val="32"/>
          <w:highlight w:val="none"/>
        </w:rPr>
      </w:pPr>
      <w:r>
        <w:rPr>
          <w:rStyle w:val="37"/>
          <w:rFonts w:hint="eastAsia" w:ascii="仿宋_GB2312" w:hAnsi="仿宋_GB2312" w:eastAsia="仿宋_GB2312" w:cs="仿宋_GB2312"/>
          <w:bCs/>
          <w:sz w:val="32"/>
          <w:szCs w:val="32"/>
          <w:highlight w:val="none"/>
          <w:lang w:val="en-US" w:eastAsia="zh-CN"/>
        </w:rPr>
        <w:t>十五、</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t>响应报价高于谈判文件设定的最高响应限价（</w:t>
      </w:r>
      <w:r>
        <w:rPr>
          <w:rFonts w:hint="eastAsia" w:ascii="仿宋_GB2312" w:hAnsi="仿宋_GB2312" w:eastAsia="仿宋_GB2312" w:cs="仿宋_GB2312"/>
          <w:sz w:val="32"/>
          <w:szCs w:val="32"/>
          <w:highlight w:val="none"/>
          <w:lang w:val="en-US" w:eastAsia="zh-CN"/>
        </w:rPr>
        <w:t>单价</w:t>
      </w:r>
      <w:r>
        <w:rPr>
          <w:rFonts w:hint="eastAsia" w:ascii="仿宋_GB2312" w:hAnsi="仿宋_GB2312" w:eastAsia="仿宋_GB2312" w:cs="仿宋_GB2312"/>
          <w:sz w:val="32"/>
          <w:szCs w:val="32"/>
          <w:highlight w:val="none"/>
        </w:rPr>
        <w:t>不允许超过）；</w:t>
      </w:r>
    </w:p>
    <w:p>
      <w:pPr>
        <w:tabs>
          <w:tab w:val="left" w:pos="851"/>
        </w:tabs>
        <w:spacing w:line="360" w:lineRule="auto"/>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十六、集团性公司的下属公司可分项进行投标，不可以同项投标，否则视为双方报价无效。</w:t>
      </w:r>
    </w:p>
    <w:p>
      <w:pPr>
        <w:numPr>
          <w:ilvl w:val="0"/>
          <w:numId w:val="0"/>
        </w:numPr>
        <w:snapToGrid w:val="0"/>
        <w:spacing w:line="560" w:lineRule="exact"/>
        <w:ind w:leftChars="200"/>
        <w:rPr>
          <w:rStyle w:val="37"/>
          <w:rFonts w:hint="default" w:ascii="仿宋_GB2312" w:hAnsi="仿宋_GB2312" w:eastAsia="仿宋_GB2312" w:cs="仿宋_GB2312"/>
          <w:bCs/>
          <w:sz w:val="32"/>
          <w:szCs w:val="32"/>
          <w:highlight w:val="none"/>
          <w:lang w:val="en-US" w:eastAsia="zh-CN"/>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40"/>
          <w:szCs w:val="40"/>
          <w:highlight w:val="none"/>
          <w:lang w:val="en-US" w:eastAsia="zh-CN"/>
        </w:rPr>
      </w:pPr>
      <w:r>
        <w:rPr>
          <w:rStyle w:val="37"/>
          <w:rFonts w:hint="eastAsia" w:ascii="仿宋_GB2312" w:hAnsi="仿宋_GB2312" w:eastAsia="仿宋_GB2312" w:cs="仿宋_GB2312"/>
          <w:b/>
          <w:bCs/>
          <w:sz w:val="40"/>
          <w:szCs w:val="40"/>
          <w:highlight w:val="none"/>
        </w:rPr>
        <w:t>第</w:t>
      </w:r>
      <w:r>
        <w:rPr>
          <w:rStyle w:val="37"/>
          <w:rFonts w:hint="eastAsia" w:ascii="仿宋_GB2312" w:hAnsi="仿宋_GB2312" w:eastAsia="仿宋_GB2312" w:cs="仿宋_GB2312"/>
          <w:b/>
          <w:bCs/>
          <w:sz w:val="40"/>
          <w:szCs w:val="40"/>
          <w:highlight w:val="none"/>
          <w:lang w:val="en-US" w:eastAsia="zh-CN"/>
        </w:rPr>
        <w:t>二</w:t>
      </w:r>
      <w:r>
        <w:rPr>
          <w:rStyle w:val="37"/>
          <w:rFonts w:hint="eastAsia" w:ascii="仿宋_GB2312" w:hAnsi="仿宋_GB2312" w:eastAsia="仿宋_GB2312" w:cs="仿宋_GB2312"/>
          <w:b/>
          <w:bCs/>
          <w:sz w:val="40"/>
          <w:szCs w:val="40"/>
          <w:highlight w:val="none"/>
        </w:rPr>
        <w:t xml:space="preserve">章 </w:t>
      </w:r>
      <w:r>
        <w:rPr>
          <w:rStyle w:val="37"/>
          <w:rFonts w:hint="eastAsia" w:ascii="仿宋_GB2312" w:hAnsi="仿宋_GB2312" w:eastAsia="仿宋_GB2312" w:cs="仿宋_GB2312"/>
          <w:b/>
          <w:bCs/>
          <w:sz w:val="40"/>
          <w:szCs w:val="40"/>
          <w:highlight w:val="none"/>
          <w:lang w:val="en-US" w:eastAsia="zh-CN"/>
        </w:rPr>
        <w:t>采购需求</w:t>
      </w:r>
    </w:p>
    <w:p>
      <w:pPr>
        <w:tabs>
          <w:tab w:val="left" w:pos="0"/>
        </w:tabs>
        <w:rPr>
          <w:rStyle w:val="37"/>
          <w:color w:val="FF0000"/>
          <w:sz w:val="32"/>
          <w:szCs w:val="32"/>
          <w:highlight w:val="none"/>
        </w:rPr>
      </w:pPr>
      <w:r>
        <w:rPr>
          <w:rStyle w:val="37"/>
          <w:rFonts w:hint="eastAsia"/>
          <w:color w:val="FF0000"/>
          <w:sz w:val="32"/>
          <w:szCs w:val="32"/>
          <w:highlight w:val="none"/>
        </w:rPr>
        <w:t>包件1 中粮糖业辽宁有限公司</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一、项目概况</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项目范围：原糖、白砂糖、绵白糖、水、煤的检测</w:t>
      </w:r>
    </w:p>
    <w:p>
      <w:pPr>
        <w:pStyle w:val="47"/>
        <w:tabs>
          <w:tab w:val="left" w:pos="0"/>
        </w:tabs>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rPr>
        <w:t>委托单位地址：辽宁省营口市仙人岛中粮大道1号</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二、项目实施方案</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1、检测内容及频次要求</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2599"/>
        <w:gridCol w:w="1502"/>
        <w:gridCol w:w="4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品名</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送检项目</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拟送检次数</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甘蔗原糖GB 2763中甘蔗全套农残系列</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重金属（砷、铅）</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致病菌</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非转基因检测</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根据原糖到港情况，每个国家送检1次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白砂糖/绵白糖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微生物项目（霉菌、菌落总数、大肠菌群、酵母菌、致病菌全项）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白砂糖/绵白糖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硝酸盐、亚硝酸盐</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生产用水/冷凝水</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生产用水97项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按GB 5749标准全项97项报价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井水</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地下水39项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GB/T 14848 地下水常规39项报价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白砂糖/绵白糖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塑化剂</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项（菌落总数、大肠菌群、霉菌、酵母、沙门氏菌、志贺氏菌、金黄色葡萄球菌、β型溶血性链球菌、螨、粒度、感官、黑点、蔗糖分、还原糖分、电导灰分、干燥失重、色值、混浊度、不溶于水杂质、二氧化硫、铅、总砷）</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伊利客户要求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黑点、焦糖粒</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伊利客户要求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氯酸盐、高氯酸盐</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伊利客户要求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苯甲酸、山梨酸、汞、铬、镉、单核细胞增生李斯特氏菌、菌落总数、大肠菌群、酵母菌、霉菌、沙门氏菌、金黄色葡萄球菌、志贺氏菌、β型溶血性链球菌、枯草芽孢杆菌、地衣芽孢杆菌</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蒙牛客户要求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包装袋</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外袋全项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包装袋</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内膜全项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包装袋</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塑化剂18项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restar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煤</w:t>
            </w:r>
          </w:p>
        </w:tc>
        <w:tc>
          <w:tcPr>
            <w:tcW w:w="1320" w:type="pc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灰熔点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vAlign w:val="center"/>
          </w:tcPr>
          <w:p>
            <w:pPr>
              <w:widowControl w:val="0"/>
              <w:tabs>
                <w:tab w:val="left" w:pos="0"/>
              </w:tabs>
              <w:rPr>
                <w:rFonts w:hint="eastAsia" w:ascii="仿宋_GB2312" w:hAnsi="仿宋_GB2312" w:eastAsia="仿宋_GB2312" w:cs="仿宋_GB2312"/>
                <w:sz w:val="32"/>
                <w:szCs w:val="32"/>
                <w:highlight w:val="none"/>
              </w:rPr>
            </w:pPr>
          </w:p>
        </w:tc>
        <w:tc>
          <w:tcPr>
            <w:tcW w:w="1320" w:type="pc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全水、分析水、灰分、挥发分、固定碳、硫分、碳元素、氢、发热量（带纸质报告）</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vAlign w:val="center"/>
          </w:tcPr>
          <w:p>
            <w:pPr>
              <w:widowControl w:val="0"/>
              <w:tabs>
                <w:tab w:val="left" w:pos="0"/>
              </w:tabs>
              <w:rPr>
                <w:rFonts w:hint="eastAsia" w:ascii="仿宋_GB2312" w:hAnsi="仿宋_GB2312" w:eastAsia="仿宋_GB2312" w:cs="仿宋_GB2312"/>
                <w:sz w:val="32"/>
                <w:szCs w:val="32"/>
                <w:highlight w:val="none"/>
              </w:rPr>
            </w:pPr>
          </w:p>
        </w:tc>
        <w:tc>
          <w:tcPr>
            <w:tcW w:w="1320" w:type="pc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全元素分析（碳、氢、氧、氮）</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bl>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2、付款方式</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每次测试结束后，根据检测公司开具的增值税专用发票次月付款。</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三、项目标准</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满足质量和食品安全体系要求、客户及相关法律法规要求，及时提供真实有效的检测报告。</w:t>
      </w:r>
    </w:p>
    <w:p>
      <w:pPr>
        <w:tabs>
          <w:tab w:val="left" w:pos="0"/>
        </w:tabs>
        <w:rPr>
          <w:rFonts w:hint="eastAsia" w:ascii="仿宋_GB2312" w:hAnsi="仿宋_GB2312" w:eastAsia="仿宋_GB2312" w:cs="仿宋_GB2312"/>
          <w:sz w:val="32"/>
          <w:szCs w:val="32"/>
          <w:highlight w:val="none"/>
        </w:rPr>
      </w:pPr>
    </w:p>
    <w:p>
      <w:pPr>
        <w:ind w:firstLine="640" w:firstLineChars="200"/>
        <w:rPr>
          <w:rStyle w:val="37"/>
          <w:rFonts w:ascii="仿宋_GB2312" w:hAnsi="仿宋_GB2312" w:eastAsia="仿宋_GB2312" w:cs="仿宋_GB2312"/>
          <w:color w:val="FF0000"/>
          <w:sz w:val="32"/>
          <w:szCs w:val="32"/>
          <w:highlight w:val="none"/>
        </w:rPr>
      </w:pPr>
      <w:r>
        <w:rPr>
          <w:rStyle w:val="37"/>
          <w:rFonts w:hint="eastAsia" w:ascii="仿宋_GB2312" w:hAnsi="仿宋_GB2312" w:eastAsia="仿宋_GB2312" w:cs="仿宋_GB2312"/>
          <w:color w:val="FF0000"/>
          <w:sz w:val="32"/>
          <w:szCs w:val="32"/>
          <w:highlight w:val="none"/>
        </w:rPr>
        <w:t>包件2中粮（唐山）糖业有限公司</w:t>
      </w:r>
    </w:p>
    <w:p>
      <w:pPr>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一、项目概况</w:t>
      </w:r>
    </w:p>
    <w:p>
      <w:pPr>
        <w:tabs>
          <w:tab w:val="left" w:pos="0"/>
        </w:tabs>
        <w:autoSpaceDE w:val="0"/>
        <w:autoSpaceDN w:val="0"/>
        <w:adjustRightInd w:val="0"/>
        <w:spacing w:line="4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将原辅料及白砂糖、绵白糖等产品委托给具备资质的第三方检验机构进行检验，并取得外检报告。</w:t>
      </w:r>
    </w:p>
    <w:p>
      <w:pPr>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委托第三方检验项目明细如下：</w:t>
      </w:r>
    </w:p>
    <w:tbl>
      <w:tblPr>
        <w:tblStyle w:val="28"/>
        <w:tblpPr w:leftFromText="180" w:rightFromText="180" w:vertAnchor="text" w:horzAnchor="page" w:tblpX="1014" w:tblpY="552"/>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925"/>
        <w:gridCol w:w="200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全项检验项目：感官、糖度、安全系数、灰分、色值、葡聚糖、不溶水杂质、二氧化硫、螨 (GB/T 15108)</w:t>
            </w:r>
          </w:p>
        </w:tc>
        <w:tc>
          <w:tcPr>
            <w:tcW w:w="2007"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7次/年</w:t>
            </w:r>
          </w:p>
        </w:tc>
        <w:tc>
          <w:tcPr>
            <w:tcW w:w="3594"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甘蔗原糖GB 2763中甘蔗全套265项农残系列</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10项重金属</w:t>
            </w:r>
            <w:r>
              <w:rPr>
                <w:rFonts w:hint="default" w:ascii="仿宋_GB2312" w:hAnsi="仿宋_GB2312" w:eastAsia="仿宋_GB2312" w:cs="仿宋_GB2312"/>
                <w:bCs/>
                <w:sz w:val="32"/>
                <w:szCs w:val="32"/>
                <w:highlight w:val="none"/>
                <w:lang w:val="en-US" w:eastAsia="zh-CN"/>
              </w:rPr>
              <w:t>（砷；铜；铅；铁；铝；铬；锰；汞；镍；镉）；</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标签审核</w:t>
            </w:r>
          </w:p>
        </w:tc>
        <w:tc>
          <w:tcPr>
            <w:tcW w:w="2007" w:type="dxa"/>
            <w:vMerge w:val="restart"/>
            <w:vAlign w:val="center"/>
          </w:tcPr>
          <w:p>
            <w:pPr>
              <w:widowControl w:val="0"/>
              <w:tabs>
                <w:tab w:val="left" w:pos="0"/>
              </w:tabs>
              <w:autoSpaceDE w:val="0"/>
              <w:autoSpaceDN w:val="0"/>
              <w:adjustRightInd w:val="0"/>
              <w:jc w:val="center"/>
              <w:rPr>
                <w:rFonts w:ascii="仿宋_GB2312" w:hAnsi="仿宋_GB2312" w:eastAsia="仿宋_GB2312" w:cs="仿宋_GB2312"/>
                <w:bCs/>
                <w:sz w:val="28"/>
                <w:szCs w:val="28"/>
                <w:highlight w:val="none"/>
              </w:rPr>
            </w:pPr>
            <w:r>
              <w:rPr>
                <w:rFonts w:hint="eastAsia" w:ascii="仿宋_GB2312" w:hAnsi="仿宋_GB2312" w:eastAsia="仿宋_GB2312" w:cs="仿宋_GB2312"/>
                <w:bCs/>
                <w:sz w:val="32"/>
                <w:szCs w:val="32"/>
                <w:highlight w:val="none"/>
              </w:rPr>
              <w:t>2次/年</w:t>
            </w:r>
          </w:p>
          <w:p>
            <w:pPr>
              <w:widowControl w:val="0"/>
              <w:jc w:val="center"/>
              <w:rPr>
                <w:rFonts w:ascii="仿宋_GB2312" w:hAnsi="仿宋_GB2312" w:eastAsia="仿宋_GB2312" w:cs="仿宋_GB2312"/>
                <w:bCs/>
                <w:sz w:val="32"/>
                <w:szCs w:val="32"/>
                <w:highlight w:val="none"/>
              </w:rPr>
            </w:pPr>
          </w:p>
        </w:tc>
        <w:tc>
          <w:tcPr>
            <w:tcW w:w="3594" w:type="dxa"/>
            <w:vMerge w:val="restart"/>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2007" w:type="dxa"/>
            <w:vMerge w:val="continue"/>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2007" w:type="dxa"/>
            <w:vMerge w:val="continue"/>
          </w:tcPr>
          <w:p>
            <w:pPr>
              <w:widowControl w:val="0"/>
              <w:tabs>
                <w:tab w:val="left" w:pos="0"/>
              </w:tabs>
              <w:autoSpaceDE w:val="0"/>
              <w:autoSpaceDN w:val="0"/>
              <w:adjustRightInd w:val="0"/>
              <w:jc w:val="left"/>
              <w:rPr>
                <w:rFonts w:ascii="仿宋_GB2312" w:hAnsi="仿宋_GB2312" w:eastAsia="仿宋_GB2312" w:cs="仿宋_GB2312"/>
                <w:bCs/>
                <w:sz w:val="28"/>
                <w:szCs w:val="28"/>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2007" w:type="dxa"/>
            <w:vMerge w:val="continue"/>
            <w:vAlign w:val="center"/>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GB/T317理化全项；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沙门氏菌（n=10）</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单核细胞增生李斯特氏菌；菌落总数；大肠菌群；酵母菌；霉菌；沙门氏菌；金黄色葡萄球菌；志贺氏菌；溶血性链球菌；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地衣芽孢杆菌；枯草芽孢杆菌；淀粉酶（第一法、第二法）；苯甲酸；山梨酸；汞；铬；镉</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非转基因测试</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丙二醇</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凝固酶阳性葡萄球菌；脂环酸芽孢杆菌；亚硝酸盐</w:t>
            </w:r>
            <w:bookmarkStart w:id="3" w:name="_GoBack"/>
            <w:bookmarkEnd w:id="3"/>
            <w:r>
              <w:rPr>
                <w:rFonts w:hint="eastAsia" w:ascii="仿宋_GB2312" w:hAnsi="仿宋_GB2312" w:eastAsia="仿宋_GB2312" w:cs="仿宋_GB2312"/>
                <w:bCs/>
                <w:sz w:val="32"/>
                <w:szCs w:val="32"/>
                <w:highlight w:val="none"/>
              </w:rPr>
              <w:t>；硝酸盐</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color w:val="auto"/>
                <w:sz w:val="32"/>
                <w:szCs w:val="32"/>
                <w:highlight w:val="none"/>
              </w:rPr>
              <w:t>钙；邻苯二甲酸酯类20项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绵白糖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感官；总糖分；还原糖分；干燥失重；电导灰分；色值；混浊度；不溶于水杂质；粒度；净含量；铅；总砷；螨；二氧化硫；</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全糖粉</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QB/T 4565理化全项、菌落总数；大肠菌群；酵母菌；霉菌；沙门氏菌；金黄色葡萄球菌；志贺氏菌；溶血性链球菌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default" w:ascii="仿宋_GB2312" w:hAnsi="仿宋_GB2312" w:eastAsia="仿宋_GB2312" w:cs="仿宋_GB2312"/>
                <w:bCs/>
                <w:sz w:val="32"/>
                <w:szCs w:val="32"/>
                <w:highlight w:val="none"/>
                <w:lang w:val="en-US" w:eastAsia="zh-CN"/>
              </w:rPr>
              <w:t>环境致病菌（29个测试点）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工艺用水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汽凝水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石灰</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T/ZTX 03001-2021 制糖工艺用石灰</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煤</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rPr>
              <w:t>水分；灰分；挥发分；含硫量；低位发热量；灰熔点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15次/年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更换供应商时检测</w:t>
            </w:r>
          </w:p>
        </w:tc>
      </w:tr>
    </w:tbl>
    <w:p>
      <w:pPr>
        <w:tabs>
          <w:tab w:val="left" w:pos="0"/>
        </w:tabs>
        <w:autoSpaceDE w:val="0"/>
        <w:autoSpaceDN w:val="0"/>
        <w:adjustRightInd w:val="0"/>
        <w:spacing w:line="480" w:lineRule="exact"/>
        <w:ind w:firstLine="643" w:firstLineChars="200"/>
        <w:jc w:val="left"/>
        <w:rPr>
          <w:rFonts w:ascii="仿宋_GB2312" w:hAnsi="仿宋_GB2312" w:eastAsia="仿宋_GB2312" w:cs="仿宋_GB2312"/>
          <w:b/>
          <w:bCs/>
          <w:color w:val="FF0000"/>
          <w:kern w:val="0"/>
          <w:sz w:val="32"/>
          <w:szCs w:val="32"/>
          <w:highlight w:val="none"/>
        </w:rPr>
      </w:pPr>
    </w:p>
    <w:p>
      <w:pPr>
        <w:ind w:firstLine="960" w:firstLineChars="300"/>
        <w:rPr>
          <w:rStyle w:val="37"/>
          <w:rFonts w:hint="eastAsia" w:ascii="仿宋_GB2312" w:hAnsi="仿宋_GB2312" w:eastAsia="仿宋_GB2312" w:cs="仿宋_GB2312"/>
          <w:color w:val="FF0000"/>
          <w:sz w:val="32"/>
          <w:szCs w:val="32"/>
          <w:highlight w:val="none"/>
          <w:lang w:val="en-US" w:eastAsia="zh-CN"/>
        </w:rPr>
      </w:pPr>
      <w:r>
        <w:rPr>
          <w:rStyle w:val="37"/>
          <w:rFonts w:hint="eastAsia" w:ascii="仿宋_GB2312" w:hAnsi="仿宋_GB2312" w:eastAsia="仿宋_GB2312" w:cs="仿宋_GB2312"/>
          <w:color w:val="FF0000"/>
          <w:sz w:val="32"/>
          <w:szCs w:val="32"/>
          <w:highlight w:val="none"/>
          <w:lang w:val="en-US" w:eastAsia="zh-CN"/>
        </w:rPr>
        <w:t>包件3中粮糖业（漳州）有限公司</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根据质量和食品安全体系要求、客户及相关法律法规要求，2024年需将原糖、白砂糖、氧化钙等产品委托给具备资质的第三方检验机构进行检验，并取得外检报告。</w:t>
      </w:r>
    </w:p>
    <w:p>
      <w:pPr>
        <w:ind w:firstLine="964" w:firstLineChars="300"/>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t>一、资格要求：</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、合法注册和认可：</w:t>
      </w:r>
    </w:p>
    <w:p>
      <w:pPr>
        <w:ind w:firstLine="960" w:firstLineChars="3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1.1 合法注册：</w:t>
      </w:r>
      <w:r>
        <w:rPr>
          <w:rFonts w:hint="eastAsia" w:ascii="仿宋_GB2312" w:hAnsi="仿宋_GB2312" w:eastAsia="仿宋_GB2312" w:cs="仿宋_GB2312"/>
          <w:sz w:val="32"/>
          <w:szCs w:val="32"/>
          <w:highlight w:val="none"/>
          <w:lang w:val="en-US" w:eastAsia="zh-CN"/>
        </w:rPr>
        <w:t>拥有本项目服务内容的营业执照或许可证。</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 认可：</w:t>
      </w:r>
      <w:r>
        <w:rPr>
          <w:rFonts w:hint="eastAsia" w:ascii="仿宋_GB2312" w:hAnsi="仿宋_GB2312" w:eastAsia="仿宋_GB2312" w:cs="仿宋_GB2312"/>
          <w:sz w:val="32"/>
          <w:szCs w:val="32"/>
          <w:highlight w:val="none"/>
          <w:lang w:val="en-US" w:eastAsia="zh-CN"/>
        </w:rPr>
        <w:t>CMA、CNAS证书</w:t>
      </w:r>
      <w:r>
        <w:rPr>
          <w:rFonts w:hint="eastAsia" w:ascii="仿宋_GB2312" w:hAnsi="仿宋_GB2312" w:eastAsia="仿宋_GB2312" w:cs="仿宋_GB2312"/>
          <w:sz w:val="32"/>
          <w:szCs w:val="32"/>
          <w:highlight w:val="none"/>
        </w:rPr>
        <w:t>。</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、专业人员和设备：</w:t>
      </w:r>
    </w:p>
    <w:p>
      <w:pPr>
        <w:ind w:firstLine="960" w:firstLineChars="3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.1 专业人员：配备经过培训和资质认证的专业人员。这些人员应该具备相关领域的专业知识和技能，并且了解各种检测方法和标准。</w:t>
      </w:r>
      <w:r>
        <w:rPr>
          <w:rFonts w:hint="eastAsia" w:ascii="仿宋_GB2312" w:hAnsi="仿宋_GB2312" w:eastAsia="仿宋_GB2312" w:cs="仿宋_GB2312"/>
          <w:sz w:val="32"/>
          <w:szCs w:val="32"/>
          <w:highlight w:val="none"/>
          <w:lang w:val="en-US" w:eastAsia="zh-CN"/>
        </w:rPr>
        <w:t>并提供相应的证明（证书、培训证明）。</w:t>
      </w:r>
    </w:p>
    <w:p>
      <w:pPr>
        <w:ind w:firstLine="960" w:firstLineChars="3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.2 先进设备：配备先进的设备和仪器，以支持各种类型的检测项目。这些设备和仪器应该具备高精度、高灵敏度的特点，能够满足不同产品的检测需求。</w:t>
      </w:r>
      <w:r>
        <w:rPr>
          <w:rFonts w:hint="eastAsia" w:ascii="仿宋_GB2312" w:hAnsi="仿宋_GB2312" w:eastAsia="仿宋_GB2312" w:cs="仿宋_GB2312"/>
          <w:sz w:val="32"/>
          <w:szCs w:val="32"/>
          <w:highlight w:val="none"/>
          <w:lang w:val="en-US" w:eastAsia="zh-CN"/>
        </w:rPr>
        <w:t>具有满足本项目服务内容的设备仪器（设备校准清单）。</w:t>
      </w:r>
    </w:p>
    <w:p>
      <w:pPr>
        <w:widowControl/>
        <w:jc w:val="left"/>
        <w:rPr>
          <w:rFonts w:hint="eastAsia" w:ascii="仿宋_GB2312" w:hAnsi="仿宋_GB2312" w:eastAsia="仿宋_GB2312" w:cs="仿宋_GB2312"/>
          <w:sz w:val="32"/>
          <w:szCs w:val="32"/>
          <w:highlight w:val="none"/>
          <w:lang w:eastAsia="zh-CN"/>
        </w:rPr>
      </w:pPr>
    </w:p>
    <w:p>
      <w:pPr>
        <w:widowControl/>
        <w:ind w:firstLine="964" w:firstLineChars="300"/>
        <w:jc w:val="left"/>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二、</w:t>
      </w:r>
      <w:r>
        <w:rPr>
          <w:rFonts w:hint="eastAsia" w:ascii="仿宋_GB2312" w:hAnsi="仿宋_GB2312" w:eastAsia="仿宋_GB2312" w:cs="仿宋_GB2312"/>
          <w:b/>
          <w:bCs/>
          <w:sz w:val="32"/>
          <w:szCs w:val="32"/>
          <w:highlight w:val="none"/>
        </w:rPr>
        <w:t>委托第三方检验项目明细如下：</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2433"/>
        <w:gridCol w:w="1462"/>
        <w:gridCol w:w="1042"/>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12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lang w:eastAsia="zh-CN"/>
              </w:rPr>
              <w:t>单项报价</w:t>
            </w:r>
          </w:p>
        </w:tc>
        <w:tc>
          <w:tcPr>
            <w:tcW w:w="161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2763中甘蔗全套农残系列</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重金属（砷、铅）</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致病菌</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非转基因检测</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根据原糖到港情况，每个国家送检1次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全项检验项目：感官、糖度、安全系数、灰分、色值、葡聚糖、不溶水杂质、二氧化硫、螨、总砷、铅</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微生物项目（霉菌、菌落总数、大肠菌群、酵母菌、致病菌全项）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硝酸盐、亚硝酸盐</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8次/年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生产用水/冷凝水</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生产用水97项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按GB 5749标准全项97项报价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井水</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地下水39项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 14848 地下水常规39项报价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1235"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742"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529" w:type="pct"/>
            <w:vAlign w:val="top"/>
          </w:tcPr>
          <w:p>
            <w:pPr>
              <w:widowControl w:val="0"/>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1235"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742"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529" w:type="pct"/>
            <w:vAlign w:val="top"/>
          </w:tcPr>
          <w:p>
            <w:pPr>
              <w:widowControl w:val="0"/>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1235"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742"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4次/年</w:t>
            </w:r>
          </w:p>
        </w:tc>
        <w:tc>
          <w:tcPr>
            <w:tcW w:w="529" w:type="pct"/>
            <w:vAlign w:val="top"/>
          </w:tcPr>
          <w:p>
            <w:pPr>
              <w:widowControl w:val="0"/>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lang w:val="en-US" w:eastAsia="zh-CN"/>
              </w:rPr>
              <w:t>煤</w:t>
            </w:r>
          </w:p>
        </w:tc>
        <w:tc>
          <w:tcPr>
            <w:tcW w:w="1235"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lang w:val="en-US" w:eastAsia="zh-CN"/>
              </w:rPr>
              <w:t>全水分；水分；灰分；挥发分；含硫量；低位发热量；氢；灰熔点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28"/>
                <w:szCs w:val="28"/>
                <w:highlight w:val="none"/>
                <w:lang w:val="en-US" w:eastAsia="zh-CN"/>
              </w:rPr>
            </w:pPr>
          </w:p>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lang w:val="en-US" w:eastAsia="zh-CN"/>
              </w:rPr>
              <w:t>15次/年</w:t>
            </w:r>
          </w:p>
        </w:tc>
        <w:tc>
          <w:tcPr>
            <w:tcW w:w="52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1611"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val="en-US" w:eastAsia="zh-CN"/>
              </w:rPr>
              <w:t>标签审核</w:t>
            </w:r>
          </w:p>
        </w:tc>
        <w:tc>
          <w:tcPr>
            <w:tcW w:w="1235"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val="en-US" w:eastAsia="zh-CN"/>
              </w:rPr>
              <w:t>包装袋版面信息合规性审核</w:t>
            </w:r>
          </w:p>
        </w:tc>
        <w:tc>
          <w:tcPr>
            <w:tcW w:w="742" w:type="pct"/>
            <w:vAlign w:val="top"/>
          </w:tcPr>
          <w:p>
            <w:pPr>
              <w:widowControl w:val="0"/>
              <w:tabs>
                <w:tab w:val="left" w:pos="0"/>
              </w:tabs>
              <w:autoSpaceDE w:val="0"/>
              <w:autoSpaceDN w:val="0"/>
              <w:adjustRightInd w:val="0"/>
              <w:spacing w:line="480" w:lineRule="exact"/>
              <w:jc w:val="left"/>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val="en-US" w:eastAsia="zh-CN"/>
              </w:rPr>
              <w:t>1次/版</w:t>
            </w:r>
          </w:p>
        </w:tc>
        <w:tc>
          <w:tcPr>
            <w:tcW w:w="52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1611" w:type="pct"/>
            <w:vAlign w:val="center"/>
          </w:tcPr>
          <w:p>
            <w:pPr>
              <w:widowControl w:val="0"/>
              <w:tabs>
                <w:tab w:val="left" w:pos="0"/>
              </w:tabs>
              <w:autoSpaceDE w:val="0"/>
              <w:autoSpaceDN w:val="0"/>
              <w:adjustRightInd w:val="0"/>
              <w:spacing w:line="480" w:lineRule="exact"/>
              <w:jc w:val="both"/>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每个版面送检一次</w:t>
            </w:r>
          </w:p>
        </w:tc>
      </w:tr>
    </w:tbl>
    <w:p>
      <w:pPr>
        <w:pStyle w:val="2"/>
        <w:numPr>
          <w:ilvl w:val="0"/>
          <w:numId w:val="0"/>
        </w:numPr>
        <w:ind w:leftChars="500" w:right="-240" w:rightChars="0" w:firstLine="1808" w:firstLineChars="600"/>
        <w:jc w:val="both"/>
        <w:rPr>
          <w:rFonts w:hint="eastAsia" w:ascii="仿宋_GB2312" w:hAnsi="仿宋_GB2312" w:eastAsia="仿宋_GB2312" w:cs="仿宋_GB2312"/>
          <w:sz w:val="32"/>
          <w:szCs w:val="32"/>
          <w:highlight w:val="none"/>
          <w:lang w:val="en-US" w:eastAsia="zh-CN"/>
        </w:rPr>
      </w:pPr>
    </w:p>
    <w:p>
      <w:pPr>
        <w:pStyle w:val="2"/>
        <w:numPr>
          <w:ilvl w:val="0"/>
          <w:numId w:val="0"/>
        </w:numPr>
        <w:ind w:right="-240" w:rightChars="0"/>
        <w:jc w:val="center"/>
        <w:rPr>
          <w:rFonts w:hint="eastAsia" w:ascii="仿宋_GB2312" w:hAnsi="仿宋_GB2312" w:eastAsia="仿宋_GB2312" w:cs="仿宋_GB2312"/>
          <w:sz w:val="40"/>
          <w:szCs w:val="40"/>
          <w:highlight w:val="none"/>
          <w:lang w:val="en-US" w:eastAsia="zh-CN"/>
        </w:rPr>
      </w:pPr>
      <w:r>
        <w:rPr>
          <w:rFonts w:hint="eastAsia" w:ascii="仿宋_GB2312" w:hAnsi="仿宋_GB2312" w:eastAsia="仿宋_GB2312" w:cs="仿宋_GB2312"/>
          <w:sz w:val="40"/>
          <w:szCs w:val="40"/>
          <w:highlight w:val="none"/>
          <w:lang w:val="en-US" w:eastAsia="zh-CN"/>
        </w:rPr>
        <w:t>第三章 合同及保险主要条款</w:t>
      </w:r>
    </w:p>
    <w:p>
      <w:pPr>
        <w:tabs>
          <w:tab w:val="left" w:pos="0"/>
        </w:tabs>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color w:val="FF0000"/>
          <w:sz w:val="32"/>
          <w:szCs w:val="32"/>
          <w:highlight w:val="none"/>
        </w:rPr>
        <w:t>包件1 中粮糖业辽宁有限公司合同主要条款</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本合同由</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(以下简称“乙方”)与</w:t>
      </w:r>
      <w:r>
        <w:rPr>
          <w:rFonts w:hint="eastAsia" w:ascii="仿宋_GB2312" w:hAnsi="仿宋_GB2312" w:eastAsia="仿宋_GB2312" w:cs="仿宋_GB2312"/>
          <w:color w:val="000000"/>
          <w:kern w:val="0"/>
          <w:sz w:val="32"/>
          <w:szCs w:val="32"/>
          <w:highlight w:val="none"/>
          <w:u w:val="single"/>
        </w:rPr>
        <w:t>中粮糖业辽宁有限公司</w:t>
      </w:r>
      <w:r>
        <w:rPr>
          <w:rFonts w:hint="eastAsia" w:ascii="仿宋_GB2312" w:hAnsi="仿宋_GB2312" w:eastAsia="仿宋_GB2312" w:cs="仿宋_GB2312"/>
          <w:sz w:val="32"/>
          <w:szCs w:val="32"/>
          <w:highlight w:val="none"/>
        </w:rPr>
        <w:t>(以下简称“甲方”)在平等自愿的基础上，依据《中华人民共和国民法典》有关规定就产品委托检验事宜，经友好协商后订立，以共同恪守。</w:t>
      </w:r>
    </w:p>
    <w:p>
      <w:pPr>
        <w:pStyle w:val="47"/>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一、服务项目： </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1.技术服务的内容：乙方根据中粮糖业辽宁有限公司要求对甲方委托的产品进行检测，并根据结论出具检测报告。   </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2.检测项目包括：样品测试分析，感官分析, 理化测试，微生物测试、重金属测试, 农药残留测试等（最终以中标文件规定的检测项目为准）分析测试。</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3.测试方法将参照中国国家标准、国际标准或甲方客户提供的企业标准。</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技术服务的形式：根据甲方实际提供的样品及测试委托单进行测试。甲方将产品送检（快递）至乙方指定地点进行检测，快递费用由甲方承担，在收到样品及测试要求后，测试在5-7个工作日内完成；对于特别测试周期的项目，乙方将提前通知甲方</w:t>
      </w:r>
      <w:bookmarkStart w:id="1" w:name="_Hlk127342571"/>
      <w:r>
        <w:rPr>
          <w:rFonts w:hint="eastAsia" w:ascii="仿宋_GB2312" w:hAnsi="仿宋_GB2312" w:eastAsia="仿宋_GB2312" w:cs="仿宋_GB2312"/>
          <w:sz w:val="32"/>
          <w:szCs w:val="32"/>
          <w:highlight w:val="none"/>
        </w:rPr>
        <w:t>，乙方将出具有效检测报告（同时包括纸质版、电子版检测报告），报告仅对来样负责</w:t>
      </w:r>
      <w:bookmarkEnd w:id="1"/>
      <w:r>
        <w:rPr>
          <w:rFonts w:hint="eastAsia" w:ascii="仿宋_GB2312" w:hAnsi="仿宋_GB2312" w:eastAsia="仿宋_GB2312" w:cs="仿宋_GB2312"/>
          <w:sz w:val="32"/>
          <w:szCs w:val="32"/>
          <w:highlight w:val="none"/>
        </w:rPr>
        <w:t>。</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甲方对乙方出具的检测报告数据有怀疑，且对调查结果及解决方案存疑，可委托经双方认可的国家认可实验室进行仲裁检测。如仲裁检测结果与乙方检测结果一致，仲裁检测费用由甲方承担；如仲裁检测结果与乙方检测结果不相符，仲裁检测费用由乙方承担。</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6.委托检测的具体产品内容见附件：《检测清单》。</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7.合同有效期为，    年   月   日至   年   月   日止。</w:t>
      </w:r>
    </w:p>
    <w:p>
      <w:pPr>
        <w:tabs>
          <w:tab w:val="left" w:pos="0"/>
        </w:tabs>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8.支付方式：每次测试结束后双方进行一次结</w:t>
      </w:r>
      <w:r>
        <w:rPr>
          <w:rFonts w:hint="eastAsia" w:ascii="仿宋_GB2312" w:hAnsi="仿宋_GB2312" w:eastAsia="仿宋_GB2312" w:cs="仿宋_GB2312"/>
          <w:color w:val="auto"/>
          <w:sz w:val="32"/>
          <w:szCs w:val="32"/>
          <w:highlight w:val="none"/>
        </w:rPr>
        <w:t>算，甲方在收到乙方开具的</w:t>
      </w:r>
      <w:r>
        <w:rPr>
          <w:rFonts w:hint="eastAsia" w:ascii="仿宋_GB2312" w:hAnsi="仿宋_GB2312" w:eastAsia="仿宋_GB2312" w:cs="仿宋_GB2312"/>
          <w:color w:val="auto"/>
          <w:sz w:val="32"/>
          <w:szCs w:val="32"/>
          <w:highlight w:val="none"/>
          <w:u w:val="single"/>
        </w:rPr>
        <w:t xml:space="preserve"> 6 %</w:t>
      </w:r>
      <w:r>
        <w:rPr>
          <w:rFonts w:hint="eastAsia" w:ascii="仿宋_GB2312" w:hAnsi="仿宋_GB2312" w:eastAsia="仿宋_GB2312" w:cs="仿宋_GB2312"/>
          <w:color w:val="auto"/>
          <w:sz w:val="32"/>
          <w:szCs w:val="32"/>
          <w:highlight w:val="none"/>
        </w:rPr>
        <w:t>增值税专用发票后次月的30日内进行付款，且甲方应于当年12月30日前完成所有开票费用的支付。</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9.质量要求：乙方保证已获得依据ISO/IEC17025标准评审的CNAS认可证书以及CMA认可证书，并严格按照标准要求对实验室进行质量控制，有能力持续完成上述检测要求。</w:t>
      </w:r>
    </w:p>
    <w:p>
      <w:pPr>
        <w:tabs>
          <w:tab w:val="left" w:pos="0"/>
        </w:tabs>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10.乙方在没有得到甲方预先书面同意的情况下，不得将测试内容、测试结果以任何形式泄漏给任何第三方。</w:t>
      </w:r>
      <w:r>
        <w:rPr>
          <w:rFonts w:hint="eastAsia" w:ascii="仿宋_GB2312" w:hAnsi="仿宋_GB2312" w:eastAsia="仿宋_GB2312" w:cs="仿宋_GB2312"/>
          <w:sz w:val="32"/>
          <w:szCs w:val="32"/>
          <w:highlight w:val="none"/>
        </w:rPr>
        <w:t>乙方应为甲方所提供的资料以及环境状况、产品技术、生产工艺等商业秘密承担保密义务。甲方应为乙方所提供的技术情报和资料及非正式出版物等承担保密义务。一旦一方泄密，则泄密方须承担相应的经济和法律责任。</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二、甲方责任与义务</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1.甲方提前通知乙方与样品有关的、实际上或潜在的危害或危险，包括但不限于辐射、有毒或易爆成分或材料存在的风险。</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2.按照乙方要求，提供一切检测所必需的样品、资料和技术文件，并保证提供的一切资料应当是真实、完整、合法、有效的，以便乙方有效地提供要求的检测服务。</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3.保证其提供的样品、技术文件不存在知识产权问题及其他违法违规问题。</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三、乙方责任与义务</w:t>
      </w:r>
    </w:p>
    <w:p>
      <w:pPr>
        <w:tabs>
          <w:tab w:val="left" w:pos="0"/>
        </w:tabs>
        <w:ind w:firstLine="640" w:firstLineChars="200"/>
        <w:rPr>
          <w:rFonts w:hint="eastAsia" w:ascii="仿宋_GB2312" w:hAnsi="仿宋_GB2312" w:eastAsia="仿宋_GB2312" w:cs="仿宋_GB2312"/>
          <w:sz w:val="32"/>
          <w:szCs w:val="32"/>
          <w:highlight w:val="none"/>
        </w:rPr>
      </w:pPr>
      <w:bookmarkStart w:id="2" w:name="OLE_LINK1"/>
      <w:r>
        <w:rPr>
          <w:rFonts w:hint="eastAsia" w:ascii="仿宋_GB2312" w:hAnsi="仿宋_GB2312" w:eastAsia="仿宋_GB2312" w:cs="仿宋_GB2312"/>
          <w:sz w:val="32"/>
          <w:szCs w:val="32"/>
          <w:highlight w:val="none"/>
        </w:rPr>
        <w:t>1.承诺采用合理谨慎态度及科学准确的方法提供检测服务，以保证检测结果的准确性和有效性。</w:t>
      </w:r>
      <w:bookmarkEnd w:id="2"/>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2.为甲方设立检测专用服务通道，以便甲方的供应商可享受快速通道服务，指定专人作为甲方服务窗口，为甲方及其供应商提供相关的专项培训和技术支持。</w:t>
      </w:r>
    </w:p>
    <w:p>
      <w:pPr>
        <w:tabs>
          <w:tab w:val="left" w:pos="0"/>
        </w:tabs>
        <w:ind w:firstLine="640" w:firstLineChars="200"/>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color w:val="000000"/>
          <w:sz w:val="32"/>
          <w:szCs w:val="32"/>
          <w:highlight w:val="none"/>
        </w:rPr>
        <w:t>3.就检测报告的有关内容，接受甲方的咨询，</w:t>
      </w:r>
      <w:r>
        <w:rPr>
          <w:rFonts w:hint="eastAsia" w:ascii="仿宋_GB2312" w:hAnsi="仿宋_GB2312" w:eastAsia="仿宋_GB2312" w:cs="仿宋_GB2312"/>
          <w:sz w:val="32"/>
          <w:szCs w:val="32"/>
          <w:highlight w:val="none"/>
        </w:rPr>
        <w:t>若出现不合格检测结果时，乙方应及时进行复测，以保证检测结果准确性，并与甲方指定代表沟通且得到确认后，方可出具正式检测报告。</w:t>
      </w:r>
      <w:r>
        <w:rPr>
          <w:rFonts w:hint="eastAsia" w:ascii="仿宋_GB2312" w:hAnsi="仿宋_GB2312" w:eastAsia="仿宋_GB2312" w:cs="仿宋_GB2312"/>
          <w:color w:val="000000"/>
          <w:sz w:val="32"/>
          <w:szCs w:val="32"/>
          <w:highlight w:val="none"/>
        </w:rPr>
        <w:t>并对甲方的检测报告内容承担保密义务。</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4.乙方应严格按照产品标示的条件或国家相关规定妥善保管甲方委托或抽样检验的样品，以保证样品不发生影响检验结论的变化；对于备用样品一般应保存至少1个月，不合格备用样品至少保存3个月。</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5.通过快递方式收、取甲方产品时，若样品发生损坏，乙方应及时与甲方联系，补发产品。</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6.乙方应严格按照规定时间出具检测报告，若有因乙方自身原因导致甲方出具报告不及时引起的损失，由乙方承担赔偿责任并向甲方支付本合同金额1%的违约金。</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四、违约责任</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任何一方对于由以下不可控制的原因造成的延迟交付或履行不能均不负有法律责任，双方应共同协商变更或者解除本合同；</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（1）战争或军事行为；</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（2）自然灾害，包括但不限于洪水、旱灾、台风、地震、火灾等；</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（3）集体罢工或暴乱；</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（4）国际制裁。</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五、纠纷的处理</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合同履行期间出现纠纷，双方应协商解决；若协商不妥，任何一方可直接向甲方所在地人民法院提起诉讼。律师费等相关费用由违约方承担。</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六、其他约定事项</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1.甲方未行使或部分行使或延迟行使本合同项下的任何权利，不构成对该权利或任何其他权利的放弃或变更，也不影响其进一步行使该权利或任何其他权利。</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2.乙方应当支付的违约金、赔偿金等债务甲方可以在书面通知乙方后从应付款项中抵扣。</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七、廉洁条款：</w:t>
      </w:r>
      <w:r>
        <w:rPr>
          <w:rFonts w:hint="eastAsia" w:ascii="仿宋_GB2312" w:hAnsi="仿宋_GB2312" w:eastAsia="仿宋_GB2312" w:cs="仿宋_GB2312"/>
          <w:sz w:val="32"/>
          <w:szCs w:val="32"/>
          <w:highlight w:val="none"/>
        </w:rPr>
        <w:t>但不限于给予回扣、礼品、馈赠、娱乐、招待等行为；供需双方及其员工不得向对方及其员工索要财物；甲方发现乙方或乙方员工向甲方或甲方员工实施前两款行为的，甲方有权单方解除本合同，同时乙方应向甲方支付合同总金额10%的违约金；乙方发现甲方或甲方员工向乙方或乙方员工实施前两款行为的，应通过邮箱：thjjb@cofco.com；电话：010-85017235向甲方予以举报，如乙方不予举报的，甲方发现后有权单方解除本合同。</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其他事项：</w:t>
      </w:r>
      <w:r>
        <w:rPr>
          <w:rFonts w:hint="eastAsia" w:ascii="仿宋_GB2312" w:hAnsi="仿宋_GB2312" w:eastAsia="仿宋_GB2312" w:cs="仿宋_GB2312"/>
          <w:color w:val="FF0000"/>
          <w:sz w:val="32"/>
          <w:szCs w:val="32"/>
          <w:highlight w:val="none"/>
        </w:rPr>
        <w:t>与通用条款相冲突的内容，以本合同约定为准。</w:t>
      </w:r>
      <w:r>
        <w:rPr>
          <w:rFonts w:hint="eastAsia" w:ascii="仿宋_GB2312" w:hAnsi="仿宋_GB2312" w:eastAsia="仿宋_GB2312" w:cs="仿宋_GB2312"/>
          <w:sz w:val="32"/>
          <w:szCs w:val="32"/>
          <w:highlight w:val="none"/>
        </w:rPr>
        <w:t>其它未尽事宜按照《中华人民共和国民法典》执行。本合同由双方盖章后生效一式两份甲乙双方各一份。传真或扫描件（能证明信息真实）有效。</w:t>
      </w:r>
    </w:p>
    <w:p>
      <w:pPr>
        <w:spacing w:line="360" w:lineRule="auto"/>
        <w:ind w:firstLine="640" w:firstLineChars="200"/>
        <w:rPr>
          <w:rFonts w:hint="eastAsia" w:ascii="仿宋_GB2312" w:hAnsi="仿宋_GB2312" w:eastAsia="仿宋_GB2312" w:cs="仿宋_GB2312"/>
          <w:color w:val="000000"/>
          <w:sz w:val="32"/>
          <w:szCs w:val="32"/>
          <w:highlight w:val="none"/>
        </w:rPr>
      </w:pPr>
    </w:p>
    <w:p>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FF0000"/>
          <w:sz w:val="32"/>
          <w:szCs w:val="32"/>
          <w:highlight w:val="none"/>
        </w:rPr>
        <w:t>包件2 中粮（唐山）糖业有限公司 合同主要条款</w:t>
      </w:r>
    </w:p>
    <w:p>
      <w:pPr>
        <w:spacing w:line="360" w:lineRule="auto"/>
        <w:ind w:firstLine="643" w:firstLineChars="200"/>
        <w:jc w:val="left"/>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委托方与受委托方经协商，就如下条款达成一致：</w:t>
      </w:r>
    </w:p>
    <w:p>
      <w:pPr>
        <w:spacing w:line="360" w:lineRule="auto"/>
        <w:ind w:firstLine="643" w:firstLineChars="200"/>
        <w:jc w:val="left"/>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一、委托事项</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检测项目包括：样品测试分析，感官分析, 理化测试，微生物测试、重金属测试, 农药残留测试等（最终以中标文件规定的检测项目为准）分析测试</w:t>
      </w:r>
    </w:p>
    <w:p>
      <w:pPr>
        <w:numPr>
          <w:ilvl w:val="0"/>
          <w:numId w:val="3"/>
        </w:numPr>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检验内容及标准</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 沙门氏菌(n=10)检测。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② 钙+塑化剂20项（国标内18项+国标外2项）检测。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③ 地衣芽孢杆菌；枯草芽孢杆菌；淀粉酶（第一法、第二法）；苯甲酸；山梨酸；汞；铬；镉检测。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④ 丙二醇检测。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⑤ 绵白糖理化全项检测：感官；总糖分；还原糖分；干燥失重；电导灰分；色值；混浊度；不溶于水杂质；粒度；净含量；铅；总砷；螨；二氧化硫。</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⑥ 原糖理化项目检测：感官；糖度；安全系数；灰分；色值；葡聚糖；不溶水杂质；二氧化硫；螨；</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⑦ 环境致病菌（29个测试点）检测。</w:t>
      </w:r>
    </w:p>
    <w:p>
      <w:pPr>
        <w:tabs>
          <w:tab w:val="left" w:pos="567"/>
        </w:tabs>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⑧ 制糖工艺用石灰检测。</w:t>
      </w:r>
    </w:p>
    <w:p>
      <w:pPr>
        <w:tabs>
          <w:tab w:val="left" w:pos="567"/>
        </w:tabs>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三、检验费用</w:t>
      </w:r>
    </w:p>
    <w:p>
      <w:pPr>
        <w:pStyle w:val="47"/>
        <w:spacing w:line="360" w:lineRule="auto"/>
        <w:ind w:left="630" w:leftChars="3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 沙门氏菌(n=10)检测费用￥****元（人民币****），税率6%，税额￥****元（人民币****）价税合计￥****元（人民币****）。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② 钙+塑化剂20项（国标内18项+国标外2项）检测费用￥****元（人民币****），税率6%，税额￥****元（人民币****）价税合计￥****元（人民币****）。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③ 地衣芽孢杆菌；枯草芽孢杆菌；淀粉酶（第一法、第二法）；苯甲酸；山梨酸；汞；铬；镉检测费用￥****元（人民币****），税率6%，税额￥****元（人民币****）价税合计￥****元（人民币****）。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④ 丙二醇检测费用￥****元（人民币****），税率6%，税额￥****元（人民币****），价税合计￥****元（人民币****）。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⑤ 绵白糖理化全项检验费￥****元（人民币****），税率6%，税额￥****元（人民币****），价税合计￥****元（人民币****）。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⑥ 原糖理化项目检验费￥****元（人民币****），税率6%，税额￥****元（人民币****），价税合计￥****元（人民币****）。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⑦ 环境致病菌（29个测试点）检验费￥****元（人民币****），税率6%，税额￥****元（人民币****），价税合计￥****元（人民币****）。。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⑧ 制糖工艺用石灰检验费￥****元（人民币****），税率6%，税额￥****元（人民币捌拾贰元零捌分）价税合计￥****元（人民币****）。</w:t>
      </w:r>
    </w:p>
    <w:p>
      <w:pPr>
        <w:pStyle w:val="108"/>
        <w:spacing w:line="360" w:lineRule="auto"/>
        <w:ind w:firstLine="643"/>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四、结算周期和支付方式</w:t>
      </w:r>
    </w:p>
    <w:p>
      <w:pPr>
        <w:pStyle w:val="108"/>
        <w:spacing w:line="360" w:lineRule="auto"/>
        <w:ind w:firstLine="640"/>
        <w:rPr>
          <w:rFonts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检验费以单次样品检验结算的方式支付，乙方向甲方开具所发生检测费用的缴款通知书，甲方在收到乙方缴款通知书后在10个工作日内向乙方支付相应费用，乙方在收到甲方汇款后十个工作日内开出增值税专用发票。</w:t>
      </w:r>
    </w:p>
    <w:p>
      <w:pPr>
        <w:pStyle w:val="108"/>
        <w:spacing w:line="360" w:lineRule="auto"/>
        <w:ind w:firstLine="643"/>
        <w:rPr>
          <w:rFonts w:ascii="仿宋_GB2312" w:hAnsi="仿宋_GB2312" w:eastAsia="仿宋_GB2312" w:cs="仿宋_GB2312"/>
          <w:b/>
          <w:sz w:val="32"/>
          <w:szCs w:val="32"/>
          <w:highlight w:val="none"/>
        </w:rPr>
      </w:pP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sz w:val="32"/>
          <w:szCs w:val="32"/>
          <w:highlight w:val="none"/>
        </w:rPr>
        <w:t>对检验结果异议的处理方式</w:t>
      </w:r>
    </w:p>
    <w:p>
      <w:pPr>
        <w:tabs>
          <w:tab w:val="left" w:pos="567"/>
        </w:tabs>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由委托方提出合理复验要求，经受委托方确认后，进行复验并以复验结果为准。</w:t>
      </w:r>
    </w:p>
    <w:p>
      <w:pPr>
        <w:tabs>
          <w:tab w:val="left" w:pos="378"/>
          <w:tab w:val="left" w:pos="567"/>
        </w:tabs>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六、委托人应当遵守如下约定</w:t>
      </w:r>
    </w:p>
    <w:p>
      <w:pPr>
        <w:tabs>
          <w:tab w:val="left" w:pos="378"/>
          <w:tab w:val="left" w:pos="567"/>
        </w:tabs>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1.如实向受委托方介绍本协议所涉及产品生产情况；</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2.按检验标准要求或双方约定提供检验所需样品，并保证样品的适检性和真实性；</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3.依法使用检验合格标识，不得在未经检验或检验不合格的产品上使用检验合格标识；</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4.按时收取检验报告，并按约定的期限和方式交纳检验费用。</w:t>
      </w:r>
    </w:p>
    <w:p>
      <w:pPr>
        <w:spacing w:line="360" w:lineRule="auto"/>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七、受委托方应当遵守如下约定</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1.保守企业生产经营和技术秘密；保证不将委托方技术资料及技术成果用于开发工作；</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2.保证按要求完成检验工作，按时提交检验报告，并保证检验报告的真实性、准确性；</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3.按照协议约定收取检验费用。</w:t>
      </w:r>
    </w:p>
    <w:p>
      <w:pPr>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八、协议终止、中止或变更</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方因故不能如约全面履行本协议，需要终止、中止本协议的，应于每次抽样检验前五个工作日内通知受委托方。受委托方因故不能如约全面履行本协议，需要终止、中止本协议的，应当在终止或中止前五个工作日内通知委托方。</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委托方和受委托方需要变更本协议条款内容的，应当协商并达成一致的意见。</w:t>
      </w:r>
    </w:p>
    <w:p>
      <w:pPr>
        <w:spacing w:line="360" w:lineRule="auto"/>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九、法律责任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1.违约责任：委托方、受委托方因自身原因没有按约定履行本协议的，应当向对方支付人民币壹仟圆整的违约金。</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赔偿责任：委托方因自身原因没有按约定履行本协议并给对方造成经济损失的，应当赔偿受委托方因此所受到的经济损失。受委托方因自身原因没有按约定履行本协议的，应当根据所收检验费占产品总价值份额，对实际受到的经济损失按比例承担赔偿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3.其他责任：委托方、受委托方在履行协议期间发生违法行为的，自行承担法律责任。</w:t>
      </w:r>
    </w:p>
    <w:p>
      <w:pPr>
        <w:spacing w:line="360" w:lineRule="auto"/>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十、争议解决方式</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1.委托方、受委托方在履行本协议期间，就本协议约定内容或履行方式等发生争议的，可以请质量技术监督部门协调解决，也可以直接向委托方所在地法院诉讼解决。</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2.委托方对受委托方的违法行为可以向其上级主管部门投诉，也可以直接向国家质检总局投诉。</w:t>
      </w:r>
    </w:p>
    <w:p>
      <w:pPr>
        <w:spacing w:line="360" w:lineRule="auto"/>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十一、其他</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本协议有效期：自</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日至</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日。</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本协议一式四份，双方各执两份，均具有同等法律效力。</w:t>
      </w:r>
    </w:p>
    <w:p>
      <w:pPr>
        <w:spacing w:line="360" w:lineRule="auto"/>
        <w:ind w:firstLine="640" w:firstLineChars="200"/>
        <w:rPr>
          <w:rFonts w:ascii="仿宋_GB2312" w:hAnsi="仿宋_GB2312" w:eastAsia="仿宋_GB2312" w:cs="仿宋_GB2312"/>
          <w:color w:val="000000"/>
          <w:sz w:val="32"/>
          <w:szCs w:val="32"/>
          <w:highlight w:val="none"/>
        </w:rPr>
      </w:pPr>
    </w:p>
    <w:p>
      <w:pPr>
        <w:spacing w:line="360" w:lineRule="auto"/>
        <w:ind w:firstLine="640" w:firstLineChars="200"/>
        <w:rPr>
          <w:rFonts w:hint="eastAsia" w:ascii="仿宋_GB2312" w:hAnsi="仿宋_GB2312" w:eastAsia="仿宋_GB2312" w:cs="仿宋_GB2312"/>
          <w:color w:val="000000"/>
          <w:sz w:val="32"/>
          <w:szCs w:val="32"/>
          <w:highlight w:val="none"/>
        </w:rPr>
      </w:pPr>
    </w:p>
    <w:p>
      <w:pPr>
        <w:spacing w:line="360" w:lineRule="auto"/>
        <w:ind w:firstLine="640" w:firstLineChars="200"/>
        <w:rPr>
          <w:rFonts w:hint="eastAsia" w:ascii="仿宋_GB2312" w:hAnsi="仿宋_GB2312" w:eastAsia="仿宋_GB2312" w:cs="仿宋_GB2312"/>
          <w:color w:val="000000"/>
          <w:sz w:val="32"/>
          <w:szCs w:val="32"/>
          <w:highlight w:val="none"/>
        </w:rPr>
      </w:pPr>
    </w:p>
    <w:p>
      <w:pPr>
        <w:spacing w:line="360" w:lineRule="auto"/>
        <w:ind w:firstLine="640" w:firstLineChars="200"/>
        <w:rPr>
          <w:rFonts w:hint="eastAsia" w:ascii="仿宋_GB2312" w:hAnsi="仿宋_GB2312" w:eastAsia="仿宋_GB2312" w:cs="仿宋_GB2312"/>
          <w:color w:val="000000"/>
          <w:sz w:val="32"/>
          <w:szCs w:val="32"/>
          <w:highlight w:val="none"/>
        </w:rPr>
      </w:pPr>
    </w:p>
    <w:p>
      <w:pPr>
        <w:numPr>
          <w:ilvl w:val="0"/>
          <w:numId w:val="0"/>
        </w:numPr>
        <w:ind w:firstLine="640" w:firstLineChars="200"/>
        <w:rPr>
          <w:rFonts w:hint="eastAsia" w:ascii="仿宋_GB2312" w:hAnsi="仿宋_GB2312" w:eastAsia="仿宋_GB2312" w:cs="仿宋_GB2312"/>
          <w:color w:val="FF0000"/>
          <w:sz w:val="32"/>
          <w:szCs w:val="32"/>
          <w:highlight w:val="none"/>
          <w:lang w:val="en-US" w:eastAsia="zh-CN"/>
        </w:rPr>
      </w:pPr>
      <w:r>
        <w:rPr>
          <w:rFonts w:hint="eastAsia" w:ascii="仿宋_GB2312" w:hAnsi="仿宋_GB2312" w:eastAsia="仿宋_GB2312" w:cs="仿宋_GB2312"/>
          <w:b w:val="0"/>
          <w:bCs w:val="0"/>
          <w:color w:val="FF0000"/>
          <w:sz w:val="32"/>
          <w:szCs w:val="32"/>
          <w:highlight w:val="none"/>
          <w:lang w:val="en-US" w:eastAsia="zh-CN"/>
        </w:rPr>
        <w:t>包件3 中粮糖业（漳州）有限公司 合同主要条款</w:t>
      </w:r>
    </w:p>
    <w:p>
      <w:pPr>
        <w:tabs>
          <w:tab w:val="left" w:pos="0"/>
        </w:tabs>
        <w:autoSpaceDE w:val="0"/>
        <w:autoSpaceDN w:val="0"/>
        <w:adjustRightInd w:val="0"/>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本合同由</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(以下简称“乙方”)与</w:t>
      </w:r>
      <w:r>
        <w:rPr>
          <w:rFonts w:hint="eastAsia" w:ascii="仿宋_GB2312" w:hAnsi="仿宋_GB2312" w:eastAsia="仿宋_GB2312" w:cs="仿宋_GB2312"/>
          <w:color w:val="000000"/>
          <w:kern w:val="0"/>
          <w:sz w:val="32"/>
          <w:szCs w:val="32"/>
          <w:highlight w:val="none"/>
          <w:u w:val="single"/>
        </w:rPr>
        <w:t>中粮糖业</w:t>
      </w:r>
      <w:r>
        <w:rPr>
          <w:rFonts w:hint="eastAsia" w:ascii="仿宋_GB2312" w:hAnsi="仿宋_GB2312" w:eastAsia="仿宋_GB2312" w:cs="仿宋_GB2312"/>
          <w:color w:val="000000"/>
          <w:kern w:val="0"/>
          <w:sz w:val="32"/>
          <w:szCs w:val="32"/>
          <w:highlight w:val="none"/>
          <w:u w:val="single"/>
          <w:lang w:eastAsia="zh-CN"/>
        </w:rPr>
        <w:t>（漳州）</w:t>
      </w:r>
      <w:r>
        <w:rPr>
          <w:rFonts w:hint="eastAsia" w:ascii="仿宋_GB2312" w:hAnsi="仿宋_GB2312" w:eastAsia="仿宋_GB2312" w:cs="仿宋_GB2312"/>
          <w:color w:val="000000"/>
          <w:kern w:val="0"/>
          <w:sz w:val="32"/>
          <w:szCs w:val="32"/>
          <w:highlight w:val="none"/>
          <w:u w:val="single"/>
        </w:rPr>
        <w:t>有限公司</w:t>
      </w:r>
      <w:r>
        <w:rPr>
          <w:rFonts w:hint="eastAsia" w:ascii="仿宋_GB2312" w:hAnsi="仿宋_GB2312" w:eastAsia="仿宋_GB2312" w:cs="仿宋_GB2312"/>
          <w:sz w:val="32"/>
          <w:szCs w:val="32"/>
          <w:highlight w:val="none"/>
        </w:rPr>
        <w:t>(以下简称“甲方”)在平等自愿的基础上，依据《中华人民共和国民法典》有关规定就产品委托检验事宜，经友好协商后订立，以共同恪守。</w:t>
      </w:r>
    </w:p>
    <w:p>
      <w:pPr>
        <w:pStyle w:val="47"/>
        <w:numPr>
          <w:ilvl w:val="0"/>
          <w:numId w:val="0"/>
        </w:numPr>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 xml:space="preserve">服务项目： </w:t>
      </w:r>
    </w:p>
    <w:p>
      <w:pPr>
        <w:tabs>
          <w:tab w:val="left" w:pos="0"/>
        </w:tabs>
        <w:autoSpaceDE w:val="0"/>
        <w:autoSpaceDN w:val="0"/>
        <w:adjustRightInd w:val="0"/>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1.技术服务的内容：乙方根据中粮糖业</w:t>
      </w:r>
      <w:r>
        <w:rPr>
          <w:rFonts w:hint="eastAsia" w:ascii="仿宋_GB2312" w:hAnsi="仿宋_GB2312" w:eastAsia="仿宋_GB2312" w:cs="仿宋_GB2312"/>
          <w:sz w:val="32"/>
          <w:szCs w:val="32"/>
          <w:highlight w:val="none"/>
          <w:lang w:eastAsia="zh-CN"/>
        </w:rPr>
        <w:t>（漳州）</w:t>
      </w:r>
      <w:r>
        <w:rPr>
          <w:rFonts w:hint="eastAsia" w:ascii="仿宋_GB2312" w:hAnsi="仿宋_GB2312" w:eastAsia="仿宋_GB2312" w:cs="仿宋_GB2312"/>
          <w:sz w:val="32"/>
          <w:szCs w:val="32"/>
          <w:highlight w:val="none"/>
        </w:rPr>
        <w:t>有限公司要求对甲方委托的产品进行检测，并根据结论出具检测报告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电子版、纸质原件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w:t>
      </w:r>
    </w:p>
    <w:p>
      <w:pPr>
        <w:tabs>
          <w:tab w:val="left" w:pos="0"/>
        </w:tabs>
        <w:autoSpaceDE w:val="0"/>
        <w:autoSpaceDN w:val="0"/>
        <w:adjustRightInd w:val="0"/>
        <w:spacing w:line="4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2.检测项目包括：样品测试分析，感官分析, 理化测试，微生物测试、重金属测试, 农药残留测试等（最终以中标文件规定的检测项目为准）分析测试。</w:t>
      </w:r>
    </w:p>
    <w:p>
      <w:pPr>
        <w:tabs>
          <w:tab w:val="left" w:pos="0"/>
        </w:tabs>
        <w:autoSpaceDE w:val="0"/>
        <w:autoSpaceDN w:val="0"/>
        <w:adjustRightInd w:val="0"/>
        <w:spacing w:line="4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3.测试方法将参照中国国家标准、国际标准或甲方客户提供的企业标准。</w:t>
      </w:r>
    </w:p>
    <w:p>
      <w:pPr>
        <w:tabs>
          <w:tab w:val="left" w:pos="426"/>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4.技术服务的形式：根据甲方实际提供的样品进行测试。甲方将产品送检（快递）至乙方指定地点进行检测，快递</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顺丰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费用由</w:t>
      </w:r>
      <w:r>
        <w:rPr>
          <w:rFonts w:hint="eastAsia" w:ascii="仿宋_GB2312" w:hAnsi="仿宋_GB2312" w:eastAsia="仿宋_GB2312" w:cs="仿宋_GB2312"/>
          <w:sz w:val="32"/>
          <w:szCs w:val="32"/>
          <w:highlight w:val="none"/>
          <w:lang w:val="en-US" w:eastAsia="zh-CN"/>
        </w:rPr>
        <w:t>乙</w:t>
      </w:r>
      <w:r>
        <w:rPr>
          <w:rFonts w:hint="eastAsia" w:ascii="仿宋_GB2312" w:hAnsi="仿宋_GB2312" w:eastAsia="仿宋_GB2312" w:cs="仿宋_GB2312"/>
          <w:sz w:val="32"/>
          <w:szCs w:val="32"/>
          <w:highlight w:val="none"/>
        </w:rPr>
        <w:t>方承担，在收到样品及测试要求后，测试在5-7个工作日内</w:t>
      </w:r>
      <w:r>
        <w:rPr>
          <w:rFonts w:hint="eastAsia" w:ascii="仿宋_GB2312" w:hAnsi="仿宋_GB2312" w:eastAsia="仿宋_GB2312" w:cs="仿宋_GB2312"/>
          <w:color w:val="auto"/>
          <w:sz w:val="32"/>
          <w:szCs w:val="32"/>
          <w:highlight w:val="none"/>
        </w:rPr>
        <w:t>完成；对于特别测试周期的项目，乙方</w:t>
      </w:r>
      <w:r>
        <w:rPr>
          <w:rFonts w:hint="eastAsia" w:ascii="仿宋_GB2312" w:hAnsi="仿宋_GB2312" w:eastAsia="仿宋_GB2312" w:cs="仿宋_GB2312"/>
          <w:color w:val="auto"/>
          <w:sz w:val="32"/>
          <w:szCs w:val="32"/>
          <w:highlight w:val="none"/>
          <w:lang w:val="en-US" w:eastAsia="zh-CN"/>
        </w:rPr>
        <w:t>需</w:t>
      </w:r>
      <w:r>
        <w:rPr>
          <w:rFonts w:hint="eastAsia" w:ascii="仿宋_GB2312" w:hAnsi="仿宋_GB2312" w:eastAsia="仿宋_GB2312" w:cs="仿宋_GB2312"/>
          <w:color w:val="auto"/>
          <w:sz w:val="32"/>
          <w:szCs w:val="32"/>
          <w:highlight w:val="none"/>
        </w:rPr>
        <w:t>提前通知甲方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乙方将出具有效检测报告（同时包括纸质版、电子版检测报告），报告仅对来样负责。</w:t>
      </w:r>
    </w:p>
    <w:p>
      <w:pPr>
        <w:tabs>
          <w:tab w:val="left" w:pos="426"/>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5.甲方对乙方出具的检测报告数据有怀疑且对调查结果及解决方案存疑</w:t>
      </w:r>
      <w:r>
        <w:rPr>
          <w:rFonts w:hint="eastAsia" w:ascii="仿宋_GB2312" w:hAnsi="仿宋_GB2312" w:eastAsia="仿宋_GB2312" w:cs="仿宋_GB2312"/>
          <w:sz w:val="32"/>
          <w:szCs w:val="32"/>
          <w:highlight w:val="none"/>
          <w:lang w:val="en-US" w:eastAsia="zh-CN"/>
        </w:rPr>
        <w:t>时</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甲方有权要求乙方复检（留样或重新寄样），如仍有争议</w:t>
      </w:r>
      <w:r>
        <w:rPr>
          <w:rFonts w:hint="eastAsia" w:ascii="仿宋_GB2312" w:hAnsi="仿宋_GB2312" w:eastAsia="仿宋_GB2312" w:cs="仿宋_GB2312"/>
          <w:color w:val="auto"/>
          <w:sz w:val="32"/>
          <w:szCs w:val="32"/>
          <w:highlight w:val="none"/>
        </w:rPr>
        <w:t>可委托经双方认可的实验室</w:t>
      </w:r>
      <w:r>
        <w:rPr>
          <w:rFonts w:hint="eastAsia" w:ascii="仿宋_GB2312" w:hAnsi="仿宋_GB2312" w:eastAsia="仿宋_GB2312" w:cs="仿宋_GB2312"/>
          <w:color w:val="auto"/>
          <w:sz w:val="32"/>
          <w:szCs w:val="32"/>
          <w:highlight w:val="none"/>
          <w:lang w:val="en-US" w:eastAsia="zh-CN"/>
        </w:rPr>
        <w:t>或检测机构</w:t>
      </w:r>
      <w:r>
        <w:rPr>
          <w:rFonts w:hint="eastAsia" w:ascii="仿宋_GB2312" w:hAnsi="仿宋_GB2312" w:eastAsia="仿宋_GB2312" w:cs="仿宋_GB2312"/>
          <w:color w:val="auto"/>
          <w:sz w:val="32"/>
          <w:szCs w:val="32"/>
          <w:highlight w:val="none"/>
        </w:rPr>
        <w:t>进行仲裁检测。如仲裁检测结果与乙方检测结果一致，仲裁检测费用由甲方承担；如仲裁检测结果与乙方检测结果不相符，仲裁检测费用由乙方承担。</w:t>
      </w:r>
    </w:p>
    <w:p>
      <w:pPr>
        <w:tabs>
          <w:tab w:val="left" w:pos="426"/>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6.委托检测的具体产品内容见附件：《检测清单》。</w:t>
      </w:r>
    </w:p>
    <w:p>
      <w:pPr>
        <w:tabs>
          <w:tab w:val="left" w:pos="0"/>
        </w:tabs>
        <w:autoSpaceDE w:val="0"/>
        <w:autoSpaceDN w:val="0"/>
        <w:adjustRightInd w:val="0"/>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7.合同有效期为1年，    年   月   日至</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日止。</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8.支付方式：每次测试结束后双方进行一次结算，</w:t>
      </w:r>
      <w:r>
        <w:rPr>
          <w:rFonts w:hint="eastAsia" w:ascii="仿宋_GB2312" w:hAnsi="仿宋_GB2312" w:eastAsia="仿宋_GB2312" w:cs="仿宋_GB2312"/>
          <w:color w:val="FF0000"/>
          <w:sz w:val="32"/>
          <w:szCs w:val="32"/>
          <w:highlight w:val="none"/>
        </w:rPr>
        <w:t>甲方</w:t>
      </w:r>
      <w:r>
        <w:rPr>
          <w:rFonts w:hint="eastAsia" w:ascii="仿宋_GB2312" w:hAnsi="仿宋_GB2312" w:eastAsia="仿宋_GB2312" w:cs="仿宋_GB2312"/>
          <w:sz w:val="32"/>
          <w:szCs w:val="32"/>
          <w:highlight w:val="none"/>
        </w:rPr>
        <w:t>在收到</w:t>
      </w:r>
      <w:r>
        <w:rPr>
          <w:rFonts w:hint="eastAsia" w:ascii="仿宋_GB2312" w:hAnsi="仿宋_GB2312" w:eastAsia="仿宋_GB2312" w:cs="仿宋_GB2312"/>
          <w:color w:val="FF0000"/>
          <w:sz w:val="32"/>
          <w:szCs w:val="32"/>
          <w:highlight w:val="none"/>
        </w:rPr>
        <w:t>乙方</w:t>
      </w:r>
      <w:r>
        <w:rPr>
          <w:rFonts w:hint="eastAsia" w:ascii="仿宋_GB2312" w:hAnsi="仿宋_GB2312" w:eastAsia="仿宋_GB2312" w:cs="仿宋_GB2312"/>
          <w:sz w:val="32"/>
          <w:szCs w:val="32"/>
          <w:highlight w:val="none"/>
        </w:rPr>
        <w:t>开具的</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color w:val="FF0000"/>
          <w:sz w:val="32"/>
          <w:szCs w:val="32"/>
          <w:highlight w:val="none"/>
          <w:u w:val="single"/>
        </w:rPr>
        <w:t xml:space="preserve">6 </w:t>
      </w:r>
      <w:r>
        <w:rPr>
          <w:rFonts w:hint="eastAsia" w:ascii="仿宋_GB2312" w:hAnsi="仿宋_GB2312" w:eastAsia="仿宋_GB2312" w:cs="仿宋_GB2312"/>
          <w:sz w:val="32"/>
          <w:szCs w:val="32"/>
          <w:highlight w:val="none"/>
          <w:u w:val="single"/>
        </w:rPr>
        <w:t>%</w:t>
      </w:r>
      <w:r>
        <w:rPr>
          <w:rFonts w:hint="eastAsia" w:ascii="仿宋_GB2312" w:hAnsi="仿宋_GB2312" w:eastAsia="仿宋_GB2312" w:cs="仿宋_GB2312"/>
          <w:sz w:val="32"/>
          <w:szCs w:val="32"/>
          <w:highlight w:val="none"/>
        </w:rPr>
        <w:t>增值税专用发票后次月进行付款</w:t>
      </w:r>
      <w:r>
        <w:rPr>
          <w:rFonts w:hint="eastAsia" w:ascii="仿宋_GB2312" w:hAnsi="仿宋_GB2312" w:eastAsia="仿宋_GB2312" w:cs="仿宋_GB2312"/>
          <w:color w:val="FF0000"/>
          <w:sz w:val="32"/>
          <w:szCs w:val="32"/>
          <w:highlight w:val="none"/>
        </w:rPr>
        <w:t>。</w:t>
      </w:r>
    </w:p>
    <w:p>
      <w:pPr>
        <w:tabs>
          <w:tab w:val="left" w:pos="1260"/>
        </w:tabs>
        <w:adjustRightInd w:val="0"/>
        <w:snapToGrid w:val="0"/>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9.</w:t>
      </w:r>
      <w:r>
        <w:rPr>
          <w:rFonts w:hint="eastAsia" w:ascii="仿宋_GB2312" w:hAnsi="仿宋_GB2312" w:eastAsia="仿宋_GB2312" w:cs="仿宋_GB2312"/>
          <w:color w:val="000000"/>
          <w:sz w:val="32"/>
          <w:szCs w:val="32"/>
          <w:highlight w:val="none"/>
        </w:rPr>
        <w:t>质量要求：乙方保证已获得依据ISO/IEC17025标准评审的CNAS认可证书以及CMA认可证书，并严格按照标准要求对实验室进行质量控制，有能力持续完成上述检测要求。</w:t>
      </w:r>
    </w:p>
    <w:p>
      <w:pPr>
        <w:adjustRightInd w:val="0"/>
        <w:snapToGrid w:val="0"/>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10.乙方在没有得到甲方预先书面同意的情况下，不得将测试内容、测试结果以任何形式泄漏给任何第三方。</w:t>
      </w:r>
      <w:r>
        <w:rPr>
          <w:rFonts w:hint="eastAsia" w:ascii="仿宋_GB2312" w:hAnsi="仿宋_GB2312" w:eastAsia="仿宋_GB2312" w:cs="仿宋_GB2312"/>
          <w:sz w:val="32"/>
          <w:szCs w:val="32"/>
          <w:highlight w:val="none"/>
        </w:rPr>
        <w:t>乙方应为甲方所提供的资料以及环境状况、产品技术、生产工艺等商业秘密承担保密义务。甲方应为乙方所提供的技术情报和资料及非正式出版物等承担保密义务。一旦一方泄密，则泄密方须承担相应的经济和法律责任。</w:t>
      </w:r>
    </w:p>
    <w:p>
      <w:pPr>
        <w:numPr>
          <w:ilvl w:val="0"/>
          <w:numId w:val="0"/>
        </w:numPr>
        <w:adjustRightInd w:val="0"/>
        <w:snapToGrid w:val="0"/>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二、</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甲方责任</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与义务</w:t>
      </w:r>
    </w:p>
    <w:p>
      <w:pPr>
        <w:adjustRightInd w:val="0"/>
        <w:snapToGrid w:val="0"/>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1.甲方提前通知乙方与样品有关的、实际上或潜在的危害或危险，包括但不限于辐射、有毒或易爆成分或材料存在的风险。</w:t>
      </w:r>
    </w:p>
    <w:p>
      <w:pPr>
        <w:adjustRightInd w:val="0"/>
        <w:snapToGrid w:val="0"/>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2.按照乙方要求，提供一切检测所必需的样品、资料和技术文件，并保证提供的一切资料应当是真实、完整、合法、有效的，以便乙方有效地提供要求的检测服务。</w:t>
      </w:r>
    </w:p>
    <w:p>
      <w:pPr>
        <w:adjustRightInd w:val="0"/>
        <w:snapToGrid w:val="0"/>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3.保证其提供的样品、技术文件不存在知识产权问题及其他违法违规问题。</w:t>
      </w:r>
    </w:p>
    <w:p>
      <w:pPr>
        <w:numPr>
          <w:ilvl w:val="0"/>
          <w:numId w:val="0"/>
        </w:numPr>
        <w:adjustRightInd w:val="0"/>
        <w:snapToGrid w:val="0"/>
        <w:spacing w:line="360" w:lineRule="auto"/>
        <w:ind w:leftChars="0" w:firstLine="643" w:firstLineChars="200"/>
        <w:rPr>
          <w:rFonts w:hint="default"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乙方责任</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与义务</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1.承诺采用合理谨慎态度及科学准确的方法提供检测服务，以保证检测结果的准确性和有效性。</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sz w:val="32"/>
          <w:szCs w:val="32"/>
          <w:highlight w:val="none"/>
        </w:rPr>
        <w:t>2.为甲方设立检测专用服务通道，以便甲方的供应商可享受快速通道服务，指定专人作为甲方服务窗口，为甲方及其供应商提供相关的专项培训和技术支持。</w:t>
      </w:r>
    </w:p>
    <w:p>
      <w:pPr>
        <w:spacing w:line="360" w:lineRule="auto"/>
        <w:ind w:firstLine="640" w:firstLineChars="200"/>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color w:val="000000"/>
          <w:sz w:val="32"/>
          <w:szCs w:val="32"/>
          <w:highlight w:val="none"/>
        </w:rPr>
        <w:t>3.就检测报告的有关内容，接受甲方的咨询，</w:t>
      </w:r>
      <w:r>
        <w:rPr>
          <w:rFonts w:hint="eastAsia" w:ascii="仿宋_GB2312" w:hAnsi="仿宋_GB2312" w:eastAsia="仿宋_GB2312" w:cs="仿宋_GB2312"/>
          <w:sz w:val="32"/>
          <w:szCs w:val="32"/>
          <w:highlight w:val="none"/>
        </w:rPr>
        <w:t>若出现不合格检测结果时，乙方应及时进行复测，以保证检测结果准确性，并与甲方指定代表沟通且得到确认后，方可出具正式检测报告。</w:t>
      </w:r>
      <w:r>
        <w:rPr>
          <w:rFonts w:hint="eastAsia" w:ascii="仿宋_GB2312" w:hAnsi="仿宋_GB2312" w:eastAsia="仿宋_GB2312" w:cs="仿宋_GB2312"/>
          <w:color w:val="000000"/>
          <w:sz w:val="32"/>
          <w:szCs w:val="32"/>
          <w:highlight w:val="none"/>
        </w:rPr>
        <w:t>并对甲方的检测报告内容承担保密义务。</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4.乙方应严格按照产品标示的条件或国家相关规定妥善保管甲方委托或抽样检验的样品，以保证样品不发生影响检验结论的变化；对于备用样品一般应保存至少1个月，不合格备用样品至少保存3个月。</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5.通过快递方式收、取甲方产品时，若样品发生损坏，乙方应及时与甲方联系，补发产品。</w:t>
      </w:r>
    </w:p>
    <w:p>
      <w:pPr>
        <w:spacing w:line="360" w:lineRule="auto"/>
        <w:ind w:firstLine="640" w:firstLineChars="200"/>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sz w:val="32"/>
          <w:szCs w:val="32"/>
          <w:highlight w:val="none"/>
        </w:rPr>
        <w:t>6.乙方应严格按照规定时间出具检测报告，</w:t>
      </w:r>
      <w:r>
        <w:rPr>
          <w:rFonts w:hint="eastAsia" w:ascii="仿宋_GB2312" w:hAnsi="仿宋_GB2312" w:eastAsia="仿宋_GB2312" w:cs="仿宋_GB2312"/>
          <w:color w:val="auto"/>
          <w:sz w:val="32"/>
          <w:szCs w:val="32"/>
          <w:highlight w:val="none"/>
        </w:rPr>
        <w:t>若有因乙方自身原因导致甲方出具报告不及时引起的损失，由乙方承担赔偿责任并向甲方支付本合同金额1%的违约金。</w:t>
      </w:r>
    </w:p>
    <w:p>
      <w:pPr>
        <w:numPr>
          <w:ilvl w:val="0"/>
          <w:numId w:val="0"/>
        </w:numPr>
        <w:adjustRightInd w:val="0"/>
        <w:snapToGrid w:val="0"/>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违约责任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4.1</w:t>
      </w:r>
      <w:r>
        <w:rPr>
          <w:rFonts w:hint="eastAsia" w:ascii="仿宋_GB2312" w:hAnsi="仿宋_GB2312" w:eastAsia="仿宋_GB2312" w:cs="仿宋_GB2312"/>
          <w:sz w:val="32"/>
          <w:szCs w:val="32"/>
          <w:highlight w:val="none"/>
        </w:rPr>
        <w:t>委托方因故不能如约全面履行本协议，需要终止、中止本协议的，应于每次抽样检验前五个工作日内通知受委托方。受委托方因故不能如约全面履行本协议，需要终止、中止本协议的，应当在终止或中止前五个工作日内通知委托方。</w:t>
      </w:r>
    </w:p>
    <w:p>
      <w:pPr>
        <w:spacing w:line="360" w:lineRule="auto"/>
        <w:ind w:firstLine="640"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z w:val="32"/>
          <w:szCs w:val="32"/>
          <w:highlight w:val="none"/>
        </w:rPr>
        <w:t>委托方和受委托方需要变更本协议条款内容的，应当协商并达成一致的意见。</w:t>
      </w:r>
    </w:p>
    <w:p>
      <w:pPr>
        <w:spacing w:line="360" w:lineRule="auto"/>
        <w:ind w:firstLine="320" w:firstLineChars="1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4.2</w:t>
      </w:r>
      <w:r>
        <w:rPr>
          <w:rFonts w:hint="eastAsia" w:ascii="仿宋_GB2312" w:hAnsi="仿宋_GB2312" w:eastAsia="仿宋_GB2312" w:cs="仿宋_GB2312"/>
          <w:color w:val="000000"/>
          <w:sz w:val="32"/>
          <w:szCs w:val="32"/>
          <w:highlight w:val="none"/>
        </w:rPr>
        <w:t>任何一方对于由以下不可控制的原因造成的延迟交付或履行不能均不负有法律责任，双方应共同协商变更或者解除本合同；</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（1）战争或军事行为；</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（2）自然灾害，包括但不限于洪水、旱灾、台风、地震、火灾等；</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（3）集体罢工或暴乱；</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（4）国际制裁。</w:t>
      </w:r>
    </w:p>
    <w:p>
      <w:pPr>
        <w:spacing w:line="360" w:lineRule="auto"/>
        <w:ind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纠纷的处理</w:t>
      </w:r>
    </w:p>
    <w:p>
      <w:pPr>
        <w:numPr>
          <w:ilvl w:val="0"/>
          <w:numId w:val="0"/>
        </w:numPr>
        <w:adjustRightInd w:val="0"/>
        <w:snapToGrid w:val="0"/>
        <w:spacing w:line="360" w:lineRule="auto"/>
        <w:ind w:leftChars="0" w:firstLine="640"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sz w:val="32"/>
          <w:szCs w:val="32"/>
          <w:highlight w:val="none"/>
        </w:rPr>
        <w:t>在合同履行期间出现问题，双方本着相互谅解的态度协商解决。若协商不成，任何一方均可向甲方所在地人民法院提起诉讼，由此产生的律师费、交通费等相关费用由违约方承担。</w:t>
      </w:r>
    </w:p>
    <w:p>
      <w:pPr>
        <w:numPr>
          <w:ilvl w:val="0"/>
          <w:numId w:val="0"/>
        </w:numPr>
        <w:adjustRightInd w:val="0"/>
        <w:snapToGrid w:val="0"/>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其他约定事项</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1.甲方未行使或部分行使或延迟行使本合同项下的任何权利，不构成对该权利或任何其他权利的放弃或变更，也不影响其进一步行使该权利或任何其他权利。</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2.乙方应当支付的违约金、赔偿金等债务甲方可以在书面通知乙方后从应付款项中抵扣。</w:t>
      </w:r>
    </w:p>
    <w:p>
      <w:pPr>
        <w:spacing w:line="360" w:lineRule="auto"/>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七</w:t>
      </w:r>
      <w:r>
        <w:rPr>
          <w:rFonts w:hint="eastAsia" w:ascii="仿宋_GB2312" w:hAnsi="仿宋_GB2312" w:eastAsia="仿宋_GB2312" w:cs="仿宋_GB2312"/>
          <w:b/>
          <w:sz w:val="32"/>
          <w:szCs w:val="32"/>
          <w:highlight w:val="none"/>
        </w:rPr>
        <w:t>、法律责任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1.违约责任：委托方、受委托方因自身原因没有按约定履行本协议的，应当向对方支付人民币壹仟圆整的违约金。</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赔偿责任：委托方因自身原因没有按约定履行本协议并给对方造成经济损失的，应当赔偿受委托方因此所受到的经济损失。受委托方因自身原因没有按约定履行本协议的，应当根据所收检验费占产品总价值份额，对实际受到的经济损失按比例承担赔偿责任。</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3.其他责任：委托方、受委托方在履行协议期间发生违法行为的，自行承担法律责任。</w:t>
      </w:r>
    </w:p>
    <w:p>
      <w:pPr>
        <w:spacing w:line="360" w:lineRule="auto"/>
        <w:ind w:firstLine="643"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廉洁条款：</w:t>
      </w:r>
      <w:r>
        <w:rPr>
          <w:rFonts w:hint="eastAsia" w:ascii="仿宋_GB2312" w:hAnsi="仿宋_GB2312" w:eastAsia="仿宋_GB2312" w:cs="仿宋_GB2312"/>
          <w:color w:val="000000"/>
          <w:sz w:val="32"/>
          <w:szCs w:val="32"/>
          <w:highlight w:val="none"/>
        </w:rPr>
        <w:t>甲乙双方及其员工不得向对方及其员工实施商业贿赂行为，包括但不限于给予回扣、礼品、馈赠、娱乐、招待等行为；甲乙双方及其员工不得向对方及其员工索要财务；甲方发现乙方或乙方员工向甲方或甲方员工实施前两款行为的，甲方有权单方面解除本合同，同时乙方应向甲方支付合同总金额10%的违约金；乙方发现甲方或甲方员工向乙方或乙方员工实施前两款行为的，应通过①寄信：通讯地址为北京市朝阳区朝阳门南大街8号中粮福临门大厦9层905房间，中粮糖业纪委办公室收，邮编100020；②致电：电话为010-85017235向甲方予以举报，如乙方不予举报的，甲方发现后有权单方解除本合同。</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其他事项：</w:t>
      </w:r>
      <w:r>
        <w:rPr>
          <w:rFonts w:hint="eastAsia" w:ascii="仿宋_GB2312" w:hAnsi="仿宋_GB2312" w:eastAsia="仿宋_GB2312" w:cs="仿宋_GB2312"/>
          <w:color w:val="FF0000"/>
          <w:sz w:val="32"/>
          <w:szCs w:val="32"/>
          <w:highlight w:val="none"/>
        </w:rPr>
        <w:t>与通用条款相冲突的内容，以本合同约定为准。</w:t>
      </w:r>
      <w:r>
        <w:rPr>
          <w:rFonts w:hint="eastAsia" w:ascii="仿宋_GB2312" w:hAnsi="仿宋_GB2312" w:eastAsia="仿宋_GB2312" w:cs="仿宋_GB2312"/>
          <w:color w:val="000000"/>
          <w:sz w:val="32"/>
          <w:szCs w:val="32"/>
          <w:highlight w:val="none"/>
        </w:rPr>
        <w:t>其它未尽事宜按照《中华人民共和国民法典》执行。本合同由双方盖章后生效一式</w:t>
      </w:r>
      <w:r>
        <w:rPr>
          <w:rFonts w:hint="eastAsia" w:ascii="仿宋_GB2312" w:hAnsi="仿宋_GB2312" w:eastAsia="仿宋_GB2312" w:cs="仿宋_GB2312"/>
          <w:color w:val="000000"/>
          <w:sz w:val="32"/>
          <w:szCs w:val="32"/>
          <w:highlight w:val="none"/>
          <w:lang w:val="en-US" w:eastAsia="zh-CN"/>
        </w:rPr>
        <w:t>四</w:t>
      </w:r>
      <w:r>
        <w:rPr>
          <w:rFonts w:hint="eastAsia" w:ascii="仿宋_GB2312" w:hAnsi="仿宋_GB2312" w:eastAsia="仿宋_GB2312" w:cs="仿宋_GB2312"/>
          <w:color w:val="000000"/>
          <w:sz w:val="32"/>
          <w:szCs w:val="32"/>
          <w:highlight w:val="none"/>
        </w:rPr>
        <w:t>份甲乙双方各</w:t>
      </w:r>
      <w:r>
        <w:rPr>
          <w:rFonts w:hint="eastAsia" w:ascii="仿宋_GB2312" w:hAnsi="仿宋_GB2312" w:eastAsia="仿宋_GB2312" w:cs="仿宋_GB2312"/>
          <w:color w:val="000000"/>
          <w:sz w:val="32"/>
          <w:szCs w:val="32"/>
          <w:highlight w:val="none"/>
          <w:lang w:val="en-US" w:eastAsia="zh-CN"/>
        </w:rPr>
        <w:t>两</w:t>
      </w:r>
      <w:r>
        <w:rPr>
          <w:rFonts w:hint="eastAsia" w:ascii="仿宋_GB2312" w:hAnsi="仿宋_GB2312" w:eastAsia="仿宋_GB2312" w:cs="仿宋_GB2312"/>
          <w:color w:val="000000"/>
          <w:sz w:val="32"/>
          <w:szCs w:val="32"/>
          <w:highlight w:val="none"/>
        </w:rPr>
        <w:t>份。传真或扫描件（能证明信息真实）有效。</w:t>
      </w:r>
    </w:p>
    <w:p>
      <w:pPr>
        <w:spacing w:line="360" w:lineRule="auto"/>
        <w:ind w:firstLine="640" w:firstLineChars="200"/>
        <w:rPr>
          <w:rFonts w:hint="eastAsia" w:ascii="仿宋_GB2312" w:hAnsi="仿宋_GB2312" w:eastAsia="仿宋_GB2312" w:cs="仿宋_GB2312"/>
          <w:color w:val="000000"/>
          <w:sz w:val="32"/>
          <w:szCs w:val="32"/>
          <w:highlight w:val="none"/>
          <w:lang w:val="en-US" w:eastAsia="zh-CN"/>
        </w:rPr>
      </w:pPr>
    </w:p>
    <w:p>
      <w:pPr>
        <w:spacing w:line="360" w:lineRule="auto"/>
        <w:ind w:firstLine="640" w:firstLineChars="200"/>
        <w:rPr>
          <w:rFonts w:hint="eastAsia" w:ascii="仿宋_GB2312" w:hAnsi="仿宋_GB2312" w:eastAsia="仿宋_GB2312" w:cs="仿宋_GB2312"/>
          <w:color w:val="000000"/>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pStyle w:val="2"/>
        <w:numPr>
          <w:ilvl w:val="0"/>
          <w:numId w:val="0"/>
        </w:numPr>
        <w:ind w:right="-240" w:rightChars="0"/>
        <w:jc w:val="center"/>
        <w:rPr>
          <w:rFonts w:hint="eastAsia" w:ascii="仿宋_GB2312" w:hAnsi="仿宋_GB2312" w:eastAsia="仿宋_GB2312" w:cs="仿宋_GB2312"/>
          <w:sz w:val="44"/>
          <w:szCs w:val="44"/>
          <w:highlight w:val="none"/>
          <w:lang w:val="en-US" w:eastAsia="zh-CN"/>
        </w:rPr>
      </w:pPr>
    </w:p>
    <w:p>
      <w:pPr>
        <w:pStyle w:val="2"/>
        <w:numPr>
          <w:ilvl w:val="0"/>
          <w:numId w:val="0"/>
        </w:numPr>
        <w:ind w:right="-240" w:rightChars="0"/>
        <w:jc w:val="center"/>
        <w:rPr>
          <w:rFonts w:hint="eastAsia" w:ascii="仿宋_GB2312" w:hAnsi="仿宋_GB2312" w:eastAsia="仿宋_GB2312" w:cs="仿宋_GB2312"/>
          <w:sz w:val="44"/>
          <w:szCs w:val="44"/>
          <w:highlight w:val="none"/>
          <w:lang w:val="en-US" w:eastAsia="zh-CN"/>
        </w:rPr>
      </w:pPr>
      <w:r>
        <w:rPr>
          <w:rFonts w:hint="eastAsia" w:ascii="仿宋_GB2312" w:hAnsi="仿宋_GB2312" w:eastAsia="仿宋_GB2312" w:cs="仿宋_GB2312"/>
          <w:sz w:val="44"/>
          <w:szCs w:val="44"/>
          <w:highlight w:val="none"/>
          <w:lang w:val="en-US" w:eastAsia="zh-CN"/>
        </w:rPr>
        <w:t>第四章 投标文件</w:t>
      </w:r>
    </w:p>
    <w:p>
      <w:pPr>
        <w:pStyle w:val="2"/>
        <w:numPr>
          <w:ilvl w:val="0"/>
          <w:numId w:val="0"/>
        </w:numPr>
        <w:ind w:leftChars="1400" w:right="-240" w:rightChars="0" w:firstLine="904" w:firstLineChars="300"/>
        <w:jc w:val="both"/>
        <w:rPr>
          <w:rFonts w:hint="eastAsia" w:ascii="仿宋_GB2312" w:hAnsi="仿宋_GB2312" w:eastAsia="仿宋_GB2312" w:cs="仿宋_GB2312"/>
          <w:sz w:val="32"/>
          <w:szCs w:val="32"/>
          <w:highlight w:val="none"/>
          <w:lang w:val="en-US" w:eastAsia="zh-CN"/>
        </w:rPr>
      </w:pPr>
    </w:p>
    <w:p>
      <w:pPr>
        <w:pStyle w:val="2"/>
        <w:numPr>
          <w:ilvl w:val="0"/>
          <w:numId w:val="0"/>
        </w:numPr>
        <w:ind w:leftChars="1400" w:right="-240" w:rightChars="0" w:firstLine="904" w:firstLineChars="3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一、报价单</w:t>
      </w:r>
    </w:p>
    <w:p>
      <w:pPr>
        <w:pStyle w:val="3"/>
        <w:numPr>
          <w:ilvl w:val="0"/>
          <w:numId w:val="0"/>
        </w:numPr>
        <w:ind w:right="-120" w:rightChars="0"/>
        <w:rPr>
          <w:rFonts w:hint="eastAsia"/>
          <w:highlight w:val="none"/>
          <w:lang w:val="en-US" w:eastAsia="zh-CN"/>
        </w:rPr>
      </w:pPr>
    </w:p>
    <w:p>
      <w:pPr>
        <w:tabs>
          <w:tab w:val="left" w:pos="0"/>
        </w:tabs>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color w:val="FF0000"/>
          <w:sz w:val="32"/>
          <w:szCs w:val="32"/>
          <w:highlight w:val="none"/>
        </w:rPr>
        <w:t xml:space="preserve">包件1中粮糖业辽宁有限公司  </w:t>
      </w:r>
    </w:p>
    <w:p>
      <w:pPr>
        <w:pStyle w:val="47"/>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1、根据你公司中粮糖业辽宁有限公司产品委托检验的询价文件，遵照《中华人民共和国招标投标法》等有关规定，经研究上述询价文件的投标须知、合同条款、服务标准及其他有关文件后，我方报价如下：</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4810"/>
        <w:gridCol w:w="683"/>
        <w:gridCol w:w="1324"/>
        <w:gridCol w:w="634"/>
        <w:gridCol w:w="967"/>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品名</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送检项目</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拟送检次数</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报价单位</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单价（含税）</w:t>
            </w:r>
          </w:p>
        </w:tc>
        <w:tc>
          <w:tcPr>
            <w:tcW w:w="2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甘蔗原糖GB 2763中甘蔗全套农残系列</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根据原糖到港批次，每批次送检1次</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restar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重金属（砷、铅）</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根据原糖到港批次，每批次送检1次</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致病菌</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非转基因检测</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根据原糖到港情况，每个国家送检1次</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白砂糖/绵白糖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微生物项目（霉菌、菌落总数、大肠菌群、酵母菌、致病菌全项）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白砂糖/绵白糖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硝酸盐、亚硝酸盐</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生产用水/冷凝水</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生产用水97项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按GB 5749标准全项97项报价</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井水</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地下水39项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GB/T 14848 地下水常规39项报价</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白砂糖/绵白糖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塑化剂</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项（菌落总数、大肠菌群、霉菌、酵母、沙门氏菌、志贺氏菌、金黄色葡萄球菌、β型溶血性链球菌、螨、粒度、感官、黑点、蔗糖分、还原糖分、电导灰分、干燥失重、色值、混浊度、不溶于水杂质、二氧化硫、铅、总砷）</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伊利客户要求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黑点、焦糖粒</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伊利客户要求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氯酸盐、高氯酸盐</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伊利客户要求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苯甲酸、山梨酸、汞、铬、镉、单核细胞增生李斯特氏菌、菌落总数、大肠菌群、酵母菌、霉菌、沙门氏菌、金黄色葡萄球菌、志贺氏菌、β型溶血性链球菌、枯草芽孢杆菌、地衣芽孢杆菌</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蒙牛客户要求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包装袋</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外袋全项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包装袋</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内膜全项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包装袋</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塑化剂18项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restar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煤</w:t>
            </w:r>
          </w:p>
        </w:tc>
        <w:tc>
          <w:tcPr>
            <w:tcW w:w="2442" w:type="pc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灰熔点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vAlign w:val="center"/>
          </w:tcPr>
          <w:p>
            <w:pPr>
              <w:widowControl w:val="0"/>
              <w:tabs>
                <w:tab w:val="left" w:pos="0"/>
              </w:tabs>
              <w:rPr>
                <w:rFonts w:hint="eastAsia" w:ascii="仿宋_GB2312" w:hAnsi="仿宋_GB2312" w:eastAsia="仿宋_GB2312" w:cs="仿宋_GB2312"/>
                <w:color w:val="auto"/>
                <w:sz w:val="32"/>
                <w:szCs w:val="32"/>
                <w:highlight w:val="none"/>
              </w:rPr>
            </w:pPr>
          </w:p>
        </w:tc>
        <w:tc>
          <w:tcPr>
            <w:tcW w:w="2442" w:type="pc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全水、分析水、灰分、挥发分、固定碳、硫分、碳元素、氢、发热量（带纸质报告）</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vAlign w:val="center"/>
          </w:tcPr>
          <w:p>
            <w:pPr>
              <w:widowControl w:val="0"/>
              <w:tabs>
                <w:tab w:val="left" w:pos="0"/>
              </w:tabs>
              <w:rPr>
                <w:rFonts w:hint="eastAsia" w:ascii="仿宋_GB2312" w:hAnsi="仿宋_GB2312" w:eastAsia="仿宋_GB2312" w:cs="仿宋_GB2312"/>
                <w:color w:val="auto"/>
                <w:sz w:val="32"/>
                <w:szCs w:val="32"/>
                <w:highlight w:val="none"/>
              </w:rPr>
            </w:pPr>
          </w:p>
        </w:tc>
        <w:tc>
          <w:tcPr>
            <w:tcW w:w="2442" w:type="pc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全元素分析（碳、氢、氧、氮）</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bl>
    <w:p>
      <w:pPr>
        <w:tabs>
          <w:tab w:val="left" w:pos="0"/>
        </w:tabs>
        <w:rPr>
          <w:rFonts w:hint="eastAsia" w:ascii="仿宋_GB2312" w:hAnsi="仿宋_GB2312" w:eastAsia="仿宋_GB2312" w:cs="仿宋_GB2312"/>
          <w:color w:val="auto"/>
          <w:sz w:val="32"/>
          <w:szCs w:val="32"/>
          <w:highlight w:val="none"/>
        </w:rPr>
      </w:pP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2、我方已详细审核并认同全部询价文件，包括修改文件（如有时）及有关附件。</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3、一旦我方中标，我方保证按招标文件及合同规定完成服务任务。</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4、我方同意所提交的投标文件在规定的投标有效期内有效，在此期间内如果中标，我方将受此约束。</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5、除非另外达成协议并生效，你方的中标通知书和本投标文件将成为约束双方的合同文件的组成部分。</w:t>
      </w:r>
    </w:p>
    <w:p>
      <w:pPr>
        <w:tabs>
          <w:tab w:val="left" w:pos="0"/>
        </w:tabs>
        <w:rPr>
          <w:rFonts w:hint="eastAsia" w:ascii="仿宋_GB2312" w:hAnsi="仿宋_GB2312" w:eastAsia="仿宋_GB2312" w:cs="仿宋_GB2312"/>
          <w:color w:val="auto"/>
          <w:sz w:val="32"/>
          <w:szCs w:val="32"/>
          <w:highlight w:val="none"/>
        </w:rPr>
      </w:pPr>
    </w:p>
    <w:p>
      <w:pPr>
        <w:tabs>
          <w:tab w:val="left" w:pos="0"/>
        </w:tabs>
        <w:rPr>
          <w:rFonts w:hint="eastAsia" w:ascii="仿宋_GB2312" w:hAnsi="仿宋_GB2312" w:eastAsia="仿宋_GB2312" w:cs="仿宋_GB2312"/>
          <w:color w:val="auto"/>
          <w:sz w:val="32"/>
          <w:szCs w:val="32"/>
          <w:highlight w:val="none"/>
        </w:rPr>
      </w:pP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 标 人：                               （盖章）</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单位地址：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法定代表人或其委托代理人：               （签字或盖章）</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电话：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开户银行名称：                开户银行帐号：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开户银行地址：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日期：      年     月     日</w:t>
      </w:r>
    </w:p>
    <w:p>
      <w:pPr>
        <w:spacing w:line="360" w:lineRule="auto"/>
        <w:rPr>
          <w:rFonts w:hint="eastAsia" w:ascii="仿宋_GB2312" w:hAnsi="仿宋_GB2312" w:eastAsia="仿宋_GB2312" w:cs="仿宋_GB2312"/>
          <w:bCs/>
          <w:kern w:val="0"/>
          <w:sz w:val="32"/>
          <w:szCs w:val="32"/>
          <w:highlight w:val="none"/>
        </w:rPr>
      </w:pPr>
    </w:p>
    <w:p>
      <w:pPr>
        <w:spacing w:line="360" w:lineRule="auto"/>
        <w:rPr>
          <w:rFonts w:hint="eastAsia" w:ascii="仿宋_GB2312" w:hAnsi="仿宋_GB2312" w:eastAsia="仿宋_GB2312" w:cs="仿宋_GB2312"/>
          <w:bCs/>
          <w:kern w:val="0"/>
          <w:sz w:val="32"/>
          <w:szCs w:val="32"/>
          <w:highlight w:val="none"/>
        </w:rPr>
      </w:pPr>
    </w:p>
    <w:p>
      <w:pPr>
        <w:ind w:firstLine="640" w:firstLineChars="200"/>
        <w:rPr>
          <w:rFonts w:ascii="仿宋_GB2312" w:hAnsi="仿宋_GB2312" w:eastAsia="仿宋_GB2312" w:cs="仿宋_GB2312"/>
          <w:color w:val="FF0000"/>
          <w:sz w:val="32"/>
          <w:szCs w:val="32"/>
          <w:highlight w:val="none"/>
        </w:rPr>
      </w:pPr>
      <w:r>
        <w:rPr>
          <w:rFonts w:hint="eastAsia" w:ascii="仿宋_GB2312" w:hAnsi="仿宋_GB2312" w:eastAsia="仿宋_GB2312" w:cs="仿宋_GB2312"/>
          <w:color w:val="FF0000"/>
          <w:sz w:val="32"/>
          <w:szCs w:val="32"/>
          <w:highlight w:val="none"/>
        </w:rPr>
        <w:t xml:space="preserve">包件2中粮（唐山）糖业有限公司 </w:t>
      </w:r>
    </w:p>
    <w:tbl>
      <w:tblPr>
        <w:tblStyle w:val="28"/>
        <w:tblpPr w:leftFromText="180" w:rightFromText="180" w:vertAnchor="text" w:horzAnchor="page" w:tblpX="1014" w:tblpY="552"/>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925"/>
        <w:gridCol w:w="200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2763中甘蔗全套265项农残系列</w:t>
            </w:r>
          </w:p>
        </w:tc>
        <w:tc>
          <w:tcPr>
            <w:tcW w:w="2007"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7次/年</w:t>
            </w:r>
          </w:p>
        </w:tc>
        <w:tc>
          <w:tcPr>
            <w:tcW w:w="3594"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10项重金属（砷；铜；铅；铁；铝；铬；锰；汞；镍；镉）</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标签审核</w:t>
            </w:r>
          </w:p>
        </w:tc>
        <w:tc>
          <w:tcPr>
            <w:tcW w:w="2007" w:type="dxa"/>
            <w:vMerge w:val="restart"/>
            <w:vAlign w:val="center"/>
          </w:tcPr>
          <w:p>
            <w:pPr>
              <w:widowControl w:val="0"/>
              <w:tabs>
                <w:tab w:val="left" w:pos="0"/>
              </w:tabs>
              <w:autoSpaceDE w:val="0"/>
              <w:autoSpaceDN w:val="0"/>
              <w:adjustRightInd w:val="0"/>
              <w:jc w:val="center"/>
              <w:rPr>
                <w:rFonts w:ascii="仿宋_GB2312" w:hAnsi="仿宋_GB2312" w:eastAsia="仿宋_GB2312" w:cs="仿宋_GB2312"/>
                <w:bCs/>
                <w:sz w:val="28"/>
                <w:szCs w:val="28"/>
                <w:highlight w:val="none"/>
              </w:rPr>
            </w:pPr>
            <w:r>
              <w:rPr>
                <w:rFonts w:hint="eastAsia" w:ascii="仿宋_GB2312" w:hAnsi="仿宋_GB2312" w:eastAsia="仿宋_GB2312" w:cs="仿宋_GB2312"/>
                <w:bCs/>
                <w:sz w:val="32"/>
                <w:szCs w:val="32"/>
                <w:highlight w:val="none"/>
              </w:rPr>
              <w:t>2次/年</w:t>
            </w:r>
          </w:p>
          <w:p>
            <w:pPr>
              <w:widowControl w:val="0"/>
              <w:jc w:val="center"/>
              <w:rPr>
                <w:rFonts w:ascii="仿宋_GB2312" w:hAnsi="仿宋_GB2312" w:eastAsia="仿宋_GB2312" w:cs="仿宋_GB2312"/>
                <w:bCs/>
                <w:sz w:val="32"/>
                <w:szCs w:val="32"/>
                <w:highlight w:val="none"/>
              </w:rPr>
            </w:pPr>
          </w:p>
        </w:tc>
        <w:tc>
          <w:tcPr>
            <w:tcW w:w="3594" w:type="dxa"/>
            <w:vMerge w:val="restart"/>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2007" w:type="dxa"/>
            <w:vMerge w:val="continue"/>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2007" w:type="dxa"/>
            <w:vMerge w:val="continue"/>
          </w:tcPr>
          <w:p>
            <w:pPr>
              <w:widowControl w:val="0"/>
              <w:tabs>
                <w:tab w:val="left" w:pos="0"/>
              </w:tabs>
              <w:autoSpaceDE w:val="0"/>
              <w:autoSpaceDN w:val="0"/>
              <w:adjustRightInd w:val="0"/>
              <w:jc w:val="left"/>
              <w:rPr>
                <w:rFonts w:ascii="仿宋_GB2312" w:hAnsi="仿宋_GB2312" w:eastAsia="仿宋_GB2312" w:cs="仿宋_GB2312"/>
                <w:bCs/>
                <w:sz w:val="28"/>
                <w:szCs w:val="28"/>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2007" w:type="dxa"/>
            <w:vMerge w:val="continue"/>
            <w:vAlign w:val="center"/>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GB/T317理化全项；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沙门氏菌（n=10）</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单核细胞增生李斯特氏菌；菌落总数；大肠菌群；酵母菌；霉菌；沙门氏菌；金黄色葡萄球菌；志贺氏菌；溶血性链球菌；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地衣芽孢杆菌；枯草芽孢杆菌；淀粉酶（第一法、第二法）；苯甲酸；山梨酸；汞；铬；镉</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非转基因测试</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丙二醇</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凝固酶阳性葡萄球菌；脂环酸芽孢杆菌；亚硝酸盐；硝酸盐</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钙；邻苯二甲酸酯类20项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绵白糖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感官；总糖分；还原糖分；干燥失重；电导灰分；色值；混浊度；不溶于水杂质；粒度；净含量；铅；总砷；螨；二氧化硫；</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全糖粉</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QB/T 4565理化全项、菌落总数；大肠菌群；酵母菌；霉菌；沙门氏菌；金黄色葡萄球菌；志贺氏菌；溶血性链球菌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环境致病菌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工艺用水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汽凝水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石灰</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T/ZTX 03001-2021 制糖工艺用石灰</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煤</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水分；灰分；挥发分；含硫量；低位发热量；灰熔点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15次/年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更换供应商时检测</w:t>
            </w:r>
          </w:p>
        </w:tc>
      </w:tr>
    </w:tbl>
    <w:p>
      <w:pPr>
        <w:pStyle w:val="47"/>
        <w:spacing w:line="400" w:lineRule="exact"/>
        <w:ind w:left="0"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1、根据你公司中粮（唐山）糖业有限公司产品委托检验的询价文件，遵照《中华人民共和国招标投标法》等有关规定，经研究上述询价文件的投标须知、合同条款、服务标准及其他有关文件后，我方报价如下：</w:t>
      </w:r>
    </w:p>
    <w:p>
      <w:pPr>
        <w:spacing w:line="400" w:lineRule="exact"/>
        <w:ind w:firstLine="640" w:firstLineChars="200"/>
        <w:rPr>
          <w:rFonts w:ascii="仿宋_GB2312" w:hAnsi="仿宋_GB2312" w:eastAsia="仿宋_GB2312" w:cs="仿宋_GB2312"/>
          <w:bCs/>
          <w:kern w:val="0"/>
          <w:sz w:val="32"/>
          <w:szCs w:val="32"/>
          <w:highlight w:val="none"/>
        </w:rPr>
      </w:pP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2、我方已详细审核并认同全部询价文件，包括修改文件（如有时）及有关附件。</w:t>
      </w: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3、一旦我方中标，我方保证按招标文件及合同规定完成服务任务。</w:t>
      </w: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4、我方同意所提交的投标文件在规定的投标有效期内有效，在此期间内如果中标，我方将受此约束。</w:t>
      </w: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5、除非另外达成协议并生效，你方的中标通知书和本投标文件将成为约束双方的合同文件的组成部分。</w:t>
      </w:r>
    </w:p>
    <w:p>
      <w:pPr>
        <w:spacing w:line="400" w:lineRule="exact"/>
        <w:rPr>
          <w:rFonts w:ascii="仿宋_GB2312" w:hAnsi="仿宋_GB2312" w:eastAsia="仿宋_GB2312" w:cs="仿宋_GB2312"/>
          <w:bCs/>
          <w:kern w:val="0"/>
          <w:sz w:val="32"/>
          <w:szCs w:val="32"/>
          <w:highlight w:val="none"/>
        </w:rPr>
      </w:pPr>
    </w:p>
    <w:p>
      <w:pPr>
        <w:spacing w:line="400" w:lineRule="exact"/>
        <w:rPr>
          <w:rFonts w:ascii="仿宋_GB2312" w:hAnsi="仿宋_GB2312" w:eastAsia="仿宋_GB2312" w:cs="仿宋_GB2312"/>
          <w:bCs/>
          <w:kern w:val="0"/>
          <w:sz w:val="32"/>
          <w:szCs w:val="32"/>
          <w:highlight w:val="none"/>
        </w:rPr>
      </w:pP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投 标 人：                               （盖章）</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单位地址：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法定代表人或其委托代理人：               （签字或盖章）</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电话：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开户银行名称：                开户银行帐号：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开户银行地址：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日期：      年     月     日</w:t>
      </w:r>
    </w:p>
    <w:p>
      <w:pPr>
        <w:spacing w:line="360" w:lineRule="auto"/>
        <w:rPr>
          <w:rFonts w:ascii="仿宋_GB2312" w:hAnsi="仿宋_GB2312" w:eastAsia="仿宋_GB2312" w:cs="仿宋_GB2312"/>
          <w:bCs/>
          <w:kern w:val="0"/>
          <w:sz w:val="32"/>
          <w:szCs w:val="32"/>
          <w:highlight w:val="none"/>
        </w:rPr>
      </w:pPr>
    </w:p>
    <w:p>
      <w:pPr>
        <w:spacing w:line="360" w:lineRule="auto"/>
        <w:rPr>
          <w:rFonts w:ascii="仿宋_GB2312" w:hAnsi="仿宋_GB2312" w:eastAsia="仿宋_GB2312" w:cs="仿宋_GB2312"/>
          <w:bCs/>
          <w:kern w:val="0"/>
          <w:sz w:val="32"/>
          <w:szCs w:val="32"/>
          <w:highlight w:val="none"/>
        </w:rPr>
      </w:pPr>
    </w:p>
    <w:p>
      <w:pPr>
        <w:spacing w:line="360" w:lineRule="auto"/>
        <w:rPr>
          <w:rFonts w:hint="eastAsia" w:ascii="仿宋_GB2312" w:hAnsi="仿宋_GB2312" w:eastAsia="仿宋_GB2312" w:cs="仿宋_GB2312"/>
          <w:bCs/>
          <w:kern w:val="0"/>
          <w:sz w:val="32"/>
          <w:szCs w:val="32"/>
          <w:highlight w:val="none"/>
        </w:rPr>
      </w:pPr>
    </w:p>
    <w:p>
      <w:pPr>
        <w:numPr>
          <w:ilvl w:val="0"/>
          <w:numId w:val="0"/>
        </w:num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FF0000"/>
          <w:sz w:val="32"/>
          <w:szCs w:val="32"/>
          <w:highlight w:val="none"/>
          <w:lang w:val="en-US" w:eastAsia="zh-CN"/>
        </w:rPr>
        <w:t>包件3中粮糖业（漳州）有限公司</w:t>
      </w:r>
      <w:r>
        <w:rPr>
          <w:rFonts w:hint="eastAsia" w:ascii="仿宋_GB2312" w:hAnsi="仿宋_GB2312" w:eastAsia="仿宋_GB2312" w:cs="仿宋_GB2312"/>
          <w:sz w:val="32"/>
          <w:szCs w:val="32"/>
          <w:highlight w:val="none"/>
          <w:lang w:val="en-US" w:eastAsia="zh-CN"/>
        </w:rPr>
        <w:t xml:space="preserve"> </w:t>
      </w:r>
    </w:p>
    <w:p>
      <w:pPr>
        <w:pStyle w:val="47"/>
        <w:numPr>
          <w:ilvl w:val="0"/>
          <w:numId w:val="0"/>
        </w:num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lang w:val="en-US" w:eastAsia="zh-CN"/>
        </w:rPr>
        <w:t>1、</w:t>
      </w:r>
      <w:r>
        <w:rPr>
          <w:rFonts w:hint="eastAsia" w:ascii="仿宋_GB2312" w:hAnsi="仿宋_GB2312" w:eastAsia="仿宋_GB2312" w:cs="仿宋_GB2312"/>
          <w:bCs/>
          <w:kern w:val="0"/>
          <w:sz w:val="32"/>
          <w:szCs w:val="32"/>
          <w:highlight w:val="none"/>
        </w:rPr>
        <w:t>根据你公司</w:t>
      </w:r>
      <w:r>
        <w:rPr>
          <w:rFonts w:hint="eastAsia" w:ascii="仿宋_GB2312" w:hAnsi="仿宋_GB2312" w:eastAsia="仿宋_GB2312" w:cs="仿宋_GB2312"/>
          <w:bCs/>
          <w:kern w:val="0"/>
          <w:sz w:val="32"/>
          <w:szCs w:val="32"/>
          <w:highlight w:val="none"/>
          <w:lang w:eastAsia="zh-CN"/>
        </w:rPr>
        <w:t>中粮糖业（漳州）有限公司</w:t>
      </w:r>
      <w:r>
        <w:rPr>
          <w:rFonts w:hint="eastAsia" w:ascii="仿宋_GB2312" w:hAnsi="仿宋_GB2312" w:eastAsia="仿宋_GB2312" w:cs="仿宋_GB2312"/>
          <w:bCs/>
          <w:kern w:val="0"/>
          <w:sz w:val="32"/>
          <w:szCs w:val="32"/>
          <w:highlight w:val="none"/>
        </w:rPr>
        <w:t>产品委托检验的询价文件，遵照《中华人民共和国招标投标法》等有关规定，经研究上述询价文件的投标须知、合同条款、服务标准及其他有关文件后，我方报价如下：</w:t>
      </w:r>
    </w:p>
    <w:tbl>
      <w:tblPr>
        <w:tblStyle w:val="28"/>
        <w:tblW w:w="5230" w:type="pct"/>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932"/>
        <w:gridCol w:w="1104"/>
        <w:gridCol w:w="1008"/>
        <w:gridCol w:w="1668"/>
        <w:gridCol w:w="1272"/>
        <w:gridCol w:w="1020"/>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lang w:eastAsia="zh-CN"/>
              </w:rPr>
              <w:t>单项报价</w:t>
            </w:r>
          </w:p>
        </w:tc>
        <w:tc>
          <w:tcPr>
            <w:tcW w:w="80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c>
          <w:tcPr>
            <w:tcW w:w="616"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报价单位</w:t>
            </w:r>
          </w:p>
        </w:tc>
        <w:tc>
          <w:tcPr>
            <w:tcW w:w="494"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单价（含税）</w:t>
            </w:r>
          </w:p>
        </w:tc>
        <w:tc>
          <w:tcPr>
            <w:tcW w:w="372"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lang w:val="en-US"/>
              </w:rPr>
            </w:pPr>
            <w:r>
              <w:rPr>
                <w:rFonts w:hint="eastAsia" w:ascii="仿宋_GB2312" w:hAnsi="仿宋_GB2312" w:eastAsia="仿宋_GB2312" w:cs="仿宋_GB2312"/>
                <w:bCs/>
                <w:sz w:val="32"/>
                <w:szCs w:val="32"/>
                <w:highlight w:val="none"/>
                <w:lang w:val="en-US" w:eastAsia="zh-CN"/>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2763中甘蔗全套农残系列</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c>
          <w:tcPr>
            <w:tcW w:w="616"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c>
          <w:tcPr>
            <w:tcW w:w="372" w:type="pct"/>
            <w:vMerge w:val="restar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重金属（砷、铅）</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c>
          <w:tcPr>
            <w:tcW w:w="616"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致病菌</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非转基因检测</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根据原糖到港情况，每个国家送检1次</w:t>
            </w: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全项检验项目：感官、糖度、安全系数、灰分、色值、葡聚糖、不溶水杂质、二氧化硫、螨、总砷、铅</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default" w:ascii="仿宋_GB2312" w:hAnsi="仿宋_GB2312" w:eastAsia="仿宋_GB2312" w:cs="仿宋_GB2312"/>
                <w:bCs/>
                <w:sz w:val="32"/>
                <w:szCs w:val="32"/>
                <w:highlight w:val="none"/>
                <w:lang w:val="en-US"/>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微生物项目（霉菌、菌落总数、大肠菌群、酵母菌、致病菌全项）</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硝酸盐、亚硝酸盐</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8次/年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生产用水/冷凝水</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生产用水97项</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按GB 5749标准全项97项报价</w:t>
            </w: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井水</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地下水39项</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 14848 地下水常规39项报价</w:t>
            </w: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937"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535"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488" w:type="pct"/>
            <w:vAlign w:val="top"/>
          </w:tcPr>
          <w:p>
            <w:pPr>
              <w:widowControl w:val="0"/>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937"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535"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488" w:type="pct"/>
            <w:vAlign w:val="top"/>
          </w:tcPr>
          <w:p>
            <w:pPr>
              <w:widowControl w:val="0"/>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937"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535"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4次/年</w:t>
            </w:r>
          </w:p>
        </w:tc>
        <w:tc>
          <w:tcPr>
            <w:tcW w:w="488" w:type="pct"/>
            <w:vAlign w:val="top"/>
          </w:tcPr>
          <w:p>
            <w:pPr>
              <w:widowControl w:val="0"/>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sz w:val="32"/>
                <w:szCs w:val="32"/>
                <w:highlight w:val="none"/>
                <w:lang w:val="en-US" w:eastAsia="zh-CN"/>
              </w:rPr>
              <w:t>煤</w:t>
            </w:r>
          </w:p>
        </w:tc>
        <w:tc>
          <w:tcPr>
            <w:tcW w:w="937"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sz w:val="32"/>
                <w:szCs w:val="32"/>
                <w:highlight w:val="none"/>
                <w:lang w:val="en-US" w:eastAsia="zh-CN"/>
              </w:rPr>
              <w:t>全水分；水分；灰分；挥发分；含硫量；低位发热量；氢；灰熔点</w:t>
            </w:r>
          </w:p>
        </w:tc>
        <w:tc>
          <w:tcPr>
            <w:tcW w:w="535"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sz w:val="32"/>
                <w:szCs w:val="32"/>
                <w:highlight w:val="none"/>
                <w:lang w:val="en-US" w:eastAsia="zh-CN"/>
              </w:rPr>
              <w:t>15次/年</w:t>
            </w:r>
          </w:p>
        </w:tc>
        <w:tc>
          <w:tcPr>
            <w:tcW w:w="488"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809"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标签审核</w:t>
            </w:r>
          </w:p>
        </w:tc>
        <w:tc>
          <w:tcPr>
            <w:tcW w:w="937" w:type="pct"/>
            <w:vAlign w:val="center"/>
          </w:tcPr>
          <w:p>
            <w:pPr>
              <w:widowControl w:val="0"/>
              <w:tabs>
                <w:tab w:val="left" w:pos="0"/>
                <w:tab w:val="left" w:pos="480"/>
              </w:tabs>
              <w:autoSpaceDE w:val="0"/>
              <w:autoSpaceDN w:val="0"/>
              <w:adjustRightInd w:val="0"/>
              <w:spacing w:line="480" w:lineRule="exact"/>
              <w:jc w:val="left"/>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ab/>
            </w:r>
            <w:r>
              <w:rPr>
                <w:rFonts w:hint="eastAsia" w:ascii="仿宋_GB2312" w:hAnsi="仿宋_GB2312" w:eastAsia="仿宋_GB2312" w:cs="仿宋_GB2312"/>
                <w:bCs/>
                <w:sz w:val="32"/>
                <w:szCs w:val="32"/>
                <w:highlight w:val="none"/>
                <w:lang w:val="en-US" w:eastAsia="zh-CN"/>
              </w:rPr>
              <w:t>包装袋版面信息合规性审核</w:t>
            </w:r>
          </w:p>
        </w:tc>
        <w:tc>
          <w:tcPr>
            <w:tcW w:w="535"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1次/版</w:t>
            </w:r>
          </w:p>
        </w:tc>
        <w:tc>
          <w:tcPr>
            <w:tcW w:w="488"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809"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bl>
    <w:p>
      <w:pPr>
        <w:spacing w:line="400" w:lineRule="exact"/>
        <w:ind w:firstLine="640" w:firstLineChars="200"/>
        <w:rPr>
          <w:rFonts w:hint="eastAsia" w:ascii="仿宋_GB2312" w:hAnsi="仿宋_GB2312" w:eastAsia="仿宋_GB2312" w:cs="仿宋_GB2312"/>
          <w:bCs/>
          <w:kern w:val="0"/>
          <w:sz w:val="32"/>
          <w:szCs w:val="32"/>
          <w:highlight w:val="none"/>
        </w:rPr>
      </w:pP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2、我方已详细审核并认同全部询价文件，包括修改文件（如有时）及有关附件。</w:t>
      </w: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3、一旦我方中标，我方保证按招标文件及合同规定完成服务任务。</w:t>
      </w: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4、我方同意所提交的投标文件在规定的投标有效期内有效，在此期间内如果中标，我方将受此约束。</w:t>
      </w: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5、除非另外达成协议并生效，你方的中标通知书和本投标文件将成为约束双方的合同文件的组成部分。</w:t>
      </w:r>
    </w:p>
    <w:p>
      <w:pPr>
        <w:spacing w:line="400" w:lineRule="exact"/>
        <w:rPr>
          <w:rFonts w:hint="eastAsia" w:ascii="仿宋_GB2312" w:hAnsi="仿宋_GB2312" w:eastAsia="仿宋_GB2312" w:cs="仿宋_GB2312"/>
          <w:bCs/>
          <w:kern w:val="0"/>
          <w:sz w:val="32"/>
          <w:szCs w:val="32"/>
          <w:highlight w:val="none"/>
        </w:rPr>
      </w:pPr>
    </w:p>
    <w:p>
      <w:pPr>
        <w:spacing w:line="400" w:lineRule="exact"/>
        <w:rPr>
          <w:rFonts w:hint="eastAsia" w:ascii="仿宋_GB2312" w:hAnsi="仿宋_GB2312" w:eastAsia="仿宋_GB2312" w:cs="仿宋_GB2312"/>
          <w:bCs/>
          <w:kern w:val="0"/>
          <w:sz w:val="32"/>
          <w:szCs w:val="32"/>
          <w:highlight w:val="none"/>
        </w:rPr>
      </w:pP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投 标 人：                               （盖章）</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单位地址：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法定代表人或其委托代理人：               （签字或盖章）</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电话：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开户银行名称：                开户银行帐号：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开户银行地址：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日期：      年     月     日</w:t>
      </w:r>
    </w:p>
    <w:p>
      <w:pPr>
        <w:spacing w:line="360" w:lineRule="auto"/>
        <w:rPr>
          <w:rFonts w:hint="eastAsia" w:ascii="仿宋_GB2312" w:hAnsi="仿宋_GB2312" w:eastAsia="仿宋_GB2312" w:cs="仿宋_GB2312"/>
          <w:bCs/>
          <w:kern w:val="0"/>
          <w:sz w:val="32"/>
          <w:szCs w:val="32"/>
          <w:highlight w:val="none"/>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4"/>
        </w:numPr>
        <w:spacing w:line="560" w:lineRule="exact"/>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法定代表人身份证明书</w:t>
      </w:r>
    </w:p>
    <w:p>
      <w:pPr>
        <w:numPr>
          <w:ilvl w:val="0"/>
          <w:numId w:val="0"/>
        </w:numPr>
        <w:spacing w:line="560" w:lineRule="exact"/>
        <w:jc w:val="center"/>
        <w:rPr>
          <w:rFonts w:hint="eastAsia" w:ascii="仿宋_GB2312" w:hAnsi="仿宋_GB2312" w:eastAsia="仿宋_GB2312" w:cs="仿宋_GB2312"/>
          <w:b w:val="0"/>
          <w:bCs w:val="0"/>
          <w:color w:val="FF0000"/>
          <w:sz w:val="32"/>
          <w:szCs w:val="32"/>
          <w:highlight w:val="none"/>
        </w:rPr>
      </w:pPr>
      <w:r>
        <w:rPr>
          <w:rFonts w:hint="eastAsia" w:ascii="仿宋_GB2312" w:hAnsi="仿宋_GB2312" w:eastAsia="仿宋_GB2312" w:cs="仿宋_GB2312"/>
          <w:b w:val="0"/>
          <w:bCs w:val="0"/>
          <w:color w:val="FF0000"/>
          <w:sz w:val="32"/>
          <w:szCs w:val="32"/>
          <w:highlight w:val="none"/>
        </w:rPr>
        <w:t>（法定代表人参加投标的，出具此证明书）</w:t>
      </w:r>
    </w:p>
    <w:p>
      <w:pPr>
        <w:spacing w:line="480" w:lineRule="exact"/>
        <w:rPr>
          <w:rFonts w:hint="eastAsia" w:ascii="仿宋_GB2312" w:hAnsi="仿宋_GB2312" w:eastAsia="仿宋_GB2312" w:cs="仿宋_GB2312"/>
          <w:sz w:val="32"/>
          <w:szCs w:val="32"/>
          <w:highlight w:val="none"/>
        </w:rPr>
      </w:pPr>
    </w:p>
    <w:p>
      <w:pPr>
        <w:spacing w:line="480" w:lineRule="exact"/>
        <w:ind w:firstLine="720" w:firstLineChars="22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single"/>
        </w:rPr>
        <w:t xml:space="preserve">法定代表人姓名 </w:t>
      </w:r>
      <w:r>
        <w:rPr>
          <w:rFonts w:hint="eastAsia" w:ascii="仿宋_GB2312" w:hAnsi="仿宋_GB2312" w:eastAsia="仿宋_GB2312" w:cs="仿宋_GB2312"/>
          <w:sz w:val="32"/>
          <w:szCs w:val="32"/>
          <w:highlight w:val="none"/>
        </w:rPr>
        <w:t>在我公司（或企业、单位）任（董事长、经理）职务，是我</w:t>
      </w:r>
      <w:r>
        <w:rPr>
          <w:rFonts w:hint="eastAsia" w:ascii="仿宋_GB2312" w:hAnsi="仿宋_GB2312" w:eastAsia="仿宋_GB2312" w:cs="仿宋_GB2312"/>
          <w:sz w:val="32"/>
          <w:szCs w:val="32"/>
          <w:highlight w:val="none"/>
          <w:u w:val="single"/>
        </w:rPr>
        <w:t xml:space="preserve">     公司全称    </w:t>
      </w:r>
      <w:r>
        <w:rPr>
          <w:rFonts w:hint="eastAsia" w:ascii="仿宋_GB2312" w:hAnsi="仿宋_GB2312" w:eastAsia="仿宋_GB2312" w:cs="仿宋_GB2312"/>
          <w:sz w:val="32"/>
          <w:szCs w:val="32"/>
          <w:highlight w:val="none"/>
        </w:rPr>
        <w:t>的法定代表人。现就参加</w:t>
      </w:r>
      <w:r>
        <w:rPr>
          <w:rFonts w:hint="eastAsia" w:ascii="仿宋_GB2312" w:hAnsi="仿宋_GB2312" w:eastAsia="仿宋_GB2312" w:cs="仿宋_GB2312"/>
          <w:sz w:val="32"/>
          <w:szCs w:val="32"/>
          <w:highlight w:val="none"/>
          <w:u w:val="single"/>
        </w:rPr>
        <w:t xml:space="preserve">   采购单位名称   </w:t>
      </w:r>
      <w:r>
        <w:rPr>
          <w:rFonts w:hint="eastAsia" w:ascii="仿宋_GB2312" w:hAnsi="仿宋_GB2312" w:eastAsia="仿宋_GB2312" w:cs="仿宋_GB2312"/>
          <w:sz w:val="32"/>
          <w:szCs w:val="32"/>
          <w:highlight w:val="none"/>
        </w:rPr>
        <w:t>组织的采购项目</w:t>
      </w:r>
      <w:r>
        <w:rPr>
          <w:rFonts w:hint="eastAsia" w:ascii="仿宋_GB2312" w:hAnsi="仿宋_GB2312" w:eastAsia="仿宋_GB2312" w:cs="仿宋_GB2312"/>
          <w:sz w:val="32"/>
          <w:szCs w:val="32"/>
          <w:highlight w:val="none"/>
          <w:u w:val="single"/>
        </w:rPr>
        <w:t xml:space="preserve">         采购项目名称         </w:t>
      </w:r>
      <w:r>
        <w:rPr>
          <w:rFonts w:hint="eastAsia" w:ascii="仿宋_GB2312" w:hAnsi="仿宋_GB2312" w:eastAsia="仿宋_GB2312" w:cs="仿宋_GB2312"/>
          <w:sz w:val="32"/>
          <w:szCs w:val="32"/>
          <w:highlight w:val="none"/>
        </w:rPr>
        <w:t>的投标签署投标文件。</w:t>
      </w:r>
    </w:p>
    <w:p>
      <w:pPr>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特此证明。</w:t>
      </w:r>
    </w:p>
    <w:p>
      <w:pPr>
        <w:spacing w:line="480" w:lineRule="exact"/>
        <w:jc w:val="center"/>
        <w:rPr>
          <w:rFonts w:hint="eastAsia" w:ascii="仿宋_GB2312" w:hAnsi="仿宋_GB2312" w:eastAsia="仿宋_GB2312" w:cs="仿宋_GB2312"/>
          <w:b/>
          <w:sz w:val="32"/>
          <w:szCs w:val="32"/>
          <w:highlight w:val="none"/>
        </w:rPr>
      </w:pPr>
    </w:p>
    <w:p>
      <w:pPr>
        <w:spacing w:before="240" w:beforeLines="100" w:after="240" w:afterLines="100" w:line="480" w:lineRule="exact"/>
        <w:jc w:val="center"/>
        <w:rPr>
          <w:rFonts w:hint="eastAsia" w:ascii="仿宋_GB2312" w:hAnsi="仿宋_GB2312" w:eastAsia="仿宋_GB2312" w:cs="仿宋_GB2312"/>
          <w:b/>
          <w:sz w:val="32"/>
          <w:szCs w:val="32"/>
          <w:highlight w:val="none"/>
        </w:rPr>
      </w:pPr>
    </w:p>
    <w:tbl>
      <w:tblPr>
        <w:tblStyle w:val="27"/>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pPr>
              <w:spacing w:line="480" w:lineRule="exact"/>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（※此处请粘贴法定代表人身份证</w:t>
            </w:r>
          </w:p>
          <w:p>
            <w:pPr>
              <w:spacing w:line="480" w:lineRule="exact"/>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复印件※）</w:t>
            </w:r>
          </w:p>
          <w:p>
            <w:pPr>
              <w:spacing w:line="480" w:lineRule="exact"/>
              <w:rPr>
                <w:rFonts w:hint="eastAsia" w:ascii="仿宋_GB2312" w:hAnsi="仿宋_GB2312" w:eastAsia="仿宋_GB2312" w:cs="仿宋_GB2312"/>
                <w:sz w:val="32"/>
                <w:szCs w:val="32"/>
                <w:highlight w:val="none"/>
              </w:rPr>
            </w:pPr>
          </w:p>
          <w:p>
            <w:pPr>
              <w:spacing w:line="480" w:lineRule="exact"/>
              <w:rPr>
                <w:rFonts w:hint="eastAsia" w:ascii="仿宋_GB2312" w:hAnsi="仿宋_GB2312" w:eastAsia="仿宋_GB2312" w:cs="仿宋_GB2312"/>
                <w:sz w:val="32"/>
                <w:szCs w:val="32"/>
                <w:highlight w:val="none"/>
              </w:rPr>
            </w:pPr>
          </w:p>
        </w:tc>
      </w:tr>
    </w:tbl>
    <w:p>
      <w:pPr>
        <w:spacing w:before="240" w:beforeLines="100" w:after="240" w:afterLines="100" w:line="480" w:lineRule="exact"/>
        <w:jc w:val="center"/>
        <w:rPr>
          <w:rFonts w:hint="eastAsia" w:ascii="仿宋_GB2312" w:hAnsi="仿宋_GB2312" w:eastAsia="仿宋_GB2312" w:cs="仿宋_GB2312"/>
          <w:b/>
          <w:sz w:val="32"/>
          <w:szCs w:val="32"/>
          <w:highlight w:val="none"/>
        </w:rPr>
      </w:pPr>
    </w:p>
    <w:p>
      <w:pPr>
        <w:spacing w:before="240" w:beforeLines="100" w:after="240" w:afterLines="100" w:line="480" w:lineRule="exact"/>
        <w:jc w:val="center"/>
        <w:rPr>
          <w:rFonts w:hint="eastAsia" w:ascii="仿宋_GB2312" w:hAnsi="仿宋_GB2312" w:eastAsia="仿宋_GB2312" w:cs="仿宋_GB2312"/>
          <w:b/>
          <w:sz w:val="32"/>
          <w:szCs w:val="32"/>
          <w:highlight w:val="none"/>
        </w:rPr>
      </w:pPr>
    </w:p>
    <w:p>
      <w:pPr>
        <w:spacing w:before="240" w:beforeLines="100" w:after="240" w:afterLines="100" w:line="480" w:lineRule="exact"/>
        <w:jc w:val="center"/>
        <w:rPr>
          <w:rFonts w:hint="eastAsia" w:ascii="仿宋_GB2312" w:hAnsi="仿宋_GB2312" w:eastAsia="仿宋_GB2312" w:cs="仿宋_GB2312"/>
          <w:b/>
          <w:sz w:val="32"/>
          <w:szCs w:val="32"/>
          <w:highlight w:val="none"/>
        </w:rPr>
      </w:pPr>
    </w:p>
    <w:p>
      <w:pPr>
        <w:spacing w:line="480" w:lineRule="exact"/>
        <w:jc w:val="right"/>
        <w:rPr>
          <w:rFonts w:hint="eastAsia" w:ascii="仿宋_GB2312" w:hAnsi="仿宋_GB2312" w:eastAsia="仿宋_GB2312" w:cs="仿宋_GB2312"/>
          <w:sz w:val="32"/>
          <w:szCs w:val="32"/>
          <w:highlight w:val="none"/>
        </w:rPr>
      </w:pPr>
    </w:p>
    <w:p>
      <w:pPr>
        <w:spacing w:line="480" w:lineRule="exact"/>
        <w:jc w:val="right"/>
        <w:rPr>
          <w:rFonts w:hint="eastAsia" w:ascii="仿宋_GB2312" w:hAnsi="仿宋_GB2312" w:eastAsia="仿宋_GB2312" w:cs="仿宋_GB2312"/>
          <w:sz w:val="32"/>
          <w:szCs w:val="32"/>
          <w:highlight w:val="none"/>
        </w:rPr>
      </w:pPr>
    </w:p>
    <w:p>
      <w:pPr>
        <w:spacing w:line="480" w:lineRule="exact"/>
        <w:ind w:right="240"/>
        <w:jc w:val="right"/>
        <w:rPr>
          <w:rFonts w:hint="eastAsia" w:ascii="仿宋_GB2312" w:hAnsi="仿宋_GB2312" w:eastAsia="仿宋_GB2312" w:cs="仿宋_GB2312"/>
          <w:sz w:val="32"/>
          <w:szCs w:val="32"/>
          <w:highlight w:val="none"/>
        </w:rPr>
      </w:pPr>
    </w:p>
    <w:p>
      <w:pPr>
        <w:spacing w:line="480" w:lineRule="exact"/>
        <w:ind w:right="240"/>
        <w:jc w:val="right"/>
        <w:rPr>
          <w:rFonts w:hint="eastAsia" w:ascii="仿宋_GB2312" w:hAnsi="仿宋_GB2312" w:eastAsia="仿宋_GB2312" w:cs="仿宋_GB2312"/>
          <w:sz w:val="32"/>
          <w:szCs w:val="32"/>
          <w:highlight w:val="none"/>
        </w:rPr>
      </w:pPr>
    </w:p>
    <w:p>
      <w:pPr>
        <w:spacing w:line="600" w:lineRule="auto"/>
        <w:jc w:val="righ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公司名称：</w:t>
      </w:r>
      <w:r>
        <w:rPr>
          <w:rFonts w:hint="eastAsia" w:ascii="仿宋_GB2312" w:hAnsi="仿宋_GB2312" w:eastAsia="仿宋_GB2312" w:cs="仿宋_GB2312"/>
          <w:sz w:val="32"/>
          <w:szCs w:val="32"/>
          <w:highlight w:val="none"/>
          <w:u w:val="single"/>
        </w:rPr>
        <w:t xml:space="preserve">（加盖公章） </w:t>
      </w:r>
    </w:p>
    <w:p>
      <w:pPr>
        <w:spacing w:line="600" w:lineRule="auto"/>
        <w:jc w:val="righ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年     月      日</w:t>
      </w: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lang w:val="en-US" w:eastAsia="zh-CN"/>
        </w:rPr>
      </w:pPr>
    </w:p>
    <w:p>
      <w:pPr>
        <w:spacing w:line="560" w:lineRule="exact"/>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三、</w:t>
      </w:r>
      <w:r>
        <w:rPr>
          <w:rFonts w:hint="eastAsia" w:ascii="仿宋_GB2312" w:hAnsi="仿宋_GB2312" w:eastAsia="仿宋_GB2312" w:cs="仿宋_GB2312"/>
          <w:b/>
          <w:sz w:val="32"/>
          <w:szCs w:val="32"/>
          <w:highlight w:val="none"/>
        </w:rPr>
        <w:t>法定代表人授权委托书</w:t>
      </w:r>
    </w:p>
    <w:p>
      <w:pPr>
        <w:spacing w:line="56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（授权代表人参加投标的，出具此授权委托书）</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委托人：</w:t>
      </w:r>
      <w:r>
        <w:rPr>
          <w:rFonts w:hint="eastAsia" w:ascii="仿宋_GB2312" w:hAnsi="仿宋_GB2312" w:eastAsia="仿宋_GB2312" w:cs="仿宋_GB2312"/>
          <w:b/>
          <w:sz w:val="32"/>
          <w:szCs w:val="32"/>
          <w:highlight w:val="none"/>
        </w:rPr>
        <w:t>XXXXXX公司</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住所：</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法定代表人（或负责人）：</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代理人：</w:t>
      </w:r>
      <w:r>
        <w:rPr>
          <w:rFonts w:hint="eastAsia" w:ascii="仿宋_GB2312" w:hAnsi="仿宋_GB2312" w:eastAsia="仿宋_GB2312" w:cs="仿宋_GB2312"/>
          <w:b/>
          <w:sz w:val="32"/>
          <w:szCs w:val="32"/>
          <w:highlight w:val="none"/>
        </w:rPr>
        <w:t>XXX</w:t>
      </w:r>
      <w:r>
        <w:rPr>
          <w:rFonts w:hint="eastAsia" w:ascii="仿宋_GB2312" w:hAnsi="仿宋_GB2312" w:eastAsia="仿宋_GB2312" w:cs="仿宋_GB2312"/>
          <w:sz w:val="32"/>
          <w:szCs w:val="32"/>
          <w:highlight w:val="none"/>
        </w:rPr>
        <w:t>，男或女， 年 月 日出生，身份证号码：</w:t>
      </w:r>
      <w:r>
        <w:rPr>
          <w:rFonts w:hint="eastAsia" w:ascii="仿宋_GB2312" w:hAnsi="仿宋_GB2312" w:eastAsia="仿宋_GB2312" w:cs="仿宋_GB2312"/>
          <w:b/>
          <w:sz w:val="32"/>
          <w:szCs w:val="32"/>
          <w:highlight w:val="none"/>
        </w:rPr>
        <w:t>XXXXXXXXXXXXXX</w:t>
      </w:r>
      <w:r>
        <w:rPr>
          <w:rFonts w:hint="eastAsia" w:ascii="仿宋_GB2312" w:hAnsi="仿宋_GB2312" w:eastAsia="仿宋_GB2312" w:cs="仿宋_GB2312"/>
          <w:sz w:val="32"/>
          <w:szCs w:val="32"/>
          <w:highlight w:val="none"/>
        </w:rPr>
        <w:t>,系</w:t>
      </w:r>
      <w:r>
        <w:rPr>
          <w:rFonts w:hint="eastAsia" w:ascii="仿宋_GB2312" w:hAnsi="仿宋_GB2312" w:eastAsia="仿宋_GB2312" w:cs="仿宋_GB2312"/>
          <w:b/>
          <w:sz w:val="32"/>
          <w:szCs w:val="32"/>
          <w:highlight w:val="none"/>
        </w:rPr>
        <w:t>XXXXX</w:t>
      </w:r>
      <w:r>
        <w:rPr>
          <w:rFonts w:hint="eastAsia" w:ascii="仿宋_GB2312" w:hAnsi="仿宋_GB2312" w:eastAsia="仿宋_GB2312" w:cs="仿宋_GB2312"/>
          <w:sz w:val="32"/>
          <w:szCs w:val="32"/>
          <w:highlight w:val="none"/>
        </w:rPr>
        <w:t>单位职工，现住</w:t>
      </w:r>
      <w:r>
        <w:rPr>
          <w:rFonts w:hint="eastAsia" w:ascii="仿宋_GB2312" w:hAnsi="仿宋_GB2312" w:eastAsia="仿宋_GB2312" w:cs="仿宋_GB2312"/>
          <w:b/>
          <w:sz w:val="32"/>
          <w:szCs w:val="32"/>
          <w:highlight w:val="none"/>
        </w:rPr>
        <w:t>XXXXXXX</w:t>
      </w:r>
      <w:r>
        <w:rPr>
          <w:rFonts w:hint="eastAsia" w:ascii="仿宋_GB2312" w:hAnsi="仿宋_GB2312" w:eastAsia="仿宋_GB2312" w:cs="仿宋_GB2312"/>
          <w:sz w:val="32"/>
          <w:szCs w:val="32"/>
          <w:highlight w:val="none"/>
        </w:rPr>
        <w:t>.</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授权事项：</w:t>
      </w:r>
    </w:p>
    <w:p>
      <w:pPr>
        <w:spacing w:line="440" w:lineRule="exact"/>
        <w:ind w:firstLine="627" w:firstLineChars="19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1、委托人委托代理人</w:t>
      </w:r>
      <w:r>
        <w:rPr>
          <w:rFonts w:hint="eastAsia" w:ascii="仿宋_GB2312" w:hAnsi="仿宋_GB2312" w:eastAsia="仿宋_GB2312" w:cs="仿宋_GB2312"/>
          <w:b/>
          <w:sz w:val="32"/>
          <w:szCs w:val="32"/>
          <w:highlight w:val="none"/>
        </w:rPr>
        <w:t>XXX</w:t>
      </w:r>
      <w:r>
        <w:rPr>
          <w:rFonts w:hint="eastAsia" w:ascii="仿宋_GB2312" w:hAnsi="仿宋_GB2312" w:eastAsia="仿宋_GB2312" w:cs="仿宋_GB2312"/>
          <w:sz w:val="32"/>
          <w:szCs w:val="32"/>
          <w:highlight w:val="none"/>
        </w:rPr>
        <w:t>代表委托人参加</w:t>
      </w:r>
      <w:r>
        <w:rPr>
          <w:rFonts w:hint="eastAsia" w:ascii="仿宋_GB2312" w:hAnsi="仿宋_GB2312" w:eastAsia="仿宋_GB2312" w:cs="仿宋_GB2312"/>
          <w:b/>
          <w:sz w:val="32"/>
          <w:szCs w:val="32"/>
          <w:highlight w:val="none"/>
        </w:rPr>
        <w:t>中粮糖业及所属各级单位</w:t>
      </w:r>
      <w:r>
        <w:rPr>
          <w:rFonts w:hint="eastAsia" w:ascii="仿宋_GB2312" w:hAnsi="仿宋_GB2312" w:eastAsia="仿宋_GB2312" w:cs="仿宋_GB2312"/>
          <w:sz w:val="32"/>
          <w:szCs w:val="32"/>
          <w:highlight w:val="none"/>
        </w:rPr>
        <w:t>的招标或议标活动，以委托人的名义全权办理招标或议标过程中的投标、报价、议标谈判等一切与招标或议标相关的事宜。</w:t>
      </w:r>
    </w:p>
    <w:p>
      <w:pPr>
        <w:spacing w:line="440" w:lineRule="exact"/>
        <w:ind w:firstLine="627" w:firstLineChars="19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2、如果委托人中标，代理人以委托人的名义与</w:t>
      </w:r>
      <w:r>
        <w:rPr>
          <w:rFonts w:hint="eastAsia" w:ascii="仿宋_GB2312" w:hAnsi="仿宋_GB2312" w:eastAsia="仿宋_GB2312" w:cs="仿宋_GB2312"/>
          <w:b/>
          <w:sz w:val="32"/>
          <w:szCs w:val="32"/>
          <w:highlight w:val="none"/>
        </w:rPr>
        <w:t>中粮糖业及所属各级单位</w:t>
      </w:r>
      <w:r>
        <w:rPr>
          <w:rFonts w:hint="eastAsia" w:ascii="仿宋_GB2312" w:hAnsi="仿宋_GB2312" w:eastAsia="仿宋_GB2312" w:cs="仿宋_GB2312"/>
          <w:sz w:val="32"/>
          <w:szCs w:val="32"/>
          <w:highlight w:val="none"/>
        </w:rPr>
        <w:t>签订合同，并办理合同履行过程中的一切相关事宜。</w:t>
      </w:r>
    </w:p>
    <w:p>
      <w:pPr>
        <w:spacing w:line="440" w:lineRule="exact"/>
        <w:ind w:firstLine="627" w:firstLineChars="19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本公司对代理人的上述代理行为均予以认可并承担责任。</w:t>
      </w:r>
    </w:p>
    <w:p>
      <w:pPr>
        <w:spacing w:line="440" w:lineRule="exact"/>
        <w:ind w:right="56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授权期限：本授权委托书自授权之日起生效，有效期</w:t>
      </w:r>
      <w:r>
        <w:rPr>
          <w:rFonts w:hint="eastAsia" w:ascii="仿宋_GB2312" w:hAnsi="仿宋_GB2312" w:eastAsia="仿宋_GB2312" w:cs="仿宋_GB2312"/>
          <w:color w:val="FF0000"/>
          <w:sz w:val="32"/>
          <w:szCs w:val="32"/>
          <w:highlight w:val="none"/>
          <w:u w:val="single"/>
        </w:rPr>
        <w:t xml:space="preserve">  </w:t>
      </w:r>
      <w:r>
        <w:rPr>
          <w:rFonts w:hint="eastAsia" w:ascii="仿宋_GB2312" w:hAnsi="仿宋_GB2312" w:eastAsia="仿宋_GB2312" w:cs="仿宋_GB2312"/>
          <w:sz w:val="32"/>
          <w:szCs w:val="32"/>
          <w:highlight w:val="none"/>
        </w:rPr>
        <w:t>年。</w:t>
      </w:r>
    </w:p>
    <w:p>
      <w:pPr>
        <w:spacing w:line="440" w:lineRule="exact"/>
        <w:ind w:right="560"/>
        <w:jc w:val="right"/>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代理人身份证（正、反面）粘贴处：</w:t>
      </w:r>
    </w:p>
    <w:p>
      <w:pPr>
        <w:spacing w:line="440" w:lineRule="exact"/>
        <w:ind w:right="560"/>
        <w:jc w:val="center"/>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p>
    <w:p>
      <w:pPr>
        <w:keepNext w:val="0"/>
        <w:keepLines w:val="0"/>
        <w:pageBreakBefore w:val="0"/>
        <w:widowControl/>
        <w:numPr>
          <w:ilvl w:val="0"/>
          <w:numId w:val="0"/>
        </w:numPr>
        <w:kinsoku/>
        <w:overflowPunct/>
        <w:topLinePunct w:val="0"/>
        <w:autoSpaceDE/>
        <w:autoSpaceDN/>
        <w:bidi w:val="0"/>
        <w:adjustRightInd/>
        <w:snapToGrid/>
        <w:spacing w:line="500" w:lineRule="exact"/>
        <w:ind w:firstLine="2560" w:firstLineChars="800"/>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委托人：</w:t>
      </w:r>
      <w:r>
        <w:rPr>
          <w:rFonts w:hint="eastAsia" w:ascii="仿宋_GB2312" w:hAnsi="仿宋_GB2312" w:eastAsia="仿宋_GB2312" w:cs="仿宋_GB2312"/>
          <w:b/>
          <w:sz w:val="32"/>
          <w:szCs w:val="32"/>
          <w:highlight w:val="none"/>
        </w:rPr>
        <w:t>XXXXXX公司</w:t>
      </w: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widowControl/>
        <w:numPr>
          <w:ilvl w:val="0"/>
          <w:numId w:val="0"/>
        </w:numPr>
        <w:kinsoku/>
        <w:overflowPunct/>
        <w:topLinePunct w:val="0"/>
        <w:autoSpaceDE/>
        <w:autoSpaceDN/>
        <w:bidi w:val="0"/>
        <w:adjustRightInd/>
        <w:snapToGrid/>
        <w:spacing w:line="500" w:lineRule="exact"/>
        <w:ind w:firstLine="2560" w:firstLineChars="800"/>
        <w:textAlignment w:val="baseline"/>
        <w:rPr>
          <w:rFonts w:hint="eastAsia" w:ascii="仿宋_GB2312" w:hAnsi="仿宋_GB2312" w:eastAsia="仿宋_GB2312" w:cs="仿宋_GB2312"/>
          <w:bCs/>
          <w:kern w:val="0"/>
          <w:sz w:val="32"/>
          <w:szCs w:val="32"/>
          <w:highlight w:val="none"/>
          <w:lang w:val="en-US" w:eastAsia="zh-CN"/>
        </w:rPr>
      </w:pPr>
      <w:r>
        <w:rPr>
          <w:rFonts w:hint="eastAsia" w:ascii="仿宋_GB2312" w:hAnsi="仿宋_GB2312" w:eastAsia="仿宋_GB2312" w:cs="仿宋_GB2312"/>
          <w:sz w:val="32"/>
          <w:szCs w:val="32"/>
          <w:highlight w:val="none"/>
        </w:rPr>
        <w:t>法定代表人（或负责人）：</w:t>
      </w:r>
      <w:r>
        <w:rPr>
          <w:rFonts w:hint="eastAsia" w:ascii="仿宋_GB2312" w:hAnsi="仿宋_GB2312" w:eastAsia="仿宋_GB2312" w:cs="仿宋_GB2312"/>
          <w:bCs/>
          <w:kern w:val="0"/>
          <w:sz w:val="32"/>
          <w:szCs w:val="32"/>
          <w:highlight w:val="none"/>
          <w:lang w:val="en-US" w:eastAsia="zh-CN"/>
        </w:rPr>
        <w:t>（加盖公章）</w:t>
      </w: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委托授权时间：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年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月</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日</w:t>
      </w: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spacing w:line="560" w:lineRule="exact"/>
        <w:jc w:val="center"/>
        <w:rPr>
          <w:rFonts w:hint="default"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四、投标所需的文件</w:t>
      </w:r>
    </w:p>
    <w:p>
      <w:pPr>
        <w:numPr>
          <w:ilvl w:val="0"/>
          <w:numId w:val="0"/>
        </w:numPr>
        <w:jc w:val="center"/>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（包括但不限营业执照、CMA、CNAS证书等）</w:t>
      </w:r>
    </w:p>
    <w:sectPr>
      <w:headerReference r:id="rId5" w:type="default"/>
      <w:footerReference r:id="rId6" w:type="default"/>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4ABC2C-C24C-459B-B990-493470691A73}"/>
  </w:font>
  <w:font w:name="Arial">
    <w:panose1 w:val="020B0604020202020204"/>
    <w:charset w:val="01"/>
    <w:family w:val="swiss"/>
    <w:pitch w:val="default"/>
    <w:sig w:usb0="E0002EFF" w:usb1="C000785B" w:usb2="00000009" w:usb3="00000000" w:csb0="400001FF" w:csb1="FFFF0000"/>
    <w:embedRegular r:id="rId2" w:fontKey="{52D9125C-29E0-4031-A2A1-D6B49337FF1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08197A7-E86D-4F20-AF5E-36C028413A44}"/>
  </w:font>
  <w:font w:name="Symbol">
    <w:panose1 w:val="05050102010706020507"/>
    <w:charset w:val="02"/>
    <w:family w:val="roman"/>
    <w:pitch w:val="default"/>
    <w:sig w:usb0="00000000" w:usb1="00000000" w:usb2="00000000" w:usb3="00000000" w:csb0="80000000" w:csb1="00000000"/>
    <w:embedRegular r:id="rId4" w:fontKey="{0380867B-03F7-4786-893B-03C5EB850F0E}"/>
  </w:font>
  <w:font w:name="Calibri">
    <w:panose1 w:val="020F0502020204030204"/>
    <w:charset w:val="00"/>
    <w:family w:val="swiss"/>
    <w:pitch w:val="default"/>
    <w:sig w:usb0="E4002EFF" w:usb1="C200247B" w:usb2="00000009" w:usb3="00000000" w:csb0="200001FF" w:csb1="00000000"/>
    <w:embedRegular r:id="rId5" w:fontKey="{B1BBA07C-0947-4A30-8240-2A150A0ADF2A}"/>
  </w:font>
  <w:font w:name="PMingLiU">
    <w:altName w:val="PMingLiU-ExtB"/>
    <w:panose1 w:val="02020500000000000000"/>
    <w:charset w:val="88"/>
    <w:family w:val="roman"/>
    <w:pitch w:val="default"/>
    <w:sig w:usb0="00000000" w:usb1="00000000" w:usb2="00000016"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embedRegular r:id="rId6" w:fontKey="{3CA46FB7-3820-4D03-BE9D-1E10FBFF264C}"/>
  </w:font>
  <w:font w:name="仿宋_GB2312">
    <w:panose1 w:val="02010609030101010101"/>
    <w:charset w:val="86"/>
    <w:family w:val="modern"/>
    <w:pitch w:val="default"/>
    <w:sig w:usb0="00000001" w:usb1="080E0000" w:usb2="00000000" w:usb3="00000000" w:csb0="00040000" w:csb1="00000000"/>
    <w:embedRegular r:id="rId7" w:fontKey="{3FD5EB04-8ACF-4958-B48B-39AA7B5F143E}"/>
  </w:font>
  <w:font w:name="Impact">
    <w:panose1 w:val="020B0806030902050204"/>
    <w:charset w:val="00"/>
    <w:family w:val="swiss"/>
    <w:pitch w:val="default"/>
    <w:sig w:usb0="00000287" w:usb1="00000000" w:usb2="00000000" w:usb3="00000000" w:csb0="2000009F" w:csb1="DFD70000"/>
    <w:embedRegular r:id="rId8" w:fontKey="{A2B250EA-1674-4598-814A-ECF63C4A1656}"/>
  </w:font>
  <w:font w:name="華康中楷體">
    <w:altName w:val="Microsoft JhengHei"/>
    <w:panose1 w:val="00000000000000000000"/>
    <w:charset w:val="88"/>
    <w:family w:val="modern"/>
    <w:pitch w:val="default"/>
    <w:sig w:usb0="00000000" w:usb1="00000000" w:usb2="00000010" w:usb3="00000000" w:csb0="00100000" w:csb1="00000000"/>
  </w:font>
  <w:font w:name="全真簡中楷">
    <w:altName w:val="楷体_GB2312"/>
    <w:panose1 w:val="00000000000000000000"/>
    <w:charset w:val="88"/>
    <w:family w:val="modern"/>
    <w:pitch w:val="default"/>
    <w:sig w:usb0="00000000" w:usb1="00000000" w:usb2="00000010" w:usb3="00000000" w:csb0="00100000" w:csb1="00000000"/>
  </w:font>
  <w:font w:name="Univers">
    <w:panose1 w:val="020B0503020202020204"/>
    <w:charset w:val="00"/>
    <w:family w:val="swiss"/>
    <w:pitch w:val="default"/>
    <w:sig w:usb0="80000287" w:usb1="00000000" w:usb2="00000000" w:usb3="00000000" w:csb0="0000000F" w:csb1="00000000"/>
    <w:embedRegular r:id="rId9" w:fontKey="{BF7BA2A9-2D88-4F40-9758-6555072328A6}"/>
  </w:font>
  <w:font w:name="Tahoma">
    <w:panose1 w:val="020B0604030504040204"/>
    <w:charset w:val="00"/>
    <w:family w:val="swiss"/>
    <w:pitch w:val="default"/>
    <w:sig w:usb0="E1002EFF" w:usb1="C000605B" w:usb2="00000029" w:usb3="00000000" w:csb0="200101FF" w:csb1="20280000"/>
    <w:embedRegular r:id="rId10" w:fontKey="{78C78FEF-A98D-4F8A-BA07-9B735C647CC6}"/>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211655"/>
      <w:docPartObj>
        <w:docPartGallery w:val="autotext"/>
      </w:docPartObj>
    </w:sdtPr>
    <w:sdtContent>
      <w:p>
        <w:pPr>
          <w:pStyle w:val="18"/>
          <w:tabs>
            <w:tab w:val="clear" w:pos="4153"/>
            <w:tab w:val="clear" w:pos="8306"/>
          </w:tabs>
          <w:jc w:val="center"/>
        </w:pPr>
        <w:r>
          <w:fldChar w:fldCharType="begin"/>
        </w:r>
        <w:r>
          <w:instrText xml:space="preserve">PAGE   \* MERGEFORMAT</w:instrText>
        </w:r>
        <w:r>
          <w:fldChar w:fldCharType="separate"/>
        </w:r>
        <w:r>
          <w:rPr>
            <w:lang w:val="zh-CN"/>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Style w:val="37"/>
      </w:rPr>
    </w:pPr>
    <w:r>
      <w:rPr>
        <w:rStyle w:val="37"/>
        <w:sz w:val="20"/>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自选图形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w:pict>
            <v:shape id="自选图形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v:fill on="f" focussize="0,0"/>
              <v:stroke on="f"/>
              <v:imagedata o:title=""/>
              <o:lock v:ext="edit" selection="t" aspectratio="f"/>
            </v:shape>
          </w:pict>
        </mc:Fallback>
      </mc:AlternateContent>
    </w:r>
    <w:r>
      <w:rPr>
        <w:rStyle w:val="37"/>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-34925</wp:posOffset>
              </wp:positionV>
              <wp:extent cx="6057900" cy="0"/>
              <wp:effectExtent l="0" t="0" r="0" b="0"/>
              <wp:wrapNone/>
              <wp:docPr id="3" name="直线 2"/>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0pt;margin-top:-2.75pt;height:0pt;width:477pt;z-index:251660288;mso-width-relative:page;mso-height-relative:page;" filled="f" stroked="t" coordsize="21600,21600"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v:fill on="f" focussize="0,0"/>
              <v:stroke color="#000000"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Style w:val="37"/>
      </w:rPr>
    </w:pPr>
  </w:p>
  <w:p>
    <w:pPr>
      <w:pStyle w:val="19"/>
      <w:jc w:val="both"/>
      <w:rPr>
        <w:rStyle w:val="37"/>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F6C6E"/>
    <w:multiLevelType w:val="singleLevel"/>
    <w:tmpl w:val="A0EF6C6E"/>
    <w:lvl w:ilvl="0" w:tentative="0">
      <w:start w:val="9"/>
      <w:numFmt w:val="chineseCounting"/>
      <w:suff w:val="nothing"/>
      <w:lvlText w:val="%1、"/>
      <w:lvlJc w:val="left"/>
      <w:rPr>
        <w:rFonts w:hint="eastAsia"/>
      </w:rPr>
    </w:lvl>
  </w:abstractNum>
  <w:abstractNum w:abstractNumId="1">
    <w:nsid w:val="AA02F6A7"/>
    <w:multiLevelType w:val="singleLevel"/>
    <w:tmpl w:val="AA02F6A7"/>
    <w:lvl w:ilvl="0" w:tentative="0">
      <w:start w:val="2"/>
      <w:numFmt w:val="chineseCounting"/>
      <w:suff w:val="nothing"/>
      <w:lvlText w:val="%1、"/>
      <w:lvlJc w:val="left"/>
      <w:rPr>
        <w:rFonts w:hint="eastAsia"/>
      </w:rPr>
    </w:lvl>
  </w:abstractNum>
  <w:abstractNum w:abstractNumId="2">
    <w:nsid w:val="D65331F1"/>
    <w:multiLevelType w:val="singleLevel"/>
    <w:tmpl w:val="D65331F1"/>
    <w:lvl w:ilvl="0" w:tentative="0">
      <w:start w:val="13"/>
      <w:numFmt w:val="chineseCounting"/>
      <w:suff w:val="nothing"/>
      <w:lvlText w:val="%1、"/>
      <w:lvlJc w:val="left"/>
      <w:rPr>
        <w:rFonts w:hint="eastAsia"/>
      </w:rPr>
    </w:lvl>
  </w:abstractNum>
  <w:abstractNum w:abstractNumId="3">
    <w:nsid w:val="5B82D74A"/>
    <w:multiLevelType w:val="singleLevel"/>
    <w:tmpl w:val="5B82D74A"/>
    <w:lvl w:ilvl="0" w:tentative="0">
      <w:start w:val="2"/>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3C4DD8"/>
    <w:rsid w:val="000A0C04"/>
    <w:rsid w:val="001904BD"/>
    <w:rsid w:val="00207887"/>
    <w:rsid w:val="002453F6"/>
    <w:rsid w:val="002962DE"/>
    <w:rsid w:val="002B1508"/>
    <w:rsid w:val="00346906"/>
    <w:rsid w:val="003A4350"/>
    <w:rsid w:val="003C4DD8"/>
    <w:rsid w:val="004228D1"/>
    <w:rsid w:val="00526718"/>
    <w:rsid w:val="00536FA3"/>
    <w:rsid w:val="00580050"/>
    <w:rsid w:val="007615F3"/>
    <w:rsid w:val="007C37C5"/>
    <w:rsid w:val="007E067E"/>
    <w:rsid w:val="008B6E24"/>
    <w:rsid w:val="008F0448"/>
    <w:rsid w:val="0090137C"/>
    <w:rsid w:val="009731C3"/>
    <w:rsid w:val="00A232F5"/>
    <w:rsid w:val="00B67640"/>
    <w:rsid w:val="00B81ECE"/>
    <w:rsid w:val="00B9103D"/>
    <w:rsid w:val="00C43242"/>
    <w:rsid w:val="00CB4810"/>
    <w:rsid w:val="00D065CC"/>
    <w:rsid w:val="00D1745E"/>
    <w:rsid w:val="00D63A53"/>
    <w:rsid w:val="00D65564"/>
    <w:rsid w:val="00D678E5"/>
    <w:rsid w:val="00DC1EAB"/>
    <w:rsid w:val="00E160B5"/>
    <w:rsid w:val="00E17F1B"/>
    <w:rsid w:val="00E220F6"/>
    <w:rsid w:val="00E960E9"/>
    <w:rsid w:val="00F86E1A"/>
    <w:rsid w:val="00F97597"/>
    <w:rsid w:val="00FF1BF7"/>
    <w:rsid w:val="00FF244A"/>
    <w:rsid w:val="00FF7926"/>
    <w:rsid w:val="019D1CDE"/>
    <w:rsid w:val="01A175B0"/>
    <w:rsid w:val="02720839"/>
    <w:rsid w:val="029E545F"/>
    <w:rsid w:val="03200295"/>
    <w:rsid w:val="035C6DF3"/>
    <w:rsid w:val="03655CA8"/>
    <w:rsid w:val="04614AE6"/>
    <w:rsid w:val="048E2C65"/>
    <w:rsid w:val="05CE0532"/>
    <w:rsid w:val="06B34F7C"/>
    <w:rsid w:val="06CD7530"/>
    <w:rsid w:val="07272B2D"/>
    <w:rsid w:val="07B94814"/>
    <w:rsid w:val="0874020F"/>
    <w:rsid w:val="08C44D05"/>
    <w:rsid w:val="09980B4E"/>
    <w:rsid w:val="09CF1E78"/>
    <w:rsid w:val="0A075D0B"/>
    <w:rsid w:val="0A1E12A6"/>
    <w:rsid w:val="0A474359"/>
    <w:rsid w:val="0AC147CE"/>
    <w:rsid w:val="0B4D5552"/>
    <w:rsid w:val="0C3F37AA"/>
    <w:rsid w:val="0D7C65E9"/>
    <w:rsid w:val="0DE11228"/>
    <w:rsid w:val="0E3B2427"/>
    <w:rsid w:val="0E601E8E"/>
    <w:rsid w:val="1060742F"/>
    <w:rsid w:val="10FB7C4C"/>
    <w:rsid w:val="11356B11"/>
    <w:rsid w:val="118A15FC"/>
    <w:rsid w:val="121034A3"/>
    <w:rsid w:val="121C4DD8"/>
    <w:rsid w:val="122D02D9"/>
    <w:rsid w:val="13216372"/>
    <w:rsid w:val="134E49AB"/>
    <w:rsid w:val="136C0E80"/>
    <w:rsid w:val="13EB331F"/>
    <w:rsid w:val="13F549B3"/>
    <w:rsid w:val="15064788"/>
    <w:rsid w:val="156E30E2"/>
    <w:rsid w:val="15747FCD"/>
    <w:rsid w:val="159B7C4F"/>
    <w:rsid w:val="15C90547"/>
    <w:rsid w:val="15DF6859"/>
    <w:rsid w:val="16585B40"/>
    <w:rsid w:val="16777D74"/>
    <w:rsid w:val="16EB4ACC"/>
    <w:rsid w:val="16F51CB1"/>
    <w:rsid w:val="16F92D57"/>
    <w:rsid w:val="17216F48"/>
    <w:rsid w:val="17B61491"/>
    <w:rsid w:val="19641EF2"/>
    <w:rsid w:val="19A96B9D"/>
    <w:rsid w:val="1A393BF0"/>
    <w:rsid w:val="1C773E1D"/>
    <w:rsid w:val="1D520E1F"/>
    <w:rsid w:val="1DA457A0"/>
    <w:rsid w:val="1E5310FB"/>
    <w:rsid w:val="1EE066D3"/>
    <w:rsid w:val="1F2B6CDE"/>
    <w:rsid w:val="1F48784F"/>
    <w:rsid w:val="1F833C2E"/>
    <w:rsid w:val="1F8D1486"/>
    <w:rsid w:val="1FB02549"/>
    <w:rsid w:val="206C6470"/>
    <w:rsid w:val="20FA1B12"/>
    <w:rsid w:val="21354AB4"/>
    <w:rsid w:val="21432517"/>
    <w:rsid w:val="21F4671D"/>
    <w:rsid w:val="2208041A"/>
    <w:rsid w:val="22501733"/>
    <w:rsid w:val="226A4C31"/>
    <w:rsid w:val="22C136FD"/>
    <w:rsid w:val="22EE7610"/>
    <w:rsid w:val="22F8223D"/>
    <w:rsid w:val="23A601A6"/>
    <w:rsid w:val="23DD2330"/>
    <w:rsid w:val="240C4DF9"/>
    <w:rsid w:val="25486797"/>
    <w:rsid w:val="25D42467"/>
    <w:rsid w:val="261A696E"/>
    <w:rsid w:val="262E41C8"/>
    <w:rsid w:val="27015691"/>
    <w:rsid w:val="27612030"/>
    <w:rsid w:val="27DB7A1D"/>
    <w:rsid w:val="283A1BB5"/>
    <w:rsid w:val="28773C04"/>
    <w:rsid w:val="28C055AB"/>
    <w:rsid w:val="28E27DFA"/>
    <w:rsid w:val="295403E9"/>
    <w:rsid w:val="299E5A5E"/>
    <w:rsid w:val="29E76328"/>
    <w:rsid w:val="2A8E65A7"/>
    <w:rsid w:val="2A93711E"/>
    <w:rsid w:val="2AF6688D"/>
    <w:rsid w:val="2C2C11A9"/>
    <w:rsid w:val="2C302A48"/>
    <w:rsid w:val="2C7262AD"/>
    <w:rsid w:val="2D336E93"/>
    <w:rsid w:val="2E5D564A"/>
    <w:rsid w:val="2E84707B"/>
    <w:rsid w:val="2ED81174"/>
    <w:rsid w:val="2FF16992"/>
    <w:rsid w:val="30601827"/>
    <w:rsid w:val="30A734F4"/>
    <w:rsid w:val="30AC4F37"/>
    <w:rsid w:val="31AF0DE9"/>
    <w:rsid w:val="31C003CA"/>
    <w:rsid w:val="31EA7C43"/>
    <w:rsid w:val="321B7CF6"/>
    <w:rsid w:val="32B2290A"/>
    <w:rsid w:val="3341553A"/>
    <w:rsid w:val="336F744F"/>
    <w:rsid w:val="33E12879"/>
    <w:rsid w:val="33EC56BE"/>
    <w:rsid w:val="34BC47B8"/>
    <w:rsid w:val="36886EDD"/>
    <w:rsid w:val="3797752C"/>
    <w:rsid w:val="37D746BF"/>
    <w:rsid w:val="38230A27"/>
    <w:rsid w:val="38E01351"/>
    <w:rsid w:val="3906548B"/>
    <w:rsid w:val="3A441843"/>
    <w:rsid w:val="3BCE45B8"/>
    <w:rsid w:val="3BF35840"/>
    <w:rsid w:val="3C97266F"/>
    <w:rsid w:val="3CDE3DFA"/>
    <w:rsid w:val="3D6E02CF"/>
    <w:rsid w:val="3D6E4A45"/>
    <w:rsid w:val="3E210442"/>
    <w:rsid w:val="3EAD73E2"/>
    <w:rsid w:val="3EED5E1A"/>
    <w:rsid w:val="41C95FF6"/>
    <w:rsid w:val="42686225"/>
    <w:rsid w:val="42750D5C"/>
    <w:rsid w:val="429F5DD9"/>
    <w:rsid w:val="42CB6BCE"/>
    <w:rsid w:val="430345BA"/>
    <w:rsid w:val="43B42A4C"/>
    <w:rsid w:val="44114AB5"/>
    <w:rsid w:val="443F79A1"/>
    <w:rsid w:val="45283D54"/>
    <w:rsid w:val="45D94494"/>
    <w:rsid w:val="46413695"/>
    <w:rsid w:val="47172652"/>
    <w:rsid w:val="47495429"/>
    <w:rsid w:val="474D22A8"/>
    <w:rsid w:val="476475F1"/>
    <w:rsid w:val="47887784"/>
    <w:rsid w:val="47B16CDB"/>
    <w:rsid w:val="47E12352"/>
    <w:rsid w:val="48272115"/>
    <w:rsid w:val="48390A7E"/>
    <w:rsid w:val="49061130"/>
    <w:rsid w:val="4A2E4398"/>
    <w:rsid w:val="4A510301"/>
    <w:rsid w:val="4B451780"/>
    <w:rsid w:val="4BC468B1"/>
    <w:rsid w:val="4BF411B3"/>
    <w:rsid w:val="4E547CA0"/>
    <w:rsid w:val="4F9273F2"/>
    <w:rsid w:val="4FD01CC8"/>
    <w:rsid w:val="4FDC11E8"/>
    <w:rsid w:val="505446A7"/>
    <w:rsid w:val="511922CC"/>
    <w:rsid w:val="518E4B95"/>
    <w:rsid w:val="51CD4228"/>
    <w:rsid w:val="521D7E30"/>
    <w:rsid w:val="523F3135"/>
    <w:rsid w:val="526167B4"/>
    <w:rsid w:val="527C0E84"/>
    <w:rsid w:val="531A61FD"/>
    <w:rsid w:val="53746E0E"/>
    <w:rsid w:val="55805F3E"/>
    <w:rsid w:val="55AF6E93"/>
    <w:rsid w:val="568B2322"/>
    <w:rsid w:val="56A64A71"/>
    <w:rsid w:val="56F06AA0"/>
    <w:rsid w:val="57855A1A"/>
    <w:rsid w:val="5826683B"/>
    <w:rsid w:val="58311544"/>
    <w:rsid w:val="593947E3"/>
    <w:rsid w:val="5A17367F"/>
    <w:rsid w:val="5AEF2DFF"/>
    <w:rsid w:val="5B1530DD"/>
    <w:rsid w:val="5B527A35"/>
    <w:rsid w:val="5BE224B8"/>
    <w:rsid w:val="5C9A45A6"/>
    <w:rsid w:val="5C9E1FB1"/>
    <w:rsid w:val="5DB20C5F"/>
    <w:rsid w:val="5E413D91"/>
    <w:rsid w:val="5E6D1EC3"/>
    <w:rsid w:val="5E78682F"/>
    <w:rsid w:val="61474CB9"/>
    <w:rsid w:val="61E81904"/>
    <w:rsid w:val="6200643D"/>
    <w:rsid w:val="628C3E21"/>
    <w:rsid w:val="630368DA"/>
    <w:rsid w:val="630E0BD4"/>
    <w:rsid w:val="633610B3"/>
    <w:rsid w:val="633914DA"/>
    <w:rsid w:val="63493DEB"/>
    <w:rsid w:val="638B61DA"/>
    <w:rsid w:val="63AC7EFE"/>
    <w:rsid w:val="63B16843"/>
    <w:rsid w:val="64044275"/>
    <w:rsid w:val="642B176B"/>
    <w:rsid w:val="64EA1C33"/>
    <w:rsid w:val="654B3E73"/>
    <w:rsid w:val="65864EAB"/>
    <w:rsid w:val="67386679"/>
    <w:rsid w:val="677214DF"/>
    <w:rsid w:val="677C0026"/>
    <w:rsid w:val="67943324"/>
    <w:rsid w:val="6827634E"/>
    <w:rsid w:val="687731D1"/>
    <w:rsid w:val="68EB20F0"/>
    <w:rsid w:val="69307150"/>
    <w:rsid w:val="6A615EE7"/>
    <w:rsid w:val="6A957EA8"/>
    <w:rsid w:val="6B1F62A6"/>
    <w:rsid w:val="6B27673E"/>
    <w:rsid w:val="6B2E3271"/>
    <w:rsid w:val="6BB14984"/>
    <w:rsid w:val="6BB6668D"/>
    <w:rsid w:val="6C1B20C5"/>
    <w:rsid w:val="6C88775B"/>
    <w:rsid w:val="6CAC554D"/>
    <w:rsid w:val="6D4672D9"/>
    <w:rsid w:val="6E4A2574"/>
    <w:rsid w:val="6E5E4F55"/>
    <w:rsid w:val="6EAE3FED"/>
    <w:rsid w:val="6ED053E9"/>
    <w:rsid w:val="6EF45502"/>
    <w:rsid w:val="6FC00FB9"/>
    <w:rsid w:val="704240C4"/>
    <w:rsid w:val="7052238D"/>
    <w:rsid w:val="706A53C9"/>
    <w:rsid w:val="70815782"/>
    <w:rsid w:val="70D80585"/>
    <w:rsid w:val="70DC0075"/>
    <w:rsid w:val="70E9087D"/>
    <w:rsid w:val="71362A37"/>
    <w:rsid w:val="71872601"/>
    <w:rsid w:val="71FF5D2E"/>
    <w:rsid w:val="726E622D"/>
    <w:rsid w:val="72E41463"/>
    <w:rsid w:val="7345399B"/>
    <w:rsid w:val="73530396"/>
    <w:rsid w:val="73C517EF"/>
    <w:rsid w:val="748D6C71"/>
    <w:rsid w:val="748E3343"/>
    <w:rsid w:val="74FD05BA"/>
    <w:rsid w:val="7505608B"/>
    <w:rsid w:val="75614FED"/>
    <w:rsid w:val="75D92DD5"/>
    <w:rsid w:val="76180BD5"/>
    <w:rsid w:val="766703E1"/>
    <w:rsid w:val="7792378C"/>
    <w:rsid w:val="780E314F"/>
    <w:rsid w:val="782567A5"/>
    <w:rsid w:val="78E843CE"/>
    <w:rsid w:val="78EF4A26"/>
    <w:rsid w:val="793D2D71"/>
    <w:rsid w:val="7A090BBC"/>
    <w:rsid w:val="7AB3392A"/>
    <w:rsid w:val="7AF42FCC"/>
    <w:rsid w:val="7AFB559C"/>
    <w:rsid w:val="7AFE7A82"/>
    <w:rsid w:val="7B917CAE"/>
    <w:rsid w:val="7C330D65"/>
    <w:rsid w:val="7C767464"/>
    <w:rsid w:val="7C8D0EE5"/>
    <w:rsid w:val="7D6A32B0"/>
    <w:rsid w:val="7DF87373"/>
    <w:rsid w:val="7DFA7D8C"/>
    <w:rsid w:val="7E4D4360"/>
    <w:rsid w:val="7E9D1D39"/>
    <w:rsid w:val="7EAA3560"/>
    <w:rsid w:val="7F182BC0"/>
    <w:rsid w:val="7F29582E"/>
    <w:rsid w:val="7FD23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styleId="2">
    <w:name w:val="heading 1"/>
    <w:basedOn w:val="1"/>
    <w:next w:val="3"/>
    <w:link w:val="48"/>
    <w:qFormat/>
    <w:uiPriority w:val="0"/>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4">
    <w:name w:val="heading 2"/>
    <w:basedOn w:val="1"/>
    <w:next w:val="3"/>
    <w:link w:val="49"/>
    <w:qFormat/>
    <w:uiPriority w:val="0"/>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5">
    <w:name w:val="heading 3"/>
    <w:basedOn w:val="1"/>
    <w:next w:val="3"/>
    <w:link w:val="50"/>
    <w:qFormat/>
    <w:uiPriority w:val="0"/>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6">
    <w:name w:val="heading 4"/>
    <w:basedOn w:val="1"/>
    <w:next w:val="1"/>
    <w:link w:val="51"/>
    <w:qFormat/>
    <w:uiPriority w:val="0"/>
    <w:pPr>
      <w:keepNext/>
      <w:keepLines/>
      <w:spacing w:line="532" w:lineRule="auto"/>
      <w:ind w:left="840" w:right="-240"/>
      <w:jc w:val="left"/>
      <w:textAlignment w:val="auto"/>
      <w:outlineLvl w:val="3"/>
    </w:pPr>
    <w:rPr>
      <w:i/>
      <w:spacing w:val="-2"/>
      <w:kern w:val="28"/>
      <w:sz w:val="20"/>
      <w:szCs w:val="20"/>
      <w:lang w:eastAsia="en-US"/>
    </w:rPr>
  </w:style>
  <w:style w:type="paragraph" w:styleId="7">
    <w:name w:val="heading 5"/>
    <w:basedOn w:val="1"/>
    <w:next w:val="3"/>
    <w:link w:val="52"/>
    <w:qFormat/>
    <w:uiPriority w:val="0"/>
    <w:pPr>
      <w:keepNext/>
      <w:keepLines/>
      <w:spacing w:line="532" w:lineRule="auto"/>
      <w:ind w:left="840" w:right="-240"/>
      <w:jc w:val="left"/>
      <w:textAlignment w:val="auto"/>
      <w:outlineLvl w:val="4"/>
    </w:pPr>
    <w:rPr>
      <w:b/>
      <w:i/>
      <w:spacing w:val="-2"/>
      <w:kern w:val="28"/>
      <w:sz w:val="20"/>
      <w:szCs w:val="20"/>
      <w:lang w:eastAsia="en-US"/>
    </w:rPr>
  </w:style>
  <w:style w:type="paragraph" w:styleId="8">
    <w:name w:val="heading 7"/>
    <w:basedOn w:val="1"/>
    <w:next w:val="1"/>
    <w:link w:val="53"/>
    <w:qFormat/>
    <w:uiPriority w:val="0"/>
    <w:pPr>
      <w:keepNext/>
      <w:keepLines/>
      <w:spacing w:before="240" w:after="64" w:line="320" w:lineRule="auto"/>
      <w:jc w:val="left"/>
      <w:textAlignment w:val="auto"/>
      <w:outlineLvl w:val="6"/>
    </w:pPr>
    <w:rPr>
      <w:b/>
      <w:bCs/>
      <w:kern w:val="0"/>
      <w:sz w:val="24"/>
      <w:lang w:eastAsia="en-US"/>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54"/>
    <w:qFormat/>
    <w:uiPriority w:val="0"/>
    <w:pPr>
      <w:spacing w:line="532" w:lineRule="auto"/>
      <w:ind w:left="840" w:right="-120"/>
      <w:jc w:val="left"/>
      <w:textAlignment w:val="auto"/>
    </w:pPr>
    <w:rPr>
      <w:kern w:val="0"/>
      <w:sz w:val="20"/>
      <w:szCs w:val="20"/>
      <w:lang w:eastAsia="en-US"/>
    </w:rPr>
  </w:style>
  <w:style w:type="paragraph" w:styleId="9">
    <w:name w:val="Normal Indent"/>
    <w:basedOn w:val="1"/>
    <w:qFormat/>
    <w:uiPriority w:val="0"/>
    <w:pPr>
      <w:ind w:left="1440" w:right="-240"/>
      <w:jc w:val="left"/>
      <w:textAlignment w:val="auto"/>
    </w:pPr>
    <w:rPr>
      <w:kern w:val="0"/>
      <w:sz w:val="20"/>
      <w:szCs w:val="20"/>
      <w:lang w:eastAsia="en-US"/>
    </w:rPr>
  </w:style>
  <w:style w:type="paragraph" w:styleId="10">
    <w:name w:val="Document Map"/>
    <w:basedOn w:val="1"/>
    <w:link w:val="96"/>
    <w:semiHidden/>
    <w:qFormat/>
    <w:uiPriority w:val="0"/>
    <w:pPr>
      <w:widowControl w:val="0"/>
      <w:shd w:val="clear" w:color="auto" w:fill="000080"/>
      <w:textAlignment w:val="auto"/>
    </w:pPr>
  </w:style>
  <w:style w:type="paragraph" w:styleId="11">
    <w:name w:val="toa heading"/>
    <w:basedOn w:val="1"/>
    <w:next w:val="1"/>
    <w:semiHidden/>
    <w:qFormat/>
    <w:uiPriority w:val="0"/>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12">
    <w:name w:val="annotation text"/>
    <w:basedOn w:val="1"/>
    <w:link w:val="72"/>
    <w:semiHidden/>
    <w:qFormat/>
    <w:uiPriority w:val="0"/>
    <w:pPr>
      <w:widowControl w:val="0"/>
      <w:jc w:val="left"/>
      <w:textAlignment w:val="auto"/>
    </w:pPr>
    <w:rPr>
      <w:rFonts w:eastAsia="PMingLiU"/>
      <w:sz w:val="24"/>
      <w:szCs w:val="20"/>
      <w:lang w:eastAsia="zh-TW"/>
    </w:rPr>
  </w:style>
  <w:style w:type="paragraph" w:styleId="13">
    <w:name w:val="Body Text Indent"/>
    <w:basedOn w:val="1"/>
    <w:link w:val="71"/>
    <w:qFormat/>
    <w:uiPriority w:val="0"/>
    <w:pPr>
      <w:spacing w:after="120"/>
      <w:ind w:left="420" w:leftChars="200"/>
      <w:jc w:val="left"/>
      <w:textAlignment w:val="auto"/>
    </w:pPr>
    <w:rPr>
      <w:kern w:val="0"/>
      <w:sz w:val="20"/>
      <w:szCs w:val="20"/>
      <w:lang w:eastAsia="en-US"/>
    </w:rPr>
  </w:style>
  <w:style w:type="paragraph" w:styleId="14">
    <w:name w:val="Plain Text"/>
    <w:basedOn w:val="1"/>
    <w:next w:val="6"/>
    <w:link w:val="79"/>
    <w:qFormat/>
    <w:uiPriority w:val="0"/>
    <w:pPr>
      <w:widowControl w:val="0"/>
      <w:textAlignment w:val="auto"/>
    </w:pPr>
    <w:rPr>
      <w:rFonts w:ascii="宋体" w:hAnsi="Courier New" w:cs="Courier New"/>
      <w:szCs w:val="21"/>
    </w:rPr>
  </w:style>
  <w:style w:type="paragraph" w:styleId="15">
    <w:name w:val="Date"/>
    <w:basedOn w:val="1"/>
    <w:next w:val="1"/>
    <w:qFormat/>
    <w:uiPriority w:val="0"/>
    <w:pPr>
      <w:ind w:left="100" w:leftChars="2500"/>
    </w:pPr>
    <w:rPr>
      <w:rFonts w:ascii="宋体" w:hAnsi="宋体"/>
      <w:color w:val="333333"/>
      <w:sz w:val="24"/>
    </w:rPr>
  </w:style>
  <w:style w:type="paragraph" w:styleId="16">
    <w:name w:val="Body Text Indent 2"/>
    <w:basedOn w:val="1"/>
    <w:link w:val="80"/>
    <w:qFormat/>
    <w:uiPriority w:val="0"/>
    <w:pPr>
      <w:widowControl w:val="0"/>
      <w:spacing w:after="120" w:line="480" w:lineRule="auto"/>
      <w:ind w:left="420" w:leftChars="200"/>
      <w:textAlignment w:val="auto"/>
    </w:pPr>
  </w:style>
  <w:style w:type="paragraph" w:styleId="17">
    <w:name w:val="Balloon Text"/>
    <w:basedOn w:val="1"/>
    <w:link w:val="70"/>
    <w:semiHidden/>
    <w:qFormat/>
    <w:uiPriority w:val="0"/>
    <w:pPr>
      <w:jc w:val="left"/>
      <w:textAlignment w:val="auto"/>
    </w:pPr>
    <w:rPr>
      <w:kern w:val="0"/>
      <w:sz w:val="16"/>
      <w:szCs w:val="16"/>
      <w:lang w:eastAsia="en-US"/>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link w:val="101"/>
    <w:qFormat/>
    <w:uiPriority w:val="99"/>
    <w:pPr>
      <w:pBdr>
        <w:bottom w:val="single" w:color="000000" w:sz="6" w:space="1"/>
      </w:pBdr>
      <w:tabs>
        <w:tab w:val="center" w:pos="4153"/>
        <w:tab w:val="right" w:pos="8306"/>
      </w:tabs>
      <w:snapToGrid w:val="0"/>
      <w:jc w:val="center"/>
    </w:pPr>
    <w:rPr>
      <w:sz w:val="18"/>
      <w:szCs w:val="18"/>
    </w:rPr>
  </w:style>
  <w:style w:type="paragraph" w:styleId="20">
    <w:name w:val="toc 1"/>
    <w:basedOn w:val="1"/>
    <w:next w:val="1"/>
    <w:semiHidden/>
    <w:qFormat/>
    <w:uiPriority w:val="0"/>
    <w:pPr>
      <w:jc w:val="left"/>
      <w:textAlignment w:val="auto"/>
    </w:pPr>
    <w:rPr>
      <w:kern w:val="0"/>
      <w:sz w:val="20"/>
      <w:szCs w:val="20"/>
      <w:lang w:eastAsia="en-US"/>
    </w:rPr>
  </w:style>
  <w:style w:type="paragraph" w:styleId="21">
    <w:name w:val="Body Text Indent 3"/>
    <w:basedOn w:val="1"/>
    <w:link w:val="81"/>
    <w:qFormat/>
    <w:uiPriority w:val="0"/>
    <w:pPr>
      <w:widowControl w:val="0"/>
      <w:spacing w:after="120"/>
      <w:ind w:left="420" w:leftChars="200"/>
      <w:textAlignment w:val="auto"/>
    </w:pPr>
    <w:rPr>
      <w:sz w:val="16"/>
      <w:szCs w:val="16"/>
    </w:rPr>
  </w:style>
  <w:style w:type="paragraph" w:styleId="22">
    <w:name w:val="Body Text 2"/>
    <w:basedOn w:val="1"/>
    <w:link w:val="86"/>
    <w:qFormat/>
    <w:uiPriority w:val="0"/>
    <w:pPr>
      <w:widowControl w:val="0"/>
      <w:adjustRightInd w:val="0"/>
      <w:spacing w:after="120" w:line="480" w:lineRule="auto"/>
    </w:pPr>
    <w:rPr>
      <w:kern w:val="0"/>
      <w:szCs w:val="20"/>
    </w:rPr>
  </w:style>
  <w:style w:type="paragraph" w:styleId="23">
    <w:name w:val="Message Header"/>
    <w:basedOn w:val="3"/>
    <w:link w:val="55"/>
    <w:qFormat/>
    <w:uiPriority w:val="0"/>
    <w:pPr>
      <w:keepLines/>
      <w:tabs>
        <w:tab w:val="left" w:pos="1560"/>
        <w:tab w:val="left" w:pos="4920"/>
        <w:tab w:val="left" w:pos="5640"/>
      </w:tabs>
      <w:ind w:left="1560" w:hanging="720"/>
    </w:pPr>
  </w:style>
  <w:style w:type="paragraph" w:styleId="24">
    <w:name w:val="HTML Preformatted"/>
    <w:basedOn w:val="1"/>
    <w:link w:val="7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hAnsi="Arial Unicode MS" w:eastAsia="Arial Unicode MS" w:cs="Arial Unicode MS"/>
      <w:kern w:val="0"/>
      <w:sz w:val="20"/>
      <w:szCs w:val="20"/>
      <w:lang w:eastAsia="en-US"/>
    </w:rPr>
  </w:style>
  <w:style w:type="paragraph" w:styleId="25">
    <w:name w:val="Normal (Web)"/>
    <w:basedOn w:val="1"/>
    <w:qFormat/>
    <w:uiPriority w:val="99"/>
    <w:pPr>
      <w:spacing w:before="100" w:beforeAutospacing="1" w:after="100" w:afterAutospacing="1"/>
      <w:jc w:val="left"/>
      <w:textAlignment w:val="auto"/>
    </w:pPr>
    <w:rPr>
      <w:rFonts w:ascii="宋体" w:hAnsi="宋体" w:cs="宋体"/>
      <w:color w:val="000000"/>
      <w:kern w:val="0"/>
      <w:sz w:val="24"/>
    </w:rPr>
  </w:style>
  <w:style w:type="paragraph" w:styleId="26">
    <w:name w:val="Title"/>
    <w:basedOn w:val="1"/>
    <w:next w:val="1"/>
    <w:link w:val="99"/>
    <w:qFormat/>
    <w:uiPriority w:val="0"/>
    <w:pPr>
      <w:widowControl w:val="0"/>
      <w:spacing w:before="240" w:after="60"/>
      <w:jc w:val="center"/>
      <w:textAlignment w:val="auto"/>
      <w:outlineLvl w:val="0"/>
    </w:pPr>
    <w:rPr>
      <w:rFonts w:ascii="Cambria" w:hAnsi="Cambria"/>
      <w:b/>
      <w:bCs/>
      <w:sz w:val="32"/>
      <w:szCs w:val="32"/>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color w:val="954F72"/>
      <w:u w:val="single"/>
    </w:rPr>
  </w:style>
  <w:style w:type="character" w:styleId="32">
    <w:name w:val="Emphasis"/>
    <w:qFormat/>
    <w:uiPriority w:val="0"/>
    <w:rPr>
      <w:rFonts w:hint="default" w:ascii="Arial" w:hAnsi="Arial" w:cs="Arial"/>
      <w:b/>
      <w:spacing w:val="-10"/>
      <w:sz w:val="18"/>
    </w:rPr>
  </w:style>
  <w:style w:type="character" w:styleId="33">
    <w:name w:val="Hyperlink"/>
    <w:basedOn w:val="29"/>
    <w:qFormat/>
    <w:uiPriority w:val="0"/>
    <w:rPr>
      <w:color w:val="0000FF"/>
      <w:u w:val="single"/>
    </w:rPr>
  </w:style>
  <w:style w:type="character" w:styleId="34">
    <w:name w:val="annotation reference"/>
    <w:basedOn w:val="29"/>
    <w:qFormat/>
    <w:uiPriority w:val="99"/>
    <w:rPr>
      <w:rFonts w:cs="Times New Roman"/>
      <w:sz w:val="21"/>
      <w:szCs w:val="21"/>
    </w:rPr>
  </w:style>
  <w:style w:type="paragraph" w:customStyle="1" w:styleId="35">
    <w:name w:val="Heading2"/>
    <w:basedOn w:val="1"/>
    <w:next w:val="1"/>
    <w:qFormat/>
    <w:uiPriority w:val="0"/>
    <w:pPr>
      <w:spacing w:before="58"/>
      <w:ind w:left="560" w:hanging="361"/>
    </w:pPr>
    <w:rPr>
      <w:rFonts w:ascii="宋体" w:hAnsi="宋体" w:cs="宋体"/>
      <w:sz w:val="30"/>
      <w:szCs w:val="30"/>
      <w:lang w:val="zh-CN" w:bidi="zh-CN"/>
    </w:rPr>
  </w:style>
  <w:style w:type="paragraph" w:customStyle="1" w:styleId="36">
    <w:name w:val="Heading3"/>
    <w:basedOn w:val="1"/>
    <w:next w:val="1"/>
    <w:qFormat/>
    <w:uiPriority w:val="0"/>
    <w:pPr>
      <w:ind w:left="620" w:hanging="421"/>
    </w:pPr>
    <w:rPr>
      <w:rFonts w:ascii="宋体" w:hAnsi="宋体" w:cs="宋体"/>
      <w:szCs w:val="21"/>
      <w:lang w:val="zh-CN" w:bidi="zh-CN"/>
    </w:rPr>
  </w:style>
  <w:style w:type="character" w:customStyle="1" w:styleId="37">
    <w:name w:val="NormalCharacter"/>
    <w:semiHidden/>
    <w:qFormat/>
    <w:uiPriority w:val="0"/>
  </w:style>
  <w:style w:type="table" w:customStyle="1" w:styleId="38">
    <w:name w:val="TableNormal"/>
    <w:semiHidden/>
    <w:qFormat/>
    <w:uiPriority w:val="0"/>
    <w:tblPr>
      <w:tblCellMar>
        <w:top w:w="0" w:type="dxa"/>
        <w:left w:w="0" w:type="dxa"/>
        <w:bottom w:w="0" w:type="dxa"/>
        <w:right w:w="0" w:type="dxa"/>
      </w:tblCellMar>
    </w:tblPr>
  </w:style>
  <w:style w:type="paragraph" w:customStyle="1" w:styleId="39">
    <w:name w:val="ListBullet3"/>
    <w:basedOn w:val="1"/>
    <w:qFormat/>
    <w:uiPriority w:val="0"/>
    <w:pPr>
      <w:tabs>
        <w:tab w:val="left" w:pos="1200"/>
      </w:tabs>
      <w:ind w:left="1200" w:hanging="360"/>
    </w:pPr>
  </w:style>
  <w:style w:type="paragraph" w:customStyle="1" w:styleId="40">
    <w:name w:val="BodyText"/>
    <w:basedOn w:val="1"/>
    <w:qFormat/>
    <w:uiPriority w:val="0"/>
    <w:rPr>
      <w:rFonts w:eastAsia="仿宋_GB2312"/>
      <w:color w:val="FF3300"/>
      <w:sz w:val="40"/>
      <w:szCs w:val="40"/>
      <w:lang w:val="zh-CN"/>
    </w:rPr>
  </w:style>
  <w:style w:type="table" w:customStyle="1" w:styleId="41">
    <w:name w:val="TableGrid"/>
    <w:basedOn w:val="38"/>
    <w:qFormat/>
    <w:uiPriority w:val="0"/>
  </w:style>
  <w:style w:type="paragraph" w:customStyle="1" w:styleId="42">
    <w:name w:val="179"/>
    <w:basedOn w:val="1"/>
    <w:qFormat/>
    <w:uiPriority w:val="0"/>
    <w:pPr>
      <w:ind w:firstLine="420" w:firstLineChars="200"/>
    </w:pPr>
  </w:style>
  <w:style w:type="character" w:customStyle="1" w:styleId="43">
    <w:name w:val="UserStyle_0"/>
    <w:link w:val="44"/>
    <w:qFormat/>
    <w:uiPriority w:val="0"/>
    <w:rPr>
      <w:rFonts w:ascii="宋体" w:hAnsi="宋体"/>
      <w:szCs w:val="24"/>
    </w:rPr>
  </w:style>
  <w:style w:type="paragraph" w:customStyle="1" w:styleId="44">
    <w:name w:val="UserStyle_1"/>
    <w:basedOn w:val="1"/>
    <w:link w:val="43"/>
    <w:qFormat/>
    <w:uiPriority w:val="0"/>
    <w:pPr>
      <w:ind w:left="400" w:leftChars="400" w:right="400" w:rightChars="400"/>
      <w:jc w:val="left"/>
    </w:pPr>
    <w:rPr>
      <w:rFonts w:ascii="宋体" w:hAnsi="宋体"/>
      <w:kern w:val="0"/>
      <w:sz w:val="20"/>
    </w:rPr>
  </w:style>
  <w:style w:type="paragraph" w:customStyle="1" w:styleId="45">
    <w:name w:val="UserStyle_2"/>
    <w:basedOn w:val="1"/>
    <w:qFormat/>
    <w:uiPriority w:val="0"/>
    <w:pPr>
      <w:ind w:left="720"/>
      <w:contextualSpacing/>
    </w:pPr>
  </w:style>
  <w:style w:type="paragraph" w:customStyle="1" w:styleId="46">
    <w:name w:val="UserStyle_3"/>
    <w:basedOn w:val="1"/>
    <w:qFormat/>
    <w:uiPriority w:val="0"/>
    <w:rPr>
      <w:rFonts w:ascii="宋体" w:hAnsi="宋体"/>
      <w:lang w:val="zh-CN" w:bidi="zh-CN"/>
    </w:rPr>
  </w:style>
  <w:style w:type="paragraph" w:styleId="47">
    <w:name w:val="List Paragraph"/>
    <w:basedOn w:val="1"/>
    <w:qFormat/>
    <w:uiPriority w:val="34"/>
    <w:pPr>
      <w:widowControl w:val="0"/>
      <w:ind w:left="720"/>
      <w:textAlignment w:val="auto"/>
    </w:pPr>
  </w:style>
  <w:style w:type="character" w:customStyle="1" w:styleId="48">
    <w:name w:val="标题 1 Char"/>
    <w:basedOn w:val="29"/>
    <w:link w:val="2"/>
    <w:qFormat/>
    <w:uiPriority w:val="0"/>
    <w:rPr>
      <w:rFonts w:ascii="Arial" w:hAnsi="Arial"/>
      <w:b/>
      <w:spacing w:val="-10"/>
      <w:kern w:val="28"/>
      <w:lang w:eastAsia="en-US"/>
    </w:rPr>
  </w:style>
  <w:style w:type="character" w:customStyle="1" w:styleId="49">
    <w:name w:val="标题 2 Char"/>
    <w:basedOn w:val="29"/>
    <w:link w:val="4"/>
    <w:qFormat/>
    <w:uiPriority w:val="0"/>
    <w:rPr>
      <w:rFonts w:ascii="Arial" w:hAnsi="Arial"/>
      <w:b/>
      <w:spacing w:val="-10"/>
      <w:kern w:val="28"/>
      <w:sz w:val="18"/>
      <w:lang w:eastAsia="en-US"/>
    </w:rPr>
  </w:style>
  <w:style w:type="character" w:customStyle="1" w:styleId="50">
    <w:name w:val="标题 3 Char"/>
    <w:basedOn w:val="29"/>
    <w:link w:val="5"/>
    <w:qFormat/>
    <w:uiPriority w:val="0"/>
    <w:rPr>
      <w:rFonts w:ascii="Arial" w:hAnsi="Arial"/>
      <w:spacing w:val="-5"/>
      <w:kern w:val="28"/>
      <w:sz w:val="18"/>
      <w:lang w:eastAsia="en-US"/>
    </w:rPr>
  </w:style>
  <w:style w:type="character" w:customStyle="1" w:styleId="51">
    <w:name w:val="标题 4 Char"/>
    <w:basedOn w:val="29"/>
    <w:link w:val="6"/>
    <w:qFormat/>
    <w:uiPriority w:val="0"/>
    <w:rPr>
      <w:i/>
      <w:spacing w:val="-2"/>
      <w:kern w:val="28"/>
      <w:lang w:eastAsia="en-US"/>
    </w:rPr>
  </w:style>
  <w:style w:type="character" w:customStyle="1" w:styleId="52">
    <w:name w:val="标题 5 Char"/>
    <w:basedOn w:val="29"/>
    <w:link w:val="7"/>
    <w:qFormat/>
    <w:uiPriority w:val="0"/>
    <w:rPr>
      <w:b/>
      <w:i/>
      <w:spacing w:val="-2"/>
      <w:kern w:val="28"/>
      <w:lang w:eastAsia="en-US"/>
    </w:rPr>
  </w:style>
  <w:style w:type="character" w:customStyle="1" w:styleId="53">
    <w:name w:val="标题 7 Char"/>
    <w:basedOn w:val="29"/>
    <w:link w:val="8"/>
    <w:qFormat/>
    <w:uiPriority w:val="0"/>
    <w:rPr>
      <w:b/>
      <w:bCs/>
      <w:sz w:val="24"/>
      <w:szCs w:val="24"/>
      <w:lang w:eastAsia="en-US"/>
    </w:rPr>
  </w:style>
  <w:style w:type="character" w:customStyle="1" w:styleId="54">
    <w:name w:val="正文文本 Char"/>
    <w:basedOn w:val="29"/>
    <w:link w:val="3"/>
    <w:qFormat/>
    <w:uiPriority w:val="0"/>
    <w:rPr>
      <w:lang w:eastAsia="en-US"/>
    </w:rPr>
  </w:style>
  <w:style w:type="character" w:customStyle="1" w:styleId="55">
    <w:name w:val="信息标题 Char"/>
    <w:basedOn w:val="29"/>
    <w:link w:val="23"/>
    <w:qFormat/>
    <w:uiPriority w:val="0"/>
    <w:rPr>
      <w:lang w:eastAsia="en-US"/>
    </w:rPr>
  </w:style>
  <w:style w:type="paragraph" w:customStyle="1" w:styleId="56">
    <w:name w:val="Checkboxes"/>
    <w:basedOn w:val="1"/>
    <w:qFormat/>
    <w:uiPriority w:val="0"/>
    <w:pPr>
      <w:spacing w:before="360" w:after="360"/>
      <w:jc w:val="left"/>
      <w:textAlignment w:val="auto"/>
    </w:pPr>
    <w:rPr>
      <w:kern w:val="0"/>
      <w:sz w:val="20"/>
      <w:szCs w:val="20"/>
      <w:lang w:eastAsia="en-US"/>
    </w:rPr>
  </w:style>
  <w:style w:type="paragraph" w:customStyle="1" w:styleId="57">
    <w:name w:val="Fax Header"/>
    <w:basedOn w:val="1"/>
    <w:qFormat/>
    <w:uiPriority w:val="0"/>
    <w:pPr>
      <w:spacing w:before="240" w:after="60"/>
      <w:jc w:val="left"/>
      <w:textAlignment w:val="auto"/>
    </w:pPr>
    <w:rPr>
      <w:kern w:val="0"/>
      <w:sz w:val="20"/>
      <w:szCs w:val="20"/>
      <w:lang w:eastAsia="en-US"/>
    </w:rPr>
  </w:style>
  <w:style w:type="paragraph" w:customStyle="1" w:styleId="58">
    <w:name w:val="Document Label"/>
    <w:next w:val="1"/>
    <w:qFormat/>
    <w:uiPriority w:val="0"/>
    <w:pPr>
      <w:spacing w:before="100" w:after="720" w:line="600" w:lineRule="exact"/>
      <w:ind w:left="840"/>
    </w:pPr>
    <w:rPr>
      <w:rFonts w:ascii="Times New Roman" w:hAnsi="Times New Roman" w:eastAsia="宋体" w:cs="Times New Roman"/>
      <w:spacing w:val="-34"/>
      <w:sz w:val="60"/>
      <w:lang w:val="en-US" w:eastAsia="en-US" w:bidi="ar-SA"/>
    </w:rPr>
  </w:style>
  <w:style w:type="paragraph" w:customStyle="1" w:styleId="59">
    <w:name w:val="Return Address"/>
    <w:basedOn w:val="1"/>
    <w:qFormat/>
    <w:uiPriority w:val="0"/>
    <w:pPr>
      <w:keepLines/>
      <w:spacing w:line="200" w:lineRule="atLeast"/>
      <w:ind w:right="-120"/>
      <w:jc w:val="left"/>
      <w:textAlignment w:val="auto"/>
    </w:pPr>
    <w:rPr>
      <w:kern w:val="0"/>
      <w:sz w:val="16"/>
      <w:szCs w:val="20"/>
      <w:lang w:eastAsia="en-US"/>
    </w:rPr>
  </w:style>
  <w:style w:type="paragraph" w:customStyle="1" w:styleId="60">
    <w:name w:val="Logo"/>
    <w:basedOn w:val="1"/>
    <w:qFormat/>
    <w:uiPriority w:val="0"/>
    <w:pPr>
      <w:jc w:val="left"/>
      <w:textAlignment w:val="auto"/>
    </w:pPr>
    <w:rPr>
      <w:kern w:val="0"/>
      <w:sz w:val="20"/>
      <w:szCs w:val="20"/>
      <w:lang w:eastAsia="en-US"/>
    </w:rPr>
  </w:style>
  <w:style w:type="paragraph" w:customStyle="1" w:styleId="61">
    <w:name w:val="Slogan"/>
    <w:basedOn w:val="1"/>
    <w:qFormat/>
    <w:uiPriority w:val="0"/>
    <w:pPr>
      <w:shd w:val="clear" w:color="auto" w:fill="F0F0F0"/>
      <w:jc w:val="left"/>
      <w:textAlignment w:val="auto"/>
    </w:pPr>
    <w:rPr>
      <w:rFonts w:ascii="Impact" w:hAnsi="Impact"/>
      <w:caps/>
      <w:color w:val="FFFFFF"/>
      <w:spacing w:val="20"/>
      <w:kern w:val="0"/>
      <w:sz w:val="48"/>
      <w:szCs w:val="20"/>
      <w:lang w:eastAsia="en-US"/>
    </w:rPr>
  </w:style>
  <w:style w:type="paragraph" w:customStyle="1" w:styleId="62">
    <w:name w:val="Company Name"/>
    <w:basedOn w:val="1"/>
    <w:qFormat/>
    <w:uiPriority w:val="0"/>
    <w:pPr>
      <w:keepLines/>
      <w:spacing w:line="200" w:lineRule="atLeast"/>
      <w:ind w:right="-115"/>
      <w:jc w:val="left"/>
      <w:textAlignment w:val="auto"/>
    </w:pPr>
    <w:rPr>
      <w:kern w:val="0"/>
      <w:sz w:val="16"/>
      <w:szCs w:val="20"/>
      <w:lang w:eastAsia="en-US"/>
    </w:rPr>
  </w:style>
  <w:style w:type="paragraph" w:customStyle="1" w:styleId="63">
    <w:name w:val="Header Base"/>
    <w:basedOn w:val="1"/>
    <w:qFormat/>
    <w:uiPriority w:val="0"/>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64">
    <w:name w:val="Heading Base"/>
    <w:basedOn w:val="1"/>
    <w:next w:val="3"/>
    <w:qFormat/>
    <w:uiPriority w:val="0"/>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65">
    <w:name w:val="Message Header First"/>
    <w:basedOn w:val="23"/>
    <w:next w:val="23"/>
    <w:qFormat/>
    <w:uiPriority w:val="0"/>
  </w:style>
  <w:style w:type="paragraph" w:customStyle="1" w:styleId="66">
    <w:name w:val="Message Header Last"/>
    <w:basedOn w:val="23"/>
    <w:next w:val="3"/>
    <w:qFormat/>
    <w:uiPriority w:val="0"/>
    <w:pPr>
      <w:tabs>
        <w:tab w:val="left" w:pos="1980"/>
        <w:tab w:val="left" w:pos="3510"/>
        <w:tab w:val="left" w:pos="5490"/>
        <w:tab w:val="left" w:pos="7110"/>
        <w:tab w:val="clear" w:pos="1560"/>
        <w:tab w:val="clear" w:pos="4920"/>
        <w:tab w:val="clear" w:pos="5640"/>
      </w:tabs>
      <w:spacing w:before="100" w:after="920"/>
      <w:ind w:left="840" w:firstLine="0"/>
    </w:pPr>
    <w:rPr>
      <w:spacing w:val="-6"/>
    </w:rPr>
  </w:style>
  <w:style w:type="paragraph" w:customStyle="1" w:styleId="67">
    <w:name w:val="Signature Name"/>
    <w:basedOn w:val="1"/>
    <w:next w:val="1"/>
    <w:qFormat/>
    <w:uiPriority w:val="0"/>
    <w:pPr>
      <w:keepNext/>
      <w:keepLines/>
      <w:spacing w:before="660"/>
      <w:ind w:left="840" w:right="-120"/>
      <w:jc w:val="left"/>
      <w:textAlignment w:val="auto"/>
    </w:pPr>
    <w:rPr>
      <w:kern w:val="0"/>
      <w:sz w:val="20"/>
      <w:szCs w:val="20"/>
      <w:lang w:eastAsia="en-US"/>
    </w:rPr>
  </w:style>
  <w:style w:type="character" w:customStyle="1" w:styleId="68">
    <w:name w:val="Message Header Label"/>
    <w:qFormat/>
    <w:uiPriority w:val="0"/>
    <w:rPr>
      <w:rFonts w:hint="default" w:ascii="Arial" w:hAnsi="Arial" w:cs="Arial"/>
      <w:b/>
      <w:spacing w:val="-4"/>
      <w:sz w:val="18"/>
    </w:rPr>
  </w:style>
  <w:style w:type="character" w:customStyle="1" w:styleId="69">
    <w:name w:val="Checkbox"/>
    <w:qFormat/>
    <w:uiPriority w:val="0"/>
    <w:rPr>
      <w:spacing w:val="0"/>
      <w:sz w:val="22"/>
    </w:rPr>
  </w:style>
  <w:style w:type="character" w:customStyle="1" w:styleId="70">
    <w:name w:val="批注框文本 Char"/>
    <w:basedOn w:val="29"/>
    <w:link w:val="17"/>
    <w:semiHidden/>
    <w:qFormat/>
    <w:uiPriority w:val="0"/>
    <w:rPr>
      <w:sz w:val="16"/>
      <w:szCs w:val="16"/>
      <w:lang w:eastAsia="en-US"/>
    </w:rPr>
  </w:style>
  <w:style w:type="character" w:customStyle="1" w:styleId="71">
    <w:name w:val="正文文本缩进 Char"/>
    <w:basedOn w:val="29"/>
    <w:link w:val="13"/>
    <w:qFormat/>
    <w:uiPriority w:val="0"/>
    <w:rPr>
      <w:lang w:eastAsia="en-US"/>
    </w:rPr>
  </w:style>
  <w:style w:type="character" w:customStyle="1" w:styleId="72">
    <w:name w:val="批注文字 Char"/>
    <w:basedOn w:val="29"/>
    <w:link w:val="12"/>
    <w:semiHidden/>
    <w:qFormat/>
    <w:uiPriority w:val="0"/>
    <w:rPr>
      <w:rFonts w:eastAsia="PMingLiU"/>
      <w:kern w:val="2"/>
      <w:sz w:val="24"/>
      <w:lang w:eastAsia="zh-TW"/>
    </w:rPr>
  </w:style>
  <w:style w:type="paragraph" w:customStyle="1" w:styleId="73">
    <w:name w:val="灿"/>
    <w:basedOn w:val="1"/>
    <w:qFormat/>
    <w:uiPriority w:val="0"/>
    <w:pPr>
      <w:widowControl w:val="0"/>
      <w:tabs>
        <w:tab w:val="left" w:pos="2160"/>
        <w:tab w:val="left" w:pos="2520"/>
        <w:tab w:val="left" w:pos="2880"/>
        <w:tab w:val="left" w:pos="3240"/>
      </w:tabs>
      <w:textAlignment w:val="auto"/>
    </w:pPr>
    <w:rPr>
      <w:rFonts w:ascii="華康中楷體" w:hAnsi="Arial" w:eastAsia="華康中楷體"/>
      <w:snapToGrid w:val="0"/>
      <w:kern w:val="0"/>
      <w:sz w:val="24"/>
      <w:szCs w:val="20"/>
      <w:lang w:eastAsia="en-US"/>
    </w:rPr>
  </w:style>
  <w:style w:type="paragraph" w:customStyle="1" w:styleId="74">
    <w:name w:val="1. ***"/>
    <w:basedOn w:val="1"/>
    <w:qFormat/>
    <w:uiPriority w:val="0"/>
    <w:pPr>
      <w:widowControl w:val="0"/>
      <w:autoSpaceDE w:val="0"/>
      <w:autoSpaceDN w:val="0"/>
      <w:spacing w:after="120" w:line="360" w:lineRule="auto"/>
      <w:textAlignment w:val="bottom"/>
    </w:pPr>
    <w:rPr>
      <w:b/>
      <w:spacing w:val="6"/>
      <w:sz w:val="24"/>
      <w:szCs w:val="20"/>
    </w:rPr>
  </w:style>
  <w:style w:type="character" w:customStyle="1" w:styleId="75">
    <w:name w:val="sbody1"/>
    <w:qFormat/>
    <w:uiPriority w:val="0"/>
    <w:rPr>
      <w:sz w:val="24"/>
      <w:szCs w:val="24"/>
    </w:rPr>
  </w:style>
  <w:style w:type="paragraph" w:customStyle="1" w:styleId="76">
    <w:name w:val="样式1"/>
    <w:basedOn w:val="20"/>
    <w:qFormat/>
    <w:uiPriority w:val="0"/>
    <w:pPr>
      <w:widowControl w:val="0"/>
      <w:tabs>
        <w:tab w:val="left" w:pos="420"/>
        <w:tab w:val="right" w:leader="dot" w:pos="8296"/>
      </w:tabs>
      <w:jc w:val="both"/>
    </w:pPr>
    <w:rPr>
      <w:rFonts w:hAnsi="宋体"/>
      <w:kern w:val="2"/>
      <w:sz w:val="24"/>
      <w:szCs w:val="24"/>
      <w:lang w:eastAsia="zh-CN"/>
    </w:rPr>
  </w:style>
  <w:style w:type="paragraph" w:customStyle="1" w:styleId="77">
    <w:name w:val="Default Text"/>
    <w:basedOn w:val="1"/>
    <w:qFormat/>
    <w:uiPriority w:val="0"/>
    <w:pPr>
      <w:jc w:val="left"/>
      <w:textAlignment w:val="auto"/>
    </w:pPr>
    <w:rPr>
      <w:rFonts w:ascii="宋体"/>
      <w:b/>
      <w:snapToGrid w:val="0"/>
      <w:kern w:val="0"/>
      <w:sz w:val="24"/>
      <w:szCs w:val="20"/>
      <w:lang w:val="en-GB"/>
    </w:rPr>
  </w:style>
  <w:style w:type="character" w:customStyle="1" w:styleId="78">
    <w:name w:val="HTML 预设格式 Char"/>
    <w:basedOn w:val="29"/>
    <w:link w:val="24"/>
    <w:qFormat/>
    <w:uiPriority w:val="0"/>
    <w:rPr>
      <w:rFonts w:ascii="Arial Unicode MS" w:hAnsi="Arial Unicode MS" w:eastAsia="Arial Unicode MS" w:cs="Arial Unicode MS"/>
      <w:lang w:eastAsia="en-US"/>
    </w:rPr>
  </w:style>
  <w:style w:type="character" w:customStyle="1" w:styleId="79">
    <w:name w:val="纯文本 Char"/>
    <w:basedOn w:val="29"/>
    <w:link w:val="14"/>
    <w:qFormat/>
    <w:uiPriority w:val="0"/>
    <w:rPr>
      <w:rFonts w:ascii="宋体" w:hAnsi="Courier New" w:cs="Courier New"/>
      <w:kern w:val="2"/>
      <w:sz w:val="21"/>
      <w:szCs w:val="21"/>
    </w:rPr>
  </w:style>
  <w:style w:type="character" w:customStyle="1" w:styleId="80">
    <w:name w:val="正文文本缩进 2 Char"/>
    <w:basedOn w:val="29"/>
    <w:link w:val="16"/>
    <w:qFormat/>
    <w:uiPriority w:val="0"/>
    <w:rPr>
      <w:kern w:val="2"/>
      <w:sz w:val="21"/>
      <w:szCs w:val="24"/>
    </w:rPr>
  </w:style>
  <w:style w:type="character" w:customStyle="1" w:styleId="81">
    <w:name w:val="正文文本缩进 3 Char"/>
    <w:basedOn w:val="29"/>
    <w:link w:val="21"/>
    <w:qFormat/>
    <w:uiPriority w:val="0"/>
    <w:rPr>
      <w:kern w:val="2"/>
      <w:sz w:val="16"/>
      <w:szCs w:val="16"/>
    </w:rPr>
  </w:style>
  <w:style w:type="paragraph" w:customStyle="1" w:styleId="82">
    <w:name w:val="Particulars Slip"/>
    <w:basedOn w:val="1"/>
    <w:qFormat/>
    <w:uiPriority w:val="0"/>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83">
    <w:name w:val="标题6"/>
    <w:qFormat/>
    <w:uiPriority w:val="0"/>
    <w:rPr>
      <w:rFonts w:eastAsia="黑体"/>
      <w:b/>
      <w:sz w:val="28"/>
    </w:rPr>
  </w:style>
  <w:style w:type="paragraph" w:customStyle="1" w:styleId="84">
    <w:name w:val="Plain Text1"/>
    <w:basedOn w:val="1"/>
    <w:qFormat/>
    <w:uiPriority w:val="0"/>
    <w:pPr>
      <w:widowControl w:val="0"/>
      <w:adjustRightInd w:val="0"/>
    </w:pPr>
    <w:rPr>
      <w:rFonts w:ascii="宋体" w:hAnsi="Courier New"/>
      <w:szCs w:val="20"/>
    </w:rPr>
  </w:style>
  <w:style w:type="paragraph" w:customStyle="1" w:styleId="85">
    <w:name w:val="正文缩进英"/>
    <w:basedOn w:val="9"/>
    <w:qFormat/>
    <w:uiPriority w:val="0"/>
    <w:pPr>
      <w:widowControl w:val="0"/>
      <w:adjustRightInd w:val="0"/>
      <w:spacing w:after="120" w:line="300" w:lineRule="auto"/>
      <w:ind w:left="0" w:right="0" w:firstLine="420"/>
      <w:jc w:val="both"/>
      <w:textAlignment w:val="baseline"/>
    </w:pPr>
    <w:rPr>
      <w:sz w:val="24"/>
      <w:lang w:eastAsia="zh-CN"/>
    </w:rPr>
  </w:style>
  <w:style w:type="character" w:customStyle="1" w:styleId="86">
    <w:name w:val="正文文本 2 Char"/>
    <w:basedOn w:val="29"/>
    <w:link w:val="22"/>
    <w:qFormat/>
    <w:uiPriority w:val="0"/>
    <w:rPr>
      <w:sz w:val="21"/>
    </w:rPr>
  </w:style>
  <w:style w:type="paragraph" w:customStyle="1" w:styleId="87">
    <w:name w:val="Document 1"/>
    <w:qFormat/>
    <w:uiPriority w:val="0"/>
    <w:pPr>
      <w:keepNext/>
      <w:keepLines/>
      <w:tabs>
        <w:tab w:val="left" w:pos="-720"/>
      </w:tabs>
      <w:suppressAutoHyphens/>
    </w:pPr>
    <w:rPr>
      <w:rFonts w:ascii="Univers" w:hAnsi="Univers" w:eastAsia="宋体" w:cs="Times New Roman"/>
      <w:lang w:val="en-US" w:eastAsia="zh-CN" w:bidi="ar-SA"/>
    </w:rPr>
  </w:style>
  <w:style w:type="paragraph" w:customStyle="1" w:styleId="88">
    <w:name w:val="条款标题1"/>
    <w:basedOn w:val="1"/>
    <w:qFormat/>
    <w:uiPriority w:val="0"/>
    <w:pPr>
      <w:widowControl w:val="0"/>
      <w:jc w:val="center"/>
      <w:textAlignment w:val="auto"/>
    </w:pPr>
    <w:rPr>
      <w:b/>
      <w:spacing w:val="10"/>
      <w:szCs w:val="20"/>
    </w:rPr>
  </w:style>
  <w:style w:type="paragraph" w:customStyle="1" w:styleId="89">
    <w:name w:val="CM8"/>
    <w:basedOn w:val="1"/>
    <w:next w:val="1"/>
    <w:qFormat/>
    <w:uiPriority w:val="0"/>
    <w:pPr>
      <w:widowControl w:val="0"/>
      <w:autoSpaceDE w:val="0"/>
      <w:autoSpaceDN w:val="0"/>
      <w:adjustRightInd w:val="0"/>
      <w:spacing w:line="293" w:lineRule="atLeast"/>
      <w:jc w:val="left"/>
      <w:textAlignment w:val="auto"/>
    </w:pPr>
    <w:rPr>
      <w:rFonts w:ascii="Arial" w:hAnsi="Arial"/>
      <w:kern w:val="0"/>
      <w:sz w:val="24"/>
    </w:rPr>
  </w:style>
  <w:style w:type="paragraph" w:customStyle="1" w:styleId="90">
    <w:name w:val="CM9"/>
    <w:basedOn w:val="1"/>
    <w:next w:val="1"/>
    <w:qFormat/>
    <w:uiPriority w:val="0"/>
    <w:pPr>
      <w:widowControl w:val="0"/>
      <w:autoSpaceDE w:val="0"/>
      <w:autoSpaceDN w:val="0"/>
      <w:adjustRightInd w:val="0"/>
      <w:spacing w:line="283" w:lineRule="atLeast"/>
      <w:jc w:val="left"/>
      <w:textAlignment w:val="auto"/>
    </w:pPr>
    <w:rPr>
      <w:rFonts w:ascii="Arial" w:hAnsi="Arial"/>
      <w:kern w:val="0"/>
      <w:sz w:val="24"/>
    </w:rPr>
  </w:style>
  <w:style w:type="character" w:customStyle="1" w:styleId="91">
    <w:name w:val="apple-style-span"/>
    <w:basedOn w:val="29"/>
    <w:qFormat/>
    <w:uiPriority w:val="0"/>
  </w:style>
  <w:style w:type="character" w:customStyle="1" w:styleId="92">
    <w:name w:val="apple-converted-space"/>
    <w:basedOn w:val="29"/>
    <w:qFormat/>
    <w:uiPriority w:val="0"/>
  </w:style>
  <w:style w:type="paragraph" w:customStyle="1" w:styleId="93">
    <w:name w:val="Char Char Char"/>
    <w:basedOn w:val="1"/>
    <w:qFormat/>
    <w:uiPriority w:val="0"/>
    <w:pPr>
      <w:widowControl w:val="0"/>
      <w:textAlignment w:val="auto"/>
    </w:pPr>
    <w:rPr>
      <w:rFonts w:ascii="Tahoma" w:hAnsi="Tahoma" w:cs="Tahoma"/>
      <w:sz w:val="24"/>
    </w:rPr>
  </w:style>
  <w:style w:type="paragraph" w:customStyle="1" w:styleId="94">
    <w:name w:val="Normal1"/>
    <w:qFormat/>
    <w:uiPriority w:val="0"/>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95">
    <w:name w:val="Char"/>
    <w:basedOn w:val="10"/>
    <w:qFormat/>
    <w:uiPriority w:val="0"/>
    <w:pPr>
      <w:adjustRightInd w:val="0"/>
      <w:snapToGrid w:val="0"/>
      <w:spacing w:line="360" w:lineRule="auto"/>
    </w:pPr>
    <w:rPr>
      <w:rFonts w:ascii="Tahoma" w:hAnsi="Tahoma"/>
      <w:sz w:val="24"/>
    </w:rPr>
  </w:style>
  <w:style w:type="character" w:customStyle="1" w:styleId="96">
    <w:name w:val="文档结构图 Char"/>
    <w:basedOn w:val="29"/>
    <w:link w:val="10"/>
    <w:semiHidden/>
    <w:qFormat/>
    <w:uiPriority w:val="0"/>
    <w:rPr>
      <w:kern w:val="2"/>
      <w:sz w:val="21"/>
      <w:szCs w:val="24"/>
      <w:shd w:val="clear" w:color="auto" w:fill="000080"/>
    </w:rPr>
  </w:style>
  <w:style w:type="paragraph" w:customStyle="1" w:styleId="97">
    <w:name w:val="条款正文"/>
    <w:basedOn w:val="1"/>
    <w:qFormat/>
    <w:uiPriority w:val="0"/>
    <w:pPr>
      <w:widowControl w:val="0"/>
      <w:adjustRightInd w:val="0"/>
      <w:snapToGrid w:val="0"/>
      <w:ind w:left="840" w:leftChars="400" w:firstLine="420" w:firstLineChars="200"/>
      <w:textAlignment w:val="auto"/>
    </w:pPr>
  </w:style>
  <w:style w:type="paragraph" w:customStyle="1" w:styleId="98">
    <w:name w:val="条款标题"/>
    <w:basedOn w:val="97"/>
    <w:qFormat/>
    <w:uiPriority w:val="0"/>
    <w:pPr>
      <w:tabs>
        <w:tab w:val="left" w:pos="840"/>
      </w:tabs>
      <w:ind w:left="0" w:leftChars="0" w:firstLine="0" w:firstLineChars="0"/>
    </w:pPr>
    <w:rPr>
      <w:b/>
    </w:rPr>
  </w:style>
  <w:style w:type="character" w:customStyle="1" w:styleId="99">
    <w:name w:val="标题 Char"/>
    <w:basedOn w:val="29"/>
    <w:link w:val="26"/>
    <w:qFormat/>
    <w:uiPriority w:val="0"/>
    <w:rPr>
      <w:rFonts w:ascii="Cambria" w:hAnsi="Cambria"/>
      <w:b/>
      <w:bCs/>
      <w:kern w:val="2"/>
      <w:sz w:val="32"/>
      <w:szCs w:val="32"/>
    </w:rPr>
  </w:style>
  <w:style w:type="character" w:customStyle="1" w:styleId="100">
    <w:name w:val="tf"/>
    <w:basedOn w:val="29"/>
    <w:qFormat/>
    <w:uiPriority w:val="0"/>
  </w:style>
  <w:style w:type="character" w:customStyle="1" w:styleId="101">
    <w:name w:val="页眉 Char"/>
    <w:basedOn w:val="29"/>
    <w:link w:val="19"/>
    <w:qFormat/>
    <w:uiPriority w:val="99"/>
    <w:rPr>
      <w:kern w:val="2"/>
      <w:sz w:val="18"/>
      <w:szCs w:val="18"/>
    </w:rPr>
  </w:style>
  <w:style w:type="paragraph" w:customStyle="1" w:styleId="102">
    <w:name w:val="Char Char Char Char"/>
    <w:basedOn w:val="10"/>
    <w:qFormat/>
    <w:uiPriority w:val="0"/>
    <w:pPr>
      <w:adjustRightInd w:val="0"/>
      <w:snapToGrid w:val="0"/>
      <w:spacing w:line="360" w:lineRule="auto"/>
    </w:pPr>
    <w:rPr>
      <w:rFonts w:ascii="Tahoma" w:hAnsi="Tahoma" w:cs="Tahoma"/>
      <w:sz w:val="24"/>
    </w:rPr>
  </w:style>
  <w:style w:type="paragraph" w:styleId="103">
    <w:name w:val="No Spacing"/>
    <w:link w:val="104"/>
    <w:qFormat/>
    <w:uiPriority w:val="1"/>
    <w:rPr>
      <w:rFonts w:asciiTheme="minorHAnsi" w:hAnsiTheme="minorHAnsi" w:eastAsiaTheme="minorEastAsia" w:cstheme="minorBidi"/>
      <w:sz w:val="22"/>
      <w:szCs w:val="22"/>
      <w:lang w:val="en-US" w:eastAsia="ja-JP" w:bidi="ar-SA"/>
    </w:rPr>
  </w:style>
  <w:style w:type="character" w:customStyle="1" w:styleId="104">
    <w:name w:val="无间隔 Char"/>
    <w:basedOn w:val="29"/>
    <w:link w:val="103"/>
    <w:qFormat/>
    <w:uiPriority w:val="1"/>
    <w:rPr>
      <w:rFonts w:asciiTheme="minorHAnsi" w:hAnsiTheme="minorHAnsi" w:eastAsiaTheme="minorEastAsia" w:cstheme="minorBidi"/>
      <w:sz w:val="22"/>
      <w:szCs w:val="22"/>
      <w:lang w:eastAsia="ja-JP"/>
    </w:rPr>
  </w:style>
  <w:style w:type="paragraph" w:customStyle="1" w:styleId="105">
    <w:name w:val="Default"/>
    <w:basedOn w:val="1"/>
    <w:qFormat/>
    <w:uiPriority w:val="0"/>
    <w:pPr>
      <w:autoSpaceDE w:val="0"/>
      <w:autoSpaceDN w:val="0"/>
      <w:jc w:val="left"/>
      <w:textAlignment w:val="auto"/>
    </w:pPr>
    <w:rPr>
      <w:rFonts w:ascii="宋体" w:hAnsi="宋体" w:cs="宋体"/>
      <w:color w:val="000000"/>
      <w:kern w:val="0"/>
      <w:sz w:val="24"/>
    </w:rPr>
  </w:style>
  <w:style w:type="paragraph" w:customStyle="1" w:styleId="106">
    <w:name w:val="险种分类"/>
    <w:basedOn w:val="2"/>
    <w:qFormat/>
    <w:uiPriority w:val="0"/>
    <w:pPr>
      <w:ind w:left="0"/>
    </w:pPr>
    <w:rPr>
      <w:rFonts w:cs="Arial"/>
      <w:sz w:val="28"/>
      <w:szCs w:val="24"/>
      <w:lang w:eastAsia="zh-CN"/>
    </w:rPr>
  </w:style>
  <w:style w:type="paragraph" w:customStyle="1" w:styleId="107">
    <w:name w:val="主条款01"/>
    <w:basedOn w:val="1"/>
    <w:qFormat/>
    <w:uiPriority w:val="0"/>
    <w:pPr>
      <w:snapToGrid w:val="0"/>
      <w:jc w:val="center"/>
      <w:outlineLvl w:val="0"/>
    </w:pPr>
    <w:rPr>
      <w:rFonts w:ascii="Arial" w:hAnsi="宋体" w:cs="Arial"/>
      <w:b/>
      <w:sz w:val="24"/>
      <w:szCs w:val="30"/>
    </w:rPr>
  </w:style>
  <w:style w:type="paragraph" w:customStyle="1" w:styleId="10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Aon</Company>
  <Pages>134</Pages>
  <Words>101600</Words>
  <Characters>104437</Characters>
  <Lines>424</Lines>
  <Paragraphs>119</Paragraphs>
  <TotalTime>2</TotalTime>
  <ScaleCrop>false</ScaleCrop>
  <LinksUpToDate>false</LinksUpToDate>
  <CharactersWithSpaces>105467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2022-07-05T08:09:00Z</dcterms:created>
  <dc:creator>jamesqi</dc:creator>
  <cp:lastModifiedBy>姚世伦</cp:lastModifiedBy>
  <dcterms:modified xsi:type="dcterms:W3CDTF">2024-03-29T03:36:55Z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D1DE63B5FCB2447A9282EC0AC9B8108D_13</vt:lpwstr>
  </property>
  <property fmtid="{D5CDD505-2E9C-101B-9397-08002B2CF9AE}" pid="4" name="KSOSaveFontToCloudKey">
    <vt:lpwstr>440324230_embed</vt:lpwstr>
  </property>
</Properties>
</file>