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中粮糖业辽宁有限公司</w:t>
      </w:r>
    </w:p>
    <w:p>
      <w:pPr>
        <w:pStyle w:val="5"/>
        <w:jc w:val="center"/>
        <w:rPr>
          <w:rFonts w:cs="仿宋_GB2312" w:asciiTheme="minorEastAsia" w:hAnsiTheme="minorEastAsia" w:eastAsiaTheme="minorEastAsia"/>
          <w:sz w:val="28"/>
          <w:szCs w:val="28"/>
        </w:rPr>
      </w:pPr>
    </w:p>
    <w:p>
      <w:pPr>
        <w:pStyle w:val="5"/>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询比</w:t>
      </w:r>
      <w:r>
        <w:rPr>
          <w:rFonts w:hint="eastAsia" w:cs="仿宋_GB2312" w:asciiTheme="minorEastAsia" w:hAnsiTheme="minorEastAsia" w:eastAsiaTheme="minorEastAsia"/>
          <w:sz w:val="28"/>
          <w:szCs w:val="28"/>
          <w:lang w:val="en-US" w:eastAsia="zh-CN"/>
        </w:rPr>
        <w:t>投标</w:t>
      </w:r>
      <w:r>
        <w:rPr>
          <w:rFonts w:hint="eastAsia" w:cs="仿宋_GB2312" w:asciiTheme="minorEastAsia" w:hAnsiTheme="minorEastAsia" w:eastAsiaTheme="minorEastAsia"/>
          <w:sz w:val="28"/>
          <w:szCs w:val="28"/>
        </w:rPr>
        <w:t>文件</w:t>
      </w:r>
    </w:p>
    <w:p>
      <w:pPr>
        <w:spacing w:line="540" w:lineRule="exact"/>
        <w:ind w:firstLine="1120" w:firstLineChars="400"/>
        <w:rPr>
          <w:rFonts w:cs="仿宋_GB2312" w:asciiTheme="minorEastAsia" w:hAnsiTheme="minorEastAsia" w:eastAsiaTheme="minorEastAsia"/>
          <w:sz w:val="28"/>
          <w:szCs w:val="28"/>
        </w:rPr>
      </w:pPr>
    </w:p>
    <w:p>
      <w:pPr>
        <w:spacing w:line="540" w:lineRule="exact"/>
        <w:ind w:firstLine="1120" w:firstLineChars="400"/>
        <w:rPr>
          <w:rFonts w:cs="仿宋_GB2312" w:asciiTheme="minorEastAsia" w:hAnsiTheme="minorEastAsia" w:eastAsiaTheme="minorEastAsia"/>
          <w:sz w:val="28"/>
          <w:szCs w:val="28"/>
        </w:rPr>
      </w:pPr>
    </w:p>
    <w:p>
      <w:pPr>
        <w:spacing w:line="540" w:lineRule="exact"/>
        <w:ind w:firstLine="1120" w:firstLineChars="400"/>
        <w:rPr>
          <w:rFonts w:cs="仿宋_GB2312" w:asciiTheme="minorEastAsia" w:hAnsiTheme="minorEastAsia" w:eastAsiaTheme="minorEastAsia"/>
          <w:sz w:val="28"/>
          <w:szCs w:val="28"/>
        </w:rPr>
      </w:pPr>
    </w:p>
    <w:p>
      <w:pPr>
        <w:spacing w:line="540" w:lineRule="exact"/>
        <w:ind w:firstLine="1120" w:firstLineChars="400"/>
        <w:rPr>
          <w:rFonts w:cs="仿宋_GB2312" w:asciiTheme="minorEastAsia" w:hAnsiTheme="minorEastAsia" w:eastAsiaTheme="minorEastAsia"/>
          <w:sz w:val="28"/>
          <w:szCs w:val="28"/>
        </w:rPr>
      </w:pPr>
    </w:p>
    <w:p>
      <w:pPr>
        <w:pStyle w:val="5"/>
        <w:ind w:firstLine="1813" w:firstLineChars="645"/>
        <w:rPr>
          <w:rFonts w:cs="仿宋_GB2312" w:asciiTheme="minorEastAsia" w:hAnsiTheme="minorEastAsia" w:eastAsiaTheme="minorEastAsia"/>
          <w:b/>
          <w:sz w:val="28"/>
          <w:szCs w:val="28"/>
        </w:rPr>
      </w:pPr>
    </w:p>
    <w:p>
      <w:pPr>
        <w:pStyle w:val="5"/>
        <w:ind w:firstLine="1813" w:firstLineChars="645"/>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 xml:space="preserve"> </w:t>
      </w:r>
    </w:p>
    <w:p>
      <w:pPr>
        <w:spacing w:before="156" w:beforeLines="50" w:after="156" w:afterLines="50" w:line="500" w:lineRule="exact"/>
        <w:jc w:val="center"/>
        <w:rPr>
          <w:rFonts w:hint="eastAsia" w:cs="仿宋_GB2312" w:asciiTheme="minorEastAsia" w:hAnsiTheme="minorEastAsia" w:eastAsiaTheme="minorEastAsia"/>
          <w:b/>
          <w:sz w:val="28"/>
          <w:szCs w:val="28"/>
          <w:lang w:eastAsia="zh-CN"/>
        </w:rPr>
      </w:pPr>
      <w:r>
        <w:rPr>
          <w:rFonts w:hint="eastAsia" w:cs="仿宋_GB2312" w:asciiTheme="minorEastAsia" w:hAnsiTheme="minorEastAsia" w:eastAsiaTheme="minorEastAsia"/>
          <w:b/>
          <w:sz w:val="28"/>
          <w:szCs w:val="28"/>
        </w:rPr>
        <w:t>项目名称：</w:t>
      </w:r>
      <w:r>
        <w:rPr>
          <w:rFonts w:hint="eastAsia" w:cs="仿宋_GB2312" w:asciiTheme="minorEastAsia" w:hAnsiTheme="minorEastAsia" w:eastAsiaTheme="minorEastAsia"/>
          <w:b/>
          <w:sz w:val="28"/>
          <w:szCs w:val="28"/>
          <w:lang w:eastAsia="zh-CN"/>
        </w:rPr>
        <w:t>原糖车辆校验系统硬件采购项目</w:t>
      </w:r>
    </w:p>
    <w:p>
      <w:pPr>
        <w:spacing w:before="156" w:beforeLines="50" w:after="156" w:afterLines="50" w:line="500" w:lineRule="exact"/>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发包单位：中粮糖业辽宁有限公司</w:t>
      </w: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tabs>
          <w:tab w:val="left" w:pos="632"/>
        </w:tabs>
        <w:jc w:val="center"/>
        <w:rPr>
          <w:rFonts w:asciiTheme="minorEastAsia" w:hAnsiTheme="minorEastAsia" w:eastAsiaTheme="minorEastAsia"/>
          <w:b/>
          <w:bCs/>
          <w:color w:val="000000"/>
          <w:sz w:val="28"/>
          <w:szCs w:val="28"/>
        </w:rPr>
      </w:pPr>
    </w:p>
    <w:p>
      <w:pPr>
        <w:spacing w:line="54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202</w:t>
      </w:r>
      <w:r>
        <w:rPr>
          <w:rFonts w:cs="仿宋_GB2312" w:asciiTheme="minorEastAsia" w:hAnsiTheme="minorEastAsia" w:eastAsiaTheme="minorEastAsia"/>
          <w:sz w:val="28"/>
          <w:szCs w:val="28"/>
        </w:rPr>
        <w:t>4</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月</w:t>
      </w:r>
    </w:p>
    <w:p>
      <w:pPr>
        <w:spacing w:line="360" w:lineRule="auto"/>
        <w:jc w:val="both"/>
        <w:rPr>
          <w:rFonts w:cs="仿宋_GB2312" w:asciiTheme="minorEastAsia" w:hAnsiTheme="minorEastAsia" w:eastAsiaTheme="minorEastAsia"/>
          <w:b/>
          <w:bCs/>
          <w:color w:val="000000" w:themeColor="text1"/>
          <w:sz w:val="28"/>
          <w:szCs w:val="28"/>
        </w:rPr>
      </w:pPr>
    </w:p>
    <w:p>
      <w:pPr>
        <w:spacing w:line="360" w:lineRule="auto"/>
        <w:ind w:firstLine="803" w:firstLineChars="200"/>
        <w:jc w:val="center"/>
        <w:rPr>
          <w:rFonts w:asciiTheme="minorEastAsia" w:hAnsiTheme="minorEastAsia" w:eastAsiaTheme="minorEastAsia"/>
          <w:b/>
          <w:bCs/>
          <w:sz w:val="40"/>
          <w:szCs w:val="28"/>
        </w:rPr>
      </w:pPr>
      <w:r>
        <w:rPr>
          <w:rFonts w:hint="eastAsia" w:cs="仿宋_GB2312" w:asciiTheme="minorEastAsia" w:hAnsiTheme="minorEastAsia" w:eastAsiaTheme="minorEastAsia"/>
          <w:b/>
          <w:bCs/>
          <w:color w:val="000000" w:themeColor="text1"/>
          <w:sz w:val="40"/>
          <w:szCs w:val="28"/>
        </w:rPr>
        <w:t xml:space="preserve">第一部分  </w:t>
      </w:r>
      <w:r>
        <w:rPr>
          <w:rFonts w:hint="eastAsia" w:asciiTheme="minorEastAsia" w:hAnsiTheme="minorEastAsia" w:eastAsiaTheme="minorEastAsia"/>
          <w:b/>
          <w:bCs/>
          <w:sz w:val="40"/>
          <w:szCs w:val="28"/>
        </w:rPr>
        <w:t>采购项目需求</w:t>
      </w:r>
    </w:p>
    <w:p>
      <w:pPr>
        <w:numPr>
          <w:ilvl w:val="0"/>
          <w:numId w:val="1"/>
        </w:numPr>
        <w:spacing w:line="52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为保障中粮糖业辽宁有限公司的</w:t>
      </w:r>
      <w:bookmarkStart w:id="0" w:name="_GoBack"/>
      <w:bookmarkEnd w:id="0"/>
      <w:r>
        <w:rPr>
          <w:rFonts w:hint="eastAsia" w:ascii="仿宋_GB2312" w:hAnsi="仿宋_GB2312" w:eastAsia="仿宋_GB2312" w:cs="仿宋_GB2312"/>
          <w:sz w:val="28"/>
          <w:szCs w:val="28"/>
          <w:highlight w:val="none"/>
          <w:lang w:val="en-US" w:eastAsia="zh-CN"/>
        </w:rPr>
        <w:t>丰美库非食品原糖安全管理及节省人工成本更高效存储，本项目针对外租库原糖倒运车辆管理进行试点工作，现今需安装原糖车辆校验系统硬件一套并由实施方提供材料及安装。</w:t>
      </w:r>
    </w:p>
    <w:p>
      <w:pPr>
        <w:numPr>
          <w:ilvl w:val="0"/>
          <w:numId w:val="1"/>
        </w:numPr>
        <w:spacing w:line="520" w:lineRule="exact"/>
        <w:ind w:left="0" w:leftChars="0"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参与投标资质要求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需具备承接本项目资质要求</w:t>
      </w:r>
    </w:p>
    <w:p>
      <w:pPr>
        <w:numPr>
          <w:ilvl w:val="0"/>
          <w:numId w:val="1"/>
        </w:numPr>
        <w:spacing w:line="520" w:lineRule="exact"/>
        <w:ind w:left="0" w:leftChars="0" w:firstLine="560" w:firstLineChars="20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1、施工时人工及材料要求：施工材料必须与清单所提供的型号要求一致，施工作业人员要求有体检及工伤保险（80万保额以上），登高作业人员需有登高证。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2、具体施工情况：需将光栅、读卡器焊架子或做罩子固定到地面，壁挂机柜固定墙面等</w:t>
      </w:r>
      <w:r>
        <w:rPr>
          <w:rFonts w:hint="eastAsia" w:ascii="微软雅黑" w:hAnsi="微软雅黑" w:eastAsia="微软雅黑" w:cs="微软雅黑"/>
          <w:i w:val="0"/>
          <w:iCs w:val="0"/>
          <w:caps w:val="0"/>
          <w:color w:val="000000"/>
          <w:spacing w:val="0"/>
          <w:sz w:val="21"/>
          <w:szCs w:val="21"/>
          <w:highlight w:val="none"/>
          <w:shd w:val="clear" w:fill="FFFFFF"/>
          <w:lang w:eastAsia="zh-CN"/>
        </w:rPr>
        <w:t>，</w:t>
      </w:r>
      <w:r>
        <w:rPr>
          <w:rFonts w:hint="eastAsia" w:ascii="仿宋_GB2312" w:hAnsi="仿宋_GB2312" w:eastAsia="仿宋_GB2312" w:cs="仿宋_GB2312"/>
          <w:sz w:val="28"/>
          <w:szCs w:val="28"/>
          <w:highlight w:val="none"/>
          <w:lang w:val="en-US" w:eastAsia="zh-CN"/>
        </w:rPr>
        <w:t>需将光栅、读卡器x2、报警灯通过485接口接入电脑进行通讯、摄像头通过RJ45接入电脑进行通讯（包含放线等工作）。安装完成后财务IT调试软件期间，需配合财务IT对硬件接口参与调试。</w:t>
      </w:r>
    </w:p>
    <w:p>
      <w:pPr>
        <w:numPr>
          <w:ilvl w:val="0"/>
          <w:numId w:val="1"/>
        </w:numPr>
        <w:spacing w:line="520" w:lineRule="exact"/>
        <w:ind w:left="0" w:leftChars="0"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投标要求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供应商报价前提必须与财务IT勘察过现场方能参与报价，安装需将光栅、读卡器x2、报警灯通过485接口接入电脑进行通讯、摄像头通过网络接入电脑进行通讯，光栅、读卡器需固定到水泥地面，安装完成后需配合财务IT对硬件接口参与调试。（安装人员需要登高的需要具有登高证、所有施工人员干活都需要有体检、保险，进入培训。）</w:t>
      </w:r>
    </w:p>
    <w:p>
      <w:pPr>
        <w:numPr>
          <w:ilvl w:val="0"/>
          <w:numId w:val="0"/>
        </w:numPr>
        <w:spacing w:line="52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五、定价方式：询比</w:t>
      </w:r>
    </w:p>
    <w:p>
      <w:pPr>
        <w:numPr>
          <w:ilvl w:val="0"/>
          <w:numId w:val="0"/>
        </w:numPr>
        <w:spacing w:line="52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六、定标方式：总价低价中标</w:t>
      </w:r>
    </w:p>
    <w:p>
      <w:pPr>
        <w:spacing w:line="520" w:lineRule="exact"/>
        <w:ind w:firstLine="560" w:firstLineChars="20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清单</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
        <w:gridCol w:w="1354"/>
        <w:gridCol w:w="2248"/>
        <w:gridCol w:w="338"/>
        <w:gridCol w:w="297"/>
        <w:gridCol w:w="2492"/>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0" w:type="auto"/>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台式电脑带键盘鼠标</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戴尔3901 i5-12500 256g  8G ssd</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用于进、出库门，用于计算、接收、反馈警报信号。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主板带PCIE接口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RFID读卡器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超高频RFID远距离读卡器（ZK-FRID102R）</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用于进、出库门读取合法车辆进出。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需固定在地面、485口接口 供电9-12v电源适配器线加长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RFID发卡器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RFID超高频电子标签读写器(107USB)</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用于发布合法车辆电子标签卡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红外线光栅</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米红外线对射主动式光栅（含支架套件）ESCL8020L1RZ-1080个光束，20mm间距，有效保护高度：1580mm，光栅总高：1670mm，双NPN常闭输出，DC24V，对射距离10米）</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用在进、出库门红外线对射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需固定在地面、线缆加长、12V供电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机柜壁挂</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22U弱电机柜</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用于放置进、出库门现场电脑、设备。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装壁挂上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人工费</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w:t>
            </w: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海康摄像头（包含支架）臻全彩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防撕标签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ZK一RFlD607（110X40mm）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路由器＋2T（流量）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路由器物联网卡，一年费用。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 6.5a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杭亚YS-01HX RS485通讯信号 声光报警器 工业语音喇叭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RS232转485转换器</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utek  UT-890A</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绿联工程级，用于读卡器、光栅、报警灯、等设备接入COM卡。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pdu公牛 E-1080 1.8米 8位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镀锡管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给摄像头供电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白钢线槽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串口卡+一拖四串口线</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PCIE转4口RS232高速串口卡配一拖四串口线</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4口或者8口工业级交换机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520" w:lineRule="exact"/>
        <w:ind w:firstLine="560" w:firstLineChars="200"/>
        <w:jc w:val="left"/>
        <w:rPr>
          <w:rFonts w:hint="default" w:ascii="仿宋_GB2312" w:hAnsi="仿宋_GB2312" w:eastAsia="仿宋_GB2312" w:cs="仿宋_GB2312"/>
          <w:sz w:val="28"/>
          <w:szCs w:val="28"/>
          <w:highlight w:val="none"/>
          <w:lang w:val="en-US" w:eastAsia="zh-CN"/>
        </w:rPr>
      </w:pPr>
    </w:p>
    <w:p>
      <w:pPr>
        <w:ind w:firstLine="440" w:firstLineChars="200"/>
        <w:rPr>
          <w:rFonts w:ascii="微软雅黑" w:hAnsi="微软雅黑"/>
        </w:rPr>
      </w:pPr>
    </w:p>
    <w:p>
      <w:pPr>
        <w:rPr>
          <w:rFonts w:ascii="微软雅黑" w:hAnsi="微软雅黑"/>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spacing w:line="360" w:lineRule="auto"/>
        <w:jc w:val="center"/>
        <w:rPr>
          <w:rFonts w:cs="仿宋_GB2312" w:asciiTheme="minorEastAsia" w:hAnsiTheme="minorEastAsia" w:eastAsiaTheme="minorEastAsia"/>
          <w:b/>
          <w:bCs/>
          <w:color w:val="000000" w:themeColor="text1"/>
          <w:sz w:val="28"/>
          <w:szCs w:val="28"/>
        </w:rPr>
      </w:pPr>
      <w:r>
        <w:rPr>
          <w:rFonts w:hint="eastAsia" w:cs="仿宋_GB2312" w:asciiTheme="minorEastAsia" w:hAnsiTheme="minorEastAsia" w:eastAsiaTheme="minorEastAsia"/>
          <w:b/>
          <w:bCs/>
          <w:color w:val="000000" w:themeColor="text1"/>
          <w:sz w:val="28"/>
          <w:szCs w:val="28"/>
        </w:rPr>
        <w:t>第二部分 合同主要条款</w:t>
      </w:r>
    </w:p>
    <w:p>
      <w:pPr>
        <w:spacing w:line="340" w:lineRule="exact"/>
        <w:jc w:val="center"/>
        <w:rPr>
          <w:rFonts w:hint="eastAsia" w:ascii="宋体" w:hAnsi="宋体"/>
          <w:b/>
          <w:bCs/>
          <w:sz w:val="32"/>
          <w:szCs w:val="32"/>
          <w:u w:val="double"/>
        </w:rPr>
      </w:pPr>
      <w:r>
        <w:rPr>
          <w:rFonts w:hint="eastAsia" w:eastAsia="黑体"/>
          <w:sz w:val="36"/>
          <w:szCs w:val="36"/>
        </w:rPr>
        <w:t xml:space="preserve">         </w:t>
      </w:r>
      <w:r>
        <w:rPr>
          <w:rFonts w:hint="eastAsia" w:ascii="宋体" w:hAnsi="宋体"/>
          <w:b/>
          <w:bCs/>
          <w:sz w:val="32"/>
          <w:szCs w:val="32"/>
          <w:u w:val="double"/>
        </w:rPr>
        <w:t>合同</w:t>
      </w:r>
    </w:p>
    <w:p>
      <w:pPr>
        <w:spacing w:line="340" w:lineRule="exact"/>
        <w:jc w:val="center"/>
        <w:rPr>
          <w:rFonts w:hint="eastAsia" w:ascii="宋体" w:hAnsi="宋体"/>
          <w:b/>
          <w:bCs/>
          <w:sz w:val="32"/>
          <w:szCs w:val="32"/>
          <w:u w:val="double"/>
        </w:rPr>
      </w:pPr>
    </w:p>
    <w:p>
      <w:pPr>
        <w:spacing w:line="340" w:lineRule="exact"/>
        <w:jc w:val="left"/>
        <w:rPr>
          <w:rFonts w:ascii="宋体"/>
          <w:sz w:val="24"/>
          <w:szCs w:val="24"/>
        </w:rPr>
      </w:pPr>
      <w:r>
        <w:rPr>
          <w:rFonts w:hint="eastAsia" w:ascii="宋体" w:hAnsi="宋体"/>
          <w:sz w:val="24"/>
          <w:szCs w:val="24"/>
          <w:u w:val="single"/>
        </w:rPr>
        <w:t>供方：</w:t>
      </w:r>
      <w:r>
        <w:rPr>
          <w:rFonts w:hint="eastAsia" w:ascii="宋体" w:hAnsi="宋体"/>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sz w:val="24"/>
          <w:szCs w:val="24"/>
        </w:rPr>
        <w:t xml:space="preserve">（以下简称乙方）         </w:t>
      </w:r>
      <w:r>
        <w:rPr>
          <w:rFonts w:ascii="宋体" w:hAnsi="宋体"/>
          <w:sz w:val="24"/>
          <w:szCs w:val="24"/>
        </w:rPr>
        <w:t xml:space="preserve"> </w:t>
      </w:r>
      <w:r>
        <w:rPr>
          <w:rFonts w:hint="eastAsia" w:ascii="宋体" w:hAnsi="宋体"/>
          <w:sz w:val="24"/>
          <w:szCs w:val="24"/>
        </w:rPr>
        <w:t xml:space="preserve"> </w:t>
      </w:r>
      <w:r>
        <w:rPr>
          <w:sz w:val="24"/>
        </w:rPr>
        <w:t xml:space="preserve">  </w:t>
      </w:r>
    </w:p>
    <w:p>
      <w:pPr>
        <w:spacing w:line="340" w:lineRule="exact"/>
        <w:ind w:left="1560" w:hanging="1560" w:hangingChars="650"/>
        <w:jc w:val="left"/>
        <w:rPr>
          <w:rFonts w:hint="eastAsia" w:ascii="宋体" w:hAnsi="宋体"/>
          <w:sz w:val="22"/>
          <w:szCs w:val="22"/>
        </w:rPr>
      </w:pPr>
      <w:r>
        <w:rPr>
          <w:rFonts w:hint="eastAsia" w:ascii="宋体" w:hAnsi="宋体"/>
          <w:sz w:val="24"/>
          <w:szCs w:val="24"/>
          <w:u w:val="single"/>
        </w:rPr>
        <w:t>需方：中粮糖业辽宁有限公司</w:t>
      </w:r>
      <w:r>
        <w:rPr>
          <w:rFonts w:hint="eastAsia" w:ascii="宋体" w:hAnsi="宋体"/>
          <w:sz w:val="24"/>
          <w:szCs w:val="24"/>
        </w:rPr>
        <w:t>（以下简称甲方）</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p>
      <w:pPr>
        <w:tabs>
          <w:tab w:val="left" w:pos="4725"/>
        </w:tabs>
        <w:spacing w:line="340" w:lineRule="exact"/>
        <w:rPr>
          <w:szCs w:val="21"/>
        </w:rPr>
      </w:pPr>
      <w:r>
        <w:rPr>
          <w:rFonts w:hint="eastAsia"/>
          <w:b/>
          <w:bCs/>
          <w:szCs w:val="21"/>
        </w:rPr>
        <w:t>1、产品名称、规格型号、数量、金额</w:t>
      </w:r>
      <w:r>
        <w:rPr>
          <w:b/>
          <w:bCs/>
          <w:szCs w:val="21"/>
        </w:rPr>
        <w:t xml:space="preserve">       </w:t>
      </w:r>
      <w:r>
        <w:rPr>
          <w:szCs w:val="21"/>
        </w:rPr>
        <w:t xml:space="preserve">        </w:t>
      </w:r>
      <w:r>
        <w:rPr>
          <w:rFonts w:ascii="宋体" w:hAnsi="宋体"/>
          <w:szCs w:val="21"/>
        </w:rPr>
        <w:t xml:space="preserve"> </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
        <w:gridCol w:w="1369"/>
        <w:gridCol w:w="2275"/>
        <w:gridCol w:w="340"/>
        <w:gridCol w:w="298"/>
        <w:gridCol w:w="2522"/>
        <w:gridCol w:w="71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0" w:type="auto"/>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台式电脑带键盘鼠标</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戴尔3901 i5-12500 256g  8G ssd</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用于进、出库门，用于计算、接收、反馈警报信号。</w:t>
            </w:r>
            <w:r>
              <w:rPr>
                <w:rFonts w:hint="eastAsia" w:ascii="宋体" w:hAnsi="宋体" w:eastAsia="宋体" w:cs="宋体"/>
                <w:i w:val="0"/>
                <w:iCs w:val="0"/>
                <w:color w:val="000000"/>
                <w:kern w:val="0"/>
                <w:sz w:val="22"/>
                <w:szCs w:val="22"/>
                <w:u w:val="none"/>
                <w:lang w:val="en-US" w:eastAsia="zh-CN" w:bidi="ar"/>
              </w:rPr>
              <w:t>主板带PCIE接口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RFID读卡器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超高频RFID远距离读卡器（ZK-FRID102R）</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用于进、出库门读取合法车辆进出。</w:t>
            </w:r>
            <w:r>
              <w:rPr>
                <w:rFonts w:hint="eastAsia" w:ascii="宋体" w:hAnsi="宋体" w:eastAsia="宋体" w:cs="宋体"/>
                <w:i w:val="0"/>
                <w:iCs w:val="0"/>
                <w:color w:val="000000"/>
                <w:kern w:val="0"/>
                <w:sz w:val="22"/>
                <w:szCs w:val="22"/>
                <w:u w:val="none"/>
                <w:lang w:val="en-US" w:eastAsia="zh-CN" w:bidi="ar"/>
              </w:rPr>
              <w:t>需固定在地面、485口接口 供电9-12v电源适配器线加长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RFID发卡器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RFID超高频电子标签读写器(107USB)</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用于发布合法车辆电子标签卡，</w:t>
            </w:r>
            <w:r>
              <w:rPr>
                <w:rFonts w:hint="eastAsia" w:ascii="宋体" w:hAnsi="宋体" w:eastAsia="宋体" w:cs="宋体"/>
                <w:i w:val="0"/>
                <w:iCs w:val="0"/>
                <w:color w:val="000000"/>
                <w:kern w:val="0"/>
                <w:sz w:val="22"/>
                <w:szCs w:val="22"/>
                <w:u w:val="none"/>
                <w:lang w:val="en-US" w:eastAsia="zh-CN" w:bidi="ar"/>
              </w:rPr>
              <w:t>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红外线光栅</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米红外线对射主动式光栅（含支架套件）ESCL8020L1RZ-1080个光束，20mm间距，有效保护高度：1580mm，光栅总高：1670mm，双NPN常闭输出，DC24V，对射距离10米）</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用在进、出库门红外线对射，</w:t>
            </w:r>
            <w:r>
              <w:rPr>
                <w:rFonts w:hint="eastAsia" w:ascii="宋体" w:hAnsi="宋体" w:eastAsia="宋体" w:cs="宋体"/>
                <w:i w:val="0"/>
                <w:iCs w:val="0"/>
                <w:color w:val="000000"/>
                <w:kern w:val="0"/>
                <w:sz w:val="22"/>
                <w:szCs w:val="22"/>
                <w:u w:val="none"/>
                <w:lang w:val="en-US" w:eastAsia="zh-CN" w:bidi="ar"/>
              </w:rPr>
              <w:t>需固定在地面、线缆加长、12V供电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机柜壁挂</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22U弱电机柜</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用于放置进、出库门现场电脑、设备。</w:t>
            </w:r>
            <w:r>
              <w:rPr>
                <w:rFonts w:hint="eastAsia" w:ascii="宋体" w:hAnsi="宋体" w:eastAsia="宋体" w:cs="宋体"/>
                <w:i w:val="0"/>
                <w:iCs w:val="0"/>
                <w:color w:val="000000"/>
                <w:kern w:val="0"/>
                <w:sz w:val="22"/>
                <w:szCs w:val="22"/>
                <w:u w:val="none"/>
                <w:lang w:val="en-US" w:eastAsia="zh-CN" w:bidi="ar"/>
              </w:rPr>
              <w:t>装壁挂上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人工费</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w:t>
            </w: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海康摄像头（包含支架）臻全彩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防撕标签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ZK一RFlD607（110X40mm）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路由器＋2T（流量）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路由器物联网卡，一年费用。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 6.5a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杭亚YS-01HX RS485通讯信号 声光报警器 工业语音喇叭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RS232转485转换器</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utek  UT-890A</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绿联工程级，用于读卡器、光栅、报警灯、等设备接入COM卡。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pdu公牛 E-1080 1.8米 8位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镀锡管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给摄像头供电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白钢线槽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串口卡+一拖四串口线</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PCIE转4口RS232高速串口卡配一拖四串口线</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4口或者8口工业级交换机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人民币总额（大写）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r>
              <w:rPr>
                <w:rFonts w:hint="eastAsia"/>
                <w:b/>
                <w:color w:val="000000"/>
                <w:sz w:val="24"/>
              </w:rPr>
              <w:t>备注：</w:t>
            </w:r>
            <w:r>
              <w:rPr>
                <w:color w:val="000000"/>
                <w:szCs w:val="21"/>
              </w:rPr>
              <w:t xml:space="preserve"> 1</w:t>
            </w:r>
            <w:r>
              <w:rPr>
                <w:rFonts w:hint="eastAsia"/>
                <w:color w:val="000000"/>
                <w:szCs w:val="21"/>
              </w:rPr>
              <w:t>、合同总价包括：包装费、运输费、保险费、开票税费、</w:t>
            </w:r>
            <w:r>
              <w:rPr>
                <w:rFonts w:hint="eastAsia"/>
                <w:color w:val="000000"/>
                <w:szCs w:val="21"/>
                <w:lang w:val="en-US" w:eastAsia="zh-CN"/>
              </w:rPr>
              <w:t>安装费、</w:t>
            </w:r>
            <w:r>
              <w:rPr>
                <w:rFonts w:hint="eastAsia"/>
                <w:color w:val="000000"/>
                <w:szCs w:val="21"/>
              </w:rPr>
              <w:t>售后服务费等费用。上述价格在合同执行过程中为不变价格。2、随机资料包括：合格证、使用说明书及按照交易习惯应交付的其他单证和资料（如涉及）。</w:t>
            </w:r>
          </w:p>
        </w:tc>
      </w:tr>
    </w:tbl>
    <w:p>
      <w:pPr>
        <w:jc w:val="left"/>
        <w:rPr>
          <w:rFonts w:hint="eastAsia" w:ascii="宋体" w:hAnsi="宋体" w:cs="宋体"/>
          <w:szCs w:val="21"/>
        </w:rPr>
      </w:pPr>
    </w:p>
    <w:p>
      <w:pPr>
        <w:jc w:val="left"/>
        <w:rPr>
          <w:rFonts w:hint="eastAsia" w:ascii="宋体" w:hAnsi="宋体" w:cs="宋体"/>
          <w:b/>
          <w:bCs/>
          <w:szCs w:val="21"/>
        </w:rPr>
      </w:pPr>
      <w:r>
        <w:rPr>
          <w:rFonts w:hint="eastAsia" w:ascii="宋体" w:hAnsi="宋体" w:cs="宋体"/>
          <w:szCs w:val="21"/>
        </w:rPr>
        <w:t>2、质量要求和技术标准：按照国家或企业标准进行加工制造，企业标准不得低于国家标准。</w:t>
      </w:r>
      <w:r>
        <w:rPr>
          <w:rFonts w:hint="eastAsia" w:ascii="宋体" w:hAnsi="宋体" w:cs="宋体"/>
          <w:b/>
          <w:bCs/>
          <w:szCs w:val="21"/>
        </w:rPr>
        <w:t xml:space="preserve"> </w:t>
      </w:r>
    </w:p>
    <w:p>
      <w:pPr>
        <w:ind w:left="315" w:hanging="330" w:hangingChars="150"/>
        <w:jc w:val="left"/>
        <w:rPr>
          <w:rFonts w:hint="eastAsia" w:ascii="宋体" w:hAnsi="宋体" w:cs="宋体"/>
          <w:szCs w:val="21"/>
        </w:rPr>
      </w:pPr>
      <w:r>
        <w:rPr>
          <w:rFonts w:hint="eastAsia" w:ascii="宋体" w:hAnsi="宋体" w:cs="宋体"/>
          <w:szCs w:val="21"/>
        </w:rPr>
        <w:t>3、验收标准、方法: 按国家或企业标准和方法进行现场验收。</w:t>
      </w:r>
    </w:p>
    <w:p>
      <w:pPr>
        <w:ind w:left="315" w:hanging="330" w:hangingChars="150"/>
        <w:jc w:val="left"/>
        <w:rPr>
          <w:rFonts w:hint="eastAsia" w:ascii="宋体" w:hAnsi="宋体" w:cs="宋体"/>
          <w:szCs w:val="21"/>
        </w:rPr>
      </w:pPr>
      <w:r>
        <w:rPr>
          <w:rFonts w:hint="eastAsia" w:ascii="宋体" w:hAnsi="宋体" w:cs="宋体"/>
          <w:szCs w:val="21"/>
        </w:rPr>
        <w:t>4、交货日期及地址：合同生效后8</w:t>
      </w:r>
      <w:r>
        <w:rPr>
          <w:rFonts w:hint="eastAsia" w:ascii="宋体" w:hAnsi="宋体" w:cs="宋体"/>
          <w:color w:val="000000"/>
          <w:szCs w:val="21"/>
        </w:rPr>
        <w:t>日</w:t>
      </w:r>
      <w:r>
        <w:rPr>
          <w:rFonts w:hint="eastAsia" w:ascii="宋体" w:hAnsi="宋体" w:cs="宋体"/>
          <w:szCs w:val="21"/>
        </w:rPr>
        <w:t>内到货，货物送达辽宁省营口仙人岛</w:t>
      </w:r>
      <w:r>
        <w:rPr>
          <w:rFonts w:hint="eastAsia" w:ascii="宋体" w:hAnsi="宋体" w:cs="宋体"/>
          <w:szCs w:val="21"/>
          <w:lang w:val="en-US" w:eastAsia="zh-CN"/>
        </w:rPr>
        <w:t>经济开发区中粮大道1号</w:t>
      </w:r>
      <w:r>
        <w:rPr>
          <w:rFonts w:hint="eastAsia" w:ascii="宋体" w:hAnsi="宋体" w:cs="宋体"/>
          <w:szCs w:val="21"/>
        </w:rPr>
        <w:t>中粮糖业辽宁有限公司现场。</w:t>
      </w:r>
    </w:p>
    <w:p>
      <w:pPr>
        <w:jc w:val="left"/>
        <w:rPr>
          <w:rFonts w:hint="eastAsia" w:ascii="宋体" w:hAnsi="宋体" w:cs="宋体"/>
          <w:szCs w:val="21"/>
        </w:rPr>
      </w:pPr>
      <w:r>
        <w:rPr>
          <w:rFonts w:hint="eastAsia" w:ascii="宋体" w:hAnsi="宋体" w:cs="宋体"/>
          <w:szCs w:val="21"/>
        </w:rPr>
        <w:t xml:space="preserve">5、运输方式及包装和费用负担：运费由乙方承担，货物包装应符合通用标准，货物毁损、灭失的风险自甲方收货后转移至甲方。 </w:t>
      </w:r>
    </w:p>
    <w:p>
      <w:pPr>
        <w:jc w:val="left"/>
        <w:rPr>
          <w:rFonts w:hint="eastAsia" w:ascii="宋体" w:hAnsi="宋体" w:cs="宋体"/>
          <w:szCs w:val="21"/>
        </w:rPr>
      </w:pPr>
      <w:r>
        <w:rPr>
          <w:rFonts w:hint="eastAsia" w:ascii="宋体" w:hAnsi="宋体" w:eastAsia="仿宋_GB2312" w:cs="宋体"/>
          <w:szCs w:val="21"/>
          <w:lang w:val="en-US" w:eastAsia="zh-CN"/>
        </w:rPr>
        <w:t>6、</w:t>
      </w:r>
      <w:r>
        <w:rPr>
          <w:rFonts w:hint="eastAsia" w:ascii="仿宋_GB2312" w:eastAsia="仿宋_GB2312"/>
          <w:sz w:val="24"/>
          <w:lang w:val="en-US" w:eastAsia="zh-CN"/>
        </w:rPr>
        <w:t>安装人员需要登高的需要具有登高证、所有施工人员干活都需要有体检、保险，进入培训。</w:t>
      </w:r>
    </w:p>
    <w:p>
      <w:pPr>
        <w:ind w:left="315" w:hanging="330" w:hangingChars="150"/>
        <w:jc w:val="left"/>
        <w:rPr>
          <w:rFonts w:hint="eastAsia" w:ascii="宋体" w:hAnsi="宋体" w:cs="宋体"/>
          <w:color w:val="000000"/>
          <w:szCs w:val="21"/>
        </w:rPr>
      </w:pPr>
      <w:r>
        <w:rPr>
          <w:rFonts w:hint="eastAsia" w:ascii="宋体" w:hAnsi="宋体" w:cs="宋体"/>
          <w:szCs w:val="21"/>
          <w:lang w:val="en-US" w:eastAsia="zh-CN"/>
        </w:rPr>
        <w:t>7</w:t>
      </w:r>
      <w:r>
        <w:rPr>
          <w:rFonts w:hint="eastAsia" w:ascii="宋体" w:hAnsi="宋体" w:cs="宋体"/>
          <w:szCs w:val="21"/>
        </w:rPr>
        <w:t>、结算方式及质保期限：</w:t>
      </w:r>
      <w:r>
        <w:rPr>
          <w:rFonts w:hint="eastAsia" w:ascii="宋体" w:hAnsi="宋体" w:cs="宋体"/>
          <w:color w:val="000000"/>
          <w:szCs w:val="21"/>
        </w:rPr>
        <w:t>货到验收合格，且乙方开具全额</w:t>
      </w:r>
      <w:r>
        <w:rPr>
          <w:rFonts w:hint="eastAsia" w:ascii="宋体" w:hAnsi="宋体" w:cs="宋体"/>
          <w:color w:val="000000"/>
          <w:szCs w:val="21"/>
          <w:lang w:val="en-US" w:eastAsia="zh-CN"/>
        </w:rPr>
        <w:t xml:space="preserve">   </w:t>
      </w:r>
      <w:r>
        <w:rPr>
          <w:rFonts w:hint="eastAsia" w:ascii="宋体" w:hAnsi="宋体" w:cs="宋体"/>
          <w:color w:val="000000"/>
          <w:szCs w:val="21"/>
          <w:highlight w:val="yellow"/>
        </w:rPr>
        <w:t>%</w:t>
      </w:r>
      <w:r>
        <w:rPr>
          <w:rFonts w:hint="eastAsia" w:ascii="宋体" w:hAnsi="宋体" w:cs="宋体"/>
          <w:color w:val="000000"/>
          <w:szCs w:val="21"/>
        </w:rPr>
        <w:t>增值税专用发票后次月付清全款</w:t>
      </w:r>
      <w:r>
        <w:rPr>
          <w:rFonts w:hint="eastAsia" w:ascii="宋体" w:hAnsi="宋体" w:cs="宋体"/>
          <w:color w:val="000000"/>
          <w:szCs w:val="21"/>
          <w:lang w:eastAsia="zh-CN"/>
        </w:rPr>
        <w:t>，</w:t>
      </w:r>
      <w:r>
        <w:rPr>
          <w:rFonts w:hint="eastAsia" w:ascii="宋体" w:hAnsi="宋体" w:cs="宋体"/>
          <w:color w:val="000000"/>
          <w:szCs w:val="21"/>
          <w:lang w:val="en-US" w:eastAsia="zh-CN"/>
        </w:rPr>
        <w:t>如涉及到重量结算时，</w:t>
      </w:r>
      <w:r>
        <w:rPr>
          <w:rFonts w:hint="eastAsia" w:ascii="宋体" w:hAnsi="宋体" w:cs="宋体"/>
          <w:color w:val="000000"/>
          <w:szCs w:val="21"/>
        </w:rPr>
        <w:t>货到验收合格按</w:t>
      </w:r>
      <w:r>
        <w:rPr>
          <w:rFonts w:hint="eastAsia" w:ascii="宋体" w:hAnsi="宋体" w:cs="宋体"/>
          <w:color w:val="000000"/>
          <w:szCs w:val="21"/>
          <w:lang w:val="en-US" w:eastAsia="zh-CN"/>
        </w:rPr>
        <w:t>需</w:t>
      </w:r>
      <w:r>
        <w:rPr>
          <w:rFonts w:hint="eastAsia" w:ascii="宋体" w:hAnsi="宋体" w:cs="宋体"/>
          <w:color w:val="000000"/>
          <w:szCs w:val="21"/>
        </w:rPr>
        <w:t>方磅单实际重量结算。质保期自货物投入使用后起算1年。质保期内出现质量问题乙方免费维修或更换（由于甲方操作不当引起的原因不在质保范围）如</w:t>
      </w:r>
      <w:r>
        <w:t>当国家税率发生变化时，不含税价格保持不变，按照新税率计算含税价格，双方适用新税率的含税价格进行开票付款</w:t>
      </w:r>
      <w:r>
        <w:rPr>
          <w:rFonts w:hint="eastAsia" w:ascii="宋体" w:hAnsi="宋体" w:cs="宋体"/>
          <w:color w:val="000000"/>
          <w:szCs w:val="21"/>
        </w:rPr>
        <w:t>。</w:t>
      </w:r>
    </w:p>
    <w:p>
      <w:pPr>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、售后服务：乙方有专人24小时电话服务，接到服务请求后2小时内电话答复，必要时48小时服务人员赶到甲方现场。</w:t>
      </w:r>
    </w:p>
    <w:p>
      <w:pPr>
        <w:jc w:val="left"/>
        <w:rPr>
          <w:rFonts w:hint="eastAsia"/>
          <w:szCs w:val="21"/>
        </w:rPr>
      </w:pPr>
      <w:r>
        <w:rPr>
          <w:rFonts w:hint="eastAsia" w:ascii="宋体" w:hAnsi="宋体" w:cs="宋体"/>
          <w:szCs w:val="21"/>
          <w:lang w:val="en-US" w:eastAsia="zh-CN"/>
        </w:rPr>
        <w:t>9、</w:t>
      </w:r>
      <w:r>
        <w:rPr>
          <w:rFonts w:hint="eastAsia"/>
          <w:szCs w:val="21"/>
        </w:rPr>
        <w:t>违约责任：如乙方未按要求交货，每逾期一日，按合同总金额7</w:t>
      </w:r>
      <w:r>
        <w:rPr>
          <w:rFonts w:ascii="Arial" w:hAnsi="Arial" w:cs="Arial"/>
          <w:szCs w:val="21"/>
        </w:rPr>
        <w:t>‰</w:t>
      </w:r>
      <w:r>
        <w:rPr>
          <w:rFonts w:hint="eastAsia"/>
          <w:szCs w:val="21"/>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pPr>
        <w:jc w:val="left"/>
        <w:rPr>
          <w:rFonts w:hint="eastAsia" w:ascii="宋体" w:hAnsi="宋体" w:cs="宋体"/>
          <w:szCs w:val="21"/>
        </w:rPr>
      </w:pPr>
      <w:r>
        <w:rPr>
          <w:rFonts w:hint="eastAsia"/>
          <w:szCs w:val="21"/>
          <w:lang w:val="en-US" w:eastAsia="zh-CN"/>
        </w:rPr>
        <w:t>10、</w:t>
      </w:r>
      <w:r>
        <w:rPr>
          <w:rFonts w:hint="eastAsia" w:ascii="宋体" w:hAnsi="宋体" w:cs="宋体"/>
          <w:szCs w:val="21"/>
        </w:rPr>
        <w:t>纠纷解决：合同履行期间出现纠纷，双方应协商解决；若协商不妥，任何一方可直接向合同签订地人民法院提起诉讼。</w:t>
      </w:r>
    </w:p>
    <w:p>
      <w:pPr>
        <w:rPr>
          <w:rFonts w:hint="eastAsia"/>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、其他事项：</w:t>
      </w:r>
      <w:r>
        <w:rPr>
          <w:rFonts w:hint="eastAsia"/>
          <w:szCs w:val="21"/>
        </w:rPr>
        <w:t>其它未尽事宜按照《中华人民共和国</w:t>
      </w:r>
      <w:r>
        <w:rPr>
          <w:rFonts w:hint="eastAsia"/>
          <w:szCs w:val="21"/>
          <w:lang w:val="en-US" w:eastAsia="zh-CN"/>
        </w:rPr>
        <w:t>民法典</w:t>
      </w:r>
      <w:r>
        <w:rPr>
          <w:rFonts w:hint="eastAsia"/>
          <w:szCs w:val="21"/>
        </w:rPr>
        <w:t>》执行。本合同由双方盖章后生效。传真或扫描件（能证明信息真实）有效。</w:t>
      </w:r>
    </w:p>
    <w:p>
      <w:pPr>
        <w:spacing w:line="320" w:lineRule="exact"/>
        <w:rPr>
          <w:rFonts w:hint="eastAsia"/>
          <w:szCs w:val="21"/>
        </w:rPr>
      </w:pPr>
      <w:r>
        <w:rPr>
          <w:rFonts w:hint="eastAsia"/>
          <w:szCs w:val="21"/>
        </w:rPr>
        <w:t>1</w:t>
      </w:r>
      <w:r>
        <w:rPr>
          <w:rFonts w:hint="eastAsia"/>
          <w:szCs w:val="21"/>
          <w:lang w:val="en-US" w:eastAsia="zh-CN"/>
        </w:rPr>
        <w:t>2</w:t>
      </w:r>
      <w:r>
        <w:rPr>
          <w:rFonts w:hint="eastAsia"/>
          <w:szCs w:val="21"/>
        </w:rPr>
        <w:t>、</w:t>
      </w:r>
      <w:r>
        <w:rPr>
          <w:rFonts w:hint="eastAsia" w:ascii="宋体" w:hAnsi="宋体" w:cs="宋体"/>
          <w:szCs w:val="21"/>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39"/>
        <w:gridCol w:w="426"/>
        <w:gridCol w:w="569"/>
        <w:gridCol w:w="1568"/>
        <w:gridCol w:w="339"/>
        <w:gridCol w:w="1227"/>
        <w:gridCol w:w="1775"/>
        <w:gridCol w:w="568"/>
        <w:gridCol w:w="39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32" w:type="dxa"/>
            <w:gridSpan w:val="5"/>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供      方（乙方）</w:t>
            </w:r>
          </w:p>
        </w:tc>
        <w:tc>
          <w:tcPr>
            <w:tcW w:w="339" w:type="dxa"/>
            <w:vMerge w:val="restart"/>
            <w:tcBorders>
              <w:top w:val="nil"/>
            </w:tcBorders>
            <w:noWrap w:val="0"/>
            <w:vAlign w:val="center"/>
          </w:tcPr>
          <w:p>
            <w:pPr>
              <w:spacing w:line="340" w:lineRule="exact"/>
              <w:jc w:val="center"/>
              <w:rPr>
                <w:sz w:val="21"/>
                <w:szCs w:val="21"/>
                <w:u w:val="single"/>
              </w:rPr>
            </w:pPr>
          </w:p>
        </w:tc>
        <w:tc>
          <w:tcPr>
            <w:tcW w:w="5077" w:type="dxa"/>
            <w:gridSpan w:val="5"/>
            <w:noWrap w:val="0"/>
            <w:vAlign w:val="center"/>
          </w:tcPr>
          <w:p>
            <w:pPr>
              <w:spacing w:line="340" w:lineRule="exact"/>
              <w:jc w:val="center"/>
              <w:rPr>
                <w:sz w:val="21"/>
                <w:szCs w:val="21"/>
              </w:rPr>
            </w:pPr>
            <w:r>
              <w:rPr>
                <w:rFonts w:hint="eastAsia"/>
                <w:sz w:val="21"/>
                <w:szCs w:val="21"/>
              </w:rPr>
              <w:t>需</w:t>
            </w:r>
            <w:r>
              <w:rPr>
                <w:sz w:val="21"/>
                <w:szCs w:val="21"/>
              </w:rPr>
              <w:t xml:space="preserve">       </w:t>
            </w:r>
            <w:r>
              <w:rPr>
                <w:rFonts w:hint="eastAsia"/>
                <w:sz w:val="21"/>
                <w:szCs w:val="21"/>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230" w:type="dxa"/>
            <w:noWrap w:val="0"/>
            <w:vAlign w:val="top"/>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单位名称</w:t>
            </w:r>
          </w:p>
        </w:tc>
        <w:tc>
          <w:tcPr>
            <w:tcW w:w="3902" w:type="dxa"/>
            <w:gridSpan w:val="4"/>
            <w:noWrap w:val="0"/>
            <w:vAlign w:val="top"/>
          </w:tcPr>
          <w:p>
            <w:pPr>
              <w:spacing w:line="340" w:lineRule="exact"/>
              <w:ind w:left="-57" w:right="-57"/>
              <w:jc w:val="left"/>
              <w:rPr>
                <w:rFonts w:hint="eastAsia" w:ascii="Times New Roman" w:hAnsi="Times New Roman" w:eastAsia="宋体" w:cs="Times New Roman"/>
                <w:sz w:val="21"/>
                <w:szCs w:val="21"/>
              </w:rPr>
            </w:pPr>
          </w:p>
        </w:tc>
        <w:tc>
          <w:tcPr>
            <w:tcW w:w="339" w:type="dxa"/>
            <w:vMerge w:val="continue"/>
            <w:noWrap w:val="0"/>
            <w:vAlign w:val="top"/>
          </w:tcPr>
          <w:p>
            <w:pPr>
              <w:spacing w:line="340" w:lineRule="exact"/>
              <w:ind w:left="-57" w:right="-57"/>
              <w:rPr>
                <w:sz w:val="21"/>
                <w:szCs w:val="21"/>
              </w:rPr>
            </w:pPr>
          </w:p>
        </w:tc>
        <w:tc>
          <w:tcPr>
            <w:tcW w:w="1227" w:type="dxa"/>
            <w:noWrap w:val="0"/>
            <w:vAlign w:val="top"/>
          </w:tcPr>
          <w:p>
            <w:pPr>
              <w:spacing w:line="340" w:lineRule="exact"/>
              <w:ind w:left="-57" w:leftChars="0" w:right="-57" w:rightChars="0"/>
              <w:jc w:val="center"/>
              <w:rPr>
                <w:sz w:val="21"/>
                <w:szCs w:val="21"/>
              </w:rPr>
            </w:pPr>
            <w:r>
              <w:rPr>
                <w:rFonts w:hint="eastAsia"/>
                <w:sz w:val="21"/>
                <w:szCs w:val="21"/>
              </w:rPr>
              <w:t>单位名称</w:t>
            </w:r>
          </w:p>
        </w:tc>
        <w:tc>
          <w:tcPr>
            <w:tcW w:w="3850" w:type="dxa"/>
            <w:gridSpan w:val="4"/>
            <w:noWrap w:val="0"/>
            <w:vAlign w:val="top"/>
          </w:tcPr>
          <w:p>
            <w:pPr>
              <w:widowControl/>
              <w:spacing w:line="340" w:lineRule="exact"/>
              <w:jc w:val="left"/>
              <w:rPr>
                <w:rFonts w:ascii="宋体" w:cs="宋体"/>
                <w:kern w:val="0"/>
                <w:sz w:val="21"/>
                <w:szCs w:val="21"/>
              </w:rPr>
            </w:pPr>
            <w:r>
              <w:rPr>
                <w:rFonts w:hint="eastAsia" w:ascii="宋体" w:hAnsi="宋体" w:cs="宋体"/>
                <w:kern w:val="0"/>
                <w:sz w:val="21"/>
                <w:szCs w:val="21"/>
              </w:rPr>
              <w:t>中粮糖业辽宁有限公司</w:t>
            </w:r>
            <w:r>
              <w:rPr>
                <w:rFonts w:ascii="宋体" w:hAnsi="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单位地址</w:t>
            </w:r>
          </w:p>
        </w:tc>
        <w:tc>
          <w:tcPr>
            <w:tcW w:w="1765" w:type="dxa"/>
            <w:gridSpan w:val="2"/>
            <w:noWrap w:val="0"/>
            <w:vAlign w:val="center"/>
          </w:tcPr>
          <w:p>
            <w:pPr>
              <w:spacing w:line="340" w:lineRule="exact"/>
              <w:ind w:right="-57"/>
              <w:jc w:val="left"/>
              <w:rPr>
                <w:rFonts w:hint="default" w:ascii="Times New Roman" w:hAnsi="Times New Roman" w:eastAsia="宋体" w:cs="Times New Roman"/>
                <w:sz w:val="21"/>
                <w:szCs w:val="21"/>
                <w:lang w:val="en-US" w:eastAsia="zh-CN"/>
              </w:rPr>
            </w:pPr>
          </w:p>
        </w:tc>
        <w:tc>
          <w:tcPr>
            <w:tcW w:w="569" w:type="dxa"/>
            <w:noWrap w:val="0"/>
            <w:vAlign w:val="center"/>
          </w:tcPr>
          <w:p>
            <w:pPr>
              <w:spacing w:line="340" w:lineRule="exact"/>
              <w:ind w:left="-57" w:leftChars="0" w:right="-57" w:right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邮编</w:t>
            </w:r>
          </w:p>
        </w:tc>
        <w:tc>
          <w:tcPr>
            <w:tcW w:w="1568" w:type="dxa"/>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leftChars="0" w:right="-57" w:rightChars="0"/>
              <w:jc w:val="center"/>
              <w:rPr>
                <w:sz w:val="21"/>
                <w:szCs w:val="21"/>
              </w:rPr>
            </w:pPr>
            <w:r>
              <w:rPr>
                <w:rFonts w:hint="eastAsia"/>
                <w:sz w:val="21"/>
                <w:szCs w:val="21"/>
              </w:rPr>
              <w:t>单位地址</w:t>
            </w:r>
          </w:p>
        </w:tc>
        <w:tc>
          <w:tcPr>
            <w:tcW w:w="1775" w:type="dxa"/>
            <w:noWrap w:val="0"/>
            <w:vAlign w:val="center"/>
          </w:tcPr>
          <w:p>
            <w:pPr>
              <w:spacing w:line="340" w:lineRule="exact"/>
              <w:ind w:left="-57" w:leftChars="0" w:right="-57" w:rightChars="0"/>
              <w:jc w:val="center"/>
              <w:rPr>
                <w:sz w:val="21"/>
                <w:szCs w:val="21"/>
              </w:rPr>
            </w:pPr>
            <w:r>
              <w:rPr>
                <w:rFonts w:hint="eastAsia" w:ascii="宋体" w:hAnsi="宋体" w:cs="宋体"/>
                <w:sz w:val="21"/>
                <w:szCs w:val="21"/>
                <w:lang w:val="en-US" w:eastAsia="zh-CN"/>
              </w:rPr>
              <w:t>辽</w:t>
            </w:r>
            <w:r>
              <w:rPr>
                <w:rFonts w:hint="eastAsia" w:ascii="宋体" w:hAnsi="宋体" w:cs="宋体"/>
                <w:sz w:val="21"/>
                <w:szCs w:val="21"/>
              </w:rPr>
              <w:t>宁省营口仙人岛</w:t>
            </w:r>
            <w:r>
              <w:rPr>
                <w:rFonts w:hint="eastAsia" w:ascii="宋体" w:hAnsi="宋体" w:cs="宋体"/>
                <w:sz w:val="21"/>
                <w:szCs w:val="21"/>
                <w:lang w:val="en-US" w:eastAsia="zh-CN"/>
              </w:rPr>
              <w:t>经济开发区中粮大道1号</w:t>
            </w:r>
          </w:p>
        </w:tc>
        <w:tc>
          <w:tcPr>
            <w:tcW w:w="568" w:type="dxa"/>
            <w:noWrap w:val="0"/>
            <w:vAlign w:val="center"/>
          </w:tcPr>
          <w:p>
            <w:pPr>
              <w:spacing w:line="340" w:lineRule="exact"/>
              <w:ind w:left="-57" w:leftChars="0" w:right="-57" w:rightChars="0"/>
              <w:jc w:val="center"/>
              <w:rPr>
                <w:sz w:val="21"/>
                <w:szCs w:val="21"/>
              </w:rPr>
            </w:pPr>
            <w:r>
              <w:rPr>
                <w:rFonts w:hint="eastAsia"/>
                <w:sz w:val="21"/>
                <w:szCs w:val="21"/>
              </w:rPr>
              <w:t>邮编</w:t>
            </w:r>
          </w:p>
        </w:tc>
        <w:tc>
          <w:tcPr>
            <w:tcW w:w="1507" w:type="dxa"/>
            <w:gridSpan w:val="2"/>
            <w:noWrap w:val="0"/>
            <w:vAlign w:val="center"/>
          </w:tcPr>
          <w:p>
            <w:pPr>
              <w:spacing w:line="340" w:lineRule="exact"/>
              <w:ind w:left="-57" w:leftChars="0" w:right="-57" w:rightChars="0"/>
              <w:rPr>
                <w:sz w:val="21"/>
                <w:szCs w:val="21"/>
              </w:rPr>
            </w:pPr>
            <w:r>
              <w:rPr>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电话</w:t>
            </w:r>
          </w:p>
        </w:tc>
        <w:tc>
          <w:tcPr>
            <w:tcW w:w="1765" w:type="dxa"/>
            <w:gridSpan w:val="2"/>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569" w:type="dxa"/>
            <w:noWrap w:val="0"/>
            <w:vAlign w:val="center"/>
          </w:tcPr>
          <w:p>
            <w:pPr>
              <w:spacing w:line="340" w:lineRule="exact"/>
              <w:ind w:left="-57" w:leftChars="0" w:right="-57" w:right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传真</w:t>
            </w:r>
          </w:p>
        </w:tc>
        <w:tc>
          <w:tcPr>
            <w:tcW w:w="1568" w:type="dxa"/>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leftChars="0" w:right="-57" w:rightChars="0"/>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775" w:type="dxa"/>
            <w:noWrap w:val="0"/>
            <w:vAlign w:val="center"/>
          </w:tcPr>
          <w:p>
            <w:pPr>
              <w:spacing w:line="340" w:lineRule="exact"/>
              <w:ind w:right="-57" w:rightChars="0"/>
              <w:rPr>
                <w:sz w:val="21"/>
                <w:szCs w:val="21"/>
              </w:rPr>
            </w:pPr>
            <w:r>
              <w:rPr>
                <w:sz w:val="21"/>
                <w:szCs w:val="21"/>
              </w:rPr>
              <w:t>0417</w:t>
            </w:r>
            <w:r>
              <w:rPr>
                <w:rFonts w:hint="eastAsia"/>
                <w:sz w:val="21"/>
                <w:szCs w:val="21"/>
              </w:rPr>
              <w:t>－</w:t>
            </w:r>
            <w:r>
              <w:rPr>
                <w:sz w:val="21"/>
                <w:szCs w:val="21"/>
              </w:rPr>
              <w:t>65</w:t>
            </w:r>
            <w:r>
              <w:rPr>
                <w:rFonts w:hint="eastAsia"/>
                <w:sz w:val="21"/>
                <w:szCs w:val="21"/>
              </w:rPr>
              <w:t>730</w:t>
            </w:r>
            <w:r>
              <w:rPr>
                <w:rFonts w:hint="eastAsia"/>
                <w:sz w:val="21"/>
                <w:szCs w:val="21"/>
                <w:lang w:val="en-US" w:eastAsia="zh-CN"/>
              </w:rPr>
              <w:t>15</w:t>
            </w:r>
          </w:p>
        </w:tc>
        <w:tc>
          <w:tcPr>
            <w:tcW w:w="568" w:type="dxa"/>
            <w:noWrap w:val="0"/>
            <w:vAlign w:val="center"/>
          </w:tcPr>
          <w:p>
            <w:pPr>
              <w:spacing w:line="340" w:lineRule="exact"/>
              <w:ind w:left="-57" w:leftChars="0" w:right="-57" w:rightChars="0"/>
              <w:jc w:val="center"/>
              <w:rPr>
                <w:sz w:val="21"/>
                <w:szCs w:val="21"/>
              </w:rPr>
            </w:pPr>
            <w:r>
              <w:rPr>
                <w:rFonts w:hint="eastAsia"/>
                <w:sz w:val="21"/>
                <w:szCs w:val="21"/>
              </w:rPr>
              <w:t>传真</w:t>
            </w:r>
          </w:p>
        </w:tc>
        <w:tc>
          <w:tcPr>
            <w:tcW w:w="1507" w:type="dxa"/>
            <w:gridSpan w:val="2"/>
            <w:noWrap w:val="0"/>
            <w:vAlign w:val="center"/>
          </w:tcPr>
          <w:p>
            <w:pPr>
              <w:spacing w:line="340" w:lineRule="exact"/>
              <w:ind w:left="-57" w:leftChars="0" w:right="-57" w:rightChars="0"/>
              <w:jc w:val="center"/>
              <w:rPr>
                <w:sz w:val="21"/>
                <w:szCs w:val="21"/>
              </w:rPr>
            </w:pPr>
            <w:r>
              <w:rPr>
                <w:sz w:val="21"/>
                <w:szCs w:val="21"/>
              </w:rPr>
              <w:t>0417-65</w:t>
            </w:r>
            <w:r>
              <w:rPr>
                <w:rFonts w:hint="eastAsia"/>
                <w:sz w:val="21"/>
                <w:szCs w:val="21"/>
              </w:rPr>
              <w:t>730</w:t>
            </w:r>
            <w:r>
              <w:rPr>
                <w:rFonts w:hint="eastAsia"/>
                <w:sz w:val="21"/>
                <w:szCs w:val="21"/>
                <w:lang w:val="en-US" w:eastAsia="zh-CN"/>
              </w:rPr>
              <w:t>15</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开户银行</w:t>
            </w:r>
          </w:p>
        </w:tc>
        <w:tc>
          <w:tcPr>
            <w:tcW w:w="3902" w:type="dxa"/>
            <w:gridSpan w:val="4"/>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leftChars="0" w:right="-57" w:rightChars="0"/>
              <w:jc w:val="center"/>
              <w:rPr>
                <w:sz w:val="21"/>
                <w:szCs w:val="21"/>
              </w:rPr>
            </w:pPr>
            <w:r>
              <w:rPr>
                <w:rFonts w:hint="eastAsia"/>
                <w:sz w:val="21"/>
                <w:szCs w:val="21"/>
              </w:rPr>
              <w:t>开户银行</w:t>
            </w:r>
          </w:p>
        </w:tc>
        <w:tc>
          <w:tcPr>
            <w:tcW w:w="3850" w:type="dxa"/>
            <w:gridSpan w:val="4"/>
            <w:noWrap w:val="0"/>
            <w:vAlign w:val="center"/>
          </w:tcPr>
          <w:p>
            <w:pPr>
              <w:spacing w:line="340" w:lineRule="exact"/>
              <w:ind w:left="-57" w:leftChars="0" w:right="-57" w:rightChars="0"/>
              <w:jc w:val="left"/>
              <w:rPr>
                <w:rFonts w:hint="eastAsia"/>
                <w:sz w:val="21"/>
                <w:szCs w:val="21"/>
              </w:rPr>
            </w:pPr>
            <w:r>
              <w:rPr>
                <w:rFonts w:hint="eastAsia"/>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帐    号</w:t>
            </w:r>
          </w:p>
        </w:tc>
        <w:tc>
          <w:tcPr>
            <w:tcW w:w="3902" w:type="dxa"/>
            <w:gridSpan w:val="4"/>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leftChars="0" w:right="-57" w:rightChars="0"/>
              <w:jc w:val="center"/>
              <w:rPr>
                <w:sz w:val="21"/>
                <w:szCs w:val="21"/>
              </w:rPr>
            </w:pPr>
            <w:r>
              <w:rPr>
                <w:rFonts w:hint="eastAsia"/>
                <w:sz w:val="21"/>
                <w:szCs w:val="21"/>
              </w:rPr>
              <w:t>帐</w:t>
            </w:r>
            <w:r>
              <w:rPr>
                <w:sz w:val="21"/>
                <w:szCs w:val="21"/>
              </w:rPr>
              <w:t xml:space="preserve">    </w:t>
            </w:r>
            <w:r>
              <w:rPr>
                <w:rFonts w:hint="eastAsia"/>
                <w:sz w:val="21"/>
                <w:szCs w:val="21"/>
              </w:rPr>
              <w:t>号</w:t>
            </w:r>
          </w:p>
        </w:tc>
        <w:tc>
          <w:tcPr>
            <w:tcW w:w="3850" w:type="dxa"/>
            <w:gridSpan w:val="4"/>
            <w:noWrap w:val="0"/>
            <w:vAlign w:val="center"/>
          </w:tcPr>
          <w:p>
            <w:pPr>
              <w:spacing w:line="340" w:lineRule="exact"/>
              <w:ind w:left="-57" w:leftChars="0" w:right="-57" w:rightChars="0"/>
              <w:jc w:val="left"/>
              <w:rPr>
                <w:sz w:val="21"/>
                <w:szCs w:val="21"/>
              </w:rPr>
            </w:pPr>
            <w:r>
              <w:rPr>
                <w:rFonts w:hint="eastAsia"/>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税    号</w:t>
            </w:r>
          </w:p>
        </w:tc>
        <w:tc>
          <w:tcPr>
            <w:tcW w:w="3902" w:type="dxa"/>
            <w:gridSpan w:val="4"/>
            <w:noWrap w:val="0"/>
            <w:vAlign w:val="center"/>
          </w:tcPr>
          <w:p>
            <w:pPr>
              <w:spacing w:line="340" w:lineRule="exact"/>
              <w:ind w:left="-57" w:right="-57"/>
              <w:jc w:val="left"/>
              <w:rPr>
                <w:rFonts w:hint="default" w:ascii="Times New Roman" w:hAnsi="Times New Roman" w:eastAsia="宋体" w:cs="Times New Roman"/>
                <w:sz w:val="21"/>
                <w:szCs w:val="21"/>
                <w:lang w:val="en-US" w:eastAsia="zh-CN"/>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leftChars="0" w:right="-57" w:rightChars="0"/>
              <w:jc w:val="center"/>
              <w:rPr>
                <w:sz w:val="21"/>
                <w:szCs w:val="21"/>
              </w:rPr>
            </w:pPr>
            <w:r>
              <w:rPr>
                <w:rFonts w:hint="eastAsia"/>
                <w:sz w:val="21"/>
                <w:szCs w:val="21"/>
              </w:rPr>
              <w:t>税</w:t>
            </w:r>
            <w:r>
              <w:rPr>
                <w:sz w:val="21"/>
                <w:szCs w:val="21"/>
              </w:rPr>
              <w:t xml:space="preserve">    </w:t>
            </w:r>
            <w:r>
              <w:rPr>
                <w:rFonts w:hint="eastAsia"/>
                <w:sz w:val="21"/>
                <w:szCs w:val="21"/>
              </w:rPr>
              <w:t>号</w:t>
            </w:r>
          </w:p>
        </w:tc>
        <w:tc>
          <w:tcPr>
            <w:tcW w:w="3850" w:type="dxa"/>
            <w:gridSpan w:val="4"/>
            <w:noWrap w:val="0"/>
            <w:vAlign w:val="center"/>
          </w:tcPr>
          <w:p>
            <w:pPr>
              <w:spacing w:line="340" w:lineRule="exact"/>
              <w:ind w:left="-57" w:leftChars="0" w:right="-57" w:rightChars="0"/>
              <w:jc w:val="left"/>
              <w:rPr>
                <w:sz w:val="21"/>
                <w:szCs w:val="21"/>
              </w:rPr>
            </w:pPr>
            <w:r>
              <w:rPr>
                <w:rFonts w:hint="eastAsia"/>
                <w:sz w:val="21"/>
                <w:szCs w:val="21"/>
              </w:rPr>
              <w:t>91</w:t>
            </w:r>
            <w:r>
              <w:rPr>
                <w:sz w:val="21"/>
                <w:szCs w:val="21"/>
              </w:rPr>
              <w:t>210881558152425</w:t>
            </w:r>
            <w:r>
              <w:rPr>
                <w:rFonts w:hint="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230" w:type="dxa"/>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    定</w:t>
            </w:r>
          </w:p>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代 表 人</w:t>
            </w:r>
          </w:p>
        </w:tc>
        <w:tc>
          <w:tcPr>
            <w:tcW w:w="1339" w:type="dxa"/>
            <w:noWrap w:val="0"/>
            <w:vAlign w:val="center"/>
          </w:tcPr>
          <w:p>
            <w:pPr>
              <w:spacing w:line="340" w:lineRule="exact"/>
              <w:ind w:left="-57" w:right="-57"/>
              <w:jc w:val="center"/>
              <w:rPr>
                <w:rFonts w:hint="eastAsia" w:ascii="Times New Roman" w:hAnsi="Times New Roman" w:eastAsia="宋体" w:cs="Times New Roman"/>
                <w:sz w:val="21"/>
                <w:szCs w:val="21"/>
              </w:rPr>
            </w:pPr>
          </w:p>
        </w:tc>
        <w:tc>
          <w:tcPr>
            <w:tcW w:w="995" w:type="dxa"/>
            <w:gridSpan w:val="2"/>
            <w:noWrap w:val="0"/>
            <w:vAlign w:val="center"/>
          </w:tcPr>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委    托</w:t>
            </w:r>
          </w:p>
          <w:p>
            <w:pPr>
              <w:spacing w:line="340" w:lineRule="exact"/>
              <w:ind w:left="-57" w:right="-57"/>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代 理 人</w:t>
            </w:r>
          </w:p>
        </w:tc>
        <w:tc>
          <w:tcPr>
            <w:tcW w:w="1568" w:type="dxa"/>
            <w:noWrap w:val="0"/>
            <w:vAlign w:val="center"/>
          </w:tcPr>
          <w:p>
            <w:pPr>
              <w:spacing w:line="340" w:lineRule="exact"/>
              <w:ind w:left="-57" w:right="-57"/>
              <w:jc w:val="center"/>
              <w:rPr>
                <w:rFonts w:hint="eastAsia" w:ascii="Times New Roman" w:hAnsi="Times New Roman" w:eastAsia="宋体" w:cs="Times New Roman"/>
                <w:sz w:val="21"/>
                <w:szCs w:val="21"/>
                <w:lang w:val="en-GB"/>
              </w:rPr>
            </w:pPr>
          </w:p>
        </w:tc>
        <w:tc>
          <w:tcPr>
            <w:tcW w:w="339" w:type="dxa"/>
            <w:vMerge w:val="continue"/>
            <w:noWrap w:val="0"/>
            <w:vAlign w:val="center"/>
          </w:tcPr>
          <w:p>
            <w:pPr>
              <w:spacing w:line="340" w:lineRule="exact"/>
              <w:ind w:left="-57" w:right="-57"/>
              <w:jc w:val="center"/>
              <w:rPr>
                <w:sz w:val="21"/>
                <w:szCs w:val="21"/>
              </w:rPr>
            </w:pPr>
          </w:p>
        </w:tc>
        <w:tc>
          <w:tcPr>
            <w:tcW w:w="1227" w:type="dxa"/>
            <w:noWrap w:val="0"/>
            <w:vAlign w:val="center"/>
          </w:tcPr>
          <w:p>
            <w:pPr>
              <w:spacing w:line="340" w:lineRule="exact"/>
              <w:ind w:left="-57" w:right="-57"/>
              <w:jc w:val="center"/>
              <w:rPr>
                <w:sz w:val="21"/>
                <w:szCs w:val="21"/>
              </w:rPr>
            </w:pPr>
            <w:r>
              <w:rPr>
                <w:rFonts w:hint="eastAsia"/>
                <w:sz w:val="21"/>
                <w:szCs w:val="21"/>
              </w:rPr>
              <w:t>法</w:t>
            </w:r>
            <w:r>
              <w:rPr>
                <w:sz w:val="21"/>
                <w:szCs w:val="21"/>
              </w:rPr>
              <w:t xml:space="preserve">    </w:t>
            </w:r>
            <w:r>
              <w:rPr>
                <w:rFonts w:hint="eastAsia"/>
                <w:sz w:val="21"/>
                <w:szCs w:val="21"/>
              </w:rPr>
              <w:t>定</w:t>
            </w:r>
          </w:p>
          <w:p>
            <w:pPr>
              <w:spacing w:line="340" w:lineRule="exact"/>
              <w:ind w:left="-57" w:leftChars="0" w:right="-57" w:rightChars="0"/>
              <w:jc w:val="center"/>
              <w:rPr>
                <w:sz w:val="21"/>
                <w:szCs w:val="21"/>
              </w:rPr>
            </w:pPr>
            <w:r>
              <w:rPr>
                <w:rFonts w:hint="eastAsia"/>
                <w:sz w:val="21"/>
                <w:szCs w:val="21"/>
              </w:rPr>
              <w:t>代</w:t>
            </w:r>
            <w:r>
              <w:rPr>
                <w:sz w:val="21"/>
                <w:szCs w:val="21"/>
              </w:rPr>
              <w:t xml:space="preserve"> </w:t>
            </w:r>
            <w:r>
              <w:rPr>
                <w:rFonts w:hint="eastAsia"/>
                <w:sz w:val="21"/>
                <w:szCs w:val="21"/>
              </w:rPr>
              <w:t>表</w:t>
            </w:r>
            <w:r>
              <w:rPr>
                <w:sz w:val="21"/>
                <w:szCs w:val="21"/>
              </w:rPr>
              <w:t xml:space="preserve"> </w:t>
            </w:r>
            <w:r>
              <w:rPr>
                <w:rFonts w:hint="eastAsia"/>
                <w:sz w:val="21"/>
                <w:szCs w:val="21"/>
              </w:rPr>
              <w:t>人</w:t>
            </w:r>
          </w:p>
        </w:tc>
        <w:tc>
          <w:tcPr>
            <w:tcW w:w="1775" w:type="dxa"/>
            <w:noWrap w:val="0"/>
            <w:vAlign w:val="center"/>
          </w:tcPr>
          <w:p>
            <w:pPr>
              <w:spacing w:line="340" w:lineRule="exact"/>
              <w:ind w:left="-57" w:leftChars="0" w:right="-57" w:rightChars="0"/>
              <w:jc w:val="center"/>
              <w:rPr>
                <w:sz w:val="21"/>
                <w:szCs w:val="21"/>
              </w:rPr>
            </w:pPr>
          </w:p>
        </w:tc>
        <w:tc>
          <w:tcPr>
            <w:tcW w:w="967" w:type="dxa"/>
            <w:gridSpan w:val="2"/>
            <w:noWrap w:val="0"/>
            <w:vAlign w:val="center"/>
          </w:tcPr>
          <w:p>
            <w:pPr>
              <w:spacing w:line="340" w:lineRule="exact"/>
              <w:ind w:left="-57" w:right="-57"/>
              <w:jc w:val="center"/>
              <w:rPr>
                <w:sz w:val="21"/>
                <w:szCs w:val="21"/>
              </w:rPr>
            </w:pPr>
            <w:r>
              <w:rPr>
                <w:rFonts w:hint="eastAsia"/>
                <w:sz w:val="21"/>
                <w:szCs w:val="21"/>
              </w:rPr>
              <w:t>委</w:t>
            </w:r>
            <w:r>
              <w:rPr>
                <w:sz w:val="21"/>
                <w:szCs w:val="21"/>
              </w:rPr>
              <w:t xml:space="preserve">    </w:t>
            </w:r>
            <w:r>
              <w:rPr>
                <w:rFonts w:hint="eastAsia"/>
                <w:sz w:val="21"/>
                <w:szCs w:val="21"/>
              </w:rPr>
              <w:t>托</w:t>
            </w:r>
          </w:p>
          <w:p>
            <w:pPr>
              <w:spacing w:line="340" w:lineRule="exact"/>
              <w:ind w:left="-57" w:leftChars="0" w:right="-57" w:rightChars="0"/>
              <w:jc w:val="center"/>
              <w:rPr>
                <w:sz w:val="21"/>
                <w:szCs w:val="21"/>
              </w:rPr>
            </w:pPr>
            <w:r>
              <w:rPr>
                <w:rFonts w:hint="eastAsia"/>
                <w:sz w:val="21"/>
                <w:szCs w:val="21"/>
              </w:rPr>
              <w:t>代</w:t>
            </w:r>
            <w:r>
              <w:rPr>
                <w:sz w:val="21"/>
                <w:szCs w:val="21"/>
              </w:rPr>
              <w:t xml:space="preserve"> </w:t>
            </w:r>
            <w:r>
              <w:rPr>
                <w:rFonts w:hint="eastAsia"/>
                <w:sz w:val="21"/>
                <w:szCs w:val="21"/>
              </w:rPr>
              <w:t>理</w:t>
            </w:r>
            <w:r>
              <w:rPr>
                <w:sz w:val="21"/>
                <w:szCs w:val="21"/>
              </w:rPr>
              <w:t xml:space="preserve"> </w:t>
            </w:r>
            <w:r>
              <w:rPr>
                <w:rFonts w:hint="eastAsia"/>
                <w:sz w:val="21"/>
                <w:szCs w:val="21"/>
              </w:rPr>
              <w:t>人</w:t>
            </w:r>
          </w:p>
        </w:tc>
        <w:tc>
          <w:tcPr>
            <w:tcW w:w="1108" w:type="dxa"/>
            <w:noWrap w:val="0"/>
            <w:vAlign w:val="center"/>
          </w:tcPr>
          <w:p>
            <w:pPr>
              <w:spacing w:line="340" w:lineRule="exact"/>
              <w:ind w:left="-57" w:leftChars="0" w:right="-57" w:rightChars="0"/>
              <w:jc w:val="center"/>
              <w:rPr>
                <w:sz w:val="21"/>
                <w:szCs w:val="21"/>
              </w:rPr>
            </w:pPr>
          </w:p>
        </w:tc>
      </w:tr>
    </w:tbl>
    <w:p>
      <w:pPr>
        <w:rPr>
          <w:sz w:val="40"/>
          <w:szCs w:val="28"/>
        </w:rPr>
      </w:pPr>
    </w:p>
    <w:p>
      <w:pPr>
        <w:spacing w:line="360" w:lineRule="auto"/>
        <w:contextualSpacing/>
        <w:rPr>
          <w:rFonts w:ascii="方正小标宋_GBK" w:hAnsi="方正小标宋_GBK" w:eastAsia="方正小标宋_GBK" w:cs="方正小标宋_GBK"/>
          <w:sz w:val="36"/>
          <w:szCs w:val="36"/>
        </w:rPr>
      </w:pPr>
    </w:p>
    <w:p>
      <w:pPr>
        <w:spacing w:line="575" w:lineRule="exact"/>
        <w:jc w:val="center"/>
        <w:rPr>
          <w:rFonts w:ascii="微软雅黑" w:hAnsi="微软雅黑" w:cs="微软雅黑"/>
          <w:sz w:val="38"/>
          <w:szCs w:val="38"/>
        </w:rPr>
      </w:pPr>
      <w:r>
        <w:rPr>
          <w:rFonts w:hint="eastAsia" w:ascii="微软雅黑" w:hAnsi="微软雅黑" w:cs="微软雅黑"/>
          <w:sz w:val="38"/>
          <w:szCs w:val="38"/>
        </w:rPr>
        <w:t>(**项目</w:t>
      </w:r>
      <w:r>
        <w:rPr>
          <w:rFonts w:ascii="微软雅黑" w:hAnsi="微软雅黑" w:cs="微软雅黑"/>
          <w:sz w:val="38"/>
          <w:szCs w:val="38"/>
        </w:rPr>
        <w:t>)</w:t>
      </w:r>
    </w:p>
    <w:p>
      <w:pPr>
        <w:spacing w:line="575" w:lineRule="exact"/>
        <w:jc w:val="center"/>
        <w:rPr>
          <w:rFonts w:ascii="微软雅黑" w:hAnsi="微软雅黑" w:cs="微软雅黑"/>
          <w:sz w:val="40"/>
          <w:szCs w:val="40"/>
        </w:rPr>
      </w:pPr>
      <w:r>
        <w:rPr>
          <w:rFonts w:hint="eastAsia" w:ascii="微软雅黑" w:hAnsi="微软雅黑" w:cs="微软雅黑"/>
          <w:sz w:val="38"/>
          <w:szCs w:val="38"/>
        </w:rPr>
        <w:t>安全管理协议</w:t>
      </w:r>
    </w:p>
    <w:p>
      <w:pPr>
        <w:spacing w:line="575" w:lineRule="exact"/>
        <w:rPr>
          <w:rFonts w:ascii="仿宋_GB2312" w:hAnsi="仿宋" w:eastAsia="仿宋_GB2312" w:cs="仿宋"/>
          <w:sz w:val="32"/>
          <w:szCs w:val="30"/>
        </w:rPr>
      </w:pPr>
    </w:p>
    <w:p>
      <w:pPr>
        <w:spacing w:line="575" w:lineRule="exact"/>
        <w:rPr>
          <w:rFonts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pacing w:line="575" w:lineRule="exact"/>
        <w:rPr>
          <w:rFonts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pacing w:before="0" w:after="0" w:line="575" w:lineRule="exact"/>
        <w:ind w:firstLine="640" w:firstLineChars="200"/>
        <w:jc w:val="both"/>
        <w:rPr>
          <w:rFonts w:ascii="仿宋_GB2312" w:hAnsi="仿宋" w:eastAsia="仿宋_GB2312" w:cs="仿宋"/>
          <w:b w:val="0"/>
          <w:sz w:val="32"/>
          <w:szCs w:val="30"/>
        </w:rPr>
      </w:pPr>
      <w:r>
        <w:rPr>
          <w:rFonts w:hint="eastAsia" w:ascii="仿宋_GB2312" w:hAnsi="仿宋" w:eastAsia="仿宋_GB2312" w:cs="仿宋"/>
          <w:b w:val="0"/>
          <w:sz w:val="32"/>
          <w:szCs w:val="30"/>
        </w:rPr>
        <w:t>为了确保**项目全过程的安全管理，杜绝发生安全生产事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spacing w:line="575" w:lineRule="exact"/>
        <w:rPr>
          <w:rFonts w:ascii="黑体" w:hAnsi="黑体" w:eastAsia="黑体" w:cs="黑体"/>
          <w:sz w:val="32"/>
          <w:szCs w:val="32"/>
        </w:rPr>
      </w:pPr>
      <w:r>
        <w:rPr>
          <w:rFonts w:hint="eastAsia" w:ascii="黑体" w:hAnsi="黑体" w:eastAsia="黑体" w:cs="黑体"/>
          <w:sz w:val="32"/>
          <w:szCs w:val="32"/>
        </w:rPr>
        <w:t>1 甲方的职责、权利</w:t>
      </w:r>
    </w:p>
    <w:p>
      <w:pPr>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widowControl w:val="0"/>
        <w:numPr>
          <w:ilvl w:val="2"/>
          <w:numId w:val="2"/>
        </w:numPr>
        <w:adjustRightInd/>
        <w:spacing w:after="0" w:line="575" w:lineRule="exact"/>
        <w:jc w:val="both"/>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pacing w:line="575" w:lineRule="exact"/>
        <w:ind w:firstLine="640" w:firstLineChars="200"/>
        <w:rPr>
          <w:rFonts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spacing w:line="575" w:lineRule="exact"/>
        <w:ind w:firstLine="739" w:firstLineChars="231"/>
        <w:rPr>
          <w:rFonts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pacing w:line="575" w:lineRule="exact"/>
        <w:ind w:firstLine="640" w:firstLineChars="200"/>
        <w:rPr>
          <w:rFonts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1.2 权利</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 xml:space="preserve">2.1 乙方责任 </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spacing w:line="575" w:lineRule="exact"/>
        <w:ind w:firstLine="739" w:firstLineChars="231"/>
        <w:rPr>
          <w:rFonts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pacing w:line="575" w:lineRule="exact"/>
        <w:ind w:firstLine="640" w:firstLineChars="200"/>
        <w:rPr>
          <w:rFonts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2.2 权利</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spacing w:line="575" w:lineRule="exact"/>
        <w:rPr>
          <w:rFonts w:ascii="黑体" w:hAnsi="黑体" w:eastAsia="黑体" w:cs="黑体"/>
          <w:sz w:val="32"/>
          <w:szCs w:val="32"/>
        </w:rPr>
      </w:pPr>
      <w:r>
        <w:rPr>
          <w:rFonts w:hint="eastAsia" w:ascii="黑体" w:hAnsi="黑体" w:eastAsia="黑体" w:cs="黑体"/>
          <w:sz w:val="32"/>
          <w:szCs w:val="32"/>
        </w:rPr>
        <w:t>3 违约追偿</w:t>
      </w:r>
    </w:p>
    <w:p>
      <w:pPr>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spacing w:line="575" w:lineRule="exact"/>
        <w:rPr>
          <w:rFonts w:ascii="黑体" w:hAnsi="黑体" w:eastAsia="黑体" w:cs="黑体"/>
          <w:sz w:val="32"/>
          <w:szCs w:val="32"/>
        </w:rPr>
      </w:pPr>
      <w:r>
        <w:rPr>
          <w:rFonts w:hint="eastAsia" w:ascii="黑体" w:hAnsi="黑体" w:eastAsia="黑体" w:cs="黑体"/>
          <w:sz w:val="32"/>
          <w:szCs w:val="32"/>
        </w:rPr>
        <w:t>4 协议有效期</w:t>
      </w:r>
    </w:p>
    <w:p>
      <w:pPr>
        <w:pStyle w:val="12"/>
        <w:spacing w:after="0" w:line="575" w:lineRule="exact"/>
        <w:ind w:firstLine="681" w:firstLineChars="213"/>
        <w:rPr>
          <w:rFonts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spacing w:line="575" w:lineRule="exact"/>
        <w:rPr>
          <w:rFonts w:ascii="黑体" w:hAnsi="黑体" w:eastAsia="黑体" w:cs="黑体"/>
          <w:sz w:val="32"/>
          <w:szCs w:val="32"/>
        </w:rPr>
      </w:pPr>
      <w:r>
        <w:rPr>
          <w:rFonts w:hint="eastAsia" w:ascii="黑体" w:hAnsi="黑体" w:eastAsia="黑体" w:cs="黑体"/>
          <w:sz w:val="32"/>
          <w:szCs w:val="32"/>
        </w:rPr>
        <w:t>5 协议效力</w:t>
      </w:r>
    </w:p>
    <w:p>
      <w:pPr>
        <w:spacing w:line="575" w:lineRule="exact"/>
        <w:ind w:firstLine="681" w:firstLineChars="213"/>
        <w:rPr>
          <w:rFonts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pacing w:line="575" w:lineRule="exact"/>
        <w:rPr>
          <w:rFonts w:ascii="仿宋_GB2312" w:hAnsi="仿宋" w:eastAsia="仿宋_GB2312" w:cs="仿宋"/>
          <w:sz w:val="32"/>
          <w:szCs w:val="32"/>
        </w:rPr>
      </w:pPr>
    </w:p>
    <w:p>
      <w:pPr>
        <w:spacing w:line="575" w:lineRule="exact"/>
        <w:rPr>
          <w:rFonts w:ascii="仿宋_GB2312" w:hAnsi="仿宋" w:eastAsia="仿宋_GB2312" w:cs="仿宋"/>
          <w:sz w:val="32"/>
          <w:szCs w:val="32"/>
        </w:rPr>
      </w:pPr>
      <w:r>
        <w:rPr>
          <w:rFonts w:hint="eastAsia" w:ascii="仿宋_GB2312" w:hAnsi="仿宋" w:eastAsia="仿宋_GB2312" w:cs="仿宋"/>
          <w:sz w:val="32"/>
          <w:szCs w:val="32"/>
        </w:rPr>
        <w:t>甲方（盖章）：                乙方（盖章）：</w:t>
      </w:r>
    </w:p>
    <w:p>
      <w:pPr>
        <w:spacing w:line="575" w:lineRule="exact"/>
        <w:rPr>
          <w:rFonts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spacing w:line="575" w:lineRule="exact"/>
        <w:rPr>
          <w:rFonts w:ascii="仿宋_GB2312" w:hAnsi="仿宋" w:eastAsia="仿宋_GB2312" w:cs="仿宋"/>
          <w:sz w:val="32"/>
          <w:szCs w:val="32"/>
        </w:rPr>
      </w:pPr>
      <w:r>
        <w:rPr>
          <w:rFonts w:hint="eastAsia" w:ascii="仿宋" w:hAnsi="仿宋" w:eastAsia="仿宋" w:cs="仿宋"/>
          <w:sz w:val="32"/>
          <w:szCs w:val="32"/>
        </w:rPr>
        <w:br w:type="page"/>
      </w:r>
      <w:r>
        <w:rPr>
          <w:rFonts w:hint="eastAsia" w:ascii="仿宋_GB2312" w:hAnsi="仿宋" w:eastAsia="仿宋_GB2312" w:cs="仿宋"/>
          <w:sz w:val="32"/>
          <w:szCs w:val="32"/>
        </w:rPr>
        <w:t>附表：安全文明施工现场违约情形及违约金</w:t>
      </w:r>
    </w:p>
    <w:tbl>
      <w:tblPr>
        <w:tblStyle w:val="1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pPr>
              <w:jc w:val="center"/>
              <w:rPr>
                <w:rFonts w:ascii="仿宋_GB2312" w:eastAsia="仿宋_GB2312"/>
                <w:szCs w:val="21"/>
              </w:rPr>
            </w:pPr>
            <w:r>
              <w:rPr>
                <w:rFonts w:hint="eastAsia" w:ascii="仿宋_GB2312" w:eastAsia="仿宋_GB2312"/>
                <w:szCs w:val="21"/>
              </w:rPr>
              <w:t>项目</w:t>
            </w:r>
          </w:p>
        </w:tc>
        <w:tc>
          <w:tcPr>
            <w:tcW w:w="5670" w:type="dxa"/>
            <w:vAlign w:val="center"/>
          </w:tcPr>
          <w:p>
            <w:pPr>
              <w:jc w:val="center"/>
              <w:rPr>
                <w:rFonts w:ascii="仿宋_GB2312" w:eastAsia="仿宋_GB2312"/>
                <w:szCs w:val="21"/>
              </w:rPr>
            </w:pPr>
            <w:r>
              <w:rPr>
                <w:rFonts w:hint="eastAsia" w:ascii="仿宋_GB2312" w:eastAsia="仿宋_GB2312"/>
                <w:szCs w:val="21"/>
              </w:rPr>
              <w:t>违反文明安全施工行为</w:t>
            </w:r>
          </w:p>
        </w:tc>
        <w:tc>
          <w:tcPr>
            <w:tcW w:w="1846" w:type="dxa"/>
            <w:vAlign w:val="center"/>
          </w:tcPr>
          <w:p>
            <w:pPr>
              <w:jc w:val="center"/>
              <w:rPr>
                <w:rFonts w:ascii="仿宋_GB2312" w:eastAsia="仿宋_GB2312"/>
                <w:szCs w:val="21"/>
              </w:rPr>
            </w:pPr>
            <w:r>
              <w:rPr>
                <w:rFonts w:hint="eastAsia" w:ascii="仿宋_GB2312" w:eastAsia="仿宋_GB2312"/>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pPr>
              <w:rPr>
                <w:rFonts w:ascii="仿宋_GB2312" w:eastAsia="仿宋_GB2312"/>
                <w:szCs w:val="21"/>
              </w:rPr>
            </w:pPr>
            <w:r>
              <w:rPr>
                <w:rFonts w:hint="eastAsia" w:ascii="仿宋_GB2312" w:eastAsia="仿宋_GB2312"/>
                <w:szCs w:val="21"/>
              </w:rPr>
              <w:t>一、安全防护</w:t>
            </w:r>
          </w:p>
        </w:tc>
        <w:tc>
          <w:tcPr>
            <w:tcW w:w="5670" w:type="dxa"/>
            <w:vAlign w:val="center"/>
          </w:tcPr>
          <w:p>
            <w:pPr>
              <w:rPr>
                <w:rFonts w:ascii="仿宋_GB2312" w:eastAsia="仿宋_GB2312"/>
                <w:szCs w:val="21"/>
              </w:rPr>
            </w:pPr>
            <w:r>
              <w:rPr>
                <w:rFonts w:hint="eastAsia" w:ascii="仿宋_GB2312" w:eastAsia="仿宋_GB2312"/>
                <w:szCs w:val="21"/>
              </w:rPr>
              <w:t>1、作业时未穿戴相应合规的防护用品</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2、脚手架拆装无防护措施；</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3、使用未检验合格的防护用品或防护用品失效；</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4、临边洞口无防护措施；</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pPr>
              <w:rPr>
                <w:rFonts w:ascii="仿宋_GB2312" w:eastAsia="仿宋_GB2312"/>
                <w:szCs w:val="21"/>
              </w:rPr>
            </w:pPr>
            <w:r>
              <w:rPr>
                <w:rFonts w:hint="eastAsia" w:ascii="仿宋_GB2312" w:eastAsia="仿宋_GB2312"/>
                <w:szCs w:val="21"/>
              </w:rPr>
              <w:t>二、文明施工</w:t>
            </w:r>
          </w:p>
        </w:tc>
        <w:tc>
          <w:tcPr>
            <w:tcW w:w="5670" w:type="dxa"/>
            <w:vAlign w:val="center"/>
          </w:tcPr>
          <w:p>
            <w:pPr>
              <w:rPr>
                <w:rFonts w:ascii="仿宋_GB2312" w:eastAsia="仿宋_GB2312"/>
                <w:szCs w:val="21"/>
              </w:rPr>
            </w:pPr>
            <w:r>
              <w:rPr>
                <w:rFonts w:hint="eastAsia" w:ascii="仿宋_GB2312" w:eastAsia="仿宋_GB2312"/>
                <w:szCs w:val="21"/>
              </w:rPr>
              <w:t>5、在厂区内非吸烟区吸烟的；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6、不文明作业（如：随地大小便、酒后上岗、吵骂打架、随意占用、堵塞道路、通道的）</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7、驾驶车辆超速的（门口及转弯处5公里/小时，厂内道路10公里/小时，厂前路20公里/小时）；</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8、施工现场杂乱(如：严重脏、乱、差、垃圾未及时清理的</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9、未经许可，随意进入生产区域的；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pPr>
              <w:rPr>
                <w:rFonts w:ascii="仿宋_GB2312" w:eastAsia="仿宋_GB2312"/>
                <w:szCs w:val="21"/>
              </w:rPr>
            </w:pPr>
            <w:r>
              <w:rPr>
                <w:rFonts w:hint="eastAsia" w:ascii="仿宋_GB2312" w:eastAsia="仿宋_GB2312"/>
                <w:szCs w:val="21"/>
              </w:rPr>
              <w:t>三、现场管理</w:t>
            </w:r>
          </w:p>
        </w:tc>
        <w:tc>
          <w:tcPr>
            <w:tcW w:w="5670" w:type="dxa"/>
            <w:vAlign w:val="center"/>
          </w:tcPr>
          <w:p>
            <w:pPr>
              <w:rPr>
                <w:rFonts w:ascii="仿宋_GB2312" w:eastAsia="仿宋_GB2312"/>
                <w:szCs w:val="21"/>
              </w:rPr>
            </w:pPr>
            <w:r>
              <w:rPr>
                <w:rFonts w:hint="eastAsia" w:ascii="仿宋_GB2312" w:eastAsia="仿宋_GB2312"/>
                <w:szCs w:val="21"/>
              </w:rPr>
              <w:t>10、现场安全隐患未定期整改的；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11、现场作业未开具作业证就动工作业的（包含动火、吊装、高处、受限空间、临时用电等）；</w:t>
            </w:r>
          </w:p>
        </w:tc>
        <w:tc>
          <w:tcPr>
            <w:tcW w:w="1846" w:type="dxa"/>
            <w:vAlign w:val="center"/>
          </w:tcPr>
          <w:p>
            <w:pPr>
              <w:jc w:val="center"/>
              <w:rPr>
                <w:rFonts w:ascii="仿宋_GB2312" w:eastAsia="仿宋_GB2312"/>
                <w:szCs w:val="21"/>
              </w:rPr>
            </w:pPr>
            <w:r>
              <w:rPr>
                <w:rFonts w:hint="eastAsia" w:ascii="仿宋_GB2312" w:eastAsia="仿宋_GB2312"/>
                <w:szCs w:val="21"/>
              </w:rPr>
              <w:t>1000元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12、特种作业人员及特殊工种人员未持证上岗的；</w:t>
            </w:r>
          </w:p>
        </w:tc>
        <w:tc>
          <w:tcPr>
            <w:tcW w:w="1846" w:type="dxa"/>
            <w:vAlign w:val="center"/>
          </w:tcPr>
          <w:p>
            <w:pPr>
              <w:jc w:val="center"/>
              <w:rPr>
                <w:rFonts w:ascii="仿宋_GB2312" w:eastAsia="仿宋_GB2312"/>
                <w:szCs w:val="21"/>
              </w:rPr>
            </w:pPr>
            <w:r>
              <w:rPr>
                <w:rFonts w:hint="eastAsia" w:ascii="仿宋_GB2312" w:eastAsia="仿宋_GB2312"/>
                <w:szCs w:val="21"/>
              </w:rPr>
              <w:t>1000元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vAlign w:val="center"/>
          </w:tcPr>
          <w:p>
            <w:pPr>
              <w:rPr>
                <w:rFonts w:ascii="仿宋_GB2312" w:eastAsia="仿宋_GB2312"/>
                <w:szCs w:val="21"/>
              </w:rPr>
            </w:pPr>
            <w:r>
              <w:rPr>
                <w:rFonts w:hint="eastAsia" w:ascii="仿宋_GB2312" w:eastAsia="仿宋_GB2312"/>
                <w:szCs w:val="21"/>
              </w:rPr>
              <w:t>四、电气安全</w:t>
            </w:r>
          </w:p>
        </w:tc>
        <w:tc>
          <w:tcPr>
            <w:tcW w:w="5670" w:type="dxa"/>
            <w:vAlign w:val="center"/>
          </w:tcPr>
          <w:p>
            <w:pPr>
              <w:rPr>
                <w:rFonts w:ascii="仿宋_GB2312" w:eastAsia="仿宋_GB2312"/>
                <w:szCs w:val="21"/>
              </w:rPr>
            </w:pPr>
            <w:r>
              <w:rPr>
                <w:rFonts w:hint="eastAsia" w:ascii="仿宋_GB2312" w:eastAsia="仿宋_GB2312"/>
                <w:szCs w:val="21"/>
              </w:rPr>
              <w:t xml:space="preserve">13 临时用电未采用三级配电、三相五线制、二级漏电保护系统；                                       </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14、未执行“一机、一闸、一漏”的规定；</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15、分配电箱与开关箱距离大于30米，开关箱与用电设备距离大于3米；</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pPr>
              <w:rPr>
                <w:rFonts w:ascii="仿宋_GB2312" w:eastAsia="仿宋_GB2312"/>
                <w:szCs w:val="21"/>
              </w:rPr>
            </w:pPr>
            <w:r>
              <w:rPr>
                <w:rFonts w:hint="eastAsia" w:ascii="仿宋_GB2312" w:eastAsia="仿宋_GB2312"/>
                <w:szCs w:val="21"/>
              </w:rPr>
              <w:t>五、消防安全</w:t>
            </w:r>
          </w:p>
        </w:tc>
        <w:tc>
          <w:tcPr>
            <w:tcW w:w="5670" w:type="dxa"/>
            <w:vAlign w:val="center"/>
          </w:tcPr>
          <w:p>
            <w:pPr>
              <w:rPr>
                <w:rFonts w:ascii="仿宋_GB2312" w:eastAsia="仿宋_GB2312"/>
                <w:szCs w:val="21"/>
              </w:rPr>
            </w:pPr>
            <w:r>
              <w:rPr>
                <w:rFonts w:hint="eastAsia" w:ascii="仿宋_GB2312" w:eastAsia="仿宋_GB2312"/>
                <w:szCs w:val="21"/>
              </w:rPr>
              <w:t>16、氧气瓶与乙炔气瓶距离小于5米，二者距火源小于10米</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17、动用明火未配置消防器材的；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18、氧气、乙炔瓶阳光下直晒；</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19、乙炔气瓶平放；</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20、气瓶压力表损坏或失准；</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21、非紧急情况私自动用公司消防器材、消防水的；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22、未按规定配置合规灭火器材的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pPr>
              <w:rPr>
                <w:rFonts w:ascii="仿宋_GB2312" w:eastAsia="仿宋_GB2312"/>
                <w:szCs w:val="21"/>
              </w:rPr>
            </w:pPr>
            <w:r>
              <w:rPr>
                <w:rFonts w:hint="eastAsia" w:ascii="仿宋_GB2312" w:eastAsia="仿宋_GB2312"/>
                <w:szCs w:val="21"/>
              </w:rPr>
              <w:t>六、其他</w:t>
            </w:r>
          </w:p>
        </w:tc>
        <w:tc>
          <w:tcPr>
            <w:tcW w:w="5670" w:type="dxa"/>
            <w:vAlign w:val="center"/>
          </w:tcPr>
          <w:p>
            <w:pPr>
              <w:rPr>
                <w:rFonts w:ascii="仿宋_GB2312" w:eastAsia="仿宋_GB2312"/>
                <w:szCs w:val="21"/>
              </w:rPr>
            </w:pPr>
            <w:r>
              <w:rPr>
                <w:rFonts w:hint="eastAsia" w:ascii="仿宋_GB2312" w:eastAsia="仿宋_GB2312"/>
                <w:szCs w:val="21"/>
              </w:rPr>
              <w:t>23、发生安全事故，未及时上报或隐瞒事故原因及责任人的；</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24、随意动用公司物品及标志牌造成损坏的；</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25、偷盗公司物品的每次给予相关单位违约追偿处理，严重者交公安机关处理；</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26、施工方案或安全措施方案未经批准擅自施工和操作；</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27、安排未经过培训教育、安全交底人员进入现场作业，随意更换未备案作业人员进厂作业；</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28、危险作业监护人不在现场；</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29、发生事故，不论大小；</w:t>
            </w:r>
          </w:p>
        </w:tc>
        <w:tc>
          <w:tcPr>
            <w:tcW w:w="1846" w:type="dxa"/>
            <w:vAlign w:val="center"/>
          </w:tcPr>
          <w:p>
            <w:pPr>
              <w:jc w:val="center"/>
              <w:rPr>
                <w:rFonts w:ascii="仿宋_GB2312" w:eastAsia="仿宋_GB2312"/>
                <w:szCs w:val="21"/>
              </w:rPr>
            </w:pPr>
            <w:r>
              <w:rPr>
                <w:rFonts w:hint="eastAsia" w:ascii="仿宋_GB2312" w:eastAsia="仿宋_GB2312"/>
                <w:szCs w:val="21"/>
              </w:rPr>
              <w:t>500元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tcPr>
          <w:p>
            <w:pPr>
              <w:rPr>
                <w:rFonts w:ascii="仿宋_GB2312" w:eastAsia="仿宋_GB2312"/>
                <w:szCs w:val="21"/>
              </w:rPr>
            </w:pPr>
          </w:p>
        </w:tc>
        <w:tc>
          <w:tcPr>
            <w:tcW w:w="5670" w:type="dxa"/>
            <w:vAlign w:val="center"/>
          </w:tcPr>
          <w:p>
            <w:pPr>
              <w:rPr>
                <w:rFonts w:ascii="仿宋_GB2312" w:eastAsia="仿宋_GB2312"/>
                <w:szCs w:val="21"/>
              </w:rPr>
            </w:pPr>
            <w:r>
              <w:rPr>
                <w:rFonts w:hint="eastAsia" w:ascii="仿宋_GB2312" w:eastAsia="仿宋_GB2312"/>
                <w:szCs w:val="21"/>
              </w:rPr>
              <w:t>30、其他安全隐患或不文明作业现象、足以引发事故的。</w:t>
            </w:r>
          </w:p>
        </w:tc>
        <w:tc>
          <w:tcPr>
            <w:tcW w:w="1846" w:type="dxa"/>
            <w:vAlign w:val="center"/>
          </w:tcPr>
          <w:p>
            <w:pPr>
              <w:jc w:val="center"/>
              <w:rPr>
                <w:rFonts w:ascii="仿宋_GB2312" w:eastAsia="仿宋_GB2312"/>
                <w:szCs w:val="21"/>
              </w:rPr>
            </w:pPr>
            <w:r>
              <w:rPr>
                <w:rFonts w:hint="eastAsia" w:ascii="仿宋_GB2312" w:eastAsia="仿宋_GB2312"/>
                <w:szCs w:val="21"/>
              </w:rPr>
              <w:t>200元</w:t>
            </w:r>
            <w:r>
              <w:rPr>
                <w:rFonts w:hint="eastAsia" w:ascii="微软雅黑" w:hAnsi="微软雅黑" w:cs="微软雅黑"/>
                <w:szCs w:val="21"/>
              </w:rPr>
              <w:t>∕</w:t>
            </w:r>
            <w:r>
              <w:rPr>
                <w:rFonts w:hint="eastAsia" w:ascii="仿宋_GB2312" w:hAnsi="仿宋_GB2312" w:eastAsia="仿宋_GB2312" w:cs="仿宋_GB2312"/>
                <w:szCs w:val="21"/>
              </w:rPr>
              <w:t>人</w:t>
            </w:r>
            <w:r>
              <w:rPr>
                <w:rFonts w:hint="eastAsia" w:ascii="微软雅黑" w:hAnsi="微软雅黑" w:cs="微软雅黑"/>
                <w:szCs w:val="21"/>
              </w:rPr>
              <w:t>∕</w:t>
            </w:r>
            <w:r>
              <w:rPr>
                <w:rFonts w:hint="eastAsia" w:ascii="仿宋_GB2312" w:hAnsi="仿宋_GB2312" w:eastAsia="仿宋_GB2312" w:cs="仿宋_GB2312"/>
                <w:szCs w:val="21"/>
              </w:rPr>
              <w:t>次</w:t>
            </w:r>
          </w:p>
        </w:tc>
      </w:tr>
    </w:tbl>
    <w:p>
      <w:pPr>
        <w:spacing w:line="575" w:lineRule="exact"/>
        <w:rPr>
          <w:rFonts w:ascii="仿宋_GB2312" w:hAnsi="仿宋" w:eastAsia="仿宋_GB2312" w:cs="仿宋"/>
          <w:sz w:val="28"/>
          <w:szCs w:val="24"/>
        </w:rPr>
      </w:pPr>
      <w:r>
        <w:rPr>
          <w:rFonts w:hint="eastAsia" w:ascii="仿宋_GB2312" w:hAnsi="仿宋" w:eastAsia="仿宋_GB2312" w:cs="仿宋"/>
          <w:sz w:val="28"/>
          <w:szCs w:val="24"/>
        </w:rPr>
        <w:t>备注：1.当违约情形反复发生时，将进行倍数罚款</w:t>
      </w:r>
    </w:p>
    <w:p>
      <w:pPr>
        <w:spacing w:line="575" w:lineRule="exact"/>
        <w:rPr>
          <w:rFonts w:ascii="仿宋_GB2312" w:hAnsi="仿宋" w:eastAsia="仿宋_GB2312" w:cs="仿宋"/>
          <w:sz w:val="28"/>
          <w:szCs w:val="24"/>
        </w:rPr>
      </w:pPr>
      <w:r>
        <w:rPr>
          <w:rFonts w:hint="eastAsia" w:ascii="仿宋_GB2312" w:hAnsi="仿宋" w:eastAsia="仿宋_GB2312" w:cs="仿宋"/>
          <w:sz w:val="28"/>
          <w:szCs w:val="24"/>
        </w:rPr>
        <w:t>2.当违约情形及违约金与合同不符时，以合同为准。</w:t>
      </w:r>
    </w:p>
    <w:p>
      <w:pPr>
        <w:spacing w:line="575" w:lineRule="exact"/>
        <w:rPr>
          <w:rFonts w:ascii="仿宋" w:hAnsi="仿宋" w:eastAsia="仿宋" w:cs="仿宋"/>
          <w:sz w:val="24"/>
          <w:szCs w:val="24"/>
        </w:rPr>
      </w:pPr>
    </w:p>
    <w:p>
      <w:pPr>
        <w:spacing w:line="575" w:lineRule="exact"/>
        <w:rPr>
          <w:rFonts w:ascii="仿宋" w:hAnsi="仿宋" w:eastAsia="仿宋" w:cs="仿宋"/>
          <w:sz w:val="24"/>
          <w:szCs w:val="24"/>
        </w:rPr>
      </w:pPr>
    </w:p>
    <w:p>
      <w:pPr>
        <w:spacing w:line="575" w:lineRule="exact"/>
        <w:rPr>
          <w:rFonts w:ascii="仿宋" w:hAnsi="仿宋" w:eastAsia="仿宋" w:cs="仿宋"/>
          <w:sz w:val="24"/>
          <w:szCs w:val="24"/>
        </w:rPr>
      </w:pPr>
    </w:p>
    <w:p>
      <w:pPr>
        <w:spacing w:line="575" w:lineRule="exact"/>
        <w:rPr>
          <w:rFonts w:ascii="仿宋" w:hAnsi="仿宋" w:eastAsia="仿宋" w:cs="仿宋"/>
          <w:sz w:val="24"/>
          <w:szCs w:val="24"/>
        </w:rPr>
      </w:pPr>
    </w:p>
    <w:p>
      <w:pPr>
        <w:spacing w:line="360" w:lineRule="auto"/>
        <w:contextualSpacing/>
        <w:rPr>
          <w:rFonts w:ascii="黑体" w:hAnsi="黑体" w:eastAsia="黑体" w:cs="黑体"/>
          <w:sz w:val="32"/>
          <w:szCs w:val="32"/>
        </w:rPr>
      </w:pPr>
    </w:p>
    <w:p>
      <w:pPr>
        <w:spacing w:line="360" w:lineRule="auto"/>
        <w:contextualSpacing/>
        <w:rPr>
          <w:rFonts w:ascii="黑体" w:hAnsi="黑体" w:eastAsia="黑体" w:cs="黑体"/>
          <w:sz w:val="32"/>
          <w:szCs w:val="32"/>
        </w:rPr>
      </w:pP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中粮糖业辽宁有限公司</w:t>
      </w: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环保管理协议书</w:t>
      </w:r>
    </w:p>
    <w:p>
      <w:pPr>
        <w:spacing w:line="520" w:lineRule="exact"/>
        <w:rPr>
          <w:rFonts w:ascii="Times New Roman" w:hAnsi="Times New Roman" w:eastAsia="方正仿宋_GB2312" w:cs="Times New Roman"/>
          <w:sz w:val="32"/>
          <w:szCs w:val="32"/>
        </w:rPr>
      </w:pP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发包方：中粮糖业辽宁有限公司（以下称甲方）</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承包方：（以下称乙方）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第一条乙方为甲方劳务外包期间，应满足如下要 求：</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（一）乙方在甲方现场的所有活动必须遵守国家相关法律法规。</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（二）乙方进入甲方厂内必须对因施工或其他生产行为可能对环境造成的污染应采取积极预防并不断改进的措施，确保污染物达标排放，同时应做出持续改进 的承诺。</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（三）乙方在甲方厂内工作前有义务主动向甲方了解作业区域内环保管理要求。</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（四）甲乙双方合同履行期间，乙方必须采取有效措施将乙方人员在劳动过程对产生环境影响的主要因 素进行有效控制。</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（五）乙方人员在上岗前必须对现场作业人员进行环保教育或培训，提高现场人员的环保意识。</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（六）乙方必须建立一套环境事故应急反应预案并且在甲方处备案。</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（七）甲方将不定期对乙方在环境保护方面的工作落实情况进行检查，乙方应积极配合，如有检查确认的不合格项，乙方须予以整改。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（八）乙方在环境保护工作落实期间如遇突发问题,甲方应予以积极协助和指导。乙方在整个劳务外包期间,始终具有履行环境保护工作的责任和义务。甲方负责检查、指导和监督。</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（九）以上对乙方的环保要求的最终解释权归甲方所有，乙方可向甲方进行咨询。</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（十）如有未尽事宜，甲乙双方及时协商。</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（十一）本协议一式两份，双方各持一份，协议内容自双方签订之日起开始实施。</w:t>
      </w:r>
    </w:p>
    <w:p>
      <w:pPr>
        <w:spacing w:line="520" w:lineRule="exact"/>
        <w:ind w:firstLine="560" w:firstLineChars="200"/>
        <w:rPr>
          <w:rFonts w:ascii="Times New Roman" w:hAnsi="Times New Roman" w:eastAsia="方正仿宋_GB2312" w:cs="Times New Roman"/>
          <w:sz w:val="28"/>
          <w:szCs w:val="28"/>
        </w:rPr>
      </w:pPr>
    </w:p>
    <w:p>
      <w:pPr>
        <w:spacing w:line="520"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甲方：中粮糖业辽宁有限公司（盖章）</w:t>
      </w:r>
    </w:p>
    <w:p>
      <w:pPr>
        <w:spacing w:line="520"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 xml:space="preserve">日期：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 xml:space="preserve">年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 xml:space="preserve">月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日</w:t>
      </w:r>
    </w:p>
    <w:p>
      <w:pPr>
        <w:spacing w:line="520"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乙方：（盖章）</w:t>
      </w:r>
    </w:p>
    <w:p>
      <w:pPr>
        <w:spacing w:line="520"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 xml:space="preserve">日期：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 xml:space="preserve">年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 xml:space="preserve">月 </w:t>
      </w:r>
      <w:r>
        <w:rPr>
          <w:rFonts w:ascii="Times New Roman" w:hAnsi="Times New Roman" w:eastAsia="方正仿宋_GB2312" w:cs="Times New Roman"/>
          <w:sz w:val="28"/>
          <w:szCs w:val="28"/>
        </w:rPr>
        <w:t xml:space="preserve"> </w:t>
      </w:r>
      <w:r>
        <w:rPr>
          <w:rFonts w:hint="eastAsia" w:ascii="Times New Roman" w:hAnsi="Times New Roman" w:eastAsia="方正仿宋_GB2312" w:cs="Times New Roman"/>
          <w:sz w:val="28"/>
          <w:szCs w:val="28"/>
        </w:rPr>
        <w:t>日</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r>
        <w:rPr>
          <w:rFonts w:hint="eastAsia" w:cs="仿宋_GB2312" w:asciiTheme="minorEastAsia" w:hAnsiTheme="minorEastAsia" w:eastAsiaTheme="minorEastAsia"/>
          <w:b/>
          <w:bCs/>
          <w:color w:val="000000" w:themeColor="text1"/>
          <w:sz w:val="28"/>
          <w:szCs w:val="28"/>
        </w:rPr>
        <w:t>第三部分 中粮糖业采购监督联系方式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一、中粮糖业纪检监督联系方式</w:t>
      </w:r>
    </w:p>
    <w:p>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地址：北京市朝阳区朝阳门南大街8号9层904室监察部</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电话：010-85017235</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二、采购项目监督人员联系方式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姓名：于鑫淼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联系电话：0417-65</w:t>
      </w:r>
      <w:r>
        <w:rPr>
          <w:rFonts w:asciiTheme="minorEastAsia" w:hAnsiTheme="minorEastAsia" w:eastAsiaTheme="minorEastAsia"/>
          <w:sz w:val="28"/>
          <w:szCs w:val="28"/>
        </w:rPr>
        <w:t>73015</w:t>
      </w: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r>
        <w:rPr>
          <w:rFonts w:hint="eastAsia" w:cs="仿宋_GB2312" w:asciiTheme="minorEastAsia" w:hAnsiTheme="minorEastAsia" w:eastAsiaTheme="minorEastAsia"/>
          <w:b/>
          <w:bCs/>
          <w:color w:val="000000" w:themeColor="text1"/>
          <w:sz w:val="28"/>
          <w:szCs w:val="28"/>
        </w:rPr>
        <w:t xml:space="preserve">第四部分 </w:t>
      </w:r>
    </w:p>
    <w:p>
      <w:pPr>
        <w:pStyle w:val="5"/>
        <w:jc w:val="center"/>
        <w:rPr>
          <w:rFonts w:cs="仿宋_GB2312" w:asciiTheme="minorEastAsia" w:hAnsiTheme="minorEastAsia" w:eastAsiaTheme="minorEastAsia"/>
          <w:sz w:val="144"/>
          <w:szCs w:val="144"/>
        </w:rPr>
      </w:pPr>
    </w:p>
    <w:p>
      <w:pPr>
        <w:pStyle w:val="5"/>
        <w:jc w:val="center"/>
        <w:rPr>
          <w:rFonts w:cs="仿宋_GB2312" w:asciiTheme="minorEastAsia" w:hAnsiTheme="minorEastAsia" w:eastAsiaTheme="minorEastAsia"/>
          <w:sz w:val="72"/>
          <w:szCs w:val="72"/>
        </w:rPr>
      </w:pPr>
      <w:r>
        <w:rPr>
          <w:rFonts w:hint="eastAsia" w:cs="仿宋_GB2312" w:asciiTheme="minorEastAsia" w:hAnsiTheme="minorEastAsia" w:eastAsiaTheme="minorEastAsia"/>
          <w:sz w:val="72"/>
          <w:szCs w:val="72"/>
          <w:lang w:val="en-US"/>
        </w:rPr>
        <w:t>投标</w:t>
      </w:r>
      <w:r>
        <w:rPr>
          <w:rFonts w:hint="eastAsia" w:cs="仿宋_GB2312" w:asciiTheme="minorEastAsia" w:hAnsiTheme="minorEastAsia" w:eastAsiaTheme="minorEastAsia"/>
          <w:sz w:val="72"/>
          <w:szCs w:val="72"/>
        </w:rPr>
        <w:t>文件</w:t>
      </w:r>
    </w:p>
    <w:p>
      <w:pPr>
        <w:pStyle w:val="5"/>
        <w:rPr>
          <w:rFonts w:cs="仿宋_GB2312" w:asciiTheme="minorEastAsia" w:hAnsiTheme="minorEastAsia" w:eastAsiaTheme="minorEastAsia"/>
          <w:b/>
        </w:rPr>
      </w:pPr>
    </w:p>
    <w:p>
      <w:pPr>
        <w:pStyle w:val="5"/>
        <w:ind w:left="2743" w:leftChars="524" w:hanging="1590" w:hangingChars="495"/>
        <w:rPr>
          <w:rFonts w:hint="eastAsia" w:cs="仿宋_GB2312" w:asciiTheme="minorEastAsia" w:hAnsiTheme="minorEastAsia" w:eastAsiaTheme="minorEastAsia"/>
          <w:b/>
          <w:sz w:val="28"/>
          <w:szCs w:val="28"/>
          <w:lang w:eastAsia="zh-CN"/>
        </w:rPr>
      </w:pPr>
      <w:r>
        <w:rPr>
          <w:rFonts w:hint="eastAsia" w:cs="仿宋_GB2312" w:asciiTheme="minorEastAsia" w:hAnsiTheme="minorEastAsia" w:eastAsiaTheme="minorEastAsia"/>
          <w:b/>
        </w:rPr>
        <w:t>项目名称：</w:t>
      </w:r>
      <w:r>
        <w:rPr>
          <w:rFonts w:hint="eastAsia" w:cs="仿宋_GB2312" w:asciiTheme="minorEastAsia" w:hAnsiTheme="minorEastAsia" w:eastAsiaTheme="minorEastAsia"/>
          <w:b/>
          <w:sz w:val="28"/>
          <w:szCs w:val="28"/>
          <w:lang w:eastAsia="zh-CN"/>
        </w:rPr>
        <w:t>原糖车辆校验系统硬件采购项目</w:t>
      </w:r>
    </w:p>
    <w:p>
      <w:pPr>
        <w:pStyle w:val="5"/>
        <w:ind w:left="2743" w:leftChars="524" w:hanging="1590" w:hangingChars="495"/>
        <w:rPr>
          <w:rFonts w:cs="仿宋_GB2312" w:asciiTheme="minorEastAsia" w:hAnsiTheme="minorEastAsia" w:eastAsiaTheme="minorEastAsia"/>
          <w:b/>
          <w:u w:val="single"/>
        </w:rPr>
      </w:pPr>
      <w:r>
        <w:rPr>
          <w:rFonts w:hint="eastAsia" w:cs="仿宋_GB2312" w:asciiTheme="minorEastAsia" w:hAnsiTheme="minorEastAsia" w:eastAsiaTheme="minorEastAsia"/>
          <w:b/>
        </w:rPr>
        <w:t>投标单位：</w:t>
      </w:r>
      <w:r>
        <w:rPr>
          <w:rFonts w:hint="eastAsia" w:cs="仿宋_GB2312" w:asciiTheme="minorEastAsia" w:hAnsiTheme="minorEastAsia" w:eastAsiaTheme="minorEastAsia"/>
          <w:b/>
          <w:u w:val="single"/>
        </w:rPr>
        <w:t xml:space="preserve">                       </w:t>
      </w:r>
    </w:p>
    <w:p>
      <w:pPr>
        <w:tabs>
          <w:tab w:val="left" w:pos="632"/>
        </w:tabs>
        <w:rPr>
          <w:rFonts w:asciiTheme="minorEastAsia" w:hAnsiTheme="minorEastAsia" w:eastAsiaTheme="minorEastAsia"/>
          <w:b/>
          <w:bCs/>
          <w:color w:val="000000"/>
          <w:sz w:val="18"/>
          <w:szCs w:val="18"/>
        </w:rPr>
      </w:pPr>
    </w:p>
    <w:p>
      <w:pPr>
        <w:tabs>
          <w:tab w:val="left" w:pos="632"/>
        </w:tabs>
        <w:rPr>
          <w:rFonts w:asciiTheme="minorEastAsia" w:hAnsiTheme="minorEastAsia" w:eastAsiaTheme="minorEastAsia"/>
          <w:b/>
          <w:bCs/>
          <w:color w:val="000000"/>
          <w:sz w:val="18"/>
          <w:szCs w:val="18"/>
        </w:rPr>
      </w:pPr>
    </w:p>
    <w:p>
      <w:pPr>
        <w:tabs>
          <w:tab w:val="left" w:pos="632"/>
        </w:tabs>
        <w:rPr>
          <w:rFonts w:asciiTheme="minorEastAsia" w:hAnsiTheme="minorEastAsia" w:eastAsiaTheme="minorEastAsia"/>
          <w:b/>
          <w:bCs/>
          <w:color w:val="000000"/>
          <w:sz w:val="18"/>
          <w:szCs w:val="18"/>
        </w:rPr>
      </w:pPr>
    </w:p>
    <w:p>
      <w:pPr>
        <w:tabs>
          <w:tab w:val="left" w:pos="632"/>
        </w:tabs>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spacing w:line="540" w:lineRule="exact"/>
        <w:ind w:firstLine="3040" w:firstLineChars="9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w:t>
      </w:r>
      <w:r>
        <w:rPr>
          <w:rFonts w:cs="仿宋_GB2312" w:asciiTheme="minorEastAsia" w:hAnsiTheme="minorEastAsia" w:eastAsiaTheme="minorEastAsia"/>
          <w:sz w:val="32"/>
          <w:szCs w:val="32"/>
        </w:rPr>
        <w:t>4</w:t>
      </w:r>
      <w:r>
        <w:rPr>
          <w:rFonts w:hint="eastAsia"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lang w:val="en-US" w:eastAsia="zh-CN"/>
        </w:rPr>
        <w:t>3</w:t>
      </w:r>
      <w:r>
        <w:rPr>
          <w:rFonts w:hint="eastAsia" w:cs="仿宋_GB2312" w:asciiTheme="minorEastAsia" w:hAnsiTheme="minorEastAsia" w:eastAsiaTheme="minorEastAsia"/>
          <w:sz w:val="32"/>
          <w:szCs w:val="32"/>
        </w:rPr>
        <w:t>月</w:t>
      </w: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spacing w:line="540" w:lineRule="exact"/>
        <w:ind w:firstLine="3040" w:firstLineChars="950"/>
        <w:rPr>
          <w:rFonts w:cs="仿宋_GB2312" w:asciiTheme="minorEastAsia" w:hAnsiTheme="minorEastAsia" w:eastAsiaTheme="minorEastAsia"/>
          <w:sz w:val="32"/>
          <w:szCs w:val="32"/>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一、营业执照</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二、行业规定证书（如涉及）</w:t>
      </w: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rPr>
      </w:pPr>
      <w:r>
        <w:rPr>
          <w:rFonts w:hint="eastAsia" w:cs="仿宋_GB2312" w:asciiTheme="minorEastAsia" w:hAnsiTheme="minorEastAsia" w:eastAsiaTheme="minorEastAsia"/>
          <w:b/>
          <w:bCs/>
          <w:color w:val="000000" w:themeColor="text1"/>
          <w:sz w:val="28"/>
          <w:szCs w:val="28"/>
        </w:rPr>
        <w:t>三、报价单</w:t>
      </w:r>
    </w:p>
    <w:p>
      <w:pPr>
        <w:numPr>
          <w:ilvl w:val="0"/>
          <w:numId w:val="3"/>
        </w:numPr>
        <w:spacing w:line="4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根据你公司中粮糖业辽宁有限公司</w:t>
      </w:r>
      <w:r>
        <w:rPr>
          <w:rFonts w:hint="eastAsia" w:asciiTheme="minorEastAsia" w:hAnsiTheme="minorEastAsia" w:eastAsiaTheme="minorEastAsia" w:cstheme="minorEastAsia"/>
          <w:sz w:val="28"/>
          <w:szCs w:val="28"/>
          <w:lang w:val="zh-CN"/>
        </w:rPr>
        <w:t>原糖车辆校验系统硬件采购项目</w:t>
      </w:r>
      <w:r>
        <w:rPr>
          <w:rFonts w:hint="eastAsia" w:asciiTheme="minorEastAsia" w:hAnsiTheme="minorEastAsia" w:eastAsiaTheme="minorEastAsia" w:cstheme="minorEastAsia"/>
          <w:sz w:val="28"/>
          <w:szCs w:val="28"/>
        </w:rPr>
        <w:t>询比文件，遵照《中华人民共和国招标投标法》等有关规定，经研究上述询比文件的投标须知、合同条款、服务标准及其他有关文件后，我方报价如下</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
        <w:gridCol w:w="1306"/>
        <w:gridCol w:w="2162"/>
        <w:gridCol w:w="333"/>
        <w:gridCol w:w="294"/>
        <w:gridCol w:w="2396"/>
        <w:gridCol w:w="683"/>
        <w:gridCol w:w="683"/>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0" w:type="auto"/>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台式电脑带键盘鼠标</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戴尔3901 i5-12500 256g  8G ssd</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用于进、出库门，用于计算、接收、反馈警报信号。</w:t>
            </w:r>
            <w:r>
              <w:rPr>
                <w:rFonts w:hint="eastAsia" w:ascii="宋体" w:hAnsi="宋体" w:eastAsia="宋体" w:cs="宋体"/>
                <w:i w:val="0"/>
                <w:iCs w:val="0"/>
                <w:color w:val="000000"/>
                <w:kern w:val="0"/>
                <w:sz w:val="22"/>
                <w:szCs w:val="22"/>
                <w:u w:val="none"/>
                <w:lang w:val="en-US" w:eastAsia="zh-CN" w:bidi="ar"/>
              </w:rPr>
              <w:t>主板带PCIE接口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RFID读卡器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超高频RFID远距离读卡器（ZK-FRID102R）</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用于进、出库门读取合法车辆进出。</w:t>
            </w:r>
            <w:r>
              <w:rPr>
                <w:rFonts w:hint="eastAsia" w:ascii="宋体" w:hAnsi="宋体" w:eastAsia="宋体" w:cs="宋体"/>
                <w:i w:val="0"/>
                <w:iCs w:val="0"/>
                <w:color w:val="000000"/>
                <w:kern w:val="0"/>
                <w:sz w:val="22"/>
                <w:szCs w:val="22"/>
                <w:u w:val="none"/>
                <w:lang w:val="en-US" w:eastAsia="zh-CN" w:bidi="ar"/>
              </w:rPr>
              <w:t>需固定在地面、485口接口 供电9-12v电源适配器线加长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RFID发卡器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RFID超高频电子标签读写器(107USB)</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用于发布合法车辆电子标签卡，</w:t>
            </w:r>
            <w:r>
              <w:rPr>
                <w:rFonts w:hint="eastAsia" w:ascii="宋体" w:hAnsi="宋体" w:eastAsia="宋体" w:cs="宋体"/>
                <w:i w:val="0"/>
                <w:iCs w:val="0"/>
                <w:color w:val="000000"/>
                <w:kern w:val="0"/>
                <w:sz w:val="22"/>
                <w:szCs w:val="22"/>
                <w:u w:val="none"/>
                <w:lang w:val="en-US" w:eastAsia="zh-CN" w:bidi="ar"/>
              </w:rPr>
              <w:t>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红外线光栅</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米红外线对射主动式光栅（含支架套件）ESCL8020L1RZ-1080个光束，20mm间距，有效保护高度：1580mm，光栅总高：1670mm，双NPN常闭输出，DC24V，对射距离10米）</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用在进、出库门红外线对射，</w:t>
            </w:r>
            <w:r>
              <w:rPr>
                <w:rFonts w:hint="eastAsia" w:ascii="宋体" w:hAnsi="宋体" w:eastAsia="宋体" w:cs="宋体"/>
                <w:i w:val="0"/>
                <w:iCs w:val="0"/>
                <w:color w:val="000000"/>
                <w:kern w:val="0"/>
                <w:sz w:val="22"/>
                <w:szCs w:val="22"/>
                <w:u w:val="none"/>
                <w:lang w:val="en-US" w:eastAsia="zh-CN" w:bidi="ar"/>
              </w:rPr>
              <w:t>需固定在地面、线缆加长、12V供电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机柜壁挂</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22U弱电机柜</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0" w:type="auto"/>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用于放置进、出库门现场电脑、设备。</w:t>
            </w:r>
            <w:r>
              <w:rPr>
                <w:rFonts w:hint="eastAsia" w:ascii="宋体" w:hAnsi="宋体" w:eastAsia="宋体" w:cs="宋体"/>
                <w:i w:val="0"/>
                <w:iCs w:val="0"/>
                <w:color w:val="000000"/>
                <w:kern w:val="0"/>
                <w:sz w:val="22"/>
                <w:szCs w:val="22"/>
                <w:u w:val="none"/>
                <w:lang w:val="en-US" w:eastAsia="zh-CN" w:bidi="ar"/>
              </w:rPr>
              <w:t>装壁挂上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人工费</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0" w:type="auto"/>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w:t>
            </w: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设备固定、安装、接线、强弱电布线等、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海康摄像头（包含支架）臻全彩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防撕标签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ZK一RFlD607（110X40mm）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路由器＋2T（流量）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路由器物联网卡，一年费用。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 6.5a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杭亚YS-01HX RS485通讯信号 声光报警器 工业语音喇叭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RS232转485转换器</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utek  UT-890A</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绿联工程级，用于读卡器、光栅、报警灯、等设备接入COM卡。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pdu公牛 E-1080 1.8米 8位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镀锡管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给摄像头供电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白钢线槽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串口卡+一拖四串口线</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PCIE转4口RS232高速串口卡配一拖四串口线</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4口或者8口工业级交换机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人民币总额（大写）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r>
              <w:rPr>
                <w:rFonts w:hint="eastAsia"/>
                <w:b/>
                <w:color w:val="000000"/>
                <w:sz w:val="24"/>
              </w:rPr>
              <w:t>备注：</w:t>
            </w:r>
            <w:r>
              <w:rPr>
                <w:color w:val="000000"/>
                <w:szCs w:val="21"/>
              </w:rPr>
              <w:t xml:space="preserve"> 1</w:t>
            </w:r>
            <w:r>
              <w:rPr>
                <w:rFonts w:hint="eastAsia"/>
                <w:color w:val="000000"/>
                <w:szCs w:val="21"/>
              </w:rPr>
              <w:t>、合同总价包括：包装费、运输费、保险费、开票税费、</w:t>
            </w:r>
            <w:r>
              <w:rPr>
                <w:rFonts w:hint="eastAsia"/>
                <w:color w:val="000000"/>
                <w:szCs w:val="21"/>
                <w:lang w:val="en-US" w:eastAsia="zh-CN"/>
              </w:rPr>
              <w:t>安装费、</w:t>
            </w:r>
            <w:r>
              <w:rPr>
                <w:rFonts w:hint="eastAsia"/>
                <w:color w:val="000000"/>
                <w:szCs w:val="21"/>
              </w:rPr>
              <w:t>售后服务费等费用。上述价格在合同执行过程中为不变价格。2、随机资料包括：合格证、使用说明书及按照交易习惯应交付的其他单证和资料（如涉及）。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color w:val="000000"/>
                <w:sz w:val="24"/>
              </w:rPr>
            </w:pPr>
          </w:p>
        </w:tc>
      </w:tr>
    </w:tbl>
    <w:p>
      <w:pPr>
        <w:spacing w:line="4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2、我方已详细审核并认同全部招标文件，包括修改文件（如有时）及有关附件。</w:t>
      </w:r>
    </w:p>
    <w:p>
      <w:pPr>
        <w:spacing w:line="4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3、一旦我方中标，我方保证按招标文件及合同规定完成跟踪审计任务。</w:t>
      </w:r>
    </w:p>
    <w:p>
      <w:pPr>
        <w:spacing w:line="4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4、我方同意所提交的投标文件在招标文件中规定的投标有效期内有效，在此期间内如果中标，我方将受此约束。</w:t>
      </w:r>
    </w:p>
    <w:p>
      <w:pPr>
        <w:spacing w:line="4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5、除非另外达成协议并生效，你方的中标通知书和本投标文件将成为约束双方的合同文件的组成部分。</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 标 人：                               （盖章）</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单位地址：                                                  </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               （签字或盖章）</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邮政编码：              电话：            传真：           </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开户银行名称：                    开户银行账号：             </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开户银行地址：                    开户银行电话：              </w:t>
      </w:r>
    </w:p>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年     月     日</w:t>
      </w:r>
    </w:p>
    <w:p>
      <w:pPr>
        <w:spacing w:line="400" w:lineRule="exact"/>
        <w:rPr>
          <w:rFonts w:asciiTheme="minorEastAsia" w:hAnsiTheme="minorEastAsia" w:eastAsiaTheme="minorEastAsia" w:cstheme="minorEastAsia"/>
          <w:sz w:val="28"/>
          <w:szCs w:val="28"/>
        </w:rPr>
      </w:pPr>
    </w:p>
    <w:p>
      <w:pPr>
        <w:spacing w:line="400" w:lineRule="exact"/>
        <w:rPr>
          <w:rFonts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Microsoft YaHei UI"/>
    <w:panose1 w:val="00000000000000000000"/>
    <w:charset w:val="86"/>
    <w:family w:val="auto"/>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CB5F02C0"/>
    <w:multiLevelType w:val="singleLevel"/>
    <w:tmpl w:val="CB5F02C0"/>
    <w:lvl w:ilvl="0" w:tentative="0">
      <w:start w:val="1"/>
      <w:numFmt w:val="chineseCounting"/>
      <w:suff w:val="nothing"/>
      <w:lvlText w:val="%1、"/>
      <w:lvlJc w:val="left"/>
      <w:rPr>
        <w:rFonts w:hint="eastAsia"/>
      </w:rPr>
    </w:lvl>
  </w:abstractNum>
  <w:abstractNum w:abstractNumId="2">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1N2QyMDkzNzMyZmEwMWYyMDY1MGFmNzI1MjEwOTMifQ=="/>
  </w:docVars>
  <w:rsids>
    <w:rsidRoot w:val="00172A27"/>
    <w:rsid w:val="00001ACF"/>
    <w:rsid w:val="000149B0"/>
    <w:rsid w:val="00062347"/>
    <w:rsid w:val="00087AAE"/>
    <w:rsid w:val="000B351F"/>
    <w:rsid w:val="000C19D8"/>
    <w:rsid w:val="000D7E99"/>
    <w:rsid w:val="000F06E0"/>
    <w:rsid w:val="00102E7E"/>
    <w:rsid w:val="001038BB"/>
    <w:rsid w:val="00165D51"/>
    <w:rsid w:val="00172A27"/>
    <w:rsid w:val="001735E8"/>
    <w:rsid w:val="001870A8"/>
    <w:rsid w:val="00192012"/>
    <w:rsid w:val="00197F5B"/>
    <w:rsid w:val="001A2534"/>
    <w:rsid w:val="001A3925"/>
    <w:rsid w:val="001B1284"/>
    <w:rsid w:val="001B7240"/>
    <w:rsid w:val="001C2901"/>
    <w:rsid w:val="001C4DC2"/>
    <w:rsid w:val="001D3E79"/>
    <w:rsid w:val="00233317"/>
    <w:rsid w:val="00250CF4"/>
    <w:rsid w:val="00253B7B"/>
    <w:rsid w:val="00263E45"/>
    <w:rsid w:val="00265C0A"/>
    <w:rsid w:val="00287DEC"/>
    <w:rsid w:val="00291845"/>
    <w:rsid w:val="002A7B9A"/>
    <w:rsid w:val="002D65E1"/>
    <w:rsid w:val="002E1DC2"/>
    <w:rsid w:val="002F34EE"/>
    <w:rsid w:val="0033330B"/>
    <w:rsid w:val="00336AED"/>
    <w:rsid w:val="003543E5"/>
    <w:rsid w:val="003772A4"/>
    <w:rsid w:val="0038204C"/>
    <w:rsid w:val="003C0C9E"/>
    <w:rsid w:val="003D22C3"/>
    <w:rsid w:val="003D436C"/>
    <w:rsid w:val="003E3DE7"/>
    <w:rsid w:val="004265BB"/>
    <w:rsid w:val="00431F69"/>
    <w:rsid w:val="00451A83"/>
    <w:rsid w:val="00487C54"/>
    <w:rsid w:val="004D7C30"/>
    <w:rsid w:val="00521D34"/>
    <w:rsid w:val="00544B83"/>
    <w:rsid w:val="00544BD8"/>
    <w:rsid w:val="005553AD"/>
    <w:rsid w:val="0059526F"/>
    <w:rsid w:val="005D38F9"/>
    <w:rsid w:val="005E2CB6"/>
    <w:rsid w:val="006056B1"/>
    <w:rsid w:val="006104AA"/>
    <w:rsid w:val="006203CB"/>
    <w:rsid w:val="00637CD8"/>
    <w:rsid w:val="00673C74"/>
    <w:rsid w:val="00675A87"/>
    <w:rsid w:val="0069036C"/>
    <w:rsid w:val="006D399E"/>
    <w:rsid w:val="006D6196"/>
    <w:rsid w:val="006F4E83"/>
    <w:rsid w:val="00710F29"/>
    <w:rsid w:val="00715414"/>
    <w:rsid w:val="00717A6B"/>
    <w:rsid w:val="007210C6"/>
    <w:rsid w:val="00743DD8"/>
    <w:rsid w:val="007A5EE2"/>
    <w:rsid w:val="007A623C"/>
    <w:rsid w:val="007B0002"/>
    <w:rsid w:val="007B6D66"/>
    <w:rsid w:val="007C520E"/>
    <w:rsid w:val="007D61D6"/>
    <w:rsid w:val="007E1F2B"/>
    <w:rsid w:val="007F2875"/>
    <w:rsid w:val="00801816"/>
    <w:rsid w:val="0081014B"/>
    <w:rsid w:val="008163AD"/>
    <w:rsid w:val="008204C6"/>
    <w:rsid w:val="008353CF"/>
    <w:rsid w:val="00843166"/>
    <w:rsid w:val="00890F88"/>
    <w:rsid w:val="008F1C49"/>
    <w:rsid w:val="009006DE"/>
    <w:rsid w:val="00905392"/>
    <w:rsid w:val="00912113"/>
    <w:rsid w:val="009276E0"/>
    <w:rsid w:val="009506D5"/>
    <w:rsid w:val="00980125"/>
    <w:rsid w:val="00985750"/>
    <w:rsid w:val="009937A9"/>
    <w:rsid w:val="009B42AD"/>
    <w:rsid w:val="009B58AE"/>
    <w:rsid w:val="009D56B3"/>
    <w:rsid w:val="009E0784"/>
    <w:rsid w:val="009F1A9A"/>
    <w:rsid w:val="009F41F5"/>
    <w:rsid w:val="009F424B"/>
    <w:rsid w:val="00A0230D"/>
    <w:rsid w:val="00A15E1B"/>
    <w:rsid w:val="00A20D66"/>
    <w:rsid w:val="00A22A6D"/>
    <w:rsid w:val="00A41F26"/>
    <w:rsid w:val="00A5118F"/>
    <w:rsid w:val="00AA4445"/>
    <w:rsid w:val="00AB4CC7"/>
    <w:rsid w:val="00AE15A6"/>
    <w:rsid w:val="00B61B98"/>
    <w:rsid w:val="00BA2DC0"/>
    <w:rsid w:val="00BB3300"/>
    <w:rsid w:val="00BC1966"/>
    <w:rsid w:val="00C21BE6"/>
    <w:rsid w:val="00C313BD"/>
    <w:rsid w:val="00C3376C"/>
    <w:rsid w:val="00C42BE2"/>
    <w:rsid w:val="00C53A5B"/>
    <w:rsid w:val="00C568BD"/>
    <w:rsid w:val="00C75D65"/>
    <w:rsid w:val="00CA34F1"/>
    <w:rsid w:val="00CE1A4B"/>
    <w:rsid w:val="00CF4E64"/>
    <w:rsid w:val="00D07281"/>
    <w:rsid w:val="00D17EAF"/>
    <w:rsid w:val="00D22C27"/>
    <w:rsid w:val="00D31A0B"/>
    <w:rsid w:val="00D54AAB"/>
    <w:rsid w:val="00D805BB"/>
    <w:rsid w:val="00DA69FB"/>
    <w:rsid w:val="00DC19A7"/>
    <w:rsid w:val="00DD28BD"/>
    <w:rsid w:val="00DE7236"/>
    <w:rsid w:val="00DF37AA"/>
    <w:rsid w:val="00E33C4E"/>
    <w:rsid w:val="00E46A59"/>
    <w:rsid w:val="00E73015"/>
    <w:rsid w:val="00EC5965"/>
    <w:rsid w:val="00EF173D"/>
    <w:rsid w:val="00F17862"/>
    <w:rsid w:val="00F2681B"/>
    <w:rsid w:val="00F50903"/>
    <w:rsid w:val="00F5253D"/>
    <w:rsid w:val="00F81613"/>
    <w:rsid w:val="00F82908"/>
    <w:rsid w:val="00F85E5E"/>
    <w:rsid w:val="00F95FFD"/>
    <w:rsid w:val="00FB05EB"/>
    <w:rsid w:val="00FC15DE"/>
    <w:rsid w:val="00FD760F"/>
    <w:rsid w:val="00FD794C"/>
    <w:rsid w:val="00FE02BF"/>
    <w:rsid w:val="00FE4CAB"/>
    <w:rsid w:val="021E2C2A"/>
    <w:rsid w:val="032E34F7"/>
    <w:rsid w:val="03F43F18"/>
    <w:rsid w:val="06850E2B"/>
    <w:rsid w:val="09DA6915"/>
    <w:rsid w:val="0B6D4294"/>
    <w:rsid w:val="0BF8418D"/>
    <w:rsid w:val="0D787992"/>
    <w:rsid w:val="0F00541F"/>
    <w:rsid w:val="10554663"/>
    <w:rsid w:val="17AA5680"/>
    <w:rsid w:val="1D1C344E"/>
    <w:rsid w:val="1E0C07F8"/>
    <w:rsid w:val="1F690846"/>
    <w:rsid w:val="1F6A2313"/>
    <w:rsid w:val="219A7216"/>
    <w:rsid w:val="21E20AA2"/>
    <w:rsid w:val="21FF7EF0"/>
    <w:rsid w:val="22162B37"/>
    <w:rsid w:val="221B7F7D"/>
    <w:rsid w:val="24F81271"/>
    <w:rsid w:val="27284EDE"/>
    <w:rsid w:val="2A1005E6"/>
    <w:rsid w:val="2C1A3224"/>
    <w:rsid w:val="2D181E56"/>
    <w:rsid w:val="2D2E6E14"/>
    <w:rsid w:val="341F1913"/>
    <w:rsid w:val="37B30655"/>
    <w:rsid w:val="39852517"/>
    <w:rsid w:val="3C6B187A"/>
    <w:rsid w:val="3C6B2F8D"/>
    <w:rsid w:val="3CE14DA6"/>
    <w:rsid w:val="437B4E32"/>
    <w:rsid w:val="44460156"/>
    <w:rsid w:val="44703667"/>
    <w:rsid w:val="44832AF0"/>
    <w:rsid w:val="450F6924"/>
    <w:rsid w:val="456A20AA"/>
    <w:rsid w:val="458A7FF2"/>
    <w:rsid w:val="46080139"/>
    <w:rsid w:val="499170D3"/>
    <w:rsid w:val="4ADC4BAC"/>
    <w:rsid w:val="4D473538"/>
    <w:rsid w:val="4E2429C7"/>
    <w:rsid w:val="51323527"/>
    <w:rsid w:val="53EF5901"/>
    <w:rsid w:val="55605C85"/>
    <w:rsid w:val="56E62033"/>
    <w:rsid w:val="5803319D"/>
    <w:rsid w:val="58252C91"/>
    <w:rsid w:val="592C2734"/>
    <w:rsid w:val="5A853638"/>
    <w:rsid w:val="5A9304C2"/>
    <w:rsid w:val="5E287312"/>
    <w:rsid w:val="5E725083"/>
    <w:rsid w:val="5F216C58"/>
    <w:rsid w:val="608A7C71"/>
    <w:rsid w:val="615A643D"/>
    <w:rsid w:val="646E031C"/>
    <w:rsid w:val="660D1EDB"/>
    <w:rsid w:val="6656257D"/>
    <w:rsid w:val="679078D5"/>
    <w:rsid w:val="69531E35"/>
    <w:rsid w:val="699562B6"/>
    <w:rsid w:val="6B453112"/>
    <w:rsid w:val="6C876849"/>
    <w:rsid w:val="6D284A9A"/>
    <w:rsid w:val="6DAB3DC3"/>
    <w:rsid w:val="70A543D8"/>
    <w:rsid w:val="71D376CA"/>
    <w:rsid w:val="726A1637"/>
    <w:rsid w:val="74C34C32"/>
    <w:rsid w:val="75AB270C"/>
    <w:rsid w:val="76D67C26"/>
    <w:rsid w:val="771D13E7"/>
    <w:rsid w:val="7B6142D1"/>
    <w:rsid w:val="7BBD671D"/>
    <w:rsid w:val="7C504DAC"/>
    <w:rsid w:val="7C8A0F70"/>
    <w:rsid w:val="7F191DEA"/>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5"/>
    <w:autoRedefine/>
    <w:qFormat/>
    <w:uiPriority w:val="1"/>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bCs/>
      <w:kern w:val="2"/>
      <w:sz w:val="32"/>
      <w:szCs w:val="32"/>
    </w:rPr>
  </w:style>
  <w:style w:type="paragraph" w:styleId="4">
    <w:name w:val="heading 4"/>
    <w:basedOn w:val="1"/>
    <w:next w:val="1"/>
    <w:link w:val="2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rPr>
      <w:rFonts w:ascii="宋体" w:hAnsi="宋体" w:eastAsia="宋体" w:cs="宋体"/>
      <w:sz w:val="32"/>
      <w:szCs w:val="32"/>
      <w:lang w:val="zh-CN" w:bidi="zh-CN"/>
    </w:rPr>
  </w:style>
  <w:style w:type="paragraph" w:styleId="6">
    <w:name w:val="Body Text Indent"/>
    <w:basedOn w:val="1"/>
    <w:qFormat/>
    <w:uiPriority w:val="0"/>
    <w:pPr>
      <w:ind w:firstLine="600" w:firstLineChars="200"/>
    </w:pPr>
    <w:rPr>
      <w:rFonts w:ascii="仿宋_GB2312" w:eastAsia="仿宋_GB2312"/>
      <w:sz w:val="30"/>
    </w:rPr>
  </w:style>
  <w:style w:type="paragraph" w:styleId="7">
    <w:name w:val="Date"/>
    <w:basedOn w:val="1"/>
    <w:next w:val="1"/>
    <w:link w:val="104"/>
    <w:autoRedefine/>
    <w:semiHidden/>
    <w:unhideWhenUsed/>
    <w:qFormat/>
    <w:uiPriority w:val="0"/>
    <w:pPr>
      <w:ind w:left="100" w:leftChars="2500"/>
    </w:pPr>
  </w:style>
  <w:style w:type="paragraph" w:styleId="8">
    <w:name w:val="Balloon Text"/>
    <w:basedOn w:val="1"/>
    <w:link w:val="22"/>
    <w:autoRedefine/>
    <w:qFormat/>
    <w:uiPriority w:val="0"/>
    <w:pPr>
      <w:spacing w:after="0"/>
    </w:pPr>
    <w:rPr>
      <w:sz w:val="18"/>
      <w:szCs w:val="18"/>
    </w:rPr>
  </w:style>
  <w:style w:type="paragraph" w:styleId="9">
    <w:name w:val="footer"/>
    <w:basedOn w:val="1"/>
    <w:link w:val="31"/>
    <w:qFormat/>
    <w:uiPriority w:val="0"/>
    <w:pPr>
      <w:tabs>
        <w:tab w:val="center" w:pos="4153"/>
        <w:tab w:val="right" w:pos="8306"/>
      </w:tabs>
    </w:pPr>
    <w:rPr>
      <w:sz w:val="18"/>
      <w:szCs w:val="18"/>
    </w:rPr>
  </w:style>
  <w:style w:type="paragraph" w:styleId="10">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autoRedefine/>
    <w:qFormat/>
    <w:uiPriority w:val="0"/>
    <w:pPr>
      <w:spacing w:beforeAutospacing="1" w:after="0" w:afterAutospacing="1"/>
    </w:pPr>
    <w:rPr>
      <w:rFonts w:cs="Times New Roman"/>
      <w:sz w:val="24"/>
    </w:rPr>
  </w:style>
  <w:style w:type="paragraph" w:styleId="12">
    <w:name w:val="Body Text First Indent"/>
    <w:basedOn w:val="5"/>
    <w:link w:val="106"/>
    <w:autoRedefine/>
    <w:semiHidden/>
    <w:unhideWhenUsed/>
    <w:qFormat/>
    <w:uiPriority w:val="0"/>
    <w:pPr>
      <w:spacing w:after="120"/>
      <w:ind w:firstLine="420" w:firstLineChars="100"/>
    </w:pPr>
    <w:rPr>
      <w:rFonts w:ascii="Tahoma" w:hAnsi="Tahoma" w:eastAsia="微软雅黑" w:cstheme="minorBidi"/>
      <w:sz w:val="22"/>
      <w:szCs w:val="22"/>
      <w:lang w:val="en-US" w:bidi="ar-SA"/>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autoRedefine/>
    <w:qFormat/>
    <w:uiPriority w:val="34"/>
    <w:pPr>
      <w:spacing w:before="2"/>
      <w:ind w:left="640" w:right="632" w:firstLine="638"/>
    </w:pPr>
    <w:rPr>
      <w:rFonts w:ascii="宋体" w:hAnsi="宋体" w:eastAsia="宋体" w:cs="宋体"/>
      <w:lang w:val="zh-CN" w:bidi="zh-CN"/>
    </w:rPr>
  </w:style>
  <w:style w:type="character" w:customStyle="1" w:styleId="17">
    <w:name w:val="font51"/>
    <w:basedOn w:val="15"/>
    <w:autoRedefine/>
    <w:qFormat/>
    <w:uiPriority w:val="0"/>
    <w:rPr>
      <w:rFonts w:hint="eastAsia" w:ascii="宋体" w:hAnsi="宋体" w:eastAsia="宋体" w:cs="宋体"/>
      <w:color w:val="000000"/>
      <w:sz w:val="22"/>
      <w:szCs w:val="22"/>
      <w:u w:val="none"/>
    </w:rPr>
  </w:style>
  <w:style w:type="character" w:customStyle="1" w:styleId="18">
    <w:name w:val="font01"/>
    <w:basedOn w:val="15"/>
    <w:autoRedefine/>
    <w:qFormat/>
    <w:uiPriority w:val="0"/>
    <w:rPr>
      <w:rFonts w:hint="eastAsia" w:ascii="宋体" w:hAnsi="宋体" w:eastAsia="宋体" w:cs="宋体"/>
      <w:color w:val="000000"/>
      <w:sz w:val="18"/>
      <w:szCs w:val="18"/>
      <w:u w:val="none"/>
    </w:rPr>
  </w:style>
  <w:style w:type="character" w:customStyle="1" w:styleId="19">
    <w:name w:val="正文文本 字符"/>
    <w:basedOn w:val="15"/>
    <w:link w:val="5"/>
    <w:autoRedefine/>
    <w:qFormat/>
    <w:uiPriority w:val="1"/>
    <w:rPr>
      <w:rFonts w:ascii="宋体" w:hAnsi="宋体" w:cs="宋体"/>
      <w:sz w:val="32"/>
      <w:szCs w:val="32"/>
      <w:lang w:val="zh-CN" w:bidi="zh-CN"/>
    </w:rPr>
  </w:style>
  <w:style w:type="character" w:customStyle="1" w:styleId="20">
    <w:name w:val="标题 4 字符"/>
    <w:basedOn w:val="15"/>
    <w:link w:val="4"/>
    <w:autoRedefine/>
    <w:qFormat/>
    <w:uiPriority w:val="0"/>
    <w:rPr>
      <w:rFonts w:asciiTheme="majorHAnsi" w:hAnsiTheme="majorHAnsi" w:eastAsiaTheme="majorEastAsia" w:cstheme="majorBidi"/>
      <w:b/>
      <w:bCs/>
      <w:sz w:val="28"/>
      <w:szCs w:val="28"/>
    </w:rPr>
  </w:style>
  <w:style w:type="paragraph" w:customStyle="1" w:styleId="21">
    <w:name w:val="列出段落1"/>
    <w:basedOn w:val="1"/>
    <w:autoRedefine/>
    <w:qFormat/>
    <w:uiPriority w:val="0"/>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22">
    <w:name w:val="批注框文本 字符"/>
    <w:basedOn w:val="15"/>
    <w:link w:val="8"/>
    <w:autoRedefine/>
    <w:qFormat/>
    <w:uiPriority w:val="0"/>
    <w:rPr>
      <w:rFonts w:ascii="Tahoma" w:hAnsi="Tahoma" w:eastAsia="微软雅黑" w:cstheme="minorBidi"/>
      <w:sz w:val="18"/>
      <w:szCs w:val="18"/>
    </w:rPr>
  </w:style>
  <w:style w:type="character" w:customStyle="1" w:styleId="23">
    <w:name w:val="font11"/>
    <w:basedOn w:val="15"/>
    <w:autoRedefine/>
    <w:qFormat/>
    <w:uiPriority w:val="0"/>
    <w:rPr>
      <w:rFonts w:hint="eastAsia" w:ascii="宋体" w:hAnsi="宋体" w:eastAsia="宋体" w:cs="宋体"/>
      <w:b/>
      <w:bCs/>
      <w:color w:val="000000"/>
      <w:sz w:val="20"/>
      <w:szCs w:val="20"/>
      <w:u w:val="none"/>
    </w:rPr>
  </w:style>
  <w:style w:type="character" w:customStyle="1" w:styleId="24">
    <w:name w:val="font31"/>
    <w:basedOn w:val="15"/>
    <w:autoRedefine/>
    <w:qFormat/>
    <w:uiPriority w:val="0"/>
    <w:rPr>
      <w:rFonts w:hint="eastAsia" w:ascii="宋体" w:hAnsi="宋体" w:eastAsia="宋体" w:cs="宋体"/>
      <w:color w:val="000000"/>
      <w:sz w:val="20"/>
      <w:szCs w:val="20"/>
      <w:u w:val="none"/>
    </w:rPr>
  </w:style>
  <w:style w:type="character" w:customStyle="1" w:styleId="25">
    <w:name w:val="Body text|1_"/>
    <w:basedOn w:val="15"/>
    <w:link w:val="26"/>
    <w:autoRedefine/>
    <w:qFormat/>
    <w:uiPriority w:val="0"/>
    <w:rPr>
      <w:rFonts w:ascii="宋体" w:hAnsi="宋体" w:cs="宋体"/>
      <w:sz w:val="26"/>
      <w:szCs w:val="26"/>
      <w:lang w:val="zh-TW" w:eastAsia="zh-TW" w:bidi="zh-TW"/>
    </w:rPr>
  </w:style>
  <w:style w:type="paragraph" w:customStyle="1" w:styleId="26">
    <w:name w:val="Body text|1"/>
    <w:basedOn w:val="1"/>
    <w:link w:val="25"/>
    <w:autoRedefine/>
    <w:qFormat/>
    <w:uiPriority w:val="0"/>
    <w:pPr>
      <w:widowControl w:val="0"/>
      <w:adjustRightInd/>
      <w:snapToGrid/>
      <w:spacing w:after="0" w:line="480" w:lineRule="auto"/>
      <w:ind w:firstLine="150"/>
    </w:pPr>
    <w:rPr>
      <w:rFonts w:ascii="宋体" w:hAnsi="宋体" w:eastAsia="宋体" w:cs="宋体"/>
      <w:sz w:val="26"/>
      <w:szCs w:val="26"/>
      <w:lang w:val="zh-TW" w:eastAsia="zh-TW" w:bidi="zh-TW"/>
    </w:rPr>
  </w:style>
  <w:style w:type="paragraph" w:customStyle="1" w:styleId="27">
    <w:name w:val="默认段落字体 Para Char Char Char1 Char Char Char Char Char Char Char"/>
    <w:basedOn w:val="1"/>
    <w:autoRedefine/>
    <w:qFormat/>
    <w:uiPriority w:val="0"/>
    <w:pPr>
      <w:widowControl w:val="0"/>
      <w:snapToGrid/>
      <w:spacing w:after="0" w:line="360" w:lineRule="auto"/>
      <w:jc w:val="both"/>
    </w:pPr>
    <w:rPr>
      <w:rFonts w:ascii="Calibri" w:hAnsi="Calibri" w:eastAsia="宋体" w:cs="Times New Roman"/>
      <w:sz w:val="24"/>
      <w:szCs w:val="20"/>
    </w:rPr>
  </w:style>
  <w:style w:type="character" w:customStyle="1" w:styleId="28">
    <w:name w:val="15"/>
    <w:basedOn w:val="15"/>
    <w:autoRedefine/>
    <w:qFormat/>
    <w:uiPriority w:val="0"/>
    <w:rPr>
      <w:rFonts w:hint="eastAsia" w:ascii="宋体" w:hAnsi="宋体" w:eastAsia="宋体"/>
      <w:color w:val="000000"/>
      <w:sz w:val="21"/>
      <w:szCs w:val="21"/>
    </w:rPr>
  </w:style>
  <w:style w:type="paragraph" w:customStyle="1" w:styleId="29">
    <w:name w:val="reader-word-layer"/>
    <w:basedOn w:val="1"/>
    <w:autoRedefine/>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0">
    <w:name w:val="页眉 字符"/>
    <w:basedOn w:val="15"/>
    <w:link w:val="10"/>
    <w:autoRedefine/>
    <w:qFormat/>
    <w:uiPriority w:val="0"/>
    <w:rPr>
      <w:rFonts w:ascii="Tahoma" w:hAnsi="Tahoma" w:eastAsia="微软雅黑" w:cstheme="minorBidi"/>
      <w:sz w:val="18"/>
      <w:szCs w:val="18"/>
    </w:rPr>
  </w:style>
  <w:style w:type="character" w:customStyle="1" w:styleId="31">
    <w:name w:val="页脚 字符"/>
    <w:basedOn w:val="15"/>
    <w:link w:val="9"/>
    <w:autoRedefine/>
    <w:qFormat/>
    <w:uiPriority w:val="0"/>
    <w:rPr>
      <w:rFonts w:ascii="Tahoma" w:hAnsi="Tahoma" w:eastAsia="微软雅黑" w:cstheme="minorBidi"/>
      <w:sz w:val="18"/>
      <w:szCs w:val="18"/>
    </w:rPr>
  </w:style>
  <w:style w:type="paragraph" w:customStyle="1" w:styleId="32">
    <w:name w:val="msonormal"/>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font0"/>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0"/>
      <w:szCs w:val="20"/>
    </w:rPr>
  </w:style>
  <w:style w:type="paragraph" w:customStyle="1" w:styleId="34">
    <w:name w:val="font1"/>
    <w:basedOn w:val="1"/>
    <w:autoRedefine/>
    <w:qFormat/>
    <w:uiPriority w:val="0"/>
    <w:pPr>
      <w:adjustRightInd/>
      <w:snapToGrid/>
      <w:spacing w:before="100" w:beforeAutospacing="1" w:after="100" w:afterAutospacing="1"/>
    </w:pPr>
    <w:rPr>
      <w:rFonts w:ascii="等线" w:hAnsi="等线" w:eastAsia="等线" w:cs="宋体"/>
      <w:color w:val="000000"/>
    </w:rPr>
  </w:style>
  <w:style w:type="paragraph" w:customStyle="1" w:styleId="35">
    <w:name w:val="font2"/>
    <w:basedOn w:val="1"/>
    <w:autoRedefine/>
    <w:qFormat/>
    <w:uiPriority w:val="0"/>
    <w:pPr>
      <w:adjustRightInd/>
      <w:snapToGrid/>
      <w:spacing w:before="100" w:beforeAutospacing="1" w:after="100" w:afterAutospacing="1"/>
    </w:pPr>
    <w:rPr>
      <w:rFonts w:ascii="Times New Roman" w:hAnsi="Times New Roman" w:eastAsia="宋体" w:cs="Times New Roman"/>
      <w:color w:val="000000"/>
    </w:rPr>
  </w:style>
  <w:style w:type="paragraph" w:customStyle="1" w:styleId="36">
    <w:name w:val="font3"/>
    <w:basedOn w:val="1"/>
    <w:autoRedefine/>
    <w:qFormat/>
    <w:uiPriority w:val="0"/>
    <w:pPr>
      <w:adjustRightInd/>
      <w:snapToGrid/>
      <w:spacing w:before="100" w:beforeAutospacing="1" w:after="100" w:afterAutospacing="1"/>
    </w:pPr>
    <w:rPr>
      <w:rFonts w:ascii="Times New Roman" w:hAnsi="Times New Roman" w:eastAsia="宋体" w:cs="Times New Roman"/>
      <w:color w:val="002D47"/>
      <w:sz w:val="20"/>
      <w:szCs w:val="20"/>
    </w:rPr>
  </w:style>
  <w:style w:type="paragraph" w:customStyle="1" w:styleId="37">
    <w:name w:val="font4"/>
    <w:basedOn w:val="1"/>
    <w:autoRedefine/>
    <w:qFormat/>
    <w:uiPriority w:val="0"/>
    <w:pPr>
      <w:adjustRightInd/>
      <w:snapToGrid/>
      <w:spacing w:before="100" w:beforeAutospacing="1" w:after="100" w:afterAutospacing="1"/>
    </w:pPr>
    <w:rPr>
      <w:rFonts w:ascii="等线" w:hAnsi="等线" w:eastAsia="等线" w:cs="宋体"/>
      <w:color w:val="000000"/>
    </w:rPr>
  </w:style>
  <w:style w:type="paragraph" w:customStyle="1" w:styleId="38">
    <w:name w:val="font5"/>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4"/>
      <w:szCs w:val="24"/>
    </w:rPr>
  </w:style>
  <w:style w:type="paragraph" w:customStyle="1" w:styleId="39">
    <w:name w:val="font6"/>
    <w:basedOn w:val="1"/>
    <w:autoRedefine/>
    <w:qFormat/>
    <w:uiPriority w:val="0"/>
    <w:pPr>
      <w:adjustRightInd/>
      <w:snapToGrid/>
      <w:spacing w:before="100" w:beforeAutospacing="1" w:after="100" w:afterAutospacing="1"/>
    </w:pPr>
    <w:rPr>
      <w:rFonts w:ascii="微软雅黑" w:hAnsi="微软雅黑" w:cs="宋体"/>
      <w:color w:val="000000"/>
    </w:rPr>
  </w:style>
  <w:style w:type="paragraph" w:customStyle="1" w:styleId="40">
    <w:name w:val="font7"/>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4"/>
      <w:szCs w:val="24"/>
    </w:rPr>
  </w:style>
  <w:style w:type="paragraph" w:customStyle="1" w:styleId="41">
    <w:name w:val="font8"/>
    <w:basedOn w:val="1"/>
    <w:autoRedefine/>
    <w:qFormat/>
    <w:uiPriority w:val="0"/>
    <w:pPr>
      <w:adjustRightInd/>
      <w:snapToGrid/>
      <w:spacing w:before="100" w:beforeAutospacing="1" w:after="100" w:afterAutospacing="1"/>
    </w:pPr>
    <w:rPr>
      <w:rFonts w:ascii="Times New Roman" w:hAnsi="Times New Roman" w:eastAsia="宋体" w:cs="Times New Roman"/>
      <w:color w:val="003366"/>
      <w:sz w:val="20"/>
      <w:szCs w:val="20"/>
    </w:rPr>
  </w:style>
  <w:style w:type="paragraph" w:customStyle="1" w:styleId="42">
    <w:name w:val="font9"/>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3">
    <w:name w:val="font10"/>
    <w:basedOn w:val="1"/>
    <w:autoRedefine/>
    <w:qFormat/>
    <w:uiPriority w:val="0"/>
    <w:pPr>
      <w:adjustRightInd/>
      <w:snapToGrid/>
      <w:spacing w:before="100" w:beforeAutospacing="1" w:after="100" w:afterAutospacing="1"/>
    </w:pPr>
    <w:rPr>
      <w:rFonts w:ascii="Times New Roman" w:hAnsi="Times New Roman" w:eastAsia="宋体" w:cs="Times New Roman"/>
      <w:color w:val="000000"/>
    </w:rPr>
  </w:style>
  <w:style w:type="paragraph" w:customStyle="1" w:styleId="44">
    <w:name w:val="font12"/>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5">
    <w:name w:val="font13"/>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6">
    <w:name w:val="font14"/>
    <w:basedOn w:val="1"/>
    <w:autoRedefine/>
    <w:qFormat/>
    <w:uiPriority w:val="0"/>
    <w:pPr>
      <w:adjustRightInd/>
      <w:snapToGrid/>
      <w:spacing w:before="100" w:beforeAutospacing="1" w:after="100" w:afterAutospacing="1"/>
    </w:pPr>
    <w:rPr>
      <w:rFonts w:ascii="Times New Roman" w:hAnsi="Times New Roman" w:eastAsia="宋体" w:cs="Times New Roman"/>
      <w:color w:val="003366"/>
    </w:rPr>
  </w:style>
  <w:style w:type="paragraph" w:customStyle="1" w:styleId="47">
    <w:name w:val="font15"/>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48">
    <w:name w:val="font16"/>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49">
    <w:name w:val="font17"/>
    <w:basedOn w:val="1"/>
    <w:autoRedefine/>
    <w:qFormat/>
    <w:uiPriority w:val="0"/>
    <w:pPr>
      <w:adjustRightInd/>
      <w:snapToGrid/>
      <w:spacing w:before="100" w:beforeAutospacing="1" w:after="100" w:afterAutospacing="1"/>
    </w:pPr>
    <w:rPr>
      <w:rFonts w:ascii="微软雅黑" w:hAnsi="微软雅黑" w:cs="宋体"/>
      <w:color w:val="000000"/>
      <w:sz w:val="20"/>
      <w:szCs w:val="20"/>
    </w:rPr>
  </w:style>
  <w:style w:type="paragraph" w:customStyle="1" w:styleId="50">
    <w:name w:val="font18"/>
    <w:basedOn w:val="1"/>
    <w:autoRedefine/>
    <w:qFormat/>
    <w:uiPriority w:val="0"/>
    <w:pPr>
      <w:adjustRightInd/>
      <w:snapToGrid/>
      <w:spacing w:before="100" w:beforeAutospacing="1" w:after="100" w:afterAutospacing="1"/>
    </w:pPr>
    <w:rPr>
      <w:rFonts w:ascii="Times New Roman" w:hAnsi="Times New Roman" w:eastAsia="宋体" w:cs="Times New Roman"/>
      <w:color w:val="002D47"/>
    </w:rPr>
  </w:style>
  <w:style w:type="paragraph" w:customStyle="1" w:styleId="51">
    <w:name w:val="font19"/>
    <w:basedOn w:val="1"/>
    <w:autoRedefine/>
    <w:qFormat/>
    <w:uiPriority w:val="0"/>
    <w:pPr>
      <w:adjustRightInd/>
      <w:snapToGrid/>
      <w:spacing w:before="100" w:beforeAutospacing="1" w:after="100" w:afterAutospacing="1"/>
    </w:pPr>
    <w:rPr>
      <w:rFonts w:ascii="微软雅黑" w:hAnsi="微软雅黑" w:cs="宋体"/>
      <w:color w:val="000000"/>
      <w:sz w:val="20"/>
      <w:szCs w:val="20"/>
    </w:rPr>
  </w:style>
  <w:style w:type="paragraph" w:customStyle="1" w:styleId="52">
    <w:name w:val="font20"/>
    <w:basedOn w:val="1"/>
    <w:autoRedefine/>
    <w:qFormat/>
    <w:uiPriority w:val="0"/>
    <w:pPr>
      <w:adjustRightInd/>
      <w:snapToGrid/>
      <w:spacing w:before="100" w:beforeAutospacing="1" w:after="100" w:afterAutospacing="1"/>
    </w:pPr>
    <w:rPr>
      <w:rFonts w:ascii="宋体" w:hAnsi="宋体" w:eastAsia="宋体" w:cs="宋体"/>
      <w:color w:val="000000"/>
      <w:sz w:val="20"/>
      <w:szCs w:val="20"/>
    </w:rPr>
  </w:style>
  <w:style w:type="paragraph" w:customStyle="1" w:styleId="53">
    <w:name w:val="et3"/>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et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55">
    <w:name w:val="et5"/>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56">
    <w:name w:val="et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57">
    <w:name w:val="et7"/>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58">
    <w:name w:val="et8"/>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59">
    <w:name w:val="et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0">
    <w:name w:val="et10"/>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0"/>
      <w:szCs w:val="20"/>
    </w:rPr>
  </w:style>
  <w:style w:type="paragraph" w:customStyle="1" w:styleId="61">
    <w:name w:val="et1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2">
    <w:name w:val="et12"/>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3">
    <w:name w:val="et13"/>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4">
    <w:name w:val="et1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65">
    <w:name w:val="et15"/>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6">
    <w:name w:val="et1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7">
    <w:name w:val="et17"/>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8">
    <w:name w:val="et18"/>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9">
    <w:name w:val="et1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0">
    <w:name w:val="et20"/>
    <w:basedOn w:val="1"/>
    <w:autoRedefine/>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1">
    <w:name w:val="et21"/>
    <w:basedOn w:val="1"/>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2">
    <w:name w:val="et22"/>
    <w:basedOn w:val="1"/>
    <w:autoRedefine/>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73">
    <w:name w:val="et23"/>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4">
    <w:name w:val="et2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textAlignment w:val="bottom"/>
    </w:pPr>
    <w:rPr>
      <w:rFonts w:ascii="宋体" w:hAnsi="宋体" w:eastAsia="宋体" w:cs="宋体"/>
      <w:color w:val="000000"/>
      <w:sz w:val="24"/>
      <w:szCs w:val="24"/>
    </w:rPr>
  </w:style>
  <w:style w:type="paragraph" w:customStyle="1" w:styleId="75">
    <w:name w:val="et25"/>
    <w:basedOn w:val="1"/>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textAlignment w:val="bottom"/>
    </w:pPr>
    <w:rPr>
      <w:rFonts w:ascii="宋体" w:hAnsi="宋体" w:eastAsia="宋体" w:cs="宋体"/>
      <w:sz w:val="24"/>
      <w:szCs w:val="24"/>
    </w:rPr>
  </w:style>
  <w:style w:type="paragraph" w:customStyle="1" w:styleId="76">
    <w:name w:val="et2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7">
    <w:name w:val="et27"/>
    <w:basedOn w:val="1"/>
    <w:autoRedefine/>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8">
    <w:name w:val="et28"/>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9">
    <w:name w:val="et29"/>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0">
    <w:name w:val="et30"/>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1">
    <w:name w:val="et3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2">
    <w:name w:val="et32"/>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3">
    <w:name w:val="et33"/>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4">
    <w:name w:val="et34"/>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85">
    <w:name w:val="et35"/>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6">
    <w:name w:val="et36"/>
    <w:basedOn w:val="1"/>
    <w:autoRedefine/>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7">
    <w:name w:val="et37"/>
    <w:basedOn w:val="1"/>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8">
    <w:name w:val="et38"/>
    <w:basedOn w:val="1"/>
    <w:autoRedefine/>
    <w:qFormat/>
    <w:uiPriority w:val="0"/>
    <w:pPr>
      <w:pBdr>
        <w:top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9">
    <w:name w:val="et3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0">
    <w:name w:val="et40"/>
    <w:basedOn w:val="1"/>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1">
    <w:name w:val="et41"/>
    <w:basedOn w:val="1"/>
    <w:autoRedefine/>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2">
    <w:name w:val="et42"/>
    <w:basedOn w:val="1"/>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3">
    <w:name w:val="et43"/>
    <w:basedOn w:val="1"/>
    <w:autoRedefine/>
    <w:qFormat/>
    <w:uiPriority w:val="0"/>
    <w:pPr>
      <w:pBdr>
        <w:top w:val="single" w:color="000000" w:sz="4" w:space="0"/>
        <w:lef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4">
    <w:name w:val="et44"/>
    <w:basedOn w:val="1"/>
    <w:autoRedefine/>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5">
    <w:name w:val="et45"/>
    <w:basedOn w:val="1"/>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6">
    <w:name w:val="et46"/>
    <w:basedOn w:val="1"/>
    <w:autoRedefine/>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97">
    <w:name w:val="font151"/>
    <w:basedOn w:val="15"/>
    <w:autoRedefine/>
    <w:uiPriority w:val="0"/>
    <w:rPr>
      <w:rFonts w:hint="eastAsia" w:ascii="宋体" w:hAnsi="宋体" w:eastAsia="宋体"/>
      <w:color w:val="000000"/>
      <w:sz w:val="24"/>
      <w:szCs w:val="24"/>
      <w:u w:val="none"/>
    </w:rPr>
  </w:style>
  <w:style w:type="character" w:customStyle="1" w:styleId="98">
    <w:name w:val="font201"/>
    <w:basedOn w:val="15"/>
    <w:autoRedefine/>
    <w:qFormat/>
    <w:uiPriority w:val="0"/>
    <w:rPr>
      <w:rFonts w:hint="eastAsia" w:ascii="宋体" w:hAnsi="宋体" w:eastAsia="宋体"/>
      <w:color w:val="000000"/>
      <w:sz w:val="20"/>
      <w:szCs w:val="20"/>
      <w:u w:val="none"/>
    </w:rPr>
  </w:style>
  <w:style w:type="character" w:customStyle="1" w:styleId="99">
    <w:name w:val="font81"/>
    <w:basedOn w:val="15"/>
    <w:autoRedefine/>
    <w:qFormat/>
    <w:uiPriority w:val="0"/>
    <w:rPr>
      <w:rFonts w:hint="default" w:ascii="Times New Roman" w:hAnsi="Times New Roman" w:cs="Times New Roman"/>
      <w:color w:val="003366"/>
      <w:sz w:val="20"/>
      <w:szCs w:val="20"/>
      <w:u w:val="none"/>
    </w:rPr>
  </w:style>
  <w:style w:type="character" w:customStyle="1" w:styleId="100">
    <w:name w:val="font21"/>
    <w:basedOn w:val="15"/>
    <w:autoRedefine/>
    <w:qFormat/>
    <w:uiPriority w:val="0"/>
    <w:rPr>
      <w:rFonts w:hint="default" w:ascii="Times New Roman" w:hAnsi="Times New Roman" w:cs="Times New Roman"/>
      <w:color w:val="000000"/>
      <w:sz w:val="22"/>
      <w:szCs w:val="22"/>
      <w:u w:val="none"/>
    </w:rPr>
  </w:style>
  <w:style w:type="character" w:customStyle="1" w:styleId="101">
    <w:name w:val="font181"/>
    <w:basedOn w:val="15"/>
    <w:autoRedefine/>
    <w:uiPriority w:val="0"/>
    <w:rPr>
      <w:rFonts w:hint="default" w:ascii="Times New Roman" w:hAnsi="Times New Roman" w:cs="Times New Roman"/>
      <w:color w:val="002D47"/>
      <w:sz w:val="22"/>
      <w:szCs w:val="22"/>
      <w:u w:val="none"/>
    </w:rPr>
  </w:style>
  <w:style w:type="character" w:customStyle="1" w:styleId="102">
    <w:name w:val="font141"/>
    <w:basedOn w:val="15"/>
    <w:autoRedefine/>
    <w:qFormat/>
    <w:uiPriority w:val="0"/>
    <w:rPr>
      <w:rFonts w:hint="default" w:ascii="Times New Roman" w:hAnsi="Times New Roman" w:cs="Times New Roman"/>
      <w:color w:val="003366"/>
      <w:sz w:val="22"/>
      <w:szCs w:val="22"/>
      <w:u w:val="none"/>
    </w:rPr>
  </w:style>
  <w:style w:type="character" w:customStyle="1" w:styleId="103">
    <w:name w:val="font111"/>
    <w:basedOn w:val="15"/>
    <w:qFormat/>
    <w:uiPriority w:val="0"/>
    <w:rPr>
      <w:rFonts w:hint="default" w:ascii="Times New Roman" w:hAnsi="Times New Roman" w:cs="Times New Roman"/>
      <w:color w:val="002D47"/>
      <w:sz w:val="20"/>
      <w:szCs w:val="20"/>
      <w:u w:val="none"/>
    </w:rPr>
  </w:style>
  <w:style w:type="character" w:customStyle="1" w:styleId="104">
    <w:name w:val="日期 字符"/>
    <w:basedOn w:val="15"/>
    <w:link w:val="7"/>
    <w:autoRedefine/>
    <w:semiHidden/>
    <w:uiPriority w:val="0"/>
    <w:rPr>
      <w:rFonts w:ascii="Tahoma" w:hAnsi="Tahoma" w:eastAsia="微软雅黑" w:cstheme="minorBidi"/>
      <w:sz w:val="22"/>
      <w:szCs w:val="22"/>
    </w:rPr>
  </w:style>
  <w:style w:type="character" w:customStyle="1" w:styleId="105">
    <w:name w:val="标题 1 字符"/>
    <w:basedOn w:val="15"/>
    <w:link w:val="2"/>
    <w:autoRedefine/>
    <w:qFormat/>
    <w:uiPriority w:val="1"/>
    <w:rPr>
      <w:rFonts w:ascii="Tahoma" w:hAnsi="Tahoma" w:eastAsia="微软雅黑" w:cstheme="minorBidi"/>
      <w:b/>
      <w:bCs/>
      <w:kern w:val="44"/>
      <w:sz w:val="44"/>
      <w:szCs w:val="44"/>
    </w:rPr>
  </w:style>
  <w:style w:type="character" w:customStyle="1" w:styleId="106">
    <w:name w:val="正文首行缩进 字符"/>
    <w:basedOn w:val="19"/>
    <w:link w:val="12"/>
    <w:autoRedefine/>
    <w:semiHidden/>
    <w:qFormat/>
    <w:uiPriority w:val="0"/>
    <w:rPr>
      <w:rFonts w:ascii="Tahoma" w:hAnsi="Tahoma" w:eastAsia="微软雅黑" w:cstheme="minorBidi"/>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1239</Words>
  <Characters>7067</Characters>
  <Lines>58</Lines>
  <Paragraphs>16</Paragraphs>
  <TotalTime>1</TotalTime>
  <ScaleCrop>false</ScaleCrop>
  <LinksUpToDate>false</LinksUpToDate>
  <CharactersWithSpaces>8290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2024-03-29T00:15:23Z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EAC6C1C5956C4AD8AFCD513CEDC90197</vt:lpwstr>
  </property>
</Properties>
</file>