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w:t>
      </w:r>
    </w:p>
    <w:p/>
    <w:p/>
    <w:p/>
    <w:p>
      <w:pPr>
        <w:jc w:val="center"/>
        <w:rPr>
          <w:b/>
          <w:sz w:val="36"/>
          <w:szCs w:val="36"/>
        </w:rPr>
      </w:pPr>
    </w:p>
    <w:p>
      <w:pPr>
        <w:jc w:val="center"/>
        <w:rPr>
          <w:b/>
          <w:sz w:val="52"/>
          <w:szCs w:val="52"/>
        </w:rPr>
      </w:pPr>
    </w:p>
    <w:p>
      <w:pPr>
        <w:jc w:val="center"/>
        <w:rPr>
          <w:b/>
          <w:sz w:val="52"/>
          <w:szCs w:val="52"/>
        </w:rPr>
      </w:pPr>
    </w:p>
    <w:p>
      <w:pPr>
        <w:jc w:val="center"/>
        <w:rPr>
          <w:b/>
          <w:sz w:val="52"/>
          <w:szCs w:val="52"/>
          <w:u w:val="single"/>
        </w:rPr>
      </w:pPr>
      <w:r>
        <w:rPr>
          <w:rFonts w:hint="eastAsia"/>
          <w:b/>
          <w:sz w:val="52"/>
          <w:szCs w:val="52"/>
        </w:rPr>
        <w:t>唐山糖业202</w:t>
      </w:r>
      <w:r>
        <w:rPr>
          <w:rFonts w:hint="eastAsia"/>
          <w:b/>
          <w:sz w:val="52"/>
          <w:szCs w:val="52"/>
          <w:lang w:val="en-US" w:eastAsia="zh-CN"/>
        </w:rPr>
        <w:t>4</w:t>
      </w:r>
      <w:r>
        <w:rPr>
          <w:rFonts w:hint="eastAsia"/>
          <w:b/>
          <w:sz w:val="52"/>
          <w:szCs w:val="52"/>
        </w:rPr>
        <w:t>年度消防设施维护保养服务项目谈判采购文件</w:t>
      </w:r>
    </w:p>
    <w:p>
      <w:pPr>
        <w:rPr>
          <w:sz w:val="36"/>
          <w:szCs w:val="36"/>
        </w:rPr>
      </w:pPr>
    </w:p>
    <w:p>
      <w:pPr>
        <w:rPr>
          <w:sz w:val="36"/>
          <w:szCs w:val="36"/>
        </w:rPr>
      </w:pPr>
    </w:p>
    <w:p/>
    <w:p/>
    <w:p/>
    <w:p/>
    <w:p/>
    <w:p/>
    <w:p/>
    <w:p/>
    <w:p/>
    <w:p/>
    <w:p/>
    <w:p/>
    <w:p/>
    <w:p/>
    <w:p/>
    <w:p/>
    <w:p>
      <w:pPr>
        <w:ind w:firstLine="1606" w:firstLineChars="500"/>
        <w:rPr>
          <w:rFonts w:asciiTheme="minorEastAsia" w:hAnsiTheme="minorEastAsia"/>
          <w:sz w:val="32"/>
          <w:szCs w:val="32"/>
          <w:u w:val="single"/>
        </w:rPr>
      </w:pPr>
      <w:r>
        <w:rPr>
          <w:rFonts w:hint="eastAsia" w:asciiTheme="minorEastAsia" w:hAnsiTheme="minorEastAsia"/>
          <w:b/>
          <w:sz w:val="32"/>
          <w:szCs w:val="32"/>
        </w:rPr>
        <w:t>招 标 人：</w:t>
      </w:r>
      <w:r>
        <w:rPr>
          <w:rFonts w:hint="eastAsia" w:asciiTheme="minorEastAsia" w:hAnsiTheme="minorEastAsia"/>
          <w:sz w:val="32"/>
          <w:szCs w:val="32"/>
          <w:u w:val="single"/>
        </w:rPr>
        <w:t>中粮（唐山）糖业有限公司</w:t>
      </w:r>
    </w:p>
    <w:p>
      <w:pPr>
        <w:ind w:firstLine="1606" w:firstLineChars="500"/>
        <w:rPr>
          <w:rFonts w:asciiTheme="minorEastAsia" w:hAnsiTheme="minorEastAsia"/>
          <w:sz w:val="32"/>
          <w:szCs w:val="32"/>
          <w:u w:val="single"/>
        </w:rPr>
      </w:pPr>
      <w:r>
        <w:rPr>
          <w:rFonts w:hint="eastAsia" w:asciiTheme="minorEastAsia" w:hAnsiTheme="minorEastAsia"/>
          <w:b/>
          <w:sz w:val="32"/>
          <w:szCs w:val="32"/>
        </w:rPr>
        <w:t>日    期：</w:t>
      </w:r>
      <w:r>
        <w:rPr>
          <w:rFonts w:asciiTheme="minorEastAsia" w:hAnsiTheme="minorEastAsia"/>
          <w:sz w:val="32"/>
          <w:szCs w:val="32"/>
          <w:u w:val="single"/>
        </w:rPr>
        <w:t>202</w:t>
      </w:r>
      <w:r>
        <w:rPr>
          <w:rFonts w:hint="eastAsia" w:asciiTheme="minorEastAsia" w:hAnsiTheme="minorEastAsia"/>
          <w:sz w:val="32"/>
          <w:szCs w:val="32"/>
          <w:u w:val="single"/>
          <w:lang w:val="en-US" w:eastAsia="zh-CN"/>
        </w:rPr>
        <w:t>4</w:t>
      </w:r>
      <w:r>
        <w:rPr>
          <w:rFonts w:hint="eastAsia" w:asciiTheme="minorEastAsia" w:hAnsiTheme="minorEastAsia"/>
          <w:sz w:val="32"/>
          <w:szCs w:val="32"/>
          <w:u w:val="single"/>
        </w:rPr>
        <w:t>年月日</w:t>
      </w:r>
    </w:p>
    <w:p>
      <w:pPr>
        <w:rPr>
          <w:sz w:val="32"/>
          <w:szCs w:val="32"/>
        </w:rPr>
      </w:pPr>
    </w:p>
    <w:p>
      <w:pPr>
        <w:sectPr>
          <w:pgSz w:w="11906" w:h="16838"/>
          <w:pgMar w:top="1440" w:right="1559" w:bottom="1440" w:left="1559" w:header="851" w:footer="992" w:gutter="0"/>
          <w:cols w:space="425" w:num="1"/>
          <w:docGrid w:type="lines" w:linePitch="312" w:charSpace="0"/>
        </w:sectPr>
      </w:pPr>
    </w:p>
    <w:p/>
    <w:p>
      <w:pPr>
        <w:jc w:val="center"/>
        <w:rPr>
          <w:rFonts w:ascii="方正小标宋简体" w:eastAsia="方正小标宋简体"/>
          <w:sz w:val="44"/>
          <w:szCs w:val="44"/>
        </w:rPr>
      </w:pPr>
      <w:r>
        <w:rPr>
          <w:rFonts w:hint="eastAsia" w:ascii="方正小标宋简体" w:eastAsia="方正小标宋简体"/>
          <w:sz w:val="44"/>
          <w:szCs w:val="44"/>
        </w:rPr>
        <w:t>目录</w:t>
      </w:r>
    </w:p>
    <w:p>
      <w:pPr>
        <w:jc w:val="center"/>
      </w:pPr>
    </w:p>
    <w:p>
      <w:pPr>
        <w:rPr>
          <w:rFonts w:ascii="楷体_GB2312" w:eastAsia="楷体_GB2312"/>
          <w:bCs/>
          <w:sz w:val="28"/>
          <w:szCs w:val="28"/>
        </w:rPr>
      </w:pPr>
    </w:p>
    <w:p>
      <w:pPr>
        <w:rPr>
          <w:rFonts w:ascii="楷体_GB2312" w:eastAsia="楷体_GB2312"/>
          <w:bCs/>
          <w:sz w:val="28"/>
          <w:szCs w:val="28"/>
        </w:rPr>
      </w:pPr>
    </w:p>
    <w:p>
      <w:pPr>
        <w:pStyle w:val="28"/>
        <w:numPr>
          <w:ilvl w:val="0"/>
          <w:numId w:val="1"/>
        </w:numPr>
        <w:ind w:firstLineChars="0"/>
        <w:rPr>
          <w:rFonts w:ascii="楷体_GB2312" w:eastAsia="楷体_GB2312"/>
          <w:bCs/>
          <w:sz w:val="28"/>
          <w:szCs w:val="28"/>
        </w:rPr>
      </w:pPr>
      <w:r>
        <w:rPr>
          <w:rFonts w:hint="eastAsia" w:ascii="楷体_GB2312" w:eastAsia="楷体_GB2312"/>
          <w:bCs/>
          <w:sz w:val="28"/>
          <w:szCs w:val="28"/>
        </w:rPr>
        <w:t>谈判须知</w:t>
      </w:r>
      <w:r>
        <w:rPr>
          <w:rFonts w:ascii="楷体_GB2312" w:eastAsia="楷体_GB2312"/>
          <w:bCs/>
          <w:sz w:val="28"/>
          <w:szCs w:val="28"/>
        </w:rPr>
        <w:t>………………………………………………………………………</w:t>
      </w:r>
      <w:r>
        <w:rPr>
          <w:rFonts w:hint="eastAsia" w:ascii="楷体_GB2312" w:eastAsia="楷体_GB2312"/>
          <w:bCs/>
          <w:sz w:val="28"/>
          <w:szCs w:val="28"/>
        </w:rPr>
        <w:t>3</w:t>
      </w:r>
    </w:p>
    <w:p>
      <w:pPr>
        <w:pStyle w:val="28"/>
        <w:ind w:left="1260" w:firstLine="0" w:firstLineChars="0"/>
        <w:rPr>
          <w:rFonts w:ascii="楷体_GB2312" w:eastAsia="楷体_GB2312"/>
          <w:bCs/>
          <w:sz w:val="28"/>
          <w:szCs w:val="28"/>
        </w:rPr>
      </w:pPr>
    </w:p>
    <w:p>
      <w:pPr>
        <w:pStyle w:val="28"/>
        <w:numPr>
          <w:ilvl w:val="0"/>
          <w:numId w:val="1"/>
        </w:numPr>
        <w:ind w:firstLineChars="0"/>
        <w:rPr>
          <w:rFonts w:ascii="楷体_GB2312" w:eastAsia="楷体_GB2312"/>
          <w:bCs/>
          <w:sz w:val="28"/>
          <w:szCs w:val="28"/>
        </w:rPr>
      </w:pPr>
      <w:r>
        <w:rPr>
          <w:rFonts w:hint="eastAsia" w:ascii="楷体_GB2312" w:eastAsia="楷体_GB2312"/>
          <w:bCs/>
          <w:sz w:val="28"/>
          <w:szCs w:val="28"/>
        </w:rPr>
        <w:t>技术要求</w:t>
      </w:r>
      <w:r>
        <w:rPr>
          <w:rFonts w:ascii="楷体_GB2312" w:eastAsia="楷体_GB2312"/>
          <w:bCs/>
          <w:sz w:val="28"/>
          <w:szCs w:val="28"/>
        </w:rPr>
        <w:t>…………………………………………………………………….</w:t>
      </w:r>
      <w:r>
        <w:rPr>
          <w:rFonts w:hint="eastAsia" w:ascii="楷体_GB2312" w:eastAsia="楷体_GB2312"/>
          <w:bCs/>
          <w:sz w:val="28"/>
          <w:szCs w:val="28"/>
        </w:rPr>
        <w:t>7</w:t>
      </w:r>
    </w:p>
    <w:p>
      <w:pPr>
        <w:pStyle w:val="28"/>
        <w:ind w:left="1260" w:firstLine="0" w:firstLineChars="0"/>
        <w:rPr>
          <w:rFonts w:ascii="楷体_GB2312" w:eastAsia="楷体_GB2312"/>
          <w:bCs/>
          <w:sz w:val="28"/>
          <w:szCs w:val="28"/>
        </w:rPr>
      </w:pPr>
    </w:p>
    <w:p>
      <w:pPr>
        <w:rPr>
          <w:rFonts w:ascii="楷体_GB2312" w:eastAsia="楷体_GB2312"/>
          <w:bCs/>
          <w:sz w:val="28"/>
          <w:szCs w:val="28"/>
        </w:rPr>
      </w:pPr>
      <w:r>
        <w:rPr>
          <w:rFonts w:hint="eastAsia" w:ascii="楷体_GB2312" w:eastAsia="楷体_GB2312"/>
          <w:bCs/>
          <w:sz w:val="28"/>
          <w:szCs w:val="28"/>
        </w:rPr>
        <w:t>第三章   合同条款</w:t>
      </w:r>
      <w:r>
        <w:rPr>
          <w:rFonts w:ascii="楷体_GB2312" w:eastAsia="楷体_GB2312"/>
          <w:bCs/>
          <w:sz w:val="28"/>
          <w:szCs w:val="28"/>
        </w:rPr>
        <w:t>………………………………………………………………………</w:t>
      </w:r>
      <w:r>
        <w:rPr>
          <w:rFonts w:hint="eastAsia" w:ascii="楷体_GB2312" w:eastAsia="楷体_GB2312"/>
          <w:bCs/>
          <w:sz w:val="28"/>
          <w:szCs w:val="28"/>
        </w:rPr>
        <w:t>11</w:t>
      </w:r>
    </w:p>
    <w:p>
      <w:pPr>
        <w:rPr>
          <w:rFonts w:ascii="楷体_GB2312" w:eastAsia="楷体_GB2312"/>
          <w:bCs/>
          <w:sz w:val="28"/>
          <w:szCs w:val="28"/>
        </w:rPr>
      </w:pPr>
    </w:p>
    <w:p>
      <w:pPr>
        <w:rPr>
          <w:rFonts w:ascii="楷体_GB2312" w:eastAsia="楷体_GB2312"/>
          <w:bCs/>
          <w:sz w:val="28"/>
          <w:szCs w:val="28"/>
        </w:rPr>
      </w:pPr>
      <w:r>
        <w:rPr>
          <w:rFonts w:hint="eastAsia" w:ascii="楷体_GB2312" w:eastAsia="楷体_GB2312"/>
          <w:bCs/>
          <w:sz w:val="28"/>
          <w:szCs w:val="28"/>
        </w:rPr>
        <w:t>第四章   评审方法</w:t>
      </w:r>
      <w:r>
        <w:rPr>
          <w:rFonts w:ascii="楷体_GB2312" w:eastAsia="楷体_GB2312"/>
          <w:bCs/>
          <w:sz w:val="28"/>
          <w:szCs w:val="28"/>
        </w:rPr>
        <w:t>………………………………………………………………………</w:t>
      </w:r>
      <w:r>
        <w:rPr>
          <w:rFonts w:hint="eastAsia" w:ascii="楷体_GB2312" w:eastAsia="楷体_GB2312"/>
          <w:bCs/>
          <w:sz w:val="28"/>
          <w:szCs w:val="28"/>
        </w:rPr>
        <w:t>22</w:t>
      </w:r>
    </w:p>
    <w:p>
      <w:pPr>
        <w:rPr>
          <w:rFonts w:ascii="楷体_GB2312" w:eastAsia="楷体_GB2312"/>
          <w:bCs/>
          <w:sz w:val="28"/>
          <w:szCs w:val="28"/>
        </w:rPr>
      </w:pPr>
    </w:p>
    <w:p>
      <w:pPr>
        <w:rPr>
          <w:rFonts w:ascii="楷体_GB2312" w:eastAsia="楷体_GB2312"/>
          <w:bCs/>
          <w:sz w:val="28"/>
          <w:szCs w:val="28"/>
        </w:rPr>
      </w:pPr>
      <w:r>
        <w:rPr>
          <w:rFonts w:hint="eastAsia" w:ascii="楷体_GB2312" w:eastAsia="楷体_GB2312"/>
          <w:bCs/>
          <w:sz w:val="28"/>
          <w:szCs w:val="28"/>
        </w:rPr>
        <w:t xml:space="preserve">第五章 </w:t>
      </w:r>
      <w:r>
        <w:rPr>
          <w:rFonts w:ascii="楷体_GB2312" w:eastAsia="楷体_GB2312"/>
          <w:bCs/>
          <w:sz w:val="28"/>
          <w:szCs w:val="28"/>
        </w:rPr>
        <w:t xml:space="preserve">  </w:t>
      </w:r>
      <w:r>
        <w:rPr>
          <w:rFonts w:hint="eastAsia" w:ascii="楷体_GB2312" w:eastAsia="楷体_GB2312"/>
          <w:bCs/>
          <w:sz w:val="28"/>
          <w:szCs w:val="28"/>
        </w:rPr>
        <w:t>响应文件</w:t>
      </w:r>
      <w:r>
        <w:rPr>
          <w:rFonts w:ascii="楷体_GB2312" w:eastAsia="楷体_GB2312"/>
          <w:bCs/>
          <w:sz w:val="28"/>
          <w:szCs w:val="28"/>
        </w:rPr>
        <w:t>………………………………………………………………………</w:t>
      </w:r>
      <w:r>
        <w:rPr>
          <w:rFonts w:hint="eastAsia" w:ascii="楷体_GB2312" w:eastAsia="楷体_GB2312"/>
          <w:bCs/>
          <w:sz w:val="28"/>
          <w:szCs w:val="28"/>
        </w:rPr>
        <w:t>26</w:t>
      </w:r>
    </w:p>
    <w:p>
      <w:pPr>
        <w:rPr>
          <w:rFonts w:ascii="黑体" w:hAnsi="黑体" w:eastAsia="黑体"/>
          <w:bCs/>
          <w:sz w:val="36"/>
          <w:szCs w:val="28"/>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snapToGrid w:val="0"/>
        <w:spacing w:line="580" w:lineRule="exact"/>
        <w:jc w:val="center"/>
        <w:rPr>
          <w:rFonts w:ascii="仿宋_GB2312" w:hAnsi="宋体" w:eastAsia="仿宋_GB2312" w:cs="仿宋_GB2312"/>
          <w:b/>
          <w:bCs/>
          <w:sz w:val="32"/>
          <w:szCs w:val="32"/>
        </w:rPr>
      </w:pPr>
    </w:p>
    <w:p>
      <w:pPr>
        <w:snapToGrid w:val="0"/>
        <w:spacing w:line="580" w:lineRule="exact"/>
        <w:jc w:val="center"/>
        <w:rPr>
          <w:rFonts w:ascii="仿宋_GB2312" w:hAnsi="宋体" w:eastAsia="仿宋_GB2312" w:cs="仿宋_GB2312"/>
          <w:b/>
          <w:bCs/>
          <w:sz w:val="32"/>
          <w:szCs w:val="32"/>
        </w:rPr>
      </w:pPr>
    </w:p>
    <w:p>
      <w:pPr>
        <w:snapToGrid w:val="0"/>
        <w:spacing w:line="580" w:lineRule="exact"/>
        <w:rPr>
          <w:rFonts w:ascii="仿宋_GB2312" w:hAnsi="宋体" w:eastAsia="仿宋_GB2312" w:cs="仿宋_GB2312"/>
          <w:b/>
          <w:bCs/>
          <w:sz w:val="32"/>
          <w:szCs w:val="32"/>
        </w:rPr>
      </w:pPr>
    </w:p>
    <w:p>
      <w:pPr>
        <w:pStyle w:val="4"/>
        <w:spacing w:before="0" w:after="0" w:line="360" w:lineRule="auto"/>
        <w:jc w:val="center"/>
        <w:rPr>
          <w:rFonts w:ascii="黑体" w:eastAsia="黑体"/>
          <w:bCs w:val="0"/>
          <w:sz w:val="36"/>
          <w:szCs w:val="36"/>
        </w:rPr>
        <w:sectPr>
          <w:footerReference r:id="rId4" w:type="first"/>
          <w:footerReference r:id="rId3" w:type="default"/>
          <w:pgSz w:w="11906" w:h="16838"/>
          <w:pgMar w:top="1418" w:right="1418" w:bottom="1418" w:left="1418" w:header="851" w:footer="743" w:gutter="0"/>
          <w:pgNumType w:start="1"/>
          <w:cols w:space="720" w:num="1"/>
          <w:titlePg/>
          <w:docGrid w:linePitch="286" w:charSpace="0"/>
        </w:sectPr>
      </w:pPr>
    </w:p>
    <w:p>
      <w:pPr>
        <w:pStyle w:val="4"/>
        <w:spacing w:before="0" w:after="0" w:line="360" w:lineRule="auto"/>
        <w:jc w:val="center"/>
        <w:rPr>
          <w:rFonts w:ascii="黑体" w:eastAsia="黑体"/>
          <w:sz w:val="36"/>
          <w:szCs w:val="36"/>
        </w:rPr>
      </w:pPr>
      <w:r>
        <w:rPr>
          <w:rFonts w:hint="eastAsia" w:ascii="黑体" w:eastAsia="黑体"/>
          <w:bCs w:val="0"/>
          <w:sz w:val="36"/>
          <w:szCs w:val="36"/>
        </w:rPr>
        <w:t>第一章</w:t>
      </w:r>
      <w:r>
        <w:rPr>
          <w:rFonts w:hint="eastAsia" w:ascii="黑体" w:eastAsia="黑体"/>
          <w:sz w:val="36"/>
          <w:szCs w:val="36"/>
        </w:rPr>
        <w:t>谈判须知</w:t>
      </w:r>
    </w:p>
    <w:p>
      <w:pPr>
        <w:rPr>
          <w:color w:val="FF0000"/>
        </w:rPr>
      </w:pPr>
      <w:r>
        <w:rPr>
          <w:rFonts w:hint="eastAsia"/>
          <w:color w:val="FF0000"/>
        </w:rPr>
        <w:t>（本谈判文件请投标单位认真阅读，任何遗漏或疏忽都有可能导致无效标书或废标）</w:t>
      </w:r>
    </w:p>
    <w:tbl>
      <w:tblPr>
        <w:tblStyle w:val="21"/>
        <w:tblW w:w="10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08"/>
        <w:gridCol w:w="8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1208" w:type="dxa"/>
          </w:tcPr>
          <w:p>
            <w:pPr>
              <w:jc w:val="center"/>
              <w:rPr>
                <w:rFonts w:asciiTheme="minorEastAsia" w:hAnsiTheme="minorEastAsia" w:cstheme="minorEastAsia"/>
                <w:szCs w:val="21"/>
              </w:rPr>
            </w:pPr>
            <w:r>
              <w:rPr>
                <w:rFonts w:hint="eastAsia" w:asciiTheme="minorEastAsia" w:hAnsiTheme="minorEastAsia" w:cstheme="minorEastAsia"/>
                <w:szCs w:val="21"/>
              </w:rPr>
              <w:t>名称</w:t>
            </w:r>
          </w:p>
        </w:tc>
        <w:tc>
          <w:tcPr>
            <w:tcW w:w="8273" w:type="dxa"/>
          </w:tcPr>
          <w:p>
            <w:pPr>
              <w:jc w:val="center"/>
              <w:rPr>
                <w:rFonts w:asciiTheme="minorEastAsia" w:hAnsiTheme="minorEastAsia" w:cstheme="minorEastAsia"/>
                <w:szCs w:val="21"/>
              </w:rPr>
            </w:pPr>
            <w:r>
              <w:rPr>
                <w:rFonts w:hint="eastAsia" w:asciiTheme="minorEastAsia" w:hAnsiTheme="minorEastAsia" w:cstheme="minorEastAsia"/>
                <w:szCs w:val="21"/>
              </w:rPr>
              <w:t>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jc w:val="left"/>
              <w:rPr>
                <w:rFonts w:asciiTheme="minorEastAsia" w:hAnsiTheme="minorEastAsia" w:cstheme="minorEastAsia"/>
                <w:szCs w:val="21"/>
              </w:rPr>
            </w:pPr>
            <w:r>
              <w:rPr>
                <w:rFonts w:hint="eastAsia" w:asciiTheme="minorEastAsia" w:hAnsiTheme="minorEastAsia" w:cstheme="minorEastAsia"/>
                <w:szCs w:val="21"/>
              </w:rPr>
              <w:t>1</w:t>
            </w:r>
          </w:p>
        </w:tc>
        <w:tc>
          <w:tcPr>
            <w:tcW w:w="1208" w:type="dxa"/>
          </w:tcPr>
          <w:p>
            <w:pPr>
              <w:jc w:val="left"/>
              <w:rPr>
                <w:rFonts w:asciiTheme="minorEastAsia" w:hAnsiTheme="minorEastAsia" w:cstheme="minorEastAsia"/>
                <w:szCs w:val="21"/>
              </w:rPr>
            </w:pPr>
            <w:r>
              <w:rPr>
                <w:rFonts w:hint="eastAsia" w:asciiTheme="minorEastAsia" w:hAnsiTheme="minorEastAsia" w:cstheme="minorEastAsia"/>
                <w:szCs w:val="21"/>
              </w:rPr>
              <w:t>项目名称</w:t>
            </w:r>
          </w:p>
        </w:tc>
        <w:tc>
          <w:tcPr>
            <w:tcW w:w="8273" w:type="dxa"/>
          </w:tcPr>
          <w:p>
            <w:pPr>
              <w:jc w:val="left"/>
              <w:rPr>
                <w:rFonts w:asciiTheme="minorEastAsia" w:hAnsiTheme="minorEastAsia" w:cstheme="minorEastAsia"/>
                <w:szCs w:val="21"/>
              </w:rPr>
            </w:pPr>
            <w:r>
              <w:rPr>
                <w:rFonts w:hint="eastAsia" w:asciiTheme="minorEastAsia" w:hAnsiTheme="minorEastAsia" w:cstheme="minorEastAsia"/>
                <w:szCs w:val="21"/>
              </w:rPr>
              <w:t>唐山糖业202</w:t>
            </w:r>
            <w:r>
              <w:rPr>
                <w:rFonts w:hint="eastAsia" w:asciiTheme="minorEastAsia" w:hAnsiTheme="minorEastAsia" w:cstheme="minorEastAsia"/>
                <w:szCs w:val="21"/>
                <w:lang w:val="en-US" w:eastAsia="zh-CN"/>
              </w:rPr>
              <w:t>4</w:t>
            </w:r>
            <w:r>
              <w:rPr>
                <w:rFonts w:hint="eastAsia" w:asciiTheme="minorEastAsia" w:hAnsiTheme="minorEastAsia" w:cstheme="minorEastAsia"/>
                <w:szCs w:val="21"/>
              </w:rPr>
              <w:t>年度消防设施维护保养服务谈判采购项目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jc w:val="left"/>
              <w:rPr>
                <w:rFonts w:asciiTheme="minorEastAsia" w:hAnsiTheme="minorEastAsia" w:cstheme="minorEastAsia"/>
                <w:szCs w:val="21"/>
              </w:rPr>
            </w:pPr>
            <w:r>
              <w:rPr>
                <w:rFonts w:asciiTheme="minorEastAsia" w:hAnsiTheme="minorEastAsia" w:cstheme="minorEastAsia"/>
                <w:szCs w:val="21"/>
              </w:rPr>
              <w:t>2</w:t>
            </w:r>
          </w:p>
        </w:tc>
        <w:tc>
          <w:tcPr>
            <w:tcW w:w="1208" w:type="dxa"/>
          </w:tcPr>
          <w:p>
            <w:pPr>
              <w:jc w:val="left"/>
              <w:rPr>
                <w:rFonts w:asciiTheme="minorEastAsia" w:hAnsiTheme="minorEastAsia" w:cstheme="minorEastAsia"/>
                <w:szCs w:val="21"/>
              </w:rPr>
            </w:pPr>
            <w:r>
              <w:rPr>
                <w:rFonts w:hint="eastAsia" w:asciiTheme="minorEastAsia" w:hAnsiTheme="minorEastAsia" w:cstheme="minorEastAsia"/>
                <w:szCs w:val="21"/>
              </w:rPr>
              <w:t>适用范围</w:t>
            </w:r>
          </w:p>
        </w:tc>
        <w:tc>
          <w:tcPr>
            <w:tcW w:w="8273" w:type="dxa"/>
          </w:tcPr>
          <w:p>
            <w:pPr>
              <w:jc w:val="left"/>
              <w:rPr>
                <w:rFonts w:asciiTheme="minorEastAsia" w:hAnsiTheme="minorEastAsia" w:cstheme="minorEastAsia"/>
                <w:szCs w:val="21"/>
              </w:rPr>
            </w:pPr>
            <w:r>
              <w:rPr>
                <w:rFonts w:hint="eastAsia" w:asciiTheme="minorEastAsia" w:hAnsiTheme="minorEastAsia" w:cstheme="minorEastAsia"/>
                <w:bCs/>
                <w:szCs w:val="21"/>
              </w:rPr>
              <w:t>本招标文件仅适用于中粮（唐山）糖业有限公司组织的采购活动。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jc w:val="left"/>
              <w:rPr>
                <w:rFonts w:asciiTheme="minorEastAsia" w:hAnsiTheme="minorEastAsia" w:cstheme="minorEastAsia"/>
                <w:szCs w:val="21"/>
              </w:rPr>
            </w:pPr>
            <w:r>
              <w:rPr>
                <w:rFonts w:hint="eastAsia" w:asciiTheme="minorEastAsia" w:hAnsiTheme="minorEastAsia" w:cstheme="minorEastAsia"/>
                <w:szCs w:val="21"/>
              </w:rPr>
              <w:t>3</w:t>
            </w:r>
          </w:p>
        </w:tc>
        <w:tc>
          <w:tcPr>
            <w:tcW w:w="1208" w:type="dxa"/>
          </w:tcPr>
          <w:p>
            <w:pPr>
              <w:jc w:val="left"/>
              <w:rPr>
                <w:rFonts w:asciiTheme="minorEastAsia" w:hAnsiTheme="minorEastAsia" w:cstheme="minorEastAsia"/>
                <w:szCs w:val="21"/>
              </w:rPr>
            </w:pPr>
            <w:r>
              <w:rPr>
                <w:rFonts w:hint="eastAsia" w:asciiTheme="minorEastAsia" w:hAnsiTheme="minorEastAsia" w:cstheme="minorEastAsia"/>
                <w:szCs w:val="21"/>
              </w:rPr>
              <w:t>定义</w:t>
            </w:r>
          </w:p>
        </w:tc>
        <w:tc>
          <w:tcPr>
            <w:tcW w:w="8273" w:type="dxa"/>
          </w:tcPr>
          <w:p>
            <w:pPr>
              <w:tabs>
                <w:tab w:val="left" w:pos="441"/>
              </w:tabs>
              <w:autoSpaceDE w:val="0"/>
              <w:autoSpaceDN w:val="0"/>
              <w:adjustRightInd w:val="0"/>
              <w:spacing w:line="360" w:lineRule="auto"/>
              <w:rPr>
                <w:rFonts w:asciiTheme="minorEastAsia" w:hAnsiTheme="minorEastAsia" w:cstheme="minorEastAsia"/>
                <w:szCs w:val="21"/>
              </w:rPr>
            </w:pPr>
            <w:bookmarkStart w:id="0" w:name="_Hlk131079327"/>
            <w:r>
              <w:rPr>
                <w:rFonts w:hint="eastAsia" w:asciiTheme="minorEastAsia" w:hAnsiTheme="minorEastAsia" w:cstheme="minorEastAsia"/>
                <w:szCs w:val="21"/>
              </w:rPr>
              <w:t>本招标文件使用的下列词语定义如下：</w:t>
            </w:r>
          </w:p>
          <w:p>
            <w:pPr>
              <w:numPr>
                <w:ilvl w:val="255"/>
                <w:numId w:val="0"/>
              </w:numPr>
              <w:autoSpaceDE w:val="0"/>
              <w:autoSpaceDN w:val="0"/>
              <w:adjustRightInd w:val="0"/>
              <w:spacing w:line="360" w:lineRule="auto"/>
              <w:rPr>
                <w:rFonts w:asciiTheme="minorEastAsia" w:hAnsiTheme="minorEastAsia" w:cstheme="minorEastAsia"/>
                <w:szCs w:val="21"/>
              </w:rPr>
            </w:pPr>
            <w:r>
              <w:rPr>
                <w:rFonts w:hint="eastAsia" w:asciiTheme="minorEastAsia" w:hAnsiTheme="minorEastAsia" w:cstheme="minorEastAsia"/>
                <w:szCs w:val="21"/>
              </w:rPr>
              <w:t>（1）“招标人”均指</w:t>
            </w:r>
            <w:r>
              <w:rPr>
                <w:rFonts w:hint="eastAsia" w:asciiTheme="minorEastAsia" w:hAnsiTheme="minorEastAsia" w:cstheme="minorEastAsia"/>
                <w:bCs/>
                <w:szCs w:val="21"/>
              </w:rPr>
              <w:t>中粮（唐山）糖业有限公司</w:t>
            </w:r>
            <w:r>
              <w:rPr>
                <w:rFonts w:hint="eastAsia" w:asciiTheme="minorEastAsia" w:hAnsiTheme="minorEastAsia" w:cstheme="minorEastAsia"/>
                <w:szCs w:val="21"/>
              </w:rPr>
              <w:t>；</w:t>
            </w:r>
          </w:p>
          <w:p>
            <w:pPr>
              <w:numPr>
                <w:ilvl w:val="255"/>
                <w:numId w:val="0"/>
              </w:numPr>
              <w:autoSpaceDE w:val="0"/>
              <w:autoSpaceDN w:val="0"/>
              <w:adjustRightInd w:val="0"/>
              <w:spacing w:line="360" w:lineRule="auto"/>
              <w:rPr>
                <w:rFonts w:asciiTheme="minorEastAsia" w:hAnsiTheme="minorEastAsia" w:cstheme="minorEastAsia"/>
                <w:szCs w:val="21"/>
              </w:rPr>
            </w:pPr>
            <w:r>
              <w:rPr>
                <w:rFonts w:hint="eastAsia" w:asciiTheme="minorEastAsia" w:hAnsiTheme="minorEastAsia" w:cstheme="minorEastAsia"/>
                <w:szCs w:val="21"/>
              </w:rPr>
              <w:t>（2）“投标人”指向</w:t>
            </w:r>
            <w:r>
              <w:rPr>
                <w:rFonts w:hint="eastAsia" w:asciiTheme="minorEastAsia" w:hAnsiTheme="minorEastAsia" w:cstheme="minorEastAsia"/>
                <w:bCs/>
                <w:szCs w:val="21"/>
              </w:rPr>
              <w:t>中粮（唐山）糖业有限公司</w:t>
            </w:r>
            <w:r>
              <w:rPr>
                <w:rFonts w:hint="eastAsia" w:asciiTheme="minorEastAsia" w:hAnsiTheme="minorEastAsia" w:cstheme="minorEastAsia"/>
                <w:szCs w:val="21"/>
              </w:rPr>
              <w:t>提交投标文件；</w:t>
            </w:r>
          </w:p>
          <w:p>
            <w:pPr>
              <w:numPr>
                <w:ilvl w:val="255"/>
                <w:numId w:val="0"/>
              </w:numPr>
              <w:autoSpaceDE w:val="0"/>
              <w:autoSpaceDN w:val="0"/>
              <w:adjustRightInd w:val="0"/>
              <w:spacing w:line="360" w:lineRule="auto"/>
              <w:rPr>
                <w:rFonts w:asciiTheme="minorEastAsia" w:hAnsiTheme="minorEastAsia" w:cstheme="minorEastAsia"/>
                <w:szCs w:val="21"/>
              </w:rPr>
            </w:pPr>
            <w:r>
              <w:rPr>
                <w:rFonts w:hint="eastAsia" w:asciiTheme="minorEastAsia" w:hAnsiTheme="minorEastAsia" w:cstheme="minorEastAsia"/>
                <w:szCs w:val="21"/>
              </w:rPr>
              <w:t>（3）“招标文件”指</w:t>
            </w:r>
            <w:r>
              <w:rPr>
                <w:rFonts w:hint="eastAsia" w:asciiTheme="minorEastAsia" w:hAnsiTheme="minorEastAsia" w:cstheme="minorEastAsia"/>
                <w:bCs/>
                <w:szCs w:val="21"/>
              </w:rPr>
              <w:t>中粮（唐山）糖业有限公司</w:t>
            </w:r>
            <w:r>
              <w:rPr>
                <w:rFonts w:hint="eastAsia" w:asciiTheme="minorEastAsia" w:hAnsiTheme="minorEastAsia" w:cstheme="minorEastAsia"/>
                <w:szCs w:val="21"/>
              </w:rPr>
              <w:t>发出的本文件，包括附件；</w:t>
            </w:r>
          </w:p>
          <w:p>
            <w:pPr>
              <w:jc w:val="left"/>
              <w:rPr>
                <w:rFonts w:asciiTheme="minorEastAsia" w:hAnsiTheme="minorEastAsia" w:cstheme="minorEastAsia"/>
                <w:szCs w:val="21"/>
              </w:rPr>
            </w:pPr>
            <w:r>
              <w:rPr>
                <w:rFonts w:hint="eastAsia" w:asciiTheme="minorEastAsia" w:hAnsiTheme="minorEastAsia" w:cstheme="minorEastAsia"/>
                <w:szCs w:val="21"/>
              </w:rPr>
              <w:t>（4）“投标文件”指投标人根据本招标文件向</w:t>
            </w:r>
            <w:r>
              <w:rPr>
                <w:rFonts w:hint="eastAsia" w:asciiTheme="minorEastAsia" w:hAnsiTheme="minorEastAsia" w:cstheme="minorEastAsia"/>
                <w:bCs/>
                <w:szCs w:val="21"/>
              </w:rPr>
              <w:t>中粮（唐山）糖业有限公司</w:t>
            </w:r>
            <w:r>
              <w:rPr>
                <w:rFonts w:hint="eastAsia" w:asciiTheme="minorEastAsia" w:hAnsiTheme="minorEastAsia" w:cstheme="minorEastAsia"/>
                <w:szCs w:val="21"/>
              </w:rPr>
              <w:t>交的全部文件；</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jc w:val="left"/>
              <w:rPr>
                <w:rFonts w:asciiTheme="minorEastAsia" w:hAnsiTheme="minorEastAsia" w:cstheme="minorEastAsia"/>
                <w:szCs w:val="21"/>
              </w:rPr>
            </w:pPr>
            <w:r>
              <w:rPr>
                <w:rFonts w:asciiTheme="minorEastAsia" w:hAnsiTheme="minorEastAsia" w:cstheme="minorEastAsia"/>
                <w:szCs w:val="21"/>
              </w:rPr>
              <w:t>4</w:t>
            </w:r>
          </w:p>
        </w:tc>
        <w:tc>
          <w:tcPr>
            <w:tcW w:w="1208" w:type="dxa"/>
          </w:tcPr>
          <w:p>
            <w:pPr>
              <w:jc w:val="left"/>
              <w:rPr>
                <w:rFonts w:asciiTheme="minorEastAsia" w:hAnsiTheme="minorEastAsia" w:cstheme="minorEastAsia"/>
                <w:szCs w:val="21"/>
              </w:rPr>
            </w:pPr>
            <w:r>
              <w:rPr>
                <w:rFonts w:hint="eastAsia" w:asciiTheme="minorEastAsia" w:hAnsiTheme="minorEastAsia" w:cstheme="minorEastAsia"/>
                <w:szCs w:val="21"/>
              </w:rPr>
              <w:t>项目地点</w:t>
            </w:r>
          </w:p>
        </w:tc>
        <w:tc>
          <w:tcPr>
            <w:tcW w:w="8273" w:type="dxa"/>
          </w:tcPr>
          <w:p>
            <w:pPr>
              <w:jc w:val="left"/>
              <w:rPr>
                <w:rFonts w:asciiTheme="minorEastAsia" w:hAnsiTheme="minorEastAsia" w:cstheme="minorEastAsia"/>
                <w:szCs w:val="21"/>
              </w:rPr>
            </w:pPr>
            <w:r>
              <w:rPr>
                <w:rFonts w:hint="eastAsia" w:asciiTheme="minorEastAsia" w:hAnsiTheme="minorEastAsia" w:cstheme="minorEastAsia"/>
                <w:szCs w:val="21"/>
              </w:rPr>
              <w:t>中粮（唐山）糖业有限公司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jc w:val="left"/>
              <w:rPr>
                <w:rFonts w:asciiTheme="minorEastAsia" w:hAnsiTheme="minorEastAsia" w:cstheme="minorEastAsia"/>
                <w:szCs w:val="21"/>
              </w:rPr>
            </w:pPr>
            <w:r>
              <w:rPr>
                <w:rFonts w:asciiTheme="minorEastAsia" w:hAnsiTheme="minorEastAsia" w:cstheme="minorEastAsia"/>
                <w:szCs w:val="21"/>
              </w:rPr>
              <w:t>5</w:t>
            </w:r>
          </w:p>
        </w:tc>
        <w:tc>
          <w:tcPr>
            <w:tcW w:w="1208" w:type="dxa"/>
          </w:tcPr>
          <w:p>
            <w:pPr>
              <w:jc w:val="left"/>
              <w:rPr>
                <w:rFonts w:asciiTheme="minorEastAsia" w:hAnsiTheme="minorEastAsia" w:cstheme="minorEastAsia"/>
                <w:szCs w:val="21"/>
              </w:rPr>
            </w:pPr>
            <w:r>
              <w:rPr>
                <w:rFonts w:hint="eastAsia" w:asciiTheme="minorEastAsia" w:hAnsiTheme="minorEastAsia" w:cstheme="minorEastAsia"/>
                <w:szCs w:val="21"/>
              </w:rPr>
              <w:t>项目服务区域</w:t>
            </w:r>
          </w:p>
        </w:tc>
        <w:tc>
          <w:tcPr>
            <w:tcW w:w="8273" w:type="dxa"/>
          </w:tcPr>
          <w:p>
            <w:pPr>
              <w:jc w:val="left"/>
              <w:rPr>
                <w:rFonts w:asciiTheme="minorEastAsia" w:hAnsiTheme="minorEastAsia" w:cstheme="minorEastAsia"/>
                <w:szCs w:val="21"/>
              </w:rPr>
            </w:pPr>
            <w:r>
              <w:rPr>
                <w:rFonts w:hint="eastAsia" w:asciiTheme="minorEastAsia" w:hAnsiTheme="minorEastAsia" w:cstheme="minorEastAsia"/>
                <w:szCs w:val="21"/>
              </w:rPr>
              <w:t>中粮（唐山）糖业有限公司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jc w:val="left"/>
              <w:rPr>
                <w:rFonts w:asciiTheme="minorEastAsia" w:hAnsiTheme="minorEastAsia" w:cstheme="minorEastAsia"/>
                <w:szCs w:val="21"/>
              </w:rPr>
            </w:pPr>
            <w:r>
              <w:rPr>
                <w:rFonts w:asciiTheme="minorEastAsia" w:hAnsiTheme="minorEastAsia" w:cstheme="minorEastAsia"/>
                <w:szCs w:val="21"/>
              </w:rPr>
              <w:t>6</w:t>
            </w:r>
          </w:p>
        </w:tc>
        <w:tc>
          <w:tcPr>
            <w:tcW w:w="1208" w:type="dxa"/>
          </w:tcPr>
          <w:p>
            <w:pPr>
              <w:jc w:val="left"/>
              <w:rPr>
                <w:rFonts w:asciiTheme="minorEastAsia" w:hAnsiTheme="minorEastAsia" w:cstheme="minorEastAsia"/>
                <w:szCs w:val="21"/>
              </w:rPr>
            </w:pPr>
            <w:r>
              <w:rPr>
                <w:rFonts w:hint="eastAsia" w:asciiTheme="minorEastAsia" w:hAnsiTheme="minorEastAsia" w:cstheme="minorEastAsia"/>
                <w:szCs w:val="21"/>
              </w:rPr>
              <w:t>项目控制价</w:t>
            </w:r>
          </w:p>
        </w:tc>
        <w:tc>
          <w:tcPr>
            <w:tcW w:w="8273" w:type="dxa"/>
          </w:tcPr>
          <w:p>
            <w:pPr>
              <w:jc w:val="left"/>
              <w:rPr>
                <w:rFonts w:asciiTheme="minorEastAsia" w:hAnsiTheme="minorEastAsia" w:cstheme="minorEastAsia"/>
                <w:szCs w:val="21"/>
              </w:rPr>
            </w:pPr>
            <w:r>
              <w:rPr>
                <w:rFonts w:hint="eastAsia" w:asciiTheme="minorEastAsia" w:hAnsiTheme="minorEastAsia" w:cstheme="minorEastAsia"/>
                <w:szCs w:val="21"/>
                <w:lang w:val="en-US" w:eastAsia="zh-CN"/>
              </w:rPr>
              <w:t>13</w:t>
            </w:r>
            <w:r>
              <w:rPr>
                <w:rFonts w:hint="eastAsia" w:asciiTheme="minorEastAsia" w:hAnsiTheme="minorEastAsia" w:cs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675" w:type="dxa"/>
          </w:tcPr>
          <w:p>
            <w:pPr>
              <w:jc w:val="left"/>
              <w:rPr>
                <w:rFonts w:asciiTheme="minorEastAsia" w:hAnsiTheme="minorEastAsia" w:cstheme="minorEastAsia"/>
                <w:szCs w:val="21"/>
              </w:rPr>
            </w:pPr>
            <w:r>
              <w:rPr>
                <w:rFonts w:asciiTheme="minorEastAsia" w:hAnsiTheme="minorEastAsia" w:cstheme="minorEastAsia"/>
                <w:szCs w:val="21"/>
              </w:rPr>
              <w:t>7</w:t>
            </w:r>
          </w:p>
        </w:tc>
        <w:tc>
          <w:tcPr>
            <w:tcW w:w="1208" w:type="dxa"/>
          </w:tcPr>
          <w:p>
            <w:pPr>
              <w:jc w:val="left"/>
              <w:rPr>
                <w:rFonts w:asciiTheme="minorEastAsia" w:hAnsiTheme="minorEastAsia" w:cstheme="minorEastAsia"/>
                <w:szCs w:val="21"/>
              </w:rPr>
            </w:pPr>
            <w:r>
              <w:rPr>
                <w:rFonts w:hint="eastAsia" w:asciiTheme="minorEastAsia" w:hAnsiTheme="minorEastAsia" w:cstheme="minorEastAsia"/>
                <w:szCs w:val="21"/>
                <w:highlight w:val="none"/>
              </w:rPr>
              <w:t>项目内容</w:t>
            </w:r>
          </w:p>
        </w:tc>
        <w:tc>
          <w:tcPr>
            <w:tcW w:w="8273" w:type="dxa"/>
          </w:tcPr>
          <w:p>
            <w:pPr>
              <w:pStyle w:val="19"/>
              <w:ind w:left="0" w:leftChars="0" w:firstLine="0" w:firstLineChars="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对公司火灾自动报警系统及其联动控制、自动喷水灭火系统（水炮系统、水幕系统）、消火栓系统、消防泵房消防泵及稳压系统和控制系统、地下消防管网系统、消防卷帘门系统、消防烟气检测及排烟系统、应急广播系统、消防电话系统、应急照明和疏散指示系统等系统设备进行维护保养工作，具体如下：</w:t>
            </w:r>
          </w:p>
          <w:tbl>
            <w:tblPr>
              <w:tblStyle w:val="20"/>
              <w:tblW w:w="8063" w:type="dxa"/>
              <w:jc w:val="center"/>
              <w:tblLayout w:type="fixed"/>
              <w:tblCellMar>
                <w:top w:w="0" w:type="dxa"/>
                <w:left w:w="108" w:type="dxa"/>
                <w:bottom w:w="0" w:type="dxa"/>
                <w:right w:w="108" w:type="dxa"/>
              </w:tblCellMar>
            </w:tblPr>
            <w:tblGrid>
              <w:gridCol w:w="402"/>
              <w:gridCol w:w="978"/>
              <w:gridCol w:w="2894"/>
              <w:gridCol w:w="3789"/>
            </w:tblGrid>
            <w:tr>
              <w:tblPrEx>
                <w:tblCellMar>
                  <w:top w:w="0" w:type="dxa"/>
                  <w:left w:w="108" w:type="dxa"/>
                  <w:bottom w:w="0" w:type="dxa"/>
                  <w:right w:w="108" w:type="dxa"/>
                </w:tblCellMar>
              </w:tblPrEx>
              <w:trPr>
                <w:trHeight w:val="620" w:hRule="atLeast"/>
                <w:jc w:val="center"/>
              </w:trPr>
              <w:tc>
                <w:tcPr>
                  <w:tcW w:w="4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b/>
                      <w:bCs/>
                      <w:color w:val="auto"/>
                      <w:sz w:val="24"/>
                    </w:rPr>
                  </w:pPr>
                  <w:r>
                    <w:rPr>
                      <w:rFonts w:hint="eastAsia" w:ascii="仿宋_GB2312" w:hAnsi="等线" w:eastAsia="仿宋_GB2312" w:cs="等线"/>
                      <w:b/>
                      <w:bCs/>
                      <w:color w:val="auto"/>
                      <w:kern w:val="0"/>
                      <w:sz w:val="24"/>
                      <w:lang w:bidi="ar"/>
                    </w:rPr>
                    <w:t>序号</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b/>
                      <w:bCs/>
                      <w:color w:val="auto"/>
                      <w:kern w:val="0"/>
                      <w:sz w:val="24"/>
                      <w:lang w:bidi="ar"/>
                    </w:rPr>
                  </w:pPr>
                  <w:r>
                    <w:rPr>
                      <w:rFonts w:hint="eastAsia" w:ascii="仿宋_GB2312" w:hAnsi="等线" w:eastAsia="仿宋_GB2312" w:cs="等线"/>
                      <w:b/>
                      <w:bCs/>
                      <w:color w:val="auto"/>
                      <w:kern w:val="0"/>
                      <w:sz w:val="24"/>
                      <w:lang w:bidi="ar"/>
                    </w:rPr>
                    <w:t>消防</w:t>
                  </w:r>
                </w:p>
                <w:p>
                  <w:pPr>
                    <w:widowControl/>
                    <w:jc w:val="center"/>
                    <w:textAlignment w:val="center"/>
                    <w:rPr>
                      <w:rFonts w:hint="eastAsia" w:ascii="仿宋_GB2312" w:hAnsi="等线" w:eastAsia="仿宋_GB2312" w:cs="等线"/>
                      <w:b/>
                      <w:bCs/>
                      <w:color w:val="auto"/>
                      <w:sz w:val="24"/>
                    </w:rPr>
                  </w:pPr>
                  <w:r>
                    <w:rPr>
                      <w:rFonts w:hint="eastAsia" w:ascii="仿宋_GB2312" w:hAnsi="等线" w:eastAsia="仿宋_GB2312" w:cs="等线"/>
                      <w:b/>
                      <w:bCs/>
                      <w:color w:val="auto"/>
                      <w:kern w:val="0"/>
                      <w:sz w:val="24"/>
                      <w:lang w:bidi="ar"/>
                    </w:rPr>
                    <w:t>设施</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b/>
                      <w:bCs/>
                      <w:color w:val="auto"/>
                      <w:sz w:val="24"/>
                    </w:rPr>
                  </w:pPr>
                  <w:r>
                    <w:rPr>
                      <w:rFonts w:hint="eastAsia" w:ascii="仿宋_GB2312" w:hAnsi="等线" w:eastAsia="仿宋_GB2312" w:cs="等线"/>
                      <w:b/>
                      <w:bCs/>
                      <w:color w:val="auto"/>
                      <w:kern w:val="0"/>
                      <w:sz w:val="24"/>
                      <w:lang w:bidi="ar"/>
                    </w:rPr>
                    <w:t>执行标准</w:t>
                  </w:r>
                </w:p>
              </w:tc>
              <w:tc>
                <w:tcPr>
                  <w:tcW w:w="3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b/>
                      <w:bCs/>
                      <w:color w:val="auto"/>
                      <w:sz w:val="24"/>
                    </w:rPr>
                  </w:pPr>
                  <w:r>
                    <w:rPr>
                      <w:rFonts w:hint="eastAsia" w:ascii="仿宋_GB2312" w:hAnsi="等线" w:eastAsia="仿宋_GB2312" w:cs="等线"/>
                      <w:b/>
                      <w:bCs/>
                      <w:color w:val="auto"/>
                      <w:kern w:val="0"/>
                      <w:sz w:val="24"/>
                      <w:lang w:bidi="ar"/>
                    </w:rPr>
                    <w:t>涉及区域</w:t>
                  </w:r>
                </w:p>
              </w:tc>
            </w:tr>
            <w:tr>
              <w:tblPrEx>
                <w:tblCellMar>
                  <w:top w:w="0" w:type="dxa"/>
                  <w:left w:w="108" w:type="dxa"/>
                  <w:bottom w:w="0" w:type="dxa"/>
                  <w:right w:w="108" w:type="dxa"/>
                </w:tblCellMar>
              </w:tblPrEx>
              <w:trPr>
                <w:trHeight w:val="960" w:hRule="atLeast"/>
                <w:jc w:val="center"/>
              </w:trPr>
              <w:tc>
                <w:tcPr>
                  <w:tcW w:w="4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sz w:val="24"/>
                    </w:rPr>
                  </w:pPr>
                  <w:r>
                    <w:rPr>
                      <w:rFonts w:hint="eastAsia" w:ascii="仿宋_GB2312" w:hAnsi="等线" w:eastAsia="仿宋_GB2312" w:cs="等线"/>
                      <w:color w:val="auto"/>
                      <w:kern w:val="0"/>
                      <w:sz w:val="24"/>
                      <w:lang w:bidi="ar"/>
                    </w:rPr>
                    <w:t>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sz w:val="24"/>
                    </w:rPr>
                  </w:pPr>
                  <w:r>
                    <w:rPr>
                      <w:rFonts w:hint="eastAsia" w:ascii="仿宋_GB2312" w:hAnsi="等线" w:eastAsia="仿宋_GB2312" w:cs="等线"/>
                      <w:color w:val="auto"/>
                      <w:kern w:val="0"/>
                      <w:sz w:val="24"/>
                      <w:lang w:bidi="ar"/>
                    </w:rPr>
                    <w:t>火灾自动报警系统</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sz w:val="24"/>
                    </w:rPr>
                  </w:pPr>
                  <w:r>
                    <w:rPr>
                      <w:rFonts w:hint="eastAsia" w:ascii="仿宋_GB2312" w:hAnsi="等线" w:eastAsia="仿宋_GB2312" w:cs="等线"/>
                      <w:color w:val="auto"/>
                      <w:kern w:val="0"/>
                      <w:sz w:val="24"/>
                      <w:lang w:bidi="ar"/>
                    </w:rPr>
                    <w:t>按照《火灾自动报警设计规范》（GB50116-2013）、《火灾自动报警系统施工及验收标准》（GB50166-2019）等相关标准开展维护保养</w:t>
                  </w:r>
                </w:p>
              </w:tc>
              <w:tc>
                <w:tcPr>
                  <w:tcW w:w="378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等线" w:eastAsia="仿宋_GB2312" w:cs="等线"/>
                      <w:color w:val="auto"/>
                      <w:kern w:val="0"/>
                      <w:sz w:val="24"/>
                      <w:lang w:bidi="ar"/>
                    </w:rPr>
                  </w:pPr>
                  <w:r>
                    <w:rPr>
                      <w:rFonts w:hint="eastAsia" w:ascii="仿宋_GB2312" w:hAnsi="等线" w:eastAsia="仿宋_GB2312" w:cs="等线"/>
                      <w:color w:val="auto"/>
                      <w:kern w:val="0"/>
                      <w:sz w:val="24"/>
                      <w:lang w:bidi="ar"/>
                    </w:rPr>
                    <w:t>一期：办公楼、宿舍楼、食堂和餐厅、炼糖车间（含一期、二期）、包装间及周转仓、动力车间、破碎间及输煤廊、成品仓（1号库）、国储仓（2号库）、3-6号库、二期：门卫室、综合楼、回溶间、原糖仓A、原糖仓B、原糖仓C、维修与五金车间、成品糖输糖廊、扩建原糖输糖廊</w:t>
                  </w:r>
                </w:p>
              </w:tc>
            </w:tr>
            <w:tr>
              <w:tblPrEx>
                <w:tblCellMar>
                  <w:top w:w="0" w:type="dxa"/>
                  <w:left w:w="108" w:type="dxa"/>
                  <w:bottom w:w="0" w:type="dxa"/>
                  <w:right w:w="108" w:type="dxa"/>
                </w:tblCellMar>
              </w:tblPrEx>
              <w:trPr>
                <w:trHeight w:val="960" w:hRule="atLeast"/>
                <w:jc w:val="center"/>
              </w:trPr>
              <w:tc>
                <w:tcPr>
                  <w:tcW w:w="4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sz w:val="24"/>
                    </w:rPr>
                  </w:pPr>
                  <w:r>
                    <w:rPr>
                      <w:rFonts w:hint="eastAsia" w:ascii="仿宋_GB2312" w:hAnsi="等线" w:eastAsia="仿宋_GB2312" w:cs="等线"/>
                      <w:color w:val="auto"/>
                      <w:kern w:val="0"/>
                      <w:sz w:val="24"/>
                      <w:lang w:bidi="ar"/>
                    </w:rPr>
                    <w:t>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sz w:val="24"/>
                    </w:rPr>
                  </w:pPr>
                  <w:r>
                    <w:rPr>
                      <w:rFonts w:hint="eastAsia" w:ascii="仿宋_GB2312" w:hAnsi="等线" w:eastAsia="仿宋_GB2312" w:cs="等线"/>
                      <w:color w:val="auto"/>
                      <w:kern w:val="0"/>
                      <w:sz w:val="24"/>
                      <w:lang w:bidi="ar"/>
                    </w:rPr>
                    <w:t>室内消火栓系统</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sz w:val="24"/>
                    </w:rPr>
                  </w:pPr>
                  <w:r>
                    <w:rPr>
                      <w:rFonts w:hint="eastAsia" w:ascii="仿宋_GB2312" w:hAnsi="等线" w:eastAsia="仿宋_GB2312" w:cs="等线"/>
                      <w:color w:val="auto"/>
                      <w:kern w:val="0"/>
                      <w:sz w:val="24"/>
                      <w:lang w:bidi="ar"/>
                    </w:rPr>
                    <w:t>按照《消防给水及消火栓系统技术规范》（GB50974-2014）等相关标准开展维护保养</w:t>
                  </w:r>
                </w:p>
              </w:tc>
              <w:tc>
                <w:tcPr>
                  <w:tcW w:w="3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kern w:val="0"/>
                      <w:sz w:val="24"/>
                      <w:lang w:bidi="ar"/>
                    </w:rPr>
                  </w:pPr>
                  <w:r>
                    <w:rPr>
                      <w:rFonts w:hint="eastAsia" w:ascii="仿宋_GB2312" w:hAnsi="等线" w:eastAsia="仿宋_GB2312" w:cs="等线"/>
                      <w:color w:val="auto"/>
                      <w:kern w:val="0"/>
                      <w:sz w:val="24"/>
                      <w:lang w:bidi="ar"/>
                    </w:rPr>
                    <w:t>一期；办公楼、宿舍楼、食堂和餐厅、炼糖车间（含一期、二期）、包装间及周转仓、动力车间、破碎间及输煤廊、干煤棚、成品仓（1号库）、国储仓（2号库）</w:t>
                  </w:r>
                </w:p>
                <w:p>
                  <w:pPr>
                    <w:pStyle w:val="2"/>
                    <w:rPr>
                      <w:rFonts w:hint="eastAsia" w:ascii="仿宋_GB2312" w:eastAsia="仿宋_GB2312"/>
                      <w:color w:val="auto"/>
                      <w:sz w:val="24"/>
                      <w:szCs w:val="24"/>
                      <w:lang w:bidi="ar"/>
                    </w:rPr>
                  </w:pPr>
                  <w:r>
                    <w:rPr>
                      <w:rFonts w:hint="eastAsia" w:ascii="仿宋_GB2312" w:eastAsia="仿宋_GB2312"/>
                      <w:color w:val="auto"/>
                      <w:sz w:val="24"/>
                      <w:szCs w:val="24"/>
                      <w:lang w:bidi="ar"/>
                    </w:rPr>
                    <w:t>二期：门卫室、综合楼、回溶间、原糖仓A、原糖仓B、原糖仓C、维修与五金车间、成品糖输糖廊、扩建原糖输糖廊</w:t>
                  </w:r>
                </w:p>
              </w:tc>
            </w:tr>
            <w:tr>
              <w:tblPrEx>
                <w:tblCellMar>
                  <w:top w:w="0" w:type="dxa"/>
                  <w:left w:w="108" w:type="dxa"/>
                  <w:bottom w:w="0" w:type="dxa"/>
                  <w:right w:w="108" w:type="dxa"/>
                </w:tblCellMar>
              </w:tblPrEx>
              <w:trPr>
                <w:trHeight w:val="1200" w:hRule="atLeast"/>
                <w:jc w:val="center"/>
              </w:trPr>
              <w:tc>
                <w:tcPr>
                  <w:tcW w:w="4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sz w:val="24"/>
                    </w:rPr>
                  </w:pPr>
                  <w:r>
                    <w:rPr>
                      <w:rFonts w:hint="eastAsia" w:ascii="仿宋_GB2312" w:hAnsi="等线" w:eastAsia="仿宋_GB2312" w:cs="等线"/>
                      <w:color w:val="auto"/>
                      <w:kern w:val="0"/>
                      <w:sz w:val="24"/>
                      <w:lang w:bidi="ar"/>
                    </w:rPr>
                    <w:t>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sz w:val="24"/>
                    </w:rPr>
                  </w:pPr>
                  <w:r>
                    <w:rPr>
                      <w:rFonts w:hint="eastAsia" w:ascii="仿宋_GB2312" w:hAnsi="等线" w:eastAsia="仿宋_GB2312" w:cs="等线"/>
                      <w:color w:val="auto"/>
                      <w:kern w:val="0"/>
                      <w:sz w:val="24"/>
                      <w:lang w:bidi="ar"/>
                    </w:rPr>
                    <w:t>建筑灭火器</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sz w:val="24"/>
                    </w:rPr>
                  </w:pPr>
                  <w:r>
                    <w:rPr>
                      <w:rFonts w:hint="eastAsia" w:ascii="仿宋_GB2312" w:hAnsi="等线" w:eastAsia="仿宋_GB2312" w:cs="等线"/>
                      <w:color w:val="auto"/>
                      <w:kern w:val="0"/>
                      <w:sz w:val="24"/>
                      <w:lang w:bidi="ar"/>
                    </w:rPr>
                    <w:t>按照《建筑灭火器配置设计规范》（GB50140-2005）、《建筑灭火器配置验收及检查规范》（GB50444-2008）等相关标准开展维护保养</w:t>
                  </w:r>
                </w:p>
              </w:tc>
              <w:tc>
                <w:tcPr>
                  <w:tcW w:w="3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kern w:val="0"/>
                      <w:sz w:val="24"/>
                      <w:lang w:bidi="ar"/>
                    </w:rPr>
                  </w:pPr>
                  <w:r>
                    <w:rPr>
                      <w:rFonts w:hint="eastAsia" w:ascii="仿宋_GB2312" w:hAnsi="等线" w:eastAsia="仿宋_GB2312" w:cs="等线"/>
                      <w:color w:val="auto"/>
                      <w:kern w:val="0"/>
                      <w:sz w:val="24"/>
                      <w:lang w:bidi="ar"/>
                    </w:rPr>
                    <w:t>一期：办公楼、宿舍楼、食堂和餐厅、炼糖车间（一期、二期）、包装间及周转仓、动力车间、破碎间及输煤廊、干煤棚、原糖仓、成品仓（1号库）、国储仓（2号库）、3-6号库</w:t>
                  </w:r>
                </w:p>
                <w:p>
                  <w:pPr>
                    <w:pStyle w:val="2"/>
                    <w:rPr>
                      <w:rFonts w:hint="eastAsia" w:ascii="仿宋_GB2312" w:eastAsia="仿宋_GB2312"/>
                      <w:color w:val="auto"/>
                      <w:sz w:val="24"/>
                      <w:szCs w:val="24"/>
                      <w:lang w:bidi="ar"/>
                    </w:rPr>
                  </w:pPr>
                  <w:r>
                    <w:rPr>
                      <w:rFonts w:hint="eastAsia" w:ascii="仿宋_GB2312" w:eastAsia="仿宋_GB2312"/>
                      <w:color w:val="auto"/>
                      <w:sz w:val="24"/>
                      <w:szCs w:val="24"/>
                      <w:lang w:bidi="ar"/>
                    </w:rPr>
                    <w:t>二期：门卫室、综合楼、回溶间、原糖仓A、原糖仓B、原糖仓C、维修与五金车间、成品糖输糖廊、扩建原糖输糖廊</w:t>
                  </w:r>
                </w:p>
              </w:tc>
            </w:tr>
            <w:tr>
              <w:tblPrEx>
                <w:tblCellMar>
                  <w:top w:w="0" w:type="dxa"/>
                  <w:left w:w="108" w:type="dxa"/>
                  <w:bottom w:w="0" w:type="dxa"/>
                  <w:right w:w="108" w:type="dxa"/>
                </w:tblCellMar>
              </w:tblPrEx>
              <w:trPr>
                <w:trHeight w:val="1200" w:hRule="atLeast"/>
                <w:jc w:val="center"/>
              </w:trPr>
              <w:tc>
                <w:tcPr>
                  <w:tcW w:w="4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sz w:val="24"/>
                    </w:rPr>
                  </w:pPr>
                  <w:r>
                    <w:rPr>
                      <w:rFonts w:hint="eastAsia" w:ascii="仿宋_GB2312" w:hAnsi="等线" w:eastAsia="仿宋_GB2312" w:cs="等线"/>
                      <w:color w:val="auto"/>
                      <w:kern w:val="0"/>
                      <w:sz w:val="24"/>
                      <w:lang w:bidi="ar"/>
                    </w:rPr>
                    <w:t>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sz w:val="24"/>
                    </w:rPr>
                  </w:pPr>
                  <w:r>
                    <w:rPr>
                      <w:rFonts w:hint="eastAsia" w:ascii="仿宋_GB2312" w:hAnsi="等线" w:eastAsia="仿宋_GB2312" w:cs="等线"/>
                      <w:color w:val="auto"/>
                      <w:kern w:val="0"/>
                      <w:sz w:val="24"/>
                      <w:lang w:bidi="ar"/>
                    </w:rPr>
                    <w:t>消防应急照明和疏散指示系统</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sz w:val="24"/>
                    </w:rPr>
                  </w:pPr>
                  <w:r>
                    <w:rPr>
                      <w:rFonts w:hint="eastAsia" w:ascii="仿宋_GB2312" w:hAnsi="等线" w:eastAsia="仿宋_GB2312" w:cs="等线"/>
                      <w:color w:val="auto"/>
                      <w:kern w:val="0"/>
                      <w:sz w:val="24"/>
                      <w:lang w:bidi="ar"/>
                    </w:rPr>
                    <w:t>按照《消防应急照明和疏散指示系统技术标准》（GB51309-2018）、《消防应急照明和疏散指示系统》（GB17945-2010）等相关标准开展维护保养</w:t>
                  </w:r>
                </w:p>
              </w:tc>
              <w:tc>
                <w:tcPr>
                  <w:tcW w:w="3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kern w:val="0"/>
                      <w:sz w:val="24"/>
                      <w:lang w:bidi="ar"/>
                    </w:rPr>
                  </w:pPr>
                  <w:r>
                    <w:rPr>
                      <w:rFonts w:hint="eastAsia" w:ascii="仿宋_GB2312" w:hAnsi="等线" w:eastAsia="仿宋_GB2312" w:cs="等线"/>
                      <w:color w:val="auto"/>
                      <w:kern w:val="0"/>
                      <w:sz w:val="24"/>
                      <w:lang w:bidi="ar"/>
                    </w:rPr>
                    <w:t>一期：办公楼、宿舍楼、食堂和餐厅、炼糖车间（含一期、二期）、包装间及周转仓、动力车间、破碎间及输煤廊、干煤棚、原糖仓、成品仓（1号库）、国储仓（2号库）、3-6号库</w:t>
                  </w:r>
                </w:p>
                <w:p>
                  <w:pPr>
                    <w:pStyle w:val="2"/>
                    <w:rPr>
                      <w:rFonts w:hint="eastAsia" w:ascii="仿宋_GB2312" w:eastAsia="仿宋_GB2312"/>
                      <w:color w:val="auto"/>
                      <w:sz w:val="24"/>
                      <w:szCs w:val="24"/>
                      <w:lang w:bidi="ar"/>
                    </w:rPr>
                  </w:pPr>
                  <w:r>
                    <w:rPr>
                      <w:rFonts w:hint="eastAsia" w:ascii="仿宋_GB2312" w:eastAsia="仿宋_GB2312"/>
                      <w:color w:val="auto"/>
                      <w:sz w:val="24"/>
                      <w:szCs w:val="24"/>
                      <w:lang w:bidi="ar"/>
                    </w:rPr>
                    <w:t>二期：门卫室、综合楼、回溶间、原糖仓A、原糖仓B、原糖仓C、维修与五金车间、成品糖输糖廊、扩建原糖输糖廊</w:t>
                  </w:r>
                </w:p>
              </w:tc>
            </w:tr>
            <w:tr>
              <w:tblPrEx>
                <w:tblCellMar>
                  <w:top w:w="0" w:type="dxa"/>
                  <w:left w:w="108" w:type="dxa"/>
                  <w:bottom w:w="0" w:type="dxa"/>
                  <w:right w:w="108" w:type="dxa"/>
                </w:tblCellMar>
              </w:tblPrEx>
              <w:trPr>
                <w:trHeight w:val="960" w:hRule="atLeast"/>
                <w:jc w:val="center"/>
              </w:trPr>
              <w:tc>
                <w:tcPr>
                  <w:tcW w:w="4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sz w:val="24"/>
                    </w:rPr>
                  </w:pPr>
                  <w:r>
                    <w:rPr>
                      <w:rFonts w:hint="eastAsia" w:ascii="仿宋_GB2312" w:hAnsi="等线" w:eastAsia="仿宋_GB2312" w:cs="等线"/>
                      <w:color w:val="auto"/>
                      <w:kern w:val="0"/>
                      <w:sz w:val="24"/>
                      <w:lang w:bidi="ar"/>
                    </w:rPr>
                    <w:t>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sz w:val="24"/>
                    </w:rPr>
                  </w:pPr>
                  <w:r>
                    <w:rPr>
                      <w:rFonts w:hint="eastAsia" w:ascii="仿宋_GB2312" w:hAnsi="等线" w:eastAsia="仿宋_GB2312" w:cs="等线"/>
                      <w:color w:val="auto"/>
                      <w:kern w:val="0"/>
                      <w:sz w:val="24"/>
                      <w:lang w:bidi="ar"/>
                    </w:rPr>
                    <w:t>自动喷水灭火系统（消防水炮系统、水幕系统）</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sz w:val="24"/>
                    </w:rPr>
                  </w:pPr>
                  <w:r>
                    <w:rPr>
                      <w:rFonts w:hint="eastAsia" w:ascii="仿宋_GB2312" w:hAnsi="等线" w:eastAsia="仿宋_GB2312" w:cs="等线"/>
                      <w:color w:val="auto"/>
                      <w:kern w:val="0"/>
                      <w:sz w:val="24"/>
                      <w:lang w:bidi="ar"/>
                    </w:rPr>
                    <w:t>按照《自动喷水灭火系统设计规范》（GB50084-2017）、《自动喷水灭火系统施工及验收规范》（GB50261-2017）等相关标准开展维护保养</w:t>
                  </w:r>
                </w:p>
              </w:tc>
              <w:tc>
                <w:tcPr>
                  <w:tcW w:w="3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sz w:val="24"/>
                    </w:rPr>
                  </w:pPr>
                  <w:r>
                    <w:rPr>
                      <w:rFonts w:hint="eastAsia" w:ascii="仿宋_GB2312" w:hAnsi="等线" w:eastAsia="仿宋_GB2312" w:cs="等线"/>
                      <w:color w:val="auto"/>
                      <w:kern w:val="0"/>
                      <w:sz w:val="24"/>
                      <w:lang w:bidi="ar"/>
                    </w:rPr>
                    <w:t>物流原糖仓、炼糖车间（含一期、二期）、包装间及周转仓、破碎间及输煤廊</w:t>
                  </w:r>
                </w:p>
              </w:tc>
            </w:tr>
            <w:tr>
              <w:tblPrEx>
                <w:tblCellMar>
                  <w:top w:w="0" w:type="dxa"/>
                  <w:left w:w="108" w:type="dxa"/>
                  <w:bottom w:w="0" w:type="dxa"/>
                  <w:right w:w="108" w:type="dxa"/>
                </w:tblCellMar>
              </w:tblPrEx>
              <w:trPr>
                <w:trHeight w:val="720" w:hRule="atLeast"/>
                <w:jc w:val="center"/>
              </w:trPr>
              <w:tc>
                <w:tcPr>
                  <w:tcW w:w="4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sz w:val="24"/>
                    </w:rPr>
                  </w:pPr>
                  <w:r>
                    <w:rPr>
                      <w:rFonts w:hint="eastAsia" w:ascii="仿宋_GB2312" w:hAnsi="等线" w:eastAsia="仿宋_GB2312" w:cs="等线"/>
                      <w:color w:val="auto"/>
                      <w:kern w:val="0"/>
                      <w:sz w:val="24"/>
                      <w:lang w:bidi="ar"/>
                    </w:rPr>
                    <w:t>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sz w:val="24"/>
                    </w:rPr>
                  </w:pPr>
                  <w:r>
                    <w:rPr>
                      <w:rFonts w:hint="eastAsia" w:ascii="仿宋_GB2312" w:hAnsi="等线" w:eastAsia="仿宋_GB2312" w:cs="等线"/>
                      <w:color w:val="auto"/>
                      <w:kern w:val="0"/>
                      <w:sz w:val="24"/>
                      <w:lang w:bidi="ar"/>
                    </w:rPr>
                    <w:t>室外消火栓系统</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sz w:val="24"/>
                    </w:rPr>
                  </w:pPr>
                  <w:r>
                    <w:rPr>
                      <w:rFonts w:hint="eastAsia" w:ascii="仿宋_GB2312" w:hAnsi="等线" w:eastAsia="仿宋_GB2312" w:cs="等线"/>
                      <w:color w:val="auto"/>
                      <w:kern w:val="0"/>
                      <w:sz w:val="24"/>
                      <w:lang w:bidi="ar"/>
                    </w:rPr>
                    <w:t>按照《消防给水及消火栓系统技术规范》（GB50974-2014）等相关标准开展维护保养</w:t>
                  </w:r>
                </w:p>
              </w:tc>
              <w:tc>
                <w:tcPr>
                  <w:tcW w:w="3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sz w:val="24"/>
                    </w:rPr>
                  </w:pPr>
                  <w:r>
                    <w:rPr>
                      <w:rFonts w:hint="eastAsia" w:ascii="仿宋_GB2312" w:hAnsi="等线" w:eastAsia="仿宋_GB2312" w:cs="等线"/>
                      <w:color w:val="auto"/>
                      <w:kern w:val="0"/>
                      <w:sz w:val="24"/>
                      <w:lang w:bidi="ar"/>
                    </w:rPr>
                    <w:t>所有建筑采用公司室外消火栓系统</w:t>
                  </w:r>
                </w:p>
              </w:tc>
            </w:tr>
            <w:tr>
              <w:tblPrEx>
                <w:tblCellMar>
                  <w:top w:w="0" w:type="dxa"/>
                  <w:left w:w="108" w:type="dxa"/>
                  <w:bottom w:w="0" w:type="dxa"/>
                  <w:right w:w="108" w:type="dxa"/>
                </w:tblCellMar>
              </w:tblPrEx>
              <w:trPr>
                <w:trHeight w:val="720" w:hRule="atLeast"/>
                <w:jc w:val="center"/>
              </w:trPr>
              <w:tc>
                <w:tcPr>
                  <w:tcW w:w="4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kern w:val="0"/>
                      <w:sz w:val="24"/>
                      <w:lang w:bidi="ar"/>
                    </w:rPr>
                  </w:pPr>
                  <w:r>
                    <w:rPr>
                      <w:rFonts w:hint="eastAsia" w:ascii="仿宋_GB2312" w:hAnsi="等线" w:eastAsia="仿宋_GB2312" w:cs="等线"/>
                      <w:color w:val="auto"/>
                      <w:kern w:val="0"/>
                      <w:sz w:val="24"/>
                      <w:lang w:bidi="ar"/>
                    </w:rPr>
                    <w:t>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kern w:val="0"/>
                      <w:sz w:val="24"/>
                      <w:lang w:bidi="ar"/>
                    </w:rPr>
                  </w:pPr>
                  <w:r>
                    <w:rPr>
                      <w:rFonts w:hint="eastAsia" w:ascii="仿宋_GB2312" w:hAnsi="等线" w:eastAsia="仿宋_GB2312" w:cs="等线"/>
                      <w:color w:val="auto"/>
                      <w:kern w:val="0"/>
                      <w:sz w:val="24"/>
                      <w:lang w:bidi="ar"/>
                    </w:rPr>
                    <w:t>建筑防烟排烟系统</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kern w:val="0"/>
                      <w:sz w:val="24"/>
                      <w:lang w:bidi="ar"/>
                    </w:rPr>
                  </w:pPr>
                  <w:r>
                    <w:rPr>
                      <w:rFonts w:hint="eastAsia" w:ascii="仿宋_GB2312" w:hAnsi="等线" w:eastAsia="仿宋_GB2312" w:cs="等线"/>
                      <w:color w:val="auto"/>
                      <w:kern w:val="0"/>
                      <w:sz w:val="24"/>
                      <w:lang w:bidi="ar"/>
                    </w:rPr>
                    <w:t>按照《建筑防烟排烟系统技术标准》（GB51251-2017）等相关标准开展维护保养</w:t>
                  </w:r>
                </w:p>
              </w:tc>
              <w:tc>
                <w:tcPr>
                  <w:tcW w:w="3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kern w:val="0"/>
                      <w:sz w:val="24"/>
                      <w:lang w:bidi="ar"/>
                    </w:rPr>
                  </w:pPr>
                  <w:r>
                    <w:rPr>
                      <w:rFonts w:hint="eastAsia" w:ascii="仿宋_GB2312" w:hAnsi="等线" w:eastAsia="仿宋_GB2312" w:cs="等线"/>
                      <w:color w:val="auto"/>
                      <w:kern w:val="0"/>
                      <w:sz w:val="24"/>
                      <w:lang w:bidi="ar"/>
                    </w:rPr>
                    <w:t>综合楼、炼糖车间（二期）、原糖仓A、原糖仓B、原糖仓C、维修与五金车间</w:t>
                  </w:r>
                </w:p>
              </w:tc>
            </w:tr>
            <w:tr>
              <w:tblPrEx>
                <w:tblCellMar>
                  <w:top w:w="0" w:type="dxa"/>
                  <w:left w:w="108" w:type="dxa"/>
                  <w:bottom w:w="0" w:type="dxa"/>
                  <w:right w:w="108" w:type="dxa"/>
                </w:tblCellMar>
              </w:tblPrEx>
              <w:trPr>
                <w:trHeight w:val="1240" w:hRule="atLeast"/>
                <w:jc w:val="center"/>
              </w:trPr>
              <w:tc>
                <w:tcPr>
                  <w:tcW w:w="4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sz w:val="24"/>
                      <w:lang w:eastAsia="zh-CN"/>
                    </w:rPr>
                  </w:pPr>
                  <w:r>
                    <w:rPr>
                      <w:rFonts w:hint="eastAsia" w:ascii="仿宋_GB2312" w:hAnsi="等线" w:eastAsia="仿宋_GB2312" w:cs="等线"/>
                      <w:color w:val="auto"/>
                      <w:kern w:val="0"/>
                      <w:sz w:val="24"/>
                      <w:lang w:val="en-US" w:eastAsia="zh-CN" w:bidi="ar"/>
                    </w:rPr>
                    <w:t>8</w:t>
                  </w:r>
                </w:p>
              </w:tc>
              <w:tc>
                <w:tcPr>
                  <w:tcW w:w="766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仿宋_GB2312" w:hAnsi="仿宋_GB2312" w:eastAsia="仿宋_GB2312" w:cs="仿宋_GB2312"/>
                      <w:color w:val="auto"/>
                      <w:kern w:val="0"/>
                      <w:sz w:val="24"/>
                      <w:lang w:bidi="ar"/>
                    </w:rPr>
                  </w:pPr>
                  <w:r>
                    <w:rPr>
                      <w:rFonts w:hint="eastAsia" w:ascii="仿宋_GB2312" w:hAnsi="等线" w:eastAsia="仿宋_GB2312" w:cs="等线"/>
                      <w:color w:val="auto"/>
                      <w:kern w:val="0"/>
                      <w:sz w:val="24"/>
                      <w:lang w:bidi="ar"/>
                    </w:rPr>
                    <w:t>备注：</w:t>
                  </w:r>
                  <w:r>
                    <w:rPr>
                      <w:rFonts w:hint="eastAsia" w:ascii="仿宋_GB2312" w:hAnsi="等线" w:eastAsia="仿宋_GB2312" w:cs="等线"/>
                      <w:color w:val="auto"/>
                      <w:kern w:val="0"/>
                      <w:sz w:val="24"/>
                      <w:lang w:bidi="ar"/>
                    </w:rPr>
                    <w:br w:type="textWrapping"/>
                  </w:r>
                  <w:r>
                    <w:rPr>
                      <w:rFonts w:hint="eastAsia" w:ascii="仿宋_GB2312" w:hAnsi="等线" w:eastAsia="仿宋_GB2312" w:cs="等线"/>
                      <w:color w:val="auto"/>
                      <w:kern w:val="0"/>
                      <w:sz w:val="24"/>
                      <w:lang w:bidi="ar"/>
                    </w:rPr>
                    <w:t>1.一期单体建筑面积(一期共计81414.86</w:t>
                  </w:r>
                  <w:r>
                    <w:rPr>
                      <w:rFonts w:hint="eastAsia" w:ascii="Segoe UI Symbol" w:hAnsi="Segoe UI Symbol" w:eastAsia="Segoe UI Symbol" w:cs="Segoe UI Symbol"/>
                      <w:color w:val="auto"/>
                      <w:kern w:val="0"/>
                      <w:sz w:val="24"/>
                      <w:lang w:bidi="ar"/>
                    </w:rPr>
                    <w:t>㎡</w:t>
                  </w:r>
                  <w:r>
                    <w:rPr>
                      <w:rFonts w:hint="eastAsia" w:ascii="仿宋_GB2312" w:hAnsi="等线" w:eastAsia="仿宋_GB2312" w:cs="等线"/>
                      <w:color w:val="auto"/>
                      <w:kern w:val="0"/>
                      <w:sz w:val="24"/>
                      <w:lang w:bidi="ar"/>
                    </w:rPr>
                    <w:t>)：</w:t>
                  </w:r>
                </w:p>
                <w:p>
                  <w:pPr>
                    <w:widowControl/>
                    <w:spacing w:line="360" w:lineRule="exact"/>
                    <w:jc w:val="left"/>
                    <w:textAlignment w:val="center"/>
                    <w:rPr>
                      <w:rFonts w:ascii="仿宋_GB2312" w:hAnsi="仿宋_GB2312" w:eastAsia="仿宋_GB2312" w:cs="仿宋_GB2312"/>
                      <w:color w:val="auto"/>
                      <w:kern w:val="0"/>
                      <w:sz w:val="24"/>
                      <w:lang w:bidi="ar"/>
                    </w:rPr>
                  </w:pPr>
                  <w:r>
                    <w:rPr>
                      <w:rFonts w:hint="eastAsia" w:ascii="仿宋_GB2312" w:hAnsi="等线" w:eastAsia="仿宋_GB2312" w:cs="等线"/>
                      <w:color w:val="auto"/>
                      <w:kern w:val="0"/>
                      <w:sz w:val="24"/>
                      <w:lang w:bidi="ar"/>
                    </w:rPr>
                    <w:t>办公楼2593.8</w:t>
                  </w:r>
                  <w:r>
                    <w:rPr>
                      <w:rFonts w:hint="eastAsia" w:ascii="Segoe UI Symbol" w:hAnsi="Segoe UI Symbol" w:eastAsia="Segoe UI Symbol" w:cs="Segoe UI Symbol"/>
                      <w:color w:val="auto"/>
                      <w:kern w:val="0"/>
                      <w:sz w:val="24"/>
                      <w:lang w:bidi="ar"/>
                    </w:rPr>
                    <w:t>㎡</w:t>
                  </w:r>
                  <w:r>
                    <w:rPr>
                      <w:rFonts w:hint="eastAsia" w:ascii="仿宋_GB2312" w:hAnsi="仿宋_GB2312" w:eastAsia="仿宋_GB2312" w:cs="仿宋_GB2312"/>
                      <w:color w:val="auto"/>
                      <w:kern w:val="0"/>
                      <w:sz w:val="24"/>
                      <w:lang w:bidi="ar"/>
                    </w:rPr>
                    <w:t>；</w:t>
                  </w:r>
                </w:p>
                <w:p>
                  <w:pPr>
                    <w:widowControl/>
                    <w:spacing w:line="360" w:lineRule="exact"/>
                    <w:jc w:val="left"/>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宿舍楼</w:t>
                  </w:r>
                  <w:r>
                    <w:rPr>
                      <w:rFonts w:hint="eastAsia" w:ascii="仿宋_GB2312" w:hAnsi="等线" w:eastAsia="仿宋_GB2312" w:cs="等线"/>
                      <w:color w:val="auto"/>
                      <w:kern w:val="0"/>
                      <w:sz w:val="24"/>
                      <w:lang w:bidi="ar"/>
                    </w:rPr>
                    <w:t>6087.52</w:t>
                  </w:r>
                  <w:r>
                    <w:rPr>
                      <w:rFonts w:hint="eastAsia" w:ascii="Segoe UI Symbol" w:hAnsi="Segoe UI Symbol" w:eastAsia="Segoe UI Symbol" w:cs="Segoe UI Symbol"/>
                      <w:color w:val="auto"/>
                      <w:kern w:val="0"/>
                      <w:sz w:val="24"/>
                      <w:lang w:bidi="ar"/>
                    </w:rPr>
                    <w:t>㎡</w:t>
                  </w:r>
                  <w:r>
                    <w:rPr>
                      <w:rFonts w:hint="eastAsia" w:ascii="仿宋_GB2312" w:hAnsi="仿宋_GB2312" w:eastAsia="仿宋_GB2312" w:cs="仿宋_GB2312"/>
                      <w:color w:val="auto"/>
                      <w:kern w:val="0"/>
                      <w:sz w:val="24"/>
                      <w:lang w:bidi="ar"/>
                    </w:rPr>
                    <w:t>；</w:t>
                  </w:r>
                </w:p>
                <w:p>
                  <w:pPr>
                    <w:widowControl/>
                    <w:spacing w:line="360" w:lineRule="exact"/>
                    <w:jc w:val="left"/>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食堂和餐厅</w:t>
                  </w:r>
                  <w:r>
                    <w:rPr>
                      <w:rFonts w:hint="eastAsia" w:ascii="仿宋_GB2312" w:hAnsi="等线" w:eastAsia="仿宋_GB2312" w:cs="等线"/>
                      <w:color w:val="auto"/>
                      <w:kern w:val="0"/>
                      <w:sz w:val="24"/>
                      <w:lang w:bidi="ar"/>
                    </w:rPr>
                    <w:t>943.9</w:t>
                  </w:r>
                  <w:r>
                    <w:rPr>
                      <w:rFonts w:hint="eastAsia" w:ascii="Segoe UI Symbol" w:hAnsi="Segoe UI Symbol" w:eastAsia="Segoe UI Symbol" w:cs="Segoe UI Symbol"/>
                      <w:color w:val="auto"/>
                      <w:kern w:val="0"/>
                      <w:sz w:val="24"/>
                      <w:lang w:bidi="ar"/>
                    </w:rPr>
                    <w:t>㎡</w:t>
                  </w:r>
                  <w:r>
                    <w:rPr>
                      <w:rFonts w:hint="eastAsia" w:ascii="仿宋_GB2312" w:hAnsi="仿宋_GB2312" w:eastAsia="仿宋_GB2312" w:cs="仿宋_GB2312"/>
                      <w:color w:val="auto"/>
                      <w:kern w:val="0"/>
                      <w:sz w:val="24"/>
                      <w:lang w:bidi="ar"/>
                    </w:rPr>
                    <w:t>；</w:t>
                  </w:r>
                </w:p>
                <w:p>
                  <w:pPr>
                    <w:widowControl/>
                    <w:spacing w:line="360" w:lineRule="exact"/>
                    <w:jc w:val="left"/>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炼糖车间</w:t>
                  </w:r>
                  <w:r>
                    <w:rPr>
                      <w:rFonts w:hint="eastAsia" w:ascii="仿宋_GB2312" w:hAnsi="等线" w:eastAsia="仿宋_GB2312" w:cs="等线"/>
                      <w:color w:val="auto"/>
                      <w:kern w:val="0"/>
                      <w:sz w:val="24"/>
                      <w:lang w:bidi="ar"/>
                    </w:rPr>
                    <w:t>11034.28</w:t>
                  </w:r>
                  <w:r>
                    <w:rPr>
                      <w:rFonts w:hint="eastAsia" w:ascii="Segoe UI Symbol" w:hAnsi="Segoe UI Symbol" w:eastAsia="Segoe UI Symbol" w:cs="Segoe UI Symbol"/>
                      <w:color w:val="auto"/>
                      <w:kern w:val="0"/>
                      <w:sz w:val="24"/>
                      <w:lang w:bidi="ar"/>
                    </w:rPr>
                    <w:t>㎡</w:t>
                  </w:r>
                  <w:r>
                    <w:rPr>
                      <w:rFonts w:hint="eastAsia" w:ascii="仿宋_GB2312" w:hAnsi="仿宋_GB2312" w:eastAsia="仿宋_GB2312" w:cs="仿宋_GB2312"/>
                      <w:color w:val="auto"/>
                      <w:kern w:val="0"/>
                      <w:sz w:val="24"/>
                      <w:lang w:bidi="ar"/>
                    </w:rPr>
                    <w:t>；</w:t>
                  </w:r>
                </w:p>
                <w:p>
                  <w:pPr>
                    <w:widowControl/>
                    <w:spacing w:line="360" w:lineRule="exact"/>
                    <w:jc w:val="left"/>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包装间及周转仓建筑面积：周转仓</w:t>
                  </w:r>
                  <w:r>
                    <w:rPr>
                      <w:rFonts w:hint="eastAsia" w:ascii="仿宋_GB2312" w:hAnsi="等线" w:eastAsia="仿宋_GB2312" w:cs="等线"/>
                      <w:color w:val="auto"/>
                      <w:kern w:val="0"/>
                      <w:sz w:val="24"/>
                      <w:lang w:bidi="ar"/>
                    </w:rPr>
                    <w:t>3000</w:t>
                  </w:r>
                  <w:r>
                    <w:rPr>
                      <w:rFonts w:hint="eastAsia" w:ascii="Segoe UI Symbol" w:hAnsi="Segoe UI Symbol" w:eastAsia="Segoe UI Symbol" w:cs="Segoe UI Symbol"/>
                      <w:color w:val="auto"/>
                      <w:kern w:val="0"/>
                      <w:sz w:val="24"/>
                      <w:lang w:bidi="ar"/>
                    </w:rPr>
                    <w:t>㎡</w:t>
                  </w:r>
                  <w:r>
                    <w:rPr>
                      <w:rFonts w:hint="eastAsia" w:ascii="仿宋_GB2312" w:hAnsi="仿宋_GB2312" w:eastAsia="仿宋_GB2312" w:cs="仿宋_GB2312"/>
                      <w:color w:val="auto"/>
                      <w:kern w:val="0"/>
                      <w:sz w:val="24"/>
                      <w:lang w:bidi="ar"/>
                    </w:rPr>
                    <w:t>，装包间</w:t>
                  </w:r>
                  <w:r>
                    <w:rPr>
                      <w:rFonts w:hint="eastAsia" w:ascii="仿宋_GB2312" w:hAnsi="等线" w:eastAsia="仿宋_GB2312" w:cs="等线"/>
                      <w:color w:val="auto"/>
                      <w:kern w:val="0"/>
                      <w:sz w:val="24"/>
                      <w:lang w:bidi="ar"/>
                    </w:rPr>
                    <w:t>2111.06</w:t>
                  </w:r>
                  <w:r>
                    <w:rPr>
                      <w:rFonts w:hint="eastAsia" w:ascii="Segoe UI Symbol" w:hAnsi="Segoe UI Symbol" w:eastAsia="Segoe UI Symbol" w:cs="Segoe UI Symbol"/>
                      <w:color w:val="auto"/>
                      <w:kern w:val="0"/>
                      <w:sz w:val="24"/>
                      <w:lang w:bidi="ar"/>
                    </w:rPr>
                    <w:t>㎡</w:t>
                  </w:r>
                  <w:r>
                    <w:rPr>
                      <w:rFonts w:hint="eastAsia" w:ascii="仿宋_GB2312" w:hAnsi="仿宋_GB2312" w:eastAsia="仿宋_GB2312" w:cs="仿宋_GB2312"/>
                      <w:color w:val="auto"/>
                      <w:kern w:val="0"/>
                      <w:sz w:val="24"/>
                      <w:lang w:bidi="ar"/>
                    </w:rPr>
                    <w:t>；</w:t>
                  </w:r>
                </w:p>
                <w:p>
                  <w:pPr>
                    <w:widowControl/>
                    <w:spacing w:line="360" w:lineRule="exact"/>
                    <w:jc w:val="left"/>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动力车间、破碎间及输煤廊</w:t>
                  </w:r>
                  <w:r>
                    <w:rPr>
                      <w:rFonts w:hint="eastAsia" w:ascii="仿宋_GB2312" w:hAnsi="等线" w:eastAsia="仿宋_GB2312" w:cs="等线"/>
                      <w:color w:val="auto"/>
                      <w:kern w:val="0"/>
                      <w:sz w:val="24"/>
                      <w:lang w:bidi="ar"/>
                    </w:rPr>
                    <w:t>5487.7</w:t>
                  </w:r>
                  <w:r>
                    <w:rPr>
                      <w:rFonts w:hint="eastAsia" w:ascii="Segoe UI Symbol" w:hAnsi="Segoe UI Symbol" w:eastAsia="Segoe UI Symbol" w:cs="Segoe UI Symbol"/>
                      <w:color w:val="auto"/>
                      <w:kern w:val="0"/>
                      <w:sz w:val="24"/>
                      <w:lang w:bidi="ar"/>
                    </w:rPr>
                    <w:t>㎡</w:t>
                  </w:r>
                  <w:r>
                    <w:rPr>
                      <w:rFonts w:hint="eastAsia" w:ascii="仿宋_GB2312" w:hAnsi="仿宋_GB2312" w:eastAsia="仿宋_GB2312" w:cs="仿宋_GB2312"/>
                      <w:color w:val="auto"/>
                      <w:kern w:val="0"/>
                      <w:sz w:val="24"/>
                      <w:lang w:bidi="ar"/>
                    </w:rPr>
                    <w:t>；</w:t>
                  </w:r>
                </w:p>
                <w:p>
                  <w:pPr>
                    <w:widowControl/>
                    <w:spacing w:line="360" w:lineRule="exact"/>
                    <w:jc w:val="left"/>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干煤棚</w:t>
                  </w:r>
                  <w:r>
                    <w:rPr>
                      <w:rFonts w:hint="eastAsia" w:ascii="仿宋_GB2312" w:hAnsi="等线" w:eastAsia="仿宋_GB2312" w:cs="等线"/>
                      <w:color w:val="auto"/>
                      <w:kern w:val="0"/>
                      <w:sz w:val="24"/>
                      <w:lang w:bidi="ar"/>
                    </w:rPr>
                    <w:t>1726.2</w:t>
                  </w:r>
                  <w:r>
                    <w:rPr>
                      <w:rFonts w:hint="eastAsia" w:ascii="Segoe UI Symbol" w:hAnsi="Segoe UI Symbol" w:eastAsia="Segoe UI Symbol" w:cs="Segoe UI Symbol"/>
                      <w:color w:val="auto"/>
                      <w:kern w:val="0"/>
                      <w:sz w:val="24"/>
                      <w:lang w:bidi="ar"/>
                    </w:rPr>
                    <w:t>㎡</w:t>
                  </w:r>
                  <w:r>
                    <w:rPr>
                      <w:rFonts w:hint="eastAsia" w:ascii="仿宋_GB2312" w:hAnsi="仿宋_GB2312" w:eastAsia="仿宋_GB2312" w:cs="仿宋_GB2312"/>
                      <w:color w:val="auto"/>
                      <w:kern w:val="0"/>
                      <w:sz w:val="24"/>
                      <w:lang w:bidi="ar"/>
                    </w:rPr>
                    <w:t>；</w:t>
                  </w:r>
                </w:p>
                <w:p>
                  <w:pPr>
                    <w:widowControl/>
                    <w:spacing w:line="360" w:lineRule="exact"/>
                    <w:jc w:val="left"/>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成品仓（</w:t>
                  </w:r>
                  <w:r>
                    <w:rPr>
                      <w:rFonts w:hint="eastAsia" w:ascii="仿宋_GB2312" w:hAnsi="等线" w:eastAsia="仿宋_GB2312" w:cs="等线"/>
                      <w:color w:val="auto"/>
                      <w:kern w:val="0"/>
                      <w:sz w:val="24"/>
                      <w:lang w:bidi="ar"/>
                    </w:rPr>
                    <w:t>1号库）8030.4</w:t>
                  </w:r>
                  <w:r>
                    <w:rPr>
                      <w:rFonts w:hint="eastAsia" w:ascii="Segoe UI Symbol" w:hAnsi="Segoe UI Symbol" w:eastAsia="Segoe UI Symbol" w:cs="Segoe UI Symbol"/>
                      <w:color w:val="auto"/>
                      <w:kern w:val="0"/>
                      <w:sz w:val="24"/>
                      <w:lang w:bidi="ar"/>
                    </w:rPr>
                    <w:t>㎡</w:t>
                  </w:r>
                  <w:r>
                    <w:rPr>
                      <w:rFonts w:hint="eastAsia" w:ascii="仿宋_GB2312" w:hAnsi="仿宋_GB2312" w:eastAsia="仿宋_GB2312" w:cs="仿宋_GB2312"/>
                      <w:color w:val="auto"/>
                      <w:kern w:val="0"/>
                      <w:sz w:val="24"/>
                      <w:lang w:bidi="ar"/>
                    </w:rPr>
                    <w:t>；</w:t>
                  </w:r>
                </w:p>
                <w:p>
                  <w:pPr>
                    <w:widowControl/>
                    <w:spacing w:line="360" w:lineRule="exact"/>
                    <w:jc w:val="left"/>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国储仓（</w:t>
                  </w:r>
                  <w:r>
                    <w:rPr>
                      <w:rFonts w:hint="eastAsia" w:ascii="仿宋_GB2312" w:hAnsi="等线" w:eastAsia="仿宋_GB2312" w:cs="等线"/>
                      <w:color w:val="auto"/>
                      <w:kern w:val="0"/>
                      <w:sz w:val="24"/>
                      <w:lang w:bidi="ar"/>
                    </w:rPr>
                    <w:t>2号库）8400</w:t>
                  </w:r>
                  <w:r>
                    <w:rPr>
                      <w:rFonts w:hint="eastAsia" w:ascii="Segoe UI Symbol" w:hAnsi="Segoe UI Symbol" w:eastAsia="Segoe UI Symbol" w:cs="Segoe UI Symbol"/>
                      <w:color w:val="auto"/>
                      <w:kern w:val="0"/>
                      <w:sz w:val="24"/>
                      <w:lang w:bidi="ar"/>
                    </w:rPr>
                    <w:t>㎡</w:t>
                  </w:r>
                  <w:r>
                    <w:rPr>
                      <w:rFonts w:hint="eastAsia" w:ascii="仿宋_GB2312" w:hAnsi="仿宋_GB2312" w:eastAsia="仿宋_GB2312" w:cs="仿宋_GB2312"/>
                      <w:color w:val="auto"/>
                      <w:kern w:val="0"/>
                      <w:sz w:val="24"/>
                      <w:lang w:bidi="ar"/>
                    </w:rPr>
                    <w:t>；</w:t>
                  </w:r>
                </w:p>
                <w:p>
                  <w:pPr>
                    <w:widowControl/>
                    <w:spacing w:line="360" w:lineRule="exact"/>
                    <w:jc w:val="left"/>
                    <w:textAlignment w:val="center"/>
                    <w:rPr>
                      <w:rFonts w:hint="eastAsia" w:ascii="仿宋_GB2312" w:hAnsi="等线" w:eastAsia="仿宋_GB2312" w:cs="等线"/>
                      <w:color w:val="auto"/>
                      <w:kern w:val="0"/>
                      <w:sz w:val="24"/>
                      <w:lang w:bidi="ar"/>
                    </w:rPr>
                  </w:pPr>
                  <w:r>
                    <w:rPr>
                      <w:rFonts w:hint="eastAsia" w:ascii="仿宋_GB2312" w:hAnsi="等线" w:eastAsia="仿宋_GB2312" w:cs="等线"/>
                      <w:color w:val="auto"/>
                      <w:kern w:val="0"/>
                      <w:sz w:val="24"/>
                      <w:lang w:bidi="ar"/>
                    </w:rPr>
                    <w:t>3-6号库约8000</w:t>
                  </w:r>
                  <w:r>
                    <w:rPr>
                      <w:rFonts w:hint="eastAsia" w:ascii="Segoe UI Symbol" w:hAnsi="Segoe UI Symbol" w:eastAsia="Segoe UI Symbol" w:cs="Segoe UI Symbol"/>
                      <w:color w:val="auto"/>
                      <w:kern w:val="0"/>
                      <w:sz w:val="24"/>
                      <w:lang w:bidi="ar"/>
                    </w:rPr>
                    <w:t>㎡</w:t>
                  </w:r>
                  <w:r>
                    <w:rPr>
                      <w:rFonts w:hint="eastAsia" w:ascii="仿宋_GB2312" w:hAnsi="等线" w:eastAsia="仿宋_GB2312" w:cs="等线"/>
                      <w:color w:val="auto"/>
                      <w:kern w:val="0"/>
                      <w:sz w:val="24"/>
                      <w:lang w:bidi="ar"/>
                    </w:rPr>
                    <w:t>/库，小计32000</w:t>
                  </w:r>
                  <w:r>
                    <w:rPr>
                      <w:rFonts w:hint="eastAsia" w:ascii="Segoe UI Symbol" w:hAnsi="Segoe UI Symbol" w:eastAsia="Segoe UI Symbol" w:cs="Segoe UI Symbol"/>
                      <w:color w:val="auto"/>
                      <w:kern w:val="0"/>
                      <w:sz w:val="24"/>
                      <w:lang w:bidi="ar"/>
                    </w:rPr>
                    <w:t>㎡</w:t>
                  </w:r>
                  <w:r>
                    <w:rPr>
                      <w:rFonts w:hint="eastAsia" w:ascii="仿宋_GB2312" w:hAnsi="仿宋_GB2312" w:eastAsia="仿宋_GB2312" w:cs="仿宋_GB2312"/>
                      <w:color w:val="auto"/>
                      <w:kern w:val="0"/>
                      <w:sz w:val="24"/>
                      <w:lang w:bidi="ar"/>
                    </w:rPr>
                    <w:t>。</w:t>
                  </w:r>
                </w:p>
                <w:p>
                  <w:pPr>
                    <w:widowControl/>
                    <w:spacing w:line="360" w:lineRule="exact"/>
                    <w:jc w:val="left"/>
                    <w:textAlignment w:val="center"/>
                    <w:rPr>
                      <w:rFonts w:hint="eastAsia" w:ascii="仿宋_GB2312" w:hAnsi="Calibri" w:eastAsia="仿宋_GB2312" w:cs="Calibri"/>
                      <w:color w:val="auto"/>
                      <w:kern w:val="0"/>
                      <w:sz w:val="24"/>
                      <w:lang w:bidi="ar"/>
                    </w:rPr>
                  </w:pPr>
                  <w:r>
                    <w:rPr>
                      <w:rFonts w:hint="eastAsia" w:ascii="仿宋_GB2312" w:hAnsi="等线" w:eastAsia="仿宋_GB2312" w:cs="等线"/>
                      <w:color w:val="auto"/>
                      <w:kern w:val="0"/>
                      <w:sz w:val="24"/>
                      <w:lang w:bidi="ar"/>
                    </w:rPr>
                    <w:t>2.二期单体建筑面积(二期主要建筑面积总计：28444.88m</w:t>
                  </w:r>
                  <w:r>
                    <w:rPr>
                      <w:rFonts w:ascii="Calibri" w:hAnsi="Calibri" w:eastAsia="仿宋_GB2312" w:cs="Calibri"/>
                      <w:color w:val="auto"/>
                      <w:kern w:val="0"/>
                      <w:sz w:val="24"/>
                      <w:lang w:bidi="ar"/>
                    </w:rPr>
                    <w:t>²</w:t>
                  </w:r>
                  <w:r>
                    <w:rPr>
                      <w:rFonts w:hint="eastAsia" w:ascii="仿宋_GB2312" w:hAnsi="等线" w:eastAsia="仿宋_GB2312" w:cs="等线"/>
                      <w:color w:val="auto"/>
                      <w:kern w:val="0"/>
                      <w:sz w:val="24"/>
                      <w:lang w:bidi="ar"/>
                    </w:rPr>
                    <w:t>)：</w:t>
                  </w:r>
                </w:p>
                <w:p>
                  <w:pPr>
                    <w:widowControl/>
                    <w:spacing w:line="360" w:lineRule="exact"/>
                    <w:jc w:val="left"/>
                    <w:textAlignment w:val="center"/>
                    <w:rPr>
                      <w:rFonts w:hint="eastAsia" w:ascii="仿宋_GB2312" w:hAnsi="等线" w:eastAsia="仿宋_GB2312" w:cs="等线"/>
                      <w:color w:val="auto"/>
                      <w:kern w:val="0"/>
                      <w:sz w:val="24"/>
                      <w:lang w:bidi="ar"/>
                    </w:rPr>
                  </w:pPr>
                  <w:r>
                    <w:rPr>
                      <w:rFonts w:hint="eastAsia" w:ascii="仿宋_GB2312" w:hAnsi="等线" w:eastAsia="仿宋_GB2312" w:cs="等线"/>
                      <w:color w:val="auto"/>
                      <w:kern w:val="0"/>
                      <w:sz w:val="24"/>
                      <w:lang w:bidi="ar"/>
                    </w:rPr>
                    <w:t>门卫室：99.22m</w:t>
                  </w:r>
                  <w:r>
                    <w:rPr>
                      <w:rFonts w:ascii="Calibri" w:hAnsi="Calibri" w:eastAsia="仿宋_GB2312" w:cs="Calibri"/>
                      <w:color w:val="auto"/>
                      <w:kern w:val="0"/>
                      <w:sz w:val="24"/>
                      <w:lang w:bidi="ar"/>
                    </w:rPr>
                    <w:t>²</w:t>
                  </w:r>
                </w:p>
                <w:p>
                  <w:pPr>
                    <w:widowControl/>
                    <w:spacing w:line="360" w:lineRule="exact"/>
                    <w:jc w:val="left"/>
                    <w:textAlignment w:val="center"/>
                    <w:rPr>
                      <w:rFonts w:hint="eastAsia" w:ascii="仿宋_GB2312" w:hAnsi="等线" w:eastAsia="仿宋_GB2312" w:cs="等线"/>
                      <w:color w:val="auto"/>
                      <w:kern w:val="0"/>
                      <w:sz w:val="24"/>
                      <w:lang w:bidi="ar"/>
                    </w:rPr>
                  </w:pPr>
                  <w:r>
                    <w:rPr>
                      <w:rFonts w:hint="eastAsia" w:ascii="仿宋_GB2312" w:hAnsi="等线" w:eastAsia="仿宋_GB2312" w:cs="等线"/>
                      <w:color w:val="auto"/>
                      <w:kern w:val="0"/>
                      <w:sz w:val="24"/>
                      <w:lang w:bidi="ar"/>
                    </w:rPr>
                    <w:t>综合楼：2908.42m</w:t>
                  </w:r>
                  <w:r>
                    <w:rPr>
                      <w:rFonts w:ascii="Calibri" w:hAnsi="Calibri" w:eastAsia="仿宋_GB2312" w:cs="Calibri"/>
                      <w:color w:val="auto"/>
                      <w:kern w:val="0"/>
                      <w:sz w:val="24"/>
                      <w:lang w:bidi="ar"/>
                    </w:rPr>
                    <w:t>²</w:t>
                  </w:r>
                </w:p>
                <w:p>
                  <w:pPr>
                    <w:widowControl/>
                    <w:spacing w:line="360" w:lineRule="exact"/>
                    <w:jc w:val="left"/>
                    <w:textAlignment w:val="center"/>
                    <w:rPr>
                      <w:rFonts w:hint="eastAsia" w:ascii="仿宋_GB2312" w:hAnsi="等线" w:eastAsia="仿宋_GB2312" w:cs="等线"/>
                      <w:color w:val="auto"/>
                      <w:kern w:val="0"/>
                      <w:sz w:val="24"/>
                      <w:lang w:bidi="ar"/>
                    </w:rPr>
                  </w:pPr>
                  <w:r>
                    <w:rPr>
                      <w:rFonts w:hint="eastAsia" w:ascii="仿宋_GB2312" w:hAnsi="等线" w:eastAsia="仿宋_GB2312" w:cs="等线"/>
                      <w:color w:val="auto"/>
                      <w:kern w:val="0"/>
                      <w:sz w:val="24"/>
                      <w:lang w:bidi="ar"/>
                    </w:rPr>
                    <w:t>炼糖车间（含糖浆灌装间、包装间）：11514.95m</w:t>
                  </w:r>
                  <w:r>
                    <w:rPr>
                      <w:rFonts w:ascii="Calibri" w:hAnsi="Calibri" w:eastAsia="仿宋_GB2312" w:cs="Calibri"/>
                      <w:color w:val="auto"/>
                      <w:kern w:val="0"/>
                      <w:sz w:val="24"/>
                      <w:lang w:bidi="ar"/>
                    </w:rPr>
                    <w:t>²</w:t>
                  </w:r>
                </w:p>
                <w:p>
                  <w:pPr>
                    <w:widowControl/>
                    <w:spacing w:line="360" w:lineRule="exact"/>
                    <w:jc w:val="left"/>
                    <w:textAlignment w:val="center"/>
                    <w:rPr>
                      <w:rFonts w:hint="eastAsia" w:ascii="仿宋_GB2312" w:hAnsi="等线" w:eastAsia="仿宋_GB2312" w:cs="等线"/>
                      <w:color w:val="auto"/>
                      <w:kern w:val="0"/>
                      <w:sz w:val="24"/>
                      <w:lang w:bidi="ar"/>
                    </w:rPr>
                  </w:pPr>
                  <w:r>
                    <w:rPr>
                      <w:rFonts w:hint="eastAsia" w:ascii="仿宋_GB2312" w:hAnsi="等线" w:eastAsia="仿宋_GB2312" w:cs="等线"/>
                      <w:color w:val="auto"/>
                      <w:kern w:val="0"/>
                      <w:sz w:val="24"/>
                      <w:lang w:bidi="ar"/>
                    </w:rPr>
                    <w:t>回溶间：254.73m</w:t>
                  </w:r>
                  <w:r>
                    <w:rPr>
                      <w:rFonts w:ascii="Calibri" w:hAnsi="Calibri" w:eastAsia="仿宋_GB2312" w:cs="Calibri"/>
                      <w:color w:val="auto"/>
                      <w:kern w:val="0"/>
                      <w:sz w:val="24"/>
                      <w:lang w:bidi="ar"/>
                    </w:rPr>
                    <w:t>²</w:t>
                  </w:r>
                </w:p>
                <w:p>
                  <w:pPr>
                    <w:widowControl/>
                    <w:spacing w:line="360" w:lineRule="exact"/>
                    <w:jc w:val="left"/>
                    <w:textAlignment w:val="center"/>
                    <w:rPr>
                      <w:rFonts w:hint="eastAsia" w:ascii="仿宋_GB2312" w:hAnsi="等线" w:eastAsia="仿宋_GB2312" w:cs="等线"/>
                      <w:color w:val="auto"/>
                      <w:kern w:val="0"/>
                      <w:sz w:val="24"/>
                      <w:lang w:bidi="ar"/>
                    </w:rPr>
                  </w:pPr>
                  <w:r>
                    <w:rPr>
                      <w:rFonts w:hint="eastAsia" w:ascii="仿宋_GB2312" w:hAnsi="等线" w:eastAsia="仿宋_GB2312" w:cs="等线"/>
                      <w:color w:val="auto"/>
                      <w:kern w:val="0"/>
                      <w:sz w:val="24"/>
                      <w:lang w:bidi="ar"/>
                    </w:rPr>
                    <w:t>原糖仓A：3890.51m</w:t>
                  </w:r>
                  <w:r>
                    <w:rPr>
                      <w:rFonts w:ascii="Calibri" w:hAnsi="Calibri" w:eastAsia="仿宋_GB2312" w:cs="Calibri"/>
                      <w:color w:val="auto"/>
                      <w:kern w:val="0"/>
                      <w:sz w:val="24"/>
                      <w:lang w:bidi="ar"/>
                    </w:rPr>
                    <w:t>²</w:t>
                  </w:r>
                </w:p>
                <w:p>
                  <w:pPr>
                    <w:widowControl/>
                    <w:spacing w:line="360" w:lineRule="exact"/>
                    <w:jc w:val="left"/>
                    <w:textAlignment w:val="center"/>
                    <w:rPr>
                      <w:rFonts w:hint="eastAsia" w:ascii="仿宋_GB2312" w:hAnsi="等线" w:eastAsia="仿宋_GB2312" w:cs="等线"/>
                      <w:color w:val="auto"/>
                      <w:kern w:val="0"/>
                      <w:sz w:val="24"/>
                      <w:lang w:bidi="ar"/>
                    </w:rPr>
                  </w:pPr>
                  <w:r>
                    <w:rPr>
                      <w:rFonts w:hint="eastAsia" w:ascii="仿宋_GB2312" w:hAnsi="等线" w:eastAsia="仿宋_GB2312" w:cs="等线"/>
                      <w:color w:val="auto"/>
                      <w:kern w:val="0"/>
                      <w:sz w:val="24"/>
                      <w:lang w:bidi="ar"/>
                    </w:rPr>
                    <w:t>原糖仓B：3803.34m</w:t>
                  </w:r>
                  <w:r>
                    <w:rPr>
                      <w:rFonts w:ascii="Calibri" w:hAnsi="Calibri" w:eastAsia="仿宋_GB2312" w:cs="Calibri"/>
                      <w:color w:val="auto"/>
                      <w:kern w:val="0"/>
                      <w:sz w:val="24"/>
                      <w:lang w:bidi="ar"/>
                    </w:rPr>
                    <w:t>²</w:t>
                  </w:r>
                </w:p>
                <w:p>
                  <w:pPr>
                    <w:widowControl/>
                    <w:spacing w:line="360" w:lineRule="exact"/>
                    <w:jc w:val="left"/>
                    <w:textAlignment w:val="center"/>
                    <w:rPr>
                      <w:rFonts w:hint="eastAsia" w:ascii="仿宋_GB2312" w:hAnsi="等线" w:eastAsia="仿宋_GB2312" w:cs="等线"/>
                      <w:color w:val="auto"/>
                      <w:kern w:val="0"/>
                      <w:sz w:val="24"/>
                      <w:lang w:bidi="ar"/>
                    </w:rPr>
                  </w:pPr>
                  <w:r>
                    <w:rPr>
                      <w:rFonts w:hint="eastAsia" w:ascii="仿宋_GB2312" w:hAnsi="等线" w:eastAsia="仿宋_GB2312" w:cs="等线"/>
                      <w:color w:val="auto"/>
                      <w:kern w:val="0"/>
                      <w:sz w:val="24"/>
                      <w:lang w:bidi="ar"/>
                    </w:rPr>
                    <w:t>原糖仓C：3925.36m</w:t>
                  </w:r>
                  <w:r>
                    <w:rPr>
                      <w:rFonts w:ascii="Calibri" w:hAnsi="Calibri" w:eastAsia="仿宋_GB2312" w:cs="Calibri"/>
                      <w:color w:val="auto"/>
                      <w:kern w:val="0"/>
                      <w:sz w:val="24"/>
                      <w:lang w:bidi="ar"/>
                    </w:rPr>
                    <w:t>²</w:t>
                  </w:r>
                </w:p>
                <w:p>
                  <w:pPr>
                    <w:widowControl/>
                    <w:spacing w:line="360" w:lineRule="exact"/>
                    <w:jc w:val="left"/>
                    <w:textAlignment w:val="center"/>
                    <w:rPr>
                      <w:rFonts w:hint="eastAsia" w:ascii="仿宋_GB2312" w:hAnsi="等线" w:eastAsia="仿宋_GB2312" w:cs="等线"/>
                      <w:color w:val="auto"/>
                      <w:kern w:val="0"/>
                      <w:sz w:val="24"/>
                      <w:lang w:bidi="ar"/>
                    </w:rPr>
                  </w:pPr>
                  <w:r>
                    <w:rPr>
                      <w:rFonts w:hint="eastAsia" w:ascii="仿宋_GB2312" w:hAnsi="等线" w:eastAsia="仿宋_GB2312" w:cs="等线"/>
                      <w:color w:val="auto"/>
                      <w:kern w:val="0"/>
                      <w:sz w:val="24"/>
                      <w:lang w:bidi="ar"/>
                    </w:rPr>
                    <w:t>维修与五金车间：1753.82m</w:t>
                  </w:r>
                  <w:r>
                    <w:rPr>
                      <w:rFonts w:ascii="Calibri" w:hAnsi="Calibri" w:eastAsia="仿宋_GB2312" w:cs="Calibri"/>
                      <w:color w:val="auto"/>
                      <w:kern w:val="0"/>
                      <w:sz w:val="24"/>
                      <w:lang w:bidi="ar"/>
                    </w:rPr>
                    <w:t>²</w:t>
                  </w:r>
                </w:p>
                <w:p>
                  <w:pPr>
                    <w:widowControl/>
                    <w:spacing w:line="360" w:lineRule="exact"/>
                    <w:jc w:val="left"/>
                    <w:textAlignment w:val="center"/>
                    <w:rPr>
                      <w:rFonts w:hint="eastAsia" w:ascii="仿宋_GB2312" w:hAnsi="等线" w:eastAsia="仿宋_GB2312" w:cs="等线"/>
                      <w:color w:val="auto"/>
                      <w:kern w:val="0"/>
                      <w:sz w:val="24"/>
                      <w:lang w:bidi="ar"/>
                    </w:rPr>
                  </w:pPr>
                  <w:r>
                    <w:rPr>
                      <w:rFonts w:hint="eastAsia" w:ascii="仿宋_GB2312" w:hAnsi="等线" w:eastAsia="仿宋_GB2312" w:cs="等线"/>
                      <w:color w:val="auto"/>
                      <w:kern w:val="0"/>
                      <w:sz w:val="24"/>
                      <w:lang w:bidi="ar"/>
                    </w:rPr>
                    <w:t>成品糖输糖廊：185.28m</w:t>
                  </w:r>
                  <w:r>
                    <w:rPr>
                      <w:rFonts w:ascii="Calibri" w:hAnsi="Calibri" w:eastAsia="仿宋_GB2312" w:cs="Calibri"/>
                      <w:color w:val="auto"/>
                      <w:kern w:val="0"/>
                      <w:sz w:val="24"/>
                      <w:lang w:bidi="ar"/>
                    </w:rPr>
                    <w:t>²</w:t>
                  </w:r>
                </w:p>
                <w:p>
                  <w:pPr>
                    <w:widowControl/>
                    <w:spacing w:line="360" w:lineRule="exact"/>
                    <w:jc w:val="left"/>
                    <w:textAlignment w:val="center"/>
                    <w:rPr>
                      <w:rFonts w:hint="eastAsia" w:ascii="仿宋_GB2312" w:hAnsi="等线" w:eastAsia="仿宋_GB2312" w:cs="等线"/>
                      <w:color w:val="auto"/>
                      <w:kern w:val="0"/>
                      <w:sz w:val="24"/>
                      <w:lang w:bidi="ar"/>
                    </w:rPr>
                  </w:pPr>
                  <w:r>
                    <w:rPr>
                      <w:rFonts w:hint="eastAsia" w:ascii="仿宋_GB2312" w:hAnsi="等线" w:eastAsia="仿宋_GB2312" w:cs="等线"/>
                      <w:color w:val="auto"/>
                      <w:kern w:val="0"/>
                      <w:sz w:val="24"/>
                      <w:lang w:bidi="ar"/>
                    </w:rPr>
                    <w:t>扩建原糖输糖廊：109.25m</w:t>
                  </w:r>
                  <w:r>
                    <w:rPr>
                      <w:rFonts w:ascii="Calibri" w:hAnsi="Calibri" w:eastAsia="仿宋_GB2312" w:cs="Calibri"/>
                      <w:color w:val="auto"/>
                      <w:kern w:val="0"/>
                      <w:sz w:val="24"/>
                      <w:lang w:bidi="ar"/>
                    </w:rPr>
                    <w:t>²</w:t>
                  </w:r>
                </w:p>
                <w:p>
                  <w:pPr>
                    <w:widowControl/>
                    <w:spacing w:line="360" w:lineRule="exact"/>
                    <w:jc w:val="left"/>
                    <w:textAlignment w:val="center"/>
                    <w:rPr>
                      <w:rFonts w:hint="eastAsia" w:ascii="仿宋_GB2312" w:hAnsi="等线" w:eastAsia="仿宋_GB2312" w:cs="等线"/>
                      <w:color w:val="auto"/>
                      <w:sz w:val="24"/>
                    </w:rPr>
                  </w:pPr>
                  <w:r>
                    <w:rPr>
                      <w:rFonts w:hint="eastAsia" w:ascii="仿宋_GB2312" w:hAnsi="等线" w:eastAsia="仿宋_GB2312" w:cs="等线"/>
                      <w:color w:val="auto"/>
                      <w:kern w:val="0"/>
                      <w:sz w:val="24"/>
                      <w:lang w:bidi="ar"/>
                    </w:rPr>
                    <w:t>公司主要建筑物总面积共计109859.74</w:t>
                  </w:r>
                  <w:r>
                    <w:rPr>
                      <w:rFonts w:hint="eastAsia" w:ascii="仿宋_GB2312" w:eastAsia="仿宋_GB2312"/>
                      <w:color w:val="auto"/>
                      <w:sz w:val="24"/>
                    </w:rPr>
                    <w:t xml:space="preserve"> </w:t>
                  </w:r>
                  <w:r>
                    <w:rPr>
                      <w:rFonts w:hint="eastAsia" w:ascii="仿宋_GB2312" w:hAnsi="等线" w:eastAsia="仿宋_GB2312" w:cs="等线"/>
                      <w:color w:val="auto"/>
                      <w:kern w:val="0"/>
                      <w:sz w:val="24"/>
                      <w:lang w:bidi="ar"/>
                    </w:rPr>
                    <w:t>m</w:t>
                  </w:r>
                  <w:r>
                    <w:rPr>
                      <w:rFonts w:ascii="Calibri" w:hAnsi="Calibri" w:eastAsia="仿宋_GB2312" w:cs="Calibri"/>
                      <w:color w:val="auto"/>
                      <w:kern w:val="0"/>
                      <w:sz w:val="24"/>
                      <w:lang w:bidi="ar"/>
                    </w:rPr>
                    <w:t>²</w:t>
                  </w:r>
                  <w:r>
                    <w:rPr>
                      <w:rFonts w:hint="eastAsia" w:ascii="仿宋_GB2312" w:hAnsi="等线" w:eastAsia="仿宋_GB2312" w:cs="等线"/>
                      <w:color w:val="auto"/>
                      <w:kern w:val="0"/>
                      <w:sz w:val="24"/>
                      <w:lang w:bidi="ar"/>
                    </w:rPr>
                    <w:br w:type="textWrapping"/>
                  </w:r>
                  <w:r>
                    <w:rPr>
                      <w:rFonts w:hint="eastAsia" w:ascii="仿宋_GB2312" w:hAnsi="等线" w:eastAsia="仿宋_GB2312" w:cs="等线"/>
                      <w:color w:val="auto"/>
                      <w:kern w:val="0"/>
                      <w:sz w:val="24"/>
                      <w:lang w:bidi="ar"/>
                    </w:rPr>
                    <w:t>3.以上各系统设施的维护保养除执行各专项标准外，还应按照《建筑消防设施的维护管理》（GB25201-2010）等相关国家法规及规范标准要求开展消防设施维护保养服务工作。</w:t>
                  </w:r>
                </w:p>
              </w:tc>
            </w:tr>
          </w:tbl>
          <w:p>
            <w:pPr>
              <w:spacing w:line="360" w:lineRule="auto"/>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jc w:val="left"/>
              <w:rPr>
                <w:rFonts w:asciiTheme="minorEastAsia" w:hAnsiTheme="minorEastAsia" w:cstheme="minorEastAsia"/>
                <w:szCs w:val="21"/>
              </w:rPr>
            </w:pPr>
            <w:r>
              <w:rPr>
                <w:rFonts w:hint="eastAsia" w:asciiTheme="minorEastAsia" w:hAnsiTheme="minorEastAsia" w:cstheme="minorEastAsia"/>
                <w:szCs w:val="21"/>
              </w:rPr>
              <w:t>8</w:t>
            </w:r>
          </w:p>
        </w:tc>
        <w:tc>
          <w:tcPr>
            <w:tcW w:w="1208" w:type="dxa"/>
          </w:tcPr>
          <w:p>
            <w:pPr>
              <w:jc w:val="left"/>
              <w:rPr>
                <w:rFonts w:asciiTheme="minorEastAsia" w:hAnsiTheme="minorEastAsia" w:cstheme="minorEastAsia"/>
                <w:szCs w:val="21"/>
              </w:rPr>
            </w:pPr>
            <w:r>
              <w:rPr>
                <w:rFonts w:hint="eastAsia" w:asciiTheme="minorEastAsia" w:hAnsiTheme="minorEastAsia" w:cstheme="minorEastAsia"/>
                <w:szCs w:val="21"/>
              </w:rPr>
              <w:t>项目服务期限</w:t>
            </w:r>
          </w:p>
        </w:tc>
        <w:tc>
          <w:tcPr>
            <w:tcW w:w="8273" w:type="dxa"/>
          </w:tcPr>
          <w:p>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jc w:val="left"/>
              <w:rPr>
                <w:rFonts w:asciiTheme="minorEastAsia" w:hAnsiTheme="minorEastAsia" w:cstheme="minorEastAsia"/>
                <w:szCs w:val="21"/>
              </w:rPr>
            </w:pPr>
            <w:r>
              <w:rPr>
                <w:rFonts w:asciiTheme="minorEastAsia" w:hAnsiTheme="minorEastAsia" w:cstheme="minorEastAsia"/>
                <w:szCs w:val="21"/>
              </w:rPr>
              <w:t>9</w:t>
            </w:r>
          </w:p>
        </w:tc>
        <w:tc>
          <w:tcPr>
            <w:tcW w:w="1208" w:type="dxa"/>
          </w:tcPr>
          <w:p>
            <w:pPr>
              <w:jc w:val="left"/>
              <w:rPr>
                <w:rFonts w:asciiTheme="minorEastAsia" w:hAnsiTheme="minorEastAsia" w:cstheme="minorEastAsia"/>
                <w:szCs w:val="21"/>
              </w:rPr>
            </w:pPr>
            <w:r>
              <w:rPr>
                <w:rFonts w:hint="eastAsia" w:asciiTheme="minorEastAsia" w:hAnsiTheme="minorEastAsia" w:cstheme="minorEastAsia"/>
                <w:szCs w:val="21"/>
              </w:rPr>
              <w:t>采购方式</w:t>
            </w:r>
          </w:p>
        </w:tc>
        <w:tc>
          <w:tcPr>
            <w:tcW w:w="8273" w:type="dxa"/>
          </w:tcPr>
          <w:p>
            <w:pPr>
              <w:jc w:val="left"/>
              <w:rPr>
                <w:rFonts w:asciiTheme="minorEastAsia" w:hAnsiTheme="minorEastAsia" w:cstheme="minorEastAsia"/>
                <w:szCs w:val="21"/>
              </w:rPr>
            </w:pPr>
            <w:r>
              <w:rPr>
                <w:rFonts w:hint="eastAsia" w:asciiTheme="minorEastAsia" w:hAnsiTheme="minorEastAsia" w:cstheme="minorEastAsia"/>
                <w:szCs w:val="21"/>
              </w:rPr>
              <w:t>谈判采购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jc w:val="left"/>
              <w:rPr>
                <w:rFonts w:asciiTheme="minorEastAsia" w:hAnsiTheme="minorEastAsia" w:cstheme="minorEastAsia"/>
                <w:szCs w:val="21"/>
              </w:rPr>
            </w:pPr>
            <w:r>
              <w:rPr>
                <w:rFonts w:asciiTheme="minorEastAsia" w:hAnsiTheme="minorEastAsia" w:cstheme="minorEastAsia"/>
                <w:szCs w:val="21"/>
              </w:rPr>
              <w:t>10</w:t>
            </w:r>
          </w:p>
        </w:tc>
        <w:tc>
          <w:tcPr>
            <w:tcW w:w="1208" w:type="dxa"/>
          </w:tcPr>
          <w:p>
            <w:pPr>
              <w:jc w:val="left"/>
              <w:rPr>
                <w:rFonts w:asciiTheme="minorEastAsia" w:hAnsiTheme="minorEastAsia" w:cstheme="minorEastAsia"/>
                <w:szCs w:val="21"/>
              </w:rPr>
            </w:pPr>
            <w:r>
              <w:rPr>
                <w:rFonts w:hint="eastAsia" w:asciiTheme="minorEastAsia" w:hAnsiTheme="minorEastAsia" w:cstheme="minorEastAsia"/>
                <w:bCs/>
                <w:szCs w:val="21"/>
              </w:rPr>
              <w:t>合格意向投标人的资格条件</w:t>
            </w:r>
          </w:p>
        </w:tc>
        <w:tc>
          <w:tcPr>
            <w:tcW w:w="8273" w:type="dxa"/>
          </w:tcPr>
          <w:p>
            <w:pPr>
              <w:snapToGrid w:val="0"/>
              <w:spacing w:line="360" w:lineRule="auto"/>
              <w:rPr>
                <w:rFonts w:asciiTheme="minorEastAsia" w:hAnsiTheme="minorEastAsia" w:cstheme="minorEastAsia"/>
                <w:bCs/>
                <w:szCs w:val="21"/>
              </w:rPr>
            </w:pPr>
            <w:r>
              <w:rPr>
                <w:rFonts w:hint="eastAsia" w:asciiTheme="minorEastAsia" w:hAnsiTheme="minorEastAsia" w:cstheme="minorEastAsia"/>
                <w:bCs/>
                <w:szCs w:val="21"/>
              </w:rPr>
              <w:t>（1）投标人必须是中华人民共和国境内合法注册的独立法人机构；</w:t>
            </w:r>
          </w:p>
          <w:p>
            <w:pPr>
              <w:snapToGrid w:val="0"/>
              <w:spacing w:line="360" w:lineRule="auto"/>
              <w:rPr>
                <w:rFonts w:asciiTheme="minorEastAsia" w:hAnsiTheme="minorEastAsia" w:cstheme="minorEastAsia"/>
                <w:bCs/>
                <w:szCs w:val="21"/>
              </w:rPr>
            </w:pPr>
            <w:r>
              <w:rPr>
                <w:rFonts w:hint="eastAsia" w:asciiTheme="minorEastAsia" w:hAnsiTheme="minorEastAsia" w:cstheme="minorEastAsia"/>
                <w:bCs/>
                <w:szCs w:val="21"/>
              </w:rPr>
              <w:t>（2）具备有效的“营业执照、税务登记证及组织机构代码证”或具备：“统一社会信用代码证”的营业执照；</w:t>
            </w:r>
          </w:p>
          <w:p>
            <w:pPr>
              <w:snapToGrid w:val="0"/>
              <w:spacing w:line="360" w:lineRule="auto"/>
              <w:rPr>
                <w:rFonts w:asciiTheme="minorEastAsia" w:hAnsiTheme="minorEastAsia" w:cstheme="minorEastAsia"/>
                <w:bCs/>
                <w:szCs w:val="21"/>
              </w:rPr>
            </w:pPr>
            <w:r>
              <w:rPr>
                <w:rFonts w:hint="eastAsia" w:asciiTheme="minorEastAsia" w:hAnsiTheme="minorEastAsia" w:cstheme="minorEastAsia"/>
                <w:bCs/>
                <w:szCs w:val="21"/>
              </w:rPr>
              <w:t>（3）提供法定代表人证明书和法定代表人授权委托证明书；</w:t>
            </w:r>
          </w:p>
          <w:p>
            <w:pPr>
              <w:snapToGrid w:val="0"/>
              <w:spacing w:line="360" w:lineRule="auto"/>
              <w:rPr>
                <w:rFonts w:asciiTheme="minorEastAsia" w:hAnsiTheme="minorEastAsia" w:cstheme="minorEastAsia"/>
                <w:bCs/>
                <w:szCs w:val="21"/>
              </w:rPr>
            </w:pPr>
            <w:r>
              <w:rPr>
                <w:rFonts w:hint="eastAsia" w:asciiTheme="minorEastAsia" w:hAnsiTheme="minorEastAsia" w:cstheme="minorEastAsia"/>
                <w:bCs/>
                <w:szCs w:val="21"/>
              </w:rPr>
              <w:t>（4）参加招投标活动前三年内在经营活动中没有重大违法记录；</w:t>
            </w:r>
          </w:p>
          <w:p>
            <w:pPr>
              <w:snapToGrid w:val="0"/>
              <w:spacing w:line="360" w:lineRule="auto"/>
              <w:rPr>
                <w:rFonts w:asciiTheme="minorEastAsia" w:hAnsiTheme="minorEastAsia" w:cstheme="minorEastAsia"/>
                <w:bCs/>
                <w:szCs w:val="21"/>
              </w:rPr>
            </w:pPr>
            <w:r>
              <w:rPr>
                <w:rFonts w:hint="eastAsia" w:asciiTheme="minorEastAsia" w:hAnsiTheme="minorEastAsia" w:cstheme="minorEastAsia"/>
                <w:bCs/>
                <w:szCs w:val="21"/>
              </w:rPr>
              <w:t>（5）单位负责人为同一人或者存在直接控股、管理关系的不同投标人，不得参加同一合同项下的投标活动；</w:t>
            </w:r>
          </w:p>
          <w:p>
            <w:pPr>
              <w:snapToGrid w:val="0"/>
              <w:spacing w:line="360" w:lineRule="auto"/>
              <w:rPr>
                <w:rFonts w:asciiTheme="minorEastAsia" w:hAnsiTheme="minorEastAsia" w:cstheme="minorEastAsia"/>
                <w:bCs/>
                <w:szCs w:val="21"/>
              </w:rPr>
            </w:pPr>
            <w:r>
              <w:rPr>
                <w:rFonts w:hint="eastAsia" w:asciiTheme="minorEastAsia" w:hAnsiTheme="minorEastAsia" w:cstheme="minorEastAsia"/>
                <w:bCs/>
                <w:szCs w:val="21"/>
              </w:rPr>
              <w:t>（6）在“信用中国”网站（www.creditchina.gov.cn）中被列入失信被执行人、重大税收违法案件当事人名单、政府采购严重违法失信行为记录名单的投标人，不得参加本次招标活动；</w:t>
            </w:r>
          </w:p>
          <w:p>
            <w:pPr>
              <w:snapToGrid w:val="0"/>
              <w:spacing w:line="360" w:lineRule="auto"/>
              <w:rPr>
                <w:rFonts w:asciiTheme="minorEastAsia" w:hAnsiTheme="minorEastAsia" w:cstheme="minorEastAsia"/>
                <w:bCs/>
                <w:szCs w:val="21"/>
              </w:rPr>
            </w:pPr>
            <w:r>
              <w:rPr>
                <w:rFonts w:hint="eastAsia" w:asciiTheme="minorEastAsia" w:hAnsiTheme="minorEastAsia" w:cstheme="minorEastAsia"/>
                <w:bCs/>
                <w:szCs w:val="21"/>
              </w:rPr>
              <w:t>（7）应自觉抵制采购领域商业贿赂行为；</w:t>
            </w:r>
          </w:p>
          <w:p>
            <w:pPr>
              <w:snapToGrid w:val="0"/>
              <w:spacing w:line="360" w:lineRule="auto"/>
              <w:rPr>
                <w:rFonts w:asciiTheme="minorEastAsia" w:hAnsiTheme="minorEastAsia" w:cstheme="minorEastAsia"/>
                <w:bCs/>
                <w:szCs w:val="21"/>
              </w:rPr>
            </w:pPr>
            <w:r>
              <w:rPr>
                <w:rFonts w:hint="eastAsia" w:asciiTheme="minorEastAsia" w:hAnsiTheme="minorEastAsia" w:cstheme="minorEastAsia"/>
                <w:bCs/>
                <w:szCs w:val="21"/>
              </w:rPr>
              <w:t>（8）本项目不允许联合体竞争性谈判响应；</w:t>
            </w:r>
          </w:p>
          <w:p>
            <w:pPr>
              <w:snapToGrid w:val="0"/>
              <w:spacing w:line="360" w:lineRule="auto"/>
              <w:rPr>
                <w:rFonts w:asciiTheme="minorEastAsia" w:hAnsiTheme="minorEastAsia" w:cstheme="minorEastAsia"/>
                <w:bCs/>
                <w:szCs w:val="21"/>
              </w:rPr>
            </w:pPr>
            <w:r>
              <w:rPr>
                <w:rFonts w:hint="eastAsia" w:asciiTheme="minorEastAsia" w:hAnsiTheme="minorEastAsia" w:cstheme="minorEastAsia"/>
                <w:bCs/>
                <w:szCs w:val="21"/>
              </w:rPr>
              <w:t>（9）中粮糖业黑名单内的供应商不得投标。</w:t>
            </w:r>
          </w:p>
          <w:p>
            <w:pPr>
              <w:snapToGrid w:val="0"/>
              <w:spacing w:line="360" w:lineRule="auto"/>
              <w:rPr>
                <w:rFonts w:asciiTheme="minorEastAsia" w:hAnsiTheme="minorEastAsia" w:cstheme="minorEastAsia"/>
                <w:bCs/>
                <w:szCs w:val="21"/>
              </w:rPr>
            </w:pPr>
            <w:r>
              <w:rPr>
                <w:rFonts w:hint="eastAsia" w:asciiTheme="minorEastAsia" w:hAnsiTheme="minorEastAsia" w:cstheme="minorEastAsia"/>
                <w:b/>
                <w:szCs w:val="21"/>
              </w:rPr>
              <w:t>（10）除以上资质外，供应商营业执照应具备建筑消防设施检测或维护、消防设施维修等经营资格。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jc w:val="left"/>
              <w:rPr>
                <w:rFonts w:asciiTheme="minorEastAsia" w:hAnsiTheme="minorEastAsia" w:cstheme="minorEastAsia"/>
                <w:szCs w:val="21"/>
              </w:rPr>
            </w:pPr>
            <w:r>
              <w:rPr>
                <w:rFonts w:asciiTheme="minorEastAsia" w:hAnsiTheme="minorEastAsia" w:cstheme="minorEastAsia"/>
                <w:szCs w:val="21"/>
              </w:rPr>
              <w:t>11</w:t>
            </w:r>
          </w:p>
        </w:tc>
        <w:tc>
          <w:tcPr>
            <w:tcW w:w="1208" w:type="dxa"/>
          </w:tcPr>
          <w:p>
            <w:pPr>
              <w:jc w:val="left"/>
              <w:rPr>
                <w:rFonts w:asciiTheme="minorEastAsia" w:hAnsiTheme="minorEastAsia" w:cstheme="minorEastAsia"/>
                <w:bCs/>
                <w:szCs w:val="21"/>
              </w:rPr>
            </w:pPr>
            <w:r>
              <w:rPr>
                <w:rFonts w:hint="eastAsia" w:asciiTheme="minorEastAsia" w:hAnsiTheme="minorEastAsia" w:cstheme="minorEastAsia"/>
                <w:bCs/>
                <w:szCs w:val="21"/>
              </w:rPr>
              <w:t>投标人注册</w:t>
            </w:r>
          </w:p>
        </w:tc>
        <w:tc>
          <w:tcPr>
            <w:tcW w:w="8273" w:type="dxa"/>
          </w:tcPr>
          <w:p>
            <w:pPr>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意向投标人须在中粮糖业采购平台进行注册登记，通过审核的才能够在EPS系统内报名，进行查看公告等业务操作；</w:t>
            </w:r>
          </w:p>
          <w:p>
            <w:pPr>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采购平台网址：</w:t>
            </w:r>
            <w:r>
              <w:fldChar w:fldCharType="begin"/>
            </w:r>
            <w:r>
              <w:instrText xml:space="preserve"> HYPERLINK "https://eps.cofcotunhe.com" </w:instrText>
            </w:r>
            <w:r>
              <w:fldChar w:fldCharType="separate"/>
            </w:r>
            <w:r>
              <w:rPr>
                <w:rStyle w:val="25"/>
                <w:rFonts w:hint="eastAsia" w:asciiTheme="minorEastAsia" w:hAnsiTheme="minorEastAsia" w:cstheme="minorEastAsia"/>
                <w:color w:val="auto"/>
                <w:szCs w:val="21"/>
              </w:rPr>
              <w:t>https://eps.cofcotunhe.com</w:t>
            </w:r>
            <w:r>
              <w:rPr>
                <w:rStyle w:val="25"/>
                <w:rFonts w:hint="eastAsia" w:asciiTheme="minorEastAsia" w:hAnsiTheme="minorEastAsia" w:cstheme="minorEastAsia"/>
                <w:color w:val="auto"/>
                <w:szCs w:val="21"/>
              </w:rPr>
              <w:fldChar w:fldCharType="end"/>
            </w:r>
            <w:r>
              <w:rPr>
                <w:rFonts w:hint="eastAsia" w:asciiTheme="minorEastAsia" w:hAnsiTheme="minorEastAsia" w:cstheme="minorEastAsia"/>
                <w:szCs w:val="21"/>
              </w:rPr>
              <w:t>。</w:t>
            </w:r>
          </w:p>
          <w:p>
            <w:pPr>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已注册的意向投标人在EPS系统内自行更新资料，补充不足部分，更新已过期资质，重新提交审核，资质审核不通过的不得参与报价； </w:t>
            </w:r>
          </w:p>
          <w:p>
            <w:pPr>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请参与本次报价的意向投标人注册填报采购组织时，选择：唐山糖业工厂。</w:t>
            </w:r>
          </w:p>
          <w:p>
            <w:pPr>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系统固定注册资料需有：营业执照、开户许可证、纳税人资格证、法人代表授权委托书、质量承诺书、廉洁承诺书。</w:t>
            </w:r>
          </w:p>
          <w:p>
            <w:pPr>
              <w:snapToGrid w:val="0"/>
              <w:spacing w:line="360" w:lineRule="auto"/>
              <w:rPr>
                <w:rFonts w:asciiTheme="minorEastAsia" w:hAnsiTheme="minorEastAsia" w:cstheme="minorEastAsia"/>
                <w:szCs w:val="21"/>
              </w:rPr>
            </w:pPr>
            <w:r>
              <w:rPr>
                <w:rFonts w:hint="eastAsia" w:asciiTheme="minorEastAsia" w:hAnsiTheme="minorEastAsia" w:cstheme="minorEastAsia"/>
                <w:b/>
                <w:szCs w:val="21"/>
              </w:rPr>
              <w:t>注：供应商营业执照应具备建筑消防设施检测或维护、消防设施维修等经营资格。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jc w:val="left"/>
              <w:rPr>
                <w:rFonts w:asciiTheme="minorEastAsia" w:hAnsiTheme="minorEastAsia" w:cstheme="minorEastAsia"/>
                <w:szCs w:val="21"/>
              </w:rPr>
            </w:pPr>
            <w:r>
              <w:rPr>
                <w:rFonts w:hint="eastAsia" w:asciiTheme="minorEastAsia" w:hAnsiTheme="minorEastAsia" w:cstheme="minorEastAsia"/>
                <w:szCs w:val="21"/>
              </w:rPr>
              <w:t>1</w:t>
            </w:r>
            <w:r>
              <w:rPr>
                <w:rFonts w:asciiTheme="minorEastAsia" w:hAnsiTheme="minorEastAsia" w:cstheme="minorEastAsia"/>
                <w:szCs w:val="21"/>
              </w:rPr>
              <w:t>2</w:t>
            </w:r>
          </w:p>
        </w:tc>
        <w:tc>
          <w:tcPr>
            <w:tcW w:w="1208" w:type="dxa"/>
            <w:vAlign w:val="center"/>
          </w:tcPr>
          <w:p>
            <w:pPr>
              <w:jc w:val="left"/>
              <w:rPr>
                <w:rFonts w:asciiTheme="minorEastAsia" w:hAnsiTheme="minorEastAsia" w:cstheme="minorEastAsia"/>
                <w:bCs/>
                <w:szCs w:val="21"/>
              </w:rPr>
            </w:pPr>
            <w:r>
              <w:rPr>
                <w:rFonts w:hint="eastAsia" w:asciiTheme="minorEastAsia" w:hAnsiTheme="minorEastAsia" w:cstheme="minorEastAsia"/>
                <w:szCs w:val="21"/>
              </w:rPr>
              <w:t>响应有效期</w:t>
            </w:r>
          </w:p>
        </w:tc>
        <w:tc>
          <w:tcPr>
            <w:tcW w:w="8273" w:type="dxa"/>
            <w:vAlign w:val="center"/>
          </w:tcPr>
          <w:p>
            <w:pPr>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响应有效期为开启响应文件之日起90日历天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top"/>
          </w:tcPr>
          <w:p>
            <w:pPr>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rPr>
              <w:t>13</w:t>
            </w:r>
          </w:p>
        </w:tc>
        <w:tc>
          <w:tcPr>
            <w:tcW w:w="1208" w:type="dxa"/>
            <w:vAlign w:val="top"/>
          </w:tcPr>
          <w:p>
            <w:pPr>
              <w:numPr>
                <w:ilvl w:val="255"/>
                <w:numId w:val="0"/>
              </w:numPr>
              <w:tabs>
                <w:tab w:val="left" w:pos="540"/>
              </w:tabs>
              <w:spacing w:line="360" w:lineRule="auto"/>
              <w:ind w:left="0" w:leftChars="0" w:firstLine="0" w:firstLineChars="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rPr>
              <w:t>投标保证金</w:t>
            </w:r>
          </w:p>
        </w:tc>
        <w:tc>
          <w:tcPr>
            <w:tcW w:w="8273" w:type="dxa"/>
            <w:vAlign w:val="top"/>
          </w:tcPr>
          <w:p>
            <w:pPr>
              <w:numPr>
                <w:ilvl w:val="255"/>
                <w:numId w:val="0"/>
              </w:numPr>
              <w:tabs>
                <w:tab w:val="left" w:pos="540"/>
              </w:tabs>
              <w:spacing w:line="360" w:lineRule="auto"/>
              <w:rPr>
                <w:rFonts w:hint="eastAsia" w:asciiTheme="minorEastAsia" w:hAnsiTheme="minorEastAsia" w:cstheme="minorEastAsia"/>
                <w:szCs w:val="21"/>
              </w:rPr>
            </w:pPr>
            <w:r>
              <w:rPr>
                <w:rFonts w:hint="eastAsia" w:asciiTheme="minorEastAsia" w:hAnsiTheme="minorEastAsia" w:cstheme="minorEastAsia"/>
                <w:szCs w:val="21"/>
              </w:rPr>
              <w:t>意向投标人需在2024年4月</w:t>
            </w:r>
            <w:r>
              <w:rPr>
                <w:rFonts w:hint="eastAsia" w:asciiTheme="minorEastAsia" w:hAnsiTheme="minorEastAsia" w:cstheme="minorEastAsia"/>
                <w:szCs w:val="21"/>
                <w:highlight w:val="yellow"/>
              </w:rPr>
              <w:t xml:space="preserve">  </w:t>
            </w:r>
            <w:r>
              <w:rPr>
                <w:rFonts w:hint="eastAsia" w:asciiTheme="minorEastAsia" w:hAnsiTheme="minorEastAsia" w:cstheme="minorEastAsia"/>
                <w:szCs w:val="21"/>
              </w:rPr>
              <w:t>日前缴纳投标保证金：人民币¥</w:t>
            </w:r>
            <w:r>
              <w:rPr>
                <w:rFonts w:hint="eastAsia" w:asciiTheme="minorEastAsia" w:hAnsiTheme="minorEastAsia" w:cstheme="minorEastAsia"/>
                <w:szCs w:val="21"/>
                <w:lang w:val="en-US" w:eastAsia="zh-CN"/>
              </w:rPr>
              <w:t>2000</w:t>
            </w:r>
            <w:r>
              <w:rPr>
                <w:rFonts w:hint="eastAsia" w:asciiTheme="minorEastAsia" w:hAnsiTheme="minorEastAsia" w:cstheme="minorEastAsia"/>
                <w:szCs w:val="21"/>
              </w:rPr>
              <w:t>元（大写：</w:t>
            </w:r>
            <w:r>
              <w:rPr>
                <w:rFonts w:hint="eastAsia" w:asciiTheme="minorEastAsia" w:hAnsiTheme="minorEastAsia" w:cstheme="minorEastAsia"/>
                <w:szCs w:val="21"/>
                <w:lang w:val="en-US" w:eastAsia="zh-CN"/>
              </w:rPr>
              <w:t>贰仟元整</w:t>
            </w:r>
            <w:r>
              <w:rPr>
                <w:rFonts w:hint="eastAsia" w:asciiTheme="minorEastAsia" w:hAnsiTheme="minorEastAsia" w:cstheme="minorEastAsia"/>
                <w:szCs w:val="21"/>
              </w:rPr>
              <w:t>）</w:t>
            </w:r>
          </w:p>
          <w:p>
            <w:pPr>
              <w:numPr>
                <w:ilvl w:val="255"/>
                <w:numId w:val="0"/>
              </w:numPr>
              <w:tabs>
                <w:tab w:val="left" w:pos="540"/>
              </w:tabs>
              <w:spacing w:line="360" w:lineRule="auto"/>
              <w:rPr>
                <w:rFonts w:hint="eastAsia" w:asciiTheme="minorEastAsia" w:hAnsiTheme="minorEastAsia" w:cstheme="minorEastAsia"/>
                <w:szCs w:val="21"/>
              </w:rPr>
            </w:pPr>
            <w:r>
              <w:rPr>
                <w:rFonts w:hint="eastAsia" w:asciiTheme="minorEastAsia" w:hAnsiTheme="minorEastAsia" w:cstheme="minorEastAsia"/>
                <w:szCs w:val="21"/>
              </w:rPr>
              <w:t>以转帐方式交至以下帐户：</w:t>
            </w:r>
          </w:p>
          <w:p>
            <w:pPr>
              <w:numPr>
                <w:ilvl w:val="255"/>
                <w:numId w:val="0"/>
              </w:numPr>
              <w:tabs>
                <w:tab w:val="left" w:pos="540"/>
              </w:tabs>
              <w:spacing w:line="360" w:lineRule="auto"/>
              <w:rPr>
                <w:rFonts w:hint="eastAsia" w:asciiTheme="minorEastAsia" w:hAnsiTheme="minorEastAsia" w:cstheme="minorEastAsia"/>
                <w:szCs w:val="21"/>
              </w:rPr>
            </w:pPr>
            <w:r>
              <w:rPr>
                <w:rFonts w:hint="eastAsia" w:asciiTheme="minorEastAsia" w:hAnsiTheme="minorEastAsia" w:cstheme="minorEastAsia"/>
                <w:szCs w:val="21"/>
              </w:rPr>
              <w:t>收款人：中粮（唐山）糖业有限公司；   用途：投标保证金</w:t>
            </w:r>
          </w:p>
          <w:p>
            <w:pPr>
              <w:numPr>
                <w:ilvl w:val="255"/>
                <w:numId w:val="0"/>
              </w:numPr>
              <w:tabs>
                <w:tab w:val="left" w:pos="540"/>
              </w:tabs>
              <w:spacing w:line="360" w:lineRule="auto"/>
              <w:rPr>
                <w:rFonts w:hint="eastAsia" w:asciiTheme="minorEastAsia" w:hAnsiTheme="minorEastAsia" w:cstheme="minorEastAsia"/>
                <w:szCs w:val="21"/>
              </w:rPr>
            </w:pPr>
            <w:r>
              <w:rPr>
                <w:rFonts w:hint="eastAsia" w:asciiTheme="minorEastAsia" w:hAnsiTheme="minorEastAsia" w:cstheme="minorEastAsia"/>
                <w:szCs w:val="21"/>
              </w:rPr>
              <w:t xml:space="preserve">开户行：中国建设银行股份有限公司唐山曹妃甸自贸区支行； </w:t>
            </w:r>
          </w:p>
          <w:p>
            <w:pPr>
              <w:numPr>
                <w:ilvl w:val="255"/>
                <w:numId w:val="0"/>
              </w:numPr>
              <w:tabs>
                <w:tab w:val="left" w:pos="540"/>
              </w:tabs>
              <w:spacing w:line="360" w:lineRule="auto"/>
              <w:rPr>
                <w:rFonts w:hint="eastAsia" w:asciiTheme="minorEastAsia" w:hAnsiTheme="minorEastAsia" w:cstheme="minorEastAsia"/>
                <w:szCs w:val="21"/>
              </w:rPr>
            </w:pPr>
            <w:r>
              <w:rPr>
                <w:rFonts w:hint="eastAsia" w:asciiTheme="minorEastAsia" w:hAnsiTheme="minorEastAsia" w:cstheme="minorEastAsia"/>
                <w:szCs w:val="21"/>
              </w:rPr>
              <w:t>行号：105125100039</w:t>
            </w:r>
          </w:p>
          <w:p>
            <w:pPr>
              <w:numPr>
                <w:ilvl w:val="255"/>
                <w:numId w:val="0"/>
              </w:numPr>
              <w:tabs>
                <w:tab w:val="left" w:pos="540"/>
              </w:tabs>
              <w:spacing w:line="360" w:lineRule="auto"/>
              <w:rPr>
                <w:rFonts w:hint="eastAsia" w:asciiTheme="minorEastAsia" w:hAnsiTheme="minorEastAsia" w:cstheme="minorEastAsia"/>
                <w:szCs w:val="21"/>
              </w:rPr>
            </w:pPr>
            <w:r>
              <w:rPr>
                <w:rFonts w:hint="eastAsia" w:asciiTheme="minorEastAsia" w:hAnsiTheme="minorEastAsia" w:cstheme="minorEastAsia"/>
                <w:szCs w:val="21"/>
              </w:rPr>
              <w:t>银行账号：13001624101052503146</w:t>
            </w:r>
          </w:p>
          <w:p>
            <w:pPr>
              <w:numPr>
                <w:ilvl w:val="255"/>
                <w:numId w:val="0"/>
              </w:numPr>
              <w:tabs>
                <w:tab w:val="left" w:pos="540"/>
              </w:tabs>
              <w:spacing w:line="360" w:lineRule="auto"/>
              <w:ind w:left="0" w:leftChars="0" w:firstLine="0" w:firstLineChars="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rPr>
              <w:t>谈判报价前意向供应商的保证金未交付或交付错误的不具报价资格。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top"/>
          </w:tcPr>
          <w:p>
            <w:pPr>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rPr>
              <w:t>14</w:t>
            </w:r>
          </w:p>
        </w:tc>
        <w:tc>
          <w:tcPr>
            <w:tcW w:w="1208" w:type="dxa"/>
            <w:vAlign w:val="top"/>
          </w:tcPr>
          <w:p>
            <w:pPr>
              <w:numPr>
                <w:ilvl w:val="255"/>
                <w:numId w:val="0"/>
              </w:numPr>
              <w:tabs>
                <w:tab w:val="left" w:pos="540"/>
              </w:tabs>
              <w:spacing w:line="360" w:lineRule="auto"/>
              <w:ind w:left="0" w:leftChars="0" w:firstLine="0" w:firstLineChars="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rPr>
              <w:t>退还投标保证金</w:t>
            </w:r>
          </w:p>
        </w:tc>
        <w:tc>
          <w:tcPr>
            <w:tcW w:w="8273" w:type="dxa"/>
            <w:vAlign w:val="top"/>
          </w:tcPr>
          <w:p>
            <w:pPr>
              <w:numPr>
                <w:ilvl w:val="255"/>
                <w:numId w:val="0"/>
              </w:numPr>
              <w:tabs>
                <w:tab w:val="left" w:pos="540"/>
              </w:tabs>
              <w:spacing w:line="360" w:lineRule="auto"/>
              <w:ind w:left="0" w:leftChars="0" w:firstLine="0" w:firstLineChars="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rPr>
              <w:t>公布最终谈判结果后，招标人将在次月退还投标保证金.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top"/>
          </w:tcPr>
          <w:p>
            <w:pPr>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rPr>
              <w:t>15</w:t>
            </w:r>
          </w:p>
        </w:tc>
        <w:tc>
          <w:tcPr>
            <w:tcW w:w="1208" w:type="dxa"/>
            <w:vAlign w:val="top"/>
          </w:tcPr>
          <w:p>
            <w:pPr>
              <w:numPr>
                <w:ilvl w:val="255"/>
                <w:numId w:val="0"/>
              </w:numPr>
              <w:tabs>
                <w:tab w:val="left" w:pos="540"/>
              </w:tabs>
              <w:spacing w:line="360" w:lineRule="auto"/>
              <w:ind w:left="0" w:leftChars="0" w:firstLine="0" w:firstLineChars="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rPr>
              <w:t>不退回投标保证金的其他情形</w:t>
            </w:r>
          </w:p>
        </w:tc>
        <w:tc>
          <w:tcPr>
            <w:tcW w:w="8273" w:type="dxa"/>
            <w:vAlign w:val="top"/>
          </w:tcPr>
          <w:p>
            <w:pPr>
              <w:numPr>
                <w:ilvl w:val="255"/>
                <w:numId w:val="0"/>
              </w:numPr>
              <w:tabs>
                <w:tab w:val="left" w:pos="540"/>
              </w:tabs>
              <w:spacing w:line="360" w:lineRule="auto"/>
              <w:rPr>
                <w:rFonts w:hint="eastAsia" w:asciiTheme="minorEastAsia" w:hAnsiTheme="minorEastAsia" w:cstheme="minorEastAsia"/>
                <w:szCs w:val="21"/>
              </w:rPr>
            </w:pPr>
            <w:r>
              <w:rPr>
                <w:rFonts w:hint="eastAsia" w:asciiTheme="minorEastAsia" w:hAnsiTheme="minorEastAsia" w:cstheme="minorEastAsia"/>
                <w:szCs w:val="21"/>
              </w:rPr>
              <w:t>提供虚假材料谋取中标、成交的；在响应本次采购中存在围标串标等违法违规行为的；</w:t>
            </w:r>
          </w:p>
          <w:p>
            <w:pPr>
              <w:numPr>
                <w:ilvl w:val="255"/>
                <w:numId w:val="0"/>
              </w:numPr>
              <w:tabs>
                <w:tab w:val="left" w:pos="540"/>
              </w:tabs>
              <w:spacing w:line="360" w:lineRule="auto"/>
              <w:ind w:left="0" w:leftChars="0" w:firstLine="0" w:firstLineChars="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rPr>
              <w:t>中标后，无正当理由拒绝签订合同的。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jc w:val="left"/>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6</w:t>
            </w:r>
          </w:p>
        </w:tc>
        <w:tc>
          <w:tcPr>
            <w:tcW w:w="1208" w:type="dxa"/>
          </w:tcPr>
          <w:p>
            <w:pPr>
              <w:jc w:val="left"/>
              <w:rPr>
                <w:rFonts w:asciiTheme="minorEastAsia" w:hAnsiTheme="minorEastAsia" w:cstheme="minorEastAsia"/>
                <w:bCs/>
                <w:szCs w:val="21"/>
              </w:rPr>
            </w:pPr>
            <w:r>
              <w:rPr>
                <w:rFonts w:hint="eastAsia" w:asciiTheme="minorEastAsia" w:hAnsiTheme="minorEastAsia" w:cstheme="minorEastAsia"/>
                <w:bCs/>
                <w:szCs w:val="21"/>
              </w:rPr>
              <w:t>谈判文件发布及报名截止时间</w:t>
            </w:r>
          </w:p>
        </w:tc>
        <w:tc>
          <w:tcPr>
            <w:tcW w:w="8273" w:type="dxa"/>
          </w:tcPr>
          <w:p>
            <w:pPr>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谈判文件发放方式：中粮糖业EPS采购平台发布；</w:t>
            </w:r>
          </w:p>
          <w:p>
            <w:pPr>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谈判文件发出时间：</w:t>
            </w:r>
            <w:r>
              <w:rPr>
                <w:rFonts w:hint="eastAsia" w:asciiTheme="minorEastAsia" w:hAnsiTheme="minorEastAsia" w:cstheme="minorEastAsia"/>
                <w:szCs w:val="21"/>
                <w:u w:val="single"/>
              </w:rPr>
              <w:t>年月日</w:t>
            </w:r>
          </w:p>
          <w:p>
            <w:pPr>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请投标单位于</w:t>
            </w:r>
            <w:r>
              <w:rPr>
                <w:rFonts w:hint="eastAsia" w:asciiTheme="minorEastAsia" w:hAnsiTheme="minorEastAsia" w:cstheme="minorEastAsia"/>
                <w:b/>
                <w:bCs/>
                <w:szCs w:val="21"/>
                <w:u w:val="single"/>
              </w:rPr>
              <w:t>年月日时分</w:t>
            </w:r>
            <w:r>
              <w:rPr>
                <w:rFonts w:hint="eastAsia" w:asciiTheme="minorEastAsia" w:hAnsiTheme="minorEastAsia" w:cstheme="minorEastAsia"/>
                <w:szCs w:val="21"/>
              </w:rPr>
              <w:t>前完成报名。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jc w:val="left"/>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7</w:t>
            </w:r>
          </w:p>
        </w:tc>
        <w:tc>
          <w:tcPr>
            <w:tcW w:w="1208" w:type="dxa"/>
          </w:tcPr>
          <w:p>
            <w:pPr>
              <w:jc w:val="left"/>
              <w:rPr>
                <w:rFonts w:asciiTheme="minorEastAsia" w:hAnsiTheme="minorEastAsia" w:cstheme="minorEastAsia"/>
                <w:bCs/>
                <w:szCs w:val="21"/>
              </w:rPr>
            </w:pPr>
            <w:r>
              <w:rPr>
                <w:rFonts w:hint="eastAsia" w:asciiTheme="minorEastAsia" w:hAnsiTheme="minorEastAsia" w:cstheme="minorEastAsia"/>
                <w:bCs/>
                <w:szCs w:val="21"/>
              </w:rPr>
              <w:t>谈判文件发布要求</w:t>
            </w:r>
          </w:p>
        </w:tc>
        <w:tc>
          <w:tcPr>
            <w:tcW w:w="8273" w:type="dxa"/>
          </w:tcPr>
          <w:p>
            <w:pPr>
              <w:spacing w:line="360" w:lineRule="auto"/>
              <w:rPr>
                <w:rFonts w:asciiTheme="minorEastAsia" w:hAnsiTheme="minorEastAsia" w:cstheme="minorEastAsia"/>
                <w:szCs w:val="21"/>
              </w:rPr>
            </w:pPr>
            <w:r>
              <w:rPr>
                <w:rFonts w:hint="eastAsia" w:asciiTheme="minorEastAsia" w:hAnsiTheme="minorEastAsia" w:cstheme="minorEastAsia"/>
                <w:szCs w:val="21"/>
              </w:rPr>
              <w:t>请仔细检查招标文件是否齐全，如有缺漏，请立即与招标人联系解决。</w:t>
            </w:r>
          </w:p>
          <w:p>
            <w:pPr>
              <w:numPr>
                <w:ilvl w:val="255"/>
                <w:numId w:val="0"/>
              </w:numPr>
              <w:tabs>
                <w:tab w:val="left" w:pos="540"/>
              </w:tabs>
              <w:spacing w:line="360" w:lineRule="auto"/>
              <w:rPr>
                <w:rFonts w:asciiTheme="minorEastAsia" w:hAnsiTheme="minorEastAsia" w:cstheme="minorEastAsia"/>
                <w:szCs w:val="21"/>
              </w:rPr>
            </w:pPr>
            <w:r>
              <w:rPr>
                <w:rFonts w:hint="eastAsia" w:asciiTheme="minorEastAsia" w:hAnsiTheme="minorEastAsia" w:cstheme="minorEastAsia"/>
                <w:szCs w:val="21"/>
              </w:rPr>
              <w:t>1.投标人被视为充分熟悉本采购项目所在地的与履行合同有关的各种情况，本招标文件不再对上述情况进行描述。</w:t>
            </w:r>
          </w:p>
          <w:p>
            <w:pPr>
              <w:numPr>
                <w:ilvl w:val="255"/>
                <w:numId w:val="0"/>
              </w:numPr>
              <w:tabs>
                <w:tab w:val="left" w:pos="540"/>
              </w:tabs>
              <w:spacing w:line="360" w:lineRule="auto"/>
              <w:rPr>
                <w:rFonts w:asciiTheme="minorEastAsia" w:hAnsiTheme="minorEastAsia" w:cstheme="minorEastAsia"/>
                <w:szCs w:val="21"/>
              </w:rPr>
            </w:pPr>
            <w:r>
              <w:rPr>
                <w:rFonts w:hint="eastAsia" w:asciiTheme="minorEastAsia" w:hAnsiTheme="minorEastAsia" w:cstheme="minorEastAsia"/>
                <w:szCs w:val="21"/>
              </w:rPr>
              <w:t>2.投标人必须详阅招标文件的所有条款、文件及表格格式。如果投标人的投标文件因自身的疏忽、遗漏不能满足本招标文件的要求，责任由投标人自负。招标人有权拒绝没有实质上响应招标文件要求的投标文件。</w:t>
            </w:r>
          </w:p>
          <w:p>
            <w:pPr>
              <w:numPr>
                <w:ilvl w:val="255"/>
                <w:numId w:val="0"/>
              </w:numPr>
              <w:spacing w:line="360" w:lineRule="auto"/>
              <w:rPr>
                <w:rFonts w:asciiTheme="minorEastAsia" w:hAnsiTheme="minorEastAsia" w:cstheme="minorEastAsia"/>
                <w:szCs w:val="21"/>
              </w:rPr>
            </w:pPr>
            <w:r>
              <w:rPr>
                <w:rFonts w:hint="eastAsia" w:asciiTheme="minorEastAsia" w:hAnsiTheme="minorEastAsia" w:cstheme="minorEastAsia"/>
                <w:szCs w:val="21"/>
              </w:rPr>
              <w:t>3.招标文件的解释</w:t>
            </w:r>
          </w:p>
          <w:p>
            <w:pPr>
              <w:numPr>
                <w:ilvl w:val="255"/>
                <w:numId w:val="0"/>
              </w:numPr>
              <w:spacing w:line="360" w:lineRule="auto"/>
              <w:ind w:firstLine="420" w:firstLineChars="200"/>
              <w:rPr>
                <w:rFonts w:asciiTheme="minorEastAsia" w:hAnsiTheme="minorEastAsia" w:cstheme="minorEastAsia"/>
                <w:b/>
                <w:bCs/>
                <w:szCs w:val="21"/>
              </w:rPr>
            </w:pPr>
            <w:r>
              <w:rPr>
                <w:rFonts w:hint="eastAsia" w:asciiTheme="minorEastAsia" w:hAnsiTheme="minorEastAsia" w:cstheme="minorEastAsia"/>
                <w:szCs w:val="21"/>
              </w:rPr>
              <w:t>如投标人对招标文件有任何疑问，请以电话或电子邮件形式向招标人在此招标文件上列明的联系人询问，不得向其他单位或个人提出任何查询 （除非已经得到招标人的书面同意）。答疑的截止日期在投标截止日期前1天截止，逾期将不予回复。</w:t>
            </w:r>
          </w:p>
          <w:p>
            <w:pPr>
              <w:numPr>
                <w:ilvl w:val="255"/>
                <w:numId w:val="0"/>
              </w:numPr>
              <w:spacing w:line="360" w:lineRule="auto"/>
              <w:rPr>
                <w:rFonts w:asciiTheme="minorEastAsia" w:hAnsiTheme="minorEastAsia" w:cstheme="minorEastAsia"/>
                <w:szCs w:val="21"/>
              </w:rPr>
            </w:pPr>
            <w:r>
              <w:rPr>
                <w:rFonts w:hint="eastAsia" w:asciiTheme="minorEastAsia" w:hAnsiTheme="minorEastAsia" w:cstheme="minorEastAsia"/>
                <w:szCs w:val="21"/>
              </w:rPr>
              <w:t>4.招标文件的补充</w:t>
            </w:r>
          </w:p>
          <w:p>
            <w:pPr>
              <w:numPr>
                <w:ilvl w:val="255"/>
                <w:numId w:val="0"/>
              </w:numPr>
              <w:tabs>
                <w:tab w:val="left" w:pos="540"/>
              </w:tabs>
              <w:spacing w:line="360" w:lineRule="auto"/>
              <w:rPr>
                <w:rFonts w:asciiTheme="minorEastAsia" w:hAnsiTheme="minorEastAsia" w:cstheme="minorEastAsia"/>
                <w:b/>
                <w:bCs/>
                <w:szCs w:val="21"/>
              </w:rPr>
            </w:pPr>
            <w:r>
              <w:rPr>
                <w:rFonts w:hint="eastAsia" w:asciiTheme="minorEastAsia" w:hAnsiTheme="minorEastAsia" w:cstheme="minorEastAsia"/>
                <w:szCs w:val="21"/>
              </w:rPr>
              <w:t>4.1在组织招标时间之前，招标人可以根据需要对招标文件用补充文件的方式进行修正。</w:t>
            </w:r>
          </w:p>
          <w:p>
            <w:pPr>
              <w:numPr>
                <w:ilvl w:val="255"/>
                <w:numId w:val="0"/>
              </w:numPr>
              <w:tabs>
                <w:tab w:val="left" w:pos="540"/>
              </w:tabs>
              <w:spacing w:line="360" w:lineRule="auto"/>
              <w:rPr>
                <w:rFonts w:asciiTheme="minorEastAsia" w:hAnsiTheme="minorEastAsia" w:cstheme="minorEastAsia"/>
                <w:b/>
                <w:bCs/>
                <w:szCs w:val="21"/>
              </w:rPr>
            </w:pPr>
            <w:r>
              <w:rPr>
                <w:rFonts w:hint="eastAsia" w:asciiTheme="minorEastAsia" w:hAnsiTheme="minorEastAsia" w:cstheme="minorEastAsia"/>
                <w:szCs w:val="21"/>
              </w:rPr>
              <w:t>4.2 对招标文件的补充，应以书面形式通知所有投标人。补充文件将作为招标文件的组成部分，对所有投标人有约束力。</w:t>
            </w:r>
          </w:p>
          <w:p>
            <w:pPr>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4.3为使投标人有足够的时间按招标文件的补充要求修正投标文件，招标人有权决定推迟招标采购的组织招标时间，并将此变更书面通知所有投标人。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jc w:val="left"/>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8</w:t>
            </w:r>
          </w:p>
        </w:tc>
        <w:tc>
          <w:tcPr>
            <w:tcW w:w="1208" w:type="dxa"/>
          </w:tcPr>
          <w:p>
            <w:pPr>
              <w:jc w:val="left"/>
              <w:rPr>
                <w:rFonts w:asciiTheme="minorEastAsia" w:hAnsiTheme="minorEastAsia" w:cstheme="minorEastAsia"/>
                <w:bCs/>
                <w:szCs w:val="21"/>
              </w:rPr>
            </w:pPr>
            <w:r>
              <w:rPr>
                <w:rFonts w:hint="eastAsia" w:asciiTheme="minorEastAsia" w:hAnsiTheme="minorEastAsia" w:cstheme="minorEastAsia"/>
                <w:bCs/>
                <w:szCs w:val="21"/>
              </w:rPr>
              <w:t>开标时间及响应文件提交</w:t>
            </w:r>
          </w:p>
        </w:tc>
        <w:tc>
          <w:tcPr>
            <w:tcW w:w="8273" w:type="dxa"/>
          </w:tcPr>
          <w:p>
            <w:pPr>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开标时间为年月日时分；</w:t>
            </w:r>
          </w:p>
          <w:p>
            <w:pPr>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参加谈判的投标人需要在开标前完成报价，并把谈判响应文件填写完整并加盖公章后，在EPS系统中上传，</w:t>
            </w:r>
            <w:r>
              <w:rPr>
                <w:rFonts w:hint="eastAsia" w:asciiTheme="minorEastAsia" w:hAnsiTheme="minorEastAsia" w:cstheme="minorEastAsia"/>
                <w:b/>
                <w:bCs/>
                <w:szCs w:val="21"/>
              </w:rPr>
              <w:t>上传文件只接受原件扫描件，不接受电子签，复印件为无效资料。</w:t>
            </w:r>
          </w:p>
          <w:p>
            <w:pPr>
              <w:snapToGrid w:val="0"/>
              <w:spacing w:line="360" w:lineRule="auto"/>
              <w:rPr>
                <w:rFonts w:asciiTheme="minorEastAsia" w:hAnsiTheme="minorEastAsia" w:cstheme="minorEastAsia"/>
                <w:szCs w:val="21"/>
              </w:rPr>
            </w:pPr>
            <w:r>
              <w:rPr>
                <w:rFonts w:hint="eastAsia" w:asciiTheme="minorEastAsia" w:hAnsiTheme="minorEastAsia" w:cstheme="minorEastAsia"/>
                <w:bCs/>
                <w:szCs w:val="21"/>
              </w:rPr>
              <w:t>本项目采用“综合评审法”，详见第四章《评审办法》，评审方法中需要提供的评审要件包括但不限于为：</w:t>
            </w:r>
            <w:r>
              <w:rPr>
                <w:rFonts w:hint="eastAsia" w:asciiTheme="minorEastAsia" w:hAnsiTheme="minorEastAsia" w:cstheme="minorEastAsia"/>
                <w:b/>
                <w:szCs w:val="21"/>
              </w:rPr>
              <w:t>“服务方案与技术措施、服务重点、难点分析与对策、服务人员资质及证书、应急预案保证措施”</w:t>
            </w:r>
            <w:r>
              <w:rPr>
                <w:rFonts w:hint="eastAsia" w:asciiTheme="minorEastAsia" w:hAnsiTheme="minorEastAsia" w:cstheme="minorEastAsia"/>
                <w:szCs w:val="21"/>
              </w:rPr>
              <w:t xml:space="preserve"> </w:t>
            </w:r>
          </w:p>
          <w:p>
            <w:pPr>
              <w:snapToGrid w:val="0"/>
              <w:spacing w:line="360" w:lineRule="auto"/>
              <w:rPr>
                <w:rFonts w:asciiTheme="minorEastAsia" w:hAnsiTheme="minorEastAsia" w:cstheme="minorEastAsia"/>
                <w:szCs w:val="21"/>
              </w:rPr>
            </w:pPr>
            <w:r>
              <w:rPr>
                <w:rFonts w:hint="eastAsia" w:asciiTheme="minorEastAsia" w:hAnsiTheme="minorEastAsia" w:cstheme="minorEastAsia"/>
                <w:bCs/>
                <w:szCs w:val="21"/>
              </w:rPr>
              <w:t>谈判时，供方提供的资料是否充分，将会影响其最终得分。</w:t>
            </w:r>
            <w:r>
              <w:rPr>
                <w:rFonts w:hint="eastAsia" w:asciiTheme="minorEastAsia" w:hAnsiTheme="minorEastAsia" w:cstheme="minorEastAsia"/>
                <w:szCs w:val="21"/>
              </w:rPr>
              <w:t>同时供应商业绩不得造假，一经发现取消投标资格。在谈判响应截止时间前，响应方未完成响应文件上传工作将被视为放弃响应。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jc w:val="left"/>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9</w:t>
            </w:r>
          </w:p>
        </w:tc>
        <w:tc>
          <w:tcPr>
            <w:tcW w:w="1208" w:type="dxa"/>
          </w:tcPr>
          <w:p>
            <w:pPr>
              <w:jc w:val="left"/>
              <w:rPr>
                <w:rFonts w:asciiTheme="minorEastAsia" w:hAnsiTheme="minorEastAsia" w:cstheme="minorEastAsia"/>
                <w:bCs/>
                <w:szCs w:val="21"/>
              </w:rPr>
            </w:pPr>
            <w:r>
              <w:rPr>
                <w:rFonts w:hint="eastAsia" w:asciiTheme="minorEastAsia" w:hAnsiTheme="minorEastAsia" w:cstheme="minorEastAsia"/>
                <w:bCs/>
                <w:szCs w:val="21"/>
              </w:rPr>
              <w:t>评标方法</w:t>
            </w:r>
          </w:p>
        </w:tc>
        <w:tc>
          <w:tcPr>
            <w:tcW w:w="8273" w:type="dxa"/>
          </w:tcPr>
          <w:p>
            <w:pPr>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采用综合评标法，详见第四章《评审办法》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jc w:val="left"/>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w:t>
            </w:r>
          </w:p>
        </w:tc>
        <w:tc>
          <w:tcPr>
            <w:tcW w:w="1208" w:type="dxa"/>
          </w:tcPr>
          <w:p>
            <w:pPr>
              <w:jc w:val="left"/>
              <w:rPr>
                <w:rFonts w:asciiTheme="minorEastAsia" w:hAnsiTheme="minorEastAsia" w:cstheme="minorEastAsia"/>
                <w:bCs/>
                <w:szCs w:val="21"/>
              </w:rPr>
            </w:pPr>
            <w:r>
              <w:rPr>
                <w:rFonts w:hint="eastAsia" w:asciiTheme="minorEastAsia" w:hAnsiTheme="minorEastAsia" w:cstheme="minorEastAsia"/>
                <w:bCs/>
                <w:szCs w:val="21"/>
              </w:rPr>
              <w:t>谈判地点</w:t>
            </w:r>
          </w:p>
        </w:tc>
        <w:tc>
          <w:tcPr>
            <w:tcW w:w="8273" w:type="dxa"/>
          </w:tcPr>
          <w:p>
            <w:pPr>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中粮糖业EPS采购平台，腾讯会议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jc w:val="left"/>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21</w:t>
            </w:r>
          </w:p>
        </w:tc>
        <w:tc>
          <w:tcPr>
            <w:tcW w:w="1208" w:type="dxa"/>
          </w:tcPr>
          <w:p>
            <w:pPr>
              <w:jc w:val="left"/>
              <w:rPr>
                <w:rFonts w:asciiTheme="minorEastAsia" w:hAnsiTheme="minorEastAsia" w:cstheme="minorEastAsia"/>
                <w:bCs/>
                <w:szCs w:val="21"/>
              </w:rPr>
            </w:pPr>
            <w:r>
              <w:rPr>
                <w:rFonts w:hint="eastAsia" w:asciiTheme="minorEastAsia" w:hAnsiTheme="minorEastAsia" w:cstheme="minorEastAsia"/>
                <w:bCs/>
                <w:szCs w:val="21"/>
              </w:rPr>
              <w:t>保密原则</w:t>
            </w:r>
          </w:p>
        </w:tc>
        <w:tc>
          <w:tcPr>
            <w:tcW w:w="8273" w:type="dxa"/>
          </w:tcPr>
          <w:p>
            <w:pPr>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投标人应将所有招标人送出的招标文件包括有关项目资料作为保密文件处理。对于任何违反此规定的投标人的投标文件视为废标。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jc w:val="left"/>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22</w:t>
            </w:r>
          </w:p>
        </w:tc>
        <w:tc>
          <w:tcPr>
            <w:tcW w:w="1208" w:type="dxa"/>
          </w:tcPr>
          <w:p>
            <w:pPr>
              <w:jc w:val="left"/>
              <w:rPr>
                <w:rFonts w:asciiTheme="minorEastAsia" w:hAnsiTheme="minorEastAsia" w:cstheme="minorEastAsia"/>
                <w:bCs/>
                <w:szCs w:val="21"/>
              </w:rPr>
            </w:pPr>
            <w:r>
              <w:rPr>
                <w:rFonts w:hint="eastAsia" w:asciiTheme="minorEastAsia" w:hAnsiTheme="minorEastAsia" w:cstheme="minorEastAsia"/>
                <w:bCs/>
                <w:szCs w:val="21"/>
              </w:rPr>
              <w:t>招标文件约束力</w:t>
            </w:r>
          </w:p>
        </w:tc>
        <w:tc>
          <w:tcPr>
            <w:tcW w:w="8273" w:type="dxa"/>
          </w:tcPr>
          <w:p>
            <w:pPr>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投标人一旦领取了本招标文件并参加招标，即被认为接受了本招标文件中的所有条件和规定。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jc w:val="left"/>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23</w:t>
            </w:r>
          </w:p>
        </w:tc>
        <w:tc>
          <w:tcPr>
            <w:tcW w:w="1208" w:type="dxa"/>
          </w:tcPr>
          <w:p>
            <w:pPr>
              <w:jc w:val="left"/>
              <w:rPr>
                <w:rFonts w:asciiTheme="minorEastAsia" w:hAnsiTheme="minorEastAsia" w:cstheme="minorEastAsia"/>
                <w:bCs/>
                <w:szCs w:val="21"/>
              </w:rPr>
            </w:pPr>
            <w:r>
              <w:rPr>
                <w:rFonts w:hint="eastAsia" w:asciiTheme="minorEastAsia" w:hAnsiTheme="minorEastAsia" w:cstheme="minorEastAsia"/>
                <w:bCs/>
                <w:szCs w:val="21"/>
              </w:rPr>
              <w:t>谈判文件编制要求</w:t>
            </w:r>
          </w:p>
        </w:tc>
        <w:tc>
          <w:tcPr>
            <w:tcW w:w="8273" w:type="dxa"/>
          </w:tcPr>
          <w:p>
            <w:pPr>
              <w:spacing w:line="360" w:lineRule="auto"/>
              <w:rPr>
                <w:rFonts w:asciiTheme="minorEastAsia" w:hAnsiTheme="minorEastAsia" w:cstheme="minorEastAsia"/>
                <w:szCs w:val="21"/>
              </w:rPr>
            </w:pPr>
            <w:r>
              <w:rPr>
                <w:rFonts w:hint="eastAsia" w:asciiTheme="minorEastAsia" w:hAnsiTheme="minorEastAsia" w:cstheme="minorEastAsia"/>
                <w:szCs w:val="21"/>
              </w:rPr>
              <w:t>1.供应商对谈判响应文件应按要求编制。</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供应商提交的谈判响应文件以及供应商与采购人就有关谈判的所有来往函电均应使用中文。供应商提交的支持文件和印刷的文献可以使用别的语言，但其相应内容必须附有中文翻译文本，在解释谈判响应文件时以翻译文本为主。</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3.供应商应认真阅读、并充分理解本文件的全部内容（包括所有的补充、修改内容），承诺并履行本文件中各项条款规定及要求。</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 谈判响应文件必须按本文件的全部内容，包括所有的补充通知及附件进行编制。</w:t>
            </w:r>
          </w:p>
          <w:p>
            <w:pPr>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5.如因供应商只填写和提供了本文件要求的部分内容和附件，而给评审造成困难，其可能导致的结果和责任由供应商自行承担。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jc w:val="left"/>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24</w:t>
            </w:r>
          </w:p>
        </w:tc>
        <w:tc>
          <w:tcPr>
            <w:tcW w:w="1208" w:type="dxa"/>
          </w:tcPr>
          <w:p>
            <w:pPr>
              <w:jc w:val="left"/>
              <w:rPr>
                <w:rFonts w:asciiTheme="minorEastAsia" w:hAnsiTheme="minorEastAsia" w:cstheme="minorEastAsia"/>
                <w:bCs/>
                <w:szCs w:val="21"/>
              </w:rPr>
            </w:pPr>
            <w:r>
              <w:rPr>
                <w:rFonts w:hint="eastAsia" w:asciiTheme="minorEastAsia" w:hAnsiTheme="minorEastAsia" w:cstheme="minorEastAsia"/>
                <w:bCs/>
                <w:szCs w:val="21"/>
              </w:rPr>
              <w:t>报价要求</w:t>
            </w:r>
          </w:p>
        </w:tc>
        <w:tc>
          <w:tcPr>
            <w:tcW w:w="8273" w:type="dxa"/>
          </w:tcPr>
          <w:p>
            <w:pPr>
              <w:snapToGrid w:val="0"/>
              <w:spacing w:line="360" w:lineRule="auto"/>
              <w:ind w:firstLine="315" w:firstLineChars="150"/>
              <w:rPr>
                <w:rFonts w:asciiTheme="minorEastAsia" w:hAnsiTheme="minorEastAsia" w:cstheme="minorEastAsia"/>
                <w:szCs w:val="21"/>
              </w:rPr>
            </w:pPr>
            <w:r>
              <w:rPr>
                <w:rFonts w:hint="eastAsia" w:asciiTheme="minorEastAsia" w:hAnsiTheme="minorEastAsia" w:cstheme="minorEastAsia"/>
                <w:szCs w:val="21"/>
              </w:rPr>
              <w:t>本项目的投标报价采用综合总价方式，投标人在计算投标报价时应充分考虑可能蕴含的风险因素。投标人可先到工厂踏勘，以充分了解工厂位置、情况、道路、服务区域及任何其他足以影响投标报价的情况，任何因忽视或误解工厂情况而导致的索赔或服务延后申请将不被批准。投标人填报的报价由投标人自行承担全部风险并达到预期的质量要求，中标后除采购文件及服务合同条款规定外，不得以任何理由调整报价或追加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jc w:val="left"/>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25</w:t>
            </w:r>
          </w:p>
        </w:tc>
        <w:tc>
          <w:tcPr>
            <w:tcW w:w="1208" w:type="dxa"/>
          </w:tcPr>
          <w:p>
            <w:pPr>
              <w:jc w:val="left"/>
              <w:rPr>
                <w:rFonts w:asciiTheme="minorEastAsia" w:hAnsiTheme="minorEastAsia" w:cstheme="minorEastAsia"/>
                <w:bCs/>
                <w:szCs w:val="21"/>
              </w:rPr>
            </w:pPr>
            <w:r>
              <w:rPr>
                <w:rFonts w:hint="eastAsia" w:asciiTheme="minorEastAsia" w:hAnsiTheme="minorEastAsia" w:cstheme="minorEastAsia"/>
                <w:bCs/>
                <w:szCs w:val="21"/>
              </w:rPr>
              <w:t>中标通知书发布</w:t>
            </w:r>
          </w:p>
        </w:tc>
        <w:tc>
          <w:tcPr>
            <w:tcW w:w="8273" w:type="dxa"/>
          </w:tcPr>
          <w:p>
            <w:pPr>
              <w:snapToGrid w:val="0"/>
              <w:spacing w:line="360" w:lineRule="auto"/>
              <w:ind w:firstLine="315" w:firstLineChars="150"/>
              <w:rPr>
                <w:rFonts w:asciiTheme="minorEastAsia" w:hAnsiTheme="minorEastAsia" w:cstheme="minorEastAsia"/>
                <w:szCs w:val="21"/>
              </w:rPr>
            </w:pPr>
            <w:r>
              <w:rPr>
                <w:rFonts w:hint="eastAsia" w:asciiTheme="minorEastAsia" w:hAnsiTheme="minorEastAsia" w:cstheme="minorEastAsia"/>
                <w:bCs/>
                <w:szCs w:val="21"/>
              </w:rPr>
              <w:t>招标人将在评标结束后在</w:t>
            </w:r>
            <w:r>
              <w:rPr>
                <w:rFonts w:hint="eastAsia" w:asciiTheme="minorEastAsia" w:hAnsiTheme="minorEastAsia" w:cstheme="minorEastAsia"/>
                <w:szCs w:val="21"/>
              </w:rPr>
              <w:t>http://eps.tunhe.com平台网站</w:t>
            </w:r>
            <w:r>
              <w:rPr>
                <w:rFonts w:hint="eastAsia" w:asciiTheme="minorEastAsia" w:hAnsiTheme="minorEastAsia" w:cstheme="minorEastAsia"/>
                <w:bCs/>
                <w:szCs w:val="21"/>
              </w:rPr>
              <w:t>向中标人发出《中标通知书》，同时向所有落标人发出《招标结果通知书》。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jc w:val="left"/>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rPr>
              <w:t>2</w:t>
            </w:r>
            <w:r>
              <w:rPr>
                <w:rFonts w:hint="eastAsia" w:asciiTheme="minorEastAsia" w:hAnsiTheme="minorEastAsia" w:cstheme="minorEastAsia"/>
                <w:szCs w:val="21"/>
                <w:lang w:val="en-US" w:eastAsia="zh-CN"/>
              </w:rPr>
              <w:t>6</w:t>
            </w:r>
          </w:p>
        </w:tc>
        <w:tc>
          <w:tcPr>
            <w:tcW w:w="1208" w:type="dxa"/>
          </w:tcPr>
          <w:p>
            <w:pPr>
              <w:jc w:val="left"/>
              <w:rPr>
                <w:rFonts w:asciiTheme="minorEastAsia" w:hAnsiTheme="minorEastAsia" w:cstheme="minorEastAsia"/>
                <w:bCs/>
                <w:szCs w:val="21"/>
              </w:rPr>
            </w:pPr>
            <w:r>
              <w:rPr>
                <w:rFonts w:hint="eastAsia" w:asciiTheme="minorEastAsia" w:hAnsiTheme="minorEastAsia" w:cstheme="minorEastAsia"/>
                <w:bCs/>
                <w:szCs w:val="21"/>
              </w:rPr>
              <w:t>合同签订要求</w:t>
            </w:r>
          </w:p>
        </w:tc>
        <w:tc>
          <w:tcPr>
            <w:tcW w:w="8273" w:type="dxa"/>
          </w:tcPr>
          <w:p>
            <w:pPr>
              <w:snapToGrid w:val="0"/>
              <w:spacing w:line="360" w:lineRule="auto"/>
              <w:ind w:firstLine="315" w:firstLineChars="150"/>
              <w:rPr>
                <w:rFonts w:asciiTheme="minorEastAsia" w:hAnsiTheme="minorEastAsia" w:cstheme="minorEastAsia"/>
                <w:szCs w:val="21"/>
              </w:rPr>
            </w:pPr>
            <w:r>
              <w:rPr>
                <w:rFonts w:hint="eastAsia" w:asciiTheme="minorEastAsia" w:hAnsiTheme="minorEastAsia" w:cstheme="minorEastAsia"/>
                <w:szCs w:val="21"/>
              </w:rPr>
              <w:t>中标人在收到《中标通知书》之后，应按照《中标通知书》规定的时间签订合同。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jc w:val="left"/>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rPr>
              <w:t>2</w:t>
            </w:r>
            <w:r>
              <w:rPr>
                <w:rFonts w:hint="eastAsia" w:asciiTheme="minorEastAsia" w:hAnsiTheme="minorEastAsia" w:cstheme="minorEastAsia"/>
                <w:szCs w:val="21"/>
                <w:lang w:val="en-US" w:eastAsia="zh-CN"/>
              </w:rPr>
              <w:t>7</w:t>
            </w:r>
          </w:p>
        </w:tc>
        <w:tc>
          <w:tcPr>
            <w:tcW w:w="1208" w:type="dxa"/>
          </w:tcPr>
          <w:p>
            <w:pPr>
              <w:jc w:val="left"/>
              <w:rPr>
                <w:rFonts w:asciiTheme="minorEastAsia" w:hAnsiTheme="minorEastAsia" w:cstheme="minorEastAsia"/>
                <w:bCs/>
                <w:szCs w:val="21"/>
              </w:rPr>
            </w:pPr>
            <w:r>
              <w:rPr>
                <w:rFonts w:hint="eastAsia"/>
              </w:rPr>
              <w:t>项目联系人</w:t>
            </w:r>
          </w:p>
        </w:tc>
        <w:tc>
          <w:tcPr>
            <w:tcW w:w="8273" w:type="dxa"/>
          </w:tcPr>
          <w:p>
            <w:pPr>
              <w:pStyle w:val="19"/>
              <w:ind w:left="0" w:leftChars="0" w:firstLine="0" w:firstLineChars="0"/>
              <w:rPr>
                <w:rFonts w:hint="default" w:eastAsia="宋体"/>
                <w:lang w:val="en-US" w:eastAsia="zh-CN"/>
              </w:rPr>
            </w:pPr>
            <w:r>
              <w:rPr>
                <w:rFonts w:hint="eastAsia"/>
              </w:rPr>
              <w:t>联系人：</w:t>
            </w:r>
            <w:r>
              <w:rPr>
                <w:rFonts w:hint="eastAsia"/>
                <w:lang w:val="en-US" w:eastAsia="zh-CN"/>
              </w:rPr>
              <w:t>姚世伦</w:t>
            </w:r>
            <w:r>
              <w:rPr>
                <w:rFonts w:hint="eastAsia"/>
              </w:rPr>
              <w:t xml:space="preserve"> </w:t>
            </w:r>
            <w:r>
              <w:t xml:space="preserve">       </w:t>
            </w:r>
            <w:r>
              <w:rPr>
                <w:rFonts w:hint="eastAsia"/>
              </w:rPr>
              <w:t>联系电话：</w:t>
            </w:r>
            <w:r>
              <w:rPr>
                <w:rFonts w:hint="eastAsia"/>
                <w:lang w:val="en-US" w:eastAsia="zh-CN"/>
              </w:rPr>
              <w:t>13011515959</w:t>
            </w:r>
          </w:p>
          <w:p>
            <w:pPr>
              <w:snapToGrid w:val="0"/>
              <w:spacing w:line="360" w:lineRule="auto"/>
              <w:rPr>
                <w:rFonts w:asciiTheme="minorEastAsia" w:hAnsiTheme="minorEastAsia" w:cstheme="minorEastAsia"/>
                <w:szCs w:val="21"/>
              </w:rPr>
            </w:pPr>
            <w:r>
              <w:rPr>
                <w:rFonts w:hint="eastAsia"/>
              </w:rPr>
              <w:t xml:space="preserve">联系人：庞兆东 </w:t>
            </w:r>
            <w:r>
              <w:t xml:space="preserve">     </w:t>
            </w:r>
            <w:r>
              <w:rPr>
                <w:rFonts w:hint="eastAsia"/>
              </w:rPr>
              <w:t>联系电话：</w:t>
            </w:r>
            <w:r>
              <w:t>15931916565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jc w:val="left"/>
              <w:rPr>
                <w:rFonts w:hint="eastAsia" w:asciiTheme="minorEastAsia" w:hAnsiTheme="minorEastAsia" w:eastAsiaTheme="minorEastAsia" w:cstheme="minorEastAsia"/>
                <w:szCs w:val="21"/>
                <w:lang w:val="en-US" w:eastAsia="zh-CN"/>
              </w:rPr>
            </w:pPr>
            <w:r>
              <w:rPr>
                <w:rFonts w:asciiTheme="minorEastAsia" w:hAnsiTheme="minorEastAsia" w:cstheme="minorEastAsia"/>
                <w:szCs w:val="21"/>
              </w:rPr>
              <w:t>2</w:t>
            </w:r>
            <w:r>
              <w:rPr>
                <w:rFonts w:hint="eastAsia" w:asciiTheme="minorEastAsia" w:hAnsiTheme="minorEastAsia" w:cstheme="minorEastAsia"/>
                <w:szCs w:val="21"/>
                <w:lang w:val="en-US" w:eastAsia="zh-CN"/>
              </w:rPr>
              <w:t>8</w:t>
            </w:r>
          </w:p>
        </w:tc>
        <w:tc>
          <w:tcPr>
            <w:tcW w:w="1208" w:type="dxa"/>
          </w:tcPr>
          <w:p>
            <w:pPr>
              <w:spacing w:line="360" w:lineRule="auto"/>
              <w:ind w:firstLine="315" w:firstLineChars="150"/>
              <w:rPr>
                <w:rFonts w:asciiTheme="minorEastAsia" w:hAnsiTheme="minorEastAsia" w:cstheme="minorEastAsia"/>
                <w:szCs w:val="21"/>
              </w:rPr>
            </w:pPr>
            <w:r>
              <w:rPr>
                <w:rFonts w:hint="eastAsia" w:asciiTheme="minorEastAsia" w:hAnsiTheme="minorEastAsia" w:cstheme="minorEastAsia"/>
                <w:szCs w:val="21"/>
              </w:rPr>
              <w:t>中粮糖业采购监督联系方式</w:t>
            </w:r>
          </w:p>
          <w:p>
            <w:pPr>
              <w:jc w:val="left"/>
              <w:rPr>
                <w:rFonts w:asciiTheme="minorEastAsia" w:hAnsiTheme="minorEastAsia" w:cstheme="minorEastAsia"/>
                <w:szCs w:val="21"/>
              </w:rPr>
            </w:pPr>
          </w:p>
        </w:tc>
        <w:tc>
          <w:tcPr>
            <w:tcW w:w="8273" w:type="dxa"/>
          </w:tcPr>
          <w:p>
            <w:pPr>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一、纪委办公室联系方式：        </w:t>
            </w:r>
            <w:r>
              <w:rPr>
                <w:rFonts w:hint="eastAsia" w:asciiTheme="minorEastAsia" w:hAnsiTheme="minorEastAsia" w:cstheme="minorEastAsia"/>
                <w:szCs w:val="21"/>
              </w:rPr>
              <w:br w:type="textWrapping"/>
            </w:r>
            <w:r>
              <w:rPr>
                <w:rFonts w:hint="eastAsia" w:asciiTheme="minorEastAsia" w:hAnsiTheme="minorEastAsia" w:cstheme="minorEastAsia"/>
                <w:szCs w:val="21"/>
              </w:rPr>
              <w:t>办公电话：010-85017235</w:t>
            </w:r>
            <w:r>
              <w:rPr>
                <w:rFonts w:hint="eastAsia" w:asciiTheme="minorEastAsia" w:hAnsiTheme="minorEastAsia" w:cstheme="minorEastAsia"/>
                <w:szCs w:val="21"/>
              </w:rPr>
              <w:br w:type="textWrapping"/>
            </w:r>
            <w:r>
              <w:rPr>
                <w:rFonts w:hint="eastAsia" w:asciiTheme="minorEastAsia" w:hAnsiTheme="minorEastAsia" w:cstheme="minorEastAsia"/>
                <w:szCs w:val="21"/>
              </w:rPr>
              <w:t>通讯地址：北京市朝阳区朝阳门南大街8号9层905室纪委办公室收，邮编100020</w:t>
            </w:r>
          </w:p>
          <w:p>
            <w:pPr>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二、采购项目监督人员联系方式</w:t>
            </w:r>
          </w:p>
          <w:p>
            <w:pPr>
              <w:snapToGrid w:val="0"/>
              <w:spacing w:line="360" w:lineRule="auto"/>
              <w:ind w:firstLine="315" w:firstLineChars="150"/>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rPr>
              <w:t>姓名：</w:t>
            </w:r>
            <w:r>
              <w:rPr>
                <w:rFonts w:hint="eastAsia" w:asciiTheme="minorEastAsia" w:hAnsiTheme="minorEastAsia" w:cstheme="minorEastAsia"/>
                <w:szCs w:val="21"/>
                <w:lang w:val="en-US" w:eastAsia="zh-CN"/>
              </w:rPr>
              <w:t>于小涵</w:t>
            </w:r>
          </w:p>
          <w:p>
            <w:pPr>
              <w:snapToGrid w:val="0"/>
              <w:spacing w:line="360" w:lineRule="auto"/>
              <w:ind w:firstLine="315" w:firstLineChars="150"/>
              <w:rPr>
                <w:rFonts w:asciiTheme="minorEastAsia" w:hAnsiTheme="minorEastAsia" w:cstheme="minorEastAsia"/>
                <w:szCs w:val="21"/>
              </w:rPr>
            </w:pPr>
            <w:r>
              <w:rPr>
                <w:rFonts w:hint="eastAsia" w:asciiTheme="minorEastAsia" w:hAnsiTheme="minorEastAsia" w:cstheme="minorEastAsia"/>
                <w:szCs w:val="21"/>
              </w:rPr>
              <w:t>联系电话：15846321177</w:t>
            </w:r>
          </w:p>
        </w:tc>
      </w:tr>
    </w:tbl>
    <w:p>
      <w:pPr>
        <w:jc w:val="center"/>
        <w:rPr>
          <w:rFonts w:cs="仿宋_GB2312" w:asciiTheme="minorEastAsia" w:hAnsiTheme="minorEastAsia"/>
          <w:kern w:val="0"/>
          <w:sz w:val="20"/>
          <w:szCs w:val="28"/>
        </w:rPr>
      </w:pPr>
      <w:bookmarkStart w:id="1" w:name="_Toc19347"/>
      <w:bookmarkStart w:id="2" w:name="_Toc490749736"/>
      <w:bookmarkStart w:id="3" w:name="_Toc21028"/>
    </w:p>
    <w:p>
      <w:pPr>
        <w:jc w:val="center"/>
        <w:rPr>
          <w:rFonts w:cs="仿宋_GB2312" w:asciiTheme="minorEastAsia" w:hAnsiTheme="minorEastAsia"/>
          <w:kern w:val="0"/>
          <w:sz w:val="20"/>
          <w:szCs w:val="28"/>
        </w:rPr>
      </w:pPr>
    </w:p>
    <w:p>
      <w:pPr>
        <w:jc w:val="center"/>
        <w:rPr>
          <w:rFonts w:cs="仿宋_GB2312" w:asciiTheme="minorEastAsia" w:hAnsiTheme="minorEastAsia"/>
          <w:kern w:val="0"/>
          <w:sz w:val="20"/>
          <w:szCs w:val="28"/>
        </w:rPr>
      </w:pPr>
    </w:p>
    <w:p>
      <w:pPr>
        <w:jc w:val="center"/>
        <w:rPr>
          <w:rFonts w:cs="仿宋_GB2312" w:asciiTheme="minorEastAsia" w:hAnsiTheme="minorEastAsia"/>
          <w:kern w:val="0"/>
          <w:sz w:val="20"/>
          <w:szCs w:val="28"/>
        </w:rPr>
      </w:pPr>
    </w:p>
    <w:p>
      <w:pPr>
        <w:jc w:val="center"/>
        <w:rPr>
          <w:rFonts w:cs="仿宋_GB2312" w:asciiTheme="minorEastAsia" w:hAnsiTheme="minorEastAsia"/>
          <w:kern w:val="0"/>
          <w:sz w:val="20"/>
          <w:szCs w:val="28"/>
        </w:rPr>
      </w:pPr>
    </w:p>
    <w:p>
      <w:pPr>
        <w:jc w:val="center"/>
        <w:rPr>
          <w:rFonts w:cs="仿宋_GB2312" w:asciiTheme="minorEastAsia" w:hAnsiTheme="minorEastAsia"/>
          <w:kern w:val="0"/>
          <w:sz w:val="20"/>
          <w:szCs w:val="28"/>
        </w:rPr>
      </w:pPr>
    </w:p>
    <w:p>
      <w:pPr>
        <w:rPr>
          <w:rFonts w:cs="仿宋_GB2312" w:asciiTheme="minorEastAsia" w:hAnsiTheme="minorEastAsia"/>
          <w:kern w:val="0"/>
          <w:sz w:val="20"/>
          <w:szCs w:val="28"/>
        </w:rPr>
      </w:pPr>
    </w:p>
    <w:p>
      <w:pPr>
        <w:rPr>
          <w:rFonts w:cs="仿宋_GB2312" w:asciiTheme="minorEastAsia" w:hAnsiTheme="minorEastAsia"/>
          <w:kern w:val="0"/>
          <w:sz w:val="20"/>
          <w:szCs w:val="28"/>
        </w:rPr>
      </w:pPr>
    </w:p>
    <w:p>
      <w:pPr>
        <w:pStyle w:val="2"/>
        <w:rPr>
          <w:rFonts w:cs="仿宋_GB2312" w:asciiTheme="minorEastAsia" w:hAnsiTheme="minorEastAsia"/>
          <w:kern w:val="0"/>
          <w:sz w:val="20"/>
          <w:szCs w:val="28"/>
        </w:rPr>
      </w:pPr>
    </w:p>
    <w:p>
      <w:pPr>
        <w:pStyle w:val="3"/>
        <w:rPr>
          <w:rFonts w:cs="仿宋_GB2312" w:asciiTheme="minorEastAsia" w:hAnsiTheme="minorEastAsia"/>
          <w:kern w:val="0"/>
          <w:sz w:val="20"/>
          <w:szCs w:val="28"/>
        </w:rPr>
      </w:pPr>
    </w:p>
    <w:p>
      <w:pPr>
        <w:rPr>
          <w:rFonts w:cs="仿宋_GB2312" w:asciiTheme="minorEastAsia" w:hAnsiTheme="minorEastAsia"/>
          <w:kern w:val="0"/>
          <w:sz w:val="20"/>
          <w:szCs w:val="28"/>
        </w:rPr>
      </w:pPr>
    </w:p>
    <w:p>
      <w:pPr>
        <w:pStyle w:val="2"/>
        <w:rPr>
          <w:rFonts w:cs="仿宋_GB2312" w:asciiTheme="minorEastAsia" w:hAnsiTheme="minorEastAsia"/>
          <w:kern w:val="0"/>
          <w:sz w:val="20"/>
          <w:szCs w:val="28"/>
        </w:rPr>
      </w:pPr>
    </w:p>
    <w:p>
      <w:pPr>
        <w:pStyle w:val="3"/>
        <w:rPr>
          <w:rFonts w:cs="仿宋_GB2312" w:asciiTheme="minorEastAsia" w:hAnsiTheme="minorEastAsia"/>
          <w:kern w:val="0"/>
          <w:sz w:val="20"/>
          <w:szCs w:val="28"/>
        </w:rPr>
      </w:pPr>
    </w:p>
    <w:p>
      <w:pPr>
        <w:rPr>
          <w:rFonts w:cs="仿宋_GB2312" w:asciiTheme="minorEastAsia" w:hAnsiTheme="minorEastAsia"/>
          <w:kern w:val="0"/>
          <w:sz w:val="20"/>
          <w:szCs w:val="28"/>
        </w:rPr>
      </w:pPr>
    </w:p>
    <w:p>
      <w:pPr>
        <w:pStyle w:val="2"/>
        <w:rPr>
          <w:rFonts w:cs="仿宋_GB2312" w:asciiTheme="minorEastAsia" w:hAnsiTheme="minorEastAsia"/>
          <w:kern w:val="0"/>
          <w:sz w:val="20"/>
          <w:szCs w:val="28"/>
        </w:rPr>
      </w:pPr>
    </w:p>
    <w:p>
      <w:pPr>
        <w:pStyle w:val="3"/>
        <w:rPr>
          <w:rFonts w:cs="仿宋_GB2312" w:asciiTheme="minorEastAsia" w:hAnsiTheme="minorEastAsia"/>
          <w:kern w:val="0"/>
          <w:sz w:val="20"/>
          <w:szCs w:val="28"/>
        </w:rPr>
      </w:pPr>
    </w:p>
    <w:p>
      <w:pPr>
        <w:rPr>
          <w:rFonts w:cs="仿宋_GB2312" w:asciiTheme="minorEastAsia" w:hAnsiTheme="minorEastAsia"/>
          <w:kern w:val="0"/>
          <w:sz w:val="20"/>
          <w:szCs w:val="28"/>
        </w:rPr>
      </w:pPr>
    </w:p>
    <w:p>
      <w:pPr>
        <w:pStyle w:val="2"/>
        <w:rPr>
          <w:rFonts w:cs="仿宋_GB2312" w:asciiTheme="minorEastAsia" w:hAnsiTheme="minorEastAsia"/>
          <w:kern w:val="0"/>
          <w:sz w:val="20"/>
          <w:szCs w:val="28"/>
        </w:rPr>
      </w:pPr>
    </w:p>
    <w:p>
      <w:pPr>
        <w:pStyle w:val="3"/>
      </w:pPr>
    </w:p>
    <w:p>
      <w:pPr>
        <w:jc w:val="center"/>
        <w:rPr>
          <w:rFonts w:ascii="黑体" w:eastAsia="黑体"/>
          <w:bCs/>
          <w:sz w:val="36"/>
          <w:szCs w:val="36"/>
          <w:highlight w:val="none"/>
        </w:rPr>
      </w:pPr>
      <w:r>
        <w:rPr>
          <w:rFonts w:hint="eastAsia" w:ascii="黑体" w:eastAsia="黑体"/>
          <w:bCs/>
          <w:sz w:val="36"/>
          <w:szCs w:val="36"/>
          <w:highlight w:val="none"/>
        </w:rPr>
        <w:t>第二章 技术要求</w:t>
      </w:r>
    </w:p>
    <w:p>
      <w:pPr>
        <w:rPr>
          <w:rFonts w:ascii="黑体" w:eastAsia="黑体"/>
          <w:bCs/>
          <w:sz w:val="36"/>
          <w:szCs w:val="36"/>
          <w:highlight w:val="none"/>
          <w:u w:val="single"/>
        </w:rPr>
      </w:pPr>
      <w:r>
        <w:rPr>
          <w:rFonts w:hint="eastAsia" w:ascii="黑体" w:eastAsia="黑体"/>
          <w:bCs/>
          <w:sz w:val="36"/>
          <w:szCs w:val="36"/>
          <w:highlight w:val="none"/>
          <w:u w:val="single"/>
        </w:rPr>
        <w:t xml:space="preserve"> </w:t>
      </w:r>
      <w:r>
        <w:rPr>
          <w:rFonts w:ascii="黑体" w:eastAsia="黑体"/>
          <w:bCs/>
          <w:sz w:val="36"/>
          <w:szCs w:val="36"/>
          <w:highlight w:val="none"/>
          <w:u w:val="single"/>
        </w:rPr>
        <w:t xml:space="preserve">                                                   </w:t>
      </w:r>
    </w:p>
    <w:p>
      <w:pPr>
        <w:pStyle w:val="19"/>
        <w:spacing w:after="0" w:line="580" w:lineRule="exact"/>
        <w:ind w:left="0" w:leftChars="0" w:firstLine="640"/>
        <w:rPr>
          <w:rFonts w:ascii="仿宋_GB2312" w:eastAsia="仿宋_GB2312" w:hAnsiTheme="minorEastAsia" w:cstheme="minorEastAsia"/>
          <w:color w:val="auto"/>
          <w:sz w:val="32"/>
          <w:szCs w:val="32"/>
          <w:highlight w:val="none"/>
        </w:rPr>
      </w:pPr>
      <w:r>
        <w:rPr>
          <w:rFonts w:hint="eastAsia" w:ascii="仿宋_GB2312" w:eastAsia="仿宋_GB2312" w:hAnsiTheme="minorEastAsia" w:cstheme="minorEastAsia"/>
          <w:color w:val="auto"/>
          <w:sz w:val="32"/>
          <w:szCs w:val="32"/>
          <w:highlight w:val="none"/>
        </w:rPr>
        <w:t>按照各设施相关规范要求，开展消防设施维护保养，确保设施运行正常，满足甲方生产经营需求。</w:t>
      </w:r>
    </w:p>
    <w:p>
      <w:pPr>
        <w:pStyle w:val="19"/>
        <w:spacing w:after="0" w:line="580" w:lineRule="exact"/>
        <w:ind w:left="0" w:leftChars="0" w:firstLine="640"/>
        <w:rPr>
          <w:rFonts w:ascii="仿宋_GB2312" w:eastAsia="仿宋_GB2312" w:hAnsiTheme="minorEastAsia" w:cstheme="minorEastAsia"/>
          <w:color w:val="auto"/>
          <w:sz w:val="32"/>
          <w:szCs w:val="32"/>
          <w:highlight w:val="none"/>
        </w:rPr>
      </w:pPr>
      <w:r>
        <w:rPr>
          <w:rFonts w:hint="eastAsia" w:ascii="仿宋_GB2312" w:eastAsia="仿宋_GB2312" w:hAnsiTheme="minorEastAsia" w:cstheme="minorEastAsia"/>
          <w:color w:val="auto"/>
          <w:sz w:val="32"/>
          <w:szCs w:val="32"/>
          <w:highlight w:val="none"/>
        </w:rPr>
        <w:t>1</w:t>
      </w:r>
      <w:r>
        <w:rPr>
          <w:rFonts w:ascii="仿宋_GB2312" w:eastAsia="仿宋_GB2312" w:hAnsiTheme="minorEastAsia" w:cstheme="minorEastAsia"/>
          <w:color w:val="auto"/>
          <w:sz w:val="32"/>
          <w:szCs w:val="32"/>
          <w:highlight w:val="none"/>
        </w:rPr>
        <w:t>.</w:t>
      </w:r>
      <w:r>
        <w:rPr>
          <w:rFonts w:hint="eastAsia" w:ascii="仿宋_GB2312" w:eastAsia="仿宋_GB2312" w:hAnsiTheme="minorEastAsia" w:cstheme="minorEastAsia"/>
          <w:color w:val="auto"/>
          <w:sz w:val="32"/>
          <w:szCs w:val="32"/>
          <w:highlight w:val="none"/>
        </w:rPr>
        <w:t>每月、每年或其它重要时间节点需要按照公司要求及各相关规范标准对公司的消防设施现场开展维护保养，填写维保记录表并留存维护保养照片存档。</w:t>
      </w:r>
    </w:p>
    <w:p>
      <w:pPr>
        <w:pStyle w:val="19"/>
        <w:spacing w:after="0" w:line="580" w:lineRule="exact"/>
        <w:ind w:left="0" w:leftChars="0" w:firstLine="640"/>
        <w:rPr>
          <w:rFonts w:ascii="仿宋_GB2312" w:eastAsia="仿宋_GB2312" w:hAnsiTheme="minorEastAsia" w:cstheme="minorEastAsia"/>
          <w:color w:val="auto"/>
          <w:sz w:val="32"/>
          <w:szCs w:val="32"/>
          <w:highlight w:val="none"/>
        </w:rPr>
      </w:pPr>
      <w:r>
        <w:rPr>
          <w:rFonts w:hint="eastAsia" w:ascii="仿宋_GB2312" w:eastAsia="仿宋_GB2312" w:hAnsiTheme="minorEastAsia" w:cstheme="minorEastAsia"/>
          <w:color w:val="auto"/>
          <w:sz w:val="32"/>
          <w:szCs w:val="32"/>
          <w:highlight w:val="none"/>
        </w:rPr>
        <w:t>2</w:t>
      </w:r>
      <w:r>
        <w:rPr>
          <w:rFonts w:ascii="仿宋_GB2312" w:eastAsia="仿宋_GB2312" w:hAnsiTheme="minorEastAsia" w:cstheme="minorEastAsia"/>
          <w:color w:val="auto"/>
          <w:sz w:val="32"/>
          <w:szCs w:val="32"/>
          <w:highlight w:val="none"/>
        </w:rPr>
        <w:t>.</w:t>
      </w:r>
      <w:r>
        <w:rPr>
          <w:rFonts w:hint="eastAsia" w:ascii="仿宋_GB2312" w:eastAsia="仿宋_GB2312" w:hAnsiTheme="minorEastAsia" w:cstheme="minorEastAsia"/>
          <w:color w:val="auto"/>
          <w:sz w:val="32"/>
          <w:szCs w:val="32"/>
          <w:highlight w:val="none"/>
        </w:rPr>
        <w:t>日常的维护保养人数不能低于2人，资质能力满足工作要求，按要求规范填写维保记录、消防设备设施检查记录。</w:t>
      </w:r>
    </w:p>
    <w:p>
      <w:pPr>
        <w:pStyle w:val="19"/>
        <w:spacing w:after="0" w:line="580" w:lineRule="exact"/>
        <w:ind w:left="0" w:leftChars="0" w:firstLine="640"/>
        <w:rPr>
          <w:rFonts w:ascii="仿宋_GB2312" w:eastAsia="仿宋_GB2312" w:hAnsiTheme="minorEastAsia" w:cstheme="minorEastAsia"/>
          <w:color w:val="auto"/>
          <w:sz w:val="32"/>
          <w:szCs w:val="32"/>
          <w:highlight w:val="none"/>
        </w:rPr>
      </w:pPr>
      <w:r>
        <w:rPr>
          <w:rFonts w:hint="eastAsia" w:ascii="仿宋_GB2312" w:eastAsia="仿宋_GB2312" w:hAnsiTheme="minorEastAsia" w:cstheme="minorEastAsia"/>
          <w:color w:val="auto"/>
          <w:sz w:val="32"/>
          <w:szCs w:val="32"/>
          <w:highlight w:val="none"/>
        </w:rPr>
        <w:t>3</w:t>
      </w:r>
      <w:r>
        <w:rPr>
          <w:rFonts w:ascii="仿宋_GB2312" w:eastAsia="仿宋_GB2312" w:hAnsiTheme="minorEastAsia" w:cstheme="minorEastAsia"/>
          <w:color w:val="auto"/>
          <w:sz w:val="32"/>
          <w:szCs w:val="32"/>
          <w:highlight w:val="none"/>
        </w:rPr>
        <w:t>.</w:t>
      </w:r>
      <w:r>
        <w:rPr>
          <w:rFonts w:hint="eastAsia" w:ascii="仿宋_GB2312" w:eastAsia="仿宋_GB2312" w:hAnsiTheme="minorEastAsia" w:cstheme="minorEastAsia"/>
          <w:color w:val="auto"/>
          <w:sz w:val="32"/>
          <w:szCs w:val="32"/>
          <w:highlight w:val="none"/>
        </w:rPr>
        <w:t>紧急情况下，如厂区内有消防泵故障、消防主控机故障、消防管道破裂，火灾自动报警系统线路回路故障、应急广播系统故障等，紧急抢修人员不少于3人，并应在12小时内到达现场，重要时间段应加配人员，确保第一时间进行修复；如非紧急情况，维保单位须在接到通知的24小时内到达，进行维修修复。</w:t>
      </w:r>
    </w:p>
    <w:p>
      <w:pPr>
        <w:pStyle w:val="19"/>
        <w:spacing w:after="0" w:line="580" w:lineRule="exact"/>
        <w:ind w:left="0" w:leftChars="0" w:firstLine="640"/>
        <w:rPr>
          <w:rFonts w:ascii="仿宋_GB2312" w:eastAsia="仿宋_GB2312" w:hAnsiTheme="minorEastAsia" w:cstheme="minorEastAsia"/>
          <w:color w:val="auto"/>
          <w:sz w:val="32"/>
          <w:szCs w:val="32"/>
          <w:highlight w:val="none"/>
        </w:rPr>
      </w:pPr>
      <w:r>
        <w:rPr>
          <w:rFonts w:hint="eastAsia" w:ascii="仿宋_GB2312" w:eastAsia="仿宋_GB2312" w:hAnsiTheme="minorEastAsia" w:cstheme="minorEastAsia"/>
          <w:color w:val="auto"/>
          <w:sz w:val="32"/>
          <w:szCs w:val="32"/>
          <w:highlight w:val="none"/>
        </w:rPr>
        <w:t>4</w:t>
      </w:r>
      <w:r>
        <w:rPr>
          <w:rFonts w:ascii="仿宋_GB2312" w:eastAsia="仿宋_GB2312" w:hAnsiTheme="minorEastAsia" w:cstheme="minorEastAsia"/>
          <w:color w:val="auto"/>
          <w:sz w:val="32"/>
          <w:szCs w:val="32"/>
          <w:highlight w:val="none"/>
        </w:rPr>
        <w:t>.</w:t>
      </w:r>
      <w:r>
        <w:rPr>
          <w:rFonts w:hint="eastAsia" w:ascii="仿宋_GB2312" w:eastAsia="仿宋_GB2312" w:hAnsiTheme="minorEastAsia" w:cstheme="minorEastAsia"/>
          <w:color w:val="auto"/>
          <w:sz w:val="32"/>
          <w:szCs w:val="32"/>
          <w:highlight w:val="none"/>
        </w:rPr>
        <w:t>设备修复后，应填写设备维修记录/维保记录，对更换的设备登记，对现场情况进行填写，并经双方签字确认。</w:t>
      </w:r>
    </w:p>
    <w:p>
      <w:pPr>
        <w:pStyle w:val="19"/>
        <w:spacing w:after="0" w:line="580" w:lineRule="exact"/>
        <w:ind w:left="0" w:leftChars="0" w:firstLine="640"/>
        <w:rPr>
          <w:rFonts w:ascii="仿宋_GB2312" w:eastAsia="仿宋_GB2312" w:hAnsiTheme="minorEastAsia" w:cstheme="minorEastAsia"/>
          <w:color w:val="auto"/>
          <w:sz w:val="32"/>
          <w:szCs w:val="32"/>
          <w:highlight w:val="none"/>
        </w:rPr>
      </w:pPr>
      <w:r>
        <w:rPr>
          <w:rFonts w:hint="eastAsia" w:ascii="仿宋_GB2312" w:eastAsia="仿宋_GB2312" w:hAnsiTheme="minorEastAsia" w:cstheme="minorEastAsia"/>
          <w:color w:val="auto"/>
          <w:sz w:val="32"/>
          <w:szCs w:val="32"/>
          <w:highlight w:val="none"/>
        </w:rPr>
        <w:t>5</w:t>
      </w:r>
      <w:r>
        <w:rPr>
          <w:rFonts w:ascii="仿宋_GB2312" w:eastAsia="仿宋_GB2312" w:hAnsiTheme="minorEastAsia" w:cstheme="minorEastAsia"/>
          <w:color w:val="auto"/>
          <w:sz w:val="32"/>
          <w:szCs w:val="32"/>
          <w:highlight w:val="none"/>
        </w:rPr>
        <w:t>.</w:t>
      </w:r>
      <w:r>
        <w:rPr>
          <w:rFonts w:hint="eastAsia" w:ascii="仿宋_GB2312" w:eastAsia="仿宋_GB2312" w:hAnsiTheme="minorEastAsia" w:cstheme="minorEastAsia"/>
          <w:color w:val="auto"/>
          <w:sz w:val="32"/>
          <w:szCs w:val="32"/>
          <w:highlight w:val="none"/>
        </w:rPr>
        <w:t>其它未尽事宜按照合同执行。</w:t>
      </w:r>
    </w:p>
    <w:p>
      <w:pPr>
        <w:widowControl/>
        <w:spacing w:line="560" w:lineRule="exact"/>
        <w:jc w:val="left"/>
        <w:rPr>
          <w:rFonts w:ascii="黑体" w:eastAsia="黑体"/>
          <w:bCs/>
          <w:sz w:val="36"/>
          <w:szCs w:val="36"/>
          <w:highlight w:val="none"/>
        </w:rPr>
      </w:pPr>
      <w:r>
        <w:rPr>
          <w:rFonts w:ascii="黑体" w:eastAsia="黑体"/>
          <w:bCs/>
          <w:sz w:val="36"/>
          <w:szCs w:val="36"/>
          <w:highlight w:val="none"/>
        </w:rPr>
        <w:br w:type="page"/>
      </w:r>
    </w:p>
    <w:p>
      <w:pPr>
        <w:ind w:firstLine="2880" w:firstLineChars="800"/>
        <w:rPr>
          <w:rFonts w:ascii="黑体" w:eastAsia="黑体"/>
          <w:bCs/>
          <w:sz w:val="36"/>
          <w:szCs w:val="36"/>
          <w:highlight w:val="none"/>
        </w:rPr>
      </w:pPr>
      <w:r>
        <w:rPr>
          <w:rFonts w:hint="eastAsia" w:ascii="黑体" w:eastAsia="黑体"/>
          <w:bCs/>
          <w:sz w:val="36"/>
          <w:szCs w:val="36"/>
          <w:highlight w:val="none"/>
        </w:rPr>
        <w:t>第三章 合同条款</w:t>
      </w:r>
      <w:bookmarkEnd w:id="1"/>
    </w:p>
    <w:p>
      <w:pPr>
        <w:rPr>
          <w:rFonts w:ascii="Times New Roman" w:hAnsi="Times New Roman" w:eastAsia="仿宋_GB2312" w:cs="仿宋_GB2312"/>
          <w:b/>
          <w:bCs/>
          <w:color w:val="000000"/>
          <w:sz w:val="44"/>
          <w:szCs w:val="44"/>
          <w:u w:val="single"/>
        </w:rPr>
      </w:pPr>
      <w:r>
        <w:rPr>
          <w:rFonts w:hint="eastAsia" w:ascii="Times New Roman" w:hAnsi="Times New Roman" w:eastAsia="仿宋_GB2312" w:cs="仿宋_GB2312"/>
          <w:b/>
          <w:bCs/>
          <w:color w:val="000000"/>
          <w:sz w:val="44"/>
          <w:szCs w:val="44"/>
          <w:highlight w:val="none"/>
          <w:u w:val="single"/>
        </w:rPr>
        <w:t xml:space="preserve"> </w:t>
      </w:r>
      <w:r>
        <w:rPr>
          <w:rFonts w:ascii="Times New Roman" w:hAnsi="Times New Roman" w:eastAsia="仿宋_GB2312" w:cs="仿宋_GB2312"/>
          <w:b/>
          <w:bCs/>
          <w:color w:val="000000"/>
          <w:sz w:val="44"/>
          <w:szCs w:val="44"/>
          <w:highlight w:val="none"/>
          <w:u w:val="single"/>
        </w:rPr>
        <w:t xml:space="preserve">                           </w:t>
      </w:r>
      <w:r>
        <w:rPr>
          <w:rFonts w:ascii="Times New Roman" w:hAnsi="Times New Roman" w:eastAsia="仿宋_GB2312" w:cs="仿宋_GB2312"/>
          <w:b/>
          <w:bCs/>
          <w:color w:val="000000"/>
          <w:sz w:val="44"/>
          <w:szCs w:val="44"/>
          <w:u w:val="single"/>
        </w:rPr>
        <w:t xml:space="preserve">            </w:t>
      </w:r>
    </w:p>
    <w:p>
      <w:pPr>
        <w:pStyle w:val="28"/>
        <w:keepNext w:val="0"/>
        <w:keepLines w:val="0"/>
        <w:pageBreakBefore w:val="0"/>
        <w:widowControl w:val="0"/>
        <w:kinsoku/>
        <w:wordWrap/>
        <w:overflowPunct/>
        <w:topLinePunct w:val="0"/>
        <w:autoSpaceDE/>
        <w:autoSpaceDN/>
        <w:bidi w:val="0"/>
        <w:adjustRightInd/>
        <w:spacing w:line="580" w:lineRule="exact"/>
        <w:ind w:firstLine="0" w:firstLineChars="0"/>
        <w:jc w:val="center"/>
        <w:textAlignment w:val="auto"/>
        <w:rPr>
          <w:rFonts w:hint="eastAsia" w:eastAsia="方正小标宋简体" w:cs="方正小标宋简体"/>
          <w:bCs/>
          <w:color w:val="auto"/>
          <w:sz w:val="44"/>
          <w:szCs w:val="44"/>
        </w:rPr>
      </w:pPr>
      <w:r>
        <w:rPr>
          <w:rFonts w:hint="eastAsia" w:hAnsi="宋体" w:cs="宋体"/>
          <w:b/>
          <w:sz w:val="28"/>
          <w:szCs w:val="28"/>
        </w:rPr>
        <w:t xml:space="preserve">  </w:t>
      </w:r>
      <w:r>
        <w:rPr>
          <w:rFonts w:hint="eastAsia" w:eastAsia="仿宋_GB2312" w:cs="宋体"/>
          <w:b/>
          <w:sz w:val="32"/>
          <w:szCs w:val="28"/>
        </w:rPr>
        <w:t xml:space="preserve"> </w:t>
      </w:r>
      <w:r>
        <w:rPr>
          <w:rFonts w:eastAsia="仿宋_GB2312" w:cs="宋体"/>
          <w:b/>
          <w:sz w:val="32"/>
          <w:szCs w:val="28"/>
        </w:rPr>
        <w:t xml:space="preserve"> </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eastAsia="仿宋_GB2312" w:cs="宋体"/>
          <w:color w:val="auto"/>
          <w:sz w:val="32"/>
        </w:rPr>
      </w:pPr>
      <w:r>
        <w:rPr>
          <w:rFonts w:hint="eastAsia" w:cs="宋体"/>
          <w:b/>
          <w:color w:val="FF0000"/>
          <w:sz w:val="28"/>
          <w:szCs w:val="28"/>
        </w:rPr>
        <w:t xml:space="preserve">  </w:t>
      </w:r>
      <w:r>
        <w:rPr>
          <w:rFonts w:hint="eastAsia" w:eastAsia="仿宋_GB2312" w:cs="宋体"/>
          <w:b/>
          <w:color w:val="FF0000"/>
          <w:sz w:val="32"/>
          <w:szCs w:val="28"/>
        </w:rPr>
        <w:t xml:space="preserve"> </w:t>
      </w:r>
      <w:r>
        <w:rPr>
          <w:rFonts w:eastAsia="仿宋_GB2312" w:cs="宋体"/>
          <w:b/>
          <w:color w:val="FF0000"/>
          <w:sz w:val="32"/>
          <w:szCs w:val="28"/>
        </w:rPr>
        <w:t xml:space="preserve"> </w:t>
      </w:r>
      <w:r>
        <w:rPr>
          <w:rFonts w:hint="eastAsia" w:eastAsia="仿宋_GB2312" w:cs="宋体"/>
          <w:color w:val="auto"/>
          <w:sz w:val="32"/>
        </w:rPr>
        <w:t>经甲乙双方友好协商达成一致，从双方签订合同之日起，甲方委托乙方为甲方该项目进行相关服务工作。依照《中华人民共和国民法典》等有关法律法规，在平等、互惠、互利的原则下，双方签订本合同并承诺遵守本合同所有条款，恪守信用，共同执行。</w:t>
      </w:r>
    </w:p>
    <w:p>
      <w:pPr>
        <w:keepNext w:val="0"/>
        <w:keepLines w:val="0"/>
        <w:pageBreakBefore w:val="0"/>
        <w:widowControl w:val="0"/>
        <w:numPr>
          <w:ilvl w:val="0"/>
          <w:numId w:val="2"/>
        </w:numPr>
        <w:kinsoku/>
        <w:wordWrap/>
        <w:overflowPunct/>
        <w:topLinePunct w:val="0"/>
        <w:autoSpaceDE/>
        <w:autoSpaceDN/>
        <w:bidi w:val="0"/>
        <w:adjustRightInd/>
        <w:spacing w:line="580" w:lineRule="exact"/>
        <w:textAlignment w:val="auto"/>
        <w:rPr>
          <w:rFonts w:hint="eastAsia" w:eastAsia="黑体" w:cs="黑体"/>
          <w:bCs/>
          <w:color w:val="auto"/>
          <w:sz w:val="32"/>
        </w:rPr>
      </w:pPr>
      <w:r>
        <w:rPr>
          <w:rFonts w:hint="eastAsia" w:eastAsia="黑体" w:cs="黑体"/>
          <w:bCs/>
          <w:color w:val="auto"/>
          <w:sz w:val="32"/>
        </w:rPr>
        <w:t>项目名称：</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eastAsia="仿宋_GB2312"/>
          <w:bCs/>
          <w:color w:val="auto"/>
          <w:sz w:val="32"/>
        </w:rPr>
      </w:pPr>
      <w:r>
        <w:rPr>
          <w:rFonts w:hint="eastAsia" w:eastAsia="仿宋_GB2312"/>
          <w:bCs/>
          <w:color w:val="auto"/>
          <w:sz w:val="32"/>
        </w:rPr>
        <w:t>中粮（唐山）糖业有限公司消防设施维护保养服务</w:t>
      </w:r>
    </w:p>
    <w:p>
      <w:pPr>
        <w:keepNext w:val="0"/>
        <w:keepLines w:val="0"/>
        <w:pageBreakBefore w:val="0"/>
        <w:widowControl w:val="0"/>
        <w:kinsoku/>
        <w:wordWrap/>
        <w:overflowPunct/>
        <w:topLinePunct w:val="0"/>
        <w:autoSpaceDE/>
        <w:autoSpaceDN/>
        <w:bidi w:val="0"/>
        <w:adjustRightInd/>
        <w:spacing w:line="580" w:lineRule="exact"/>
        <w:textAlignment w:val="auto"/>
        <w:rPr>
          <w:rFonts w:eastAsia="仿宋_GB2312"/>
          <w:bCs/>
          <w:color w:val="auto"/>
          <w:sz w:val="32"/>
        </w:rPr>
      </w:pPr>
      <w:r>
        <w:rPr>
          <w:rFonts w:hint="eastAsia" w:eastAsia="黑体" w:cs="黑体"/>
          <w:bCs/>
          <w:color w:val="auto"/>
          <w:sz w:val="32"/>
        </w:rPr>
        <w:t>二、承包方式：</w:t>
      </w:r>
      <w:r>
        <w:rPr>
          <w:rFonts w:hint="eastAsia" w:eastAsia="仿宋_GB2312"/>
          <w:bCs/>
          <w:color w:val="auto"/>
          <w:sz w:val="32"/>
        </w:rPr>
        <w:t>常规维保</w:t>
      </w:r>
    </w:p>
    <w:p>
      <w:pPr>
        <w:keepNext w:val="0"/>
        <w:keepLines w:val="0"/>
        <w:pageBreakBefore w:val="0"/>
        <w:widowControl w:val="0"/>
        <w:kinsoku/>
        <w:wordWrap/>
        <w:overflowPunct/>
        <w:topLinePunct w:val="0"/>
        <w:autoSpaceDE/>
        <w:autoSpaceDN/>
        <w:bidi w:val="0"/>
        <w:adjustRightInd/>
        <w:spacing w:line="580" w:lineRule="exact"/>
        <w:textAlignment w:val="auto"/>
        <w:rPr>
          <w:rFonts w:hint="eastAsia" w:eastAsia="黑体" w:cs="黑体"/>
          <w:bCs/>
          <w:color w:val="auto"/>
          <w:sz w:val="32"/>
        </w:rPr>
      </w:pPr>
      <w:r>
        <w:rPr>
          <w:rFonts w:hint="eastAsia" w:eastAsia="黑体" w:cs="黑体"/>
          <w:bCs/>
          <w:color w:val="auto"/>
          <w:sz w:val="32"/>
        </w:rPr>
        <w:t>三、服务范围：</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eastAsia="仿宋_GB2312"/>
          <w:bCs/>
          <w:color w:val="auto"/>
          <w:sz w:val="32"/>
        </w:rPr>
      </w:pPr>
      <w:r>
        <w:rPr>
          <w:rFonts w:hint="eastAsia" w:eastAsia="仿宋_GB2312"/>
          <w:bCs/>
          <w:color w:val="auto"/>
          <w:sz w:val="32"/>
        </w:rPr>
        <w:t>对甲方公司全部消防系统设备设施提供维护、维修、保养等服务工作。</w:t>
      </w:r>
    </w:p>
    <w:p>
      <w:pPr>
        <w:keepNext w:val="0"/>
        <w:keepLines w:val="0"/>
        <w:pageBreakBefore w:val="0"/>
        <w:widowControl w:val="0"/>
        <w:kinsoku/>
        <w:wordWrap/>
        <w:overflowPunct/>
        <w:topLinePunct w:val="0"/>
        <w:autoSpaceDE/>
        <w:autoSpaceDN/>
        <w:bidi w:val="0"/>
        <w:adjustRightInd/>
        <w:spacing w:line="580" w:lineRule="exact"/>
        <w:textAlignment w:val="auto"/>
        <w:rPr>
          <w:ins w:id="0" w:author="王璇" w:date="2024-04-02T13:50:00Z"/>
          <w:rFonts w:eastAsia="黑体" w:cs="黑体"/>
          <w:bCs/>
          <w:color w:val="auto"/>
          <w:sz w:val="32"/>
        </w:rPr>
      </w:pPr>
      <w:r>
        <w:rPr>
          <w:rFonts w:hint="eastAsia" w:eastAsia="黑体" w:cs="黑体"/>
          <w:bCs/>
          <w:color w:val="auto"/>
          <w:sz w:val="32"/>
        </w:rPr>
        <w:t>四、服务内容：</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eastAsia="仿宋_GB2312"/>
          <w:bCs/>
          <w:color w:val="auto"/>
          <w:sz w:val="32"/>
        </w:rPr>
      </w:pPr>
      <w:r>
        <w:rPr>
          <w:rFonts w:hint="eastAsia" w:eastAsia="仿宋_GB2312"/>
          <w:bCs/>
          <w:color w:val="auto"/>
          <w:sz w:val="32"/>
        </w:rPr>
        <w:t>对公司火灾自动报警系统及其联动控制、自动喷水灭火系统（水炮系统、水幕系统）、消火栓系统、消防泵房消防泵及稳压系统和控制系统、地下消防管网系统、消防卷帘门系统、消防烟气检测及排烟系统、应急广播系统、消防电话系统、应急照明和疏散指示系统等系统设备进行维护保养工作，具体如下：</w:t>
      </w:r>
    </w:p>
    <w:p>
      <w:pPr>
        <w:pStyle w:val="2"/>
        <w:rPr>
          <w:rFonts w:hint="eastAsia"/>
          <w:color w:val="auto"/>
          <w:sz w:val="24"/>
        </w:rPr>
      </w:pPr>
    </w:p>
    <w:tbl>
      <w:tblPr>
        <w:tblStyle w:val="20"/>
        <w:tblW w:w="9243" w:type="dxa"/>
        <w:jc w:val="center"/>
        <w:tblLayout w:type="fixed"/>
        <w:tblCellMar>
          <w:top w:w="0" w:type="dxa"/>
          <w:left w:w="108" w:type="dxa"/>
          <w:bottom w:w="0" w:type="dxa"/>
          <w:right w:w="108" w:type="dxa"/>
        </w:tblCellMar>
      </w:tblPr>
      <w:tblGrid>
        <w:gridCol w:w="617"/>
        <w:gridCol w:w="1199"/>
        <w:gridCol w:w="3006"/>
        <w:gridCol w:w="4421"/>
      </w:tblGrid>
      <w:tr>
        <w:tblPrEx>
          <w:tblCellMar>
            <w:top w:w="0" w:type="dxa"/>
            <w:left w:w="108" w:type="dxa"/>
            <w:bottom w:w="0" w:type="dxa"/>
            <w:right w:w="108" w:type="dxa"/>
          </w:tblCellMar>
        </w:tblPrEx>
        <w:trPr>
          <w:trHeight w:val="620" w:hRule="atLeast"/>
          <w:jc w:val="center"/>
        </w:trPr>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b/>
                <w:bCs/>
                <w:color w:val="auto"/>
                <w:sz w:val="24"/>
              </w:rPr>
            </w:pPr>
            <w:r>
              <w:rPr>
                <w:rFonts w:hint="eastAsia" w:ascii="仿宋_GB2312" w:hAnsi="等线" w:eastAsia="仿宋_GB2312" w:cs="等线"/>
                <w:b/>
                <w:bCs/>
                <w:color w:val="auto"/>
                <w:kern w:val="0"/>
                <w:sz w:val="24"/>
                <w:lang w:bidi="ar"/>
              </w:rPr>
              <w:t>序号</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b/>
                <w:bCs/>
                <w:color w:val="auto"/>
                <w:kern w:val="0"/>
                <w:sz w:val="24"/>
                <w:lang w:bidi="ar"/>
              </w:rPr>
            </w:pPr>
            <w:r>
              <w:rPr>
                <w:rFonts w:hint="eastAsia" w:ascii="仿宋_GB2312" w:hAnsi="等线" w:eastAsia="仿宋_GB2312" w:cs="等线"/>
                <w:b/>
                <w:bCs/>
                <w:color w:val="auto"/>
                <w:kern w:val="0"/>
                <w:sz w:val="24"/>
                <w:lang w:bidi="ar"/>
              </w:rPr>
              <w:t>消防</w:t>
            </w:r>
          </w:p>
          <w:p>
            <w:pPr>
              <w:widowControl/>
              <w:jc w:val="center"/>
              <w:textAlignment w:val="center"/>
              <w:rPr>
                <w:rFonts w:hint="eastAsia" w:ascii="仿宋_GB2312" w:hAnsi="等线" w:eastAsia="仿宋_GB2312" w:cs="等线"/>
                <w:b/>
                <w:bCs/>
                <w:color w:val="auto"/>
                <w:sz w:val="24"/>
              </w:rPr>
            </w:pPr>
            <w:r>
              <w:rPr>
                <w:rFonts w:hint="eastAsia" w:ascii="仿宋_GB2312" w:hAnsi="等线" w:eastAsia="仿宋_GB2312" w:cs="等线"/>
                <w:b/>
                <w:bCs/>
                <w:color w:val="auto"/>
                <w:kern w:val="0"/>
                <w:sz w:val="24"/>
                <w:lang w:bidi="ar"/>
              </w:rPr>
              <w:t>设施</w:t>
            </w:r>
          </w:p>
        </w:tc>
        <w:tc>
          <w:tcPr>
            <w:tcW w:w="30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b/>
                <w:bCs/>
                <w:color w:val="auto"/>
                <w:sz w:val="24"/>
              </w:rPr>
            </w:pPr>
            <w:r>
              <w:rPr>
                <w:rFonts w:hint="eastAsia" w:ascii="仿宋_GB2312" w:hAnsi="等线" w:eastAsia="仿宋_GB2312" w:cs="等线"/>
                <w:b/>
                <w:bCs/>
                <w:color w:val="auto"/>
                <w:kern w:val="0"/>
                <w:sz w:val="24"/>
                <w:lang w:bidi="ar"/>
              </w:rPr>
              <w:t>执行标准</w:t>
            </w:r>
          </w:p>
        </w:tc>
        <w:tc>
          <w:tcPr>
            <w:tcW w:w="44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b/>
                <w:bCs/>
                <w:color w:val="auto"/>
                <w:sz w:val="24"/>
              </w:rPr>
            </w:pPr>
            <w:r>
              <w:rPr>
                <w:rFonts w:hint="eastAsia" w:ascii="仿宋_GB2312" w:hAnsi="等线" w:eastAsia="仿宋_GB2312" w:cs="等线"/>
                <w:b/>
                <w:bCs/>
                <w:color w:val="auto"/>
                <w:kern w:val="0"/>
                <w:sz w:val="24"/>
                <w:lang w:bidi="ar"/>
              </w:rPr>
              <w:t>涉及区域</w:t>
            </w:r>
          </w:p>
        </w:tc>
      </w:tr>
      <w:tr>
        <w:tblPrEx>
          <w:tblCellMar>
            <w:top w:w="0" w:type="dxa"/>
            <w:left w:w="108" w:type="dxa"/>
            <w:bottom w:w="0" w:type="dxa"/>
            <w:right w:w="108" w:type="dxa"/>
          </w:tblCellMar>
        </w:tblPrEx>
        <w:trPr>
          <w:trHeight w:val="960" w:hRule="atLeast"/>
          <w:jc w:val="center"/>
        </w:trPr>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sz w:val="24"/>
              </w:rPr>
            </w:pPr>
            <w:r>
              <w:rPr>
                <w:rFonts w:hint="eastAsia" w:ascii="仿宋_GB2312" w:hAnsi="等线" w:eastAsia="仿宋_GB2312" w:cs="等线"/>
                <w:color w:val="auto"/>
                <w:kern w:val="0"/>
                <w:sz w:val="24"/>
                <w:lang w:bidi="ar"/>
              </w:rPr>
              <w:t>1</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sz w:val="24"/>
              </w:rPr>
            </w:pPr>
            <w:r>
              <w:rPr>
                <w:rFonts w:hint="eastAsia" w:ascii="仿宋_GB2312" w:hAnsi="等线" w:eastAsia="仿宋_GB2312" w:cs="等线"/>
                <w:color w:val="auto"/>
                <w:kern w:val="0"/>
                <w:sz w:val="24"/>
                <w:lang w:bidi="ar"/>
              </w:rPr>
              <w:t>火灾自动报警系统</w:t>
            </w:r>
          </w:p>
        </w:tc>
        <w:tc>
          <w:tcPr>
            <w:tcW w:w="30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sz w:val="24"/>
              </w:rPr>
            </w:pPr>
            <w:r>
              <w:rPr>
                <w:rFonts w:hint="eastAsia" w:ascii="仿宋_GB2312" w:hAnsi="等线" w:eastAsia="仿宋_GB2312" w:cs="等线"/>
                <w:color w:val="auto"/>
                <w:kern w:val="0"/>
                <w:sz w:val="24"/>
                <w:lang w:bidi="ar"/>
              </w:rPr>
              <w:t>按照《火灾自动报警设计规范》（GB50116-2013）、《火灾自动报警系统施工及验收标准》（GB50166-2019）等相关标准开展维护保养</w:t>
            </w:r>
          </w:p>
        </w:tc>
        <w:tc>
          <w:tcPr>
            <w:tcW w:w="44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等线" w:eastAsia="仿宋_GB2312" w:cs="等线"/>
                <w:color w:val="auto"/>
                <w:kern w:val="0"/>
                <w:sz w:val="24"/>
                <w:lang w:bidi="ar"/>
              </w:rPr>
            </w:pPr>
            <w:r>
              <w:rPr>
                <w:rFonts w:hint="eastAsia" w:ascii="仿宋_GB2312" w:hAnsi="等线" w:eastAsia="仿宋_GB2312" w:cs="等线"/>
                <w:color w:val="auto"/>
                <w:kern w:val="0"/>
                <w:sz w:val="24"/>
                <w:lang w:bidi="ar"/>
              </w:rPr>
              <w:t>一期：办公楼、宿舍楼、食堂和餐厅、炼糖车间（含一期、二期）、包装间及周转仓、动力车间、破碎间及输煤廊、成品仓（1号库）、国储仓（2号库）、3-6号库、二期：门卫室、综合楼、回溶间、原糖仓A、原糖仓B、原糖仓C、维修与五金车间、成品糖输糖廊、扩建原糖输糖廊</w:t>
            </w:r>
          </w:p>
        </w:tc>
      </w:tr>
      <w:tr>
        <w:tblPrEx>
          <w:tblCellMar>
            <w:top w:w="0" w:type="dxa"/>
            <w:left w:w="108" w:type="dxa"/>
            <w:bottom w:w="0" w:type="dxa"/>
            <w:right w:w="108" w:type="dxa"/>
          </w:tblCellMar>
        </w:tblPrEx>
        <w:trPr>
          <w:trHeight w:val="960" w:hRule="atLeast"/>
          <w:jc w:val="center"/>
        </w:trPr>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sz w:val="24"/>
              </w:rPr>
            </w:pPr>
            <w:r>
              <w:rPr>
                <w:rFonts w:hint="eastAsia" w:ascii="仿宋_GB2312" w:hAnsi="等线" w:eastAsia="仿宋_GB2312" w:cs="等线"/>
                <w:color w:val="auto"/>
                <w:kern w:val="0"/>
                <w:sz w:val="24"/>
                <w:lang w:bidi="ar"/>
              </w:rPr>
              <w:t>2</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sz w:val="24"/>
              </w:rPr>
            </w:pPr>
            <w:r>
              <w:rPr>
                <w:rFonts w:hint="eastAsia" w:ascii="仿宋_GB2312" w:hAnsi="等线" w:eastAsia="仿宋_GB2312" w:cs="等线"/>
                <w:color w:val="auto"/>
                <w:kern w:val="0"/>
                <w:sz w:val="24"/>
                <w:lang w:bidi="ar"/>
              </w:rPr>
              <w:t>室内消火栓系统</w:t>
            </w:r>
          </w:p>
        </w:tc>
        <w:tc>
          <w:tcPr>
            <w:tcW w:w="30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sz w:val="24"/>
              </w:rPr>
            </w:pPr>
            <w:r>
              <w:rPr>
                <w:rFonts w:hint="eastAsia" w:ascii="仿宋_GB2312" w:hAnsi="等线" w:eastAsia="仿宋_GB2312" w:cs="等线"/>
                <w:color w:val="auto"/>
                <w:kern w:val="0"/>
                <w:sz w:val="24"/>
                <w:lang w:bidi="ar"/>
              </w:rPr>
              <w:t>按照《消防给水及消火栓系统技术规范》（GB50974-2014）等相关标准开展维护保养</w:t>
            </w:r>
          </w:p>
        </w:tc>
        <w:tc>
          <w:tcPr>
            <w:tcW w:w="44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kern w:val="0"/>
                <w:sz w:val="24"/>
                <w:lang w:bidi="ar"/>
              </w:rPr>
            </w:pPr>
            <w:r>
              <w:rPr>
                <w:rFonts w:hint="eastAsia" w:ascii="仿宋_GB2312" w:hAnsi="等线" w:eastAsia="仿宋_GB2312" w:cs="等线"/>
                <w:color w:val="auto"/>
                <w:kern w:val="0"/>
                <w:sz w:val="24"/>
                <w:lang w:bidi="ar"/>
              </w:rPr>
              <w:t>一期；办公楼、宿舍楼、食堂和餐厅、炼糖车间（含一期、二期）、包装间及周转仓、动力车间、破碎间及输煤廊、干煤棚、成品仓（1号库）、国储仓（2号库）</w:t>
            </w:r>
          </w:p>
          <w:p>
            <w:pPr>
              <w:pStyle w:val="2"/>
              <w:rPr>
                <w:rFonts w:hint="eastAsia" w:ascii="仿宋_GB2312" w:eastAsia="仿宋_GB2312"/>
                <w:color w:val="auto"/>
                <w:sz w:val="24"/>
                <w:szCs w:val="24"/>
                <w:lang w:bidi="ar"/>
              </w:rPr>
            </w:pPr>
            <w:r>
              <w:rPr>
                <w:rFonts w:hint="eastAsia" w:ascii="仿宋_GB2312" w:eastAsia="仿宋_GB2312"/>
                <w:color w:val="auto"/>
                <w:sz w:val="24"/>
                <w:szCs w:val="24"/>
                <w:lang w:bidi="ar"/>
              </w:rPr>
              <w:t>二期：门卫室、综合楼、回溶间、原糖仓A、原糖仓B、原糖仓C、维修与五金车间、成品糖输糖廊、扩建原糖输糖廊</w:t>
            </w:r>
          </w:p>
        </w:tc>
      </w:tr>
      <w:tr>
        <w:tblPrEx>
          <w:tblCellMar>
            <w:top w:w="0" w:type="dxa"/>
            <w:left w:w="108" w:type="dxa"/>
            <w:bottom w:w="0" w:type="dxa"/>
            <w:right w:w="108" w:type="dxa"/>
          </w:tblCellMar>
        </w:tblPrEx>
        <w:trPr>
          <w:trHeight w:val="1200" w:hRule="atLeast"/>
          <w:jc w:val="center"/>
        </w:trPr>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sz w:val="24"/>
              </w:rPr>
            </w:pPr>
            <w:r>
              <w:rPr>
                <w:rFonts w:hint="eastAsia" w:ascii="仿宋_GB2312" w:hAnsi="等线" w:eastAsia="仿宋_GB2312" w:cs="等线"/>
                <w:color w:val="auto"/>
                <w:kern w:val="0"/>
                <w:sz w:val="24"/>
                <w:lang w:bidi="ar"/>
              </w:rPr>
              <w:t>3</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sz w:val="24"/>
              </w:rPr>
            </w:pPr>
            <w:r>
              <w:rPr>
                <w:rFonts w:hint="eastAsia" w:ascii="仿宋_GB2312" w:hAnsi="等线" w:eastAsia="仿宋_GB2312" w:cs="等线"/>
                <w:color w:val="auto"/>
                <w:kern w:val="0"/>
                <w:sz w:val="24"/>
                <w:lang w:bidi="ar"/>
              </w:rPr>
              <w:t>建筑灭火器</w:t>
            </w:r>
          </w:p>
        </w:tc>
        <w:tc>
          <w:tcPr>
            <w:tcW w:w="30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sz w:val="24"/>
              </w:rPr>
            </w:pPr>
            <w:r>
              <w:rPr>
                <w:rFonts w:hint="eastAsia" w:ascii="仿宋_GB2312" w:hAnsi="等线" w:eastAsia="仿宋_GB2312" w:cs="等线"/>
                <w:color w:val="auto"/>
                <w:kern w:val="0"/>
                <w:sz w:val="24"/>
                <w:lang w:bidi="ar"/>
              </w:rPr>
              <w:t>按照《建筑灭火器配置设计规范》（GB50140-2005）、《建筑灭火器配置验收及检查规范》（GB50444-2008）等相关标准开展维护保养</w:t>
            </w:r>
          </w:p>
        </w:tc>
        <w:tc>
          <w:tcPr>
            <w:tcW w:w="44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kern w:val="0"/>
                <w:sz w:val="24"/>
                <w:lang w:bidi="ar"/>
              </w:rPr>
            </w:pPr>
            <w:r>
              <w:rPr>
                <w:rFonts w:hint="eastAsia" w:ascii="仿宋_GB2312" w:hAnsi="等线" w:eastAsia="仿宋_GB2312" w:cs="等线"/>
                <w:color w:val="auto"/>
                <w:kern w:val="0"/>
                <w:sz w:val="24"/>
                <w:lang w:bidi="ar"/>
              </w:rPr>
              <w:t>一期：办公楼、宿舍楼、食堂和餐厅、炼糖车间（一期、二期）、包装间及周转仓、动力车间、破碎间及输煤廊、干煤棚、原糖仓、成品仓（1号库）、国储仓（2号库）、3-6号库</w:t>
            </w:r>
          </w:p>
          <w:p>
            <w:pPr>
              <w:pStyle w:val="2"/>
              <w:rPr>
                <w:rFonts w:hint="eastAsia" w:ascii="仿宋_GB2312" w:eastAsia="仿宋_GB2312"/>
                <w:color w:val="auto"/>
                <w:sz w:val="24"/>
                <w:szCs w:val="24"/>
                <w:lang w:bidi="ar"/>
              </w:rPr>
            </w:pPr>
            <w:r>
              <w:rPr>
                <w:rFonts w:hint="eastAsia" w:ascii="仿宋_GB2312" w:eastAsia="仿宋_GB2312"/>
                <w:color w:val="auto"/>
                <w:sz w:val="24"/>
                <w:szCs w:val="24"/>
                <w:lang w:bidi="ar"/>
              </w:rPr>
              <w:t>二期：门卫室、综合楼、回溶间、原糖仓A、原糖仓B、原糖仓C、维修与五金车间、成品糖输糖廊、扩建原糖输糖廊</w:t>
            </w:r>
          </w:p>
        </w:tc>
      </w:tr>
      <w:tr>
        <w:tblPrEx>
          <w:tblCellMar>
            <w:top w:w="0" w:type="dxa"/>
            <w:left w:w="108" w:type="dxa"/>
            <w:bottom w:w="0" w:type="dxa"/>
            <w:right w:w="108" w:type="dxa"/>
          </w:tblCellMar>
        </w:tblPrEx>
        <w:trPr>
          <w:trHeight w:val="1200" w:hRule="atLeast"/>
          <w:jc w:val="center"/>
        </w:trPr>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sz w:val="24"/>
              </w:rPr>
            </w:pPr>
            <w:r>
              <w:rPr>
                <w:rFonts w:hint="eastAsia" w:ascii="仿宋_GB2312" w:hAnsi="等线" w:eastAsia="仿宋_GB2312" w:cs="等线"/>
                <w:color w:val="auto"/>
                <w:kern w:val="0"/>
                <w:sz w:val="24"/>
                <w:lang w:bidi="ar"/>
              </w:rPr>
              <w:t>4</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sz w:val="24"/>
              </w:rPr>
            </w:pPr>
            <w:r>
              <w:rPr>
                <w:rFonts w:hint="eastAsia" w:ascii="仿宋_GB2312" w:hAnsi="等线" w:eastAsia="仿宋_GB2312" w:cs="等线"/>
                <w:color w:val="auto"/>
                <w:kern w:val="0"/>
                <w:sz w:val="24"/>
                <w:lang w:bidi="ar"/>
              </w:rPr>
              <w:t>消防应急照明和疏散指示系统</w:t>
            </w:r>
          </w:p>
        </w:tc>
        <w:tc>
          <w:tcPr>
            <w:tcW w:w="30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sz w:val="24"/>
              </w:rPr>
            </w:pPr>
            <w:r>
              <w:rPr>
                <w:rFonts w:hint="eastAsia" w:ascii="仿宋_GB2312" w:hAnsi="等线" w:eastAsia="仿宋_GB2312" w:cs="等线"/>
                <w:color w:val="auto"/>
                <w:kern w:val="0"/>
                <w:sz w:val="24"/>
                <w:lang w:bidi="ar"/>
              </w:rPr>
              <w:t>按照《消防应急照明和疏散指示系统技术标准》（GB51309-2018）、《消防应急照明和疏散指示系统》（GB17945-2010）等相关标准开展维护保养</w:t>
            </w:r>
          </w:p>
        </w:tc>
        <w:tc>
          <w:tcPr>
            <w:tcW w:w="44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kern w:val="0"/>
                <w:sz w:val="24"/>
                <w:lang w:bidi="ar"/>
              </w:rPr>
            </w:pPr>
            <w:r>
              <w:rPr>
                <w:rFonts w:hint="eastAsia" w:ascii="仿宋_GB2312" w:hAnsi="等线" w:eastAsia="仿宋_GB2312" w:cs="等线"/>
                <w:color w:val="auto"/>
                <w:kern w:val="0"/>
                <w:sz w:val="24"/>
                <w:lang w:bidi="ar"/>
              </w:rPr>
              <w:t>一期：办公楼、宿舍楼、食堂和餐厅、炼糖车间（含一期、二期）、包装间及周转仓、动力车间、破碎间及输煤廊、干煤棚、原糖仓、成品仓（1号库）、国储仓（2号库）、3-6号库</w:t>
            </w:r>
          </w:p>
          <w:p>
            <w:pPr>
              <w:pStyle w:val="2"/>
              <w:rPr>
                <w:rFonts w:hint="eastAsia" w:ascii="仿宋_GB2312" w:eastAsia="仿宋_GB2312"/>
                <w:color w:val="auto"/>
                <w:sz w:val="24"/>
                <w:szCs w:val="24"/>
                <w:lang w:bidi="ar"/>
              </w:rPr>
            </w:pPr>
            <w:r>
              <w:rPr>
                <w:rFonts w:hint="eastAsia" w:ascii="仿宋_GB2312" w:eastAsia="仿宋_GB2312"/>
                <w:color w:val="auto"/>
                <w:sz w:val="24"/>
                <w:szCs w:val="24"/>
                <w:lang w:bidi="ar"/>
              </w:rPr>
              <w:t>二期：门卫室、综合楼、回溶间、原糖仓A、原糖仓B、原糖仓C、维修与五金车间、成品糖输糖廊、扩建原糖输糖廊</w:t>
            </w:r>
          </w:p>
        </w:tc>
      </w:tr>
      <w:tr>
        <w:tblPrEx>
          <w:tblCellMar>
            <w:top w:w="0" w:type="dxa"/>
            <w:left w:w="108" w:type="dxa"/>
            <w:bottom w:w="0" w:type="dxa"/>
            <w:right w:w="108" w:type="dxa"/>
          </w:tblCellMar>
        </w:tblPrEx>
        <w:trPr>
          <w:trHeight w:val="960" w:hRule="atLeast"/>
          <w:jc w:val="center"/>
        </w:trPr>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sz w:val="24"/>
              </w:rPr>
            </w:pPr>
            <w:r>
              <w:rPr>
                <w:rFonts w:hint="eastAsia" w:ascii="仿宋_GB2312" w:hAnsi="等线" w:eastAsia="仿宋_GB2312" w:cs="等线"/>
                <w:color w:val="auto"/>
                <w:kern w:val="0"/>
                <w:sz w:val="24"/>
                <w:lang w:bidi="ar"/>
              </w:rPr>
              <w:t>5</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sz w:val="24"/>
              </w:rPr>
            </w:pPr>
            <w:r>
              <w:rPr>
                <w:rFonts w:hint="eastAsia" w:ascii="仿宋_GB2312" w:hAnsi="等线" w:eastAsia="仿宋_GB2312" w:cs="等线"/>
                <w:color w:val="auto"/>
                <w:kern w:val="0"/>
                <w:sz w:val="24"/>
                <w:lang w:bidi="ar"/>
              </w:rPr>
              <w:t>自动喷水灭火系统（消防水炮系统、水幕系统）</w:t>
            </w:r>
          </w:p>
        </w:tc>
        <w:tc>
          <w:tcPr>
            <w:tcW w:w="30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sz w:val="24"/>
              </w:rPr>
            </w:pPr>
            <w:r>
              <w:rPr>
                <w:rFonts w:hint="eastAsia" w:ascii="仿宋_GB2312" w:hAnsi="等线" w:eastAsia="仿宋_GB2312" w:cs="等线"/>
                <w:color w:val="auto"/>
                <w:kern w:val="0"/>
                <w:sz w:val="24"/>
                <w:lang w:bidi="ar"/>
              </w:rPr>
              <w:t>按照《自动喷水灭火系统设计规范》（GB50084-2017）、《自动喷水灭火系统施工及验收规范》（GB50261-2017）等相关标准开展维护保养</w:t>
            </w:r>
          </w:p>
        </w:tc>
        <w:tc>
          <w:tcPr>
            <w:tcW w:w="44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sz w:val="24"/>
              </w:rPr>
            </w:pPr>
            <w:r>
              <w:rPr>
                <w:rFonts w:hint="eastAsia" w:ascii="仿宋_GB2312" w:hAnsi="等线" w:eastAsia="仿宋_GB2312" w:cs="等线"/>
                <w:color w:val="auto"/>
                <w:kern w:val="0"/>
                <w:sz w:val="24"/>
                <w:lang w:bidi="ar"/>
              </w:rPr>
              <w:t>物流原糖仓、炼糖车间（含一期、二期）、包装间及周转仓、破碎间及输煤廊</w:t>
            </w:r>
          </w:p>
        </w:tc>
      </w:tr>
      <w:tr>
        <w:tblPrEx>
          <w:tblCellMar>
            <w:top w:w="0" w:type="dxa"/>
            <w:left w:w="108" w:type="dxa"/>
            <w:bottom w:w="0" w:type="dxa"/>
            <w:right w:w="108" w:type="dxa"/>
          </w:tblCellMar>
        </w:tblPrEx>
        <w:trPr>
          <w:trHeight w:val="720" w:hRule="atLeast"/>
          <w:jc w:val="center"/>
        </w:trPr>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sz w:val="24"/>
              </w:rPr>
            </w:pPr>
            <w:r>
              <w:rPr>
                <w:rFonts w:hint="eastAsia" w:ascii="仿宋_GB2312" w:hAnsi="等线" w:eastAsia="仿宋_GB2312" w:cs="等线"/>
                <w:color w:val="auto"/>
                <w:kern w:val="0"/>
                <w:sz w:val="24"/>
                <w:lang w:bidi="ar"/>
              </w:rPr>
              <w:t>6</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sz w:val="24"/>
              </w:rPr>
            </w:pPr>
            <w:r>
              <w:rPr>
                <w:rFonts w:hint="eastAsia" w:ascii="仿宋_GB2312" w:hAnsi="等线" w:eastAsia="仿宋_GB2312" w:cs="等线"/>
                <w:color w:val="auto"/>
                <w:kern w:val="0"/>
                <w:sz w:val="24"/>
                <w:lang w:bidi="ar"/>
              </w:rPr>
              <w:t>室外消火栓系统</w:t>
            </w:r>
          </w:p>
        </w:tc>
        <w:tc>
          <w:tcPr>
            <w:tcW w:w="30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sz w:val="24"/>
              </w:rPr>
            </w:pPr>
            <w:r>
              <w:rPr>
                <w:rFonts w:hint="eastAsia" w:ascii="仿宋_GB2312" w:hAnsi="等线" w:eastAsia="仿宋_GB2312" w:cs="等线"/>
                <w:color w:val="auto"/>
                <w:kern w:val="0"/>
                <w:sz w:val="24"/>
                <w:lang w:bidi="ar"/>
              </w:rPr>
              <w:t>按照《消防给水及消火栓系统技术规范》（GB50974-2014）等相关标准开展维护保养</w:t>
            </w:r>
          </w:p>
        </w:tc>
        <w:tc>
          <w:tcPr>
            <w:tcW w:w="44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sz w:val="24"/>
              </w:rPr>
            </w:pPr>
            <w:r>
              <w:rPr>
                <w:rFonts w:hint="eastAsia" w:ascii="仿宋_GB2312" w:hAnsi="等线" w:eastAsia="仿宋_GB2312" w:cs="等线"/>
                <w:color w:val="auto"/>
                <w:kern w:val="0"/>
                <w:sz w:val="24"/>
                <w:lang w:bidi="ar"/>
              </w:rPr>
              <w:t>所有建筑采用公司室外消火栓系统</w:t>
            </w:r>
          </w:p>
        </w:tc>
      </w:tr>
      <w:tr>
        <w:tblPrEx>
          <w:tblCellMar>
            <w:top w:w="0" w:type="dxa"/>
            <w:left w:w="108" w:type="dxa"/>
            <w:bottom w:w="0" w:type="dxa"/>
            <w:right w:w="108" w:type="dxa"/>
          </w:tblCellMar>
        </w:tblPrEx>
        <w:trPr>
          <w:trHeight w:val="720" w:hRule="atLeast"/>
          <w:jc w:val="center"/>
        </w:trPr>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kern w:val="0"/>
                <w:sz w:val="24"/>
                <w:lang w:bidi="ar"/>
              </w:rPr>
            </w:pPr>
            <w:r>
              <w:rPr>
                <w:rFonts w:hint="eastAsia" w:ascii="仿宋_GB2312" w:hAnsi="等线" w:eastAsia="仿宋_GB2312" w:cs="等线"/>
                <w:color w:val="auto"/>
                <w:kern w:val="0"/>
                <w:sz w:val="24"/>
                <w:lang w:bidi="ar"/>
              </w:rPr>
              <w:t>7</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kern w:val="0"/>
                <w:sz w:val="24"/>
                <w:lang w:bidi="ar"/>
              </w:rPr>
            </w:pPr>
            <w:r>
              <w:rPr>
                <w:rFonts w:hint="eastAsia" w:ascii="仿宋_GB2312" w:hAnsi="等线" w:eastAsia="仿宋_GB2312" w:cs="等线"/>
                <w:color w:val="auto"/>
                <w:kern w:val="0"/>
                <w:sz w:val="24"/>
                <w:lang w:bidi="ar"/>
              </w:rPr>
              <w:t>建筑防烟排烟系统</w:t>
            </w:r>
          </w:p>
        </w:tc>
        <w:tc>
          <w:tcPr>
            <w:tcW w:w="30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kern w:val="0"/>
                <w:sz w:val="24"/>
                <w:lang w:bidi="ar"/>
              </w:rPr>
            </w:pPr>
            <w:r>
              <w:rPr>
                <w:rFonts w:hint="eastAsia" w:ascii="仿宋_GB2312" w:hAnsi="等线" w:eastAsia="仿宋_GB2312" w:cs="等线"/>
                <w:color w:val="auto"/>
                <w:kern w:val="0"/>
                <w:sz w:val="24"/>
                <w:lang w:bidi="ar"/>
              </w:rPr>
              <w:t>按照《建筑防烟排烟系统技术标准》（GB51251-2017）等相关标准开展维护保养</w:t>
            </w:r>
          </w:p>
        </w:tc>
        <w:tc>
          <w:tcPr>
            <w:tcW w:w="44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kern w:val="0"/>
                <w:sz w:val="24"/>
                <w:lang w:bidi="ar"/>
              </w:rPr>
            </w:pPr>
            <w:r>
              <w:rPr>
                <w:rFonts w:hint="eastAsia" w:ascii="仿宋_GB2312" w:hAnsi="等线" w:eastAsia="仿宋_GB2312" w:cs="等线"/>
                <w:color w:val="auto"/>
                <w:kern w:val="0"/>
                <w:sz w:val="24"/>
                <w:lang w:bidi="ar"/>
              </w:rPr>
              <w:t>综合楼、炼糖车间（二期）、原糖仓A、原糖仓B、原糖仓C、维修与五金车间</w:t>
            </w:r>
          </w:p>
        </w:tc>
      </w:tr>
      <w:tr>
        <w:tblPrEx>
          <w:tblCellMar>
            <w:top w:w="0" w:type="dxa"/>
            <w:left w:w="108" w:type="dxa"/>
            <w:bottom w:w="0" w:type="dxa"/>
            <w:right w:w="108" w:type="dxa"/>
          </w:tblCellMar>
        </w:tblPrEx>
        <w:trPr>
          <w:trHeight w:val="1240" w:hRule="atLeast"/>
          <w:jc w:val="center"/>
        </w:trPr>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等线"/>
                <w:color w:val="auto"/>
                <w:sz w:val="24"/>
                <w:lang w:eastAsia="zh-CN"/>
              </w:rPr>
            </w:pPr>
            <w:r>
              <w:rPr>
                <w:rFonts w:hint="eastAsia" w:ascii="仿宋_GB2312" w:hAnsi="等线" w:eastAsia="仿宋_GB2312" w:cs="等线"/>
                <w:color w:val="auto"/>
                <w:kern w:val="0"/>
                <w:sz w:val="24"/>
                <w:lang w:val="en-US" w:eastAsia="zh-CN" w:bidi="ar"/>
              </w:rPr>
              <w:t>8</w:t>
            </w:r>
          </w:p>
        </w:tc>
        <w:tc>
          <w:tcPr>
            <w:tcW w:w="862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ascii="仿宋_GB2312" w:hAnsi="仿宋_GB2312" w:eastAsia="仿宋_GB2312" w:cs="仿宋_GB2312"/>
                <w:color w:val="auto"/>
                <w:kern w:val="0"/>
                <w:sz w:val="24"/>
                <w:lang w:bidi="ar"/>
              </w:rPr>
            </w:pPr>
            <w:r>
              <w:rPr>
                <w:rFonts w:hint="eastAsia" w:ascii="仿宋_GB2312" w:hAnsi="等线" w:eastAsia="仿宋_GB2312" w:cs="等线"/>
                <w:color w:val="auto"/>
                <w:kern w:val="0"/>
                <w:sz w:val="24"/>
                <w:lang w:bidi="ar"/>
              </w:rPr>
              <w:t>备注：</w:t>
            </w:r>
            <w:r>
              <w:rPr>
                <w:rFonts w:hint="eastAsia" w:ascii="仿宋_GB2312" w:hAnsi="等线" w:eastAsia="仿宋_GB2312" w:cs="等线"/>
                <w:color w:val="auto"/>
                <w:kern w:val="0"/>
                <w:sz w:val="24"/>
                <w:lang w:bidi="ar"/>
              </w:rPr>
              <w:br w:type="textWrapping"/>
            </w:r>
            <w:r>
              <w:rPr>
                <w:rFonts w:hint="eastAsia" w:ascii="仿宋_GB2312" w:hAnsi="等线" w:eastAsia="仿宋_GB2312" w:cs="等线"/>
                <w:color w:val="auto"/>
                <w:kern w:val="0"/>
                <w:sz w:val="24"/>
                <w:lang w:bidi="ar"/>
              </w:rPr>
              <w:t>1.一期单体建筑面积(一期共计81414.86</w:t>
            </w:r>
            <w:r>
              <w:rPr>
                <w:rFonts w:hint="eastAsia" w:ascii="Segoe UI Symbol" w:hAnsi="Segoe UI Symbol" w:eastAsia="Segoe UI Symbol" w:cs="Segoe UI Symbol"/>
                <w:color w:val="auto"/>
                <w:kern w:val="0"/>
                <w:sz w:val="24"/>
                <w:lang w:bidi="ar"/>
              </w:rPr>
              <w:t>㎡</w:t>
            </w:r>
            <w:r>
              <w:rPr>
                <w:rFonts w:hint="eastAsia" w:ascii="仿宋_GB2312" w:hAnsi="等线" w:eastAsia="仿宋_GB2312" w:cs="等线"/>
                <w:color w:val="auto"/>
                <w:kern w:val="0"/>
                <w:sz w:val="24"/>
                <w:lang w:bidi="ar"/>
              </w:rPr>
              <w:t>)：</w:t>
            </w:r>
          </w:p>
          <w:p>
            <w:pPr>
              <w:widowControl/>
              <w:spacing w:line="360" w:lineRule="exact"/>
              <w:jc w:val="left"/>
              <w:textAlignment w:val="center"/>
              <w:rPr>
                <w:rFonts w:ascii="仿宋_GB2312" w:hAnsi="仿宋_GB2312" w:eastAsia="仿宋_GB2312" w:cs="仿宋_GB2312"/>
                <w:color w:val="auto"/>
                <w:kern w:val="0"/>
                <w:sz w:val="24"/>
                <w:lang w:bidi="ar"/>
              </w:rPr>
            </w:pPr>
            <w:r>
              <w:rPr>
                <w:rFonts w:hint="eastAsia" w:ascii="仿宋_GB2312" w:hAnsi="等线" w:eastAsia="仿宋_GB2312" w:cs="等线"/>
                <w:color w:val="auto"/>
                <w:kern w:val="0"/>
                <w:sz w:val="24"/>
                <w:lang w:bidi="ar"/>
              </w:rPr>
              <w:t>办公楼2593.8</w:t>
            </w:r>
            <w:r>
              <w:rPr>
                <w:rFonts w:hint="eastAsia" w:ascii="Segoe UI Symbol" w:hAnsi="Segoe UI Symbol" w:eastAsia="Segoe UI Symbol" w:cs="Segoe UI Symbol"/>
                <w:color w:val="auto"/>
                <w:kern w:val="0"/>
                <w:sz w:val="24"/>
                <w:lang w:bidi="ar"/>
              </w:rPr>
              <w:t>㎡</w:t>
            </w:r>
            <w:r>
              <w:rPr>
                <w:rFonts w:hint="eastAsia" w:ascii="仿宋_GB2312" w:hAnsi="仿宋_GB2312" w:eastAsia="仿宋_GB2312" w:cs="仿宋_GB2312"/>
                <w:color w:val="auto"/>
                <w:kern w:val="0"/>
                <w:sz w:val="24"/>
                <w:lang w:bidi="ar"/>
              </w:rPr>
              <w:t>；</w:t>
            </w:r>
          </w:p>
          <w:p>
            <w:pPr>
              <w:widowControl/>
              <w:spacing w:line="360" w:lineRule="exact"/>
              <w:jc w:val="left"/>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宿舍楼</w:t>
            </w:r>
            <w:r>
              <w:rPr>
                <w:rFonts w:hint="eastAsia" w:ascii="仿宋_GB2312" w:hAnsi="等线" w:eastAsia="仿宋_GB2312" w:cs="等线"/>
                <w:color w:val="auto"/>
                <w:kern w:val="0"/>
                <w:sz w:val="24"/>
                <w:lang w:bidi="ar"/>
              </w:rPr>
              <w:t>6087.52</w:t>
            </w:r>
            <w:r>
              <w:rPr>
                <w:rFonts w:hint="eastAsia" w:ascii="Segoe UI Symbol" w:hAnsi="Segoe UI Symbol" w:eastAsia="Segoe UI Symbol" w:cs="Segoe UI Symbol"/>
                <w:color w:val="auto"/>
                <w:kern w:val="0"/>
                <w:sz w:val="24"/>
                <w:lang w:bidi="ar"/>
              </w:rPr>
              <w:t>㎡</w:t>
            </w:r>
            <w:r>
              <w:rPr>
                <w:rFonts w:hint="eastAsia" w:ascii="仿宋_GB2312" w:hAnsi="仿宋_GB2312" w:eastAsia="仿宋_GB2312" w:cs="仿宋_GB2312"/>
                <w:color w:val="auto"/>
                <w:kern w:val="0"/>
                <w:sz w:val="24"/>
                <w:lang w:bidi="ar"/>
              </w:rPr>
              <w:t>；</w:t>
            </w:r>
          </w:p>
          <w:p>
            <w:pPr>
              <w:widowControl/>
              <w:spacing w:line="360" w:lineRule="exact"/>
              <w:jc w:val="left"/>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食堂和餐厅</w:t>
            </w:r>
            <w:r>
              <w:rPr>
                <w:rFonts w:hint="eastAsia" w:ascii="仿宋_GB2312" w:hAnsi="等线" w:eastAsia="仿宋_GB2312" w:cs="等线"/>
                <w:color w:val="auto"/>
                <w:kern w:val="0"/>
                <w:sz w:val="24"/>
                <w:lang w:bidi="ar"/>
              </w:rPr>
              <w:t>943.9</w:t>
            </w:r>
            <w:r>
              <w:rPr>
                <w:rFonts w:hint="eastAsia" w:ascii="Segoe UI Symbol" w:hAnsi="Segoe UI Symbol" w:eastAsia="Segoe UI Symbol" w:cs="Segoe UI Symbol"/>
                <w:color w:val="auto"/>
                <w:kern w:val="0"/>
                <w:sz w:val="24"/>
                <w:lang w:bidi="ar"/>
              </w:rPr>
              <w:t>㎡</w:t>
            </w:r>
            <w:r>
              <w:rPr>
                <w:rFonts w:hint="eastAsia" w:ascii="仿宋_GB2312" w:hAnsi="仿宋_GB2312" w:eastAsia="仿宋_GB2312" w:cs="仿宋_GB2312"/>
                <w:color w:val="auto"/>
                <w:kern w:val="0"/>
                <w:sz w:val="24"/>
                <w:lang w:bidi="ar"/>
              </w:rPr>
              <w:t>；</w:t>
            </w:r>
          </w:p>
          <w:p>
            <w:pPr>
              <w:widowControl/>
              <w:spacing w:line="360" w:lineRule="exact"/>
              <w:jc w:val="left"/>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炼糖车间</w:t>
            </w:r>
            <w:r>
              <w:rPr>
                <w:rFonts w:hint="eastAsia" w:ascii="仿宋_GB2312" w:hAnsi="等线" w:eastAsia="仿宋_GB2312" w:cs="等线"/>
                <w:color w:val="auto"/>
                <w:kern w:val="0"/>
                <w:sz w:val="24"/>
                <w:lang w:bidi="ar"/>
              </w:rPr>
              <w:t>11034.28</w:t>
            </w:r>
            <w:r>
              <w:rPr>
                <w:rFonts w:hint="eastAsia" w:ascii="Segoe UI Symbol" w:hAnsi="Segoe UI Symbol" w:eastAsia="Segoe UI Symbol" w:cs="Segoe UI Symbol"/>
                <w:color w:val="auto"/>
                <w:kern w:val="0"/>
                <w:sz w:val="24"/>
                <w:lang w:bidi="ar"/>
              </w:rPr>
              <w:t>㎡</w:t>
            </w:r>
            <w:r>
              <w:rPr>
                <w:rFonts w:hint="eastAsia" w:ascii="仿宋_GB2312" w:hAnsi="仿宋_GB2312" w:eastAsia="仿宋_GB2312" w:cs="仿宋_GB2312"/>
                <w:color w:val="auto"/>
                <w:kern w:val="0"/>
                <w:sz w:val="24"/>
                <w:lang w:bidi="ar"/>
              </w:rPr>
              <w:t>；</w:t>
            </w:r>
          </w:p>
          <w:p>
            <w:pPr>
              <w:widowControl/>
              <w:spacing w:line="360" w:lineRule="exact"/>
              <w:jc w:val="left"/>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包装间及周转仓建筑面积：周转仓</w:t>
            </w:r>
            <w:r>
              <w:rPr>
                <w:rFonts w:hint="eastAsia" w:ascii="仿宋_GB2312" w:hAnsi="等线" w:eastAsia="仿宋_GB2312" w:cs="等线"/>
                <w:color w:val="auto"/>
                <w:kern w:val="0"/>
                <w:sz w:val="24"/>
                <w:lang w:bidi="ar"/>
              </w:rPr>
              <w:t>3000</w:t>
            </w:r>
            <w:r>
              <w:rPr>
                <w:rFonts w:hint="eastAsia" w:ascii="Segoe UI Symbol" w:hAnsi="Segoe UI Symbol" w:eastAsia="Segoe UI Symbol" w:cs="Segoe UI Symbol"/>
                <w:color w:val="auto"/>
                <w:kern w:val="0"/>
                <w:sz w:val="24"/>
                <w:lang w:bidi="ar"/>
              </w:rPr>
              <w:t>㎡</w:t>
            </w:r>
            <w:r>
              <w:rPr>
                <w:rFonts w:hint="eastAsia" w:ascii="仿宋_GB2312" w:hAnsi="仿宋_GB2312" w:eastAsia="仿宋_GB2312" w:cs="仿宋_GB2312"/>
                <w:color w:val="auto"/>
                <w:kern w:val="0"/>
                <w:sz w:val="24"/>
                <w:lang w:bidi="ar"/>
              </w:rPr>
              <w:t>，装包间</w:t>
            </w:r>
            <w:r>
              <w:rPr>
                <w:rFonts w:hint="eastAsia" w:ascii="仿宋_GB2312" w:hAnsi="等线" w:eastAsia="仿宋_GB2312" w:cs="等线"/>
                <w:color w:val="auto"/>
                <w:kern w:val="0"/>
                <w:sz w:val="24"/>
                <w:lang w:bidi="ar"/>
              </w:rPr>
              <w:t>2111.06</w:t>
            </w:r>
            <w:r>
              <w:rPr>
                <w:rFonts w:hint="eastAsia" w:ascii="Segoe UI Symbol" w:hAnsi="Segoe UI Symbol" w:eastAsia="Segoe UI Symbol" w:cs="Segoe UI Symbol"/>
                <w:color w:val="auto"/>
                <w:kern w:val="0"/>
                <w:sz w:val="24"/>
                <w:lang w:bidi="ar"/>
              </w:rPr>
              <w:t>㎡</w:t>
            </w:r>
            <w:r>
              <w:rPr>
                <w:rFonts w:hint="eastAsia" w:ascii="仿宋_GB2312" w:hAnsi="仿宋_GB2312" w:eastAsia="仿宋_GB2312" w:cs="仿宋_GB2312"/>
                <w:color w:val="auto"/>
                <w:kern w:val="0"/>
                <w:sz w:val="24"/>
                <w:lang w:bidi="ar"/>
              </w:rPr>
              <w:t>；</w:t>
            </w:r>
          </w:p>
          <w:p>
            <w:pPr>
              <w:widowControl/>
              <w:spacing w:line="360" w:lineRule="exact"/>
              <w:jc w:val="left"/>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动力车间、破碎间及输煤廊</w:t>
            </w:r>
            <w:r>
              <w:rPr>
                <w:rFonts w:hint="eastAsia" w:ascii="仿宋_GB2312" w:hAnsi="等线" w:eastAsia="仿宋_GB2312" w:cs="等线"/>
                <w:color w:val="auto"/>
                <w:kern w:val="0"/>
                <w:sz w:val="24"/>
                <w:lang w:bidi="ar"/>
              </w:rPr>
              <w:t>5487.7</w:t>
            </w:r>
            <w:r>
              <w:rPr>
                <w:rFonts w:hint="eastAsia" w:ascii="Segoe UI Symbol" w:hAnsi="Segoe UI Symbol" w:eastAsia="Segoe UI Symbol" w:cs="Segoe UI Symbol"/>
                <w:color w:val="auto"/>
                <w:kern w:val="0"/>
                <w:sz w:val="24"/>
                <w:lang w:bidi="ar"/>
              </w:rPr>
              <w:t>㎡</w:t>
            </w:r>
            <w:r>
              <w:rPr>
                <w:rFonts w:hint="eastAsia" w:ascii="仿宋_GB2312" w:hAnsi="仿宋_GB2312" w:eastAsia="仿宋_GB2312" w:cs="仿宋_GB2312"/>
                <w:color w:val="auto"/>
                <w:kern w:val="0"/>
                <w:sz w:val="24"/>
                <w:lang w:bidi="ar"/>
              </w:rPr>
              <w:t>；</w:t>
            </w:r>
          </w:p>
          <w:p>
            <w:pPr>
              <w:widowControl/>
              <w:spacing w:line="360" w:lineRule="exact"/>
              <w:jc w:val="left"/>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干煤棚</w:t>
            </w:r>
            <w:r>
              <w:rPr>
                <w:rFonts w:hint="eastAsia" w:ascii="仿宋_GB2312" w:hAnsi="等线" w:eastAsia="仿宋_GB2312" w:cs="等线"/>
                <w:color w:val="auto"/>
                <w:kern w:val="0"/>
                <w:sz w:val="24"/>
                <w:lang w:bidi="ar"/>
              </w:rPr>
              <w:t>1726.2</w:t>
            </w:r>
            <w:r>
              <w:rPr>
                <w:rFonts w:hint="eastAsia" w:ascii="Segoe UI Symbol" w:hAnsi="Segoe UI Symbol" w:eastAsia="Segoe UI Symbol" w:cs="Segoe UI Symbol"/>
                <w:color w:val="auto"/>
                <w:kern w:val="0"/>
                <w:sz w:val="24"/>
                <w:lang w:bidi="ar"/>
              </w:rPr>
              <w:t>㎡</w:t>
            </w:r>
            <w:r>
              <w:rPr>
                <w:rFonts w:hint="eastAsia" w:ascii="仿宋_GB2312" w:hAnsi="仿宋_GB2312" w:eastAsia="仿宋_GB2312" w:cs="仿宋_GB2312"/>
                <w:color w:val="auto"/>
                <w:kern w:val="0"/>
                <w:sz w:val="24"/>
                <w:lang w:bidi="ar"/>
              </w:rPr>
              <w:t>；</w:t>
            </w:r>
          </w:p>
          <w:p>
            <w:pPr>
              <w:widowControl/>
              <w:spacing w:line="360" w:lineRule="exact"/>
              <w:jc w:val="left"/>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成品仓（</w:t>
            </w:r>
            <w:r>
              <w:rPr>
                <w:rFonts w:hint="eastAsia" w:ascii="仿宋_GB2312" w:hAnsi="等线" w:eastAsia="仿宋_GB2312" w:cs="等线"/>
                <w:color w:val="auto"/>
                <w:kern w:val="0"/>
                <w:sz w:val="24"/>
                <w:lang w:bidi="ar"/>
              </w:rPr>
              <w:t>1号库）8030.4</w:t>
            </w:r>
            <w:r>
              <w:rPr>
                <w:rFonts w:hint="eastAsia" w:ascii="Segoe UI Symbol" w:hAnsi="Segoe UI Symbol" w:eastAsia="Segoe UI Symbol" w:cs="Segoe UI Symbol"/>
                <w:color w:val="auto"/>
                <w:kern w:val="0"/>
                <w:sz w:val="24"/>
                <w:lang w:bidi="ar"/>
              </w:rPr>
              <w:t>㎡</w:t>
            </w:r>
            <w:r>
              <w:rPr>
                <w:rFonts w:hint="eastAsia" w:ascii="仿宋_GB2312" w:hAnsi="仿宋_GB2312" w:eastAsia="仿宋_GB2312" w:cs="仿宋_GB2312"/>
                <w:color w:val="auto"/>
                <w:kern w:val="0"/>
                <w:sz w:val="24"/>
                <w:lang w:bidi="ar"/>
              </w:rPr>
              <w:t>；</w:t>
            </w:r>
          </w:p>
          <w:p>
            <w:pPr>
              <w:widowControl/>
              <w:spacing w:line="360" w:lineRule="exact"/>
              <w:jc w:val="left"/>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国储仓（</w:t>
            </w:r>
            <w:r>
              <w:rPr>
                <w:rFonts w:hint="eastAsia" w:ascii="仿宋_GB2312" w:hAnsi="等线" w:eastAsia="仿宋_GB2312" w:cs="等线"/>
                <w:color w:val="auto"/>
                <w:kern w:val="0"/>
                <w:sz w:val="24"/>
                <w:lang w:bidi="ar"/>
              </w:rPr>
              <w:t>2号库）8400</w:t>
            </w:r>
            <w:r>
              <w:rPr>
                <w:rFonts w:hint="eastAsia" w:ascii="Segoe UI Symbol" w:hAnsi="Segoe UI Symbol" w:eastAsia="Segoe UI Symbol" w:cs="Segoe UI Symbol"/>
                <w:color w:val="auto"/>
                <w:kern w:val="0"/>
                <w:sz w:val="24"/>
                <w:lang w:bidi="ar"/>
              </w:rPr>
              <w:t>㎡</w:t>
            </w:r>
            <w:r>
              <w:rPr>
                <w:rFonts w:hint="eastAsia" w:ascii="仿宋_GB2312" w:hAnsi="仿宋_GB2312" w:eastAsia="仿宋_GB2312" w:cs="仿宋_GB2312"/>
                <w:color w:val="auto"/>
                <w:kern w:val="0"/>
                <w:sz w:val="24"/>
                <w:lang w:bidi="ar"/>
              </w:rPr>
              <w:t>；</w:t>
            </w:r>
          </w:p>
          <w:p>
            <w:pPr>
              <w:widowControl/>
              <w:spacing w:line="360" w:lineRule="exact"/>
              <w:jc w:val="left"/>
              <w:textAlignment w:val="center"/>
              <w:rPr>
                <w:rFonts w:hint="eastAsia" w:ascii="仿宋_GB2312" w:hAnsi="等线" w:eastAsia="仿宋_GB2312" w:cs="等线"/>
                <w:color w:val="auto"/>
                <w:kern w:val="0"/>
                <w:sz w:val="24"/>
                <w:lang w:bidi="ar"/>
              </w:rPr>
            </w:pPr>
            <w:r>
              <w:rPr>
                <w:rFonts w:hint="eastAsia" w:ascii="仿宋_GB2312" w:hAnsi="等线" w:eastAsia="仿宋_GB2312" w:cs="等线"/>
                <w:color w:val="auto"/>
                <w:kern w:val="0"/>
                <w:sz w:val="24"/>
                <w:lang w:bidi="ar"/>
              </w:rPr>
              <w:t>3-6号库约8000</w:t>
            </w:r>
            <w:r>
              <w:rPr>
                <w:rFonts w:hint="eastAsia" w:ascii="Segoe UI Symbol" w:hAnsi="Segoe UI Symbol" w:eastAsia="Segoe UI Symbol" w:cs="Segoe UI Symbol"/>
                <w:color w:val="auto"/>
                <w:kern w:val="0"/>
                <w:sz w:val="24"/>
                <w:lang w:bidi="ar"/>
              </w:rPr>
              <w:t>㎡</w:t>
            </w:r>
            <w:r>
              <w:rPr>
                <w:rFonts w:hint="eastAsia" w:ascii="仿宋_GB2312" w:hAnsi="等线" w:eastAsia="仿宋_GB2312" w:cs="等线"/>
                <w:color w:val="auto"/>
                <w:kern w:val="0"/>
                <w:sz w:val="24"/>
                <w:lang w:bidi="ar"/>
              </w:rPr>
              <w:t>/库，小计32000</w:t>
            </w:r>
            <w:r>
              <w:rPr>
                <w:rFonts w:hint="eastAsia" w:ascii="Segoe UI Symbol" w:hAnsi="Segoe UI Symbol" w:eastAsia="Segoe UI Symbol" w:cs="Segoe UI Symbol"/>
                <w:color w:val="auto"/>
                <w:kern w:val="0"/>
                <w:sz w:val="24"/>
                <w:lang w:bidi="ar"/>
              </w:rPr>
              <w:t>㎡</w:t>
            </w:r>
            <w:r>
              <w:rPr>
                <w:rFonts w:hint="eastAsia" w:ascii="仿宋_GB2312" w:hAnsi="仿宋_GB2312" w:eastAsia="仿宋_GB2312" w:cs="仿宋_GB2312"/>
                <w:color w:val="auto"/>
                <w:kern w:val="0"/>
                <w:sz w:val="24"/>
                <w:lang w:bidi="ar"/>
              </w:rPr>
              <w:t>。</w:t>
            </w:r>
          </w:p>
          <w:p>
            <w:pPr>
              <w:widowControl/>
              <w:spacing w:line="360" w:lineRule="exact"/>
              <w:jc w:val="left"/>
              <w:textAlignment w:val="center"/>
              <w:rPr>
                <w:rFonts w:hint="eastAsia" w:ascii="仿宋_GB2312" w:hAnsi="Calibri" w:eastAsia="仿宋_GB2312" w:cs="Calibri"/>
                <w:color w:val="auto"/>
                <w:kern w:val="0"/>
                <w:sz w:val="24"/>
                <w:lang w:bidi="ar"/>
              </w:rPr>
            </w:pPr>
            <w:r>
              <w:rPr>
                <w:rFonts w:hint="eastAsia" w:ascii="仿宋_GB2312" w:hAnsi="等线" w:eastAsia="仿宋_GB2312" w:cs="等线"/>
                <w:color w:val="auto"/>
                <w:kern w:val="0"/>
                <w:sz w:val="24"/>
                <w:lang w:bidi="ar"/>
              </w:rPr>
              <w:t>2.二期单体建筑面积(二期主要建筑面积总计：28444.88m</w:t>
            </w:r>
            <w:r>
              <w:rPr>
                <w:rFonts w:ascii="Calibri" w:hAnsi="Calibri" w:eastAsia="仿宋_GB2312" w:cs="Calibri"/>
                <w:color w:val="auto"/>
                <w:kern w:val="0"/>
                <w:sz w:val="24"/>
                <w:lang w:bidi="ar"/>
              </w:rPr>
              <w:t>²</w:t>
            </w:r>
            <w:r>
              <w:rPr>
                <w:rFonts w:hint="eastAsia" w:ascii="仿宋_GB2312" w:hAnsi="等线" w:eastAsia="仿宋_GB2312" w:cs="等线"/>
                <w:color w:val="auto"/>
                <w:kern w:val="0"/>
                <w:sz w:val="24"/>
                <w:lang w:bidi="ar"/>
              </w:rPr>
              <w:t>)：</w:t>
            </w:r>
          </w:p>
          <w:p>
            <w:pPr>
              <w:widowControl/>
              <w:spacing w:line="360" w:lineRule="exact"/>
              <w:jc w:val="left"/>
              <w:textAlignment w:val="center"/>
              <w:rPr>
                <w:rFonts w:hint="eastAsia" w:ascii="仿宋_GB2312" w:hAnsi="等线" w:eastAsia="仿宋_GB2312" w:cs="等线"/>
                <w:color w:val="auto"/>
                <w:kern w:val="0"/>
                <w:sz w:val="24"/>
                <w:lang w:bidi="ar"/>
              </w:rPr>
            </w:pPr>
            <w:r>
              <w:rPr>
                <w:rFonts w:hint="eastAsia" w:ascii="仿宋_GB2312" w:hAnsi="等线" w:eastAsia="仿宋_GB2312" w:cs="等线"/>
                <w:color w:val="auto"/>
                <w:kern w:val="0"/>
                <w:sz w:val="24"/>
                <w:lang w:bidi="ar"/>
              </w:rPr>
              <w:t>门卫室：99.22m</w:t>
            </w:r>
            <w:r>
              <w:rPr>
                <w:rFonts w:ascii="Calibri" w:hAnsi="Calibri" w:eastAsia="仿宋_GB2312" w:cs="Calibri"/>
                <w:color w:val="auto"/>
                <w:kern w:val="0"/>
                <w:sz w:val="24"/>
                <w:lang w:bidi="ar"/>
              </w:rPr>
              <w:t>²</w:t>
            </w:r>
          </w:p>
          <w:p>
            <w:pPr>
              <w:widowControl/>
              <w:spacing w:line="360" w:lineRule="exact"/>
              <w:jc w:val="left"/>
              <w:textAlignment w:val="center"/>
              <w:rPr>
                <w:rFonts w:hint="eastAsia" w:ascii="仿宋_GB2312" w:hAnsi="等线" w:eastAsia="仿宋_GB2312" w:cs="等线"/>
                <w:color w:val="auto"/>
                <w:kern w:val="0"/>
                <w:sz w:val="24"/>
                <w:lang w:bidi="ar"/>
              </w:rPr>
            </w:pPr>
            <w:r>
              <w:rPr>
                <w:rFonts w:hint="eastAsia" w:ascii="仿宋_GB2312" w:hAnsi="等线" w:eastAsia="仿宋_GB2312" w:cs="等线"/>
                <w:color w:val="auto"/>
                <w:kern w:val="0"/>
                <w:sz w:val="24"/>
                <w:lang w:bidi="ar"/>
              </w:rPr>
              <w:t>综合楼：2908.42m</w:t>
            </w:r>
            <w:r>
              <w:rPr>
                <w:rFonts w:ascii="Calibri" w:hAnsi="Calibri" w:eastAsia="仿宋_GB2312" w:cs="Calibri"/>
                <w:color w:val="auto"/>
                <w:kern w:val="0"/>
                <w:sz w:val="24"/>
                <w:lang w:bidi="ar"/>
              </w:rPr>
              <w:t>²</w:t>
            </w:r>
          </w:p>
          <w:p>
            <w:pPr>
              <w:widowControl/>
              <w:spacing w:line="360" w:lineRule="exact"/>
              <w:jc w:val="left"/>
              <w:textAlignment w:val="center"/>
              <w:rPr>
                <w:rFonts w:hint="eastAsia" w:ascii="仿宋_GB2312" w:hAnsi="等线" w:eastAsia="仿宋_GB2312" w:cs="等线"/>
                <w:color w:val="auto"/>
                <w:kern w:val="0"/>
                <w:sz w:val="24"/>
                <w:lang w:bidi="ar"/>
              </w:rPr>
            </w:pPr>
            <w:r>
              <w:rPr>
                <w:rFonts w:hint="eastAsia" w:ascii="仿宋_GB2312" w:hAnsi="等线" w:eastAsia="仿宋_GB2312" w:cs="等线"/>
                <w:color w:val="auto"/>
                <w:kern w:val="0"/>
                <w:sz w:val="24"/>
                <w:lang w:bidi="ar"/>
              </w:rPr>
              <w:t>炼糖车间（含糖浆灌装间、包装间）：11514.95m</w:t>
            </w:r>
            <w:r>
              <w:rPr>
                <w:rFonts w:ascii="Calibri" w:hAnsi="Calibri" w:eastAsia="仿宋_GB2312" w:cs="Calibri"/>
                <w:color w:val="auto"/>
                <w:kern w:val="0"/>
                <w:sz w:val="24"/>
                <w:lang w:bidi="ar"/>
              </w:rPr>
              <w:t>²</w:t>
            </w:r>
          </w:p>
          <w:p>
            <w:pPr>
              <w:widowControl/>
              <w:spacing w:line="360" w:lineRule="exact"/>
              <w:jc w:val="left"/>
              <w:textAlignment w:val="center"/>
              <w:rPr>
                <w:rFonts w:hint="eastAsia" w:ascii="仿宋_GB2312" w:hAnsi="等线" w:eastAsia="仿宋_GB2312" w:cs="等线"/>
                <w:color w:val="auto"/>
                <w:kern w:val="0"/>
                <w:sz w:val="24"/>
                <w:lang w:bidi="ar"/>
              </w:rPr>
            </w:pPr>
            <w:r>
              <w:rPr>
                <w:rFonts w:hint="eastAsia" w:ascii="仿宋_GB2312" w:hAnsi="等线" w:eastAsia="仿宋_GB2312" w:cs="等线"/>
                <w:color w:val="auto"/>
                <w:kern w:val="0"/>
                <w:sz w:val="24"/>
                <w:lang w:bidi="ar"/>
              </w:rPr>
              <w:t>回溶间：254.73m</w:t>
            </w:r>
            <w:r>
              <w:rPr>
                <w:rFonts w:ascii="Calibri" w:hAnsi="Calibri" w:eastAsia="仿宋_GB2312" w:cs="Calibri"/>
                <w:color w:val="auto"/>
                <w:kern w:val="0"/>
                <w:sz w:val="24"/>
                <w:lang w:bidi="ar"/>
              </w:rPr>
              <w:t>²</w:t>
            </w:r>
          </w:p>
          <w:p>
            <w:pPr>
              <w:widowControl/>
              <w:spacing w:line="360" w:lineRule="exact"/>
              <w:jc w:val="left"/>
              <w:textAlignment w:val="center"/>
              <w:rPr>
                <w:rFonts w:hint="eastAsia" w:ascii="仿宋_GB2312" w:hAnsi="等线" w:eastAsia="仿宋_GB2312" w:cs="等线"/>
                <w:color w:val="auto"/>
                <w:kern w:val="0"/>
                <w:sz w:val="24"/>
                <w:lang w:bidi="ar"/>
              </w:rPr>
            </w:pPr>
            <w:r>
              <w:rPr>
                <w:rFonts w:hint="eastAsia" w:ascii="仿宋_GB2312" w:hAnsi="等线" w:eastAsia="仿宋_GB2312" w:cs="等线"/>
                <w:color w:val="auto"/>
                <w:kern w:val="0"/>
                <w:sz w:val="24"/>
                <w:lang w:bidi="ar"/>
              </w:rPr>
              <w:t>原糖仓A：3890.51m</w:t>
            </w:r>
            <w:r>
              <w:rPr>
                <w:rFonts w:ascii="Calibri" w:hAnsi="Calibri" w:eastAsia="仿宋_GB2312" w:cs="Calibri"/>
                <w:color w:val="auto"/>
                <w:kern w:val="0"/>
                <w:sz w:val="24"/>
                <w:lang w:bidi="ar"/>
              </w:rPr>
              <w:t>²</w:t>
            </w:r>
          </w:p>
          <w:p>
            <w:pPr>
              <w:widowControl/>
              <w:spacing w:line="360" w:lineRule="exact"/>
              <w:jc w:val="left"/>
              <w:textAlignment w:val="center"/>
              <w:rPr>
                <w:rFonts w:hint="eastAsia" w:ascii="仿宋_GB2312" w:hAnsi="等线" w:eastAsia="仿宋_GB2312" w:cs="等线"/>
                <w:color w:val="auto"/>
                <w:kern w:val="0"/>
                <w:sz w:val="24"/>
                <w:lang w:bidi="ar"/>
              </w:rPr>
            </w:pPr>
            <w:r>
              <w:rPr>
                <w:rFonts w:hint="eastAsia" w:ascii="仿宋_GB2312" w:hAnsi="等线" w:eastAsia="仿宋_GB2312" w:cs="等线"/>
                <w:color w:val="auto"/>
                <w:kern w:val="0"/>
                <w:sz w:val="24"/>
                <w:lang w:bidi="ar"/>
              </w:rPr>
              <w:t>原糖仓B：3803.34m</w:t>
            </w:r>
            <w:r>
              <w:rPr>
                <w:rFonts w:ascii="Calibri" w:hAnsi="Calibri" w:eastAsia="仿宋_GB2312" w:cs="Calibri"/>
                <w:color w:val="auto"/>
                <w:kern w:val="0"/>
                <w:sz w:val="24"/>
                <w:lang w:bidi="ar"/>
              </w:rPr>
              <w:t>²</w:t>
            </w:r>
          </w:p>
          <w:p>
            <w:pPr>
              <w:widowControl/>
              <w:spacing w:line="360" w:lineRule="exact"/>
              <w:jc w:val="left"/>
              <w:textAlignment w:val="center"/>
              <w:rPr>
                <w:rFonts w:hint="eastAsia" w:ascii="仿宋_GB2312" w:hAnsi="等线" w:eastAsia="仿宋_GB2312" w:cs="等线"/>
                <w:color w:val="auto"/>
                <w:kern w:val="0"/>
                <w:sz w:val="24"/>
                <w:lang w:bidi="ar"/>
              </w:rPr>
            </w:pPr>
            <w:r>
              <w:rPr>
                <w:rFonts w:hint="eastAsia" w:ascii="仿宋_GB2312" w:hAnsi="等线" w:eastAsia="仿宋_GB2312" w:cs="等线"/>
                <w:color w:val="auto"/>
                <w:kern w:val="0"/>
                <w:sz w:val="24"/>
                <w:lang w:bidi="ar"/>
              </w:rPr>
              <w:t>原糖仓C：3925.36m</w:t>
            </w:r>
            <w:r>
              <w:rPr>
                <w:rFonts w:ascii="Calibri" w:hAnsi="Calibri" w:eastAsia="仿宋_GB2312" w:cs="Calibri"/>
                <w:color w:val="auto"/>
                <w:kern w:val="0"/>
                <w:sz w:val="24"/>
                <w:lang w:bidi="ar"/>
              </w:rPr>
              <w:t>²</w:t>
            </w:r>
          </w:p>
          <w:p>
            <w:pPr>
              <w:widowControl/>
              <w:spacing w:line="360" w:lineRule="exact"/>
              <w:jc w:val="left"/>
              <w:textAlignment w:val="center"/>
              <w:rPr>
                <w:rFonts w:hint="eastAsia" w:ascii="仿宋_GB2312" w:hAnsi="等线" w:eastAsia="仿宋_GB2312" w:cs="等线"/>
                <w:color w:val="auto"/>
                <w:kern w:val="0"/>
                <w:sz w:val="24"/>
                <w:lang w:bidi="ar"/>
              </w:rPr>
            </w:pPr>
            <w:r>
              <w:rPr>
                <w:rFonts w:hint="eastAsia" w:ascii="仿宋_GB2312" w:hAnsi="等线" w:eastAsia="仿宋_GB2312" w:cs="等线"/>
                <w:color w:val="auto"/>
                <w:kern w:val="0"/>
                <w:sz w:val="24"/>
                <w:lang w:bidi="ar"/>
              </w:rPr>
              <w:t>维修与五金车间：1753.82m</w:t>
            </w:r>
            <w:r>
              <w:rPr>
                <w:rFonts w:ascii="Calibri" w:hAnsi="Calibri" w:eastAsia="仿宋_GB2312" w:cs="Calibri"/>
                <w:color w:val="auto"/>
                <w:kern w:val="0"/>
                <w:sz w:val="24"/>
                <w:lang w:bidi="ar"/>
              </w:rPr>
              <w:t>²</w:t>
            </w:r>
          </w:p>
          <w:p>
            <w:pPr>
              <w:widowControl/>
              <w:spacing w:line="360" w:lineRule="exact"/>
              <w:jc w:val="left"/>
              <w:textAlignment w:val="center"/>
              <w:rPr>
                <w:rFonts w:hint="eastAsia" w:ascii="仿宋_GB2312" w:hAnsi="等线" w:eastAsia="仿宋_GB2312" w:cs="等线"/>
                <w:color w:val="auto"/>
                <w:kern w:val="0"/>
                <w:sz w:val="24"/>
                <w:lang w:bidi="ar"/>
              </w:rPr>
            </w:pPr>
            <w:r>
              <w:rPr>
                <w:rFonts w:hint="eastAsia" w:ascii="仿宋_GB2312" w:hAnsi="等线" w:eastAsia="仿宋_GB2312" w:cs="等线"/>
                <w:color w:val="auto"/>
                <w:kern w:val="0"/>
                <w:sz w:val="24"/>
                <w:lang w:bidi="ar"/>
              </w:rPr>
              <w:t>成品糖输糖廊：185.28m</w:t>
            </w:r>
            <w:r>
              <w:rPr>
                <w:rFonts w:ascii="Calibri" w:hAnsi="Calibri" w:eastAsia="仿宋_GB2312" w:cs="Calibri"/>
                <w:color w:val="auto"/>
                <w:kern w:val="0"/>
                <w:sz w:val="24"/>
                <w:lang w:bidi="ar"/>
              </w:rPr>
              <w:t>²</w:t>
            </w:r>
          </w:p>
          <w:p>
            <w:pPr>
              <w:widowControl/>
              <w:spacing w:line="360" w:lineRule="exact"/>
              <w:jc w:val="left"/>
              <w:textAlignment w:val="center"/>
              <w:rPr>
                <w:rFonts w:hint="eastAsia" w:ascii="仿宋_GB2312" w:hAnsi="等线" w:eastAsia="仿宋_GB2312" w:cs="等线"/>
                <w:color w:val="auto"/>
                <w:kern w:val="0"/>
                <w:sz w:val="24"/>
                <w:lang w:bidi="ar"/>
              </w:rPr>
            </w:pPr>
            <w:r>
              <w:rPr>
                <w:rFonts w:hint="eastAsia" w:ascii="仿宋_GB2312" w:hAnsi="等线" w:eastAsia="仿宋_GB2312" w:cs="等线"/>
                <w:color w:val="auto"/>
                <w:kern w:val="0"/>
                <w:sz w:val="24"/>
                <w:lang w:bidi="ar"/>
              </w:rPr>
              <w:t>扩建原糖输糖廊：109.25m</w:t>
            </w:r>
            <w:r>
              <w:rPr>
                <w:rFonts w:ascii="Calibri" w:hAnsi="Calibri" w:eastAsia="仿宋_GB2312" w:cs="Calibri"/>
                <w:color w:val="auto"/>
                <w:kern w:val="0"/>
                <w:sz w:val="24"/>
                <w:lang w:bidi="ar"/>
              </w:rPr>
              <w:t>²</w:t>
            </w:r>
          </w:p>
          <w:p>
            <w:pPr>
              <w:widowControl/>
              <w:spacing w:line="360" w:lineRule="exact"/>
              <w:jc w:val="left"/>
              <w:textAlignment w:val="center"/>
              <w:rPr>
                <w:rFonts w:hint="eastAsia" w:ascii="仿宋_GB2312" w:hAnsi="等线" w:eastAsia="仿宋_GB2312" w:cs="等线"/>
                <w:color w:val="auto"/>
                <w:sz w:val="24"/>
              </w:rPr>
            </w:pPr>
            <w:r>
              <w:rPr>
                <w:rFonts w:hint="eastAsia" w:ascii="仿宋_GB2312" w:hAnsi="等线" w:eastAsia="仿宋_GB2312" w:cs="等线"/>
                <w:color w:val="auto"/>
                <w:kern w:val="0"/>
                <w:sz w:val="24"/>
                <w:lang w:bidi="ar"/>
              </w:rPr>
              <w:t>公司主要建筑物总面积共计109859.74</w:t>
            </w:r>
            <w:r>
              <w:rPr>
                <w:rFonts w:hint="eastAsia" w:ascii="仿宋_GB2312" w:eastAsia="仿宋_GB2312"/>
                <w:color w:val="auto"/>
                <w:sz w:val="24"/>
              </w:rPr>
              <w:t xml:space="preserve"> </w:t>
            </w:r>
            <w:r>
              <w:rPr>
                <w:rFonts w:hint="eastAsia" w:ascii="仿宋_GB2312" w:hAnsi="等线" w:eastAsia="仿宋_GB2312" w:cs="等线"/>
                <w:color w:val="auto"/>
                <w:kern w:val="0"/>
                <w:sz w:val="24"/>
                <w:lang w:bidi="ar"/>
              </w:rPr>
              <w:t>m</w:t>
            </w:r>
            <w:r>
              <w:rPr>
                <w:rFonts w:ascii="Calibri" w:hAnsi="Calibri" w:eastAsia="仿宋_GB2312" w:cs="Calibri"/>
                <w:color w:val="auto"/>
                <w:kern w:val="0"/>
                <w:sz w:val="24"/>
                <w:lang w:bidi="ar"/>
              </w:rPr>
              <w:t>²</w:t>
            </w:r>
            <w:r>
              <w:rPr>
                <w:rFonts w:hint="eastAsia" w:ascii="仿宋_GB2312" w:hAnsi="等线" w:eastAsia="仿宋_GB2312" w:cs="等线"/>
                <w:color w:val="auto"/>
                <w:kern w:val="0"/>
                <w:sz w:val="24"/>
                <w:lang w:bidi="ar"/>
              </w:rPr>
              <w:br w:type="textWrapping"/>
            </w:r>
            <w:r>
              <w:rPr>
                <w:rFonts w:hint="eastAsia" w:ascii="仿宋_GB2312" w:hAnsi="等线" w:eastAsia="仿宋_GB2312" w:cs="等线"/>
                <w:color w:val="auto"/>
                <w:kern w:val="0"/>
                <w:sz w:val="24"/>
                <w:lang w:bidi="ar"/>
              </w:rPr>
              <w:t>3.以上各系统设施的维护保养除执行各专项标准外，还应按照《建筑消防设施的维护管理》（GB25201-2010）等相关国家法规及规范标准要求开展消防设施维护保养服务工作。</w:t>
            </w:r>
          </w:p>
        </w:tc>
      </w:tr>
    </w:tbl>
    <w:p>
      <w:pPr>
        <w:pStyle w:val="19"/>
        <w:pageBreakBefore w:val="0"/>
        <w:widowControl w:val="0"/>
        <w:kinsoku/>
        <w:wordWrap/>
        <w:overflowPunct/>
        <w:topLinePunct w:val="0"/>
        <w:bidi w:val="0"/>
        <w:spacing w:after="0" w:line="580" w:lineRule="exact"/>
        <w:ind w:left="0" w:leftChars="0" w:firstLine="0" w:firstLineChars="0"/>
        <w:rPr>
          <w:rFonts w:eastAsia="黑体" w:cs="黑体"/>
          <w:bCs/>
          <w:color w:val="auto"/>
          <w:sz w:val="32"/>
        </w:rPr>
      </w:pPr>
    </w:p>
    <w:p>
      <w:pPr>
        <w:pStyle w:val="19"/>
        <w:keepNext w:val="0"/>
        <w:keepLines w:val="0"/>
        <w:pageBreakBefore w:val="0"/>
        <w:widowControl w:val="0"/>
        <w:kinsoku/>
        <w:wordWrap/>
        <w:overflowPunct/>
        <w:topLinePunct w:val="0"/>
        <w:bidi w:val="0"/>
        <w:spacing w:after="0" w:line="580" w:lineRule="exact"/>
        <w:ind w:left="0" w:leftChars="0" w:firstLine="0" w:firstLineChars="0"/>
        <w:textAlignment w:val="auto"/>
        <w:rPr>
          <w:rFonts w:eastAsia="黑体"/>
          <w:bCs/>
          <w:color w:val="auto"/>
          <w:sz w:val="32"/>
        </w:rPr>
      </w:pPr>
      <w:r>
        <w:rPr>
          <w:rFonts w:hint="eastAsia" w:eastAsia="黑体" w:cs="黑体"/>
          <w:bCs/>
          <w:color w:val="auto"/>
          <w:sz w:val="32"/>
        </w:rPr>
        <w:t>五、服务标准：</w:t>
      </w:r>
      <w:r>
        <w:rPr>
          <w:rFonts w:hint="eastAsia" w:eastAsia="仿宋_GB2312"/>
          <w:bCs/>
          <w:color w:val="auto"/>
          <w:sz w:val="32"/>
        </w:rPr>
        <w:t>按照各系统设施相关规范要求，开展消防设施维护保养服务工作，确保设施运行正常，满足甲方生产经营需求及消防安全需求。</w:t>
      </w:r>
    </w:p>
    <w:p>
      <w:pPr>
        <w:pStyle w:val="19"/>
        <w:keepNext w:val="0"/>
        <w:keepLines w:val="0"/>
        <w:pageBreakBefore w:val="0"/>
        <w:widowControl w:val="0"/>
        <w:kinsoku/>
        <w:wordWrap/>
        <w:overflowPunct/>
        <w:topLinePunct w:val="0"/>
        <w:bidi w:val="0"/>
        <w:spacing w:after="0" w:line="580" w:lineRule="exact"/>
        <w:ind w:left="0" w:leftChars="0" w:firstLine="0" w:firstLineChars="0"/>
        <w:textAlignment w:val="auto"/>
        <w:rPr>
          <w:rFonts w:hint="eastAsia" w:eastAsia="黑体" w:cs="黑体"/>
          <w:bCs/>
          <w:color w:val="auto"/>
          <w:sz w:val="32"/>
        </w:rPr>
      </w:pPr>
      <w:r>
        <w:rPr>
          <w:rFonts w:hint="eastAsia" w:eastAsia="黑体" w:cs="黑体"/>
          <w:bCs/>
          <w:color w:val="auto"/>
          <w:sz w:val="32"/>
        </w:rPr>
        <w:t xml:space="preserve">六、维护保养期限： </w:t>
      </w:r>
    </w:p>
    <w:p>
      <w:pPr>
        <w:keepNext w:val="0"/>
        <w:keepLines w:val="0"/>
        <w:pageBreakBefore w:val="0"/>
        <w:widowControl w:val="0"/>
        <w:kinsoku/>
        <w:wordWrap/>
        <w:overflowPunct/>
        <w:topLinePunct w:val="0"/>
        <w:autoSpaceDE w:val="0"/>
        <w:autoSpaceDN w:val="0"/>
        <w:bidi w:val="0"/>
        <w:spacing w:line="580" w:lineRule="exact"/>
        <w:ind w:firstLine="640" w:firstLineChars="200"/>
        <w:textAlignment w:val="auto"/>
        <w:rPr>
          <w:rFonts w:hint="eastAsia" w:eastAsia="仿宋_GB2312"/>
          <w:color w:val="auto"/>
          <w:sz w:val="32"/>
        </w:rPr>
      </w:pPr>
      <w:r>
        <w:rPr>
          <w:rFonts w:hint="eastAsia" w:eastAsia="仿宋_GB2312"/>
          <w:color w:val="auto"/>
          <w:sz w:val="32"/>
        </w:rPr>
        <w:t>1.</w:t>
      </w:r>
      <w:r>
        <w:rPr>
          <w:rFonts w:hint="eastAsia" w:eastAsia="仿宋_GB2312" w:cs="宋体"/>
          <w:color w:val="auto"/>
          <w:sz w:val="32"/>
        </w:rPr>
        <w:t>自</w:t>
      </w:r>
      <w:r>
        <w:rPr>
          <w:rFonts w:hint="eastAsia" w:eastAsia="仿宋_GB2312" w:cs="宋体"/>
          <w:color w:val="auto"/>
          <w:sz w:val="32"/>
          <w:u w:val="single"/>
        </w:rPr>
        <w:t>xxxx年 xx 月 XX 日开始至xxxx年 xx 月 XX 日</w:t>
      </w:r>
      <w:r>
        <w:rPr>
          <w:rFonts w:hint="eastAsia" w:eastAsia="仿宋_GB2312" w:cs="宋体"/>
          <w:color w:val="auto"/>
          <w:sz w:val="32"/>
        </w:rPr>
        <w:t>。</w:t>
      </w:r>
    </w:p>
    <w:p>
      <w:pPr>
        <w:keepNext w:val="0"/>
        <w:keepLines w:val="0"/>
        <w:pageBreakBefore w:val="0"/>
        <w:widowControl w:val="0"/>
        <w:kinsoku/>
        <w:wordWrap/>
        <w:overflowPunct/>
        <w:topLinePunct w:val="0"/>
        <w:autoSpaceDE w:val="0"/>
        <w:autoSpaceDN w:val="0"/>
        <w:bidi w:val="0"/>
        <w:spacing w:line="580" w:lineRule="exact"/>
        <w:ind w:firstLine="640" w:firstLineChars="200"/>
        <w:textAlignment w:val="auto"/>
        <w:rPr>
          <w:rFonts w:eastAsia="仿宋_GB2312"/>
          <w:color w:val="auto"/>
          <w:sz w:val="32"/>
        </w:rPr>
      </w:pPr>
      <w:r>
        <w:rPr>
          <w:rFonts w:hint="eastAsia" w:eastAsia="仿宋_GB2312"/>
          <w:color w:val="auto"/>
          <w:sz w:val="32"/>
        </w:rPr>
        <w:t>2. 为确保在合同工期内保质保量完工，乙方自愿承担本项目履行期间所产生的夜间工作和超时工作（如涉及），并自愿承担由此产生的一切所需及额外的劳务和费用。</w:t>
      </w:r>
    </w:p>
    <w:p>
      <w:pPr>
        <w:keepNext w:val="0"/>
        <w:keepLines w:val="0"/>
        <w:pageBreakBefore w:val="0"/>
        <w:widowControl w:val="0"/>
        <w:kinsoku/>
        <w:wordWrap/>
        <w:overflowPunct/>
        <w:topLinePunct w:val="0"/>
        <w:bidi w:val="0"/>
        <w:spacing w:line="580" w:lineRule="exact"/>
        <w:textAlignment w:val="auto"/>
        <w:rPr>
          <w:rFonts w:hint="eastAsia" w:eastAsia="黑体" w:cs="黑体"/>
          <w:bCs/>
          <w:color w:val="auto"/>
          <w:sz w:val="32"/>
        </w:rPr>
      </w:pPr>
      <w:r>
        <w:rPr>
          <w:rFonts w:hint="eastAsia" w:eastAsia="黑体" w:cs="黑体"/>
          <w:bCs/>
          <w:color w:val="auto"/>
          <w:sz w:val="32"/>
        </w:rPr>
        <w:t>七、服务费用：</w:t>
      </w:r>
    </w:p>
    <w:p>
      <w:pPr>
        <w:keepNext w:val="0"/>
        <w:keepLines w:val="0"/>
        <w:pageBreakBefore w:val="0"/>
        <w:widowControl w:val="0"/>
        <w:kinsoku/>
        <w:wordWrap/>
        <w:overflowPunct/>
        <w:topLinePunct w:val="0"/>
        <w:autoSpaceDE w:val="0"/>
        <w:autoSpaceDN w:val="0"/>
        <w:bidi w:val="0"/>
        <w:spacing w:line="580" w:lineRule="exact"/>
        <w:ind w:firstLine="640" w:firstLineChars="200"/>
        <w:textAlignment w:val="auto"/>
        <w:rPr>
          <w:rFonts w:hint="eastAsia" w:eastAsia="仿宋_GB2312" w:cs="宋体"/>
          <w:color w:val="auto"/>
          <w:sz w:val="32"/>
        </w:rPr>
      </w:pPr>
      <w:r>
        <w:rPr>
          <w:rFonts w:hint="eastAsia" w:eastAsia="仿宋_GB2312"/>
          <w:color w:val="auto"/>
          <w:sz w:val="32"/>
        </w:rPr>
        <w:t>1.合同金额为:</w:t>
      </w:r>
      <w:r>
        <w:rPr>
          <w:rFonts w:hint="eastAsia" w:eastAsia="仿宋_GB2312"/>
          <w:bCs/>
          <w:color w:val="auto"/>
          <w:sz w:val="32"/>
          <w:szCs w:val="30"/>
          <w:u w:val="single"/>
        </w:rPr>
        <w:t xml:space="preserve">￥      </w:t>
      </w:r>
      <w:r>
        <w:rPr>
          <w:rFonts w:hint="eastAsia" w:eastAsia="仿宋_GB2312"/>
          <w:color w:val="auto"/>
          <w:sz w:val="32"/>
        </w:rPr>
        <w:t>元,</w:t>
      </w:r>
      <w:r>
        <w:rPr>
          <w:rFonts w:eastAsia="仿宋_GB2312"/>
          <w:color w:val="auto"/>
          <w:sz w:val="32"/>
        </w:rPr>
        <w:t>大写：</w:t>
      </w:r>
      <w:r>
        <w:rPr>
          <w:rFonts w:hint="eastAsia" w:eastAsia="仿宋_GB2312"/>
          <w:color w:val="auto"/>
          <w:sz w:val="32"/>
          <w:u w:val="single"/>
        </w:rPr>
        <w:t xml:space="preserve">           </w:t>
      </w:r>
      <w:r>
        <w:rPr>
          <w:rFonts w:eastAsia="仿宋_GB2312"/>
          <w:color w:val="auto"/>
          <w:sz w:val="32"/>
        </w:rPr>
        <w:t>，税率为</w:t>
      </w:r>
      <w:r>
        <w:rPr>
          <w:rFonts w:hint="eastAsia" w:eastAsia="仿宋_GB2312"/>
          <w:color w:val="auto"/>
          <w:sz w:val="32"/>
          <w:u w:val="single"/>
        </w:rPr>
        <w:t xml:space="preserve">    </w:t>
      </w:r>
      <w:r>
        <w:rPr>
          <w:rFonts w:hint="eastAsia" w:eastAsia="仿宋_GB2312"/>
          <w:color w:val="auto"/>
          <w:sz w:val="32"/>
        </w:rPr>
        <w:t>%，</w:t>
      </w:r>
      <w:r>
        <w:rPr>
          <w:rFonts w:eastAsia="仿宋_GB2312"/>
          <w:color w:val="auto"/>
          <w:sz w:val="32"/>
        </w:rPr>
        <w:t>税额为</w:t>
      </w:r>
      <w:r>
        <w:rPr>
          <w:rFonts w:hint="eastAsia" w:eastAsia="仿宋_GB2312"/>
          <w:bCs/>
          <w:color w:val="auto"/>
          <w:sz w:val="32"/>
          <w:szCs w:val="30"/>
          <w:u w:val="single"/>
        </w:rPr>
        <w:t>￥</w:t>
      </w:r>
      <w:r>
        <w:rPr>
          <w:rFonts w:hint="eastAsia" w:eastAsia="仿宋_GB2312"/>
          <w:color w:val="auto"/>
          <w:sz w:val="32"/>
          <w:u w:val="single"/>
        </w:rPr>
        <w:t xml:space="preserve">     </w:t>
      </w:r>
      <w:r>
        <w:rPr>
          <w:rFonts w:hint="eastAsia" w:eastAsia="仿宋_GB2312"/>
          <w:color w:val="auto"/>
          <w:sz w:val="32"/>
        </w:rPr>
        <w:t>元</w:t>
      </w:r>
      <w:r>
        <w:rPr>
          <w:rFonts w:eastAsia="仿宋_GB2312"/>
          <w:color w:val="auto"/>
          <w:sz w:val="32"/>
        </w:rPr>
        <w:t>，大写</w:t>
      </w:r>
      <w:r>
        <w:rPr>
          <w:rFonts w:hint="eastAsia" w:eastAsia="仿宋_GB2312"/>
          <w:color w:val="auto"/>
          <w:sz w:val="32"/>
        </w:rPr>
        <w:t>:</w:t>
      </w:r>
      <w:r>
        <w:rPr>
          <w:rFonts w:hint="eastAsia" w:eastAsia="仿宋_GB2312"/>
          <w:color w:val="auto"/>
          <w:sz w:val="32"/>
          <w:u w:val="single"/>
        </w:rPr>
        <w:t xml:space="preserve">          </w:t>
      </w:r>
      <w:r>
        <w:rPr>
          <w:rFonts w:eastAsia="仿宋_GB2312"/>
          <w:color w:val="auto"/>
          <w:sz w:val="32"/>
        </w:rPr>
        <w:t>，不含税金额为</w:t>
      </w:r>
      <w:r>
        <w:rPr>
          <w:rFonts w:hint="eastAsia" w:eastAsia="仿宋_GB2312"/>
          <w:color w:val="auto"/>
          <w:sz w:val="32"/>
        </w:rPr>
        <w:t>:</w:t>
      </w:r>
      <w:r>
        <w:rPr>
          <w:rFonts w:hint="eastAsia" w:eastAsia="仿宋_GB2312"/>
          <w:bCs/>
          <w:color w:val="auto"/>
          <w:sz w:val="32"/>
          <w:szCs w:val="30"/>
          <w:u w:val="single"/>
        </w:rPr>
        <w:t>￥</w:t>
      </w:r>
      <w:r>
        <w:rPr>
          <w:rFonts w:hint="eastAsia" w:eastAsia="仿宋_GB2312"/>
          <w:color w:val="auto"/>
          <w:sz w:val="32"/>
          <w:u w:val="single"/>
        </w:rPr>
        <w:t xml:space="preserve">      </w:t>
      </w:r>
      <w:r>
        <w:rPr>
          <w:rFonts w:hint="eastAsia" w:eastAsia="仿宋_GB2312"/>
          <w:color w:val="auto"/>
          <w:sz w:val="32"/>
        </w:rPr>
        <w:t>元</w:t>
      </w:r>
      <w:r>
        <w:rPr>
          <w:rFonts w:eastAsia="仿宋_GB2312"/>
          <w:color w:val="auto"/>
          <w:sz w:val="32"/>
        </w:rPr>
        <w:t>，大写：</w:t>
      </w:r>
      <w:r>
        <w:rPr>
          <w:rFonts w:hint="eastAsia" w:eastAsia="仿宋_GB2312"/>
          <w:color w:val="auto"/>
          <w:sz w:val="32"/>
          <w:u w:val="single"/>
        </w:rPr>
        <w:t xml:space="preserve">                    </w:t>
      </w:r>
      <w:r>
        <w:rPr>
          <w:rFonts w:hint="eastAsia" w:eastAsia="仿宋_GB2312" w:cs="宋体"/>
          <w:color w:val="auto"/>
          <w:sz w:val="32"/>
        </w:rPr>
        <w:t>。</w:t>
      </w:r>
    </w:p>
    <w:p>
      <w:pPr>
        <w:keepNext w:val="0"/>
        <w:keepLines w:val="0"/>
        <w:pageBreakBefore w:val="0"/>
        <w:widowControl w:val="0"/>
        <w:kinsoku/>
        <w:wordWrap/>
        <w:overflowPunct/>
        <w:topLinePunct w:val="0"/>
        <w:bidi w:val="0"/>
        <w:spacing w:line="580" w:lineRule="exact"/>
        <w:textAlignment w:val="auto"/>
        <w:rPr>
          <w:rFonts w:hint="eastAsia" w:eastAsia="黑体" w:cs="黑体"/>
          <w:bCs/>
          <w:color w:val="auto"/>
          <w:sz w:val="32"/>
        </w:rPr>
      </w:pPr>
      <w:r>
        <w:rPr>
          <w:rFonts w:hint="eastAsia" w:eastAsia="黑体" w:cs="黑体"/>
          <w:bCs/>
          <w:color w:val="auto"/>
          <w:sz w:val="32"/>
        </w:rPr>
        <w:t>八、支付方式</w:t>
      </w:r>
    </w:p>
    <w:p>
      <w:pPr>
        <w:keepNext w:val="0"/>
        <w:keepLines w:val="0"/>
        <w:pageBreakBefore w:val="0"/>
        <w:widowControl w:val="0"/>
        <w:kinsoku/>
        <w:wordWrap/>
        <w:overflowPunct/>
        <w:topLinePunct w:val="0"/>
        <w:autoSpaceDE w:val="0"/>
        <w:autoSpaceDN w:val="0"/>
        <w:bidi w:val="0"/>
        <w:spacing w:line="580" w:lineRule="exact"/>
        <w:textAlignment w:val="auto"/>
        <w:rPr>
          <w:rFonts w:hint="eastAsia" w:eastAsia="仿宋_GB2312" w:cs="宋体"/>
          <w:color w:val="auto"/>
          <w:sz w:val="32"/>
        </w:rPr>
      </w:pPr>
      <w:r>
        <w:rPr>
          <w:rFonts w:hint="eastAsia" w:eastAsia="仿宋_GB2312" w:cs="宋体"/>
          <w:color w:val="auto"/>
          <w:sz w:val="32"/>
        </w:rPr>
        <w:t>1.支付方式：按月进行结算，</w:t>
      </w:r>
      <w:bookmarkStart w:id="4" w:name="OLE_LINK1"/>
      <w:r>
        <w:rPr>
          <w:rFonts w:hint="eastAsia" w:eastAsia="仿宋_GB2312" w:cs="宋体"/>
          <w:color w:val="auto"/>
          <w:sz w:val="32"/>
        </w:rPr>
        <w:t>乙方每次完成维保服务后，并出具</w:t>
      </w:r>
      <w:bookmarkEnd w:id="4"/>
      <w:r>
        <w:rPr>
          <w:rFonts w:hint="eastAsia" w:eastAsia="仿宋_GB2312" w:cs="宋体"/>
          <w:color w:val="auto"/>
          <w:sz w:val="32"/>
        </w:rPr>
        <w:t>甲方认可</w:t>
      </w:r>
      <w:r>
        <w:rPr>
          <w:rFonts w:hint="eastAsia" w:eastAsia="仿宋_GB2312"/>
          <w:color w:val="auto"/>
          <w:sz w:val="32"/>
        </w:rPr>
        <w:t>的维护保养/检查记录表</w:t>
      </w:r>
      <w:r>
        <w:rPr>
          <w:rFonts w:hint="eastAsia" w:eastAsia="仿宋_GB2312" w:cs="宋体"/>
          <w:color w:val="auto"/>
          <w:sz w:val="32"/>
        </w:rPr>
        <w:t>。</w:t>
      </w:r>
    </w:p>
    <w:p>
      <w:pPr>
        <w:pStyle w:val="19"/>
        <w:keepNext w:val="0"/>
        <w:keepLines w:val="0"/>
        <w:pageBreakBefore w:val="0"/>
        <w:widowControl w:val="0"/>
        <w:kinsoku/>
        <w:wordWrap/>
        <w:overflowPunct/>
        <w:topLinePunct w:val="0"/>
        <w:bidi w:val="0"/>
        <w:spacing w:after="0" w:line="580" w:lineRule="exact"/>
        <w:ind w:left="0" w:leftChars="0" w:firstLine="0" w:firstLineChars="0"/>
        <w:textAlignment w:val="auto"/>
        <w:rPr>
          <w:rFonts w:hint="eastAsia" w:eastAsia="仿宋_GB2312" w:cs="宋体"/>
          <w:color w:val="auto"/>
          <w:sz w:val="32"/>
        </w:rPr>
      </w:pPr>
      <w:r>
        <w:rPr>
          <w:rFonts w:hint="eastAsia" w:eastAsia="仿宋_GB2312" w:cs="宋体"/>
          <w:color w:val="auto"/>
          <w:sz w:val="32"/>
        </w:rPr>
        <w:t>2.合同履约保证金：合同总额的</w:t>
      </w:r>
      <w:r>
        <w:rPr>
          <w:rFonts w:hint="eastAsia" w:eastAsia="仿宋_GB2312" w:cs="宋体"/>
          <w:color w:val="auto"/>
          <w:sz w:val="32"/>
          <w:u w:val="single"/>
        </w:rPr>
        <w:t xml:space="preserve">   </w:t>
      </w:r>
      <w:r>
        <w:rPr>
          <w:rFonts w:hint="eastAsia" w:eastAsia="仿宋_GB2312" w:cs="宋体"/>
          <w:color w:val="auto"/>
          <w:sz w:val="32"/>
        </w:rPr>
        <w:t>%，即人民币</w:t>
      </w:r>
      <w:r>
        <w:rPr>
          <w:rFonts w:hint="eastAsia" w:eastAsia="仿宋_GB2312" w:cs="宋体"/>
          <w:color w:val="auto"/>
          <w:sz w:val="32"/>
          <w:u w:val="single"/>
        </w:rPr>
        <w:t xml:space="preserve">     </w:t>
      </w:r>
      <w:r>
        <w:rPr>
          <w:rFonts w:hint="eastAsia" w:eastAsia="仿宋_GB2312" w:cs="宋体"/>
          <w:color w:val="auto"/>
          <w:sz w:val="32"/>
        </w:rPr>
        <w:t>元（大写</w:t>
      </w:r>
      <w:r>
        <w:rPr>
          <w:rFonts w:hint="eastAsia" w:eastAsia="仿宋_GB2312" w:cs="宋体"/>
          <w:color w:val="auto"/>
          <w:sz w:val="32"/>
          <w:u w:val="single"/>
        </w:rPr>
        <w:t xml:space="preserve">      </w:t>
      </w:r>
      <w:r>
        <w:rPr>
          <w:rFonts w:hint="eastAsia" w:eastAsia="仿宋_GB2312" w:cs="宋体"/>
          <w:color w:val="auto"/>
          <w:sz w:val="32"/>
        </w:rPr>
        <w:t>），乙方须在合同签订后</w:t>
      </w:r>
      <w:r>
        <w:rPr>
          <w:rFonts w:hint="eastAsia" w:eastAsia="仿宋_GB2312" w:cs="宋体"/>
          <w:color w:val="auto"/>
          <w:sz w:val="32"/>
          <w:u w:val="single"/>
        </w:rPr>
        <w:t xml:space="preserve">   </w:t>
      </w:r>
      <w:r>
        <w:rPr>
          <w:rFonts w:hint="eastAsia" w:eastAsia="仿宋_GB2312" w:cs="宋体"/>
          <w:color w:val="auto"/>
          <w:sz w:val="32"/>
        </w:rPr>
        <w:t>个自然日内，通过转账形式缴纳至甲方，待合同履行完毕，未出现违约事项将全额无息退回，反之，在扣除相应违约金额后再无息退还剩余部分履约保证金。如乙方未按约定期限缴纳履约保证金，甲方有权从应付款项中扣除履约保证金。</w:t>
      </w:r>
    </w:p>
    <w:p>
      <w:pPr>
        <w:pStyle w:val="19"/>
        <w:keepNext w:val="0"/>
        <w:keepLines w:val="0"/>
        <w:pageBreakBefore w:val="0"/>
        <w:widowControl w:val="0"/>
        <w:kinsoku/>
        <w:wordWrap/>
        <w:overflowPunct/>
        <w:topLinePunct w:val="0"/>
        <w:bidi w:val="0"/>
        <w:spacing w:after="0" w:line="580" w:lineRule="exact"/>
        <w:ind w:left="0" w:leftChars="0" w:firstLine="0" w:firstLineChars="0"/>
        <w:textAlignment w:val="auto"/>
        <w:rPr>
          <w:rFonts w:hint="eastAsia" w:eastAsia="仿宋_GB2312" w:cs="宋体"/>
          <w:color w:val="auto"/>
          <w:sz w:val="32"/>
          <w:lang w:val="zh-CN"/>
        </w:rPr>
      </w:pPr>
      <w:r>
        <w:rPr>
          <w:rFonts w:hint="eastAsia" w:eastAsia="仿宋_GB2312" w:cs="宋体"/>
          <w:color w:val="auto"/>
          <w:sz w:val="32"/>
        </w:rPr>
        <w:t>3.</w:t>
      </w:r>
      <w:r>
        <w:rPr>
          <w:rFonts w:hint="eastAsia" w:eastAsia="仿宋_GB2312" w:cs="宋体"/>
          <w:color w:val="auto"/>
          <w:sz w:val="32"/>
          <w:lang w:val="zh-CN"/>
        </w:rPr>
        <w:t>乙方</w:t>
      </w:r>
      <w:r>
        <w:rPr>
          <w:rFonts w:hint="eastAsia" w:eastAsia="仿宋_GB2312" w:cs="宋体"/>
          <w:color w:val="auto"/>
          <w:sz w:val="32"/>
        </w:rPr>
        <w:t>在维保服务工作完成经甲方验收合格后，</w:t>
      </w:r>
      <w:r>
        <w:rPr>
          <w:rFonts w:hint="eastAsia" w:eastAsia="仿宋_GB2312" w:cs="宋体"/>
          <w:color w:val="auto"/>
          <w:sz w:val="32"/>
          <w:lang w:val="zh-CN"/>
        </w:rPr>
        <w:t>向甲方开具足额合法增值税专用发票，乙方可提供的增值税专用发票税率为</w:t>
      </w:r>
      <w:r>
        <w:rPr>
          <w:rFonts w:hint="eastAsia" w:eastAsia="仿宋_GB2312" w:cs="宋体"/>
          <w:color w:val="auto"/>
          <w:sz w:val="32"/>
          <w:u w:val="single"/>
        </w:rPr>
        <w:t xml:space="preserve">   </w:t>
      </w:r>
      <w:r>
        <w:rPr>
          <w:rFonts w:hint="eastAsia" w:eastAsia="仿宋_GB2312" w:cs="宋体"/>
          <w:color w:val="auto"/>
          <w:sz w:val="32"/>
          <w:lang w:val="zh-CN"/>
        </w:rPr>
        <w:t>%。否则甲方有权顺延付款，且不承担违约责任。</w:t>
      </w:r>
    </w:p>
    <w:p>
      <w:pPr>
        <w:keepNext w:val="0"/>
        <w:keepLines w:val="0"/>
        <w:pageBreakBefore w:val="0"/>
        <w:widowControl w:val="0"/>
        <w:kinsoku/>
        <w:wordWrap/>
        <w:overflowPunct/>
        <w:topLinePunct w:val="0"/>
        <w:autoSpaceDN w:val="0"/>
        <w:bidi w:val="0"/>
        <w:spacing w:line="580" w:lineRule="exact"/>
        <w:textAlignment w:val="auto"/>
        <w:rPr>
          <w:rFonts w:hint="eastAsia" w:eastAsia="仿宋_GB2312" w:cs="宋体"/>
          <w:color w:val="auto"/>
          <w:sz w:val="32"/>
        </w:rPr>
      </w:pPr>
      <w:r>
        <w:rPr>
          <w:rFonts w:hint="eastAsia" w:eastAsia="仿宋_GB2312" w:cs="宋体"/>
          <w:color w:val="auto"/>
          <w:sz w:val="32"/>
        </w:rPr>
        <w:t>4.如乙方开具的发票不规范、不合法或涉嫌虚开，乙方要承担相应法律责任，并必须履行其开具合法、合规增值税专用发票的义务，承担包括但不限于税款、滞纳金、罚款及相关违约责任、赔偿损失等。</w:t>
      </w:r>
    </w:p>
    <w:p>
      <w:pPr>
        <w:keepNext w:val="0"/>
        <w:keepLines w:val="0"/>
        <w:pageBreakBefore w:val="0"/>
        <w:widowControl w:val="0"/>
        <w:kinsoku/>
        <w:wordWrap/>
        <w:overflowPunct/>
        <w:topLinePunct w:val="0"/>
        <w:autoSpaceDN w:val="0"/>
        <w:bidi w:val="0"/>
        <w:spacing w:line="580" w:lineRule="exact"/>
        <w:textAlignment w:val="auto"/>
        <w:rPr>
          <w:rFonts w:hint="eastAsia" w:eastAsia="仿宋_GB2312" w:cs="宋体"/>
          <w:color w:val="auto"/>
          <w:sz w:val="32"/>
          <w:lang w:val="zh-CN"/>
        </w:rPr>
      </w:pPr>
      <w:r>
        <w:rPr>
          <w:rFonts w:hint="eastAsia" w:eastAsia="仿宋_GB2312" w:cs="宋体"/>
          <w:color w:val="auto"/>
          <w:sz w:val="32"/>
        </w:rPr>
        <w:t>5.</w:t>
      </w:r>
      <w:r>
        <w:rPr>
          <w:rFonts w:hint="eastAsia" w:eastAsia="仿宋_GB2312" w:cs="宋体"/>
          <w:color w:val="auto"/>
          <w:sz w:val="32"/>
          <w:lang w:val="zh-CN"/>
        </w:rPr>
        <w:t>豁免条款：甲方应依约按时给付合同款。如确因甲方合同审批、财务流程等客观因素导致款项未能按时给付的，乙方表示理解并承诺豁免甲方逾期付款的违约责任；经乙方催促或甲乙双方书面协商给付日期后，甲方应在合理时间内及时给付。</w:t>
      </w:r>
    </w:p>
    <w:p>
      <w:pPr>
        <w:keepNext w:val="0"/>
        <w:keepLines w:val="0"/>
        <w:pageBreakBefore w:val="0"/>
        <w:widowControl w:val="0"/>
        <w:kinsoku/>
        <w:wordWrap/>
        <w:overflowPunct/>
        <w:topLinePunct w:val="0"/>
        <w:autoSpaceDN w:val="0"/>
        <w:bidi w:val="0"/>
        <w:spacing w:line="580" w:lineRule="exact"/>
        <w:textAlignment w:val="auto"/>
        <w:rPr>
          <w:rFonts w:hint="eastAsia" w:eastAsia="仿宋_GB2312" w:cs="宋体"/>
          <w:color w:val="auto"/>
          <w:sz w:val="32"/>
        </w:rPr>
      </w:pPr>
      <w:r>
        <w:rPr>
          <w:rFonts w:hint="eastAsia" w:eastAsia="仿宋_GB2312" w:cs="宋体"/>
          <w:color w:val="auto"/>
          <w:sz w:val="32"/>
        </w:rPr>
        <w:t>6.本合同中未特别说明的不含税金额（即金额）如遇相关部门调整税率，双方同意，自税率调整之日起，以原不含税金额为基准数，按照调整后的税率重新计算价税合计的总金额，并最终作为甲方支付乙方的总金额。</w:t>
      </w:r>
    </w:p>
    <w:p>
      <w:pPr>
        <w:pStyle w:val="17"/>
        <w:keepNext w:val="0"/>
        <w:keepLines w:val="0"/>
        <w:pageBreakBefore w:val="0"/>
        <w:widowControl w:val="0"/>
        <w:kinsoku/>
        <w:wordWrap/>
        <w:overflowPunct/>
        <w:topLinePunct w:val="0"/>
        <w:bidi w:val="0"/>
        <w:spacing w:before="0" w:beforeAutospacing="0" w:after="0" w:afterAutospacing="0" w:line="580" w:lineRule="exact"/>
        <w:jc w:val="both"/>
        <w:textAlignment w:val="auto"/>
        <w:rPr>
          <w:rFonts w:hint="eastAsia" w:ascii="Times New Roman" w:hAnsi="Times New Roman" w:eastAsia="仿宋_GB2312"/>
          <w:color w:val="auto"/>
          <w:sz w:val="32"/>
        </w:rPr>
      </w:pPr>
      <w:r>
        <w:rPr>
          <w:rFonts w:hint="eastAsia" w:ascii="Times New Roman" w:hAnsi="Times New Roman" w:eastAsia="仿宋_GB2312" w:cs="宋体"/>
          <w:color w:val="auto"/>
          <w:kern w:val="2"/>
          <w:sz w:val="32"/>
          <w:lang w:bidi="ar"/>
        </w:rPr>
        <w:t>7.</w:t>
      </w:r>
      <w:r>
        <w:rPr>
          <w:rFonts w:hint="eastAsia" w:ascii="Times New Roman" w:hAnsi="Times New Roman" w:eastAsia="仿宋_GB2312" w:cs="宋体"/>
          <w:color w:val="auto"/>
          <w:kern w:val="2"/>
          <w:sz w:val="32"/>
          <w:szCs w:val="21"/>
          <w:lang w:bidi="ar"/>
        </w:rPr>
        <w:t>甲方所有款项费用支付方式为银行转账汇款，乙方需配合开通与甲方一致的同城同行账户，如乙方非同城同行账户，乙方承担转账所产生的相关手续费用。</w:t>
      </w:r>
    </w:p>
    <w:p>
      <w:pPr>
        <w:keepNext w:val="0"/>
        <w:keepLines w:val="0"/>
        <w:pageBreakBefore w:val="0"/>
        <w:widowControl w:val="0"/>
        <w:kinsoku/>
        <w:wordWrap/>
        <w:overflowPunct/>
        <w:topLinePunct w:val="0"/>
        <w:autoSpaceDN w:val="0"/>
        <w:bidi w:val="0"/>
        <w:spacing w:line="580" w:lineRule="exact"/>
        <w:textAlignment w:val="auto"/>
        <w:rPr>
          <w:rFonts w:eastAsia="仿宋_GB2312" w:cs="宋体"/>
          <w:color w:val="auto"/>
          <w:sz w:val="32"/>
        </w:rPr>
      </w:pPr>
      <w:r>
        <w:rPr>
          <w:rFonts w:hint="eastAsia" w:eastAsia="仿宋_GB2312" w:cs="宋体"/>
          <w:color w:val="auto"/>
          <w:sz w:val="32"/>
        </w:rPr>
        <w:t>7.1乙方应按照甲方要求，及时向甲方开具可以抵扣税款的增值税专用发票。</w:t>
      </w:r>
    </w:p>
    <w:p>
      <w:pPr>
        <w:keepNext w:val="0"/>
        <w:keepLines w:val="0"/>
        <w:pageBreakBefore w:val="0"/>
        <w:widowControl w:val="0"/>
        <w:kinsoku/>
        <w:wordWrap/>
        <w:overflowPunct/>
        <w:topLinePunct w:val="0"/>
        <w:autoSpaceDN w:val="0"/>
        <w:bidi w:val="0"/>
        <w:spacing w:line="580" w:lineRule="exact"/>
        <w:textAlignment w:val="auto"/>
        <w:rPr>
          <w:rFonts w:eastAsia="仿宋_GB2312" w:cs="宋体"/>
          <w:color w:val="auto"/>
          <w:sz w:val="32"/>
        </w:rPr>
      </w:pPr>
      <w:r>
        <w:rPr>
          <w:rFonts w:hint="eastAsia" w:eastAsia="仿宋_GB2312" w:cs="宋体"/>
          <w:color w:val="auto"/>
          <w:sz w:val="32"/>
        </w:rPr>
        <w:t>7.2乙方必须确保发票票面信息全部真实，相关名目、价款等内容与本合同相一致。</w:t>
      </w:r>
    </w:p>
    <w:p>
      <w:pPr>
        <w:keepNext w:val="0"/>
        <w:keepLines w:val="0"/>
        <w:pageBreakBefore w:val="0"/>
        <w:widowControl w:val="0"/>
        <w:kinsoku/>
        <w:wordWrap/>
        <w:overflowPunct/>
        <w:topLinePunct w:val="0"/>
        <w:autoSpaceDN w:val="0"/>
        <w:bidi w:val="0"/>
        <w:spacing w:line="580" w:lineRule="exact"/>
        <w:textAlignment w:val="auto"/>
        <w:rPr>
          <w:rFonts w:eastAsia="仿宋_GB2312" w:cs="宋体"/>
          <w:color w:val="auto"/>
          <w:sz w:val="32"/>
        </w:rPr>
      </w:pPr>
      <w:r>
        <w:rPr>
          <w:rFonts w:hint="eastAsia" w:eastAsia="仿宋_GB2312" w:cs="宋体"/>
          <w:color w:val="auto"/>
          <w:sz w:val="32"/>
        </w:rPr>
        <w:t>7.3</w:t>
      </w:r>
      <w:r>
        <w:rPr>
          <w:rFonts w:hint="eastAsia" w:eastAsia="仿宋_GB2312" w:cs="宋体"/>
          <w:color w:val="auto"/>
          <w:sz w:val="32"/>
          <w:lang w:val="en-US" w:eastAsia="zh-CN"/>
        </w:rPr>
        <w:t>服务期内如涉及</w:t>
      </w:r>
      <w:r>
        <w:rPr>
          <w:rFonts w:hint="eastAsia" w:eastAsia="仿宋_GB2312" w:cs="宋体"/>
          <w:color w:val="auto"/>
          <w:sz w:val="32"/>
        </w:rPr>
        <w:t>价外费用，</w:t>
      </w:r>
      <w:r>
        <w:rPr>
          <w:rFonts w:hint="eastAsia" w:eastAsia="仿宋_GB2312" w:cs="宋体"/>
          <w:color w:val="auto"/>
          <w:sz w:val="32"/>
          <w:lang w:val="en-US" w:eastAsia="zh-CN"/>
        </w:rPr>
        <w:t>乙方</w:t>
      </w:r>
      <w:r>
        <w:rPr>
          <w:rFonts w:hint="eastAsia" w:eastAsia="仿宋_GB2312" w:cs="宋体"/>
          <w:color w:val="auto"/>
          <w:sz w:val="32"/>
        </w:rPr>
        <w:t>需依法开具增值税专用发票。</w:t>
      </w:r>
    </w:p>
    <w:p>
      <w:pPr>
        <w:keepNext w:val="0"/>
        <w:keepLines w:val="0"/>
        <w:pageBreakBefore w:val="0"/>
        <w:widowControl w:val="0"/>
        <w:kinsoku/>
        <w:wordWrap/>
        <w:overflowPunct/>
        <w:topLinePunct w:val="0"/>
        <w:autoSpaceDN w:val="0"/>
        <w:bidi w:val="0"/>
        <w:spacing w:line="580" w:lineRule="exact"/>
        <w:textAlignment w:val="auto"/>
        <w:rPr>
          <w:rFonts w:eastAsia="仿宋_GB2312" w:cs="宋体"/>
          <w:color w:val="auto"/>
          <w:sz w:val="32"/>
        </w:rPr>
      </w:pPr>
      <w:r>
        <w:rPr>
          <w:rFonts w:hint="eastAsia" w:eastAsia="仿宋_GB2312" w:cs="宋体"/>
          <w:color w:val="auto"/>
          <w:sz w:val="32"/>
        </w:rPr>
        <w:t>7.4因乙方提供票据原因致使甲方不能抵扣增值税或企业所得税的，乙方应予以相应金额的补偿，并承担由此给甲方造成的损失。</w:t>
      </w:r>
    </w:p>
    <w:p>
      <w:pPr>
        <w:keepNext w:val="0"/>
        <w:keepLines w:val="0"/>
        <w:pageBreakBefore w:val="0"/>
        <w:widowControl w:val="0"/>
        <w:kinsoku/>
        <w:wordWrap/>
        <w:overflowPunct/>
        <w:topLinePunct w:val="0"/>
        <w:autoSpaceDN w:val="0"/>
        <w:bidi w:val="0"/>
        <w:spacing w:line="580" w:lineRule="exact"/>
        <w:textAlignment w:val="auto"/>
        <w:rPr>
          <w:rFonts w:eastAsia="仿宋_GB2312" w:cs="宋体"/>
          <w:color w:val="auto"/>
          <w:sz w:val="32"/>
        </w:rPr>
      </w:pPr>
      <w:r>
        <w:rPr>
          <w:rFonts w:hint="eastAsia" w:eastAsia="仿宋_GB2312" w:cs="宋体"/>
          <w:color w:val="auto"/>
          <w:sz w:val="32"/>
        </w:rPr>
        <w:t>7.5乙方不得因营改增原因，要求甲方额外承担增值税款。</w:t>
      </w:r>
    </w:p>
    <w:p>
      <w:pPr>
        <w:keepNext w:val="0"/>
        <w:keepLines w:val="0"/>
        <w:pageBreakBefore w:val="0"/>
        <w:widowControl w:val="0"/>
        <w:kinsoku/>
        <w:wordWrap/>
        <w:overflowPunct/>
        <w:topLinePunct w:val="0"/>
        <w:autoSpaceDN w:val="0"/>
        <w:bidi w:val="0"/>
        <w:spacing w:line="580" w:lineRule="exact"/>
        <w:ind w:firstLine="420"/>
        <w:textAlignment w:val="auto"/>
        <w:rPr>
          <w:rFonts w:hint="eastAsia" w:eastAsia="仿宋_GB2312"/>
          <w:color w:val="auto"/>
          <w:sz w:val="32"/>
        </w:rPr>
      </w:pPr>
      <w:r>
        <w:rPr>
          <w:rFonts w:hint="eastAsia" w:eastAsia="仿宋_GB2312" w:cs="宋体"/>
          <w:color w:val="auto"/>
          <w:sz w:val="32"/>
        </w:rPr>
        <w:t>当乙方未能完全执行本合同中的条款时，甲方保留停止或减少支付给乙方服务费用的权利。</w:t>
      </w:r>
    </w:p>
    <w:p>
      <w:pPr>
        <w:keepNext w:val="0"/>
        <w:keepLines w:val="0"/>
        <w:pageBreakBefore w:val="0"/>
        <w:widowControl w:val="0"/>
        <w:kinsoku/>
        <w:wordWrap/>
        <w:overflowPunct/>
        <w:topLinePunct w:val="0"/>
        <w:bidi w:val="0"/>
        <w:spacing w:line="580" w:lineRule="exact"/>
        <w:textAlignment w:val="auto"/>
        <w:rPr>
          <w:rFonts w:hint="eastAsia" w:eastAsia="黑体" w:cs="黑体"/>
          <w:bCs/>
          <w:color w:val="auto"/>
          <w:sz w:val="32"/>
        </w:rPr>
      </w:pPr>
      <w:r>
        <w:rPr>
          <w:rFonts w:hint="eastAsia" w:eastAsia="黑体" w:cs="黑体"/>
          <w:bCs/>
          <w:color w:val="auto"/>
          <w:sz w:val="32"/>
        </w:rPr>
        <w:t>九、甲方的权利义务：</w:t>
      </w:r>
    </w:p>
    <w:p>
      <w:pPr>
        <w:keepNext w:val="0"/>
        <w:keepLines w:val="0"/>
        <w:pageBreakBefore w:val="0"/>
        <w:widowControl w:val="0"/>
        <w:tabs>
          <w:tab w:val="left" w:pos="0"/>
        </w:tabs>
        <w:kinsoku/>
        <w:wordWrap/>
        <w:overflowPunct/>
        <w:topLinePunct w:val="0"/>
        <w:bidi w:val="0"/>
        <w:adjustRightInd w:val="0"/>
        <w:snapToGrid w:val="0"/>
        <w:spacing w:line="580" w:lineRule="exact"/>
        <w:ind w:firstLine="640" w:firstLineChars="200"/>
        <w:textAlignment w:val="auto"/>
        <w:rPr>
          <w:rFonts w:hint="eastAsia" w:eastAsia="仿宋_GB2312"/>
          <w:color w:val="auto"/>
          <w:sz w:val="32"/>
          <w:szCs w:val="21"/>
        </w:rPr>
      </w:pPr>
      <w:r>
        <w:rPr>
          <w:rFonts w:hint="eastAsia" w:eastAsia="仿宋_GB2312"/>
          <w:color w:val="auto"/>
          <w:sz w:val="32"/>
          <w:szCs w:val="21"/>
        </w:rPr>
        <w:t>1.甲方为乙方的维保作业提供必要的水、电以及存放专用工具场所（地点及面积由甲方指定）。</w:t>
      </w:r>
    </w:p>
    <w:p>
      <w:pPr>
        <w:keepNext w:val="0"/>
        <w:keepLines w:val="0"/>
        <w:pageBreakBefore w:val="0"/>
        <w:widowControl w:val="0"/>
        <w:tabs>
          <w:tab w:val="left" w:pos="0"/>
        </w:tabs>
        <w:kinsoku/>
        <w:wordWrap/>
        <w:overflowPunct/>
        <w:topLinePunct w:val="0"/>
        <w:bidi w:val="0"/>
        <w:adjustRightInd w:val="0"/>
        <w:snapToGrid w:val="0"/>
        <w:spacing w:line="580" w:lineRule="exact"/>
        <w:ind w:firstLine="640" w:firstLineChars="200"/>
        <w:textAlignment w:val="auto"/>
        <w:rPr>
          <w:rFonts w:hint="eastAsia" w:eastAsia="仿宋_GB2312"/>
          <w:color w:val="auto"/>
          <w:sz w:val="32"/>
          <w:szCs w:val="21"/>
        </w:rPr>
      </w:pPr>
      <w:r>
        <w:rPr>
          <w:rFonts w:hint="eastAsia" w:eastAsia="仿宋_GB2312"/>
          <w:color w:val="auto"/>
          <w:sz w:val="32"/>
          <w:szCs w:val="21"/>
        </w:rPr>
        <w:t>2.甲方指派专人对乙方给予必要配合。如乙方要求给予合理协助，或提出合理建议，甲方认可后应给予全力支持。</w:t>
      </w:r>
    </w:p>
    <w:p>
      <w:pPr>
        <w:keepNext w:val="0"/>
        <w:keepLines w:val="0"/>
        <w:pageBreakBefore w:val="0"/>
        <w:widowControl w:val="0"/>
        <w:tabs>
          <w:tab w:val="left" w:pos="0"/>
        </w:tabs>
        <w:kinsoku/>
        <w:wordWrap/>
        <w:overflowPunct/>
        <w:topLinePunct w:val="0"/>
        <w:bidi w:val="0"/>
        <w:adjustRightInd w:val="0"/>
        <w:snapToGrid w:val="0"/>
        <w:spacing w:line="580" w:lineRule="exact"/>
        <w:ind w:firstLine="640" w:firstLineChars="200"/>
        <w:textAlignment w:val="auto"/>
        <w:rPr>
          <w:rFonts w:hint="eastAsia" w:eastAsia="仿宋_GB2312"/>
          <w:color w:val="auto"/>
          <w:sz w:val="32"/>
          <w:szCs w:val="21"/>
        </w:rPr>
      </w:pPr>
      <w:r>
        <w:rPr>
          <w:rFonts w:hint="eastAsia" w:eastAsia="仿宋_GB2312"/>
          <w:color w:val="auto"/>
          <w:sz w:val="32"/>
          <w:szCs w:val="21"/>
        </w:rPr>
        <w:t>3.甲方不因签署、执行本合同及对乙方人员实施现场监管而与乙方人员建立劳动或劳务关系，也不因此代乙方对其人员承担任何安全及管理责任。</w:t>
      </w:r>
    </w:p>
    <w:p>
      <w:pPr>
        <w:keepNext w:val="0"/>
        <w:keepLines w:val="0"/>
        <w:pageBreakBefore w:val="0"/>
        <w:widowControl w:val="0"/>
        <w:tabs>
          <w:tab w:val="left" w:pos="0"/>
        </w:tabs>
        <w:kinsoku/>
        <w:wordWrap/>
        <w:overflowPunct/>
        <w:topLinePunct w:val="0"/>
        <w:bidi w:val="0"/>
        <w:adjustRightInd w:val="0"/>
        <w:snapToGrid w:val="0"/>
        <w:spacing w:line="580" w:lineRule="exact"/>
        <w:ind w:firstLine="640" w:firstLineChars="200"/>
        <w:textAlignment w:val="auto"/>
        <w:rPr>
          <w:rFonts w:hint="eastAsia" w:eastAsia="仿宋_GB2312"/>
          <w:color w:val="auto"/>
          <w:sz w:val="32"/>
          <w:szCs w:val="21"/>
        </w:rPr>
      </w:pPr>
      <w:r>
        <w:rPr>
          <w:rFonts w:hint="eastAsia" w:eastAsia="仿宋_GB2312"/>
          <w:color w:val="auto"/>
          <w:sz w:val="32"/>
          <w:szCs w:val="21"/>
        </w:rPr>
        <w:t>4.负责对乙方的服务质量和服务项目进行考核和确认，监督乙方工作人员按照本合同约定进行维保服务工作，如因乙方过失造成甲方或造成他人人身伤害及财产损失，由乙方按照甲方的实际损失进行赔偿全部经济损失并承担全部责任。</w:t>
      </w:r>
    </w:p>
    <w:p>
      <w:pPr>
        <w:keepNext w:val="0"/>
        <w:keepLines w:val="0"/>
        <w:pageBreakBefore w:val="0"/>
        <w:widowControl w:val="0"/>
        <w:tabs>
          <w:tab w:val="left" w:pos="0"/>
        </w:tabs>
        <w:kinsoku/>
        <w:wordWrap/>
        <w:overflowPunct/>
        <w:topLinePunct w:val="0"/>
        <w:bidi w:val="0"/>
        <w:adjustRightInd w:val="0"/>
        <w:snapToGrid w:val="0"/>
        <w:spacing w:line="580" w:lineRule="exact"/>
        <w:ind w:firstLine="640" w:firstLineChars="200"/>
        <w:textAlignment w:val="auto"/>
        <w:rPr>
          <w:rFonts w:hint="eastAsia"/>
          <w:color w:val="auto"/>
        </w:rPr>
      </w:pPr>
      <w:r>
        <w:rPr>
          <w:rFonts w:hint="eastAsia" w:eastAsia="仿宋_GB2312"/>
          <w:color w:val="auto"/>
          <w:sz w:val="32"/>
          <w:szCs w:val="21"/>
        </w:rPr>
        <w:t>5.甲乙双方应在合同生效后做好消防资料的交接工作，并对整个消防系统及设备进行全面测试。如发现系统设备有故障或损坏，费用标准按照第十一条款“工作要求及服务标准”项下：第4.7.6条执行。</w:t>
      </w:r>
    </w:p>
    <w:p>
      <w:pPr>
        <w:keepNext w:val="0"/>
        <w:keepLines w:val="0"/>
        <w:pageBreakBefore w:val="0"/>
        <w:widowControl w:val="0"/>
        <w:tabs>
          <w:tab w:val="left" w:pos="0"/>
        </w:tabs>
        <w:kinsoku/>
        <w:wordWrap/>
        <w:overflowPunct/>
        <w:topLinePunct w:val="0"/>
        <w:bidi w:val="0"/>
        <w:adjustRightInd w:val="0"/>
        <w:snapToGrid w:val="0"/>
        <w:spacing w:line="580" w:lineRule="exact"/>
        <w:ind w:firstLine="640" w:firstLineChars="200"/>
        <w:textAlignment w:val="auto"/>
        <w:rPr>
          <w:rFonts w:hint="eastAsia" w:eastAsia="仿宋_GB2312"/>
          <w:color w:val="auto"/>
          <w:sz w:val="32"/>
          <w:szCs w:val="21"/>
        </w:rPr>
      </w:pPr>
      <w:r>
        <w:rPr>
          <w:rFonts w:hint="eastAsia" w:eastAsia="仿宋_GB2312"/>
          <w:color w:val="auto"/>
          <w:sz w:val="32"/>
          <w:szCs w:val="21"/>
        </w:rPr>
        <w:t>6.甲方有权按照服务内容和要求，对乙方进行日常服务监督检查及季度、年度服务考核，并将考核结果告知乙方。如考核结果与乙方提供的检验结果或与本合同约定不符，乙方应在甲方限期内整改，否则甲方有权自行整改或聘请第三方机构整改，因此导致的费用、损失、违约金由乙方承担，甲方有权从应付款项中扣除。同时，甲方可单方解除本合同。</w:t>
      </w:r>
    </w:p>
    <w:p>
      <w:pPr>
        <w:keepNext w:val="0"/>
        <w:keepLines w:val="0"/>
        <w:pageBreakBefore w:val="0"/>
        <w:widowControl w:val="0"/>
        <w:tabs>
          <w:tab w:val="left" w:pos="0"/>
        </w:tabs>
        <w:kinsoku/>
        <w:wordWrap/>
        <w:overflowPunct/>
        <w:topLinePunct w:val="0"/>
        <w:bidi w:val="0"/>
        <w:adjustRightInd w:val="0"/>
        <w:snapToGrid w:val="0"/>
        <w:spacing w:line="580" w:lineRule="exact"/>
        <w:ind w:firstLine="640" w:firstLineChars="200"/>
        <w:textAlignment w:val="auto"/>
        <w:rPr>
          <w:rFonts w:hint="eastAsia" w:eastAsia="仿宋_GB2312"/>
          <w:color w:val="auto"/>
          <w:sz w:val="32"/>
          <w:szCs w:val="21"/>
        </w:rPr>
      </w:pPr>
      <w:r>
        <w:rPr>
          <w:rFonts w:hint="eastAsia" w:eastAsia="仿宋_GB2312"/>
          <w:color w:val="auto"/>
          <w:sz w:val="32"/>
          <w:szCs w:val="21"/>
        </w:rPr>
        <w:t>7.甲方应在系统出现异常时及时通知乙方。</w:t>
      </w:r>
    </w:p>
    <w:p>
      <w:pPr>
        <w:keepNext w:val="0"/>
        <w:keepLines w:val="0"/>
        <w:pageBreakBefore w:val="0"/>
        <w:widowControl w:val="0"/>
        <w:kinsoku/>
        <w:wordWrap/>
        <w:overflowPunct/>
        <w:topLinePunct w:val="0"/>
        <w:bidi w:val="0"/>
        <w:spacing w:line="580" w:lineRule="exact"/>
        <w:textAlignment w:val="auto"/>
        <w:rPr>
          <w:rFonts w:hint="eastAsia" w:eastAsia="黑体" w:cs="黑体"/>
          <w:bCs/>
          <w:color w:val="auto"/>
          <w:sz w:val="32"/>
        </w:rPr>
      </w:pPr>
      <w:r>
        <w:rPr>
          <w:rFonts w:hint="eastAsia" w:eastAsia="黑体" w:cs="黑体"/>
          <w:bCs/>
          <w:color w:val="auto"/>
          <w:sz w:val="32"/>
        </w:rPr>
        <w:t>十、乙方的权利义务：</w:t>
      </w:r>
    </w:p>
    <w:p>
      <w:pPr>
        <w:keepNext w:val="0"/>
        <w:keepLines w:val="0"/>
        <w:pageBreakBefore w:val="0"/>
        <w:widowControl w:val="0"/>
        <w:tabs>
          <w:tab w:val="left" w:pos="0"/>
        </w:tabs>
        <w:kinsoku/>
        <w:wordWrap/>
        <w:overflowPunct/>
        <w:topLinePunct w:val="0"/>
        <w:bidi w:val="0"/>
        <w:adjustRightInd w:val="0"/>
        <w:snapToGrid w:val="0"/>
        <w:spacing w:line="580" w:lineRule="exact"/>
        <w:ind w:firstLine="640" w:firstLineChars="200"/>
        <w:textAlignment w:val="auto"/>
        <w:rPr>
          <w:rFonts w:hint="eastAsia" w:eastAsia="仿宋_GB2312"/>
          <w:color w:val="auto"/>
          <w:sz w:val="32"/>
          <w:szCs w:val="21"/>
        </w:rPr>
      </w:pPr>
      <w:r>
        <w:rPr>
          <w:rFonts w:hint="eastAsia" w:eastAsia="仿宋_GB2312"/>
          <w:color w:val="auto"/>
          <w:sz w:val="32"/>
          <w:szCs w:val="21"/>
        </w:rPr>
        <w:t>1.乙方应确保合法用工，依法建立劳动合同关系，自行承担乙方人员的工资、劳保福利、各项保险等费用。乙方处理与其人员劳动纠纷不得影响本合同正常履行。</w:t>
      </w:r>
    </w:p>
    <w:p>
      <w:pPr>
        <w:keepNext w:val="0"/>
        <w:keepLines w:val="0"/>
        <w:pageBreakBefore w:val="0"/>
        <w:widowControl w:val="0"/>
        <w:tabs>
          <w:tab w:val="left" w:pos="0"/>
        </w:tabs>
        <w:kinsoku/>
        <w:wordWrap/>
        <w:overflowPunct/>
        <w:topLinePunct w:val="0"/>
        <w:bidi w:val="0"/>
        <w:adjustRightInd w:val="0"/>
        <w:snapToGrid w:val="0"/>
        <w:spacing w:line="580" w:lineRule="exact"/>
        <w:ind w:firstLine="640" w:firstLineChars="200"/>
        <w:textAlignment w:val="auto"/>
        <w:rPr>
          <w:rFonts w:hint="eastAsia" w:eastAsia="仿宋_GB2312"/>
          <w:color w:val="auto"/>
          <w:sz w:val="32"/>
          <w:szCs w:val="21"/>
        </w:rPr>
      </w:pPr>
      <w:r>
        <w:rPr>
          <w:rFonts w:hint="eastAsia" w:eastAsia="仿宋_GB2312"/>
          <w:color w:val="auto"/>
          <w:sz w:val="32"/>
          <w:szCs w:val="21"/>
        </w:rPr>
        <w:t>2.乙方应提供真实有效的单位资质和维保人员名单、资质等须公示的维保单位资质资料，为现场人员提供安全防护设备、工具，并进行安全培训，确保其作业过程中人身安全。现场人员在安装作业中发生安全事故导致受伤或死亡，乙方承担全部责任；如造成甲方损失，乙方应全额赔偿。</w:t>
      </w:r>
    </w:p>
    <w:p>
      <w:pPr>
        <w:keepNext w:val="0"/>
        <w:keepLines w:val="0"/>
        <w:pageBreakBefore w:val="0"/>
        <w:widowControl w:val="0"/>
        <w:tabs>
          <w:tab w:val="left" w:pos="0"/>
        </w:tabs>
        <w:kinsoku/>
        <w:wordWrap/>
        <w:overflowPunct/>
        <w:topLinePunct w:val="0"/>
        <w:bidi w:val="0"/>
        <w:adjustRightInd w:val="0"/>
        <w:snapToGrid w:val="0"/>
        <w:spacing w:line="580" w:lineRule="exact"/>
        <w:ind w:firstLine="640" w:firstLineChars="200"/>
        <w:textAlignment w:val="auto"/>
        <w:rPr>
          <w:rFonts w:hint="eastAsia" w:eastAsia="仿宋_GB2312"/>
          <w:color w:val="auto"/>
          <w:sz w:val="32"/>
          <w:szCs w:val="21"/>
        </w:rPr>
      </w:pPr>
      <w:r>
        <w:rPr>
          <w:rFonts w:hint="eastAsia" w:eastAsia="仿宋_GB2312"/>
          <w:color w:val="auto"/>
          <w:sz w:val="32"/>
          <w:szCs w:val="21"/>
        </w:rPr>
        <w:t>3.乙方人员应遵守甲方安全管理制度和相关规定，并配合甲方做好人员管理。</w:t>
      </w:r>
    </w:p>
    <w:p>
      <w:pPr>
        <w:keepNext w:val="0"/>
        <w:keepLines w:val="0"/>
        <w:pageBreakBefore w:val="0"/>
        <w:widowControl w:val="0"/>
        <w:tabs>
          <w:tab w:val="left" w:pos="0"/>
        </w:tabs>
        <w:kinsoku/>
        <w:wordWrap/>
        <w:overflowPunct/>
        <w:topLinePunct w:val="0"/>
        <w:bidi w:val="0"/>
        <w:adjustRightInd w:val="0"/>
        <w:snapToGrid w:val="0"/>
        <w:spacing w:line="580" w:lineRule="exact"/>
        <w:ind w:firstLine="640" w:firstLineChars="200"/>
        <w:textAlignment w:val="auto"/>
        <w:rPr>
          <w:rFonts w:hint="eastAsia" w:eastAsia="仿宋_GB2312"/>
          <w:color w:val="auto"/>
          <w:sz w:val="32"/>
          <w:szCs w:val="21"/>
        </w:rPr>
      </w:pPr>
      <w:r>
        <w:rPr>
          <w:rFonts w:hint="eastAsia" w:eastAsia="仿宋_GB2312"/>
          <w:color w:val="auto"/>
          <w:sz w:val="32"/>
          <w:szCs w:val="21"/>
        </w:rPr>
        <w:t>4.乙方应对甲方相关人员进行技术服务内部培训，且每季度至少安排一次培训。合同期内乙方应提交消防演练计划予甲方确认,并协助甲方组织消防演练。</w:t>
      </w:r>
    </w:p>
    <w:p>
      <w:pPr>
        <w:keepNext w:val="0"/>
        <w:keepLines w:val="0"/>
        <w:pageBreakBefore w:val="0"/>
        <w:widowControl w:val="0"/>
        <w:tabs>
          <w:tab w:val="left" w:pos="0"/>
        </w:tabs>
        <w:kinsoku/>
        <w:wordWrap/>
        <w:overflowPunct/>
        <w:topLinePunct w:val="0"/>
        <w:bidi w:val="0"/>
        <w:adjustRightInd w:val="0"/>
        <w:snapToGrid w:val="0"/>
        <w:spacing w:line="580" w:lineRule="exact"/>
        <w:ind w:firstLine="640" w:firstLineChars="200"/>
        <w:textAlignment w:val="auto"/>
        <w:rPr>
          <w:rFonts w:hint="eastAsia" w:eastAsia="仿宋_GB2312"/>
          <w:color w:val="auto"/>
          <w:sz w:val="32"/>
          <w:szCs w:val="21"/>
        </w:rPr>
      </w:pPr>
      <w:r>
        <w:rPr>
          <w:rFonts w:hint="eastAsia" w:eastAsia="仿宋_GB2312"/>
          <w:color w:val="auto"/>
          <w:sz w:val="32"/>
          <w:szCs w:val="21"/>
        </w:rPr>
        <w:t>5.乙方在收到甲方通知12小时内赶到现场进行抢修工作，紧急情况下4小时内到达现场进行抢修处理。</w:t>
      </w:r>
    </w:p>
    <w:p>
      <w:pPr>
        <w:keepNext w:val="0"/>
        <w:keepLines w:val="0"/>
        <w:pageBreakBefore w:val="0"/>
        <w:widowControl w:val="0"/>
        <w:tabs>
          <w:tab w:val="left" w:pos="0"/>
        </w:tabs>
        <w:kinsoku/>
        <w:wordWrap/>
        <w:overflowPunct/>
        <w:topLinePunct w:val="0"/>
        <w:bidi w:val="0"/>
        <w:adjustRightInd w:val="0"/>
        <w:snapToGrid w:val="0"/>
        <w:spacing w:line="580" w:lineRule="exact"/>
        <w:ind w:firstLine="640" w:firstLineChars="200"/>
        <w:textAlignment w:val="auto"/>
        <w:rPr>
          <w:rFonts w:hint="eastAsia" w:eastAsia="仿宋_GB2312"/>
          <w:color w:val="auto"/>
          <w:sz w:val="32"/>
          <w:szCs w:val="21"/>
        </w:rPr>
      </w:pPr>
      <w:r>
        <w:rPr>
          <w:rFonts w:hint="eastAsia" w:eastAsia="仿宋_GB2312"/>
          <w:color w:val="auto"/>
          <w:sz w:val="32"/>
          <w:szCs w:val="21"/>
        </w:rPr>
        <w:t>6.乙方应在每次维保服务完成后及时通知甲方检查验收，并填写维护保养记录表供甲方签字确认，甲方签字确认的，视为合格。</w:t>
      </w:r>
    </w:p>
    <w:p>
      <w:pPr>
        <w:keepNext w:val="0"/>
        <w:keepLines w:val="0"/>
        <w:pageBreakBefore w:val="0"/>
        <w:widowControl w:val="0"/>
        <w:tabs>
          <w:tab w:val="left" w:pos="0"/>
        </w:tabs>
        <w:kinsoku/>
        <w:wordWrap/>
        <w:overflowPunct/>
        <w:topLinePunct w:val="0"/>
        <w:bidi w:val="0"/>
        <w:adjustRightInd w:val="0"/>
        <w:snapToGrid w:val="0"/>
        <w:spacing w:line="580" w:lineRule="exact"/>
        <w:ind w:firstLine="640" w:firstLineChars="200"/>
        <w:textAlignment w:val="auto"/>
        <w:rPr>
          <w:rFonts w:hint="eastAsia" w:eastAsia="仿宋_GB2312"/>
          <w:color w:val="auto"/>
          <w:sz w:val="32"/>
          <w:szCs w:val="21"/>
        </w:rPr>
      </w:pPr>
      <w:r>
        <w:rPr>
          <w:rFonts w:hint="eastAsia" w:eastAsia="仿宋_GB2312"/>
          <w:color w:val="auto"/>
          <w:sz w:val="32"/>
          <w:szCs w:val="21"/>
        </w:rPr>
        <w:t>7.乙方应按合同附件的各项内容进行工作，每年大检，每季度中检一次。</w:t>
      </w:r>
    </w:p>
    <w:p>
      <w:pPr>
        <w:pStyle w:val="7"/>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olor w:val="auto"/>
          <w:sz w:val="32"/>
          <w:szCs w:val="21"/>
        </w:rPr>
      </w:pPr>
      <w:r>
        <w:rPr>
          <w:rFonts w:hint="eastAsia" w:eastAsia="仿宋_GB2312"/>
          <w:color w:val="auto"/>
          <w:sz w:val="32"/>
          <w:szCs w:val="21"/>
        </w:rPr>
        <w:t>8.乙方应年初制订本年度维护、保养计划，并在上月、季度的中下旬提供下一月度、季度的维护、保养计划，并定期向甲方提供检验结果，配合甲方统计有关的技术指标，向甲方提供合理化建议及自我工作计划。</w:t>
      </w:r>
    </w:p>
    <w:p>
      <w:pPr>
        <w:keepNext w:val="0"/>
        <w:keepLines w:val="0"/>
        <w:pageBreakBefore w:val="0"/>
        <w:widowControl w:val="0"/>
        <w:tabs>
          <w:tab w:val="left" w:pos="0"/>
        </w:tabs>
        <w:kinsoku/>
        <w:wordWrap/>
        <w:overflowPunct/>
        <w:topLinePunct w:val="0"/>
        <w:bidi w:val="0"/>
        <w:adjustRightInd w:val="0"/>
        <w:snapToGrid w:val="0"/>
        <w:spacing w:line="580" w:lineRule="exact"/>
        <w:ind w:firstLine="640" w:firstLineChars="200"/>
        <w:textAlignment w:val="auto"/>
        <w:rPr>
          <w:rFonts w:hint="eastAsia" w:eastAsia="仿宋_GB2312"/>
          <w:color w:val="auto"/>
          <w:sz w:val="32"/>
          <w:szCs w:val="21"/>
        </w:rPr>
      </w:pPr>
      <w:r>
        <w:rPr>
          <w:rFonts w:hint="eastAsia" w:eastAsia="仿宋_GB2312"/>
          <w:color w:val="auto"/>
          <w:sz w:val="32"/>
          <w:szCs w:val="21"/>
        </w:rPr>
        <w:t>9.乙方应协助甲方通过消防部门的消防设施日常监督检查。</w:t>
      </w:r>
    </w:p>
    <w:p>
      <w:pPr>
        <w:pStyle w:val="7"/>
        <w:keepNext w:val="0"/>
        <w:keepLines w:val="0"/>
        <w:pageBreakBefore w:val="0"/>
        <w:widowControl w:val="0"/>
        <w:kinsoku/>
        <w:wordWrap/>
        <w:overflowPunct/>
        <w:topLinePunct w:val="0"/>
        <w:bidi w:val="0"/>
        <w:spacing w:line="580" w:lineRule="exact"/>
        <w:ind w:firstLine="640" w:firstLineChars="200"/>
        <w:textAlignment w:val="auto"/>
        <w:rPr>
          <w:rFonts w:eastAsia="仿宋_GB2312"/>
          <w:color w:val="auto"/>
          <w:sz w:val="32"/>
          <w:szCs w:val="21"/>
        </w:rPr>
      </w:pPr>
      <w:r>
        <w:rPr>
          <w:rFonts w:hint="eastAsia" w:eastAsia="仿宋_GB2312"/>
          <w:color w:val="auto"/>
          <w:sz w:val="32"/>
          <w:szCs w:val="21"/>
        </w:rPr>
        <w:t>10.乙方至少有两人来甲方进行消防设施维保。乙方在危险作业中负责开具危险作业票，准备与相关作业必备的防护装备及其他物资，按照甲方各项制度及要求开展维护保养作业。</w:t>
      </w:r>
    </w:p>
    <w:p>
      <w:pPr>
        <w:keepNext w:val="0"/>
        <w:keepLines w:val="0"/>
        <w:pageBreakBefore w:val="0"/>
        <w:widowControl w:val="0"/>
        <w:kinsoku/>
        <w:wordWrap/>
        <w:overflowPunct/>
        <w:topLinePunct w:val="0"/>
        <w:bidi w:val="0"/>
        <w:spacing w:line="580" w:lineRule="exact"/>
        <w:textAlignment w:val="auto"/>
        <w:rPr>
          <w:rFonts w:hint="eastAsia" w:eastAsia="黑体" w:cs="黑体"/>
          <w:bCs/>
          <w:color w:val="auto"/>
          <w:sz w:val="32"/>
        </w:rPr>
      </w:pPr>
      <w:r>
        <w:rPr>
          <w:rFonts w:hint="eastAsia" w:eastAsia="黑体" w:cs="黑体"/>
          <w:bCs/>
          <w:color w:val="auto"/>
          <w:sz w:val="32"/>
        </w:rPr>
        <w:t>十一、工作要求及服务标准：</w:t>
      </w:r>
    </w:p>
    <w:p>
      <w:pPr>
        <w:keepNext w:val="0"/>
        <w:keepLines w:val="0"/>
        <w:pageBreakBefore w:val="0"/>
        <w:widowControl w:val="0"/>
        <w:kinsoku/>
        <w:wordWrap/>
        <w:overflowPunct/>
        <w:topLinePunct w:val="0"/>
        <w:bidi w:val="0"/>
        <w:spacing w:line="580" w:lineRule="exact"/>
        <w:textAlignment w:val="auto"/>
        <w:rPr>
          <w:rFonts w:hint="eastAsia" w:eastAsia="仿宋_GB2312" w:cs="宋体"/>
          <w:color w:val="auto"/>
          <w:sz w:val="32"/>
          <w:szCs w:val="21"/>
        </w:rPr>
      </w:pPr>
      <w:r>
        <w:rPr>
          <w:rFonts w:hint="eastAsia" w:eastAsia="仿宋_GB2312" w:cs="宋体"/>
          <w:b/>
          <w:bCs/>
          <w:color w:val="auto"/>
          <w:sz w:val="32"/>
          <w:szCs w:val="21"/>
        </w:rPr>
        <w:t xml:space="preserve">    </w:t>
      </w:r>
      <w:r>
        <w:rPr>
          <w:rFonts w:hint="eastAsia" w:eastAsia="仿宋_GB2312" w:cs="宋体"/>
          <w:color w:val="auto"/>
          <w:sz w:val="32"/>
          <w:szCs w:val="21"/>
        </w:rPr>
        <w:t>1.</w:t>
      </w:r>
      <w:r>
        <w:rPr>
          <w:rFonts w:hint="eastAsia" w:eastAsia="仿宋_GB2312" w:cs="宋体"/>
          <w:color w:val="auto"/>
          <w:sz w:val="32"/>
        </w:rPr>
        <w:t>消防设备设施维修保养项目说明</w:t>
      </w:r>
      <w:r>
        <w:rPr>
          <w:rFonts w:hint="eastAsia" w:eastAsia="仿宋_GB2312" w:cs="宋体"/>
          <w:color w:val="auto"/>
          <w:sz w:val="32"/>
          <w:szCs w:val="21"/>
        </w:rPr>
        <w:t>（见附件1至附件9）；</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bCs/>
          <w:color w:val="auto"/>
          <w:sz w:val="32"/>
          <w:szCs w:val="21"/>
        </w:rPr>
      </w:pPr>
      <w:r>
        <w:rPr>
          <w:rFonts w:hint="eastAsia" w:eastAsia="仿宋_GB2312" w:cs="宋体"/>
          <w:bCs/>
          <w:color w:val="auto"/>
          <w:sz w:val="32"/>
          <w:szCs w:val="21"/>
        </w:rPr>
        <w:t>2.维护保养范围：</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2.1火灾自动报警系统及其联动控制、应急广播系统；</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2.2自动喷水灭火系统(消防水炮系统、水幕系统)（不含配电柜内强电线路）；</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2.3消火栓系统（不含配电柜内强电线路）；</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2.4消防卷帘门系统；</w:t>
      </w:r>
    </w:p>
    <w:p>
      <w:pPr>
        <w:keepNext w:val="0"/>
        <w:keepLines w:val="0"/>
        <w:pageBreakBefore w:val="0"/>
        <w:widowControl w:val="0"/>
        <w:kinsoku/>
        <w:wordWrap/>
        <w:overflowPunct/>
        <w:topLinePunct w:val="0"/>
        <w:bidi w:val="0"/>
        <w:spacing w:line="580" w:lineRule="exact"/>
        <w:ind w:firstLine="640" w:firstLineChars="200"/>
        <w:textAlignment w:val="auto"/>
        <w:rPr>
          <w:rFonts w:eastAsia="仿宋_GB2312" w:cs="宋体"/>
          <w:color w:val="auto"/>
          <w:sz w:val="32"/>
          <w:szCs w:val="21"/>
        </w:rPr>
      </w:pPr>
      <w:r>
        <w:rPr>
          <w:rFonts w:hint="eastAsia" w:eastAsia="仿宋_GB2312" w:cs="宋体"/>
          <w:color w:val="auto"/>
          <w:sz w:val="32"/>
          <w:szCs w:val="21"/>
        </w:rPr>
        <w:t>2.5应急照明和疏散指示系统；</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2.6消防泵、稳压泵系统及控制系统、消防水罐系统、高位水箱系统；</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2.7 烟气检测系统、排烟系统；</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2.8消防控制室消防设施、系统。</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3.维修保养内容：乙方向甲方提供下列各项之专业技术服务</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3.1火灾自动报警控制器的维护检查（消防主机）。</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3.2 消防控制台/柜的维修检查。</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3.3火灾自动报警系统中各类探测器检测维修确认。</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3.4相关设备的手动/自动控制、动作反馈信息的测试。</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3.5消防线路故障的检查。</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3.6所有消防设备和终端执行器经检测无误后，配合甲方现场粘贴地址码标识。</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3.7消防端子箱的整理、维护与保养（保证箱体门锁完整及卫生清理）。</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3.8应急广播系统（远程信号）的检测及维修（出具检查记录）。</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3.9自动喷水灭火(消防水炮系统、水幕系统)系统报警阀组、喷淋头、喷头、阀门、水泵、控制系统的检查、测试及维修。</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3.10消防给水及消火栓系统消防稳压系统、室内、外消火栓维护、测试、消火栓箱及组件、阀门、消防泵的检查维护，水压情况测试，对消火栓软管打折、损坏及其他组件维修。</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3.11防火卷帘门、消防烟气检测及排烟系统的本体维护、现场检查、远程信号、现场手动测试及提供相关资料(不包含防火卷帘门强电控制箱上级供电电源的检查)。</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3.12消防应急照明和疏散指示系统的测试及维修。</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3.13火灾自动报警系统突发故障的紧急救援服务。</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3.14 各主要部位消防直线电话的检修保养。</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3.15每周对消控室主机巡视检查，发现问题及时维修，保证正常运行。</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4.维修检查服务项目细则：</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4.1关于消防主机</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4.1.1标准配置硬件的检测保养。</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4.1.2标准功能的检查测试及维护。</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4.1.3主备电源系统的检查保养。</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4.1.4主机内部的清洁。</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4.2关于消防联动控制台/柜</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4.2.1硬件设备的检测保养及维护。</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4.2.2标准功能的检查测试及维护。</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4.2.3主备电源的检测保养。</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4.2.4消防控制台的内部清洁保养。</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4.2.5配合甲方粘贴联动柜标识并与现场相对应。</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4.3关于各类探测器的检测确认与维护保养。</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4.3.1外观的检测。</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4.3.2配备类型的检查校对。</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4.3.3功能障碍情况的检查。</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4.3.4火灾报警功能的检测。</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4.3.5故障报警功能的检测。</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4.3.6报警时在消防主机上文字描述的检测校验。</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4.3.7配合甲方对现场设备粘贴标识。</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4.4关于相关联动设备的控制及动作的测试与维修保养</w:t>
      </w:r>
    </w:p>
    <w:p>
      <w:pPr>
        <w:keepNext w:val="0"/>
        <w:keepLines w:val="0"/>
        <w:pageBreakBefore w:val="0"/>
        <w:widowControl w:val="0"/>
        <w:kinsoku/>
        <w:wordWrap/>
        <w:overflowPunct/>
        <w:topLinePunct w:val="0"/>
        <w:bidi w:val="0"/>
        <w:spacing w:line="580" w:lineRule="exact"/>
        <w:ind w:firstLine="640" w:firstLineChars="200"/>
        <w:textAlignment w:val="auto"/>
        <w:rPr>
          <w:rFonts w:eastAsia="仿宋_GB2312" w:cs="宋体"/>
          <w:color w:val="auto"/>
          <w:sz w:val="32"/>
          <w:szCs w:val="21"/>
        </w:rPr>
      </w:pPr>
      <w:r>
        <w:rPr>
          <w:rFonts w:hint="eastAsia" w:eastAsia="仿宋_GB2312" w:cs="宋体"/>
          <w:color w:val="auto"/>
          <w:sz w:val="32"/>
          <w:szCs w:val="21"/>
        </w:rPr>
        <w:t>4.4.1防火卷帘门、消防烟气检测及排烟系统、消防水幕系统、消防水炮系统的远程信号检测及现场手动测试.</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4.4.2火灾警报和消防应急广播系统的联动控制。</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4.4.3自动喷水灭火（雨淋系统）的联动控制。</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4.4.4消火栓系统的联动控制，消火栓按钮的功能检测及维修。</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4.4.5防火门及防火卷帘系统的联动控制，卷帘门限位测试。</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4.4.6消防应急照明和疏散指示系统联动控制。</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4.4.7强制切离非消防电源的手动/自动检测及维修。</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4.5关于消防紧急广播的维修保养。</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4.5.1应急广播切换信号的检修</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4.6关于消防线路故障的检修</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4.6.1当维保区域范围内的消防线路发生故障时，由乙方提供检修服务。</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4.6.2涉及非乙方责任损坏建筑装修的消防线路检修方案，必须事先报甲方审批，并配合甲方进行维修。如有涉及建筑装修恢复工作应由甲方负责，乙方配合甲方进行维修。</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4.7其他</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4.7.1配合甲方相关部门在报警及火灾情况下、报警及火情解除情况下的系统应急处理。</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4.7.2配合甲方每月对消防值机人员进行理论及实际操作培训。</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4.7.3配合甲方的消防演练工作。</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4.7.4自行配备工作所需的工具及设备，维修保养时设置挡板、现场安全警示标志等；维修保养结束工作后应立即自行将挡板、安全警示标志等撤离。</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4.7.5当完成维保工作后，乙方应通知甲方进行监督检查合格情况，并双方签字确认。</w:t>
      </w:r>
    </w:p>
    <w:p>
      <w:pPr>
        <w:pStyle w:val="19"/>
        <w:keepNext w:val="0"/>
        <w:keepLines w:val="0"/>
        <w:pageBreakBefore w:val="0"/>
        <w:widowControl w:val="0"/>
        <w:kinsoku/>
        <w:wordWrap/>
        <w:overflowPunct/>
        <w:topLinePunct w:val="0"/>
        <w:bidi w:val="0"/>
        <w:spacing w:after="0" w:line="580" w:lineRule="exact"/>
        <w:ind w:left="0" w:leftChars="0" w:firstLine="640"/>
        <w:textAlignment w:val="auto"/>
        <w:rPr>
          <w:rFonts w:hint="eastAsia" w:eastAsia="仿宋_GB2312" w:cs="宋体"/>
          <w:color w:val="auto"/>
          <w:sz w:val="32"/>
          <w:szCs w:val="21"/>
        </w:rPr>
      </w:pPr>
      <w:r>
        <w:rPr>
          <w:rFonts w:hint="eastAsia" w:eastAsia="仿宋_GB2312" w:cs="宋体"/>
          <w:color w:val="auto"/>
          <w:sz w:val="32"/>
          <w:szCs w:val="21"/>
        </w:rPr>
        <w:t>4.7.6单件低于</w:t>
      </w:r>
      <w:r>
        <w:rPr>
          <w:rFonts w:hint="eastAsia" w:eastAsia="仿宋_GB2312" w:cs="宋体"/>
          <w:color w:val="auto"/>
          <w:sz w:val="32"/>
          <w:szCs w:val="21"/>
          <w:u w:val="single"/>
        </w:rPr>
        <w:t xml:space="preserve">    </w:t>
      </w:r>
      <w:r>
        <w:rPr>
          <w:rFonts w:hint="eastAsia" w:eastAsia="仿宋_GB2312" w:cs="宋体"/>
          <w:color w:val="auto"/>
          <w:sz w:val="32"/>
          <w:szCs w:val="21"/>
        </w:rPr>
        <w:t>元（含</w:t>
      </w:r>
      <w:r>
        <w:rPr>
          <w:rFonts w:hint="eastAsia" w:eastAsia="仿宋_GB2312" w:cs="宋体"/>
          <w:color w:val="auto"/>
          <w:sz w:val="32"/>
          <w:szCs w:val="21"/>
          <w:u w:val="single"/>
        </w:rPr>
        <w:t xml:space="preserve">   </w:t>
      </w:r>
      <w:r>
        <w:rPr>
          <w:rFonts w:hint="eastAsia" w:eastAsia="仿宋_GB2312" w:cs="宋体"/>
          <w:color w:val="auto"/>
          <w:sz w:val="32"/>
          <w:szCs w:val="21"/>
        </w:rPr>
        <w:t>元）的设备和材料由乙方负责免费维修或更换，每个维保期内不超过</w:t>
      </w:r>
      <w:r>
        <w:rPr>
          <w:rFonts w:hint="eastAsia" w:eastAsia="仿宋_GB2312" w:cs="宋体"/>
          <w:color w:val="auto"/>
          <w:sz w:val="32"/>
          <w:szCs w:val="21"/>
          <w:u w:val="single"/>
        </w:rPr>
        <w:t xml:space="preserve">    </w:t>
      </w:r>
      <w:r>
        <w:rPr>
          <w:rFonts w:hint="eastAsia" w:eastAsia="仿宋_GB2312" w:cs="宋体"/>
          <w:color w:val="auto"/>
          <w:sz w:val="32"/>
          <w:szCs w:val="21"/>
        </w:rPr>
        <w:t>元，</w:t>
      </w:r>
      <w:r>
        <w:rPr>
          <w:rFonts w:hint="eastAsia" w:eastAsia="仿宋_GB2312" w:cs="宋体"/>
          <w:color w:val="auto"/>
          <w:sz w:val="32"/>
          <w:szCs w:val="21"/>
          <w:u w:val="single"/>
        </w:rPr>
        <w:t xml:space="preserve">    </w:t>
      </w:r>
      <w:r>
        <w:rPr>
          <w:rFonts w:hint="eastAsia" w:eastAsia="仿宋_GB2312" w:cs="宋体"/>
          <w:color w:val="auto"/>
          <w:sz w:val="32"/>
          <w:szCs w:val="21"/>
        </w:rPr>
        <w:t>元以上设备和材料由甲方采购，乙方应提供免费维修及更换服务。</w:t>
      </w:r>
    </w:p>
    <w:p>
      <w:pPr>
        <w:pStyle w:val="7"/>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5.对消防地下管网、阀门因渗漏或损坏应进行及时维修，涉及土方开挖的，维修时由甲方承担土方开挖及回填，乙方承担设备、材料及管道修复的费用。</w:t>
      </w:r>
    </w:p>
    <w:p>
      <w:pPr>
        <w:keepNext w:val="0"/>
        <w:keepLines w:val="0"/>
        <w:pageBreakBefore w:val="0"/>
        <w:widowControl w:val="0"/>
        <w:kinsoku/>
        <w:wordWrap/>
        <w:overflowPunct/>
        <w:topLinePunct w:val="0"/>
        <w:bidi w:val="0"/>
        <w:spacing w:line="580" w:lineRule="exact"/>
        <w:textAlignment w:val="auto"/>
        <w:rPr>
          <w:rFonts w:hint="eastAsia" w:eastAsia="黑体" w:cs="黑体"/>
          <w:color w:val="auto"/>
          <w:sz w:val="32"/>
          <w:szCs w:val="21"/>
        </w:rPr>
      </w:pPr>
      <w:r>
        <w:rPr>
          <w:rFonts w:hint="eastAsia" w:eastAsia="黑体" w:cs="黑体"/>
          <w:color w:val="auto"/>
          <w:sz w:val="32"/>
          <w:szCs w:val="21"/>
        </w:rPr>
        <w:t>十二、违约责任及纠纷解决方式：</w:t>
      </w:r>
    </w:p>
    <w:p>
      <w:pPr>
        <w:pStyle w:val="7"/>
        <w:keepNext w:val="0"/>
        <w:keepLines w:val="0"/>
        <w:pageBreakBefore w:val="0"/>
        <w:widowControl w:val="0"/>
        <w:kinsoku/>
        <w:wordWrap/>
        <w:overflowPunct/>
        <w:topLinePunct w:val="0"/>
        <w:bidi w:val="0"/>
        <w:spacing w:line="580" w:lineRule="exact"/>
        <w:ind w:firstLine="640" w:firstLineChars="200"/>
        <w:textAlignment w:val="auto"/>
        <w:rPr>
          <w:rFonts w:eastAsia="仿宋_GB2312" w:cs="宋体"/>
          <w:color w:val="auto"/>
          <w:kern w:val="0"/>
          <w:sz w:val="32"/>
          <w:szCs w:val="21"/>
        </w:rPr>
      </w:pPr>
      <w:r>
        <w:rPr>
          <w:rFonts w:hint="eastAsia" w:eastAsia="仿宋_GB2312" w:cs="宋体"/>
          <w:color w:val="auto"/>
          <w:kern w:val="0"/>
          <w:sz w:val="32"/>
          <w:szCs w:val="21"/>
        </w:rPr>
        <w:t>1.发生以下情形之一的，甲方有权终止</w:t>
      </w:r>
      <w:r>
        <w:rPr>
          <w:rFonts w:hint="eastAsia" w:eastAsia="仿宋_GB2312"/>
          <w:color w:val="auto"/>
          <w:kern w:val="0"/>
          <w:sz w:val="32"/>
        </w:rPr>
        <w:t>并单方解除</w:t>
      </w:r>
      <w:r>
        <w:rPr>
          <w:rFonts w:hint="eastAsia" w:eastAsia="仿宋_GB2312" w:cs="宋体"/>
          <w:color w:val="auto"/>
          <w:kern w:val="0"/>
          <w:sz w:val="32"/>
          <w:szCs w:val="21"/>
        </w:rPr>
        <w:t>本合同，且无须向乙方支付任何赔偿和违约金等费用。</w:t>
      </w:r>
    </w:p>
    <w:p>
      <w:pPr>
        <w:pStyle w:val="7"/>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kern w:val="0"/>
          <w:sz w:val="32"/>
          <w:szCs w:val="21"/>
        </w:rPr>
      </w:pPr>
      <w:r>
        <w:rPr>
          <w:rFonts w:hint="eastAsia" w:eastAsia="仿宋_GB2312" w:cs="宋体"/>
          <w:color w:val="auto"/>
          <w:kern w:val="0"/>
          <w:sz w:val="32"/>
          <w:szCs w:val="21"/>
        </w:rPr>
        <w:t>情形一：乙方若未按本合同条款之规定实施维保服务工作，经甲方书面要求后两周内仍未落实整改要求或整改不达验收标准。</w:t>
      </w:r>
    </w:p>
    <w:p>
      <w:pPr>
        <w:keepNext w:val="0"/>
        <w:keepLines w:val="0"/>
        <w:pageBreakBefore w:val="0"/>
        <w:widowControl w:val="0"/>
        <w:tabs>
          <w:tab w:val="left" w:pos="0"/>
        </w:tabs>
        <w:kinsoku/>
        <w:wordWrap/>
        <w:overflowPunct/>
        <w:topLinePunct w:val="0"/>
        <w:bidi w:val="0"/>
        <w:adjustRightInd w:val="0"/>
        <w:snapToGrid w:val="0"/>
        <w:spacing w:line="580" w:lineRule="exact"/>
        <w:ind w:firstLine="640" w:firstLineChars="200"/>
        <w:textAlignment w:val="auto"/>
        <w:rPr>
          <w:rFonts w:eastAsia="仿宋_GB2312" w:cs="宋体"/>
          <w:color w:val="auto"/>
          <w:kern w:val="0"/>
          <w:sz w:val="32"/>
          <w:szCs w:val="21"/>
        </w:rPr>
      </w:pPr>
      <w:r>
        <w:rPr>
          <w:rFonts w:hint="eastAsia" w:eastAsia="仿宋_GB2312" w:cs="宋体"/>
          <w:color w:val="auto"/>
          <w:kern w:val="0"/>
          <w:sz w:val="32"/>
          <w:szCs w:val="21"/>
        </w:rPr>
        <w:t>情形二：若乙方在维保期间服务工作不及时或不负责任，严重影响设备正常使用。</w:t>
      </w:r>
    </w:p>
    <w:p>
      <w:pPr>
        <w:pStyle w:val="2"/>
        <w:spacing w:line="580" w:lineRule="exact"/>
        <w:rPr>
          <w:rFonts w:hint="eastAsia" w:ascii="Times New Roman" w:hAnsi="Times New Roman" w:eastAsia="仿宋_GB2312" w:cs="宋体"/>
          <w:color w:val="auto"/>
          <w:kern w:val="0"/>
          <w:sz w:val="32"/>
          <w:szCs w:val="21"/>
        </w:rPr>
      </w:pPr>
      <w:r>
        <w:rPr>
          <w:rFonts w:hint="eastAsia"/>
          <w:color w:val="auto"/>
          <w:sz w:val="24"/>
        </w:rPr>
        <w:t xml:space="preserve"> </w:t>
      </w:r>
      <w:r>
        <w:rPr>
          <w:color w:val="auto"/>
          <w:sz w:val="24"/>
        </w:rPr>
        <w:t xml:space="preserve">    </w:t>
      </w:r>
      <w:r>
        <w:rPr>
          <w:rFonts w:hint="eastAsia" w:ascii="Times New Roman" w:hAnsi="Times New Roman" w:eastAsia="仿宋_GB2312" w:cs="宋体"/>
          <w:color w:val="auto"/>
          <w:kern w:val="0"/>
          <w:sz w:val="32"/>
        </w:rPr>
        <w:t>情形三：乙方违章作业或未按甲方安全管理要求实施服务，造成安全事故或可能引发重大安全事故的。</w:t>
      </w:r>
    </w:p>
    <w:p>
      <w:pPr>
        <w:keepNext w:val="0"/>
        <w:keepLines w:val="0"/>
        <w:pageBreakBefore w:val="0"/>
        <w:widowControl w:val="0"/>
        <w:tabs>
          <w:tab w:val="left" w:pos="0"/>
        </w:tabs>
        <w:kinsoku/>
        <w:wordWrap/>
        <w:overflowPunct/>
        <w:topLinePunct w:val="0"/>
        <w:bidi w:val="0"/>
        <w:adjustRightInd w:val="0"/>
        <w:snapToGrid w:val="0"/>
        <w:spacing w:line="580" w:lineRule="exact"/>
        <w:ind w:firstLine="640" w:firstLineChars="200"/>
        <w:textAlignment w:val="auto"/>
        <w:rPr>
          <w:rFonts w:hint="eastAsia" w:eastAsia="仿宋_GB2312" w:cs="宋体"/>
          <w:color w:val="auto"/>
          <w:kern w:val="0"/>
          <w:sz w:val="32"/>
          <w:szCs w:val="21"/>
        </w:rPr>
      </w:pPr>
      <w:r>
        <w:rPr>
          <w:rFonts w:hint="eastAsia" w:eastAsia="仿宋_GB2312" w:cs="宋体"/>
          <w:color w:val="auto"/>
          <w:kern w:val="0"/>
          <w:sz w:val="32"/>
          <w:szCs w:val="21"/>
        </w:rPr>
        <w:t>2.如本服务项目不能达到合同约定的质量标准和要求，则乙方应向甲方支付质量违约金，金额为本合同总价的【3%（百分之三）】，该质量违约金由乙方向甲方支付或由甲方直接从乙方应得的款项或履约保证金中扣除；同时乙方需在甲方要求的时间内负责无偿返修工程并达到本合同约定的质量标准。</w:t>
      </w:r>
    </w:p>
    <w:p>
      <w:pPr>
        <w:keepNext w:val="0"/>
        <w:keepLines w:val="0"/>
        <w:pageBreakBefore w:val="0"/>
        <w:widowControl w:val="0"/>
        <w:tabs>
          <w:tab w:val="left" w:pos="0"/>
        </w:tabs>
        <w:kinsoku/>
        <w:wordWrap/>
        <w:overflowPunct/>
        <w:topLinePunct w:val="0"/>
        <w:bidi w:val="0"/>
        <w:adjustRightInd w:val="0"/>
        <w:snapToGrid w:val="0"/>
        <w:spacing w:line="580" w:lineRule="exact"/>
        <w:ind w:firstLine="640" w:firstLineChars="200"/>
        <w:textAlignment w:val="auto"/>
        <w:rPr>
          <w:rFonts w:hint="eastAsia" w:eastAsia="仿宋_GB2312" w:cs="宋体"/>
          <w:color w:val="auto"/>
          <w:kern w:val="0"/>
          <w:sz w:val="32"/>
          <w:szCs w:val="21"/>
        </w:rPr>
      </w:pPr>
      <w:r>
        <w:rPr>
          <w:rFonts w:hint="eastAsia" w:eastAsia="仿宋_GB2312" w:cs="宋体"/>
          <w:color w:val="auto"/>
          <w:kern w:val="0"/>
          <w:sz w:val="32"/>
          <w:szCs w:val="21"/>
        </w:rPr>
        <w:t>4.除上述误期违约金和质量违约金外，乙方在合同履行过程中违反本合同项下任何条款或现场管理规定的行为，均应向甲方承担责任，并向甲方支付违约金。根据违约行为所造成的后果及影响，乙方对每次的违约行为应向甲方支付【500～2000】元的违约金，具体的违约金额度将视乙方的每次违约行为给甲方造成的损失而定。该违约金可以由乙方向甲方支付或由甲方直接从乙方应得的款项或履约保证金中扣除。</w:t>
      </w:r>
    </w:p>
    <w:p>
      <w:pPr>
        <w:keepNext w:val="0"/>
        <w:keepLines w:val="0"/>
        <w:pageBreakBefore w:val="0"/>
        <w:widowControl w:val="0"/>
        <w:tabs>
          <w:tab w:val="left" w:pos="0"/>
        </w:tabs>
        <w:kinsoku/>
        <w:wordWrap/>
        <w:overflowPunct/>
        <w:topLinePunct w:val="0"/>
        <w:bidi w:val="0"/>
        <w:adjustRightInd w:val="0"/>
        <w:snapToGrid w:val="0"/>
        <w:spacing w:line="580" w:lineRule="exact"/>
        <w:ind w:firstLine="640" w:firstLineChars="200"/>
        <w:textAlignment w:val="auto"/>
        <w:rPr>
          <w:rFonts w:hint="eastAsia" w:eastAsia="仿宋_GB2312" w:cs="宋体"/>
          <w:color w:val="auto"/>
          <w:kern w:val="0"/>
          <w:sz w:val="32"/>
          <w:szCs w:val="21"/>
        </w:rPr>
      </w:pPr>
      <w:r>
        <w:rPr>
          <w:rFonts w:hint="eastAsia" w:eastAsia="仿宋_GB2312" w:cs="宋体"/>
          <w:color w:val="auto"/>
          <w:kern w:val="0"/>
          <w:sz w:val="32"/>
          <w:szCs w:val="21"/>
        </w:rPr>
        <w:t xml:space="preserve">4.合同签订后，如因乙方单方面原因，拒绝履行合同，甲方有权按照本合同相关条款扣除乙方全部履约保证金并单方解除本合同。 </w:t>
      </w:r>
    </w:p>
    <w:p>
      <w:pPr>
        <w:keepNext w:val="0"/>
        <w:keepLines w:val="0"/>
        <w:pageBreakBefore w:val="0"/>
        <w:widowControl w:val="0"/>
        <w:kinsoku/>
        <w:wordWrap/>
        <w:overflowPunct/>
        <w:topLinePunct w:val="0"/>
        <w:bidi w:val="0"/>
        <w:spacing w:line="580" w:lineRule="exact"/>
        <w:textAlignment w:val="auto"/>
        <w:rPr>
          <w:rFonts w:hint="eastAsia" w:eastAsia="黑体" w:cs="黑体"/>
          <w:bCs/>
          <w:color w:val="auto"/>
          <w:sz w:val="32"/>
        </w:rPr>
      </w:pPr>
      <w:r>
        <w:rPr>
          <w:rFonts w:hint="eastAsia" w:eastAsia="黑体" w:cs="黑体"/>
          <w:bCs/>
          <w:color w:val="auto"/>
          <w:sz w:val="32"/>
        </w:rPr>
        <w:t>十三、安全环保条款：</w:t>
      </w:r>
    </w:p>
    <w:p>
      <w:pPr>
        <w:pStyle w:val="2"/>
        <w:keepNext w:val="0"/>
        <w:keepLines w:val="0"/>
        <w:pageBreakBefore w:val="0"/>
        <w:widowControl w:val="0"/>
        <w:kinsoku/>
        <w:wordWrap/>
        <w:overflowPunct/>
        <w:topLinePunct w:val="0"/>
        <w:bidi w:val="0"/>
        <w:spacing w:line="580" w:lineRule="exact"/>
        <w:ind w:firstLine="640" w:firstLineChars="200"/>
        <w:textAlignment w:val="auto"/>
        <w:rPr>
          <w:rFonts w:hint="eastAsia" w:ascii="Times New Roman" w:hAnsi="Times New Roman" w:eastAsia="仿宋_GB2312" w:cs="宋体"/>
          <w:color w:val="auto"/>
          <w:kern w:val="0"/>
          <w:sz w:val="32"/>
        </w:rPr>
      </w:pPr>
      <w:r>
        <w:rPr>
          <w:rFonts w:hint="eastAsia" w:ascii="Times New Roman" w:hAnsi="Times New Roman" w:eastAsia="仿宋_GB2312" w:cs="宋体"/>
          <w:color w:val="auto"/>
          <w:kern w:val="0"/>
          <w:sz w:val="32"/>
        </w:rPr>
        <w:t>1.甲方对乙方维保人员在工作中有关安全、环保等履行情况进行监督检查，对发现维保人员存在的违章违纪行为，及时进行教育并要求其整改，同时根据内部管理制度对乙方进行考核。对不听劝告、严重违章违纪者，甲方有权将其驱逐出厂。</w:t>
      </w:r>
    </w:p>
    <w:p>
      <w:pPr>
        <w:pStyle w:val="2"/>
        <w:keepNext w:val="0"/>
        <w:keepLines w:val="0"/>
        <w:pageBreakBefore w:val="0"/>
        <w:widowControl w:val="0"/>
        <w:kinsoku/>
        <w:wordWrap/>
        <w:overflowPunct/>
        <w:topLinePunct w:val="0"/>
        <w:bidi w:val="0"/>
        <w:spacing w:line="580" w:lineRule="exact"/>
        <w:ind w:firstLine="640" w:firstLineChars="200"/>
        <w:textAlignment w:val="auto"/>
        <w:rPr>
          <w:rFonts w:hint="eastAsia" w:ascii="Times New Roman" w:hAnsi="Times New Roman" w:eastAsia="仿宋_GB2312" w:cs="宋体"/>
          <w:color w:val="auto"/>
          <w:kern w:val="0"/>
          <w:sz w:val="32"/>
        </w:rPr>
      </w:pPr>
      <w:r>
        <w:rPr>
          <w:rFonts w:hint="eastAsia" w:ascii="Times New Roman" w:hAnsi="Times New Roman" w:eastAsia="仿宋_GB2312" w:cs="宋体"/>
          <w:color w:val="auto"/>
          <w:kern w:val="0"/>
          <w:sz w:val="32"/>
        </w:rPr>
        <w:t>2.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keepNext w:val="0"/>
        <w:keepLines w:val="0"/>
        <w:pageBreakBefore w:val="0"/>
        <w:widowControl w:val="0"/>
        <w:kinsoku/>
        <w:wordWrap/>
        <w:overflowPunct/>
        <w:topLinePunct w:val="0"/>
        <w:bidi w:val="0"/>
        <w:spacing w:line="580" w:lineRule="exact"/>
        <w:textAlignment w:val="auto"/>
        <w:rPr>
          <w:rFonts w:hint="eastAsia" w:eastAsia="黑体" w:cs="黑体"/>
          <w:bCs/>
          <w:color w:val="auto"/>
          <w:sz w:val="32"/>
        </w:rPr>
      </w:pPr>
      <w:r>
        <w:rPr>
          <w:rFonts w:hint="eastAsia" w:eastAsia="黑体" w:cs="黑体"/>
          <w:bCs/>
          <w:color w:val="auto"/>
          <w:sz w:val="32"/>
        </w:rPr>
        <w:t>十四、其它事项：</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1.本合同的形成、效力、解释、签署、修改及终止均受中华人民共和国有关法律法规和地方性规定的约束。</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2.本合同的修改、补充应以书面的方式进行，本合同其它未尽事宜，由双方协商解决，并可另行补充协议，补充协议构成本合同不可分割的组成部分，与本合同具同等法律效力。</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3.双方本着友好合作的原则商定，乙方进驻甲方现场后，若因范围扩大/缩小或者工作量扩大/缩小，需增加/减少费用时，由双方另行协商议定。</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4.未经双方同意，任何一方不得透露合同相关内容。</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5.执行本合同过程中发生的争议事项，双方协商解决，若协商不成，可向甲方项目所在地人民法院提起诉讼。</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eastAsia="仿宋_GB2312" w:cs="宋体"/>
          <w:color w:val="auto"/>
          <w:sz w:val="32"/>
          <w:szCs w:val="21"/>
        </w:rPr>
      </w:pPr>
      <w:r>
        <w:rPr>
          <w:rFonts w:hint="eastAsia" w:eastAsia="仿宋_GB2312" w:cs="宋体"/>
          <w:color w:val="auto"/>
          <w:sz w:val="32"/>
          <w:szCs w:val="21"/>
        </w:rPr>
        <w:t>7.本合同一式</w:t>
      </w:r>
      <w:r>
        <w:rPr>
          <w:rFonts w:hint="eastAsia" w:eastAsia="仿宋_GB2312" w:cs="宋体"/>
          <w:color w:val="auto"/>
          <w:sz w:val="32"/>
          <w:szCs w:val="21"/>
          <w:u w:val="single"/>
        </w:rPr>
        <w:t xml:space="preserve">   </w:t>
      </w:r>
      <w:r>
        <w:rPr>
          <w:rFonts w:hint="eastAsia" w:eastAsia="仿宋_GB2312" w:cs="宋体"/>
          <w:color w:val="auto"/>
          <w:sz w:val="32"/>
          <w:szCs w:val="21"/>
        </w:rPr>
        <w:t>份，甲方执</w:t>
      </w:r>
      <w:r>
        <w:rPr>
          <w:rFonts w:hint="eastAsia" w:eastAsia="仿宋_GB2312" w:cs="宋体"/>
          <w:color w:val="auto"/>
          <w:sz w:val="32"/>
          <w:szCs w:val="21"/>
          <w:u w:val="single"/>
        </w:rPr>
        <w:t xml:space="preserve">   </w:t>
      </w:r>
      <w:r>
        <w:rPr>
          <w:rFonts w:hint="eastAsia" w:eastAsia="仿宋_GB2312" w:cs="宋体"/>
          <w:color w:val="auto"/>
          <w:sz w:val="32"/>
          <w:szCs w:val="21"/>
        </w:rPr>
        <w:t>份，乙方执</w:t>
      </w:r>
      <w:r>
        <w:rPr>
          <w:rFonts w:hint="eastAsia" w:eastAsia="仿宋_GB2312" w:cs="宋体"/>
          <w:color w:val="auto"/>
          <w:sz w:val="32"/>
          <w:szCs w:val="21"/>
          <w:u w:val="single"/>
        </w:rPr>
        <w:t xml:space="preserve">   </w:t>
      </w:r>
      <w:r>
        <w:rPr>
          <w:rFonts w:hint="eastAsia" w:eastAsia="仿宋_GB2312" w:cs="宋体"/>
          <w:color w:val="auto"/>
          <w:sz w:val="32"/>
          <w:szCs w:val="21"/>
        </w:rPr>
        <w:t>份，并具同等法律效力。</w:t>
      </w:r>
    </w:p>
    <w:p>
      <w:pPr>
        <w:snapToGrid w:val="0"/>
        <w:spacing w:line="560" w:lineRule="exact"/>
        <w:ind w:firstLine="640" w:firstLineChars="200"/>
        <w:rPr>
          <w:rFonts w:ascii="Times New Roman" w:hAnsi="Times New Roman" w:eastAsia="仿宋_GB2312" w:cs="宋体"/>
          <w:color w:val="auto"/>
          <w:sz w:val="32"/>
          <w:szCs w:val="21"/>
        </w:rPr>
      </w:pPr>
      <w:r>
        <w:rPr>
          <w:rFonts w:hint="eastAsia" w:eastAsia="仿宋_GB2312" w:cs="宋体"/>
          <w:color w:val="auto"/>
          <w:sz w:val="32"/>
          <w:szCs w:val="21"/>
        </w:rPr>
        <w:t>8.</w:t>
      </w:r>
      <w:r>
        <w:rPr>
          <w:rFonts w:hint="eastAsia" w:eastAsia="仿宋_GB2312" w:cs="仿宋_GB2312"/>
          <w:color w:val="auto"/>
          <w:sz w:val="32"/>
          <w:szCs w:val="32"/>
        </w:rPr>
        <w:t>本合同自加盖双方公章或合同专用章之日起生效。合同签订日期以双方中最后一方加盖公章或合同专用章的日期为准。</w:t>
      </w:r>
      <w:r>
        <w:rPr>
          <w:rFonts w:hint="eastAsia" w:eastAsia="仿宋_GB2312" w:cs="宋体"/>
          <w:color w:val="auto"/>
          <w:sz w:val="32"/>
          <w:szCs w:val="21"/>
        </w:rPr>
        <w:t>合同附件是合同的组成部分，具同等法律效力，并自合同签定之日起一并生效。</w:t>
      </w:r>
    </w:p>
    <w:p>
      <w:pPr>
        <w:widowControl/>
        <w:spacing w:line="560" w:lineRule="exact"/>
        <w:jc w:val="left"/>
        <w:rPr>
          <w:rFonts w:ascii="黑体" w:eastAsia="黑体"/>
          <w:b/>
          <w:color w:val="FF0000"/>
          <w:szCs w:val="21"/>
        </w:rPr>
      </w:pPr>
    </w:p>
    <w:p>
      <w:pPr>
        <w:pStyle w:val="2"/>
        <w:rPr>
          <w:rFonts w:ascii="黑体" w:eastAsia="黑体"/>
          <w:b/>
          <w:color w:val="FF0000"/>
          <w:szCs w:val="21"/>
        </w:rPr>
      </w:pPr>
    </w:p>
    <w:p>
      <w:pPr>
        <w:pStyle w:val="3"/>
        <w:rPr>
          <w:rFonts w:ascii="黑体" w:eastAsia="黑体"/>
          <w:b/>
          <w:color w:val="FF0000"/>
          <w:szCs w:val="21"/>
        </w:rPr>
      </w:pPr>
    </w:p>
    <w:p>
      <w:pPr>
        <w:rPr>
          <w:rFonts w:ascii="黑体" w:eastAsia="黑体"/>
          <w:b/>
          <w:color w:val="FF0000"/>
          <w:szCs w:val="21"/>
        </w:rPr>
      </w:pPr>
    </w:p>
    <w:p>
      <w:pPr>
        <w:pStyle w:val="2"/>
        <w:rPr>
          <w:rFonts w:ascii="黑体" w:eastAsia="黑体"/>
          <w:b/>
          <w:color w:val="FF0000"/>
          <w:szCs w:val="21"/>
        </w:rPr>
      </w:pPr>
    </w:p>
    <w:p>
      <w:pPr>
        <w:pStyle w:val="3"/>
      </w:pPr>
    </w:p>
    <w:p>
      <w:pPr>
        <w:pStyle w:val="27"/>
        <w:shd w:val="clear" w:color="auto" w:fill="FFFFFF"/>
        <w:snapToGrid w:val="0"/>
        <w:spacing w:before="0" w:beforeAutospacing="0" w:after="0" w:afterAutospacing="0" w:line="480" w:lineRule="auto"/>
        <w:jc w:val="center"/>
        <w:rPr>
          <w:rFonts w:ascii="仿宋_GB2312" w:hAnsi="仿宋_GB2312" w:eastAsia="仿宋_GB2312" w:cs="仿宋_GB2312"/>
          <w:b/>
          <w:spacing w:val="-11"/>
          <w:sz w:val="44"/>
          <w:szCs w:val="44"/>
          <w:shd w:val="clear" w:color="auto" w:fill="FFFFFF"/>
        </w:rPr>
      </w:pPr>
      <w:r>
        <w:rPr>
          <w:rFonts w:hint="eastAsia" w:ascii="仿宋_GB2312" w:hAnsi="仿宋_GB2312" w:eastAsia="仿宋_GB2312" w:cs="仿宋_GB2312"/>
          <w:b/>
          <w:spacing w:val="-11"/>
          <w:sz w:val="44"/>
          <w:szCs w:val="44"/>
          <w:shd w:val="clear" w:color="auto" w:fill="FFFFFF"/>
        </w:rPr>
        <w:t>中粮（唐山）糖业有限公司</w:t>
      </w:r>
    </w:p>
    <w:p>
      <w:pPr>
        <w:pStyle w:val="27"/>
        <w:shd w:val="clear" w:color="auto" w:fill="FFFFFF"/>
        <w:snapToGrid w:val="0"/>
        <w:spacing w:before="0" w:beforeAutospacing="0" w:after="0" w:afterAutospacing="0" w:line="480" w:lineRule="auto"/>
        <w:jc w:val="center"/>
        <w:rPr>
          <w:rFonts w:ascii="仿宋_GB2312" w:hAnsi="仿宋_GB2312" w:eastAsia="仿宋_GB2312" w:cs="仿宋_GB2312"/>
          <w:b/>
          <w:spacing w:val="-11"/>
          <w:sz w:val="44"/>
          <w:szCs w:val="44"/>
          <w:shd w:val="clear" w:color="auto" w:fill="FFFFFF"/>
        </w:rPr>
      </w:pPr>
      <w:r>
        <w:rPr>
          <w:rFonts w:hint="eastAsia" w:ascii="仿宋_GB2312" w:hAnsi="仿宋_GB2312" w:eastAsia="仿宋_GB2312" w:cs="仿宋_GB2312"/>
          <w:b/>
          <w:spacing w:val="-11"/>
          <w:sz w:val="44"/>
          <w:szCs w:val="44"/>
          <w:shd w:val="clear" w:color="auto" w:fill="FFFFFF"/>
        </w:rPr>
        <w:t>服务外包安全管理协议</w:t>
      </w:r>
    </w:p>
    <w:p>
      <w:pPr>
        <w:pStyle w:val="27"/>
        <w:shd w:val="clear" w:color="auto" w:fill="FFFFFF"/>
        <w:spacing w:before="0" w:beforeAutospacing="0" w:after="0" w:afterAutospacing="0" w:line="360" w:lineRule="auto"/>
        <w:jc w:val="center"/>
        <w:rPr>
          <w:rFonts w:ascii="仿宋_GB2312" w:hAnsi="仿宋_GB2312" w:eastAsia="仿宋_GB2312" w:cs="仿宋_GB2312"/>
          <w:b/>
          <w:color w:val="000000"/>
          <w:spacing w:val="-11"/>
          <w:sz w:val="28"/>
          <w:szCs w:val="28"/>
          <w:shd w:val="clear" w:color="auto" w:fill="FFFFFF"/>
        </w:rPr>
      </w:pPr>
    </w:p>
    <w:p>
      <w:pPr>
        <w:pStyle w:val="27"/>
        <w:shd w:val="clear" w:color="auto" w:fill="FFFFFF"/>
        <w:spacing w:before="0" w:beforeAutospacing="0" w:after="0" w:afterAutospacing="0" w:line="360" w:lineRule="auto"/>
        <w:jc w:val="center"/>
        <w:rPr>
          <w:rFonts w:ascii="仿宋_GB2312" w:hAnsi="仿宋_GB2312" w:eastAsia="仿宋_GB2312" w:cs="仿宋_GB2312"/>
          <w:b/>
          <w:color w:val="000000"/>
          <w:spacing w:val="-11"/>
          <w:sz w:val="28"/>
          <w:szCs w:val="28"/>
          <w:shd w:val="clear" w:color="auto" w:fill="FFFFFF"/>
        </w:rPr>
      </w:pPr>
    </w:p>
    <w:p>
      <w:pPr>
        <w:pStyle w:val="27"/>
        <w:shd w:val="clear" w:color="auto" w:fill="FFFFFF"/>
        <w:spacing w:before="0" w:beforeAutospacing="0" w:after="0" w:afterAutospacing="0" w:line="360" w:lineRule="auto"/>
        <w:jc w:val="center"/>
        <w:rPr>
          <w:rFonts w:ascii="仿宋_GB2312" w:hAnsi="仿宋_GB2312" w:eastAsia="仿宋_GB2312" w:cs="仿宋_GB2312"/>
          <w:b/>
          <w:color w:val="000000"/>
          <w:spacing w:val="-11"/>
          <w:sz w:val="28"/>
          <w:szCs w:val="28"/>
          <w:shd w:val="clear" w:color="auto" w:fill="FFFFFF"/>
        </w:rPr>
      </w:pPr>
    </w:p>
    <w:p>
      <w:pPr>
        <w:pStyle w:val="27"/>
        <w:shd w:val="clear" w:color="auto" w:fill="FFFFFF"/>
        <w:spacing w:before="0" w:beforeAutospacing="0" w:after="0" w:afterAutospacing="0" w:line="360" w:lineRule="auto"/>
        <w:rPr>
          <w:rFonts w:ascii="仿宋_GB2312" w:hAnsi="仿宋_GB2312" w:eastAsia="仿宋_GB2312" w:cs="仿宋_GB2312"/>
          <w:b/>
          <w:color w:val="000000"/>
          <w:spacing w:val="-11"/>
          <w:sz w:val="28"/>
          <w:szCs w:val="28"/>
          <w:shd w:val="clear" w:color="auto" w:fill="FFFFFF"/>
        </w:rPr>
      </w:pPr>
    </w:p>
    <w:p>
      <w:pPr>
        <w:pStyle w:val="27"/>
        <w:shd w:val="clear" w:color="auto" w:fill="FFFFFF"/>
        <w:spacing w:before="0" w:beforeAutospacing="0" w:after="0" w:afterAutospacing="0" w:line="360" w:lineRule="auto"/>
        <w:jc w:val="center"/>
        <w:rPr>
          <w:rFonts w:ascii="仿宋_GB2312" w:hAnsi="仿宋_GB2312" w:eastAsia="仿宋_GB2312" w:cs="仿宋_GB2312"/>
          <w:b/>
          <w:color w:val="000000"/>
          <w:spacing w:val="-11"/>
          <w:sz w:val="28"/>
          <w:szCs w:val="28"/>
          <w:shd w:val="clear" w:color="auto" w:fill="FFFFFF"/>
        </w:rPr>
      </w:pPr>
      <w:r>
        <w:rPr>
          <w:rFonts w:hint="eastAsia" w:ascii="仿宋_GB2312" w:hAnsi="仿宋_GB2312" w:eastAsia="仿宋_GB2312" w:cs="仿宋_GB2312"/>
          <w:b/>
          <w:color w:val="000000"/>
          <w:spacing w:val="-11"/>
          <w:sz w:val="28"/>
          <w:szCs w:val="28"/>
          <w:shd w:val="clear" w:color="auto" w:fill="FFFFFF"/>
          <w:lang w:val="en-US" w:eastAsia="zh-CN"/>
        </w:rPr>
        <w:t>协议</w:t>
      </w:r>
      <w:r>
        <w:rPr>
          <w:rFonts w:hint="eastAsia" w:ascii="仿宋_GB2312" w:hAnsi="仿宋_GB2312" w:eastAsia="仿宋_GB2312" w:cs="仿宋_GB2312"/>
          <w:b/>
          <w:color w:val="000000"/>
          <w:spacing w:val="-11"/>
          <w:sz w:val="28"/>
          <w:szCs w:val="28"/>
          <w:shd w:val="clear" w:color="auto" w:fill="FFFFFF"/>
        </w:rPr>
        <w:t>名称：</w:t>
      </w:r>
      <w:r>
        <w:rPr>
          <w:rFonts w:hint="eastAsia" w:ascii="仿宋_GB2312" w:hAnsi="仿宋_GB2312" w:eastAsia="仿宋_GB2312" w:cs="仿宋_GB2312"/>
          <w:b/>
          <w:color w:val="000000"/>
          <w:spacing w:val="-11"/>
          <w:sz w:val="28"/>
          <w:szCs w:val="28"/>
          <w:u w:val="single"/>
          <w:shd w:val="clear" w:color="auto" w:fill="FFFFFF"/>
        </w:rPr>
        <w:t>《服务外包安全管理协议》</w:t>
      </w:r>
    </w:p>
    <w:p>
      <w:pPr>
        <w:pStyle w:val="27"/>
        <w:shd w:val="clear" w:color="auto" w:fill="FFFFFF"/>
        <w:spacing w:before="0" w:beforeAutospacing="0" w:after="0" w:afterAutospacing="0" w:line="360" w:lineRule="auto"/>
        <w:jc w:val="center"/>
        <w:rPr>
          <w:rFonts w:ascii="仿宋_GB2312" w:hAnsi="仿宋_GB2312" w:eastAsia="仿宋_GB2312" w:cs="仿宋_GB2312"/>
          <w:b/>
          <w:color w:val="000000"/>
          <w:spacing w:val="-11"/>
          <w:sz w:val="28"/>
          <w:szCs w:val="28"/>
          <w:shd w:val="clear" w:color="auto" w:fill="FFFFFF"/>
        </w:rPr>
      </w:pPr>
    </w:p>
    <w:p>
      <w:pPr>
        <w:pStyle w:val="27"/>
        <w:shd w:val="clear" w:color="auto" w:fill="FFFFFF"/>
        <w:spacing w:before="0" w:beforeAutospacing="0" w:after="0" w:afterAutospacing="0" w:line="360" w:lineRule="auto"/>
        <w:jc w:val="center"/>
        <w:rPr>
          <w:rFonts w:ascii="仿宋_GB2312" w:hAnsi="仿宋_GB2312" w:eastAsia="仿宋_GB2312" w:cs="仿宋_GB2312"/>
          <w:b/>
          <w:color w:val="000000"/>
          <w:spacing w:val="-11"/>
          <w:sz w:val="28"/>
          <w:szCs w:val="28"/>
          <w:shd w:val="clear" w:color="auto" w:fill="FFFFFF"/>
        </w:rPr>
      </w:pPr>
    </w:p>
    <w:p>
      <w:pPr>
        <w:pStyle w:val="27"/>
        <w:shd w:val="clear" w:color="auto" w:fill="FFFFFF"/>
        <w:spacing w:before="0" w:beforeAutospacing="0" w:after="0" w:afterAutospacing="0" w:line="360" w:lineRule="auto"/>
        <w:jc w:val="both"/>
        <w:rPr>
          <w:rFonts w:ascii="仿宋_GB2312" w:hAnsi="仿宋_GB2312" w:eastAsia="仿宋_GB2312" w:cs="仿宋_GB2312"/>
          <w:b/>
          <w:color w:val="000000"/>
          <w:spacing w:val="-11"/>
          <w:sz w:val="28"/>
          <w:szCs w:val="28"/>
          <w:shd w:val="clear" w:color="auto" w:fill="FFFFFF"/>
        </w:rPr>
      </w:pPr>
    </w:p>
    <w:p>
      <w:pPr>
        <w:pStyle w:val="27"/>
        <w:shd w:val="clear" w:color="auto" w:fill="FFFFFF"/>
        <w:spacing w:before="0" w:beforeAutospacing="0" w:after="0" w:afterAutospacing="0" w:line="360" w:lineRule="auto"/>
        <w:jc w:val="center"/>
        <w:rPr>
          <w:rFonts w:ascii="仿宋_GB2312" w:hAnsi="仿宋_GB2312" w:eastAsia="仿宋_GB2312" w:cs="仿宋_GB2312"/>
          <w:b/>
          <w:color w:val="000000"/>
          <w:spacing w:val="-11"/>
          <w:sz w:val="28"/>
          <w:szCs w:val="28"/>
          <w:shd w:val="clear" w:color="auto" w:fill="FFFFFF"/>
        </w:rPr>
      </w:pPr>
    </w:p>
    <w:p>
      <w:pPr>
        <w:pStyle w:val="27"/>
        <w:shd w:val="clear" w:color="auto" w:fill="FFFFFF"/>
        <w:spacing w:before="0" w:beforeAutospacing="0" w:after="0" w:afterAutospacing="0" w:line="360" w:lineRule="auto"/>
        <w:jc w:val="center"/>
        <w:rPr>
          <w:rFonts w:ascii="仿宋_GB2312" w:hAnsi="仿宋_GB2312" w:eastAsia="仿宋_GB2312" w:cs="仿宋_GB2312"/>
          <w:b/>
          <w:color w:val="000000"/>
          <w:spacing w:val="-11"/>
          <w:sz w:val="28"/>
          <w:szCs w:val="28"/>
          <w:shd w:val="clear" w:color="auto" w:fill="FFFFFF"/>
        </w:rPr>
      </w:pPr>
    </w:p>
    <w:p>
      <w:pPr>
        <w:pStyle w:val="27"/>
        <w:shd w:val="clear" w:color="auto" w:fill="FFFFFF"/>
        <w:spacing w:before="0" w:beforeAutospacing="0" w:after="0" w:afterAutospacing="0" w:line="360" w:lineRule="auto"/>
        <w:jc w:val="center"/>
        <w:rPr>
          <w:rFonts w:ascii="仿宋_GB2312" w:hAnsi="仿宋_GB2312" w:eastAsia="仿宋_GB2312" w:cs="仿宋_GB2312"/>
          <w:b/>
          <w:color w:val="000000"/>
          <w:spacing w:val="-11"/>
          <w:sz w:val="28"/>
          <w:szCs w:val="28"/>
          <w:shd w:val="clear" w:color="auto" w:fill="FFFFFF"/>
        </w:rPr>
      </w:pPr>
    </w:p>
    <w:p>
      <w:pPr>
        <w:pStyle w:val="27"/>
        <w:shd w:val="clear" w:color="auto" w:fill="FFFFFF"/>
        <w:spacing w:before="0" w:beforeAutospacing="0" w:after="0" w:afterAutospacing="0" w:line="360" w:lineRule="auto"/>
        <w:jc w:val="center"/>
        <w:rPr>
          <w:rFonts w:ascii="仿宋_GB2312" w:hAnsi="仿宋_GB2312" w:eastAsia="仿宋_GB2312" w:cs="仿宋_GB2312"/>
          <w:b/>
          <w:color w:val="000000"/>
          <w:spacing w:val="-11"/>
          <w:sz w:val="28"/>
          <w:szCs w:val="28"/>
          <w:shd w:val="clear" w:color="auto" w:fill="FFFFFF"/>
        </w:rPr>
      </w:pPr>
    </w:p>
    <w:p>
      <w:pPr>
        <w:pStyle w:val="27"/>
        <w:shd w:val="clear" w:color="auto" w:fill="FFFFFF"/>
        <w:spacing w:before="0" w:beforeAutospacing="0" w:after="0" w:afterAutospacing="0" w:line="360" w:lineRule="auto"/>
        <w:jc w:val="center"/>
        <w:rPr>
          <w:rFonts w:ascii="仿宋_GB2312" w:hAnsi="仿宋_GB2312" w:eastAsia="仿宋_GB2312" w:cs="仿宋_GB2312"/>
          <w:b/>
          <w:color w:val="000000"/>
          <w:spacing w:val="-11"/>
          <w:sz w:val="28"/>
          <w:szCs w:val="28"/>
          <w:shd w:val="clear" w:color="auto" w:fill="FFFFFF"/>
        </w:rPr>
      </w:pPr>
      <w:r>
        <w:rPr>
          <w:rFonts w:hint="eastAsia" w:ascii="仿宋_GB2312" w:hAnsi="仿宋_GB2312" w:eastAsia="仿宋_GB2312" w:cs="仿宋_GB2312"/>
          <w:b/>
          <w:color w:val="000000"/>
          <w:spacing w:val="-11"/>
          <w:sz w:val="28"/>
          <w:szCs w:val="28"/>
          <w:shd w:val="clear" w:color="auto" w:fill="FFFFFF"/>
        </w:rPr>
        <w:t>中粮（唐山）糖业有限公司</w:t>
      </w:r>
    </w:p>
    <w:p>
      <w:pPr>
        <w:pStyle w:val="27"/>
        <w:shd w:val="clear" w:color="auto" w:fill="FFFFFF"/>
        <w:spacing w:before="0" w:beforeAutospacing="0" w:after="0" w:afterAutospacing="0" w:line="360" w:lineRule="auto"/>
        <w:jc w:val="both"/>
        <w:rPr>
          <w:rFonts w:ascii="仿宋_GB2312" w:hAnsi="仿宋_GB2312" w:eastAsia="仿宋_GB2312" w:cs="仿宋_GB2312"/>
          <w:b/>
          <w:color w:val="000000"/>
          <w:spacing w:val="-11"/>
          <w:sz w:val="28"/>
          <w:szCs w:val="28"/>
          <w:shd w:val="clear" w:color="auto" w:fill="FFFFFF"/>
        </w:rPr>
      </w:pPr>
    </w:p>
    <w:p>
      <w:pPr>
        <w:pStyle w:val="27"/>
        <w:shd w:val="clear" w:color="auto" w:fill="FFFFFF"/>
        <w:spacing w:before="0" w:beforeAutospacing="0" w:after="0" w:afterAutospacing="0" w:line="360" w:lineRule="auto"/>
        <w:jc w:val="both"/>
        <w:rPr>
          <w:rFonts w:asciiTheme="minorEastAsia" w:hAnsiTheme="minorEastAsia" w:eastAsiaTheme="minorEastAsia"/>
          <w:b/>
          <w:color w:val="000000"/>
          <w:spacing w:val="-11"/>
          <w:sz w:val="28"/>
          <w:szCs w:val="28"/>
          <w:shd w:val="clear" w:color="auto" w:fill="FFFFFF"/>
        </w:rPr>
      </w:pPr>
    </w:p>
    <w:p>
      <w:pPr>
        <w:pStyle w:val="27"/>
        <w:snapToGrid w:val="0"/>
        <w:spacing w:before="0" w:beforeAutospacing="0" w:after="0" w:afterAutospacing="0" w:line="360" w:lineRule="auto"/>
        <w:jc w:val="both"/>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pacing w:val="2"/>
          <w:sz w:val="32"/>
          <w:szCs w:val="32"/>
        </w:rPr>
        <w:t>用工单位</w:t>
      </w:r>
      <w:r>
        <w:rPr>
          <w:rFonts w:hint="eastAsia" w:ascii="仿宋_GB2312" w:hAnsi="仿宋_GB2312" w:eastAsia="仿宋_GB2312" w:cs="仿宋_GB2312"/>
          <w:b/>
          <w:bCs/>
          <w:color w:val="000000"/>
          <w:sz w:val="32"/>
          <w:szCs w:val="32"/>
        </w:rPr>
        <w:t>（甲方）：中粮（唐山）糖业有限公司</w:t>
      </w:r>
    </w:p>
    <w:p>
      <w:pPr>
        <w:pStyle w:val="27"/>
        <w:snapToGrid w:val="0"/>
        <w:spacing w:before="0" w:beforeAutospacing="0" w:after="0" w:afterAutospacing="0" w:line="360" w:lineRule="auto"/>
        <w:jc w:val="both"/>
        <w:rPr>
          <w:rFonts w:ascii="仿宋_GB2312" w:hAnsi="仿宋_GB2312" w:eastAsia="仿宋_GB2312" w:cs="仿宋_GB2312"/>
          <w:b/>
          <w:bCs/>
          <w:color w:val="000000"/>
          <w:sz w:val="32"/>
          <w:szCs w:val="32"/>
        </w:rPr>
      </w:pPr>
    </w:p>
    <w:p>
      <w:pPr>
        <w:pStyle w:val="27"/>
        <w:snapToGrid w:val="0"/>
        <w:spacing w:before="0" w:beforeAutospacing="0" w:after="0" w:afterAutospacing="0" w:line="360" w:lineRule="auto"/>
        <w:rPr>
          <w:rFonts w:ascii="仿宋_GB2312" w:hAnsi="仿宋_GB2312" w:eastAsia="仿宋_GB2312" w:cs="仿宋_GB2312"/>
          <w:b/>
          <w:bCs/>
          <w:color w:val="000000"/>
          <w:spacing w:val="2"/>
          <w:sz w:val="32"/>
          <w:szCs w:val="32"/>
          <w:u w:val="single"/>
        </w:rPr>
      </w:pPr>
      <w:r>
        <w:rPr>
          <w:rFonts w:hint="eastAsia" w:ascii="仿宋_GB2312" w:hAnsi="仿宋_GB2312" w:eastAsia="仿宋_GB2312" w:cs="仿宋_GB2312"/>
          <w:b/>
          <w:bCs/>
          <w:color w:val="000000"/>
          <w:spacing w:val="2"/>
          <w:sz w:val="32"/>
          <w:szCs w:val="32"/>
        </w:rPr>
        <w:t>服务外包单位</w:t>
      </w:r>
      <w:r>
        <w:rPr>
          <w:rFonts w:hint="eastAsia" w:ascii="仿宋_GB2312" w:hAnsi="仿宋_GB2312" w:eastAsia="仿宋_GB2312" w:cs="仿宋_GB2312"/>
          <w:b/>
          <w:bCs/>
          <w:color w:val="000000"/>
          <w:spacing w:val="-4"/>
          <w:sz w:val="32"/>
          <w:szCs w:val="32"/>
        </w:rPr>
        <w:t>（乙方）</w:t>
      </w:r>
      <w:r>
        <w:rPr>
          <w:rFonts w:hint="eastAsia" w:ascii="仿宋_GB2312" w:hAnsi="仿宋_GB2312" w:eastAsia="仿宋_GB2312" w:cs="仿宋_GB2312"/>
          <w:b/>
          <w:bCs/>
          <w:color w:val="000000"/>
          <w:spacing w:val="2"/>
          <w:sz w:val="32"/>
          <w:szCs w:val="32"/>
        </w:rPr>
        <w:t>：</w:t>
      </w:r>
      <w:r>
        <w:rPr>
          <w:rFonts w:hint="eastAsia" w:ascii="仿宋_GB2312" w:hAnsi="仿宋_GB2312" w:eastAsia="仿宋_GB2312" w:cs="仿宋_GB2312"/>
          <w:b/>
          <w:bCs/>
          <w:color w:val="000000"/>
          <w:spacing w:val="2"/>
          <w:sz w:val="32"/>
          <w:szCs w:val="32"/>
          <w:u w:val="single"/>
        </w:rPr>
        <w:t xml:space="preserve">                                     </w:t>
      </w:r>
    </w:p>
    <w:p>
      <w:pPr>
        <w:pStyle w:val="27"/>
        <w:snapToGrid w:val="0"/>
        <w:spacing w:before="0" w:beforeAutospacing="0" w:after="0" w:afterAutospacing="0" w:line="360" w:lineRule="auto"/>
        <w:rPr>
          <w:rFonts w:ascii="仿宋_GB2312" w:hAnsi="仿宋_GB2312" w:eastAsia="仿宋_GB2312" w:cs="仿宋_GB2312"/>
          <w:b/>
          <w:bCs/>
          <w:color w:val="000000"/>
          <w:spacing w:val="2"/>
          <w:sz w:val="32"/>
          <w:szCs w:val="32"/>
          <w:u w:val="single"/>
        </w:rPr>
      </w:pPr>
    </w:p>
    <w:p>
      <w:pPr>
        <w:pStyle w:val="27"/>
        <w:snapToGrid w:val="0"/>
        <w:spacing w:before="0" w:beforeAutospacing="0" w:after="0" w:afterAutospacing="0" w:line="360" w:lineRule="auto"/>
        <w:ind w:firstLine="588" w:firstLineChars="200"/>
        <w:rPr>
          <w:rFonts w:ascii="仿宋_GB2312" w:hAnsi="仿宋_GB2312" w:eastAsia="仿宋_GB2312" w:cs="仿宋_GB2312"/>
          <w:color w:val="000000"/>
          <w:spacing w:val="-13"/>
          <w:sz w:val="32"/>
          <w:szCs w:val="32"/>
        </w:rPr>
      </w:pPr>
      <w:r>
        <w:rPr>
          <w:rFonts w:hint="eastAsia" w:ascii="仿宋_GB2312" w:hAnsi="仿宋_GB2312" w:eastAsia="仿宋_GB2312" w:cs="仿宋_GB2312"/>
          <w:color w:val="000000"/>
          <w:spacing w:val="-13"/>
          <w:sz w:val="32"/>
          <w:szCs w:val="32"/>
        </w:rPr>
        <w:t>为了贯彻落实《中华人民共和国安全生产法》和中粮（唐山）糖业有限公司等有关安全生产管理规定，明确甲乙双方的安全职责，确保中粮（唐山）糖业有限公司安全生产、稳定运营，乙方人员在甲方工作期间的人身安全，避免生产安全事故的发生，经双方协商一致签订本协议。</w:t>
      </w:r>
    </w:p>
    <w:p>
      <w:pPr>
        <w:pStyle w:val="27"/>
        <w:snapToGrid w:val="0"/>
        <w:spacing w:before="0" w:beforeAutospacing="0" w:after="0" w:afterAutospacing="0" w:line="360" w:lineRule="auto"/>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一、服务外包：</w:t>
      </w:r>
    </w:p>
    <w:p>
      <w:pPr>
        <w:pStyle w:val="27"/>
        <w:snapToGrid w:val="0"/>
        <w:spacing w:before="0" w:beforeAutospacing="0" w:after="0" w:afterAutospacing="0" w:line="360" w:lineRule="auto"/>
        <w:ind w:firstLine="635" w:firstLineChars="200"/>
        <w:rPr>
          <w:rFonts w:ascii="仿宋_GB2312" w:hAnsi="仿宋_GB2312" w:eastAsia="仿宋_GB2312" w:cs="仿宋_GB2312"/>
          <w:bCs/>
          <w:color w:val="000000"/>
          <w:spacing w:val="2"/>
          <w:sz w:val="32"/>
          <w:szCs w:val="32"/>
          <w:u w:val="single"/>
        </w:rPr>
      </w:pPr>
      <w:r>
        <w:rPr>
          <w:rFonts w:hint="eastAsia" w:ascii="仿宋_GB2312" w:hAnsi="仿宋_GB2312" w:eastAsia="仿宋_GB2312" w:cs="仿宋_GB2312"/>
          <w:b/>
          <w:bCs/>
          <w:color w:val="000000"/>
          <w:spacing w:val="-2"/>
          <w:sz w:val="32"/>
          <w:szCs w:val="32"/>
        </w:rPr>
        <w:t>（一）</w:t>
      </w:r>
      <w:r>
        <w:rPr>
          <w:rFonts w:hint="eastAsia" w:ascii="仿宋_GB2312" w:hAnsi="仿宋_GB2312" w:eastAsia="仿宋_GB2312" w:cs="仿宋_GB2312"/>
          <w:b/>
          <w:bCs/>
          <w:color w:val="000000"/>
          <w:sz w:val="32"/>
          <w:szCs w:val="32"/>
        </w:rPr>
        <w:t>外包</w:t>
      </w:r>
      <w:r>
        <w:rPr>
          <w:rFonts w:hint="eastAsia" w:ascii="仿宋_GB2312" w:hAnsi="仿宋_GB2312" w:eastAsia="仿宋_GB2312" w:cs="仿宋_GB2312"/>
          <w:b/>
          <w:bCs/>
          <w:color w:val="000000"/>
          <w:spacing w:val="-2"/>
          <w:sz w:val="32"/>
          <w:szCs w:val="32"/>
        </w:rPr>
        <w:t>项目：</w:t>
      </w:r>
      <w:r>
        <w:rPr>
          <w:rFonts w:hint="eastAsia" w:ascii="仿宋_GB2312" w:hAnsi="仿宋_GB2312" w:eastAsia="仿宋_GB2312" w:cs="仿宋_GB2312"/>
          <w:bCs/>
          <w:color w:val="000000"/>
          <w:spacing w:val="2"/>
          <w:sz w:val="32"/>
          <w:szCs w:val="32"/>
          <w:u w:val="single"/>
        </w:rPr>
        <w:t xml:space="preserve">                                   </w:t>
      </w:r>
    </w:p>
    <w:p>
      <w:pPr>
        <w:pStyle w:val="27"/>
        <w:snapToGrid w:val="0"/>
        <w:spacing w:before="0" w:beforeAutospacing="0" w:after="0" w:afterAutospacing="0" w:line="360" w:lineRule="auto"/>
        <w:ind w:firstLine="648"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pacing w:val="2"/>
          <w:sz w:val="32"/>
          <w:szCs w:val="32"/>
          <w:u w:val="single"/>
        </w:rPr>
        <w:t xml:space="preserve">                                                 。</w:t>
      </w:r>
    </w:p>
    <w:p>
      <w:pPr>
        <w:pStyle w:val="27"/>
        <w:snapToGrid w:val="0"/>
        <w:spacing w:before="0" w:beforeAutospacing="0" w:after="0" w:afterAutospacing="0" w:line="360" w:lineRule="auto"/>
        <w:ind w:firstLine="635"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
          <w:bCs/>
          <w:color w:val="000000"/>
          <w:spacing w:val="-2"/>
          <w:sz w:val="32"/>
          <w:szCs w:val="32"/>
        </w:rPr>
        <w:t>（二）外包协议期限</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Cs/>
          <w:color w:val="000000"/>
          <w:sz w:val="32"/>
          <w:szCs w:val="32"/>
        </w:rPr>
        <w:t>自</w:t>
      </w:r>
      <w:r>
        <w:rPr>
          <w:rFonts w:hint="eastAsia" w:ascii="仿宋_GB2312" w:hAnsi="仿宋_GB2312" w:eastAsia="仿宋_GB2312" w:cs="仿宋_GB2312"/>
          <w:bCs/>
          <w:color w:val="000000"/>
          <w:spacing w:val="2"/>
          <w:sz w:val="32"/>
          <w:szCs w:val="32"/>
          <w:u w:val="single"/>
        </w:rPr>
        <w:t xml:space="preserve">      </w:t>
      </w:r>
      <w:r>
        <w:rPr>
          <w:rFonts w:hint="eastAsia" w:ascii="仿宋_GB2312" w:hAnsi="仿宋_GB2312" w:eastAsia="仿宋_GB2312" w:cs="仿宋_GB2312"/>
          <w:bCs/>
          <w:color w:val="000000"/>
          <w:sz w:val="32"/>
          <w:szCs w:val="32"/>
        </w:rPr>
        <w:t>年</w:t>
      </w:r>
      <w:r>
        <w:rPr>
          <w:rFonts w:hint="eastAsia" w:ascii="仿宋_GB2312" w:hAnsi="仿宋_GB2312" w:eastAsia="仿宋_GB2312" w:cs="仿宋_GB2312"/>
          <w:bCs/>
          <w:color w:val="000000"/>
          <w:spacing w:val="2"/>
          <w:sz w:val="32"/>
          <w:szCs w:val="32"/>
          <w:u w:val="single"/>
        </w:rPr>
        <w:t xml:space="preserve">      </w:t>
      </w:r>
      <w:r>
        <w:rPr>
          <w:rFonts w:hint="eastAsia" w:ascii="仿宋_GB2312" w:hAnsi="仿宋_GB2312" w:eastAsia="仿宋_GB2312" w:cs="仿宋_GB2312"/>
          <w:bCs/>
          <w:color w:val="000000"/>
          <w:sz w:val="32"/>
          <w:szCs w:val="32"/>
        </w:rPr>
        <w:t>月</w:t>
      </w:r>
      <w:r>
        <w:rPr>
          <w:rFonts w:hint="eastAsia" w:ascii="仿宋_GB2312" w:hAnsi="仿宋_GB2312" w:eastAsia="仿宋_GB2312" w:cs="仿宋_GB2312"/>
          <w:bCs/>
          <w:color w:val="000000"/>
          <w:spacing w:val="2"/>
          <w:sz w:val="32"/>
          <w:szCs w:val="32"/>
          <w:u w:val="single"/>
        </w:rPr>
        <w:t xml:space="preserve">      </w:t>
      </w:r>
      <w:r>
        <w:rPr>
          <w:rFonts w:hint="eastAsia" w:ascii="仿宋_GB2312" w:hAnsi="仿宋_GB2312" w:eastAsia="仿宋_GB2312" w:cs="仿宋_GB2312"/>
          <w:bCs/>
          <w:color w:val="000000"/>
          <w:sz w:val="32"/>
          <w:szCs w:val="32"/>
        </w:rPr>
        <w:t>日起，至</w:t>
      </w:r>
      <w:r>
        <w:rPr>
          <w:rFonts w:hint="eastAsia" w:ascii="仿宋_GB2312" w:hAnsi="仿宋_GB2312" w:eastAsia="仿宋_GB2312" w:cs="仿宋_GB2312"/>
          <w:bCs/>
          <w:color w:val="000000"/>
          <w:spacing w:val="2"/>
          <w:sz w:val="32"/>
          <w:szCs w:val="32"/>
          <w:u w:val="single"/>
        </w:rPr>
        <w:t xml:space="preserve">       </w:t>
      </w:r>
      <w:r>
        <w:rPr>
          <w:rFonts w:hint="eastAsia" w:ascii="仿宋_GB2312" w:hAnsi="仿宋_GB2312" w:eastAsia="仿宋_GB2312" w:cs="仿宋_GB2312"/>
          <w:bCs/>
          <w:color w:val="000000"/>
          <w:sz w:val="32"/>
          <w:szCs w:val="32"/>
        </w:rPr>
        <w:t>年</w:t>
      </w:r>
      <w:r>
        <w:rPr>
          <w:rFonts w:hint="eastAsia" w:ascii="仿宋_GB2312" w:hAnsi="仿宋_GB2312" w:eastAsia="仿宋_GB2312" w:cs="仿宋_GB2312"/>
          <w:bCs/>
          <w:color w:val="000000"/>
          <w:spacing w:val="2"/>
          <w:sz w:val="32"/>
          <w:szCs w:val="32"/>
          <w:u w:val="single"/>
        </w:rPr>
        <w:t xml:space="preserve">      </w:t>
      </w:r>
      <w:r>
        <w:rPr>
          <w:rFonts w:hint="eastAsia" w:ascii="仿宋_GB2312" w:hAnsi="仿宋_GB2312" w:eastAsia="仿宋_GB2312" w:cs="仿宋_GB2312"/>
          <w:bCs/>
          <w:color w:val="000000"/>
          <w:sz w:val="32"/>
          <w:szCs w:val="32"/>
        </w:rPr>
        <w:t>月</w:t>
      </w:r>
      <w:r>
        <w:rPr>
          <w:rFonts w:hint="eastAsia" w:ascii="仿宋_GB2312" w:hAnsi="仿宋_GB2312" w:eastAsia="仿宋_GB2312" w:cs="仿宋_GB2312"/>
          <w:bCs/>
          <w:color w:val="000000"/>
          <w:spacing w:val="2"/>
          <w:sz w:val="32"/>
          <w:szCs w:val="32"/>
          <w:u w:val="single"/>
        </w:rPr>
        <w:t xml:space="preserve">      </w:t>
      </w:r>
      <w:r>
        <w:rPr>
          <w:rFonts w:hint="eastAsia" w:ascii="仿宋_GB2312" w:hAnsi="仿宋_GB2312" w:eastAsia="仿宋_GB2312" w:cs="仿宋_GB2312"/>
          <w:bCs/>
          <w:color w:val="000000"/>
          <w:sz w:val="32"/>
          <w:szCs w:val="32"/>
        </w:rPr>
        <w:t>日结束。</w:t>
      </w:r>
    </w:p>
    <w:p>
      <w:pPr>
        <w:pStyle w:val="27"/>
        <w:shd w:val="clear" w:color="auto" w:fill="FFFFFF"/>
        <w:snapToGrid w:val="0"/>
        <w:spacing w:before="0" w:beforeAutospacing="0" w:after="0" w:afterAutospacing="0" w:line="360" w:lineRule="auto"/>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二、协议内容：</w:t>
      </w:r>
    </w:p>
    <w:p>
      <w:pPr>
        <w:pStyle w:val="27"/>
        <w:shd w:val="clear" w:color="auto" w:fill="FFFFFF"/>
        <w:snapToGrid w:val="0"/>
        <w:spacing w:before="0" w:beforeAutospacing="0" w:after="0" w:afterAutospacing="0" w:line="360" w:lineRule="auto"/>
        <w:ind w:firstLine="635" w:firstLineChars="200"/>
        <w:rPr>
          <w:rFonts w:ascii="仿宋_GB2312" w:hAnsi="仿宋_GB2312" w:eastAsia="仿宋_GB2312" w:cs="仿宋_GB2312"/>
          <w:b/>
          <w:bCs/>
          <w:color w:val="000000"/>
          <w:spacing w:val="-2"/>
          <w:sz w:val="32"/>
          <w:szCs w:val="32"/>
        </w:rPr>
      </w:pPr>
      <w:r>
        <w:rPr>
          <w:rFonts w:hint="eastAsia" w:ascii="仿宋_GB2312" w:hAnsi="仿宋_GB2312" w:eastAsia="仿宋_GB2312" w:cs="仿宋_GB2312"/>
          <w:b/>
          <w:bCs/>
          <w:color w:val="000000"/>
          <w:spacing w:val="-2"/>
          <w:sz w:val="32"/>
          <w:szCs w:val="32"/>
        </w:rPr>
        <w:t xml:space="preserve">（一）甲方的权利、义务、责任 </w:t>
      </w:r>
    </w:p>
    <w:p>
      <w:pPr>
        <w:pStyle w:val="27"/>
        <w:numPr>
          <w:ilvl w:val="0"/>
          <w:numId w:val="3"/>
        </w:numPr>
        <w:shd w:val="clear" w:color="auto" w:fill="FFFFFF"/>
        <w:snapToGrid w:val="0"/>
        <w:spacing w:before="0" w:beforeAutospacing="0" w:after="0" w:afterAutospacing="0" w:line="360" w:lineRule="auto"/>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权利</w:t>
      </w:r>
    </w:p>
    <w:p>
      <w:pPr>
        <w:pStyle w:val="27"/>
        <w:shd w:val="clear" w:color="auto" w:fill="FFFFFF"/>
        <w:snapToGrid w:val="0"/>
        <w:spacing w:before="0" w:beforeAutospacing="0" w:after="0" w:afterAutospacing="0" w:line="360" w:lineRule="auto"/>
        <w:ind w:firstLine="664"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（1）对乙方提供的单位资质、人员资质等资料进行审核并备案。需制定外包人员准入标准，明确年龄、性别、文化程度、工作经验和作业资质等内容。</w:t>
      </w:r>
    </w:p>
    <w:p>
      <w:pPr>
        <w:pStyle w:val="27"/>
        <w:shd w:val="clear" w:color="auto" w:fill="FFFFFF"/>
        <w:snapToGrid w:val="0"/>
        <w:spacing w:before="0" w:beforeAutospacing="0" w:after="0" w:afterAutospacing="0" w:line="360" w:lineRule="auto"/>
        <w:ind w:firstLine="664"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（2）对乙方提供的外包人员健康检查报告等资料进行审核并备案。</w:t>
      </w:r>
    </w:p>
    <w:p>
      <w:pPr>
        <w:pStyle w:val="27"/>
        <w:shd w:val="clear" w:color="auto" w:fill="FFFFFF"/>
        <w:snapToGrid w:val="0"/>
        <w:spacing w:before="0" w:beforeAutospacing="0" w:after="0" w:afterAutospacing="0" w:line="360" w:lineRule="auto"/>
        <w:ind w:firstLine="664"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（3）对乙方提供的外包人员工伤保险或人身意外伤害保险等资料进行审核并备案。</w:t>
      </w:r>
    </w:p>
    <w:p>
      <w:pPr>
        <w:pStyle w:val="27"/>
        <w:shd w:val="clear" w:color="auto" w:fill="FFFFFF"/>
        <w:snapToGrid w:val="0"/>
        <w:spacing w:before="0" w:beforeAutospacing="0" w:after="0" w:afterAutospacing="0" w:line="360" w:lineRule="auto"/>
        <w:ind w:firstLine="664"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（4）对乙方进场前的劳保用品、工具设备、公司资质证明材料等进行审查保证其合规性。</w:t>
      </w:r>
    </w:p>
    <w:p>
      <w:pPr>
        <w:pStyle w:val="27"/>
        <w:shd w:val="clear" w:color="auto" w:fill="FFFFFF"/>
        <w:snapToGrid w:val="0"/>
        <w:spacing w:before="0" w:beforeAutospacing="0" w:after="0" w:afterAutospacing="0" w:line="360" w:lineRule="auto"/>
        <w:ind w:firstLine="664"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（5）负责监督指导外包人员正确使用劳动防护用品。</w:t>
      </w:r>
    </w:p>
    <w:p>
      <w:pPr>
        <w:pStyle w:val="27"/>
        <w:shd w:val="clear" w:color="auto" w:fill="FFFFFF"/>
        <w:snapToGrid w:val="0"/>
        <w:spacing w:before="0" w:beforeAutospacing="0" w:after="0" w:afterAutospacing="0" w:line="360" w:lineRule="auto"/>
        <w:ind w:firstLine="664"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（6）对乙方外包人员在工作中履行安全管理协议、遵章守纪情况进行监督检查，对发现外包人员存在的违章违纪行为，及时进行教育并要求其整改。对不听劝告、严重违章违纪者，甲方有权将其驱逐出厂。</w:t>
      </w:r>
    </w:p>
    <w:p>
      <w:pPr>
        <w:pStyle w:val="27"/>
        <w:shd w:val="clear" w:color="auto" w:fill="FFFFFF"/>
        <w:snapToGrid w:val="0"/>
        <w:spacing w:before="0" w:beforeAutospacing="0" w:after="0" w:afterAutospacing="0" w:line="360" w:lineRule="auto"/>
        <w:ind w:firstLine="664"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（7）甲方应组织相关单位及外包单位对其所从事的作业活动开展危险源辨识工作，并将危险源辨识的内容作为安全技术交底和安全工作交底的其中内容之一。</w:t>
      </w:r>
    </w:p>
    <w:p>
      <w:pPr>
        <w:pStyle w:val="27"/>
        <w:shd w:val="clear" w:color="auto" w:fill="FFFFFF"/>
        <w:snapToGrid w:val="0"/>
        <w:spacing w:before="0" w:beforeAutospacing="0" w:after="0" w:afterAutospacing="0" w:line="360" w:lineRule="auto"/>
        <w:ind w:firstLine="664"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2.义务</w:t>
      </w:r>
    </w:p>
    <w:p>
      <w:pPr>
        <w:pStyle w:val="27"/>
        <w:shd w:val="clear" w:color="auto" w:fill="FFFFFF"/>
        <w:snapToGrid w:val="0"/>
        <w:spacing w:before="0" w:beforeAutospacing="0" w:after="0" w:afterAutospacing="0" w:line="360" w:lineRule="auto"/>
        <w:ind w:firstLine="664"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1）负责对外包人员进行入厂级安全教育培训，取得安全教育培训合格证，持证上岗；书面告知外包人员本单位的安全生产管理规章制度，工作中存在的危险源、职业病危害因素、可能存在的安全隐患和应采取的防范措施等应注意的事项，建立外包人员花名册。</w:t>
      </w:r>
    </w:p>
    <w:p>
      <w:pPr>
        <w:pStyle w:val="27"/>
        <w:shd w:val="clear" w:color="auto" w:fill="FFFFFF"/>
        <w:snapToGrid w:val="0"/>
        <w:spacing w:before="0" w:beforeAutospacing="0" w:after="0" w:afterAutospacing="0" w:line="360" w:lineRule="auto"/>
        <w:ind w:firstLine="664"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（2）作业现场有两个以上单位交叉作业有可能危及对方安全或影响施工作业进度时，甲方有义务统一协调管理，督促双方签订安全管理协议。</w:t>
      </w:r>
    </w:p>
    <w:p>
      <w:pPr>
        <w:pStyle w:val="27"/>
        <w:shd w:val="clear" w:color="auto" w:fill="FFFFFF"/>
        <w:snapToGrid w:val="0"/>
        <w:spacing w:before="0" w:beforeAutospacing="0" w:after="0" w:afterAutospacing="0" w:line="360" w:lineRule="auto"/>
        <w:ind w:firstLine="664"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3.责任</w:t>
      </w:r>
    </w:p>
    <w:p>
      <w:pPr>
        <w:pStyle w:val="27"/>
        <w:shd w:val="clear" w:color="auto" w:fill="FFFFFF"/>
        <w:snapToGrid w:val="0"/>
        <w:spacing w:before="0" w:beforeAutospacing="0" w:after="0" w:afterAutospacing="0" w:line="360" w:lineRule="auto"/>
        <w:ind w:firstLine="664"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（1）将乙方外包人员纳入本单位从业人员统一管理。</w:t>
      </w:r>
    </w:p>
    <w:p>
      <w:pPr>
        <w:pStyle w:val="27"/>
        <w:shd w:val="clear" w:color="auto" w:fill="FFFFFF"/>
        <w:snapToGrid w:val="0"/>
        <w:spacing w:before="0" w:beforeAutospacing="0" w:after="0" w:afterAutospacing="0" w:line="360" w:lineRule="auto"/>
        <w:ind w:firstLine="664"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（2）甲方负责向乙方如实告知根据甲方能力所知的作业场所和岗位存在的危险因素，要求乙方制订防范措施以及事故应急预案。</w:t>
      </w:r>
    </w:p>
    <w:p>
      <w:pPr>
        <w:pStyle w:val="27"/>
        <w:shd w:val="clear" w:color="auto" w:fill="FFFFFF"/>
        <w:snapToGrid w:val="0"/>
        <w:spacing w:before="0" w:beforeAutospacing="0" w:after="0" w:afterAutospacing="0" w:line="360" w:lineRule="auto"/>
        <w:ind w:firstLine="664"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（3）甲方有义务对乙方的安全奖惩情况进行告知。</w:t>
      </w:r>
    </w:p>
    <w:p>
      <w:pPr>
        <w:pStyle w:val="27"/>
        <w:shd w:val="clear" w:color="auto" w:fill="FFFFFF"/>
        <w:snapToGrid w:val="0"/>
        <w:spacing w:before="0" w:beforeAutospacing="0" w:after="0" w:afterAutospacing="0" w:line="360" w:lineRule="auto"/>
        <w:ind w:firstLine="635" w:firstLineChars="200"/>
        <w:rPr>
          <w:rFonts w:ascii="仿宋_GB2312" w:hAnsi="仿宋_GB2312" w:eastAsia="仿宋_GB2312" w:cs="仿宋_GB2312"/>
          <w:b/>
          <w:bCs/>
          <w:color w:val="000000"/>
          <w:spacing w:val="-3"/>
          <w:sz w:val="32"/>
          <w:szCs w:val="32"/>
        </w:rPr>
      </w:pPr>
      <w:r>
        <w:rPr>
          <w:rFonts w:hint="eastAsia" w:ascii="仿宋_GB2312" w:hAnsi="仿宋_GB2312" w:eastAsia="仿宋_GB2312" w:cs="仿宋_GB2312"/>
          <w:b/>
          <w:bCs/>
          <w:color w:val="000000"/>
          <w:spacing w:val="-2"/>
          <w:sz w:val="32"/>
          <w:szCs w:val="32"/>
        </w:rPr>
        <w:t>（二）</w:t>
      </w:r>
      <w:r>
        <w:rPr>
          <w:rFonts w:hint="eastAsia" w:ascii="仿宋_GB2312" w:hAnsi="仿宋_GB2312" w:eastAsia="仿宋_GB2312" w:cs="仿宋_GB2312"/>
          <w:b/>
          <w:bCs/>
          <w:color w:val="000000"/>
          <w:spacing w:val="-3"/>
          <w:sz w:val="32"/>
          <w:szCs w:val="32"/>
        </w:rPr>
        <w:t xml:space="preserve">乙方的权利、义务、责任 </w:t>
      </w:r>
    </w:p>
    <w:p>
      <w:pPr>
        <w:pStyle w:val="27"/>
        <w:shd w:val="clear" w:color="auto" w:fill="FFFFFF"/>
        <w:snapToGrid w:val="0"/>
        <w:spacing w:before="0" w:beforeAutospacing="0" w:after="0" w:afterAutospacing="0" w:line="360" w:lineRule="auto"/>
        <w:ind w:firstLine="667" w:firstLineChars="200"/>
        <w:rPr>
          <w:rFonts w:ascii="仿宋_GB2312" w:hAnsi="仿宋_GB2312" w:eastAsia="仿宋_GB2312" w:cs="仿宋_GB2312"/>
          <w:b/>
          <w:color w:val="000000"/>
          <w:spacing w:val="6"/>
          <w:sz w:val="32"/>
          <w:szCs w:val="32"/>
        </w:rPr>
      </w:pPr>
      <w:r>
        <w:rPr>
          <w:rFonts w:hint="eastAsia" w:ascii="仿宋_GB2312" w:hAnsi="仿宋_GB2312" w:eastAsia="仿宋_GB2312" w:cs="仿宋_GB2312"/>
          <w:b/>
          <w:color w:val="000000"/>
          <w:spacing w:val="6"/>
          <w:sz w:val="32"/>
          <w:szCs w:val="32"/>
        </w:rPr>
        <w:t>1.权利</w:t>
      </w:r>
    </w:p>
    <w:p>
      <w:pPr>
        <w:pStyle w:val="27"/>
        <w:shd w:val="clear" w:color="auto" w:fill="FFFFFF"/>
        <w:snapToGrid w:val="0"/>
        <w:spacing w:before="0" w:beforeAutospacing="0" w:after="0" w:afterAutospacing="0" w:line="360" w:lineRule="auto"/>
        <w:ind w:firstLine="664"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（1）乙方有权了解其作业场所和工作岗位存在的危险因素、防范措施及事故应急措施，有权对安全生产工作提出建议。</w:t>
      </w:r>
    </w:p>
    <w:p>
      <w:pPr>
        <w:pStyle w:val="27"/>
        <w:shd w:val="clear" w:color="auto" w:fill="FFFFFF"/>
        <w:snapToGrid w:val="0"/>
        <w:spacing w:before="0" w:beforeAutospacing="0" w:after="0" w:afterAutospacing="0" w:line="360" w:lineRule="auto"/>
        <w:ind w:firstLine="664"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（2）乙方有权对作业场所安全生产工作中存在的问题提出批评、检举、控告;有权拒绝违章指挥和强令冒险作业。</w:t>
      </w:r>
    </w:p>
    <w:p>
      <w:pPr>
        <w:pStyle w:val="27"/>
        <w:shd w:val="clear" w:color="auto" w:fill="FFFFFF"/>
        <w:snapToGrid w:val="0"/>
        <w:spacing w:before="0" w:beforeAutospacing="0" w:after="0" w:afterAutospacing="0" w:line="360" w:lineRule="auto"/>
        <w:ind w:firstLine="800" w:firstLineChars="241"/>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2.义务</w:t>
      </w:r>
    </w:p>
    <w:p>
      <w:pPr>
        <w:pStyle w:val="27"/>
        <w:shd w:val="clear" w:color="auto" w:fill="FFFFFF"/>
        <w:snapToGrid w:val="0"/>
        <w:spacing w:before="0" w:beforeAutospacing="0" w:after="0" w:afterAutospacing="0" w:line="360" w:lineRule="auto"/>
        <w:ind w:firstLine="664"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（1）乙方人员有义务接受安全生产教育和培训，掌握本职工作所需的安全生产知识，提高安全生产技能，同时对本单位员工开展“三级”安全教育。</w:t>
      </w:r>
    </w:p>
    <w:p>
      <w:pPr>
        <w:pStyle w:val="27"/>
        <w:shd w:val="clear" w:color="auto" w:fill="FFFFFF"/>
        <w:snapToGrid w:val="0"/>
        <w:spacing w:before="0" w:beforeAutospacing="0" w:after="0" w:afterAutospacing="0" w:line="360" w:lineRule="auto"/>
        <w:ind w:firstLine="664"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（2）乙方人员有义务严格遵守甲方的安全生产规章制度和操作规程，服从管理。</w:t>
      </w:r>
    </w:p>
    <w:p>
      <w:pPr>
        <w:pStyle w:val="27"/>
        <w:shd w:val="clear" w:color="auto" w:fill="FFFFFF"/>
        <w:snapToGrid w:val="0"/>
        <w:spacing w:before="0" w:beforeAutospacing="0" w:after="0" w:afterAutospacing="0" w:line="360" w:lineRule="auto"/>
        <w:ind w:firstLine="800" w:firstLineChars="241"/>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3.责任</w:t>
      </w:r>
    </w:p>
    <w:p>
      <w:pPr>
        <w:pStyle w:val="27"/>
        <w:shd w:val="clear" w:color="auto" w:fill="FFFFFF"/>
        <w:snapToGrid w:val="0"/>
        <w:spacing w:before="0" w:beforeAutospacing="0" w:after="0" w:afterAutospacing="0" w:line="360" w:lineRule="auto"/>
        <w:ind w:firstLine="664"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（1）必须具有独立的法人资质，具备核准从事相关经营范围的资质，在签订协议前将其相关的资质证照复印件交甲方备案，并对其真实性、合法性、有效性负责。</w:t>
      </w:r>
    </w:p>
    <w:p>
      <w:pPr>
        <w:pStyle w:val="27"/>
        <w:shd w:val="clear" w:color="auto" w:fill="FFFFFF"/>
        <w:snapToGrid w:val="0"/>
        <w:spacing w:before="0" w:beforeAutospacing="0" w:after="0" w:afterAutospacing="0" w:line="360" w:lineRule="auto"/>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color w:val="000000"/>
          <w:spacing w:val="6"/>
          <w:sz w:val="32"/>
          <w:szCs w:val="32"/>
        </w:rPr>
        <w:t>（2）应根据有关法律法规规定和甲方要求设置安全生产管理机构，配备专职的安全生产管理人员（至少一名），对外包业务进行安全生产管理，督促乙方人员遵守甲方的安全</w:t>
      </w:r>
      <w:r>
        <w:rPr>
          <w:rFonts w:hint="eastAsia" w:ascii="仿宋_GB2312" w:hAnsi="仿宋_GB2312" w:eastAsia="仿宋_GB2312" w:cs="仿宋_GB2312"/>
          <w:spacing w:val="6"/>
          <w:sz w:val="32"/>
          <w:szCs w:val="32"/>
        </w:rPr>
        <w:t>生产管理制度，接受甲方的安全生产监督管理。</w:t>
      </w:r>
    </w:p>
    <w:p>
      <w:pPr>
        <w:pStyle w:val="27"/>
        <w:shd w:val="clear" w:color="auto" w:fill="FFFFFF"/>
        <w:snapToGrid w:val="0"/>
        <w:spacing w:before="0" w:beforeAutospacing="0" w:after="0" w:afterAutospacing="0" w:line="360" w:lineRule="auto"/>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（3）进场后乙方需严格执行甲方现行的安全生产管理制度、操作规程。</w:t>
      </w:r>
    </w:p>
    <w:p>
      <w:pPr>
        <w:pStyle w:val="27"/>
        <w:shd w:val="clear" w:color="auto" w:fill="FFFFFF"/>
        <w:snapToGrid w:val="0"/>
        <w:spacing w:before="0" w:beforeAutospacing="0" w:after="0" w:afterAutospacing="0" w:line="360" w:lineRule="auto"/>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（4）负责为外包人员购买用工期间的工伤保险或人身意外伤害保险（购买金额不低于100万），并将购买保单复印件交甲方备案。</w:t>
      </w:r>
    </w:p>
    <w:p>
      <w:pPr>
        <w:pStyle w:val="27"/>
        <w:shd w:val="clear" w:color="auto" w:fill="FFFFFF"/>
        <w:snapToGrid w:val="0"/>
        <w:spacing w:before="0" w:beforeAutospacing="0" w:after="0" w:afterAutospacing="0" w:line="360" w:lineRule="auto"/>
        <w:ind w:firstLine="664"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（5）负责为乙方人员办理相应作业资质，并将复印件交甲方备案。</w:t>
      </w:r>
    </w:p>
    <w:p>
      <w:pPr>
        <w:pStyle w:val="27"/>
        <w:shd w:val="clear" w:color="auto" w:fill="FFFFFF"/>
        <w:snapToGrid w:val="0"/>
        <w:spacing w:before="0" w:beforeAutospacing="0" w:after="0" w:afterAutospacing="0" w:line="360" w:lineRule="auto"/>
        <w:ind w:firstLine="664"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6）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pPr>
        <w:pStyle w:val="27"/>
        <w:shd w:val="clear" w:color="auto" w:fill="FFFFFF"/>
        <w:snapToGrid w:val="0"/>
        <w:spacing w:before="0" w:beforeAutospacing="0" w:after="0" w:afterAutospacing="0" w:line="360" w:lineRule="auto"/>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（7）负责为员工提供符合国家相关质量标准要求的该作业岗位必须配备的劳动防护用品，并监督指导员工正确使用劳动防护用品。</w:t>
      </w:r>
    </w:p>
    <w:p>
      <w:pPr>
        <w:pStyle w:val="27"/>
        <w:shd w:val="clear" w:color="auto" w:fill="FFFFFF"/>
        <w:snapToGrid w:val="0"/>
        <w:spacing w:before="0" w:beforeAutospacing="0" w:after="0" w:afterAutospacing="0" w:line="360" w:lineRule="auto"/>
        <w:ind w:firstLine="664"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（8）乙方人员在工作中发生伤亡事故时，乙方及时开展对伤亡人员的救援救治工作，保护好事故现场，承担伤亡人员的医疗费用、工伤认定、保险索赔及相关的善后处理工作。</w:t>
      </w:r>
    </w:p>
    <w:p>
      <w:pPr>
        <w:pStyle w:val="27"/>
        <w:shd w:val="clear" w:color="auto" w:fill="FFFFFF"/>
        <w:snapToGrid w:val="0"/>
        <w:spacing w:before="0" w:beforeAutospacing="0" w:after="0" w:afterAutospacing="0" w:line="360" w:lineRule="auto"/>
        <w:ind w:firstLine="664"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（9）乙方人员在申请进行职业病诊断、鉴定时，乙方负责处理职业病诊断、鉴定事宜，并如实提供职业病诊断、鉴定所需的劳动者职业史和职业危害接触史等资料。</w:t>
      </w:r>
    </w:p>
    <w:p>
      <w:pPr>
        <w:pStyle w:val="27"/>
        <w:shd w:val="clear" w:color="auto" w:fill="FFFFFF"/>
        <w:snapToGrid w:val="0"/>
        <w:spacing w:before="0" w:beforeAutospacing="0" w:after="0" w:afterAutospacing="0" w:line="360" w:lineRule="auto"/>
        <w:ind w:firstLine="664"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（10）乙方人员发生变更情况应及时书面告知甲方并履行人员变更手续。</w:t>
      </w:r>
    </w:p>
    <w:p>
      <w:pPr>
        <w:pStyle w:val="27"/>
        <w:shd w:val="clear" w:color="auto" w:fill="FFFFFF"/>
        <w:snapToGrid w:val="0"/>
        <w:spacing w:before="0" w:beforeAutospacing="0" w:after="0" w:afterAutospacing="0" w:line="360" w:lineRule="auto"/>
        <w:ind w:firstLine="664"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11）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pStyle w:val="27"/>
        <w:shd w:val="clear" w:color="auto" w:fill="FFFFFF"/>
        <w:snapToGrid w:val="0"/>
        <w:spacing w:before="0" w:beforeAutospacing="0" w:after="0" w:afterAutospacing="0" w:line="360" w:lineRule="auto"/>
        <w:ind w:firstLine="664"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（12）乙方需按照甲方安全生产费用管理制度等相关制度要求，制定《年度安全生产费用使用计划》报甲方备案并严格实施。</w:t>
      </w:r>
    </w:p>
    <w:p>
      <w:pPr>
        <w:pStyle w:val="27"/>
        <w:shd w:val="clear" w:color="auto" w:fill="FFFFFF"/>
        <w:snapToGrid w:val="0"/>
        <w:spacing w:before="0" w:beforeAutospacing="0" w:after="0" w:afterAutospacing="0" w:line="360" w:lineRule="auto"/>
        <w:ind w:firstLine="635" w:firstLineChars="200"/>
        <w:rPr>
          <w:rFonts w:ascii="仿宋_GB2312" w:hAnsi="仿宋_GB2312" w:eastAsia="仿宋_GB2312" w:cs="仿宋_GB2312"/>
          <w:b/>
          <w:bCs/>
          <w:color w:val="000000"/>
          <w:spacing w:val="-3"/>
          <w:sz w:val="32"/>
          <w:szCs w:val="32"/>
        </w:rPr>
      </w:pPr>
      <w:r>
        <w:rPr>
          <w:rFonts w:hint="eastAsia" w:ascii="仿宋_GB2312" w:hAnsi="仿宋_GB2312" w:eastAsia="仿宋_GB2312" w:cs="仿宋_GB2312"/>
          <w:b/>
          <w:bCs/>
          <w:color w:val="000000"/>
          <w:spacing w:val="-2"/>
          <w:sz w:val="32"/>
          <w:szCs w:val="32"/>
        </w:rPr>
        <w:t>（三）</w:t>
      </w:r>
      <w:r>
        <w:rPr>
          <w:rFonts w:hint="eastAsia" w:ascii="仿宋_GB2312" w:hAnsi="仿宋_GB2312" w:eastAsia="仿宋_GB2312" w:cs="仿宋_GB2312"/>
          <w:b/>
          <w:bCs/>
          <w:color w:val="000000"/>
          <w:spacing w:val="-3"/>
          <w:sz w:val="32"/>
          <w:szCs w:val="32"/>
        </w:rPr>
        <w:t>安全考核</w:t>
      </w:r>
    </w:p>
    <w:p>
      <w:pPr>
        <w:pStyle w:val="27"/>
        <w:shd w:val="clear" w:color="auto" w:fill="FFFFFF"/>
        <w:snapToGrid w:val="0"/>
        <w:spacing w:before="0" w:beforeAutospacing="0" w:after="0" w:afterAutospacing="0" w:line="360" w:lineRule="auto"/>
        <w:ind w:firstLine="664"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甲方可根据内部管理制度对乙方进行考核。</w:t>
      </w:r>
    </w:p>
    <w:p>
      <w:pPr>
        <w:pStyle w:val="27"/>
        <w:snapToGrid w:val="0"/>
        <w:spacing w:before="0" w:beforeAutospacing="0" w:after="0" w:afterAutospacing="0" w:line="360" w:lineRule="auto"/>
        <w:ind w:firstLine="482" w:firstLineChars="150"/>
        <w:rPr>
          <w:rFonts w:ascii="仿宋_GB2312" w:hAnsi="仿宋_GB2312" w:eastAsia="仿宋_GB2312" w:cs="仿宋_GB2312"/>
          <w:b/>
          <w:bCs/>
          <w:color w:val="000000"/>
          <w:sz w:val="32"/>
          <w:szCs w:val="32"/>
        </w:rPr>
      </w:pPr>
    </w:p>
    <w:p>
      <w:pPr>
        <w:pStyle w:val="27"/>
        <w:snapToGrid w:val="0"/>
        <w:spacing w:before="0" w:beforeAutospacing="0" w:after="0" w:afterAutospacing="0" w:line="360" w:lineRule="auto"/>
        <w:ind w:firstLine="482" w:firstLineChars="15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三、附则</w:t>
      </w:r>
    </w:p>
    <w:p>
      <w:pPr>
        <w:pStyle w:val="27"/>
        <w:shd w:val="clear" w:color="auto" w:fill="FFFFFF"/>
        <w:snapToGrid w:val="0"/>
        <w:spacing w:before="0" w:beforeAutospacing="0" w:after="0" w:afterAutospacing="0" w:line="360" w:lineRule="auto"/>
        <w:ind w:firstLine="632"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2"/>
          <w:sz w:val="32"/>
          <w:szCs w:val="32"/>
        </w:rPr>
        <w:t>1.</w:t>
      </w:r>
      <w:r>
        <w:rPr>
          <w:rFonts w:hint="eastAsia" w:ascii="仿宋_GB2312" w:hAnsi="仿宋_GB2312" w:eastAsia="仿宋_GB2312" w:cs="仿宋_GB2312"/>
          <w:color w:val="000000"/>
          <w:spacing w:val="6"/>
          <w:sz w:val="32"/>
          <w:szCs w:val="32"/>
        </w:rPr>
        <w:t>本协议约定的各项条款，经双方签字、盖章后生效，作为合同附件具有同等法律效力，甲乙双方应严格按照本协议规定的各项条款，承担相应的安全生产管理工作责任。因违反本协议造成的生产安全事故，由违约方承担相应的法律责任和经济责任。</w:t>
      </w:r>
    </w:p>
    <w:p>
      <w:pPr>
        <w:pStyle w:val="27"/>
        <w:shd w:val="clear" w:color="auto" w:fill="FFFFFF"/>
        <w:snapToGrid w:val="0"/>
        <w:spacing w:before="0" w:beforeAutospacing="0" w:after="0" w:afterAutospacing="0" w:line="360" w:lineRule="auto"/>
        <w:ind w:firstLine="632"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2"/>
          <w:sz w:val="32"/>
          <w:szCs w:val="32"/>
        </w:rPr>
        <w:t>2.</w:t>
      </w:r>
      <w:r>
        <w:rPr>
          <w:rFonts w:hint="eastAsia" w:ascii="仿宋_GB2312" w:hAnsi="仿宋_GB2312" w:eastAsia="仿宋_GB2312" w:cs="仿宋_GB2312"/>
          <w:color w:val="000000"/>
          <w:spacing w:val="6"/>
          <w:sz w:val="32"/>
          <w:szCs w:val="32"/>
        </w:rPr>
        <w:t>本协议内容如与国家有关法律、法规和规定不一致，按照国家有关规定执行。</w:t>
      </w:r>
    </w:p>
    <w:p>
      <w:pPr>
        <w:pStyle w:val="27"/>
        <w:shd w:val="clear" w:color="auto" w:fill="FFFFFF"/>
        <w:snapToGrid w:val="0"/>
        <w:spacing w:before="0" w:beforeAutospacing="0" w:after="0" w:afterAutospacing="0" w:line="360" w:lineRule="auto"/>
        <w:ind w:firstLine="632"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2"/>
          <w:sz w:val="32"/>
          <w:szCs w:val="32"/>
        </w:rPr>
        <w:t>3.</w:t>
      </w:r>
      <w:r>
        <w:rPr>
          <w:rFonts w:hint="eastAsia" w:ascii="仿宋_GB2312" w:hAnsi="仿宋_GB2312" w:eastAsia="仿宋_GB2312" w:cs="仿宋_GB2312"/>
          <w:color w:val="000000"/>
          <w:spacing w:val="6"/>
          <w:sz w:val="32"/>
          <w:szCs w:val="32"/>
        </w:rPr>
        <w:t>协议有效期按照合同工期。合同工期变更，本协议有效期相应变更。</w:t>
      </w:r>
    </w:p>
    <w:p>
      <w:pPr>
        <w:pStyle w:val="27"/>
        <w:shd w:val="clear" w:color="auto" w:fill="FFFFFF"/>
        <w:snapToGrid w:val="0"/>
        <w:spacing w:before="0" w:beforeAutospacing="0" w:after="0" w:afterAutospacing="0" w:line="360" w:lineRule="auto"/>
        <w:ind w:firstLine="632"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2"/>
          <w:sz w:val="32"/>
          <w:szCs w:val="32"/>
        </w:rPr>
        <w:t>4.</w:t>
      </w:r>
      <w:r>
        <w:rPr>
          <w:rFonts w:hint="eastAsia" w:ascii="仿宋_GB2312" w:hAnsi="仿宋_GB2312" w:eastAsia="仿宋_GB2312" w:cs="仿宋_GB2312"/>
          <w:color w:val="000000"/>
          <w:spacing w:val="6"/>
          <w:sz w:val="32"/>
          <w:szCs w:val="32"/>
        </w:rPr>
        <w:t>因不可抗力造成的双方设备损坏、人员伤亡，各自承担相应的损失。</w:t>
      </w:r>
    </w:p>
    <w:p>
      <w:pPr>
        <w:pStyle w:val="27"/>
        <w:shd w:val="clear" w:color="auto" w:fill="FFFFFF"/>
        <w:snapToGrid w:val="0"/>
        <w:spacing w:before="0" w:beforeAutospacing="0" w:after="0" w:afterAutospacing="0" w:line="360" w:lineRule="auto"/>
        <w:ind w:left="584"/>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2"/>
          <w:sz w:val="32"/>
          <w:szCs w:val="32"/>
        </w:rPr>
        <w:t>5.</w:t>
      </w:r>
      <w:r>
        <w:rPr>
          <w:rFonts w:hint="eastAsia" w:ascii="仿宋_GB2312" w:hAnsi="仿宋_GB2312" w:eastAsia="仿宋_GB2312" w:cs="仿宋_GB2312"/>
          <w:color w:val="000000"/>
          <w:spacing w:val="6"/>
          <w:sz w:val="32"/>
          <w:szCs w:val="32"/>
        </w:rPr>
        <w:t>其它未尽事宜：</w:t>
      </w:r>
    </w:p>
    <w:p>
      <w:pPr>
        <w:pStyle w:val="27"/>
        <w:shd w:val="clear" w:color="auto" w:fill="FFFFFF"/>
        <w:snapToGrid w:val="0"/>
        <w:spacing w:before="0" w:beforeAutospacing="0" w:after="0" w:afterAutospacing="0" w:line="360" w:lineRule="auto"/>
        <w:ind w:firstLine="632"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2"/>
          <w:sz w:val="32"/>
          <w:szCs w:val="32"/>
        </w:rPr>
        <w:t>6.</w:t>
      </w:r>
      <w:r>
        <w:rPr>
          <w:rFonts w:hint="eastAsia" w:ascii="仿宋_GB2312" w:hAnsi="仿宋_GB2312" w:eastAsia="仿宋_GB2312" w:cs="仿宋_GB2312"/>
          <w:color w:val="000000"/>
          <w:spacing w:val="6"/>
          <w:sz w:val="32"/>
          <w:szCs w:val="32"/>
        </w:rPr>
        <w:t>本协议一式贰份。甲方、乙方各执壹份。</w:t>
      </w:r>
    </w:p>
    <w:p>
      <w:pPr>
        <w:pStyle w:val="27"/>
        <w:shd w:val="clear" w:color="auto" w:fill="FFFFFF"/>
        <w:spacing w:before="0" w:beforeAutospacing="0" w:after="0" w:afterAutospacing="0" w:line="360" w:lineRule="auto"/>
        <w:rPr>
          <w:rFonts w:ascii="仿宋_GB2312" w:hAnsi="仿宋_GB2312" w:eastAsia="仿宋_GB2312" w:cs="仿宋_GB2312"/>
          <w:color w:val="000000"/>
          <w:sz w:val="32"/>
          <w:szCs w:val="32"/>
        </w:rPr>
      </w:pPr>
    </w:p>
    <w:p>
      <w:pPr>
        <w:pStyle w:val="27"/>
        <w:shd w:val="clear" w:color="auto" w:fill="FFFFFF"/>
        <w:spacing w:before="0" w:beforeAutospacing="0" w:after="0" w:afterAutospacing="0" w:line="360" w:lineRule="auto"/>
        <w:rPr>
          <w:rFonts w:ascii="仿宋_GB2312" w:hAnsi="仿宋_GB2312" w:eastAsia="仿宋_GB2312" w:cs="仿宋_GB2312"/>
          <w:color w:val="000000"/>
          <w:sz w:val="32"/>
          <w:szCs w:val="32"/>
        </w:rPr>
      </w:pPr>
    </w:p>
    <w:p>
      <w:pPr>
        <w:pStyle w:val="27"/>
        <w:shd w:val="clear" w:color="auto" w:fill="FFFFFF"/>
        <w:spacing w:before="0" w:beforeAutospacing="0" w:after="0" w:afterAutospacing="0" w:line="360" w:lineRule="auto"/>
        <w:ind w:left="4176" w:hanging="4176" w:hangingChars="13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甲方单位名称：              乙方</w:t>
      </w:r>
      <w:r>
        <w:rPr>
          <w:rFonts w:hint="eastAsia" w:ascii="仿宋_GB2312" w:hAnsi="仿宋_GB2312" w:eastAsia="仿宋_GB2312" w:cs="仿宋_GB2312"/>
          <w:b/>
          <w:bCs/>
          <w:color w:val="000000"/>
          <w:spacing w:val="-9"/>
          <w:sz w:val="32"/>
          <w:szCs w:val="32"/>
        </w:rPr>
        <w:t>（</w:t>
      </w:r>
      <w:r>
        <w:rPr>
          <w:rFonts w:hint="eastAsia" w:ascii="仿宋_GB2312" w:hAnsi="仿宋_GB2312" w:eastAsia="仿宋_GB2312" w:cs="仿宋_GB2312"/>
          <w:b/>
          <w:bCs/>
          <w:color w:val="000000"/>
          <w:sz w:val="32"/>
          <w:szCs w:val="32"/>
        </w:rPr>
        <w:t>单位名称＋法人或委托代理人签字＋</w:t>
      </w:r>
      <w:r>
        <w:rPr>
          <w:rFonts w:hint="eastAsia" w:ascii="仿宋_GB2312" w:hAnsi="仿宋_GB2312" w:eastAsia="仿宋_GB2312" w:cs="仿宋_GB2312"/>
          <w:b/>
          <w:bCs/>
          <w:color w:val="000000"/>
          <w:spacing w:val="-9"/>
          <w:sz w:val="32"/>
          <w:szCs w:val="32"/>
        </w:rPr>
        <w:t>盖章）</w:t>
      </w:r>
      <w:r>
        <w:rPr>
          <w:rFonts w:hint="eastAsia" w:ascii="仿宋_GB2312" w:hAnsi="仿宋_GB2312" w:eastAsia="仿宋_GB2312" w:cs="仿宋_GB2312"/>
          <w:b/>
          <w:bCs/>
          <w:color w:val="000000"/>
          <w:sz w:val="32"/>
          <w:szCs w:val="32"/>
        </w:rPr>
        <w:t>：</w:t>
      </w:r>
    </w:p>
    <w:p>
      <w:pPr>
        <w:pStyle w:val="27"/>
        <w:shd w:val="clear" w:color="auto" w:fill="FFFFFF"/>
        <w:spacing w:before="0" w:beforeAutospacing="0" w:after="0" w:afterAutospacing="0" w:line="360" w:lineRule="auto"/>
        <w:rPr>
          <w:rFonts w:ascii="仿宋_GB2312" w:hAnsi="仿宋_GB2312" w:eastAsia="仿宋_GB2312" w:cs="仿宋_GB2312"/>
          <w:b/>
          <w:bCs/>
          <w:color w:val="000000"/>
          <w:sz w:val="32"/>
          <w:szCs w:val="32"/>
        </w:rPr>
      </w:pPr>
    </w:p>
    <w:p>
      <w:pPr>
        <w:pStyle w:val="27"/>
        <w:shd w:val="clear" w:color="auto" w:fill="FFFFFF"/>
        <w:tabs>
          <w:tab w:val="center" w:pos="4365"/>
        </w:tabs>
        <w:spacing w:before="0" w:beforeAutospacing="0" w:after="0" w:afterAutospacing="0" w:line="360" w:lineRule="auto"/>
        <w:ind w:firstLine="313" w:firstLineChars="100"/>
        <w:rPr>
          <w:rFonts w:ascii="仿宋_GB2312" w:hAnsi="仿宋_GB2312" w:eastAsia="仿宋_GB2312" w:cs="仿宋_GB2312"/>
          <w:b/>
          <w:bCs/>
          <w:color w:val="000000"/>
          <w:spacing w:val="-4"/>
          <w:sz w:val="32"/>
          <w:szCs w:val="32"/>
        </w:rPr>
      </w:pPr>
      <w:r>
        <w:rPr>
          <w:rFonts w:hint="eastAsia" w:ascii="仿宋_GB2312" w:hAnsi="仿宋_GB2312" w:eastAsia="仿宋_GB2312" w:cs="仿宋_GB2312"/>
          <w:b/>
          <w:bCs/>
          <w:color w:val="000000"/>
          <w:spacing w:val="-4"/>
          <w:sz w:val="32"/>
          <w:szCs w:val="32"/>
        </w:rPr>
        <w:t xml:space="preserve">年   月   日                      年    月    日   </w:t>
      </w:r>
    </w:p>
    <w:p>
      <w:pPr>
        <w:pStyle w:val="4"/>
        <w:spacing w:line="360" w:lineRule="auto"/>
        <w:jc w:val="center"/>
        <w:rPr>
          <w:rFonts w:ascii="黑体" w:eastAsia="黑体" w:hAnsiTheme="minorHAnsi" w:cstheme="minorBidi"/>
          <w:b w:val="0"/>
          <w:kern w:val="2"/>
          <w:sz w:val="36"/>
          <w:szCs w:val="36"/>
        </w:rPr>
      </w:pPr>
    </w:p>
    <w:p>
      <w:pPr>
        <w:rPr>
          <w:rFonts w:ascii="黑体" w:eastAsia="黑体"/>
          <w:sz w:val="36"/>
          <w:szCs w:val="36"/>
        </w:rPr>
      </w:pPr>
    </w:p>
    <w:p>
      <w:pPr>
        <w:pStyle w:val="3"/>
      </w:pPr>
    </w:p>
    <w:p/>
    <w:p>
      <w:pPr>
        <w:pStyle w:val="2"/>
      </w:pPr>
    </w:p>
    <w:p>
      <w:pPr>
        <w:pStyle w:val="3"/>
      </w:pPr>
    </w:p>
    <w:p/>
    <w:p/>
    <w:p>
      <w:pPr>
        <w:pStyle w:val="4"/>
        <w:spacing w:line="360" w:lineRule="auto"/>
        <w:jc w:val="center"/>
        <w:rPr>
          <w:rFonts w:ascii="黑体" w:eastAsia="黑体" w:hAnsiTheme="minorHAnsi" w:cstheme="minorBidi"/>
          <w:b w:val="0"/>
          <w:kern w:val="2"/>
          <w:sz w:val="36"/>
          <w:szCs w:val="36"/>
        </w:rPr>
      </w:pPr>
      <w:r>
        <w:rPr>
          <w:rFonts w:hint="eastAsia" w:ascii="黑体" w:eastAsia="黑体" w:hAnsiTheme="minorHAnsi" w:cstheme="minorBidi"/>
          <w:b w:val="0"/>
          <w:kern w:val="2"/>
          <w:sz w:val="36"/>
          <w:szCs w:val="36"/>
        </w:rPr>
        <w:t>第四章  评审</w:t>
      </w:r>
      <w:bookmarkEnd w:id="2"/>
      <w:bookmarkEnd w:id="3"/>
      <w:r>
        <w:rPr>
          <w:rFonts w:hint="eastAsia" w:ascii="黑体" w:eastAsia="黑体" w:hAnsiTheme="minorHAnsi" w:cstheme="minorBidi"/>
          <w:b w:val="0"/>
          <w:kern w:val="2"/>
          <w:sz w:val="36"/>
          <w:szCs w:val="36"/>
        </w:rPr>
        <w:t>方法</w:t>
      </w:r>
    </w:p>
    <w:p>
      <w:pPr>
        <w:pStyle w:val="4"/>
        <w:spacing w:line="360" w:lineRule="auto"/>
        <w:rPr>
          <w:rFonts w:ascii="黑体" w:eastAsia="黑体" w:hAnsiTheme="minorHAnsi" w:cstheme="minorBidi"/>
          <w:b w:val="0"/>
          <w:kern w:val="2"/>
          <w:sz w:val="36"/>
          <w:szCs w:val="36"/>
        </w:rPr>
      </w:pPr>
      <w:r>
        <w:rPr>
          <w:rFonts w:hint="eastAsia" w:ascii="方正小标宋简体" w:hAnsi="仿宋_GB2312" w:eastAsia="方正小标宋简体" w:cs="仿宋_GB2312"/>
          <w:bCs w:val="0"/>
          <w:sz w:val="32"/>
          <w:szCs w:val="32"/>
        </w:rPr>
        <w:t>一、总则：</w:t>
      </w:r>
    </w:p>
    <w:p>
      <w:pPr>
        <w:widowControl/>
        <w:spacing w:line="360" w:lineRule="auto"/>
        <w:ind w:firstLine="560" w:firstLineChars="200"/>
        <w:jc w:val="left"/>
        <w:rPr>
          <w:rFonts w:ascii="楷体_GB2312" w:hAnsi="宋体" w:eastAsia="楷体_GB2312" w:cs="仿宋_GB2312"/>
          <w:bCs/>
          <w:color w:val="000000"/>
          <w:sz w:val="28"/>
          <w:szCs w:val="28"/>
          <w:shd w:val="clear" w:color="auto" w:fill="FFFFFF"/>
        </w:rPr>
      </w:pPr>
      <w:r>
        <w:rPr>
          <w:rFonts w:hint="eastAsia" w:ascii="楷体_GB2312" w:hAnsi="宋体" w:eastAsia="楷体_GB2312" w:cs="仿宋_GB2312"/>
          <w:bCs/>
          <w:color w:val="000000"/>
          <w:sz w:val="28"/>
          <w:szCs w:val="28"/>
          <w:shd w:val="clear" w:color="auto" w:fill="FFFFFF"/>
        </w:rPr>
        <w:t xml:space="preserve">评审采用“综合评标法”。评审小组依据采购文件中的标准、办法对投标人的响应文件进行评审。 </w:t>
      </w:r>
    </w:p>
    <w:p>
      <w:pPr>
        <w:spacing w:line="360" w:lineRule="auto"/>
        <w:rPr>
          <w:rFonts w:ascii="方正小标宋简体" w:hAnsi="仿宋_GB2312" w:eastAsia="方正小标宋简体" w:cs="仿宋_GB2312"/>
          <w:bCs/>
          <w:sz w:val="32"/>
          <w:szCs w:val="32"/>
        </w:rPr>
      </w:pPr>
      <w:r>
        <w:rPr>
          <w:rFonts w:hint="eastAsia" w:ascii="方正小标宋简体" w:hAnsi="仿宋_GB2312" w:eastAsia="方正小标宋简体" w:cs="仿宋_GB2312"/>
          <w:bCs/>
          <w:sz w:val="32"/>
          <w:szCs w:val="32"/>
        </w:rPr>
        <w:t>二、评审方式：</w:t>
      </w:r>
    </w:p>
    <w:p>
      <w:pPr>
        <w:spacing w:line="360" w:lineRule="auto"/>
        <w:ind w:firstLine="560" w:firstLineChars="200"/>
        <w:rPr>
          <w:rFonts w:cs="仿宋_GB2312"/>
          <w:bCs/>
          <w:sz w:val="28"/>
          <w:szCs w:val="28"/>
        </w:rPr>
      </w:pPr>
      <w:r>
        <w:rPr>
          <w:rFonts w:hint="eastAsia"/>
          <w:sz w:val="28"/>
          <w:szCs w:val="28"/>
        </w:rPr>
        <w:t>评委构成：由采购人依法组建的谈判小组负责。谈判小组人数为3人以上单数（包含3人）</w:t>
      </w:r>
    </w:p>
    <w:p>
      <w:pPr>
        <w:spacing w:line="360" w:lineRule="auto"/>
        <w:ind w:firstLine="560" w:firstLineChars="200"/>
        <w:rPr>
          <w:rFonts w:cs="仿宋_GB2312"/>
          <w:bCs/>
          <w:sz w:val="28"/>
          <w:szCs w:val="28"/>
        </w:rPr>
      </w:pPr>
      <w:r>
        <w:rPr>
          <w:rFonts w:hint="eastAsia" w:cs="仿宋_GB2312"/>
          <w:bCs/>
          <w:sz w:val="28"/>
          <w:szCs w:val="28"/>
        </w:rPr>
        <w:t>评审小组对商务部分和技术部分进行综合评审，评审小组将采用百分制打分的方式，按得分排名；</w:t>
      </w:r>
    </w:p>
    <w:p>
      <w:pPr>
        <w:spacing w:line="360" w:lineRule="auto"/>
        <w:ind w:firstLine="560" w:firstLineChars="200"/>
        <w:rPr>
          <w:rFonts w:cs="仿宋_GB2312"/>
          <w:bCs/>
          <w:sz w:val="28"/>
          <w:szCs w:val="28"/>
        </w:rPr>
      </w:pPr>
      <w:r>
        <w:rPr>
          <w:rFonts w:hint="eastAsia" w:cs="仿宋_GB2312"/>
          <w:bCs/>
          <w:sz w:val="28"/>
          <w:szCs w:val="28"/>
        </w:rPr>
        <w:t>评审小组成员打分的分值应在规定范围内，高于或低于该范围为无效打分。</w:t>
      </w:r>
    </w:p>
    <w:p>
      <w:pPr>
        <w:spacing w:line="360" w:lineRule="auto"/>
        <w:ind w:firstLine="560" w:firstLineChars="200"/>
        <w:rPr>
          <w:sz w:val="28"/>
          <w:szCs w:val="28"/>
        </w:rPr>
      </w:pPr>
      <w:r>
        <w:rPr>
          <w:rFonts w:hint="eastAsia"/>
          <w:sz w:val="28"/>
          <w:szCs w:val="28"/>
        </w:rPr>
        <w:t>评审依据：评委将以响应文件为评审依据，对供应商的响应报价、商务、技术等方面内容进行综合评审。</w:t>
      </w:r>
    </w:p>
    <w:p>
      <w:pPr>
        <w:spacing w:line="360" w:lineRule="auto"/>
        <w:rPr>
          <w:sz w:val="28"/>
          <w:szCs w:val="28"/>
        </w:rPr>
      </w:pPr>
      <w:r>
        <w:rPr>
          <w:rFonts w:hint="eastAsia"/>
          <w:sz w:val="28"/>
          <w:szCs w:val="28"/>
        </w:rPr>
        <w:t>三、</w:t>
      </w:r>
      <w:r>
        <w:rPr>
          <w:rFonts w:hint="eastAsia"/>
          <w:b/>
          <w:bCs/>
          <w:sz w:val="28"/>
          <w:szCs w:val="28"/>
        </w:rPr>
        <w:t>供应商出现下列情形之一的，其响应将作为否决响应处理</w:t>
      </w:r>
      <w:r>
        <w:rPr>
          <w:rFonts w:hint="eastAsia"/>
          <w:sz w:val="28"/>
          <w:szCs w:val="28"/>
        </w:rPr>
        <w:t>：</w:t>
      </w:r>
    </w:p>
    <w:p>
      <w:pPr>
        <w:tabs>
          <w:tab w:val="left" w:pos="851"/>
        </w:tabs>
        <w:spacing w:line="360" w:lineRule="auto"/>
        <w:ind w:firstLine="560" w:firstLineChars="200"/>
        <w:rPr>
          <w:bCs/>
          <w:sz w:val="28"/>
          <w:szCs w:val="28"/>
        </w:rPr>
      </w:pPr>
      <w:r>
        <w:rPr>
          <w:rFonts w:hint="eastAsia"/>
          <w:bCs/>
          <w:sz w:val="28"/>
          <w:szCs w:val="28"/>
        </w:rPr>
        <w:t>(1)</w:t>
      </w:r>
      <w:r>
        <w:rPr>
          <w:rFonts w:hint="eastAsia"/>
          <w:bCs/>
          <w:sz w:val="28"/>
          <w:szCs w:val="28"/>
        </w:rPr>
        <w:tab/>
      </w:r>
      <w:r>
        <w:rPr>
          <w:rFonts w:hint="eastAsia"/>
          <w:bCs/>
          <w:sz w:val="28"/>
          <w:szCs w:val="28"/>
        </w:rPr>
        <w:t>单位负责人为同一人或者存在控股、管理关系的不同单位，参加同一标段（包件）或者未划分标段（包件）的同一采购项目响应；</w:t>
      </w:r>
    </w:p>
    <w:p>
      <w:pPr>
        <w:tabs>
          <w:tab w:val="left" w:pos="851"/>
        </w:tabs>
        <w:spacing w:line="360" w:lineRule="auto"/>
        <w:ind w:firstLine="560" w:firstLineChars="200"/>
        <w:rPr>
          <w:bCs/>
          <w:sz w:val="28"/>
          <w:szCs w:val="28"/>
        </w:rPr>
      </w:pPr>
      <w:r>
        <w:rPr>
          <w:rFonts w:hint="eastAsia"/>
          <w:bCs/>
          <w:sz w:val="28"/>
          <w:szCs w:val="28"/>
        </w:rPr>
        <w:t>(2)</w:t>
      </w:r>
      <w:r>
        <w:rPr>
          <w:rFonts w:hint="eastAsia"/>
          <w:bCs/>
          <w:sz w:val="28"/>
          <w:szCs w:val="28"/>
        </w:rPr>
        <w:tab/>
      </w:r>
      <w:r>
        <w:rPr>
          <w:rFonts w:hint="eastAsia"/>
          <w:bCs/>
          <w:sz w:val="28"/>
          <w:szCs w:val="28"/>
        </w:rPr>
        <w:t>供应商未提交投标保证金或投标保证金金额不足、投标保证金的形式、投标保证金的有效期不符合文件要求；</w:t>
      </w:r>
    </w:p>
    <w:p>
      <w:pPr>
        <w:tabs>
          <w:tab w:val="left" w:pos="851"/>
        </w:tabs>
        <w:spacing w:line="360" w:lineRule="auto"/>
        <w:ind w:firstLine="560" w:firstLineChars="200"/>
        <w:rPr>
          <w:bCs/>
          <w:sz w:val="28"/>
          <w:szCs w:val="28"/>
        </w:rPr>
      </w:pPr>
      <w:r>
        <w:rPr>
          <w:rFonts w:hint="eastAsia"/>
          <w:bCs/>
          <w:sz w:val="28"/>
          <w:szCs w:val="28"/>
        </w:rPr>
        <w:t>(3)</w:t>
      </w:r>
      <w:r>
        <w:rPr>
          <w:rFonts w:hint="eastAsia"/>
          <w:bCs/>
          <w:sz w:val="28"/>
          <w:szCs w:val="28"/>
        </w:rPr>
        <w:tab/>
      </w:r>
      <w:r>
        <w:rPr>
          <w:rFonts w:hint="eastAsia"/>
          <w:bCs/>
          <w:sz w:val="28"/>
          <w:szCs w:val="28"/>
        </w:rPr>
        <w:t>响应文件中未按谈判文件要求加盖单位公章或法定代表人或法定代表人授权人签字或盖章的（谈判文件规定的签字或盖章之处）；或签字人无法定代表人有效授权书；</w:t>
      </w:r>
    </w:p>
    <w:p>
      <w:pPr>
        <w:tabs>
          <w:tab w:val="left" w:pos="851"/>
        </w:tabs>
        <w:spacing w:line="360" w:lineRule="auto"/>
        <w:ind w:firstLine="560" w:firstLineChars="200"/>
        <w:rPr>
          <w:bCs/>
          <w:sz w:val="28"/>
          <w:szCs w:val="28"/>
        </w:rPr>
      </w:pPr>
      <w:r>
        <w:rPr>
          <w:rFonts w:hint="eastAsia"/>
          <w:bCs/>
          <w:sz w:val="28"/>
          <w:szCs w:val="28"/>
        </w:rPr>
        <w:t>(4)</w:t>
      </w:r>
      <w:r>
        <w:rPr>
          <w:rFonts w:hint="eastAsia"/>
          <w:bCs/>
          <w:sz w:val="28"/>
          <w:szCs w:val="28"/>
        </w:rPr>
        <w:tab/>
      </w:r>
      <w:r>
        <w:rPr>
          <w:rFonts w:hint="eastAsia"/>
          <w:bCs/>
          <w:sz w:val="28"/>
          <w:szCs w:val="28"/>
        </w:rPr>
        <w:t>未提供资格证明文件、资格证明文件不全、提供虚假材料或不符合国家或者谈判文件规定的资格条件；</w:t>
      </w:r>
    </w:p>
    <w:p>
      <w:pPr>
        <w:tabs>
          <w:tab w:val="left" w:pos="851"/>
        </w:tabs>
        <w:spacing w:line="360" w:lineRule="auto"/>
        <w:ind w:firstLine="560" w:firstLineChars="200"/>
        <w:rPr>
          <w:bCs/>
          <w:sz w:val="28"/>
          <w:szCs w:val="28"/>
        </w:rPr>
      </w:pPr>
      <w:r>
        <w:rPr>
          <w:rFonts w:hint="eastAsia"/>
          <w:bCs/>
          <w:sz w:val="28"/>
          <w:szCs w:val="28"/>
        </w:rPr>
        <w:t>(5)</w:t>
      </w:r>
      <w:r>
        <w:rPr>
          <w:rFonts w:hint="eastAsia"/>
          <w:bCs/>
          <w:sz w:val="28"/>
          <w:szCs w:val="28"/>
        </w:rPr>
        <w:tab/>
      </w:r>
      <w:r>
        <w:rPr>
          <w:rFonts w:hint="eastAsia"/>
          <w:bCs/>
          <w:sz w:val="28"/>
          <w:szCs w:val="28"/>
        </w:rPr>
        <w:t>同一供应商递交两份或多份内容不同的响应文件，或在一份响应文件中对同一采购项目报有两个或多个报价，且未声明哪一个有效；</w:t>
      </w:r>
    </w:p>
    <w:p>
      <w:pPr>
        <w:tabs>
          <w:tab w:val="left" w:pos="851"/>
        </w:tabs>
        <w:spacing w:line="360" w:lineRule="auto"/>
        <w:ind w:firstLine="560" w:firstLineChars="200"/>
        <w:rPr>
          <w:bCs/>
          <w:sz w:val="28"/>
          <w:szCs w:val="28"/>
        </w:rPr>
      </w:pPr>
      <w:r>
        <w:rPr>
          <w:rFonts w:hint="eastAsia"/>
          <w:bCs/>
          <w:sz w:val="28"/>
          <w:szCs w:val="28"/>
        </w:rPr>
        <w:t>(6)</w:t>
      </w:r>
      <w:r>
        <w:rPr>
          <w:rFonts w:hint="eastAsia"/>
          <w:bCs/>
          <w:sz w:val="28"/>
          <w:szCs w:val="28"/>
        </w:rPr>
        <w:tab/>
      </w:r>
      <w:r>
        <w:rPr>
          <w:rFonts w:hint="eastAsia"/>
          <w:bCs/>
          <w:sz w:val="28"/>
          <w:szCs w:val="28"/>
        </w:rPr>
        <w:t>响应报价高于谈判文件设定的最高响应限价（单价和总价均不允许超过）；</w:t>
      </w:r>
    </w:p>
    <w:p>
      <w:pPr>
        <w:tabs>
          <w:tab w:val="left" w:pos="851"/>
        </w:tabs>
        <w:spacing w:line="360" w:lineRule="auto"/>
        <w:ind w:firstLine="560" w:firstLineChars="200"/>
        <w:rPr>
          <w:bCs/>
          <w:sz w:val="28"/>
          <w:szCs w:val="28"/>
        </w:rPr>
      </w:pPr>
      <w:r>
        <w:rPr>
          <w:rFonts w:hint="eastAsia"/>
          <w:bCs/>
          <w:sz w:val="28"/>
          <w:szCs w:val="28"/>
        </w:rPr>
        <w:t>(7)</w:t>
      </w:r>
      <w:r>
        <w:rPr>
          <w:rFonts w:hint="eastAsia"/>
          <w:bCs/>
          <w:sz w:val="28"/>
          <w:szCs w:val="28"/>
        </w:rPr>
        <w:tab/>
      </w:r>
      <w:r>
        <w:rPr>
          <w:rFonts w:hint="eastAsia"/>
          <w:bCs/>
          <w:sz w:val="28"/>
          <w:szCs w:val="28"/>
        </w:rPr>
        <w:t>响应文件没有对谈判文件的实质性要求和条件作出响应；</w:t>
      </w:r>
    </w:p>
    <w:p>
      <w:pPr>
        <w:tabs>
          <w:tab w:val="left" w:pos="851"/>
        </w:tabs>
        <w:spacing w:line="360" w:lineRule="auto"/>
        <w:ind w:firstLine="560" w:firstLineChars="200"/>
        <w:rPr>
          <w:bCs/>
          <w:sz w:val="28"/>
          <w:szCs w:val="28"/>
        </w:rPr>
      </w:pPr>
      <w:r>
        <w:rPr>
          <w:rFonts w:hint="eastAsia"/>
          <w:bCs/>
          <w:sz w:val="28"/>
          <w:szCs w:val="28"/>
        </w:rPr>
        <w:t>(8)</w:t>
      </w:r>
      <w:r>
        <w:rPr>
          <w:rFonts w:hint="eastAsia"/>
          <w:bCs/>
          <w:sz w:val="28"/>
          <w:szCs w:val="28"/>
        </w:rPr>
        <w:tab/>
      </w:r>
      <w:r>
        <w:rPr>
          <w:rFonts w:hint="eastAsia"/>
          <w:bCs/>
          <w:sz w:val="28"/>
          <w:szCs w:val="28"/>
        </w:rPr>
        <w:t>未按规定的格式填写，内容不全或关键字迹模糊、无法辨认；</w:t>
      </w:r>
    </w:p>
    <w:p>
      <w:pPr>
        <w:tabs>
          <w:tab w:val="left" w:pos="851"/>
        </w:tabs>
        <w:spacing w:line="360" w:lineRule="auto"/>
        <w:ind w:firstLine="560" w:firstLineChars="200"/>
        <w:rPr>
          <w:bCs/>
          <w:sz w:val="28"/>
          <w:szCs w:val="28"/>
        </w:rPr>
      </w:pPr>
      <w:r>
        <w:rPr>
          <w:rFonts w:hint="eastAsia"/>
          <w:bCs/>
          <w:sz w:val="28"/>
          <w:szCs w:val="28"/>
        </w:rPr>
        <w:t>(9)</w:t>
      </w:r>
      <w:r>
        <w:rPr>
          <w:rFonts w:hint="eastAsia"/>
          <w:bCs/>
          <w:sz w:val="28"/>
          <w:szCs w:val="28"/>
        </w:rPr>
        <w:tab/>
      </w:r>
      <w:r>
        <w:rPr>
          <w:rFonts w:hint="eastAsia"/>
          <w:bCs/>
          <w:sz w:val="28"/>
          <w:szCs w:val="28"/>
        </w:rPr>
        <w:t>供应商有串通响应、弄虚作假、行贿等违法行为</w:t>
      </w:r>
    </w:p>
    <w:p>
      <w:pPr>
        <w:tabs>
          <w:tab w:val="left" w:pos="851"/>
        </w:tabs>
        <w:spacing w:line="360" w:lineRule="auto"/>
        <w:rPr>
          <w:b/>
          <w:sz w:val="28"/>
          <w:szCs w:val="28"/>
        </w:rPr>
      </w:pPr>
      <w:r>
        <w:rPr>
          <w:rFonts w:hint="eastAsia"/>
          <w:b/>
          <w:sz w:val="28"/>
          <w:szCs w:val="28"/>
        </w:rPr>
        <w:t>四、澄清</w:t>
      </w:r>
    </w:p>
    <w:p>
      <w:pPr>
        <w:spacing w:line="360" w:lineRule="auto"/>
        <w:ind w:firstLine="560" w:firstLineChars="200"/>
        <w:rPr>
          <w:rFonts w:cs="仿宋_GB2312"/>
          <w:sz w:val="28"/>
          <w:szCs w:val="28"/>
        </w:rPr>
      </w:pPr>
      <w:r>
        <w:rPr>
          <w:rFonts w:hint="eastAsia" w:cs="仿宋_GB2312"/>
          <w:sz w:val="28"/>
          <w:szCs w:val="28"/>
        </w:rPr>
        <w:t>评标小组对于投标文件中含义不明确、同类问题表述不一致或者有明显文字和计算错误的内容，评标小组可以书面要求投标人在规定的时限内作出必要的澄清、说明或者补正，投标人的澄清、说明或者补正应当采用书面形式，由其法定代表人或其授权代表人签字，并不得超出投标文件的范围或者改变投标文件的实质性内容。投标人拒不进行澄清、说明、补正的，或者不能在规定时间内作出书面澄清、说明、补正的，其开标将被作为无效开标处理。</w:t>
      </w:r>
    </w:p>
    <w:p>
      <w:pPr>
        <w:spacing w:line="360" w:lineRule="auto"/>
        <w:rPr>
          <w:sz w:val="28"/>
          <w:szCs w:val="28"/>
        </w:rPr>
      </w:pPr>
      <w:r>
        <w:rPr>
          <w:rFonts w:hint="eastAsia" w:ascii="方正小标宋简体" w:hAnsi="宋体" w:eastAsia="方正小标宋简体" w:cs="仿宋_GB2312"/>
          <w:bCs/>
          <w:color w:val="000000"/>
          <w:sz w:val="28"/>
          <w:szCs w:val="28"/>
          <w:shd w:val="clear" w:color="auto" w:fill="FFFFFF"/>
        </w:rPr>
        <w:t>五、评审方法：</w:t>
      </w:r>
    </w:p>
    <w:p>
      <w:pPr>
        <w:spacing w:line="360" w:lineRule="auto"/>
        <w:rPr>
          <w:rFonts w:ascii="方正小标宋简体" w:eastAsia="方正小标宋简体" w:cs="仿宋_GB2312"/>
          <w:bCs/>
          <w:color w:val="000000"/>
          <w:sz w:val="28"/>
          <w:szCs w:val="28"/>
          <w:shd w:val="clear" w:color="auto" w:fill="FFFFFF"/>
        </w:rPr>
      </w:pPr>
      <w:r>
        <w:rPr>
          <w:rFonts w:hint="eastAsia" w:ascii="方正小标宋简体" w:eastAsia="方正小标宋简体" w:cs="仿宋_GB2312"/>
          <w:bCs/>
          <w:color w:val="000000"/>
          <w:sz w:val="28"/>
          <w:szCs w:val="28"/>
          <w:shd w:val="clear" w:color="auto" w:fill="FFFFFF"/>
        </w:rPr>
        <w:t>评分标准如下：价格部分、商务部分和技术部分按百分制打分，</w:t>
      </w:r>
      <w:r>
        <w:rPr>
          <w:rFonts w:hint="eastAsia" w:asciiTheme="minorEastAsia" w:hAnsiTheme="minorEastAsia"/>
          <w:bCs/>
          <w:sz w:val="28"/>
          <w:szCs w:val="28"/>
        </w:rPr>
        <w:t>按四舍五入取至小数点后两位</w:t>
      </w:r>
    </w:p>
    <w:p>
      <w:pPr>
        <w:pStyle w:val="28"/>
        <w:widowControl/>
        <w:numPr>
          <w:ilvl w:val="0"/>
          <w:numId w:val="4"/>
        </w:numPr>
        <w:spacing w:line="580" w:lineRule="exact"/>
        <w:ind w:firstLineChars="0"/>
        <w:jc w:val="left"/>
        <w:rPr>
          <w:rFonts w:ascii="方正小标宋简体" w:hAnsi="宋体" w:eastAsia="方正小标宋简体" w:cs="仿宋_GB2312"/>
          <w:bCs/>
          <w:color w:val="000000"/>
          <w:sz w:val="28"/>
          <w:szCs w:val="28"/>
          <w:shd w:val="clear" w:color="auto" w:fill="FFFFFF"/>
        </w:rPr>
      </w:pPr>
      <w:r>
        <w:rPr>
          <w:rFonts w:hint="eastAsia" w:ascii="方正小标宋简体" w:hAnsi="宋体" w:eastAsia="方正小标宋简体" w:cs="仿宋_GB2312"/>
          <w:bCs/>
          <w:color w:val="000000"/>
          <w:sz w:val="28"/>
          <w:szCs w:val="28"/>
          <w:shd w:val="clear" w:color="auto" w:fill="FFFFFF"/>
        </w:rPr>
        <w:t>价格部分（60分）</w:t>
      </w:r>
    </w:p>
    <w:tbl>
      <w:tblPr>
        <w:tblStyle w:val="20"/>
        <w:tblpPr w:leftFromText="180" w:rightFromText="180" w:vertAnchor="text" w:horzAnchor="page" w:tblpX="1240" w:tblpY="556"/>
        <w:tblOverlap w:val="never"/>
        <w:tblW w:w="9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559"/>
        <w:gridCol w:w="851"/>
        <w:gridCol w:w="6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580" w:lineRule="exact"/>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序号</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580" w:lineRule="exact"/>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评价类别</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580" w:lineRule="exact"/>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分值</w:t>
            </w:r>
          </w:p>
        </w:tc>
        <w:tc>
          <w:tcPr>
            <w:tcW w:w="63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580" w:lineRule="exact"/>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eastAsia="宋体" w:cs="宋体"/>
                <w:bCs/>
                <w:color w:val="000000"/>
                <w:kern w:val="0"/>
                <w:szCs w:val="21"/>
              </w:rPr>
            </w:pPr>
            <w:r>
              <w:rPr>
                <w:rFonts w:ascii="宋体" w:hAnsi="宋体" w:eastAsia="宋体" w:cs="宋体"/>
                <w:bCs/>
                <w:color w:val="000000"/>
                <w:kern w:val="0"/>
                <w:szCs w:val="21"/>
              </w:rPr>
              <w:t>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eastAsia="宋体" w:cs="宋体"/>
                <w:bCs/>
                <w:color w:val="000000"/>
                <w:kern w:val="0"/>
                <w:szCs w:val="21"/>
              </w:rPr>
            </w:pPr>
            <w:r>
              <w:rPr>
                <w:rFonts w:hint="eastAsia" w:ascii="宋体" w:hAnsi="宋体" w:eastAsia="宋体" w:cs="宋体"/>
                <w:bCs/>
                <w:color w:val="000000"/>
                <w:kern w:val="0"/>
                <w:szCs w:val="21"/>
              </w:rPr>
              <w:t>同等条件报价</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eastAsia="宋体" w:cs="宋体"/>
                <w:bCs/>
                <w:color w:val="FF0000"/>
                <w:kern w:val="0"/>
                <w:szCs w:val="21"/>
              </w:rPr>
            </w:pPr>
            <w:r>
              <w:rPr>
                <w:rFonts w:hint="eastAsia" w:ascii="宋体" w:hAnsi="宋体" w:eastAsia="宋体" w:cs="宋体"/>
                <w:bCs/>
                <w:color w:val="FF0000"/>
                <w:kern w:val="0"/>
                <w:szCs w:val="21"/>
              </w:rPr>
              <w:t>60</w:t>
            </w:r>
          </w:p>
        </w:tc>
        <w:tc>
          <w:tcPr>
            <w:tcW w:w="63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ascii="宋体" w:hAnsi="宋体" w:eastAsia="宋体" w:cs="宋体"/>
                <w:bCs/>
                <w:kern w:val="0"/>
                <w:szCs w:val="21"/>
              </w:rPr>
            </w:pPr>
            <w:r>
              <w:rPr>
                <w:rFonts w:hint="eastAsia" w:ascii="宋体" w:hAnsi="宋体" w:eastAsia="宋体" w:cs="宋体"/>
                <w:bCs/>
                <w:kern w:val="0"/>
                <w:szCs w:val="21"/>
              </w:rPr>
              <w:t>投标最低报价得满分，其他供应商投标报价：</w:t>
            </w:r>
          </w:p>
          <w:p>
            <w:pPr>
              <w:widowControl/>
              <w:snapToGrid w:val="0"/>
              <w:spacing w:line="240" w:lineRule="atLeast"/>
              <w:jc w:val="left"/>
              <w:rPr>
                <w:rFonts w:ascii="宋体" w:hAnsi="宋体" w:eastAsia="宋体" w:cs="宋体"/>
                <w:bCs/>
                <w:kern w:val="0"/>
                <w:szCs w:val="21"/>
              </w:rPr>
            </w:pPr>
            <w:r>
              <w:rPr>
                <w:rFonts w:hint="eastAsia" w:ascii="宋体" w:hAnsi="宋体" w:eastAsia="宋体" w:cs="宋体"/>
                <w:bCs/>
                <w:kern w:val="0"/>
                <w:szCs w:val="21"/>
              </w:rPr>
              <w:t>高于最低报价1%以下的，每高1%扣1分；</w:t>
            </w:r>
          </w:p>
          <w:p>
            <w:pPr>
              <w:widowControl/>
              <w:snapToGrid w:val="0"/>
              <w:spacing w:line="240" w:lineRule="atLeast"/>
              <w:jc w:val="left"/>
              <w:rPr>
                <w:rFonts w:ascii="宋体" w:hAnsi="宋体" w:eastAsia="宋体" w:cs="宋体"/>
                <w:bCs/>
                <w:kern w:val="0"/>
                <w:szCs w:val="21"/>
              </w:rPr>
            </w:pPr>
            <w:r>
              <w:rPr>
                <w:rFonts w:hint="eastAsia" w:ascii="宋体" w:hAnsi="宋体" w:eastAsia="宋体" w:cs="宋体"/>
                <w:bCs/>
                <w:kern w:val="0"/>
                <w:szCs w:val="21"/>
              </w:rPr>
              <w:t>高于最低报价1%-2%的，每高1%扣2分；</w:t>
            </w:r>
          </w:p>
          <w:p>
            <w:pPr>
              <w:widowControl/>
              <w:snapToGrid w:val="0"/>
              <w:spacing w:line="240" w:lineRule="atLeast"/>
              <w:jc w:val="left"/>
              <w:rPr>
                <w:rFonts w:ascii="宋体" w:hAnsi="宋体" w:eastAsia="宋体" w:cs="宋体"/>
                <w:bCs/>
                <w:kern w:val="0"/>
                <w:szCs w:val="21"/>
              </w:rPr>
            </w:pPr>
            <w:r>
              <w:rPr>
                <w:rFonts w:hint="eastAsia" w:ascii="宋体" w:hAnsi="宋体" w:eastAsia="宋体" w:cs="宋体"/>
                <w:bCs/>
                <w:kern w:val="0"/>
                <w:szCs w:val="21"/>
              </w:rPr>
              <w:t>高于最低报价2%以上的，每高1%扣3分；</w:t>
            </w:r>
          </w:p>
          <w:p>
            <w:pPr>
              <w:widowControl/>
              <w:snapToGrid w:val="0"/>
              <w:spacing w:line="240" w:lineRule="atLeast"/>
              <w:jc w:val="left"/>
              <w:rPr>
                <w:rFonts w:ascii="宋体" w:hAnsi="宋体" w:eastAsia="宋体" w:cs="宋体"/>
                <w:bCs/>
                <w:color w:val="000000"/>
                <w:kern w:val="0"/>
                <w:szCs w:val="21"/>
              </w:rPr>
            </w:pPr>
            <w:r>
              <w:rPr>
                <w:rFonts w:hint="eastAsia"/>
              </w:rPr>
              <w:t>（</w:t>
            </w:r>
            <w:r>
              <w:rPr>
                <w:rFonts w:hint="eastAsia" w:ascii="Times New Roman" w:hAnsi="Times New Roman" w:eastAsia="宋体" w:cs="Times New Roman"/>
                <w:b/>
                <w:bCs/>
              </w:rPr>
              <w:t>税率不一致，同等报价情况下，以不含税金额为准）</w:t>
            </w:r>
          </w:p>
        </w:tc>
      </w:tr>
    </w:tbl>
    <w:p>
      <w:pPr>
        <w:widowControl/>
        <w:numPr>
          <w:ilvl w:val="0"/>
          <w:numId w:val="4"/>
        </w:numPr>
        <w:spacing w:line="580" w:lineRule="exact"/>
        <w:jc w:val="left"/>
        <w:rPr>
          <w:rFonts w:ascii="方正小标宋简体" w:hAnsi="宋体" w:eastAsia="方正小标宋简体" w:cs="仿宋_GB2312"/>
          <w:bCs/>
          <w:color w:val="000000"/>
          <w:sz w:val="28"/>
          <w:szCs w:val="28"/>
          <w:shd w:val="clear" w:color="auto" w:fill="FFFFFF"/>
        </w:rPr>
      </w:pPr>
      <w:r>
        <w:rPr>
          <w:rFonts w:hint="eastAsia" w:ascii="方正小标宋简体" w:hAnsi="宋体" w:eastAsia="方正小标宋简体" w:cs="仿宋_GB2312"/>
          <w:bCs/>
          <w:color w:val="000000"/>
          <w:sz w:val="28"/>
          <w:szCs w:val="28"/>
          <w:shd w:val="clear" w:color="auto" w:fill="FFFFFF"/>
        </w:rPr>
        <w:t>商务部分（5分）</w:t>
      </w:r>
      <w:bookmarkStart w:id="10" w:name="_GoBack"/>
      <w:bookmarkEnd w:id="10"/>
    </w:p>
    <w:p>
      <w:pPr>
        <w:pStyle w:val="2"/>
      </w:pPr>
    </w:p>
    <w:tbl>
      <w:tblPr>
        <w:tblStyle w:val="20"/>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559"/>
        <w:gridCol w:w="851"/>
        <w:gridCol w:w="6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580" w:lineRule="exact"/>
              <w:jc w:val="center"/>
              <w:rPr>
                <w:rFonts w:ascii="宋体" w:hAnsi="宋体" w:eastAsia="宋体" w:cs="宋体"/>
                <w:bCs/>
                <w:kern w:val="0"/>
                <w:sz w:val="24"/>
                <w:szCs w:val="24"/>
              </w:rPr>
            </w:pPr>
            <w:r>
              <w:rPr>
                <w:rFonts w:hint="eastAsia" w:ascii="宋体" w:hAnsi="宋体" w:eastAsia="宋体" w:cs="宋体"/>
                <w:bCs/>
                <w:kern w:val="0"/>
                <w:sz w:val="24"/>
                <w:szCs w:val="24"/>
              </w:rPr>
              <w:t>序号</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580" w:lineRule="exact"/>
              <w:jc w:val="center"/>
              <w:rPr>
                <w:rFonts w:ascii="宋体" w:hAnsi="宋体" w:eastAsia="宋体" w:cs="宋体"/>
                <w:bCs/>
                <w:kern w:val="0"/>
                <w:sz w:val="24"/>
                <w:szCs w:val="24"/>
              </w:rPr>
            </w:pPr>
            <w:r>
              <w:rPr>
                <w:rFonts w:hint="eastAsia" w:ascii="宋体" w:hAnsi="宋体" w:eastAsia="宋体" w:cs="宋体"/>
                <w:bCs/>
                <w:kern w:val="0"/>
                <w:sz w:val="24"/>
                <w:szCs w:val="24"/>
              </w:rPr>
              <w:t>评价类别</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580" w:lineRule="exact"/>
              <w:jc w:val="center"/>
              <w:rPr>
                <w:rFonts w:ascii="宋体" w:hAnsi="宋体" w:eastAsia="宋体" w:cs="宋体"/>
                <w:bCs/>
                <w:kern w:val="0"/>
                <w:sz w:val="24"/>
                <w:szCs w:val="24"/>
              </w:rPr>
            </w:pPr>
            <w:r>
              <w:rPr>
                <w:rFonts w:hint="eastAsia" w:ascii="宋体" w:hAnsi="宋体" w:eastAsia="宋体" w:cs="宋体"/>
                <w:bCs/>
                <w:kern w:val="0"/>
                <w:sz w:val="24"/>
                <w:szCs w:val="24"/>
              </w:rPr>
              <w:t>分值</w:t>
            </w:r>
          </w:p>
        </w:tc>
        <w:tc>
          <w:tcPr>
            <w:tcW w:w="63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580" w:lineRule="exact"/>
              <w:jc w:val="center"/>
              <w:rPr>
                <w:rFonts w:ascii="宋体" w:hAnsi="宋体" w:eastAsia="宋体" w:cs="宋体"/>
                <w:bCs/>
                <w:kern w:val="0"/>
                <w:sz w:val="24"/>
                <w:szCs w:val="24"/>
              </w:rPr>
            </w:pPr>
            <w:r>
              <w:rPr>
                <w:rFonts w:hint="eastAsia" w:ascii="宋体" w:hAnsi="宋体" w:eastAsia="宋体" w:cs="宋体"/>
                <w:bCs/>
                <w:kern w:val="0"/>
                <w:sz w:val="24"/>
                <w:szCs w:val="24"/>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eastAsia="宋体" w:cs="宋体"/>
                <w:bCs/>
                <w:kern w:val="0"/>
                <w:szCs w:val="21"/>
              </w:rPr>
            </w:pPr>
            <w:r>
              <w:rPr>
                <w:rFonts w:hint="eastAsia" w:ascii="宋体" w:hAnsi="宋体" w:eastAsia="宋体" w:cs="宋体"/>
                <w:bCs/>
                <w:kern w:val="0"/>
                <w:szCs w:val="21"/>
              </w:rPr>
              <w:t>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eastAsia="宋体" w:cs="宋体"/>
                <w:bCs/>
                <w:kern w:val="0"/>
                <w:szCs w:val="21"/>
              </w:rPr>
            </w:pPr>
            <w:r>
              <w:rPr>
                <w:rFonts w:hint="eastAsia" w:ascii="宋体" w:hAnsi="宋体" w:eastAsia="宋体" w:cs="宋体"/>
                <w:bCs/>
                <w:kern w:val="0"/>
                <w:szCs w:val="21"/>
              </w:rPr>
              <w:t>服务业绩</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eastAsia="宋体" w:cs="宋体"/>
                <w:bCs/>
                <w:kern w:val="0"/>
                <w:szCs w:val="21"/>
              </w:rPr>
            </w:pPr>
            <w:r>
              <w:rPr>
                <w:rFonts w:hint="eastAsia" w:ascii="宋体" w:hAnsi="宋体" w:eastAsia="宋体" w:cs="宋体"/>
                <w:bCs/>
                <w:kern w:val="0"/>
                <w:szCs w:val="21"/>
              </w:rPr>
              <w:t>5</w:t>
            </w:r>
          </w:p>
        </w:tc>
        <w:tc>
          <w:tcPr>
            <w:tcW w:w="63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ascii="宋体" w:hAnsi="宋体" w:eastAsia="宋体" w:cs="宋体"/>
                <w:bCs/>
                <w:kern w:val="0"/>
                <w:szCs w:val="21"/>
              </w:rPr>
            </w:pPr>
            <w:r>
              <w:rPr>
                <w:rFonts w:hint="eastAsia" w:ascii="宋体" w:hAnsi="宋体" w:eastAsia="宋体" w:cs="宋体"/>
                <w:bCs/>
                <w:kern w:val="0"/>
                <w:szCs w:val="21"/>
              </w:rPr>
              <w:t>1、自202</w:t>
            </w:r>
            <w:r>
              <w:rPr>
                <w:rFonts w:hint="eastAsia" w:ascii="宋体" w:hAnsi="宋体" w:eastAsia="宋体" w:cs="宋体"/>
                <w:bCs/>
                <w:kern w:val="0"/>
                <w:szCs w:val="21"/>
                <w:lang w:val="en-US" w:eastAsia="zh-CN"/>
              </w:rPr>
              <w:t>1</w:t>
            </w:r>
            <w:r>
              <w:rPr>
                <w:rFonts w:hint="eastAsia" w:ascii="宋体" w:hAnsi="宋体" w:eastAsia="宋体" w:cs="宋体"/>
                <w:bCs/>
                <w:kern w:val="0"/>
                <w:szCs w:val="21"/>
              </w:rPr>
              <w:t>年</w:t>
            </w:r>
            <w:r>
              <w:rPr>
                <w:rFonts w:hint="eastAsia" w:ascii="宋体" w:hAnsi="宋体" w:eastAsia="宋体" w:cs="宋体"/>
                <w:bCs/>
                <w:kern w:val="0"/>
                <w:szCs w:val="21"/>
                <w:lang w:val="en-US" w:eastAsia="zh-CN"/>
              </w:rPr>
              <w:t>1</w:t>
            </w:r>
            <w:r>
              <w:rPr>
                <w:rFonts w:hint="eastAsia" w:ascii="宋体" w:hAnsi="宋体" w:eastAsia="宋体" w:cs="宋体"/>
                <w:bCs/>
                <w:kern w:val="0"/>
                <w:szCs w:val="21"/>
              </w:rPr>
              <w:t>月1日以来承建过类似工程的每个得1分，最高5分。</w:t>
            </w:r>
          </w:p>
          <w:p>
            <w:pPr>
              <w:widowControl/>
              <w:snapToGrid w:val="0"/>
              <w:spacing w:line="240" w:lineRule="atLeast"/>
              <w:jc w:val="left"/>
              <w:rPr>
                <w:rFonts w:ascii="宋体" w:hAnsi="宋体" w:eastAsia="宋体" w:cs="宋体"/>
                <w:bCs/>
                <w:kern w:val="0"/>
                <w:szCs w:val="21"/>
              </w:rPr>
            </w:pPr>
            <w:r>
              <w:rPr>
                <w:rFonts w:hint="eastAsia" w:ascii="宋体" w:hAnsi="宋体" w:eastAsia="宋体" w:cs="宋体"/>
                <w:bCs/>
                <w:kern w:val="0"/>
                <w:szCs w:val="21"/>
              </w:rPr>
              <w:t>提供的业绩均须以合同复印件等证明材料为准，上传到第五章 响应文件-响应方案中。</w:t>
            </w:r>
          </w:p>
        </w:tc>
      </w:tr>
    </w:tbl>
    <w:p>
      <w:pPr>
        <w:spacing w:line="520" w:lineRule="exact"/>
        <w:rPr>
          <w:rFonts w:ascii="方正小标宋简体" w:hAnsi="宋体" w:eastAsia="方正小标宋简体" w:cs="仿宋_GB2312"/>
          <w:sz w:val="28"/>
          <w:szCs w:val="28"/>
        </w:rPr>
      </w:pPr>
    </w:p>
    <w:p>
      <w:pPr>
        <w:numPr>
          <w:ilvl w:val="0"/>
          <w:numId w:val="4"/>
        </w:numPr>
        <w:spacing w:line="520" w:lineRule="exact"/>
        <w:rPr>
          <w:rFonts w:ascii="方正小标宋简体" w:hAnsi="宋体" w:eastAsia="方正小标宋简体" w:cs="仿宋_GB2312"/>
          <w:sz w:val="28"/>
          <w:szCs w:val="28"/>
        </w:rPr>
      </w:pPr>
      <w:r>
        <w:rPr>
          <w:rFonts w:hint="eastAsia" w:ascii="方正小标宋简体" w:hAnsi="宋体" w:eastAsia="方正小标宋简体" w:cs="仿宋_GB2312"/>
          <w:sz w:val="28"/>
          <w:szCs w:val="28"/>
        </w:rPr>
        <w:t>技术部分（35分）</w:t>
      </w:r>
    </w:p>
    <w:p>
      <w:pPr>
        <w:pStyle w:val="2"/>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1623"/>
        <w:gridCol w:w="822"/>
        <w:gridCol w:w="60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序号</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评价类别</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分值</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评分说明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会议响应</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rPr>
                <w:rFonts w:ascii="宋体" w:hAnsi="宋体" w:eastAsia="宋体" w:cs="宋体"/>
                <w:bCs/>
                <w:color w:val="000000"/>
                <w:kern w:val="0"/>
                <w:szCs w:val="21"/>
              </w:rPr>
            </w:pPr>
            <w:r>
              <w:rPr>
                <w:rFonts w:hint="eastAsia" w:ascii="宋体" w:hAnsi="宋体" w:eastAsia="宋体" w:cs="宋体"/>
                <w:bCs/>
                <w:color w:val="000000"/>
                <w:kern w:val="0"/>
                <w:szCs w:val="21"/>
              </w:rPr>
              <w:t>5</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未接入视频会议不得分；</w:t>
            </w:r>
          </w:p>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仅有销售代表或其他人员接入视频会议的，得2分；</w:t>
            </w:r>
          </w:p>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公司法人及销售代表按时接入视频会议的，得5分。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服务方案与技术措施</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rPr>
                <w:rFonts w:ascii="宋体" w:hAnsi="宋体" w:eastAsia="宋体" w:cs="宋体"/>
                <w:bCs/>
                <w:color w:val="000000"/>
                <w:kern w:val="0"/>
                <w:szCs w:val="21"/>
              </w:rPr>
            </w:pPr>
            <w:r>
              <w:rPr>
                <w:rFonts w:hint="eastAsia" w:ascii="宋体" w:hAnsi="宋体" w:eastAsia="宋体" w:cs="宋体"/>
                <w:bCs/>
                <w:color w:val="000000"/>
                <w:kern w:val="0"/>
                <w:szCs w:val="21"/>
              </w:rPr>
              <w:t>6</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评分标准： 横向比较，综合评分；</w:t>
            </w:r>
          </w:p>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方案完善周到、科学合理、可行性强得5-6分；</w:t>
            </w:r>
            <w:r>
              <w:rPr>
                <w:rFonts w:hint="eastAsia" w:ascii="宋体" w:hAnsi="宋体" w:eastAsia="宋体" w:cs="宋体"/>
                <w:bCs/>
                <w:color w:val="000000"/>
                <w:kern w:val="0"/>
                <w:szCs w:val="21"/>
              </w:rPr>
              <w:br w:type="textWrapping"/>
            </w:r>
            <w:r>
              <w:rPr>
                <w:rFonts w:hint="eastAsia" w:ascii="宋体" w:hAnsi="宋体" w:eastAsia="宋体" w:cs="宋体"/>
                <w:bCs/>
                <w:color w:val="000000"/>
                <w:kern w:val="0"/>
                <w:szCs w:val="21"/>
              </w:rPr>
              <w:t>方案相对完整、科学、可行性设计较好得3-4分；</w:t>
            </w:r>
            <w:r>
              <w:rPr>
                <w:rFonts w:hint="eastAsia" w:ascii="宋体" w:hAnsi="宋体" w:eastAsia="宋体" w:cs="宋体"/>
                <w:bCs/>
                <w:color w:val="000000"/>
                <w:kern w:val="0"/>
                <w:szCs w:val="21"/>
              </w:rPr>
              <w:br w:type="textWrapping"/>
            </w:r>
            <w:r>
              <w:rPr>
                <w:rFonts w:hint="eastAsia" w:ascii="宋体" w:hAnsi="宋体" w:eastAsia="宋体" w:cs="宋体"/>
                <w:bCs/>
                <w:color w:val="000000"/>
                <w:kern w:val="0"/>
                <w:szCs w:val="21"/>
              </w:rPr>
              <w:t>方案一般、可行性一般、设计不全面得1-2分。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3</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服务重点、难点分析及对策</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rPr>
                <w:rFonts w:ascii="宋体" w:hAnsi="宋体" w:eastAsia="宋体" w:cs="宋体"/>
                <w:bCs/>
                <w:color w:val="000000"/>
                <w:kern w:val="0"/>
                <w:szCs w:val="21"/>
              </w:rPr>
            </w:pPr>
            <w:r>
              <w:rPr>
                <w:rFonts w:hint="eastAsia" w:ascii="宋体" w:hAnsi="宋体" w:eastAsia="宋体" w:cs="宋体"/>
                <w:bCs/>
                <w:color w:val="000000"/>
                <w:kern w:val="0"/>
                <w:szCs w:val="21"/>
              </w:rPr>
              <w:t>9</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根据投标方对我公司针对消防</w:t>
            </w:r>
            <w:r>
              <w:rPr>
                <w:rFonts w:hint="eastAsia" w:ascii="宋体" w:hAnsi="宋体" w:eastAsia="宋体" w:cs="宋体"/>
                <w:bCs/>
                <w:color w:val="000000"/>
                <w:kern w:val="0"/>
                <w:szCs w:val="21"/>
                <w:lang w:val="en-US" w:eastAsia="zh-CN"/>
              </w:rPr>
              <w:t>维保</w:t>
            </w:r>
            <w:r>
              <w:rPr>
                <w:rFonts w:hint="eastAsia" w:ascii="宋体" w:hAnsi="宋体" w:eastAsia="宋体" w:cs="宋体"/>
                <w:bCs/>
                <w:color w:val="000000"/>
                <w:kern w:val="0"/>
                <w:szCs w:val="21"/>
              </w:rPr>
              <w:t>服务的可行性、完整性进行综合评审：</w:t>
            </w:r>
          </w:p>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服务重点、难点分析到位且措施合理的：</w:t>
            </w:r>
            <w:r>
              <w:rPr>
                <w:rFonts w:ascii="宋体" w:hAnsi="宋体" w:eastAsia="宋体" w:cs="宋体"/>
                <w:bCs/>
                <w:color w:val="000000"/>
                <w:kern w:val="0"/>
                <w:szCs w:val="21"/>
              </w:rPr>
              <w:t>7</w:t>
            </w:r>
            <w:r>
              <w:rPr>
                <w:rFonts w:hint="eastAsia" w:ascii="宋体" w:hAnsi="宋体" w:eastAsia="宋体" w:cs="宋体"/>
                <w:bCs/>
                <w:color w:val="000000"/>
                <w:kern w:val="0"/>
                <w:szCs w:val="21"/>
              </w:rPr>
              <w:t>-</w:t>
            </w:r>
            <w:r>
              <w:rPr>
                <w:rFonts w:ascii="宋体" w:hAnsi="宋体" w:eastAsia="宋体" w:cs="宋体"/>
                <w:bCs/>
                <w:color w:val="000000"/>
                <w:kern w:val="0"/>
                <w:szCs w:val="21"/>
              </w:rPr>
              <w:t>9</w:t>
            </w:r>
            <w:r>
              <w:rPr>
                <w:rFonts w:hint="eastAsia" w:ascii="宋体" w:hAnsi="宋体" w:eastAsia="宋体" w:cs="宋体"/>
                <w:bCs/>
                <w:color w:val="000000"/>
                <w:kern w:val="0"/>
                <w:szCs w:val="21"/>
              </w:rPr>
              <w:t>分；</w:t>
            </w:r>
          </w:p>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服务重点、难点分析及措施较为简单：</w:t>
            </w:r>
            <w:r>
              <w:rPr>
                <w:rFonts w:ascii="宋体" w:hAnsi="宋体" w:eastAsia="宋体" w:cs="宋体"/>
                <w:bCs/>
                <w:color w:val="000000"/>
                <w:kern w:val="0"/>
                <w:szCs w:val="21"/>
              </w:rPr>
              <w:t>4</w:t>
            </w:r>
            <w:r>
              <w:rPr>
                <w:rFonts w:hint="eastAsia" w:ascii="宋体" w:hAnsi="宋体" w:eastAsia="宋体" w:cs="宋体"/>
                <w:bCs/>
                <w:color w:val="000000"/>
                <w:kern w:val="0"/>
                <w:szCs w:val="21"/>
              </w:rPr>
              <w:t>-</w:t>
            </w:r>
            <w:r>
              <w:rPr>
                <w:rFonts w:ascii="宋体" w:hAnsi="宋体" w:eastAsia="宋体" w:cs="宋体"/>
                <w:bCs/>
                <w:color w:val="000000"/>
                <w:kern w:val="0"/>
                <w:szCs w:val="21"/>
              </w:rPr>
              <w:t>6</w:t>
            </w:r>
            <w:r>
              <w:rPr>
                <w:rFonts w:hint="eastAsia" w:ascii="宋体" w:hAnsi="宋体" w:eastAsia="宋体" w:cs="宋体"/>
                <w:bCs/>
                <w:color w:val="000000"/>
                <w:kern w:val="0"/>
                <w:szCs w:val="21"/>
              </w:rPr>
              <w:t>分；</w:t>
            </w:r>
          </w:p>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内容严重缺失且无针对性的：1-</w:t>
            </w:r>
            <w:r>
              <w:rPr>
                <w:rFonts w:ascii="宋体" w:hAnsi="宋体" w:eastAsia="宋体" w:cs="宋体"/>
                <w:bCs/>
                <w:color w:val="000000"/>
                <w:kern w:val="0"/>
                <w:szCs w:val="21"/>
              </w:rPr>
              <w:t>3</w:t>
            </w:r>
            <w:r>
              <w:rPr>
                <w:rFonts w:hint="eastAsia" w:ascii="宋体" w:hAnsi="宋体" w:eastAsia="宋体" w:cs="宋体"/>
                <w:bCs/>
                <w:color w:val="000000"/>
                <w:kern w:val="0"/>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3"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4</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服务人员资质及证书</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rPr>
                <w:rFonts w:ascii="宋体" w:hAnsi="宋体" w:eastAsia="宋体" w:cs="宋体"/>
                <w:bCs/>
                <w:color w:val="000000"/>
                <w:kern w:val="0"/>
                <w:szCs w:val="21"/>
              </w:rPr>
            </w:pPr>
            <w:r>
              <w:rPr>
                <w:rFonts w:hint="eastAsia" w:ascii="宋体" w:hAnsi="宋体" w:eastAsia="宋体" w:cs="宋体"/>
                <w:bCs/>
                <w:color w:val="000000"/>
                <w:kern w:val="0"/>
                <w:szCs w:val="21"/>
              </w:rPr>
              <w:t>9</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根据投标方到我公司服务人员资质情况进行综合评审：</w:t>
            </w:r>
          </w:p>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值守人员有5年及以上相关企业消防</w:t>
            </w:r>
            <w:r>
              <w:rPr>
                <w:rFonts w:hint="eastAsia" w:ascii="宋体" w:hAnsi="宋体" w:eastAsia="宋体" w:cs="宋体"/>
                <w:bCs/>
                <w:color w:val="000000"/>
                <w:kern w:val="0"/>
                <w:szCs w:val="21"/>
                <w:lang w:val="en-US" w:eastAsia="zh-CN"/>
              </w:rPr>
              <w:t>维保</w:t>
            </w:r>
            <w:r>
              <w:rPr>
                <w:rFonts w:hint="eastAsia" w:ascii="宋体" w:hAnsi="宋体" w:eastAsia="宋体" w:cs="宋体"/>
                <w:bCs/>
                <w:color w:val="000000"/>
                <w:kern w:val="0"/>
                <w:szCs w:val="21"/>
              </w:rPr>
              <w:t>经验得7-9分；</w:t>
            </w:r>
          </w:p>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有4年及以上得4-6分；</w:t>
            </w:r>
          </w:p>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有3年及以上得1-3分；</w:t>
            </w:r>
          </w:p>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3年以下经验不得分。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5</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应急预案保证措施</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center"/>
              <w:rPr>
                <w:rFonts w:ascii="宋体" w:hAnsi="宋体" w:eastAsia="宋体" w:cs="宋体"/>
                <w:bCs/>
                <w:color w:val="000000"/>
                <w:kern w:val="0"/>
                <w:szCs w:val="21"/>
              </w:rPr>
            </w:pPr>
            <w:r>
              <w:rPr>
                <w:rFonts w:hint="eastAsia" w:ascii="宋体" w:hAnsi="宋体" w:eastAsia="宋体" w:cs="宋体"/>
                <w:bCs/>
                <w:color w:val="000000"/>
                <w:kern w:val="0"/>
                <w:szCs w:val="21"/>
              </w:rPr>
              <w:t>6</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根据投标方对服务过程中可能发生得突发应急事件，如防疫、自然灾害等不可抗拒，是否制定应急预案、应急预案是否完善、应急预案是否具有可操作性等进行综合评审：</w:t>
            </w:r>
          </w:p>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应急预案内容详细、全面，科学合理，可操作性强得5-6分；</w:t>
            </w:r>
          </w:p>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应急预案内容比较详细，合理，有一定的操作性得3-4分；</w:t>
            </w:r>
          </w:p>
          <w:p>
            <w:pPr>
              <w:widowControl/>
              <w:snapToGrid w:val="0"/>
              <w:spacing w:line="240" w:lineRule="atLeast"/>
              <w:jc w:val="left"/>
              <w:rPr>
                <w:rFonts w:ascii="宋体" w:hAnsi="宋体" w:eastAsia="宋体" w:cs="宋体"/>
                <w:bCs/>
                <w:color w:val="000000"/>
                <w:kern w:val="0"/>
                <w:szCs w:val="21"/>
              </w:rPr>
            </w:pPr>
            <w:r>
              <w:rPr>
                <w:rFonts w:hint="eastAsia" w:ascii="宋体" w:hAnsi="宋体" w:eastAsia="宋体" w:cs="宋体"/>
                <w:bCs/>
                <w:color w:val="000000"/>
                <w:kern w:val="0"/>
                <w:szCs w:val="21"/>
              </w:rPr>
              <w:t>应急预案内容粗糙，部分合理，可操作性空间小得1-2分。</w:t>
            </w:r>
          </w:p>
        </w:tc>
      </w:tr>
    </w:tbl>
    <w:p>
      <w:pPr>
        <w:spacing w:line="520" w:lineRule="exact"/>
        <w:rPr>
          <w:rFonts w:ascii="仿宋_GB2312" w:hAnsi="仿宋_GB2312" w:eastAsia="仿宋_GB2312" w:cs="仿宋_GB2312"/>
          <w:bCs/>
          <w:sz w:val="28"/>
          <w:szCs w:val="28"/>
        </w:rPr>
      </w:pPr>
    </w:p>
    <w:p>
      <w:pPr>
        <w:spacing w:line="52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二、推荐入围单位</w:t>
      </w:r>
    </w:p>
    <w:p>
      <w:pPr>
        <w:spacing w:line="520" w:lineRule="exact"/>
        <w:ind w:firstLine="607" w:firstLineChars="217"/>
        <w:rPr>
          <w:rFonts w:ascii="楷体_GB2312" w:hAnsi="仿宋_GB2312" w:eastAsia="楷体_GB2312" w:cs="仿宋_GB2312"/>
          <w:sz w:val="28"/>
          <w:szCs w:val="28"/>
        </w:rPr>
      </w:pPr>
      <w:r>
        <w:rPr>
          <w:rFonts w:hint="eastAsia" w:ascii="楷体_GB2312" w:hAnsi="仿宋_GB2312" w:eastAsia="楷体_GB2312" w:cs="仿宋_GB2312"/>
          <w:sz w:val="28"/>
          <w:szCs w:val="28"/>
        </w:rPr>
        <w:t>（1）按评审得分由高到低顺序排列。得分相同的，按评标价由低到高顺序排列。得分且评标价相同的，按技术指标优劣顺序排列。得分、评标价及技术指标相同的，由评标委员会集体研究处理。</w:t>
      </w:r>
    </w:p>
    <w:p>
      <w:pPr>
        <w:spacing w:line="520" w:lineRule="exact"/>
        <w:ind w:firstLine="607" w:firstLineChars="217"/>
        <w:rPr>
          <w:rFonts w:ascii="楷体_GB2312" w:hAnsi="仿宋_GB2312" w:eastAsia="楷体_GB2312" w:cs="仿宋_GB2312"/>
          <w:sz w:val="28"/>
          <w:szCs w:val="28"/>
        </w:rPr>
      </w:pPr>
      <w:r>
        <w:rPr>
          <w:rFonts w:hint="eastAsia" w:ascii="楷体_GB2312" w:hAnsi="仿宋_GB2312" w:eastAsia="楷体_GB2312" w:cs="仿宋_GB2312"/>
          <w:sz w:val="28"/>
          <w:szCs w:val="28"/>
        </w:rPr>
        <w:t>（2）评审中遇到的其他问题，由评标小组集体研究处理。</w:t>
      </w:r>
    </w:p>
    <w:p>
      <w:pPr>
        <w:spacing w:line="520" w:lineRule="exact"/>
        <w:ind w:firstLine="607" w:firstLineChars="217"/>
        <w:rPr>
          <w:rFonts w:ascii="楷体_GB2312" w:hAnsi="仿宋_GB2312" w:eastAsia="楷体_GB2312" w:cs="仿宋_GB2312"/>
          <w:bCs/>
          <w:sz w:val="28"/>
          <w:szCs w:val="28"/>
        </w:rPr>
      </w:pPr>
      <w:r>
        <w:rPr>
          <w:rFonts w:hint="eastAsia" w:ascii="楷体_GB2312" w:hAnsi="仿宋_GB2312" w:eastAsia="楷体_GB2312" w:cs="仿宋_GB2312"/>
          <w:sz w:val="28"/>
          <w:szCs w:val="28"/>
        </w:rPr>
        <w:t>（3）</w:t>
      </w:r>
      <w:r>
        <w:rPr>
          <w:rFonts w:hint="eastAsia" w:ascii="楷体_GB2312" w:hAnsi="仿宋_GB2312" w:eastAsia="楷体_GB2312" w:cs="仿宋_GB2312"/>
          <w:bCs/>
          <w:sz w:val="28"/>
          <w:szCs w:val="28"/>
        </w:rPr>
        <w:t>评标小组根据评标专家评分及签字的会议纪要，推荐入围单位。</w:t>
      </w:r>
    </w:p>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hint="eastAsia" w:ascii="仿宋_GB2312" w:hAnsi="仿宋_GB2312" w:eastAsia="仿宋_GB2312" w:cs="仿宋_GB2312"/>
          <w:bCs/>
          <w:sz w:val="28"/>
          <w:szCs w:val="28"/>
        </w:rPr>
        <w:t>中标单位的确定</w:t>
      </w:r>
    </w:p>
    <w:p>
      <w:pPr>
        <w:spacing w:line="520" w:lineRule="exact"/>
        <w:ind w:firstLine="607" w:firstLineChars="217"/>
        <w:rPr>
          <w:rFonts w:ascii="楷体_GB2312" w:hAnsi="仿宋_GB2312" w:eastAsia="楷体_GB2312" w:cs="仿宋_GB2312"/>
          <w:sz w:val="28"/>
          <w:szCs w:val="28"/>
        </w:rPr>
      </w:pPr>
      <w:r>
        <w:rPr>
          <w:rFonts w:hint="eastAsia" w:ascii="楷体_GB2312" w:hAnsi="仿宋_GB2312" w:eastAsia="楷体_GB2312" w:cs="仿宋_GB2312"/>
          <w:sz w:val="28"/>
          <w:szCs w:val="28"/>
        </w:rPr>
        <w:t>招标方谈判小组根据综合评分情况初步确定入围单位，并将评标结果按审批流程报批。</w:t>
      </w:r>
    </w:p>
    <w:p>
      <w:pPr>
        <w:ind w:firstLine="1400" w:firstLineChars="500"/>
        <w:rPr>
          <w:rFonts w:ascii="楷体_GB2312" w:hAnsi="宋体" w:eastAsia="楷体_GB2312"/>
          <w:bCs/>
          <w:sz w:val="28"/>
          <w:szCs w:val="28"/>
        </w:rPr>
      </w:pPr>
    </w:p>
    <w:p>
      <w:pPr>
        <w:widowControl/>
        <w:jc w:val="left"/>
        <w:rPr>
          <w:rFonts w:ascii="宋体" w:hAnsi="宋体"/>
          <w:bCs/>
          <w:sz w:val="28"/>
          <w:szCs w:val="28"/>
        </w:rPr>
      </w:pPr>
      <w:r>
        <w:rPr>
          <w:rFonts w:ascii="宋体" w:hAnsi="宋体"/>
          <w:bCs/>
          <w:sz w:val="28"/>
          <w:szCs w:val="28"/>
        </w:rPr>
        <w:br w:type="page"/>
      </w:r>
    </w:p>
    <w:p>
      <w:pPr>
        <w:spacing w:line="360" w:lineRule="auto"/>
        <w:ind w:firstLine="480"/>
        <w:jc w:val="center"/>
        <w:rPr>
          <w:rFonts w:ascii="方正小标宋简体" w:eastAsia="方正小标宋简体"/>
          <w:sz w:val="32"/>
          <w:szCs w:val="32"/>
          <w:shd w:val="clear" w:color="auto" w:fill="FFFFFF"/>
        </w:rPr>
      </w:pPr>
      <w:r>
        <w:rPr>
          <w:rFonts w:hint="eastAsia" w:ascii="方正小标宋简体" w:eastAsia="方正小标宋简体"/>
          <w:sz w:val="32"/>
          <w:szCs w:val="32"/>
          <w:shd w:val="clear" w:color="auto" w:fill="FFFFFF"/>
        </w:rPr>
        <w:t>第五章 响应文件</w:t>
      </w:r>
    </w:p>
    <w:p>
      <w:pPr>
        <w:numPr>
          <w:ilvl w:val="0"/>
          <w:numId w:val="5"/>
        </w:numPr>
        <w:spacing w:line="400" w:lineRule="exact"/>
        <w:jc w:val="center"/>
        <w:rPr>
          <w:rFonts w:ascii="黑体" w:hAnsi="黑体" w:eastAsia="黑体" w:cs="仿宋_GB2312"/>
          <w:b/>
          <w:bCs/>
          <w:sz w:val="30"/>
          <w:szCs w:val="30"/>
        </w:rPr>
      </w:pPr>
      <w:bookmarkStart w:id="5" w:name="_Toc13912_WPSOffice_Level1"/>
      <w:r>
        <w:rPr>
          <w:rFonts w:hint="eastAsia" w:ascii="黑体" w:hAnsi="黑体" w:eastAsia="黑体" w:cs="仿宋_GB2312"/>
          <w:sz w:val="30"/>
          <w:szCs w:val="30"/>
        </w:rPr>
        <w:t>营业执照、信用报告等资质文件</w:t>
      </w: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jc w:val="center"/>
        <w:rPr>
          <w:rFonts w:ascii="仿宋_GB2312" w:hAnsi="仿宋_GB2312" w:eastAsia="仿宋_GB2312" w:cs="仿宋_GB2312"/>
          <w:sz w:val="28"/>
          <w:szCs w:val="28"/>
        </w:rPr>
      </w:pPr>
    </w:p>
    <w:p>
      <w:pPr>
        <w:tabs>
          <w:tab w:val="left" w:pos="720"/>
        </w:tabs>
        <w:spacing w:line="400" w:lineRule="exact"/>
        <w:rPr>
          <w:rFonts w:ascii="仿宋_GB2312" w:hAnsi="仿宋_GB2312" w:eastAsia="仿宋_GB2312" w:cs="仿宋_GB2312"/>
          <w:sz w:val="28"/>
          <w:szCs w:val="28"/>
        </w:rPr>
      </w:pPr>
    </w:p>
    <w:p>
      <w:pPr>
        <w:numPr>
          <w:ilvl w:val="0"/>
          <w:numId w:val="5"/>
        </w:numPr>
        <w:spacing w:line="400" w:lineRule="exact"/>
        <w:jc w:val="center"/>
        <w:rPr>
          <w:rFonts w:ascii="黑体" w:hAnsi="黑体" w:eastAsia="黑体" w:cs="仿宋_GB2312"/>
          <w:b/>
          <w:bCs/>
          <w:sz w:val="30"/>
          <w:szCs w:val="30"/>
        </w:rPr>
      </w:pPr>
      <w:r>
        <w:rPr>
          <w:rFonts w:hint="eastAsia" w:ascii="黑体" w:hAnsi="黑体" w:eastAsia="黑体" w:cs="仿宋_GB2312"/>
          <w:b/>
          <w:bCs/>
          <w:sz w:val="30"/>
          <w:szCs w:val="30"/>
        </w:rPr>
        <w:t>投标单位的承诺函</w:t>
      </w:r>
      <w:bookmarkEnd w:id="5"/>
    </w:p>
    <w:p>
      <w:pPr>
        <w:spacing w:line="520" w:lineRule="exact"/>
        <w:jc w:val="center"/>
        <w:rPr>
          <w:rFonts w:ascii="仿宋_GB2312" w:hAnsi="仿宋_GB2312" w:eastAsia="仿宋_GB2312" w:cs="仿宋_GB2312"/>
          <w:b/>
          <w:bCs/>
          <w:sz w:val="28"/>
          <w:szCs w:val="28"/>
        </w:rPr>
      </w:pPr>
    </w:p>
    <w:p>
      <w:pPr>
        <w:pStyle w:val="53"/>
        <w:tabs>
          <w:tab w:val="left" w:pos="600"/>
          <w:tab w:val="clear" w:pos="2160"/>
          <w:tab w:val="clear" w:pos="2520"/>
        </w:tabs>
        <w:adjustRightInd w:val="0"/>
        <w:spacing w:line="520" w:lineRule="exact"/>
        <w:rPr>
          <w:rFonts w:ascii="仿宋_GB2312" w:hAnsi="仿宋_GB2312" w:eastAsia="仿宋_GB2312" w:cs="仿宋_GB2312"/>
          <w:szCs w:val="28"/>
          <w:lang w:eastAsia="zh-CN"/>
        </w:rPr>
      </w:pPr>
      <w:r>
        <w:rPr>
          <w:rFonts w:hint="eastAsia" w:ascii="仿宋_GB2312" w:hAnsi="仿宋_GB2312" w:eastAsia="仿宋_GB2312" w:cs="仿宋_GB2312"/>
          <w:snapToGrid/>
          <w:kern w:val="2"/>
          <w:szCs w:val="28"/>
          <w:lang w:val="en-US" w:eastAsia="zh-CN"/>
        </w:rPr>
        <w:t>致：</w:t>
      </w:r>
      <w:r>
        <w:rPr>
          <w:rFonts w:hint="eastAsia" w:ascii="仿宋_GB2312" w:hAnsi="仿宋_GB2312" w:eastAsia="仿宋_GB2312" w:cs="仿宋_GB2312"/>
          <w:snapToGrid/>
          <w:kern w:val="2"/>
          <w:szCs w:val="28"/>
          <w:lang w:val="en-US" w:eastAsia="zh-CN"/>
        </w:rPr>
        <w:tab/>
      </w:r>
    </w:p>
    <w:p>
      <w:pPr>
        <w:pStyle w:val="6"/>
        <w:spacing w:line="5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我代表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（投标单位名称），在此作如下承诺： </w:t>
      </w:r>
    </w:p>
    <w:p>
      <w:pPr>
        <w:pStyle w:val="6"/>
        <w:spacing w:line="5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1.完全理解和接受招标文件的一切规定和要求。</w:t>
      </w:r>
    </w:p>
    <w:p>
      <w:pPr>
        <w:pStyle w:val="6"/>
        <w:spacing w:line="5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2.投标报价为闭口价，即在投标有效期，该投标报价固定不变。</w:t>
      </w:r>
    </w:p>
    <w:p>
      <w:pPr>
        <w:pStyle w:val="6"/>
        <w:spacing w:line="520" w:lineRule="exact"/>
        <w:ind w:left="559" w:leftChars="266" w:firstLine="22" w:firstLineChars="8"/>
        <w:rPr>
          <w:rFonts w:ascii="仿宋_GB2312" w:hAnsi="仿宋_GB2312" w:eastAsia="仿宋_GB2312" w:cs="仿宋_GB2312"/>
          <w:sz w:val="28"/>
          <w:szCs w:val="28"/>
        </w:rPr>
      </w:pPr>
      <w:r>
        <w:rPr>
          <w:rFonts w:hint="eastAsia" w:ascii="仿宋_GB2312" w:hAnsi="仿宋_GB2312" w:eastAsia="仿宋_GB2312" w:cs="仿宋_GB2312"/>
          <w:sz w:val="28"/>
          <w:szCs w:val="28"/>
        </w:rPr>
        <w:t>3.若中标，我方将按照招标文件及我方投标文件的具体规定签订</w:t>
      </w:r>
    </w:p>
    <w:p>
      <w:pPr>
        <w:pStyle w:val="6"/>
        <w:spacing w:line="52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合同。</w:t>
      </w:r>
    </w:p>
    <w:p>
      <w:pPr>
        <w:pStyle w:val="6"/>
        <w:spacing w:line="520" w:lineRule="exact"/>
        <w:ind w:firstLine="579" w:firstLineChars="207"/>
        <w:rPr>
          <w:rFonts w:ascii="仿宋_GB2312" w:hAnsi="仿宋_GB2312" w:eastAsia="仿宋_GB2312" w:cs="仿宋_GB2312"/>
          <w:sz w:val="28"/>
          <w:szCs w:val="28"/>
        </w:rPr>
      </w:pPr>
      <w:r>
        <w:rPr>
          <w:rFonts w:hint="eastAsia" w:ascii="仿宋_GB2312" w:hAnsi="仿宋_GB2312" w:eastAsia="仿宋_GB2312" w:cs="仿宋_GB2312"/>
          <w:sz w:val="28"/>
          <w:szCs w:val="28"/>
        </w:rPr>
        <w:t>4.在整个招、投标过程中，我方若有违反以下承诺的行为，贵方</w:t>
      </w:r>
    </w:p>
    <w:p>
      <w:pPr>
        <w:pStyle w:val="6"/>
        <w:spacing w:line="520" w:lineRule="exact"/>
        <w:ind w:firstLine="22" w:firstLineChars="8"/>
        <w:rPr>
          <w:rFonts w:ascii="仿宋_GB2312" w:hAnsi="仿宋_GB2312" w:eastAsia="仿宋_GB2312" w:cs="仿宋_GB2312"/>
          <w:sz w:val="28"/>
          <w:szCs w:val="28"/>
        </w:rPr>
      </w:pPr>
      <w:r>
        <w:rPr>
          <w:rFonts w:hint="eastAsia" w:ascii="仿宋_GB2312" w:hAnsi="仿宋_GB2312" w:eastAsia="仿宋_GB2312" w:cs="仿宋_GB2312"/>
          <w:sz w:val="28"/>
          <w:szCs w:val="28"/>
        </w:rPr>
        <w:t>可按招标文件之规定给予惩罚，我方完全接受。</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A.不与招标人、其他投标人或者招标代理机构串通投标，损害国家利益、社会利益或他人的合法权益。</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B.不向招标人或评标委员会成员或相关人员行贿，以牟取中标。</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C.不以他人名义投标或者其他方式弄虚作假，骗取中标。</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D.不接受任何形式的挂靠，不扰乱招投标市场秩序。</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E.不在投标中哄抬价格或恶意压价。</w:t>
      </w:r>
    </w:p>
    <w:p>
      <w:pPr>
        <w:pStyle w:val="6"/>
        <w:spacing w:line="5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F.不在招投标活动中虚假投诉。</w:t>
      </w:r>
    </w:p>
    <w:p>
      <w:pPr>
        <w:pStyle w:val="6"/>
        <w:spacing w:line="5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5.在整个招、投标过程中及招、投标结束后，未经招标单位书</w:t>
      </w:r>
    </w:p>
    <w:p>
      <w:pPr>
        <w:pStyle w:val="6"/>
        <w:spacing w:line="52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面同意，我方保证不向任何第三方泄露本次招、投标的任何信息、资料及内容。</w:t>
      </w:r>
    </w:p>
    <w:p>
      <w:pPr>
        <w:pStyle w:val="6"/>
        <w:spacing w:line="5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6.投标文件中所有关于投标单位资格的文件、证明、陈述均是</w:t>
      </w:r>
    </w:p>
    <w:p>
      <w:pPr>
        <w:pStyle w:val="6"/>
        <w:spacing w:line="52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真实的、准确的。若有违背，我公司承担由此而产生的一切后果。</w:t>
      </w:r>
    </w:p>
    <w:p>
      <w:pPr>
        <w:pStyle w:val="6"/>
        <w:spacing w:line="5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7.本承诺函与合同具有同等的法律效力。</w:t>
      </w:r>
    </w:p>
    <w:p>
      <w:pPr>
        <w:pStyle w:val="6"/>
        <w:spacing w:line="520" w:lineRule="exact"/>
        <w:ind w:firstLine="3259" w:firstLineChars="1164"/>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法人代表：（签字）</w:t>
      </w:r>
    </w:p>
    <w:p>
      <w:pPr>
        <w:pStyle w:val="6"/>
        <w:spacing w:line="520" w:lineRule="exact"/>
        <w:ind w:firstLine="3259" w:firstLineChars="1164"/>
        <w:rPr>
          <w:rFonts w:ascii="仿宋_GB2312" w:hAnsi="仿宋_GB2312" w:eastAsia="仿宋_GB2312" w:cs="仿宋_GB2312"/>
          <w:sz w:val="28"/>
          <w:szCs w:val="28"/>
        </w:rPr>
      </w:pPr>
      <w:r>
        <w:rPr>
          <w:rFonts w:hint="eastAsia" w:ascii="仿宋_GB2312" w:hAnsi="仿宋_GB2312" w:eastAsia="仿宋_GB2312" w:cs="仿宋_GB2312"/>
          <w:sz w:val="28"/>
          <w:szCs w:val="28"/>
        </w:rPr>
        <w:t>投标单位：（公章）</w:t>
      </w:r>
    </w:p>
    <w:p>
      <w:pPr>
        <w:pStyle w:val="6"/>
        <w:spacing w:line="520" w:lineRule="exact"/>
        <w:ind w:firstLine="3239" w:firstLineChars="1157"/>
        <w:rPr>
          <w:rFonts w:ascii="宋体" w:hAnsi="宋体"/>
          <w:sz w:val="28"/>
        </w:rPr>
      </w:pPr>
      <w:r>
        <w:rPr>
          <w:rFonts w:hint="eastAsia" w:ascii="仿宋_GB2312" w:hAnsi="仿宋_GB2312" w:eastAsia="仿宋_GB2312" w:cs="仿宋_GB2312"/>
          <w:sz w:val="28"/>
          <w:szCs w:val="28"/>
        </w:rPr>
        <w:t>日期：       年     月    日</w:t>
      </w:r>
    </w:p>
    <w:p>
      <w:pPr>
        <w:spacing w:line="560" w:lineRule="exact"/>
        <w:rPr>
          <w:rFonts w:ascii="仿宋_GB2312" w:hAnsi="仿宋_GB2312" w:eastAsia="仿宋_GB2312" w:cs="仿宋_GB2312"/>
          <w:b/>
          <w:sz w:val="28"/>
          <w:szCs w:val="28"/>
        </w:rPr>
      </w:pPr>
      <w:bookmarkStart w:id="6" w:name="_Toc3814_WPSOffice_Level1"/>
    </w:p>
    <w:p>
      <w:pPr>
        <w:spacing w:line="560" w:lineRule="exact"/>
        <w:jc w:val="center"/>
        <w:rPr>
          <w:rFonts w:ascii="黑体" w:hAnsi="黑体" w:eastAsia="黑体" w:cs="仿宋_GB2312"/>
          <w:b/>
          <w:sz w:val="30"/>
          <w:szCs w:val="30"/>
        </w:rPr>
      </w:pPr>
      <w:r>
        <w:rPr>
          <w:rFonts w:hint="eastAsia" w:ascii="黑体" w:hAnsi="黑体" w:eastAsia="黑体" w:cs="仿宋_GB2312"/>
          <w:b/>
          <w:sz w:val="30"/>
          <w:szCs w:val="30"/>
        </w:rPr>
        <w:t>三、</w:t>
      </w:r>
      <w:bookmarkEnd w:id="6"/>
      <w:r>
        <w:rPr>
          <w:rFonts w:hint="eastAsia" w:ascii="黑体" w:hAnsi="黑体" w:eastAsia="黑体" w:cs="仿宋_GB2312"/>
          <w:b/>
          <w:sz w:val="30"/>
          <w:szCs w:val="30"/>
        </w:rPr>
        <w:t>法定代表人身份证明书</w:t>
      </w:r>
    </w:p>
    <w:p>
      <w:pPr>
        <w:spacing w:line="560" w:lineRule="exact"/>
        <w:jc w:val="center"/>
        <w:rPr>
          <w:rFonts w:ascii="黑体" w:hAnsi="黑体" w:eastAsia="黑体" w:cs="仿宋_GB2312"/>
          <w:b/>
          <w:bCs/>
          <w:sz w:val="30"/>
          <w:szCs w:val="30"/>
        </w:rPr>
      </w:pPr>
      <w:r>
        <w:rPr>
          <w:rFonts w:hint="eastAsia" w:ascii="黑体" w:hAnsi="黑体" w:eastAsia="黑体" w:cs="仿宋_GB2312"/>
          <w:b/>
          <w:bCs/>
          <w:sz w:val="30"/>
          <w:szCs w:val="30"/>
        </w:rPr>
        <w:t>（法定代表人参加投标的，出具此证明书）</w:t>
      </w:r>
    </w:p>
    <w:p>
      <w:pPr>
        <w:spacing w:line="480" w:lineRule="exact"/>
        <w:rPr>
          <w:rFonts w:ascii="仿宋_GB2312" w:hAnsi="仿宋_GB2312" w:eastAsia="仿宋_GB2312" w:cs="仿宋_GB2312"/>
          <w:sz w:val="28"/>
          <w:szCs w:val="28"/>
        </w:rPr>
      </w:pPr>
    </w:p>
    <w:p>
      <w:pPr>
        <w:spacing w:line="480" w:lineRule="exact"/>
        <w:ind w:firstLine="630" w:firstLineChars="225"/>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法定代表人姓名 </w:t>
      </w:r>
      <w:r>
        <w:rPr>
          <w:rFonts w:hint="eastAsia" w:ascii="仿宋_GB2312" w:hAnsi="仿宋_GB2312" w:eastAsia="仿宋_GB2312" w:cs="仿宋_GB2312"/>
          <w:sz w:val="28"/>
          <w:szCs w:val="28"/>
        </w:rPr>
        <w:t>在我公司（或企业、单位）任（董事长、经理）职务，是我</w:t>
      </w:r>
      <w:r>
        <w:rPr>
          <w:rFonts w:hint="eastAsia" w:ascii="仿宋_GB2312" w:hAnsi="仿宋_GB2312" w:eastAsia="仿宋_GB2312" w:cs="仿宋_GB2312"/>
          <w:sz w:val="28"/>
          <w:szCs w:val="28"/>
          <w:u w:val="single"/>
        </w:rPr>
        <w:t xml:space="preserve">     公司全称    </w:t>
      </w:r>
      <w:r>
        <w:rPr>
          <w:rFonts w:hint="eastAsia" w:ascii="仿宋_GB2312" w:hAnsi="仿宋_GB2312" w:eastAsia="仿宋_GB2312" w:cs="仿宋_GB2312"/>
          <w:sz w:val="28"/>
          <w:szCs w:val="28"/>
        </w:rPr>
        <w:t>的法定代表人。现就参加</w:t>
      </w:r>
      <w:r>
        <w:rPr>
          <w:rFonts w:hint="eastAsia" w:ascii="仿宋_GB2312" w:hAnsi="仿宋_GB2312" w:eastAsia="仿宋_GB2312" w:cs="仿宋_GB2312"/>
          <w:sz w:val="28"/>
          <w:szCs w:val="28"/>
          <w:u w:val="single"/>
        </w:rPr>
        <w:t xml:space="preserve">   采购单位名称   </w:t>
      </w:r>
      <w:r>
        <w:rPr>
          <w:rFonts w:hint="eastAsia" w:ascii="仿宋_GB2312" w:hAnsi="仿宋_GB2312" w:eastAsia="仿宋_GB2312" w:cs="仿宋_GB2312"/>
          <w:sz w:val="28"/>
          <w:szCs w:val="28"/>
        </w:rPr>
        <w:t>组织的采购项目</w:t>
      </w:r>
      <w:r>
        <w:rPr>
          <w:rFonts w:hint="eastAsia" w:ascii="仿宋_GB2312" w:hAnsi="仿宋_GB2312" w:eastAsia="仿宋_GB2312" w:cs="仿宋_GB2312"/>
          <w:sz w:val="28"/>
          <w:szCs w:val="28"/>
          <w:u w:val="single"/>
        </w:rPr>
        <w:t xml:space="preserve">         采购项目名称         </w:t>
      </w:r>
      <w:r>
        <w:rPr>
          <w:rFonts w:hint="eastAsia" w:ascii="仿宋_GB2312" w:hAnsi="仿宋_GB2312" w:eastAsia="仿宋_GB2312" w:cs="仿宋_GB2312"/>
          <w:sz w:val="28"/>
          <w:szCs w:val="28"/>
        </w:rPr>
        <w:t>的投标签署投标文件。</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spacing w:line="480" w:lineRule="exact"/>
        <w:jc w:val="center"/>
        <w:rPr>
          <w:rFonts w:ascii="仿宋_GB2312" w:hAnsi="仿宋_GB2312" w:eastAsia="仿宋_GB2312" w:cs="仿宋_GB2312"/>
          <w:b/>
          <w:sz w:val="28"/>
          <w:szCs w:val="28"/>
        </w:rPr>
      </w:pPr>
    </w:p>
    <w:p>
      <w:pPr>
        <w:spacing w:before="240" w:beforeLines="100" w:after="240" w:afterLines="100" w:line="480" w:lineRule="exact"/>
        <w:jc w:val="center"/>
        <w:rPr>
          <w:rFonts w:ascii="仿宋_GB2312" w:hAnsi="仿宋_GB2312" w:eastAsia="仿宋_GB2312" w:cs="仿宋_GB2312"/>
          <w:b/>
          <w:sz w:val="28"/>
          <w:szCs w:val="28"/>
        </w:rPr>
      </w:pPr>
    </w:p>
    <w:tbl>
      <w:tblPr>
        <w:tblStyle w:val="20"/>
        <w:tblpPr w:leftFromText="180" w:rightFromText="18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pacing w:line="48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（※此处请粘贴法定代表人身份证</w:t>
            </w:r>
          </w:p>
          <w:p>
            <w:pPr>
              <w:spacing w:line="48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复印件※）</w:t>
            </w:r>
          </w:p>
          <w:p>
            <w:pPr>
              <w:spacing w:line="480" w:lineRule="exact"/>
              <w:rPr>
                <w:rFonts w:ascii="仿宋_GB2312" w:hAnsi="仿宋_GB2312" w:eastAsia="仿宋_GB2312" w:cs="仿宋_GB2312"/>
                <w:sz w:val="28"/>
                <w:szCs w:val="28"/>
              </w:rPr>
            </w:pPr>
          </w:p>
          <w:p>
            <w:pPr>
              <w:spacing w:line="480" w:lineRule="exact"/>
              <w:rPr>
                <w:rFonts w:ascii="仿宋_GB2312" w:hAnsi="仿宋_GB2312" w:eastAsia="仿宋_GB2312" w:cs="仿宋_GB2312"/>
                <w:sz w:val="28"/>
                <w:szCs w:val="28"/>
              </w:rPr>
            </w:pPr>
          </w:p>
        </w:tc>
      </w:tr>
    </w:tbl>
    <w:p>
      <w:pPr>
        <w:spacing w:before="240" w:beforeLines="100" w:after="240" w:afterLines="100" w:line="480" w:lineRule="exact"/>
        <w:jc w:val="center"/>
        <w:rPr>
          <w:rFonts w:ascii="仿宋_GB2312" w:hAnsi="仿宋_GB2312" w:eastAsia="仿宋_GB2312" w:cs="仿宋_GB2312"/>
          <w:b/>
          <w:sz w:val="28"/>
          <w:szCs w:val="28"/>
        </w:rPr>
      </w:pPr>
    </w:p>
    <w:p>
      <w:pPr>
        <w:spacing w:before="240" w:beforeLines="100" w:after="240" w:afterLines="100" w:line="480" w:lineRule="exact"/>
        <w:jc w:val="center"/>
        <w:rPr>
          <w:rFonts w:ascii="仿宋_GB2312" w:hAnsi="仿宋_GB2312" w:eastAsia="仿宋_GB2312" w:cs="仿宋_GB2312"/>
          <w:b/>
          <w:sz w:val="28"/>
          <w:szCs w:val="28"/>
        </w:rPr>
      </w:pPr>
    </w:p>
    <w:p>
      <w:pPr>
        <w:spacing w:before="240" w:beforeLines="100" w:after="240" w:afterLines="100" w:line="480" w:lineRule="exact"/>
        <w:jc w:val="center"/>
        <w:rPr>
          <w:rFonts w:ascii="仿宋_GB2312" w:hAnsi="仿宋_GB2312" w:eastAsia="仿宋_GB2312" w:cs="仿宋_GB2312"/>
          <w:b/>
          <w:sz w:val="28"/>
          <w:szCs w:val="28"/>
        </w:rPr>
      </w:pPr>
    </w:p>
    <w:p>
      <w:pPr>
        <w:spacing w:line="480" w:lineRule="exact"/>
        <w:jc w:val="right"/>
        <w:rPr>
          <w:rFonts w:ascii="仿宋_GB2312" w:hAnsi="仿宋_GB2312" w:eastAsia="仿宋_GB2312" w:cs="仿宋_GB2312"/>
          <w:sz w:val="28"/>
          <w:szCs w:val="28"/>
        </w:rPr>
      </w:pPr>
    </w:p>
    <w:p>
      <w:pPr>
        <w:spacing w:line="480" w:lineRule="exact"/>
        <w:jc w:val="right"/>
        <w:rPr>
          <w:rFonts w:ascii="仿宋_GB2312" w:hAnsi="仿宋_GB2312" w:eastAsia="仿宋_GB2312" w:cs="仿宋_GB2312"/>
          <w:sz w:val="28"/>
          <w:szCs w:val="28"/>
        </w:rPr>
      </w:pPr>
    </w:p>
    <w:p>
      <w:pPr>
        <w:spacing w:line="480" w:lineRule="exact"/>
        <w:ind w:right="240"/>
        <w:jc w:val="right"/>
        <w:rPr>
          <w:rFonts w:ascii="仿宋_GB2312" w:hAnsi="仿宋_GB2312" w:eastAsia="仿宋_GB2312" w:cs="仿宋_GB2312"/>
          <w:sz w:val="28"/>
          <w:szCs w:val="28"/>
        </w:rPr>
      </w:pPr>
    </w:p>
    <w:p>
      <w:pPr>
        <w:spacing w:line="480" w:lineRule="exact"/>
        <w:ind w:right="240"/>
        <w:jc w:val="right"/>
        <w:rPr>
          <w:rFonts w:ascii="仿宋_GB2312" w:hAnsi="仿宋_GB2312" w:eastAsia="仿宋_GB2312" w:cs="仿宋_GB2312"/>
          <w:sz w:val="28"/>
          <w:szCs w:val="28"/>
        </w:rPr>
      </w:pPr>
    </w:p>
    <w:p>
      <w:pPr>
        <w:spacing w:line="600" w:lineRule="auto"/>
        <w:ind w:firstLine="5600" w:firstLineChars="20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公司名称：</w:t>
      </w:r>
      <w:r>
        <w:rPr>
          <w:rFonts w:hint="eastAsia" w:ascii="仿宋_GB2312" w:hAnsi="仿宋_GB2312" w:eastAsia="仿宋_GB2312" w:cs="仿宋_GB2312"/>
          <w:sz w:val="28"/>
          <w:szCs w:val="28"/>
          <w:u w:val="single"/>
        </w:rPr>
        <w:t xml:space="preserve">（加盖公章） </w:t>
      </w:r>
    </w:p>
    <w:p>
      <w:pPr>
        <w:spacing w:line="600" w:lineRule="auto"/>
        <w:ind w:firstLine="5600" w:firstLineChars="20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pPr>
        <w:spacing w:line="560" w:lineRule="exact"/>
        <w:jc w:val="center"/>
        <w:rPr>
          <w:rFonts w:ascii="仿宋_GB2312" w:hAnsi="仿宋_GB2312" w:eastAsia="仿宋_GB2312" w:cs="仿宋_GB2312"/>
          <w:b/>
          <w:sz w:val="28"/>
          <w:szCs w:val="28"/>
        </w:rPr>
      </w:pPr>
    </w:p>
    <w:p>
      <w:pPr>
        <w:spacing w:line="560" w:lineRule="exact"/>
        <w:jc w:val="center"/>
        <w:rPr>
          <w:rFonts w:ascii="仿宋_GB2312" w:hAnsi="仿宋_GB2312" w:eastAsia="仿宋_GB2312" w:cs="仿宋_GB2312"/>
          <w:b/>
          <w:sz w:val="28"/>
          <w:szCs w:val="28"/>
        </w:rPr>
      </w:pPr>
    </w:p>
    <w:p>
      <w:pPr>
        <w:spacing w:line="560" w:lineRule="exact"/>
        <w:jc w:val="center"/>
        <w:rPr>
          <w:rFonts w:ascii="仿宋_GB2312" w:hAnsi="仿宋_GB2312" w:eastAsia="仿宋_GB2312" w:cs="仿宋_GB2312"/>
          <w:b/>
          <w:sz w:val="28"/>
          <w:szCs w:val="28"/>
        </w:rPr>
      </w:pPr>
    </w:p>
    <w:p>
      <w:pPr>
        <w:spacing w:line="560" w:lineRule="exact"/>
        <w:rPr>
          <w:rFonts w:ascii="黑体" w:hAnsi="黑体" w:eastAsia="黑体" w:cs="仿宋_GB2312"/>
          <w:b/>
          <w:sz w:val="30"/>
          <w:szCs w:val="30"/>
        </w:rPr>
      </w:pPr>
    </w:p>
    <w:p>
      <w:pPr>
        <w:spacing w:line="560" w:lineRule="exact"/>
        <w:jc w:val="center"/>
        <w:rPr>
          <w:rFonts w:ascii="黑体" w:hAnsi="黑体" w:eastAsia="黑体" w:cs="仿宋_GB2312"/>
          <w:b/>
          <w:sz w:val="30"/>
          <w:szCs w:val="30"/>
        </w:rPr>
      </w:pPr>
      <w:r>
        <w:rPr>
          <w:rFonts w:hint="eastAsia" w:ascii="黑体" w:hAnsi="黑体" w:eastAsia="黑体" w:cs="仿宋_GB2312"/>
          <w:b/>
          <w:sz w:val="30"/>
          <w:szCs w:val="30"/>
        </w:rPr>
        <w:t>四、法定代表人授权委托书</w:t>
      </w:r>
    </w:p>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（授权代表人参加投标的，出具此授权委托书）</w:t>
      </w:r>
    </w:p>
    <w:p>
      <w:pPr>
        <w:spacing w:line="440" w:lineRule="exact"/>
        <w:rPr>
          <w:rFonts w:ascii="楷体_GB2312" w:eastAsia="楷体_GB2312"/>
        </w:rPr>
      </w:pPr>
      <w:r>
        <w:rPr>
          <w:rFonts w:hint="eastAsia" w:ascii="楷体_GB2312" w:eastAsia="楷体_GB2312"/>
        </w:rPr>
        <w:t>委托人：</w:t>
      </w:r>
      <w:r>
        <w:rPr>
          <w:rFonts w:hint="eastAsia" w:ascii="楷体_GB2312" w:eastAsia="楷体_GB2312"/>
          <w:b/>
        </w:rPr>
        <w:t>XXXXXX公司</w:t>
      </w:r>
    </w:p>
    <w:p>
      <w:pPr>
        <w:spacing w:line="440" w:lineRule="exact"/>
        <w:rPr>
          <w:rFonts w:ascii="楷体_GB2312" w:eastAsia="楷体_GB2312"/>
        </w:rPr>
      </w:pPr>
      <w:r>
        <w:rPr>
          <w:rFonts w:hint="eastAsia" w:ascii="楷体_GB2312" w:eastAsia="楷体_GB2312"/>
        </w:rPr>
        <w:t>住所：</w:t>
      </w:r>
    </w:p>
    <w:p>
      <w:pPr>
        <w:spacing w:line="440" w:lineRule="exact"/>
        <w:rPr>
          <w:rFonts w:ascii="楷体_GB2312" w:eastAsia="楷体_GB2312"/>
        </w:rPr>
      </w:pPr>
      <w:r>
        <w:rPr>
          <w:rFonts w:hint="eastAsia" w:ascii="楷体_GB2312" w:eastAsia="楷体_GB2312"/>
        </w:rPr>
        <w:t>法定代表人（或负责人）：</w:t>
      </w:r>
    </w:p>
    <w:p>
      <w:pPr>
        <w:spacing w:line="440" w:lineRule="exact"/>
        <w:rPr>
          <w:rFonts w:ascii="楷体_GB2312" w:eastAsia="楷体_GB2312"/>
        </w:rPr>
      </w:pPr>
      <w:r>
        <w:rPr>
          <w:rFonts w:hint="eastAsia" w:ascii="楷体_GB2312" w:eastAsia="楷体_GB2312"/>
        </w:rPr>
        <w:t>代理人：</w:t>
      </w:r>
      <w:r>
        <w:rPr>
          <w:rFonts w:hint="eastAsia" w:ascii="楷体_GB2312" w:eastAsia="楷体_GB2312"/>
          <w:b/>
        </w:rPr>
        <w:t>XXX</w:t>
      </w:r>
      <w:r>
        <w:rPr>
          <w:rFonts w:hint="eastAsia" w:ascii="楷体_GB2312" w:eastAsia="楷体_GB2312"/>
        </w:rPr>
        <w:t>，男或女， 年 月 日出生，身份证号码：</w:t>
      </w:r>
      <w:r>
        <w:rPr>
          <w:rFonts w:hint="eastAsia" w:ascii="楷体_GB2312" w:eastAsia="楷体_GB2312"/>
          <w:b/>
        </w:rPr>
        <w:t>XXXXXXXXXXXXXX</w:t>
      </w:r>
      <w:r>
        <w:rPr>
          <w:rFonts w:hint="eastAsia" w:ascii="楷体_GB2312" w:eastAsia="楷体_GB2312"/>
        </w:rPr>
        <w:t>,系</w:t>
      </w:r>
      <w:r>
        <w:rPr>
          <w:rFonts w:hint="eastAsia" w:ascii="楷体_GB2312" w:eastAsia="楷体_GB2312"/>
          <w:b/>
        </w:rPr>
        <w:t>XXXXX</w:t>
      </w:r>
      <w:r>
        <w:rPr>
          <w:rFonts w:hint="eastAsia" w:ascii="楷体_GB2312" w:eastAsia="楷体_GB2312"/>
        </w:rPr>
        <w:t>单位职工，现住</w:t>
      </w:r>
      <w:r>
        <w:rPr>
          <w:rFonts w:hint="eastAsia" w:ascii="楷体_GB2312" w:eastAsia="楷体_GB2312"/>
          <w:b/>
        </w:rPr>
        <w:t>XXXXXXX</w:t>
      </w:r>
      <w:r>
        <w:rPr>
          <w:rFonts w:hint="eastAsia" w:ascii="楷体_GB2312" w:eastAsia="楷体_GB2312"/>
        </w:rPr>
        <w:t>.</w:t>
      </w:r>
    </w:p>
    <w:p>
      <w:pPr>
        <w:spacing w:line="440" w:lineRule="exact"/>
        <w:rPr>
          <w:rFonts w:ascii="楷体_GB2312" w:eastAsia="楷体_GB2312"/>
        </w:rPr>
      </w:pPr>
      <w:r>
        <w:rPr>
          <w:rFonts w:hint="eastAsia" w:ascii="楷体_GB2312" w:eastAsia="楷体_GB2312"/>
        </w:rPr>
        <w:t>授权事项：</w:t>
      </w:r>
    </w:p>
    <w:p>
      <w:pPr>
        <w:spacing w:line="440" w:lineRule="exact"/>
        <w:ind w:firstLine="411" w:firstLineChars="196"/>
        <w:rPr>
          <w:rFonts w:ascii="楷体_GB2312" w:eastAsia="楷体_GB2312"/>
        </w:rPr>
      </w:pPr>
      <w:r>
        <w:rPr>
          <w:rFonts w:hint="eastAsia" w:ascii="楷体_GB2312" w:eastAsia="楷体_GB2312"/>
        </w:rPr>
        <w:t>1、委托人委托代理人</w:t>
      </w:r>
      <w:r>
        <w:rPr>
          <w:rFonts w:hint="eastAsia" w:ascii="楷体_GB2312" w:eastAsia="楷体_GB2312"/>
          <w:b/>
        </w:rPr>
        <w:t>XXX</w:t>
      </w:r>
      <w:r>
        <w:rPr>
          <w:rFonts w:hint="eastAsia" w:ascii="楷体_GB2312" w:eastAsia="楷体_GB2312"/>
        </w:rPr>
        <w:t>代表委托人参加</w:t>
      </w:r>
      <w:r>
        <w:rPr>
          <w:rFonts w:hint="eastAsia" w:ascii="楷体_GB2312" w:eastAsia="楷体_GB2312"/>
          <w:b/>
        </w:rPr>
        <w:t>中粮糖业及所属各级单位</w:t>
      </w:r>
      <w:r>
        <w:rPr>
          <w:rFonts w:hint="eastAsia" w:ascii="楷体_GB2312" w:eastAsia="楷体_GB2312"/>
        </w:rPr>
        <w:t>的招标或议标活动，以委托人的名义全权办理招标或议标过程中的投标、报价、议标谈判等一切与招标或议标相关的事宜。</w:t>
      </w:r>
    </w:p>
    <w:p>
      <w:pPr>
        <w:spacing w:line="440" w:lineRule="exact"/>
        <w:ind w:firstLine="411" w:firstLineChars="196"/>
        <w:rPr>
          <w:rFonts w:ascii="楷体_GB2312" w:eastAsia="楷体_GB2312"/>
        </w:rPr>
      </w:pPr>
      <w:r>
        <w:rPr>
          <w:rFonts w:hint="eastAsia" w:ascii="楷体_GB2312" w:eastAsia="楷体_GB2312"/>
        </w:rPr>
        <w:t>2、如果委托人中标，代理人以委托人的名义与</w:t>
      </w:r>
      <w:r>
        <w:rPr>
          <w:rFonts w:hint="eastAsia" w:ascii="楷体_GB2312" w:eastAsia="楷体_GB2312"/>
          <w:b/>
        </w:rPr>
        <w:t>中粮糖业及所属各级单位</w:t>
      </w:r>
      <w:r>
        <w:rPr>
          <w:rFonts w:hint="eastAsia" w:ascii="楷体_GB2312" w:eastAsia="楷体_GB2312"/>
        </w:rPr>
        <w:t>签订合同，并办理合同履行过程中的一切相关事宜。</w:t>
      </w:r>
    </w:p>
    <w:p>
      <w:pPr>
        <w:spacing w:line="440" w:lineRule="exact"/>
        <w:ind w:firstLine="411" w:firstLineChars="196"/>
        <w:rPr>
          <w:rFonts w:ascii="楷体_GB2312" w:eastAsia="楷体_GB2312"/>
        </w:rPr>
      </w:pPr>
      <w:r>
        <w:rPr>
          <w:rFonts w:hint="eastAsia" w:ascii="楷体_GB2312" w:eastAsia="楷体_GB2312"/>
        </w:rPr>
        <w:t>本公司对代理人的上述代理行为均予以认可并承担责任。</w:t>
      </w:r>
    </w:p>
    <w:p>
      <w:pPr>
        <w:spacing w:line="440" w:lineRule="exact"/>
        <w:ind w:right="560"/>
        <w:rPr>
          <w:rFonts w:ascii="楷体_GB2312" w:eastAsia="楷体_GB2312"/>
        </w:rPr>
      </w:pPr>
      <w:r>
        <w:rPr>
          <w:rFonts w:hint="eastAsia" w:ascii="楷体_GB2312" w:eastAsia="楷体_GB2312"/>
        </w:rPr>
        <w:t>授权期限：本授权委托书自授权之日起生效，有效期</w:t>
      </w:r>
      <w:r>
        <w:rPr>
          <w:rFonts w:ascii="楷体_GB2312" w:eastAsia="楷体_GB2312"/>
          <w:color w:val="FF0000"/>
          <w:u w:val="single"/>
        </w:rPr>
        <w:t xml:space="preserve">  </w:t>
      </w:r>
      <w:r>
        <w:rPr>
          <w:rFonts w:hint="eastAsia" w:ascii="楷体_GB2312" w:eastAsia="楷体_GB2312"/>
        </w:rPr>
        <w:t>年。</w:t>
      </w:r>
    </w:p>
    <w:p>
      <w:pPr>
        <w:spacing w:line="440" w:lineRule="exact"/>
        <w:ind w:right="560"/>
        <w:jc w:val="right"/>
        <w:rPr>
          <w:rFonts w:ascii="楷体_GB2312" w:eastAsia="楷体_GB2312"/>
        </w:rPr>
      </w:pPr>
    </w:p>
    <w:p>
      <w:pPr>
        <w:spacing w:line="440" w:lineRule="exact"/>
        <w:ind w:right="560"/>
        <w:jc w:val="center"/>
        <w:rPr>
          <w:rFonts w:ascii="楷体_GB2312" w:eastAsia="楷体_GB2312"/>
        </w:rPr>
      </w:pPr>
      <w:r>
        <w:rPr>
          <w:rFonts w:hint="eastAsia" w:ascii="楷体_GB2312" w:eastAsia="楷体_GB2312"/>
        </w:rPr>
        <w:t>代理人身份证（正、反面）粘贴处：</w:t>
      </w:r>
    </w:p>
    <w:p>
      <w:pPr>
        <w:spacing w:line="440" w:lineRule="exact"/>
        <w:ind w:right="560"/>
        <w:rPr>
          <w:rFonts w:ascii="楷体_GB2312" w:eastAsia="楷体_GB2312"/>
        </w:rPr>
      </w:pPr>
    </w:p>
    <w:p>
      <w:pPr>
        <w:spacing w:line="440" w:lineRule="exact"/>
        <w:ind w:right="560"/>
        <w:rPr>
          <w:rFonts w:ascii="楷体_GB2312" w:eastAsia="楷体_GB2312"/>
        </w:rPr>
      </w:pPr>
    </w:p>
    <w:p>
      <w:pPr>
        <w:spacing w:line="440" w:lineRule="exact"/>
        <w:ind w:right="560"/>
        <w:jc w:val="center"/>
        <w:rPr>
          <w:rFonts w:ascii="楷体_GB2312" w:eastAsia="楷体_GB2312"/>
        </w:rPr>
      </w:pPr>
    </w:p>
    <w:p>
      <w:pPr>
        <w:spacing w:line="440" w:lineRule="exact"/>
        <w:ind w:right="560"/>
        <w:jc w:val="center"/>
        <w:rPr>
          <w:rFonts w:ascii="楷体_GB2312" w:eastAsia="楷体_GB2312"/>
        </w:rPr>
      </w:pPr>
    </w:p>
    <w:p>
      <w:pPr>
        <w:spacing w:line="440" w:lineRule="exact"/>
        <w:ind w:left="105" w:leftChars="50" w:right="480" w:firstLine="3372" w:firstLineChars="1606"/>
        <w:rPr>
          <w:rFonts w:ascii="楷体_GB2312" w:eastAsia="楷体_GB2312"/>
        </w:rPr>
      </w:pPr>
      <w:r>
        <w:rPr>
          <w:rFonts w:hint="eastAsia" w:ascii="楷体_GB2312" w:eastAsia="楷体_GB2312"/>
        </w:rPr>
        <w:t>委托人：</w:t>
      </w:r>
      <w:r>
        <w:rPr>
          <w:rFonts w:hint="eastAsia" w:ascii="楷体_GB2312" w:eastAsia="楷体_GB2312"/>
          <w:b/>
        </w:rPr>
        <w:t>XXXXXX公司</w:t>
      </w:r>
    </w:p>
    <w:p>
      <w:pPr>
        <w:spacing w:line="440" w:lineRule="exact"/>
        <w:ind w:left="105" w:leftChars="50" w:right="480" w:firstLine="3372" w:firstLineChars="1606"/>
        <w:rPr>
          <w:rFonts w:ascii="楷体_GB2312" w:eastAsia="楷体_GB2312"/>
        </w:rPr>
      </w:pPr>
      <w:r>
        <w:rPr>
          <w:rFonts w:hint="eastAsia" w:ascii="楷体_GB2312" w:eastAsia="楷体_GB2312"/>
        </w:rPr>
        <w:t>法定代表人（或负责人）：</w:t>
      </w:r>
    </w:p>
    <w:p>
      <w:pPr>
        <w:spacing w:line="440" w:lineRule="exact"/>
        <w:ind w:left="105" w:leftChars="50" w:right="26" w:firstLine="3372" w:firstLineChars="1606"/>
        <w:rPr>
          <w:rFonts w:ascii="楷体_GB2312" w:eastAsia="楷体_GB2312"/>
          <w:sz w:val="32"/>
          <w:szCs w:val="32"/>
        </w:rPr>
      </w:pPr>
      <w:r>
        <w:rPr>
          <w:rFonts w:hint="eastAsia" w:ascii="楷体_GB2312" w:eastAsia="楷体_GB2312"/>
        </w:rPr>
        <w:t>委托授权时间：   20</w:t>
      </w:r>
      <w:r>
        <w:rPr>
          <w:rFonts w:ascii="楷体_GB2312" w:eastAsia="楷体_GB2312"/>
        </w:rPr>
        <w:t>22</w:t>
      </w:r>
      <w:r>
        <w:rPr>
          <w:rFonts w:hint="eastAsia" w:ascii="楷体_GB2312" w:eastAsia="楷体_GB2312"/>
        </w:rPr>
        <w:t xml:space="preserve">  年 </w:t>
      </w:r>
      <w:r>
        <w:rPr>
          <w:rFonts w:ascii="楷体_GB2312" w:eastAsia="楷体_GB2312"/>
        </w:rPr>
        <w:t>1</w:t>
      </w:r>
      <w:r>
        <w:rPr>
          <w:rFonts w:hint="eastAsia" w:ascii="楷体_GB2312" w:eastAsia="楷体_GB2312"/>
        </w:rPr>
        <w:t xml:space="preserve"> 月1日</w:t>
      </w:r>
    </w:p>
    <w:p>
      <w:pPr>
        <w:jc w:val="center"/>
        <w:rPr>
          <w:rFonts w:ascii="仿宋_GB2312" w:hAnsi="仿宋_GB2312" w:eastAsia="仿宋_GB2312" w:cs="仿宋_GB2312"/>
          <w:b/>
          <w:sz w:val="28"/>
          <w:szCs w:val="28"/>
        </w:rPr>
      </w:pPr>
    </w:p>
    <w:p>
      <w:pPr>
        <w:jc w:val="center"/>
        <w:rPr>
          <w:rFonts w:ascii="仿宋_GB2312" w:hAnsi="仿宋_GB2312" w:eastAsia="仿宋_GB2312" w:cs="仿宋_GB2312"/>
          <w:b/>
          <w:sz w:val="28"/>
          <w:szCs w:val="28"/>
        </w:rPr>
      </w:pPr>
    </w:p>
    <w:p>
      <w:pPr>
        <w:jc w:val="center"/>
        <w:rPr>
          <w:rFonts w:ascii="仿宋_GB2312" w:hAnsi="仿宋_GB2312" w:eastAsia="仿宋_GB2312" w:cs="仿宋_GB2312"/>
          <w:b/>
          <w:sz w:val="28"/>
          <w:szCs w:val="28"/>
        </w:rPr>
      </w:pPr>
    </w:p>
    <w:p>
      <w:pPr>
        <w:jc w:val="center"/>
        <w:rPr>
          <w:rFonts w:ascii="仿宋_GB2312" w:hAnsi="仿宋_GB2312" w:eastAsia="仿宋_GB2312" w:cs="仿宋_GB2312"/>
          <w:b/>
          <w:sz w:val="28"/>
          <w:szCs w:val="28"/>
        </w:rPr>
      </w:pPr>
    </w:p>
    <w:p>
      <w:pPr>
        <w:jc w:val="center"/>
        <w:rPr>
          <w:rFonts w:ascii="仿宋_GB2312" w:hAnsi="仿宋_GB2312" w:eastAsia="仿宋_GB2312" w:cs="仿宋_GB2312"/>
          <w:b/>
          <w:sz w:val="28"/>
          <w:szCs w:val="28"/>
        </w:rPr>
      </w:pPr>
    </w:p>
    <w:p>
      <w:pPr>
        <w:jc w:val="center"/>
        <w:rPr>
          <w:rFonts w:ascii="仿宋_GB2312" w:hAnsi="仿宋_GB2312" w:eastAsia="仿宋_GB2312" w:cs="仿宋_GB2312"/>
          <w:b/>
          <w:sz w:val="28"/>
          <w:szCs w:val="28"/>
        </w:rPr>
      </w:pPr>
    </w:p>
    <w:p>
      <w:pPr>
        <w:jc w:val="center"/>
        <w:rPr>
          <w:rFonts w:ascii="仿宋_GB2312" w:hAnsi="仿宋_GB2312" w:eastAsia="仿宋_GB2312" w:cs="仿宋_GB2312"/>
          <w:b/>
          <w:sz w:val="28"/>
          <w:szCs w:val="28"/>
        </w:rPr>
      </w:pPr>
    </w:p>
    <w:p>
      <w:pPr>
        <w:jc w:val="center"/>
        <w:rPr>
          <w:rFonts w:ascii="黑体" w:hAnsi="黑体" w:eastAsia="黑体" w:cs="仿宋_GB2312"/>
          <w:b/>
          <w:sz w:val="30"/>
          <w:szCs w:val="30"/>
        </w:rPr>
      </w:pPr>
    </w:p>
    <w:p>
      <w:pPr>
        <w:jc w:val="center"/>
        <w:rPr>
          <w:rFonts w:ascii="黑体" w:hAnsi="黑体" w:eastAsia="黑体" w:cs="仿宋_GB2312"/>
          <w:b/>
          <w:sz w:val="30"/>
          <w:szCs w:val="30"/>
        </w:rPr>
      </w:pPr>
    </w:p>
    <w:p>
      <w:pPr>
        <w:jc w:val="center"/>
        <w:rPr>
          <w:rFonts w:ascii="黑体" w:hAnsi="黑体" w:eastAsia="黑体" w:cs="仿宋_GB2312"/>
          <w:b/>
          <w:sz w:val="30"/>
          <w:szCs w:val="30"/>
        </w:rPr>
      </w:pPr>
      <w:r>
        <w:rPr>
          <w:rFonts w:hint="eastAsia" w:ascii="黑体" w:hAnsi="黑体" w:eastAsia="黑体" w:cs="仿宋_GB2312"/>
          <w:b/>
          <w:sz w:val="30"/>
          <w:szCs w:val="30"/>
        </w:rPr>
        <w:t>五、参加采购活动前3年内在经营活动</w:t>
      </w:r>
    </w:p>
    <w:p>
      <w:pPr>
        <w:jc w:val="center"/>
        <w:rPr>
          <w:rFonts w:ascii="黑体" w:hAnsi="黑体" w:eastAsia="黑体" w:cs="仿宋_GB2312"/>
          <w:b/>
          <w:sz w:val="30"/>
          <w:szCs w:val="30"/>
        </w:rPr>
      </w:pPr>
      <w:r>
        <w:rPr>
          <w:rFonts w:hint="eastAsia" w:ascii="黑体" w:hAnsi="黑体" w:eastAsia="黑体" w:cs="仿宋_GB2312"/>
          <w:b/>
          <w:sz w:val="30"/>
          <w:szCs w:val="30"/>
        </w:rPr>
        <w:t>中没有重大违法记录及具有良好信用信息的声明</w:t>
      </w:r>
    </w:p>
    <w:p>
      <w:pPr>
        <w:spacing w:before="120" w:beforeLines="50" w:after="120" w:afterLines="50" w:line="400" w:lineRule="exact"/>
        <w:ind w:right="630" w:rightChars="300"/>
        <w:rPr>
          <w:rFonts w:cs="Lucida Sans Unicode"/>
        </w:rPr>
      </w:pPr>
    </w:p>
    <w:p>
      <w:pPr>
        <w:spacing w:line="520" w:lineRule="exact"/>
        <w:ind w:firstLine="4200" w:firstLineChars="1500"/>
        <w:rPr>
          <w:rFonts w:ascii="仿宋_GB2312" w:hAnsi="仿宋_GB2312" w:eastAsia="仿宋_GB2312" w:cs="仿宋_GB2312"/>
          <w:sz w:val="28"/>
          <w:szCs w:val="28"/>
        </w:rPr>
      </w:pPr>
      <w:r>
        <w:rPr>
          <w:rFonts w:hint="eastAsia" w:ascii="仿宋_GB2312" w:hAnsi="仿宋_GB2312" w:eastAsia="仿宋_GB2312" w:cs="仿宋_GB2312"/>
          <w:sz w:val="28"/>
          <w:szCs w:val="28"/>
        </w:rPr>
        <w:t>：</w:t>
      </w:r>
    </w:p>
    <w:p>
      <w:pPr>
        <w:spacing w:before="120" w:beforeLines="50" w:after="120" w:afterLines="50" w:line="520" w:lineRule="exact"/>
        <w:ind w:right="136" w:rightChars="65"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本项目投标文件截止时间前，我单位参加本次采购活动前3年内在经营活动中没有重大违法记录；通过“信用中国”（网站：www.creditchina.gov.cn/）等渠道查询，我单位未被列入失信被执行人、重大税收违法案件当事人名单。</w:t>
      </w:r>
    </w:p>
    <w:p>
      <w:pPr>
        <w:spacing w:before="120" w:beforeLines="50" w:after="120" w:afterLines="50" w:line="520" w:lineRule="exact"/>
        <w:ind w:right="1050" w:rightChars="50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pPr>
        <w:spacing w:before="120" w:beforeLines="50" w:after="120" w:afterLines="50" w:line="400" w:lineRule="exact"/>
        <w:ind w:right="1050" w:rightChars="500" w:firstLine="560" w:firstLineChars="200"/>
        <w:rPr>
          <w:rFonts w:ascii="仿宋_GB2312" w:hAnsi="仿宋_GB2312" w:eastAsia="仿宋_GB2312" w:cs="仿宋_GB2312"/>
          <w:sz w:val="28"/>
          <w:szCs w:val="28"/>
        </w:rPr>
      </w:pPr>
    </w:p>
    <w:p>
      <w:pPr>
        <w:spacing w:before="120" w:beforeLines="50" w:after="120" w:afterLines="50" w:line="400" w:lineRule="exact"/>
        <w:ind w:right="1050" w:rightChars="500" w:firstLine="560" w:firstLineChars="200"/>
        <w:rPr>
          <w:rFonts w:ascii="仿宋_GB2312" w:hAnsi="仿宋_GB2312" w:eastAsia="仿宋_GB2312" w:cs="仿宋_GB2312"/>
          <w:sz w:val="28"/>
          <w:szCs w:val="28"/>
        </w:rPr>
      </w:pPr>
    </w:p>
    <w:p>
      <w:pPr>
        <w:spacing w:before="120" w:beforeLines="50" w:after="120" w:afterLines="50" w:line="400" w:lineRule="exact"/>
        <w:ind w:right="1050" w:rightChars="500" w:firstLine="560" w:firstLineChars="200"/>
        <w:rPr>
          <w:rFonts w:ascii="仿宋_GB2312" w:hAnsi="仿宋_GB2312" w:eastAsia="仿宋_GB2312" w:cs="仿宋_GB2312"/>
          <w:sz w:val="28"/>
          <w:szCs w:val="28"/>
        </w:rPr>
      </w:pPr>
    </w:p>
    <w:p>
      <w:pPr>
        <w:spacing w:line="360" w:lineRule="exact"/>
        <w:ind w:left="1050" w:leftChars="500" w:right="1050" w:rightChars="500" w:firstLine="560" w:firstLineChars="200"/>
        <w:rPr>
          <w:rFonts w:ascii="仿宋_GB2312" w:hAnsi="仿宋_GB2312" w:eastAsia="仿宋_GB2312" w:cs="仿宋_GB2312"/>
          <w:sz w:val="28"/>
          <w:szCs w:val="28"/>
        </w:rPr>
      </w:pPr>
    </w:p>
    <w:p>
      <w:pPr>
        <w:spacing w:line="600" w:lineRule="auto"/>
        <w:ind w:right="480" w:firstLine="3360" w:firstLineChars="1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投标人名称：</w:t>
      </w:r>
      <w:r>
        <w:rPr>
          <w:rFonts w:hint="eastAsia" w:ascii="仿宋_GB2312" w:hAnsi="仿宋_GB2312" w:eastAsia="仿宋_GB2312" w:cs="仿宋_GB2312"/>
          <w:sz w:val="28"/>
          <w:szCs w:val="28"/>
          <w:u w:val="single"/>
        </w:rPr>
        <w:t xml:space="preserve">（加盖公章）           </w:t>
      </w:r>
    </w:p>
    <w:p>
      <w:pPr>
        <w:spacing w:line="600" w:lineRule="auto"/>
        <w:ind w:firstLine="560" w:firstLineChars="200"/>
        <w:jc w:val="righ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法定代表人或其授权代表：</w:t>
      </w:r>
      <w:r>
        <w:rPr>
          <w:rFonts w:hint="eastAsia" w:ascii="仿宋_GB2312" w:hAnsi="仿宋_GB2312" w:eastAsia="仿宋_GB2312" w:cs="仿宋_GB2312"/>
          <w:sz w:val="28"/>
          <w:szCs w:val="28"/>
          <w:u w:val="single"/>
        </w:rPr>
        <w:t xml:space="preserve">     （签字）</w:t>
      </w:r>
    </w:p>
    <w:p>
      <w:pPr>
        <w:spacing w:line="600" w:lineRule="auto"/>
        <w:ind w:right="120" w:firstLine="560" w:firstLineChars="200"/>
        <w:jc w:val="righ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签署日期：</w:t>
      </w:r>
      <w:r>
        <w:rPr>
          <w:rFonts w:hint="eastAsia" w:ascii="仿宋_GB2312" w:hAnsi="仿宋_GB2312" w:eastAsia="仿宋_GB2312" w:cs="仿宋_GB2312"/>
          <w:sz w:val="28"/>
          <w:szCs w:val="28"/>
          <w:u w:val="single"/>
        </w:rPr>
        <w:t xml:space="preserve">      年      月      日</w:t>
      </w:r>
    </w:p>
    <w:p>
      <w:pPr>
        <w:spacing w:line="560" w:lineRule="exact"/>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bookmarkStart w:id="7" w:name="_Toc17297_WPSOffice_Level1"/>
    </w:p>
    <w:p>
      <w:pPr>
        <w:spacing w:line="560" w:lineRule="exact"/>
        <w:ind w:firstLine="562" w:firstLineChars="200"/>
        <w:jc w:val="center"/>
        <w:rPr>
          <w:rFonts w:ascii="黑体" w:hAnsi="黑体" w:eastAsia="黑体" w:cs="Lucida Sans Unicode"/>
          <w:b/>
          <w:bCs/>
          <w:sz w:val="44"/>
          <w:szCs w:val="44"/>
        </w:rPr>
      </w:pPr>
      <w:r>
        <w:rPr>
          <w:rFonts w:hint="eastAsia" w:ascii="黑体" w:hAnsi="黑体" w:eastAsia="黑体" w:cs="仿宋_GB2312"/>
          <w:b/>
          <w:bCs/>
          <w:sz w:val="28"/>
          <w:szCs w:val="28"/>
        </w:rPr>
        <w:t>六</w:t>
      </w:r>
      <w:r>
        <w:rPr>
          <w:rFonts w:hint="eastAsia" w:ascii="黑体" w:hAnsi="黑体" w:eastAsia="黑体" w:cs="仿宋_GB2312"/>
          <w:b/>
          <w:bCs/>
          <w:sz w:val="28"/>
        </w:rPr>
        <w:t>、投标函</w:t>
      </w:r>
      <w:bookmarkEnd w:id="7"/>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采购单位： </w:t>
      </w:r>
    </w:p>
    <w:p>
      <w:pPr>
        <w:pStyle w:val="17"/>
        <w:widowControl w:val="0"/>
        <w:tabs>
          <w:tab w:val="left" w:pos="0"/>
        </w:tabs>
        <w:adjustRightInd w:val="0"/>
        <w:spacing w:line="360" w:lineRule="auto"/>
        <w:ind w:right="-13" w:rightChars="-6"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供应商名称 </w:t>
      </w:r>
      <w:r>
        <w:rPr>
          <w:rFonts w:hint="eastAsia" w:ascii="仿宋_GB2312" w:hAnsi="仿宋_GB2312" w:eastAsia="仿宋_GB2312" w:cs="仿宋_GB2312"/>
          <w:sz w:val="28"/>
          <w:szCs w:val="28"/>
        </w:rPr>
        <w:t>授权</w:t>
      </w:r>
      <w:r>
        <w:rPr>
          <w:rFonts w:hint="eastAsia" w:ascii="仿宋_GB2312" w:hAnsi="仿宋_GB2312" w:eastAsia="仿宋_GB2312" w:cs="仿宋_GB2312"/>
          <w:sz w:val="28"/>
          <w:szCs w:val="28"/>
          <w:u w:val="single"/>
        </w:rPr>
        <w:t xml:space="preserve"> 供应商代表姓名、职务 </w:t>
      </w:r>
      <w:r>
        <w:rPr>
          <w:rFonts w:hint="eastAsia" w:ascii="仿宋_GB2312" w:hAnsi="仿宋_GB2312" w:eastAsia="仿宋_GB2312" w:cs="仿宋_GB2312"/>
          <w:sz w:val="28"/>
          <w:szCs w:val="28"/>
        </w:rPr>
        <w:t>为我方代表，参加你单位组织的</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采购项目的有关活动，并对此采购项目进行投标。</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为此，我方按采购文件规定提供服务的投标报价、投标保证金：</w:t>
      </w:r>
    </w:p>
    <w:tbl>
      <w:tblPr>
        <w:tblStyle w:val="20"/>
        <w:tblW w:w="96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843"/>
        <w:gridCol w:w="1842"/>
        <w:gridCol w:w="1701"/>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3715" w:type="dxa"/>
            <w:gridSpan w:val="2"/>
            <w:vAlign w:val="center"/>
          </w:tcPr>
          <w:p>
            <w:pPr>
              <w:spacing w:line="360" w:lineRule="auto"/>
              <w:ind w:left="-106" w:firstLine="1"/>
              <w:jc w:val="center"/>
              <w:rPr>
                <w:rFonts w:ascii="仿宋_GB2312" w:hAnsi="仿宋_GB2312" w:eastAsia="仿宋_GB2312" w:cs="仿宋_GB2312"/>
              </w:rPr>
            </w:pPr>
            <w:r>
              <w:rPr>
                <w:rFonts w:hint="eastAsia" w:ascii="仿宋_GB2312" w:hAnsi="仿宋_GB2312" w:eastAsia="仿宋_GB2312" w:cs="仿宋_GB2312"/>
              </w:rPr>
              <w:t>投标单价（人民币 元）</w:t>
            </w:r>
          </w:p>
        </w:tc>
        <w:tc>
          <w:tcPr>
            <w:tcW w:w="3543" w:type="dxa"/>
            <w:gridSpan w:val="2"/>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投标总价（人民币 元）</w:t>
            </w:r>
          </w:p>
        </w:tc>
        <w:tc>
          <w:tcPr>
            <w:tcW w:w="2410" w:type="dxa"/>
            <w:vMerge w:val="restart"/>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872" w:type="dxa"/>
            <w:vAlign w:val="center"/>
          </w:tcPr>
          <w:p>
            <w:pPr>
              <w:spacing w:line="360" w:lineRule="auto"/>
              <w:ind w:left="-106" w:firstLine="1"/>
              <w:jc w:val="center"/>
              <w:rPr>
                <w:rFonts w:ascii="仿宋_GB2312" w:hAnsi="仿宋_GB2312" w:eastAsia="仿宋_GB2312" w:cs="仿宋_GB2312"/>
              </w:rPr>
            </w:pPr>
            <w:r>
              <w:rPr>
                <w:rFonts w:hint="eastAsia" w:ascii="仿宋_GB2312" w:hAnsi="仿宋_GB2312" w:eastAsia="仿宋_GB2312" w:cs="仿宋_GB2312"/>
              </w:rPr>
              <w:t>小写（含税）</w:t>
            </w:r>
          </w:p>
        </w:tc>
        <w:tc>
          <w:tcPr>
            <w:tcW w:w="1843" w:type="dxa"/>
            <w:vAlign w:val="center"/>
          </w:tcPr>
          <w:p>
            <w:pPr>
              <w:spacing w:line="360" w:lineRule="auto"/>
              <w:ind w:left="-106" w:firstLine="1"/>
              <w:jc w:val="center"/>
              <w:rPr>
                <w:rFonts w:ascii="仿宋_GB2312" w:hAnsi="仿宋_GB2312" w:eastAsia="仿宋_GB2312" w:cs="仿宋_GB2312"/>
              </w:rPr>
            </w:pPr>
            <w:r>
              <w:rPr>
                <w:rFonts w:hint="eastAsia" w:ascii="仿宋_GB2312" w:hAnsi="仿宋_GB2312" w:eastAsia="仿宋_GB2312" w:cs="仿宋_GB2312"/>
              </w:rPr>
              <w:t>大写（含税）</w:t>
            </w:r>
          </w:p>
        </w:tc>
        <w:tc>
          <w:tcPr>
            <w:tcW w:w="1842" w:type="dxa"/>
            <w:vAlign w:val="center"/>
          </w:tcPr>
          <w:p>
            <w:pPr>
              <w:spacing w:line="360" w:lineRule="auto"/>
              <w:ind w:left="-106" w:firstLine="1"/>
              <w:jc w:val="center"/>
              <w:rPr>
                <w:rFonts w:ascii="仿宋_GB2312" w:hAnsi="仿宋_GB2312" w:eastAsia="仿宋_GB2312" w:cs="仿宋_GB2312"/>
              </w:rPr>
            </w:pPr>
            <w:r>
              <w:rPr>
                <w:rFonts w:hint="eastAsia" w:ascii="仿宋_GB2312" w:hAnsi="仿宋_GB2312" w:eastAsia="仿宋_GB2312" w:cs="仿宋_GB2312"/>
              </w:rPr>
              <w:t>小写（含税）</w:t>
            </w:r>
          </w:p>
        </w:tc>
        <w:tc>
          <w:tcPr>
            <w:tcW w:w="1701" w:type="dxa"/>
            <w:vAlign w:val="center"/>
          </w:tcPr>
          <w:p>
            <w:pPr>
              <w:spacing w:line="360" w:lineRule="auto"/>
              <w:ind w:left="-106" w:firstLine="1"/>
              <w:jc w:val="center"/>
              <w:rPr>
                <w:rFonts w:ascii="仿宋_GB2312" w:hAnsi="仿宋_GB2312" w:eastAsia="仿宋_GB2312" w:cs="仿宋_GB2312"/>
              </w:rPr>
            </w:pPr>
            <w:r>
              <w:rPr>
                <w:rFonts w:hint="eastAsia" w:ascii="仿宋_GB2312" w:hAnsi="仿宋_GB2312" w:eastAsia="仿宋_GB2312" w:cs="仿宋_GB2312"/>
              </w:rPr>
              <w:t>大写（含税）</w:t>
            </w:r>
          </w:p>
        </w:tc>
        <w:tc>
          <w:tcPr>
            <w:tcW w:w="2410" w:type="dxa"/>
            <w:vMerge w:val="continue"/>
            <w:vAlign w:val="center"/>
          </w:tcPr>
          <w:p>
            <w:pPr>
              <w:spacing w:line="360" w:lineRule="auto"/>
              <w:ind w:left="-106" w:firstLine="1"/>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1872" w:type="dxa"/>
            <w:vAlign w:val="center"/>
          </w:tcPr>
          <w:p>
            <w:pPr>
              <w:spacing w:line="440" w:lineRule="exact"/>
              <w:jc w:val="center"/>
              <w:rPr>
                <w:rFonts w:ascii="仿宋_GB2312" w:hAnsi="仿宋_GB2312" w:eastAsia="仿宋_GB2312" w:cs="仿宋_GB2312"/>
                <w:sz w:val="28"/>
                <w:szCs w:val="28"/>
              </w:rPr>
            </w:pPr>
          </w:p>
        </w:tc>
        <w:tc>
          <w:tcPr>
            <w:tcW w:w="1843" w:type="dxa"/>
            <w:vAlign w:val="center"/>
          </w:tcPr>
          <w:p>
            <w:pPr>
              <w:spacing w:line="440" w:lineRule="exact"/>
              <w:jc w:val="center"/>
              <w:rPr>
                <w:rFonts w:ascii="仿宋_GB2312" w:hAnsi="仿宋_GB2312" w:eastAsia="仿宋_GB2312" w:cs="仿宋_GB2312"/>
                <w:sz w:val="28"/>
                <w:szCs w:val="28"/>
              </w:rPr>
            </w:pPr>
          </w:p>
        </w:tc>
        <w:tc>
          <w:tcPr>
            <w:tcW w:w="1842" w:type="dxa"/>
          </w:tcPr>
          <w:p>
            <w:pPr>
              <w:rPr>
                <w:rFonts w:asciiTheme="minorEastAsia" w:hAnsiTheme="minorEastAsia"/>
                <w:sz w:val="18"/>
                <w:szCs w:val="18"/>
              </w:rPr>
            </w:pPr>
          </w:p>
        </w:tc>
        <w:tc>
          <w:tcPr>
            <w:tcW w:w="1701" w:type="dxa"/>
          </w:tcPr>
          <w:p>
            <w:pPr>
              <w:rPr>
                <w:rFonts w:asciiTheme="minorEastAsia" w:hAnsiTheme="minorEastAsia"/>
                <w:sz w:val="18"/>
                <w:szCs w:val="18"/>
              </w:rPr>
            </w:pPr>
          </w:p>
        </w:tc>
        <w:tc>
          <w:tcPr>
            <w:tcW w:w="2410" w:type="dxa"/>
            <w:vAlign w:val="center"/>
          </w:tcPr>
          <w:p>
            <w:pPr>
              <w:spacing w:line="360" w:lineRule="auto"/>
              <w:ind w:left="-107" w:leftChars="-51" w:firstLine="1"/>
              <w:rPr>
                <w:rFonts w:ascii="仿宋_GB2312" w:hAnsi="仿宋_GB2312" w:eastAsia="仿宋_GB2312" w:cs="仿宋_GB2312"/>
                <w:sz w:val="28"/>
                <w:szCs w:val="28"/>
              </w:rPr>
            </w:pPr>
          </w:p>
        </w:tc>
      </w:tr>
    </w:tbl>
    <w:p>
      <w:pPr>
        <w:spacing w:line="360" w:lineRule="auto"/>
        <w:rPr>
          <w:rFonts w:ascii="仿宋_GB2312" w:hAnsi="仿宋_GB2312" w:eastAsia="仿宋_GB2312" w:cs="仿宋_GB2312"/>
          <w:b/>
          <w:color w:val="FF0000"/>
          <w:sz w:val="28"/>
          <w:szCs w:val="28"/>
        </w:rPr>
      </w:pP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一、我方同意在采购文件中规定的开标日起90天内遵守本投标文件中的承诺且在此期限期满之前均具有约束力。</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二、我方保证遵守采购文件的规定，如果本公司违反采购文件要求，我方的投标保证金可以被你单位没收。如果开标后在规定的投标有效期内撤回投标，我方的投标保证金可以被你单位没收。</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三、我方承诺已经具备采购文件中规定的供应商应当具备的条件。我方愿意向你单位提供任何与本采购项目投标有关的数据、情况和技术资料，并根据需要提供一切承诺的证明材料，并保证其真实、合法、有效。</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四、我方保证尊重评标委员会的评标结果，完全理解本采购项目不一定接受最低报价的投标。</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五、我方承诺接受采购文件中采购合同条款的全部条款且无任何异议。如果我方成交，我们将按采购文件的规定，保证忠实地履行双方所签订的采购合同，并承担采购合同规定的责任和义务。</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我方若有下列情形之一的，接受你单位及相关监督管理部门对我方施以采购金额5‰以上10‰以下的违约处罚，列入不良行为记录名单，在1至3年内禁止参加采购单位组织的采购活动；有违法所得的，提请政府有关行政部门没收违法所得；情节严重的，提请工商行政管理机关吊销营业执照；构成犯罪的，提请司法部门依法追究刑事责任：</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（1）提供虚假材料谋取成交的；</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（2）采取不正当手段诋毁、排挤其他投标人的；</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（3）与采购单位、其他投标人恶意串通的；</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（4）向采购单位行贿或者提供其他不正当利益的；</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（5）拒绝有关部门监督检查或提供虚假情况的。 </w:t>
      </w:r>
    </w:p>
    <w:p>
      <w:pPr>
        <w:spacing w:before="240" w:beforeLines="100" w:after="240" w:afterLines="100" w:line="360" w:lineRule="auto"/>
        <w:jc w:val="center"/>
        <w:rPr>
          <w:rFonts w:ascii="仿宋_GB2312" w:hAnsi="仿宋_GB2312" w:eastAsia="仿宋_GB2312" w:cs="仿宋_GB2312"/>
          <w:b/>
          <w:sz w:val="28"/>
          <w:szCs w:val="28"/>
        </w:rPr>
      </w:pPr>
    </w:p>
    <w:p>
      <w:pPr>
        <w:spacing w:line="400" w:lineRule="exact"/>
        <w:rPr>
          <w:rFonts w:ascii="仿宋_GB2312" w:hAnsi="仿宋_GB2312" w:eastAsia="仿宋_GB2312" w:cs="仿宋_GB2312"/>
          <w:sz w:val="28"/>
          <w:szCs w:val="28"/>
        </w:rPr>
      </w:pPr>
    </w:p>
    <w:p>
      <w:pPr>
        <w:spacing w:line="600" w:lineRule="auto"/>
        <w:ind w:right="480" w:firstLine="560" w:firstLineChars="200"/>
        <w:jc w:val="center"/>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投标人名称：</w:t>
      </w:r>
      <w:r>
        <w:rPr>
          <w:rFonts w:hint="eastAsia" w:ascii="仿宋_GB2312" w:hAnsi="仿宋_GB2312" w:eastAsia="仿宋_GB2312" w:cs="仿宋_GB2312"/>
          <w:sz w:val="28"/>
          <w:szCs w:val="28"/>
          <w:u w:val="single"/>
        </w:rPr>
        <w:t xml:space="preserve">（加盖公章）           </w:t>
      </w:r>
    </w:p>
    <w:p>
      <w:pPr>
        <w:spacing w:line="600" w:lineRule="auto"/>
        <w:ind w:right="360" w:firstLine="560" w:firstLineChars="200"/>
        <w:jc w:val="righ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法定代表人或其授权代表：</w:t>
      </w:r>
      <w:r>
        <w:rPr>
          <w:rFonts w:hint="eastAsia" w:ascii="仿宋_GB2312" w:hAnsi="仿宋_GB2312" w:eastAsia="仿宋_GB2312" w:cs="仿宋_GB2312"/>
          <w:sz w:val="28"/>
          <w:szCs w:val="28"/>
          <w:u w:val="single"/>
        </w:rPr>
        <w:t xml:space="preserve">    （签字）</w:t>
      </w:r>
    </w:p>
    <w:p>
      <w:pPr>
        <w:spacing w:line="360" w:lineRule="auto"/>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签署日期：</w:t>
      </w:r>
      <w:r>
        <w:rPr>
          <w:rFonts w:hint="eastAsia" w:ascii="仿宋_GB2312" w:hAnsi="仿宋_GB2312" w:eastAsia="仿宋_GB2312" w:cs="仿宋_GB2312"/>
          <w:sz w:val="28"/>
          <w:szCs w:val="28"/>
          <w:u w:val="single"/>
        </w:rPr>
        <w:t xml:space="preserve">      年      月      日</w:t>
      </w:r>
    </w:p>
    <w:p>
      <w:pPr>
        <w:spacing w:line="460" w:lineRule="exact"/>
        <w:jc w:val="center"/>
        <w:rPr>
          <w:rFonts w:ascii="仿宋_GB2312" w:hAnsi="仿宋_GB2312" w:eastAsia="仿宋_GB2312" w:cs="仿宋_GB2312"/>
          <w:sz w:val="28"/>
        </w:rPr>
      </w:pPr>
    </w:p>
    <w:p>
      <w:pPr>
        <w:spacing w:before="240" w:beforeLines="100" w:after="240" w:afterLines="100" w:line="480" w:lineRule="exact"/>
        <w:jc w:val="center"/>
        <w:rPr>
          <w:rFonts w:ascii="仿宋_GB2312" w:hAnsi="仿宋_GB2312" w:eastAsia="仿宋_GB2312" w:cs="仿宋_GB2312"/>
          <w:b/>
          <w:bCs/>
          <w:sz w:val="28"/>
        </w:rPr>
      </w:pPr>
      <w:bookmarkStart w:id="8" w:name="_Toc13357_WPSOffice_Level1"/>
    </w:p>
    <w:p>
      <w:pPr>
        <w:spacing w:before="240" w:beforeLines="100" w:after="240" w:afterLines="100" w:line="480" w:lineRule="exact"/>
        <w:jc w:val="center"/>
        <w:rPr>
          <w:rFonts w:ascii="仿宋_GB2312" w:hAnsi="仿宋_GB2312" w:eastAsia="仿宋_GB2312" w:cs="仿宋_GB2312"/>
          <w:b/>
          <w:bCs/>
          <w:sz w:val="28"/>
        </w:rPr>
      </w:pPr>
    </w:p>
    <w:p>
      <w:pPr>
        <w:spacing w:before="240" w:beforeLines="100" w:after="240" w:afterLines="100" w:line="480" w:lineRule="exact"/>
        <w:jc w:val="center"/>
        <w:rPr>
          <w:rFonts w:ascii="仿宋_GB2312" w:hAnsi="仿宋_GB2312" w:eastAsia="仿宋_GB2312" w:cs="仿宋_GB2312"/>
          <w:b/>
          <w:bCs/>
          <w:sz w:val="28"/>
        </w:rPr>
      </w:pPr>
    </w:p>
    <w:bookmarkEnd w:id="8"/>
    <w:p>
      <w:pPr>
        <w:spacing w:line="480" w:lineRule="auto"/>
        <w:rPr>
          <w:rFonts w:ascii="仿宋_GB2312" w:hAnsi="仿宋_GB2312" w:eastAsia="仿宋_GB2312" w:cs="仿宋_GB2312"/>
          <w:sz w:val="28"/>
          <w:szCs w:val="28"/>
        </w:rPr>
      </w:pPr>
    </w:p>
    <w:p>
      <w:pPr>
        <w:spacing w:line="480" w:lineRule="auto"/>
        <w:jc w:val="center"/>
        <w:rPr>
          <w:rFonts w:ascii="仿宋_GB2312" w:hAnsi="仿宋_GB2312" w:eastAsia="仿宋_GB2312" w:cs="仿宋_GB2312"/>
          <w:sz w:val="28"/>
          <w:szCs w:val="28"/>
        </w:rPr>
      </w:pPr>
    </w:p>
    <w:p>
      <w:pPr>
        <w:spacing w:line="480" w:lineRule="auto"/>
        <w:jc w:val="center"/>
        <w:rPr>
          <w:rFonts w:ascii="方正小标宋简体" w:hAnsi="仿宋_GB2312" w:eastAsia="方正小标宋简体" w:cs="仿宋_GB2312"/>
          <w:sz w:val="28"/>
          <w:szCs w:val="28"/>
          <w:u w:val="single"/>
        </w:rPr>
      </w:pPr>
      <w:r>
        <w:rPr>
          <w:rFonts w:hint="eastAsia" w:ascii="方正小标宋简体" w:hAnsi="仿宋_GB2312" w:eastAsia="方正小标宋简体" w:cs="仿宋_GB2312"/>
          <w:sz w:val="28"/>
          <w:szCs w:val="28"/>
          <w:u w:val="single"/>
        </w:rPr>
        <w:t>七、响应方案</w:t>
      </w:r>
      <w:r>
        <w:rPr>
          <w:rFonts w:hint="eastAsia" w:ascii="方正小标宋简体" w:hAnsi="仿宋_GB2312" w:eastAsia="方正小标宋简体" w:cs="仿宋_GB2312"/>
          <w:color w:val="FF0000"/>
          <w:sz w:val="28"/>
          <w:szCs w:val="28"/>
          <w:u w:val="single"/>
        </w:rPr>
        <w:t>（请参照谈判文件中评审方法，）</w:t>
      </w:r>
    </w:p>
    <w:p>
      <w:pPr>
        <w:pStyle w:val="4"/>
        <w:rPr>
          <w:rFonts w:ascii="仿宋_GB2312" w:hAnsi="仿宋_GB2312" w:eastAsia="仿宋_GB2312" w:cs="仿宋_GB2312"/>
          <w:sz w:val="28"/>
          <w:szCs w:val="28"/>
        </w:rPr>
      </w:pPr>
    </w:p>
    <w:p>
      <w:pPr>
        <w:spacing w:line="480" w:lineRule="auto"/>
        <w:ind w:firstLine="560" w:firstLineChars="200"/>
        <w:rPr>
          <w:rFonts w:ascii="仿宋_GB2312" w:hAnsi="仿宋_GB2312" w:eastAsia="仿宋_GB2312" w:cs="仿宋_GB2312"/>
          <w:sz w:val="28"/>
          <w:szCs w:val="28"/>
        </w:rPr>
      </w:pPr>
    </w:p>
    <w:p>
      <w:pPr>
        <w:spacing w:line="560" w:lineRule="exact"/>
        <w:ind w:firstLine="562" w:firstLineChars="200"/>
        <w:jc w:val="center"/>
        <w:rPr>
          <w:rFonts w:ascii="仿宋_GB2312" w:hAnsi="仿宋_GB2312" w:eastAsia="仿宋_GB2312" w:cs="仿宋_GB2312"/>
          <w:b/>
          <w:bCs/>
          <w:sz w:val="28"/>
          <w:szCs w:val="28"/>
        </w:rPr>
      </w:pPr>
      <w:bookmarkStart w:id="9" w:name="_Toc28831_WPSOffice_Level1"/>
    </w:p>
    <w:bookmarkEnd w:id="9"/>
    <w:p>
      <w:pPr>
        <w:spacing w:line="360" w:lineRule="auto"/>
        <w:rPr>
          <w:b/>
          <w:bCs/>
        </w:rPr>
      </w:pPr>
    </w:p>
    <w:p>
      <w:pPr>
        <w:rPr>
          <w:rFonts w:ascii="宋体" w:hAnsi="宋体"/>
          <w:bCs/>
          <w:sz w:val="28"/>
          <w:szCs w:val="28"/>
        </w:rPr>
      </w:pPr>
    </w:p>
    <w:sectPr>
      <w:footerReference r:id="rId6" w:type="first"/>
      <w:footerReference r:id="rId5" w:type="default"/>
      <w:pgSz w:w="11906" w:h="16838"/>
      <w:pgMar w:top="1418" w:right="1418" w:bottom="1418" w:left="1418" w:header="851" w:footer="743" w:gutter="0"/>
      <w:pgNumType w:start="3"/>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76BCCA-BBF7-4F6F-BFE4-B790B8F971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6B4114D-B8B1-40DA-B89D-FAC76C86B83B}"/>
  </w:font>
  <w:font w:name="Cambria">
    <w:panose1 w:val="02040503050406030204"/>
    <w:charset w:val="00"/>
    <w:family w:val="roman"/>
    <w:pitch w:val="default"/>
    <w:sig w:usb0="E00006FF" w:usb1="420024FF" w:usb2="02000000" w:usb3="00000000" w:csb0="2000019F" w:csb1="00000000"/>
  </w:font>
  <w:font w:name="全真簡中楷">
    <w:altName w:val="楷体_GB2312"/>
    <w:panose1 w:val="00000000000000000000"/>
    <w:charset w:val="88"/>
    <w:family w:val="modern"/>
    <w:pitch w:val="default"/>
    <w:sig w:usb0="00000000" w:usb1="00000000" w:usb2="00000010" w:usb3="00000000" w:csb0="00100000" w:csb1="00000000"/>
  </w:font>
  <w:font w:name="方正小标宋简体">
    <w:panose1 w:val="02000000000000000000"/>
    <w:charset w:val="86"/>
    <w:family w:val="script"/>
    <w:pitch w:val="default"/>
    <w:sig w:usb0="00000001" w:usb1="08000000" w:usb2="00000000" w:usb3="00000000" w:csb0="00040000" w:csb1="00000000"/>
    <w:embedRegular r:id="rId3" w:fontKey="{7763689A-B323-4826-A2C6-58FBC817B0F7}"/>
  </w:font>
  <w:font w:name="楷体_GB2312">
    <w:panose1 w:val="02010609030101010101"/>
    <w:charset w:val="86"/>
    <w:family w:val="modern"/>
    <w:pitch w:val="default"/>
    <w:sig w:usb0="00000001" w:usb1="080E0000" w:usb2="00000000" w:usb3="00000000" w:csb0="00040000" w:csb1="00000000"/>
    <w:embedRegular r:id="rId4" w:fontKey="{D202163B-A6FD-4C21-8089-2F9750007055}"/>
  </w:font>
  <w:font w:name="仿宋_GB2312">
    <w:panose1 w:val="02010609030101010101"/>
    <w:charset w:val="86"/>
    <w:family w:val="modern"/>
    <w:pitch w:val="default"/>
    <w:sig w:usb0="00000001" w:usb1="080E0000" w:usb2="00000000" w:usb3="00000000" w:csb0="00040000" w:csb1="00000000"/>
    <w:embedRegular r:id="rId5" w:fontKey="{FD168377-AB5B-4320-99AD-73A1F9221729}"/>
  </w:font>
  <w:font w:name="等线">
    <w:panose1 w:val="02010600030101010101"/>
    <w:charset w:val="86"/>
    <w:family w:val="auto"/>
    <w:pitch w:val="default"/>
    <w:sig w:usb0="A00002BF" w:usb1="38CF7CFA" w:usb2="00000016" w:usb3="00000000" w:csb0="0004000F" w:csb1="00000000"/>
    <w:embedRegular r:id="rId6" w:fontKey="{E6863B5C-D343-4CF4-B9A3-5E678117B19F}"/>
  </w:font>
  <w:font w:name="Segoe UI Symbol">
    <w:panose1 w:val="020B0502040204020203"/>
    <w:charset w:val="00"/>
    <w:family w:val="swiss"/>
    <w:pitch w:val="default"/>
    <w:sig w:usb0="800001E3" w:usb1="1200FFEF" w:usb2="00040000" w:usb3="04000000" w:csb0="00000001" w:csb1="40000000"/>
    <w:embedRegular r:id="rId7" w:fontKey="{15DDAFD8-E31C-4A49-AF1F-8D19FBFF2C71}"/>
  </w:font>
  <w:font w:name="Lucida Sans Unicode">
    <w:panose1 w:val="020B0602030504020204"/>
    <w:charset w:val="00"/>
    <w:family w:val="swiss"/>
    <w:pitch w:val="default"/>
    <w:sig w:usb0="80001AFF" w:usb1="0000396B" w:usb2="00000000" w:usb3="00000000" w:csb0="200000BF" w:csb1="D7F70000"/>
    <w:embedRegular r:id="rId8" w:fontKey="{80B9724B-4516-4B89-9CF8-8BFB9936F3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tabs>
        <w:tab w:val="left" w:pos="5329"/>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4</w:t>
                </w:r>
                <w:r>
                  <w:fldChar w:fldCharType="end"/>
                </w:r>
                <w:r>
                  <w:t xml:space="preserve"> / </w:t>
                </w:r>
                <w:r>
                  <w:fldChar w:fldCharType="begin"/>
                </w:r>
                <w:r>
                  <w:instrText xml:space="preserve"> NUMPAGES  \* MERGEFORMAT </w:instrText>
                </w:r>
                <w:r>
                  <w:fldChar w:fldCharType="separate"/>
                </w:r>
                <w:r>
                  <w:t>33</w:t>
                </w:r>
                <w:r>
                  <w:fldChar w:fldCharType="end"/>
                </w:r>
              </w:p>
            </w:txbxContent>
          </v:textbox>
        </v:shape>
      </w:pic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33</w:t>
                </w:r>
                <w:r>
                  <w:fldChar w:fldCharType="end"/>
                </w:r>
              </w:p>
            </w:txbxContent>
          </v:textbox>
        </v:shape>
      </w:pict>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28543B"/>
    <w:multiLevelType w:val="singleLevel"/>
    <w:tmpl w:val="F928543B"/>
    <w:lvl w:ilvl="0" w:tentative="0">
      <w:start w:val="1"/>
      <w:numFmt w:val="chineseCounting"/>
      <w:suff w:val="nothing"/>
      <w:lvlText w:val="%1、"/>
      <w:lvlJc w:val="left"/>
      <w:rPr>
        <w:rFonts w:hint="eastAsia"/>
      </w:rPr>
    </w:lvl>
  </w:abstractNum>
  <w:abstractNum w:abstractNumId="1">
    <w:nsid w:val="212545A6"/>
    <w:multiLevelType w:val="multilevel"/>
    <w:tmpl w:val="212545A6"/>
    <w:lvl w:ilvl="0" w:tentative="0">
      <w:start w:val="1"/>
      <w:numFmt w:val="japaneseCounting"/>
      <w:lvlText w:val="第%1章"/>
      <w:lvlJc w:val="left"/>
      <w:pPr>
        <w:ind w:left="1260" w:hanging="12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D1C2B0B"/>
    <w:multiLevelType w:val="multilevel"/>
    <w:tmpl w:val="3D1C2B0B"/>
    <w:lvl w:ilvl="0" w:tentative="0">
      <w:start w:val="1"/>
      <w:numFmt w:val="decimalEnclosedFullstop"/>
      <w:lvlText w:val="%1"/>
      <w:lvlJc w:val="left"/>
      <w:pPr>
        <w:ind w:left="944" w:hanging="360"/>
      </w:pPr>
      <w:rPr>
        <w:rFonts w:hint="default"/>
      </w:rPr>
    </w:lvl>
    <w:lvl w:ilvl="1" w:tentative="0">
      <w:start w:val="1"/>
      <w:numFmt w:val="lowerLetter"/>
      <w:lvlText w:val="%2)"/>
      <w:lvlJc w:val="left"/>
      <w:pPr>
        <w:ind w:left="1424" w:hanging="420"/>
      </w:pPr>
    </w:lvl>
    <w:lvl w:ilvl="2" w:tentative="0">
      <w:start w:val="1"/>
      <w:numFmt w:val="lowerRoman"/>
      <w:lvlText w:val="%3."/>
      <w:lvlJc w:val="right"/>
      <w:pPr>
        <w:ind w:left="1844" w:hanging="420"/>
      </w:pPr>
    </w:lvl>
    <w:lvl w:ilvl="3" w:tentative="0">
      <w:start w:val="1"/>
      <w:numFmt w:val="decimal"/>
      <w:lvlText w:val="%4."/>
      <w:lvlJc w:val="left"/>
      <w:pPr>
        <w:ind w:left="2264" w:hanging="420"/>
      </w:pPr>
    </w:lvl>
    <w:lvl w:ilvl="4" w:tentative="0">
      <w:start w:val="1"/>
      <w:numFmt w:val="lowerLetter"/>
      <w:lvlText w:val="%5)"/>
      <w:lvlJc w:val="left"/>
      <w:pPr>
        <w:ind w:left="2684" w:hanging="420"/>
      </w:pPr>
    </w:lvl>
    <w:lvl w:ilvl="5" w:tentative="0">
      <w:start w:val="1"/>
      <w:numFmt w:val="lowerRoman"/>
      <w:lvlText w:val="%6."/>
      <w:lvlJc w:val="right"/>
      <w:pPr>
        <w:ind w:left="3104" w:hanging="420"/>
      </w:pPr>
    </w:lvl>
    <w:lvl w:ilvl="6" w:tentative="0">
      <w:start w:val="1"/>
      <w:numFmt w:val="decimal"/>
      <w:lvlText w:val="%7."/>
      <w:lvlJc w:val="left"/>
      <w:pPr>
        <w:ind w:left="3524" w:hanging="420"/>
      </w:pPr>
    </w:lvl>
    <w:lvl w:ilvl="7" w:tentative="0">
      <w:start w:val="1"/>
      <w:numFmt w:val="lowerLetter"/>
      <w:lvlText w:val="%8)"/>
      <w:lvlJc w:val="left"/>
      <w:pPr>
        <w:ind w:left="3944" w:hanging="420"/>
      </w:pPr>
    </w:lvl>
    <w:lvl w:ilvl="8" w:tentative="0">
      <w:start w:val="1"/>
      <w:numFmt w:val="lowerRoman"/>
      <w:lvlText w:val="%9."/>
      <w:lvlJc w:val="right"/>
      <w:pPr>
        <w:ind w:left="4364" w:hanging="420"/>
      </w:pPr>
    </w:lvl>
  </w:abstractNum>
  <w:abstractNum w:abstractNumId="3">
    <w:nsid w:val="513A51CF"/>
    <w:multiLevelType w:val="multilevel"/>
    <w:tmpl w:val="513A51CF"/>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72E0494C"/>
    <w:multiLevelType w:val="multilevel"/>
    <w:tmpl w:val="72E0494C"/>
    <w:lvl w:ilvl="0" w:tentative="0">
      <w:start w:val="1"/>
      <w:numFmt w:val="japaneseCounting"/>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璇">
    <w15:presenceInfo w15:providerId="None" w15:userId="王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EwNTM5NzYwMDRjMzkwZTVkZjY2ODkwMGIxNGU0OTUifQ=="/>
  </w:docVars>
  <w:rsids>
    <w:rsidRoot w:val="00E53C97"/>
    <w:rsid w:val="00000F0A"/>
    <w:rsid w:val="0000113A"/>
    <w:rsid w:val="000130DC"/>
    <w:rsid w:val="00014168"/>
    <w:rsid w:val="000143F1"/>
    <w:rsid w:val="00016421"/>
    <w:rsid w:val="00021634"/>
    <w:rsid w:val="000232BC"/>
    <w:rsid w:val="000250A7"/>
    <w:rsid w:val="00026750"/>
    <w:rsid w:val="0002762C"/>
    <w:rsid w:val="00030992"/>
    <w:rsid w:val="00035C9B"/>
    <w:rsid w:val="000370EB"/>
    <w:rsid w:val="00043EB1"/>
    <w:rsid w:val="000444E2"/>
    <w:rsid w:val="00047ADF"/>
    <w:rsid w:val="00051432"/>
    <w:rsid w:val="000546B2"/>
    <w:rsid w:val="00054713"/>
    <w:rsid w:val="000575FF"/>
    <w:rsid w:val="00062526"/>
    <w:rsid w:val="00063B58"/>
    <w:rsid w:val="000648B6"/>
    <w:rsid w:val="000668F1"/>
    <w:rsid w:val="0007499B"/>
    <w:rsid w:val="00075FBF"/>
    <w:rsid w:val="00082AF2"/>
    <w:rsid w:val="00085A4F"/>
    <w:rsid w:val="00087775"/>
    <w:rsid w:val="00090735"/>
    <w:rsid w:val="00090B13"/>
    <w:rsid w:val="000913D1"/>
    <w:rsid w:val="000923C2"/>
    <w:rsid w:val="000A472D"/>
    <w:rsid w:val="000A60CF"/>
    <w:rsid w:val="000B3420"/>
    <w:rsid w:val="000B583C"/>
    <w:rsid w:val="000C2CAC"/>
    <w:rsid w:val="000C3A13"/>
    <w:rsid w:val="000D3059"/>
    <w:rsid w:val="000E33C2"/>
    <w:rsid w:val="000F04B3"/>
    <w:rsid w:val="000F0750"/>
    <w:rsid w:val="000F2574"/>
    <w:rsid w:val="000F2F28"/>
    <w:rsid w:val="000F4E3E"/>
    <w:rsid w:val="000F4E6A"/>
    <w:rsid w:val="000F5CAB"/>
    <w:rsid w:val="00104C83"/>
    <w:rsid w:val="001117B8"/>
    <w:rsid w:val="00113D8F"/>
    <w:rsid w:val="00114D4F"/>
    <w:rsid w:val="00114E7F"/>
    <w:rsid w:val="0011791E"/>
    <w:rsid w:val="00117EA1"/>
    <w:rsid w:val="00126017"/>
    <w:rsid w:val="001260BC"/>
    <w:rsid w:val="00127287"/>
    <w:rsid w:val="00137318"/>
    <w:rsid w:val="001414DA"/>
    <w:rsid w:val="00142F36"/>
    <w:rsid w:val="001434F5"/>
    <w:rsid w:val="00151587"/>
    <w:rsid w:val="0015745D"/>
    <w:rsid w:val="00160B5F"/>
    <w:rsid w:val="00166AFF"/>
    <w:rsid w:val="00167AFB"/>
    <w:rsid w:val="00174FF8"/>
    <w:rsid w:val="00176173"/>
    <w:rsid w:val="00177DF9"/>
    <w:rsid w:val="00182B50"/>
    <w:rsid w:val="00184104"/>
    <w:rsid w:val="00190FC5"/>
    <w:rsid w:val="001939BE"/>
    <w:rsid w:val="00195046"/>
    <w:rsid w:val="001A7776"/>
    <w:rsid w:val="001B06B2"/>
    <w:rsid w:val="001B08D7"/>
    <w:rsid w:val="001B5F32"/>
    <w:rsid w:val="001C1602"/>
    <w:rsid w:val="001C2097"/>
    <w:rsid w:val="001C30AA"/>
    <w:rsid w:val="001C5493"/>
    <w:rsid w:val="001D0134"/>
    <w:rsid w:val="001F005A"/>
    <w:rsid w:val="001F101E"/>
    <w:rsid w:val="001F1E3C"/>
    <w:rsid w:val="001F66E4"/>
    <w:rsid w:val="00200A22"/>
    <w:rsid w:val="00202068"/>
    <w:rsid w:val="00211C3D"/>
    <w:rsid w:val="0022423E"/>
    <w:rsid w:val="002261ED"/>
    <w:rsid w:val="0023350D"/>
    <w:rsid w:val="002407FA"/>
    <w:rsid w:val="002421E7"/>
    <w:rsid w:val="00243909"/>
    <w:rsid w:val="002553C8"/>
    <w:rsid w:val="00255460"/>
    <w:rsid w:val="00273020"/>
    <w:rsid w:val="002868D7"/>
    <w:rsid w:val="00290C22"/>
    <w:rsid w:val="002910EB"/>
    <w:rsid w:val="00292A1D"/>
    <w:rsid w:val="00294798"/>
    <w:rsid w:val="00297DAE"/>
    <w:rsid w:val="002A3DCF"/>
    <w:rsid w:val="002B07C7"/>
    <w:rsid w:val="002B18CF"/>
    <w:rsid w:val="002B2105"/>
    <w:rsid w:val="002B273F"/>
    <w:rsid w:val="002B3D0B"/>
    <w:rsid w:val="002D43A1"/>
    <w:rsid w:val="002E3AB0"/>
    <w:rsid w:val="002E78B9"/>
    <w:rsid w:val="002F1D15"/>
    <w:rsid w:val="002F25EA"/>
    <w:rsid w:val="002F2DE2"/>
    <w:rsid w:val="003001AE"/>
    <w:rsid w:val="00304DFD"/>
    <w:rsid w:val="00312EEB"/>
    <w:rsid w:val="00316507"/>
    <w:rsid w:val="00322740"/>
    <w:rsid w:val="003265E9"/>
    <w:rsid w:val="0032690E"/>
    <w:rsid w:val="003276E5"/>
    <w:rsid w:val="00332A34"/>
    <w:rsid w:val="00335259"/>
    <w:rsid w:val="00336732"/>
    <w:rsid w:val="0034106E"/>
    <w:rsid w:val="00341421"/>
    <w:rsid w:val="003562AC"/>
    <w:rsid w:val="00356BFC"/>
    <w:rsid w:val="00360D90"/>
    <w:rsid w:val="00363A54"/>
    <w:rsid w:val="003679CB"/>
    <w:rsid w:val="00375999"/>
    <w:rsid w:val="003766C8"/>
    <w:rsid w:val="00376EB8"/>
    <w:rsid w:val="003778DA"/>
    <w:rsid w:val="00377C3B"/>
    <w:rsid w:val="00382E59"/>
    <w:rsid w:val="003860B6"/>
    <w:rsid w:val="00395265"/>
    <w:rsid w:val="00396011"/>
    <w:rsid w:val="003A1898"/>
    <w:rsid w:val="003A3F84"/>
    <w:rsid w:val="003B6F3F"/>
    <w:rsid w:val="003C2919"/>
    <w:rsid w:val="003D10F2"/>
    <w:rsid w:val="003D36EF"/>
    <w:rsid w:val="003D4150"/>
    <w:rsid w:val="003D6A88"/>
    <w:rsid w:val="003F52FB"/>
    <w:rsid w:val="00401F7A"/>
    <w:rsid w:val="004073D3"/>
    <w:rsid w:val="00411E0E"/>
    <w:rsid w:val="004218B4"/>
    <w:rsid w:val="00425397"/>
    <w:rsid w:val="00425E42"/>
    <w:rsid w:val="00431C6D"/>
    <w:rsid w:val="0044056E"/>
    <w:rsid w:val="00440612"/>
    <w:rsid w:val="0044115C"/>
    <w:rsid w:val="00446CCB"/>
    <w:rsid w:val="0044742E"/>
    <w:rsid w:val="00453E52"/>
    <w:rsid w:val="004561AB"/>
    <w:rsid w:val="00456B7D"/>
    <w:rsid w:val="004644B4"/>
    <w:rsid w:val="004648BC"/>
    <w:rsid w:val="00467A47"/>
    <w:rsid w:val="00475A43"/>
    <w:rsid w:val="00475F3C"/>
    <w:rsid w:val="00477DE8"/>
    <w:rsid w:val="00482369"/>
    <w:rsid w:val="0048599B"/>
    <w:rsid w:val="004929AE"/>
    <w:rsid w:val="00495873"/>
    <w:rsid w:val="004A34E0"/>
    <w:rsid w:val="004A6107"/>
    <w:rsid w:val="004A65CD"/>
    <w:rsid w:val="004A69B0"/>
    <w:rsid w:val="004B25E7"/>
    <w:rsid w:val="004B511F"/>
    <w:rsid w:val="004C5A17"/>
    <w:rsid w:val="004E690C"/>
    <w:rsid w:val="004E7420"/>
    <w:rsid w:val="004F5474"/>
    <w:rsid w:val="00503C7A"/>
    <w:rsid w:val="00506C6D"/>
    <w:rsid w:val="00506E08"/>
    <w:rsid w:val="0051571E"/>
    <w:rsid w:val="00517037"/>
    <w:rsid w:val="00520A6E"/>
    <w:rsid w:val="00523EC0"/>
    <w:rsid w:val="00525A5F"/>
    <w:rsid w:val="00526234"/>
    <w:rsid w:val="0053036D"/>
    <w:rsid w:val="005309C4"/>
    <w:rsid w:val="00535259"/>
    <w:rsid w:val="005432B8"/>
    <w:rsid w:val="005715A6"/>
    <w:rsid w:val="005741DA"/>
    <w:rsid w:val="00574CE6"/>
    <w:rsid w:val="00575A6D"/>
    <w:rsid w:val="00575AC6"/>
    <w:rsid w:val="005852A7"/>
    <w:rsid w:val="005869BC"/>
    <w:rsid w:val="005B2B3A"/>
    <w:rsid w:val="005B30A9"/>
    <w:rsid w:val="005B6748"/>
    <w:rsid w:val="005B6EAC"/>
    <w:rsid w:val="005C54A4"/>
    <w:rsid w:val="005C6038"/>
    <w:rsid w:val="005D2092"/>
    <w:rsid w:val="005D3312"/>
    <w:rsid w:val="005D6E84"/>
    <w:rsid w:val="005E3949"/>
    <w:rsid w:val="005F6AB0"/>
    <w:rsid w:val="006037E2"/>
    <w:rsid w:val="00605DAD"/>
    <w:rsid w:val="006221D9"/>
    <w:rsid w:val="00623297"/>
    <w:rsid w:val="00625F3C"/>
    <w:rsid w:val="00627B25"/>
    <w:rsid w:val="00633A41"/>
    <w:rsid w:val="00641680"/>
    <w:rsid w:val="00641CC2"/>
    <w:rsid w:val="00646F19"/>
    <w:rsid w:val="00652797"/>
    <w:rsid w:val="00671903"/>
    <w:rsid w:val="00674B0F"/>
    <w:rsid w:val="006770EB"/>
    <w:rsid w:val="00677327"/>
    <w:rsid w:val="00690423"/>
    <w:rsid w:val="00693785"/>
    <w:rsid w:val="006937D2"/>
    <w:rsid w:val="006A25F2"/>
    <w:rsid w:val="006A4B5A"/>
    <w:rsid w:val="006A5D45"/>
    <w:rsid w:val="006B30BD"/>
    <w:rsid w:val="006B39F6"/>
    <w:rsid w:val="006B3F75"/>
    <w:rsid w:val="006B7BFE"/>
    <w:rsid w:val="006C0472"/>
    <w:rsid w:val="006C131B"/>
    <w:rsid w:val="006C3AA4"/>
    <w:rsid w:val="006D6682"/>
    <w:rsid w:val="006E27F0"/>
    <w:rsid w:val="006E33CF"/>
    <w:rsid w:val="006F035A"/>
    <w:rsid w:val="007024C5"/>
    <w:rsid w:val="00702927"/>
    <w:rsid w:val="00705CB2"/>
    <w:rsid w:val="0071033E"/>
    <w:rsid w:val="007229DE"/>
    <w:rsid w:val="00725357"/>
    <w:rsid w:val="00726D10"/>
    <w:rsid w:val="00732CB4"/>
    <w:rsid w:val="0073440A"/>
    <w:rsid w:val="00737B71"/>
    <w:rsid w:val="00741F0F"/>
    <w:rsid w:val="00746B9E"/>
    <w:rsid w:val="00747E22"/>
    <w:rsid w:val="0075108D"/>
    <w:rsid w:val="007532BB"/>
    <w:rsid w:val="00757AF2"/>
    <w:rsid w:val="0076717F"/>
    <w:rsid w:val="00770ABC"/>
    <w:rsid w:val="00777A18"/>
    <w:rsid w:val="007809C3"/>
    <w:rsid w:val="00783501"/>
    <w:rsid w:val="0078675E"/>
    <w:rsid w:val="007876B6"/>
    <w:rsid w:val="0079081A"/>
    <w:rsid w:val="0079260F"/>
    <w:rsid w:val="007A1B29"/>
    <w:rsid w:val="007A2939"/>
    <w:rsid w:val="007B3424"/>
    <w:rsid w:val="007B7FB0"/>
    <w:rsid w:val="007C2E08"/>
    <w:rsid w:val="007C55F0"/>
    <w:rsid w:val="007D43BB"/>
    <w:rsid w:val="007D5EEA"/>
    <w:rsid w:val="007E4BDC"/>
    <w:rsid w:val="007F14E9"/>
    <w:rsid w:val="007F1CB6"/>
    <w:rsid w:val="007F2DEF"/>
    <w:rsid w:val="007F396D"/>
    <w:rsid w:val="007F3E4B"/>
    <w:rsid w:val="007F5D25"/>
    <w:rsid w:val="00800B6F"/>
    <w:rsid w:val="00806FDB"/>
    <w:rsid w:val="008070C4"/>
    <w:rsid w:val="00807A5C"/>
    <w:rsid w:val="0082168C"/>
    <w:rsid w:val="0082187E"/>
    <w:rsid w:val="00821CDC"/>
    <w:rsid w:val="00821F49"/>
    <w:rsid w:val="00822D97"/>
    <w:rsid w:val="00825EDB"/>
    <w:rsid w:val="00826362"/>
    <w:rsid w:val="0083673A"/>
    <w:rsid w:val="0084387D"/>
    <w:rsid w:val="00846747"/>
    <w:rsid w:val="00853ED5"/>
    <w:rsid w:val="00854333"/>
    <w:rsid w:val="008546B4"/>
    <w:rsid w:val="008567A1"/>
    <w:rsid w:val="008651A7"/>
    <w:rsid w:val="00867202"/>
    <w:rsid w:val="0087071F"/>
    <w:rsid w:val="00870A28"/>
    <w:rsid w:val="00870CCF"/>
    <w:rsid w:val="0087149D"/>
    <w:rsid w:val="008803AE"/>
    <w:rsid w:val="008918A9"/>
    <w:rsid w:val="00891F18"/>
    <w:rsid w:val="008947F8"/>
    <w:rsid w:val="008A0B1C"/>
    <w:rsid w:val="008A175D"/>
    <w:rsid w:val="008A25B0"/>
    <w:rsid w:val="008A4C87"/>
    <w:rsid w:val="008A4E30"/>
    <w:rsid w:val="008A6821"/>
    <w:rsid w:val="008C4485"/>
    <w:rsid w:val="008D5002"/>
    <w:rsid w:val="008E0089"/>
    <w:rsid w:val="008F6730"/>
    <w:rsid w:val="008F75F5"/>
    <w:rsid w:val="00900693"/>
    <w:rsid w:val="00905A44"/>
    <w:rsid w:val="00906343"/>
    <w:rsid w:val="00923E80"/>
    <w:rsid w:val="009259E3"/>
    <w:rsid w:val="0092626E"/>
    <w:rsid w:val="00930F1F"/>
    <w:rsid w:val="00931FC1"/>
    <w:rsid w:val="00934AAD"/>
    <w:rsid w:val="00940F88"/>
    <w:rsid w:val="00942CB9"/>
    <w:rsid w:val="00944FEA"/>
    <w:rsid w:val="0095340A"/>
    <w:rsid w:val="009625F8"/>
    <w:rsid w:val="0096591B"/>
    <w:rsid w:val="00970706"/>
    <w:rsid w:val="00971A10"/>
    <w:rsid w:val="00983654"/>
    <w:rsid w:val="009944F2"/>
    <w:rsid w:val="009956E3"/>
    <w:rsid w:val="009959E4"/>
    <w:rsid w:val="00996490"/>
    <w:rsid w:val="009969F6"/>
    <w:rsid w:val="009A6812"/>
    <w:rsid w:val="009B2798"/>
    <w:rsid w:val="009B4B74"/>
    <w:rsid w:val="009B61D3"/>
    <w:rsid w:val="009B6996"/>
    <w:rsid w:val="009C4891"/>
    <w:rsid w:val="009C6DEC"/>
    <w:rsid w:val="009C6EA7"/>
    <w:rsid w:val="009D3894"/>
    <w:rsid w:val="009D5EF3"/>
    <w:rsid w:val="009E0981"/>
    <w:rsid w:val="009E292A"/>
    <w:rsid w:val="009F381B"/>
    <w:rsid w:val="009F3C04"/>
    <w:rsid w:val="009F4365"/>
    <w:rsid w:val="009F6BF3"/>
    <w:rsid w:val="00A01285"/>
    <w:rsid w:val="00A21EB8"/>
    <w:rsid w:val="00A21EF8"/>
    <w:rsid w:val="00A26BFC"/>
    <w:rsid w:val="00A30C40"/>
    <w:rsid w:val="00A30ED6"/>
    <w:rsid w:val="00A3473F"/>
    <w:rsid w:val="00A35129"/>
    <w:rsid w:val="00A37CC6"/>
    <w:rsid w:val="00A406B2"/>
    <w:rsid w:val="00A42810"/>
    <w:rsid w:val="00A473EF"/>
    <w:rsid w:val="00A5311C"/>
    <w:rsid w:val="00A635CC"/>
    <w:rsid w:val="00A65272"/>
    <w:rsid w:val="00A65ABC"/>
    <w:rsid w:val="00A67D27"/>
    <w:rsid w:val="00A703DE"/>
    <w:rsid w:val="00A753F5"/>
    <w:rsid w:val="00A75564"/>
    <w:rsid w:val="00A8142E"/>
    <w:rsid w:val="00A83EBF"/>
    <w:rsid w:val="00A8527A"/>
    <w:rsid w:val="00A879E9"/>
    <w:rsid w:val="00AA537F"/>
    <w:rsid w:val="00AA5C79"/>
    <w:rsid w:val="00AB0034"/>
    <w:rsid w:val="00AB7315"/>
    <w:rsid w:val="00AC4DA9"/>
    <w:rsid w:val="00AD10B8"/>
    <w:rsid w:val="00AE7D1F"/>
    <w:rsid w:val="00AE7E72"/>
    <w:rsid w:val="00AF0530"/>
    <w:rsid w:val="00AF10B5"/>
    <w:rsid w:val="00AF202B"/>
    <w:rsid w:val="00AF7135"/>
    <w:rsid w:val="00B02CD9"/>
    <w:rsid w:val="00B05C24"/>
    <w:rsid w:val="00B11514"/>
    <w:rsid w:val="00B123E3"/>
    <w:rsid w:val="00B15D61"/>
    <w:rsid w:val="00B2364D"/>
    <w:rsid w:val="00B27F6B"/>
    <w:rsid w:val="00B30FD5"/>
    <w:rsid w:val="00B314FA"/>
    <w:rsid w:val="00B34BDF"/>
    <w:rsid w:val="00B44A06"/>
    <w:rsid w:val="00B46BE1"/>
    <w:rsid w:val="00B50336"/>
    <w:rsid w:val="00B536C8"/>
    <w:rsid w:val="00B53B7F"/>
    <w:rsid w:val="00B541B8"/>
    <w:rsid w:val="00B62B96"/>
    <w:rsid w:val="00B63D3E"/>
    <w:rsid w:val="00B66BBD"/>
    <w:rsid w:val="00B7082A"/>
    <w:rsid w:val="00B775D1"/>
    <w:rsid w:val="00B8750D"/>
    <w:rsid w:val="00BA0FBC"/>
    <w:rsid w:val="00BA28FE"/>
    <w:rsid w:val="00BA3D89"/>
    <w:rsid w:val="00BA4781"/>
    <w:rsid w:val="00BB0162"/>
    <w:rsid w:val="00BB31D1"/>
    <w:rsid w:val="00BB5925"/>
    <w:rsid w:val="00BC1FF2"/>
    <w:rsid w:val="00BC250C"/>
    <w:rsid w:val="00BD15B8"/>
    <w:rsid w:val="00BD3238"/>
    <w:rsid w:val="00BD3DFD"/>
    <w:rsid w:val="00BD3ECB"/>
    <w:rsid w:val="00BD5D39"/>
    <w:rsid w:val="00BE3F28"/>
    <w:rsid w:val="00BE5488"/>
    <w:rsid w:val="00BF267F"/>
    <w:rsid w:val="00C034F5"/>
    <w:rsid w:val="00C04D4A"/>
    <w:rsid w:val="00C10052"/>
    <w:rsid w:val="00C11EE2"/>
    <w:rsid w:val="00C369F8"/>
    <w:rsid w:val="00C414F6"/>
    <w:rsid w:val="00C519CF"/>
    <w:rsid w:val="00C65BA6"/>
    <w:rsid w:val="00C660EC"/>
    <w:rsid w:val="00C72998"/>
    <w:rsid w:val="00C86CD7"/>
    <w:rsid w:val="00C876CB"/>
    <w:rsid w:val="00C946AB"/>
    <w:rsid w:val="00CA2AD4"/>
    <w:rsid w:val="00CA4F3F"/>
    <w:rsid w:val="00CB36BD"/>
    <w:rsid w:val="00CB3F6E"/>
    <w:rsid w:val="00CB49C3"/>
    <w:rsid w:val="00CC23CB"/>
    <w:rsid w:val="00CC3D93"/>
    <w:rsid w:val="00CD0D4C"/>
    <w:rsid w:val="00CD4086"/>
    <w:rsid w:val="00CD78FC"/>
    <w:rsid w:val="00CF1D7C"/>
    <w:rsid w:val="00D02048"/>
    <w:rsid w:val="00D03CA6"/>
    <w:rsid w:val="00D200D9"/>
    <w:rsid w:val="00D24424"/>
    <w:rsid w:val="00D37267"/>
    <w:rsid w:val="00D42924"/>
    <w:rsid w:val="00D51391"/>
    <w:rsid w:val="00D53F7B"/>
    <w:rsid w:val="00D61084"/>
    <w:rsid w:val="00D66276"/>
    <w:rsid w:val="00D74248"/>
    <w:rsid w:val="00D75668"/>
    <w:rsid w:val="00D8064E"/>
    <w:rsid w:val="00D82FE3"/>
    <w:rsid w:val="00D873F6"/>
    <w:rsid w:val="00D9067E"/>
    <w:rsid w:val="00D926DA"/>
    <w:rsid w:val="00D970B2"/>
    <w:rsid w:val="00DB1DE6"/>
    <w:rsid w:val="00DB22F6"/>
    <w:rsid w:val="00DB7D7B"/>
    <w:rsid w:val="00DC1C2F"/>
    <w:rsid w:val="00DC5C8A"/>
    <w:rsid w:val="00DC7F98"/>
    <w:rsid w:val="00DD116B"/>
    <w:rsid w:val="00DD24E5"/>
    <w:rsid w:val="00DD3D66"/>
    <w:rsid w:val="00DD3FD2"/>
    <w:rsid w:val="00DD48E7"/>
    <w:rsid w:val="00DD508E"/>
    <w:rsid w:val="00DE1BF5"/>
    <w:rsid w:val="00DE1C43"/>
    <w:rsid w:val="00DE58C3"/>
    <w:rsid w:val="00DE7C82"/>
    <w:rsid w:val="00DF5FD6"/>
    <w:rsid w:val="00E03D1A"/>
    <w:rsid w:val="00E05967"/>
    <w:rsid w:val="00E0608F"/>
    <w:rsid w:val="00E12427"/>
    <w:rsid w:val="00E200A3"/>
    <w:rsid w:val="00E2358F"/>
    <w:rsid w:val="00E235D1"/>
    <w:rsid w:val="00E27D5F"/>
    <w:rsid w:val="00E30D63"/>
    <w:rsid w:val="00E3628C"/>
    <w:rsid w:val="00E41326"/>
    <w:rsid w:val="00E446CD"/>
    <w:rsid w:val="00E460C6"/>
    <w:rsid w:val="00E46202"/>
    <w:rsid w:val="00E525C6"/>
    <w:rsid w:val="00E53C97"/>
    <w:rsid w:val="00E57E9E"/>
    <w:rsid w:val="00E6158B"/>
    <w:rsid w:val="00E6593E"/>
    <w:rsid w:val="00E66282"/>
    <w:rsid w:val="00E72308"/>
    <w:rsid w:val="00E72BF9"/>
    <w:rsid w:val="00E74952"/>
    <w:rsid w:val="00E758F6"/>
    <w:rsid w:val="00E842B3"/>
    <w:rsid w:val="00E87132"/>
    <w:rsid w:val="00E90BED"/>
    <w:rsid w:val="00E93BBC"/>
    <w:rsid w:val="00E95983"/>
    <w:rsid w:val="00EA35AE"/>
    <w:rsid w:val="00EA40E5"/>
    <w:rsid w:val="00EB1164"/>
    <w:rsid w:val="00EB260E"/>
    <w:rsid w:val="00EB4082"/>
    <w:rsid w:val="00EC682D"/>
    <w:rsid w:val="00ED1B94"/>
    <w:rsid w:val="00ED45C6"/>
    <w:rsid w:val="00ED5DF5"/>
    <w:rsid w:val="00ED7DFE"/>
    <w:rsid w:val="00EE0997"/>
    <w:rsid w:val="00EE499B"/>
    <w:rsid w:val="00F0217A"/>
    <w:rsid w:val="00F037D1"/>
    <w:rsid w:val="00F0676D"/>
    <w:rsid w:val="00F1125C"/>
    <w:rsid w:val="00F15A07"/>
    <w:rsid w:val="00F207D9"/>
    <w:rsid w:val="00F20D84"/>
    <w:rsid w:val="00F312B3"/>
    <w:rsid w:val="00F312DF"/>
    <w:rsid w:val="00F34A0F"/>
    <w:rsid w:val="00F375CF"/>
    <w:rsid w:val="00F37A7A"/>
    <w:rsid w:val="00F50168"/>
    <w:rsid w:val="00F54059"/>
    <w:rsid w:val="00F558D0"/>
    <w:rsid w:val="00F62BA9"/>
    <w:rsid w:val="00F65B5F"/>
    <w:rsid w:val="00F67CC2"/>
    <w:rsid w:val="00F73826"/>
    <w:rsid w:val="00F73A6B"/>
    <w:rsid w:val="00F75A95"/>
    <w:rsid w:val="00F7706F"/>
    <w:rsid w:val="00F81CC1"/>
    <w:rsid w:val="00F828B1"/>
    <w:rsid w:val="00F842CA"/>
    <w:rsid w:val="00F92F8C"/>
    <w:rsid w:val="00FA0DB6"/>
    <w:rsid w:val="00FA77CC"/>
    <w:rsid w:val="00FB4670"/>
    <w:rsid w:val="00FB7408"/>
    <w:rsid w:val="00FC256E"/>
    <w:rsid w:val="00FC4EBD"/>
    <w:rsid w:val="00FC5CBD"/>
    <w:rsid w:val="00FD5E52"/>
    <w:rsid w:val="00FD6873"/>
    <w:rsid w:val="00FE09C5"/>
    <w:rsid w:val="00FE46AE"/>
    <w:rsid w:val="00FF0DDA"/>
    <w:rsid w:val="00FF215E"/>
    <w:rsid w:val="00FF6DD5"/>
    <w:rsid w:val="01D05165"/>
    <w:rsid w:val="043E3047"/>
    <w:rsid w:val="05B10E6F"/>
    <w:rsid w:val="07821BE8"/>
    <w:rsid w:val="0914179B"/>
    <w:rsid w:val="0AD812A7"/>
    <w:rsid w:val="0B20150F"/>
    <w:rsid w:val="0B7109C2"/>
    <w:rsid w:val="0C746753"/>
    <w:rsid w:val="0D57246F"/>
    <w:rsid w:val="0DB33701"/>
    <w:rsid w:val="0E07080F"/>
    <w:rsid w:val="1292202E"/>
    <w:rsid w:val="1435390A"/>
    <w:rsid w:val="16046988"/>
    <w:rsid w:val="171D187D"/>
    <w:rsid w:val="18E97F09"/>
    <w:rsid w:val="1A2F2188"/>
    <w:rsid w:val="1AB214E3"/>
    <w:rsid w:val="1B7A2F0A"/>
    <w:rsid w:val="1FAF0764"/>
    <w:rsid w:val="200B1262"/>
    <w:rsid w:val="22E23A77"/>
    <w:rsid w:val="242C183B"/>
    <w:rsid w:val="251E0645"/>
    <w:rsid w:val="2BF80676"/>
    <w:rsid w:val="2CA85564"/>
    <w:rsid w:val="2E031810"/>
    <w:rsid w:val="2EE9014E"/>
    <w:rsid w:val="2F832C85"/>
    <w:rsid w:val="315D66B5"/>
    <w:rsid w:val="32643D9D"/>
    <w:rsid w:val="3423200B"/>
    <w:rsid w:val="34803BBB"/>
    <w:rsid w:val="3592297D"/>
    <w:rsid w:val="37687528"/>
    <w:rsid w:val="38B50567"/>
    <w:rsid w:val="39F06807"/>
    <w:rsid w:val="3B2472B8"/>
    <w:rsid w:val="3B747DF1"/>
    <w:rsid w:val="3D7A280C"/>
    <w:rsid w:val="41144350"/>
    <w:rsid w:val="42852DDD"/>
    <w:rsid w:val="44D8126F"/>
    <w:rsid w:val="458361FD"/>
    <w:rsid w:val="475C16FB"/>
    <w:rsid w:val="4EE51A05"/>
    <w:rsid w:val="4FDF6855"/>
    <w:rsid w:val="52206DAE"/>
    <w:rsid w:val="530B3EA0"/>
    <w:rsid w:val="54811B42"/>
    <w:rsid w:val="57E43382"/>
    <w:rsid w:val="5C147475"/>
    <w:rsid w:val="5DF03C66"/>
    <w:rsid w:val="5F1D4538"/>
    <w:rsid w:val="60954120"/>
    <w:rsid w:val="64DC5C1F"/>
    <w:rsid w:val="680D106A"/>
    <w:rsid w:val="6AFF7D08"/>
    <w:rsid w:val="6F264369"/>
    <w:rsid w:val="6F362CE2"/>
    <w:rsid w:val="6F6C4EBD"/>
    <w:rsid w:val="71314DB8"/>
    <w:rsid w:val="730B720F"/>
    <w:rsid w:val="75083251"/>
    <w:rsid w:val="750D5C8A"/>
    <w:rsid w:val="768D3F54"/>
    <w:rsid w:val="77091F7C"/>
    <w:rsid w:val="7BD76DFF"/>
    <w:rsid w:val="7D6C1836"/>
    <w:rsid w:val="7DA2134F"/>
    <w:rsid w:val="7F9B1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1"/>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5">
    <w:name w:val="heading 2"/>
    <w:basedOn w:val="1"/>
    <w:next w:val="1"/>
    <w:link w:val="3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51"/>
    <w:qFormat/>
    <w:uiPriority w:val="0"/>
    <w:pPr>
      <w:adjustRightInd w:val="0"/>
      <w:spacing w:line="312" w:lineRule="atLeast"/>
      <w:textAlignment w:val="baseline"/>
    </w:pPr>
    <w:rPr>
      <w:rFonts w:ascii="宋体" w:hAnsi="Courier New" w:eastAsia="宋体" w:cs="Times New Roman"/>
      <w:kern w:val="0"/>
      <w:szCs w:val="21"/>
    </w:rPr>
  </w:style>
  <w:style w:type="paragraph" w:styleId="6">
    <w:name w:val="Normal Indent"/>
    <w:basedOn w:val="1"/>
    <w:link w:val="52"/>
    <w:qFormat/>
    <w:uiPriority w:val="0"/>
    <w:pPr>
      <w:ind w:firstLine="420" w:firstLineChars="200"/>
    </w:pPr>
    <w:rPr>
      <w:rFonts w:ascii="Times New Roman" w:hAnsi="Times New Roman" w:eastAsia="宋体" w:cs="Times New Roman"/>
      <w:szCs w:val="24"/>
    </w:rPr>
  </w:style>
  <w:style w:type="paragraph" w:styleId="7">
    <w:name w:val="annotation text"/>
    <w:basedOn w:val="1"/>
    <w:link w:val="48"/>
    <w:semiHidden/>
    <w:unhideWhenUsed/>
    <w:qFormat/>
    <w:uiPriority w:val="99"/>
    <w:pPr>
      <w:jc w:val="left"/>
    </w:pPr>
  </w:style>
  <w:style w:type="paragraph" w:styleId="8">
    <w:name w:val="Body Text"/>
    <w:basedOn w:val="1"/>
    <w:link w:val="40"/>
    <w:qFormat/>
    <w:uiPriority w:val="0"/>
    <w:pPr>
      <w:spacing w:after="120"/>
    </w:pPr>
    <w:rPr>
      <w:rFonts w:ascii="Calibri" w:hAnsi="Calibri" w:eastAsia="宋体" w:cs="黑体"/>
      <w:szCs w:val="24"/>
    </w:rPr>
  </w:style>
  <w:style w:type="paragraph" w:styleId="9">
    <w:name w:val="Body Text Indent"/>
    <w:basedOn w:val="1"/>
    <w:qFormat/>
    <w:uiPriority w:val="0"/>
    <w:pPr>
      <w:spacing w:after="120"/>
      <w:ind w:left="420" w:leftChars="200"/>
    </w:pPr>
  </w:style>
  <w:style w:type="paragraph" w:styleId="10">
    <w:name w:val="toc 3"/>
    <w:basedOn w:val="1"/>
    <w:next w:val="1"/>
    <w:unhideWhenUsed/>
    <w:qFormat/>
    <w:uiPriority w:val="39"/>
    <w:pPr>
      <w:ind w:left="840" w:leftChars="400"/>
    </w:pPr>
  </w:style>
  <w:style w:type="paragraph" w:styleId="11">
    <w:name w:val="Balloon Text"/>
    <w:basedOn w:val="1"/>
    <w:link w:val="37"/>
    <w:semiHidden/>
    <w:unhideWhenUsed/>
    <w:qFormat/>
    <w:uiPriority w:val="99"/>
    <w:rPr>
      <w:sz w:val="18"/>
      <w:szCs w:val="18"/>
    </w:rPr>
  </w:style>
  <w:style w:type="paragraph" w:styleId="12">
    <w:name w:val="footer"/>
    <w:basedOn w:val="1"/>
    <w:link w:val="30"/>
    <w:unhideWhenUsed/>
    <w:qFormat/>
    <w:uiPriority w:val="99"/>
    <w:pPr>
      <w:tabs>
        <w:tab w:val="center" w:pos="4153"/>
        <w:tab w:val="right" w:pos="8306"/>
      </w:tabs>
      <w:snapToGrid w:val="0"/>
      <w:jc w:val="left"/>
    </w:pPr>
    <w:rPr>
      <w:sz w:val="18"/>
      <w:szCs w:val="18"/>
    </w:rPr>
  </w:style>
  <w:style w:type="paragraph" w:styleId="13">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footnote text"/>
    <w:basedOn w:val="1"/>
    <w:link w:val="45"/>
    <w:semiHidden/>
    <w:unhideWhenUsed/>
    <w:qFormat/>
    <w:uiPriority w:val="99"/>
    <w:pPr>
      <w:snapToGrid w:val="0"/>
      <w:jc w:val="left"/>
    </w:pPr>
    <w:rPr>
      <w:rFonts w:ascii="Times New Roman" w:hAnsi="Times New Roman" w:eastAsia="宋体" w:cs="Times New Roman"/>
      <w:sz w:val="18"/>
      <w:szCs w:val="18"/>
    </w:rPr>
  </w:style>
  <w:style w:type="paragraph" w:styleId="16">
    <w:name w:val="toc 2"/>
    <w:basedOn w:val="1"/>
    <w:next w:val="1"/>
    <w:unhideWhenUsed/>
    <w:qFormat/>
    <w:uiPriority w:val="39"/>
    <w:pPr>
      <w:ind w:left="420" w:leftChars="200"/>
    </w:pPr>
  </w:style>
  <w:style w:type="paragraph" w:styleId="1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8">
    <w:name w:val="annotation subject"/>
    <w:basedOn w:val="7"/>
    <w:next w:val="7"/>
    <w:link w:val="49"/>
    <w:semiHidden/>
    <w:unhideWhenUsed/>
    <w:qFormat/>
    <w:uiPriority w:val="99"/>
    <w:rPr>
      <w:b/>
      <w:bCs/>
    </w:rPr>
  </w:style>
  <w:style w:type="paragraph" w:styleId="19">
    <w:name w:val="Body Text First Indent 2"/>
    <w:basedOn w:val="9"/>
    <w:link w:val="54"/>
    <w:qFormat/>
    <w:uiPriority w:val="0"/>
    <w:pPr>
      <w:ind w:firstLine="420" w:firstLineChars="200"/>
    </w:pPr>
    <w:rPr>
      <w:rFonts w:ascii="Times New Roman" w:eastAsia="宋体"/>
      <w:szCs w:val="24"/>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FollowedHyperlink"/>
    <w:basedOn w:val="22"/>
    <w:semiHidden/>
    <w:unhideWhenUsed/>
    <w:qFormat/>
    <w:uiPriority w:val="99"/>
    <w:rPr>
      <w:color w:val="800080" w:themeColor="followedHyperlink"/>
      <w:u w:val="single"/>
    </w:rPr>
  </w:style>
  <w:style w:type="character" w:styleId="25">
    <w:name w:val="Hyperlink"/>
    <w:basedOn w:val="22"/>
    <w:unhideWhenUsed/>
    <w:qFormat/>
    <w:uiPriority w:val="99"/>
    <w:rPr>
      <w:color w:val="0000FF" w:themeColor="hyperlink"/>
      <w:u w:val="single"/>
    </w:rPr>
  </w:style>
  <w:style w:type="character" w:styleId="26">
    <w:name w:val="annotation reference"/>
    <w:basedOn w:val="22"/>
    <w:semiHidden/>
    <w:unhideWhenUsed/>
    <w:qFormat/>
    <w:uiPriority w:val="99"/>
    <w:rPr>
      <w:sz w:val="21"/>
      <w:szCs w:val="21"/>
    </w:rPr>
  </w:style>
  <w:style w:type="paragraph" w:customStyle="1" w:styleId="2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8">
    <w:name w:val="List Paragraph"/>
    <w:basedOn w:val="1"/>
    <w:qFormat/>
    <w:uiPriority w:val="34"/>
    <w:pPr>
      <w:ind w:firstLine="420" w:firstLineChars="200"/>
    </w:pPr>
  </w:style>
  <w:style w:type="character" w:customStyle="1" w:styleId="29">
    <w:name w:val="页眉 字符"/>
    <w:basedOn w:val="22"/>
    <w:link w:val="13"/>
    <w:qFormat/>
    <w:uiPriority w:val="0"/>
    <w:rPr>
      <w:sz w:val="18"/>
      <w:szCs w:val="18"/>
    </w:rPr>
  </w:style>
  <w:style w:type="character" w:customStyle="1" w:styleId="30">
    <w:name w:val="页脚 字符"/>
    <w:basedOn w:val="22"/>
    <w:link w:val="12"/>
    <w:qFormat/>
    <w:uiPriority w:val="99"/>
    <w:rPr>
      <w:sz w:val="18"/>
      <w:szCs w:val="18"/>
    </w:rPr>
  </w:style>
  <w:style w:type="character" w:customStyle="1" w:styleId="31">
    <w:name w:val="标题 1 字符"/>
    <w:basedOn w:val="22"/>
    <w:link w:val="4"/>
    <w:qFormat/>
    <w:uiPriority w:val="0"/>
    <w:rPr>
      <w:rFonts w:ascii="Times New Roman" w:hAnsi="Times New Roman" w:eastAsia="宋体" w:cs="Times New Roman"/>
      <w:b/>
      <w:bCs/>
      <w:kern w:val="44"/>
      <w:sz w:val="44"/>
      <w:szCs w:val="44"/>
    </w:rPr>
  </w:style>
  <w:style w:type="paragraph" w:customStyle="1" w:styleId="32">
    <w:name w:val="样式 标题 2 + Times New Roman 四号 非加粗 段前: 5 磅 段后: 0 磅 行距: 固定值 20..."/>
    <w:basedOn w:val="5"/>
    <w:qFormat/>
    <w:uiPriority w:val="0"/>
    <w:pPr>
      <w:tabs>
        <w:tab w:val="left" w:pos="1134"/>
      </w:tabs>
      <w:spacing w:before="100" w:after="0" w:line="400" w:lineRule="exact"/>
    </w:pPr>
    <w:rPr>
      <w:rFonts w:ascii="Times New Roman" w:hAnsi="Times New Roman" w:eastAsia="黑体" w:cs="Times New Roman"/>
      <w:b w:val="0"/>
      <w:bCs w:val="0"/>
      <w:sz w:val="28"/>
      <w:szCs w:val="20"/>
    </w:rPr>
  </w:style>
  <w:style w:type="character" w:customStyle="1" w:styleId="33">
    <w:name w:val="日期 Char"/>
    <w:basedOn w:val="22"/>
    <w:link w:val="34"/>
    <w:qFormat/>
    <w:uiPriority w:val="0"/>
    <w:rPr>
      <w:rFonts w:ascii="宋体" w:hAnsi="Times New Roman" w:eastAsia="宋体" w:cs="Times New Roman"/>
      <w:kern w:val="0"/>
      <w:sz w:val="24"/>
      <w:szCs w:val="20"/>
    </w:rPr>
  </w:style>
  <w:style w:type="paragraph" w:customStyle="1" w:styleId="34">
    <w:name w:val="日期1"/>
    <w:basedOn w:val="1"/>
    <w:next w:val="1"/>
    <w:link w:val="33"/>
    <w:qFormat/>
    <w:uiPriority w:val="0"/>
    <w:pPr>
      <w:adjustRightInd w:val="0"/>
      <w:spacing w:line="360" w:lineRule="atLeast"/>
    </w:pPr>
    <w:rPr>
      <w:rFonts w:ascii="宋体" w:hAnsi="Times New Roman" w:eastAsia="宋体" w:cs="Times New Roman"/>
      <w:kern w:val="0"/>
      <w:sz w:val="24"/>
      <w:szCs w:val="20"/>
    </w:rPr>
  </w:style>
  <w:style w:type="character" w:customStyle="1" w:styleId="35">
    <w:name w:val="标题 2 字符"/>
    <w:basedOn w:val="22"/>
    <w:link w:val="5"/>
    <w:semiHidden/>
    <w:qFormat/>
    <w:uiPriority w:val="9"/>
    <w:rPr>
      <w:rFonts w:asciiTheme="majorHAnsi" w:hAnsiTheme="majorHAnsi" w:eastAsiaTheme="majorEastAsia" w:cstheme="majorBidi"/>
      <w:b/>
      <w:bCs/>
      <w:sz w:val="32"/>
      <w:szCs w:val="32"/>
    </w:rPr>
  </w:style>
  <w:style w:type="paragraph" w:customStyle="1" w:styleId="36">
    <w:name w:val="TOC 标题1"/>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7">
    <w:name w:val="批注框文本 字符"/>
    <w:basedOn w:val="22"/>
    <w:link w:val="11"/>
    <w:semiHidden/>
    <w:qFormat/>
    <w:uiPriority w:val="99"/>
    <w:rPr>
      <w:sz w:val="18"/>
      <w:szCs w:val="18"/>
    </w:rPr>
  </w:style>
  <w:style w:type="paragraph" w:customStyle="1" w:styleId="38">
    <w:name w:val="日期2"/>
    <w:basedOn w:val="1"/>
    <w:next w:val="1"/>
    <w:qFormat/>
    <w:uiPriority w:val="0"/>
    <w:pPr>
      <w:ind w:left="100" w:leftChars="2500"/>
    </w:pPr>
    <w:rPr>
      <w:rFonts w:ascii="宋体" w:hAnsi="宋体" w:eastAsia="宋体" w:cs="Times New Roman"/>
      <w:b/>
      <w:kern w:val="0"/>
      <w:sz w:val="28"/>
      <w:szCs w:val="20"/>
      <w:lang w:val="zh-CN"/>
    </w:rPr>
  </w:style>
  <w:style w:type="paragraph" w:customStyle="1" w:styleId="39">
    <w:name w:val="WPSOffice手动目录 1"/>
    <w:qFormat/>
    <w:uiPriority w:val="0"/>
    <w:rPr>
      <w:rFonts w:ascii="Times New Roman" w:hAnsi="Times New Roman" w:eastAsia="宋体" w:cs="Times New Roman"/>
      <w:lang w:val="en-US" w:eastAsia="zh-CN" w:bidi="ar-SA"/>
    </w:rPr>
  </w:style>
  <w:style w:type="character" w:customStyle="1" w:styleId="40">
    <w:name w:val="正文文本 字符"/>
    <w:basedOn w:val="22"/>
    <w:link w:val="8"/>
    <w:qFormat/>
    <w:uiPriority w:val="0"/>
    <w:rPr>
      <w:rFonts w:ascii="Calibri" w:hAnsi="Calibri" w:eastAsia="宋体" w:cs="黑体"/>
      <w:kern w:val="2"/>
      <w:sz w:val="21"/>
      <w:szCs w:val="24"/>
    </w:rPr>
  </w:style>
  <w:style w:type="paragraph" w:customStyle="1" w:styleId="41">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character" w:customStyle="1" w:styleId="42">
    <w:name w:val="font01"/>
    <w:basedOn w:val="22"/>
    <w:qFormat/>
    <w:uiPriority w:val="0"/>
    <w:rPr>
      <w:rFonts w:hint="eastAsia" w:ascii="宋体" w:hAnsi="宋体" w:eastAsia="宋体" w:cs="宋体"/>
      <w:color w:val="000000"/>
      <w:sz w:val="32"/>
      <w:szCs w:val="32"/>
      <w:u w:val="none"/>
      <w:vertAlign w:val="subscript"/>
    </w:rPr>
  </w:style>
  <w:style w:type="character" w:customStyle="1" w:styleId="43">
    <w:name w:val="font21"/>
    <w:basedOn w:val="22"/>
    <w:qFormat/>
    <w:uiPriority w:val="0"/>
    <w:rPr>
      <w:rFonts w:hint="eastAsia" w:ascii="宋体" w:hAnsi="宋体" w:eastAsia="宋体" w:cs="宋体"/>
      <w:color w:val="000000"/>
      <w:sz w:val="32"/>
      <w:szCs w:val="32"/>
      <w:u w:val="none"/>
      <w:vertAlign w:val="superscript"/>
    </w:rPr>
  </w:style>
  <w:style w:type="paragraph" w:customStyle="1" w:styleId="44">
    <w:name w:val="Default"/>
    <w:basedOn w:val="1"/>
    <w:next w:val="15"/>
    <w:qFormat/>
    <w:uiPriority w:val="0"/>
    <w:pPr>
      <w:autoSpaceDE w:val="0"/>
      <w:autoSpaceDN w:val="0"/>
      <w:adjustRightInd w:val="0"/>
      <w:jc w:val="left"/>
    </w:pPr>
    <w:rPr>
      <w:rFonts w:hint="eastAsia" w:ascii="宋体" w:hAnsi="Calibri" w:eastAsia="宋体" w:cs="Times New Roman"/>
      <w:color w:val="000000"/>
      <w:kern w:val="0"/>
      <w:sz w:val="24"/>
      <w:szCs w:val="24"/>
    </w:rPr>
  </w:style>
  <w:style w:type="character" w:customStyle="1" w:styleId="45">
    <w:name w:val="脚注文本 字符"/>
    <w:basedOn w:val="22"/>
    <w:link w:val="15"/>
    <w:qFormat/>
    <w:uiPriority w:val="0"/>
    <w:rPr>
      <w:kern w:val="2"/>
      <w:sz w:val="18"/>
      <w:szCs w:val="18"/>
    </w:rPr>
  </w:style>
  <w:style w:type="paragraph" w:customStyle="1" w:styleId="46">
    <w:name w:val="Table Paragraph"/>
    <w:basedOn w:val="1"/>
    <w:qFormat/>
    <w:uiPriority w:val="0"/>
    <w:pPr>
      <w:autoSpaceDE w:val="0"/>
      <w:autoSpaceDN w:val="0"/>
      <w:jc w:val="left"/>
    </w:pPr>
    <w:rPr>
      <w:rFonts w:hint="eastAsia" w:ascii="宋体" w:hAnsi="宋体" w:eastAsia="宋体" w:cs="Times New Roman"/>
      <w:kern w:val="0"/>
      <w:sz w:val="22"/>
    </w:rPr>
  </w:style>
  <w:style w:type="character" w:customStyle="1" w:styleId="47">
    <w:name w:val="未处理的提及1"/>
    <w:basedOn w:val="22"/>
    <w:semiHidden/>
    <w:unhideWhenUsed/>
    <w:qFormat/>
    <w:uiPriority w:val="99"/>
    <w:rPr>
      <w:color w:val="605E5C"/>
      <w:shd w:val="clear" w:color="auto" w:fill="E1DFDD"/>
    </w:rPr>
  </w:style>
  <w:style w:type="character" w:customStyle="1" w:styleId="48">
    <w:name w:val="批注文字 字符"/>
    <w:basedOn w:val="22"/>
    <w:link w:val="7"/>
    <w:semiHidden/>
    <w:qFormat/>
    <w:uiPriority w:val="99"/>
    <w:rPr>
      <w:rFonts w:asciiTheme="minorHAnsi" w:hAnsiTheme="minorHAnsi" w:eastAsiaTheme="minorEastAsia" w:cstheme="minorBidi"/>
      <w:kern w:val="2"/>
      <w:sz w:val="21"/>
      <w:szCs w:val="22"/>
    </w:rPr>
  </w:style>
  <w:style w:type="character" w:customStyle="1" w:styleId="49">
    <w:name w:val="批注主题 字符"/>
    <w:basedOn w:val="48"/>
    <w:link w:val="18"/>
    <w:semiHidden/>
    <w:qFormat/>
    <w:uiPriority w:val="99"/>
    <w:rPr>
      <w:rFonts w:asciiTheme="minorHAnsi" w:hAnsiTheme="minorHAnsi" w:eastAsiaTheme="minorEastAsia" w:cstheme="minorBidi"/>
      <w:b/>
      <w:bCs/>
      <w:kern w:val="2"/>
      <w:sz w:val="21"/>
      <w:szCs w:val="22"/>
    </w:rPr>
  </w:style>
  <w:style w:type="character" w:customStyle="1" w:styleId="50">
    <w:name w:val="未处理的提及2"/>
    <w:basedOn w:val="22"/>
    <w:semiHidden/>
    <w:unhideWhenUsed/>
    <w:qFormat/>
    <w:uiPriority w:val="99"/>
    <w:rPr>
      <w:color w:val="605E5C"/>
      <w:shd w:val="clear" w:color="auto" w:fill="E1DFDD"/>
    </w:rPr>
  </w:style>
  <w:style w:type="character" w:customStyle="1" w:styleId="51">
    <w:name w:val="纯文本 字符"/>
    <w:basedOn w:val="22"/>
    <w:link w:val="2"/>
    <w:qFormat/>
    <w:uiPriority w:val="0"/>
    <w:rPr>
      <w:rFonts w:ascii="宋体" w:hAnsi="Courier New"/>
      <w:sz w:val="21"/>
      <w:szCs w:val="21"/>
    </w:rPr>
  </w:style>
  <w:style w:type="character" w:customStyle="1" w:styleId="52">
    <w:name w:val="正文缩进 字符"/>
    <w:link w:val="6"/>
    <w:qFormat/>
    <w:locked/>
    <w:uiPriority w:val="0"/>
    <w:rPr>
      <w:kern w:val="2"/>
      <w:sz w:val="21"/>
      <w:szCs w:val="24"/>
    </w:rPr>
  </w:style>
  <w:style w:type="paragraph" w:customStyle="1" w:styleId="53">
    <w:name w:val="Particulars Slip"/>
    <w:basedOn w:val="1"/>
    <w:qFormat/>
    <w:uiPriority w:val="0"/>
    <w:pPr>
      <w:tabs>
        <w:tab w:val="left" w:pos="2160"/>
        <w:tab w:val="left" w:pos="2520"/>
        <w:tab w:val="left" w:pos="2880"/>
        <w:tab w:val="left" w:pos="3240"/>
        <w:tab w:val="left" w:pos="3600"/>
        <w:tab w:val="left" w:pos="3960"/>
      </w:tabs>
    </w:pPr>
    <w:rPr>
      <w:rFonts w:ascii="全真簡中楷" w:hAnsi="Times New Roman" w:eastAsia="全真簡中楷" w:cs="Times New Roman"/>
      <w:snapToGrid w:val="0"/>
      <w:kern w:val="0"/>
      <w:sz w:val="28"/>
      <w:szCs w:val="20"/>
      <w:lang w:val="en-GB" w:eastAsia="en-US"/>
    </w:rPr>
  </w:style>
  <w:style w:type="character" w:customStyle="1" w:styleId="54">
    <w:name w:val="正文文本首行缩进 2 字符"/>
    <w:link w:val="19"/>
    <w:qFormat/>
    <w:uiPriority w:val="0"/>
    <w:rPr>
      <w:rFonts w:hAnsiTheme="minorHAnsi"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2795B9-87D3-47F1-A865-948FAA021C0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2572</Words>
  <Characters>14663</Characters>
  <Lines>122</Lines>
  <Paragraphs>34</Paragraphs>
  <TotalTime>19</TotalTime>
  <ScaleCrop>false</ScaleCrop>
  <LinksUpToDate>false</LinksUpToDate>
  <CharactersWithSpaces>17201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2022-08-20T14:28:00Z</dcterms:created>
  <dc:creator>COFCO\zhucs</dc:creator>
  <cp:lastModifiedBy>姚世伦</cp:lastModifiedBy>
  <cp:lastPrinted>2022-10-04T07:04:00Z</cp:lastPrinted>
  <dcterms:modified xsi:type="dcterms:W3CDTF">2024-04-16T14:49:04Z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D0DB1D9E76F44681A104AD7D5335DB63</vt:lpwstr>
  </property>
</Properties>
</file>